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jc w:val="left"/>
        <w:rPr>
          <w:rFonts w:ascii="宋体" w:hAnsi="宋体" w:eastAsia="宋体"/>
          <w:sz w:val="30"/>
        </w:rPr>
      </w:pPr>
    </w:p>
    <w:p>
      <w:pPr>
        <w:widowControl/>
        <w:spacing w:line="800" w:lineRule="exact"/>
        <w:jc w:val="center"/>
        <w:rPr>
          <w:rFonts w:ascii="宋体" w:hAnsi="宋体" w:eastAsia="宋体"/>
          <w:b/>
          <w:sz w:val="52"/>
        </w:rPr>
      </w:pPr>
      <w:r>
        <w:rPr>
          <w:rFonts w:hint="eastAsia" w:ascii="宋体" w:hAnsi="宋体" w:eastAsia="宋体"/>
          <w:b/>
          <w:sz w:val="52"/>
        </w:rPr>
        <w:t>博时安怡</w:t>
      </w:r>
      <w:r>
        <w:rPr>
          <w:rFonts w:ascii="宋体" w:hAnsi="宋体" w:eastAsia="宋体"/>
          <w:b/>
          <w:sz w:val="52"/>
        </w:rPr>
        <w:t>6个月定期开放债券型证券投资基金</w:t>
      </w:r>
    </w:p>
    <w:p>
      <w:pPr>
        <w:widowControl/>
        <w:spacing w:line="800" w:lineRule="exact"/>
        <w:jc w:val="center"/>
        <w:rPr>
          <w:rFonts w:ascii="宋体" w:hAnsi="宋体" w:eastAsia="宋体"/>
          <w:b/>
          <w:sz w:val="52"/>
        </w:rPr>
      </w:pPr>
      <w:r>
        <w:rPr>
          <w:rFonts w:hint="eastAsia" w:ascii="宋体" w:hAnsi="宋体" w:eastAsia="宋体"/>
          <w:b/>
          <w:sz w:val="52"/>
        </w:rPr>
        <w:t>更新招募说明书</w:t>
      </w: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52"/>
        </w:rPr>
      </w:pPr>
    </w:p>
    <w:p>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中国光大银行股份有限公司</w:t>
      </w:r>
      <w:r>
        <w:rPr>
          <w:rFonts w:ascii="宋体" w:hAnsi="宋体" w:eastAsia="宋体"/>
          <w:b/>
          <w:sz w:val="30"/>
        </w:rPr>
        <w:br w:type="page"/>
      </w:r>
    </w:p>
    <w:p>
      <w:pPr>
        <w:pStyle w:val="2"/>
        <w:jc w:val="center"/>
        <w:rPr>
          <w:rFonts w:ascii="宋体" w:hAnsi="宋体" w:eastAsia="宋体"/>
          <w:sz w:val="30"/>
        </w:rPr>
      </w:pPr>
      <w:bookmarkStart w:id="0" w:name="_Toc207926651"/>
      <w:r>
        <w:rPr>
          <w:rFonts w:hint="eastAsia" w:ascii="宋体" w:hAnsi="宋体" w:eastAsia="宋体"/>
          <w:sz w:val="30"/>
        </w:rPr>
        <w:t>【重要提示】</w:t>
      </w:r>
      <w:bookmarkEnd w:id="0"/>
    </w:p>
    <w:p>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2016年3月30日</w:t>
      </w:r>
      <w:bookmarkEnd w:id="1"/>
      <w:r>
        <w:rPr>
          <w:rFonts w:hint="eastAsia"/>
          <w:sz w:val="21"/>
          <w:szCs w:val="21"/>
        </w:rPr>
        <w:t>中国证券监督管理委员会《关于核准</w:t>
      </w:r>
      <w:bookmarkStart w:id="2" w:name="field_0_productfullname_1"/>
      <w:r>
        <w:rPr>
          <w:rFonts w:hint="eastAsia"/>
          <w:sz w:val="21"/>
          <w:szCs w:val="21"/>
        </w:rPr>
        <w:t>博时安怡</w:t>
      </w:r>
      <w:r>
        <w:rPr>
          <w:sz w:val="21"/>
          <w:szCs w:val="21"/>
        </w:rPr>
        <w:t>6个月定期开放债券型证券投资基金</w:t>
      </w:r>
      <w:bookmarkEnd w:id="2"/>
      <w:r>
        <w:rPr>
          <w:rFonts w:hint="eastAsia"/>
          <w:sz w:val="21"/>
          <w:szCs w:val="21"/>
        </w:rPr>
        <w:t>募集的批复》（证监许可</w:t>
      </w:r>
      <w:bookmarkStart w:id="3" w:name="field_2343_lotnumber_1"/>
      <w:r>
        <w:rPr>
          <w:sz w:val="21"/>
          <w:szCs w:val="21"/>
        </w:rPr>
        <w:t>[2016]609</w:t>
      </w:r>
      <w:bookmarkEnd w:id="3"/>
      <w:r>
        <w:rPr>
          <w:rFonts w:hint="eastAsia"/>
          <w:sz w:val="21"/>
          <w:szCs w:val="21"/>
        </w:rPr>
        <w:t xml:space="preserve">号）。  </w:t>
      </w:r>
    </w:p>
    <w:p>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价值和收益作出实质性判断或保证，也不表明投资于本基金没有风险。基金管理人依照恪尽职守、诚实信用、谨慎勤勉的原则管理和运用基金财产，但不保证基金一定盈利，也不保证最低收益。 </w:t>
      </w:r>
    </w:p>
    <w:p>
      <w:pPr>
        <w:pStyle w:val="7"/>
        <w:spacing w:before="0" w:beforeAutospacing="0" w:after="0" w:afterAutospacing="0" w:line="360" w:lineRule="auto"/>
        <w:ind w:firstLine="420"/>
        <w:rPr>
          <w:sz w:val="21"/>
          <w:szCs w:val="21"/>
        </w:rPr>
      </w:pPr>
      <w:r>
        <w:rPr>
          <w:rFonts w:hint="eastAsia"/>
          <w:sz w:val="21"/>
          <w:szCs w:val="21"/>
        </w:rPr>
        <w:t xml:space="preserve">3、投资有风险，投资人认购（或申购）基金时应认真阅读本招募说明书，需充分了解本基金的产品特性，并承担基金投资中出现的各类风险。投资本基金可能遇到的风险包括：利率风险，本基金持有的信用品种违约带来的信用风险，债券回购风险等等；基金运作风险，包括在本基金的封闭运作期间，基金份额持有人面临不能赎回基金份额的风险，以及基金管理人在基金管理运作过程中产生的基金管理风险，等等。此外，本基金以1元初始面值进行募集，在市场波动等因素的影响下，存在基金份额净值跌破1元初始面值的风险。本基金投资于国债期货，国债期货市场的风险类型较为复杂，涉及面广，主要包括：利率波动原因造成的市场价格风险、宏观因素和政策因素变化而引起的系统风险、市场和资金流动性原因引起的流动性风险、交易制度不完善而引发的制度性风险等。本基金为债券型基金，预期收益和预期风险高于货币市场基金，低于混合型基金、股票型基金，属于中等风险/收益的产品。 </w:t>
      </w:r>
    </w:p>
    <w:p>
      <w:pPr>
        <w:pStyle w:val="7"/>
        <w:spacing w:before="0" w:beforeAutospacing="0" w:after="0" w:afterAutospacing="0" w:line="360" w:lineRule="auto"/>
        <w:ind w:firstLine="420"/>
        <w:rPr>
          <w:sz w:val="21"/>
          <w:szCs w:val="21"/>
        </w:rPr>
      </w:pPr>
      <w:r>
        <w:rPr>
          <w:rFonts w:hint="eastAsia"/>
          <w:sz w:val="21"/>
          <w:szCs w:val="21"/>
        </w:rPr>
        <w:t xml:space="preserve">4、本基金主要投资于具有良好流动性的金融工具，包括国内依法发行上市的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pPr>
        <w:pStyle w:val="7"/>
        <w:spacing w:before="0" w:beforeAutospacing="0" w:after="0" w:afterAutospacing="0" w:line="360" w:lineRule="auto"/>
        <w:ind w:firstLine="420"/>
        <w:rPr>
          <w:sz w:val="21"/>
          <w:szCs w:val="21"/>
        </w:rPr>
      </w:pPr>
      <w:r>
        <w:rPr>
          <w:rFonts w:hint="eastAsia"/>
          <w:sz w:val="21"/>
          <w:szCs w:val="21"/>
        </w:rPr>
        <w:t xml:space="preserve">5、本基金的业绩比较基准为中债综合指数（总财富）收益率×90%+1年期定期存款利率（税后）×10%，但本基金的收益水平有可能不能达到或超过业绩比较基准，投资者面临获得低于业绩比较基准甚至亏损的风险。 </w:t>
      </w:r>
    </w:p>
    <w:p>
      <w:pPr>
        <w:pStyle w:val="7"/>
        <w:spacing w:before="0" w:beforeAutospacing="0" w:after="0" w:afterAutospacing="0" w:line="360" w:lineRule="auto"/>
        <w:ind w:firstLine="420"/>
        <w:rPr>
          <w:sz w:val="21"/>
          <w:szCs w:val="21"/>
        </w:rPr>
      </w:pPr>
      <w:r>
        <w:rPr>
          <w:rFonts w:hint="eastAsia"/>
          <w:sz w:val="21"/>
          <w:szCs w:val="21"/>
        </w:rPr>
        <w:t xml:space="preserve">6、当本基金持有特定资产且存在或潜在大额赎回申请时，基金管理人履行相应程序后，可以启用侧袋机制，具体详见基金合同和本招募说明书的相关章节。侧袋机制实施期间，基金管理人将对基金简称进行特殊标识，并不办理侧袋账户的申购赎回。请基金份额持有人仔细阅读相关内容并关注本基金启用侧袋机制时的特定风险。 </w:t>
      </w:r>
    </w:p>
    <w:p>
      <w:pPr>
        <w:pStyle w:val="7"/>
        <w:spacing w:before="0" w:beforeAutospacing="0" w:after="0" w:afterAutospacing="0" w:line="360" w:lineRule="auto"/>
        <w:ind w:firstLine="420"/>
        <w:rPr>
          <w:sz w:val="21"/>
          <w:szCs w:val="21"/>
        </w:rPr>
      </w:pPr>
      <w:r>
        <w:rPr>
          <w:rFonts w:hint="eastAsia"/>
          <w:sz w:val="21"/>
          <w:szCs w:val="21"/>
        </w:rPr>
        <w:t xml:space="preserve">7、基金不同于银行储蓄与债券，基金投资者有可能获得较高的收益，也有可能损失本金。投资有风险，投资者在进行投资决策前，请仔细阅读本基金的招募说明书、《基金合同》、基金产品资料概要等信息披露文件。 </w:t>
      </w:r>
    </w:p>
    <w:p>
      <w:pPr>
        <w:pStyle w:val="7"/>
        <w:spacing w:before="0" w:beforeAutospacing="0" w:after="0" w:afterAutospacing="0" w:line="360" w:lineRule="auto"/>
        <w:ind w:firstLine="420"/>
        <w:rPr>
          <w:sz w:val="21"/>
          <w:szCs w:val="21"/>
        </w:rPr>
      </w:pPr>
      <w:r>
        <w:rPr>
          <w:rFonts w:hint="eastAsia"/>
          <w:sz w:val="21"/>
          <w:szCs w:val="21"/>
        </w:rPr>
        <w:t xml:space="preserve">8、基金的过往业绩并不预示其未来表现。基金管理人管理的其他基金的业绩并不构成新基金业绩表现的保证。 </w:t>
      </w:r>
    </w:p>
    <w:p>
      <w:pPr>
        <w:pStyle w:val="7"/>
        <w:spacing w:before="0" w:beforeAutospacing="0" w:after="0" w:afterAutospacing="0" w:line="360" w:lineRule="auto"/>
        <w:ind w:firstLine="420"/>
        <w:rPr>
          <w:sz w:val="21"/>
          <w:szCs w:val="21"/>
        </w:rPr>
      </w:pPr>
      <w:r>
        <w:rPr>
          <w:rFonts w:hint="eastAsia"/>
          <w:sz w:val="21"/>
          <w:szCs w:val="21"/>
        </w:rPr>
        <w:t xml:space="preserve">9、本基金的封闭运作期间，基金份额持有人不能申购、赎回、转换基金份额，因此，若基金份额持有人错过某一开放期而未能赎回，其份额将自动转入下一封闭期，至少到下一开放期方可赎回。 </w:t>
      </w:r>
    </w:p>
    <w:p>
      <w:pPr>
        <w:pStyle w:val="7"/>
        <w:spacing w:before="0" w:beforeAutospacing="0" w:after="0" w:afterAutospacing="0" w:line="360" w:lineRule="auto"/>
        <w:ind w:firstLine="420"/>
        <w:rPr>
          <w:sz w:val="21"/>
          <w:szCs w:val="21"/>
        </w:rPr>
      </w:pPr>
      <w:r>
        <w:rPr>
          <w:rFonts w:hint="eastAsia"/>
          <w:sz w:val="21"/>
          <w:szCs w:val="21"/>
        </w:rPr>
        <w:t xml:space="preserve">10、基金管理人提醒投资人基金投资的“买者自负”原则，在投资人作出投资决策后，基金运营状况与基金净值变化引致的投资风险，由投资人自行负责。 </w:t>
      </w:r>
    </w:p>
    <w:p>
      <w:pPr>
        <w:pStyle w:val="7"/>
        <w:spacing w:before="0" w:beforeAutospacing="0" w:after="0" w:afterAutospacing="0" w:line="360" w:lineRule="auto"/>
        <w:ind w:firstLine="420"/>
        <w:rPr>
          <w:sz w:val="21"/>
          <w:szCs w:val="21"/>
        </w:rPr>
      </w:pPr>
      <w:r>
        <w:rPr>
          <w:rFonts w:hint="eastAsia"/>
          <w:sz w:val="21"/>
          <w:szCs w:val="21"/>
        </w:rPr>
        <w:t>本招募说明书（更新）所载内容截止日为</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6</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pPr>
        <w:pStyle w:val="6"/>
        <w:tabs>
          <w:tab w:val="right" w:leader="dot" w:pos="8290"/>
        </w:tabs>
        <w:spacing w:line="360" w:lineRule="auto"/>
        <w:rPr>
          <w:rFonts w:ascii="宋体" w:hAnsi="宋体" w:eastAsia="宋体"/>
        </w:rPr>
      </w:pPr>
      <w:r>
        <w:fldChar w:fldCharType="begin"/>
      </w:r>
      <w:r>
        <w:instrText xml:space="preserve"> HYPERLINK \l "_Toc207926651"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_Toc207926651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"_Toc207926652"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_Toc207926652 \h </w:instrText>
      </w:r>
      <w:r>
        <w:rPr>
          <w:rFonts w:ascii="宋体" w:hAnsi="宋体" w:eastAsia="宋体"/>
        </w:rPr>
        <w:fldChar w:fldCharType="separate"/>
      </w:r>
      <w:r>
        <w:rPr>
          <w:rFonts w:ascii="宋体" w:hAnsi="宋体" w:eastAsia="宋体"/>
        </w:rPr>
        <w:t>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"_Toc207926653"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_Toc207926653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"_Toc207926654"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_Toc207926654 \h </w:instrText>
      </w:r>
      <w:r>
        <w:rPr>
          <w:rFonts w:ascii="宋体" w:hAnsi="宋体" w:eastAsia="宋体"/>
        </w:rPr>
        <w:fldChar w:fldCharType="separate"/>
      </w:r>
      <w:r>
        <w:rPr>
          <w:rFonts w:ascii="宋体" w:hAnsi="宋体" w:eastAsia="宋体"/>
        </w:rPr>
        <w:t>11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"_Toc207926655"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_Toc207926655 \h </w:instrText>
      </w:r>
      <w:r>
        <w:rPr>
          <w:rFonts w:ascii="宋体" w:hAnsi="宋体" w:eastAsia="宋体"/>
        </w:rPr>
        <w:fldChar w:fldCharType="separate"/>
      </w:r>
      <w:r>
        <w:rPr>
          <w:rFonts w:ascii="宋体" w:hAnsi="宋体" w:eastAsia="宋体"/>
        </w:rPr>
        <w:t>22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"_Toc207926656"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_Toc207926656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"_Toc207926657"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_Toc207926657 \h </w:instrText>
      </w:r>
      <w:r>
        <w:rPr>
          <w:rFonts w:ascii="宋体" w:hAnsi="宋体" w:eastAsia="宋体"/>
        </w:rPr>
        <w:fldChar w:fldCharType="separate"/>
      </w:r>
      <w:r>
        <w:rPr>
          <w:rFonts w:ascii="宋体" w:hAnsi="宋体" w:eastAsia="宋体"/>
        </w:rPr>
        <w:t>32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"_Toc207926658"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_Toc207926658 \h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"_Toc207926659"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_Toc207926659 \h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"_Toc207926660"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_Toc207926660 \h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"_Toc207926661"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_Toc207926661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"_Toc207926662"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_Toc207926662 \h </w:instrText>
      </w:r>
      <w:r>
        <w:rPr>
          <w:rFonts w:ascii="宋体" w:hAnsi="宋体" w:eastAsia="宋体"/>
        </w:rPr>
        <w:fldChar w:fldCharType="separate"/>
      </w:r>
      <w:r>
        <w:rPr>
          <w:rFonts w:ascii="宋体" w:hAnsi="宋体" w:eastAsia="宋体"/>
        </w:rPr>
        <w:t>56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"_Toc207926663"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_Toc207926663 \h </w:instrText>
      </w:r>
      <w:r>
        <w:rPr>
          <w:rFonts w:ascii="宋体" w:hAnsi="宋体" w:eastAsia="宋体"/>
        </w:rPr>
        <w:fldChar w:fldCharType="separate"/>
      </w:r>
      <w:r>
        <w:rPr>
          <w:rFonts w:ascii="宋体" w:hAnsi="宋体" w:eastAsia="宋体"/>
        </w:rPr>
        <w:t>61</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"_Toc207926664"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_Toc207926664 \h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"_Toc207926665"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_Toc207926665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"_Toc207926666"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_Toc207926666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"_Toc207926667"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_Toc207926667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"_Toc207926668"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_Toc207926668 \h </w:instrText>
      </w:r>
      <w:r>
        <w:rPr>
          <w:rFonts w:ascii="宋体" w:hAnsi="宋体" w:eastAsia="宋体"/>
        </w:rPr>
        <w:fldChar w:fldCharType="separate"/>
      </w:r>
      <w:r>
        <w:rPr>
          <w:rFonts w:ascii="宋体" w:hAnsi="宋体" w:eastAsia="宋体"/>
        </w:rPr>
        <w:t>76</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"_Toc207926669"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_Toc207926669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"_Toc207926670"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_Toc207926670 \h </w:instrText>
      </w:r>
      <w:r>
        <w:rPr>
          <w:rFonts w:ascii="宋体" w:hAnsi="宋体" w:eastAsia="宋体"/>
        </w:rPr>
        <w:fldChar w:fldCharType="separate"/>
      </w:r>
      <w:r>
        <w:rPr>
          <w:rFonts w:ascii="宋体" w:hAnsi="宋体" w:eastAsia="宋体"/>
        </w:rPr>
        <w:t>82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"_Toc207926671"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_Toc207926671 \h </w:instrText>
      </w:r>
      <w:r>
        <w:rPr>
          <w:rFonts w:ascii="宋体" w:hAnsi="宋体" w:eastAsia="宋体"/>
        </w:rPr>
        <w:fldChar w:fldCharType="separate"/>
      </w:r>
      <w:r>
        <w:rPr>
          <w:rFonts w:ascii="宋体" w:hAnsi="宋体" w:eastAsia="宋体"/>
        </w:rPr>
        <w:t>98</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"_Toc207926672"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_Toc207926672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"_Toc207926673"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_Toc207926673 \h </w:instrText>
      </w:r>
      <w:r>
        <w:rPr>
          <w:rFonts w:ascii="宋体" w:hAnsi="宋体" w:eastAsia="宋体"/>
        </w:rPr>
        <w:fldChar w:fldCharType="separate"/>
      </w:r>
      <w:r>
        <w:rPr>
          <w:rFonts w:ascii="宋体" w:hAnsi="宋体" w:eastAsia="宋体"/>
        </w:rPr>
        <w:t>112</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"_Toc207926674"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_Toc207926674 \h </w:instrText>
      </w:r>
      <w:r>
        <w:rPr>
          <w:rFonts w:ascii="宋体" w:hAnsi="宋体" w:eastAsia="宋体"/>
        </w:rPr>
        <w:fldChar w:fldCharType="separate"/>
      </w:r>
      <w:r>
        <w:rPr>
          <w:rFonts w:ascii="宋体" w:hAnsi="宋体" w:eastAsia="宋体"/>
        </w:rPr>
        <w:t>114</w:t>
      </w:r>
      <w:r>
        <w:rPr>
          <w:rFonts w:ascii="宋体" w:hAnsi="宋体" w:eastAsia="宋体"/>
        </w:rPr>
        <w:fldChar w:fldCharType="end"/>
      </w:r>
      <w:r>
        <w:rPr>
          <w:rFonts w:ascii="宋体" w:hAnsi="宋体" w:eastAsia="宋体"/>
        </w:rPr>
        <w:fldChar w:fldCharType="end"/>
      </w:r>
    </w:p>
    <w:p>
      <w:pPr>
        <w:pStyle w:val="6"/>
        <w:tabs>
          <w:tab w:val="right" w:leader="dot" w:pos="8290"/>
        </w:tabs>
        <w:spacing w:line="360" w:lineRule="auto"/>
        <w:rPr>
          <w:rFonts w:ascii="宋体" w:hAnsi="宋体" w:eastAsia="宋体"/>
        </w:rPr>
      </w:pPr>
      <w:r>
        <w:fldChar w:fldCharType="begin"/>
      </w:r>
      <w:r>
        <w:instrText xml:space="preserve"> HYPERLINK \l "_Toc207926675"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_Toc207926675 \h </w:instrText>
      </w:r>
      <w:r>
        <w:rPr>
          <w:rFonts w:ascii="宋体" w:hAnsi="宋体" w:eastAsia="宋体"/>
        </w:rPr>
        <w:fldChar w:fldCharType="separate"/>
      </w:r>
      <w:r>
        <w:rPr>
          <w:rFonts w:ascii="宋体" w:hAnsi="宋体" w:eastAsia="宋体"/>
        </w:rPr>
        <w:t>115</w:t>
      </w:r>
      <w:r>
        <w:rPr>
          <w:rFonts w:ascii="宋体" w:hAnsi="宋体" w:eastAsia="宋体"/>
        </w:rPr>
        <w:fldChar w:fldCharType="end"/>
      </w:r>
      <w:r>
        <w:rPr>
          <w:rFonts w:ascii="宋体" w:hAnsi="宋体" w:eastAsia="宋体"/>
        </w:rPr>
        <w:fldChar w:fldCharType="end"/>
      </w:r>
    </w:p>
    <w:p>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pPr>
        <w:pStyle w:val="2"/>
        <w:jc w:val="center"/>
        <w:rPr>
          <w:rFonts w:ascii="宋体" w:hAnsi="宋体" w:eastAsia="宋体"/>
          <w:sz w:val="30"/>
        </w:rPr>
      </w:pPr>
      <w:bookmarkStart w:id="6" w:name="chapter_level1_3_2344"/>
      <w:bookmarkStart w:id="7" w:name="_Toc207926652"/>
      <w:r>
        <w:rPr>
          <w:rFonts w:hint="eastAsia" w:ascii="宋体" w:hAnsi="宋体" w:eastAsia="宋体"/>
          <w:sz w:val="30"/>
        </w:rPr>
        <w:t>第一部分  绪言</w:t>
      </w:r>
      <w:bookmarkEnd w:id="6"/>
      <w:bookmarkEnd w:id="7"/>
    </w:p>
    <w:p>
      <w:pPr>
        <w:pStyle w:val="7"/>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博时安怡</w:t>
      </w:r>
      <w:r>
        <w:rPr>
          <w:sz w:val="21"/>
          <w:szCs w:val="21"/>
        </w:rPr>
        <w:t>6个月定期开放债券型证券投资基金</w:t>
      </w:r>
      <w:bookmarkEnd w:id="9"/>
      <w:r>
        <w:rPr>
          <w:rFonts w:hint="eastAsia"/>
          <w:sz w:val="21"/>
          <w:szCs w:val="21"/>
        </w:rPr>
        <w:t>招募说明书》（以下简称“招募说明书”或“本招募说明书”）依照《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风险管理规定》”）以及《</w:t>
      </w:r>
      <w:bookmarkStart w:id="10" w:name="field_0_productfullname_3"/>
      <w:r>
        <w:rPr>
          <w:rFonts w:hint="eastAsia"/>
          <w:sz w:val="21"/>
          <w:szCs w:val="21"/>
        </w:rPr>
        <w:t>博时安怡</w:t>
      </w:r>
      <w:r>
        <w:rPr>
          <w:sz w:val="21"/>
          <w:szCs w:val="21"/>
        </w:rPr>
        <w:t>6个月定期开放债券型证券投资基金</w:t>
      </w:r>
      <w:bookmarkEnd w:id="10"/>
      <w:r>
        <w:rPr>
          <w:rFonts w:hint="eastAsia"/>
          <w:sz w:val="21"/>
          <w:szCs w:val="21"/>
        </w:rPr>
        <w:t xml:space="preserve">基金合同》（以下简称“基金合同”或《基金合同》）编写。  </w:t>
      </w:r>
    </w:p>
    <w:p>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pPr>
        <w:pStyle w:val="7"/>
        <w:spacing w:before="0" w:beforeAutospacing="0" w:after="0" w:afterAutospacing="0" w:line="360" w:lineRule="auto"/>
        <w:ind w:firstLine="420"/>
        <w:rPr>
          <w:sz w:val="21"/>
          <w:szCs w:val="21"/>
        </w:rPr>
      </w:pPr>
      <w:bookmarkStart w:id="11" w:name="field_0_productfullname_4"/>
      <w:r>
        <w:rPr>
          <w:rFonts w:hint="eastAsia"/>
          <w:sz w:val="21"/>
          <w:szCs w:val="21"/>
        </w:rPr>
        <w:t>博时安怡</w:t>
      </w:r>
      <w:r>
        <w:rPr>
          <w:sz w:val="21"/>
          <w:szCs w:val="21"/>
        </w:rPr>
        <w:t>6个月定期开放债券型证券投资基金</w:t>
      </w:r>
      <w:bookmarkEnd w:id="11"/>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券监督管理委员会（以下简称“中国证监会”）注册。基金合同是约定基金合同当事人之间权利、义务关系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w:t>
      </w:r>
      <w:bookmarkStart w:id="12" w:name="chapter_level1_3_2344_section_1_end"/>
      <w:bookmarkEnd w:id="12"/>
      <w:r>
        <w:rPr>
          <w:rFonts w:hint="eastAsia"/>
          <w:sz w:val="21"/>
          <w:szCs w:val="21"/>
        </w:rPr>
        <w:t xml:space="preserve">阅基金合同。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 w:name="chapter_level1_4_49"/>
      <w:bookmarkStart w:id="14" w:name="_Toc207926653"/>
      <w:r>
        <w:rPr>
          <w:rFonts w:hint="eastAsia" w:ascii="宋体" w:hAnsi="宋体" w:eastAsia="宋体"/>
          <w:sz w:val="30"/>
        </w:rPr>
        <w:t>第二部分  释义</w:t>
      </w:r>
      <w:bookmarkEnd w:id="13"/>
      <w:bookmarkEnd w:id="14"/>
    </w:p>
    <w:p>
      <w:pPr>
        <w:pStyle w:val="7"/>
        <w:spacing w:before="0" w:beforeAutospacing="0" w:after="0" w:afterAutospacing="0" w:line="360" w:lineRule="auto"/>
        <w:ind w:firstLine="420"/>
        <w:rPr>
          <w:sz w:val="21"/>
          <w:szCs w:val="21"/>
        </w:rPr>
      </w:pPr>
      <w:bookmarkStart w:id="15" w:name="chapter_level1_4_49_section_1"/>
      <w:bookmarkEnd w:id="15"/>
      <w:r>
        <w:rPr>
          <w:rFonts w:hint="eastAsia"/>
          <w:sz w:val="21"/>
          <w:szCs w:val="21"/>
        </w:rPr>
        <w:t xml:space="preserve">在本招募说明书中，除非文意另有所指，下列词语或简称具有如下含义：  </w:t>
      </w:r>
    </w:p>
    <w:p>
      <w:pPr>
        <w:pStyle w:val="7"/>
        <w:spacing w:before="0" w:beforeAutospacing="0" w:after="0" w:afterAutospacing="0" w:line="360" w:lineRule="auto"/>
        <w:ind w:firstLine="420"/>
        <w:rPr>
          <w:sz w:val="21"/>
          <w:szCs w:val="21"/>
        </w:rPr>
      </w:pPr>
      <w:r>
        <w:rPr>
          <w:rFonts w:hint="eastAsia"/>
          <w:sz w:val="21"/>
          <w:szCs w:val="21"/>
        </w:rPr>
        <w:t>1、基金或本基金：指</w:t>
      </w:r>
      <w:bookmarkStart w:id="16" w:name="field_0_productfullname_5"/>
      <w:r>
        <w:rPr>
          <w:rFonts w:hint="eastAsia"/>
          <w:sz w:val="21"/>
          <w:szCs w:val="21"/>
        </w:rPr>
        <w:t>博时安怡</w:t>
      </w:r>
      <w:r>
        <w:rPr>
          <w:sz w:val="21"/>
          <w:szCs w:val="21"/>
        </w:rPr>
        <w:t>6个月定期开放债券型证券投资基金</w:t>
      </w:r>
      <w:bookmarkEnd w:id="16"/>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2、基金管理人：指</w:t>
      </w:r>
      <w:bookmarkStart w:id="17" w:name="field_0_managerorgfullname_1"/>
      <w:r>
        <w:rPr>
          <w:rFonts w:hint="eastAsia"/>
          <w:sz w:val="21"/>
          <w:szCs w:val="21"/>
        </w:rPr>
        <w:t>博时基金管理有限公司</w:t>
      </w:r>
      <w:bookmarkEnd w:id="1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3、基金托管人：指</w:t>
      </w:r>
      <w:bookmarkStart w:id="18" w:name="field_0_trustorgfullname_1"/>
      <w:r>
        <w:rPr>
          <w:rFonts w:hint="eastAsia"/>
          <w:sz w:val="21"/>
          <w:szCs w:val="21"/>
        </w:rPr>
        <w:t>中国光大银行股份有限公司</w:t>
      </w:r>
      <w:bookmarkEnd w:id="1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4、基金合同：指《</w:t>
      </w:r>
      <w:bookmarkStart w:id="19" w:name="field_0_productfullname_6"/>
      <w:r>
        <w:rPr>
          <w:rFonts w:hint="eastAsia"/>
          <w:sz w:val="21"/>
          <w:szCs w:val="21"/>
        </w:rPr>
        <w:t>博时安怡</w:t>
      </w:r>
      <w:r>
        <w:rPr>
          <w:sz w:val="21"/>
          <w:szCs w:val="21"/>
        </w:rPr>
        <w:t>6个月定期开放债券型证券投资基金</w:t>
      </w:r>
      <w:bookmarkEnd w:id="19"/>
      <w:r>
        <w:rPr>
          <w:rFonts w:hint="eastAsia"/>
          <w:sz w:val="21"/>
          <w:szCs w:val="21"/>
        </w:rPr>
        <w:t xml:space="preserve">基金合同》及对基金合同的任何有效修订和补充 </w:t>
      </w:r>
    </w:p>
    <w:p>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0" w:name="field_0_productfullname_7"/>
      <w:r>
        <w:rPr>
          <w:rFonts w:hint="eastAsia"/>
          <w:sz w:val="21"/>
          <w:szCs w:val="21"/>
        </w:rPr>
        <w:t>博时安怡</w:t>
      </w:r>
      <w:r>
        <w:rPr>
          <w:sz w:val="21"/>
          <w:szCs w:val="21"/>
        </w:rPr>
        <w:t>6个月定期开放债券型证券投资基金</w:t>
      </w:r>
      <w:bookmarkEnd w:id="20"/>
      <w:r>
        <w:rPr>
          <w:rFonts w:hint="eastAsia"/>
          <w:sz w:val="21"/>
          <w:szCs w:val="21"/>
        </w:rPr>
        <w:t xml:space="preserve">托管协议》及对该托管协议的任何有效修订和补充 </w:t>
      </w:r>
    </w:p>
    <w:p>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1" w:name="field_0_productfullname_8"/>
      <w:r>
        <w:rPr>
          <w:rFonts w:hint="eastAsia"/>
          <w:sz w:val="21"/>
          <w:szCs w:val="21"/>
        </w:rPr>
        <w:t>博时安怡</w:t>
      </w:r>
      <w:r>
        <w:rPr>
          <w:sz w:val="21"/>
          <w:szCs w:val="21"/>
        </w:rPr>
        <w:t>6个月定期开放债券型证券投资基金</w:t>
      </w:r>
      <w:bookmarkEnd w:id="21"/>
      <w:r>
        <w:rPr>
          <w:rFonts w:hint="eastAsia"/>
          <w:sz w:val="21"/>
          <w:szCs w:val="21"/>
        </w:rPr>
        <w:t xml:space="preserve">招募说明书》及其更新 </w:t>
      </w:r>
    </w:p>
    <w:p>
      <w:pPr>
        <w:pStyle w:val="7"/>
        <w:spacing w:before="0" w:beforeAutospacing="0" w:after="0" w:afterAutospacing="0" w:line="360" w:lineRule="auto"/>
        <w:ind w:firstLine="420"/>
        <w:rPr>
          <w:sz w:val="21"/>
          <w:szCs w:val="21"/>
        </w:rPr>
      </w:pPr>
      <w:r>
        <w:rPr>
          <w:rFonts w:hint="eastAsia"/>
          <w:sz w:val="21"/>
          <w:szCs w:val="21"/>
        </w:rPr>
        <w:t>7、基金份额发售公告：指《</w:t>
      </w:r>
      <w:bookmarkStart w:id="22" w:name="field_0_productfullname_9"/>
      <w:r>
        <w:rPr>
          <w:rFonts w:hint="eastAsia"/>
          <w:sz w:val="21"/>
          <w:szCs w:val="21"/>
        </w:rPr>
        <w:t>博时安怡</w:t>
      </w:r>
      <w:r>
        <w:rPr>
          <w:sz w:val="21"/>
          <w:szCs w:val="21"/>
        </w:rPr>
        <w:t>6个月定期开放债券型证券投资基金</w:t>
      </w:r>
      <w:bookmarkEnd w:id="22"/>
      <w:r>
        <w:rPr>
          <w:rFonts w:hint="eastAsia"/>
          <w:sz w:val="21"/>
          <w:szCs w:val="21"/>
        </w:rPr>
        <w:t xml:space="preserve">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8、基金产品资料概要：指《博时安怡6个月定期开放债券型证券投资基金基金产品资料概要》及其更新  </w:t>
      </w:r>
    </w:p>
    <w:p>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中华人民共和国港口法&gt;等七部法律的决定》修改的《中华人民共和国证券投资基金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11、《销售办法》：指中国证监会2013年3月15日颁布、同年6月1日实施的《证券投资基金销售管理办法》及颁布机关对其不时做出的修订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12、《信息披露办法》：指中国证监会2019年7月26日颁布、同年9月1日实施的《公开募集证券投资基金信息披露管理办法》及颁布机关对其不时做出的修订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16、银行业监督管理机构：指中国人民银行和/或中国银行业监督管理委员会 </w:t>
      </w:r>
    </w:p>
    <w:p>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20、合格境外机构投资者：指符合《合格境外机构投资者境内证券投资管理办法》及相关法律法规规定可以投资于在中国境内依法募集的证券投资基金的中国境外的机构投资者 </w:t>
      </w:r>
    </w:p>
    <w:p>
      <w:pPr>
        <w:pStyle w:val="7"/>
        <w:spacing w:before="0" w:beforeAutospacing="0" w:after="0" w:afterAutospacing="0" w:line="360" w:lineRule="auto"/>
        <w:ind w:firstLine="420"/>
        <w:rPr>
          <w:sz w:val="21"/>
          <w:szCs w:val="21"/>
        </w:rPr>
      </w:pPr>
      <w:r>
        <w:rPr>
          <w:rFonts w:hint="eastAsia"/>
          <w:sz w:val="21"/>
          <w:szCs w:val="21"/>
        </w:rPr>
        <w:t xml:space="preserve">21、投资人：指个人投资者、机构投资者和合格境外机构投资者以及法律法规或中国证监会允许购买证券投资基金的其他投资人的合称 </w:t>
      </w:r>
    </w:p>
    <w:p>
      <w:pPr>
        <w:pStyle w:val="7"/>
        <w:spacing w:before="0" w:beforeAutospacing="0" w:after="0" w:afterAutospacing="0" w:line="360" w:lineRule="auto"/>
        <w:ind w:firstLine="420"/>
        <w:rPr>
          <w:sz w:val="21"/>
          <w:szCs w:val="21"/>
        </w:rPr>
      </w:pPr>
      <w:r>
        <w:rPr>
          <w:rFonts w:hint="eastAsia"/>
          <w:sz w:val="21"/>
          <w:szCs w:val="21"/>
        </w:rPr>
        <w:t xml:space="preserve">22、基金份额持有人：指依基金合同和招募说明书合法取得基金份额的投资人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23、基金销售业务：指基金管理人或销售机构宣传推介基金，发售基金份额，办理基金份额的申购、赎回、转换、转托管等业务 </w:t>
      </w:r>
    </w:p>
    <w:p>
      <w:pPr>
        <w:pStyle w:val="7"/>
        <w:spacing w:before="0" w:beforeAutospacing="0" w:after="0" w:afterAutospacing="0" w:line="360" w:lineRule="auto"/>
        <w:ind w:firstLine="420"/>
        <w:rPr>
          <w:sz w:val="21"/>
          <w:szCs w:val="21"/>
        </w:rPr>
      </w:pPr>
      <w:r>
        <w:rPr>
          <w:rFonts w:hint="eastAsia"/>
          <w:sz w:val="21"/>
          <w:szCs w:val="21"/>
        </w:rPr>
        <w:t>24、销售机构：指</w:t>
      </w:r>
      <w:bookmarkStart w:id="23" w:name="field_0_managerorgfullname_2"/>
      <w:r>
        <w:rPr>
          <w:rFonts w:hint="eastAsia"/>
          <w:sz w:val="21"/>
          <w:szCs w:val="21"/>
        </w:rPr>
        <w:t>博时基金管理有限公司</w:t>
      </w:r>
      <w:bookmarkEnd w:id="23"/>
      <w:r>
        <w:rPr>
          <w:rFonts w:hint="eastAsia"/>
          <w:sz w:val="21"/>
          <w:szCs w:val="21"/>
        </w:rPr>
        <w:t xml:space="preserve">以及符合《销售办法》和中国证监会规定的其他条件，取得基金销售业务资格并与基金管理人签订了基金销售服务代理协议，代为办理基金销售业务的机构 </w:t>
      </w:r>
    </w:p>
    <w:p>
      <w:pPr>
        <w:pStyle w:val="7"/>
        <w:spacing w:before="0" w:beforeAutospacing="0" w:after="0" w:afterAutospacing="0" w:line="360" w:lineRule="auto"/>
        <w:ind w:firstLine="420"/>
        <w:rPr>
          <w:sz w:val="21"/>
          <w:szCs w:val="21"/>
        </w:rPr>
      </w:pPr>
      <w:r>
        <w:rPr>
          <w:rFonts w:hint="eastAsia"/>
          <w:sz w:val="21"/>
          <w:szCs w:val="21"/>
        </w:rPr>
        <w:t xml:space="preserve">25、登记业务：指基金登记、存管、过户、清算和结算业务，具体内容包括投资人基金账户的建立和管理、基金份额登记、基金销售业务的确认、清算和结算、代理发放红利、建立并保管基金份额持有人名册和办理非交易过户等 </w:t>
      </w:r>
    </w:p>
    <w:p>
      <w:pPr>
        <w:pStyle w:val="7"/>
        <w:spacing w:before="0" w:beforeAutospacing="0" w:after="0" w:afterAutospacing="0" w:line="360" w:lineRule="auto"/>
        <w:ind w:firstLine="420"/>
        <w:rPr>
          <w:sz w:val="21"/>
          <w:szCs w:val="21"/>
        </w:rPr>
      </w:pPr>
      <w:r>
        <w:rPr>
          <w:rFonts w:hint="eastAsia"/>
          <w:sz w:val="21"/>
          <w:szCs w:val="21"/>
        </w:rPr>
        <w:t>26、登记机构：指办理登记业务的机构。基金的登记机构为</w:t>
      </w:r>
      <w:bookmarkStart w:id="24" w:name="field_0_managerorgfullname_3"/>
      <w:r>
        <w:rPr>
          <w:rFonts w:hint="eastAsia"/>
          <w:sz w:val="21"/>
          <w:szCs w:val="21"/>
        </w:rPr>
        <w:t>博时基金管理有限公司</w:t>
      </w:r>
      <w:bookmarkEnd w:id="24"/>
      <w:r>
        <w:rPr>
          <w:rFonts w:hint="eastAsia"/>
          <w:sz w:val="21"/>
          <w:szCs w:val="21"/>
        </w:rPr>
        <w:t>或接受</w:t>
      </w:r>
      <w:bookmarkStart w:id="25" w:name="field_0_managerorgfullname_4"/>
      <w:r>
        <w:rPr>
          <w:rFonts w:hint="eastAsia"/>
          <w:sz w:val="21"/>
          <w:szCs w:val="21"/>
        </w:rPr>
        <w:t>博时基金管理有限公司</w:t>
      </w:r>
      <w:bookmarkEnd w:id="25"/>
      <w:r>
        <w:rPr>
          <w:rFonts w:hint="eastAsia"/>
          <w:sz w:val="21"/>
          <w:szCs w:val="21"/>
        </w:rPr>
        <w:t>委托代为办</w:t>
      </w:r>
      <w:bookmarkStart w:id="26" w:name="chapter_level1_4_49_section_1_end"/>
      <w:bookmarkEnd w:id="26"/>
      <w:r>
        <w:rPr>
          <w:rFonts w:hint="eastAsia"/>
          <w:sz w:val="21"/>
          <w:szCs w:val="21"/>
        </w:rPr>
        <w:t xml:space="preserve">理登记业务的机构 </w:t>
      </w:r>
    </w:p>
    <w:p>
      <w:pPr>
        <w:pStyle w:val="7"/>
        <w:spacing w:before="0" w:beforeAutospacing="0" w:after="0" w:afterAutospacing="0" w:line="360" w:lineRule="auto"/>
        <w:ind w:firstLine="420"/>
        <w:rPr>
          <w:sz w:val="21"/>
          <w:szCs w:val="21"/>
        </w:rPr>
      </w:pPr>
      <w:bookmarkStart w:id="27" w:name="chapter_level1_4_49_section_2"/>
      <w:bookmarkEnd w:id="27"/>
      <w:r>
        <w:rPr>
          <w:rFonts w:hint="eastAsia"/>
          <w:sz w:val="21"/>
          <w:szCs w:val="21"/>
        </w:rPr>
        <w:t xml:space="preserve">27、基金账户：指登记机构为投资人开立的、记录其持有的、基金管理人所管理的基金份额余额及其变动情况的账户  </w:t>
      </w:r>
    </w:p>
    <w:p>
      <w:pPr>
        <w:pStyle w:val="7"/>
        <w:spacing w:before="0" w:beforeAutospacing="0" w:after="0" w:afterAutospacing="0" w:line="360" w:lineRule="auto"/>
        <w:ind w:firstLine="420"/>
        <w:rPr>
          <w:sz w:val="21"/>
          <w:szCs w:val="21"/>
        </w:rPr>
      </w:pPr>
      <w:r>
        <w:rPr>
          <w:rFonts w:hint="eastAsia"/>
          <w:sz w:val="21"/>
          <w:szCs w:val="21"/>
        </w:rPr>
        <w:t xml:space="preserve">28、基金交易账户：指销售机构为投资人开立的、记录投资人通过该销售机构构办理认购、申购、赎回、转换及转托管等业务而引起的基金份额变动及结余情况的账户 </w:t>
      </w:r>
    </w:p>
    <w:p>
      <w:pPr>
        <w:pStyle w:val="7"/>
        <w:spacing w:before="0" w:beforeAutospacing="0" w:after="0" w:afterAutospacing="0" w:line="360" w:lineRule="auto"/>
        <w:ind w:firstLine="420"/>
        <w:rPr>
          <w:sz w:val="21"/>
          <w:szCs w:val="21"/>
        </w:rPr>
      </w:pPr>
      <w:r>
        <w:rPr>
          <w:rFonts w:hint="eastAsia"/>
          <w:sz w:val="21"/>
          <w:szCs w:val="21"/>
        </w:rPr>
        <w:t xml:space="preserve">29、基金合同生效日：指基金募集达到法律法规规定及基金合同规定的条件，基金管理人向中国证监会办理基金备案手续完毕，并获得中国证监会书面确认的日期 </w:t>
      </w:r>
    </w:p>
    <w:p>
      <w:pPr>
        <w:pStyle w:val="7"/>
        <w:spacing w:before="0" w:beforeAutospacing="0" w:after="0" w:afterAutospacing="0" w:line="360" w:lineRule="auto"/>
        <w:ind w:firstLine="420"/>
        <w:rPr>
          <w:sz w:val="21"/>
          <w:szCs w:val="21"/>
        </w:rPr>
      </w:pPr>
      <w:r>
        <w:rPr>
          <w:rFonts w:hint="eastAsia"/>
          <w:sz w:val="21"/>
          <w:szCs w:val="21"/>
        </w:rPr>
        <w:t xml:space="preserve">30、基金合同终止日：指基金合同规定的基金合同终止事由出现后，基金财产清算完毕，清算结果报中国证监会备案并予以公告的日期 </w:t>
      </w:r>
    </w:p>
    <w:p>
      <w:pPr>
        <w:pStyle w:val="7"/>
        <w:spacing w:before="0" w:beforeAutospacing="0" w:after="0" w:afterAutospacing="0" w:line="360" w:lineRule="auto"/>
        <w:ind w:firstLine="420"/>
        <w:rPr>
          <w:sz w:val="21"/>
          <w:szCs w:val="21"/>
        </w:rPr>
      </w:pPr>
      <w:r>
        <w:rPr>
          <w:rFonts w:hint="eastAsia"/>
          <w:sz w:val="21"/>
          <w:szCs w:val="21"/>
        </w:rPr>
        <w:t xml:space="preserve">31、基金募集期：指自基金份额发售之日起至发售结束之日止的期间，最长不得超过3个月 </w:t>
      </w:r>
    </w:p>
    <w:p>
      <w:pPr>
        <w:pStyle w:val="7"/>
        <w:spacing w:before="0" w:beforeAutospacing="0" w:after="0" w:afterAutospacing="0" w:line="360" w:lineRule="auto"/>
        <w:ind w:firstLine="420"/>
        <w:rPr>
          <w:sz w:val="21"/>
          <w:szCs w:val="21"/>
        </w:rPr>
      </w:pPr>
      <w:r>
        <w:rPr>
          <w:rFonts w:hint="eastAsia"/>
          <w:sz w:val="21"/>
          <w:szCs w:val="21"/>
        </w:rPr>
        <w:t xml:space="preserve">32、存续期：指基金合同生效至终止之间的不定期期限 </w:t>
      </w:r>
    </w:p>
    <w:p>
      <w:pPr>
        <w:pStyle w:val="7"/>
        <w:spacing w:before="0" w:beforeAutospacing="0" w:after="0" w:afterAutospacing="0" w:line="360" w:lineRule="auto"/>
        <w:ind w:firstLine="420"/>
        <w:rPr>
          <w:sz w:val="21"/>
          <w:szCs w:val="21"/>
        </w:rPr>
      </w:pPr>
      <w:r>
        <w:rPr>
          <w:rFonts w:hint="eastAsia"/>
          <w:sz w:val="21"/>
          <w:szCs w:val="21"/>
        </w:rPr>
        <w:t xml:space="preserve">33、工作日：指上海证券交易所、深圳证券交易所的正常交易日 </w:t>
      </w:r>
    </w:p>
    <w:p>
      <w:pPr>
        <w:pStyle w:val="7"/>
        <w:spacing w:before="0" w:beforeAutospacing="0" w:after="0" w:afterAutospacing="0" w:line="360" w:lineRule="auto"/>
        <w:ind w:firstLine="420"/>
        <w:rPr>
          <w:sz w:val="21"/>
          <w:szCs w:val="21"/>
        </w:rPr>
      </w:pPr>
      <w:r>
        <w:rPr>
          <w:rFonts w:hint="eastAsia"/>
          <w:sz w:val="21"/>
          <w:szCs w:val="21"/>
        </w:rPr>
        <w:t xml:space="preserve">34、T日：指销售机构在规定时间受理投资人申购、赎回或其他业务申请的开放日 </w:t>
      </w:r>
    </w:p>
    <w:p>
      <w:pPr>
        <w:pStyle w:val="7"/>
        <w:spacing w:before="0" w:beforeAutospacing="0" w:after="0" w:afterAutospacing="0" w:line="360" w:lineRule="auto"/>
        <w:ind w:firstLine="420"/>
        <w:rPr>
          <w:sz w:val="21"/>
          <w:szCs w:val="21"/>
        </w:rPr>
      </w:pPr>
      <w:r>
        <w:rPr>
          <w:rFonts w:hint="eastAsia"/>
          <w:sz w:val="21"/>
          <w:szCs w:val="21"/>
        </w:rPr>
        <w:t xml:space="preserve">35、T+n日：指自T日起第n个工作日(不包含T日) </w:t>
      </w:r>
    </w:p>
    <w:p>
      <w:pPr>
        <w:pStyle w:val="7"/>
        <w:spacing w:before="0" w:beforeAutospacing="0" w:after="0" w:afterAutospacing="0" w:line="360" w:lineRule="auto"/>
        <w:ind w:firstLine="420"/>
        <w:rPr>
          <w:sz w:val="21"/>
          <w:szCs w:val="21"/>
        </w:rPr>
      </w:pPr>
      <w:r>
        <w:rPr>
          <w:rFonts w:hint="eastAsia"/>
          <w:sz w:val="21"/>
          <w:szCs w:val="21"/>
        </w:rPr>
        <w:t xml:space="preserve">36、封闭期：指自《基金合同》生效之日起（包括《基金合同》生效之日）或自每一开放期结束之日次日起（包括该日）6个月的期间。本基金的第一个封闭期为自《基金合同》生效之日起至6个月后的对应日的期间。下一个封闭期为首个开放期结束之日次日起至6个月后的对应日的期间，以此类推。如该对应日不存在对应日期的，则顺延至下一日。本基金封闭期内不办理申购与赎回业务，也不上市交易 </w:t>
      </w:r>
    </w:p>
    <w:p>
      <w:pPr>
        <w:pStyle w:val="7"/>
        <w:spacing w:before="0" w:beforeAutospacing="0" w:after="0" w:afterAutospacing="0" w:line="360" w:lineRule="auto"/>
        <w:ind w:firstLine="420"/>
        <w:rPr>
          <w:sz w:val="21"/>
          <w:szCs w:val="21"/>
        </w:rPr>
      </w:pPr>
      <w:r>
        <w:rPr>
          <w:rFonts w:hint="eastAsia"/>
          <w:sz w:val="21"/>
          <w:szCs w:val="21"/>
        </w:rPr>
        <w:t xml:space="preserve">37、开放期：指自封闭期结束之日后第一个工作日起（含该日）五至二十个工作日，具体期间由基金管理人在封闭期结束前公告说明。开放期内，本基金采取开放运作模式，投资人可办理基金份额申购、赎回或其他业务，开放期未赎回的份额将自动转入下一个封闭期。如在开放期内发生不可抗力或其他情形致使基金无法按时开放或需依据《基金合同》暂停申购与赎回业务的，基金管理人有权合理调整申购或赎回业务的办理期间并予以公告 </w:t>
      </w:r>
    </w:p>
    <w:p>
      <w:pPr>
        <w:pStyle w:val="7"/>
        <w:spacing w:before="0" w:beforeAutospacing="0" w:after="0" w:afterAutospacing="0" w:line="360" w:lineRule="auto"/>
        <w:ind w:firstLine="420"/>
        <w:rPr>
          <w:sz w:val="21"/>
          <w:szCs w:val="21"/>
        </w:rPr>
      </w:pPr>
      <w:r>
        <w:rPr>
          <w:rFonts w:hint="eastAsia"/>
          <w:sz w:val="21"/>
          <w:szCs w:val="21"/>
        </w:rPr>
        <w:t xml:space="preserve">38、开放日：指在开放期内，为投资人办理基金份额申购、赎回或其他业务的工作日 </w:t>
      </w:r>
    </w:p>
    <w:p>
      <w:pPr>
        <w:pStyle w:val="7"/>
        <w:spacing w:before="0" w:beforeAutospacing="0" w:after="0" w:afterAutospacing="0" w:line="360" w:lineRule="auto"/>
        <w:ind w:firstLine="420"/>
        <w:rPr>
          <w:sz w:val="21"/>
          <w:szCs w:val="21"/>
        </w:rPr>
      </w:pPr>
      <w:r>
        <w:rPr>
          <w:rFonts w:hint="eastAsia"/>
          <w:sz w:val="21"/>
          <w:szCs w:val="21"/>
        </w:rPr>
        <w:t xml:space="preserve">39、开放时间：指开放日基金接受申购、赎回或其他交易的时间段 </w:t>
      </w:r>
    </w:p>
    <w:p>
      <w:pPr>
        <w:pStyle w:val="7"/>
        <w:spacing w:before="0" w:beforeAutospacing="0" w:after="0" w:afterAutospacing="0" w:line="360" w:lineRule="auto"/>
        <w:ind w:firstLine="420"/>
        <w:rPr>
          <w:sz w:val="21"/>
          <w:szCs w:val="21"/>
        </w:rPr>
      </w:pPr>
      <w:r>
        <w:rPr>
          <w:rFonts w:hint="eastAsia"/>
          <w:sz w:val="21"/>
          <w:szCs w:val="21"/>
        </w:rPr>
        <w:t>40、《业务规则》：指《</w:t>
      </w:r>
      <w:bookmarkStart w:id="28" w:name="field_0_managerorgfullname_5"/>
      <w:r>
        <w:rPr>
          <w:rFonts w:hint="eastAsia"/>
          <w:sz w:val="21"/>
          <w:szCs w:val="21"/>
        </w:rPr>
        <w:t>博时基金管理有限公司</w:t>
      </w:r>
      <w:bookmarkEnd w:id="28"/>
      <w:r>
        <w:rPr>
          <w:rFonts w:hint="eastAsia"/>
          <w:sz w:val="21"/>
          <w:szCs w:val="21"/>
        </w:rPr>
        <w:t xml:space="preserve">开放式基金业务规则》，是规范基金管理人所管理的开放式证券投资基金登记方面的业务规则，由基金管理人和投资人共同遵守 </w:t>
      </w:r>
    </w:p>
    <w:p>
      <w:pPr>
        <w:pStyle w:val="7"/>
        <w:spacing w:before="0" w:beforeAutospacing="0" w:after="0" w:afterAutospacing="0" w:line="360" w:lineRule="auto"/>
        <w:ind w:firstLine="420"/>
        <w:rPr>
          <w:sz w:val="21"/>
          <w:szCs w:val="21"/>
        </w:rPr>
      </w:pPr>
      <w:r>
        <w:rPr>
          <w:rFonts w:hint="eastAsia"/>
          <w:sz w:val="21"/>
          <w:szCs w:val="21"/>
        </w:rPr>
        <w:t xml:space="preserve">41、认购：指在基金募集期内，投资人根据基金合同和招募说明书的规定申请购买基金份额的行为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42、申购：指基金合同生效后的开放期内，投资人根据基金合同和招募说明书的规定申请购买基金份额的行为 </w:t>
      </w:r>
    </w:p>
    <w:p>
      <w:pPr>
        <w:pStyle w:val="7"/>
        <w:spacing w:before="0" w:beforeAutospacing="0" w:after="0" w:afterAutospacing="0" w:line="360" w:lineRule="auto"/>
        <w:ind w:firstLine="420"/>
        <w:rPr>
          <w:sz w:val="21"/>
          <w:szCs w:val="21"/>
        </w:rPr>
      </w:pPr>
      <w:r>
        <w:rPr>
          <w:rFonts w:hint="eastAsia"/>
          <w:sz w:val="21"/>
          <w:szCs w:val="21"/>
        </w:rPr>
        <w:t xml:space="preserve">43、赎回：指基金合同生效后的开放期内，基金份额持有人按基金合同和招募说明书规定的条件要求将基金份额兑换为现金的行为 </w:t>
      </w:r>
    </w:p>
    <w:p>
      <w:pPr>
        <w:pStyle w:val="7"/>
        <w:spacing w:before="0" w:beforeAutospacing="0" w:after="0" w:afterAutospacing="0" w:line="360" w:lineRule="auto"/>
        <w:ind w:firstLine="420"/>
        <w:rPr>
          <w:sz w:val="21"/>
          <w:szCs w:val="21"/>
        </w:rPr>
      </w:pPr>
      <w:r>
        <w:rPr>
          <w:rFonts w:hint="eastAsia"/>
          <w:sz w:val="21"/>
          <w:szCs w:val="21"/>
        </w:rPr>
        <w:t xml:space="preserve">44、基金转换：指基金份额持有人在开放期内按照基金合同和基金管理人届时有效公告规定的条件，申请将其持有基金管理人管理的、某一基金的基金份额转换为基金管理人管理的其他基金基金份额的行为 </w:t>
      </w:r>
    </w:p>
    <w:p>
      <w:pPr>
        <w:pStyle w:val="7"/>
        <w:spacing w:before="0" w:beforeAutospacing="0" w:after="0" w:afterAutospacing="0" w:line="360" w:lineRule="auto"/>
        <w:ind w:firstLine="420"/>
        <w:rPr>
          <w:sz w:val="21"/>
          <w:szCs w:val="21"/>
        </w:rPr>
      </w:pPr>
      <w:r>
        <w:rPr>
          <w:rFonts w:hint="eastAsia"/>
          <w:sz w:val="21"/>
          <w:szCs w:val="21"/>
        </w:rPr>
        <w:t xml:space="preserve">45、转托管：指基金份额持有人在本基金的不同销售机构之间实施的变更所持基金份额销售机构的操作 </w:t>
      </w:r>
    </w:p>
    <w:p>
      <w:pPr>
        <w:pStyle w:val="7"/>
        <w:spacing w:before="0" w:beforeAutospacing="0" w:after="0" w:afterAutospacing="0" w:line="360" w:lineRule="auto"/>
        <w:ind w:firstLine="420"/>
        <w:rPr>
          <w:sz w:val="21"/>
          <w:szCs w:val="21"/>
        </w:rPr>
      </w:pPr>
      <w:r>
        <w:rPr>
          <w:rFonts w:hint="eastAsia"/>
          <w:sz w:val="21"/>
          <w:szCs w:val="21"/>
        </w:rPr>
        <w:t xml:space="preserve">46、定期定额投资计划：指投资人通过有关销售机构提出申请，约定每期申购日、扣款金额及扣款方式，由销售机构于每期约定扣款日在投资人指定银行账户内自动完成扣款及受理基金申购申请的一种投资方式 </w:t>
      </w:r>
    </w:p>
    <w:p>
      <w:pPr>
        <w:pStyle w:val="7"/>
        <w:spacing w:before="0" w:beforeAutospacing="0" w:after="0" w:afterAutospacing="0" w:line="360" w:lineRule="auto"/>
        <w:ind w:firstLine="420"/>
        <w:rPr>
          <w:sz w:val="21"/>
          <w:szCs w:val="21"/>
        </w:rPr>
      </w:pPr>
      <w:r>
        <w:rPr>
          <w:rFonts w:hint="eastAsia"/>
          <w:sz w:val="21"/>
          <w:szCs w:val="21"/>
        </w:rPr>
        <w:t>47、巨额赎回：指本基金单个开放日，基金净赎回申请(赎回申请份额总数加上基金转换中转出申请份额总数后扣除申购申请份额总数及基金转换中转入申请份额总数后的余额)超过上一工作日基金总份额的</w:t>
      </w:r>
      <w:bookmarkStart w:id="29" w:name="field_49_mintredeemscale_1"/>
      <w:r>
        <w:rPr>
          <w:sz w:val="21"/>
          <w:szCs w:val="21"/>
        </w:rPr>
        <w:t>20</w:t>
      </w:r>
      <w:bookmarkEnd w:id="2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48、元：指人民币元 </w:t>
      </w:r>
    </w:p>
    <w:p>
      <w:pPr>
        <w:pStyle w:val="7"/>
        <w:spacing w:before="0" w:beforeAutospacing="0" w:after="0" w:afterAutospacing="0" w:line="360" w:lineRule="auto"/>
        <w:ind w:firstLine="420"/>
        <w:rPr>
          <w:sz w:val="21"/>
          <w:szCs w:val="21"/>
        </w:rPr>
      </w:pPr>
      <w:r>
        <w:rPr>
          <w:rFonts w:hint="eastAsia"/>
          <w:sz w:val="21"/>
          <w:szCs w:val="21"/>
        </w:rPr>
        <w:t xml:space="preserve">49、基金收益：指基金投资所得债券利息、买卖证券价差、银行存款利息、已实现的其他合法收入及因运用基金财产带来的成本和费用的节约 </w:t>
      </w:r>
    </w:p>
    <w:p>
      <w:pPr>
        <w:pStyle w:val="7"/>
        <w:spacing w:before="0" w:beforeAutospacing="0" w:after="0" w:afterAutospacing="0" w:line="360" w:lineRule="auto"/>
        <w:ind w:firstLine="420"/>
        <w:rPr>
          <w:sz w:val="21"/>
          <w:szCs w:val="21"/>
        </w:rPr>
      </w:pPr>
      <w:r>
        <w:rPr>
          <w:rFonts w:hint="eastAsia"/>
          <w:sz w:val="21"/>
          <w:szCs w:val="21"/>
        </w:rPr>
        <w:t xml:space="preserve">50、基金资产总值：指基金拥有的各类有价证券、银行存款本息、基金应收申购款及其他资产的价值总和 </w:t>
      </w:r>
    </w:p>
    <w:p>
      <w:pPr>
        <w:pStyle w:val="7"/>
        <w:spacing w:before="0" w:beforeAutospacing="0" w:after="0" w:afterAutospacing="0" w:line="360" w:lineRule="auto"/>
        <w:ind w:firstLine="420"/>
        <w:rPr>
          <w:sz w:val="21"/>
          <w:szCs w:val="21"/>
        </w:rPr>
      </w:pPr>
      <w:r>
        <w:rPr>
          <w:rFonts w:hint="eastAsia"/>
          <w:sz w:val="21"/>
          <w:szCs w:val="21"/>
        </w:rPr>
        <w:t xml:space="preserve">51、基金资产净值：指基金资产总值减去基金负债后的价值 </w:t>
      </w:r>
    </w:p>
    <w:p>
      <w:pPr>
        <w:pStyle w:val="7"/>
        <w:spacing w:before="0" w:beforeAutospacing="0" w:after="0" w:afterAutospacing="0" w:line="360" w:lineRule="auto"/>
        <w:ind w:firstLine="420"/>
        <w:rPr>
          <w:sz w:val="21"/>
          <w:szCs w:val="21"/>
        </w:rPr>
      </w:pPr>
      <w:r>
        <w:rPr>
          <w:rFonts w:hint="eastAsia"/>
          <w:sz w:val="21"/>
          <w:szCs w:val="21"/>
        </w:rPr>
        <w:t xml:space="preserve">52、基金份额净值：指计算日基金资产净值除以计算日基金份额总数 </w:t>
      </w:r>
    </w:p>
    <w:p>
      <w:pPr>
        <w:pStyle w:val="7"/>
        <w:spacing w:before="0" w:beforeAutospacing="0" w:after="0" w:afterAutospacing="0" w:line="360" w:lineRule="auto"/>
        <w:ind w:firstLine="420"/>
        <w:rPr>
          <w:sz w:val="21"/>
          <w:szCs w:val="21"/>
        </w:rPr>
      </w:pPr>
      <w:r>
        <w:rPr>
          <w:rFonts w:hint="eastAsia"/>
          <w:sz w:val="21"/>
          <w:szCs w:val="21"/>
        </w:rPr>
        <w:t xml:space="preserve">53、基金资产估值：指计算评估基金资产和负债的价值，以确定基金资产净值和基金份额净值的过程 </w:t>
      </w:r>
    </w:p>
    <w:p>
      <w:pPr>
        <w:pStyle w:val="7"/>
        <w:spacing w:before="0" w:beforeAutospacing="0" w:after="0" w:afterAutospacing="0" w:line="360" w:lineRule="auto"/>
        <w:ind w:firstLine="420"/>
        <w:rPr>
          <w:sz w:val="21"/>
          <w:szCs w:val="21"/>
        </w:rPr>
      </w:pPr>
      <w:r>
        <w:rPr>
          <w:rFonts w:hint="eastAsia"/>
          <w:sz w:val="21"/>
          <w:szCs w:val="21"/>
        </w:rPr>
        <w:t xml:space="preserve">54、指定媒介：指中国证监会指定的用以进行信息披露的全国性报刊及指定互联网网站（包括基金管理人网站、基金托管人网站、中国证监会基金电子披露网站）等媒介 </w:t>
      </w:r>
    </w:p>
    <w:p>
      <w:pPr>
        <w:pStyle w:val="7"/>
        <w:spacing w:before="0" w:beforeAutospacing="0" w:after="0" w:afterAutospacing="0" w:line="360" w:lineRule="auto"/>
        <w:ind w:firstLine="420"/>
        <w:rPr>
          <w:sz w:val="21"/>
          <w:szCs w:val="21"/>
        </w:rPr>
      </w:pPr>
      <w:r>
        <w:rPr>
          <w:rFonts w:hint="eastAsia"/>
          <w:sz w:val="21"/>
          <w:szCs w:val="21"/>
        </w:rPr>
        <w:t xml:space="preserve">55、不可抗力：指基金合同当事人不能预见、不能避免且不能克服的客观事件 </w:t>
      </w:r>
    </w:p>
    <w:p>
      <w:pPr>
        <w:pStyle w:val="7"/>
        <w:spacing w:before="0" w:beforeAutospacing="0" w:after="0" w:afterAutospacing="0" w:line="360" w:lineRule="auto"/>
        <w:ind w:firstLine="420"/>
        <w:rPr>
          <w:sz w:val="21"/>
          <w:szCs w:val="21"/>
        </w:rPr>
      </w:pPr>
      <w:r>
        <w:rPr>
          <w:rFonts w:hint="eastAsia"/>
          <w:sz w:val="21"/>
          <w:szCs w:val="21"/>
        </w:rPr>
        <w:t xml:space="preserve">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pPr>
        <w:pStyle w:val="7"/>
        <w:spacing w:before="0" w:beforeAutospacing="0" w:after="0" w:afterAutospacing="0" w:line="360" w:lineRule="auto"/>
        <w:ind w:firstLine="420"/>
        <w:rPr>
          <w:sz w:val="21"/>
          <w:szCs w:val="21"/>
        </w:rPr>
      </w:pPr>
      <w:r>
        <w:rPr>
          <w:rFonts w:hint="eastAsia"/>
          <w:sz w:val="21"/>
          <w:szCs w:val="21"/>
        </w:rPr>
        <w:t xml:space="preserve">57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pPr>
        <w:pStyle w:val="7"/>
        <w:spacing w:before="0" w:beforeAutospacing="0" w:after="0" w:afterAutospacing="0" w:line="360" w:lineRule="auto"/>
        <w:ind w:firstLine="420"/>
        <w:rPr>
          <w:sz w:val="21"/>
          <w:szCs w:val="21"/>
        </w:rPr>
      </w:pPr>
      <w:r>
        <w:rPr>
          <w:rFonts w:hint="eastAsia"/>
          <w:sz w:val="21"/>
          <w:szCs w:val="21"/>
        </w:rPr>
        <w:t xml:space="preserve">58、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pPr>
        <w:pStyle w:val="7"/>
        <w:spacing w:before="0" w:beforeAutospacing="0" w:after="0" w:afterAutospacing="0" w:line="360" w:lineRule="auto"/>
        <w:ind w:firstLine="420"/>
        <w:rPr>
          <w:sz w:val="21"/>
          <w:szCs w:val="21"/>
        </w:rPr>
      </w:pPr>
      <w:r>
        <w:rPr>
          <w:rFonts w:hint="eastAsia"/>
          <w:sz w:val="21"/>
          <w:szCs w:val="21"/>
        </w:rPr>
        <w:t xml:space="preserve">59、销售服务费：指从基金财产中计提的，用于本基金市场推广、销售以及基金份额持有人服务的费用  </w:t>
      </w:r>
    </w:p>
    <w:p>
      <w:pPr>
        <w:pStyle w:val="7"/>
        <w:spacing w:before="0" w:beforeAutospacing="0" w:after="0" w:afterAutospacing="0" w:line="360" w:lineRule="auto"/>
        <w:ind w:firstLine="420"/>
        <w:rPr>
          <w:sz w:val="21"/>
          <w:szCs w:val="21"/>
        </w:rPr>
      </w:pPr>
      <w:r>
        <w:rPr>
          <w:rFonts w:hint="eastAsia"/>
          <w:sz w:val="21"/>
          <w:szCs w:val="21"/>
        </w:rPr>
        <w:t xml:space="preserve">60、基金份额类别：指本基金根据申购费用与销售服务费收取方式等不同，将基金份额分为不同的类别  </w:t>
      </w:r>
    </w:p>
    <w:p>
      <w:pPr>
        <w:pStyle w:val="7"/>
        <w:spacing w:before="0" w:beforeAutospacing="0" w:after="0" w:afterAutospacing="0" w:line="360" w:lineRule="auto"/>
        <w:ind w:firstLine="420"/>
        <w:rPr>
          <w:sz w:val="21"/>
          <w:szCs w:val="21"/>
        </w:rPr>
      </w:pPr>
      <w:r>
        <w:rPr>
          <w:rFonts w:hint="eastAsia"/>
          <w:sz w:val="21"/>
          <w:szCs w:val="21"/>
        </w:rPr>
        <w:t xml:space="preserve">61、A类基金份额：指本基金在投资者申购基金时收取申购费，不收取销售服务费的基金份额  </w:t>
      </w:r>
    </w:p>
    <w:p>
      <w:pPr>
        <w:pStyle w:val="7"/>
        <w:spacing w:before="0" w:beforeAutospacing="0" w:after="0" w:afterAutospacing="0" w:line="360" w:lineRule="auto"/>
        <w:ind w:firstLine="420"/>
        <w:rPr>
          <w:sz w:val="21"/>
          <w:szCs w:val="21"/>
        </w:rPr>
      </w:pPr>
      <w:r>
        <w:rPr>
          <w:rFonts w:hint="eastAsia"/>
          <w:sz w:val="21"/>
          <w:szCs w:val="21"/>
        </w:rPr>
        <w:t>62、C类基金份额：指本基金在投资者申购基金时不收取申购费，而是从本类别基金资</w:t>
      </w:r>
      <w:bookmarkStart w:id="30" w:name="chapter_level1_4_49_section_2_end"/>
      <w:bookmarkEnd w:id="30"/>
      <w:r>
        <w:rPr>
          <w:rFonts w:hint="eastAsia"/>
          <w:sz w:val="21"/>
          <w:szCs w:val="21"/>
        </w:rPr>
        <w:t xml:space="preserve">产中计提销售服务费的基金份额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31" w:name="_Toc207926654"/>
      <w:bookmarkStart w:id="32" w:name="chapter_level1_5_53"/>
      <w:r>
        <w:rPr>
          <w:rFonts w:hint="eastAsia" w:ascii="宋体" w:hAnsi="宋体" w:eastAsia="宋体"/>
          <w:sz w:val="30"/>
        </w:rPr>
        <w:t>第三部分  基金管理人</w:t>
      </w:r>
      <w:bookmarkEnd w:id="31"/>
      <w:bookmarkEnd w:id="32"/>
    </w:p>
    <w:p>
      <w:pPr>
        <w:pStyle w:val="7"/>
        <w:spacing w:before="0" w:beforeAutospacing="0" w:after="0" w:afterAutospacing="0" w:line="360" w:lineRule="auto"/>
        <w:ind w:firstLine="420"/>
        <w:rPr>
          <w:sz w:val="21"/>
          <w:szCs w:val="21"/>
          <w:highlight w:val="none"/>
        </w:rPr>
      </w:pPr>
      <w:bookmarkStart w:id="33" w:name="chapter_level1_5_53_section_1"/>
      <w:bookmarkEnd w:id="33"/>
      <w:r>
        <w:rPr>
          <w:rStyle w:val="11"/>
          <w:rFonts w:hint="eastAsia"/>
          <w:sz w:val="21"/>
          <w:szCs w:val="21"/>
          <w:highlight w:val="none"/>
        </w:rPr>
        <w:t>一、基金管理人概况</w:t>
      </w:r>
    </w:p>
    <w:p>
      <w:pPr>
        <w:pStyle w:val="7"/>
        <w:spacing w:before="0" w:beforeAutospacing="0" w:after="0" w:afterAutospacing="0" w:line="360" w:lineRule="auto"/>
        <w:ind w:firstLine="420"/>
        <w:rPr>
          <w:sz w:val="21"/>
          <w:szCs w:val="21"/>
          <w:highlight w:val="none"/>
        </w:rPr>
      </w:pPr>
      <w:bookmarkStart w:id="34" w:name="field_0_managercompanyinfo_1_start"/>
      <w:bookmarkEnd w:id="34"/>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pPr>
        <w:pStyle w:val="7"/>
        <w:spacing w:before="0" w:beforeAutospacing="0" w:after="0" w:afterAutospacing="0" w:line="360" w:lineRule="auto"/>
        <w:ind w:firstLine="420"/>
        <w:rPr>
          <w:sz w:val="21"/>
          <w:szCs w:val="21"/>
          <w:highlight w:val="none"/>
        </w:rPr>
      </w:pPr>
      <w:r>
        <w:rPr>
          <w:rFonts w:hint="eastAsia"/>
          <w:sz w:val="21"/>
          <w:szCs w:val="21"/>
          <w:highlight w:val="none"/>
        </w:rPr>
        <w:t>公司已经建立健全投资管理制度、风险控制制度、内部监察制度、财务管理制度、人事管理制度、信息披露制度和员工行为准则等公司管理制度体系。 </w:t>
      </w:r>
      <w:bookmarkStart w:id="35" w:name="field_0_managercompanyinfo_1_end"/>
      <w:bookmarkEnd w:id="35"/>
      <w:r>
        <w:rPr>
          <w:rFonts w:hint="eastAsia"/>
          <w:sz w:val="21"/>
          <w:szCs w:val="21"/>
          <w:highlight w:val="none"/>
        </w:rPr>
        <w:t xml:space="preserve">  </w:t>
      </w:r>
    </w:p>
    <w:p>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pPr>
        <w:pStyle w:val="7"/>
        <w:spacing w:before="0" w:beforeAutospacing="0" w:after="0" w:afterAutospacing="0" w:line="360" w:lineRule="auto"/>
        <w:ind w:firstLine="420"/>
        <w:rPr>
          <w:sz w:val="21"/>
          <w:szCs w:val="21"/>
          <w:highlight w:val="none"/>
        </w:rPr>
      </w:pPr>
      <w:bookmarkStart w:id="36" w:name="field_0_managerpersoninfo_1_start"/>
      <w:bookmarkEnd w:id="36"/>
      <w:r>
        <w:rPr>
          <w:rFonts w:hint="eastAsia"/>
          <w:sz w:val="21"/>
          <w:szCs w:val="21"/>
          <w:highlight w:val="none"/>
        </w:rPr>
        <w:t>1、基金管理人董事会成员</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pPr>
        <w:spacing w:line="360" w:lineRule="auto"/>
        <w:ind w:firstLine="420" w:firstLineChars="20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pPr>
        <w:spacing w:line="360" w:lineRule="auto"/>
        <w:ind w:firstLine="420" w:firstLineChars="200"/>
        <w:rPr>
          <w:rFonts w:hint="eastAsia" w:ascii="宋体" w:hAnsi="宋体" w:eastAsia="宋体" w:cs="宋体"/>
          <w:kern w:val="0"/>
          <w:sz w:val="21"/>
          <w:szCs w:val="21"/>
          <w:highlight w:val="none"/>
          <w:lang w:val="en-US" w:eastAsia="zh-CN"/>
        </w:rPr>
      </w:pPr>
      <w:bookmarkStart w:id="235" w:name="_GoBack"/>
      <w:bookmarkEnd w:id="235"/>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lang w:eastAsia="zh-CN"/>
        </w:rPr>
        <w:t>张东先生，</w:t>
      </w:r>
      <w:r>
        <w:rPr>
          <w:rFonts w:hint="eastAsia"/>
          <w:sz w:val="21"/>
          <w:szCs w:val="21"/>
          <w:highlight w:val="none"/>
        </w:rPr>
        <w:t>简历同上。</w:t>
      </w:r>
    </w:p>
    <w:p>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p>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bookmarkStart w:id="37" w:name="field_0_managerpersoninfo_1_end"/>
      <w:bookmarkEnd w:id="37"/>
      <w:r>
        <w:rPr>
          <w:rFonts w:hint="eastAsia"/>
          <w:sz w:val="21"/>
          <w:szCs w:val="21"/>
          <w:highlight w:val="none"/>
        </w:rPr>
        <w:t xml:space="preserve">  </w:t>
      </w:r>
    </w:p>
    <w:p>
      <w:pPr>
        <w:pStyle w:val="7"/>
        <w:spacing w:before="0" w:beforeAutospacing="0" w:after="0" w:afterAutospacing="0" w:line="360" w:lineRule="auto"/>
        <w:ind w:firstLine="420"/>
        <w:rPr>
          <w:sz w:val="21"/>
          <w:szCs w:val="21"/>
          <w:highlight w:val="none"/>
        </w:rPr>
      </w:pPr>
      <w:bookmarkStart w:id="38" w:name="chapter_level1_5_53_section_2"/>
      <w:bookmarkEnd w:id="38"/>
      <w:r>
        <w:rPr>
          <w:rFonts w:hint="eastAsia"/>
          <w:sz w:val="21"/>
          <w:szCs w:val="21"/>
          <w:highlight w:val="none"/>
          <w:lang w:val="en-US" w:eastAsia="zh-CN"/>
        </w:rPr>
        <w:t>3</w:t>
      </w:r>
      <w:r>
        <w:rPr>
          <w:rFonts w:hint="eastAsia"/>
          <w:sz w:val="21"/>
          <w:szCs w:val="21"/>
          <w:highlight w:val="none"/>
        </w:rPr>
        <w:t xml:space="preserve">、本基金基金经理 </w:t>
      </w:r>
    </w:p>
    <w:p>
      <w:pPr>
        <w:pStyle w:val="7"/>
        <w:spacing w:before="0" w:beforeAutospacing="0" w:after="0" w:afterAutospacing="0" w:line="360" w:lineRule="auto"/>
        <w:ind w:firstLine="420"/>
        <w:rPr>
          <w:rFonts w:hint="eastAsia"/>
          <w:sz w:val="21"/>
          <w:szCs w:val="21"/>
        </w:rPr>
      </w:pPr>
      <w:r>
        <w:rPr>
          <w:rFonts w:hint="eastAsia"/>
          <w:sz w:val="21"/>
          <w:szCs w:val="21"/>
        </w:rPr>
        <w:t>颜灵珊女士，硕士。2013年起先后在招商证券、中信建投基金和中加基金工作。2023年加入博时基金管理有限公司。现任博时安丰18个月定期开放债券型证券投资基金(LOF)(2024年8月13日—至今)、博时裕恒纯债债券型证券投资基金(2025年5月27日—至今)、博时裕乾纯债债券型证券投资基金(2025年7月25日—至今)、博时富丰纯债3个月定期开放债券型发起式证券投资基金(2025年8月1日—至今)、博时裕丰纯债3个月定期开放债券型发起式证券投资基金(2026年2月6日—至今)、博时富盈一年定期开放债券型发起式证券投资基金(2026年2月26日—至今)</w:t>
      </w:r>
      <w:r>
        <w:rPr>
          <w:rFonts w:hint="eastAsia"/>
          <w:sz w:val="21"/>
          <w:szCs w:val="21"/>
          <w:lang w:eastAsia="zh-CN"/>
        </w:rPr>
        <w:t>、</w:t>
      </w:r>
      <w:r>
        <w:rPr>
          <w:rFonts w:hint="eastAsia"/>
          <w:sz w:val="21"/>
          <w:szCs w:val="21"/>
        </w:rPr>
        <w:t>博时安怡6个月定期开放债券型证券投资基金(2026年</w:t>
      </w:r>
      <w:r>
        <w:rPr>
          <w:rFonts w:hint="eastAsia"/>
          <w:sz w:val="21"/>
          <w:szCs w:val="21"/>
          <w:lang w:val="en-US" w:eastAsia="zh-CN"/>
        </w:rPr>
        <w:t>4</w:t>
      </w:r>
      <w:r>
        <w:rPr>
          <w:rFonts w:hint="eastAsia"/>
          <w:sz w:val="21"/>
          <w:szCs w:val="21"/>
        </w:rPr>
        <w:t>月2日—至今)、博时汇享纯债债券型证券投资基金(2026年</w:t>
      </w:r>
      <w:r>
        <w:rPr>
          <w:rFonts w:hint="eastAsia"/>
          <w:sz w:val="21"/>
          <w:szCs w:val="21"/>
          <w:lang w:val="en-US" w:eastAsia="zh-CN"/>
        </w:rPr>
        <w:t>4</w:t>
      </w:r>
      <w:r>
        <w:rPr>
          <w:rFonts w:hint="eastAsia"/>
          <w:sz w:val="21"/>
          <w:szCs w:val="21"/>
        </w:rPr>
        <w:t>月2日—至今)、博时富恒纯债一年定期开放债券型发起式证券投资基金(2026年</w:t>
      </w:r>
      <w:r>
        <w:rPr>
          <w:rFonts w:hint="eastAsia"/>
          <w:sz w:val="21"/>
          <w:szCs w:val="21"/>
          <w:lang w:val="en-US" w:eastAsia="zh-CN"/>
        </w:rPr>
        <w:t>4</w:t>
      </w:r>
      <w:r>
        <w:rPr>
          <w:rFonts w:hint="eastAsia"/>
          <w:sz w:val="21"/>
          <w:szCs w:val="21"/>
        </w:rPr>
        <w:t>月2日—至今)的基金经理。</w:t>
      </w:r>
      <w:bookmarkStart w:id="39" w:name="field_0_fundmanagershis_1_start"/>
      <w:bookmarkEnd w:id="39"/>
    </w:p>
    <w:p>
      <w:pPr>
        <w:pStyle w:val="7"/>
        <w:spacing w:before="0" w:beforeAutospacing="0" w:after="0" w:afterAutospacing="0" w:line="360" w:lineRule="auto"/>
        <w:ind w:firstLine="420"/>
        <w:rPr>
          <w:rFonts w:hint="eastAsia"/>
          <w:sz w:val="21"/>
          <w:szCs w:val="21"/>
        </w:rPr>
      </w:pPr>
      <w:r>
        <w:rPr>
          <w:rFonts w:hint="eastAsia"/>
          <w:sz w:val="21"/>
          <w:szCs w:val="21"/>
        </w:rPr>
        <w:t>朱品先生，硕士。2011年起先后在中国农业银行总行、平安银行总行工作，2016年起加入博时基金管理有限公司。</w:t>
      </w:r>
      <w:r>
        <w:rPr>
          <w:rFonts w:hint="eastAsia"/>
          <w:sz w:val="21"/>
          <w:szCs w:val="21"/>
          <w:lang w:val="en-US" w:eastAsia="zh-CN"/>
        </w:rPr>
        <w:t>现任</w:t>
      </w:r>
      <w:r>
        <w:rPr>
          <w:rFonts w:hint="eastAsia"/>
          <w:sz w:val="21"/>
          <w:szCs w:val="21"/>
        </w:rPr>
        <w:t>博时富源纯债债券型证券投资基金</w:t>
      </w:r>
      <w:r>
        <w:rPr>
          <w:rFonts w:hint="eastAsia"/>
          <w:sz w:val="21"/>
          <w:szCs w:val="21"/>
          <w:lang w:eastAsia="zh-CN"/>
        </w:rPr>
        <w:t>（</w:t>
      </w:r>
      <w:r>
        <w:rPr>
          <w:rFonts w:hint="eastAsia"/>
          <w:sz w:val="21"/>
          <w:szCs w:val="21"/>
          <w:lang w:val="en-US" w:eastAsia="zh-CN"/>
        </w:rPr>
        <w:t>2026年5月6日—至今</w:t>
      </w:r>
      <w:r>
        <w:rPr>
          <w:rFonts w:hint="eastAsia"/>
          <w:sz w:val="21"/>
          <w:szCs w:val="21"/>
          <w:lang w:eastAsia="zh-CN"/>
        </w:rPr>
        <w:t>）</w:t>
      </w:r>
      <w:r>
        <w:rPr>
          <w:rFonts w:hint="eastAsia"/>
          <w:sz w:val="21"/>
          <w:szCs w:val="21"/>
        </w:rPr>
        <w:t>、博时安怡6个月定期开放债券型证券投资基金</w:t>
      </w:r>
      <w:r>
        <w:rPr>
          <w:rFonts w:hint="eastAsia"/>
          <w:sz w:val="21"/>
          <w:szCs w:val="21"/>
          <w:lang w:eastAsia="zh-CN"/>
        </w:rPr>
        <w:t>（</w:t>
      </w:r>
      <w:r>
        <w:rPr>
          <w:rFonts w:hint="eastAsia"/>
          <w:sz w:val="21"/>
          <w:szCs w:val="21"/>
          <w:lang w:val="en-US" w:eastAsia="zh-CN"/>
        </w:rPr>
        <w:t>2026年5月6日—至今</w:t>
      </w:r>
      <w:r>
        <w:rPr>
          <w:rFonts w:hint="eastAsia"/>
          <w:sz w:val="21"/>
          <w:szCs w:val="21"/>
          <w:lang w:eastAsia="zh-CN"/>
        </w:rPr>
        <w:t>）</w:t>
      </w:r>
      <w:r>
        <w:rPr>
          <w:rFonts w:hint="eastAsia"/>
          <w:sz w:val="21"/>
          <w:szCs w:val="21"/>
        </w:rPr>
        <w:t>、博时裕坤纯债3个月定期开放债券型发起式证券投资基金</w:t>
      </w:r>
      <w:r>
        <w:rPr>
          <w:rFonts w:hint="eastAsia"/>
          <w:sz w:val="21"/>
          <w:szCs w:val="21"/>
          <w:lang w:eastAsia="zh-CN"/>
        </w:rPr>
        <w:t>（</w:t>
      </w:r>
      <w:r>
        <w:rPr>
          <w:rFonts w:hint="eastAsia"/>
          <w:sz w:val="21"/>
          <w:szCs w:val="21"/>
          <w:lang w:val="en-US" w:eastAsia="zh-CN"/>
        </w:rPr>
        <w:t>2026年5月6日—至今</w:t>
      </w:r>
      <w:r>
        <w:rPr>
          <w:rFonts w:hint="eastAsia"/>
          <w:sz w:val="21"/>
          <w:szCs w:val="21"/>
          <w:lang w:eastAsia="zh-CN"/>
        </w:rPr>
        <w:t>）</w:t>
      </w:r>
      <w:r>
        <w:rPr>
          <w:rFonts w:hint="eastAsia"/>
          <w:sz w:val="21"/>
          <w:szCs w:val="21"/>
          <w:lang w:val="en-US" w:eastAsia="zh-CN"/>
        </w:rPr>
        <w:t>的基金经理。</w:t>
      </w:r>
    </w:p>
    <w:p>
      <w:pPr>
        <w:pStyle w:val="7"/>
        <w:spacing w:before="0" w:beforeAutospacing="0" w:after="0" w:afterAutospacing="0" w:line="360" w:lineRule="auto"/>
        <w:ind w:firstLine="420"/>
        <w:rPr>
          <w:sz w:val="21"/>
          <w:szCs w:val="21"/>
        </w:rPr>
      </w:pPr>
      <w:r>
        <w:rPr>
          <w:rFonts w:hint="eastAsia"/>
          <w:sz w:val="21"/>
          <w:szCs w:val="21"/>
        </w:rPr>
        <w:t>本基金历任基金经理：陈凯杨（2016年4月15日-2019年12月</w:t>
      </w:r>
      <w:bookmarkStart w:id="40" w:name="chapter_level1_5_53_section_2_end"/>
      <w:bookmarkEnd w:id="40"/>
      <w:r>
        <w:rPr>
          <w:rFonts w:hint="eastAsia"/>
          <w:sz w:val="21"/>
          <w:szCs w:val="21"/>
        </w:rPr>
        <w:t>16日）、陈黎（2018年4月9日-2022年1月24日）</w:t>
      </w:r>
      <w:r>
        <w:rPr>
          <w:rFonts w:hint="eastAsia"/>
          <w:sz w:val="21"/>
          <w:szCs w:val="21"/>
          <w:lang w:eastAsia="zh-CN"/>
        </w:rPr>
        <w:t>、</w:t>
      </w:r>
      <w:r>
        <w:rPr>
          <w:rFonts w:hint="eastAsia"/>
          <w:sz w:val="21"/>
          <w:szCs w:val="21"/>
          <w:lang w:val="en-US" w:eastAsia="zh-CN"/>
        </w:rPr>
        <w:t>王帅（</w:t>
      </w:r>
      <w:r>
        <w:rPr>
          <w:rFonts w:hint="eastAsia"/>
          <w:sz w:val="21"/>
          <w:szCs w:val="21"/>
        </w:rPr>
        <w:t>2022年1月24日</w:t>
      </w:r>
      <w:r>
        <w:rPr>
          <w:rFonts w:hint="eastAsia"/>
          <w:sz w:val="21"/>
          <w:szCs w:val="21"/>
          <w:lang w:eastAsia="zh-CN"/>
        </w:rPr>
        <w:t>—</w:t>
      </w:r>
      <w:r>
        <w:rPr>
          <w:rFonts w:hint="eastAsia"/>
          <w:sz w:val="21"/>
          <w:szCs w:val="21"/>
          <w:lang w:val="en-US" w:eastAsia="zh-CN"/>
        </w:rPr>
        <w:t>2026年2月6日）、余斌（</w:t>
      </w:r>
      <w:r>
        <w:rPr>
          <w:rFonts w:hint="eastAsia"/>
          <w:sz w:val="21"/>
          <w:szCs w:val="21"/>
        </w:rPr>
        <w:t>2024年3月21日—2026年</w:t>
      </w:r>
      <w:r>
        <w:rPr>
          <w:rFonts w:hint="eastAsia"/>
          <w:sz w:val="21"/>
          <w:szCs w:val="21"/>
          <w:lang w:val="en-US" w:eastAsia="zh-CN"/>
        </w:rPr>
        <w:t>4</w:t>
      </w:r>
      <w:r>
        <w:rPr>
          <w:rFonts w:hint="eastAsia"/>
          <w:sz w:val="21"/>
          <w:szCs w:val="21"/>
        </w:rPr>
        <w:t>月2日</w:t>
      </w:r>
      <w:r>
        <w:rPr>
          <w:rFonts w:hint="eastAsia"/>
          <w:sz w:val="21"/>
          <w:szCs w:val="21"/>
          <w:lang w:val="en-US" w:eastAsia="zh-CN"/>
        </w:rPr>
        <w:t>）</w:t>
      </w:r>
      <w:r>
        <w:rPr>
          <w:rFonts w:hint="eastAsia"/>
          <w:sz w:val="21"/>
          <w:szCs w:val="21"/>
        </w:rPr>
        <w:t>。</w:t>
      </w:r>
      <w:bookmarkStart w:id="41" w:name="field_0_fundmanagershis_1_end"/>
      <w:bookmarkEnd w:id="41"/>
      <w:r>
        <w:rPr>
          <w:rFonts w:hint="eastAsia"/>
          <w:sz w:val="21"/>
          <w:szCs w:val="21"/>
        </w:rPr>
        <w:t xml:space="preserve">  </w:t>
      </w:r>
    </w:p>
    <w:p>
      <w:pPr>
        <w:pStyle w:val="7"/>
        <w:spacing w:before="0" w:beforeAutospacing="0" w:after="0" w:afterAutospacing="0" w:line="360" w:lineRule="auto"/>
        <w:ind w:firstLine="420"/>
        <w:rPr>
          <w:sz w:val="21"/>
          <w:szCs w:val="21"/>
        </w:rPr>
      </w:pPr>
      <w:bookmarkStart w:id="42" w:name="chapter_level1_5_53_section_3"/>
      <w:bookmarkEnd w:id="42"/>
      <w:bookmarkStart w:id="43" w:name="field_0_managerpersoninfo2_1_start"/>
      <w:bookmarkEnd w:id="43"/>
      <w:r>
        <w:rPr>
          <w:rFonts w:hint="eastAsia"/>
          <w:sz w:val="21"/>
          <w:szCs w:val="21"/>
          <w:lang w:val="en-US" w:eastAsia="zh-CN"/>
        </w:rPr>
        <w:t>4</w:t>
      </w:r>
      <w:r>
        <w:rPr>
          <w:rFonts w:hint="eastAsia"/>
          <w:sz w:val="21"/>
          <w:szCs w:val="21"/>
        </w:rPr>
        <w:t xml:space="preserve">、投资决策委员会成员 </w:t>
      </w:r>
    </w:p>
    <w:p>
      <w:pPr>
        <w:widowControl/>
        <w:spacing w:line="360" w:lineRule="auto"/>
        <w:ind w:firstLine="420" w:firstLineChars="0"/>
        <w:jc w:val="left"/>
        <w:rPr>
          <w:rFonts w:hint="eastAsia" w:ascii="宋体" w:hAnsi="宋体" w:eastAsia="宋体" w:cs="宋体"/>
          <w:kern w:val="0"/>
          <w:szCs w:val="21"/>
          <w:highlight w:val="none"/>
        </w:rPr>
      </w:pPr>
      <w:bookmarkStart w:id="44" w:name="OLE_LINK5"/>
      <w:r>
        <w:rPr>
          <w:rFonts w:hint="eastAsia" w:ascii="宋体" w:hAnsi="宋体" w:eastAsia="宋体" w:cs="宋体"/>
          <w:kern w:val="0"/>
          <w:szCs w:val="21"/>
          <w:highlight w:val="none"/>
        </w:rPr>
        <w:t>公司投资决策委员会专职委员兼年金投资部总经理于善辉先生。</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公司首席资产配置官黄健斌先生。 </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首席基金经理过钧先生。 </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首席投资官兼权益投研一体化总监、境外投资部总经理曾鹏先生。 </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lang w:val="en-US" w:eastAsia="zh-CN"/>
        </w:rPr>
        <w:t>董事总经理兼</w:t>
      </w:r>
      <w:r>
        <w:rPr>
          <w:rFonts w:hint="eastAsia" w:ascii="宋体" w:hAnsi="宋体" w:eastAsia="宋体" w:cs="宋体"/>
          <w:kern w:val="0"/>
          <w:szCs w:val="21"/>
          <w:highlight w:val="none"/>
        </w:rPr>
        <w:t>权益投资三部总经理</w:t>
      </w:r>
      <w:r>
        <w:rPr>
          <w:rFonts w:hint="eastAsia" w:ascii="宋体" w:hAnsi="宋体" w:eastAsia="宋体" w:cs="宋体"/>
          <w:kern w:val="0"/>
          <w:szCs w:val="21"/>
          <w:highlight w:val="none"/>
          <w:lang w:eastAsia="zh-CN"/>
        </w:rPr>
        <w:t>、</w:t>
      </w:r>
      <w:r>
        <w:rPr>
          <w:rFonts w:hint="eastAsia" w:ascii="宋体" w:hAnsi="宋体" w:eastAsia="宋体" w:cs="宋体"/>
          <w:kern w:val="0"/>
          <w:szCs w:val="21"/>
          <w:highlight w:val="none"/>
        </w:rPr>
        <w:t xml:space="preserve">权益投资三部投资总监蔡滨先生。 </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行业研究部总经理魏立先生。 </w:t>
      </w:r>
    </w:p>
    <w:p>
      <w:pPr>
        <w:widowControl/>
        <w:spacing w:line="360" w:lineRule="auto"/>
        <w:ind w:firstLine="420" w:firstLineChars="0"/>
        <w:jc w:val="left"/>
        <w:rPr>
          <w:rFonts w:hint="eastAsia" w:ascii="宋体" w:hAnsi="宋体" w:eastAsia="宋体" w:cs="宋体"/>
          <w:kern w:val="0"/>
          <w:szCs w:val="21"/>
          <w:highlight w:val="none"/>
        </w:rPr>
      </w:pPr>
      <w:r>
        <w:rPr>
          <w:rFonts w:hint="eastAsia" w:ascii="宋体" w:hAnsi="宋体" w:eastAsia="宋体" w:cs="宋体"/>
          <w:kern w:val="0"/>
          <w:szCs w:val="21"/>
          <w:highlight w:val="none"/>
        </w:rPr>
        <w:t xml:space="preserve">宏观策略部总经理兼行业研究部研究总监金晟哲先生。 </w:t>
      </w:r>
    </w:p>
    <w:p>
      <w:pPr>
        <w:pStyle w:val="7"/>
        <w:spacing w:before="0" w:beforeAutospacing="0" w:after="0" w:afterAutospacing="0" w:line="360" w:lineRule="auto"/>
        <w:ind w:firstLine="420"/>
        <w:rPr>
          <w:rFonts w:hint="eastAsia"/>
          <w:sz w:val="21"/>
          <w:szCs w:val="21"/>
        </w:rPr>
      </w:pPr>
      <w:r>
        <w:rPr>
          <w:rFonts w:hint="eastAsia" w:ascii="宋体" w:hAnsi="宋体" w:eastAsia="宋体" w:cs="宋体"/>
          <w:kern w:val="0"/>
          <w:sz w:val="21"/>
          <w:szCs w:val="21"/>
          <w:highlight w:val="none"/>
        </w:rPr>
        <w:t>指数与量化投资部总经理兼指数与量化投资部投资总监赵云阳先生。</w:t>
      </w:r>
      <w:bookmarkEnd w:id="44"/>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5、上述人员之间均不存在近亲属关系。 </w:t>
      </w:r>
      <w:bookmarkStart w:id="45" w:name="field_0_managerpersoninfo2_1_end"/>
      <w:bookmarkEnd w:id="45"/>
      <w:r>
        <w:rPr>
          <w:rFonts w:hint="eastAsia"/>
          <w:sz w:val="21"/>
          <w:szCs w:val="21"/>
        </w:rPr>
        <w:t xml:space="preserve">  </w:t>
      </w:r>
    </w:p>
    <w:p>
      <w:pPr>
        <w:pStyle w:val="7"/>
        <w:spacing w:before="0" w:beforeAutospacing="0" w:after="0" w:afterAutospacing="0" w:line="360" w:lineRule="auto"/>
        <w:ind w:firstLine="420"/>
        <w:rPr>
          <w:sz w:val="21"/>
          <w:szCs w:val="21"/>
        </w:rPr>
      </w:pPr>
      <w:bookmarkStart w:id="46" w:name="chapter_level1_5_53_section_4"/>
      <w:bookmarkEnd w:id="46"/>
      <w:r>
        <w:rPr>
          <w:rStyle w:val="11"/>
          <w:rFonts w:hint="eastAsia"/>
          <w:sz w:val="21"/>
          <w:szCs w:val="21"/>
        </w:rPr>
        <w:t>三、基金管理人的职责</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 24、基金管理人在募集期间未能达到基金的备案条件，基金合同不能生效，基金管理人承担全部募集费用，将已募集资金并加计银行同期活期存款利息在基金募集期结束后30日内退还基金认购人；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pPr>
        <w:pStyle w:val="7"/>
        <w:spacing w:before="0" w:beforeAutospacing="0" w:after="0" w:afterAutospacing="0" w:line="360" w:lineRule="auto"/>
        <w:ind w:firstLine="420"/>
        <w:rPr>
          <w:sz w:val="21"/>
          <w:szCs w:val="21"/>
        </w:rPr>
      </w:pPr>
      <w:r>
        <w:rPr>
          <w:rFonts w:hint="eastAsia"/>
          <w:sz w:val="21"/>
          <w:szCs w:val="21"/>
        </w:rPr>
        <w:t xml:space="preserve">（3）利用基金财产为基金份额持有人以外的第三人牟取利益；   </w:t>
      </w:r>
    </w:p>
    <w:p>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pPr>
        <w:pStyle w:val="7"/>
        <w:spacing w:before="0" w:beforeAutospacing="0" w:after="0" w:afterAutospacing="0" w:line="360" w:lineRule="auto"/>
        <w:ind w:firstLine="420"/>
        <w:rPr>
          <w:sz w:val="21"/>
          <w:szCs w:val="21"/>
        </w:rPr>
      </w:pPr>
      <w:r>
        <w:rPr>
          <w:rFonts w:hint="eastAsia"/>
          <w:sz w:val="21"/>
          <w:szCs w:val="21"/>
        </w:rPr>
        <w:t xml:space="preserve">（8）依照法律、行政法规有关规定，由中国证监会规定禁止的其他行为。   </w:t>
      </w:r>
    </w:p>
    <w:p>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pPr>
        <w:pStyle w:val="7"/>
        <w:spacing w:before="0" w:beforeAutospacing="0" w:after="0" w:afterAutospacing="0" w:line="360" w:lineRule="auto"/>
        <w:ind w:firstLine="420"/>
        <w:rPr>
          <w:sz w:val="21"/>
          <w:szCs w:val="21"/>
        </w:rPr>
      </w:pPr>
      <w:r>
        <w:rPr>
          <w:rStyle w:val="11"/>
          <w:rFonts w:hint="eastAsia"/>
          <w:sz w:val="21"/>
          <w:szCs w:val="21"/>
        </w:rPr>
        <w:t>五、基金经理承诺</w:t>
      </w:r>
    </w:p>
    <w:p>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   </w:t>
      </w:r>
    </w:p>
    <w:p>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pPr>
        <w:pStyle w:val="7"/>
        <w:spacing w:before="0" w:beforeAutospacing="0" w:after="0" w:afterAutospacing="0" w:line="360" w:lineRule="auto"/>
        <w:ind w:firstLine="420"/>
        <w:rPr>
          <w:rStyle w:val="11"/>
          <w:rFonts w:hint="eastAsia" w:ascii="Times New Roman" w:hAnsi="Times New Roman" w:cs="Times New Roman"/>
          <w:sz w:val="21"/>
          <w:szCs w:val="21"/>
        </w:rPr>
      </w:pPr>
      <w:r>
        <w:rPr>
          <w:rStyle w:val="11"/>
          <w:rFonts w:hint="eastAsia" w:ascii="Times New Roman" w:hAnsi="Times New Roman" w:cs="Times New Roman"/>
          <w:sz w:val="21"/>
          <w:szCs w:val="21"/>
        </w:rPr>
        <w:t>六、基金管理人的内部控制制度</w:t>
      </w:r>
    </w:p>
    <w:p>
      <w:pPr>
        <w:pStyle w:val="7"/>
        <w:spacing w:before="0" w:beforeAutospacing="0" w:after="0" w:afterAutospacing="0" w:line="360" w:lineRule="auto"/>
        <w:ind w:firstLine="420"/>
        <w:rPr>
          <w:rFonts w:hint="eastAsia"/>
          <w:sz w:val="21"/>
          <w:szCs w:val="21"/>
        </w:rPr>
      </w:pPr>
      <w:r>
        <w:rPr>
          <w:rFonts w:hint="eastAsia"/>
          <w:sz w:val="21"/>
          <w:szCs w:val="21"/>
        </w:rPr>
        <w:t>1、风险管理的原则</w:t>
      </w:r>
    </w:p>
    <w:p>
      <w:pPr>
        <w:pStyle w:val="7"/>
        <w:spacing w:before="0" w:beforeAutospacing="0" w:after="0" w:afterAutospacing="0" w:line="360" w:lineRule="auto"/>
        <w:ind w:firstLine="420"/>
        <w:rPr>
          <w:rFonts w:hint="eastAsia"/>
          <w:sz w:val="21"/>
          <w:szCs w:val="21"/>
        </w:rPr>
      </w:pPr>
      <w:r>
        <w:rPr>
          <w:rFonts w:hint="eastAsia"/>
          <w:sz w:val="21"/>
          <w:szCs w:val="21"/>
        </w:rPr>
        <w:t>（1）全面性原则</w:t>
      </w:r>
    </w:p>
    <w:p>
      <w:pPr>
        <w:pStyle w:val="7"/>
        <w:spacing w:before="0" w:beforeAutospacing="0" w:after="0" w:afterAutospacing="0" w:line="360" w:lineRule="auto"/>
        <w:ind w:firstLine="420"/>
        <w:rPr>
          <w:rFonts w:hint="eastAsia"/>
          <w:sz w:val="21"/>
          <w:szCs w:val="21"/>
        </w:rPr>
      </w:pPr>
      <w:r>
        <w:rPr>
          <w:rFonts w:hint="eastAsia"/>
          <w:sz w:val="21"/>
          <w:szCs w:val="21"/>
        </w:rPr>
        <w:t>公司风险管理必须覆盖公司的所有部门和岗位，渗透各项业务过程和业务环节。</w:t>
      </w:r>
    </w:p>
    <w:p>
      <w:pPr>
        <w:pStyle w:val="7"/>
        <w:spacing w:before="0" w:beforeAutospacing="0" w:after="0" w:afterAutospacing="0" w:line="360" w:lineRule="auto"/>
        <w:ind w:firstLine="420"/>
        <w:rPr>
          <w:rFonts w:hint="eastAsia"/>
          <w:sz w:val="21"/>
          <w:szCs w:val="21"/>
        </w:rPr>
      </w:pPr>
      <w:r>
        <w:rPr>
          <w:rFonts w:hint="eastAsia"/>
          <w:sz w:val="21"/>
          <w:szCs w:val="21"/>
        </w:rPr>
        <w:t>（2）独立性原则</w:t>
      </w:r>
    </w:p>
    <w:p>
      <w:pPr>
        <w:pStyle w:val="7"/>
        <w:spacing w:before="0" w:beforeAutospacing="0" w:after="0" w:afterAutospacing="0" w:line="360" w:lineRule="auto"/>
        <w:ind w:firstLine="420"/>
        <w:rPr>
          <w:rFonts w:hint="eastAsia"/>
          <w:sz w:val="21"/>
          <w:szCs w:val="21"/>
        </w:rPr>
      </w:pPr>
      <w:r>
        <w:rPr>
          <w:rFonts w:hint="eastAsia"/>
          <w:sz w:val="21"/>
          <w:szCs w:val="21"/>
        </w:rPr>
        <w:t>公司设立独立的法律</w:t>
      </w:r>
      <w:r>
        <w:rPr>
          <w:rFonts w:hint="eastAsia"/>
          <w:sz w:val="21"/>
          <w:szCs w:val="21"/>
          <w:lang w:eastAsia="zh-CN"/>
        </w:rPr>
        <w:t>合规</w:t>
      </w:r>
      <w:r>
        <w:rPr>
          <w:rFonts w:hint="eastAsia"/>
          <w:sz w:val="21"/>
          <w:szCs w:val="21"/>
        </w:rPr>
        <w:t>部，法律</w:t>
      </w:r>
      <w:r>
        <w:rPr>
          <w:rFonts w:hint="eastAsia"/>
          <w:sz w:val="21"/>
          <w:szCs w:val="21"/>
          <w:lang w:eastAsia="zh-CN"/>
        </w:rPr>
        <w:t>合规</w:t>
      </w:r>
      <w:r>
        <w:rPr>
          <w:rFonts w:hint="eastAsia"/>
          <w:sz w:val="21"/>
          <w:szCs w:val="21"/>
        </w:rPr>
        <w:t>部保持高度的独立性和权威性，负责对公司各部门风险控制工作进行</w:t>
      </w:r>
      <w:r>
        <w:rPr>
          <w:rFonts w:hint="eastAsia"/>
          <w:sz w:val="21"/>
          <w:szCs w:val="21"/>
          <w:lang w:eastAsia="zh-CN"/>
        </w:rPr>
        <w:t>监督和</w:t>
      </w:r>
      <w:r>
        <w:rPr>
          <w:rFonts w:hint="eastAsia"/>
          <w:sz w:val="21"/>
          <w:szCs w:val="21"/>
        </w:rPr>
        <w:t>检查。</w:t>
      </w:r>
    </w:p>
    <w:p>
      <w:pPr>
        <w:pStyle w:val="7"/>
        <w:spacing w:before="0" w:beforeAutospacing="0" w:after="0" w:afterAutospacing="0" w:line="360" w:lineRule="auto"/>
        <w:ind w:firstLine="420"/>
        <w:rPr>
          <w:rFonts w:hint="eastAsia"/>
          <w:sz w:val="21"/>
          <w:szCs w:val="21"/>
        </w:rPr>
      </w:pPr>
      <w:r>
        <w:rPr>
          <w:rFonts w:hint="eastAsia"/>
          <w:sz w:val="21"/>
          <w:szCs w:val="21"/>
        </w:rPr>
        <w:t>（3）相互制约原则</w:t>
      </w:r>
    </w:p>
    <w:p>
      <w:pPr>
        <w:pStyle w:val="7"/>
        <w:spacing w:before="0" w:beforeAutospacing="0" w:after="0" w:afterAutospacing="0" w:line="360" w:lineRule="auto"/>
        <w:ind w:firstLine="420"/>
        <w:rPr>
          <w:rFonts w:hint="eastAsia"/>
          <w:sz w:val="21"/>
          <w:szCs w:val="21"/>
        </w:rPr>
      </w:pPr>
      <w:r>
        <w:rPr>
          <w:rFonts w:hint="eastAsia"/>
          <w:sz w:val="21"/>
          <w:szCs w:val="21"/>
        </w:rPr>
        <w:t>公司及各部门在内部组织结构的设计上要形成一种相互制约的机制，建立不同岗位之间的制衡体系。</w:t>
      </w:r>
    </w:p>
    <w:p>
      <w:pPr>
        <w:pStyle w:val="7"/>
        <w:spacing w:before="0" w:beforeAutospacing="0" w:after="0" w:afterAutospacing="0" w:line="360" w:lineRule="auto"/>
        <w:ind w:firstLine="420"/>
        <w:rPr>
          <w:rFonts w:hint="eastAsia"/>
          <w:sz w:val="21"/>
          <w:szCs w:val="21"/>
        </w:rPr>
      </w:pPr>
      <w:r>
        <w:rPr>
          <w:rFonts w:hint="eastAsia"/>
          <w:sz w:val="21"/>
          <w:szCs w:val="21"/>
        </w:rPr>
        <w:t>（4）定性和定量相结合原则</w:t>
      </w:r>
    </w:p>
    <w:p>
      <w:pPr>
        <w:pStyle w:val="7"/>
        <w:spacing w:before="0" w:beforeAutospacing="0" w:after="0" w:afterAutospacing="0" w:line="360" w:lineRule="auto"/>
        <w:ind w:firstLine="420"/>
        <w:rPr>
          <w:rFonts w:hint="eastAsia"/>
          <w:sz w:val="21"/>
          <w:szCs w:val="21"/>
        </w:rPr>
      </w:pPr>
      <w:r>
        <w:rPr>
          <w:rFonts w:hint="eastAsia"/>
          <w:sz w:val="21"/>
          <w:szCs w:val="21"/>
        </w:rPr>
        <w:t>建立完备的风险管理指标体系，使风险管理更具客观性和操作性。</w:t>
      </w:r>
    </w:p>
    <w:p>
      <w:pPr>
        <w:pStyle w:val="7"/>
        <w:spacing w:before="0" w:beforeAutospacing="0" w:after="0" w:afterAutospacing="0" w:line="360" w:lineRule="auto"/>
        <w:ind w:firstLine="420"/>
        <w:rPr>
          <w:rFonts w:hint="eastAsia"/>
          <w:sz w:val="21"/>
          <w:szCs w:val="21"/>
        </w:rPr>
      </w:pPr>
      <w:r>
        <w:rPr>
          <w:rFonts w:hint="eastAsia"/>
          <w:sz w:val="21"/>
          <w:szCs w:val="21"/>
        </w:rPr>
        <w:t>2、风险管理和内部风险控制体系结构</w:t>
      </w:r>
    </w:p>
    <w:p>
      <w:pPr>
        <w:pStyle w:val="7"/>
        <w:spacing w:before="0" w:beforeAutospacing="0" w:after="0" w:afterAutospacing="0" w:line="360" w:lineRule="auto"/>
        <w:ind w:firstLine="420"/>
        <w:rPr>
          <w:rFonts w:hint="eastAsia"/>
          <w:sz w:val="21"/>
          <w:szCs w:val="21"/>
        </w:rPr>
      </w:pPr>
      <w:r>
        <w:rPr>
          <w:rFonts w:hint="eastAsia"/>
          <w:sz w:val="21"/>
          <w:szCs w:val="21"/>
        </w:rPr>
        <w:t>公司的风险管理体系结构是一个分工明确、相互牵制的组织结构，由最高管理层对风险管理负最终责任，各个业务部门负责本部门的风险评估和监控，法律</w:t>
      </w:r>
      <w:r>
        <w:rPr>
          <w:rFonts w:hint="eastAsia"/>
          <w:sz w:val="21"/>
          <w:szCs w:val="21"/>
          <w:lang w:eastAsia="zh-CN"/>
        </w:rPr>
        <w:t>合规</w:t>
      </w:r>
      <w:r>
        <w:rPr>
          <w:rFonts w:hint="eastAsia"/>
          <w:sz w:val="21"/>
          <w:szCs w:val="21"/>
        </w:rPr>
        <w:t>部负责</w:t>
      </w:r>
      <w:r>
        <w:rPr>
          <w:rFonts w:hint="eastAsia"/>
          <w:sz w:val="21"/>
          <w:szCs w:val="21"/>
          <w:lang w:eastAsia="zh-CN"/>
        </w:rPr>
        <w:t>监督和检查</w:t>
      </w:r>
      <w:r>
        <w:rPr>
          <w:rFonts w:hint="eastAsia"/>
          <w:sz w:val="21"/>
          <w:szCs w:val="21"/>
        </w:rPr>
        <w:t>公司的风险管理措施的执行。具体而言，包括如下组成部分：</w:t>
      </w:r>
    </w:p>
    <w:p>
      <w:pPr>
        <w:pStyle w:val="7"/>
        <w:spacing w:before="0" w:beforeAutospacing="0" w:after="0" w:afterAutospacing="0" w:line="360" w:lineRule="auto"/>
        <w:ind w:firstLine="420"/>
        <w:rPr>
          <w:rFonts w:hint="eastAsia"/>
          <w:sz w:val="21"/>
          <w:szCs w:val="21"/>
        </w:rPr>
      </w:pPr>
      <w:r>
        <w:rPr>
          <w:rFonts w:hint="eastAsia"/>
          <w:sz w:val="21"/>
          <w:szCs w:val="21"/>
        </w:rPr>
        <w:t>（1）董事会</w:t>
      </w:r>
    </w:p>
    <w:p>
      <w:pPr>
        <w:pStyle w:val="7"/>
        <w:spacing w:before="0" w:beforeAutospacing="0" w:after="0" w:afterAutospacing="0" w:line="360" w:lineRule="auto"/>
        <w:ind w:firstLine="420"/>
        <w:rPr>
          <w:rFonts w:hint="eastAsia"/>
          <w:sz w:val="21"/>
          <w:szCs w:val="21"/>
        </w:rPr>
      </w:pPr>
      <w:r>
        <w:rPr>
          <w:rFonts w:hint="eastAsia"/>
          <w:sz w:val="21"/>
          <w:szCs w:val="21"/>
        </w:rPr>
        <w:t>负责制定公司的风险管理政策，对风险管理负完全的和最终的责任。</w:t>
      </w:r>
    </w:p>
    <w:p>
      <w:pPr>
        <w:pStyle w:val="7"/>
        <w:spacing w:before="0" w:beforeAutospacing="0" w:after="0" w:afterAutospacing="0" w:line="360" w:lineRule="auto"/>
        <w:ind w:firstLine="420"/>
        <w:rPr>
          <w:rFonts w:hint="eastAsia"/>
          <w:sz w:val="21"/>
          <w:szCs w:val="21"/>
        </w:rPr>
      </w:pPr>
      <w:r>
        <w:rPr>
          <w:rFonts w:hint="eastAsia"/>
          <w:sz w:val="21"/>
          <w:szCs w:val="21"/>
        </w:rPr>
        <w:t>（2）风险管理委员会</w:t>
      </w:r>
    </w:p>
    <w:p>
      <w:pPr>
        <w:pStyle w:val="7"/>
        <w:spacing w:before="0" w:beforeAutospacing="0" w:after="0" w:afterAutospacing="0" w:line="360" w:lineRule="auto"/>
        <w:ind w:firstLine="420"/>
        <w:rPr>
          <w:rFonts w:hint="eastAsia"/>
          <w:sz w:val="21"/>
          <w:szCs w:val="21"/>
        </w:rPr>
      </w:pPr>
      <w:r>
        <w:rPr>
          <w:rFonts w:hint="eastAsia"/>
          <w:sz w:val="21"/>
          <w:szCs w:val="21"/>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pPr>
        <w:pStyle w:val="7"/>
        <w:spacing w:before="0" w:beforeAutospacing="0" w:after="0" w:afterAutospacing="0" w:line="360" w:lineRule="auto"/>
        <w:ind w:firstLine="420"/>
        <w:rPr>
          <w:rFonts w:hint="eastAsia"/>
          <w:sz w:val="21"/>
          <w:szCs w:val="21"/>
        </w:rPr>
      </w:pPr>
      <w:r>
        <w:rPr>
          <w:rFonts w:hint="eastAsia"/>
          <w:sz w:val="21"/>
          <w:szCs w:val="21"/>
        </w:rPr>
        <w:t>（3）督察长</w:t>
      </w:r>
    </w:p>
    <w:p>
      <w:pPr>
        <w:pStyle w:val="7"/>
        <w:spacing w:before="0" w:beforeAutospacing="0" w:after="0" w:afterAutospacing="0" w:line="360" w:lineRule="auto"/>
        <w:ind w:firstLine="420"/>
        <w:rPr>
          <w:rFonts w:hint="eastAsia"/>
          <w:sz w:val="21"/>
          <w:szCs w:val="21"/>
        </w:rPr>
      </w:pPr>
      <w:r>
        <w:rPr>
          <w:rFonts w:hint="eastAsia"/>
          <w:sz w:val="21"/>
          <w:szCs w:val="21"/>
        </w:rPr>
        <w:t>独立行使督察权利；直接对董事会负责；按季向风险管理委员会提交独立的风险管理报告和风险管理建议。</w:t>
      </w:r>
    </w:p>
    <w:p>
      <w:pPr>
        <w:pStyle w:val="7"/>
        <w:spacing w:before="0" w:beforeAutospacing="0" w:after="0" w:afterAutospacing="0" w:line="360" w:lineRule="auto"/>
        <w:ind w:firstLine="420"/>
        <w:rPr>
          <w:rFonts w:hint="eastAsia"/>
          <w:sz w:val="21"/>
          <w:szCs w:val="21"/>
        </w:rPr>
      </w:pPr>
      <w:r>
        <w:rPr>
          <w:rFonts w:hint="eastAsia"/>
          <w:sz w:val="21"/>
          <w:szCs w:val="21"/>
        </w:rPr>
        <w:t>（4）法律</w:t>
      </w:r>
      <w:r>
        <w:rPr>
          <w:rFonts w:hint="eastAsia"/>
          <w:sz w:val="21"/>
          <w:szCs w:val="21"/>
          <w:lang w:eastAsia="zh-CN"/>
        </w:rPr>
        <w:t>合规</w:t>
      </w:r>
      <w:r>
        <w:rPr>
          <w:rFonts w:hint="eastAsia"/>
          <w:sz w:val="21"/>
          <w:szCs w:val="21"/>
        </w:rPr>
        <w:t>部</w:t>
      </w:r>
    </w:p>
    <w:p>
      <w:pPr>
        <w:pStyle w:val="7"/>
        <w:spacing w:before="0" w:beforeAutospacing="0" w:after="0" w:afterAutospacing="0" w:line="360" w:lineRule="auto"/>
        <w:ind w:firstLine="420"/>
        <w:rPr>
          <w:rFonts w:hint="eastAsia"/>
          <w:sz w:val="21"/>
          <w:szCs w:val="21"/>
        </w:rPr>
      </w:pPr>
      <w:r>
        <w:rPr>
          <w:rFonts w:hint="eastAsia"/>
          <w:sz w:val="21"/>
          <w:szCs w:val="21"/>
        </w:rPr>
        <w:t>法律</w:t>
      </w:r>
      <w:r>
        <w:rPr>
          <w:rFonts w:hint="eastAsia"/>
          <w:sz w:val="21"/>
          <w:szCs w:val="21"/>
          <w:lang w:eastAsia="zh-CN"/>
        </w:rPr>
        <w:t>合规</w:t>
      </w:r>
      <w:r>
        <w:rPr>
          <w:rFonts w:hint="eastAsia"/>
          <w:sz w:val="21"/>
          <w:szCs w:val="21"/>
        </w:rPr>
        <w:t>部负责对公司风险管理政策和措施的执行情况进行</w:t>
      </w:r>
      <w:r>
        <w:rPr>
          <w:rFonts w:hint="eastAsia"/>
          <w:sz w:val="21"/>
          <w:szCs w:val="21"/>
          <w:lang w:eastAsia="zh-CN"/>
        </w:rPr>
        <w:t>监督和检查</w:t>
      </w:r>
      <w:r>
        <w:rPr>
          <w:rFonts w:hint="eastAsia"/>
          <w:sz w:val="21"/>
          <w:szCs w:val="21"/>
        </w:rPr>
        <w:t>，并为每一个部门的风险管理系统的发展提供协助，使公司在一种风险管理和控制的环境中实现业务目标。</w:t>
      </w:r>
    </w:p>
    <w:p>
      <w:pPr>
        <w:pStyle w:val="7"/>
        <w:spacing w:before="0" w:beforeAutospacing="0" w:after="0" w:afterAutospacing="0" w:line="360" w:lineRule="auto"/>
        <w:ind w:firstLine="420"/>
        <w:rPr>
          <w:rFonts w:hint="eastAsia"/>
          <w:sz w:val="21"/>
          <w:szCs w:val="21"/>
        </w:rPr>
      </w:pPr>
      <w:r>
        <w:rPr>
          <w:rFonts w:hint="eastAsia"/>
          <w:sz w:val="21"/>
          <w:szCs w:val="21"/>
        </w:rPr>
        <w:t>（5）风险管理部</w:t>
      </w:r>
    </w:p>
    <w:p>
      <w:pPr>
        <w:pStyle w:val="7"/>
        <w:spacing w:before="0" w:beforeAutospacing="0" w:after="0" w:afterAutospacing="0" w:line="360" w:lineRule="auto"/>
        <w:ind w:firstLine="420"/>
        <w:rPr>
          <w:rFonts w:hint="eastAsia"/>
          <w:sz w:val="21"/>
          <w:szCs w:val="21"/>
        </w:rPr>
      </w:pPr>
      <w:r>
        <w:rPr>
          <w:rFonts w:hint="eastAsia"/>
          <w:sz w:val="21"/>
          <w:szCs w:val="21"/>
        </w:rPr>
        <w:t>风险管理部负责建立和完善公司投资风险管理制度与流程，组织实施公司投资风险管理与绩效分析工作，确保公司各类投资风险得到良好监督与控制。</w:t>
      </w:r>
    </w:p>
    <w:p>
      <w:pPr>
        <w:pStyle w:val="7"/>
        <w:spacing w:before="0" w:beforeAutospacing="0" w:after="0" w:afterAutospacing="0" w:line="360" w:lineRule="auto"/>
        <w:ind w:firstLine="420"/>
        <w:rPr>
          <w:rFonts w:hint="eastAsia"/>
          <w:sz w:val="21"/>
          <w:szCs w:val="21"/>
        </w:rPr>
      </w:pPr>
      <w:r>
        <w:rPr>
          <w:rFonts w:hint="eastAsia"/>
          <w:sz w:val="21"/>
          <w:szCs w:val="21"/>
        </w:rPr>
        <w:t>（6）业务部门</w:t>
      </w:r>
    </w:p>
    <w:p>
      <w:pPr>
        <w:pStyle w:val="7"/>
        <w:spacing w:before="0" w:beforeAutospacing="0" w:after="0" w:afterAutospacing="0" w:line="360" w:lineRule="auto"/>
        <w:ind w:firstLine="420"/>
        <w:rPr>
          <w:rFonts w:hint="eastAsia"/>
          <w:sz w:val="21"/>
          <w:szCs w:val="21"/>
        </w:rPr>
      </w:pPr>
      <w:r>
        <w:rPr>
          <w:rFonts w:hint="eastAsia"/>
          <w:sz w:val="21"/>
          <w:szCs w:val="21"/>
        </w:rPr>
        <w:t>风险管理是每一个业务部门最首要的责任。部门经理对本部门的风险负全部责任，负责履行公司的风险管理程序，负责本部门的风险管理系统的开发、执行和维护，用于识别、监控和降低风险。</w:t>
      </w:r>
    </w:p>
    <w:p>
      <w:pPr>
        <w:pStyle w:val="7"/>
        <w:spacing w:before="0" w:beforeAutospacing="0" w:after="0" w:afterAutospacing="0" w:line="360" w:lineRule="auto"/>
        <w:ind w:firstLine="420"/>
        <w:rPr>
          <w:rFonts w:hint="eastAsia"/>
          <w:sz w:val="21"/>
          <w:szCs w:val="21"/>
        </w:rPr>
      </w:pPr>
      <w:r>
        <w:rPr>
          <w:rFonts w:hint="eastAsia"/>
          <w:sz w:val="21"/>
          <w:szCs w:val="21"/>
        </w:rPr>
        <w:t>3、风险管理和内部风险控制的措施</w:t>
      </w:r>
    </w:p>
    <w:p>
      <w:pPr>
        <w:pStyle w:val="7"/>
        <w:spacing w:before="0" w:beforeAutospacing="0" w:after="0" w:afterAutospacing="0" w:line="360" w:lineRule="auto"/>
        <w:ind w:firstLine="420"/>
        <w:rPr>
          <w:rFonts w:hint="eastAsia"/>
          <w:sz w:val="21"/>
          <w:szCs w:val="21"/>
        </w:rPr>
      </w:pPr>
      <w:r>
        <w:rPr>
          <w:rFonts w:hint="eastAsia"/>
          <w:sz w:val="21"/>
          <w:szCs w:val="21"/>
        </w:rPr>
        <w:t>（1）建立内控结构，完善内控制度</w:t>
      </w:r>
    </w:p>
    <w:p>
      <w:pPr>
        <w:pStyle w:val="7"/>
        <w:spacing w:before="0" w:beforeAutospacing="0" w:after="0" w:afterAutospacing="0" w:line="360" w:lineRule="auto"/>
        <w:ind w:firstLine="420"/>
        <w:rPr>
          <w:rFonts w:hint="eastAsia"/>
          <w:sz w:val="21"/>
          <w:szCs w:val="21"/>
        </w:rPr>
      </w:pPr>
      <w:r>
        <w:rPr>
          <w:rFonts w:hint="eastAsia"/>
          <w:sz w:val="21"/>
          <w:szCs w:val="21"/>
        </w:rPr>
        <w:t>公司建立、健全了内控结构，高管人员关于内控有明确的分工，确保各项业务活动有恰当的组织和授权，确保监察活动是独立的，并得到高管人员的支持，同时置备操作手册，并定期更新。</w:t>
      </w:r>
    </w:p>
    <w:p>
      <w:pPr>
        <w:pStyle w:val="7"/>
        <w:spacing w:before="0" w:beforeAutospacing="0" w:after="0" w:afterAutospacing="0" w:line="360" w:lineRule="auto"/>
        <w:ind w:firstLine="420"/>
        <w:rPr>
          <w:rFonts w:hint="eastAsia"/>
          <w:sz w:val="21"/>
          <w:szCs w:val="21"/>
        </w:rPr>
      </w:pPr>
      <w:r>
        <w:rPr>
          <w:rFonts w:hint="eastAsia"/>
          <w:sz w:val="21"/>
          <w:szCs w:val="21"/>
        </w:rPr>
        <w:t>（2）建立相互分离、相互制衡的内控机制</w:t>
      </w:r>
    </w:p>
    <w:p>
      <w:pPr>
        <w:pStyle w:val="7"/>
        <w:spacing w:before="0" w:beforeAutospacing="0" w:after="0" w:afterAutospacing="0" w:line="360" w:lineRule="auto"/>
        <w:ind w:firstLine="420"/>
        <w:rPr>
          <w:rFonts w:hint="eastAsia"/>
          <w:sz w:val="21"/>
          <w:szCs w:val="21"/>
        </w:rPr>
      </w:pPr>
      <w:r>
        <w:rPr>
          <w:rFonts w:hint="eastAsia"/>
          <w:sz w:val="21"/>
          <w:szCs w:val="21"/>
        </w:rPr>
        <w:t>建立、健全了各项制度，做到基金经理分开，投资决策分开，基金交易集中，形成不同部门，不同岗位之间的制衡机制，从制度上减少和防范风险。</w:t>
      </w:r>
    </w:p>
    <w:p>
      <w:pPr>
        <w:pStyle w:val="7"/>
        <w:spacing w:before="0" w:beforeAutospacing="0" w:after="0" w:afterAutospacing="0" w:line="360" w:lineRule="auto"/>
        <w:ind w:firstLine="420"/>
        <w:rPr>
          <w:rFonts w:hint="eastAsia"/>
          <w:sz w:val="21"/>
          <w:szCs w:val="21"/>
        </w:rPr>
      </w:pPr>
      <w:r>
        <w:rPr>
          <w:rFonts w:hint="eastAsia"/>
          <w:sz w:val="21"/>
          <w:szCs w:val="21"/>
        </w:rPr>
        <w:t>（3）建立、健全岗位责任制</w:t>
      </w:r>
    </w:p>
    <w:p>
      <w:pPr>
        <w:pStyle w:val="7"/>
        <w:spacing w:before="0" w:beforeAutospacing="0" w:after="0" w:afterAutospacing="0" w:line="360" w:lineRule="auto"/>
        <w:ind w:firstLine="420"/>
        <w:rPr>
          <w:rFonts w:hint="eastAsia"/>
          <w:sz w:val="21"/>
          <w:szCs w:val="21"/>
        </w:rPr>
      </w:pPr>
      <w:r>
        <w:rPr>
          <w:rFonts w:hint="eastAsia"/>
          <w:sz w:val="21"/>
          <w:szCs w:val="21"/>
        </w:rPr>
        <w:t>建立、健全了岗位责任制，使每个员工都明确自己的任务、职责，并及时将各自工作领域中的风险隐患上报，以防范和减少风险。</w:t>
      </w:r>
    </w:p>
    <w:p>
      <w:pPr>
        <w:pStyle w:val="7"/>
        <w:spacing w:before="0" w:beforeAutospacing="0" w:after="0" w:afterAutospacing="0" w:line="360" w:lineRule="auto"/>
        <w:ind w:firstLine="420"/>
        <w:rPr>
          <w:rFonts w:hint="eastAsia"/>
          <w:sz w:val="21"/>
          <w:szCs w:val="21"/>
        </w:rPr>
      </w:pPr>
      <w:r>
        <w:rPr>
          <w:rFonts w:hint="eastAsia"/>
          <w:sz w:val="21"/>
          <w:szCs w:val="21"/>
        </w:rPr>
        <w:t>（4）建立风险分类、识别、评估、报告、提示程序</w:t>
      </w:r>
    </w:p>
    <w:p>
      <w:pPr>
        <w:pStyle w:val="7"/>
        <w:spacing w:before="0" w:beforeAutospacing="0" w:after="0" w:afterAutospacing="0" w:line="360" w:lineRule="auto"/>
        <w:ind w:firstLine="420"/>
        <w:rPr>
          <w:rFonts w:hint="eastAsia"/>
          <w:sz w:val="21"/>
          <w:szCs w:val="21"/>
        </w:rPr>
      </w:pPr>
      <w:r>
        <w:rPr>
          <w:rFonts w:hint="eastAsia"/>
          <w:sz w:val="21"/>
          <w:szCs w:val="21"/>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pPr>
        <w:pStyle w:val="7"/>
        <w:spacing w:before="0" w:beforeAutospacing="0" w:after="0" w:afterAutospacing="0" w:line="360" w:lineRule="auto"/>
        <w:ind w:firstLine="420"/>
        <w:rPr>
          <w:rFonts w:hint="eastAsia"/>
          <w:sz w:val="21"/>
          <w:szCs w:val="21"/>
        </w:rPr>
      </w:pPr>
      <w:r>
        <w:rPr>
          <w:rFonts w:hint="eastAsia"/>
          <w:sz w:val="21"/>
          <w:szCs w:val="21"/>
        </w:rPr>
        <w:t>（5）建立有效的内部监控系统</w:t>
      </w:r>
    </w:p>
    <w:p>
      <w:pPr>
        <w:pStyle w:val="7"/>
        <w:spacing w:before="0" w:beforeAutospacing="0" w:after="0" w:afterAutospacing="0" w:line="360" w:lineRule="auto"/>
        <w:ind w:firstLine="420"/>
        <w:rPr>
          <w:rFonts w:hint="eastAsia"/>
          <w:sz w:val="21"/>
          <w:szCs w:val="21"/>
        </w:rPr>
      </w:pPr>
      <w:r>
        <w:rPr>
          <w:rFonts w:hint="eastAsia"/>
          <w:sz w:val="21"/>
          <w:szCs w:val="21"/>
        </w:rPr>
        <w:t>建立了足够、有效的内部监控系统，如电脑预警系统、投资监控系统，对可能出现的各种风险进行全面和实时的监控。</w:t>
      </w:r>
    </w:p>
    <w:p>
      <w:pPr>
        <w:pStyle w:val="7"/>
        <w:spacing w:before="0" w:beforeAutospacing="0" w:after="0" w:afterAutospacing="0" w:line="360" w:lineRule="auto"/>
        <w:ind w:firstLine="420"/>
        <w:rPr>
          <w:rFonts w:hint="eastAsia"/>
          <w:sz w:val="21"/>
          <w:szCs w:val="21"/>
        </w:rPr>
      </w:pPr>
      <w:r>
        <w:rPr>
          <w:rFonts w:hint="eastAsia"/>
          <w:sz w:val="21"/>
          <w:szCs w:val="21"/>
        </w:rPr>
        <w:t>（6）使用数量化的风险管理手段</w:t>
      </w:r>
    </w:p>
    <w:p>
      <w:pPr>
        <w:pStyle w:val="7"/>
        <w:spacing w:before="0" w:beforeAutospacing="0" w:after="0" w:afterAutospacing="0" w:line="360" w:lineRule="auto"/>
        <w:ind w:firstLine="420"/>
        <w:rPr>
          <w:rFonts w:hint="eastAsia"/>
          <w:sz w:val="21"/>
          <w:szCs w:val="21"/>
        </w:rPr>
      </w:pPr>
      <w:r>
        <w:rPr>
          <w:rFonts w:hint="eastAsia"/>
          <w:sz w:val="21"/>
          <w:szCs w:val="21"/>
        </w:rPr>
        <w:t>采取数量化、技术化的风险控制手段，建立数量化的风险管理模型，用以提示指数趋势、行业及个股的风险，以便公司及时采取有效的措施，对风险进行分散、控制和规避，尽可能地减少损失。</w:t>
      </w:r>
    </w:p>
    <w:p>
      <w:pPr>
        <w:pStyle w:val="7"/>
        <w:spacing w:before="0" w:beforeAutospacing="0" w:after="0" w:afterAutospacing="0" w:line="360" w:lineRule="auto"/>
        <w:ind w:firstLine="420"/>
        <w:rPr>
          <w:rFonts w:hint="eastAsia"/>
          <w:sz w:val="21"/>
          <w:szCs w:val="21"/>
        </w:rPr>
      </w:pPr>
      <w:r>
        <w:rPr>
          <w:rFonts w:hint="eastAsia"/>
          <w:sz w:val="21"/>
          <w:szCs w:val="21"/>
        </w:rPr>
        <w:t>（7）提供足够的培训</w:t>
      </w:r>
    </w:p>
    <w:p>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制定了完整的培训计划，为所有员工提供足够和适当的培训，使员工明确其职责所在，控制风险</w:t>
      </w:r>
      <w:r>
        <w:rPr>
          <w:rFonts w:hint="eastAsia"/>
          <w:sz w:val="21"/>
          <w:szCs w:val="21"/>
          <w:lang w:eastAsia="zh-CN"/>
        </w:rPr>
        <w:t>。</w:t>
      </w:r>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47" w:name="_Toc207926655"/>
      <w:bookmarkStart w:id="48" w:name="chapter_level1_6_55"/>
      <w:r>
        <w:rPr>
          <w:rFonts w:hint="eastAsia" w:ascii="宋体" w:hAnsi="宋体" w:eastAsia="宋体"/>
          <w:sz w:val="30"/>
        </w:rPr>
        <w:t>第四部分  基金托管人</w:t>
      </w:r>
      <w:bookmarkEnd w:id="47"/>
      <w:bookmarkEnd w:id="48"/>
    </w:p>
    <w:p>
      <w:pPr>
        <w:pStyle w:val="7"/>
        <w:spacing w:before="0" w:beforeAutospacing="0" w:after="0" w:afterAutospacing="0" w:line="360" w:lineRule="auto"/>
        <w:ind w:firstLine="420"/>
        <w:rPr>
          <w:sz w:val="21"/>
          <w:szCs w:val="21"/>
        </w:rPr>
      </w:pPr>
      <w:bookmarkStart w:id="49" w:name="chapter_level1_6_55_section_1"/>
      <w:bookmarkEnd w:id="49"/>
      <w:bookmarkStart w:id="50" w:name="field_0_trustcompanyinfo_1_start"/>
      <w:bookmarkEnd w:id="50"/>
      <w:r>
        <w:rPr>
          <w:rFonts w:hint="eastAsia"/>
          <w:sz w:val="21"/>
          <w:szCs w:val="21"/>
        </w:rPr>
        <w:t xml:space="preserve">（一）基本情况 </w:t>
      </w:r>
    </w:p>
    <w:p>
      <w:pPr>
        <w:pStyle w:val="7"/>
        <w:spacing w:before="0" w:beforeAutospacing="0" w:after="0" w:afterAutospacing="0" w:line="360" w:lineRule="auto"/>
        <w:ind w:firstLine="420"/>
        <w:rPr>
          <w:sz w:val="21"/>
          <w:szCs w:val="21"/>
        </w:rPr>
      </w:pPr>
      <w:r>
        <w:rPr>
          <w:rFonts w:hint="eastAsia"/>
          <w:sz w:val="21"/>
          <w:szCs w:val="21"/>
        </w:rPr>
        <w:t xml:space="preserve">名称：中国光大银行股份有限公司 </w:t>
      </w:r>
    </w:p>
    <w:p>
      <w:pPr>
        <w:pStyle w:val="7"/>
        <w:spacing w:before="0" w:beforeAutospacing="0" w:after="0" w:afterAutospacing="0" w:line="360" w:lineRule="auto"/>
        <w:ind w:firstLine="420"/>
        <w:rPr>
          <w:sz w:val="21"/>
          <w:szCs w:val="21"/>
        </w:rPr>
      </w:pPr>
      <w:r>
        <w:rPr>
          <w:rFonts w:hint="eastAsia"/>
          <w:sz w:val="21"/>
          <w:szCs w:val="21"/>
        </w:rPr>
        <w:t xml:space="preserve">住所及办公地址：北京市西城区太平桥大街25 号、甲25 号中国光大中心 </w:t>
      </w:r>
    </w:p>
    <w:p>
      <w:pPr>
        <w:pStyle w:val="7"/>
        <w:spacing w:before="0" w:beforeAutospacing="0" w:after="0" w:afterAutospacing="0" w:line="360" w:lineRule="auto"/>
        <w:ind w:firstLine="420"/>
        <w:rPr>
          <w:sz w:val="21"/>
          <w:szCs w:val="21"/>
        </w:rPr>
      </w:pPr>
      <w:r>
        <w:rPr>
          <w:rFonts w:hint="eastAsia"/>
          <w:sz w:val="21"/>
          <w:szCs w:val="21"/>
        </w:rPr>
        <w:t xml:space="preserve">成立日期：1992年6月18日 </w:t>
      </w:r>
    </w:p>
    <w:p>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批准设立机关和批准设立文号：国务院、国函[1992]7号 </w:t>
      </w:r>
    </w:p>
    <w:p>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pPr>
        <w:pStyle w:val="7"/>
        <w:spacing w:before="0" w:beforeAutospacing="0" w:after="0" w:afterAutospacing="0" w:line="360" w:lineRule="auto"/>
        <w:ind w:firstLine="420"/>
        <w:rPr>
          <w:sz w:val="21"/>
          <w:szCs w:val="21"/>
        </w:rPr>
      </w:pPr>
      <w:r>
        <w:rPr>
          <w:rFonts w:hint="eastAsia"/>
          <w:sz w:val="21"/>
          <w:szCs w:val="21"/>
        </w:rPr>
        <w:t xml:space="preserve">注册资本：590.85551亿元人民币 </w:t>
      </w:r>
    </w:p>
    <w:p>
      <w:pPr>
        <w:pStyle w:val="7"/>
        <w:spacing w:before="0" w:beforeAutospacing="0" w:after="0" w:afterAutospacing="0" w:line="360" w:lineRule="auto"/>
        <w:ind w:firstLine="420"/>
        <w:rPr>
          <w:sz w:val="21"/>
          <w:szCs w:val="21"/>
        </w:rPr>
      </w:pPr>
      <w:r>
        <w:rPr>
          <w:rFonts w:hint="eastAsia"/>
          <w:sz w:val="21"/>
          <w:szCs w:val="21"/>
        </w:rPr>
        <w:t xml:space="preserve">法定代表人：吴利军 </w:t>
      </w:r>
    </w:p>
    <w:p>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基金托管业务批准文号：中国证监会证监基字【2002】75号 </w:t>
      </w:r>
    </w:p>
    <w:p>
      <w:pPr>
        <w:pStyle w:val="7"/>
        <w:spacing w:before="0" w:beforeAutospacing="0" w:after="0" w:afterAutospacing="0" w:line="360" w:lineRule="auto"/>
        <w:ind w:firstLine="420"/>
        <w:rPr>
          <w:sz w:val="21"/>
          <w:szCs w:val="21"/>
        </w:rPr>
      </w:pPr>
      <w:r>
        <w:rPr>
          <w:rFonts w:hint="eastAsia"/>
          <w:sz w:val="21"/>
          <w:szCs w:val="21"/>
        </w:rPr>
        <w:t xml:space="preserve">资产托管部总经理：贾光华 </w:t>
      </w:r>
    </w:p>
    <w:p>
      <w:pPr>
        <w:pStyle w:val="7"/>
        <w:spacing w:before="0" w:beforeAutospacing="0" w:after="0" w:afterAutospacing="0" w:line="360" w:lineRule="auto"/>
        <w:ind w:firstLine="420"/>
        <w:rPr>
          <w:sz w:val="21"/>
          <w:szCs w:val="21"/>
        </w:rPr>
      </w:pPr>
      <w:r>
        <w:rPr>
          <w:rFonts w:hint="eastAsia"/>
          <w:sz w:val="21"/>
          <w:szCs w:val="21"/>
        </w:rPr>
        <w:t xml:space="preserve">电话：（010） 63636363 </w:t>
      </w:r>
    </w:p>
    <w:p>
      <w:pPr>
        <w:pStyle w:val="7"/>
        <w:spacing w:before="0" w:beforeAutospacing="0" w:after="0" w:afterAutospacing="0" w:line="360" w:lineRule="auto"/>
        <w:ind w:firstLine="420"/>
        <w:rPr>
          <w:sz w:val="21"/>
          <w:szCs w:val="21"/>
        </w:rPr>
      </w:pPr>
      <w:r>
        <w:rPr>
          <w:rFonts w:hint="eastAsia"/>
          <w:sz w:val="21"/>
          <w:szCs w:val="21"/>
        </w:rPr>
        <w:t xml:space="preserve">传真：（010） 63639132 </w:t>
      </w:r>
    </w:p>
    <w:p>
      <w:pPr>
        <w:pStyle w:val="7"/>
        <w:spacing w:before="0" w:beforeAutospacing="0" w:after="0" w:afterAutospacing="0" w:line="360" w:lineRule="auto"/>
        <w:ind w:firstLine="420"/>
        <w:rPr>
          <w:sz w:val="21"/>
          <w:szCs w:val="21"/>
        </w:rPr>
      </w:pPr>
      <w:r>
        <w:rPr>
          <w:rFonts w:hint="eastAsia"/>
          <w:sz w:val="21"/>
          <w:szCs w:val="21"/>
        </w:rPr>
        <w:t xml:space="preserve">网址：www.cebbank.com </w:t>
      </w:r>
    </w:p>
    <w:p>
      <w:pPr>
        <w:pStyle w:val="7"/>
        <w:spacing w:before="0" w:beforeAutospacing="0" w:after="0" w:afterAutospacing="0" w:line="360" w:lineRule="auto"/>
        <w:ind w:firstLine="420"/>
        <w:rPr>
          <w:sz w:val="21"/>
          <w:szCs w:val="21"/>
        </w:rPr>
      </w:pPr>
      <w:r>
        <w:rPr>
          <w:rFonts w:hint="eastAsia"/>
          <w:sz w:val="21"/>
          <w:szCs w:val="21"/>
        </w:rPr>
        <w:t xml:space="preserve">（二）主要人员情况 </w:t>
      </w:r>
    </w:p>
    <w:p>
      <w:pPr>
        <w:pStyle w:val="7"/>
        <w:spacing w:before="0" w:beforeAutospacing="0" w:after="0" w:afterAutospacing="0" w:line="360" w:lineRule="auto"/>
        <w:ind w:firstLine="420"/>
        <w:rPr>
          <w:sz w:val="21"/>
          <w:szCs w:val="21"/>
        </w:rPr>
      </w:pPr>
      <w:r>
        <w:rPr>
          <w:rFonts w:hint="eastAsia"/>
          <w:sz w:val="21"/>
          <w:szCs w:val="21"/>
        </w:rPr>
        <w:t xml:space="preserve">董事长吴利军先生，自2020年3月起任本行副董事长、2024年1月起任本行董事长。现任中国光大集团股份公司党委书记、董事长，兼任中国光大集团股份公司党校校长。曾任国内贸易部国家物资储备调节中心副主任(副局级)，中国证券监督管理委员会信息中心负责人，培训中心副主任(主持工作)，人事教育部主任、党委组织部部长，中国证券监督管理委员会党委委员、主席助理，深圳证券交易所理事会理事长、党委书记(副部长级)，中国光大集团股份公司党委副书记、副董事长、总经理。获经济学博士学位，高级经济师。 </w:t>
      </w:r>
    </w:p>
    <w:p>
      <w:pPr>
        <w:pStyle w:val="7"/>
        <w:spacing w:before="0" w:beforeAutospacing="0" w:after="0" w:afterAutospacing="0" w:line="360" w:lineRule="auto"/>
        <w:ind w:firstLine="420"/>
        <w:rPr>
          <w:sz w:val="21"/>
          <w:szCs w:val="21"/>
        </w:rPr>
      </w:pPr>
      <w:r>
        <w:rPr>
          <w:rFonts w:hint="eastAsia"/>
          <w:sz w:val="21"/>
          <w:szCs w:val="21"/>
        </w:rPr>
        <w:t xml:space="preserve">行长郝成先生，自2024年6月起任本行党委书记，2024年8月起任本行执行董事、行长。现任中国光大集团股份公司党委委员、执行董事。历任国家开发银行天津分行党委委员、副行长，国家开发银行人事局副局长、党委组织部副部长，国家开发银行吉林分行党委书记、行长，交通银行党委委员、副行长。获管理学博士学位，高级工程师。 </w:t>
      </w:r>
    </w:p>
    <w:p>
      <w:pPr>
        <w:pStyle w:val="7"/>
        <w:spacing w:before="0" w:beforeAutospacing="0" w:after="0" w:afterAutospacing="0" w:line="360" w:lineRule="auto"/>
        <w:ind w:firstLine="420"/>
        <w:rPr>
          <w:sz w:val="21"/>
          <w:szCs w:val="21"/>
        </w:rPr>
      </w:pPr>
      <w:r>
        <w:rPr>
          <w:rFonts w:hint="eastAsia"/>
          <w:sz w:val="21"/>
          <w:szCs w:val="21"/>
        </w:rPr>
        <w:t xml:space="preserve">资产托管部总经理贾光华先生，1994年7月在光大银行总行营业部参加工作，2005年10月调入同业机构部（后更名为金融同业部）后，先后任处长、总经理助理、副总经理、副总经理（主持工作），2018年5月任金融同业部总经理，2025年1月任资产托管部总经理。 </w:t>
      </w:r>
    </w:p>
    <w:p>
      <w:pPr>
        <w:pStyle w:val="7"/>
        <w:spacing w:before="0" w:beforeAutospacing="0" w:after="0" w:afterAutospacing="0" w:line="360" w:lineRule="auto"/>
        <w:ind w:firstLine="420"/>
        <w:rPr>
          <w:sz w:val="21"/>
          <w:szCs w:val="21"/>
        </w:rPr>
      </w:pPr>
      <w:r>
        <w:rPr>
          <w:rFonts w:hint="eastAsia"/>
          <w:sz w:val="21"/>
          <w:szCs w:val="21"/>
        </w:rPr>
        <w:t xml:space="preserve">（三）证券投资基金托管情况 </w:t>
      </w:r>
    </w:p>
    <w:p>
      <w:pPr>
        <w:pStyle w:val="7"/>
        <w:spacing w:before="0" w:beforeAutospacing="0" w:after="0" w:afterAutospacing="0" w:line="360" w:lineRule="auto"/>
        <w:ind w:firstLine="420"/>
        <w:rPr>
          <w:sz w:val="21"/>
          <w:szCs w:val="21"/>
        </w:rPr>
      </w:pPr>
      <w:r>
        <w:rPr>
          <w:rFonts w:hint="eastAsia"/>
          <w:sz w:val="21"/>
          <w:szCs w:val="21"/>
        </w:rPr>
        <w:t>截至2025年6月30日，中国光大银行股份有限公司托管公开募集证券投资基金共350只，托管基金资产规模7164.75亿元。同时，开展了证券公司资产管理计划、基金公司客户资产管理计划、职业年金、企业年金、QDII、QFII、银行理财、保险债权投资计划等资产的</w:t>
      </w:r>
      <w:bookmarkStart w:id="51" w:name="chapter_level1_6_55_section_1_end"/>
      <w:bookmarkEnd w:id="51"/>
      <w:r>
        <w:rPr>
          <w:rFonts w:hint="eastAsia"/>
          <w:sz w:val="21"/>
          <w:szCs w:val="21"/>
        </w:rPr>
        <w:t xml:space="preserve">托管及信托公司资金信托计划、产业投资基金、股权基金等产品的保管业务。 </w:t>
      </w:r>
      <w:bookmarkStart w:id="52" w:name="field_0_trustcompanyinfo_1_end"/>
      <w:bookmarkEnd w:id="52"/>
      <w:r>
        <w:rPr>
          <w:rFonts w:hint="eastAsia"/>
          <w:sz w:val="21"/>
          <w:szCs w:val="21"/>
        </w:rPr>
        <w:t xml:space="preserve">  </w:t>
      </w:r>
    </w:p>
    <w:p>
      <w:pPr>
        <w:pStyle w:val="7"/>
        <w:spacing w:before="0" w:beforeAutospacing="0" w:after="0" w:afterAutospacing="0" w:line="360" w:lineRule="auto"/>
        <w:ind w:firstLine="420"/>
        <w:rPr>
          <w:sz w:val="21"/>
          <w:szCs w:val="21"/>
        </w:rPr>
      </w:pPr>
      <w:bookmarkStart w:id="53" w:name="chapter_level1_6_55_section_2"/>
      <w:bookmarkEnd w:id="53"/>
      <w:bookmarkStart w:id="54" w:name="field_0_trustcontrollawinfo_1_start"/>
      <w:bookmarkEnd w:id="54"/>
      <w:r>
        <w:rPr>
          <w:rFonts w:hint="eastAsia"/>
          <w:sz w:val="21"/>
          <w:szCs w:val="21"/>
        </w:rPr>
        <w:t xml:space="preserve">（四）托管业务的内部控制制度 </w:t>
      </w:r>
    </w:p>
    <w:p>
      <w:pPr>
        <w:pStyle w:val="7"/>
        <w:spacing w:before="0" w:beforeAutospacing="0" w:after="0" w:afterAutospacing="0" w:line="360" w:lineRule="auto"/>
        <w:ind w:firstLine="420"/>
        <w:rPr>
          <w:sz w:val="21"/>
          <w:szCs w:val="21"/>
        </w:rPr>
      </w:pPr>
      <w:r>
        <w:rPr>
          <w:rFonts w:hint="eastAsia"/>
          <w:sz w:val="21"/>
          <w:szCs w:val="21"/>
        </w:rPr>
        <w:t xml:space="preserve">1、内部控制目标 </w:t>
      </w:r>
    </w:p>
    <w:p>
      <w:pPr>
        <w:pStyle w:val="7"/>
        <w:spacing w:before="0" w:beforeAutospacing="0" w:after="0" w:afterAutospacing="0" w:line="360" w:lineRule="auto"/>
        <w:ind w:firstLine="420"/>
        <w:rPr>
          <w:sz w:val="21"/>
          <w:szCs w:val="21"/>
        </w:rPr>
      </w:pPr>
      <w:r>
        <w:rPr>
          <w:rFonts w:hint="eastAsia"/>
          <w:sz w:val="21"/>
          <w:szCs w:val="21"/>
        </w:rPr>
        <w:t xml:space="preserve">确保有关法律法规在基金托管业务中得到全面严格的贯彻执行；确保基金托管人有关基金托管的各项管理制度和业务操作规程在基金托管业务中得到全面严格的贯彻执行；确保基金财产安全；保证基金托管业务稳健运行；保护基金份额持有人、基金管理公司及基金托管人的合法权益。 </w:t>
      </w:r>
    </w:p>
    <w:p>
      <w:pPr>
        <w:pStyle w:val="7"/>
        <w:spacing w:before="0" w:beforeAutospacing="0" w:after="0" w:afterAutospacing="0" w:line="360" w:lineRule="auto"/>
        <w:ind w:firstLine="420"/>
        <w:rPr>
          <w:sz w:val="21"/>
          <w:szCs w:val="21"/>
        </w:rPr>
      </w:pPr>
      <w:r>
        <w:rPr>
          <w:rFonts w:hint="eastAsia"/>
          <w:sz w:val="21"/>
          <w:szCs w:val="21"/>
        </w:rPr>
        <w:t xml:space="preserve">2、内部控制的原则 </w:t>
      </w:r>
    </w:p>
    <w:p>
      <w:pPr>
        <w:pStyle w:val="7"/>
        <w:spacing w:before="0" w:beforeAutospacing="0" w:after="0" w:afterAutospacing="0" w:line="360" w:lineRule="auto"/>
        <w:ind w:firstLine="420"/>
        <w:rPr>
          <w:sz w:val="21"/>
          <w:szCs w:val="21"/>
        </w:rPr>
      </w:pPr>
      <w:r>
        <w:rPr>
          <w:rFonts w:hint="eastAsia"/>
          <w:sz w:val="21"/>
          <w:szCs w:val="21"/>
        </w:rPr>
        <w:t xml:space="preserve">（1）全面性原则。内部控制必须渗透到基金托管业务的各个操作环节，覆盖所有的岗位，不留任何死角。 </w:t>
      </w:r>
    </w:p>
    <w:p>
      <w:pPr>
        <w:pStyle w:val="7"/>
        <w:spacing w:before="0" w:beforeAutospacing="0" w:after="0" w:afterAutospacing="0" w:line="360" w:lineRule="auto"/>
        <w:ind w:firstLine="420"/>
        <w:rPr>
          <w:sz w:val="21"/>
          <w:szCs w:val="21"/>
        </w:rPr>
      </w:pPr>
      <w:r>
        <w:rPr>
          <w:rFonts w:hint="eastAsia"/>
          <w:sz w:val="21"/>
          <w:szCs w:val="21"/>
        </w:rPr>
        <w:t xml:space="preserve">（2）预防性原则。树立“预防为主”的管理理念，从风险发生的源头加强内部控制，防患于未然，尽量避免业务操作中各种问题的产生。 </w:t>
      </w:r>
    </w:p>
    <w:p>
      <w:pPr>
        <w:pStyle w:val="7"/>
        <w:spacing w:before="0" w:beforeAutospacing="0" w:after="0" w:afterAutospacing="0" w:line="360" w:lineRule="auto"/>
        <w:ind w:firstLine="420"/>
        <w:rPr>
          <w:sz w:val="21"/>
          <w:szCs w:val="21"/>
        </w:rPr>
      </w:pPr>
      <w:r>
        <w:rPr>
          <w:rFonts w:hint="eastAsia"/>
          <w:sz w:val="21"/>
          <w:szCs w:val="21"/>
        </w:rPr>
        <w:t xml:space="preserve">（3）及时性原则。建立健全各项规章制度，采取有效措施加强内部控制。发现问题，及时处理，堵塞漏洞。 </w:t>
      </w:r>
    </w:p>
    <w:p>
      <w:pPr>
        <w:pStyle w:val="7"/>
        <w:spacing w:before="0" w:beforeAutospacing="0" w:after="0" w:afterAutospacing="0" w:line="360" w:lineRule="auto"/>
        <w:ind w:firstLine="420"/>
        <w:rPr>
          <w:sz w:val="21"/>
          <w:szCs w:val="21"/>
        </w:rPr>
      </w:pPr>
      <w:r>
        <w:rPr>
          <w:rFonts w:hint="eastAsia"/>
          <w:sz w:val="21"/>
          <w:szCs w:val="21"/>
        </w:rPr>
        <w:t xml:space="preserve">（4）独立性原则。基金托管业务内部控制机构独立于基金托管业务执行机构，业务操作人员和内控人员分开，以保证内控机构的工作不受干扰。 </w:t>
      </w:r>
    </w:p>
    <w:p>
      <w:pPr>
        <w:pStyle w:val="7"/>
        <w:spacing w:before="0" w:beforeAutospacing="0" w:after="0" w:afterAutospacing="0" w:line="360" w:lineRule="auto"/>
        <w:ind w:firstLine="420"/>
        <w:rPr>
          <w:sz w:val="21"/>
          <w:szCs w:val="21"/>
        </w:rPr>
      </w:pPr>
      <w:r>
        <w:rPr>
          <w:rFonts w:hint="eastAsia"/>
          <w:sz w:val="21"/>
          <w:szCs w:val="21"/>
        </w:rPr>
        <w:t xml:space="preserve">3、内部控制组织结构 </w:t>
      </w:r>
    </w:p>
    <w:p>
      <w:pPr>
        <w:pStyle w:val="7"/>
        <w:spacing w:before="0" w:beforeAutospacing="0" w:after="0" w:afterAutospacing="0" w:line="360" w:lineRule="auto"/>
        <w:ind w:firstLine="420"/>
        <w:rPr>
          <w:sz w:val="21"/>
          <w:szCs w:val="21"/>
        </w:rPr>
      </w:pPr>
      <w:r>
        <w:rPr>
          <w:rFonts w:hint="eastAsia"/>
          <w:sz w:val="21"/>
          <w:szCs w:val="21"/>
        </w:rPr>
        <w:t xml:space="preserve">中国光大银行股份有限公司设有风险管理与内控合规委员会，负责全行风险管理与内部控制工作。资产托管部建立了严密的内控监督体系，设立了投资监督与内控合规处，配备了专职内控合规人员，负责证券投资基金托管业务的内控管理工作。 </w:t>
      </w:r>
    </w:p>
    <w:p>
      <w:pPr>
        <w:pStyle w:val="7"/>
        <w:spacing w:before="0" w:beforeAutospacing="0" w:after="0" w:afterAutospacing="0" w:line="360" w:lineRule="auto"/>
        <w:ind w:firstLine="420"/>
        <w:rPr>
          <w:sz w:val="21"/>
          <w:szCs w:val="21"/>
        </w:rPr>
      </w:pPr>
      <w:r>
        <w:rPr>
          <w:rFonts w:hint="eastAsia"/>
          <w:sz w:val="21"/>
          <w:szCs w:val="21"/>
        </w:rPr>
        <w:t xml:space="preserve">4、内部控制制度 </w:t>
      </w:r>
    </w:p>
    <w:p>
      <w:pPr>
        <w:pStyle w:val="7"/>
        <w:spacing w:before="0" w:beforeAutospacing="0" w:after="0" w:afterAutospacing="0" w:line="360" w:lineRule="auto"/>
        <w:ind w:firstLine="420"/>
        <w:rPr>
          <w:sz w:val="21"/>
          <w:szCs w:val="21"/>
        </w:rPr>
      </w:pPr>
      <w:r>
        <w:rPr>
          <w:rFonts w:hint="eastAsia"/>
          <w:sz w:val="21"/>
          <w:szCs w:val="21"/>
        </w:rPr>
        <w:t xml:space="preserve">中国光大银行股份有限公司资产托管部自成立以来严格遵照《基金法》、《中华人民共和国商业银行法》、《信息披露管理办法》、《运作办法》、《销售办法》等法律、法规的要求，并根据相关法律法规制订、完善了《中国光大银行资产托管业务内部控制规定》、《中国光大银行资产托管业务保密规定》等十余项规章制度和实施细则，将风险控制落实到每一个工作环节。中国光大银行资产托管部以控制和防范基金托管业务风险为主线，在重要岗位（基金清算、基金核算、投资监督）还建立了安全保密区，安装了录像监视系统和录音监听系统，以保障基金信息的安全。 </w:t>
      </w:r>
    </w:p>
    <w:p>
      <w:pPr>
        <w:pStyle w:val="7"/>
        <w:spacing w:before="0" w:beforeAutospacing="0" w:after="0" w:afterAutospacing="0" w:line="360" w:lineRule="auto"/>
        <w:ind w:firstLine="420"/>
        <w:rPr>
          <w:sz w:val="21"/>
          <w:szCs w:val="21"/>
        </w:rPr>
      </w:pPr>
      <w:r>
        <w:rPr>
          <w:rFonts w:hint="eastAsia"/>
          <w:sz w:val="21"/>
          <w:szCs w:val="21"/>
        </w:rPr>
        <w:t xml:space="preserve">（五）托管人对管理人运作基金进行监督的方法和程序 </w:t>
      </w:r>
    </w:p>
    <w:p>
      <w:pPr>
        <w:pStyle w:val="7"/>
        <w:spacing w:before="0" w:beforeAutospacing="0" w:after="0" w:afterAutospacing="0" w:line="360" w:lineRule="auto"/>
        <w:ind w:firstLine="420"/>
        <w:rPr>
          <w:sz w:val="21"/>
          <w:szCs w:val="21"/>
        </w:rPr>
      </w:pPr>
      <w:r>
        <w:rPr>
          <w:rFonts w:hint="eastAsia"/>
          <w:sz w:val="21"/>
          <w:szCs w:val="21"/>
        </w:rPr>
        <w:t xml:space="preserve">根据法律、法规和基金合同等的要求，基金托管人主要通过定性和定量相结合、事前事中和事后监督相结合、技术与人工监督相结合等方式方法，对基金投资范围、投资组合比例每日进行监督；同时，对基金管理人就基金资产净值的计算、基金管理人和基金托管人报酬的计提和支付、基金收益分配、基金费用支付等行为的合法性、合规性进行监督和核查。 </w:t>
      </w:r>
    </w:p>
    <w:p>
      <w:pPr>
        <w:pStyle w:val="7"/>
        <w:spacing w:before="0" w:beforeAutospacing="0" w:after="0" w:afterAutospacing="0" w:line="360" w:lineRule="auto"/>
        <w:ind w:firstLine="420"/>
        <w:rPr>
          <w:sz w:val="21"/>
          <w:szCs w:val="21"/>
        </w:rPr>
      </w:pPr>
      <w:r>
        <w:rPr>
          <w:rFonts w:hint="eastAsia"/>
          <w:sz w:val="21"/>
          <w:szCs w:val="21"/>
        </w:rPr>
        <w:t>基金托管人发现基金管理人有违反法律、法规和基金合同等规定的行为，及时以邮件、电话或书面等形式通知基金管理人限期纠正，基金管理人收到通知后应及时核对确认并以邮件或书面形式对基金托管人发出回函。在限期内，基金托管人有权随时对通知事项进行复查。基金管理人对基金托管人通知的违规事项未能在限期内纠正的，基金托管人应报告中国证监</w:t>
      </w:r>
      <w:bookmarkStart w:id="55" w:name="chapter_level1_6_55_section_2_end"/>
      <w:bookmarkEnd w:id="55"/>
      <w:r>
        <w:rPr>
          <w:rFonts w:hint="eastAsia"/>
          <w:sz w:val="21"/>
          <w:szCs w:val="21"/>
        </w:rPr>
        <w:t xml:space="preserve">会。 </w:t>
      </w:r>
      <w:bookmarkStart w:id="56" w:name="field_0_trustcontrollawinfo_1_end"/>
      <w:bookmarkEnd w:id="56"/>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57" w:name="chapter_level1_7_56"/>
      <w:bookmarkStart w:id="58" w:name="_Toc207926656"/>
      <w:r>
        <w:rPr>
          <w:rFonts w:hint="eastAsia" w:ascii="宋体" w:hAnsi="宋体" w:eastAsia="宋体"/>
          <w:sz w:val="30"/>
        </w:rPr>
        <w:t>第五部分  相关服务机构</w:t>
      </w:r>
      <w:bookmarkEnd w:id="57"/>
      <w:bookmarkEnd w:id="58"/>
    </w:p>
    <w:p>
      <w:pPr>
        <w:pStyle w:val="7"/>
        <w:spacing w:before="0" w:beforeAutospacing="0" w:after="0" w:afterAutospacing="0" w:line="360" w:lineRule="auto"/>
        <w:ind w:firstLine="420"/>
        <w:rPr>
          <w:sz w:val="21"/>
          <w:szCs w:val="21"/>
        </w:rPr>
      </w:pPr>
      <w:bookmarkStart w:id="59" w:name="chapter_level1_7_56_section_1"/>
      <w:bookmarkEnd w:id="59"/>
      <w:r>
        <w:rPr>
          <w:rStyle w:val="11"/>
          <w:rFonts w:hint="eastAsia"/>
          <w:sz w:val="21"/>
          <w:szCs w:val="21"/>
        </w:rPr>
        <w:t>一、基金份额销售机构</w:t>
      </w:r>
    </w:p>
    <w:p>
      <w:pPr>
        <w:pStyle w:val="7"/>
        <w:spacing w:before="0" w:beforeAutospacing="0" w:after="0" w:afterAutospacing="0" w:line="360" w:lineRule="auto"/>
        <w:ind w:firstLine="420"/>
        <w:rPr>
          <w:sz w:val="21"/>
          <w:szCs w:val="21"/>
        </w:rPr>
      </w:pPr>
      <w:r>
        <w:rPr>
          <w:rFonts w:hint="eastAsia"/>
          <w:sz w:val="21"/>
          <w:szCs w:val="21"/>
        </w:rPr>
        <w:t xml:space="preserve">1、直销机构 </w:t>
      </w:r>
    </w:p>
    <w:p>
      <w:pPr>
        <w:pStyle w:val="7"/>
        <w:spacing w:before="0" w:beforeAutospacing="0" w:after="0" w:afterAutospacing="0" w:line="360" w:lineRule="auto"/>
        <w:ind w:firstLine="420"/>
        <w:rPr>
          <w:sz w:val="21"/>
          <w:szCs w:val="21"/>
        </w:rPr>
      </w:pPr>
      <w:bookmarkStart w:id="60" w:name="field_0_marketcompanyinfo_1_start"/>
      <w:bookmarkEnd w:id="60"/>
      <w:r>
        <w:rPr>
          <w:rFonts w:hint="eastAsia"/>
          <w:sz w:val="21"/>
          <w:szCs w:val="21"/>
        </w:rPr>
        <w:t xml:space="preserve">名称：博时基金管理有限公司北京直销中心 </w:t>
      </w:r>
    </w:p>
    <w:p>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 xml:space="preserve">电话：010-65187055 </w:t>
      </w:r>
    </w:p>
    <w:p>
      <w:pPr>
        <w:pStyle w:val="7"/>
        <w:spacing w:before="0" w:beforeAutospacing="0" w:after="0" w:afterAutospacing="0" w:line="360" w:lineRule="auto"/>
        <w:ind w:firstLine="420"/>
        <w:rPr>
          <w:sz w:val="21"/>
          <w:szCs w:val="21"/>
        </w:rPr>
      </w:pPr>
      <w:r>
        <w:rPr>
          <w:rFonts w:hint="eastAsia"/>
          <w:sz w:val="21"/>
          <w:szCs w:val="21"/>
        </w:rPr>
        <w:t xml:space="preserve">传真：010-65187032 </w:t>
      </w:r>
    </w:p>
    <w:p>
      <w:pPr>
        <w:pStyle w:val="7"/>
        <w:spacing w:before="0" w:beforeAutospacing="0" w:after="0" w:afterAutospacing="0" w:line="360" w:lineRule="auto"/>
        <w:ind w:firstLine="420"/>
        <w:rPr>
          <w:sz w:val="21"/>
          <w:szCs w:val="21"/>
        </w:rPr>
      </w:pPr>
      <w:r>
        <w:rPr>
          <w:rFonts w:hint="eastAsia"/>
          <w:sz w:val="21"/>
          <w:szCs w:val="21"/>
        </w:rPr>
        <w:t xml:space="preserve">联系人：韩明亮 </w:t>
      </w:r>
    </w:p>
    <w:p>
      <w:pPr>
        <w:pStyle w:val="7"/>
        <w:spacing w:before="0" w:beforeAutospacing="0" w:after="0" w:afterAutospacing="0" w:line="360" w:lineRule="auto"/>
        <w:ind w:firstLine="420"/>
        <w:rPr>
          <w:sz w:val="21"/>
          <w:szCs w:val="21"/>
        </w:rPr>
      </w:pPr>
      <w:bookmarkStart w:id="61" w:name="chapter_level1_7_56_section_1_end"/>
      <w:bookmarkEnd w:id="61"/>
      <w:r>
        <w:rPr>
          <w:rFonts w:hint="eastAsia"/>
          <w:sz w:val="21"/>
          <w:szCs w:val="21"/>
        </w:rPr>
        <w:t xml:space="preserve">博时一线通：95105568（免长途话费） </w:t>
      </w:r>
      <w:bookmarkStart w:id="62" w:name="field_0_marketcompanyinfo_1_end"/>
      <w:bookmarkEnd w:id="62"/>
      <w:r>
        <w:rPr>
          <w:rFonts w:hint="eastAsia"/>
          <w:sz w:val="21"/>
          <w:szCs w:val="21"/>
        </w:rPr>
        <w:t xml:space="preserve">  </w:t>
      </w:r>
    </w:p>
    <w:p>
      <w:pPr>
        <w:pStyle w:val="7"/>
        <w:spacing w:before="0" w:beforeAutospacing="0" w:after="0" w:afterAutospacing="0" w:line="360" w:lineRule="auto"/>
        <w:ind w:firstLine="420"/>
        <w:rPr>
          <w:sz w:val="21"/>
          <w:szCs w:val="21"/>
        </w:rPr>
      </w:pPr>
      <w:bookmarkStart w:id="63" w:name="chapter_level1_7_56_section_2"/>
      <w:bookmarkEnd w:id="63"/>
      <w:r>
        <w:rPr>
          <w:rFonts w:hint="eastAsia"/>
          <w:sz w:val="21"/>
          <w:szCs w:val="21"/>
        </w:rPr>
        <w:t xml:space="preserve">2、代销机构 </w:t>
      </w:r>
    </w:p>
    <w:p>
      <w:pPr>
        <w:pStyle w:val="7"/>
        <w:spacing w:before="0" w:beforeAutospacing="0" w:after="0" w:afterAutospacing="0" w:line="360" w:lineRule="auto"/>
        <w:ind w:firstLine="420"/>
        <w:rPr>
          <w:sz w:val="21"/>
          <w:szCs w:val="21"/>
        </w:rPr>
      </w:pPr>
      <w:bookmarkStart w:id="64" w:name="field_0_allproxysaletables_1_start"/>
      <w:bookmarkEnd w:id="64"/>
      <w:r>
        <w:rPr>
          <w:rFonts w:hint="eastAsia"/>
          <w:b/>
          <w:bCs/>
          <w:sz w:val="21"/>
          <w:szCs w:val="21"/>
        </w:rPr>
        <w:t>(1)晋商银行股份有限公司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山西省太原市万柏林区长风西街一号丽华大厦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阎俊生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董嘉文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0351-6819926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95105588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http://www.jshbank.com </w:t>
            </w:r>
          </w:p>
        </w:tc>
      </w:tr>
    </w:tbl>
    <w:p>
      <w:pPr>
        <w:pStyle w:val="7"/>
        <w:spacing w:before="0" w:beforeAutospacing="0" w:after="0" w:afterAutospacing="0" w:line="360" w:lineRule="auto"/>
        <w:ind w:firstLine="420"/>
        <w:rPr>
          <w:sz w:val="21"/>
          <w:szCs w:val="21"/>
        </w:rPr>
      </w:pPr>
      <w:r>
        <w:rPr>
          <w:rFonts w:hint="eastAsia"/>
          <w:b/>
          <w:bCs/>
          <w:sz w:val="21"/>
          <w:szCs w:val="21"/>
        </w:rPr>
        <w:t>(2)和讯信息科技有限公司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北京市朝阳区朝外大街22号泛利大厦10层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张紫薇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0755-82721122-8625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0755-82029055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400-920-0022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http://Licaike.hexun.com </w:t>
            </w:r>
          </w:p>
        </w:tc>
      </w:tr>
    </w:tbl>
    <w:p>
      <w:pPr>
        <w:pStyle w:val="7"/>
        <w:spacing w:before="0" w:beforeAutospacing="0" w:after="0" w:afterAutospacing="0" w:line="360" w:lineRule="auto"/>
        <w:ind w:firstLine="420"/>
        <w:rPr>
          <w:sz w:val="21"/>
          <w:szCs w:val="21"/>
        </w:rPr>
      </w:pPr>
      <w:r>
        <w:rPr>
          <w:rFonts w:hint="eastAsia"/>
          <w:b/>
          <w:bCs/>
          <w:sz w:val="21"/>
          <w:szCs w:val="21"/>
        </w:rPr>
        <w:t>(3)博时财富基金销售有限公司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广东省深圳市福田区莲花街道福新社区益田路5999号基金大厦19层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王德英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崔丹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0755-83169999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0755-83195220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400-610-5568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www.boserawealth.com </w:t>
            </w:r>
          </w:p>
        </w:tc>
      </w:tr>
    </w:tbl>
    <w:p>
      <w:pPr>
        <w:pStyle w:val="7"/>
        <w:spacing w:before="0" w:beforeAutospacing="0" w:after="0" w:afterAutospacing="0" w:line="360" w:lineRule="auto"/>
        <w:ind w:firstLine="420"/>
        <w:rPr>
          <w:sz w:val="21"/>
          <w:szCs w:val="21"/>
        </w:rPr>
      </w:pPr>
      <w:r>
        <w:rPr>
          <w:rFonts w:hint="eastAsia"/>
          <w:b/>
          <w:bCs/>
          <w:sz w:val="21"/>
          <w:szCs w:val="21"/>
        </w:rPr>
        <w:t>(4)深圳众禄基金销售股份有限公司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深圳市罗湖区梨园路物资控股置地大厦8楼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薛峰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童彩平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0755-33227950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0755-33227951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400-678-8887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https://www.zlfund.cn/ </w:t>
            </w:r>
          </w:p>
        </w:tc>
      </w:tr>
    </w:tbl>
    <w:p>
      <w:pPr>
        <w:pStyle w:val="7"/>
        <w:spacing w:before="0" w:beforeAutospacing="0" w:after="0" w:afterAutospacing="0" w:line="360" w:lineRule="auto"/>
        <w:ind w:firstLine="420"/>
        <w:rPr>
          <w:sz w:val="21"/>
          <w:szCs w:val="21"/>
        </w:rPr>
      </w:pPr>
      <w:r>
        <w:rPr>
          <w:rFonts w:hint="eastAsia"/>
          <w:b/>
          <w:bCs/>
          <w:sz w:val="21"/>
          <w:szCs w:val="21"/>
        </w:rPr>
        <w:t>(5)上海天天基金销售有限公司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上海市徐汇区龙田路190号2号楼2层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上海市徐汇区龙田路195号3C座9楼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其实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潘世友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021-54509998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021-64385308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400-181-8188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http://www.1234567.com.cn </w:t>
            </w:r>
          </w:p>
        </w:tc>
      </w:tr>
    </w:tbl>
    <w:p>
      <w:pPr>
        <w:pStyle w:val="7"/>
        <w:spacing w:before="0" w:beforeAutospacing="0" w:after="0" w:afterAutospacing="0" w:line="360" w:lineRule="auto"/>
        <w:ind w:firstLine="420"/>
        <w:rPr>
          <w:sz w:val="21"/>
          <w:szCs w:val="21"/>
        </w:rPr>
      </w:pPr>
      <w:r>
        <w:rPr>
          <w:rFonts w:hint="eastAsia"/>
          <w:b/>
          <w:bCs/>
          <w:sz w:val="21"/>
          <w:szCs w:val="21"/>
        </w:rPr>
        <w:t>(6)上海好买基金销售有限公司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上海市虹口区场中路685弄37号4号楼449室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上海市浦东新区浦东南路1118号鄂尔多斯国际大厦903～906室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杨文斌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021-20613610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400-700-9665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http://www.howbuy.com </w:t>
            </w:r>
          </w:p>
        </w:tc>
      </w:tr>
    </w:tbl>
    <w:p>
      <w:pPr>
        <w:pStyle w:val="7"/>
        <w:spacing w:before="0" w:beforeAutospacing="0" w:after="0" w:afterAutospacing="0" w:line="360" w:lineRule="auto"/>
        <w:ind w:firstLine="420"/>
        <w:rPr>
          <w:sz w:val="21"/>
          <w:szCs w:val="21"/>
        </w:rPr>
      </w:pPr>
      <w:r>
        <w:rPr>
          <w:rFonts w:hint="eastAsia"/>
          <w:b/>
          <w:bCs/>
          <w:sz w:val="21"/>
          <w:szCs w:val="21"/>
        </w:rPr>
        <w:t>(7)蚂蚁（杭州）基金销售有限公司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浙江省杭州市余杭区五常街道文一西路969号3幢5层599室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浙江省杭州市西湖区西溪路556号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韩爱彬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021-60897840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0571-26697013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http://www.fund123.cn </w:t>
            </w:r>
          </w:p>
        </w:tc>
      </w:tr>
    </w:tbl>
    <w:p>
      <w:pPr>
        <w:pStyle w:val="7"/>
        <w:spacing w:before="0" w:beforeAutospacing="0" w:after="0" w:afterAutospacing="0" w:line="360" w:lineRule="auto"/>
        <w:ind w:firstLine="420"/>
        <w:rPr>
          <w:sz w:val="21"/>
          <w:szCs w:val="21"/>
        </w:rPr>
      </w:pPr>
      <w:r>
        <w:rPr>
          <w:rFonts w:hint="eastAsia"/>
          <w:b/>
          <w:bCs/>
          <w:sz w:val="21"/>
          <w:szCs w:val="21"/>
        </w:rPr>
        <w:t>(8)浙江同花顺基金销售有限公司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杭州市西湖区文二西路1号元茂大厦903室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浙江省杭州市余杭区五常街道同顺街18号同花顺大楼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凌顺平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0571-88911818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0571-86800423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952555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www.5ifund.com </w:t>
            </w:r>
          </w:p>
        </w:tc>
      </w:tr>
    </w:tbl>
    <w:p>
      <w:pPr>
        <w:pStyle w:val="7"/>
        <w:spacing w:before="0" w:beforeAutospacing="0" w:after="0" w:afterAutospacing="0" w:line="360" w:lineRule="auto"/>
        <w:ind w:firstLine="420"/>
        <w:rPr>
          <w:sz w:val="21"/>
          <w:szCs w:val="21"/>
        </w:rPr>
      </w:pPr>
      <w:r>
        <w:rPr>
          <w:rFonts w:hint="eastAsia"/>
          <w:b/>
          <w:bCs/>
          <w:sz w:val="21"/>
          <w:szCs w:val="21"/>
        </w:rPr>
        <w:t>(9)上海利得基金销售有限公司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上海市宝山区蕴川路5475号1033室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上海浦东新区峨山路91弄61号10号楼12楼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李兴春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021-50583533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021-50583633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400-921-7755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http://a.leadfund.com.cn/ </w:t>
            </w:r>
          </w:p>
        </w:tc>
      </w:tr>
    </w:tbl>
    <w:p>
      <w:pPr>
        <w:pStyle w:val="7"/>
        <w:spacing w:before="0" w:beforeAutospacing="0" w:after="0" w:afterAutospacing="0" w:line="360" w:lineRule="auto"/>
        <w:ind w:firstLine="420"/>
        <w:rPr>
          <w:sz w:val="21"/>
          <w:szCs w:val="21"/>
        </w:rPr>
      </w:pPr>
      <w:r>
        <w:rPr>
          <w:rFonts w:hint="eastAsia"/>
          <w:b/>
          <w:bCs/>
          <w:sz w:val="21"/>
          <w:szCs w:val="21"/>
        </w:rPr>
        <w:t>(10)宜信普泽（北京）基金销售有限公司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北京市朝阳区建国路88号9号楼15层1809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北京市朝阳区建国路88号SOHO现代城C座18层1809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戎兵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程刚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010-52855713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010-85894285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400-609-9200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http://www.yixinfund.com </w:t>
            </w:r>
          </w:p>
        </w:tc>
      </w:tr>
    </w:tbl>
    <w:p>
      <w:pPr>
        <w:pStyle w:val="7"/>
        <w:spacing w:before="0" w:beforeAutospacing="0" w:after="0" w:afterAutospacing="0" w:line="360" w:lineRule="auto"/>
        <w:ind w:firstLine="420"/>
        <w:rPr>
          <w:sz w:val="21"/>
          <w:szCs w:val="21"/>
        </w:rPr>
      </w:pPr>
      <w:r>
        <w:rPr>
          <w:rFonts w:hint="eastAsia"/>
          <w:b/>
          <w:bCs/>
          <w:sz w:val="21"/>
          <w:szCs w:val="21"/>
        </w:rPr>
        <w:t>(11)南京苏宁基金销售有限公司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南京市玄武区苏宁大道1-5号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钱燕飞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喻明明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025-66996699-884131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95177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www.snjijin.com </w:t>
            </w:r>
          </w:p>
        </w:tc>
      </w:tr>
    </w:tbl>
    <w:p>
      <w:pPr>
        <w:pStyle w:val="7"/>
        <w:spacing w:before="0" w:beforeAutospacing="0" w:after="0" w:afterAutospacing="0" w:line="360" w:lineRule="auto"/>
        <w:ind w:firstLine="420"/>
        <w:rPr>
          <w:sz w:val="21"/>
          <w:szCs w:val="21"/>
        </w:rPr>
      </w:pPr>
      <w:r>
        <w:rPr>
          <w:rFonts w:hint="eastAsia"/>
          <w:b/>
          <w:bCs/>
          <w:sz w:val="21"/>
          <w:szCs w:val="21"/>
        </w:rPr>
        <w:t>(12)华源证券股份有限公司（鑫理财）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青海省西宁市南川工业园区创业路108号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湖北省武汉市江汉区万松街道青年路278号中海中心32F-34F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邓晖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丛瑞丰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15069421014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95305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www.huayuanstock.com </w:t>
            </w:r>
          </w:p>
        </w:tc>
      </w:tr>
    </w:tbl>
    <w:p>
      <w:pPr>
        <w:pStyle w:val="7"/>
        <w:spacing w:before="0" w:beforeAutospacing="0" w:after="0" w:afterAutospacing="0" w:line="360" w:lineRule="auto"/>
        <w:ind w:firstLine="420"/>
        <w:rPr>
          <w:sz w:val="21"/>
          <w:szCs w:val="21"/>
        </w:rPr>
      </w:pPr>
      <w:r>
        <w:rPr>
          <w:rFonts w:hint="eastAsia"/>
          <w:b/>
          <w:bCs/>
          <w:sz w:val="21"/>
          <w:szCs w:val="21"/>
        </w:rPr>
        <w:t>(13)上海基煜基金销售有限公司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上海市黄浦区广东路500号30层3001单元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上海市浦东新区银城中路488号太平金融大厦1503室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王翔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蓝杰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021-65370077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021-55085991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400-820-5369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www.jiyufund.com.cn </w:t>
            </w:r>
          </w:p>
        </w:tc>
      </w:tr>
    </w:tbl>
    <w:p>
      <w:pPr>
        <w:pStyle w:val="7"/>
        <w:spacing w:before="0" w:beforeAutospacing="0" w:after="0" w:afterAutospacing="0" w:line="360" w:lineRule="auto"/>
        <w:ind w:firstLine="420"/>
        <w:rPr>
          <w:sz w:val="21"/>
          <w:szCs w:val="21"/>
        </w:rPr>
      </w:pPr>
      <w:r>
        <w:rPr>
          <w:rFonts w:hint="eastAsia"/>
          <w:b/>
          <w:bCs/>
          <w:sz w:val="21"/>
          <w:szCs w:val="21"/>
        </w:rPr>
        <w:t>(14)深圳富济基金销售有限公司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深圳市福田区福田街道岗厦社区金田路3088号中洲大厦3203A单元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祝中村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曾瑶敏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0755-83999926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0755-83999907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www.fujifund.cn </w:t>
            </w:r>
          </w:p>
        </w:tc>
      </w:tr>
    </w:tbl>
    <w:p>
      <w:pPr>
        <w:pStyle w:val="7"/>
        <w:spacing w:before="0" w:beforeAutospacing="0" w:after="0" w:afterAutospacing="0" w:line="360" w:lineRule="auto"/>
        <w:ind w:firstLine="420"/>
        <w:rPr>
          <w:sz w:val="21"/>
          <w:szCs w:val="21"/>
        </w:rPr>
      </w:pPr>
      <w:r>
        <w:rPr>
          <w:rFonts w:hint="eastAsia"/>
          <w:b/>
          <w:bCs/>
          <w:sz w:val="21"/>
          <w:szCs w:val="21"/>
        </w:rPr>
        <w:t>(15)上海陆金所基金销售有限公司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上海市浦东新区陆家嘴环路1333号14楼09单元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上海市浦东新区陆家嘴环路1333号14楼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郭坚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宁博宇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021-20665952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021-22066653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400-821-9031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www.lufunds.com </w:t>
            </w:r>
          </w:p>
        </w:tc>
      </w:tr>
    </w:tbl>
    <w:p>
      <w:pPr>
        <w:pStyle w:val="7"/>
        <w:spacing w:before="0" w:beforeAutospacing="0" w:after="0" w:afterAutospacing="0" w:line="360" w:lineRule="auto"/>
        <w:ind w:firstLine="420"/>
        <w:rPr>
          <w:sz w:val="21"/>
          <w:szCs w:val="21"/>
        </w:rPr>
      </w:pPr>
      <w:r>
        <w:rPr>
          <w:rFonts w:hint="eastAsia"/>
          <w:b/>
          <w:bCs/>
          <w:sz w:val="21"/>
          <w:szCs w:val="21"/>
        </w:rPr>
        <w:t>(16)珠海盈米基金销售有限公司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珠海市横琴新区宝华路6号105室-3491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广州市海珠区琶洲大道东1号保利国际广场南塔12楼B1201-1203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肖雯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吴煜浩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020-89629099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020-89629011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020-89629066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www.yingmi.cn </w:t>
            </w:r>
          </w:p>
        </w:tc>
      </w:tr>
    </w:tbl>
    <w:p>
      <w:pPr>
        <w:pStyle w:val="7"/>
        <w:spacing w:before="0" w:beforeAutospacing="0" w:after="0" w:afterAutospacing="0" w:line="360" w:lineRule="auto"/>
        <w:ind w:firstLine="420"/>
        <w:rPr>
          <w:sz w:val="21"/>
          <w:szCs w:val="21"/>
        </w:rPr>
      </w:pPr>
      <w:r>
        <w:rPr>
          <w:rFonts w:hint="eastAsia"/>
          <w:b/>
          <w:bCs/>
          <w:sz w:val="21"/>
          <w:szCs w:val="21"/>
        </w:rPr>
        <w:t>(17)京东肯特瑞基金销售有限公司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8"/>
        <w:gridCol w:w="5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北京市海淀区海淀东三街2号4层401-15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北京市经济开发区科创十一街18号院京东总部A座4层A428室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江卉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徐伯宇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400-098-8511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010-89188000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400-088-8816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http://jr.jd.com/ </w:t>
            </w:r>
          </w:p>
        </w:tc>
      </w:tr>
    </w:tbl>
    <w:p>
      <w:pPr>
        <w:pStyle w:val="7"/>
        <w:spacing w:before="0" w:beforeAutospacing="0" w:after="0" w:afterAutospacing="0" w:line="360" w:lineRule="auto"/>
        <w:ind w:firstLine="420"/>
        <w:rPr>
          <w:sz w:val="21"/>
          <w:szCs w:val="21"/>
        </w:rPr>
      </w:pPr>
      <w:r>
        <w:rPr>
          <w:rFonts w:hint="eastAsia"/>
          <w:b/>
          <w:bCs/>
          <w:sz w:val="21"/>
          <w:szCs w:val="21"/>
        </w:rPr>
        <w:t>(18)深圳市金斧子基金销售有限公司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深圳市南山区粤海街道科技园中区科苑路15号科兴科学园B栋3单元11层1108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赖任军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刘昕霞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0755-29330513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0755-26920530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400-822-4888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www.jfzinv.com </w:t>
            </w:r>
          </w:p>
        </w:tc>
      </w:tr>
    </w:tbl>
    <w:p>
      <w:pPr>
        <w:pStyle w:val="7"/>
        <w:spacing w:before="0" w:beforeAutospacing="0" w:after="0" w:afterAutospacing="0" w:line="360" w:lineRule="auto"/>
        <w:ind w:firstLine="420"/>
        <w:rPr>
          <w:sz w:val="21"/>
          <w:szCs w:val="21"/>
        </w:rPr>
      </w:pPr>
      <w:r>
        <w:rPr>
          <w:rFonts w:hint="eastAsia"/>
          <w:b/>
          <w:bCs/>
          <w:sz w:val="21"/>
          <w:szCs w:val="21"/>
        </w:rPr>
        <w:t>(19)北京雪球基金销售有限公司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北京市朝阳区阜通东大街1号院6号楼2单元21层222507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李楠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戚晓强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15810005516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010-85659484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400-061-8518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danjuanapp.com </w:t>
            </w:r>
          </w:p>
        </w:tc>
      </w:tr>
    </w:tbl>
    <w:p>
      <w:pPr>
        <w:pStyle w:val="7"/>
        <w:spacing w:before="0" w:beforeAutospacing="0" w:after="0" w:afterAutospacing="0" w:line="360" w:lineRule="auto"/>
        <w:ind w:firstLine="420"/>
        <w:rPr>
          <w:sz w:val="21"/>
          <w:szCs w:val="21"/>
        </w:rPr>
      </w:pPr>
      <w:r>
        <w:rPr>
          <w:rFonts w:hint="eastAsia"/>
          <w:b/>
          <w:bCs/>
          <w:sz w:val="21"/>
          <w:szCs w:val="21"/>
        </w:rPr>
        <w:t>(20)上海华夏财富投资管理有限公司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1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上海市虹口区东大名路687号1幢2楼268室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毛淮平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张静怡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010-88066326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400-817-5666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https://www.amcfortune.com/ </w:t>
            </w:r>
          </w:p>
        </w:tc>
      </w:tr>
    </w:tbl>
    <w:p>
      <w:pPr>
        <w:pStyle w:val="7"/>
        <w:spacing w:before="0" w:beforeAutospacing="0" w:after="0" w:afterAutospacing="0" w:line="360" w:lineRule="auto"/>
        <w:ind w:firstLine="420"/>
        <w:rPr>
          <w:sz w:val="21"/>
          <w:szCs w:val="21"/>
        </w:rPr>
      </w:pPr>
      <w:r>
        <w:rPr>
          <w:rFonts w:hint="eastAsia"/>
          <w:b/>
          <w:bCs/>
          <w:sz w:val="21"/>
          <w:szCs w:val="21"/>
        </w:rPr>
        <w:t>(21)中信建投期货有限公司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pPr>
              <w:pStyle w:val="7"/>
            </w:pPr>
            <w:r>
              <w:rPr>
                <w:rFonts w:hint="eastAsia"/>
              </w:rPr>
              <w:t xml:space="preserve">注册地址： </w:t>
            </w:r>
          </w:p>
        </w:tc>
        <w:tc>
          <w:tcPr>
            <w:tcW w:w="7440" w:type="dxa"/>
            <w:shd w:val="clear" w:color="auto" w:fill="auto"/>
          </w:tcPr>
          <w:p>
            <w:pPr>
              <w:pStyle w:val="7"/>
            </w:pPr>
            <w:r>
              <w:rPr>
                <w:rFonts w:hint="eastAsia"/>
              </w:rPr>
              <w:t xml:space="preserve">重庆市渝中区中山三路107号上站大楼平街11-B，名义层11-A，8-B4，9-B、C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办公地址： </w:t>
            </w:r>
          </w:p>
        </w:tc>
        <w:tc>
          <w:tcPr>
            <w:tcW w:w="7440" w:type="dxa"/>
            <w:shd w:val="clear" w:color="auto" w:fill="auto"/>
          </w:tcPr>
          <w:p>
            <w:pPr>
              <w:pStyle w:val="7"/>
            </w:pPr>
            <w:r>
              <w:rPr>
                <w:rFonts w:hint="eastAsia"/>
              </w:rPr>
              <w:t xml:space="preserve">重庆市渝中区中山三路107号皇冠大厦11楼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法定代表人： </w:t>
            </w:r>
          </w:p>
        </w:tc>
        <w:tc>
          <w:tcPr>
            <w:tcW w:w="7440" w:type="dxa"/>
            <w:shd w:val="clear" w:color="auto" w:fill="auto"/>
          </w:tcPr>
          <w:p>
            <w:pPr>
              <w:pStyle w:val="7"/>
            </w:pPr>
            <w:r>
              <w:rPr>
                <w:rFonts w:hint="eastAsia"/>
              </w:rPr>
              <w:t xml:space="preserve">彭文德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联系人： </w:t>
            </w:r>
          </w:p>
        </w:tc>
        <w:tc>
          <w:tcPr>
            <w:tcW w:w="7440" w:type="dxa"/>
            <w:shd w:val="clear" w:color="auto" w:fill="auto"/>
          </w:tcPr>
          <w:p>
            <w:pPr>
              <w:pStyle w:val="7"/>
            </w:pPr>
            <w:r>
              <w:rPr>
                <w:rFonts w:hint="eastAsia"/>
              </w:rPr>
              <w:t xml:space="preserve">刘芸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电话： </w:t>
            </w:r>
          </w:p>
        </w:tc>
        <w:tc>
          <w:tcPr>
            <w:tcW w:w="7440" w:type="dxa"/>
            <w:shd w:val="clear" w:color="auto" w:fill="auto"/>
          </w:tcPr>
          <w:p>
            <w:pPr>
              <w:pStyle w:val="7"/>
            </w:pPr>
            <w:r>
              <w:rPr>
                <w:rFonts w:hint="eastAsia"/>
              </w:rPr>
              <w:t xml:space="preserve">023-89769637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传真： </w:t>
            </w:r>
          </w:p>
        </w:tc>
        <w:tc>
          <w:tcPr>
            <w:tcW w:w="7440" w:type="dxa"/>
            <w:shd w:val="clear" w:color="auto" w:fill="auto"/>
          </w:tcPr>
          <w:p>
            <w:pPr>
              <w:pStyle w:val="7"/>
            </w:pPr>
            <w:r>
              <w:rPr>
                <w:rFonts w:hint="eastAsia"/>
              </w:rPr>
              <w:t xml:space="preserve">023-86769629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客户服务电话： </w:t>
            </w:r>
          </w:p>
        </w:tc>
        <w:tc>
          <w:tcPr>
            <w:tcW w:w="7440" w:type="dxa"/>
            <w:shd w:val="clear" w:color="auto" w:fill="auto"/>
          </w:tcPr>
          <w:p>
            <w:pPr>
              <w:pStyle w:val="7"/>
            </w:pPr>
            <w:r>
              <w:rPr>
                <w:rFonts w:hint="eastAsia"/>
              </w:rPr>
              <w:t xml:space="preserve">400-8877-780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pPr>
              <w:pStyle w:val="7"/>
            </w:pPr>
            <w:r>
              <w:rPr>
                <w:rFonts w:hint="eastAsia"/>
              </w:rPr>
              <w:t xml:space="preserve">网址： </w:t>
            </w:r>
          </w:p>
        </w:tc>
        <w:tc>
          <w:tcPr>
            <w:tcW w:w="7440" w:type="dxa"/>
            <w:shd w:val="clear" w:color="auto" w:fill="auto"/>
          </w:tcPr>
          <w:p>
            <w:pPr>
              <w:pStyle w:val="7"/>
            </w:pPr>
            <w:r>
              <w:rPr>
                <w:rFonts w:hint="eastAsia"/>
              </w:rPr>
              <w:t xml:space="preserve">www.cfc108.com </w:t>
            </w:r>
          </w:p>
        </w:tc>
      </w:tr>
    </w:tbl>
    <w:p>
      <w:pPr>
        <w:rPr>
          <w:rFonts w:ascii="宋体" w:hAnsi="宋体" w:eastAsia="宋体"/>
          <w:sz w:val="24"/>
          <w:szCs w:val="24"/>
        </w:rPr>
      </w:pPr>
      <w:bookmarkStart w:id="65" w:name="field_0_allproxysaletables_1_end"/>
      <w:bookmarkEnd w:id="65"/>
      <w:r>
        <w:rPr>
          <w:rFonts w:ascii="宋体" w:hAnsi="宋体" w:eastAsia="宋体"/>
        </w:rPr>
        <w:t xml:space="preserve">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bookmarkStart w:id="66" w:name="chapter_level1_7_56_section_2_end"/>
      <w:bookmarkEnd w:id="66"/>
    </w:p>
    <w:p>
      <w:pPr>
        <w:pStyle w:val="7"/>
        <w:spacing w:before="0" w:beforeAutospacing="0" w:after="0" w:afterAutospacing="0" w:line="360" w:lineRule="auto"/>
        <w:ind w:firstLine="420"/>
        <w:rPr>
          <w:sz w:val="21"/>
          <w:szCs w:val="21"/>
        </w:rPr>
      </w:pPr>
      <w:bookmarkStart w:id="67" w:name="chapter_level1_7_56_section_3"/>
      <w:bookmarkEnd w:id="67"/>
      <w:r>
        <w:rPr>
          <w:rStyle w:val="11"/>
          <w:rFonts w:hint="eastAsia"/>
          <w:sz w:val="21"/>
          <w:szCs w:val="21"/>
        </w:rPr>
        <w:t>二、登记机构</w:t>
      </w:r>
    </w:p>
    <w:p>
      <w:pPr>
        <w:pStyle w:val="7"/>
        <w:spacing w:before="0" w:beforeAutospacing="0" w:after="0" w:afterAutospacing="0" w:line="360" w:lineRule="auto"/>
        <w:ind w:firstLine="420"/>
        <w:rPr>
          <w:sz w:val="21"/>
          <w:szCs w:val="21"/>
        </w:rPr>
      </w:pPr>
      <w:bookmarkStart w:id="68" w:name="field_0_registercompanyinfo_1_start"/>
      <w:bookmarkEnd w:id="68"/>
      <w:r>
        <w:rPr>
          <w:rFonts w:hint="eastAsia"/>
          <w:sz w:val="21"/>
          <w:szCs w:val="21"/>
        </w:rPr>
        <w:t xml:space="preserve">名称：博时基金管理有限公司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电话： 010-65171166 </w:t>
      </w:r>
    </w:p>
    <w:p>
      <w:pPr>
        <w:pStyle w:val="7"/>
        <w:spacing w:before="0" w:beforeAutospacing="0" w:after="0" w:afterAutospacing="0" w:line="360" w:lineRule="auto"/>
        <w:ind w:firstLine="420"/>
        <w:rPr>
          <w:sz w:val="21"/>
          <w:szCs w:val="21"/>
        </w:rPr>
      </w:pPr>
      <w:r>
        <w:rPr>
          <w:rFonts w:hint="eastAsia"/>
          <w:sz w:val="21"/>
          <w:szCs w:val="21"/>
        </w:rPr>
        <w:t xml:space="preserve">传真： 010-65187068 </w:t>
      </w:r>
    </w:p>
    <w:p>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9" w:name="field_0_registercompanyinfo_1_end"/>
      <w:bookmarkEnd w:id="69"/>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pPr>
        <w:pStyle w:val="7"/>
        <w:spacing w:before="0" w:beforeAutospacing="0" w:after="0" w:afterAutospacing="0" w:line="360" w:lineRule="auto"/>
        <w:ind w:firstLine="420"/>
        <w:rPr>
          <w:sz w:val="21"/>
          <w:szCs w:val="21"/>
        </w:rPr>
      </w:pPr>
      <w:r>
        <w:rPr>
          <w:rFonts w:hint="eastAsia"/>
          <w:sz w:val="21"/>
          <w:szCs w:val="21"/>
        </w:rPr>
        <w:t xml:space="preserve">负责人：韩炯  </w:t>
      </w:r>
    </w:p>
    <w:p>
      <w:pPr>
        <w:pStyle w:val="7"/>
        <w:spacing w:before="0" w:beforeAutospacing="0" w:after="0" w:afterAutospacing="0" w:line="360" w:lineRule="auto"/>
        <w:ind w:firstLine="420"/>
        <w:rPr>
          <w:sz w:val="21"/>
          <w:szCs w:val="21"/>
        </w:rPr>
      </w:pPr>
      <w:r>
        <w:rPr>
          <w:rFonts w:hint="eastAsia"/>
          <w:sz w:val="21"/>
          <w:szCs w:val="21"/>
        </w:rPr>
        <w:t xml:space="preserve">电话：021-31358666 </w:t>
      </w:r>
    </w:p>
    <w:p>
      <w:pPr>
        <w:pStyle w:val="7"/>
        <w:spacing w:before="0" w:beforeAutospacing="0" w:after="0" w:afterAutospacing="0" w:line="360" w:lineRule="auto"/>
        <w:ind w:firstLine="420"/>
        <w:rPr>
          <w:sz w:val="21"/>
          <w:szCs w:val="21"/>
        </w:rPr>
      </w:pPr>
      <w:r>
        <w:rPr>
          <w:rFonts w:hint="eastAsia"/>
          <w:sz w:val="21"/>
          <w:szCs w:val="21"/>
        </w:rPr>
        <w:t xml:space="preserve">传真：021-31358600 </w:t>
      </w:r>
    </w:p>
    <w:p>
      <w:pPr>
        <w:pStyle w:val="7"/>
        <w:spacing w:before="0" w:beforeAutospacing="0" w:after="0" w:afterAutospacing="0" w:line="360" w:lineRule="auto"/>
        <w:ind w:firstLine="420"/>
        <w:rPr>
          <w:sz w:val="21"/>
          <w:szCs w:val="21"/>
        </w:rPr>
      </w:pPr>
      <w:r>
        <w:rPr>
          <w:rFonts w:hint="eastAsia"/>
          <w:sz w:val="21"/>
          <w:szCs w:val="21"/>
        </w:rPr>
        <w:t xml:space="preserve">联系人：安冬 </w:t>
      </w:r>
    </w:p>
    <w:p>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pPr>
        <w:pStyle w:val="7"/>
        <w:spacing w:before="0" w:beforeAutospacing="0" w:after="0" w:afterAutospacing="0" w:line="360" w:lineRule="auto"/>
        <w:ind w:firstLine="420"/>
        <w:rPr>
          <w:sz w:val="21"/>
          <w:szCs w:val="21"/>
        </w:rPr>
      </w:pPr>
      <w:bookmarkStart w:id="70" w:name="field_0_accountingcompanyinfo_1_start"/>
      <w:bookmarkEnd w:id="70"/>
      <w:r>
        <w:rPr>
          <w:rFonts w:hint="eastAsia"/>
          <w:sz w:val="21"/>
          <w:szCs w:val="21"/>
        </w:rPr>
        <w:t xml:space="preserve">名称：容诚会计师事务所（特殊普通合伙）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pPr>
        <w:pStyle w:val="7"/>
        <w:spacing w:before="0" w:beforeAutospacing="0" w:after="0" w:afterAutospacing="0" w:line="360" w:lineRule="auto"/>
        <w:ind w:firstLine="420"/>
        <w:rPr>
          <w:sz w:val="21"/>
          <w:szCs w:val="21"/>
        </w:rPr>
      </w:pPr>
      <w:r>
        <w:rPr>
          <w:rFonts w:hint="eastAsia"/>
          <w:sz w:val="21"/>
          <w:szCs w:val="21"/>
        </w:rPr>
        <w:t xml:space="preserve">传真：010-66001392 </w:t>
      </w:r>
    </w:p>
    <w:p>
      <w:pPr>
        <w:pStyle w:val="7"/>
        <w:spacing w:before="0" w:beforeAutospacing="0" w:after="0" w:afterAutospacing="0" w:line="360" w:lineRule="auto"/>
        <w:ind w:firstLine="420"/>
        <w:rPr>
          <w:sz w:val="21"/>
          <w:szCs w:val="21"/>
        </w:rPr>
      </w:pPr>
      <w:r>
        <w:rPr>
          <w:rFonts w:hint="eastAsia"/>
          <w:sz w:val="21"/>
          <w:szCs w:val="21"/>
        </w:rPr>
        <w:t xml:space="preserve">联系人：吴琳杰 </w:t>
      </w:r>
    </w:p>
    <w:p>
      <w:pPr>
        <w:pStyle w:val="7"/>
        <w:spacing w:before="0" w:beforeAutospacing="0" w:after="0" w:afterAutospacing="0" w:line="360" w:lineRule="auto"/>
        <w:ind w:firstLine="420"/>
        <w:rPr>
          <w:sz w:val="21"/>
          <w:szCs w:val="21"/>
        </w:rPr>
      </w:pPr>
      <w:bookmarkStart w:id="71" w:name="chapter_level1_7_56_section_3_end"/>
      <w:bookmarkEnd w:id="71"/>
      <w:r>
        <w:rPr>
          <w:rFonts w:hint="eastAsia"/>
          <w:sz w:val="21"/>
          <w:szCs w:val="21"/>
        </w:rPr>
        <w:t xml:space="preserve">经办注册会计师：薛竞 吴琳杰 </w:t>
      </w:r>
      <w:bookmarkStart w:id="72" w:name="field_0_accountingcompanyinfo_1_end"/>
      <w:bookmarkEnd w:id="72"/>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73" w:name="chapter_level1_9_58"/>
      <w:bookmarkStart w:id="74" w:name="_Toc207926657"/>
      <w:r>
        <w:rPr>
          <w:rFonts w:hint="eastAsia" w:ascii="宋体" w:hAnsi="宋体" w:eastAsia="宋体"/>
          <w:sz w:val="30"/>
        </w:rPr>
        <w:t>第六部分 基金的募集与基金合同的生效</w:t>
      </w:r>
      <w:bookmarkEnd w:id="73"/>
      <w:bookmarkEnd w:id="74"/>
    </w:p>
    <w:p>
      <w:pPr>
        <w:pStyle w:val="7"/>
        <w:spacing w:before="0" w:beforeAutospacing="0" w:after="0" w:afterAutospacing="0" w:line="360" w:lineRule="auto"/>
        <w:ind w:firstLine="420"/>
        <w:rPr>
          <w:sz w:val="21"/>
          <w:szCs w:val="21"/>
        </w:rPr>
      </w:pPr>
      <w:bookmarkStart w:id="75" w:name="chapter_level1_9_58_section_1"/>
      <w:bookmarkEnd w:id="75"/>
      <w:r>
        <w:rPr>
          <w:rStyle w:val="11"/>
          <w:rFonts w:hint="eastAsia"/>
          <w:sz w:val="21"/>
          <w:szCs w:val="21"/>
        </w:rPr>
        <w:t>一、基金的募集</w:t>
      </w:r>
    </w:p>
    <w:p>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基金管理人按照《基金法》、《运作办法》、《销售办法》、基金合同及其他有关规定募集本基金，并于</w:t>
      </w:r>
      <w:bookmarkStart w:id="76" w:name="field_2343_approveddate_2"/>
      <w:r>
        <w:rPr>
          <w:sz w:val="21"/>
          <w:szCs w:val="21"/>
        </w:rPr>
        <w:t>2016年3月30日</w:t>
      </w:r>
      <w:bookmarkEnd w:id="76"/>
      <w:r>
        <w:rPr>
          <w:rFonts w:hint="eastAsia"/>
          <w:sz w:val="21"/>
          <w:szCs w:val="21"/>
        </w:rPr>
        <w:t>经中国证监会证监许可</w:t>
      </w:r>
      <w:bookmarkStart w:id="77" w:name="field_2343_lotnumber_2"/>
      <w:r>
        <w:rPr>
          <w:sz w:val="21"/>
          <w:szCs w:val="21"/>
        </w:rPr>
        <w:t>[2016]609</w:t>
      </w:r>
      <w:bookmarkEnd w:id="77"/>
      <w:r>
        <w:rPr>
          <w:rFonts w:hint="eastAsia"/>
          <w:sz w:val="21"/>
          <w:szCs w:val="21"/>
        </w:rPr>
        <w:t xml:space="preserve">号文准予募集注册。 </w:t>
      </w:r>
    </w:p>
    <w:p>
      <w:pPr>
        <w:pStyle w:val="7"/>
        <w:spacing w:before="0" w:beforeAutospacing="0" w:after="0" w:afterAutospacing="0" w:line="360" w:lineRule="auto"/>
        <w:ind w:firstLine="420"/>
        <w:rPr>
          <w:sz w:val="21"/>
          <w:szCs w:val="21"/>
        </w:rPr>
      </w:pPr>
      <w:r>
        <w:rPr>
          <w:rFonts w:hint="eastAsia"/>
          <w:sz w:val="21"/>
          <w:szCs w:val="21"/>
        </w:rPr>
        <w:t>本基金募集期间为</w:t>
      </w:r>
      <w:bookmarkStart w:id="78" w:name="field_58_raisebegindate_1"/>
      <w:r>
        <w:rPr>
          <w:sz w:val="21"/>
          <w:szCs w:val="21"/>
        </w:rPr>
        <w:t>2016年4月11日</w:t>
      </w:r>
      <w:bookmarkEnd w:id="78"/>
      <w:r>
        <w:rPr>
          <w:rFonts w:hint="eastAsia"/>
          <w:sz w:val="21"/>
          <w:szCs w:val="21"/>
        </w:rPr>
        <w:t>-</w:t>
      </w:r>
      <w:bookmarkStart w:id="79" w:name="field_58_raiseenddate_1"/>
      <w:r>
        <w:rPr>
          <w:sz w:val="21"/>
          <w:szCs w:val="21"/>
        </w:rPr>
        <w:t>2016年4月13日</w:t>
      </w:r>
      <w:bookmarkEnd w:id="79"/>
      <w:r>
        <w:rPr>
          <w:rFonts w:hint="eastAsia"/>
          <w:sz w:val="21"/>
          <w:szCs w:val="21"/>
        </w:rPr>
        <w:t>，基金份额共募集</w:t>
      </w:r>
      <w:bookmarkStart w:id="80" w:name="field_58_raisetotal_1"/>
      <w:r>
        <w:rPr>
          <w:sz w:val="21"/>
          <w:szCs w:val="21"/>
        </w:rPr>
        <w:t>2,004,604,868.66</w:t>
      </w:r>
      <w:bookmarkEnd w:id="80"/>
      <w:r>
        <w:rPr>
          <w:rFonts w:hint="eastAsia"/>
          <w:sz w:val="21"/>
          <w:szCs w:val="21"/>
        </w:rPr>
        <w:t>份（含利息结转的份额），有效认购户数为</w:t>
      </w:r>
      <w:bookmarkStart w:id="81" w:name="field_58_effectivetotal_1"/>
      <w:r>
        <w:rPr>
          <w:sz w:val="21"/>
          <w:szCs w:val="21"/>
        </w:rPr>
        <w:t>368</w:t>
      </w:r>
      <w:bookmarkEnd w:id="81"/>
      <w:r>
        <w:rPr>
          <w:rFonts w:hint="eastAsia"/>
          <w:sz w:val="21"/>
          <w:szCs w:val="21"/>
        </w:rPr>
        <w:t xml:space="preserve">户。 </w:t>
      </w:r>
    </w:p>
    <w:p>
      <w:pPr>
        <w:pStyle w:val="7"/>
        <w:spacing w:before="0" w:beforeAutospacing="0" w:after="0" w:afterAutospacing="0" w:line="360" w:lineRule="auto"/>
        <w:ind w:firstLine="420"/>
        <w:rPr>
          <w:sz w:val="21"/>
          <w:szCs w:val="21"/>
        </w:rPr>
      </w:pPr>
      <w:r>
        <w:rPr>
          <w:rFonts w:hint="eastAsia"/>
          <w:sz w:val="21"/>
          <w:szCs w:val="21"/>
        </w:rPr>
        <w:t>本基金运作方式为</w:t>
      </w:r>
      <w:bookmarkStart w:id="82" w:name="field_58_operation_1"/>
      <w:r>
        <w:rPr>
          <w:rFonts w:hint="eastAsia"/>
          <w:sz w:val="21"/>
          <w:szCs w:val="21"/>
        </w:rPr>
        <w:t>契约型定期开放式</w:t>
      </w:r>
      <w:bookmarkEnd w:id="82"/>
      <w:r>
        <w:rPr>
          <w:rFonts w:hint="eastAsia"/>
          <w:sz w:val="21"/>
          <w:szCs w:val="21"/>
        </w:rPr>
        <w:t xml:space="preserve">，存续期间为不定期。 </w:t>
      </w:r>
    </w:p>
    <w:p>
      <w:pPr>
        <w:pStyle w:val="7"/>
        <w:spacing w:before="0" w:beforeAutospacing="0" w:after="0" w:afterAutospacing="0" w:line="360" w:lineRule="auto"/>
        <w:ind w:firstLine="420"/>
        <w:rPr>
          <w:sz w:val="21"/>
          <w:szCs w:val="21"/>
        </w:rPr>
      </w:pPr>
      <w:r>
        <w:rPr>
          <w:rStyle w:val="11"/>
          <w:rFonts w:hint="eastAsia"/>
          <w:sz w:val="21"/>
          <w:szCs w:val="21"/>
        </w:rPr>
        <w:t>二、基金合同的生效</w:t>
      </w:r>
    </w:p>
    <w:p>
      <w:pPr>
        <w:pStyle w:val="7"/>
        <w:spacing w:before="0" w:beforeAutospacing="0" w:after="0" w:afterAutospacing="0" w:line="360" w:lineRule="auto"/>
        <w:ind w:firstLine="420"/>
        <w:rPr>
          <w:sz w:val="21"/>
          <w:szCs w:val="21"/>
        </w:rPr>
      </w:pPr>
      <w:bookmarkStart w:id="83" w:name="chapter_level1_9_58_section_1_end"/>
      <w:bookmarkEnd w:id="83"/>
      <w:r>
        <w:rPr>
          <w:rFonts w:hint="eastAsia"/>
          <w:sz w:val="21"/>
          <w:szCs w:val="21"/>
        </w:rPr>
        <w:t>本基金的基金合同已于</w:t>
      </w:r>
      <w:bookmarkStart w:id="84" w:name="field_0_foundday_1"/>
      <w:r>
        <w:rPr>
          <w:sz w:val="21"/>
          <w:szCs w:val="21"/>
        </w:rPr>
        <w:t>2016年4月15日</w:t>
      </w:r>
      <w:bookmarkEnd w:id="84"/>
      <w:r>
        <w:rPr>
          <w:rFonts w:hint="eastAsia"/>
          <w:sz w:val="21"/>
          <w:szCs w:val="21"/>
        </w:rPr>
        <w:t xml:space="preserve">正式生效。 </w:t>
      </w:r>
    </w:p>
    <w:p>
      <w:pPr>
        <w:pStyle w:val="7"/>
        <w:spacing w:before="0" w:beforeAutospacing="0" w:after="0" w:afterAutospacing="0" w:line="360" w:lineRule="auto"/>
        <w:ind w:firstLine="420"/>
        <w:rPr>
          <w:sz w:val="21"/>
          <w:szCs w:val="21"/>
        </w:rPr>
      </w:pPr>
      <w:bookmarkStart w:id="85" w:name="chapter_level1_9_58_section_2"/>
      <w:bookmarkEnd w:id="85"/>
      <w:r>
        <w:rPr>
          <w:rStyle w:val="11"/>
          <w:rFonts w:hint="eastAsia"/>
          <w:sz w:val="21"/>
          <w:szCs w:val="21"/>
        </w:rPr>
        <w:t>三、基金存续期内的基金份额持有人数量和资产规模</w:t>
      </w:r>
    </w:p>
    <w:p>
      <w:pPr>
        <w:pStyle w:val="7"/>
        <w:spacing w:before="0" w:beforeAutospacing="0" w:after="0" w:afterAutospacing="0" w:line="360" w:lineRule="auto"/>
        <w:ind w:firstLine="420"/>
        <w:rPr>
          <w:sz w:val="21"/>
          <w:szCs w:val="21"/>
        </w:rPr>
      </w:pPr>
      <w:r>
        <w:rPr>
          <w:rFonts w:hint="eastAsia"/>
          <w:sz w:val="21"/>
          <w:szCs w:val="21"/>
        </w:rPr>
        <w:t>本基金在基金合同生效后，连续20个工作日出现基金份额持有人数量不满</w:t>
      </w:r>
      <w:bookmarkStart w:id="86" w:name="field_58_minsubnumber_1"/>
      <w:r>
        <w:rPr>
          <w:sz w:val="21"/>
          <w:szCs w:val="21"/>
        </w:rPr>
        <w:t>200</w:t>
      </w:r>
      <w:bookmarkEnd w:id="86"/>
      <w:r>
        <w:rPr>
          <w:rFonts w:hint="eastAsia"/>
          <w:sz w:val="21"/>
          <w:szCs w:val="21"/>
        </w:rPr>
        <w:t xml:space="preserve">人或者基金资产净值低于5000万元的，基金管理人应当在定期报告中予以披露；连续60个工作日出现前述情形的，基金合同将根据基金合同的约定进行基金财产清算并终止，且无需召开基金份额持有人大会，同时基金管理人应履行相关的监管报告和信息披露程序。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在开放期结束日次日本基金的基金份额持有人数量不满200人或者基金资产净值低于5000万元，或者本基金开放期内单个开放日出现巨额赎回且基金管理人延缓支付赎回款项的，如基金管理人无法在20个工作日内支付上述未支付部分的赎回款项或基金管理人认为在变现过程中由于存在明显损害其他基金份额持有人利益的情形，基金管理人可以在履行信息披露义务后终止基金合同而无需召开基金份额持有人大会。本基金将根据基金合同第二十部分的约定进行基金财产清算。 </w:t>
      </w:r>
    </w:p>
    <w:p>
      <w:pPr>
        <w:pStyle w:val="7"/>
        <w:spacing w:before="0" w:beforeAutospacing="0" w:after="0" w:afterAutospacing="0" w:line="360" w:lineRule="auto"/>
        <w:ind w:firstLine="420"/>
        <w:rPr>
          <w:sz w:val="21"/>
          <w:szCs w:val="21"/>
        </w:rPr>
      </w:pPr>
      <w:bookmarkStart w:id="87" w:name="chapter_level1_9_58_section_2_end"/>
      <w:bookmarkEnd w:id="87"/>
      <w:r>
        <w:rPr>
          <w:rFonts w:hint="eastAsia"/>
          <w:sz w:val="21"/>
          <w:szCs w:val="21"/>
        </w:rPr>
        <w:t xml:space="preserve">法律法规另有规定时，从其规定。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88" w:name="chapter_level1_10_59"/>
      <w:bookmarkStart w:id="89" w:name="_Toc207926658"/>
      <w:r>
        <w:rPr>
          <w:rFonts w:hint="eastAsia" w:ascii="宋体" w:hAnsi="宋体" w:eastAsia="宋体"/>
          <w:sz w:val="30"/>
        </w:rPr>
        <w:t>第七部分  基金份额的申购与赎回</w:t>
      </w:r>
      <w:bookmarkEnd w:id="88"/>
      <w:bookmarkEnd w:id="89"/>
    </w:p>
    <w:p>
      <w:pPr>
        <w:pStyle w:val="7"/>
        <w:spacing w:before="0" w:beforeAutospacing="0" w:after="0" w:afterAutospacing="0" w:line="360" w:lineRule="auto"/>
        <w:ind w:firstLine="420"/>
        <w:rPr>
          <w:sz w:val="21"/>
          <w:szCs w:val="21"/>
        </w:rPr>
      </w:pPr>
      <w:bookmarkStart w:id="90" w:name="chapter_level1_10_59_section_1"/>
      <w:bookmarkEnd w:id="90"/>
      <w:r>
        <w:rPr>
          <w:rStyle w:val="11"/>
          <w:rFonts w:hint="eastAsia"/>
          <w:sz w:val="21"/>
          <w:szCs w:val="21"/>
        </w:rPr>
        <w:t>一、申购与赎回的场所</w:t>
      </w:r>
    </w:p>
    <w:p>
      <w:pPr>
        <w:pStyle w:val="7"/>
        <w:spacing w:before="0" w:beforeAutospacing="0" w:after="0" w:afterAutospacing="0" w:line="360" w:lineRule="auto"/>
        <w:ind w:firstLine="420"/>
        <w:rPr>
          <w:sz w:val="21"/>
          <w:szCs w:val="21"/>
        </w:rPr>
      </w:pPr>
      <w:r>
        <w:rPr>
          <w:rFonts w:hint="eastAsia"/>
          <w:sz w:val="21"/>
          <w:szCs w:val="21"/>
        </w:rPr>
        <w:t xml:space="preserve">本基金的申购与赎回将通过销售机构进行。本基金的销售机构包括基金管理人和基金管理人委托的其他销售机构。 </w:t>
      </w:r>
    </w:p>
    <w:p>
      <w:pPr>
        <w:pStyle w:val="7"/>
        <w:spacing w:before="0" w:beforeAutospacing="0" w:after="0" w:afterAutospacing="0" w:line="360" w:lineRule="auto"/>
        <w:ind w:firstLine="420"/>
        <w:rPr>
          <w:sz w:val="21"/>
          <w:szCs w:val="21"/>
        </w:rPr>
      </w:pPr>
      <w:r>
        <w:rPr>
          <w:rFonts w:hint="eastAsia"/>
          <w:sz w:val="21"/>
          <w:szCs w:val="21"/>
        </w:rPr>
        <w:t>基金管理人可根据情况变更或增减销售机构，并在基金管理人网站公示。基金投资者应当在销售机构办理基金销售业务的营业场所或按销售机构提供的其他方式办理基金份额的</w:t>
      </w:r>
      <w:bookmarkStart w:id="91" w:name="chapter_level1_10_59_section_1_end"/>
      <w:bookmarkEnd w:id="91"/>
      <w:r>
        <w:rPr>
          <w:rFonts w:hint="eastAsia"/>
          <w:sz w:val="21"/>
          <w:szCs w:val="21"/>
        </w:rPr>
        <w:t xml:space="preserve">申购与赎回。 </w:t>
      </w:r>
    </w:p>
    <w:p>
      <w:pPr>
        <w:pStyle w:val="7"/>
        <w:spacing w:before="0" w:beforeAutospacing="0" w:after="0" w:afterAutospacing="0" w:line="360" w:lineRule="auto"/>
        <w:ind w:firstLine="420"/>
        <w:rPr>
          <w:sz w:val="21"/>
          <w:szCs w:val="21"/>
        </w:rPr>
      </w:pPr>
      <w:bookmarkStart w:id="92" w:name="chapter_level1_10_59_section_2"/>
      <w:bookmarkEnd w:id="92"/>
      <w:r>
        <w:rPr>
          <w:rStyle w:val="11"/>
          <w:rFonts w:hint="eastAsia"/>
          <w:sz w:val="21"/>
          <w:szCs w:val="21"/>
        </w:rPr>
        <w:t>二、申购与赎回办理的开放日及时间</w:t>
      </w:r>
    </w:p>
    <w:p>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pPr>
        <w:pStyle w:val="7"/>
        <w:spacing w:before="0" w:beforeAutospacing="0" w:after="0" w:afterAutospacing="0" w:line="360" w:lineRule="auto"/>
        <w:ind w:firstLine="420"/>
        <w:rPr>
          <w:sz w:val="21"/>
          <w:szCs w:val="21"/>
        </w:rPr>
      </w:pPr>
      <w:r>
        <w:rPr>
          <w:rFonts w:hint="eastAsia"/>
          <w:sz w:val="21"/>
          <w:szCs w:val="21"/>
        </w:rPr>
        <w:t xml:space="preserve">本基金开放期内，投资人在开放日办理基金份额的申购和赎回，具体办理时间为上海证券交易所、深圳证券交易所的正常交易日的交易时间，但基金管理人根据法律法规、中国证监会的要求或基金合同的规定公告暂停申购、赎回时除外。在封闭期内，本基金不办理申购、赎回业务，也不上市交易。  </w:t>
      </w:r>
    </w:p>
    <w:p>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交易市场、证券交易所交易时间变更或其他特殊情况，基金管理人将视情况对前述开放日及开放时间进行相应的调整，但应在实施日前依照《信息披露办法》的有关规定在指定媒介上公告。  </w:t>
      </w:r>
    </w:p>
    <w:p>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pPr>
        <w:pStyle w:val="7"/>
        <w:spacing w:before="0" w:beforeAutospacing="0" w:after="0" w:afterAutospacing="0" w:line="360" w:lineRule="auto"/>
        <w:ind w:firstLine="420"/>
        <w:rPr>
          <w:sz w:val="21"/>
          <w:szCs w:val="21"/>
        </w:rPr>
      </w:pPr>
      <w:r>
        <w:rPr>
          <w:rFonts w:hint="eastAsia"/>
          <w:sz w:val="21"/>
          <w:szCs w:val="21"/>
        </w:rPr>
        <w:t xml:space="preserve">本基金每个封闭期结束之后第一个工作日起进入开放期，开放期的期限为自封闭期结束之日后第一个工作日起（含该日）五至二十个工作日，具体期间由基金管理人在封闭期结束前公告说明。  </w:t>
      </w:r>
    </w:p>
    <w:p>
      <w:pPr>
        <w:pStyle w:val="7"/>
        <w:spacing w:before="0" w:beforeAutospacing="0" w:after="0" w:afterAutospacing="0" w:line="360" w:lineRule="auto"/>
        <w:ind w:firstLine="420"/>
        <w:rPr>
          <w:sz w:val="21"/>
          <w:szCs w:val="21"/>
        </w:rPr>
      </w:pPr>
      <w:r>
        <w:rPr>
          <w:rFonts w:hint="eastAsia"/>
          <w:sz w:val="21"/>
          <w:szCs w:val="21"/>
        </w:rPr>
        <w:t xml:space="preserve">如在开放期内发生不可抗力或其他情形致使基金无法按时开放或需依据《基金合同》暂停申购与赎回业务的，基金管理人有权合理调整申购或赎回业务的办理期间并予以公告。  </w:t>
      </w:r>
    </w:p>
    <w:p>
      <w:pPr>
        <w:pStyle w:val="7"/>
        <w:spacing w:before="0" w:beforeAutospacing="0" w:after="0" w:afterAutospacing="0" w:line="360" w:lineRule="auto"/>
        <w:ind w:firstLine="420"/>
        <w:rPr>
          <w:sz w:val="21"/>
          <w:szCs w:val="21"/>
        </w:rPr>
      </w:pPr>
      <w:r>
        <w:rPr>
          <w:rFonts w:hint="eastAsia"/>
          <w:sz w:val="21"/>
          <w:szCs w:val="21"/>
        </w:rPr>
        <w:t>在开放期内，投资人在基金合同约定之外的日期和时间提出申购、赎回或转换申请且登记机构确认接受的，其基金份额申购、赎回价格为该开放期下一开放日该类基金份额申购、赎回的价格；但若投资人在开放期最后一日业务办理时间结束之后提出申购、赎回或者转换申请的，视为无效申请。开放期以及开放期办理申购与赎回业务的具体事宜见基金管理人届</w:t>
      </w:r>
      <w:bookmarkStart w:id="93" w:name="chapter_level1_10_59_section_2_end"/>
      <w:bookmarkEnd w:id="93"/>
      <w:r>
        <w:rPr>
          <w:rFonts w:hint="eastAsia"/>
          <w:sz w:val="21"/>
          <w:szCs w:val="21"/>
        </w:rPr>
        <w:t xml:space="preserve">时发布的相关公告。  </w:t>
      </w:r>
    </w:p>
    <w:p>
      <w:pPr>
        <w:pStyle w:val="7"/>
        <w:spacing w:before="0" w:beforeAutospacing="0" w:after="0" w:afterAutospacing="0" w:line="360" w:lineRule="auto"/>
        <w:ind w:firstLine="420"/>
        <w:rPr>
          <w:sz w:val="21"/>
          <w:szCs w:val="21"/>
        </w:rPr>
      </w:pPr>
      <w:bookmarkStart w:id="94" w:name="chapter_level1_10_59_section_3"/>
      <w:bookmarkEnd w:id="94"/>
      <w:r>
        <w:rPr>
          <w:rStyle w:val="11"/>
          <w:rFonts w:hint="eastAsia"/>
          <w:sz w:val="21"/>
          <w:szCs w:val="21"/>
        </w:rPr>
        <w:t>三、申购与赎回的数额限制</w:t>
      </w:r>
    </w:p>
    <w:p>
      <w:pPr>
        <w:pStyle w:val="7"/>
        <w:spacing w:before="0" w:beforeAutospacing="0" w:after="0" w:afterAutospacing="0" w:line="360" w:lineRule="auto"/>
        <w:ind w:firstLine="420"/>
        <w:rPr>
          <w:sz w:val="21"/>
          <w:szCs w:val="21"/>
        </w:rPr>
      </w:pPr>
      <w:r>
        <w:rPr>
          <w:rFonts w:hint="eastAsia"/>
          <w:sz w:val="21"/>
          <w:szCs w:val="21"/>
        </w:rPr>
        <w:t>1、投资人首次申购基金份额的最低金额为</w:t>
      </w:r>
      <w:bookmarkStart w:id="95" w:name="field_59_dealerfirstpurminamount_1"/>
      <w:r>
        <w:rPr>
          <w:sz w:val="21"/>
          <w:szCs w:val="21"/>
        </w:rPr>
        <w:t>1.00</w:t>
      </w:r>
      <w:bookmarkEnd w:id="95"/>
      <w:r>
        <w:rPr>
          <w:rFonts w:hint="eastAsia"/>
          <w:sz w:val="21"/>
          <w:szCs w:val="21"/>
        </w:rPr>
        <w:t>元，追加申购最低金额为</w:t>
      </w:r>
      <w:bookmarkStart w:id="96" w:name="field_59_dealerlaterpurminamount_1"/>
      <w:r>
        <w:rPr>
          <w:sz w:val="21"/>
          <w:szCs w:val="21"/>
        </w:rPr>
        <w:t>1.00</w:t>
      </w:r>
      <w:bookmarkEnd w:id="96"/>
      <w:r>
        <w:rPr>
          <w:rFonts w:hint="eastAsia"/>
          <w:sz w:val="21"/>
          <w:szCs w:val="21"/>
        </w:rPr>
        <w:t xml:space="preserve">元；详情请见当地销售机构公告； </w:t>
      </w:r>
    </w:p>
    <w:p>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7" w:name="field_59_minholdshare_1"/>
      <w:r>
        <w:rPr>
          <w:sz w:val="21"/>
          <w:szCs w:val="21"/>
        </w:rPr>
        <w:t>1</w:t>
      </w:r>
      <w:bookmarkEnd w:id="97"/>
      <w:r>
        <w:rPr>
          <w:rFonts w:hint="eastAsia"/>
          <w:sz w:val="21"/>
          <w:szCs w:val="21"/>
        </w:rPr>
        <w:t>份，若某笔赎回导致单个交易账户的基金份额余额少于</w:t>
      </w:r>
      <w:bookmarkStart w:id="98" w:name="field_59_minholdshare_2"/>
      <w:r>
        <w:rPr>
          <w:sz w:val="21"/>
          <w:szCs w:val="21"/>
        </w:rPr>
        <w:t>1</w:t>
      </w:r>
      <w:bookmarkEnd w:id="98"/>
      <w:r>
        <w:rPr>
          <w:rFonts w:hint="eastAsia"/>
          <w:sz w:val="21"/>
          <w:szCs w:val="21"/>
        </w:rPr>
        <w:t xml:space="preserve">份时，余额部分基金份额必须一同赎回； </w:t>
      </w:r>
    </w:p>
    <w:p>
      <w:pPr>
        <w:pStyle w:val="7"/>
        <w:spacing w:before="0" w:beforeAutospacing="0" w:after="0" w:afterAutospacing="0" w:line="360" w:lineRule="auto"/>
        <w:ind w:firstLine="420"/>
        <w:rPr>
          <w:sz w:val="21"/>
          <w:szCs w:val="21"/>
        </w:rPr>
      </w:pPr>
      <w:r>
        <w:rPr>
          <w:rFonts w:hint="eastAsia"/>
          <w:sz w:val="21"/>
          <w:szCs w:val="21"/>
        </w:rPr>
        <w:t xml:space="preserve">3、本基金目前对单个投资人累计持有份额不设上限限制，基金管理人可以规定单个投资者累计持有的基金份额数量限制，具体规定见更新的招募说明书或相关公告，但法律法规、监管机构或基金合同另有约定除外； </w:t>
      </w:r>
    </w:p>
    <w:p>
      <w:pPr>
        <w:pStyle w:val="7"/>
        <w:spacing w:before="0" w:beforeAutospacing="0" w:after="0" w:afterAutospacing="0" w:line="360" w:lineRule="auto"/>
        <w:ind w:firstLine="420"/>
        <w:rPr>
          <w:sz w:val="21"/>
          <w:szCs w:val="21"/>
        </w:rPr>
      </w:pPr>
      <w:r>
        <w:rPr>
          <w:rFonts w:hint="eastAsia"/>
          <w:sz w:val="21"/>
          <w:szCs w:val="21"/>
        </w:rPr>
        <w:t xml:space="preserve">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招募说明书或相关公告。 </w:t>
      </w:r>
    </w:p>
    <w:p>
      <w:pPr>
        <w:pStyle w:val="7"/>
        <w:spacing w:before="0" w:beforeAutospacing="0" w:after="0" w:afterAutospacing="0" w:line="360" w:lineRule="auto"/>
        <w:ind w:firstLine="420"/>
        <w:rPr>
          <w:sz w:val="21"/>
          <w:szCs w:val="21"/>
        </w:rPr>
      </w:pPr>
      <w:r>
        <w:rPr>
          <w:rFonts w:hint="eastAsia"/>
          <w:sz w:val="21"/>
          <w:szCs w:val="21"/>
        </w:rPr>
        <w:t xml:space="preserve">5、基金管理人可在法律法规允许的情况下，调整上述规定申购金额和赎回份额的数量限制。基金管理人必须在调整实施前依照《信息披露办法》的有关规定进行公告。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四、申购与赎回的原则</w:t>
      </w:r>
    </w:p>
    <w:p>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1、“未知价”原则，即申购、赎回价格以申请当日收市后计算的该类基金份额净值为基准进行计算；  </w:t>
      </w:r>
    </w:p>
    <w:p>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基金管理人可在法律法规允许的情况下，对上述原则进行调整。基金管理人必须在新规则开始实施前依照《信息披露办法》的有关规定进行公告。  </w:t>
      </w:r>
    </w:p>
    <w:p>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投资人必须根据销售机构规定的程序，在开放期的开放日的具体业务办理时间内提出申购或赎回的申请。 </w:t>
      </w:r>
    </w:p>
    <w:p>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投资人申购基金份额时，必须在规定时间前全额交付申购款项，投资人在规定时间前全额交付申购款项，申购成立；基金份额登记机构确认基金份额时，申购生效。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人赎回申请成功后，基金管理人将在T＋7日(包括该日)内支付赎回款项。在发生巨额赎回或基金合同约定的延缓支付赎回款项时，款项的支付办法参照基金合同有关条款处理。 </w:t>
      </w:r>
    </w:p>
    <w:p>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则申购款项退还给投资人。 </w:t>
      </w:r>
    </w:p>
    <w:p>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pPr>
        <w:pStyle w:val="7"/>
        <w:spacing w:before="0" w:beforeAutospacing="0" w:after="0" w:afterAutospacing="0" w:line="360" w:lineRule="auto"/>
        <w:ind w:firstLine="420"/>
        <w:rPr>
          <w:sz w:val="21"/>
          <w:szCs w:val="21"/>
        </w:rPr>
      </w:pPr>
      <w:r>
        <w:rPr>
          <w:rFonts w:hint="eastAsia"/>
          <w:sz w:val="21"/>
          <w:szCs w:val="21"/>
        </w:rPr>
        <w:t xml:space="preserve">1、本基金在申购时收取申购费用。 </w:t>
      </w:r>
    </w:p>
    <w:p>
      <w:pPr>
        <w:pStyle w:val="7"/>
        <w:spacing w:before="0" w:beforeAutospacing="0" w:after="0" w:afterAutospacing="0" w:line="360" w:lineRule="auto"/>
        <w:ind w:firstLine="420"/>
        <w:rPr>
          <w:sz w:val="21"/>
          <w:szCs w:val="21"/>
        </w:rPr>
      </w:pPr>
      <w:r>
        <w:rPr>
          <w:rFonts w:hint="eastAsia"/>
          <w:sz w:val="21"/>
          <w:szCs w:val="21"/>
        </w:rPr>
        <w:t xml:space="preserve">本基金的投资者，本基金A类基金份额的申购费率最高不高于0.6%，且随申购金额的增加而递减，C类基金份额不收取申购费用。申购费率如下表所示：  </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75"/>
        <w:gridCol w:w="2693"/>
        <w:gridCol w:w="2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pPr>
              <w:pStyle w:val="7"/>
            </w:pPr>
            <w:r>
              <w:rPr>
                <w:rFonts w:hint="eastAsia"/>
              </w:rPr>
              <w:t xml:space="preserve">申购金额（M）   </w:t>
            </w:r>
          </w:p>
        </w:tc>
        <w:tc>
          <w:tcPr>
            <w:tcW w:w="1550" w:type="pct"/>
            <w:shd w:val="clear" w:color="auto" w:fill="auto"/>
          </w:tcPr>
          <w:p>
            <w:pPr>
              <w:pStyle w:val="7"/>
              <w:jc w:val="center"/>
            </w:pPr>
            <w:r>
              <w:rPr>
                <w:rFonts w:hint="eastAsia"/>
              </w:rPr>
              <w:t xml:space="preserve">A类基金份额申购费率   </w:t>
            </w:r>
          </w:p>
        </w:tc>
        <w:tc>
          <w:tcPr>
            <w:tcW w:w="1350" w:type="pct"/>
            <w:shd w:val="clear" w:color="auto" w:fill="auto"/>
          </w:tcPr>
          <w:p>
            <w:pPr>
              <w:pStyle w:val="7"/>
              <w:jc w:val="center"/>
            </w:pPr>
            <w:r>
              <w:rPr>
                <w:rFonts w:hint="eastAsia"/>
              </w:rPr>
              <w:t xml:space="preserve">C类基金份额申购费率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pPr>
              <w:pStyle w:val="7"/>
            </w:pPr>
            <w:r>
              <w:rPr>
                <w:rFonts w:hint="eastAsia"/>
              </w:rPr>
              <w:t xml:space="preserve">M＜50万元   </w:t>
            </w:r>
          </w:p>
        </w:tc>
        <w:tc>
          <w:tcPr>
            <w:tcW w:w="1550" w:type="pct"/>
            <w:shd w:val="clear" w:color="auto" w:fill="auto"/>
          </w:tcPr>
          <w:p>
            <w:pPr>
              <w:pStyle w:val="7"/>
            </w:pPr>
            <w:r>
              <w:rPr>
                <w:rFonts w:hint="eastAsia"/>
              </w:rPr>
              <w:t xml:space="preserve">0.60%   </w:t>
            </w:r>
          </w:p>
        </w:tc>
        <w:tc>
          <w:tcPr>
            <w:tcW w:w="1350" w:type="pct"/>
            <w:vMerge w:val="restart"/>
            <w:shd w:val="clear" w:color="auto" w:fill="auto"/>
          </w:tcPr>
          <w:p>
            <w:pPr>
              <w:pStyle w:val="7"/>
            </w:pPr>
            <w:r>
              <w:rPr>
                <w:rFonts w:hint="eastAsia"/>
              </w:rPr>
              <w:t xml:space="preserve">0.00%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pPr>
              <w:pStyle w:val="7"/>
            </w:pPr>
            <w:r>
              <w:rPr>
                <w:rFonts w:hint="eastAsia"/>
              </w:rPr>
              <w:t xml:space="preserve">50万元≤M＜300万元   </w:t>
            </w:r>
          </w:p>
        </w:tc>
        <w:tc>
          <w:tcPr>
            <w:tcW w:w="1550" w:type="pct"/>
            <w:shd w:val="clear" w:color="auto" w:fill="auto"/>
          </w:tcPr>
          <w:p>
            <w:pPr>
              <w:pStyle w:val="7"/>
            </w:pPr>
            <w:r>
              <w:rPr>
                <w:rFonts w:hint="eastAsia"/>
              </w:rPr>
              <w:t xml:space="preserve">0.30%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pPr>
              <w:pStyle w:val="7"/>
            </w:pPr>
            <w:r>
              <w:rPr>
                <w:rFonts w:hint="eastAsia"/>
              </w:rPr>
              <w:t xml:space="preserve">300万元≤M＜500万元   </w:t>
            </w:r>
          </w:p>
        </w:tc>
        <w:tc>
          <w:tcPr>
            <w:tcW w:w="1550" w:type="pct"/>
            <w:shd w:val="clear" w:color="auto" w:fill="auto"/>
          </w:tcPr>
          <w:p>
            <w:pPr>
              <w:pStyle w:val="7"/>
            </w:pPr>
            <w:r>
              <w:rPr>
                <w:rFonts w:hint="eastAsia"/>
              </w:rPr>
              <w:t xml:space="preserve">0.08%   </w:t>
            </w:r>
          </w:p>
        </w:tc>
        <w:tc>
          <w:tcPr>
            <w:tcW w:w="0" w:type="auto"/>
            <w:vMerge w:val="continue"/>
            <w:shd w:val="clear" w:color="auto" w:fill="auto"/>
          </w:tcPr>
          <w:p>
            <w:pPr>
              <w:rPr>
                <w:rFonts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pPr>
              <w:pStyle w:val="7"/>
            </w:pPr>
            <w:r>
              <w:rPr>
                <w:rFonts w:hint="eastAsia"/>
              </w:rPr>
              <w:t xml:space="preserve">M≥500万元   </w:t>
            </w:r>
          </w:p>
        </w:tc>
        <w:tc>
          <w:tcPr>
            <w:tcW w:w="1550" w:type="pct"/>
            <w:shd w:val="clear" w:color="auto" w:fill="auto"/>
          </w:tcPr>
          <w:p>
            <w:pPr>
              <w:pStyle w:val="7"/>
            </w:pPr>
            <w:r>
              <w:rPr>
                <w:rFonts w:hint="eastAsia"/>
              </w:rPr>
              <w:t xml:space="preserve">1000元/笔   </w:t>
            </w:r>
          </w:p>
        </w:tc>
        <w:tc>
          <w:tcPr>
            <w:tcW w:w="0" w:type="auto"/>
            <w:vMerge w:val="continue"/>
            <w:shd w:val="clear" w:color="auto" w:fill="auto"/>
          </w:tcPr>
          <w:p>
            <w:pPr>
              <w:rPr>
                <w:rFonts w:ascii="宋体" w:hAnsi="宋体" w:eastAsia="宋体" w:cs="宋体"/>
                <w:sz w:val="24"/>
                <w:szCs w:val="24"/>
              </w:rPr>
            </w:pPr>
          </w:p>
        </w:tc>
      </w:tr>
    </w:tbl>
    <w:p>
      <w:pPr>
        <w:pStyle w:val="7"/>
        <w:spacing w:before="0" w:beforeAutospacing="0" w:after="0" w:afterAutospacing="0" w:line="360" w:lineRule="auto"/>
        <w:ind w:firstLine="420"/>
        <w:rPr>
          <w:sz w:val="21"/>
          <w:szCs w:val="21"/>
        </w:rPr>
      </w:pPr>
      <w:r>
        <w:rPr>
          <w:rFonts w:hint="eastAsia"/>
          <w:sz w:val="21"/>
          <w:szCs w:val="21"/>
        </w:rPr>
        <w:t xml:space="preserve">2、本基金的赎回费用  </w:t>
      </w:r>
    </w:p>
    <w:tbl>
      <w:tblPr>
        <w:tblStyle w:val="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05"/>
        <w:gridCol w:w="2724"/>
        <w:gridCol w:w="2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pPr>
              <w:pStyle w:val="7"/>
            </w:pPr>
            <w:r>
              <w:rPr>
                <w:rFonts w:hint="eastAsia"/>
              </w:rPr>
              <w:t xml:space="preserve">持有期间（Y）   </w:t>
            </w:r>
          </w:p>
        </w:tc>
        <w:tc>
          <w:tcPr>
            <w:tcW w:w="4095" w:type="dxa"/>
            <w:shd w:val="clear" w:color="auto" w:fill="auto"/>
          </w:tcPr>
          <w:p>
            <w:pPr>
              <w:pStyle w:val="7"/>
              <w:jc w:val="center"/>
            </w:pPr>
            <w:r>
              <w:rPr>
                <w:rFonts w:hint="eastAsia"/>
              </w:rPr>
              <w:t xml:space="preserve">A类基金份额赎回费率  </w:t>
            </w:r>
          </w:p>
        </w:tc>
        <w:tc>
          <w:tcPr>
            <w:tcW w:w="3450" w:type="dxa"/>
            <w:shd w:val="clear" w:color="auto" w:fill="auto"/>
          </w:tcPr>
          <w:p>
            <w:pPr>
              <w:pStyle w:val="7"/>
              <w:jc w:val="center"/>
            </w:pPr>
            <w:r>
              <w:rPr>
                <w:rFonts w:hint="eastAsia"/>
              </w:rPr>
              <w:t xml:space="preserve">C类基金份额赎回费率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pPr>
              <w:pStyle w:val="7"/>
            </w:pPr>
            <w:r>
              <w:rPr>
                <w:rFonts w:hint="eastAsia"/>
              </w:rPr>
              <w:t xml:space="preserve">Y＜7天   </w:t>
            </w:r>
          </w:p>
        </w:tc>
        <w:tc>
          <w:tcPr>
            <w:tcW w:w="1600" w:type="pct"/>
            <w:shd w:val="clear" w:color="auto" w:fill="auto"/>
          </w:tcPr>
          <w:p>
            <w:pPr>
              <w:pStyle w:val="7"/>
            </w:pPr>
            <w:r>
              <w:rPr>
                <w:rFonts w:hint="eastAsia"/>
              </w:rPr>
              <w:t xml:space="preserve">1.50%   </w:t>
            </w:r>
          </w:p>
        </w:tc>
        <w:tc>
          <w:tcPr>
            <w:tcW w:w="3450" w:type="dxa"/>
            <w:shd w:val="clear" w:color="auto" w:fill="auto"/>
          </w:tcPr>
          <w:p>
            <w:pPr>
              <w:pStyle w:val="7"/>
            </w:pPr>
            <w:r>
              <w:rPr>
                <w:rFonts w:hint="eastAsia"/>
              </w:rPr>
              <w:t xml:space="preserve">1.50%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00" w:type="pct"/>
            <w:shd w:val="clear" w:color="auto" w:fill="auto"/>
          </w:tcPr>
          <w:p>
            <w:pPr>
              <w:pStyle w:val="7"/>
            </w:pPr>
            <w:r>
              <w:rPr>
                <w:rFonts w:hint="eastAsia"/>
              </w:rPr>
              <w:t xml:space="preserve">Y≥7天   </w:t>
            </w:r>
          </w:p>
        </w:tc>
        <w:tc>
          <w:tcPr>
            <w:tcW w:w="1600" w:type="pct"/>
            <w:shd w:val="clear" w:color="auto" w:fill="auto"/>
          </w:tcPr>
          <w:p>
            <w:pPr>
              <w:pStyle w:val="7"/>
            </w:pPr>
            <w:r>
              <w:rPr>
                <w:rFonts w:hint="eastAsia"/>
              </w:rPr>
              <w:t xml:space="preserve">0.00%   </w:t>
            </w:r>
          </w:p>
        </w:tc>
        <w:tc>
          <w:tcPr>
            <w:tcW w:w="3450" w:type="dxa"/>
            <w:shd w:val="clear" w:color="auto" w:fill="auto"/>
          </w:tcPr>
          <w:p>
            <w:pPr>
              <w:pStyle w:val="7"/>
            </w:pPr>
            <w:r>
              <w:rPr>
                <w:rFonts w:hint="eastAsia"/>
              </w:rPr>
              <w:t xml:space="preserve">0.00%   </w:t>
            </w:r>
          </w:p>
        </w:tc>
      </w:tr>
    </w:tbl>
    <w:p>
      <w:pPr>
        <w:pStyle w:val="7"/>
        <w:spacing w:before="0" w:beforeAutospacing="0" w:after="0" w:afterAutospacing="0" w:line="360" w:lineRule="auto"/>
        <w:ind w:firstLine="420"/>
        <w:rPr>
          <w:sz w:val="21"/>
          <w:szCs w:val="21"/>
        </w:rPr>
      </w:pPr>
      <w:r>
        <w:rPr>
          <w:rFonts w:hint="eastAsia"/>
          <w:sz w:val="21"/>
          <w:szCs w:val="21"/>
        </w:rPr>
        <w:t xml:space="preserve">对持续持有期少于7日的投资者收取的赎回费全额计入基金财产。   </w:t>
      </w:r>
    </w:p>
    <w:p>
      <w:pPr>
        <w:pStyle w:val="7"/>
        <w:spacing w:before="0" w:beforeAutospacing="0" w:after="0" w:afterAutospacing="0" w:line="360" w:lineRule="auto"/>
        <w:ind w:firstLine="420"/>
        <w:rPr>
          <w:sz w:val="21"/>
          <w:szCs w:val="21"/>
        </w:rPr>
      </w:pPr>
      <w:r>
        <w:rPr>
          <w:rFonts w:hint="eastAsia"/>
          <w:sz w:val="21"/>
          <w:szCs w:val="21"/>
        </w:rPr>
        <w:t>对于每份申购份额，持有期指自该基金份额申购确认日至赎回确认日（不含该日）。</w:t>
      </w:r>
    </w:p>
    <w:p>
      <w:pPr>
        <w:pStyle w:val="7"/>
        <w:spacing w:before="0" w:beforeAutospacing="0" w:after="0" w:afterAutospacing="0" w:line="360" w:lineRule="auto"/>
        <w:ind w:firstLine="420"/>
        <w:rPr>
          <w:sz w:val="21"/>
          <w:szCs w:val="21"/>
        </w:rPr>
      </w:pPr>
      <w:r>
        <w:rPr>
          <w:rFonts w:hint="eastAsia"/>
          <w:sz w:val="21"/>
          <w:szCs w:val="21"/>
        </w:rPr>
        <w:t xml:space="preserve">3、基金管理人可以在法律法规和基金合同规定范围内调整申购费率和赎回费率或收费方式。费率或收费方式如发生变更，基金管理人应在调整实施前依照《信息披露办法》的有关规定在指定媒介上公告。  </w:t>
      </w:r>
    </w:p>
    <w:p>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pPr>
        <w:pStyle w:val="7"/>
        <w:spacing w:before="0" w:beforeAutospacing="0" w:after="0" w:afterAutospacing="0" w:line="360" w:lineRule="auto"/>
        <w:ind w:firstLine="420"/>
        <w:rPr>
          <w:sz w:val="21"/>
          <w:szCs w:val="21"/>
        </w:rPr>
      </w:pPr>
      <w:r>
        <w:rPr>
          <w:rFonts w:hint="eastAsia"/>
          <w:sz w:val="21"/>
          <w:szCs w:val="21"/>
        </w:rPr>
        <w:t xml:space="preserve">1、本基金申购份额的计算方式 </w:t>
      </w:r>
    </w:p>
    <w:p>
      <w:pPr>
        <w:pStyle w:val="7"/>
        <w:spacing w:before="0" w:beforeAutospacing="0" w:after="0" w:afterAutospacing="0" w:line="360" w:lineRule="auto"/>
        <w:ind w:firstLine="420"/>
        <w:rPr>
          <w:sz w:val="21"/>
          <w:szCs w:val="21"/>
        </w:rPr>
      </w:pPr>
      <w:r>
        <w:rPr>
          <w:rFonts w:hint="eastAsia"/>
          <w:sz w:val="21"/>
          <w:szCs w:val="21"/>
        </w:rPr>
        <w:t xml:space="preserve">（1）A类基金份额  </w:t>
      </w:r>
    </w:p>
    <w:p>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申购份额的计算结果均按照四舍五入方法，保留到小数点后两位，由此误差产生的损失由基金财产承担，产生的收益归基金财产所有。  </w:t>
      </w:r>
    </w:p>
    <w:p>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例1：假定T日A类基金份额净值为1.0160元，某投资人（非养老金客户）通过申购本基金A类基金份额10万元，对应的申购费率为0.60%，该投资人可得到的A类基金份额为：  </w:t>
      </w:r>
    </w:p>
    <w:p>
      <w:pPr>
        <w:pStyle w:val="7"/>
        <w:spacing w:before="0" w:beforeAutospacing="0" w:after="0" w:afterAutospacing="0" w:line="360" w:lineRule="auto"/>
        <w:ind w:firstLine="420"/>
        <w:rPr>
          <w:sz w:val="21"/>
          <w:szCs w:val="21"/>
        </w:rPr>
      </w:pPr>
      <w:r>
        <w:rPr>
          <w:rFonts w:hint="eastAsia"/>
          <w:sz w:val="21"/>
          <w:szCs w:val="21"/>
        </w:rPr>
        <w:t xml:space="preserve">净申购金额＝100,000/ (1＋0.6%)＝99,403.58元   </w:t>
      </w:r>
    </w:p>
    <w:p>
      <w:pPr>
        <w:pStyle w:val="7"/>
        <w:spacing w:before="0" w:beforeAutospacing="0" w:after="0" w:afterAutospacing="0" w:line="360" w:lineRule="auto"/>
        <w:ind w:firstLine="420"/>
        <w:rPr>
          <w:sz w:val="21"/>
          <w:szCs w:val="21"/>
        </w:rPr>
      </w:pPr>
      <w:r>
        <w:rPr>
          <w:rFonts w:hint="eastAsia"/>
          <w:sz w:val="21"/>
          <w:szCs w:val="21"/>
        </w:rPr>
        <w:t xml:space="preserve">申购费用＝100,000－99,403.58＝596.42元   </w:t>
      </w:r>
    </w:p>
    <w:p>
      <w:pPr>
        <w:pStyle w:val="7"/>
        <w:spacing w:before="0" w:beforeAutospacing="0" w:after="0" w:afterAutospacing="0" w:line="360" w:lineRule="auto"/>
        <w:ind w:firstLine="420"/>
        <w:rPr>
          <w:sz w:val="21"/>
          <w:szCs w:val="21"/>
        </w:rPr>
      </w:pPr>
      <w:r>
        <w:rPr>
          <w:rFonts w:hint="eastAsia"/>
          <w:sz w:val="21"/>
          <w:szCs w:val="21"/>
        </w:rPr>
        <w:t xml:space="preserve">申购份额＝99,403.58/1.0160＝97,838.17份   </w:t>
      </w:r>
    </w:p>
    <w:p>
      <w:pPr>
        <w:pStyle w:val="7"/>
        <w:spacing w:before="0" w:beforeAutospacing="0" w:after="0" w:afterAutospacing="0" w:line="360" w:lineRule="auto"/>
        <w:ind w:firstLine="420"/>
        <w:rPr>
          <w:sz w:val="21"/>
          <w:szCs w:val="21"/>
        </w:rPr>
      </w:pPr>
      <w:r>
        <w:rPr>
          <w:rFonts w:hint="eastAsia"/>
          <w:sz w:val="21"/>
          <w:szCs w:val="21"/>
        </w:rPr>
        <w:t xml:space="preserve">即：该投资者（非养老金客户）投资10万元申购本基金A类基金份额，假定申购当日A类基金份额净值为1.0160元，可得到97,838.17份A类基金份额。  </w:t>
      </w:r>
    </w:p>
    <w:p>
      <w:pPr>
        <w:pStyle w:val="7"/>
        <w:spacing w:before="0" w:beforeAutospacing="0" w:after="0" w:afterAutospacing="0" w:line="360" w:lineRule="auto"/>
        <w:ind w:firstLine="420"/>
        <w:rPr>
          <w:sz w:val="21"/>
          <w:szCs w:val="21"/>
        </w:rPr>
      </w:pPr>
      <w:r>
        <w:rPr>
          <w:rFonts w:hint="eastAsia"/>
          <w:sz w:val="21"/>
          <w:szCs w:val="21"/>
        </w:rPr>
        <w:t xml:space="preserve">（2）C类基金份额  </w:t>
      </w:r>
    </w:p>
    <w:p>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pPr>
        <w:pStyle w:val="7"/>
        <w:spacing w:before="0" w:beforeAutospacing="0" w:after="0" w:afterAutospacing="0" w:line="360" w:lineRule="auto"/>
        <w:ind w:firstLine="420"/>
        <w:rPr>
          <w:sz w:val="21"/>
          <w:szCs w:val="21"/>
        </w:rPr>
      </w:pPr>
      <w:r>
        <w:rPr>
          <w:rFonts w:hint="eastAsia"/>
          <w:sz w:val="21"/>
          <w:szCs w:val="21"/>
        </w:rPr>
        <w:t xml:space="preserve">例2：假设某投资者（非养老金客户）投资10万元申购本基金C类基金份额，申购当日本基金C类基金份额净值为1.0600元，则可得到的申购份额为：  </w:t>
      </w:r>
    </w:p>
    <w:p>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pPr>
        <w:pStyle w:val="7"/>
        <w:spacing w:before="0" w:beforeAutospacing="0" w:after="0" w:afterAutospacing="0" w:line="360" w:lineRule="auto"/>
        <w:ind w:firstLine="420"/>
        <w:rPr>
          <w:sz w:val="21"/>
          <w:szCs w:val="21"/>
        </w:rPr>
      </w:pPr>
      <w:r>
        <w:rPr>
          <w:rFonts w:hint="eastAsia"/>
          <w:sz w:val="21"/>
          <w:szCs w:val="21"/>
        </w:rPr>
        <w:t xml:space="preserve">即：该投资者（非养老金客户）投资10万元申购本基金C类基金份额，假设申购当日本基金C类基金份额净值为1.0600元，则其可得到94,339.62份C类基金份额。  </w:t>
      </w:r>
    </w:p>
    <w:p>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pPr>
        <w:pStyle w:val="7"/>
        <w:spacing w:before="0" w:beforeAutospacing="0" w:after="0" w:afterAutospacing="0" w:line="360" w:lineRule="auto"/>
        <w:ind w:firstLine="420"/>
        <w:rPr>
          <w:sz w:val="21"/>
          <w:szCs w:val="21"/>
        </w:rPr>
      </w:pPr>
      <w:r>
        <w:rPr>
          <w:rFonts w:hint="eastAsia"/>
          <w:sz w:val="21"/>
          <w:szCs w:val="21"/>
        </w:rPr>
        <w:t xml:space="preserve">本基金赎回金额的计算公式为：  </w:t>
      </w:r>
    </w:p>
    <w:p>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pPr>
        <w:pStyle w:val="7"/>
        <w:spacing w:before="0" w:beforeAutospacing="0" w:after="0" w:afterAutospacing="0" w:line="360" w:lineRule="auto"/>
        <w:ind w:firstLine="420"/>
        <w:rPr>
          <w:sz w:val="21"/>
          <w:szCs w:val="21"/>
        </w:rPr>
      </w:pPr>
      <w:r>
        <w:rPr>
          <w:rFonts w:hint="eastAsia"/>
          <w:sz w:val="21"/>
          <w:szCs w:val="21"/>
        </w:rPr>
        <w:t xml:space="preserve">赎回金额计算结果均按照四舍五入方法，保留到小数点后两位，由此误差产生的损失由基金财产承担，产生的收益归基金财产所有。  </w:t>
      </w:r>
    </w:p>
    <w:p>
      <w:pPr>
        <w:pStyle w:val="7"/>
        <w:spacing w:before="0" w:beforeAutospacing="0" w:after="0" w:afterAutospacing="0" w:line="360" w:lineRule="auto"/>
        <w:ind w:firstLine="420"/>
        <w:rPr>
          <w:sz w:val="21"/>
          <w:szCs w:val="21"/>
        </w:rPr>
      </w:pPr>
      <w:r>
        <w:rPr>
          <w:rFonts w:hint="eastAsia"/>
          <w:sz w:val="21"/>
          <w:szCs w:val="21"/>
        </w:rPr>
        <w:t xml:space="preserve">例：某投资者赎回本基金10万份A类基金份额，持有时间大于7天，假设赎回当日A类基金份额净值是1.0170元，则其可得到的赎回金额为：  </w:t>
      </w:r>
    </w:p>
    <w:p>
      <w:pPr>
        <w:pStyle w:val="7"/>
        <w:spacing w:before="0" w:beforeAutospacing="0" w:after="0" w:afterAutospacing="0" w:line="360" w:lineRule="auto"/>
        <w:ind w:firstLine="420"/>
        <w:rPr>
          <w:sz w:val="21"/>
          <w:szCs w:val="21"/>
        </w:rPr>
      </w:pPr>
      <w:r>
        <w:rPr>
          <w:rFonts w:hint="eastAsia"/>
          <w:sz w:val="21"/>
          <w:szCs w:val="21"/>
        </w:rPr>
        <w:t xml:space="preserve">赎回总金额＝100,000×1.0170＝101,700.00元   </w:t>
      </w:r>
    </w:p>
    <w:p>
      <w:pPr>
        <w:pStyle w:val="7"/>
        <w:spacing w:before="0" w:beforeAutospacing="0" w:after="0" w:afterAutospacing="0" w:line="360" w:lineRule="auto"/>
        <w:ind w:firstLine="420"/>
        <w:rPr>
          <w:sz w:val="21"/>
          <w:szCs w:val="21"/>
        </w:rPr>
      </w:pPr>
      <w:r>
        <w:rPr>
          <w:rFonts w:hint="eastAsia"/>
          <w:sz w:val="21"/>
          <w:szCs w:val="21"/>
        </w:rPr>
        <w:t xml:space="preserve">赎回费用＝0 元   </w:t>
      </w:r>
    </w:p>
    <w:p>
      <w:pPr>
        <w:pStyle w:val="7"/>
        <w:spacing w:before="0" w:beforeAutospacing="0" w:after="0" w:afterAutospacing="0" w:line="360" w:lineRule="auto"/>
        <w:ind w:firstLine="420"/>
        <w:rPr>
          <w:sz w:val="21"/>
          <w:szCs w:val="21"/>
        </w:rPr>
      </w:pPr>
      <w:r>
        <w:rPr>
          <w:rFonts w:hint="eastAsia"/>
          <w:sz w:val="21"/>
          <w:szCs w:val="21"/>
        </w:rPr>
        <w:t xml:space="preserve">净赎回金额＝101,700.00－0＝101,700.00元   </w:t>
      </w:r>
    </w:p>
    <w:p>
      <w:pPr>
        <w:pStyle w:val="7"/>
        <w:spacing w:before="0" w:beforeAutospacing="0" w:after="0" w:afterAutospacing="0" w:line="360" w:lineRule="auto"/>
        <w:ind w:firstLine="420"/>
        <w:rPr>
          <w:sz w:val="21"/>
          <w:szCs w:val="21"/>
        </w:rPr>
      </w:pPr>
      <w:r>
        <w:rPr>
          <w:rFonts w:hint="eastAsia"/>
          <w:sz w:val="21"/>
          <w:szCs w:val="21"/>
        </w:rPr>
        <w:t xml:space="preserve">即：投资者赎回本基金10万份A类基金份额，持有时间大于7天，假设赎回当日A类基金份额净值是1.0170元，则其可得到的赎回金额为101,700.00元。   </w:t>
      </w:r>
    </w:p>
    <w:p>
      <w:pPr>
        <w:pStyle w:val="7"/>
        <w:spacing w:before="0" w:beforeAutospacing="0" w:after="0" w:afterAutospacing="0" w:line="360" w:lineRule="auto"/>
        <w:ind w:firstLine="420"/>
        <w:rPr>
          <w:sz w:val="21"/>
          <w:szCs w:val="21"/>
        </w:rPr>
      </w:pPr>
      <w:r>
        <w:rPr>
          <w:rFonts w:hint="eastAsia"/>
          <w:sz w:val="21"/>
          <w:szCs w:val="21"/>
        </w:rPr>
        <w:t xml:space="preserve">3、基金份额净值的计算 </w:t>
      </w:r>
    </w:p>
    <w:p>
      <w:pPr>
        <w:pStyle w:val="7"/>
        <w:spacing w:before="0" w:beforeAutospacing="0" w:after="0" w:afterAutospacing="0" w:line="360" w:lineRule="auto"/>
        <w:ind w:firstLine="420"/>
        <w:rPr>
          <w:sz w:val="21"/>
          <w:szCs w:val="21"/>
        </w:rPr>
      </w:pPr>
      <w:r>
        <w:rPr>
          <w:rFonts w:hint="eastAsia"/>
          <w:sz w:val="21"/>
          <w:szCs w:val="21"/>
        </w:rPr>
        <w:t xml:space="preserve">本基金各类基金份额净值的计算，均保留到小数点后4位，小数点后第5位四舍五入，由此产生的收益或损失由基金财产承担。T日的各类基金份额净值在当天收市后计算，并按照基金合同的约定公告。遇特殊情况，经中国证监会同意，可以适当延迟计算或公告。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根据市场情况制定基金促销计划，定期或不定期地开展基金促销活动。在基金促销活动期间，按相关监管部门要求履行必要手续后，基金管理人可以适当调低基金申购费率、基金赎回费率和销售服务费率并进行公告。 </w:t>
      </w:r>
    </w:p>
    <w:p>
      <w:pPr>
        <w:pStyle w:val="7"/>
        <w:spacing w:before="0" w:beforeAutospacing="0" w:after="0" w:afterAutospacing="0" w:line="360" w:lineRule="auto"/>
        <w:ind w:firstLine="420"/>
        <w:rPr>
          <w:sz w:val="21"/>
          <w:szCs w:val="21"/>
        </w:rPr>
      </w:pPr>
      <w:r>
        <w:rPr>
          <w:rStyle w:val="11"/>
          <w:rFonts w:hint="eastAsia"/>
          <w:sz w:val="21"/>
          <w:szCs w:val="21"/>
        </w:rPr>
        <w:t>八、申购与赎回的登记</w:t>
      </w:r>
    </w:p>
    <w:p>
      <w:pPr>
        <w:pStyle w:val="7"/>
        <w:spacing w:before="0" w:beforeAutospacing="0" w:after="0" w:afterAutospacing="0" w:line="360" w:lineRule="auto"/>
        <w:ind w:firstLine="420"/>
        <w:rPr>
          <w:sz w:val="21"/>
          <w:szCs w:val="21"/>
        </w:rPr>
      </w:pPr>
      <w:r>
        <w:rPr>
          <w:rFonts w:hint="eastAsia"/>
          <w:sz w:val="21"/>
          <w:szCs w:val="21"/>
        </w:rPr>
        <w:t xml:space="preserve">1、经基金销售机构同意，基金投资者提出的申购和赎回申请，在基金管理人规定的时间之前可以撤销。 </w:t>
      </w:r>
    </w:p>
    <w:p>
      <w:pPr>
        <w:pStyle w:val="7"/>
        <w:spacing w:before="0" w:beforeAutospacing="0" w:after="0" w:afterAutospacing="0" w:line="360" w:lineRule="auto"/>
        <w:ind w:firstLine="420"/>
        <w:rPr>
          <w:sz w:val="21"/>
          <w:szCs w:val="21"/>
        </w:rPr>
      </w:pPr>
      <w:r>
        <w:rPr>
          <w:rFonts w:hint="eastAsia"/>
          <w:sz w:val="21"/>
          <w:szCs w:val="21"/>
        </w:rPr>
        <w:t xml:space="preserve">2、投资者申购基金成功后，登记机构在T＋1日为投资者登记权益并办理登记手续，投资者自T＋2日（含该日）后有权赎回该部分基金份额。 </w:t>
      </w:r>
    </w:p>
    <w:p>
      <w:pPr>
        <w:pStyle w:val="7"/>
        <w:spacing w:before="0" w:beforeAutospacing="0" w:after="0" w:afterAutospacing="0" w:line="360" w:lineRule="auto"/>
        <w:ind w:firstLine="420"/>
        <w:rPr>
          <w:sz w:val="21"/>
          <w:szCs w:val="21"/>
        </w:rPr>
      </w:pPr>
      <w:r>
        <w:rPr>
          <w:rFonts w:hint="eastAsia"/>
          <w:sz w:val="21"/>
          <w:szCs w:val="21"/>
        </w:rPr>
        <w:t xml:space="preserve">3、投资者赎回基金成功后，登记机构在T＋1日为投资者办理扣除权益的登记手续。 </w:t>
      </w:r>
    </w:p>
    <w:p>
      <w:pPr>
        <w:pStyle w:val="7"/>
        <w:spacing w:before="0" w:beforeAutospacing="0" w:after="0" w:afterAutospacing="0" w:line="360" w:lineRule="auto"/>
        <w:ind w:firstLine="420"/>
        <w:rPr>
          <w:sz w:val="21"/>
          <w:szCs w:val="21"/>
        </w:rPr>
      </w:pPr>
      <w:r>
        <w:rPr>
          <w:rFonts w:hint="eastAsia"/>
          <w:sz w:val="21"/>
          <w:szCs w:val="21"/>
        </w:rPr>
        <w:t xml:space="preserve">4、基金管理人可以在法律法规允许的范围内，对上述注册登记办理时间进行调整，但不得实质影响投资者的合法权益，并最迟于开始实施前依照《信息披露办法》的有关规定在指定媒介公告。 </w:t>
      </w:r>
    </w:p>
    <w:p>
      <w:pPr>
        <w:pStyle w:val="7"/>
        <w:spacing w:before="0" w:beforeAutospacing="0" w:after="0" w:afterAutospacing="0" w:line="360" w:lineRule="auto"/>
        <w:ind w:firstLine="420"/>
        <w:rPr>
          <w:sz w:val="21"/>
          <w:szCs w:val="21"/>
        </w:rPr>
      </w:pPr>
      <w:r>
        <w:rPr>
          <w:rStyle w:val="11"/>
          <w:rFonts w:hint="eastAsia"/>
          <w:sz w:val="21"/>
          <w:szCs w:val="21"/>
        </w:rPr>
        <w:t>九、拒绝或暂停申购的情形及处理</w:t>
      </w:r>
    </w:p>
    <w:p>
      <w:pPr>
        <w:pStyle w:val="7"/>
        <w:spacing w:before="0" w:beforeAutospacing="0" w:after="0" w:afterAutospacing="0" w:line="360" w:lineRule="auto"/>
        <w:ind w:firstLine="420"/>
        <w:rPr>
          <w:sz w:val="21"/>
          <w:szCs w:val="21"/>
        </w:rPr>
      </w:pPr>
      <w:r>
        <w:rPr>
          <w:rFonts w:hint="eastAsia"/>
          <w:sz w:val="21"/>
          <w:szCs w:val="21"/>
        </w:rPr>
        <w:t xml:space="preserve">在开放期间，发生下列情况时，基金管理人可拒绝或暂停接受投资人的申购申请：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2、发生基金合同规定的暂停基金资产估值情况时，基金管理人可暂停接受投资人的申购申请。 </w:t>
      </w:r>
    </w:p>
    <w:p>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4、基金管理人认为接受某笔或某些申购申请可能会影响或损害现有基金份额持有人利益或对存量基金份额持有人利益构成潜在重大不利影响时。 </w:t>
      </w:r>
    </w:p>
    <w:p>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pPr>
        <w:pStyle w:val="7"/>
        <w:spacing w:before="0" w:beforeAutospacing="0" w:after="0" w:afterAutospacing="0" w:line="360" w:lineRule="auto"/>
        <w:ind w:firstLine="420"/>
        <w:rPr>
          <w:sz w:val="21"/>
          <w:szCs w:val="21"/>
        </w:rPr>
      </w:pPr>
      <w:r>
        <w:rPr>
          <w:rFonts w:hint="eastAsia"/>
          <w:sz w:val="21"/>
          <w:szCs w:val="21"/>
        </w:rPr>
        <w:t xml:space="preserve">8、法律法规规定或中国证监会认定的其他情形。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发生上述第1、2、3、5、6、8项暂停申购情形之一且基金管理人决定暂停申购时，基金管理人应当根据有关规定在指定媒介上刊登暂停申购公告。如果投资人的申购申请被拒绝，被拒绝的申购款项将退还给投资人。在暂停申购的情况消除时，基金管理人应及时恢复申购业务的办理，且开放期间可以按暂停申购的期间相应延长。</w:t>
      </w:r>
    </w:p>
    <w:p>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十、暂停赎回或延缓支付赎回款项的情形及处理</w:t>
      </w:r>
    </w:p>
    <w:p>
      <w:pPr>
        <w:pStyle w:val="7"/>
        <w:spacing w:before="0" w:beforeAutospacing="0" w:after="0" w:afterAutospacing="0" w:line="360" w:lineRule="auto"/>
        <w:ind w:firstLine="420"/>
        <w:rPr>
          <w:sz w:val="21"/>
          <w:szCs w:val="21"/>
        </w:rPr>
      </w:pPr>
      <w:r>
        <w:rPr>
          <w:rFonts w:hint="eastAsia"/>
          <w:sz w:val="21"/>
          <w:szCs w:val="21"/>
        </w:rPr>
        <w:t xml:space="preserve">在开放期间，发生下列情形时，基金管理人可暂停接受投资人的赎回申请或延缓支付赎回款项：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2、发生基金合同规定的暂停基金资产估值情况时，基金管理人可暂停接受投资人的赎回申请或延缓支付赎回款项。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 </w:t>
      </w:r>
    </w:p>
    <w:p>
      <w:pPr>
        <w:pStyle w:val="7"/>
        <w:spacing w:before="0" w:beforeAutospacing="0" w:after="0" w:afterAutospacing="0" w:line="360" w:lineRule="auto"/>
        <w:ind w:firstLine="420"/>
        <w:rPr>
          <w:sz w:val="21"/>
          <w:szCs w:val="21"/>
        </w:rPr>
      </w:pPr>
      <w:r>
        <w:rPr>
          <w:rFonts w:hint="eastAsia"/>
          <w:sz w:val="21"/>
          <w:szCs w:val="21"/>
        </w:rPr>
        <w:t xml:space="preserve">4、发生继续接受赎回申请将损害现有基金份额持有人利益的情形时，基金管理人可暂停接受投资人的赎回申请。 </w:t>
      </w:r>
    </w:p>
    <w:p>
      <w:pPr>
        <w:pStyle w:val="7"/>
        <w:spacing w:before="0" w:beforeAutospacing="0" w:after="0" w:afterAutospacing="0" w:line="360" w:lineRule="auto"/>
        <w:ind w:firstLine="420"/>
        <w:rPr>
          <w:sz w:val="21"/>
          <w:szCs w:val="21"/>
        </w:rPr>
      </w:pPr>
      <w:r>
        <w:rPr>
          <w:rFonts w:hint="eastAsia"/>
          <w:sz w:val="21"/>
          <w:szCs w:val="21"/>
        </w:rPr>
        <w:t xml:space="preserve">5、当特定资产占前一估值日基金资产净值50%以上的，经与基金托管人协商确认后，基金管理人应当延缓支付赎回款项或暂停接受基金赎回申请。 </w:t>
      </w:r>
    </w:p>
    <w:p>
      <w:pPr>
        <w:pStyle w:val="7"/>
        <w:spacing w:before="0" w:beforeAutospacing="0" w:after="0" w:afterAutospacing="0" w:line="360" w:lineRule="auto"/>
        <w:ind w:firstLine="420"/>
        <w:rPr>
          <w:sz w:val="21"/>
          <w:szCs w:val="21"/>
        </w:rPr>
      </w:pPr>
      <w:r>
        <w:rPr>
          <w:rFonts w:hint="eastAsia"/>
          <w:sz w:val="21"/>
          <w:szCs w:val="21"/>
        </w:rPr>
        <w:t xml:space="preserve">6、法律法规规定或中国证监会认定的其他情形。 </w:t>
      </w:r>
    </w:p>
    <w:p>
      <w:pPr>
        <w:pStyle w:val="7"/>
        <w:spacing w:before="0" w:beforeAutospacing="0" w:after="0" w:afterAutospacing="0" w:line="360" w:lineRule="auto"/>
        <w:ind w:firstLine="420"/>
        <w:rPr>
          <w:sz w:val="21"/>
          <w:szCs w:val="21"/>
        </w:rPr>
      </w:pPr>
      <w:r>
        <w:rPr>
          <w:rFonts w:hint="eastAsia"/>
          <w:sz w:val="21"/>
          <w:szCs w:val="21"/>
        </w:rPr>
        <w:t xml:space="preserve">发生上述情形之一且基金管理人决定暂停接受赎回申请或延缓支付赎回款项时，基金管理人应按规定报中国证监会备案，已确认的赎回申请，基金管理人应足额支付；如暂时不能足额支付，基金管理人可对赎回款项进行延缓支付。在暂停赎回的情况消除时，基金管理人应及时恢复赎回业务的办理并公告，且开放期间可以按暂停赎回的期间相应延长。 </w:t>
      </w:r>
    </w:p>
    <w:p>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若本基金单个开放日内的基金份额净赎回申请(赎回申请份额总数加上基金转换中转出申请份额总数后扣除申购申请份额总数及基金转换中转入申请份额总数后的余额)超过前一工作日的基金总份额的</w:t>
      </w:r>
      <w:bookmarkStart w:id="99" w:name="field_49_mintredeemscale_2"/>
      <w:r>
        <w:rPr>
          <w:sz w:val="21"/>
          <w:szCs w:val="21"/>
        </w:rPr>
        <w:t>20</w:t>
      </w:r>
      <w:bookmarkEnd w:id="99"/>
      <w:r>
        <w:rPr>
          <w:rFonts w:hint="eastAsia"/>
          <w:sz w:val="21"/>
          <w:szCs w:val="21"/>
        </w:rPr>
        <w:t xml:space="preserve">%，即认为是发生了巨额赎回。 </w:t>
      </w:r>
    </w:p>
    <w:p>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当基金出现巨额赎回时，基金管理人可以根据基金当时的资产组合状况决定全额赎回、延缓支付赎回款项或延期办理。 </w:t>
      </w:r>
    </w:p>
    <w:p>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pPr>
        <w:pStyle w:val="7"/>
        <w:spacing w:before="0" w:beforeAutospacing="0" w:after="0" w:afterAutospacing="0" w:line="360" w:lineRule="auto"/>
        <w:ind w:firstLine="420"/>
        <w:rPr>
          <w:sz w:val="21"/>
          <w:szCs w:val="21"/>
        </w:rPr>
      </w:pPr>
      <w:r>
        <w:rPr>
          <w:rFonts w:hint="eastAsia"/>
          <w:sz w:val="21"/>
          <w:szCs w:val="21"/>
        </w:rPr>
        <w:t>（2）延缓支付赎回款项：开放期内，发生巨额赎回且不存在单一持有人赎回申请超过上一工作日基金总份额</w:t>
      </w:r>
      <w:bookmarkStart w:id="100" w:name="field_49_mintredeemscale_3"/>
      <w:r>
        <w:rPr>
          <w:sz w:val="21"/>
          <w:szCs w:val="21"/>
        </w:rPr>
        <w:t>20</w:t>
      </w:r>
      <w:bookmarkEnd w:id="100"/>
      <w:r>
        <w:rPr>
          <w:rFonts w:hint="eastAsia"/>
          <w:sz w:val="21"/>
          <w:szCs w:val="21"/>
        </w:rPr>
        <w:t xml:space="preserve">%的情况下，基金管理人可以根据第（1）项办理，亦可在对符合法律法规及基金合同约定的赎回申请全部接受和确认并当日按比例办理支付的赎回份额不得低于前一工作日基金总份额的20%的基础上，可对其余赎回申请采取延缓支付赎回款项的措施。即对于已接受的赎回申请，如基金管理人认为全额支付投资人的赎回款项有困难或认为全额支付投资人的赎回款项可能会对基金的资产净值造成较大波动的，基金管理人可对赎回款项进行延缓支付，但不得超过20个工作日。延缓支付的赎回申请以赎回申请当日的该类基金份额净值为基础计算赎回金额。如基金管理人无法在20个工作日内支付上述未支付部分的赎回款项，或基金管理人认为在变现过程中由于存在明显损害其他基金份额持有人利益的情形，经与基金托管人协商一致，基金管理人可以在履行信息披露义务后终止基金合同并报中国证监会备案，而无需召开基金份额持有人大会。 </w:t>
      </w:r>
    </w:p>
    <w:p>
      <w:pPr>
        <w:pStyle w:val="7"/>
        <w:spacing w:before="0" w:beforeAutospacing="0" w:after="0" w:afterAutospacing="0" w:line="360" w:lineRule="auto"/>
        <w:ind w:firstLine="420"/>
        <w:rPr>
          <w:sz w:val="21"/>
          <w:szCs w:val="21"/>
        </w:rPr>
      </w:pPr>
      <w:r>
        <w:rPr>
          <w:rFonts w:hint="eastAsia"/>
          <w:sz w:val="21"/>
          <w:szCs w:val="21"/>
        </w:rPr>
        <w:t>（3）延期办理：开放期内，如果发生巨额赎回且单一持有人赎回申请超过上一工作日基金总份额</w:t>
      </w:r>
      <w:bookmarkStart w:id="101" w:name="field_49_mintredeemscale_4"/>
      <w:r>
        <w:rPr>
          <w:sz w:val="21"/>
          <w:szCs w:val="21"/>
        </w:rPr>
        <w:t>20</w:t>
      </w:r>
      <w:bookmarkEnd w:id="101"/>
      <w:r>
        <w:rPr>
          <w:rFonts w:hint="eastAsia"/>
          <w:sz w:val="21"/>
          <w:szCs w:val="21"/>
        </w:rPr>
        <w:t xml:space="preserve">%的情况下，基金管理人可以延期办理赎回申请。在上述情况下，对于单个基金份额持有人当日赎回申请超过上一工作日基金总份额20%的部分，基金管理人可以进行延期办理。对于此类持有人剩余部分赎回申请以及其他持有人的赎回申请，应当按上述第（1）、（2）项规则办理。对于上述持有人被延期办理的部分，如投资人在提交赎回申请时选择取消赎回的，当日未获办理部分将被撤销；如投资人在提交赎回申请时选择延期赎回或未作明确选择的，将自动转入下一个开放日继续赎回直至办理完毕，因此导致延期办理期限超过开放期的，基金管理人在开放期外为基金份额持有人继续办理赎回申请，开放期间外延期办理的期限最长不可超过20个工作日，开放期外延期办理期间不办理申购亦不接受新的赎回申请。延期的赎回申请无优先权并以下一工作日的该类基金份额净值为基础计算赎回金额，以此类推。部分延期赎回不受单笔赎回最低份额的限制。延长期限的最后一个工作日，尚未办理完的赎回申请，基金管理人应按上述第（1）项规则办理。 </w:t>
      </w:r>
    </w:p>
    <w:p>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pPr>
        <w:pStyle w:val="7"/>
        <w:spacing w:before="0" w:beforeAutospacing="0" w:after="0" w:afterAutospacing="0" w:line="360" w:lineRule="auto"/>
        <w:ind w:firstLine="420"/>
        <w:rPr>
          <w:sz w:val="21"/>
          <w:szCs w:val="21"/>
        </w:rPr>
      </w:pPr>
      <w:r>
        <w:rPr>
          <w:rFonts w:hint="eastAsia"/>
          <w:sz w:val="21"/>
          <w:szCs w:val="21"/>
        </w:rPr>
        <w:t xml:space="preserve">当发生上述巨额赎回并延缓支付赎回款项或者延期办理时，基金管理人应当通过邮寄、传真或者招募说明书规定的其他方式在3个交易日内通知基金份额持有人，说明有关处理方法，并在2日内在指定媒介上刊登公告。 </w:t>
      </w:r>
    </w:p>
    <w:p>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1、发生上述暂停申购或赎回情况的，基金管理人应在规定期限内在指定媒介上刊登暂停公告。 </w:t>
      </w:r>
    </w:p>
    <w:p>
      <w:pPr>
        <w:pStyle w:val="7"/>
        <w:spacing w:before="0" w:beforeAutospacing="0" w:after="0" w:afterAutospacing="0" w:line="360" w:lineRule="auto"/>
        <w:ind w:firstLine="420"/>
        <w:rPr>
          <w:sz w:val="21"/>
          <w:szCs w:val="21"/>
        </w:rPr>
      </w:pPr>
      <w:r>
        <w:rPr>
          <w:rFonts w:hint="eastAsia"/>
          <w:sz w:val="21"/>
          <w:szCs w:val="21"/>
        </w:rPr>
        <w:t xml:space="preserve">2、上述暂停申购或赎回情况消除的，基金管理人应于重新开放日公布最近1个工作日的各类基金份额净值。 </w:t>
      </w:r>
    </w:p>
    <w:p>
      <w:pPr>
        <w:pStyle w:val="7"/>
        <w:spacing w:before="0" w:beforeAutospacing="0" w:after="0" w:afterAutospacing="0" w:line="360" w:lineRule="auto"/>
        <w:ind w:firstLine="420"/>
        <w:rPr>
          <w:sz w:val="21"/>
          <w:szCs w:val="21"/>
        </w:rPr>
      </w:pPr>
      <w:r>
        <w:rPr>
          <w:rFonts w:hint="eastAsia"/>
          <w:sz w:val="21"/>
          <w:szCs w:val="21"/>
        </w:rPr>
        <w:t>3、基金管理人可以根据暂停申购或赎回的时间，依照《信息披露办法》的有关规定，最迟于重新开放日在指定媒介上刊登重新开放申购或赎回的公告；也可以根据实际情况在暂</w:t>
      </w:r>
      <w:bookmarkStart w:id="102" w:name="chapter_level1_10_59_section_3_end"/>
      <w:bookmarkEnd w:id="102"/>
      <w:r>
        <w:rPr>
          <w:rFonts w:hint="eastAsia"/>
          <w:sz w:val="21"/>
          <w:szCs w:val="21"/>
        </w:rPr>
        <w:t xml:space="preserve">停公告中明确重新开放申购或赎回的时间，届时不再另行发布重新开放的公告。 </w:t>
      </w:r>
    </w:p>
    <w:p>
      <w:pPr>
        <w:pStyle w:val="7"/>
        <w:spacing w:before="0" w:beforeAutospacing="0" w:after="0" w:afterAutospacing="0" w:line="360" w:lineRule="auto"/>
        <w:ind w:firstLine="420"/>
        <w:rPr>
          <w:sz w:val="21"/>
          <w:szCs w:val="21"/>
        </w:rPr>
      </w:pPr>
      <w:bookmarkStart w:id="103" w:name="chapter_level1_10_59_section_4"/>
      <w:bookmarkEnd w:id="103"/>
      <w:r>
        <w:rPr>
          <w:rStyle w:val="11"/>
          <w:rFonts w:hint="eastAsia"/>
          <w:sz w:val="21"/>
          <w:szCs w:val="21"/>
        </w:rPr>
        <w:t>十三、基金转换</w:t>
      </w:r>
    </w:p>
    <w:p>
      <w:pPr>
        <w:pStyle w:val="7"/>
        <w:spacing w:before="0" w:beforeAutospacing="0" w:after="0" w:afterAutospacing="0" w:line="360" w:lineRule="auto"/>
        <w:ind w:firstLine="420"/>
        <w:rPr>
          <w:sz w:val="21"/>
          <w:szCs w:val="21"/>
        </w:rPr>
      </w:pPr>
      <w:r>
        <w:rPr>
          <w:rFonts w:hint="eastAsia"/>
          <w:sz w:val="21"/>
          <w:szCs w:val="21"/>
        </w:rPr>
        <w:t>基金管理人可以根据相关法律法规以及基金合同的规定决定开办本基金与基金管理人管理的其他基金之间的转换业务，基金转换可以收取一定的转换费，相关规则由基金管理人</w:t>
      </w:r>
      <w:bookmarkStart w:id="104" w:name="chapter_level1_10_59_section_4_end"/>
      <w:bookmarkEnd w:id="104"/>
      <w:r>
        <w:rPr>
          <w:rFonts w:hint="eastAsia"/>
          <w:sz w:val="21"/>
          <w:szCs w:val="21"/>
        </w:rPr>
        <w:t xml:space="preserve">届时根据相关法律法规及基金合同的规定制定并公告，并提前告知基金托管人与相关机构。 </w:t>
      </w:r>
    </w:p>
    <w:p>
      <w:pPr>
        <w:pStyle w:val="7"/>
        <w:spacing w:before="0" w:beforeAutospacing="0" w:after="0" w:afterAutospacing="0" w:line="360" w:lineRule="auto"/>
        <w:ind w:firstLine="420"/>
        <w:rPr>
          <w:sz w:val="21"/>
          <w:szCs w:val="21"/>
        </w:rPr>
      </w:pPr>
      <w:bookmarkStart w:id="105" w:name="chapter_level1_10_59_section_5"/>
      <w:bookmarkEnd w:id="105"/>
      <w:r>
        <w:rPr>
          <w:rStyle w:val="11"/>
          <w:rFonts w:hint="eastAsia"/>
          <w:sz w:val="21"/>
          <w:szCs w:val="21"/>
        </w:rPr>
        <w:t>十四、基金的非交易过户</w:t>
      </w:r>
    </w:p>
    <w:p>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pPr>
        <w:pStyle w:val="7"/>
        <w:spacing w:before="0" w:beforeAutospacing="0" w:after="0" w:afterAutospacing="0" w:line="360" w:lineRule="auto"/>
        <w:ind w:firstLine="420"/>
        <w:rPr>
          <w:sz w:val="21"/>
          <w:szCs w:val="21"/>
        </w:rPr>
      </w:pPr>
      <w:r>
        <w:rPr>
          <w:rStyle w:val="11"/>
          <w:rFonts w:hint="eastAsia"/>
          <w:sz w:val="21"/>
          <w:szCs w:val="21"/>
        </w:rPr>
        <w:t>十五、基金的转托管</w:t>
      </w:r>
    </w:p>
    <w:p>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6" w:name="chapter_level1_10_59_section_5_end"/>
      <w:bookmarkEnd w:id="106"/>
      <w:r>
        <w:rPr>
          <w:rFonts w:hint="eastAsia"/>
          <w:sz w:val="21"/>
          <w:szCs w:val="21"/>
        </w:rPr>
        <w:t xml:space="preserve">以按照规定的标准收取转托管费。 </w:t>
      </w:r>
    </w:p>
    <w:p>
      <w:pPr>
        <w:pStyle w:val="7"/>
        <w:spacing w:before="0" w:beforeAutospacing="0" w:after="0" w:afterAutospacing="0" w:line="360" w:lineRule="auto"/>
        <w:ind w:firstLine="420"/>
        <w:rPr>
          <w:sz w:val="21"/>
          <w:szCs w:val="21"/>
        </w:rPr>
      </w:pPr>
      <w:bookmarkStart w:id="107" w:name="chapter_level1_10_59_section_6"/>
      <w:bookmarkEnd w:id="107"/>
      <w:r>
        <w:rPr>
          <w:rStyle w:val="11"/>
          <w:rFonts w:hint="eastAsia"/>
          <w:sz w:val="21"/>
          <w:szCs w:val="21"/>
        </w:rPr>
        <w:t>十六、定期定额投资计划</w:t>
      </w:r>
    </w:p>
    <w:p>
      <w:pPr>
        <w:pStyle w:val="7"/>
        <w:spacing w:before="0" w:beforeAutospacing="0" w:after="0" w:afterAutospacing="0" w:line="360" w:lineRule="auto"/>
        <w:ind w:firstLine="420"/>
        <w:rPr>
          <w:sz w:val="21"/>
          <w:szCs w:val="21"/>
        </w:rPr>
      </w:pPr>
      <w:r>
        <w:rPr>
          <w:rFonts w:hint="eastAsia"/>
          <w:sz w:val="21"/>
          <w:szCs w:val="21"/>
        </w:rPr>
        <w:t>基金管理人可以为投资人办理定期定额投资计划，具体规则由基金管理人另行规定。投资人在办理定期定额投资计划时可自行约定每期扣款金额，每期扣款金额必须不低于基金管</w:t>
      </w:r>
      <w:bookmarkStart w:id="108" w:name="chapter_level1_10_59_section_6_end"/>
      <w:bookmarkEnd w:id="108"/>
      <w:r>
        <w:rPr>
          <w:rFonts w:hint="eastAsia"/>
          <w:sz w:val="21"/>
          <w:szCs w:val="21"/>
        </w:rPr>
        <w:t xml:space="preserve">理人在相关公告或更新的招募说明书中所规定的定期定额投资计划最低申购金额。 </w:t>
      </w:r>
    </w:p>
    <w:p>
      <w:pPr>
        <w:pStyle w:val="7"/>
        <w:spacing w:before="0" w:beforeAutospacing="0" w:after="0" w:afterAutospacing="0" w:line="360" w:lineRule="auto"/>
        <w:ind w:firstLine="420"/>
        <w:rPr>
          <w:sz w:val="21"/>
          <w:szCs w:val="21"/>
        </w:rPr>
      </w:pPr>
      <w:bookmarkStart w:id="109" w:name="chapter_level1_10_59_section_7"/>
      <w:bookmarkEnd w:id="109"/>
      <w:r>
        <w:rPr>
          <w:rStyle w:val="11"/>
          <w:rFonts w:hint="eastAsia"/>
          <w:sz w:val="21"/>
          <w:szCs w:val="21"/>
        </w:rPr>
        <w:t>十七、基金份额的冻结和解冻</w:t>
      </w:r>
    </w:p>
    <w:p>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 </w:t>
      </w:r>
    </w:p>
    <w:p>
      <w:pPr>
        <w:pStyle w:val="7"/>
        <w:spacing w:before="0" w:beforeAutospacing="0" w:after="0" w:afterAutospacing="0" w:line="360" w:lineRule="auto"/>
        <w:ind w:firstLine="420"/>
        <w:rPr>
          <w:sz w:val="21"/>
          <w:szCs w:val="21"/>
        </w:rPr>
      </w:pPr>
      <w:r>
        <w:rPr>
          <w:rStyle w:val="11"/>
          <w:rFonts w:hint="eastAsia"/>
          <w:sz w:val="21"/>
          <w:szCs w:val="21"/>
        </w:rPr>
        <w:t>十八、基金份额的转让</w:t>
      </w:r>
    </w:p>
    <w:p>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0" w:name="chapter_level1_10_59_section_7_end"/>
      <w:bookmarkEnd w:id="110"/>
      <w:r>
        <w:rPr>
          <w:rFonts w:hint="eastAsia"/>
          <w:sz w:val="21"/>
          <w:szCs w:val="21"/>
        </w:rPr>
        <w:t xml:space="preserve">或届时发布的相关公告。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11" w:name="_Toc207926659"/>
      <w:bookmarkStart w:id="112" w:name="chapter_level1_11_60"/>
      <w:r>
        <w:rPr>
          <w:rFonts w:hint="eastAsia" w:ascii="宋体" w:hAnsi="宋体" w:eastAsia="宋体"/>
          <w:sz w:val="30"/>
        </w:rPr>
        <w:t>第八部分  基金的投资</w:t>
      </w:r>
      <w:bookmarkEnd w:id="111"/>
      <w:bookmarkEnd w:id="112"/>
    </w:p>
    <w:p>
      <w:pPr>
        <w:pStyle w:val="7"/>
        <w:spacing w:before="0" w:beforeAutospacing="0" w:after="0" w:afterAutospacing="0" w:line="360" w:lineRule="auto"/>
        <w:ind w:firstLine="420"/>
        <w:rPr>
          <w:sz w:val="21"/>
          <w:szCs w:val="21"/>
        </w:rPr>
      </w:pPr>
      <w:bookmarkStart w:id="113" w:name="chapter_level1_11_60_section_1"/>
      <w:bookmarkEnd w:id="113"/>
      <w:r>
        <w:rPr>
          <w:rStyle w:val="11"/>
          <w:rFonts w:hint="eastAsia"/>
          <w:sz w:val="21"/>
          <w:szCs w:val="21"/>
        </w:rPr>
        <w:t>一、投资目标</w:t>
      </w:r>
    </w:p>
    <w:p>
      <w:pPr>
        <w:pStyle w:val="7"/>
        <w:spacing w:before="0" w:beforeAutospacing="0" w:after="0" w:afterAutospacing="0" w:line="360" w:lineRule="auto"/>
        <w:ind w:firstLine="420"/>
        <w:rPr>
          <w:sz w:val="21"/>
          <w:szCs w:val="21"/>
        </w:rPr>
      </w:pPr>
      <w:bookmarkStart w:id="114" w:name="field_60_investmenttarget_1_start"/>
      <w:bookmarkEnd w:id="114"/>
      <w:r>
        <w:rPr>
          <w:rFonts w:hint="eastAsia"/>
          <w:sz w:val="21"/>
          <w:szCs w:val="21"/>
        </w:rPr>
        <w:t xml:space="preserve">在谨慎投资的前提下，本基金力争战胜业绩比较基准，追求基金资产的长期、稳健、持续增值。  </w:t>
      </w:r>
      <w:bookmarkStart w:id="115" w:name="field_60_investmenttarget_1_end"/>
      <w:bookmarkEnd w:id="115"/>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二、投资范围</w:t>
      </w:r>
    </w:p>
    <w:p>
      <w:pPr>
        <w:pStyle w:val="7"/>
        <w:spacing w:before="0" w:beforeAutospacing="0" w:after="0" w:afterAutospacing="0" w:line="360" w:lineRule="auto"/>
        <w:ind w:firstLine="420"/>
        <w:rPr>
          <w:sz w:val="21"/>
          <w:szCs w:val="21"/>
        </w:rPr>
      </w:pPr>
      <w:bookmarkStart w:id="116" w:name="field_60_investmentrange_1_start"/>
      <w:bookmarkEnd w:id="116"/>
      <w:r>
        <w:rPr>
          <w:rFonts w:hint="eastAsia"/>
          <w:sz w:val="21"/>
          <w:szCs w:val="21"/>
        </w:rPr>
        <w:t xml:space="preserve">本基金的投资范围为具有良好流动性的金融工具，包括国内依法发行上市的国家债券、金融债券、次级债券、中央银行票据、企业债券、公司债券、中期票据、短期融资券及超级短期融资券、可分离交易债券的纯债、可转换债券、可交换债券、资产支持证券、回购、银行定期存款、国债期货等金融工具以及法律法规或中国证监会允许基金投资的其他固定收益类证券（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直接从二级市场买入股票等权益类资产和权证，不参与一级市场的新股申购或增发新股。本基金投资于债券资产比例不低于基金资产的80%。开放期内每个交易日日终在扣除国债期货合约需缴纳的交易保证金后，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投资于可转债/可交换债的资金不得超过基金资产净值的20%；可转债/可交换债一级市场申购不在该比例限制内，但需在上市后3个交易日内调整至符合投资限制要求。  </w:t>
      </w:r>
    </w:p>
    <w:p>
      <w:pPr>
        <w:pStyle w:val="7"/>
        <w:spacing w:before="0" w:beforeAutospacing="0" w:after="0" w:afterAutospacing="0" w:line="360" w:lineRule="auto"/>
        <w:ind w:firstLine="420"/>
        <w:rPr>
          <w:sz w:val="21"/>
          <w:szCs w:val="21"/>
        </w:rPr>
      </w:pPr>
      <w:r>
        <w:rPr>
          <w:rFonts w:hint="eastAsia"/>
          <w:sz w:val="21"/>
          <w:szCs w:val="21"/>
        </w:rPr>
        <w:t xml:space="preserve"> 如法律法规或监管机构以后允许基金投资其他品种，基金管理人在履行适当程序后，可以将其纳入投资范围。  </w:t>
      </w:r>
      <w:bookmarkStart w:id="117" w:name="field_60_investmentrange_1_end"/>
      <w:bookmarkEnd w:id="117"/>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三、投资策略</w:t>
      </w:r>
    </w:p>
    <w:p>
      <w:pPr>
        <w:pStyle w:val="7"/>
        <w:spacing w:before="0" w:beforeAutospacing="0" w:after="0" w:afterAutospacing="0" w:line="360" w:lineRule="auto"/>
        <w:ind w:firstLine="420"/>
        <w:rPr>
          <w:sz w:val="21"/>
          <w:szCs w:val="21"/>
        </w:rPr>
      </w:pPr>
      <w:bookmarkStart w:id="118" w:name="field_60_investmentstrategy_1_start"/>
      <w:bookmarkEnd w:id="118"/>
      <w:r>
        <w:rPr>
          <w:rFonts w:hint="eastAsia"/>
          <w:sz w:val="21"/>
          <w:szCs w:val="21"/>
        </w:rPr>
        <w:t xml:space="preserve">1、封闭期投资策略 </w:t>
      </w:r>
    </w:p>
    <w:p>
      <w:pPr>
        <w:pStyle w:val="7"/>
        <w:spacing w:before="0" w:beforeAutospacing="0" w:after="0" w:afterAutospacing="0" w:line="360" w:lineRule="auto"/>
        <w:ind w:firstLine="420"/>
        <w:rPr>
          <w:sz w:val="21"/>
          <w:szCs w:val="21"/>
        </w:rPr>
      </w:pPr>
      <w:r>
        <w:rPr>
          <w:rFonts w:hint="eastAsia"/>
          <w:sz w:val="21"/>
          <w:szCs w:val="21"/>
        </w:rPr>
        <w:t xml:space="preserve">（1）资产配置策略 </w:t>
      </w:r>
    </w:p>
    <w:p>
      <w:pPr>
        <w:pStyle w:val="7"/>
        <w:spacing w:before="0" w:beforeAutospacing="0" w:after="0" w:afterAutospacing="0" w:line="360" w:lineRule="auto"/>
        <w:ind w:firstLine="420"/>
        <w:rPr>
          <w:sz w:val="21"/>
          <w:szCs w:val="21"/>
        </w:rPr>
      </w:pPr>
      <w:r>
        <w:rPr>
          <w:rFonts w:hint="eastAsia"/>
          <w:sz w:val="21"/>
          <w:szCs w:val="21"/>
        </w:rPr>
        <w:t xml:space="preserve">本基金为债券型基金，基金的投资范围为：具有良好流动性的金融工具，包括国内依法发行上市的国家债券、金融债券、次级债券、中央银行票据、企业债券、公司债券、中期票据、短期融资券及超级短期融资券、可分离交易债券的纯债、可转换债券、可交换债券、资产支持证券、回购、银行定期存款、国债期货等金融工具以及法律法规或中国证监会允许基金投资的其他固定收益类证券（但须符合中国证监会的相关规定）。本基金不直接从二级市场买入股票等权益类资产和权证，不参与一级市场的新股申购或增发新股。 </w:t>
      </w:r>
    </w:p>
    <w:p>
      <w:pPr>
        <w:pStyle w:val="7"/>
        <w:spacing w:before="0" w:beforeAutospacing="0" w:after="0" w:afterAutospacing="0" w:line="360" w:lineRule="auto"/>
        <w:ind w:firstLine="420"/>
        <w:rPr>
          <w:sz w:val="21"/>
          <w:szCs w:val="21"/>
        </w:rPr>
      </w:pPr>
      <w:r>
        <w:rPr>
          <w:rFonts w:hint="eastAsia"/>
          <w:sz w:val="21"/>
          <w:szCs w:val="21"/>
        </w:rPr>
        <w:t xml:space="preserve">在以上战略性资产配置的基础上，本基金通过自上而下和自下而上相结合、定性分析和定量分析相补充的方法，确定资产在非信用类固定收益类证券（国家债券、中央银行票据等）和信用类固定收益类证券之间的配置比例。 </w:t>
      </w:r>
    </w:p>
    <w:p>
      <w:pPr>
        <w:pStyle w:val="7"/>
        <w:spacing w:before="0" w:beforeAutospacing="0" w:after="0" w:afterAutospacing="0" w:line="360" w:lineRule="auto"/>
        <w:ind w:firstLine="420"/>
        <w:rPr>
          <w:sz w:val="21"/>
          <w:szCs w:val="21"/>
        </w:rPr>
      </w:pPr>
      <w:r>
        <w:rPr>
          <w:rFonts w:hint="eastAsia"/>
          <w:sz w:val="21"/>
          <w:szCs w:val="21"/>
        </w:rPr>
        <w:t xml:space="preserve">（2）固定收益类证券投资策略 </w:t>
      </w:r>
    </w:p>
    <w:p>
      <w:pPr>
        <w:pStyle w:val="7"/>
        <w:spacing w:before="0" w:beforeAutospacing="0" w:after="0" w:afterAutospacing="0" w:line="360" w:lineRule="auto"/>
        <w:ind w:firstLine="420"/>
        <w:rPr>
          <w:sz w:val="21"/>
          <w:szCs w:val="21"/>
        </w:rPr>
      </w:pPr>
      <w:r>
        <w:rPr>
          <w:rFonts w:hint="eastAsia"/>
          <w:sz w:val="21"/>
          <w:szCs w:val="21"/>
        </w:rPr>
        <w:t xml:space="preserve">本基金的主要投资策略是买入与封闭期相匹配的债券，并持有到期，或者是持有回售期与封闭期相匹配的债券，获得本金和票息收入；同时，根据所持债券信用状况变化，进行必要的动态调整；在谨慎投资的前提下，力争获取高于业绩比较基准的投资收益。 </w:t>
      </w:r>
    </w:p>
    <w:p>
      <w:pPr>
        <w:pStyle w:val="7"/>
        <w:spacing w:before="0" w:beforeAutospacing="0" w:after="0" w:afterAutospacing="0" w:line="360" w:lineRule="auto"/>
        <w:ind w:firstLine="420"/>
        <w:rPr>
          <w:sz w:val="21"/>
          <w:szCs w:val="21"/>
        </w:rPr>
      </w:pPr>
      <w:r>
        <w:rPr>
          <w:rFonts w:hint="eastAsia"/>
          <w:sz w:val="21"/>
          <w:szCs w:val="21"/>
        </w:rPr>
        <w:t xml:space="preserve">对于本基金投资的固定收益类证券，主要从四个层次进行独立、客观、综合的考量，以筛选出合适的投资标的。 </w:t>
      </w:r>
    </w:p>
    <w:p>
      <w:pPr>
        <w:pStyle w:val="7"/>
        <w:spacing w:before="0" w:beforeAutospacing="0" w:after="0" w:afterAutospacing="0" w:line="360" w:lineRule="auto"/>
        <w:ind w:firstLine="420"/>
        <w:rPr>
          <w:sz w:val="21"/>
          <w:szCs w:val="21"/>
        </w:rPr>
      </w:pPr>
      <w:r>
        <w:rPr>
          <w:rFonts w:hint="eastAsia"/>
          <w:sz w:val="21"/>
          <w:szCs w:val="21"/>
        </w:rPr>
        <w:t xml:space="preserve">第一，基于全部公开信息对已经上市或待上市债券的发行主体进行研究，内容主要涉及发行人的股东背景、行业地位及发展趋势、担保方式及担保资产、外部增信质量、自由现金流量动态、债务压力、再融资能力等，并从以上角度对发行主体进行精细化分析和归类，规避同一信用等级中外部评级偏高以及信用风险偏高的个券，甄选同一信用评级中内生资质及外部增信好的个券，纳入债券池。 </w:t>
      </w:r>
    </w:p>
    <w:p>
      <w:pPr>
        <w:pStyle w:val="7"/>
        <w:spacing w:before="0" w:beforeAutospacing="0" w:after="0" w:afterAutospacing="0" w:line="360" w:lineRule="auto"/>
        <w:ind w:firstLine="420"/>
        <w:rPr>
          <w:sz w:val="21"/>
          <w:szCs w:val="21"/>
        </w:rPr>
      </w:pPr>
      <w:r>
        <w:rPr>
          <w:rFonts w:hint="eastAsia"/>
          <w:sz w:val="21"/>
          <w:szCs w:val="21"/>
        </w:rPr>
        <w:t xml:space="preserve">第二，使用基金管理人内部的信用评估体系对备选个券进行评分，着重考察发行人的偿债能力、现金管理能力、盈利能力三个核心要素。 </w:t>
      </w:r>
    </w:p>
    <w:p>
      <w:pPr>
        <w:pStyle w:val="7"/>
        <w:spacing w:before="0" w:beforeAutospacing="0" w:after="0" w:afterAutospacing="0" w:line="360" w:lineRule="auto"/>
        <w:ind w:firstLine="420"/>
        <w:rPr>
          <w:sz w:val="21"/>
          <w:szCs w:val="21"/>
        </w:rPr>
      </w:pPr>
      <w:r>
        <w:rPr>
          <w:rFonts w:hint="eastAsia"/>
          <w:sz w:val="21"/>
          <w:szCs w:val="21"/>
        </w:rPr>
        <w:t xml:space="preserve">第三，对市场同类可比债券、信用收益率曲线、市场交易活跃度、机构需求进行偏好分析，对个券进行流动性风险、信用风险的综合定价，判断其合理估值水平。 </w:t>
      </w:r>
    </w:p>
    <w:p>
      <w:pPr>
        <w:pStyle w:val="7"/>
        <w:spacing w:before="0" w:beforeAutospacing="0" w:after="0" w:afterAutospacing="0" w:line="360" w:lineRule="auto"/>
        <w:ind w:firstLine="420"/>
        <w:rPr>
          <w:sz w:val="21"/>
          <w:szCs w:val="21"/>
        </w:rPr>
      </w:pPr>
      <w:r>
        <w:rPr>
          <w:rFonts w:hint="eastAsia"/>
          <w:sz w:val="21"/>
          <w:szCs w:val="21"/>
        </w:rPr>
        <w:t xml:space="preserve">第四，根据市场结构与需求特征，在前三个层次的分析基础上，对个券进行深入的跟踪分析，发掘其中被市场低估的品种，在控制流动性风险的前提下，对低估品种进行择机配置和交易。 </w:t>
      </w:r>
    </w:p>
    <w:p>
      <w:pPr>
        <w:pStyle w:val="7"/>
        <w:spacing w:before="0" w:beforeAutospacing="0" w:after="0" w:afterAutospacing="0" w:line="360" w:lineRule="auto"/>
        <w:ind w:firstLine="420"/>
        <w:rPr>
          <w:sz w:val="21"/>
          <w:szCs w:val="21"/>
        </w:rPr>
      </w:pPr>
      <w:r>
        <w:rPr>
          <w:rFonts w:hint="eastAsia"/>
          <w:sz w:val="21"/>
          <w:szCs w:val="21"/>
        </w:rPr>
        <w:t xml:space="preserve">（3）杠杆投资策略 </w:t>
      </w:r>
    </w:p>
    <w:p>
      <w:pPr>
        <w:pStyle w:val="7"/>
        <w:spacing w:before="0" w:beforeAutospacing="0" w:after="0" w:afterAutospacing="0" w:line="360" w:lineRule="auto"/>
        <w:ind w:firstLine="420"/>
        <w:rPr>
          <w:sz w:val="21"/>
          <w:szCs w:val="21"/>
        </w:rPr>
      </w:pPr>
      <w:r>
        <w:rPr>
          <w:rFonts w:hint="eastAsia"/>
          <w:sz w:val="21"/>
          <w:szCs w:val="21"/>
        </w:rPr>
        <w:t xml:space="preserve">本基金将综合考虑债券投资的风险收益以及回购成本等因素，在严格控制投资风险的前提下，通过正回购，获得杠杆放大收益。开放期内，本基金资产总值不得超过基金资产净值的140%；封闭期内，本基金资产总值不得超过基金资产净值的200%。 </w:t>
      </w:r>
    </w:p>
    <w:p>
      <w:pPr>
        <w:pStyle w:val="7"/>
        <w:spacing w:before="0" w:beforeAutospacing="0" w:after="0" w:afterAutospacing="0" w:line="360" w:lineRule="auto"/>
        <w:ind w:firstLine="420"/>
        <w:rPr>
          <w:sz w:val="21"/>
          <w:szCs w:val="21"/>
        </w:rPr>
      </w:pPr>
      <w:r>
        <w:rPr>
          <w:rFonts w:hint="eastAsia"/>
          <w:sz w:val="21"/>
          <w:szCs w:val="21"/>
        </w:rPr>
        <w:t xml:space="preserve">2、开放期投资策略 </w:t>
      </w:r>
    </w:p>
    <w:p>
      <w:pPr>
        <w:pStyle w:val="7"/>
        <w:spacing w:before="0" w:beforeAutospacing="0" w:after="0" w:afterAutospacing="0" w:line="360" w:lineRule="auto"/>
        <w:ind w:firstLine="420"/>
        <w:rPr>
          <w:sz w:val="21"/>
          <w:szCs w:val="21"/>
        </w:rPr>
      </w:pPr>
      <w:r>
        <w:rPr>
          <w:rFonts w:hint="eastAsia"/>
          <w:sz w:val="21"/>
          <w:szCs w:val="21"/>
        </w:rPr>
        <w:t>开放期内，本基金为保持较高的组合流动性，方便投资人安排投资，在遵守本基金有关</w:t>
      </w:r>
      <w:bookmarkStart w:id="119" w:name="chapter_level1_11_60_section_1_end"/>
      <w:bookmarkEnd w:id="119"/>
      <w:r>
        <w:rPr>
          <w:rFonts w:hint="eastAsia"/>
          <w:sz w:val="21"/>
          <w:szCs w:val="21"/>
        </w:rPr>
        <w:t xml:space="preserve">投资限制与投资比例的前提下，将主要投资于高流动性的投资品种。 </w:t>
      </w:r>
      <w:bookmarkStart w:id="120" w:name="field_60_investmentstrategy_1_end"/>
      <w:bookmarkEnd w:id="120"/>
      <w:r>
        <w:rPr>
          <w:rFonts w:hint="eastAsia"/>
          <w:sz w:val="21"/>
          <w:szCs w:val="21"/>
        </w:rPr>
        <w:t xml:space="preserve">  </w:t>
      </w:r>
    </w:p>
    <w:p>
      <w:pPr>
        <w:pStyle w:val="7"/>
        <w:spacing w:before="0" w:beforeAutospacing="0" w:after="0" w:afterAutospacing="0" w:line="360" w:lineRule="auto"/>
        <w:ind w:firstLine="420"/>
        <w:rPr>
          <w:sz w:val="21"/>
          <w:szCs w:val="21"/>
        </w:rPr>
      </w:pPr>
      <w:bookmarkStart w:id="121" w:name="chapter_level1_11_60_section_2"/>
      <w:bookmarkEnd w:id="121"/>
      <w:r>
        <w:rPr>
          <w:rStyle w:val="11"/>
          <w:rFonts w:hint="eastAsia"/>
          <w:sz w:val="21"/>
          <w:szCs w:val="21"/>
        </w:rPr>
        <w:t>四、投资决策流程</w:t>
      </w:r>
    </w:p>
    <w:p>
      <w:pPr>
        <w:pStyle w:val="7"/>
        <w:spacing w:before="0" w:beforeAutospacing="0" w:after="0" w:afterAutospacing="0" w:line="360" w:lineRule="auto"/>
        <w:ind w:firstLine="420"/>
        <w:rPr>
          <w:sz w:val="21"/>
          <w:szCs w:val="21"/>
        </w:rPr>
      </w:pPr>
      <w:r>
        <w:rPr>
          <w:rFonts w:hint="eastAsia"/>
          <w:sz w:val="21"/>
          <w:szCs w:val="21"/>
        </w:rPr>
        <w:t xml:space="preserve">投资决策委员会是本基金的最高决策机构，定期或遇重大事件时就投资管理业务的重大问题进行讨论，并对本基金投资做方向性指导。基金经理、研究员、交易员等各司其责，相互制衡。具体的投资流程为： </w:t>
      </w:r>
    </w:p>
    <w:p>
      <w:pPr>
        <w:pStyle w:val="7"/>
        <w:spacing w:before="0" w:beforeAutospacing="0" w:after="0" w:afterAutospacing="0" w:line="360" w:lineRule="auto"/>
        <w:ind w:firstLine="420"/>
        <w:rPr>
          <w:sz w:val="21"/>
          <w:szCs w:val="21"/>
        </w:rPr>
      </w:pPr>
      <w:r>
        <w:rPr>
          <w:rFonts w:hint="eastAsia"/>
          <w:sz w:val="21"/>
          <w:szCs w:val="21"/>
        </w:rPr>
        <w:t xml:space="preserve">1、投资决策委员会定期召开会议，确定本基金的总投资思路和投资原则； </w:t>
      </w:r>
    </w:p>
    <w:p>
      <w:pPr>
        <w:pStyle w:val="7"/>
        <w:spacing w:before="0" w:beforeAutospacing="0" w:after="0" w:afterAutospacing="0" w:line="360" w:lineRule="auto"/>
        <w:ind w:firstLine="420"/>
        <w:rPr>
          <w:sz w:val="21"/>
          <w:szCs w:val="21"/>
        </w:rPr>
      </w:pPr>
      <w:r>
        <w:rPr>
          <w:rFonts w:hint="eastAsia"/>
          <w:sz w:val="21"/>
          <w:szCs w:val="21"/>
        </w:rPr>
        <w:t xml:space="preserve">2、宏观策略部基于自上而下的研究为本基金提供建议；研究部行业研究员为行业研究与分析提供支持；固定收益部数量及信用分析员为固定收益类投资决策提供依据； </w:t>
      </w:r>
    </w:p>
    <w:p>
      <w:pPr>
        <w:pStyle w:val="7"/>
        <w:spacing w:before="0" w:beforeAutospacing="0" w:after="0" w:afterAutospacing="0" w:line="360" w:lineRule="auto"/>
        <w:ind w:firstLine="420"/>
        <w:rPr>
          <w:sz w:val="21"/>
          <w:szCs w:val="21"/>
        </w:rPr>
      </w:pPr>
      <w:r>
        <w:rPr>
          <w:rFonts w:hint="eastAsia"/>
          <w:sz w:val="21"/>
          <w:szCs w:val="21"/>
        </w:rPr>
        <w:t xml:space="preserve">3、固定收益部定期召开投资例会，根据投资决策委员会的决定，结合市场和个券的变化，制定具体的投资策略； </w:t>
      </w:r>
    </w:p>
    <w:p>
      <w:pPr>
        <w:pStyle w:val="7"/>
        <w:spacing w:before="0" w:beforeAutospacing="0" w:after="0" w:afterAutospacing="0" w:line="360" w:lineRule="auto"/>
        <w:ind w:firstLine="420"/>
        <w:rPr>
          <w:sz w:val="21"/>
          <w:szCs w:val="21"/>
        </w:rPr>
      </w:pPr>
      <w:r>
        <w:rPr>
          <w:rFonts w:hint="eastAsia"/>
          <w:sz w:val="21"/>
          <w:szCs w:val="21"/>
        </w:rPr>
        <w:t xml:space="preserve">4、基金经理依据投委会的决定，参考研究员的投资建议，结合风险控制和业绩评估的反馈意见，根据市场情况，制定并实施具体的投资组合方案； </w:t>
      </w:r>
    </w:p>
    <w:p>
      <w:pPr>
        <w:pStyle w:val="7"/>
        <w:spacing w:before="0" w:beforeAutospacing="0" w:after="0" w:afterAutospacing="0" w:line="360" w:lineRule="auto"/>
        <w:ind w:firstLine="420"/>
        <w:rPr>
          <w:sz w:val="21"/>
          <w:szCs w:val="21"/>
        </w:rPr>
      </w:pPr>
      <w:r>
        <w:rPr>
          <w:rFonts w:hint="eastAsia"/>
          <w:sz w:val="21"/>
          <w:szCs w:val="21"/>
        </w:rPr>
        <w:t xml:space="preserve">5、基金经理向交易员下达指令，交易员执行后向基金经理反馈； </w:t>
      </w:r>
    </w:p>
    <w:p>
      <w:pPr>
        <w:pStyle w:val="7"/>
        <w:spacing w:before="0" w:beforeAutospacing="0" w:after="0" w:afterAutospacing="0" w:line="360" w:lineRule="auto"/>
        <w:ind w:firstLine="420"/>
        <w:rPr>
          <w:sz w:val="21"/>
          <w:szCs w:val="21"/>
        </w:rPr>
      </w:pPr>
      <w:r>
        <w:rPr>
          <w:rFonts w:hint="eastAsia"/>
          <w:sz w:val="21"/>
          <w:szCs w:val="21"/>
        </w:rPr>
        <w:t xml:space="preserve">6、监察法律部对投资的全过程进行合规风险监控； </w:t>
      </w:r>
    </w:p>
    <w:p>
      <w:pPr>
        <w:pStyle w:val="7"/>
        <w:spacing w:before="0" w:beforeAutospacing="0" w:after="0" w:afterAutospacing="0" w:line="360" w:lineRule="auto"/>
        <w:ind w:firstLine="420"/>
        <w:rPr>
          <w:sz w:val="21"/>
          <w:szCs w:val="21"/>
        </w:rPr>
      </w:pPr>
      <w:r>
        <w:rPr>
          <w:rFonts w:hint="eastAsia"/>
          <w:sz w:val="21"/>
          <w:szCs w:val="21"/>
        </w:rPr>
        <w:t xml:space="preserve">7、风险管理部通过行使风险管理职能，测算、分析和监控投资风险,根据风险限额管理政策防范超预期风险； </w:t>
      </w:r>
    </w:p>
    <w:p>
      <w:pPr>
        <w:pStyle w:val="7"/>
        <w:spacing w:before="0" w:beforeAutospacing="0" w:after="0" w:afterAutospacing="0" w:line="360" w:lineRule="auto"/>
        <w:ind w:firstLine="420"/>
        <w:rPr>
          <w:sz w:val="21"/>
          <w:szCs w:val="21"/>
        </w:rPr>
      </w:pPr>
      <w:r>
        <w:rPr>
          <w:rFonts w:hint="eastAsia"/>
          <w:sz w:val="21"/>
          <w:szCs w:val="21"/>
        </w:rPr>
        <w:t xml:space="preserve">8、风险管理部对基金投资进行风险调整业绩评估，定期与基金经理讨论收益和风险预算。 </w:t>
      </w:r>
    </w:p>
    <w:p>
      <w:pPr>
        <w:pStyle w:val="7"/>
        <w:spacing w:before="0" w:beforeAutospacing="0" w:after="0" w:afterAutospacing="0" w:line="360" w:lineRule="auto"/>
        <w:ind w:firstLine="420"/>
        <w:rPr>
          <w:sz w:val="21"/>
          <w:szCs w:val="21"/>
        </w:rPr>
      </w:pPr>
      <w:r>
        <w:rPr>
          <w:rStyle w:val="11"/>
          <w:rFonts w:hint="eastAsia"/>
          <w:sz w:val="21"/>
          <w:szCs w:val="21"/>
        </w:rPr>
        <w:t>五、投资限制</w:t>
      </w:r>
    </w:p>
    <w:p>
      <w:pPr>
        <w:pStyle w:val="7"/>
        <w:spacing w:before="0" w:beforeAutospacing="0" w:after="0" w:afterAutospacing="0" w:line="360" w:lineRule="auto"/>
        <w:ind w:firstLine="420"/>
        <w:rPr>
          <w:sz w:val="21"/>
          <w:szCs w:val="21"/>
        </w:rPr>
      </w:pPr>
      <w:r>
        <w:rPr>
          <w:rFonts w:hint="eastAsia"/>
          <w:sz w:val="21"/>
          <w:szCs w:val="21"/>
        </w:rPr>
        <w:t xml:space="preserve">（一）禁止行为 </w:t>
      </w:r>
    </w:p>
    <w:p>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pPr>
        <w:pStyle w:val="7"/>
        <w:spacing w:before="0" w:beforeAutospacing="0" w:after="0" w:afterAutospacing="0" w:line="360" w:lineRule="auto"/>
        <w:ind w:firstLine="420"/>
        <w:rPr>
          <w:sz w:val="21"/>
          <w:szCs w:val="21"/>
        </w:rPr>
      </w:pPr>
      <w:r>
        <w:rPr>
          <w:rFonts w:hint="eastAsia"/>
          <w:sz w:val="21"/>
          <w:szCs w:val="21"/>
        </w:rPr>
        <w:t xml:space="preserve">1、承销证券； </w:t>
      </w:r>
    </w:p>
    <w:p>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pPr>
        <w:pStyle w:val="7"/>
        <w:spacing w:before="0" w:beforeAutospacing="0" w:after="0" w:afterAutospacing="0" w:line="360" w:lineRule="auto"/>
        <w:ind w:firstLine="420"/>
        <w:rPr>
          <w:sz w:val="21"/>
          <w:szCs w:val="21"/>
        </w:rPr>
      </w:pPr>
      <w:r>
        <w:rPr>
          <w:rFonts w:hint="eastAsia"/>
          <w:sz w:val="21"/>
          <w:szCs w:val="21"/>
        </w:rPr>
        <w:t xml:space="preserve">7、法律法规和中国证监会规定禁止的其他活动；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如法律、行政法规或监管部门取消上述禁止性规定，则本基金可不受上述规定的限制。 </w:t>
      </w:r>
    </w:p>
    <w:p>
      <w:pPr>
        <w:pStyle w:val="7"/>
        <w:spacing w:before="0" w:beforeAutospacing="0" w:after="0" w:afterAutospacing="0" w:line="360" w:lineRule="auto"/>
        <w:ind w:firstLine="420"/>
        <w:rPr>
          <w:sz w:val="21"/>
          <w:szCs w:val="21"/>
        </w:rPr>
      </w:pPr>
      <w:r>
        <w:rPr>
          <w:rFonts w:hint="eastAsia"/>
          <w:sz w:val="21"/>
          <w:szCs w:val="21"/>
        </w:rPr>
        <w:t xml:space="preserve">（二）投资组合限制 </w:t>
      </w:r>
    </w:p>
    <w:p>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开放期内每个交易日日终扣除国债期货需缴纳的交易保证金后，保持不低于基金资产净值5％的现金或者到期日在一年以内的政府债券，在封闭期内，本基金不受上述5%的限制，但每个交易日日终在扣除国债期货合约需缴纳的交易保证金后，应当保持不低于交易保证金一倍的现金；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（9）本基金进入全国银行间同业市场进行债券回购的资金余额不得超过基金资产净值的40%，债券回购最长期限为1年，债券回购到期后不得展期； </w:t>
      </w:r>
    </w:p>
    <w:p>
      <w:pPr>
        <w:pStyle w:val="7"/>
        <w:spacing w:before="0" w:beforeAutospacing="0" w:after="0" w:afterAutospacing="0" w:line="360" w:lineRule="auto"/>
        <w:ind w:firstLine="420"/>
        <w:rPr>
          <w:sz w:val="21"/>
          <w:szCs w:val="21"/>
        </w:rPr>
      </w:pPr>
      <w:r>
        <w:rPr>
          <w:rFonts w:hint="eastAsia"/>
          <w:sz w:val="21"/>
          <w:szCs w:val="21"/>
        </w:rPr>
        <w:t xml:space="preserve">（10）本基金若参与国债期货交易，需遵守下列投资比例限制：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（11）开放期内，本基金资产总值不得超过基金资产净值的140%；封闭期内，本基金资产总值不得超过基金资产净值的200%； </w:t>
      </w:r>
    </w:p>
    <w:p>
      <w:pPr>
        <w:pStyle w:val="7"/>
        <w:spacing w:before="0" w:beforeAutospacing="0" w:after="0" w:afterAutospacing="0" w:line="360" w:lineRule="auto"/>
        <w:ind w:firstLine="420"/>
        <w:rPr>
          <w:sz w:val="21"/>
          <w:szCs w:val="21"/>
        </w:rPr>
      </w:pPr>
      <w:r>
        <w:rPr>
          <w:rFonts w:hint="eastAsia"/>
          <w:sz w:val="21"/>
          <w:szCs w:val="21"/>
        </w:rPr>
        <w:t xml:space="preserve">（12）本基金投资于可转债/可交换债的资金不得超过基金资产净值的20%；可转债/可交换债一级市场申购不在该比例限制内，但需在上市后3个交易日内调整至符合投资限制要求； </w:t>
      </w:r>
    </w:p>
    <w:p>
      <w:pPr>
        <w:pStyle w:val="7"/>
        <w:spacing w:before="0" w:beforeAutospacing="0" w:after="0" w:afterAutospacing="0" w:line="360" w:lineRule="auto"/>
        <w:ind w:firstLine="420"/>
        <w:rPr>
          <w:sz w:val="21"/>
          <w:szCs w:val="21"/>
        </w:rPr>
      </w:pPr>
      <w:r>
        <w:rPr>
          <w:rFonts w:hint="eastAsia"/>
          <w:sz w:val="21"/>
          <w:szCs w:val="21"/>
        </w:rPr>
        <w:t xml:space="preserve">（13）开放期内，本基金管理人管理的全部开放式基金持有一家上市公司发行的可流通股票，不得超过该上市公司可流通股票的15%；开放期内，本基金管理人管理的全部投资组合持有一家上市公司发行的可流通股票，不得超过该上市公司可流通股票的30%；封闭期内不受上述限制； </w:t>
      </w:r>
    </w:p>
    <w:p>
      <w:pPr>
        <w:pStyle w:val="7"/>
        <w:spacing w:before="0" w:beforeAutospacing="0" w:after="0" w:afterAutospacing="0" w:line="360" w:lineRule="auto"/>
        <w:ind w:firstLine="420"/>
        <w:rPr>
          <w:sz w:val="21"/>
          <w:szCs w:val="21"/>
        </w:rPr>
      </w:pPr>
      <w:r>
        <w:rPr>
          <w:rFonts w:hint="eastAsia"/>
          <w:sz w:val="21"/>
          <w:szCs w:val="21"/>
        </w:rPr>
        <w:t xml:space="preserve">（14）开放期内，本基金主动投资于流动性受限资产的市值合计不得超过本基金资产净值的15%；封闭期内不受此限；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第（2）、（8）、（14）、（15）项以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法律法规或监管部门取消或变更上述限制，则本基金投资可不再受相关限制或以变更后的规定为准。 </w:t>
      </w:r>
    </w:p>
    <w:p>
      <w:pPr>
        <w:pStyle w:val="7"/>
        <w:spacing w:before="0" w:beforeAutospacing="0" w:after="0" w:afterAutospacing="0" w:line="360" w:lineRule="auto"/>
        <w:ind w:firstLine="420"/>
        <w:rPr>
          <w:sz w:val="21"/>
          <w:szCs w:val="21"/>
        </w:rPr>
      </w:pPr>
      <w:r>
        <w:rPr>
          <w:rStyle w:val="11"/>
          <w:rFonts w:hint="eastAsia"/>
          <w:sz w:val="21"/>
          <w:szCs w:val="21"/>
        </w:rPr>
        <w:t>六、业绩比较基准</w:t>
      </w:r>
    </w:p>
    <w:p>
      <w:pPr>
        <w:pStyle w:val="7"/>
        <w:spacing w:before="0" w:beforeAutospacing="0" w:after="0" w:afterAutospacing="0" w:line="360" w:lineRule="auto"/>
        <w:ind w:firstLine="420"/>
        <w:rPr>
          <w:sz w:val="21"/>
          <w:szCs w:val="21"/>
        </w:rPr>
      </w:pPr>
      <w:bookmarkStart w:id="122" w:name="chapter_level1_11_60_section_3"/>
      <w:bookmarkEnd w:id="122"/>
      <w:bookmarkStart w:id="123" w:name="chapter_level1_11_60_section_2_end"/>
      <w:bookmarkEnd w:id="123"/>
      <w:r>
        <w:rPr>
          <w:rFonts w:hint="eastAsia"/>
          <w:sz w:val="21"/>
          <w:szCs w:val="21"/>
        </w:rPr>
        <w:t>本基金的业绩比较基准为：</w:t>
      </w:r>
      <w:bookmarkStart w:id="124" w:name="field_60_benchmark_1_start"/>
      <w:bookmarkEnd w:id="124"/>
      <w:r>
        <w:rPr>
          <w:rFonts w:hint="eastAsia"/>
          <w:sz w:val="21"/>
          <w:szCs w:val="21"/>
        </w:rPr>
        <w:t xml:space="preserve">中债综合指数（总财富）收益率×90%+1年期定期存款利率（税后）×10%  </w:t>
      </w:r>
      <w:bookmarkStart w:id="125" w:name="field_60_benchmark_1_end"/>
      <w:bookmarkEnd w:id="125"/>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本基金选择上述业绩比较基准的原因为本基金是通过债券资产的配置和个券的选择来增强债券投资的收益。中债综合指数由中央国债登记结算有限公司编制，该指数旨在综合反映债券全市场整体价格和投资回报情况。指数涵盖了银行间市场和交易所市场，具有广泛的市场代表性，适合作为市场债券投资收益的衡量标准；由于本基金投资于债券资产的比例不低于基金资产净值的80%，持有现金或者到期日在一年以内的政府债券不低于基金资产净值的5%，采用90%作为业绩比较基准中债券投资所代表的权重，10%乘以1年定期银行存款利率（税后）作为资产所对应的权重可以较好的反映本基金的风险收益特征。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4"/>
          <w:szCs w:val="24"/>
        </w:rPr>
      </w:pPr>
      <w:r>
        <w:rPr>
          <w:rFonts w:ascii="宋体" w:hAnsi="宋体" w:eastAsia="宋体"/>
        </w:rPr>
        <w:t>如果今后法律法规发生变化，或者有更权威的、更能为市场普遍接受的业绩比较基准推出，或者是市场上出现更加适合用于本基金的业绩基准的指数时，本基金管理人在与基金托管人</w:t>
      </w:r>
      <w:bookmarkStart w:id="126" w:name="chapter_level1_11_60_section_3_end"/>
      <w:bookmarkEnd w:id="126"/>
      <w:r>
        <w:rPr>
          <w:rFonts w:ascii="宋体" w:hAnsi="宋体" w:eastAsia="宋体"/>
        </w:rPr>
        <w:t>协商一致，可调整或变更业绩比较基准并及时公告，而无需召开基金份额持有人大会。</w:t>
      </w:r>
    </w:p>
    <w:p>
      <w:pPr>
        <w:pStyle w:val="7"/>
        <w:spacing w:before="0" w:beforeAutospacing="0" w:after="0" w:afterAutospacing="0" w:line="360" w:lineRule="auto"/>
        <w:ind w:firstLine="420"/>
        <w:rPr>
          <w:sz w:val="21"/>
          <w:szCs w:val="21"/>
        </w:rPr>
      </w:pPr>
      <w:bookmarkStart w:id="127" w:name="chapter_level1_11_60_section_4"/>
      <w:bookmarkEnd w:id="127"/>
      <w:r>
        <w:rPr>
          <w:rStyle w:val="11"/>
          <w:rFonts w:hint="eastAsia"/>
          <w:sz w:val="21"/>
          <w:szCs w:val="21"/>
        </w:rPr>
        <w:t>七、风险收益特征</w:t>
      </w:r>
    </w:p>
    <w:p>
      <w:pPr>
        <w:pStyle w:val="7"/>
        <w:spacing w:before="0" w:beforeAutospacing="0" w:after="0" w:afterAutospacing="0" w:line="360" w:lineRule="auto"/>
        <w:ind w:firstLine="420"/>
        <w:rPr>
          <w:sz w:val="21"/>
          <w:szCs w:val="21"/>
        </w:rPr>
      </w:pPr>
      <w:bookmarkStart w:id="128" w:name="field_60_riskyield_1_start"/>
      <w:bookmarkEnd w:id="128"/>
      <w:r>
        <w:rPr>
          <w:rFonts w:hint="eastAsia"/>
          <w:sz w:val="21"/>
          <w:szCs w:val="21"/>
        </w:rPr>
        <w:t xml:space="preserve">本基金为债券型基金，预期收益和预期风险高于货币市场基金，低于混合型基金、股票型基金，属于中等风险/收益的产品。  </w:t>
      </w:r>
      <w:bookmarkStart w:id="129" w:name="field_60_riskyield_1_end"/>
      <w:bookmarkEnd w:id="129"/>
      <w:r>
        <w:rPr>
          <w:rFonts w:hint="eastAsia"/>
          <w:sz w:val="21"/>
          <w:szCs w:val="21"/>
        </w:rPr>
        <w:t xml:space="preserve">  </w:t>
      </w:r>
    </w:p>
    <w:p>
      <w:pPr>
        <w:pStyle w:val="7"/>
        <w:spacing w:before="0" w:beforeAutospacing="0" w:after="0" w:afterAutospacing="0" w:line="360" w:lineRule="auto"/>
        <w:ind w:firstLine="420"/>
        <w:rPr>
          <w:sz w:val="21"/>
          <w:szCs w:val="21"/>
        </w:rPr>
      </w:pPr>
      <w:r>
        <w:rPr>
          <w:rStyle w:val="11"/>
          <w:rFonts w:hint="eastAsia"/>
          <w:sz w:val="21"/>
          <w:szCs w:val="21"/>
        </w:rPr>
        <w:t>八、基金管理人代表基金行使债权人权利的处理原则及方法</w:t>
      </w:r>
    </w:p>
    <w:p>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1、基金管理人按照国家有关规定代表基金独立行使债权人权利，保护基金份额持有人的利益； </w:t>
      </w:r>
    </w:p>
    <w:p>
      <w:pPr>
        <w:pStyle w:val="7"/>
        <w:spacing w:before="0" w:beforeAutospacing="0" w:after="0" w:afterAutospacing="0" w:line="360" w:lineRule="auto"/>
        <w:ind w:firstLine="420"/>
        <w:rPr>
          <w:sz w:val="21"/>
          <w:szCs w:val="21"/>
        </w:rPr>
      </w:pPr>
      <w:r>
        <w:rPr>
          <w:rFonts w:hint="eastAsia"/>
          <w:sz w:val="21"/>
          <w:szCs w:val="21"/>
        </w:rPr>
        <w:t xml:space="preserve">2、有利于基金财产的安全与增值； </w:t>
      </w:r>
    </w:p>
    <w:p>
      <w:pPr>
        <w:pStyle w:val="7"/>
        <w:spacing w:before="0" w:beforeAutospacing="0" w:after="0" w:afterAutospacing="0" w:line="360" w:lineRule="auto"/>
        <w:ind w:firstLine="420"/>
        <w:rPr>
          <w:sz w:val="21"/>
          <w:szCs w:val="21"/>
        </w:rPr>
      </w:pPr>
      <w:r>
        <w:rPr>
          <w:rFonts w:hint="eastAsia"/>
          <w:sz w:val="21"/>
          <w:szCs w:val="21"/>
        </w:rPr>
        <w:t xml:space="preserve">3、不通过关联交易为自身、雇员、授权代理人或任何存在利害关系的第三人牟取任何不当利益。 </w:t>
      </w:r>
    </w:p>
    <w:p>
      <w:pPr>
        <w:pStyle w:val="7"/>
        <w:spacing w:before="0" w:beforeAutospacing="0" w:after="0" w:afterAutospacing="0" w:line="360" w:lineRule="auto"/>
        <w:ind w:firstLine="420"/>
        <w:rPr>
          <w:sz w:val="21"/>
          <w:szCs w:val="21"/>
        </w:rPr>
      </w:pPr>
      <w:r>
        <w:rPr>
          <w:rStyle w:val="11"/>
          <w:rFonts w:hint="eastAsia"/>
          <w:sz w:val="21"/>
          <w:szCs w:val="21"/>
        </w:rPr>
        <w:t>九、侧袋机制的实施和投资运作安排</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4"/>
          <w:szCs w:val="24"/>
        </w:rPr>
      </w:pPr>
      <w:r>
        <w:rPr>
          <w:rFonts w:ascii="宋体" w:hAnsi="宋体" w:eastAsia="宋体"/>
        </w:rPr>
        <w:t>侧袋账户的实施条件、实施程序、运作安排、投资安排、特定资产的处置变现和支付等对投</w:t>
      </w:r>
      <w:bookmarkStart w:id="130" w:name="chapter_level1_11_60_section_4_end"/>
      <w:bookmarkEnd w:id="130"/>
      <w:r>
        <w:rPr>
          <w:rFonts w:ascii="宋体" w:hAnsi="宋体" w:eastAsia="宋体"/>
        </w:rPr>
        <w:t xml:space="preserve">资者权益有重大影响的事项详见本招募说明书“侧袋机制”章节的规定。 </w:t>
      </w:r>
    </w:p>
    <w:p>
      <w:pPr>
        <w:pStyle w:val="7"/>
        <w:spacing w:before="0" w:beforeAutospacing="0" w:after="0" w:afterAutospacing="0" w:line="360" w:lineRule="auto"/>
        <w:ind w:firstLine="420"/>
        <w:rPr>
          <w:sz w:val="21"/>
          <w:szCs w:val="21"/>
        </w:rPr>
      </w:pPr>
      <w:bookmarkStart w:id="131" w:name="chapter_level1_11_60_section_5_end"/>
      <w:bookmarkEnd w:id="131"/>
      <w:bookmarkStart w:id="132" w:name="chapter_level1_11_60_section_5"/>
      <w:bookmarkEnd w:id="132"/>
      <w:r>
        <w:rPr>
          <w:rStyle w:val="11"/>
          <w:rFonts w:hint="eastAsia"/>
          <w:sz w:val="21"/>
          <w:szCs w:val="21"/>
        </w:rPr>
        <w:t>十、基金投资组合报告</w:t>
      </w:r>
    </w:p>
    <w:p>
      <w:pPr>
        <w:pStyle w:val="7"/>
        <w:spacing w:before="0" w:beforeAutospacing="0" w:after="0" w:afterAutospacing="0" w:line="360" w:lineRule="auto"/>
        <w:ind w:firstLine="420"/>
        <w:rPr>
          <w:sz w:val="21"/>
          <w:szCs w:val="21"/>
        </w:rPr>
      </w:pPr>
      <w:bookmarkStart w:id="133" w:name="chapter_level1_11_60_section_6"/>
      <w:bookmarkEnd w:id="133"/>
      <w:r>
        <w:rPr>
          <w:rFonts w:hint="eastAsia"/>
          <w:sz w:val="21"/>
          <w:szCs w:val="21"/>
        </w:rPr>
        <w:t xml:space="preserve">博时基金管理公司的董事会及董事保证本报告所载资料不存在虚假记载、误导性陈述或重大遗漏，并对其内容的真实性、准确性和完整性承担个别及连带责任。 </w:t>
      </w:r>
    </w:p>
    <w:p>
      <w:pPr>
        <w:pStyle w:val="7"/>
        <w:spacing w:before="0" w:beforeAutospacing="0" w:after="0" w:afterAutospacing="0" w:line="360" w:lineRule="auto"/>
        <w:ind w:firstLine="420"/>
        <w:rPr>
          <w:sz w:val="21"/>
          <w:szCs w:val="21"/>
        </w:rPr>
      </w:pPr>
      <w:r>
        <w:rPr>
          <w:rFonts w:hint="eastAsia"/>
          <w:sz w:val="21"/>
          <w:szCs w:val="21"/>
        </w:rPr>
        <w:t xml:space="preserve">基金托管人根据基金合同规定，复核了本报告中的净值表现和投资组合报告等内容，保证复核内容不存在虚假记载、误导性陈述或者重大遗漏。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4" w:name="field_2343_financeendday_2"/>
      <w:r>
        <w:rPr>
          <w:sz w:val="21"/>
          <w:szCs w:val="21"/>
        </w:rPr>
        <w:t>2025年6月30日</w:t>
      </w:r>
      <w:bookmarkEnd w:id="134"/>
      <w:r>
        <w:rPr>
          <w:rFonts w:hint="eastAsia"/>
          <w:sz w:val="21"/>
          <w:szCs w:val="21"/>
        </w:rPr>
        <w:t xml:space="preserve">，本报告中所列财务数据未经审计。 </w:t>
      </w:r>
    </w:p>
    <w:p>
      <w:pPr>
        <w:pStyle w:val="7"/>
        <w:spacing w:before="0" w:beforeAutospacing="0" w:after="0" w:afterAutospacing="0" w:line="360" w:lineRule="auto"/>
        <w:ind w:firstLine="420"/>
        <w:rPr>
          <w:sz w:val="21"/>
          <w:szCs w:val="21"/>
        </w:rPr>
      </w:pPr>
      <w:bookmarkStart w:id="135" w:name="field_0_fundportfolio_1_start"/>
      <w:bookmarkEnd w:id="135"/>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占基金总资产的比例(%)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67,874,506.93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96.79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67,874,506.93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96.79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2,248,140.43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2,868.13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70,125,515.49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w:t>
            </w:r>
          </w:p>
        </w:tc>
      </w:tr>
    </w:tbl>
    <w:p>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本基金本报告期末未持有境内股票。</w:t>
      </w:r>
    </w:p>
    <w:p>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619"/>
        <w:gridCol w:w="1966"/>
        <w:gridCol w:w="31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29,046,328.00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56.02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32,887,528.49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p>
        </w:tc>
        <w:tc>
          <w:tcPr>
            <w:tcW w:w="0" w:type="auto"/>
            <w:shd w:val="clear" w:color="auto" w:fill="auto"/>
          </w:tcPr>
          <w:p>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27,854,575.34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53.72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5,940,650.44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67,874,506.93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130.90</w:t>
            </w:r>
          </w:p>
        </w:tc>
      </w:tr>
    </w:tbl>
    <w:p>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7"/>
        <w:gridCol w:w="1037"/>
        <w:gridCol w:w="1477"/>
        <w:gridCol w:w="1238"/>
        <w:gridCol w:w="1581"/>
        <w:gridCol w:w="25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240413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24农发13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12,256,980.82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019757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24国债20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11,252,415.34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21.70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250210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25国开10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10,110,383.56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250011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25附息国债11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85,000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8,532,972.15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16.46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210210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21国开10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50,000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5,487,210.96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10.58</w:t>
            </w:r>
          </w:p>
        </w:tc>
      </w:tr>
    </w:tbl>
    <w:p>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pPr>
        <w:pStyle w:val="7"/>
        <w:spacing w:before="0" w:beforeAutospacing="0" w:after="0" w:afterAutospacing="0" w:line="360" w:lineRule="auto"/>
        <w:ind w:firstLine="420"/>
        <w:rPr>
          <w:sz w:val="21"/>
          <w:szCs w:val="21"/>
        </w:rPr>
      </w:pPr>
      <w:r>
        <w:rPr>
          <w:rFonts w:hint="eastAsia"/>
          <w:sz w:val="21"/>
          <w:szCs w:val="21"/>
        </w:rPr>
        <w:t>本基金本报告期末未持有权证。</w:t>
      </w:r>
    </w:p>
    <w:p>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pPr>
        <w:pStyle w:val="7"/>
        <w:spacing w:before="0" w:beforeAutospacing="0" w:after="0" w:afterAutospacing="0" w:line="360" w:lineRule="auto"/>
        <w:ind w:firstLine="420"/>
        <w:rPr>
          <w:sz w:val="21"/>
          <w:szCs w:val="21"/>
        </w:rPr>
      </w:pPr>
      <w:r>
        <w:rPr>
          <w:rFonts w:hint="eastAsia"/>
          <w:sz w:val="21"/>
          <w:szCs w:val="21"/>
        </w:rPr>
        <w:t>本基金在进行国债期货投资时，将根据风险管理原则，以套期保值为主要目的，采用流动性好、交易活跃的期货合约，通过对债券市场和期货市场运行趋势的研究，结合国债期货的定价模型寻求其合理的估值水平，与现货资产进行匹配，通过多头或空头套期保值等策略进行套期保值操作。基金管理人将充分考虑国债期货的收益性、流动性及风险性特征，运用国债期货对冲系统性风险、对冲特殊情况下的流动性风险，如大额申购赎回等；利用金融衍生品的杠杆作用，以达到降低投资组合的整体风险的目的。</w:t>
      </w:r>
    </w:p>
    <w:p>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667"/>
        <w:gridCol w:w="1878"/>
        <w:gridCol w:w="1548"/>
        <w:gridCol w:w="2208"/>
        <w:gridCol w:w="1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持仓量（买/卖）</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合约市值(元)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公允价值变动（元）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风险指标说明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rPr>
                <w:rFonts w:ascii="宋体" w:hAnsi="宋体" w:eastAsia="宋体" w:cs="宋体"/>
                <w:sz w:val="24"/>
                <w:szCs w:val="24"/>
              </w:rPr>
            </w:pPr>
            <w:r>
              <w:rPr>
                <w:rFonts w:hint="eastAsia" w:ascii="宋体" w:hAnsi="宋体" w:eastAsia="宋体"/>
              </w:rPr>
              <w:t>公允价值变动总额合计（元）</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gridSpan w:val="5"/>
            <w:shd w:val="clear" w:color="auto" w:fill="auto"/>
          </w:tcPr>
          <w:p>
            <w:pPr>
              <w:rPr>
                <w:rFonts w:ascii="宋体" w:hAnsi="宋体" w:eastAsia="宋体" w:cs="宋体"/>
                <w:sz w:val="24"/>
                <w:szCs w:val="24"/>
              </w:rPr>
            </w:pPr>
            <w:r>
              <w:rPr>
                <w:rFonts w:hint="eastAsia" w:ascii="宋体" w:hAnsi="宋体" w:eastAsia="宋体"/>
              </w:rPr>
              <w:t>国债期货投资本期收益（元）</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-57,579.79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5"/>
            <w:shd w:val="clear" w:color="auto" w:fill="auto"/>
          </w:tcPr>
          <w:p>
            <w:pPr>
              <w:rPr>
                <w:rFonts w:ascii="宋体" w:hAnsi="宋体" w:eastAsia="宋体" w:cs="宋体"/>
                <w:sz w:val="24"/>
                <w:szCs w:val="24"/>
              </w:rPr>
            </w:pPr>
            <w:r>
              <w:rPr>
                <w:rFonts w:hint="eastAsia" w:ascii="宋体" w:hAnsi="宋体" w:eastAsia="宋体"/>
              </w:rPr>
              <w:t>国债期货投资本期公允价值变动（元）</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bl>
    <w:p>
      <w:pPr>
        <w:pStyle w:val="7"/>
        <w:spacing w:before="0" w:beforeAutospacing="0" w:after="0" w:afterAutospacing="0" w:line="360" w:lineRule="auto"/>
        <w:ind w:firstLine="420"/>
        <w:rPr>
          <w:sz w:val="21"/>
          <w:szCs w:val="21"/>
        </w:rPr>
      </w:pPr>
      <w:r>
        <w:rPr>
          <w:rFonts w:hint="eastAsia"/>
          <w:sz w:val="21"/>
          <w:szCs w:val="21"/>
        </w:rPr>
        <w:t>注：本基金本报告期末未持有国债期货。</w:t>
      </w:r>
    </w:p>
    <w:p>
      <w:pPr>
        <w:pStyle w:val="7"/>
        <w:spacing w:before="0" w:beforeAutospacing="0" w:after="0" w:afterAutospacing="0" w:line="360" w:lineRule="auto"/>
        <w:ind w:firstLine="420"/>
        <w:rPr>
          <w:sz w:val="21"/>
          <w:szCs w:val="21"/>
        </w:rPr>
      </w:pPr>
      <w:r>
        <w:rPr>
          <w:rStyle w:val="11"/>
          <w:rFonts w:hint="eastAsia"/>
          <w:sz w:val="21"/>
          <w:szCs w:val="21"/>
        </w:rPr>
        <w:t>10.3本期国债期货投资评价</w:t>
      </w:r>
    </w:p>
    <w:p>
      <w:pPr>
        <w:pStyle w:val="7"/>
        <w:spacing w:before="0" w:beforeAutospacing="0" w:after="0" w:afterAutospacing="0" w:line="360" w:lineRule="auto"/>
        <w:ind w:firstLine="420"/>
        <w:rPr>
          <w:sz w:val="21"/>
          <w:szCs w:val="21"/>
        </w:rPr>
      </w:pPr>
      <w:r>
        <w:rPr>
          <w:rFonts w:hint="eastAsia"/>
          <w:sz w:val="21"/>
          <w:szCs w:val="21"/>
        </w:rPr>
        <w:t>本基金将根据风险管理的原则，以套期保值为目的，在风险可控的前提下，本着谨慎原则，参与国债期货的投资，以管理投资组合的系统性风险，改善组合的风险收益特性。本报告期内，本基金投资国债期货符合既定的投资政策和投资目的。</w:t>
      </w:r>
    </w:p>
    <w:p>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pPr>
        <w:pStyle w:val="7"/>
        <w:spacing w:before="0" w:beforeAutospacing="0" w:after="0" w:afterAutospacing="0" w:line="360" w:lineRule="auto"/>
        <w:ind w:firstLine="420"/>
        <w:rPr>
          <w:sz w:val="21"/>
          <w:szCs w:val="21"/>
        </w:rPr>
      </w:pPr>
      <w:r>
        <w:rPr>
          <w:rFonts w:hint="eastAsia"/>
          <w:sz w:val="21"/>
          <w:szCs w:val="21"/>
        </w:rPr>
        <w:t>本基金投资的前十名证券的发行主体中，中国农业发展银行在报告编制前一年受到国家外汇管理局枣庄市分局、河南金融监管局、湖北金融监管局的处罚。中国工商银行股份有限公司在报告编制前一年受到中国人民银行南阳市分行、国家外汇管理局泉州市分局、国家外汇管理局福建省分局、国家税务总局咸宁市税务局、国家金融监督管理总局上海监管局、宁夏回族自治区市场监督管理厅的处罚。国家开发银行在报告编制前一年受到中国人民银行湖北省分行、北京金融监管局、吉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pPr>
        <w:pStyle w:val="7"/>
        <w:spacing w:before="0" w:beforeAutospacing="0" w:after="0" w:afterAutospacing="0" w:line="360" w:lineRule="auto"/>
        <w:ind w:firstLine="420"/>
        <w:rPr>
          <w:sz w:val="21"/>
          <w:szCs w:val="21"/>
        </w:rPr>
      </w:pPr>
      <w:r>
        <w:rPr>
          <w:rStyle w:val="11"/>
          <w:rFonts w:hint="eastAsia"/>
          <w:sz w:val="21"/>
          <w:szCs w:val="21"/>
        </w:rPr>
        <w:t>11.2其他资产构成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4250"/>
        <w:gridCol w:w="2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2,868.13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rPr>
                <w:rFonts w:ascii="宋体" w:hAnsi="宋体" w:eastAsia="宋体" w:cs="宋体"/>
                <w:sz w:val="24"/>
                <w:szCs w:val="24"/>
              </w:rPr>
            </w:pPr>
            <w:r>
              <w:rPr>
                <w:rFonts w:hint="eastAsia" w:ascii="宋体" w:hAnsi="宋体" w:eastAsia="宋体"/>
              </w:rPr>
              <w:t>其他</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rPr>
                <w:rFonts w:ascii="宋体" w:hAnsi="宋体" w:eastAsia="宋体" w:cs="宋体"/>
                <w:sz w:val="24"/>
                <w:szCs w:val="24"/>
              </w:rPr>
            </w:pPr>
            <w:r>
              <w:rPr>
                <w:rFonts w:hint="eastAsia" w:ascii="宋体" w:hAnsi="宋体" w:eastAsia="宋体"/>
              </w:rPr>
              <w:t>合计</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2,868.13</w:t>
            </w:r>
          </w:p>
        </w:tc>
      </w:tr>
    </w:tbl>
    <w:p>
      <w:pPr>
        <w:pStyle w:val="7"/>
        <w:spacing w:before="0" w:beforeAutospacing="0" w:after="0" w:afterAutospacing="0" w:line="360" w:lineRule="auto"/>
        <w:ind w:firstLine="420"/>
        <w:rPr>
          <w:sz w:val="21"/>
          <w:szCs w:val="21"/>
        </w:rPr>
      </w:pPr>
      <w:r>
        <w:rPr>
          <w:rStyle w:val="11"/>
          <w:rFonts w:hint="eastAsia"/>
          <w:sz w:val="21"/>
          <w:szCs w:val="21"/>
        </w:rPr>
        <w:t>11.3报告期末持有的处于转股期的可转换债券明细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1332"/>
        <w:gridCol w:w="1465"/>
        <w:gridCol w:w="1862"/>
        <w:gridCol w:w="30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占基金资产净值比例(%)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110081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闻泰转债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413,146.56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110093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神马转债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285,838.52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110063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鹰19转债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246,300.37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123071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天能转债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238,572.60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睿创转债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236,237.42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127049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希望转2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203,856.95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110085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通22转债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203,053.56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华友转债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201,452.05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123107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温氏转债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196,897.36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127066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科利转债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182,886.99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绿茵转债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176,654.59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123104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卫宁转债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172,790.99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111010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立昂转债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150,139.49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凤21转债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128,536.54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127086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恒邦转债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126,764.99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113047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旗滨转债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123,517.45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118050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航宇转债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123,350.12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123240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楚天转债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121,795.48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洋丰转债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119,826.63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111000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起帆转债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119,596.58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甬金转债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118,247.53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110096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豫光转债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112,464.64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123210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信服转债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103,645.76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128133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奇正转债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103,330.04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113640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苏利转债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102,475.07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113052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兴业转债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99,593.21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127019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国城转债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98,803.81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118025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奕瑞转债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98,126.68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博瑞转债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97,515.12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111016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神通转债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88,829.27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天23转债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84,001.97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128109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楚江转债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83,864.18</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123247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万凯转债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74,135.85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113069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博23转债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68,554.66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113656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嘉诚转债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62,800.64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123159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崧盛转债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62,503.56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大参转债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60,992.10</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123241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欧通转债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60,981.82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39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110064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建工转债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57,746.42</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113654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永02转债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52,554.19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127089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晶澳转债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52,542.55</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127099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盛航转债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51,110.74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123161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强联转债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50,770.93</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111014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李子转债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47,157.64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松霖转债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44,759.51</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118048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利扬转债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43,571.87</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113687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振华转债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41,413.04</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128142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新乳转债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39,068.79</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49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113643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风语转债</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36,735.66</w:t>
            </w:r>
          </w:p>
        </w:tc>
        <w:tc>
          <w:tcPr>
            <w:tcW w:w="0" w:type="auto"/>
            <w:shd w:val="clear" w:color="auto" w:fill="auto"/>
          </w:tcPr>
          <w:p>
            <w:pPr>
              <w:jc w:val="right"/>
              <w:rPr>
                <w:rFonts w:ascii="宋体" w:hAnsi="宋体" w:eastAsia="宋体" w:cs="宋体"/>
                <w:sz w:val="24"/>
                <w:szCs w:val="24"/>
              </w:rPr>
            </w:pPr>
            <w:r>
              <w:rPr>
                <w:rFonts w:hint="eastAsia" w:ascii="宋体" w:hAnsi="宋体" w:eastAsia="宋体"/>
              </w:rPr>
              <w:t>0.07</w:t>
            </w:r>
          </w:p>
        </w:tc>
      </w:tr>
    </w:tbl>
    <w:p>
      <w:pPr>
        <w:pStyle w:val="7"/>
        <w:spacing w:before="0" w:beforeAutospacing="0" w:after="0" w:afterAutospacing="0" w:line="360" w:lineRule="auto"/>
        <w:ind w:firstLine="420"/>
        <w:rPr>
          <w:sz w:val="21"/>
          <w:szCs w:val="21"/>
        </w:rPr>
      </w:pPr>
      <w:r>
        <w:rPr>
          <w:rStyle w:val="11"/>
          <w:rFonts w:hint="eastAsia"/>
          <w:sz w:val="21"/>
          <w:szCs w:val="21"/>
        </w:rPr>
        <w:t>11.4报告期末前十名股票中存在流通受限情况的说明</w:t>
      </w:r>
    </w:p>
    <w:p>
      <w:pPr>
        <w:pStyle w:val="7"/>
        <w:spacing w:before="0" w:beforeAutospacing="0" w:after="0" w:afterAutospacing="0" w:line="360" w:lineRule="auto"/>
        <w:ind w:firstLine="420"/>
        <w:rPr>
          <w:sz w:val="21"/>
          <w:szCs w:val="21"/>
        </w:rPr>
      </w:pPr>
      <w:r>
        <w:rPr>
          <w:rFonts w:hint="eastAsia"/>
          <w:sz w:val="21"/>
          <w:szCs w:val="21"/>
        </w:rPr>
        <w:t>本基金本报告期末未持有股票。</w:t>
      </w:r>
    </w:p>
    <w:p>
      <w:pPr>
        <w:pStyle w:val="7"/>
        <w:spacing w:before="0" w:beforeAutospacing="0" w:after="0" w:afterAutospacing="0" w:line="360" w:lineRule="auto"/>
        <w:ind w:firstLine="420"/>
        <w:rPr>
          <w:sz w:val="21"/>
          <w:szCs w:val="21"/>
        </w:rPr>
      </w:pPr>
      <w:r>
        <w:rPr>
          <w:rStyle w:val="11"/>
          <w:rFonts w:hint="eastAsia"/>
          <w:sz w:val="21"/>
          <w:szCs w:val="21"/>
        </w:rPr>
        <w:t>11.5投资组合报告附注的其他文字描述部分</w:t>
      </w:r>
    </w:p>
    <w:p>
      <w:pPr>
        <w:pStyle w:val="7"/>
        <w:spacing w:before="0" w:beforeAutospacing="0" w:after="0" w:afterAutospacing="0" w:line="360" w:lineRule="auto"/>
        <w:ind w:firstLine="420"/>
        <w:rPr>
          <w:sz w:val="21"/>
          <w:szCs w:val="21"/>
        </w:rPr>
      </w:pPr>
      <w:bookmarkStart w:id="136" w:name="chapter_level1_11_60_section_6_end"/>
      <w:bookmarkEnd w:id="136"/>
      <w:r>
        <w:rPr>
          <w:rFonts w:hint="eastAsia"/>
          <w:sz w:val="21"/>
          <w:szCs w:val="21"/>
        </w:rPr>
        <w:t>由于四舍五入的原因，分项之和与合计项之间可能存在尾差。</w:t>
      </w:r>
      <w:bookmarkStart w:id="137" w:name="field_0_fundportfolio_1_end"/>
      <w:bookmarkEnd w:id="137"/>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38" w:name="chapter_level1_12_3500"/>
      <w:bookmarkStart w:id="139" w:name="_Toc207926660"/>
      <w:r>
        <w:rPr>
          <w:rFonts w:hint="eastAsia" w:ascii="宋体" w:hAnsi="宋体" w:eastAsia="宋体"/>
          <w:sz w:val="30"/>
        </w:rPr>
        <w:t>第九部分 基金的业绩</w:t>
      </w:r>
      <w:bookmarkEnd w:id="138"/>
      <w:bookmarkEnd w:id="139"/>
    </w:p>
    <w:p>
      <w:pPr>
        <w:pStyle w:val="7"/>
        <w:spacing w:before="0" w:beforeAutospacing="0" w:after="0" w:afterAutospacing="0" w:line="360" w:lineRule="auto"/>
        <w:ind w:firstLine="420"/>
        <w:rPr>
          <w:sz w:val="21"/>
          <w:szCs w:val="21"/>
        </w:rPr>
      </w:pPr>
      <w:bookmarkStart w:id="140" w:name="chapter_level1_12_3500_section_1"/>
      <w:bookmarkEnd w:id="140"/>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pPr>
        <w:pStyle w:val="7"/>
        <w:spacing w:before="0" w:beforeAutospacing="0" w:after="0" w:afterAutospacing="0" w:line="360" w:lineRule="auto"/>
        <w:ind w:firstLine="420"/>
        <w:rPr>
          <w:sz w:val="21"/>
          <w:szCs w:val="21"/>
        </w:rPr>
      </w:pPr>
      <w:bookmarkStart w:id="141" w:name="field_0_indatatable_1_start"/>
      <w:bookmarkEnd w:id="141"/>
      <w:r>
        <w:rPr>
          <w:rFonts w:hint="eastAsia"/>
          <w:sz w:val="21"/>
          <w:szCs w:val="21"/>
        </w:rPr>
        <w:t>博时安怡6个月定开债A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2016.04.15-2016.12.31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3.00%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2017.01.01-2017.12.31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-1.46%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0.37%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2018.01.01-2018.12.31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7.53%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-1.22%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2019.01.01-2019.12.31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2020.01.01-2020.12.31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1.96%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2.83%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2021.01.01-2021.12.31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3.70%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4.73%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2022.01.01-2022.12.31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3.12%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-0.81%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2023.01.01-2023.12.31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3.28%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4.45%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-1.17%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4.94%</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-2.05%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1.61%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2016.04.15-2025.06.30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33.80%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42.55%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-8.75%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0.02%</w:t>
            </w:r>
          </w:p>
        </w:tc>
      </w:tr>
    </w:tbl>
    <w:p>
      <w:pPr>
        <w:pStyle w:val="7"/>
        <w:spacing w:before="0" w:beforeAutospacing="0" w:after="0" w:afterAutospacing="0" w:line="360" w:lineRule="auto"/>
        <w:ind w:firstLine="420"/>
        <w:rPr>
          <w:sz w:val="21"/>
          <w:szCs w:val="21"/>
        </w:rPr>
      </w:pPr>
      <w:r>
        <w:rPr>
          <w:rFonts w:hint="eastAsia"/>
          <w:sz w:val="21"/>
          <w:szCs w:val="21"/>
        </w:rPr>
        <w:t>博时安怡6个月定开债C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34"/>
        <w:gridCol w:w="1099"/>
        <w:gridCol w:w="1155"/>
        <w:gridCol w:w="1320"/>
        <w:gridCol w:w="846"/>
        <w:gridCol w:w="7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②-④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2024.01.25-2024.12.31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5.09%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6.42%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-1.33%</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2025.01.01-2025.06.30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1.59%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1.02%</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0.10%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0.57%</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pPr>
              <w:jc w:val="center"/>
              <w:rPr>
                <w:rFonts w:ascii="宋体" w:hAnsi="宋体" w:eastAsia="宋体" w:cs="宋体"/>
                <w:sz w:val="24"/>
                <w:szCs w:val="24"/>
              </w:rPr>
            </w:pPr>
            <w:r>
              <w:rPr>
                <w:rFonts w:hint="eastAsia" w:ascii="宋体" w:hAnsi="宋体" w:eastAsia="宋体"/>
              </w:rPr>
              <w:t>2024.01.25-2025.06.30</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6.76%</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0.09%</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7.51%</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0.08%</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-0.75%</w:t>
            </w:r>
          </w:p>
        </w:tc>
        <w:tc>
          <w:tcPr>
            <w:tcW w:w="0" w:type="auto"/>
            <w:shd w:val="clear" w:color="auto" w:fill="auto"/>
          </w:tcPr>
          <w:p>
            <w:pPr>
              <w:jc w:val="center"/>
              <w:rPr>
                <w:rFonts w:ascii="宋体" w:hAnsi="宋体" w:eastAsia="宋体" w:cs="宋体"/>
                <w:sz w:val="24"/>
                <w:szCs w:val="24"/>
              </w:rPr>
            </w:pPr>
            <w:r>
              <w:rPr>
                <w:rFonts w:hint="eastAsia" w:ascii="宋体" w:hAnsi="宋体" w:eastAsia="宋体"/>
              </w:rPr>
              <w:t>0.01%</w:t>
            </w:r>
          </w:p>
        </w:tc>
      </w:tr>
    </w:tbl>
    <w:p>
      <w:pPr>
        <w:pStyle w:val="7"/>
        <w:spacing w:before="0" w:beforeAutospacing="0" w:after="0" w:afterAutospacing="0" w:line="360" w:lineRule="auto"/>
        <w:ind w:firstLine="420"/>
        <w:rPr>
          <w:sz w:val="21"/>
          <w:szCs w:val="21"/>
        </w:rPr>
      </w:pPr>
      <w:bookmarkStart w:id="142" w:name="field_0_indatatable_1_end"/>
      <w:bookmarkEnd w:id="142"/>
      <w:bookmarkStart w:id="143" w:name="chapter_level1_12_3500_section_1_end"/>
      <w:bookmarkEnd w:id="143"/>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4" w:name="_Toc207926661"/>
      <w:bookmarkStart w:id="145" w:name="chapter_level1_13_62"/>
      <w:r>
        <w:rPr>
          <w:rFonts w:hint="eastAsia" w:ascii="宋体" w:hAnsi="宋体" w:eastAsia="宋体"/>
          <w:sz w:val="30"/>
        </w:rPr>
        <w:t>第十部分  基金的财产</w:t>
      </w:r>
      <w:bookmarkEnd w:id="144"/>
      <w:bookmarkEnd w:id="145"/>
    </w:p>
    <w:p>
      <w:pPr>
        <w:pStyle w:val="7"/>
        <w:spacing w:before="0" w:beforeAutospacing="0" w:after="0" w:afterAutospacing="0" w:line="360" w:lineRule="auto"/>
        <w:ind w:firstLine="420"/>
        <w:rPr>
          <w:sz w:val="21"/>
          <w:szCs w:val="21"/>
        </w:rPr>
      </w:pPr>
      <w:bookmarkStart w:id="146" w:name="chapter_level1_13_62_section_1"/>
      <w:bookmarkEnd w:id="146"/>
      <w:r>
        <w:rPr>
          <w:rStyle w:val="11"/>
          <w:rFonts w:hint="eastAsia"/>
          <w:sz w:val="21"/>
          <w:szCs w:val="21"/>
        </w:rPr>
        <w:t>一、基金资产总值</w:t>
      </w:r>
    </w:p>
    <w:p>
      <w:pPr>
        <w:pStyle w:val="7"/>
        <w:spacing w:before="0" w:beforeAutospacing="0" w:after="0" w:afterAutospacing="0" w:line="360" w:lineRule="auto"/>
        <w:ind w:firstLine="420"/>
        <w:rPr>
          <w:sz w:val="21"/>
          <w:szCs w:val="21"/>
        </w:rPr>
      </w:pPr>
      <w:r>
        <w:rPr>
          <w:rFonts w:hint="eastAsia"/>
          <w:sz w:val="21"/>
          <w:szCs w:val="21"/>
        </w:rPr>
        <w:t xml:space="preserve">基金资产总值是指购买的各类证券及票据价值、银行存款本息和基金应收的申购基金款以及其他投资所形成的价值总和。 </w:t>
      </w:r>
    </w:p>
    <w:p>
      <w:pPr>
        <w:pStyle w:val="7"/>
        <w:spacing w:before="0" w:beforeAutospacing="0" w:after="0" w:afterAutospacing="0" w:line="360" w:lineRule="auto"/>
        <w:ind w:firstLine="420"/>
        <w:rPr>
          <w:sz w:val="21"/>
          <w:szCs w:val="21"/>
        </w:rPr>
      </w:pPr>
      <w:r>
        <w:rPr>
          <w:rStyle w:val="11"/>
          <w:rFonts w:hint="eastAsia"/>
          <w:sz w:val="21"/>
          <w:szCs w:val="21"/>
        </w:rPr>
        <w:t>二、基金资产净值</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pPr>
        <w:pStyle w:val="7"/>
        <w:spacing w:before="0" w:beforeAutospacing="0" w:after="0" w:afterAutospacing="0" w:line="360" w:lineRule="auto"/>
        <w:ind w:firstLine="420"/>
        <w:rPr>
          <w:sz w:val="21"/>
          <w:szCs w:val="21"/>
        </w:rPr>
      </w:pPr>
      <w:r>
        <w:rPr>
          <w:rStyle w:val="11"/>
          <w:rFonts w:hint="eastAsia"/>
          <w:sz w:val="21"/>
          <w:szCs w:val="21"/>
        </w:rPr>
        <w:t>三、基金财产的账户</w:t>
      </w:r>
    </w:p>
    <w:p>
      <w:pPr>
        <w:pStyle w:val="7"/>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7" w:name="chapter_level1_13_62_section_1_end"/>
      <w:bookmarkEnd w:id="147"/>
      <w:r>
        <w:rPr>
          <w:rFonts w:hint="eastAsia"/>
          <w:sz w:val="21"/>
          <w:szCs w:val="21"/>
        </w:rPr>
        <w:t xml:space="preserve">得相互抵销。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48" w:name="_Toc207926662"/>
      <w:bookmarkStart w:id="149" w:name="chapter_level1_14_63"/>
      <w:r>
        <w:rPr>
          <w:rFonts w:hint="eastAsia" w:ascii="宋体" w:hAnsi="宋体" w:eastAsia="宋体"/>
          <w:sz w:val="30"/>
        </w:rPr>
        <w:t>第十一部分  基金资产的估值</w:t>
      </w:r>
      <w:bookmarkEnd w:id="148"/>
      <w:bookmarkEnd w:id="149"/>
    </w:p>
    <w:p>
      <w:pPr>
        <w:pStyle w:val="7"/>
        <w:spacing w:before="0" w:beforeAutospacing="0" w:after="0" w:afterAutospacing="0" w:line="360" w:lineRule="auto"/>
        <w:ind w:firstLine="420"/>
        <w:rPr>
          <w:sz w:val="21"/>
          <w:szCs w:val="21"/>
        </w:rPr>
      </w:pPr>
      <w:bookmarkStart w:id="150" w:name="chapter_level1_14_63_section_1"/>
      <w:bookmarkEnd w:id="150"/>
      <w:r>
        <w:rPr>
          <w:rStyle w:val="11"/>
          <w:rFonts w:hint="eastAsia"/>
          <w:sz w:val="21"/>
          <w:szCs w:val="21"/>
        </w:rPr>
        <w:t>一、估值日</w:t>
      </w:r>
    </w:p>
    <w:p>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pPr>
        <w:pStyle w:val="7"/>
        <w:spacing w:before="0" w:beforeAutospacing="0" w:after="0" w:afterAutospacing="0" w:line="360" w:lineRule="auto"/>
        <w:ind w:firstLine="420"/>
        <w:rPr>
          <w:sz w:val="21"/>
          <w:szCs w:val="21"/>
        </w:rPr>
      </w:pPr>
      <w:r>
        <w:rPr>
          <w:rStyle w:val="11"/>
          <w:rFonts w:hint="eastAsia"/>
          <w:sz w:val="21"/>
          <w:szCs w:val="21"/>
        </w:rPr>
        <w:t>二、估值对象</w:t>
      </w:r>
    </w:p>
    <w:p>
      <w:pPr>
        <w:pStyle w:val="7"/>
        <w:spacing w:before="0" w:beforeAutospacing="0" w:after="0" w:afterAutospacing="0" w:line="360" w:lineRule="auto"/>
        <w:ind w:firstLine="420"/>
        <w:rPr>
          <w:sz w:val="21"/>
          <w:szCs w:val="21"/>
        </w:rPr>
      </w:pPr>
      <w:r>
        <w:rPr>
          <w:rFonts w:hint="eastAsia"/>
          <w:sz w:val="21"/>
          <w:szCs w:val="21"/>
        </w:rPr>
        <w:t xml:space="preserve">基金所拥有的债券、国债期货合约和银行存款本息、应收款项、其它投资等资产及负债。 </w:t>
      </w:r>
    </w:p>
    <w:p>
      <w:pPr>
        <w:pStyle w:val="7"/>
        <w:spacing w:before="0" w:beforeAutospacing="0" w:after="0" w:afterAutospacing="0" w:line="360" w:lineRule="auto"/>
        <w:ind w:firstLine="420"/>
        <w:rPr>
          <w:sz w:val="21"/>
          <w:szCs w:val="21"/>
        </w:rPr>
      </w:pPr>
      <w:r>
        <w:rPr>
          <w:rStyle w:val="11"/>
          <w:rFonts w:hint="eastAsia"/>
          <w:sz w:val="21"/>
          <w:szCs w:val="21"/>
        </w:rPr>
        <w:t>三、估值方法</w:t>
      </w:r>
    </w:p>
    <w:p>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pPr>
        <w:pStyle w:val="7"/>
        <w:spacing w:before="0" w:beforeAutospacing="0" w:after="0" w:afterAutospacing="0" w:line="360" w:lineRule="auto"/>
        <w:ind w:firstLine="420"/>
        <w:rPr>
          <w:sz w:val="21"/>
          <w:szCs w:val="21"/>
        </w:rPr>
      </w:pPr>
      <w:r>
        <w:rPr>
          <w:rFonts w:hint="eastAsia"/>
          <w:sz w:val="21"/>
          <w:szCs w:val="21"/>
        </w:rPr>
        <w:t xml:space="preserve">（1）除本部分另有约定的品种外，交易所上市的有价证券（包括股票、权证等），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（4）交易所上市不存在活跃市场的有价证券，采用估值技术确定公允价值。交易所上市的资产支持证券，采用估值技术确定公允价值，在估值技术难以可靠计量公允价值的情况下，按成本估值。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2、首次公开发行未上市的债券，采用估值技术确定公允价值，在估值技术难以可靠计量公允价值的情况下，按成本估值。 </w:t>
      </w:r>
    </w:p>
    <w:p>
      <w:pPr>
        <w:pStyle w:val="7"/>
        <w:spacing w:before="0" w:beforeAutospacing="0" w:after="0" w:afterAutospacing="0" w:line="360" w:lineRule="auto"/>
        <w:ind w:firstLine="420"/>
        <w:rPr>
          <w:sz w:val="21"/>
          <w:szCs w:val="21"/>
        </w:rPr>
      </w:pPr>
      <w:r>
        <w:rPr>
          <w:rFonts w:hint="eastAsia"/>
          <w:sz w:val="21"/>
          <w:szCs w:val="21"/>
        </w:rPr>
        <w:t xml:space="preserve">3、全国银行间债券市场交易的债券、资产支持证券等固定收益品种，采用估值技术确定公允价值。 </w:t>
      </w:r>
    </w:p>
    <w:p>
      <w:pPr>
        <w:pStyle w:val="7"/>
        <w:spacing w:before="0" w:beforeAutospacing="0" w:after="0" w:afterAutospacing="0" w:line="360" w:lineRule="auto"/>
        <w:ind w:firstLine="420"/>
        <w:rPr>
          <w:sz w:val="21"/>
          <w:szCs w:val="21"/>
        </w:rPr>
      </w:pPr>
      <w:r>
        <w:rPr>
          <w:rFonts w:hint="eastAsia"/>
          <w:sz w:val="21"/>
          <w:szCs w:val="21"/>
        </w:rPr>
        <w:t xml:space="preserve">4、同一债券同时在两个或两个以上市场交易的，按债券所处的市场分别估值。 </w:t>
      </w:r>
    </w:p>
    <w:p>
      <w:pPr>
        <w:pStyle w:val="7"/>
        <w:spacing w:before="0" w:beforeAutospacing="0" w:after="0" w:afterAutospacing="0" w:line="360" w:lineRule="auto"/>
        <w:ind w:firstLine="420"/>
        <w:rPr>
          <w:sz w:val="21"/>
          <w:szCs w:val="21"/>
        </w:rPr>
      </w:pPr>
      <w:r>
        <w:rPr>
          <w:rFonts w:hint="eastAsia"/>
          <w:sz w:val="21"/>
          <w:szCs w:val="21"/>
        </w:rPr>
        <w:t xml:space="preserve">5、基金投资的国债期货合约，一般以估值当日结算价进行估值，估值当日无结算价的，且最近交易日后经济环境未发生重大变化的，采用最近交易日结算价估值。 </w:t>
      </w:r>
    </w:p>
    <w:p>
      <w:pPr>
        <w:pStyle w:val="7"/>
        <w:spacing w:before="0" w:beforeAutospacing="0" w:after="0" w:afterAutospacing="0" w:line="360" w:lineRule="auto"/>
        <w:ind w:firstLine="420"/>
        <w:rPr>
          <w:sz w:val="21"/>
          <w:szCs w:val="21"/>
        </w:rPr>
      </w:pPr>
      <w:r>
        <w:rPr>
          <w:rFonts w:hint="eastAsia"/>
          <w:sz w:val="21"/>
          <w:szCs w:val="21"/>
        </w:rPr>
        <w:t xml:space="preserve">6、如有确凿证据表明按上述方法进行估值不能客观反映其公允价值的，基金管理人可根据具体情况与基金托管人商定后，按最能反映公允价值的价格估值。 </w:t>
      </w:r>
    </w:p>
    <w:p>
      <w:pPr>
        <w:pStyle w:val="7"/>
        <w:spacing w:before="0" w:beforeAutospacing="0" w:after="0" w:afterAutospacing="0" w:line="360" w:lineRule="auto"/>
        <w:ind w:firstLine="420"/>
        <w:rPr>
          <w:sz w:val="21"/>
          <w:szCs w:val="21"/>
        </w:rPr>
      </w:pPr>
      <w:r>
        <w:rPr>
          <w:rFonts w:hint="eastAsia"/>
          <w:sz w:val="21"/>
          <w:szCs w:val="21"/>
        </w:rPr>
        <w:t xml:space="preserve">7、相关法律法规以及监管部门有强制规定的，从其规定。如有新增事项，按国家最新规定估值。 </w:t>
      </w:r>
    </w:p>
    <w:p>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pPr>
        <w:pStyle w:val="7"/>
        <w:spacing w:before="0" w:beforeAutospacing="0" w:after="0" w:afterAutospacing="0" w:line="360" w:lineRule="auto"/>
        <w:ind w:firstLine="420"/>
        <w:rPr>
          <w:sz w:val="21"/>
          <w:szCs w:val="21"/>
        </w:rPr>
      </w:pPr>
      <w:r>
        <w:rPr>
          <w:rFonts w:hint="eastAsia"/>
          <w:sz w:val="21"/>
          <w:szCs w:val="21"/>
        </w:rPr>
        <w:t>根据有关法律法规，基金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w:t>
      </w:r>
      <w:bookmarkStart w:id="151" w:name="chapter_level1_14_63_section_1_end"/>
      <w:bookmarkEnd w:id="151"/>
      <w:r>
        <w:rPr>
          <w:rFonts w:hint="eastAsia"/>
          <w:sz w:val="21"/>
          <w:szCs w:val="21"/>
        </w:rPr>
        <w:t xml:space="preserve">予以公布。 </w:t>
      </w:r>
    </w:p>
    <w:p>
      <w:pPr>
        <w:pStyle w:val="7"/>
        <w:spacing w:before="0" w:beforeAutospacing="0" w:after="0" w:afterAutospacing="0" w:line="360" w:lineRule="auto"/>
        <w:ind w:firstLine="420"/>
        <w:rPr>
          <w:sz w:val="21"/>
          <w:szCs w:val="21"/>
        </w:rPr>
      </w:pPr>
      <w:bookmarkStart w:id="152" w:name="chapter_level1_14_63_section_2"/>
      <w:bookmarkEnd w:id="152"/>
      <w:r>
        <w:rPr>
          <w:rStyle w:val="11"/>
          <w:rFonts w:hint="eastAsia"/>
          <w:sz w:val="21"/>
          <w:szCs w:val="21"/>
        </w:rPr>
        <w:t>四、估值程序</w:t>
      </w:r>
    </w:p>
    <w:p>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53" w:name="field_63_netdecimalvalue_1"/>
      <w:r>
        <w:rPr>
          <w:sz w:val="21"/>
          <w:szCs w:val="21"/>
        </w:rPr>
        <w:t>0.0001</w:t>
      </w:r>
      <w:bookmarkEnd w:id="153"/>
      <w:r>
        <w:rPr>
          <w:rFonts w:hint="eastAsia"/>
          <w:sz w:val="21"/>
          <w:szCs w:val="21"/>
        </w:rPr>
        <w:t xml:space="preserve">元，小数点后第5位四舍五入。国家另有规定的，从其规定。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基金管理人每个工作日计算基金资产净值及各类基金份额净值，并按规定公告。 </w:t>
      </w:r>
    </w:p>
    <w:p>
      <w:pPr>
        <w:pStyle w:val="7"/>
        <w:spacing w:before="0" w:beforeAutospacing="0" w:after="0" w:afterAutospacing="0" w:line="360" w:lineRule="auto"/>
        <w:ind w:firstLine="420"/>
        <w:rPr>
          <w:sz w:val="21"/>
          <w:szCs w:val="21"/>
        </w:rPr>
      </w:pPr>
      <w:r>
        <w:rPr>
          <w:rFonts w:hint="eastAsia"/>
          <w:sz w:val="21"/>
          <w:szCs w:val="21"/>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规定对外公布。</w:t>
      </w:r>
    </w:p>
    <w:p>
      <w:pPr>
        <w:pStyle w:val="7"/>
        <w:spacing w:before="0" w:beforeAutospacing="0" w:after="0" w:afterAutospacing="0" w:line="360" w:lineRule="auto"/>
        <w:ind w:firstLine="420"/>
        <w:rPr>
          <w:sz w:val="21"/>
          <w:szCs w:val="21"/>
        </w:rPr>
      </w:pPr>
      <w:r>
        <w:rPr>
          <w:rStyle w:val="11"/>
          <w:rFonts w:hint="eastAsia"/>
          <w:sz w:val="21"/>
          <w:szCs w:val="21"/>
        </w:rPr>
        <w:t>五、估值错误的处理</w:t>
      </w:r>
    </w:p>
    <w:p>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基金管理人和基金托管人将采取必要、适当、合理的措施确保基金资产估值的准确性、及时性。当任何一类基金份额净值小数点后</w:t>
      </w:r>
      <w:bookmarkStart w:id="154" w:name="field_63_netdecimal_1"/>
      <w:r>
        <w:rPr>
          <w:sz w:val="21"/>
          <w:szCs w:val="21"/>
        </w:rPr>
        <w:t>4</w:t>
      </w:r>
      <w:bookmarkEnd w:id="154"/>
      <w:r>
        <w:rPr>
          <w:rFonts w:hint="eastAsia"/>
          <w:sz w:val="21"/>
          <w:szCs w:val="21"/>
        </w:rPr>
        <w:t>位以内(含第</w:t>
      </w:r>
      <w:bookmarkStart w:id="155" w:name="field_63_netdecimal_2"/>
      <w:r>
        <w:rPr>
          <w:sz w:val="21"/>
          <w:szCs w:val="21"/>
        </w:rPr>
        <w:t>4</w:t>
      </w:r>
      <w:bookmarkEnd w:id="155"/>
      <w:r>
        <w:rPr>
          <w:rFonts w:hint="eastAsia"/>
          <w:sz w:val="21"/>
          <w:szCs w:val="21"/>
        </w:rPr>
        <w:t xml:space="preserve">位)发生估值错误时，视为该类基金份额净值错误。 </w:t>
      </w:r>
    </w:p>
    <w:p>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pPr>
        <w:pStyle w:val="7"/>
        <w:spacing w:before="0" w:beforeAutospacing="0" w:after="0" w:afterAutospacing="0" w:line="360" w:lineRule="auto"/>
        <w:ind w:firstLine="420"/>
        <w:rPr>
          <w:sz w:val="21"/>
          <w:szCs w:val="21"/>
        </w:rPr>
      </w:pPr>
      <w:r>
        <w:rPr>
          <w:rFonts w:hint="eastAsia"/>
          <w:sz w:val="21"/>
          <w:szCs w:val="21"/>
        </w:rPr>
        <w:t xml:space="preserve">1、估值错误类型 </w:t>
      </w:r>
    </w:p>
    <w:p>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pPr>
        <w:pStyle w:val="7"/>
        <w:spacing w:before="0" w:beforeAutospacing="0" w:after="0" w:afterAutospacing="0" w:line="360" w:lineRule="auto"/>
        <w:ind w:firstLine="420"/>
        <w:rPr>
          <w:sz w:val="21"/>
          <w:szCs w:val="21"/>
        </w:rPr>
      </w:pPr>
      <w:r>
        <w:rPr>
          <w:rFonts w:hint="eastAsia"/>
          <w:sz w:val="21"/>
          <w:szCs w:val="21"/>
        </w:rPr>
        <w:t xml:space="preserve">（1）当任何一类基金份额净值计算出现错误时，基金管理人应当立即予以纠正，通报基金托管人，并采取合理的措施防止损失进一步扩大。 </w:t>
      </w:r>
    </w:p>
    <w:p>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 </w:t>
      </w:r>
    </w:p>
    <w:p>
      <w:pPr>
        <w:pStyle w:val="7"/>
        <w:spacing w:before="0" w:beforeAutospacing="0" w:after="0" w:afterAutospacing="0" w:line="360" w:lineRule="auto"/>
        <w:ind w:firstLine="420"/>
        <w:rPr>
          <w:sz w:val="21"/>
          <w:szCs w:val="21"/>
        </w:rPr>
      </w:pPr>
      <w:r>
        <w:rPr>
          <w:rFonts w:hint="eastAsia"/>
          <w:sz w:val="21"/>
          <w:szCs w:val="21"/>
        </w:rPr>
        <w:t>（3）前述内容如法律法规或监管机关另有规定的，从其规定处理。</w:t>
      </w:r>
    </w:p>
    <w:p>
      <w:pPr>
        <w:pStyle w:val="7"/>
        <w:spacing w:before="0" w:beforeAutospacing="0" w:after="0" w:afterAutospacing="0" w:line="360" w:lineRule="auto"/>
        <w:ind w:firstLine="420"/>
        <w:rPr>
          <w:sz w:val="21"/>
          <w:szCs w:val="21"/>
        </w:rPr>
      </w:pPr>
      <w:r>
        <w:rPr>
          <w:rStyle w:val="11"/>
          <w:rFonts w:hint="eastAsia"/>
          <w:sz w:val="21"/>
          <w:szCs w:val="21"/>
        </w:rPr>
        <w:t>六、暂停估值的情形</w:t>
      </w:r>
    </w:p>
    <w:p>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pPr>
        <w:pStyle w:val="7"/>
        <w:spacing w:before="0" w:beforeAutospacing="0" w:after="0" w:afterAutospacing="0" w:line="360" w:lineRule="auto"/>
        <w:ind w:firstLine="420"/>
        <w:rPr>
          <w:sz w:val="21"/>
          <w:szCs w:val="21"/>
        </w:rPr>
      </w:pPr>
      <w:r>
        <w:rPr>
          <w:rStyle w:val="11"/>
          <w:rFonts w:hint="eastAsia"/>
          <w:sz w:val="21"/>
          <w:szCs w:val="21"/>
        </w:rPr>
        <w:t>七、基金净值的确认</w:t>
      </w:r>
    </w:p>
    <w:p>
      <w:pPr>
        <w:pStyle w:val="7"/>
        <w:spacing w:before="0" w:beforeAutospacing="0" w:after="0" w:afterAutospacing="0" w:line="360" w:lineRule="auto"/>
        <w:ind w:firstLine="420"/>
        <w:rPr>
          <w:sz w:val="21"/>
          <w:szCs w:val="21"/>
        </w:rPr>
      </w:pPr>
      <w:r>
        <w:rPr>
          <w:rFonts w:hint="eastAsia"/>
          <w:sz w:val="21"/>
          <w:szCs w:val="21"/>
          <w:lang w:val="en-US" w:eastAsia="zh-CN"/>
        </w:rPr>
        <w:t>各类</w:t>
      </w:r>
      <w:r>
        <w:rPr>
          <w:rFonts w:hint="eastAsia"/>
          <w:sz w:val="21"/>
          <w:szCs w:val="21"/>
        </w:rPr>
        <w:t>基金资产净值和</w:t>
      </w:r>
      <w:r>
        <w:rPr>
          <w:rFonts w:hint="eastAsia"/>
          <w:sz w:val="21"/>
          <w:szCs w:val="21"/>
          <w:lang w:val="en-US" w:eastAsia="zh-CN"/>
        </w:rPr>
        <w:t>各类</w:t>
      </w:r>
      <w:r>
        <w:rPr>
          <w:rFonts w:hint="eastAsia"/>
          <w:sz w:val="21"/>
          <w:szCs w:val="21"/>
        </w:rPr>
        <w:t xml:space="preserve">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按规定对基金净值予以公布。 </w:t>
      </w:r>
    </w:p>
    <w:p>
      <w:pPr>
        <w:pStyle w:val="7"/>
        <w:spacing w:before="0" w:beforeAutospacing="0" w:after="0" w:afterAutospacing="0" w:line="360" w:lineRule="auto"/>
        <w:ind w:firstLine="420"/>
        <w:rPr>
          <w:sz w:val="21"/>
          <w:szCs w:val="21"/>
        </w:rPr>
      </w:pPr>
      <w:r>
        <w:rPr>
          <w:rStyle w:val="11"/>
          <w:rFonts w:hint="eastAsia"/>
          <w:sz w:val="21"/>
          <w:szCs w:val="21"/>
        </w:rPr>
        <w:t>八、特殊情况的处理</w:t>
      </w:r>
    </w:p>
    <w:p>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1.基金管理人或基金托管人按估值方法的第6项进行估值时，所造成的误差不作为基金资产估值错误处理。 </w:t>
      </w:r>
    </w:p>
    <w:p>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及登记结算公司发送的数据错误等原因，基金管理人和基金托管人虽然已经采取必要、适当、合理的措施进行检查，但未能发现错误的，由此造成的基金资产估值错误，基金管理人和基金托管人免除赔偿责任。但基金管理人应当积极采取必要的措施消除或减轻由此造成的影响。 </w:t>
      </w:r>
    </w:p>
    <w:p>
      <w:pPr>
        <w:pStyle w:val="7"/>
        <w:spacing w:before="0" w:beforeAutospacing="0" w:after="0" w:afterAutospacing="0" w:line="360" w:lineRule="auto"/>
        <w:ind w:firstLine="420"/>
        <w:rPr>
          <w:sz w:val="21"/>
          <w:szCs w:val="21"/>
        </w:rPr>
      </w:pPr>
      <w:r>
        <w:rPr>
          <w:rStyle w:val="11"/>
          <w:rFonts w:hint="eastAsia"/>
          <w:sz w:val="21"/>
          <w:szCs w:val="21"/>
        </w:rPr>
        <w:t>九、实施侧袋机制期间的基金资产估值</w:t>
      </w:r>
    </w:p>
    <w:p>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6" w:name="chapter_level1_14_63_section_2_end"/>
      <w:bookmarkEnd w:id="156"/>
      <w:r>
        <w:rPr>
          <w:rFonts w:hint="eastAsia"/>
          <w:sz w:val="21"/>
          <w:szCs w:val="21"/>
        </w:rPr>
        <w:t xml:space="preserve">的基金净值信息，暂停披露侧袋账户基金净值信息。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57" w:name="_Toc207926663"/>
      <w:bookmarkStart w:id="158" w:name="chapter_level1_15_64"/>
      <w:r>
        <w:rPr>
          <w:rFonts w:hint="eastAsia" w:ascii="宋体" w:hAnsi="宋体" w:eastAsia="宋体"/>
          <w:sz w:val="30"/>
        </w:rPr>
        <w:t>第十二部分  基金的收益分配</w:t>
      </w:r>
      <w:bookmarkEnd w:id="157"/>
      <w:bookmarkEnd w:id="158"/>
    </w:p>
    <w:p>
      <w:pPr>
        <w:pStyle w:val="7"/>
        <w:spacing w:before="0" w:beforeAutospacing="0" w:after="0" w:afterAutospacing="0" w:line="360" w:lineRule="auto"/>
        <w:ind w:firstLine="420"/>
        <w:rPr>
          <w:sz w:val="21"/>
          <w:szCs w:val="21"/>
        </w:rPr>
      </w:pPr>
      <w:bookmarkStart w:id="159" w:name="chapter_level1_15_64_section_1"/>
      <w:bookmarkEnd w:id="159"/>
      <w:r>
        <w:rPr>
          <w:rStyle w:val="11"/>
          <w:rFonts w:hint="eastAsia"/>
          <w:sz w:val="21"/>
          <w:szCs w:val="21"/>
        </w:rPr>
        <w:t>一、基金利润的构成</w:t>
      </w:r>
    </w:p>
    <w:p>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红利再投资不受封闭期限制），且基金份额持有人可对A类、C类基金份额分别选择不同的分红方式；若投资者不选择，本基金默认的收益分配方式是现金分红； </w:t>
      </w:r>
    </w:p>
    <w:p>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3、由于本基金A类基金份额不收取销售服务费，而C类基金份额收取销售服务费，各基金份额类别对应的可供分配利润将有所不同，本基金同一类别的每一基金份额享有同等分配权； </w:t>
      </w:r>
    </w:p>
    <w:p>
      <w:pPr>
        <w:pStyle w:val="7"/>
        <w:spacing w:before="0" w:beforeAutospacing="0" w:after="0" w:afterAutospacing="0" w:line="360" w:lineRule="auto"/>
        <w:ind w:firstLine="420"/>
        <w:rPr>
          <w:sz w:val="21"/>
          <w:szCs w:val="21"/>
        </w:rPr>
      </w:pPr>
      <w:bookmarkStart w:id="160" w:name="chapter_level1_15_64_section_1_end"/>
      <w:bookmarkEnd w:id="160"/>
      <w:r>
        <w:rPr>
          <w:rFonts w:hint="eastAsia"/>
          <w:sz w:val="21"/>
          <w:szCs w:val="21"/>
        </w:rPr>
        <w:t>4、法律法规或监管机关另有规定的，从其规定。</w:t>
      </w:r>
    </w:p>
    <w:p>
      <w:pPr>
        <w:pStyle w:val="7"/>
        <w:spacing w:before="0" w:beforeAutospacing="0" w:after="0" w:afterAutospacing="0" w:line="360" w:lineRule="auto"/>
        <w:ind w:firstLine="420"/>
        <w:rPr>
          <w:sz w:val="21"/>
          <w:szCs w:val="21"/>
        </w:rPr>
      </w:pPr>
      <w:bookmarkStart w:id="161" w:name="chapter_level1_15_64_section_2"/>
      <w:bookmarkEnd w:id="161"/>
      <w:r>
        <w:rPr>
          <w:rStyle w:val="11"/>
          <w:rFonts w:hint="eastAsia"/>
          <w:sz w:val="21"/>
          <w:szCs w:val="21"/>
        </w:rPr>
        <w:t>四、收益分配方案 </w:t>
      </w:r>
    </w:p>
    <w:p>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 </w:t>
      </w:r>
    </w:p>
    <w:p>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基金红利发放日距离收益分配基准日（即可供分配利润计算截止日）的时间不得超过15个工作日。 </w:t>
      </w:r>
    </w:p>
    <w:p>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 </w:t>
      </w:r>
    </w:p>
    <w:p>
      <w:pPr>
        <w:pStyle w:val="7"/>
        <w:spacing w:before="0" w:beforeAutospacing="0" w:after="0" w:afterAutospacing="0" w:line="360" w:lineRule="auto"/>
        <w:ind w:firstLine="420"/>
        <w:rPr>
          <w:sz w:val="21"/>
          <w:szCs w:val="21"/>
        </w:rPr>
      </w:pPr>
      <w:r>
        <w:rPr>
          <w:rFonts w:hint="eastAsia"/>
          <w:sz w:val="21"/>
          <w:szCs w:val="21"/>
        </w:rPr>
        <w:t>基金收益分配时所发生的银行转账或其他手续费用由投资者自行承担。当投资者的现金红利小于一定金额，不足于支付银行转账或其他手续费用时，基金登记机构可将基金份额持有人的现金红利自动转为相应类别的基金份额。红利再投资的计算方法，依照《业务规则》执行。</w:t>
      </w:r>
    </w:p>
    <w:p>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本基金实施侧袋机制的，侧袋账户不进行收益分配，详见本招募说明书“侧袋机制”章</w:t>
      </w:r>
      <w:bookmarkStart w:id="162" w:name="chapter_level1_15_64_section_2_end"/>
      <w:bookmarkEnd w:id="162"/>
      <w:r>
        <w:rPr>
          <w:rFonts w:hint="eastAsia"/>
          <w:sz w:val="21"/>
          <w:szCs w:val="21"/>
        </w:rPr>
        <w:t xml:space="preserve">节的规定。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63" w:name="_Toc207926664"/>
      <w:bookmarkStart w:id="164" w:name="chapter_level1_16_65"/>
      <w:r>
        <w:rPr>
          <w:rFonts w:hint="eastAsia" w:ascii="宋体" w:hAnsi="宋体" w:eastAsia="宋体"/>
          <w:sz w:val="30"/>
        </w:rPr>
        <w:t>第十三部分  基金费用与税收</w:t>
      </w:r>
      <w:bookmarkEnd w:id="163"/>
      <w:bookmarkEnd w:id="164"/>
    </w:p>
    <w:p>
      <w:pPr>
        <w:pStyle w:val="7"/>
        <w:spacing w:before="0" w:beforeAutospacing="0" w:after="0" w:afterAutospacing="0" w:line="360" w:lineRule="auto"/>
        <w:ind w:firstLine="420"/>
        <w:rPr>
          <w:sz w:val="21"/>
          <w:szCs w:val="21"/>
        </w:rPr>
      </w:pPr>
      <w:bookmarkStart w:id="165" w:name="chapter_level1_16_65_section_1"/>
      <w:bookmarkEnd w:id="165"/>
      <w:r>
        <w:rPr>
          <w:rStyle w:val="11"/>
          <w:rFonts w:hint="eastAsia"/>
          <w:sz w:val="21"/>
          <w:szCs w:val="21"/>
        </w:rPr>
        <w:t>一、基金费用的种类</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5、《基金合同》生效后与基金相关的会计师费、律师费和诉讼费； </w:t>
      </w:r>
    </w:p>
    <w:p>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pPr>
        <w:pStyle w:val="7"/>
        <w:spacing w:before="0" w:beforeAutospacing="0" w:after="0" w:afterAutospacing="0" w:line="360" w:lineRule="auto"/>
        <w:ind w:firstLine="420"/>
        <w:rPr>
          <w:sz w:val="21"/>
          <w:szCs w:val="21"/>
        </w:rPr>
      </w:pPr>
      <w:r>
        <w:rPr>
          <w:rFonts w:hint="eastAsia"/>
          <w:sz w:val="21"/>
          <w:szCs w:val="21"/>
        </w:rPr>
        <w:t xml:space="preserve">7、基金的证券、期货交易费用； </w:t>
      </w:r>
    </w:p>
    <w:p>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pPr>
        <w:pStyle w:val="7"/>
        <w:spacing w:before="0" w:beforeAutospacing="0" w:after="0" w:afterAutospacing="0" w:line="360" w:lineRule="auto"/>
        <w:ind w:firstLine="420"/>
        <w:rPr>
          <w:sz w:val="21"/>
          <w:szCs w:val="21"/>
        </w:rPr>
      </w:pPr>
      <w:r>
        <w:rPr>
          <w:rFonts w:hint="eastAsia"/>
          <w:sz w:val="21"/>
          <w:szCs w:val="21"/>
        </w:rPr>
        <w:t xml:space="preserve">9、基金的账户开户费用和账户维护费； </w:t>
      </w:r>
    </w:p>
    <w:p>
      <w:pPr>
        <w:pStyle w:val="7"/>
        <w:spacing w:before="0" w:beforeAutospacing="0" w:after="0" w:afterAutospacing="0" w:line="360" w:lineRule="auto"/>
        <w:ind w:firstLine="420"/>
        <w:rPr>
          <w:sz w:val="21"/>
          <w:szCs w:val="21"/>
        </w:rPr>
      </w:pPr>
      <w:r>
        <w:rPr>
          <w:rFonts w:hint="eastAsia"/>
          <w:sz w:val="21"/>
          <w:szCs w:val="21"/>
        </w:rPr>
        <w:t xml:space="preserve">10、按照国家有关规定和《基金合同》约定，可以在基金财产中列支的其他费用。  </w:t>
      </w:r>
    </w:p>
    <w:p>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pPr>
        <w:pStyle w:val="7"/>
        <w:spacing w:before="0" w:beforeAutospacing="0" w:after="0" w:afterAutospacing="0" w:line="360" w:lineRule="auto"/>
        <w:ind w:firstLine="420"/>
        <w:rPr>
          <w:sz w:val="21"/>
          <w:szCs w:val="21"/>
        </w:rPr>
      </w:pPr>
      <w:r>
        <w:rPr>
          <w:rFonts w:hint="eastAsia"/>
          <w:sz w:val="21"/>
          <w:szCs w:val="21"/>
        </w:rPr>
        <w:t>本基金管理费按前一日基金资产净值的</w:t>
      </w:r>
      <w:bookmarkStart w:id="166" w:name="field_0_managementrate_1"/>
      <w:r>
        <w:rPr>
          <w:sz w:val="21"/>
          <w:szCs w:val="21"/>
        </w:rPr>
        <w:t>0.30</w:t>
      </w:r>
      <w:bookmarkEnd w:id="166"/>
      <w:r>
        <w:rPr>
          <w:rFonts w:hint="eastAsia"/>
          <w:sz w:val="21"/>
          <w:szCs w:val="21"/>
        </w:rPr>
        <w:t xml:space="preserve">%年费率计提。计算方法如下：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67" w:name="field_0_managementrate_2"/>
      <w:r>
        <w:rPr>
          <w:sz w:val="21"/>
          <w:szCs w:val="21"/>
        </w:rPr>
        <w:t>0.30</w:t>
      </w:r>
      <w:bookmarkEnd w:id="167"/>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pPr>
        <w:pStyle w:val="7"/>
        <w:spacing w:before="0" w:beforeAutospacing="0" w:after="0" w:afterAutospacing="0" w:line="360" w:lineRule="auto"/>
        <w:ind w:firstLine="420"/>
        <w:rPr>
          <w:sz w:val="21"/>
          <w:szCs w:val="21"/>
        </w:rPr>
      </w:pPr>
      <w:r>
        <w:rPr>
          <w:rFonts w:hint="eastAsia"/>
          <w:sz w:val="21"/>
          <w:szCs w:val="21"/>
        </w:rPr>
        <w:t xml:space="preserve">E为前一日基金资产净值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管理费每日计算，逐日累计至每月月末，按月支付，由基金管理人向基金托管人发送基金管理费划款指令，基金托管人复核后于次月前5个工作日内从基金财产中一次性支付给基金管理人。若遇法定节假日、公休假等，支付日期顺延。 </w:t>
      </w:r>
    </w:p>
    <w:p>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pPr>
        <w:pStyle w:val="7"/>
        <w:spacing w:before="0" w:beforeAutospacing="0" w:after="0" w:afterAutospacing="0" w:line="360" w:lineRule="auto"/>
        <w:ind w:firstLine="420"/>
        <w:rPr>
          <w:sz w:val="21"/>
          <w:szCs w:val="21"/>
        </w:rPr>
      </w:pPr>
      <w:r>
        <w:rPr>
          <w:rFonts w:hint="eastAsia"/>
          <w:sz w:val="21"/>
          <w:szCs w:val="21"/>
        </w:rPr>
        <w:t>本基金托管费按前一日基金资产净值的</w:t>
      </w:r>
      <w:bookmarkStart w:id="168" w:name="field_0_trusteerate_1"/>
      <w:r>
        <w:rPr>
          <w:sz w:val="21"/>
          <w:szCs w:val="21"/>
        </w:rPr>
        <w:t>0.10</w:t>
      </w:r>
      <w:bookmarkEnd w:id="168"/>
      <w:r>
        <w:rPr>
          <w:rFonts w:hint="eastAsia"/>
          <w:sz w:val="21"/>
          <w:szCs w:val="21"/>
        </w:rPr>
        <w:t xml:space="preserve">%年费率计提。计算方法如下： </w:t>
      </w:r>
    </w:p>
    <w:p>
      <w:pPr>
        <w:pStyle w:val="7"/>
        <w:spacing w:before="0" w:beforeAutospacing="0" w:after="0" w:afterAutospacing="0" w:line="360" w:lineRule="auto"/>
        <w:ind w:firstLine="420"/>
        <w:rPr>
          <w:sz w:val="21"/>
          <w:szCs w:val="21"/>
        </w:rPr>
      </w:pPr>
      <w:r>
        <w:rPr>
          <w:rFonts w:hint="eastAsia"/>
          <w:sz w:val="21"/>
          <w:szCs w:val="21"/>
        </w:rPr>
        <w:t>H＝E×</w:t>
      </w:r>
      <w:bookmarkStart w:id="169" w:name="field_0_trusteerate_2"/>
      <w:r>
        <w:rPr>
          <w:sz w:val="21"/>
          <w:szCs w:val="21"/>
        </w:rPr>
        <w:t>0.10</w:t>
      </w:r>
      <w:bookmarkEnd w:id="169"/>
      <w:r>
        <w:rPr>
          <w:rFonts w:hint="eastAsia"/>
          <w:sz w:val="21"/>
          <w:szCs w:val="21"/>
        </w:rPr>
        <w:t xml:space="preserve">%÷当年天数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pPr>
        <w:pStyle w:val="7"/>
        <w:spacing w:before="0" w:beforeAutospacing="0" w:after="0" w:afterAutospacing="0" w:line="360" w:lineRule="auto"/>
        <w:ind w:firstLine="420"/>
        <w:rPr>
          <w:sz w:val="21"/>
          <w:szCs w:val="21"/>
        </w:rPr>
      </w:pPr>
      <w:r>
        <w:rPr>
          <w:rFonts w:hint="eastAsia"/>
          <w:sz w:val="21"/>
          <w:szCs w:val="21"/>
        </w:rPr>
        <w:t xml:space="preserve">E为前一日基金资产净值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托管费每日计算，逐日累计至每月月末，按月支付，由基金管理人向基金托管人发送基金托管费划款指令，基金托管人复核后于次月前5个工作日内从基金财产中一次性支取。若遇法定节假日、公休日等，支付日期顺延。 </w:t>
      </w:r>
    </w:p>
    <w:p>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本基金A类基金份额不收取销售服务费，C类基金份额的销售服务费年费率为0.20%。本基金销售服务费主要用于本基金持续销售以及基金份额持有人服务等各项费用。 </w:t>
      </w:r>
    </w:p>
    <w:p>
      <w:pPr>
        <w:pStyle w:val="7"/>
        <w:spacing w:before="0" w:beforeAutospacing="0" w:after="0" w:afterAutospacing="0" w:line="360" w:lineRule="auto"/>
        <w:ind w:firstLine="420"/>
        <w:rPr>
          <w:sz w:val="21"/>
          <w:szCs w:val="21"/>
        </w:rPr>
      </w:pPr>
      <w:r>
        <w:rPr>
          <w:rFonts w:hint="eastAsia"/>
          <w:sz w:val="21"/>
          <w:szCs w:val="21"/>
        </w:rPr>
        <w:t xml:space="preserve">本基金的销售服务费按前一日C类基金份额基金资产净值的0.20%年费率计提。销售服务费的计算方法如下： </w:t>
      </w:r>
    </w:p>
    <w:p>
      <w:pPr>
        <w:pStyle w:val="7"/>
        <w:spacing w:before="0" w:beforeAutospacing="0" w:after="0" w:afterAutospacing="0" w:line="360" w:lineRule="auto"/>
        <w:ind w:firstLine="420"/>
        <w:rPr>
          <w:sz w:val="21"/>
          <w:szCs w:val="21"/>
        </w:rPr>
      </w:pPr>
      <w:r>
        <w:rPr>
          <w:rFonts w:hint="eastAsia"/>
          <w:sz w:val="21"/>
          <w:szCs w:val="21"/>
        </w:rPr>
        <w:t xml:space="preserve">H＝E×0.20%÷当年天数 </w:t>
      </w:r>
    </w:p>
    <w:p>
      <w:pPr>
        <w:pStyle w:val="7"/>
        <w:spacing w:before="0" w:beforeAutospacing="0" w:after="0" w:afterAutospacing="0" w:line="360" w:lineRule="auto"/>
        <w:ind w:firstLine="420"/>
        <w:rPr>
          <w:sz w:val="21"/>
          <w:szCs w:val="21"/>
        </w:rPr>
      </w:pPr>
      <w:r>
        <w:rPr>
          <w:rFonts w:hint="eastAsia"/>
          <w:sz w:val="21"/>
          <w:szCs w:val="21"/>
        </w:rPr>
        <w:t xml:space="preserve">H为每日应计提的C类基金份额的销售服务费 </w:t>
      </w:r>
    </w:p>
    <w:p>
      <w:pPr>
        <w:pStyle w:val="7"/>
        <w:spacing w:before="0" w:beforeAutospacing="0" w:after="0" w:afterAutospacing="0" w:line="360" w:lineRule="auto"/>
        <w:ind w:firstLine="420"/>
        <w:rPr>
          <w:sz w:val="21"/>
          <w:szCs w:val="21"/>
        </w:rPr>
      </w:pPr>
      <w:r>
        <w:rPr>
          <w:rFonts w:hint="eastAsia"/>
          <w:sz w:val="21"/>
          <w:szCs w:val="21"/>
        </w:rPr>
        <w:t xml:space="preserve">E为前一日的C类基金份额基金资产净值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销售服务费每日计算，逐日累计至每月月末，按月支付，由基金管理人与基金托管人核对一致后，基金托管人按照与基金管理人协商一致的方式在次月前5个工作日内从基金财产中一次性支付。若遇法定节假日、公休假或不可抗力等，支付日期顺延。  </w:t>
      </w:r>
    </w:p>
    <w:p>
      <w:pPr>
        <w:pStyle w:val="7"/>
        <w:spacing w:before="0" w:beforeAutospacing="0" w:after="0" w:afterAutospacing="0" w:line="360" w:lineRule="auto"/>
        <w:ind w:firstLine="420"/>
        <w:rPr>
          <w:sz w:val="21"/>
          <w:szCs w:val="21"/>
        </w:rPr>
      </w:pPr>
      <w:r>
        <w:rPr>
          <w:rFonts w:hint="eastAsia"/>
          <w:sz w:val="21"/>
          <w:szCs w:val="21"/>
        </w:rPr>
        <w:t xml:space="preserve">4、上述“一、基金费用的种类”中第4－10项费用，根据有关法规及相应协议规定，按费用实际支出金额列入当期费用，由基金托管人从基金财产中支付。  </w:t>
      </w:r>
    </w:p>
    <w:p>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pPr>
        <w:pStyle w:val="7"/>
        <w:spacing w:before="0" w:beforeAutospacing="0" w:after="0" w:afterAutospacing="0" w:line="360" w:lineRule="auto"/>
        <w:ind w:firstLine="420"/>
        <w:rPr>
          <w:sz w:val="21"/>
          <w:szCs w:val="21"/>
        </w:rPr>
      </w:pPr>
      <w:r>
        <w:rPr>
          <w:rFonts w:hint="eastAsia"/>
          <w:sz w:val="21"/>
          <w:szCs w:val="21"/>
        </w:rPr>
        <w:t>4、其他根据相关法律法规及中国证监会的有关规定不得列入基金费用的项目。</w:t>
      </w:r>
    </w:p>
    <w:p>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pPr>
        <w:pStyle w:val="7"/>
        <w:spacing w:before="0" w:beforeAutospacing="0" w:after="0" w:afterAutospacing="0" w:line="360" w:lineRule="auto"/>
        <w:ind w:firstLine="420"/>
        <w:rPr>
          <w:sz w:val="21"/>
          <w:szCs w:val="21"/>
        </w:rPr>
      </w:pPr>
      <w:r>
        <w:rPr>
          <w:rStyle w:val="11"/>
          <w:rFonts w:hint="eastAsia"/>
          <w:sz w:val="21"/>
          <w:szCs w:val="21"/>
        </w:rPr>
        <w:t>五、基金税收</w:t>
      </w:r>
    </w:p>
    <w:p>
      <w:pPr>
        <w:pStyle w:val="7"/>
        <w:spacing w:before="0" w:beforeAutospacing="0" w:after="0" w:afterAutospacing="0" w:line="360" w:lineRule="auto"/>
        <w:ind w:firstLine="420"/>
        <w:rPr>
          <w:sz w:val="21"/>
          <w:szCs w:val="21"/>
        </w:rPr>
      </w:pPr>
      <w:bookmarkStart w:id="170" w:name="chapter_level1_16_65_section_1_end"/>
      <w:bookmarkEnd w:id="170"/>
      <w:r>
        <w:rPr>
          <w:rFonts w:hint="eastAsia"/>
          <w:sz w:val="21"/>
          <w:szCs w:val="21"/>
        </w:rPr>
        <w:t xml:space="preserve">本基金运作过程中涉及的各纳税主体，其纳税义务按国家税收法律、法规执行。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1" w:name="chapter_level1_17_66"/>
      <w:bookmarkStart w:id="172" w:name="_Toc207926665"/>
      <w:r>
        <w:rPr>
          <w:rFonts w:hint="eastAsia" w:ascii="宋体" w:hAnsi="宋体" w:eastAsia="宋体"/>
          <w:sz w:val="30"/>
        </w:rPr>
        <w:t>第十四部分  基金的会计与审计</w:t>
      </w:r>
      <w:bookmarkEnd w:id="171"/>
      <w:bookmarkEnd w:id="172"/>
    </w:p>
    <w:p>
      <w:pPr>
        <w:pStyle w:val="7"/>
        <w:spacing w:before="0" w:beforeAutospacing="0" w:after="0" w:afterAutospacing="0" w:line="360" w:lineRule="auto"/>
        <w:ind w:firstLine="420"/>
        <w:rPr>
          <w:sz w:val="21"/>
          <w:szCs w:val="21"/>
        </w:rPr>
      </w:pPr>
      <w:bookmarkStart w:id="173" w:name="chapter_level1_17_66_section_1"/>
      <w:bookmarkEnd w:id="173"/>
      <w:r>
        <w:rPr>
          <w:rStyle w:val="11"/>
          <w:rFonts w:hint="eastAsia"/>
          <w:sz w:val="21"/>
          <w:szCs w:val="21"/>
        </w:rPr>
        <w:t>一、基金会计政策 </w:t>
      </w:r>
    </w:p>
    <w:p>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pPr>
        <w:pStyle w:val="7"/>
        <w:spacing w:before="0" w:beforeAutospacing="0" w:after="0" w:afterAutospacing="0" w:line="360" w:lineRule="auto"/>
        <w:ind w:firstLine="420"/>
        <w:rPr>
          <w:sz w:val="21"/>
          <w:szCs w:val="21"/>
        </w:rPr>
      </w:pPr>
      <w:r>
        <w:rPr>
          <w:rStyle w:val="11"/>
          <w:rFonts w:hint="eastAsia"/>
          <w:sz w:val="21"/>
          <w:szCs w:val="21"/>
        </w:rPr>
        <w:t>二、基金的年度审计 </w:t>
      </w:r>
    </w:p>
    <w:p>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1、基金管理人聘请与基金管理人、基金托管人相互独立的具有证券、期货相关业务资格的会计师事务所及其注册会计师对本基金的年度财务报表进行审计。 </w:t>
      </w:r>
    </w:p>
    <w:p>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4" w:name="chapter_level1_17_66_section_1_end"/>
      <w:bookmarkEnd w:id="174"/>
      <w:r>
        <w:rPr>
          <w:rFonts w:hint="eastAsia"/>
          <w:sz w:val="21"/>
          <w:szCs w:val="21"/>
        </w:rPr>
        <w:t xml:space="preserve">务所需按照《信息披露办法》的有关规定在指定媒介公告。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75" w:name="_Toc207926666"/>
      <w:bookmarkStart w:id="176" w:name="chapter_level1_18_67"/>
      <w:r>
        <w:rPr>
          <w:rFonts w:hint="eastAsia" w:ascii="宋体" w:hAnsi="宋体" w:eastAsia="宋体"/>
          <w:sz w:val="30"/>
        </w:rPr>
        <w:t>第十五部分  基金的信息披露</w:t>
      </w:r>
      <w:bookmarkEnd w:id="175"/>
      <w:bookmarkEnd w:id="176"/>
    </w:p>
    <w:p>
      <w:pPr>
        <w:pStyle w:val="7"/>
        <w:spacing w:before="0" w:beforeAutospacing="0" w:after="0" w:afterAutospacing="0" w:line="360" w:lineRule="auto"/>
        <w:ind w:firstLine="420"/>
        <w:rPr>
          <w:sz w:val="21"/>
          <w:szCs w:val="21"/>
        </w:rPr>
      </w:pPr>
      <w:bookmarkStart w:id="177" w:name="chapter_level1_18_67_section_1"/>
      <w:bookmarkEnd w:id="177"/>
      <w:r>
        <w:rPr>
          <w:rStyle w:val="11"/>
          <w:rFonts w:hint="eastAsia"/>
          <w:sz w:val="21"/>
          <w:szCs w:val="21"/>
        </w:rPr>
        <w:t>一、本基金的信息披露应符合《基金法》、《运作办法》、《信息披露办法》、《基金合同》及其他有关规定。 </w:t>
      </w:r>
    </w:p>
    <w:p>
      <w:pPr>
        <w:pStyle w:val="7"/>
        <w:spacing w:before="0" w:beforeAutospacing="0" w:after="0" w:afterAutospacing="0" w:line="360" w:lineRule="auto"/>
        <w:ind w:firstLine="420"/>
        <w:rPr>
          <w:sz w:val="21"/>
          <w:szCs w:val="21"/>
        </w:rPr>
      </w:pPr>
      <w:r>
        <w:rPr>
          <w:rStyle w:val="11"/>
          <w:rFonts w:hint="eastAsia"/>
          <w:sz w:val="21"/>
          <w:szCs w:val="21"/>
        </w:rPr>
        <w:t>二、信息披露义务人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本基金信息披露义务人应当在中国证监会规定时间内，将应予披露的基金信息通过中国证监会指定媒介披露，并保证基金投资者能够按照《基金合同》约定的时间和方式查阅或者复制公开披露的信息资料。 </w:t>
      </w:r>
    </w:p>
    <w:p>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 </w:t>
      </w:r>
    </w:p>
    <w:p>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四、本基金公开披露的信息应采用中文文本。同时采用外文文本的，基金信息披露义务人应保证不同文本的内容一致。不同文本之间发生歧义的，以中文文本为准。 </w:t>
      </w:r>
    </w:p>
    <w:p>
      <w:pPr>
        <w:pStyle w:val="7"/>
        <w:spacing w:before="0" w:beforeAutospacing="0" w:after="0" w:afterAutospacing="0" w:line="360" w:lineRule="auto"/>
        <w:ind w:firstLine="420"/>
        <w:rPr>
          <w:sz w:val="21"/>
          <w:szCs w:val="21"/>
        </w:rPr>
      </w:pPr>
      <w:bookmarkStart w:id="178" w:name="chapter_level1_18_67_section_1_end"/>
      <w:bookmarkEnd w:id="178"/>
      <w:r>
        <w:rPr>
          <w:rFonts w:hint="eastAsia"/>
          <w:sz w:val="21"/>
          <w:szCs w:val="21"/>
        </w:rPr>
        <w:t xml:space="preserve">本基金公开披露的信息采用阿拉伯数字；除特别说明外，货币单位为人民币元。 </w:t>
      </w:r>
    </w:p>
    <w:p>
      <w:pPr>
        <w:pStyle w:val="7"/>
        <w:spacing w:before="0" w:beforeAutospacing="0" w:after="0" w:afterAutospacing="0" w:line="360" w:lineRule="auto"/>
        <w:ind w:firstLine="420"/>
        <w:rPr>
          <w:sz w:val="21"/>
          <w:szCs w:val="21"/>
        </w:rPr>
      </w:pPr>
      <w:bookmarkStart w:id="179" w:name="chapter_level1_18_67_section_2"/>
      <w:bookmarkEnd w:id="179"/>
      <w:r>
        <w:rPr>
          <w:rStyle w:val="11"/>
          <w:rFonts w:hint="eastAsia"/>
          <w:sz w:val="21"/>
          <w:szCs w:val="21"/>
        </w:rPr>
        <w:t>五、公开披露的基金信息 </w:t>
      </w:r>
    </w:p>
    <w:p>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 </w:t>
      </w:r>
    </w:p>
    <w:p>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 </w:t>
      </w:r>
    </w:p>
    <w:p>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3日前，将基金招募说明书、《基金合同》摘要登载在指定媒介上；基金管理人、基金托管人应当将《基金合同》、基金托管协议登载在网站上。 </w:t>
      </w:r>
    </w:p>
    <w:p>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基金管理人应当就基金份额发售的具体事宜编制基金份额发售公告，并在披露招募说明书的当日登载于指定媒介上。 </w:t>
      </w:r>
    </w:p>
    <w:p>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基金管理人应当在收到中国证监会确认文件的次日在指定媒介上登载《基金合同》生效公告。 </w:t>
      </w:r>
    </w:p>
    <w:p>
      <w:pPr>
        <w:pStyle w:val="7"/>
        <w:spacing w:before="0" w:beforeAutospacing="0" w:after="0" w:afterAutospacing="0" w:line="360" w:lineRule="auto"/>
        <w:ind w:firstLine="420"/>
        <w:rPr>
          <w:sz w:val="21"/>
          <w:szCs w:val="21"/>
        </w:rPr>
      </w:pPr>
      <w:r>
        <w:rPr>
          <w:rFonts w:hint="eastAsia"/>
          <w:sz w:val="21"/>
          <w:szCs w:val="21"/>
        </w:rPr>
        <w:t xml:space="preserve">（四）基金净值信息 </w:t>
      </w:r>
    </w:p>
    <w:p>
      <w:pPr>
        <w:pStyle w:val="7"/>
        <w:spacing w:before="0" w:beforeAutospacing="0" w:after="0" w:afterAutospacing="0" w:line="360" w:lineRule="auto"/>
        <w:ind w:firstLine="420"/>
        <w:rPr>
          <w:sz w:val="21"/>
          <w:szCs w:val="21"/>
        </w:rPr>
      </w:pPr>
      <w:r>
        <w:rPr>
          <w:rFonts w:hint="eastAsia"/>
          <w:sz w:val="21"/>
          <w:szCs w:val="21"/>
        </w:rPr>
        <w:t xml:space="preserve">《基金合同》生效后，在封闭期内，基金管理人应当至少每周在指定网站披露一次各类基金份额净值和基金份额累计净值。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在开放期内，基金管理人应当在不晚于每个开放日的次日，通过指定网站、基金销售机构网站或者营业网点披露开放日的各类基金份额净值和基金份额累计净值。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基金管理人应当在不晚于半年度和年度最后一日的次日，在指定网站披露半年度和年度最后一日的各类基金份额净值和基金份额累计净值。  </w:t>
      </w:r>
    </w:p>
    <w:p>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基金管理人应当在上半年结束之日起两个月内，编制完成基金中期报告，将中期报告登载在指定网站上，并将中期报告提示性公告登载在指定报刊上。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基金管理人应当在季度结束之日起15个工作日内，编制完成基金季度报告，将季度报告登载在指定网站上，并将季度报告提示性公告登载在指定报刊上。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基金定期报告“影响投资者决策的其他重要信息”项下披露该投资者的类别、报告期末持有份额及占比、报告期内持有份额变化情况及本基金的特有风险，中国证监会认定的特殊情形除外。 </w:t>
      </w:r>
    </w:p>
    <w:p>
      <w:pPr>
        <w:pStyle w:val="7"/>
        <w:spacing w:before="0" w:beforeAutospacing="0" w:after="0" w:afterAutospacing="0" w:line="360" w:lineRule="auto"/>
        <w:ind w:firstLine="420"/>
        <w:rPr>
          <w:sz w:val="21"/>
          <w:szCs w:val="21"/>
        </w:rPr>
      </w:pPr>
      <w:r>
        <w:rPr>
          <w:rFonts w:hint="eastAsia"/>
          <w:sz w:val="21"/>
          <w:szCs w:val="21"/>
        </w:rPr>
        <w:t xml:space="preserve">（七）临时报告 </w:t>
      </w:r>
    </w:p>
    <w:p>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本基金发生重大事件，有关信息披露义务人应当按规定编制临时报告书，并登载在指定报刊和指定网站上。  </w:t>
      </w:r>
    </w:p>
    <w:p>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pPr>
        <w:pStyle w:val="7"/>
        <w:spacing w:before="0" w:beforeAutospacing="0" w:after="0" w:afterAutospacing="0" w:line="360" w:lineRule="auto"/>
        <w:ind w:firstLine="420"/>
        <w:rPr>
          <w:sz w:val="21"/>
          <w:szCs w:val="21"/>
        </w:rPr>
      </w:pPr>
      <w:r>
        <w:rPr>
          <w:rFonts w:hint="eastAsia"/>
          <w:sz w:val="21"/>
          <w:szCs w:val="21"/>
        </w:rPr>
        <w:t xml:space="preserve">8、基金募集期延长； </w:t>
      </w:r>
    </w:p>
    <w:p>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pPr>
        <w:pStyle w:val="7"/>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但中国证监会另有规定的除外；； </w:t>
      </w:r>
    </w:p>
    <w:p>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pPr>
        <w:pStyle w:val="7"/>
        <w:spacing w:before="0" w:beforeAutospacing="0" w:after="0" w:afterAutospacing="0" w:line="360" w:lineRule="auto"/>
        <w:ind w:firstLine="420"/>
        <w:rPr>
          <w:sz w:val="21"/>
          <w:szCs w:val="21"/>
        </w:rPr>
      </w:pPr>
      <w:r>
        <w:rPr>
          <w:rFonts w:hint="eastAsia"/>
          <w:sz w:val="21"/>
          <w:szCs w:val="21"/>
        </w:rPr>
        <w:t xml:space="preserve">17、任一类基金份额净值计价错误达该类基金份额净值百分之零点五；  </w:t>
      </w:r>
    </w:p>
    <w:p>
      <w:pPr>
        <w:pStyle w:val="7"/>
        <w:spacing w:before="0" w:beforeAutospacing="0" w:after="0" w:afterAutospacing="0" w:line="360" w:lineRule="auto"/>
        <w:ind w:firstLine="420"/>
        <w:rPr>
          <w:sz w:val="21"/>
          <w:szCs w:val="21"/>
        </w:rPr>
      </w:pPr>
      <w:r>
        <w:rPr>
          <w:rFonts w:hint="eastAsia"/>
          <w:sz w:val="21"/>
          <w:szCs w:val="21"/>
        </w:rPr>
        <w:t xml:space="preserve">18、本基金进入开放期； </w:t>
      </w:r>
    </w:p>
    <w:p>
      <w:pPr>
        <w:pStyle w:val="7"/>
        <w:spacing w:before="0" w:beforeAutospacing="0" w:after="0" w:afterAutospacing="0" w:line="360" w:lineRule="auto"/>
        <w:ind w:firstLine="420"/>
        <w:rPr>
          <w:sz w:val="21"/>
          <w:szCs w:val="21"/>
        </w:rPr>
      </w:pPr>
      <w:r>
        <w:rPr>
          <w:rFonts w:hint="eastAsia"/>
          <w:sz w:val="21"/>
          <w:szCs w:val="21"/>
        </w:rPr>
        <w:t xml:space="preserve">19、本基金发生巨额赎回并延期支付或延期办理或延缓支付赎回款项；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pPr>
        <w:pStyle w:val="7"/>
        <w:spacing w:before="0" w:beforeAutospacing="0" w:after="0" w:afterAutospacing="0" w:line="360" w:lineRule="auto"/>
        <w:ind w:firstLine="420"/>
        <w:rPr>
          <w:sz w:val="21"/>
          <w:szCs w:val="21"/>
        </w:rPr>
      </w:pPr>
      <w:r>
        <w:rPr>
          <w:rFonts w:hint="eastAsia"/>
          <w:sz w:val="21"/>
          <w:szCs w:val="21"/>
        </w:rPr>
        <w:t xml:space="preserve">21、发生涉及本基金申购、赎回事项调整或潜在影响投资者赎回等重大事项时； </w:t>
      </w:r>
    </w:p>
    <w:p>
      <w:pPr>
        <w:pStyle w:val="7"/>
        <w:spacing w:before="0" w:beforeAutospacing="0" w:after="0" w:afterAutospacing="0" w:line="360" w:lineRule="auto"/>
        <w:ind w:firstLine="420"/>
        <w:rPr>
          <w:sz w:val="21"/>
          <w:szCs w:val="21"/>
        </w:rPr>
      </w:pPr>
      <w:r>
        <w:rPr>
          <w:rFonts w:hint="eastAsia"/>
          <w:sz w:val="21"/>
          <w:szCs w:val="21"/>
        </w:rPr>
        <w:t xml:space="preserve">22、基金信息披露义务人认为可能对基金份额持有人权益或者基金份额的价格产生重大影响的其他事项或中国证监会规定的其他事项。 </w:t>
      </w:r>
    </w:p>
    <w:p>
      <w:pPr>
        <w:pStyle w:val="7"/>
        <w:spacing w:before="0" w:beforeAutospacing="0" w:after="0" w:afterAutospacing="0" w:line="360" w:lineRule="auto"/>
        <w:ind w:firstLine="420"/>
        <w:rPr>
          <w:sz w:val="21"/>
          <w:szCs w:val="21"/>
        </w:rPr>
      </w:pPr>
      <w:r>
        <w:rPr>
          <w:rFonts w:hint="eastAsia"/>
          <w:sz w:val="21"/>
          <w:szCs w:val="21"/>
        </w:rPr>
        <w:t xml:space="preserve">（八）澄清公告 </w:t>
      </w:r>
    </w:p>
    <w:p>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 </w:t>
      </w:r>
    </w:p>
    <w:p>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pPr>
        <w:pStyle w:val="7"/>
        <w:spacing w:before="0" w:beforeAutospacing="0" w:after="0" w:afterAutospacing="0" w:line="360" w:lineRule="auto"/>
        <w:ind w:firstLine="420"/>
        <w:rPr>
          <w:sz w:val="21"/>
          <w:szCs w:val="21"/>
        </w:rPr>
      </w:pPr>
      <w:r>
        <w:rPr>
          <w:rFonts w:hint="eastAsia"/>
          <w:sz w:val="21"/>
          <w:szCs w:val="21"/>
        </w:rPr>
        <w:t xml:space="preserve">（十）资产支持证券的投资情况 </w:t>
      </w:r>
    </w:p>
    <w:p>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pPr>
        <w:pStyle w:val="7"/>
        <w:spacing w:before="0" w:beforeAutospacing="0" w:after="0" w:afterAutospacing="0" w:line="360" w:lineRule="auto"/>
        <w:ind w:firstLine="420"/>
        <w:rPr>
          <w:sz w:val="21"/>
          <w:szCs w:val="21"/>
        </w:rPr>
      </w:pPr>
      <w:r>
        <w:rPr>
          <w:rFonts w:hint="eastAsia"/>
          <w:sz w:val="21"/>
          <w:szCs w:val="21"/>
        </w:rPr>
        <w:t xml:space="preserve">（十一）国债期货的投资情况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披露国债期货交易情况，包括投资政策、持仓情况、损益情况、风险指标等，并充分揭示国债期货交易对本基金总体风险的影响以及是否符合既定的投资政策和投资目标。 </w:t>
      </w:r>
    </w:p>
    <w:p>
      <w:pPr>
        <w:pStyle w:val="7"/>
        <w:spacing w:before="0" w:beforeAutospacing="0" w:after="0" w:afterAutospacing="0" w:line="360" w:lineRule="auto"/>
        <w:ind w:firstLine="420"/>
        <w:rPr>
          <w:sz w:val="21"/>
          <w:szCs w:val="21"/>
        </w:rPr>
      </w:pPr>
      <w:r>
        <w:rPr>
          <w:rFonts w:hint="eastAsia"/>
          <w:sz w:val="21"/>
          <w:szCs w:val="21"/>
        </w:rPr>
        <w:t xml:space="preserve">（十二）清算报告 </w:t>
      </w:r>
    </w:p>
    <w:p>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基金终止运作的，基金管理人应当依法组织基金财产清算小组对基金财产进行清算并作出清算报告。基金财产清算小组应当将清算报告登载在指定网站上，并将清算报告提示性公告登载在指定报刊上。 </w:t>
      </w:r>
    </w:p>
    <w:p>
      <w:pPr>
        <w:pStyle w:val="7"/>
        <w:spacing w:before="0" w:beforeAutospacing="0" w:after="0" w:afterAutospacing="0" w:line="360" w:lineRule="auto"/>
        <w:ind w:firstLine="420"/>
        <w:rPr>
          <w:sz w:val="21"/>
          <w:szCs w:val="21"/>
        </w:rPr>
      </w:pPr>
      <w:r>
        <w:rPr>
          <w:rFonts w:hint="eastAsia"/>
          <w:sz w:val="21"/>
          <w:szCs w:val="21"/>
        </w:rPr>
        <w:t xml:space="preserve">（十三）实施侧袋机制期间的信息披露  </w:t>
      </w:r>
    </w:p>
    <w:p>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本基金实施侧袋机制的，相关信息披露义务人应当根据法律法规、基金合同和招募说明书的规定进行信息披露，详见本招募说明书“侧袋机制”章节的规定。  </w:t>
      </w:r>
    </w:p>
    <w:p>
      <w:pPr>
        <w:pStyle w:val="7"/>
        <w:spacing w:before="0" w:beforeAutospacing="0" w:after="0" w:afterAutospacing="0" w:line="360" w:lineRule="auto"/>
        <w:ind w:firstLine="420"/>
        <w:rPr>
          <w:sz w:val="21"/>
          <w:szCs w:val="21"/>
        </w:rPr>
      </w:pPr>
      <w:bookmarkStart w:id="180" w:name="chapter_level1_18_67_section_2_end"/>
      <w:bookmarkEnd w:id="180"/>
      <w:r>
        <w:rPr>
          <w:rFonts w:hint="eastAsia"/>
          <w:sz w:val="21"/>
          <w:szCs w:val="21"/>
        </w:rPr>
        <w:t xml:space="preserve">（十四）中国证监会规定的其他信息。 </w:t>
      </w:r>
    </w:p>
    <w:p>
      <w:pPr>
        <w:pStyle w:val="7"/>
        <w:spacing w:before="0" w:beforeAutospacing="0" w:after="0" w:afterAutospacing="0" w:line="360" w:lineRule="auto"/>
        <w:ind w:firstLine="420"/>
        <w:rPr>
          <w:sz w:val="21"/>
          <w:szCs w:val="21"/>
        </w:rPr>
      </w:pPr>
      <w:bookmarkStart w:id="181" w:name="chapter_level1_18_67_section_3"/>
      <w:bookmarkEnd w:id="181"/>
      <w:r>
        <w:rPr>
          <w:rStyle w:val="11"/>
          <w:rFonts w:hint="eastAsia"/>
          <w:sz w:val="21"/>
          <w:szCs w:val="21"/>
        </w:rPr>
        <w:t>六、信息披露事务管理</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基金管理人、基金托管人应当在指定报刊中选择一家报刊披露本基金信息。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基金管理人、基金托管人应当向中国证监会基金电子披露网站报送拟披露的基金信息，并保证相关报送信息的真实、准确、完整、及时。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基金管理人、基金托管人除依法在指定媒介上披露信息外，还可以根据需要在其他公共媒介披露信息，但是其他公共媒介不得早于指定媒介 披露信息，并且在不同媒介上披露同一信息的内容应当一致。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eastAsia="宋体"/>
          <w:sz w:val="24"/>
          <w:szCs w:val="24"/>
        </w:rPr>
      </w:pPr>
      <w:r>
        <w:rPr>
          <w:rFonts w:ascii="宋体" w:hAnsi="宋体" w:eastAsia="宋体"/>
        </w:rPr>
        <w:t>依法必须披露的信息发布后，基金管理人、基金托管人应当按照相关法律法规规定将信息置</w:t>
      </w:r>
      <w:bookmarkStart w:id="182" w:name="chapter_level1_18_67_section_3_end"/>
      <w:bookmarkEnd w:id="182"/>
      <w:r>
        <w:rPr>
          <w:rFonts w:ascii="宋体" w:hAnsi="宋体" w:eastAsia="宋体"/>
        </w:rPr>
        <w:t xml:space="preserve">备于各自住所，供社会公众查阅、复制。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83" w:name="_Toc207926667"/>
      <w:bookmarkStart w:id="184" w:name="chapter_level1_19_55492"/>
      <w:r>
        <w:rPr>
          <w:rFonts w:hint="eastAsia" w:ascii="宋体" w:hAnsi="宋体" w:eastAsia="宋体"/>
          <w:sz w:val="30"/>
        </w:rPr>
        <w:t>第十六部分  侧袋机制</w:t>
      </w:r>
      <w:bookmarkEnd w:id="183"/>
      <w:bookmarkEnd w:id="184"/>
    </w:p>
    <w:p>
      <w:pPr>
        <w:pStyle w:val="7"/>
        <w:spacing w:before="0" w:beforeAutospacing="0" w:after="0" w:afterAutospacing="0" w:line="360" w:lineRule="auto"/>
        <w:ind w:firstLine="420"/>
        <w:rPr>
          <w:sz w:val="21"/>
          <w:szCs w:val="21"/>
        </w:rPr>
      </w:pPr>
      <w:bookmarkStart w:id="185" w:name="chapter_level1_19_55492_section_1"/>
      <w:bookmarkEnd w:id="185"/>
      <w:r>
        <w:rPr>
          <w:rFonts w:hint="eastAsia"/>
          <w:b/>
          <w:bCs/>
          <w:sz w:val="21"/>
          <w:szCs w:val="21"/>
        </w:rPr>
        <w:t>一、侧袋机制的实施条件、实施程序和特定资产范围</w:t>
      </w:r>
    </w:p>
    <w:p>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pPr>
        <w:pStyle w:val="7"/>
        <w:spacing w:before="0" w:beforeAutospacing="0" w:after="0" w:afterAutospacing="0" w:line="360" w:lineRule="auto"/>
        <w:ind w:firstLine="420"/>
        <w:rPr>
          <w:sz w:val="21"/>
          <w:szCs w:val="21"/>
        </w:rPr>
      </w:pPr>
      <w:r>
        <w:rPr>
          <w:rFonts w:hint="eastAsia"/>
          <w:sz w:val="21"/>
          <w:szCs w:val="21"/>
        </w:rPr>
        <w:t>特定资产包括：（1）无可参考的活跃市场价格且采用估值技术仍导致公允价值存在重大不确定性的资产；（2）按摊余成本计量且计提资产减值准备仍导致资产价值存在重大不</w:t>
      </w:r>
      <w:bookmarkStart w:id="186" w:name="chapter_level1_19_55492_section_1_end"/>
      <w:bookmarkEnd w:id="186"/>
      <w:r>
        <w:rPr>
          <w:rFonts w:hint="eastAsia"/>
          <w:sz w:val="21"/>
          <w:szCs w:val="21"/>
        </w:rPr>
        <w:t xml:space="preserve">确定性的资产；（3）其他资产价值存在重大不确定性的资产。 </w:t>
      </w:r>
    </w:p>
    <w:p>
      <w:pPr>
        <w:pStyle w:val="7"/>
        <w:spacing w:before="0" w:beforeAutospacing="0" w:after="0" w:afterAutospacing="0" w:line="360" w:lineRule="auto"/>
        <w:ind w:firstLine="420"/>
        <w:rPr>
          <w:sz w:val="21"/>
          <w:szCs w:val="21"/>
        </w:rPr>
      </w:pPr>
      <w:bookmarkStart w:id="187" w:name="chapter_level1_19_55492_section_2"/>
      <w:bookmarkEnd w:id="187"/>
      <w:r>
        <w:rPr>
          <w:rFonts w:hint="eastAsia"/>
          <w:b/>
          <w:bCs/>
          <w:sz w:val="21"/>
          <w:szCs w:val="21"/>
        </w:rPr>
        <w:t>二、侧袋机制实施期间的基金运作安排</w:t>
      </w:r>
    </w:p>
    <w:p>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pPr>
        <w:pStyle w:val="7"/>
        <w:spacing w:before="0" w:beforeAutospacing="0" w:after="0" w:afterAutospacing="0" w:line="360" w:lineRule="auto"/>
        <w:ind w:firstLine="420"/>
        <w:rPr>
          <w:sz w:val="21"/>
          <w:szCs w:val="21"/>
        </w:rPr>
      </w:pPr>
      <w:r>
        <w:rPr>
          <w:rFonts w:hint="eastAsia"/>
          <w:sz w:val="21"/>
          <w:szCs w:val="21"/>
        </w:rPr>
        <w:t xml:space="preserve">1、侧袋账户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侧袋机制实施期间，基金管理人不办理侧袋账户份额的申购、赎回和转换。基金份额持有人申请申购、赎回或转换侧袋账户基金份额的，该申购、赎回或转换申请将被拒绝。   </w:t>
      </w:r>
    </w:p>
    <w:p>
      <w:pPr>
        <w:pStyle w:val="7"/>
        <w:spacing w:before="0" w:beforeAutospacing="0" w:after="0" w:afterAutospacing="0" w:line="360" w:lineRule="auto"/>
        <w:ind w:firstLine="420"/>
        <w:rPr>
          <w:sz w:val="21"/>
          <w:szCs w:val="21"/>
        </w:rPr>
      </w:pPr>
      <w:r>
        <w:rPr>
          <w:rFonts w:hint="eastAsia"/>
          <w:sz w:val="21"/>
          <w:szCs w:val="21"/>
        </w:rPr>
        <w:t xml:space="preserve">2、主袋账户 </w:t>
      </w:r>
    </w:p>
    <w:p>
      <w:pPr>
        <w:pStyle w:val="7"/>
        <w:spacing w:before="0" w:beforeAutospacing="0" w:after="0" w:afterAutospacing="0" w:line="360" w:lineRule="auto"/>
        <w:ind w:firstLine="420"/>
        <w:rPr>
          <w:sz w:val="21"/>
          <w:szCs w:val="21"/>
        </w:rPr>
      </w:pPr>
      <w:r>
        <w:rPr>
          <w:rFonts w:hint="eastAsia"/>
          <w:sz w:val="21"/>
          <w:szCs w:val="21"/>
        </w:rPr>
        <w:t xml:space="preserve">基金管理人将依法保障主袋账户份额持有人享有基金合同约定的赎回权利，并根据主袋账户运作情况合理确定申购事项，具体事项届时将由基金管理人在相关公告中规定。 </w:t>
      </w:r>
    </w:p>
    <w:p>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3、当特定资产占前一估值日基金资产净值50%以上的，经与基金托管人协商确认后，基金管理人应当暂停基金估值，并暂停接受基金申购赎回申请或延缓支付赎回款项。 </w:t>
      </w:r>
    </w:p>
    <w:p>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pPr>
        <w:pStyle w:val="7"/>
        <w:spacing w:before="0" w:beforeAutospacing="0" w:after="0" w:afterAutospacing="0" w:line="360" w:lineRule="auto"/>
        <w:ind w:firstLine="420"/>
        <w:rPr>
          <w:sz w:val="21"/>
          <w:szCs w:val="21"/>
        </w:rPr>
      </w:pPr>
      <w:r>
        <w:rPr>
          <w:rFonts w:hint="eastAsia"/>
          <w:sz w:val="21"/>
          <w:szCs w:val="21"/>
        </w:rPr>
        <w:t xml:space="preserve">（四）基金的估值 </w:t>
      </w:r>
    </w:p>
    <w:p>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pPr>
        <w:pStyle w:val="7"/>
        <w:spacing w:before="0" w:beforeAutospacing="0" w:after="0" w:afterAutospacing="0" w:line="360" w:lineRule="auto"/>
        <w:ind w:firstLine="420"/>
        <w:rPr>
          <w:sz w:val="21"/>
          <w:szCs w:val="21"/>
        </w:rPr>
      </w:pPr>
      <w:r>
        <w:rPr>
          <w:rFonts w:hint="eastAsia"/>
          <w:sz w:val="21"/>
          <w:szCs w:val="21"/>
        </w:rPr>
        <w:t xml:space="preserve">（五）基金的费用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侧袋机制实施期间，侧袋账户资产不收取管理费。因启用侧袋机制产生的咨询、审计费用等由基金管理人承担。 </w:t>
      </w:r>
    </w:p>
    <w:p>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侧袋机制实施期间，在主袋账户份额满足基金合同收益分配条件的情形下，基金管理人可对主袋账户份额进行收益分配。侧袋账户不进行收益分配。 </w:t>
      </w:r>
    </w:p>
    <w:p>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pPr>
        <w:pStyle w:val="7"/>
        <w:spacing w:before="0" w:beforeAutospacing="0" w:after="0" w:afterAutospacing="0" w:line="360" w:lineRule="auto"/>
        <w:ind w:firstLine="420"/>
        <w:rPr>
          <w:sz w:val="21"/>
          <w:szCs w:val="21"/>
        </w:rPr>
      </w:pPr>
      <w:r>
        <w:rPr>
          <w:rFonts w:hint="eastAsia"/>
          <w:sz w:val="21"/>
          <w:szCs w:val="21"/>
        </w:rPr>
        <w:t xml:space="preserve">1、基金净值信息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pPr>
        <w:pStyle w:val="7"/>
        <w:spacing w:before="0" w:beforeAutospacing="0" w:after="0" w:afterAutospacing="0" w:line="360" w:lineRule="auto"/>
        <w:ind w:firstLine="420"/>
        <w:rPr>
          <w:sz w:val="21"/>
          <w:szCs w:val="21"/>
        </w:rPr>
      </w:pPr>
      <w:r>
        <w:rPr>
          <w:rFonts w:hint="eastAsia"/>
          <w:sz w:val="21"/>
          <w:szCs w:val="21"/>
        </w:rPr>
        <w:t xml:space="preserve">2、定期报告 </w:t>
      </w:r>
    </w:p>
    <w:p>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pPr>
        <w:pStyle w:val="7"/>
        <w:spacing w:before="0" w:beforeAutospacing="0" w:after="0" w:afterAutospacing="0" w:line="360" w:lineRule="auto"/>
        <w:ind w:firstLine="420"/>
        <w:rPr>
          <w:sz w:val="21"/>
          <w:szCs w:val="21"/>
        </w:rPr>
      </w:pPr>
      <w:r>
        <w:rPr>
          <w:rFonts w:hint="eastAsia"/>
          <w:sz w:val="21"/>
          <w:szCs w:val="21"/>
        </w:rPr>
        <w:t xml:space="preserve">3、临时报告 </w:t>
      </w:r>
    </w:p>
    <w:p>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pPr>
        <w:pStyle w:val="7"/>
        <w:spacing w:before="0" w:beforeAutospacing="0" w:after="0" w:afterAutospacing="0" w:line="360" w:lineRule="auto"/>
        <w:ind w:firstLine="420"/>
        <w:rPr>
          <w:sz w:val="21"/>
          <w:szCs w:val="21"/>
        </w:rPr>
      </w:pPr>
      <w:r>
        <w:rPr>
          <w:rFonts w:hint="eastAsia"/>
          <w:sz w:val="21"/>
          <w:szCs w:val="21"/>
        </w:rPr>
        <w:t xml:space="preserve">（九）侧袋的审计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基金管理人应当在启用侧袋机制和终止侧袋机制后，及时聘请符合《证券法》规定的会计师事务所进行审计并披露专项审计意见，具体如下：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基金管理人应当在启用侧袋机制时，就特定资产认定的相关事宜取得符合《证券法》规定的会计师事务所的专业意见。 </w:t>
      </w:r>
    </w:p>
    <w:p>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pPr>
        <w:pStyle w:val="7"/>
        <w:spacing w:before="0" w:beforeAutospacing="0" w:after="0" w:afterAutospacing="0" w:line="360" w:lineRule="auto"/>
        <w:ind w:firstLine="420"/>
        <w:rPr>
          <w:sz w:val="21"/>
          <w:szCs w:val="21"/>
        </w:rPr>
      </w:pPr>
      <w:r>
        <w:rPr>
          <w:rFonts w:hint="eastAsia"/>
          <w:sz w:val="21"/>
          <w:szCs w:val="21"/>
        </w:rPr>
        <w:t>当侧袋账户资产全部完成变现后，基金管理人应参照基金清算报告的相关要求，聘请符</w:t>
      </w:r>
      <w:bookmarkStart w:id="188" w:name="chapter_level1_19_55492_section_2_end"/>
      <w:bookmarkEnd w:id="188"/>
      <w:r>
        <w:rPr>
          <w:rFonts w:hint="eastAsia"/>
          <w:sz w:val="21"/>
          <w:szCs w:val="21"/>
        </w:rPr>
        <w:t xml:space="preserve">合《证券法》规定的会计师事务所对侧袋账户进行审计并披露专项审计意见。 </w:t>
      </w:r>
    </w:p>
    <w:p>
      <w:pPr>
        <w:spacing w:line="360" w:lineRule="auto"/>
        <w:rPr>
          <w:rFonts w:ascii="宋体" w:hAnsi="宋体" w:eastAsia="宋体"/>
        </w:rPr>
      </w:pPr>
      <w:bookmarkStart w:id="189" w:name="chapter_level1_19_55492_section_3"/>
      <w:bookmarkEnd w:id="189"/>
      <w:r>
        <w:rPr>
          <w:rFonts w:ascii="宋体" w:hAnsi="宋体" w:eastAsia="宋体"/>
          <w:b/>
          <w:bCs/>
        </w:rPr>
        <w:t>  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改</w:t>
      </w:r>
      <w:bookmarkStart w:id="190" w:name="chapter_level1_19_55492_section_3_end"/>
      <w:bookmarkEnd w:id="190"/>
      <w:r>
        <w:rPr>
          <w:rFonts w:ascii="宋体" w:hAnsi="宋体" w:eastAsia="宋体"/>
          <w:b/>
          <w:bCs/>
        </w:rPr>
        <w:t>或调整，无需召开基金份额持有人大会审议。</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1" w:name="chapter_level1_20_68"/>
      <w:bookmarkStart w:id="192" w:name="_Toc207926668"/>
      <w:r>
        <w:rPr>
          <w:rFonts w:hint="eastAsia" w:ascii="宋体" w:hAnsi="宋体" w:eastAsia="宋体"/>
          <w:sz w:val="30"/>
        </w:rPr>
        <w:t>第十七部分  风险揭示</w:t>
      </w:r>
      <w:bookmarkEnd w:id="191"/>
      <w:bookmarkEnd w:id="192"/>
    </w:p>
    <w:p>
      <w:pPr>
        <w:pStyle w:val="7"/>
        <w:spacing w:before="0" w:beforeAutospacing="0" w:after="0" w:afterAutospacing="0" w:line="360" w:lineRule="auto"/>
        <w:ind w:firstLine="420"/>
        <w:rPr>
          <w:sz w:val="21"/>
          <w:szCs w:val="21"/>
        </w:rPr>
      </w:pPr>
      <w:bookmarkStart w:id="193" w:name="chapter_level1_20_68_section_1"/>
      <w:bookmarkEnd w:id="193"/>
      <w:r>
        <w:rPr>
          <w:rStyle w:val="11"/>
          <w:rFonts w:hint="eastAsia"/>
          <w:sz w:val="21"/>
          <w:szCs w:val="21"/>
        </w:rPr>
        <w:t>一、投资于本基金的主要风险</w:t>
      </w:r>
    </w:p>
    <w:p>
      <w:pPr>
        <w:pStyle w:val="7"/>
        <w:spacing w:before="0" w:beforeAutospacing="0" w:after="0" w:afterAutospacing="0" w:line="360" w:lineRule="auto"/>
        <w:ind w:firstLine="420"/>
        <w:rPr>
          <w:sz w:val="21"/>
          <w:szCs w:val="21"/>
        </w:rPr>
      </w:pPr>
      <w:r>
        <w:rPr>
          <w:rFonts w:hint="eastAsia"/>
          <w:sz w:val="21"/>
          <w:szCs w:val="21"/>
        </w:rPr>
        <w:t xml:space="preserve">1、市场风险 </w:t>
      </w:r>
    </w:p>
    <w:p>
      <w:pPr>
        <w:pStyle w:val="7"/>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pPr>
        <w:pStyle w:val="7"/>
        <w:spacing w:before="0" w:beforeAutospacing="0" w:after="0" w:afterAutospacing="0" w:line="360" w:lineRule="auto"/>
        <w:ind w:firstLine="420"/>
        <w:rPr>
          <w:sz w:val="21"/>
          <w:szCs w:val="21"/>
        </w:rPr>
      </w:pPr>
      <w:r>
        <w:rPr>
          <w:rFonts w:hint="eastAsia"/>
          <w:sz w:val="21"/>
          <w:szCs w:val="21"/>
        </w:rPr>
        <w:t xml:space="preserve">（2）经济周期风险。随经济运行的周期性变化，证券市场的收益水平也呈周期性变化。基金投资于债券，收益水平也会随之变化，从而产生风险。 </w:t>
      </w:r>
    </w:p>
    <w:p>
      <w:pPr>
        <w:pStyle w:val="7"/>
        <w:spacing w:before="0" w:beforeAutospacing="0" w:after="0" w:afterAutospacing="0" w:line="360" w:lineRule="auto"/>
        <w:ind w:firstLine="420"/>
        <w:rPr>
          <w:sz w:val="21"/>
          <w:szCs w:val="21"/>
        </w:rPr>
      </w:pPr>
      <w:r>
        <w:rPr>
          <w:rFonts w:hint="eastAsia"/>
          <w:sz w:val="21"/>
          <w:szCs w:val="21"/>
        </w:rPr>
        <w:t xml:space="preserve">（3）利率风险。利率直接影响着债券的价格和收益率，影响着企业的融资成本和利润。基金投资于债券，其收益水平会受到利率变化的影响。在利率上升时，基金持有的债券价格下降，如基金组合久期较长，则将造成基金资产的损失。 </w:t>
      </w:r>
    </w:p>
    <w:p>
      <w:pPr>
        <w:pStyle w:val="7"/>
        <w:spacing w:before="0" w:beforeAutospacing="0" w:after="0" w:afterAutospacing="0" w:line="360" w:lineRule="auto"/>
        <w:ind w:firstLine="420"/>
        <w:rPr>
          <w:sz w:val="21"/>
          <w:szCs w:val="21"/>
        </w:rPr>
      </w:pPr>
      <w:r>
        <w:rPr>
          <w:rFonts w:hint="eastAsia"/>
          <w:sz w:val="21"/>
          <w:szCs w:val="21"/>
        </w:rPr>
        <w:t xml:space="preserve">（4）购买力风险。基金的利润将主要通过现金形式来分配，而现金可能因为通货膨胀的影响而导致购买力下降，从而使基金的实际收益下降。 </w:t>
      </w:r>
    </w:p>
    <w:p>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 </w:t>
      </w:r>
    </w:p>
    <w:p>
      <w:pPr>
        <w:pStyle w:val="7"/>
        <w:spacing w:before="0" w:beforeAutospacing="0" w:after="0" w:afterAutospacing="0" w:line="360" w:lineRule="auto"/>
        <w:ind w:firstLine="420"/>
        <w:rPr>
          <w:sz w:val="21"/>
          <w:szCs w:val="21"/>
        </w:rPr>
      </w:pPr>
      <w:r>
        <w:rPr>
          <w:rFonts w:hint="eastAsia"/>
          <w:sz w:val="21"/>
          <w:szCs w:val="21"/>
        </w:rPr>
        <w:t xml:space="preserve">（6）信用风险。基金所投资债券的发行人如出现违约、无法支付到期本息，或由于债券发行人信用等级降低导致债券价格下降，将造成基金资产损失。 </w:t>
      </w:r>
    </w:p>
    <w:p>
      <w:pPr>
        <w:pStyle w:val="7"/>
        <w:spacing w:before="0" w:beforeAutospacing="0" w:after="0" w:afterAutospacing="0" w:line="360" w:lineRule="auto"/>
        <w:ind w:firstLine="420"/>
        <w:rPr>
          <w:sz w:val="21"/>
          <w:szCs w:val="21"/>
        </w:rPr>
      </w:pPr>
      <w:r>
        <w:rPr>
          <w:rFonts w:hint="eastAsia"/>
          <w:sz w:val="21"/>
          <w:szCs w:val="21"/>
        </w:rPr>
        <w:t xml:space="preserve">（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 </w:t>
      </w:r>
    </w:p>
    <w:p>
      <w:pPr>
        <w:pStyle w:val="7"/>
        <w:spacing w:before="0" w:beforeAutospacing="0" w:after="0" w:afterAutospacing="0" w:line="360" w:lineRule="auto"/>
        <w:ind w:firstLine="420"/>
        <w:rPr>
          <w:sz w:val="21"/>
          <w:szCs w:val="21"/>
        </w:rPr>
      </w:pPr>
      <w:r>
        <w:rPr>
          <w:rFonts w:hint="eastAsia"/>
          <w:sz w:val="21"/>
          <w:szCs w:val="21"/>
        </w:rPr>
        <w:t xml:space="preserve">2、管理风险 </w:t>
      </w:r>
    </w:p>
    <w:p>
      <w:pPr>
        <w:pStyle w:val="7"/>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基金运作过程中由于基金投资策略、人为因素、管理系统设置不当造成操作失误或基金管理人内部失控而可能产生的损失。管理风险包括： </w:t>
      </w:r>
    </w:p>
    <w:p>
      <w:pPr>
        <w:pStyle w:val="7"/>
        <w:spacing w:before="0" w:beforeAutospacing="0" w:after="0" w:afterAutospacing="0" w:line="360" w:lineRule="auto"/>
        <w:ind w:firstLine="420"/>
        <w:rPr>
          <w:sz w:val="21"/>
          <w:szCs w:val="21"/>
        </w:rPr>
      </w:pPr>
      <w:r>
        <w:rPr>
          <w:rFonts w:hint="eastAsia"/>
          <w:sz w:val="21"/>
          <w:szCs w:val="21"/>
        </w:rPr>
        <w:t xml:space="preserve">（1）决策风险：指基金投资的投资策略制定、投资决策执行和投资绩效监督检查过程中，由于决策失误而给基金资产造成的可能的损失； </w:t>
      </w:r>
    </w:p>
    <w:p>
      <w:pPr>
        <w:pStyle w:val="7"/>
        <w:spacing w:before="0" w:beforeAutospacing="0" w:after="0" w:afterAutospacing="0" w:line="360" w:lineRule="auto"/>
        <w:ind w:firstLine="420"/>
        <w:rPr>
          <w:sz w:val="21"/>
          <w:szCs w:val="21"/>
        </w:rPr>
      </w:pPr>
      <w:r>
        <w:rPr>
          <w:rFonts w:hint="eastAsia"/>
          <w:sz w:val="21"/>
          <w:szCs w:val="21"/>
        </w:rPr>
        <w:t xml:space="preserve">（2）操作风险：指基金投资决策执行中，由于投资指令不明晰、交易操作失误等人为因素而可能导致的损失； </w:t>
      </w:r>
    </w:p>
    <w:p>
      <w:pPr>
        <w:pStyle w:val="7"/>
        <w:spacing w:before="0" w:beforeAutospacing="0" w:after="0" w:afterAutospacing="0" w:line="360" w:lineRule="auto"/>
        <w:ind w:firstLine="420"/>
        <w:rPr>
          <w:sz w:val="21"/>
          <w:szCs w:val="21"/>
        </w:rPr>
      </w:pPr>
      <w:r>
        <w:rPr>
          <w:rFonts w:hint="eastAsia"/>
          <w:sz w:val="21"/>
          <w:szCs w:val="21"/>
        </w:rPr>
        <w:t xml:space="preserve">（3）技术风险：指基金管理人管理信息系统设置不当等因素而可能造成的损失。 </w:t>
      </w:r>
    </w:p>
    <w:p>
      <w:pPr>
        <w:pStyle w:val="7"/>
        <w:spacing w:before="0" w:beforeAutospacing="0" w:after="0" w:afterAutospacing="0" w:line="360" w:lineRule="auto"/>
        <w:ind w:firstLine="420"/>
        <w:rPr>
          <w:sz w:val="21"/>
          <w:szCs w:val="21"/>
        </w:rPr>
      </w:pPr>
      <w:r>
        <w:rPr>
          <w:rFonts w:hint="eastAsia"/>
          <w:sz w:val="21"/>
          <w:szCs w:val="21"/>
        </w:rPr>
        <w:t xml:space="preserve">3、流动性风险 </w:t>
      </w:r>
    </w:p>
    <w:p>
      <w:pPr>
        <w:pStyle w:val="7"/>
        <w:spacing w:before="0" w:beforeAutospacing="0" w:after="0" w:afterAutospacing="0" w:line="360" w:lineRule="auto"/>
        <w:ind w:firstLine="420"/>
        <w:rPr>
          <w:sz w:val="21"/>
          <w:szCs w:val="21"/>
        </w:rPr>
      </w:pPr>
      <w:r>
        <w:rPr>
          <w:rFonts w:hint="eastAsia"/>
          <w:sz w:val="21"/>
          <w:szCs w:val="21"/>
        </w:rPr>
        <w:t xml:space="preserve">在开放式基金交易过程中，可能会发生巨额赎回的情形。巨额赎回可能会产生基金仓位调整的困难，导致流动性风险，甚至影响基金份额净值。 </w:t>
      </w:r>
    </w:p>
    <w:p>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债券和货币市场工具等），同时本基金基于分散投资的原则在行业和个券方面未有高集中度的特征，综合评估在正常市场环境下本基金的流动性风险适中。 </w:t>
      </w:r>
    </w:p>
    <w:p>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延期支付赎回款项或者部分延期赎回。同时，如本基金单个基金份额持有人在单个开放日申请赎回基金份额超过基金总份额一定比例以上的，基金管理人有权对其采取延期办理赎回申请的措施。 </w:t>
      </w:r>
    </w:p>
    <w:p>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各类基金份额净值，并不得办理申购、赎回和转换。因特定资产的变现时间具有不确定性，最终变现价格也具有不确定性并且有可能大幅低于启用侧袋机制时的特定资产的估值，基金份额持有人可能因此面临损失。  </w:t>
      </w:r>
    </w:p>
    <w:p>
      <w:pPr>
        <w:pStyle w:val="7"/>
        <w:spacing w:before="0" w:beforeAutospacing="0" w:after="0" w:afterAutospacing="0" w:line="360" w:lineRule="auto"/>
        <w:ind w:firstLine="420"/>
        <w:rPr>
          <w:sz w:val="21"/>
          <w:szCs w:val="21"/>
        </w:rPr>
      </w:pPr>
      <w:r>
        <w:rPr>
          <w:rFonts w:hint="eastAsia"/>
          <w:sz w:val="21"/>
          <w:szCs w:val="21"/>
        </w:rPr>
        <w:t xml:space="preserve">4、合规性风险 </w:t>
      </w:r>
    </w:p>
    <w:p>
      <w:pPr>
        <w:pStyle w:val="7"/>
        <w:spacing w:before="0" w:beforeAutospacing="0" w:after="0" w:afterAutospacing="0" w:line="360" w:lineRule="auto"/>
        <w:ind w:firstLine="420"/>
        <w:rPr>
          <w:sz w:val="21"/>
          <w:szCs w:val="21"/>
        </w:rPr>
      </w:pPr>
      <w:r>
        <w:rPr>
          <w:rFonts w:hint="eastAsia"/>
          <w:sz w:val="21"/>
          <w:szCs w:val="21"/>
        </w:rPr>
        <w:t xml:space="preserve">指基金管理或运作过程中，违反国家法律、法规的规定，或者基金投资违反法规及基金合同有关规定的风险。 </w:t>
      </w:r>
    </w:p>
    <w:p>
      <w:pPr>
        <w:pStyle w:val="7"/>
        <w:spacing w:before="0" w:beforeAutospacing="0" w:after="0" w:afterAutospacing="0" w:line="360" w:lineRule="auto"/>
        <w:ind w:firstLine="420"/>
        <w:rPr>
          <w:sz w:val="21"/>
          <w:szCs w:val="21"/>
        </w:rPr>
      </w:pPr>
      <w:r>
        <w:rPr>
          <w:rFonts w:hint="eastAsia"/>
          <w:sz w:val="21"/>
          <w:szCs w:val="21"/>
        </w:rPr>
        <w:t xml:space="preserve">5、本基金特有风险 </w:t>
      </w:r>
    </w:p>
    <w:p>
      <w:pPr>
        <w:pStyle w:val="7"/>
        <w:spacing w:before="0" w:beforeAutospacing="0" w:after="0" w:afterAutospacing="0" w:line="360" w:lineRule="auto"/>
        <w:ind w:firstLine="420"/>
        <w:rPr>
          <w:sz w:val="21"/>
          <w:szCs w:val="21"/>
        </w:rPr>
      </w:pPr>
      <w:r>
        <w:rPr>
          <w:rFonts w:hint="eastAsia"/>
          <w:sz w:val="21"/>
          <w:szCs w:val="21"/>
        </w:rPr>
        <w:t xml:space="preserve">（1）根据本基金投资范围的规定，本基金主要投资于各类固定收益证券，无法完全规避发债主体特别是短期融资券、中期票据、公司债、企业债的发债主体的信用质量变化造成的信用风险；另外，如果持有的信用债出现信用违约风险，将给基金净值带来较大的负面影响和波动。 </w:t>
      </w:r>
    </w:p>
    <w:p>
      <w:pPr>
        <w:pStyle w:val="7"/>
        <w:spacing w:before="0" w:beforeAutospacing="0" w:after="0" w:afterAutospacing="0" w:line="360" w:lineRule="auto"/>
        <w:ind w:firstLine="420"/>
        <w:rPr>
          <w:sz w:val="21"/>
          <w:szCs w:val="21"/>
        </w:rPr>
      </w:pPr>
      <w:r>
        <w:rPr>
          <w:rFonts w:hint="eastAsia"/>
          <w:sz w:val="21"/>
          <w:szCs w:val="21"/>
        </w:rPr>
        <w:t xml:space="preserve">（2）本基金的封闭期为自《基金合同》生效之日起（包括《基金合同》生效之日）或自每一开放期结束之日次日起（包括该日）6个月的期间。在本基金的封闭运作期间，基金份额持有人不能赎回基金份额，因此，若基金份额持有人错过某一开放期而未能赎回，其份额将转入下一封闭期，至下一开放期方可赎回。 </w:t>
      </w:r>
    </w:p>
    <w:p>
      <w:pPr>
        <w:pStyle w:val="7"/>
        <w:spacing w:before="0" w:beforeAutospacing="0" w:after="0" w:afterAutospacing="0" w:line="360" w:lineRule="auto"/>
        <w:ind w:firstLine="420"/>
        <w:rPr>
          <w:sz w:val="21"/>
          <w:szCs w:val="21"/>
        </w:rPr>
      </w:pPr>
      <w:r>
        <w:rPr>
          <w:rFonts w:hint="eastAsia"/>
          <w:sz w:val="21"/>
          <w:szCs w:val="21"/>
        </w:rPr>
        <w:t xml:space="preserve">（3）本基金开放期内单个开放日出现巨额赎回的，基金管理人对符合法律法规及《基金合同》约定的赎回申请应于当日全部予以办理和确认或延期办理。基金经理会对可能出现的巨额赎回情况进行充分准备并做好流动性管理，但当基金在单个开放日出现巨额赎回被全部确认时，申请赎回的基金份额持有人仍有可能存在延缓支付赎回款项的风险，未赎回的基金份额持有人仍有可能承担短期内变现而带来的冲击成本对基金净资产产生的负面影响。如本基金单个基金份额持有人在单个开放日申请赎回基金份额超过基金总份额一定比例以上的，基金管理人有权对其采取延期办理赎回申请的措施，基金份额持有人的赎回申请当日可能不被受理。 </w:t>
      </w:r>
    </w:p>
    <w:p>
      <w:pPr>
        <w:pStyle w:val="7"/>
        <w:spacing w:before="0" w:beforeAutospacing="0" w:after="0" w:afterAutospacing="0" w:line="360" w:lineRule="auto"/>
        <w:ind w:firstLine="420"/>
        <w:rPr>
          <w:sz w:val="21"/>
          <w:szCs w:val="21"/>
        </w:rPr>
      </w:pPr>
      <w:r>
        <w:rPr>
          <w:rFonts w:hint="eastAsia"/>
          <w:sz w:val="21"/>
          <w:szCs w:val="21"/>
        </w:rPr>
        <w:t xml:space="preserve">（4）在每个开放期结束日次日，如出现《基金合同》第五部分第三条约定的资产规模过小、基金份额持有人人数较少等情形的，《基金合同》将终止。 </w:t>
      </w:r>
    </w:p>
    <w:p>
      <w:pPr>
        <w:pStyle w:val="7"/>
        <w:spacing w:before="0" w:beforeAutospacing="0" w:after="0" w:afterAutospacing="0" w:line="360" w:lineRule="auto"/>
        <w:ind w:firstLine="420"/>
        <w:rPr>
          <w:sz w:val="21"/>
          <w:szCs w:val="21"/>
        </w:rPr>
      </w:pPr>
      <w:r>
        <w:rPr>
          <w:rFonts w:hint="eastAsia"/>
          <w:sz w:val="21"/>
          <w:szCs w:val="21"/>
        </w:rPr>
        <w:t xml:space="preserve">（5）本基金投资于国债期货，国债期货市场的风险类型较为复杂，涉及面广，主要包括：利率波动原因造成的市场价格风险、宏观因素和政策因素变化而引起的系统风险、市场和资金流动性原因引起的流动性风险、交易制度不完善而引发的制度性风险等。 </w:t>
      </w:r>
    </w:p>
    <w:p>
      <w:pPr>
        <w:pStyle w:val="7"/>
        <w:spacing w:before="0" w:beforeAutospacing="0" w:after="0" w:afterAutospacing="0" w:line="360" w:lineRule="auto"/>
        <w:ind w:firstLine="420"/>
        <w:rPr>
          <w:sz w:val="21"/>
          <w:szCs w:val="21"/>
        </w:rPr>
      </w:pPr>
      <w:r>
        <w:rPr>
          <w:rFonts w:hint="eastAsia"/>
          <w:sz w:val="21"/>
          <w:szCs w:val="21"/>
        </w:rPr>
        <w:t xml:space="preserve">6、其他风险 </w:t>
      </w:r>
    </w:p>
    <w:p>
      <w:pPr>
        <w:pStyle w:val="7"/>
        <w:spacing w:before="0" w:beforeAutospacing="0" w:after="0" w:afterAutospacing="0" w:line="360" w:lineRule="auto"/>
        <w:ind w:firstLine="420"/>
        <w:rPr>
          <w:sz w:val="21"/>
          <w:szCs w:val="21"/>
        </w:rPr>
      </w:pPr>
      <w:r>
        <w:rPr>
          <w:rFonts w:hint="eastAsia"/>
          <w:sz w:val="21"/>
          <w:szCs w:val="21"/>
        </w:rPr>
        <w:t xml:space="preserve">（1）随着符合本基金投资理念的新投资工具的出现和发展，如果投资于这些工具，基金可能会面临一些特殊的风险； </w:t>
      </w:r>
    </w:p>
    <w:p>
      <w:pPr>
        <w:pStyle w:val="7"/>
        <w:spacing w:before="0" w:beforeAutospacing="0" w:after="0" w:afterAutospacing="0" w:line="360" w:lineRule="auto"/>
        <w:ind w:firstLine="420"/>
        <w:rPr>
          <w:sz w:val="21"/>
          <w:szCs w:val="21"/>
        </w:rPr>
      </w:pPr>
      <w:r>
        <w:rPr>
          <w:rFonts w:hint="eastAsia"/>
          <w:sz w:val="21"/>
          <w:szCs w:val="21"/>
        </w:rPr>
        <w:t xml:space="preserve">（2）因技术因素而产生的风险，如计算机系统不可靠产生的风险； </w:t>
      </w:r>
    </w:p>
    <w:p>
      <w:pPr>
        <w:pStyle w:val="7"/>
        <w:spacing w:before="0" w:beforeAutospacing="0" w:after="0" w:afterAutospacing="0" w:line="360" w:lineRule="auto"/>
        <w:ind w:firstLine="420"/>
        <w:rPr>
          <w:sz w:val="21"/>
          <w:szCs w:val="21"/>
        </w:rPr>
      </w:pPr>
      <w:r>
        <w:rPr>
          <w:rFonts w:hint="eastAsia"/>
          <w:sz w:val="21"/>
          <w:szCs w:val="21"/>
        </w:rPr>
        <w:t xml:space="preserve">（3）因基金业务快速发展而在制度建设、人员配备、内控制度建立等方面不完善而产生的风险； </w:t>
      </w:r>
    </w:p>
    <w:p>
      <w:pPr>
        <w:pStyle w:val="7"/>
        <w:spacing w:before="0" w:beforeAutospacing="0" w:after="0" w:afterAutospacing="0" w:line="360" w:lineRule="auto"/>
        <w:ind w:firstLine="420"/>
        <w:rPr>
          <w:sz w:val="21"/>
          <w:szCs w:val="21"/>
        </w:rPr>
      </w:pPr>
      <w:r>
        <w:rPr>
          <w:rFonts w:hint="eastAsia"/>
          <w:sz w:val="21"/>
          <w:szCs w:val="21"/>
        </w:rPr>
        <w:t xml:space="preserve">（4）因人为因素而产生的风险、如内幕交易、欺诈行为等产生的风险； </w:t>
      </w:r>
    </w:p>
    <w:p>
      <w:pPr>
        <w:pStyle w:val="7"/>
        <w:spacing w:before="0" w:beforeAutospacing="0" w:after="0" w:afterAutospacing="0" w:line="360" w:lineRule="auto"/>
        <w:ind w:firstLine="420"/>
        <w:rPr>
          <w:sz w:val="21"/>
          <w:szCs w:val="21"/>
        </w:rPr>
      </w:pPr>
      <w:r>
        <w:rPr>
          <w:rFonts w:hint="eastAsia"/>
          <w:sz w:val="21"/>
          <w:szCs w:val="21"/>
        </w:rPr>
        <w:t xml:space="preserve">（5）对主要业务人员如基金经理的依赖而可能产生的风险； </w:t>
      </w:r>
    </w:p>
    <w:p>
      <w:pPr>
        <w:pStyle w:val="7"/>
        <w:spacing w:before="0" w:beforeAutospacing="0" w:after="0" w:afterAutospacing="0" w:line="360" w:lineRule="auto"/>
        <w:ind w:firstLine="420"/>
        <w:rPr>
          <w:sz w:val="21"/>
          <w:szCs w:val="21"/>
        </w:rPr>
      </w:pPr>
      <w:r>
        <w:rPr>
          <w:rFonts w:hint="eastAsia"/>
          <w:sz w:val="21"/>
          <w:szCs w:val="21"/>
        </w:rPr>
        <w:t xml:space="preserve">（6）战争、自然灾害等不可抗力可能导致基金资产的损失，影响基金收益水平，从而带来风险； </w:t>
      </w:r>
    </w:p>
    <w:p>
      <w:pPr>
        <w:pStyle w:val="7"/>
        <w:spacing w:before="0" w:beforeAutospacing="0" w:after="0" w:afterAutospacing="0" w:line="360" w:lineRule="auto"/>
        <w:ind w:firstLine="420"/>
        <w:rPr>
          <w:sz w:val="21"/>
          <w:szCs w:val="21"/>
        </w:rPr>
      </w:pPr>
      <w:r>
        <w:rPr>
          <w:rFonts w:hint="eastAsia"/>
          <w:sz w:val="21"/>
          <w:szCs w:val="21"/>
        </w:rPr>
        <w:t xml:space="preserve">（7）其他意外导致的风险。 </w:t>
      </w:r>
    </w:p>
    <w:p>
      <w:pPr>
        <w:pStyle w:val="7"/>
        <w:spacing w:before="0" w:beforeAutospacing="0" w:after="0" w:afterAutospacing="0" w:line="360" w:lineRule="auto"/>
        <w:ind w:firstLine="420"/>
        <w:rPr>
          <w:sz w:val="21"/>
          <w:szCs w:val="21"/>
        </w:rPr>
      </w:pPr>
      <w:r>
        <w:rPr>
          <w:rStyle w:val="11"/>
          <w:rFonts w:hint="eastAsia"/>
          <w:sz w:val="21"/>
          <w:szCs w:val="21"/>
        </w:rPr>
        <w:t>二、声明</w:t>
      </w:r>
    </w:p>
    <w:p>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w:t>
      </w:r>
      <w:bookmarkStart w:id="194" w:name="field_0_trustorgfullname_2"/>
      <w:r>
        <w:rPr>
          <w:rFonts w:hint="eastAsia"/>
          <w:sz w:val="21"/>
          <w:szCs w:val="21"/>
        </w:rPr>
        <w:t>中国光大银行股份有限公司</w:t>
      </w:r>
      <w:bookmarkEnd w:id="194"/>
      <w:r>
        <w:rPr>
          <w:rFonts w:hint="eastAsia"/>
          <w:sz w:val="21"/>
          <w:szCs w:val="21"/>
        </w:rPr>
        <w:t>等基金销售机构代理销售，基金管理人与基金代销机构都不能保证其</w:t>
      </w:r>
      <w:bookmarkStart w:id="195" w:name="chapter_level1_20_68_section_1_end"/>
      <w:bookmarkEnd w:id="195"/>
      <w:r>
        <w:rPr>
          <w:rFonts w:hint="eastAsia"/>
          <w:sz w:val="21"/>
          <w:szCs w:val="21"/>
        </w:rPr>
        <w:t xml:space="preserve">收益或本金安全。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196" w:name="chapter_level1_21_69"/>
      <w:bookmarkStart w:id="197" w:name="_Toc207926669"/>
      <w:r>
        <w:rPr>
          <w:rFonts w:hint="eastAsia" w:ascii="宋体" w:hAnsi="宋体" w:eastAsia="宋体"/>
          <w:sz w:val="30"/>
        </w:rPr>
        <w:t>第十八部分  基金合同的变更、终止与基金财产的清算</w:t>
      </w:r>
      <w:bookmarkEnd w:id="196"/>
      <w:bookmarkEnd w:id="197"/>
    </w:p>
    <w:p>
      <w:pPr>
        <w:pStyle w:val="7"/>
        <w:spacing w:before="0" w:beforeAutospacing="0" w:after="0" w:afterAutospacing="0" w:line="360" w:lineRule="auto"/>
        <w:ind w:firstLine="420"/>
        <w:rPr>
          <w:sz w:val="21"/>
          <w:szCs w:val="21"/>
        </w:rPr>
      </w:pPr>
      <w:bookmarkStart w:id="198" w:name="chapter_level1_21_69_section_1"/>
      <w:bookmarkEnd w:id="198"/>
      <w:r>
        <w:rPr>
          <w:rStyle w:val="11"/>
          <w:rFonts w:hint="eastAsia"/>
          <w:sz w:val="21"/>
          <w:szCs w:val="21"/>
        </w:rPr>
        <w:t>一、基金合同的变更</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2、关于《基金合同》变更的基金份额持有人大会决议自生效后方可执行，自决议生效后按规定在指定媒介公告。</w:t>
      </w:r>
    </w:p>
    <w:p>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Style w:val="11"/>
          <w:rFonts w:hint="eastAsia"/>
          <w:sz w:val="21"/>
          <w:szCs w:val="21"/>
        </w:rPr>
        <w:t>三、基金财产的清算</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pPr>
        <w:pStyle w:val="7"/>
        <w:spacing w:before="0" w:beforeAutospacing="0" w:after="0" w:afterAutospacing="0" w:line="360" w:lineRule="auto"/>
        <w:ind w:firstLine="420"/>
        <w:rPr>
          <w:sz w:val="21"/>
          <w:szCs w:val="21"/>
        </w:rPr>
      </w:pPr>
      <w:bookmarkStart w:id="199" w:name="chapter_level1_21_69_section_1_end"/>
      <w:bookmarkEnd w:id="199"/>
      <w:r>
        <w:rPr>
          <w:rFonts w:hint="eastAsia"/>
          <w:sz w:val="21"/>
          <w:szCs w:val="21"/>
        </w:rPr>
        <w:t xml:space="preserve">基金财产清算账册及有关文件由基金托管人保存15年以上。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0" w:name="_Toc207926670"/>
      <w:bookmarkStart w:id="201" w:name="chapter_level1_22_71"/>
      <w:r>
        <w:rPr>
          <w:rFonts w:hint="eastAsia" w:ascii="宋体" w:hAnsi="宋体" w:eastAsia="宋体"/>
          <w:sz w:val="30"/>
        </w:rPr>
        <w:t>第十九部分  基金合同的内容摘要</w:t>
      </w:r>
      <w:bookmarkEnd w:id="200"/>
      <w:bookmarkEnd w:id="201"/>
    </w:p>
    <w:p>
      <w:pPr>
        <w:pStyle w:val="7"/>
        <w:spacing w:before="0" w:beforeAutospacing="0" w:after="0" w:afterAutospacing="0" w:line="360" w:lineRule="auto"/>
        <w:ind w:firstLine="420"/>
        <w:rPr>
          <w:sz w:val="21"/>
          <w:szCs w:val="21"/>
        </w:rPr>
      </w:pPr>
      <w:bookmarkStart w:id="202" w:name="chapter_level1_22_71_section_1"/>
      <w:bookmarkEnd w:id="202"/>
      <w:r>
        <w:rPr>
          <w:rStyle w:val="11"/>
          <w:rFonts w:hint="eastAsia"/>
          <w:sz w:val="21"/>
          <w:szCs w:val="21"/>
        </w:rPr>
        <w:t>一、基金份额持有人、基金管理人和基金托管人的权利、义务</w:t>
      </w:r>
    </w:p>
    <w:p>
      <w:pPr>
        <w:pStyle w:val="7"/>
        <w:spacing w:before="0" w:beforeAutospacing="0" w:after="0" w:afterAutospacing="0" w:line="360" w:lineRule="auto"/>
        <w:ind w:firstLine="420"/>
        <w:rPr>
          <w:sz w:val="21"/>
          <w:szCs w:val="21"/>
        </w:rPr>
      </w:pPr>
      <w:r>
        <w:rPr>
          <w:rFonts w:hint="eastAsia"/>
          <w:sz w:val="21"/>
          <w:szCs w:val="21"/>
        </w:rPr>
        <w:t xml:space="preserve">（一）基金份额持有人的权利、义务   </w:t>
      </w:r>
    </w:p>
    <w:p>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pPr>
        <w:pStyle w:val="7"/>
        <w:spacing w:before="0" w:beforeAutospacing="0" w:after="0" w:afterAutospacing="0" w:line="360" w:lineRule="auto"/>
        <w:ind w:firstLine="420"/>
        <w:rPr>
          <w:sz w:val="21"/>
          <w:szCs w:val="21"/>
        </w:rPr>
      </w:pPr>
      <w:r>
        <w:rPr>
          <w:rFonts w:hint="eastAsia"/>
          <w:sz w:val="21"/>
          <w:szCs w:val="21"/>
        </w:rPr>
        <w:t xml:space="preserve">（3）在开放期内依法申请赎回其持有的基金份额；   </w:t>
      </w:r>
    </w:p>
    <w:p>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pPr>
        <w:pStyle w:val="7"/>
        <w:spacing w:before="0" w:beforeAutospacing="0" w:after="0" w:afterAutospacing="0" w:line="360" w:lineRule="auto"/>
        <w:ind w:firstLine="420"/>
        <w:rPr>
          <w:sz w:val="21"/>
          <w:szCs w:val="21"/>
        </w:rPr>
      </w:pPr>
      <w:r>
        <w:rPr>
          <w:rFonts w:hint="eastAsia"/>
          <w:sz w:val="21"/>
          <w:szCs w:val="21"/>
        </w:rPr>
        <w:t xml:space="preserve">（4）缴纳基金认购、申购款项及法律法规和《基金合同》所规定的费用；   </w:t>
      </w:r>
    </w:p>
    <w:p>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 基金管理人的权利与义务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   </w:t>
      </w:r>
    </w:p>
    <w:p>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pPr>
        <w:pStyle w:val="7"/>
        <w:spacing w:before="0" w:beforeAutospacing="0" w:after="0" w:afterAutospacing="0" w:line="360" w:lineRule="auto"/>
        <w:ind w:firstLine="420"/>
        <w:rPr>
          <w:sz w:val="21"/>
          <w:szCs w:val="21"/>
        </w:rPr>
      </w:pPr>
      <w:r>
        <w:rPr>
          <w:rFonts w:hint="eastAsia"/>
          <w:sz w:val="21"/>
          <w:szCs w:val="21"/>
        </w:rPr>
        <w:t xml:space="preserve">（4）销售基金份额；   </w:t>
      </w:r>
    </w:p>
    <w:p>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（11）在《基金合同》约定的范围内，拒绝或暂停受理申购与赎回申请；   </w:t>
      </w:r>
    </w:p>
    <w:p>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（12）依照法律法规为基金的利益行使因基金财产投资于证券所产生的权利；   </w:t>
      </w:r>
    </w:p>
    <w:p>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（13）在法律法规允许的前提下，为基金的利益依法为基金进行融资、融券；   </w:t>
      </w:r>
    </w:p>
    <w:p>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（15）选择、更换律师事务所、会计师事务所、证券经纪商或其他为基金提供服务的外部机构；      </w:t>
      </w:r>
    </w:p>
    <w:p>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（16）在符合有关法律、法规的前提下，制订和调整有关基金认购、申购、赎回、转换和非交易过户等业务规则；   </w:t>
      </w:r>
    </w:p>
    <w:p>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（6）按规定开设基金财产的资金账户和证券账户等投资所需账户，按照《基金合同》的约定，根据基金管理人的投资指令，及时办理清算、交割事宜；   </w:t>
      </w:r>
    </w:p>
    <w:p>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（8）复核、审查基金管理人计算的基金资产净值、各类基金份额净值、基金份额申购、赎回价格；   </w:t>
      </w:r>
    </w:p>
    <w:p>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（11）保存基金托管业务活动的记录、账册、报表和其他相关资料15年以上；   </w:t>
      </w:r>
    </w:p>
    <w:p>
      <w:pPr>
        <w:pStyle w:val="7"/>
        <w:spacing w:before="0" w:beforeAutospacing="0" w:after="0" w:afterAutospacing="0" w:line="360" w:lineRule="auto"/>
        <w:ind w:firstLine="420"/>
        <w:rPr>
          <w:sz w:val="21"/>
          <w:szCs w:val="21"/>
        </w:rPr>
      </w:pPr>
      <w:r>
        <w:rPr>
          <w:rFonts w:hint="eastAsia"/>
          <w:sz w:val="21"/>
          <w:szCs w:val="21"/>
        </w:rPr>
        <w:t xml:space="preserve">（12）建立并保存基金份额持有人名册；   </w:t>
      </w:r>
    </w:p>
    <w:p>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pPr>
        <w:pStyle w:val="7"/>
        <w:spacing w:before="0" w:beforeAutospacing="0" w:after="0" w:afterAutospacing="0" w:line="360" w:lineRule="auto"/>
        <w:ind w:firstLine="420"/>
        <w:rPr>
          <w:sz w:val="21"/>
          <w:szCs w:val="21"/>
        </w:rPr>
      </w:pPr>
      <w:r>
        <w:rPr>
          <w:rFonts w:hint="eastAsia"/>
          <w:sz w:val="21"/>
          <w:szCs w:val="21"/>
        </w:rPr>
        <w:t xml:space="preserve">（20）执行生效的基金份额持有人大会的决议；   </w:t>
      </w:r>
    </w:p>
    <w:p>
      <w:pPr>
        <w:pStyle w:val="7"/>
        <w:spacing w:before="0" w:beforeAutospacing="0" w:after="0" w:afterAutospacing="0" w:line="360" w:lineRule="auto"/>
        <w:ind w:firstLine="420"/>
        <w:rPr>
          <w:sz w:val="21"/>
          <w:szCs w:val="21"/>
        </w:rPr>
      </w:pPr>
      <w:r>
        <w:rPr>
          <w:rFonts w:hint="eastAsia"/>
          <w:sz w:val="21"/>
          <w:szCs w:val="21"/>
        </w:rPr>
        <w:t xml:space="preserve">（21）法律法规及中国证监会规定的和《基金合同》约定的其他义务。   </w:t>
      </w:r>
    </w:p>
    <w:p>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     </w:t>
      </w:r>
    </w:p>
    <w:p>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除法律法规另有规定或本基金合同另有约定外，本基金份额持有人大会不设日常机构。     </w:t>
      </w:r>
    </w:p>
    <w:p>
      <w:pPr>
        <w:pStyle w:val="7"/>
        <w:spacing w:before="0" w:beforeAutospacing="0" w:after="0" w:afterAutospacing="0" w:line="360" w:lineRule="auto"/>
        <w:ind w:firstLine="420"/>
        <w:rPr>
          <w:sz w:val="21"/>
          <w:szCs w:val="21"/>
        </w:rPr>
      </w:pPr>
      <w:r>
        <w:rPr>
          <w:rFonts w:hint="eastAsia"/>
          <w:sz w:val="21"/>
          <w:szCs w:val="21"/>
        </w:rPr>
        <w:t xml:space="preserve">（一）召开事由     </w:t>
      </w:r>
    </w:p>
    <w:p>
      <w:pPr>
        <w:pStyle w:val="7"/>
        <w:spacing w:before="0" w:beforeAutospacing="0" w:after="0" w:afterAutospacing="0" w:line="360" w:lineRule="auto"/>
        <w:ind w:firstLine="420"/>
        <w:rPr>
          <w:sz w:val="21"/>
          <w:szCs w:val="21"/>
        </w:rPr>
      </w:pPr>
      <w:r>
        <w:rPr>
          <w:rFonts w:hint="eastAsia"/>
          <w:sz w:val="21"/>
          <w:szCs w:val="21"/>
        </w:rPr>
        <w:t xml:space="preserve">1、当出现或需要决定下列事由之一的，应当召开基金份额持有人大会：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（1）终止《基金合同》，基金合同另有约定的除外；     </w:t>
      </w:r>
    </w:p>
    <w:p>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pPr>
        <w:pStyle w:val="7"/>
        <w:spacing w:before="0" w:beforeAutospacing="0" w:after="0" w:afterAutospacing="0" w:line="360" w:lineRule="auto"/>
        <w:ind w:firstLine="420"/>
        <w:rPr>
          <w:sz w:val="21"/>
          <w:szCs w:val="21"/>
        </w:rPr>
      </w:pPr>
      <w:r>
        <w:rPr>
          <w:rFonts w:hint="eastAsia"/>
          <w:sz w:val="21"/>
          <w:szCs w:val="21"/>
        </w:rPr>
        <w:t xml:space="preserve">（5）提高基金管理人、基金托管人的报酬标准或调高销售服务费率，法律法规要求提高该等报酬标准或调高销售服务费率的除外；     </w:t>
      </w:r>
    </w:p>
    <w:p>
      <w:pPr>
        <w:pStyle w:val="7"/>
        <w:spacing w:before="0" w:beforeAutospacing="0" w:after="0" w:afterAutospacing="0" w:line="360" w:lineRule="auto"/>
        <w:ind w:firstLine="420"/>
        <w:rPr>
          <w:sz w:val="21"/>
          <w:szCs w:val="21"/>
        </w:rPr>
      </w:pPr>
      <w:r>
        <w:rPr>
          <w:rFonts w:hint="eastAsia"/>
          <w:sz w:val="21"/>
          <w:szCs w:val="21"/>
        </w:rPr>
        <w:t xml:space="preserve">（6）变更基金类别；     </w:t>
      </w:r>
    </w:p>
    <w:p>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pPr>
        <w:pStyle w:val="7"/>
        <w:spacing w:before="0" w:beforeAutospacing="0" w:after="0" w:afterAutospacing="0" w:line="360" w:lineRule="auto"/>
        <w:ind w:firstLine="420"/>
        <w:rPr>
          <w:sz w:val="21"/>
          <w:szCs w:val="21"/>
        </w:rPr>
      </w:pPr>
      <w:r>
        <w:rPr>
          <w:rFonts w:hint="eastAsia"/>
          <w:sz w:val="21"/>
          <w:szCs w:val="21"/>
        </w:rPr>
        <w:t xml:space="preserve">2、以下情况可由基金管理人和基金托管人协商后修改，不需召开基金份额持有人大会：   </w:t>
      </w:r>
    </w:p>
    <w:p>
      <w:pPr>
        <w:pStyle w:val="7"/>
        <w:spacing w:before="0" w:beforeAutospacing="0" w:after="0" w:afterAutospacing="0" w:line="360" w:lineRule="auto"/>
        <w:ind w:firstLine="420"/>
        <w:rPr>
          <w:sz w:val="21"/>
          <w:szCs w:val="21"/>
        </w:rPr>
      </w:pPr>
      <w:r>
        <w:rPr>
          <w:rFonts w:hint="eastAsia"/>
          <w:sz w:val="21"/>
          <w:szCs w:val="21"/>
        </w:rPr>
        <w:t xml:space="preserve">（1）调低基金管理费、基金托管费和其他应由基金承担的费用；     </w:t>
      </w:r>
    </w:p>
    <w:p>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pPr>
        <w:pStyle w:val="7"/>
        <w:spacing w:before="0" w:beforeAutospacing="0" w:after="0" w:afterAutospacing="0" w:line="360" w:lineRule="auto"/>
        <w:ind w:firstLine="420"/>
        <w:rPr>
          <w:sz w:val="21"/>
          <w:szCs w:val="21"/>
        </w:rPr>
      </w:pPr>
      <w:r>
        <w:rPr>
          <w:rFonts w:hint="eastAsia"/>
          <w:sz w:val="21"/>
          <w:szCs w:val="21"/>
        </w:rPr>
        <w:t xml:space="preserve">（3）在法律法规和《基金合同》规定的范围内且对基金份额持有人利益无实质性不利影响的前提下调整本基金的申购费率、调低赎回费率、调低销售服务费率或变更收费方式；     </w:t>
      </w:r>
    </w:p>
    <w:p>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pPr>
        <w:pStyle w:val="7"/>
        <w:spacing w:before="0" w:beforeAutospacing="0" w:after="0" w:afterAutospacing="0" w:line="360" w:lineRule="auto"/>
        <w:ind w:firstLine="420"/>
        <w:rPr>
          <w:sz w:val="21"/>
          <w:szCs w:val="21"/>
        </w:rPr>
      </w:pPr>
      <w:r>
        <w:rPr>
          <w:rFonts w:hint="eastAsia"/>
          <w:sz w:val="21"/>
          <w:szCs w:val="21"/>
        </w:rPr>
        <w:t xml:space="preserve">（6）调整本基金份额类别的设置；     </w:t>
      </w:r>
    </w:p>
    <w:p>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（7）按照法律法规和《基金合同》规定不需召开基金份额持有人大会的以外的其他情形。  </w:t>
      </w:r>
    </w:p>
    <w:p>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1、召开基金份额持有人大会，召集人应于会议召开前30日，依据有关规定进行公告。基金份额持有人大会通知应至少载明以下内容：   </w:t>
      </w:r>
    </w:p>
    <w:p>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（4）授权委托证明的内容要求（包括但不限于代理人身份，代理权限和代理有效期限等）、授权方式、送达时间和地点；   </w:t>
      </w:r>
    </w:p>
    <w:p>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书面表决意见寄交的截止时间和收取方式。   </w:t>
      </w:r>
    </w:p>
    <w:p>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基金份额持有人大会可通过现场开会方式、通讯开会方式或法律法规及监管机关允许的其他方式召开，会议的召开方式由会议召集人确定。   </w:t>
      </w:r>
    </w:p>
    <w:p>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2、通讯开会。通讯开会系指基金份额持有人将其对表决事项的投票以书面形式在表决截至日以前送达至召集人指定的地址。在同时符合以下条件时，通讯开会的方式视为有效：   </w:t>
      </w:r>
    </w:p>
    <w:p>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   </w:t>
      </w:r>
    </w:p>
    <w:p>
      <w:pPr>
        <w:pStyle w:val="7"/>
        <w:spacing w:before="0" w:beforeAutospacing="0" w:after="0" w:afterAutospacing="0" w:line="360" w:lineRule="auto"/>
        <w:ind w:firstLine="420"/>
        <w:rPr>
          <w:sz w:val="21"/>
          <w:szCs w:val="21"/>
        </w:rPr>
      </w:pPr>
      <w:r>
        <w:rPr>
          <w:rFonts w:hint="eastAsia"/>
          <w:sz w:val="21"/>
          <w:szCs w:val="21"/>
        </w:rPr>
        <w:t xml:space="preserve">（3）本人直接出具书面意见或授权他人代表出具书面意见的，基金份额持有人所持有的基金份额不小于在权益登记日基金总份额的二分之一（含二分之一）；若本人直接出具书面意见或授权他人代表出具书面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书面意见或授权他人代表出具书面意见；   </w:t>
      </w:r>
    </w:p>
    <w:p>
      <w:pPr>
        <w:pStyle w:val="7"/>
        <w:spacing w:before="0" w:beforeAutospacing="0" w:after="0" w:afterAutospacing="0" w:line="360" w:lineRule="auto"/>
        <w:ind w:firstLine="420"/>
        <w:rPr>
          <w:sz w:val="21"/>
          <w:szCs w:val="21"/>
        </w:rPr>
      </w:pPr>
      <w:r>
        <w:rPr>
          <w:rFonts w:hint="eastAsia"/>
          <w:sz w:val="21"/>
          <w:szCs w:val="21"/>
        </w:rPr>
        <w:t xml:space="preserve">（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   </w:t>
      </w:r>
    </w:p>
    <w:p>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经会议通知载明，本基金的基金份额持有人亦可采用其他非书面方式授权其代理人出席基金份额持有人大会；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pPr>
        <w:pStyle w:val="7"/>
        <w:spacing w:before="0" w:beforeAutospacing="0" w:after="0" w:afterAutospacing="0" w:line="360" w:lineRule="auto"/>
        <w:ind w:firstLine="420"/>
        <w:rPr>
          <w:sz w:val="21"/>
          <w:szCs w:val="21"/>
        </w:rPr>
      </w:pPr>
      <w:r>
        <w:rPr>
          <w:rFonts w:hint="eastAsia"/>
          <w:sz w:val="21"/>
          <w:szCs w:val="21"/>
        </w:rPr>
        <w:t xml:space="preserve">2、议事程序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pPr>
        <w:pStyle w:val="7"/>
        <w:spacing w:before="0" w:beforeAutospacing="0" w:after="0" w:afterAutospacing="0" w:line="360" w:lineRule="auto"/>
        <w:ind w:firstLine="420"/>
        <w:rPr>
          <w:sz w:val="21"/>
          <w:szCs w:val="21"/>
        </w:rPr>
      </w:pPr>
      <w:r>
        <w:rPr>
          <w:rFonts w:hint="eastAsia"/>
          <w:sz w:val="21"/>
          <w:szCs w:val="21"/>
        </w:rPr>
        <w:t xml:space="preserve">（六）表决   </w:t>
      </w:r>
    </w:p>
    <w:p>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基金合同另有约定外，转换基金运作方式、更换基金管理人或者基金托管人、终止《基金合同》、本基金与其他基金合并以特别决议通过方为有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书面表决意见视为有效表决，表决意见模糊不清或相互矛盾的视为弃权表决，但应当计入出具书面意见的基金份额持有人所代表的基金份额总数。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pPr>
        <w:pStyle w:val="7"/>
        <w:spacing w:before="0" w:beforeAutospacing="0" w:after="0" w:afterAutospacing="0" w:line="360" w:lineRule="auto"/>
        <w:ind w:firstLine="420"/>
        <w:rPr>
          <w:sz w:val="21"/>
          <w:szCs w:val="21"/>
        </w:rPr>
      </w:pPr>
      <w:r>
        <w:rPr>
          <w:rFonts w:hint="eastAsia"/>
          <w:sz w:val="21"/>
          <w:szCs w:val="21"/>
        </w:rPr>
        <w:t xml:space="preserve">（七）计票   </w:t>
      </w:r>
    </w:p>
    <w:p>
      <w:pPr>
        <w:pStyle w:val="7"/>
        <w:spacing w:before="0" w:beforeAutospacing="0" w:after="0" w:afterAutospacing="0" w:line="360" w:lineRule="auto"/>
        <w:ind w:firstLine="420"/>
        <w:rPr>
          <w:sz w:val="21"/>
          <w:szCs w:val="21"/>
        </w:rPr>
      </w:pPr>
      <w:r>
        <w:rPr>
          <w:rFonts w:hint="eastAsia"/>
          <w:sz w:val="21"/>
          <w:szCs w:val="21"/>
        </w:rPr>
        <w:t xml:space="preserve">1、现场开会   </w:t>
      </w:r>
    </w:p>
    <w:p>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pPr>
        <w:pStyle w:val="7"/>
        <w:spacing w:before="0" w:beforeAutospacing="0" w:after="0" w:afterAutospacing="0" w:line="360" w:lineRule="auto"/>
        <w:ind w:firstLine="420"/>
        <w:rPr>
          <w:sz w:val="21"/>
          <w:szCs w:val="21"/>
        </w:rPr>
      </w:pPr>
      <w:r>
        <w:rPr>
          <w:rFonts w:hint="eastAsia"/>
          <w:sz w:val="21"/>
          <w:szCs w:val="21"/>
        </w:rPr>
        <w:t xml:space="preserve">2、通讯开会   </w:t>
      </w:r>
    </w:p>
    <w:p>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书面表决意见的计票进行监督的，不影响计票和表决结果。   </w:t>
      </w:r>
    </w:p>
    <w:p>
      <w:pPr>
        <w:pStyle w:val="7"/>
        <w:spacing w:before="0" w:beforeAutospacing="0" w:after="0" w:afterAutospacing="0" w:line="360" w:lineRule="auto"/>
        <w:ind w:firstLine="420"/>
        <w:rPr>
          <w:sz w:val="21"/>
          <w:szCs w:val="21"/>
        </w:rPr>
      </w:pPr>
      <w:r>
        <w:rPr>
          <w:rFonts w:hint="eastAsia"/>
          <w:sz w:val="21"/>
          <w:szCs w:val="21"/>
        </w:rPr>
        <w:t xml:space="preserve">（八）生效与公告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基金份额持有人大会决议自生效之日起按规定在指定媒介上公告。如果采用通讯方式进行表决，在公告基金份额持有人大会决议时，必须将公证书全文、公证机构、公证员姓名等一同公告。   </w:t>
      </w:r>
    </w:p>
    <w:p>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pPr>
        <w:pStyle w:val="7"/>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同一主侧袋账户内的每份基金份额具有平等的表决权。 </w:t>
      </w:r>
    </w:p>
    <w:p>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  </w:t>
      </w:r>
    </w:p>
    <w:p>
      <w:pPr>
        <w:pStyle w:val="7"/>
        <w:spacing w:before="0" w:beforeAutospacing="0" w:after="0" w:afterAutospacing="0" w:line="360" w:lineRule="auto"/>
        <w:ind w:firstLine="420"/>
        <w:rPr>
          <w:sz w:val="21"/>
          <w:szCs w:val="21"/>
        </w:rPr>
      </w:pPr>
      <w:r>
        <w:rPr>
          <w:rStyle w:val="11"/>
          <w:rFonts w:hint="eastAsia"/>
          <w:sz w:val="21"/>
          <w:szCs w:val="21"/>
        </w:rPr>
        <w:t>三、基金合同的解除和终止的事由、程序</w:t>
      </w:r>
    </w:p>
    <w:p>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   </w:t>
      </w:r>
    </w:p>
    <w:p>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2、关于《基金合同》变更的基金份额持有人大会决议自生效后方可执行，并自决议生效后按规定在指定媒介公告。   </w:t>
      </w:r>
    </w:p>
    <w:p>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pPr>
        <w:pStyle w:val="7"/>
        <w:spacing w:before="0" w:beforeAutospacing="0" w:after="0" w:afterAutospacing="0" w:line="360" w:lineRule="auto"/>
        <w:ind w:firstLine="420"/>
        <w:rPr>
          <w:sz w:val="21"/>
          <w:szCs w:val="21"/>
        </w:rPr>
      </w:pPr>
      <w:r>
        <w:rPr>
          <w:rFonts w:hint="eastAsia"/>
          <w:sz w:val="21"/>
          <w:szCs w:val="21"/>
        </w:rPr>
        <w:t xml:space="preserve">有下列情形之一的，《基金合同》应当终止：   </w:t>
      </w:r>
    </w:p>
    <w:p>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1、基金财产清算小组：自出现《基金合同》终止事由之日起30个工作日内成立清算小组，基金管理人组织基金财产清算小组并在中国证监会的监督下进行基金清算。   </w:t>
      </w:r>
    </w:p>
    <w:p>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具有从事证券、期货相关业务资格的注册会计师、律师以及中国证监会指定的人员组成。基金财产清算小组可以聘用必要的工作人员。   </w:t>
      </w:r>
    </w:p>
    <w:p>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pPr>
        <w:pStyle w:val="7"/>
        <w:spacing w:before="0" w:beforeAutospacing="0" w:after="0" w:afterAutospacing="0" w:line="360" w:lineRule="auto"/>
        <w:ind w:firstLine="420"/>
        <w:rPr>
          <w:sz w:val="21"/>
          <w:szCs w:val="21"/>
        </w:rPr>
      </w:pPr>
      <w:r>
        <w:rPr>
          <w:rFonts w:hint="eastAsia"/>
          <w:sz w:val="21"/>
          <w:szCs w:val="21"/>
        </w:rPr>
        <w:t xml:space="preserve">（4）制作清算报告；   </w:t>
      </w:r>
    </w:p>
    <w:p>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   </w:t>
      </w:r>
    </w:p>
    <w:p>
      <w:pPr>
        <w:pStyle w:val="7"/>
        <w:spacing w:before="0" w:beforeAutospacing="0" w:after="0" w:afterAutospacing="0" w:line="360" w:lineRule="auto"/>
        <w:ind w:firstLine="420"/>
        <w:rPr>
          <w:sz w:val="21"/>
          <w:szCs w:val="21"/>
        </w:rPr>
      </w:pPr>
      <w:r>
        <w:rPr>
          <w:rFonts w:hint="eastAsia"/>
          <w:sz w:val="21"/>
          <w:szCs w:val="21"/>
        </w:rPr>
        <w:t xml:space="preserve">（四）清算费用   </w:t>
      </w:r>
    </w:p>
    <w:p>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清算费用是指基金财产清算小组在进行基金清算过程中发生的所有合理费用，清算费用由基金财产清算小组优先从基金财产中支付。   </w:t>
      </w:r>
    </w:p>
    <w:p>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具有证券、期货相关业务资格的会计师事务所审计并由律师事务所出具法律意见书后报中国证监会备案并公告。基金财产清算公告于基金财产清算报告报中国证监会备案后5个工作日内由基金财产清算小组进行公告。   </w:t>
      </w:r>
    </w:p>
    <w:p>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基金财产清算账册及有关文件由基金托管人保存15年以上。   </w:t>
      </w:r>
    </w:p>
    <w:p>
      <w:pPr>
        <w:pStyle w:val="7"/>
        <w:spacing w:before="0" w:beforeAutospacing="0" w:after="0" w:afterAutospacing="0" w:line="360" w:lineRule="auto"/>
        <w:ind w:firstLine="420"/>
        <w:rPr>
          <w:sz w:val="21"/>
          <w:szCs w:val="21"/>
        </w:rPr>
      </w:pPr>
      <w:r>
        <w:rPr>
          <w:rStyle w:val="11"/>
          <w:rFonts w:hint="eastAsia"/>
          <w:sz w:val="21"/>
          <w:szCs w:val="21"/>
        </w:rPr>
        <w:t>四、争议解决方式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未能解决的，应提交中国国际经济贸易仲裁委员会根据该会当时有效的仲裁规则进行仲裁，仲裁地点为北京市，仲裁裁决是终局性的并对各方当事人具有约束力，仲裁费由败诉方承担。   </w:t>
      </w:r>
    </w:p>
    <w:p>
      <w:pPr>
        <w:pStyle w:val="7"/>
        <w:spacing w:before="0" w:beforeAutospacing="0" w:after="0" w:afterAutospacing="0" w:line="360" w:lineRule="auto"/>
        <w:ind w:firstLine="420"/>
        <w:rPr>
          <w:sz w:val="21"/>
          <w:szCs w:val="21"/>
        </w:rPr>
      </w:pPr>
      <w:r>
        <w:rPr>
          <w:rFonts w:hint="eastAsia"/>
          <w:sz w:val="21"/>
          <w:szCs w:val="21"/>
        </w:rPr>
        <w:t xml:space="preserve">《基金合同》受中国法律管辖。   </w:t>
      </w:r>
    </w:p>
    <w:p>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五、基金合同存放地和投资者取得基金合同的方式</w:t>
      </w:r>
    </w:p>
    <w:p>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3" w:name="chapter_level1_22_71_section_1_end"/>
      <w:bookmarkEnd w:id="203"/>
      <w:r>
        <w:rPr>
          <w:rFonts w:hint="eastAsia"/>
          <w:sz w:val="21"/>
          <w:szCs w:val="21"/>
        </w:rPr>
        <w:t xml:space="preserve">和营业场所查阅。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04" w:name="_Toc207926671"/>
      <w:bookmarkStart w:id="205" w:name="chapter_level1_23_72"/>
      <w:r>
        <w:rPr>
          <w:rFonts w:hint="eastAsia" w:ascii="宋体" w:hAnsi="宋体" w:eastAsia="宋体"/>
          <w:sz w:val="30"/>
        </w:rPr>
        <w:t>第二十部分  基金托管协议的内容摘要</w:t>
      </w:r>
      <w:bookmarkEnd w:id="204"/>
      <w:bookmarkEnd w:id="205"/>
    </w:p>
    <w:p>
      <w:pPr>
        <w:pStyle w:val="7"/>
        <w:spacing w:before="0" w:beforeAutospacing="0" w:after="0" w:afterAutospacing="0" w:line="360" w:lineRule="auto"/>
        <w:ind w:firstLine="420"/>
        <w:rPr>
          <w:sz w:val="21"/>
          <w:szCs w:val="21"/>
        </w:rPr>
      </w:pPr>
      <w:bookmarkStart w:id="206" w:name="chapter_level1_23_72_section_1"/>
      <w:bookmarkEnd w:id="206"/>
      <w:r>
        <w:rPr>
          <w:rStyle w:val="11"/>
          <w:rFonts w:hint="eastAsia"/>
          <w:sz w:val="21"/>
          <w:szCs w:val="21"/>
        </w:rPr>
        <w:t>一、托管协议当事人</w:t>
      </w:r>
    </w:p>
    <w:p>
      <w:pPr>
        <w:pStyle w:val="7"/>
        <w:spacing w:before="0" w:beforeAutospacing="0" w:after="0" w:afterAutospacing="0" w:line="360" w:lineRule="auto"/>
        <w:ind w:firstLine="420"/>
        <w:rPr>
          <w:sz w:val="21"/>
          <w:szCs w:val="21"/>
        </w:rPr>
      </w:pPr>
      <w:r>
        <w:rPr>
          <w:rFonts w:hint="eastAsia"/>
          <w:sz w:val="21"/>
          <w:szCs w:val="21"/>
        </w:rPr>
        <w:t xml:space="preserve">（一）基金管理人 </w:t>
      </w:r>
    </w:p>
    <w:p>
      <w:pPr>
        <w:pStyle w:val="7"/>
        <w:spacing w:before="0" w:beforeAutospacing="0" w:after="0" w:afterAutospacing="0" w:line="360" w:lineRule="auto"/>
        <w:ind w:firstLine="420"/>
        <w:rPr>
          <w:sz w:val="21"/>
          <w:szCs w:val="21"/>
        </w:rPr>
      </w:pPr>
      <w:r>
        <w:rPr>
          <w:rFonts w:hint="eastAsia"/>
          <w:sz w:val="21"/>
          <w:szCs w:val="21"/>
        </w:rPr>
        <w:t>名称：</w:t>
      </w:r>
      <w:bookmarkStart w:id="207" w:name="field_0_managerorgfullname_6"/>
      <w:r>
        <w:rPr>
          <w:rFonts w:hint="eastAsia"/>
          <w:sz w:val="21"/>
          <w:szCs w:val="21"/>
        </w:rPr>
        <w:t>博时基金管理有限公司</w:t>
      </w:r>
      <w:bookmarkEnd w:id="207"/>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pPr>
        <w:pStyle w:val="7"/>
        <w:spacing w:before="0" w:beforeAutospacing="0" w:after="0" w:afterAutospacing="0" w:line="360" w:lineRule="auto"/>
        <w:ind w:firstLine="420"/>
        <w:rPr>
          <w:sz w:val="21"/>
          <w:szCs w:val="21"/>
        </w:rPr>
      </w:pPr>
      <w:r>
        <w:rPr>
          <w:rFonts w:hint="eastAsia"/>
          <w:sz w:val="21"/>
          <w:szCs w:val="21"/>
        </w:rPr>
        <w:t xml:space="preserve">邮政编码： 518040 </w:t>
      </w:r>
    </w:p>
    <w:p>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成立日期： 1998年7月13日 </w:t>
      </w:r>
    </w:p>
    <w:p>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（二）基金托管人 </w:t>
      </w:r>
    </w:p>
    <w:p>
      <w:pPr>
        <w:pStyle w:val="7"/>
        <w:spacing w:before="0" w:beforeAutospacing="0" w:after="0" w:afterAutospacing="0" w:line="360" w:lineRule="auto"/>
        <w:ind w:firstLine="420"/>
        <w:rPr>
          <w:sz w:val="21"/>
          <w:szCs w:val="21"/>
        </w:rPr>
      </w:pPr>
      <w:r>
        <w:rPr>
          <w:rFonts w:hint="eastAsia"/>
          <w:sz w:val="21"/>
          <w:szCs w:val="21"/>
        </w:rPr>
        <w:t>名称：</w:t>
      </w:r>
      <w:bookmarkStart w:id="208" w:name="field_0_trustorgfullname_3"/>
      <w:r>
        <w:rPr>
          <w:rFonts w:hint="eastAsia"/>
          <w:sz w:val="21"/>
          <w:szCs w:val="21"/>
        </w:rPr>
        <w:t>中国光大银行股份有限公司</w:t>
      </w:r>
      <w:bookmarkEnd w:id="208"/>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住所：北京市西城区太平桥大街25 号、甲25 号中国光大中心 </w:t>
      </w:r>
    </w:p>
    <w:p>
      <w:pPr>
        <w:pStyle w:val="7"/>
        <w:spacing w:before="0" w:beforeAutospacing="0" w:after="0" w:afterAutospacing="0" w:line="360" w:lineRule="auto"/>
        <w:ind w:firstLine="420"/>
        <w:rPr>
          <w:sz w:val="21"/>
          <w:szCs w:val="21"/>
        </w:rPr>
      </w:pPr>
      <w:r>
        <w:rPr>
          <w:rFonts w:hint="eastAsia"/>
          <w:sz w:val="21"/>
          <w:szCs w:val="21"/>
        </w:rPr>
        <w:t xml:space="preserve">法定代表人：吴利军 </w:t>
      </w:r>
    </w:p>
    <w:p>
      <w:pPr>
        <w:pStyle w:val="7"/>
        <w:spacing w:before="0" w:beforeAutospacing="0" w:after="0" w:afterAutospacing="0" w:line="360" w:lineRule="auto"/>
        <w:ind w:firstLine="420"/>
        <w:rPr>
          <w:sz w:val="21"/>
          <w:szCs w:val="21"/>
        </w:rPr>
      </w:pPr>
      <w:r>
        <w:rPr>
          <w:rFonts w:hint="eastAsia"/>
          <w:sz w:val="21"/>
          <w:szCs w:val="21"/>
        </w:rPr>
        <w:t xml:space="preserve">成立时间：1992年6月18日 </w:t>
      </w:r>
    </w:p>
    <w:p>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批准设立机关和批准设立文号：国务院、国函[1992]7号 </w:t>
      </w:r>
    </w:p>
    <w:p>
      <w:pPr>
        <w:pStyle w:val="7"/>
        <w:spacing w:before="0" w:beforeAutospacing="0" w:after="0" w:afterAutospacing="0" w:line="360" w:lineRule="auto"/>
        <w:ind w:firstLine="420"/>
        <w:rPr>
          <w:sz w:val="21"/>
          <w:szCs w:val="21"/>
        </w:rPr>
      </w:pPr>
      <w:r>
        <w:rPr>
          <w:rFonts w:hint="eastAsia"/>
          <w:sz w:val="21"/>
          <w:szCs w:val="21"/>
        </w:rPr>
        <w:t xml:space="preserve">注册资本：人民币466.79095亿元 </w:t>
      </w:r>
    </w:p>
    <w:p>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pPr>
        <w:pStyle w:val="7"/>
        <w:spacing w:before="0" w:beforeAutospacing="0" w:after="0" w:afterAutospacing="0" w:line="360" w:lineRule="auto"/>
        <w:ind w:firstLine="420"/>
        <w:rPr>
          <w:sz w:val="21"/>
          <w:szCs w:val="21"/>
        </w:rPr>
      </w:pPr>
      <w:r>
        <w:rPr>
          <w:rFonts w:hint="eastAsia"/>
          <w:sz w:val="21"/>
          <w:szCs w:val="21"/>
        </w:rPr>
        <w:t xml:space="preserve">基金托管资格批文及文号：证监基金字【2002】75号 </w:t>
      </w:r>
    </w:p>
    <w:p>
      <w:pPr>
        <w:pStyle w:val="7"/>
        <w:spacing w:before="0" w:beforeAutospacing="0" w:after="0" w:afterAutospacing="0" w:line="360" w:lineRule="auto"/>
        <w:ind w:firstLine="420"/>
        <w:rPr>
          <w:sz w:val="21"/>
          <w:szCs w:val="21"/>
        </w:rPr>
      </w:pPr>
      <w:r>
        <w:rPr>
          <w:rFonts w:hint="eastAsia"/>
          <w:sz w:val="21"/>
          <w:szCs w:val="21"/>
        </w:rPr>
        <w:t xml:space="preserve">联系电话:010-63636363 </w:t>
      </w:r>
    </w:p>
    <w:p>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（一）基金托管人根据有关法律法规的规定及基金合同的约定，对基金投资范围、投资比例进行监督。 </w:t>
      </w:r>
    </w:p>
    <w:p>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上市的国家债券、金融债券、次级债券、中央银行票据、企业债券、公司债券、中期票据、短期融资券及超级短期融资券、可分离交易债券的纯债、可转换债券、可交换债券、资产支持证券、回购、银行定期存款、国债期货等金融工具以及法律法规或中国证监会允许基金投资的其他固定收益类证券（但须符合中国证监会的相关规定）。 </w:t>
      </w:r>
    </w:p>
    <w:p>
      <w:pPr>
        <w:pStyle w:val="7"/>
        <w:spacing w:before="0" w:beforeAutospacing="0" w:after="0" w:afterAutospacing="0" w:line="360" w:lineRule="auto"/>
        <w:ind w:firstLine="420"/>
        <w:rPr>
          <w:sz w:val="21"/>
          <w:szCs w:val="21"/>
        </w:rPr>
      </w:pPr>
      <w:r>
        <w:rPr>
          <w:rFonts w:hint="eastAsia"/>
          <w:sz w:val="21"/>
          <w:szCs w:val="21"/>
        </w:rPr>
        <w:t xml:space="preserve">本基金不直接从二级市场买入股票等权益类资产和权证，不参与一级市场的新股申购或增发新股。 </w:t>
      </w:r>
    </w:p>
    <w:p>
      <w:pPr>
        <w:pStyle w:val="7"/>
        <w:spacing w:before="0" w:beforeAutospacing="0" w:after="0" w:afterAutospacing="0" w:line="360" w:lineRule="auto"/>
        <w:ind w:firstLine="420"/>
        <w:rPr>
          <w:sz w:val="21"/>
          <w:szCs w:val="21"/>
        </w:rPr>
      </w:pPr>
      <w:r>
        <w:rPr>
          <w:rFonts w:hint="eastAsia"/>
          <w:sz w:val="21"/>
          <w:szCs w:val="21"/>
        </w:rPr>
        <w:t xml:space="preserve">本基金投资于债券资产比例不低于基金资产的80%。开放期内每个交易日日终在扣除国债期货合约需缴纳的交易保证金后现金或者到期日在一年以内的政府债券不低于基金资产净值的5%，在封闭期内，本基金不受上述5%的限制，但每个交易日日终在扣除国债期货合约需缴纳的交易保证金后，应当保持不低于交易保证金一倍的现金；其中，现金不包括结算备付金、存出保证金、应收申购款等。投资于可转债/可交换债的资金不得超过基金资产净值的20%；可转债/可交换债一级市场申购不在该比例限制内，但需在上市后3个交易日内调整至符合投资限制要求。 </w:t>
      </w:r>
    </w:p>
    <w:p>
      <w:pPr>
        <w:pStyle w:val="7"/>
        <w:spacing w:before="0" w:beforeAutospacing="0" w:after="0" w:afterAutospacing="0" w:line="360" w:lineRule="auto"/>
        <w:ind w:firstLine="420"/>
        <w:rPr>
          <w:sz w:val="21"/>
          <w:szCs w:val="21"/>
        </w:rPr>
      </w:pPr>
      <w:r>
        <w:rPr>
          <w:rFonts w:hint="eastAsia"/>
          <w:sz w:val="21"/>
          <w:szCs w:val="21"/>
        </w:rPr>
        <w:t xml:space="preserve">如法律法规或监管机构以后允许基金投资其他品种，基金管理人在履行适当程序后，可以将其纳入投资范围。 </w:t>
      </w:r>
    </w:p>
    <w:p>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pPr>
        <w:pStyle w:val="7"/>
        <w:spacing w:before="0" w:beforeAutospacing="0" w:after="0" w:afterAutospacing="0" w:line="360" w:lineRule="auto"/>
        <w:ind w:firstLine="420"/>
        <w:rPr>
          <w:sz w:val="21"/>
          <w:szCs w:val="21"/>
        </w:rPr>
      </w:pPr>
      <w:r>
        <w:rPr>
          <w:rFonts w:hint="eastAsia"/>
          <w:sz w:val="21"/>
          <w:szCs w:val="21"/>
        </w:rPr>
        <w:t xml:space="preserve">1、本基金投资于债券资产比例不低于基金资产的80%； </w:t>
      </w:r>
    </w:p>
    <w:p>
      <w:pPr>
        <w:pStyle w:val="7"/>
        <w:spacing w:before="0" w:beforeAutospacing="0" w:after="0" w:afterAutospacing="0" w:line="360" w:lineRule="auto"/>
        <w:ind w:firstLine="420"/>
        <w:rPr>
          <w:sz w:val="21"/>
          <w:szCs w:val="21"/>
        </w:rPr>
      </w:pPr>
      <w:r>
        <w:rPr>
          <w:rFonts w:hint="eastAsia"/>
          <w:sz w:val="21"/>
          <w:szCs w:val="21"/>
        </w:rPr>
        <w:t xml:space="preserve">2、开放期内每个交易日日终扣除国债期货需缴纳的交易保证金后，保持不低于基金资产净值5％的现金或者到期日在一年以内的政府债券，在封闭期内，本基金不受上述5%的限制，但每个交易日日终在扣除国债期货合约需缴纳的交易保证金后，应当保持不低于交易保证金一倍的现金；其中，现金不包括结算备付金、存出保证金、应收申购款等； </w:t>
      </w:r>
    </w:p>
    <w:p>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3、本基金持有一家公司发行的证券，其市值不超过基金资产净值的10％；本基金管理人管理的全部基金持有一家公司发行的证券，不超过该证券的10％； </w:t>
      </w:r>
    </w:p>
    <w:p>
      <w:pPr>
        <w:pStyle w:val="7"/>
        <w:spacing w:before="0" w:beforeAutospacing="0" w:after="0" w:afterAutospacing="0" w:line="360" w:lineRule="auto"/>
        <w:ind w:firstLine="420"/>
        <w:rPr>
          <w:sz w:val="21"/>
          <w:szCs w:val="21"/>
        </w:rPr>
      </w:pPr>
      <w:r>
        <w:rPr>
          <w:rFonts w:hint="eastAsia"/>
          <w:sz w:val="21"/>
          <w:szCs w:val="21"/>
        </w:rPr>
        <w:t xml:space="preserve">4、本基金投资于同一原始权益人的各类资产支持证券的比例，不得超过基金资产净值的10％； </w:t>
      </w:r>
    </w:p>
    <w:p>
      <w:pPr>
        <w:pStyle w:val="7"/>
        <w:spacing w:before="0" w:beforeAutospacing="0" w:after="0" w:afterAutospacing="0" w:line="360" w:lineRule="auto"/>
        <w:ind w:firstLine="420"/>
        <w:rPr>
          <w:sz w:val="21"/>
          <w:szCs w:val="21"/>
        </w:rPr>
      </w:pPr>
      <w:r>
        <w:rPr>
          <w:rFonts w:hint="eastAsia"/>
          <w:sz w:val="21"/>
          <w:szCs w:val="21"/>
        </w:rPr>
        <w:t xml:space="preserve">5、本基金持有的全部资产支持证券，其市值不得超过基金资产净值的20％； </w:t>
      </w:r>
    </w:p>
    <w:p>
      <w:pPr>
        <w:pStyle w:val="7"/>
        <w:spacing w:before="0" w:beforeAutospacing="0" w:after="0" w:afterAutospacing="0" w:line="360" w:lineRule="auto"/>
        <w:ind w:firstLine="420"/>
        <w:rPr>
          <w:sz w:val="21"/>
          <w:szCs w:val="21"/>
        </w:rPr>
      </w:pPr>
      <w:r>
        <w:rPr>
          <w:rFonts w:hint="eastAsia"/>
          <w:sz w:val="21"/>
          <w:szCs w:val="21"/>
        </w:rPr>
        <w:t xml:space="preserve">6、本基金持有的同一(指同一信用级别)资产支持证券的比例，不得超过该资产支持证券规模的10％； </w:t>
      </w:r>
    </w:p>
    <w:p>
      <w:pPr>
        <w:pStyle w:val="7"/>
        <w:spacing w:before="0" w:beforeAutospacing="0" w:after="0" w:afterAutospacing="0" w:line="360" w:lineRule="auto"/>
        <w:ind w:firstLine="420"/>
        <w:rPr>
          <w:sz w:val="21"/>
          <w:szCs w:val="21"/>
        </w:rPr>
      </w:pPr>
      <w:r>
        <w:rPr>
          <w:rFonts w:hint="eastAsia"/>
          <w:sz w:val="21"/>
          <w:szCs w:val="21"/>
        </w:rPr>
        <w:t xml:space="preserve">7、本基金管理人管理的全部基金投资于同一原始权益人的各类资产支持证券，不得超过其各类资产支持证券合计规模的10％； </w:t>
      </w:r>
    </w:p>
    <w:p>
      <w:pPr>
        <w:pStyle w:val="7"/>
        <w:spacing w:before="0" w:beforeAutospacing="0" w:after="0" w:afterAutospacing="0" w:line="360" w:lineRule="auto"/>
        <w:ind w:firstLine="420"/>
        <w:rPr>
          <w:sz w:val="21"/>
          <w:szCs w:val="21"/>
        </w:rPr>
      </w:pPr>
      <w:r>
        <w:rPr>
          <w:rFonts w:hint="eastAsia"/>
          <w:sz w:val="21"/>
          <w:szCs w:val="21"/>
        </w:rPr>
        <w:t xml:space="preserve">8、本基金应投资于信用级别评级为BBB以上(含BBB)的资产支持证券。基金持有资产支持证券期间，如果其信用等级下降、不再符合投资标准，应在评级报告发布之日起3个月内予以全部卖出； </w:t>
      </w:r>
    </w:p>
    <w:p>
      <w:pPr>
        <w:pStyle w:val="7"/>
        <w:spacing w:before="0" w:beforeAutospacing="0" w:after="0" w:afterAutospacing="0" w:line="360" w:lineRule="auto"/>
        <w:ind w:firstLine="420"/>
        <w:rPr>
          <w:sz w:val="21"/>
          <w:szCs w:val="21"/>
        </w:rPr>
      </w:pPr>
      <w:r>
        <w:rPr>
          <w:rFonts w:hint="eastAsia"/>
          <w:sz w:val="21"/>
          <w:szCs w:val="21"/>
        </w:rPr>
        <w:t xml:space="preserve">9、本基金进入全国银行间同业市场进行债券回购的资金余额不得超过基金资产净值的40%； </w:t>
      </w:r>
    </w:p>
    <w:p>
      <w:pPr>
        <w:pStyle w:val="7"/>
        <w:spacing w:before="0" w:beforeAutospacing="0" w:after="0" w:afterAutospacing="0" w:line="360" w:lineRule="auto"/>
        <w:ind w:firstLine="420"/>
        <w:rPr>
          <w:sz w:val="21"/>
          <w:szCs w:val="21"/>
        </w:rPr>
      </w:pPr>
      <w:r>
        <w:rPr>
          <w:rFonts w:hint="eastAsia"/>
          <w:sz w:val="21"/>
          <w:szCs w:val="21"/>
        </w:rPr>
        <w:t xml:space="preserve">10、本基金若参与国债期货交易，需遵守下列投资比例限制： </w:t>
      </w:r>
    </w:p>
    <w:p>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1）本基金在任何交易日日终，持有的买入国债期货合约价值，不得超过基金资产净值的15%； </w:t>
      </w:r>
    </w:p>
    <w:p>
      <w:pPr>
        <w:pStyle w:val="7"/>
        <w:spacing w:before="0" w:beforeAutospacing="0" w:after="0" w:afterAutospacing="0" w:line="360" w:lineRule="auto"/>
        <w:ind w:firstLine="420"/>
        <w:rPr>
          <w:sz w:val="21"/>
          <w:szCs w:val="21"/>
        </w:rPr>
      </w:pPr>
      <w:r>
        <w:rPr>
          <w:rFonts w:hint="eastAsia"/>
          <w:sz w:val="21"/>
          <w:szCs w:val="21"/>
        </w:rPr>
        <w:t xml:space="preserve">2）本基金在任何交易日日终，持有的卖出国债期货合约价值不得超过基金持有的债券总市值的30%； </w:t>
      </w:r>
    </w:p>
    <w:p>
      <w:pPr>
        <w:pStyle w:val="7"/>
        <w:spacing w:before="0" w:beforeAutospacing="0" w:after="0" w:afterAutospacing="0" w:line="360" w:lineRule="auto"/>
        <w:ind w:firstLine="420"/>
        <w:rPr>
          <w:sz w:val="21"/>
          <w:szCs w:val="21"/>
        </w:rPr>
      </w:pPr>
      <w:r>
        <w:rPr>
          <w:rFonts w:hint="eastAsia"/>
          <w:sz w:val="21"/>
          <w:szCs w:val="21"/>
        </w:rPr>
        <w:t xml:space="preserve">本基金管理人将按照中国金融期货交易所要求的内容、格式与实现向交易所报告所交易和持有的卖出期货合约情况、交易目的及对应的证券资产情况等； </w:t>
      </w:r>
    </w:p>
    <w:p>
      <w:pPr>
        <w:pStyle w:val="7"/>
        <w:spacing w:before="0" w:beforeAutospacing="0" w:after="0" w:afterAutospacing="0" w:line="360" w:lineRule="auto"/>
        <w:ind w:firstLine="420"/>
        <w:rPr>
          <w:sz w:val="21"/>
          <w:szCs w:val="21"/>
        </w:rPr>
      </w:pPr>
      <w:r>
        <w:rPr>
          <w:rFonts w:hint="eastAsia"/>
          <w:sz w:val="21"/>
          <w:szCs w:val="21"/>
        </w:rPr>
        <w:t xml:space="preserve">3）本基金在任何交易日内交易（不包括平仓）的国债期货合约的成交金额不得超过上一交易日基金资产净值的30%； </w:t>
      </w:r>
    </w:p>
    <w:p>
      <w:pPr>
        <w:pStyle w:val="7"/>
        <w:spacing w:before="0" w:beforeAutospacing="0" w:after="0" w:afterAutospacing="0" w:line="360" w:lineRule="auto"/>
        <w:ind w:firstLine="420"/>
        <w:rPr>
          <w:sz w:val="21"/>
          <w:szCs w:val="21"/>
        </w:rPr>
      </w:pPr>
      <w:r>
        <w:rPr>
          <w:rFonts w:hint="eastAsia"/>
          <w:sz w:val="21"/>
          <w:szCs w:val="21"/>
        </w:rPr>
        <w:t xml:space="preserve">4）本基金所持有的债券（不含到期日在一年以内的政府债券）市值和买入、卖出国债期货合约价值，合计（轧差计算）应当符合基金合同关于债券投资比例的有关约定； </w:t>
      </w:r>
    </w:p>
    <w:p>
      <w:pPr>
        <w:pStyle w:val="7"/>
        <w:spacing w:before="0" w:beforeAutospacing="0" w:after="0" w:afterAutospacing="0" w:line="360" w:lineRule="auto"/>
        <w:ind w:firstLine="420"/>
        <w:rPr>
          <w:sz w:val="21"/>
          <w:szCs w:val="21"/>
        </w:rPr>
      </w:pPr>
      <w:r>
        <w:rPr>
          <w:rFonts w:hint="eastAsia"/>
          <w:sz w:val="21"/>
          <w:szCs w:val="21"/>
        </w:rPr>
        <w:t xml:space="preserve">11、开放期内，本基金资产总值不得超过基金资产净值的140%；封闭期内，本基金资产总值不得超过基金资产净值的200%； </w:t>
      </w:r>
    </w:p>
    <w:p>
      <w:pPr>
        <w:pStyle w:val="7"/>
        <w:spacing w:before="0" w:beforeAutospacing="0" w:after="0" w:afterAutospacing="0" w:line="360" w:lineRule="auto"/>
        <w:ind w:firstLine="420"/>
        <w:rPr>
          <w:sz w:val="21"/>
          <w:szCs w:val="21"/>
        </w:rPr>
      </w:pPr>
      <w:r>
        <w:rPr>
          <w:rFonts w:hint="eastAsia"/>
          <w:sz w:val="21"/>
          <w:szCs w:val="21"/>
        </w:rPr>
        <w:t xml:space="preserve">12、本基金投资于可转债/可交换债的资金不得超过投资组合资产净值的20%；可转债/可交换债一级市场申购不在该比例限制内，但需在上市后3个交易日内调整至符合投资限制要求； </w:t>
      </w:r>
    </w:p>
    <w:p>
      <w:pPr>
        <w:pStyle w:val="7"/>
        <w:spacing w:before="0" w:beforeAutospacing="0" w:after="0" w:afterAutospacing="0" w:line="360" w:lineRule="auto"/>
        <w:ind w:firstLine="420"/>
        <w:rPr>
          <w:sz w:val="21"/>
          <w:szCs w:val="21"/>
        </w:rPr>
      </w:pPr>
      <w:r>
        <w:rPr>
          <w:rFonts w:hint="eastAsia"/>
          <w:sz w:val="21"/>
          <w:szCs w:val="21"/>
        </w:rPr>
        <w:t xml:space="preserve">13、开放期内，本基金管理人管理的全部开放式基金持有一家上市公司发行的可流通股票，不得超过该上市公司可流通股票的15%；开放期内，本基金管理人管理的全部投资组合持有一家上市公司发行的可流通股票，不得超过该上市公司可流通股票的30%；封闭期内不受上述限制； </w:t>
      </w:r>
    </w:p>
    <w:p>
      <w:pPr>
        <w:pStyle w:val="7"/>
        <w:spacing w:before="0" w:beforeAutospacing="0" w:after="0" w:afterAutospacing="0" w:line="360" w:lineRule="auto"/>
        <w:ind w:firstLine="420"/>
        <w:rPr>
          <w:sz w:val="21"/>
          <w:szCs w:val="21"/>
        </w:rPr>
      </w:pPr>
      <w:r>
        <w:rPr>
          <w:rFonts w:hint="eastAsia"/>
          <w:sz w:val="21"/>
          <w:szCs w:val="21"/>
        </w:rPr>
        <w:t xml:space="preserve">14、开放期内，本基金主动投资于流动性受限资产的市值合计不得超过本基金资产净值的15%；封闭期内不受此限； </w:t>
      </w:r>
    </w:p>
    <w:p>
      <w:pPr>
        <w:pStyle w:val="7"/>
        <w:spacing w:before="0" w:beforeAutospacing="0" w:after="0" w:afterAutospacing="0" w:line="360" w:lineRule="auto"/>
        <w:ind w:firstLine="420"/>
        <w:rPr>
          <w:sz w:val="21"/>
          <w:szCs w:val="21"/>
        </w:rPr>
      </w:pPr>
      <w:r>
        <w:rPr>
          <w:rFonts w:hint="eastAsia"/>
          <w:sz w:val="21"/>
          <w:szCs w:val="21"/>
        </w:rPr>
        <w:t xml:space="preserve">因证券市场波动、基金规模变动等基金管理人之外的因素致使基金不符合前款所规定比例限制的，基金管理人不得主动新增流动性受限资产的投资； </w:t>
      </w:r>
    </w:p>
    <w:p>
      <w:pPr>
        <w:pStyle w:val="7"/>
        <w:spacing w:before="0" w:beforeAutospacing="0" w:after="0" w:afterAutospacing="0" w:line="360" w:lineRule="auto"/>
        <w:ind w:firstLine="420"/>
        <w:rPr>
          <w:sz w:val="21"/>
          <w:szCs w:val="21"/>
        </w:rPr>
      </w:pPr>
      <w:r>
        <w:rPr>
          <w:rFonts w:hint="eastAsia"/>
          <w:sz w:val="21"/>
          <w:szCs w:val="21"/>
        </w:rPr>
        <w:t xml:space="preserve">15、本基金与私募类证券资管产品及中国证监会认定的其他主体为交易对手开展逆回购交易的，可接受质押品的资质要求应当与基金合同约定的投资范围保持一致； </w:t>
      </w:r>
    </w:p>
    <w:p>
      <w:pPr>
        <w:pStyle w:val="7"/>
        <w:spacing w:before="0" w:beforeAutospacing="0" w:after="0" w:afterAutospacing="0" w:line="360" w:lineRule="auto"/>
        <w:ind w:firstLine="420"/>
        <w:rPr>
          <w:sz w:val="21"/>
          <w:szCs w:val="21"/>
        </w:rPr>
      </w:pPr>
      <w:r>
        <w:rPr>
          <w:rFonts w:hint="eastAsia"/>
          <w:sz w:val="21"/>
          <w:szCs w:val="21"/>
        </w:rPr>
        <w:t xml:space="preserve">16、法律法规及中国证监会规定的和《基金合同》约定的其他投资限制。 </w:t>
      </w:r>
    </w:p>
    <w:p>
      <w:pPr>
        <w:pStyle w:val="7"/>
        <w:spacing w:before="0" w:beforeAutospacing="0" w:after="0" w:afterAutospacing="0" w:line="360" w:lineRule="auto"/>
        <w:ind w:firstLine="420"/>
        <w:rPr>
          <w:sz w:val="21"/>
          <w:szCs w:val="21"/>
        </w:rPr>
      </w:pPr>
      <w:r>
        <w:rPr>
          <w:rFonts w:hint="eastAsia"/>
          <w:sz w:val="21"/>
          <w:szCs w:val="21"/>
        </w:rPr>
        <w:t xml:space="preserve">除上述第2、8、14、15项以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pPr>
        <w:pStyle w:val="7"/>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则本基金不再受相关限制，但须提前公告，不需要经基金份额持有人大会审议。 </w:t>
      </w:r>
    </w:p>
    <w:p>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（三）基金托管人根据有关法律法规的规定及基金合同的约定，对本托管协议第十五条第（十二）款基金投资禁止行为进行监督。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 </w:t>
      </w:r>
    </w:p>
    <w:p>
      <w:pPr>
        <w:pStyle w:val="7"/>
        <w:spacing w:before="0" w:beforeAutospacing="0" w:after="0" w:afterAutospacing="0" w:line="360" w:lineRule="auto"/>
        <w:ind w:firstLine="420"/>
        <w:rPr>
          <w:sz w:val="21"/>
          <w:szCs w:val="21"/>
        </w:rPr>
      </w:pPr>
      <w:r>
        <w:rPr>
          <w:rFonts w:hint="eastAsia"/>
          <w:sz w:val="21"/>
          <w:szCs w:val="21"/>
        </w:rPr>
        <w:t xml:space="preserve">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事后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 </w:t>
      </w:r>
    </w:p>
    <w:p>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承担交易对手不履行合同造成的损失，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 </w:t>
      </w:r>
    </w:p>
    <w:p>
      <w:pPr>
        <w:pStyle w:val="7"/>
        <w:spacing w:before="0" w:beforeAutospacing="0" w:after="0" w:afterAutospacing="0" w:line="360" w:lineRule="auto"/>
        <w:ind w:firstLine="420"/>
        <w:rPr>
          <w:sz w:val="21"/>
          <w:szCs w:val="21"/>
        </w:rPr>
      </w:pPr>
      <w:r>
        <w:rPr>
          <w:rFonts w:hint="eastAsia"/>
          <w:sz w:val="21"/>
          <w:szCs w:val="21"/>
        </w:rPr>
        <w:t xml:space="preserve">（五）基金管理人投资银行定期存款应符合相关法律法规约定。基金管理人应根据本协议的规定与基金托管人签订投资银行定期存款风险控制补充协议。基金管理人在投资银行定期存款的过程中，必须符合补充协议就投资品种、投资比例、存款期限等方面的限制。在投资过程中，基金托管人将严格按照补充协议中的约定对相关业务进行监督和审核。 </w:t>
      </w:r>
    </w:p>
    <w:p>
      <w:pPr>
        <w:pStyle w:val="7"/>
        <w:spacing w:before="0" w:beforeAutospacing="0" w:after="0" w:afterAutospacing="0" w:line="360" w:lineRule="auto"/>
        <w:ind w:firstLine="420"/>
        <w:rPr>
          <w:sz w:val="21"/>
          <w:szCs w:val="21"/>
        </w:rPr>
      </w:pPr>
      <w:r>
        <w:rPr>
          <w:rFonts w:hint="eastAsia"/>
          <w:sz w:val="21"/>
          <w:szCs w:val="21"/>
        </w:rPr>
        <w:t xml:space="preserve">（六）基金管理人投资中期票据应符合相关法律法规约定。基金管理人应根据本协议的规定与基金托管人签订投资中期票据风险控制补充协议。基金管理人在投资中期票据的过程中，必须严格按照补充协议中的限制性约定进行投资。在投资过程中，基金托管人将严格按照补充协议中的约定对相关业务进行监督和审核。 </w:t>
      </w:r>
    </w:p>
    <w:p>
      <w:pPr>
        <w:pStyle w:val="7"/>
        <w:spacing w:before="0" w:beforeAutospacing="0" w:after="0" w:afterAutospacing="0" w:line="360" w:lineRule="auto"/>
        <w:ind w:firstLine="420"/>
        <w:rPr>
          <w:sz w:val="21"/>
          <w:szCs w:val="21"/>
        </w:rPr>
      </w:pPr>
      <w:r>
        <w:rPr>
          <w:rFonts w:hint="eastAsia"/>
          <w:sz w:val="21"/>
          <w:szCs w:val="21"/>
        </w:rPr>
        <w:t xml:space="preserve">（七）基金管理人投资中小企业私募债应符合相关法律法规约定。基金管理人应根据本协议的规定与基金托管人签订投资中小企业私募债风险控制补充协议。基金管理人在投资中小企业私募债前，应向基金托管人提供经资产管理人董事会批准的投资中小企业私募债券的相关制度。在投资中小企业私募债券的过程中，基金管理人应合理控制投资中小企业私募债的比例。基金托管人按照补充协议中的约定对相关投资进行监督和审核。 </w:t>
      </w:r>
    </w:p>
    <w:p>
      <w:pPr>
        <w:pStyle w:val="7"/>
        <w:spacing w:before="0" w:beforeAutospacing="0" w:after="0" w:afterAutospacing="0" w:line="360" w:lineRule="auto"/>
        <w:ind w:firstLine="420"/>
        <w:rPr>
          <w:sz w:val="21"/>
          <w:szCs w:val="21"/>
        </w:rPr>
      </w:pPr>
      <w:r>
        <w:rPr>
          <w:rFonts w:hint="eastAsia"/>
          <w:sz w:val="21"/>
          <w:szCs w:val="21"/>
        </w:rPr>
        <w:t xml:space="preserve">（八）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pPr>
        <w:pStyle w:val="7"/>
        <w:spacing w:before="0" w:beforeAutospacing="0" w:after="0" w:afterAutospacing="0" w:line="360" w:lineRule="auto"/>
        <w:ind w:firstLine="420"/>
        <w:rPr>
          <w:sz w:val="21"/>
          <w:szCs w:val="21"/>
        </w:rPr>
      </w:pPr>
      <w:r>
        <w:rPr>
          <w:rFonts w:hint="eastAsia"/>
          <w:sz w:val="21"/>
          <w:szCs w:val="21"/>
        </w:rPr>
        <w:t xml:space="preserve">（九）基金托管人发现基金管理人的上述事项及投资指令或实际投资运作违反法律法规、基金合同和本托管协议的规定，应及时以电话提醒或书面提示等方式通知基金管理人限期纠正。 </w:t>
      </w:r>
    </w:p>
    <w:p>
      <w:pPr>
        <w:pStyle w:val="7"/>
        <w:spacing w:before="0" w:beforeAutospacing="0" w:after="0" w:afterAutospacing="0" w:line="360" w:lineRule="auto"/>
        <w:ind w:firstLine="420"/>
        <w:rPr>
          <w:sz w:val="21"/>
          <w:szCs w:val="21"/>
        </w:rPr>
      </w:pPr>
      <w:r>
        <w:rPr>
          <w:rFonts w:hint="eastAsia"/>
          <w:sz w:val="21"/>
          <w:szCs w:val="21"/>
        </w:rPr>
        <w:t xml:space="preserve">基金管理人应积极配合和协助基金托管人的监督和核查。基金管理人收到书面通知后应在下一工作日前及时核对并以书面形式给基金托管人发出回函，就基金托管人合理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pPr>
        <w:pStyle w:val="7"/>
        <w:spacing w:before="0" w:beforeAutospacing="0" w:after="0" w:afterAutospacing="0" w:line="360" w:lineRule="auto"/>
        <w:ind w:firstLine="420"/>
        <w:rPr>
          <w:sz w:val="21"/>
          <w:szCs w:val="21"/>
        </w:rPr>
      </w:pPr>
      <w:r>
        <w:rPr>
          <w:rFonts w:hint="eastAsia"/>
          <w:sz w:val="21"/>
          <w:szCs w:val="21"/>
        </w:rPr>
        <w:t xml:space="preserve">（十）基金管理人有义务配合和协助基金托管人依照法律法规、基金合同和本托管协议对基金业务执行核查。 </w:t>
      </w:r>
    </w:p>
    <w:p>
      <w:pPr>
        <w:pStyle w:val="7"/>
        <w:spacing w:before="0" w:beforeAutospacing="0" w:after="0" w:afterAutospacing="0" w:line="360" w:lineRule="auto"/>
        <w:ind w:firstLine="420"/>
        <w:rPr>
          <w:sz w:val="21"/>
          <w:szCs w:val="21"/>
        </w:rPr>
      </w:pPr>
      <w:r>
        <w:rPr>
          <w:rFonts w:hint="eastAsia"/>
          <w:sz w:val="21"/>
          <w:szCs w:val="21"/>
        </w:rPr>
        <w:t xml:space="preserve">对基金托管人发出的书面提示，基金管理人应在规定时间内答复并改正，或就基金托管人合理的疑义进行解释或举证；对基金托管人按照法律法规、基金合同和本托管协议的要求需向中国证监会报送基金监督报告的事项，基金管理人应积极配合提供相关数据资料和制度等。 </w:t>
      </w:r>
    </w:p>
    <w:p>
      <w:pPr>
        <w:pStyle w:val="7"/>
        <w:spacing w:before="0" w:beforeAutospacing="0" w:after="0" w:afterAutospacing="0" w:line="360" w:lineRule="auto"/>
        <w:ind w:firstLine="420"/>
        <w:rPr>
          <w:sz w:val="21"/>
          <w:szCs w:val="21"/>
        </w:rPr>
      </w:pPr>
      <w:r>
        <w:rPr>
          <w:rFonts w:hint="eastAsia"/>
          <w:sz w:val="21"/>
          <w:szCs w:val="21"/>
        </w:rPr>
        <w:t xml:space="preserve">（十一）若基金托管人发现基金管理人依据交易程序已经生效的指令违反法律、行政法规和其他有关规定，或者违反基金合同约定的，应当立即通知基金管理人。 </w:t>
      </w:r>
    </w:p>
    <w:p>
      <w:pPr>
        <w:pStyle w:val="7"/>
        <w:spacing w:before="0" w:beforeAutospacing="0" w:after="0" w:afterAutospacing="0" w:line="360" w:lineRule="auto"/>
        <w:ind w:firstLine="420"/>
        <w:rPr>
          <w:sz w:val="21"/>
          <w:szCs w:val="21"/>
        </w:rPr>
      </w:pPr>
      <w:r>
        <w:rPr>
          <w:rFonts w:hint="eastAsia"/>
          <w:sz w:val="21"/>
          <w:szCs w:val="21"/>
        </w:rPr>
        <w:t xml:space="preserve">（十二）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pPr>
        <w:pStyle w:val="7"/>
        <w:spacing w:before="0" w:beforeAutospacing="0" w:after="0" w:afterAutospacing="0" w:line="360" w:lineRule="auto"/>
        <w:ind w:firstLine="420"/>
        <w:rPr>
          <w:sz w:val="21"/>
          <w:szCs w:val="21"/>
        </w:rPr>
      </w:pPr>
      <w:r>
        <w:rPr>
          <w:rFonts w:hint="eastAsia"/>
          <w:sz w:val="21"/>
          <w:szCs w:val="21"/>
        </w:rPr>
        <w:t xml:space="preserve">基金托管人依照相关法律法规的规定和基金合同的约定，对侧袋机制启用、特定资产处置和信息披露等方面进行复核和监督。侧袋机制实施期间的具体规则依照相关法律法规的规定和基金合同的约定执行。  </w:t>
      </w:r>
    </w:p>
    <w:p>
      <w:pPr>
        <w:pStyle w:val="7"/>
        <w:spacing w:before="0" w:beforeAutospacing="0" w:after="0" w:afterAutospacing="0" w:line="360" w:lineRule="auto"/>
        <w:ind w:firstLine="420"/>
        <w:rPr>
          <w:sz w:val="21"/>
          <w:szCs w:val="21"/>
        </w:rPr>
      </w:pPr>
      <w:r>
        <w:rPr>
          <w:rFonts w:hint="eastAsia"/>
          <w:sz w:val="21"/>
          <w:szCs w:val="21"/>
        </w:rPr>
        <w:t xml:space="preserve">（十三）基金托管人发现基金管理人有重大违规行为，应及时报告中国证监会，同时通知基金管理人限期纠正，并将纠正结果报告中国证监会。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基金管理人无正当理由，拒绝、阻挠对方根据本托管协议规定行使监督权，或采取拖延、欺诈等手段妨碍对方进行有效监督，情节严重或经基金托管人提出警告仍不改正的，基金托管人应报告中国证监会。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等投资所需账户、复核基金管理人计算的基金资产净值和各类基金份额净值、根据基金管理人指令办理清算交收、相关信息披露和监督基金投资运作等行为。  </w:t>
      </w:r>
    </w:p>
    <w:p>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 </w:t>
      </w:r>
    </w:p>
    <w:p>
      <w:pPr>
        <w:pStyle w:val="7"/>
        <w:spacing w:before="0" w:beforeAutospacing="0" w:after="0" w:afterAutospacing="0" w:line="360" w:lineRule="auto"/>
        <w:ind w:firstLine="420"/>
        <w:rPr>
          <w:sz w:val="21"/>
          <w:szCs w:val="21"/>
        </w:rPr>
      </w:pPr>
      <w:r>
        <w:rPr>
          <w:rFonts w:hint="eastAsia"/>
          <w:sz w:val="21"/>
          <w:szCs w:val="21"/>
        </w:rPr>
        <w:t xml:space="preserve">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 </w:t>
      </w:r>
    </w:p>
    <w:p>
      <w:pPr>
        <w:pStyle w:val="7"/>
        <w:spacing w:before="0" w:beforeAutospacing="0" w:after="0" w:afterAutospacing="0" w:line="360" w:lineRule="auto"/>
        <w:ind w:firstLine="420"/>
        <w:rPr>
          <w:sz w:val="21"/>
          <w:szCs w:val="21"/>
        </w:rPr>
      </w:pPr>
      <w:r>
        <w:rPr>
          <w:rFonts w:hint="eastAsia"/>
          <w:sz w:val="21"/>
          <w:szCs w:val="21"/>
        </w:rPr>
        <w:t xml:space="preserve">基金托管人无正当理由，拒绝、阻挠对方根据本协议规定行使监督权，或采取拖延、欺诈等手段妨碍对方进行有效监督，情节严重或经基金管理人提出警告仍不改正的，基金管理人应报告中国证监会。 </w:t>
      </w:r>
    </w:p>
    <w:p>
      <w:pPr>
        <w:pStyle w:val="7"/>
        <w:spacing w:before="0" w:beforeAutospacing="0" w:after="0" w:afterAutospacing="0" w:line="360" w:lineRule="auto"/>
        <w:ind w:firstLine="420"/>
        <w:rPr>
          <w:sz w:val="21"/>
          <w:szCs w:val="21"/>
        </w:rPr>
      </w:pPr>
      <w:r>
        <w:rPr>
          <w:rStyle w:val="11"/>
          <w:rFonts w:hint="eastAsia"/>
          <w:sz w:val="21"/>
          <w:szCs w:val="21"/>
        </w:rPr>
        <w:t>四、基金财产的保管</w:t>
      </w:r>
    </w:p>
    <w:p>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1、基金财产应独立于基金管理人、基金托管人的固有财产； </w:t>
      </w:r>
    </w:p>
    <w:p>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3、基金托管人按照规定开设基金财产的资金账户、证券账户以及投资所需的其他账户； </w:t>
      </w:r>
    </w:p>
    <w:p>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4、基金托管人对所托管的不同基金财产分别设置账户，确保基金财产的完整与独立； </w:t>
      </w:r>
    </w:p>
    <w:p>
      <w:pPr>
        <w:pStyle w:val="7"/>
        <w:spacing w:before="0" w:beforeAutospacing="0" w:after="0" w:afterAutospacing="0" w:line="360" w:lineRule="auto"/>
        <w:ind w:firstLine="420"/>
        <w:rPr>
          <w:sz w:val="21"/>
          <w:szCs w:val="21"/>
        </w:rPr>
      </w:pPr>
      <w:r>
        <w:rPr>
          <w:rFonts w:hint="eastAsia"/>
          <w:sz w:val="21"/>
          <w:szCs w:val="21"/>
        </w:rPr>
        <w:t xml:space="preserve">5、基金托管人根据基金管理人的指令，按照基金合同和本协议的约定保管基金财产，如有特殊情况双方可另行协商解决； </w:t>
      </w:r>
    </w:p>
    <w:p>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并配合基金管理人采取措施进行催收。由此给基金财产造成损失的，基金管理人应负责向有关当事人追偿基金财产的损失； </w:t>
      </w:r>
    </w:p>
    <w:p>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1、基金募集期间募集的资金应存于基金管理人开立的“基金募集专户”。该账户由基金管理人开立并管理。 </w:t>
      </w:r>
    </w:p>
    <w:p>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托管专户，同时在规定时间内，聘请具有从事证券相关业务资格的会计师事务所进行验资，出具验资报告。出具的验资报告由参加验资的2名或2名以上中国注册会计师签字方为有效。 </w:t>
      </w:r>
    </w:p>
    <w:p>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pPr>
        <w:pStyle w:val="7"/>
        <w:spacing w:before="0" w:beforeAutospacing="0" w:after="0" w:afterAutospacing="0" w:line="360" w:lineRule="auto"/>
        <w:ind w:firstLine="420"/>
        <w:rPr>
          <w:sz w:val="21"/>
          <w:szCs w:val="21"/>
        </w:rPr>
      </w:pPr>
      <w:r>
        <w:rPr>
          <w:rFonts w:hint="eastAsia"/>
          <w:sz w:val="21"/>
          <w:szCs w:val="21"/>
        </w:rPr>
        <w:t xml:space="preserve">（三）基金托管专户的开立和管理 </w:t>
      </w:r>
    </w:p>
    <w:p>
      <w:pPr>
        <w:pStyle w:val="7"/>
        <w:spacing w:before="0" w:beforeAutospacing="0" w:after="0" w:afterAutospacing="0" w:line="360" w:lineRule="auto"/>
        <w:ind w:firstLine="420"/>
        <w:rPr>
          <w:sz w:val="21"/>
          <w:szCs w:val="21"/>
        </w:rPr>
      </w:pPr>
      <w:r>
        <w:rPr>
          <w:rFonts w:hint="eastAsia"/>
          <w:sz w:val="21"/>
          <w:szCs w:val="21"/>
        </w:rPr>
        <w:t>基金托管专户的名称: </w:t>
      </w:r>
      <w:bookmarkStart w:id="209" w:name="field_0_productfullname_10"/>
      <w:r>
        <w:rPr>
          <w:rFonts w:hint="eastAsia"/>
          <w:sz w:val="21"/>
          <w:szCs w:val="21"/>
        </w:rPr>
        <w:t>博时安怡</w:t>
      </w:r>
      <w:r>
        <w:rPr>
          <w:sz w:val="21"/>
          <w:szCs w:val="21"/>
        </w:rPr>
        <w:t>6个月定期开放债券型证券投资基金</w:t>
      </w:r>
      <w:bookmarkEnd w:id="209"/>
      <w:r>
        <w:rPr>
          <w:rFonts w:hint="eastAsia"/>
          <w:sz w:val="21"/>
          <w:szCs w:val="21"/>
        </w:rPr>
        <w:t xml:space="preserve">  </w:t>
      </w:r>
    </w:p>
    <w:p>
      <w:pPr>
        <w:pStyle w:val="7"/>
        <w:spacing w:before="0" w:beforeAutospacing="0" w:after="0" w:afterAutospacing="0" w:line="360" w:lineRule="auto"/>
        <w:ind w:firstLine="420"/>
        <w:rPr>
          <w:sz w:val="21"/>
          <w:szCs w:val="21"/>
        </w:rPr>
      </w:pPr>
      <w:r>
        <w:rPr>
          <w:rFonts w:hint="eastAsia"/>
          <w:sz w:val="21"/>
          <w:szCs w:val="21"/>
        </w:rPr>
        <w:t xml:space="preserve">托管账户开户行:中国光大银行北京分行定慧桥支行 </w:t>
      </w:r>
    </w:p>
    <w:p>
      <w:pPr>
        <w:pStyle w:val="7"/>
        <w:spacing w:before="0" w:beforeAutospacing="0" w:after="0" w:afterAutospacing="0" w:line="360" w:lineRule="auto"/>
        <w:ind w:firstLine="420"/>
        <w:rPr>
          <w:sz w:val="21"/>
          <w:szCs w:val="21"/>
        </w:rPr>
      </w:pPr>
      <w:r>
        <w:rPr>
          <w:rFonts w:hint="eastAsia"/>
          <w:sz w:val="21"/>
          <w:szCs w:val="21"/>
        </w:rPr>
        <w:t xml:space="preserve">1、基金托管人以基金的名义在其营业机构开设基金托管专户，保管基金的银行存款。本基金的一切货币收支活动，包括但不限于投资、支付赎回金额、支付基金收益、收取申购款，均需通过基金托管专户进行。 </w:t>
      </w:r>
    </w:p>
    <w:p>
      <w:pPr>
        <w:pStyle w:val="7"/>
        <w:spacing w:before="0" w:beforeAutospacing="0" w:after="0" w:afterAutospacing="0" w:line="360" w:lineRule="auto"/>
        <w:ind w:firstLine="420"/>
        <w:rPr>
          <w:sz w:val="21"/>
          <w:szCs w:val="21"/>
        </w:rPr>
      </w:pPr>
      <w:r>
        <w:rPr>
          <w:rFonts w:hint="eastAsia"/>
          <w:sz w:val="21"/>
          <w:szCs w:val="21"/>
        </w:rPr>
        <w:t xml:space="preserve">2、基金托管专户的开立和使用，限于满足开展本基金业务的需要。基金托管人和基金管理人不得假借本基金的名义开立任何其他银行账户；亦不得使用基金的任何账户进行本基金业务以外的活动。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3、基金托管专户的开立和管理应符合有关法律法规以及银行业监督管理机构的其他有关规定。 </w:t>
      </w:r>
    </w:p>
    <w:p>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1、基金托管人在中国证券登记结算有限责任公司上海分公司、深圳分公司为基金开立基金托管人与基金联名的证券账户。 </w:t>
      </w:r>
    </w:p>
    <w:p>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pPr>
        <w:pStyle w:val="7"/>
        <w:spacing w:before="0" w:beforeAutospacing="0" w:after="0" w:afterAutospacing="0" w:line="360" w:lineRule="auto"/>
        <w:ind w:firstLine="420"/>
        <w:rPr>
          <w:sz w:val="21"/>
          <w:szCs w:val="21"/>
        </w:rPr>
      </w:pPr>
      <w:r>
        <w:rPr>
          <w:rFonts w:hint="eastAsia"/>
          <w:sz w:val="21"/>
          <w:szCs w:val="21"/>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交收价差资金等的收取按照中国证券登记结算有限责任公司的规定执行。 </w:t>
      </w:r>
    </w:p>
    <w:p>
      <w:pPr>
        <w:pStyle w:val="7"/>
        <w:spacing w:before="0" w:beforeAutospacing="0" w:after="0" w:afterAutospacing="0" w:line="360" w:lineRule="auto"/>
        <w:ind w:firstLine="420"/>
        <w:rPr>
          <w:sz w:val="21"/>
          <w:szCs w:val="21"/>
        </w:rPr>
      </w:pPr>
      <w:r>
        <w:rPr>
          <w:rFonts w:hint="eastAsia"/>
          <w:sz w:val="21"/>
          <w:szCs w:val="21"/>
        </w:rPr>
        <w:t xml:space="preserve">5、若中国证监会或其他监管机构在本托管协议订立日之后允许基金从事其他投资品种的投资业务，涉及相关账户的开立、使用的，若无相关规定，则基金托管人比照上述关于账户开立、使用的规定执行。 </w:t>
      </w:r>
    </w:p>
    <w:p>
      <w:pPr>
        <w:pStyle w:val="7"/>
        <w:spacing w:before="0" w:beforeAutospacing="0" w:after="0" w:afterAutospacing="0" w:line="360" w:lineRule="auto"/>
        <w:ind w:firstLine="420"/>
        <w:rPr>
          <w:sz w:val="21"/>
          <w:szCs w:val="21"/>
        </w:rPr>
      </w:pPr>
      <w:r>
        <w:rPr>
          <w:rFonts w:hint="eastAsia"/>
          <w:sz w:val="21"/>
          <w:szCs w:val="21"/>
        </w:rPr>
        <w:t xml:space="preserve">（五）银行间债券托管专户的开设和管理 </w:t>
      </w:r>
    </w:p>
    <w:p>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负责以本基金的名义在中央国债登记结算有限责任公司和银行间市场清算所股份有限公司开设银行间债券市场债券托管账户，并代表基金进行银行间市场债券的结算。基金管理人和基金托管人共同代表基金签订全国银行间债券市场债券回购主协议，基金托管人保管协议正本，基金管理人保存协议副本。 </w:t>
      </w:r>
    </w:p>
    <w:p>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pPr>
        <w:pStyle w:val="7"/>
        <w:spacing w:before="0" w:beforeAutospacing="0" w:after="0" w:afterAutospacing="0" w:line="360" w:lineRule="auto"/>
        <w:ind w:firstLine="420"/>
        <w:rPr>
          <w:sz w:val="21"/>
          <w:szCs w:val="21"/>
        </w:rPr>
      </w:pPr>
      <w:r>
        <w:rPr>
          <w:rFonts w:hint="eastAsia"/>
          <w:sz w:val="21"/>
          <w:szCs w:val="21"/>
        </w:rPr>
        <w:t xml:space="preserve">在本托管协议签订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 </w:t>
      </w:r>
    </w:p>
    <w:p>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等有价凭证由基金托管人存放于基金托管人的保管库，也可存入中央国债登记结算有限责任公司、中国证券登记结算有限责任公司上海分公司/深圳分公司、银行间清算所股份有限公司或票据营业中心的代保管库，保管凭证由基金托管人持有。实物证券等有价凭证的购买和转让，由基金管理人和基金托管人共同办理。基金托管人对由基金托管人及基金托管人委托保管的机构以外机构实际有效控制的证券不承担保管责任。 </w:t>
      </w:r>
    </w:p>
    <w:p>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将重大合同传真给基金托管人，并在30个工作日内将正本送达基金托管人处。重大合同的保管期限为基金合同终止后15年。 </w:t>
      </w:r>
    </w:p>
    <w:p>
      <w:pPr>
        <w:pStyle w:val="7"/>
        <w:spacing w:before="0" w:beforeAutospacing="0" w:after="0" w:afterAutospacing="0" w:line="360" w:lineRule="auto"/>
        <w:ind w:firstLine="420"/>
        <w:rPr>
          <w:sz w:val="21"/>
          <w:szCs w:val="21"/>
        </w:rPr>
      </w:pPr>
      <w:r>
        <w:rPr>
          <w:rFonts w:hint="eastAsia"/>
          <w:sz w:val="21"/>
          <w:szCs w:val="21"/>
        </w:rPr>
        <w:t xml:space="preserve">对于无法取得二份以上正本的，基金管理人应向基金托管人提供与合同原件核对一致的加盖公章的合同传真件，未经双方协商一致或未在合同约定范围内，合同原件不得转移。 </w:t>
      </w:r>
    </w:p>
    <w:p>
      <w:pPr>
        <w:pStyle w:val="7"/>
        <w:spacing w:before="0" w:beforeAutospacing="0" w:after="0" w:afterAutospacing="0" w:line="360" w:lineRule="auto"/>
        <w:ind w:firstLine="420"/>
        <w:rPr>
          <w:sz w:val="21"/>
          <w:szCs w:val="21"/>
        </w:rPr>
      </w:pPr>
      <w:r>
        <w:rPr>
          <w:rStyle w:val="11"/>
          <w:rFonts w:hint="eastAsia"/>
          <w:sz w:val="21"/>
          <w:szCs w:val="21"/>
        </w:rPr>
        <w:t>五、基金资产净值计算与复核</w:t>
      </w:r>
    </w:p>
    <w:p>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pPr>
        <w:pStyle w:val="7"/>
        <w:spacing w:before="0" w:beforeAutospacing="0" w:after="0" w:afterAutospacing="0" w:line="360" w:lineRule="auto"/>
        <w:ind w:firstLine="420"/>
        <w:rPr>
          <w:sz w:val="21"/>
          <w:szCs w:val="21"/>
        </w:rPr>
      </w:pPr>
      <w:r>
        <w:rPr>
          <w:rFonts w:hint="eastAsia"/>
          <w:sz w:val="21"/>
          <w:szCs w:val="21"/>
        </w:rPr>
        <w:t xml:space="preserve">1、基金资产净值 </w:t>
      </w:r>
    </w:p>
    <w:p>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基金资产净值是指基金资产总值减去负债后的价值。各类基金份额净值是指计算日各类基金份额的基金资产净值除以计算日该类基金份额总数后的价值。 </w:t>
      </w:r>
    </w:p>
    <w:p>
      <w:pPr>
        <w:pStyle w:val="7"/>
        <w:spacing w:before="0" w:beforeAutospacing="0" w:after="0" w:afterAutospacing="0" w:line="360" w:lineRule="auto"/>
        <w:ind w:firstLine="420"/>
        <w:rPr>
          <w:sz w:val="21"/>
          <w:szCs w:val="21"/>
        </w:rPr>
      </w:pPr>
      <w:r>
        <w:rPr>
          <w:rFonts w:hint="eastAsia"/>
          <w:sz w:val="21"/>
          <w:szCs w:val="21"/>
        </w:rPr>
        <w:t xml:space="preserve">计算公式为: 计算日各类基金份额净值 = 计算日各类基金份额的基金资产净值 / 计算日该类基金份额的总份额余额。 </w:t>
      </w:r>
    </w:p>
    <w:p>
      <w:pPr>
        <w:pStyle w:val="7"/>
        <w:spacing w:before="0" w:beforeAutospacing="0" w:after="0" w:afterAutospacing="0" w:line="360" w:lineRule="auto"/>
        <w:ind w:firstLine="420"/>
        <w:rPr>
          <w:sz w:val="21"/>
          <w:szCs w:val="21"/>
        </w:rPr>
      </w:pPr>
      <w:r>
        <w:rPr>
          <w:rFonts w:hint="eastAsia"/>
          <w:sz w:val="21"/>
          <w:szCs w:val="21"/>
        </w:rPr>
        <w:t xml:space="preserve">各类基金份额净值的计算均精确到0.0001 元，小数点后第5位四舍五入，国家另有规定的，从其规定。 </w:t>
      </w:r>
    </w:p>
    <w:p>
      <w:pPr>
        <w:pStyle w:val="7"/>
        <w:spacing w:before="0" w:beforeAutospacing="0" w:after="0" w:afterAutospacing="0" w:line="360" w:lineRule="auto"/>
        <w:ind w:firstLine="420"/>
        <w:rPr>
          <w:sz w:val="21"/>
          <w:szCs w:val="21"/>
        </w:rPr>
      </w:pPr>
      <w:r>
        <w:rPr>
          <w:rFonts w:hint="eastAsia"/>
          <w:sz w:val="21"/>
          <w:szCs w:val="21"/>
        </w:rPr>
        <w:t xml:space="preserve">2、复核程序 </w:t>
      </w:r>
    </w:p>
    <w:p>
      <w:pPr>
        <w:pStyle w:val="7"/>
        <w:spacing w:before="0" w:beforeAutospacing="0" w:after="0" w:afterAutospacing="0" w:line="360" w:lineRule="auto"/>
        <w:ind w:firstLine="420"/>
        <w:rPr>
          <w:sz w:val="21"/>
          <w:szCs w:val="21"/>
        </w:rPr>
      </w:pPr>
      <w:r>
        <w:rPr>
          <w:rFonts w:hint="eastAsia"/>
          <w:sz w:val="21"/>
          <w:szCs w:val="21"/>
        </w:rPr>
        <w:t xml:space="preserve">基金管理人每个工作日对基金资产进行估值后，将基金份额净值结果发送基金托管人，经基金托管人复核无误后，由基金管理人按规定对外公布。 </w:t>
      </w:r>
    </w:p>
    <w:p>
      <w:pPr>
        <w:pStyle w:val="7"/>
        <w:spacing w:before="0" w:beforeAutospacing="0" w:after="0" w:afterAutospacing="0" w:line="360" w:lineRule="auto"/>
        <w:ind w:firstLine="420"/>
        <w:rPr>
          <w:sz w:val="21"/>
          <w:szCs w:val="21"/>
        </w:rPr>
      </w:pPr>
      <w:r>
        <w:rPr>
          <w:rFonts w:hint="eastAsia"/>
          <w:sz w:val="21"/>
          <w:szCs w:val="21"/>
        </w:rPr>
        <w:t xml:space="preserve">3、根据有关法律法规，基金净值计算和基金会计核算的义务由基金管理人承担。本基金的基金会计责任方由基金管理人担任，因此，就与本基金有关的会计问题，如经相关各方在平等基础上充分讨论后，仍无法达成一致意见的，按照基金管理人对基金净值的计算结果对外予以公布。 </w:t>
      </w:r>
    </w:p>
    <w:p>
      <w:pPr>
        <w:pStyle w:val="7"/>
        <w:spacing w:before="0" w:beforeAutospacing="0" w:after="0" w:afterAutospacing="0" w:line="360" w:lineRule="auto"/>
        <w:ind w:firstLine="420"/>
        <w:rPr>
          <w:sz w:val="21"/>
          <w:szCs w:val="21"/>
        </w:rPr>
      </w:pPr>
      <w:r>
        <w:rPr>
          <w:rStyle w:val="11"/>
          <w:rFonts w:hint="eastAsia"/>
          <w:sz w:val="21"/>
          <w:szCs w:val="21"/>
        </w:rPr>
        <w:t>六、基金份额持有人名册的登记与保管</w:t>
      </w:r>
    </w:p>
    <w:p>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应定期向基金托管人提供基金份额持有人名册，基金托管人得到基金管理人提供的持有人名册后与基金管理人分别进行保管。保管方式可以采用电子或文档的形式，保存期不少于15年。如不能妥善保管，则按相关法规承担责任。法律法规另有规定或有权机关另有要求的除外。 </w:t>
      </w:r>
    </w:p>
    <w:p>
      <w:pPr>
        <w:pStyle w:val="7"/>
        <w:spacing w:before="0" w:beforeAutospacing="0" w:after="0" w:afterAutospacing="0" w:line="360" w:lineRule="auto"/>
        <w:ind w:firstLine="420"/>
        <w:rPr>
          <w:sz w:val="21"/>
          <w:szCs w:val="21"/>
        </w:rPr>
      </w:pPr>
      <w:r>
        <w:rPr>
          <w:rFonts w:hint="eastAsia"/>
          <w:sz w:val="21"/>
          <w:szCs w:val="21"/>
        </w:rPr>
        <w:t xml:space="preserve">基金托管人因编制基金定期报告等合理原因要求基金管理人提供相关资料时，基金管理人应将有关资料送交基金托管人，不得无故拒绝或延误提供，并保证其真实性、准确性和完整性。基金托管人不得将所保管的基金份额持有人名册用于基金托管业务以外的其他用途，并应遵守保密义务。 </w:t>
      </w:r>
    </w:p>
    <w:p>
      <w:pPr>
        <w:pStyle w:val="7"/>
        <w:spacing w:before="0" w:beforeAutospacing="0" w:after="0" w:afterAutospacing="0" w:line="360" w:lineRule="auto"/>
        <w:ind w:firstLine="420"/>
        <w:rPr>
          <w:sz w:val="21"/>
          <w:szCs w:val="21"/>
        </w:rPr>
      </w:pPr>
      <w:r>
        <w:rPr>
          <w:rStyle w:val="11"/>
          <w:rFonts w:hint="eastAsia"/>
          <w:sz w:val="21"/>
          <w:szCs w:val="21"/>
        </w:rPr>
        <w:t>七、争议解决方式</w:t>
      </w:r>
    </w:p>
    <w:p>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未能解决的，任何一方均有权将争议提交中国国际经济贸易仲裁委员会，按照该会届时有效的仲裁规则进行仲裁。仲裁地点为北京市。仲裁裁决是终局的，对各方当事人均有约束力，仲裁费用由败诉方承担。 </w:t>
      </w:r>
    </w:p>
    <w:p>
      <w:pPr>
        <w:pStyle w:val="7"/>
        <w:spacing w:before="0" w:beforeAutospacing="0" w:after="0" w:afterAutospacing="0" w:line="360" w:lineRule="auto"/>
        <w:ind w:firstLine="420"/>
        <w:rPr>
          <w:sz w:val="21"/>
          <w:szCs w:val="21"/>
        </w:rPr>
      </w:pPr>
      <w:r>
        <w:rPr>
          <w:rFonts w:hint="eastAsia"/>
          <w:sz w:val="21"/>
          <w:szCs w:val="21"/>
        </w:rPr>
        <w:t xml:space="preserve">争议处理期间，双方当事人应恪守基金管理人和基金托管人职责，各自继续忠实、勤勉、尽责地履行基金合同和本托管协议规定的义务，维护基金份额持有人的合法权益。 </w:t>
      </w:r>
    </w:p>
    <w:p>
      <w:pPr>
        <w:pStyle w:val="7"/>
        <w:spacing w:before="0" w:beforeAutospacing="0" w:after="0" w:afterAutospacing="0" w:line="360" w:lineRule="auto"/>
        <w:ind w:firstLine="420"/>
        <w:rPr>
          <w:sz w:val="21"/>
          <w:szCs w:val="21"/>
        </w:rPr>
      </w:pPr>
      <w:r>
        <w:rPr>
          <w:rFonts w:hint="eastAsia"/>
          <w:sz w:val="21"/>
          <w:szCs w:val="21"/>
        </w:rPr>
        <w:t xml:space="preserve">本协议受中国法律管辖。 </w:t>
      </w:r>
    </w:p>
    <w:p>
      <w:pPr>
        <w:pStyle w:val="7"/>
        <w:spacing w:before="0" w:beforeAutospacing="0" w:after="0" w:afterAutospacing="0" w:line="360" w:lineRule="auto"/>
        <w:ind w:firstLine="420"/>
        <w:rPr>
          <w:sz w:val="21"/>
          <w:szCs w:val="21"/>
        </w:rPr>
      </w:pPr>
      <w:r>
        <w:rPr>
          <w:rStyle w:val="11"/>
          <w:rFonts w:hint="eastAsia"/>
          <w:sz w:val="21"/>
          <w:szCs w:val="21"/>
        </w:rPr>
        <w:t>八、托管协议的修改与终止</w:t>
      </w:r>
    </w:p>
    <w:p>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本协议双方当事人经协商一致，可以对协议进行修改。修改后的新协议，其内容不得与基金合同的规定有任何冲突。基金托管协议的变更报中国备案。 </w:t>
      </w:r>
    </w:p>
    <w:p>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pPr>
        <w:pStyle w:val="7"/>
        <w:spacing w:before="0" w:beforeAutospacing="0" w:after="0" w:afterAutospacing="0" w:line="360" w:lineRule="auto"/>
        <w:ind w:firstLine="420"/>
        <w:rPr>
          <w:sz w:val="21"/>
          <w:szCs w:val="21"/>
        </w:rPr>
      </w:pPr>
      <w:r>
        <w:rPr>
          <w:rFonts w:hint="eastAsia"/>
          <w:sz w:val="21"/>
          <w:szCs w:val="21"/>
        </w:rPr>
        <w:t xml:space="preserve">1、基金合同终止； </w:t>
      </w:r>
    </w:p>
    <w:p>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pPr>
        <w:pStyle w:val="7"/>
        <w:spacing w:before="0" w:beforeAutospacing="0" w:after="0" w:afterAutospacing="0" w:line="360" w:lineRule="auto"/>
        <w:ind w:firstLine="420"/>
        <w:rPr>
          <w:sz w:val="21"/>
          <w:szCs w:val="21"/>
        </w:rPr>
      </w:pPr>
      <w:bookmarkStart w:id="210" w:name="chapter_level1_23_72_section_1_end"/>
      <w:bookmarkEnd w:id="210"/>
      <w:r>
        <w:rPr>
          <w:rFonts w:hint="eastAsia"/>
          <w:sz w:val="21"/>
          <w:szCs w:val="21"/>
        </w:rPr>
        <w:t xml:space="preserve">4、发生法律法规或基金合同规定的终止事项。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1" w:name="_Toc207926672"/>
      <w:bookmarkStart w:id="212" w:name="chapter_level1_24_75"/>
      <w:r>
        <w:rPr>
          <w:rFonts w:hint="eastAsia" w:ascii="宋体" w:hAnsi="宋体" w:eastAsia="宋体"/>
          <w:sz w:val="30"/>
        </w:rPr>
        <w:t>第二十一部分  对基金份额持有人的服务</w:t>
      </w:r>
      <w:bookmarkEnd w:id="211"/>
      <w:bookmarkEnd w:id="212"/>
    </w:p>
    <w:p>
      <w:pPr>
        <w:pStyle w:val="7"/>
        <w:spacing w:before="0" w:beforeAutospacing="0" w:after="0" w:afterAutospacing="0" w:line="360" w:lineRule="auto"/>
        <w:ind w:firstLine="420"/>
        <w:rPr>
          <w:sz w:val="21"/>
          <w:szCs w:val="21"/>
        </w:rPr>
      </w:pPr>
      <w:bookmarkStart w:id="213" w:name="chapter_level1_24_75_section_1"/>
      <w:bookmarkEnd w:id="213"/>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pPr>
        <w:pStyle w:val="7"/>
        <w:spacing w:before="0" w:beforeAutospacing="0" w:after="0" w:afterAutospacing="0" w:line="360" w:lineRule="auto"/>
        <w:ind w:firstLine="420"/>
        <w:rPr>
          <w:sz w:val="21"/>
          <w:szCs w:val="21"/>
        </w:rPr>
      </w:pPr>
      <w:r>
        <w:rPr>
          <w:rFonts w:hint="eastAsia"/>
          <w:sz w:val="21"/>
          <w:szCs w:val="21"/>
        </w:rPr>
        <w:t xml:space="preserve">1、交易确认单 </w:t>
      </w:r>
    </w:p>
    <w:p>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pPr>
        <w:pStyle w:val="7"/>
        <w:spacing w:before="0" w:beforeAutospacing="0" w:after="0" w:afterAutospacing="0" w:line="360" w:lineRule="auto"/>
        <w:ind w:firstLine="420"/>
        <w:rPr>
          <w:sz w:val="21"/>
          <w:szCs w:val="21"/>
        </w:rPr>
      </w:pPr>
      <w:r>
        <w:rPr>
          <w:rFonts w:hint="eastAsia"/>
          <w:sz w:val="21"/>
          <w:szCs w:val="21"/>
        </w:rPr>
        <w:t xml:space="preserve">2、电子对账单 </w:t>
      </w:r>
    </w:p>
    <w:p>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pPr>
        <w:pStyle w:val="7"/>
        <w:spacing w:before="0" w:beforeAutospacing="0" w:after="0" w:afterAutospacing="0" w:line="360" w:lineRule="auto"/>
        <w:ind w:firstLine="420"/>
        <w:rPr>
          <w:sz w:val="21"/>
          <w:szCs w:val="21"/>
        </w:rPr>
      </w:pPr>
      <w:r>
        <w:rPr>
          <w:rStyle w:val="11"/>
          <w:rFonts w:hint="eastAsia"/>
          <w:sz w:val="21"/>
          <w:szCs w:val="21"/>
        </w:rPr>
        <w:t>二、网上理财服务</w:t>
      </w:r>
    </w:p>
    <w:p>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pPr>
        <w:pStyle w:val="7"/>
        <w:spacing w:before="0" w:beforeAutospacing="0" w:after="0" w:afterAutospacing="0" w:line="360" w:lineRule="auto"/>
        <w:ind w:firstLine="420"/>
        <w:rPr>
          <w:sz w:val="21"/>
          <w:szCs w:val="21"/>
        </w:rPr>
      </w:pPr>
      <w:r>
        <w:rPr>
          <w:rFonts w:hint="eastAsia"/>
          <w:sz w:val="21"/>
          <w:szCs w:val="21"/>
        </w:rPr>
        <w:t xml:space="preserve">1、自助开户交易 </w:t>
      </w:r>
    </w:p>
    <w:p>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pPr>
        <w:pStyle w:val="7"/>
        <w:spacing w:before="0" w:beforeAutospacing="0" w:after="0" w:afterAutospacing="0" w:line="360" w:lineRule="auto"/>
        <w:ind w:firstLine="420"/>
        <w:rPr>
          <w:sz w:val="21"/>
          <w:szCs w:val="21"/>
        </w:rPr>
      </w:pPr>
      <w:r>
        <w:rPr>
          <w:rFonts w:hint="eastAsia"/>
          <w:sz w:val="21"/>
          <w:szCs w:val="21"/>
        </w:rPr>
        <w:t xml:space="preserve">2、查询服务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pPr>
        <w:pStyle w:val="7"/>
        <w:spacing w:before="0" w:beforeAutospacing="0" w:after="0" w:afterAutospacing="0" w:line="360" w:lineRule="auto"/>
        <w:ind w:firstLine="420"/>
        <w:rPr>
          <w:sz w:val="21"/>
          <w:szCs w:val="21"/>
        </w:rPr>
      </w:pPr>
      <w:r>
        <w:rPr>
          <w:rFonts w:hint="eastAsia"/>
          <w:sz w:val="21"/>
          <w:szCs w:val="21"/>
        </w:rPr>
        <w:t xml:space="preserve">3、信息资讯服务 </w:t>
      </w:r>
    </w:p>
    <w:p>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pPr>
        <w:pStyle w:val="7"/>
        <w:spacing w:before="0" w:beforeAutospacing="0" w:after="0" w:afterAutospacing="0" w:line="360" w:lineRule="auto"/>
        <w:ind w:firstLine="420"/>
        <w:rPr>
          <w:sz w:val="21"/>
          <w:szCs w:val="21"/>
        </w:rPr>
      </w:pPr>
      <w:r>
        <w:rPr>
          <w:rFonts w:hint="eastAsia"/>
          <w:sz w:val="21"/>
          <w:szCs w:val="21"/>
        </w:rPr>
        <w:t xml:space="preserve">4、在线客服 </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pPr>
        <w:pStyle w:val="7"/>
        <w:spacing w:before="0" w:beforeAutospacing="0" w:after="0" w:afterAutospacing="0" w:line="360" w:lineRule="auto"/>
        <w:ind w:firstLine="420"/>
        <w:rPr>
          <w:sz w:val="21"/>
          <w:szCs w:val="21"/>
        </w:rPr>
      </w:pPr>
      <w:r>
        <w:rPr>
          <w:rStyle w:val="11"/>
          <w:rFonts w:hint="eastAsia"/>
          <w:sz w:val="21"/>
          <w:szCs w:val="21"/>
        </w:rPr>
        <w:t>三、短信服务</w:t>
      </w:r>
    </w:p>
    <w:p>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pPr>
        <w:pStyle w:val="7"/>
        <w:spacing w:before="0" w:beforeAutospacing="0" w:after="0" w:afterAutospacing="0" w:line="360" w:lineRule="auto"/>
        <w:ind w:firstLine="420"/>
        <w:rPr>
          <w:sz w:val="21"/>
          <w:szCs w:val="21"/>
        </w:rPr>
      </w:pPr>
      <w:r>
        <w:rPr>
          <w:rStyle w:val="11"/>
          <w:rFonts w:hint="eastAsia"/>
          <w:sz w:val="21"/>
          <w:szCs w:val="21"/>
        </w:rPr>
        <w:t>四、电子邮件服务</w:t>
      </w:r>
    </w:p>
    <w:p>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pPr>
        <w:pStyle w:val="7"/>
        <w:spacing w:before="0" w:beforeAutospacing="0" w:after="0" w:afterAutospacing="0" w:line="360" w:lineRule="auto"/>
        <w:ind w:firstLine="420"/>
        <w:rPr>
          <w:sz w:val="21"/>
          <w:szCs w:val="21"/>
        </w:rPr>
      </w:pPr>
      <w:r>
        <w:rPr>
          <w:rStyle w:val="11"/>
          <w:rFonts w:hint="eastAsia"/>
          <w:sz w:val="21"/>
          <w:szCs w:val="21"/>
        </w:rPr>
        <w:t>五、手机理财服务</w:t>
      </w:r>
    </w:p>
    <w:p>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pPr>
        <w:pStyle w:val="7"/>
        <w:spacing w:before="0" w:beforeAutospacing="0" w:after="0" w:afterAutospacing="0" w:line="360" w:lineRule="auto"/>
        <w:ind w:firstLine="420"/>
        <w:rPr>
          <w:sz w:val="21"/>
          <w:szCs w:val="21"/>
        </w:rPr>
      </w:pPr>
      <w:r>
        <w:rPr>
          <w:rStyle w:val="11"/>
          <w:rFonts w:hint="eastAsia"/>
          <w:sz w:val="21"/>
          <w:szCs w:val="21"/>
        </w:rPr>
        <w:t>六、信息订阅服务</w:t>
      </w:r>
    </w:p>
    <w:p>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pPr>
        <w:pStyle w:val="7"/>
        <w:spacing w:before="0" w:beforeAutospacing="0" w:after="0" w:afterAutospacing="0" w:line="360" w:lineRule="auto"/>
        <w:ind w:firstLine="420"/>
        <w:rPr>
          <w:sz w:val="21"/>
          <w:szCs w:val="21"/>
        </w:rPr>
      </w:pPr>
      <w:r>
        <w:rPr>
          <w:rStyle w:val="11"/>
          <w:rFonts w:hint="eastAsia"/>
          <w:sz w:val="21"/>
          <w:szCs w:val="21"/>
        </w:rPr>
        <w:t>七、电话理财服务</w:t>
      </w:r>
    </w:p>
    <w:p>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4" w:name="chapter_level1_24_75_section_1_end"/>
      <w:bookmarkEnd w:id="214"/>
      <w:r>
        <w:rPr>
          <w:rStyle w:val="11"/>
          <w:rFonts w:hint="eastAsia"/>
          <w:sz w:val="21"/>
          <w:szCs w:val="21"/>
        </w:rPr>
        <w:t>理人。请确保投资前，您/贵机构已经全面理解了本招募说明书。</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15" w:name="_Toc207926673"/>
      <w:bookmarkStart w:id="216" w:name="chapter_level1_25_3499"/>
      <w:r>
        <w:rPr>
          <w:rFonts w:hint="eastAsia" w:ascii="宋体" w:hAnsi="宋体" w:eastAsia="宋体"/>
          <w:sz w:val="30"/>
        </w:rPr>
        <w:t>第二十二部分 其他应披露的事项</w:t>
      </w:r>
      <w:bookmarkEnd w:id="215"/>
      <w:bookmarkEnd w:id="216"/>
    </w:p>
    <w:p>
      <w:pPr>
        <w:pStyle w:val="7"/>
        <w:spacing w:before="0" w:beforeAutospacing="0" w:after="0" w:afterAutospacing="0" w:line="360" w:lineRule="auto"/>
        <w:ind w:firstLine="420"/>
        <w:rPr>
          <w:sz w:val="21"/>
          <w:szCs w:val="21"/>
        </w:rPr>
      </w:pPr>
      <w:bookmarkStart w:id="217" w:name="chapter_level1_25_3499_section_1"/>
      <w:bookmarkEnd w:id="217"/>
      <w:bookmarkStart w:id="218" w:name="field_0_bsrevealinfo_1_start"/>
      <w:bookmarkEnd w:id="218"/>
      <w:r>
        <w:rPr>
          <w:rFonts w:hint="eastAsia"/>
          <w:sz w:val="21"/>
          <w:szCs w:val="21"/>
        </w:rPr>
        <w:t>（一）、2025年8月29日，我公司公告了《博时安怡6个月定期开放债券型证券投资基金2025年中期报告》；</w:t>
      </w:r>
    </w:p>
    <w:p>
      <w:pPr>
        <w:pStyle w:val="7"/>
        <w:spacing w:before="0" w:beforeAutospacing="0" w:after="0" w:afterAutospacing="0" w:line="360" w:lineRule="auto"/>
        <w:ind w:firstLine="420"/>
        <w:rPr>
          <w:sz w:val="21"/>
          <w:szCs w:val="21"/>
        </w:rPr>
      </w:pPr>
      <w:r>
        <w:rPr>
          <w:rFonts w:hint="eastAsia"/>
          <w:sz w:val="21"/>
          <w:szCs w:val="21"/>
        </w:rPr>
        <w:t>（二）、2025年7月21日，我公司公告了《博时安怡6个月定期开放债券型证券投资基金2025年第2季度报告》；</w:t>
      </w:r>
    </w:p>
    <w:p>
      <w:pPr>
        <w:pStyle w:val="7"/>
        <w:spacing w:before="0" w:beforeAutospacing="0" w:after="0" w:afterAutospacing="0" w:line="360" w:lineRule="auto"/>
        <w:ind w:firstLine="420"/>
        <w:rPr>
          <w:sz w:val="21"/>
          <w:szCs w:val="21"/>
        </w:rPr>
      </w:pPr>
      <w:r>
        <w:rPr>
          <w:rFonts w:hint="eastAsia"/>
          <w:sz w:val="21"/>
          <w:szCs w:val="21"/>
        </w:rPr>
        <w:t>（三）、2025年6月26日，我公司公告了《博时安怡6个月定期开放债券型证券投资基金（博时安怡6个月定开债C）基金产品资料概要更新》、《博时安怡6个月定期开放债券型证券投资基金（博时安怡6个月定开债A）基金产品资料概要更新》；</w:t>
      </w:r>
    </w:p>
    <w:p>
      <w:pPr>
        <w:pStyle w:val="7"/>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pPr>
        <w:pStyle w:val="7"/>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pPr>
        <w:pStyle w:val="7"/>
        <w:spacing w:before="0" w:beforeAutospacing="0" w:after="0" w:afterAutospacing="0" w:line="360" w:lineRule="auto"/>
        <w:ind w:firstLine="420"/>
        <w:rPr>
          <w:sz w:val="21"/>
          <w:szCs w:val="21"/>
        </w:rPr>
      </w:pPr>
      <w:r>
        <w:rPr>
          <w:rFonts w:hint="eastAsia"/>
          <w:sz w:val="21"/>
          <w:szCs w:val="21"/>
        </w:rPr>
        <w:t>（六）、2025年4月22日，我公司公告了《博时安怡6个月定期开放债券型证券投资基金2025年第1季度报告》；</w:t>
      </w:r>
    </w:p>
    <w:p>
      <w:pPr>
        <w:pStyle w:val="7"/>
        <w:spacing w:before="0" w:beforeAutospacing="0" w:after="0" w:afterAutospacing="0" w:line="360" w:lineRule="auto"/>
        <w:ind w:firstLine="420"/>
        <w:rPr>
          <w:sz w:val="21"/>
          <w:szCs w:val="21"/>
        </w:rPr>
      </w:pPr>
      <w:r>
        <w:rPr>
          <w:rFonts w:hint="eastAsia"/>
          <w:sz w:val="21"/>
          <w:szCs w:val="21"/>
        </w:rPr>
        <w:t>（七）、2025年4月18日，我公司公告了《博时安怡6个月定期开放债券型证券投资基金分红公告》；</w:t>
      </w:r>
    </w:p>
    <w:p>
      <w:pPr>
        <w:pStyle w:val="7"/>
        <w:spacing w:before="0" w:beforeAutospacing="0" w:after="0" w:afterAutospacing="0" w:line="360" w:lineRule="auto"/>
        <w:ind w:firstLine="420"/>
        <w:rPr>
          <w:sz w:val="21"/>
          <w:szCs w:val="21"/>
        </w:rPr>
      </w:pPr>
      <w:r>
        <w:rPr>
          <w:rFonts w:hint="eastAsia"/>
          <w:sz w:val="21"/>
          <w:szCs w:val="21"/>
        </w:rPr>
        <w:t>（八）、2025年4月8日，我公司公告了《博时基金管理有限公司关于运用公司固有资金投资旗下公募基金的公告》、《博时基金管理有限公司关于旗下基金持有的长期停牌股票调整估值方法的公告-20250408》；</w:t>
      </w:r>
    </w:p>
    <w:p>
      <w:pPr>
        <w:pStyle w:val="7"/>
        <w:spacing w:before="0" w:beforeAutospacing="0" w:after="0" w:afterAutospacing="0" w:line="360" w:lineRule="auto"/>
        <w:ind w:firstLine="420"/>
        <w:rPr>
          <w:sz w:val="21"/>
          <w:szCs w:val="21"/>
        </w:rPr>
      </w:pPr>
      <w:r>
        <w:rPr>
          <w:rFonts w:hint="eastAsia"/>
          <w:sz w:val="21"/>
          <w:szCs w:val="21"/>
        </w:rPr>
        <w:t>（九）、2025年3月31日，我公司公告了《博时基金管理有限公司旗下公募基金通过证券公司证券交易及佣金支付情况（2024年度）》、《博时安怡6个月定期开放债券型证券投资基金2024年年度报告》；</w:t>
      </w:r>
    </w:p>
    <w:p>
      <w:pPr>
        <w:pStyle w:val="7"/>
        <w:spacing w:before="0" w:beforeAutospacing="0" w:after="0" w:afterAutospacing="0" w:line="360" w:lineRule="auto"/>
        <w:ind w:firstLine="420"/>
        <w:rPr>
          <w:sz w:val="21"/>
          <w:szCs w:val="21"/>
        </w:rPr>
      </w:pPr>
      <w:r>
        <w:rPr>
          <w:rFonts w:hint="eastAsia"/>
          <w:sz w:val="21"/>
          <w:szCs w:val="21"/>
        </w:rPr>
        <w:t>（十）、2025年3月25日，我公司公告了《博时基金管理有限公司关于旗下基金持有的长期停牌股票调整估值方法的公告-20250325》；</w:t>
      </w:r>
    </w:p>
    <w:p>
      <w:pPr>
        <w:pStyle w:val="7"/>
        <w:spacing w:before="0" w:beforeAutospacing="0" w:after="0" w:afterAutospacing="0" w:line="360" w:lineRule="auto"/>
        <w:ind w:firstLine="420"/>
        <w:rPr>
          <w:sz w:val="21"/>
          <w:szCs w:val="21"/>
        </w:rPr>
      </w:pPr>
      <w:r>
        <w:rPr>
          <w:rFonts w:hint="eastAsia"/>
          <w:sz w:val="21"/>
          <w:szCs w:val="21"/>
        </w:rPr>
        <w:t>（十一）、2025年1月22日，我公司公告了《博时安怡6个月定期开放债券型证券投资基金2024年第4季度报告》；</w:t>
      </w:r>
    </w:p>
    <w:p>
      <w:pPr>
        <w:pStyle w:val="7"/>
        <w:spacing w:before="0" w:beforeAutospacing="0" w:after="0" w:afterAutospacing="0" w:line="360" w:lineRule="auto"/>
        <w:ind w:firstLine="420"/>
        <w:rPr>
          <w:sz w:val="21"/>
          <w:szCs w:val="21"/>
        </w:rPr>
      </w:pPr>
      <w:r>
        <w:rPr>
          <w:rFonts w:hint="eastAsia"/>
          <w:sz w:val="21"/>
          <w:szCs w:val="21"/>
        </w:rPr>
        <w:t>（十二）、2025年1月20日，我公司公告了《博时安怡6个月定期开放债券型证券投资基金开放申购、赎回、转换业务的公告》；</w:t>
      </w:r>
    </w:p>
    <w:p>
      <w:pPr>
        <w:pStyle w:val="7"/>
        <w:spacing w:before="0" w:beforeAutospacing="0" w:after="0" w:afterAutospacing="0" w:line="360" w:lineRule="auto"/>
        <w:ind w:firstLine="420"/>
        <w:rPr>
          <w:sz w:val="21"/>
          <w:szCs w:val="21"/>
        </w:rPr>
      </w:pPr>
      <w:r>
        <w:rPr>
          <w:rFonts w:hint="eastAsia"/>
          <w:sz w:val="21"/>
          <w:szCs w:val="21"/>
        </w:rPr>
        <w:t>（十三）、2024年12月27日，我公司公告了《博时基金管理有限公司关于旗下193只基金改聘会计师事务所的公告》；</w:t>
      </w:r>
    </w:p>
    <w:p>
      <w:pPr>
        <w:pStyle w:val="7"/>
        <w:spacing w:before="0" w:beforeAutospacing="0" w:after="0" w:afterAutospacing="0" w:line="360" w:lineRule="auto"/>
        <w:ind w:firstLine="420"/>
        <w:rPr>
          <w:sz w:val="21"/>
          <w:szCs w:val="21"/>
        </w:rPr>
      </w:pPr>
      <w:r>
        <w:rPr>
          <w:rFonts w:hint="eastAsia"/>
          <w:sz w:val="21"/>
          <w:szCs w:val="21"/>
        </w:rPr>
        <w:t>（十四）、2024年12月7日，我公司公告了《博时基金管理有限公司关于高级管理人员变更的公告》；</w:t>
      </w:r>
    </w:p>
    <w:p>
      <w:pPr>
        <w:pStyle w:val="7"/>
        <w:spacing w:before="0" w:beforeAutospacing="0" w:after="0" w:afterAutospacing="0" w:line="360" w:lineRule="auto"/>
        <w:ind w:firstLine="420"/>
        <w:rPr>
          <w:sz w:val="21"/>
          <w:szCs w:val="21"/>
        </w:rPr>
      </w:pPr>
      <w:r>
        <w:rPr>
          <w:rFonts w:hint="eastAsia"/>
          <w:sz w:val="21"/>
          <w:szCs w:val="21"/>
        </w:rPr>
        <w:t>（十五）、2024年11月18日，我公司公告了《博时基金管理有限公司关于终止乾道基金销售有限公司办理旗下基金销售业务的公告》；</w:t>
      </w:r>
    </w:p>
    <w:p>
      <w:pPr>
        <w:pStyle w:val="7"/>
        <w:spacing w:before="0" w:beforeAutospacing="0" w:after="0" w:afterAutospacing="0" w:line="360" w:lineRule="auto"/>
        <w:ind w:firstLine="420"/>
        <w:rPr>
          <w:sz w:val="21"/>
          <w:szCs w:val="21"/>
        </w:rPr>
      </w:pPr>
      <w:r>
        <w:rPr>
          <w:rFonts w:hint="eastAsia"/>
          <w:sz w:val="21"/>
          <w:szCs w:val="21"/>
        </w:rPr>
        <w:t>（十六）、2024年11月6日，我公司公告了《博时基金管理有限公司关于旗下基金持有的长期停牌股票调整估值方法的公告-20241106》；</w:t>
      </w:r>
    </w:p>
    <w:p>
      <w:pPr>
        <w:pStyle w:val="7"/>
        <w:spacing w:before="0" w:beforeAutospacing="0" w:after="0" w:afterAutospacing="0" w:line="360" w:lineRule="auto"/>
        <w:ind w:firstLine="420"/>
        <w:rPr>
          <w:sz w:val="21"/>
          <w:szCs w:val="21"/>
        </w:rPr>
      </w:pPr>
      <w:r>
        <w:rPr>
          <w:rFonts w:hint="eastAsia"/>
          <w:sz w:val="21"/>
          <w:szCs w:val="21"/>
        </w:rPr>
        <w:t>（十七）、2024年10月25日，我公司公告了《博时安怡6个月定期开放债券型证券投资基金2024年第3季度报告》；</w:t>
      </w:r>
    </w:p>
    <w:p>
      <w:pPr>
        <w:pStyle w:val="7"/>
        <w:spacing w:before="0" w:beforeAutospacing="0" w:after="0" w:afterAutospacing="0" w:line="360" w:lineRule="auto"/>
        <w:ind w:firstLine="420"/>
        <w:rPr>
          <w:sz w:val="21"/>
          <w:szCs w:val="21"/>
        </w:rPr>
      </w:pPr>
      <w:r>
        <w:rPr>
          <w:rFonts w:hint="eastAsia"/>
          <w:sz w:val="21"/>
          <w:szCs w:val="21"/>
        </w:rPr>
        <w:t>（十八）、2024年9月30日，我公司公告了《博时安怡6个月定期开放债券型证券投资基金更新招募说明书》；</w:t>
      </w:r>
    </w:p>
    <w:p>
      <w:pPr>
        <w:pStyle w:val="7"/>
        <w:spacing w:before="0" w:beforeAutospacing="0" w:after="0" w:afterAutospacing="0" w:line="360" w:lineRule="auto"/>
        <w:ind w:firstLine="420"/>
        <w:rPr>
          <w:sz w:val="21"/>
          <w:szCs w:val="21"/>
        </w:rPr>
      </w:pPr>
      <w:r>
        <w:rPr>
          <w:rFonts w:hint="eastAsia"/>
          <w:sz w:val="21"/>
          <w:szCs w:val="21"/>
        </w:rPr>
        <w:t>（十九）、2024年9月25日，我公司公告了《博时基金管理有限公司关于旗下基金持有的长期停牌股票调整估值方法的公告-20240925》；</w:t>
      </w:r>
    </w:p>
    <w:p>
      <w:pPr>
        <w:pStyle w:val="7"/>
        <w:spacing w:before="0" w:beforeAutospacing="0" w:after="0" w:afterAutospacing="0" w:line="360" w:lineRule="auto"/>
        <w:ind w:firstLine="420"/>
        <w:rPr>
          <w:sz w:val="21"/>
          <w:szCs w:val="21"/>
        </w:rPr>
      </w:pPr>
      <w:r>
        <w:rPr>
          <w:rFonts w:hint="eastAsia"/>
          <w:sz w:val="21"/>
          <w:szCs w:val="21"/>
        </w:rPr>
        <w:t>（二十）、2024年9月21日，我公司公告了《博时基金管理有限公司关于董事会成员变更的公告》；</w:t>
      </w:r>
    </w:p>
    <w:p>
      <w:pPr>
        <w:pStyle w:val="7"/>
        <w:spacing w:before="0" w:beforeAutospacing="0" w:after="0" w:afterAutospacing="0" w:line="360" w:lineRule="auto"/>
        <w:ind w:firstLine="420"/>
        <w:rPr>
          <w:sz w:val="21"/>
          <w:szCs w:val="21"/>
        </w:rPr>
      </w:pPr>
      <w:r>
        <w:rPr>
          <w:rFonts w:hint="eastAsia"/>
          <w:sz w:val="21"/>
          <w:szCs w:val="21"/>
        </w:rPr>
        <w:t>（二十一）、2024年9月13日，我公司公告了《博时安怡6个月定期开放债券型证券投资基金分红公告》；</w:t>
      </w:r>
    </w:p>
    <w:p>
      <w:pPr>
        <w:pStyle w:val="7"/>
        <w:spacing w:before="0" w:beforeAutospacing="0" w:after="0" w:afterAutospacing="0" w:line="360" w:lineRule="auto"/>
        <w:ind w:firstLine="420"/>
        <w:rPr>
          <w:sz w:val="21"/>
          <w:szCs w:val="21"/>
        </w:rPr>
      </w:pPr>
      <w:r>
        <w:rPr>
          <w:rFonts w:hint="eastAsia"/>
          <w:sz w:val="21"/>
          <w:szCs w:val="21"/>
        </w:rPr>
        <w:t>（二十二）、2024年9月11日，我公司公告了《博时基金管理有限公司关于博时安怡</w:t>
      </w:r>
      <w:bookmarkStart w:id="219" w:name="chapter_level1_25_3499_section_1_end"/>
      <w:bookmarkEnd w:id="219"/>
      <w:r>
        <w:rPr>
          <w:rFonts w:hint="eastAsia"/>
          <w:sz w:val="21"/>
          <w:szCs w:val="21"/>
        </w:rPr>
        <w:t>6个月定期开放债券型证券投资基金C类基金份额销售服务费率优惠的公告》。</w:t>
      </w:r>
      <w:bookmarkStart w:id="220" w:name="field_0_bsrevealinfo_1_end"/>
      <w:bookmarkEnd w:id="220"/>
      <w:r>
        <w:rPr>
          <w:rFonts w:hint="eastAsia"/>
          <w:sz w:val="21"/>
          <w:szCs w:val="21"/>
        </w:rPr>
        <w:t xml:space="preserve">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1" w:name="_Toc207926674"/>
      <w:bookmarkStart w:id="222" w:name="chapter_level1_26_77"/>
      <w:r>
        <w:rPr>
          <w:rFonts w:hint="eastAsia" w:ascii="宋体" w:hAnsi="宋体" w:eastAsia="宋体"/>
          <w:sz w:val="30"/>
        </w:rPr>
        <w:t>第二十三部分  招募说明书存放及查阅方式</w:t>
      </w:r>
      <w:bookmarkEnd w:id="221"/>
      <w:bookmarkEnd w:id="222"/>
    </w:p>
    <w:p>
      <w:pPr>
        <w:pStyle w:val="7"/>
        <w:spacing w:before="0" w:beforeAutospacing="0" w:after="0" w:afterAutospacing="0" w:line="360" w:lineRule="auto"/>
        <w:ind w:firstLine="420"/>
        <w:rPr>
          <w:sz w:val="21"/>
          <w:szCs w:val="21"/>
        </w:rPr>
      </w:pPr>
      <w:bookmarkStart w:id="223" w:name="chapter_level1_26_77_section_1"/>
      <w:bookmarkEnd w:id="223"/>
      <w:r>
        <w:rPr>
          <w:rFonts w:hint="eastAsia"/>
          <w:sz w:val="21"/>
          <w:szCs w:val="21"/>
        </w:rPr>
        <w:t xml:space="preserve">依法必须披露的信息发布后，基金管理人、基金托管人应当按照相关法律法规规定将信息置备于各自住所，供公众查阅、复制；投资者在支付工本费后，可在合理时间内取得上述文件复制件或复印件。对投资者按此种方式所获得的文件及其复印件，基金管理人保证文本的内容与所公告的内容完全一致。    </w:t>
      </w:r>
    </w:p>
    <w:p>
      <w:pPr>
        <w:pStyle w:val="7"/>
        <w:spacing w:before="0" w:beforeAutospacing="0" w:after="0" w:afterAutospacing="0" w:line="360" w:lineRule="auto"/>
        <w:ind w:firstLine="420"/>
        <w:rPr>
          <w:sz w:val="21"/>
          <w:szCs w:val="21"/>
        </w:rPr>
      </w:pPr>
      <w:bookmarkStart w:id="224" w:name="chapter_level1_26_77_section_1_end"/>
      <w:bookmarkEnd w:id="224"/>
      <w:r>
        <w:rPr>
          <w:rFonts w:hint="eastAsia"/>
          <w:sz w:val="21"/>
          <w:szCs w:val="21"/>
        </w:rPr>
        <w:t xml:space="preserve">投资者还可以直接登录基金管理人的网站（www.bosera.com）查阅和下载招募说明书。 </w:t>
      </w:r>
    </w:p>
    <w:p>
      <w:pPr>
        <w:widowControl/>
        <w:jc w:val="left"/>
        <w:rPr>
          <w:rFonts w:ascii="宋体" w:hAnsi="宋体" w:eastAsia="宋体"/>
        </w:rPr>
      </w:pPr>
      <w:r>
        <w:rPr>
          <w:rFonts w:ascii="宋体" w:hAnsi="宋体" w:eastAsia="宋体"/>
        </w:rPr>
        <w:br w:type="page"/>
      </w:r>
    </w:p>
    <w:p>
      <w:pPr>
        <w:pStyle w:val="2"/>
        <w:jc w:val="center"/>
        <w:rPr>
          <w:rFonts w:ascii="宋体" w:hAnsi="宋体" w:eastAsia="宋体"/>
          <w:sz w:val="30"/>
        </w:rPr>
      </w:pPr>
      <w:bookmarkStart w:id="225" w:name="chapter_level1_27_332"/>
      <w:bookmarkStart w:id="226" w:name="_Toc207926675"/>
      <w:r>
        <w:rPr>
          <w:rFonts w:hint="eastAsia" w:ascii="宋体" w:hAnsi="宋体" w:eastAsia="宋体"/>
          <w:sz w:val="30"/>
        </w:rPr>
        <w:t>第二十四部分  备查文件</w:t>
      </w:r>
      <w:bookmarkEnd w:id="225"/>
      <w:bookmarkEnd w:id="226"/>
    </w:p>
    <w:p>
      <w:pPr>
        <w:pStyle w:val="7"/>
        <w:spacing w:before="0" w:beforeAutospacing="0" w:after="0" w:afterAutospacing="0" w:line="360" w:lineRule="auto"/>
        <w:ind w:firstLine="420"/>
        <w:rPr>
          <w:sz w:val="21"/>
          <w:szCs w:val="21"/>
        </w:rPr>
      </w:pPr>
      <w:bookmarkStart w:id="227" w:name="chapter_level1_27_332_section_1"/>
      <w:bookmarkEnd w:id="227"/>
      <w:r>
        <w:rPr>
          <w:rFonts w:hint="eastAsia"/>
          <w:sz w:val="21"/>
          <w:szCs w:val="21"/>
        </w:rPr>
        <w:t xml:space="preserve">以下备查文件存放在基金管理人的办公场所，在办公时间可供免费查阅。  </w:t>
      </w:r>
    </w:p>
    <w:p>
      <w:pPr>
        <w:pStyle w:val="7"/>
        <w:spacing w:before="0" w:beforeAutospacing="0" w:after="0" w:afterAutospacing="0" w:line="360" w:lineRule="auto"/>
        <w:ind w:firstLine="420"/>
        <w:rPr>
          <w:sz w:val="21"/>
          <w:szCs w:val="21"/>
        </w:rPr>
      </w:pPr>
      <w:r>
        <w:rPr>
          <w:rFonts w:hint="eastAsia"/>
          <w:sz w:val="21"/>
          <w:szCs w:val="21"/>
        </w:rPr>
        <w:t>（一）中国证监会准予</w:t>
      </w:r>
      <w:bookmarkStart w:id="228" w:name="field_0_productfullname_11"/>
      <w:r>
        <w:rPr>
          <w:rFonts w:hint="eastAsia"/>
          <w:sz w:val="21"/>
          <w:szCs w:val="21"/>
        </w:rPr>
        <w:t>博时安怡</w:t>
      </w:r>
      <w:r>
        <w:rPr>
          <w:sz w:val="21"/>
          <w:szCs w:val="21"/>
        </w:rPr>
        <w:t>6个月定期开放债券型证券投资基金</w:t>
      </w:r>
      <w:bookmarkEnd w:id="228"/>
      <w:r>
        <w:rPr>
          <w:rFonts w:hint="eastAsia"/>
          <w:sz w:val="21"/>
          <w:szCs w:val="21"/>
        </w:rPr>
        <w:t xml:space="preserve">注册的文件 </w:t>
      </w:r>
    </w:p>
    <w:p>
      <w:pPr>
        <w:pStyle w:val="7"/>
        <w:spacing w:before="0" w:beforeAutospacing="0" w:after="0" w:afterAutospacing="0" w:line="360" w:lineRule="auto"/>
        <w:ind w:firstLine="420"/>
        <w:rPr>
          <w:sz w:val="21"/>
          <w:szCs w:val="21"/>
        </w:rPr>
      </w:pPr>
      <w:r>
        <w:rPr>
          <w:rFonts w:hint="eastAsia"/>
          <w:sz w:val="21"/>
          <w:szCs w:val="21"/>
        </w:rPr>
        <w:t>（二）《</w:t>
      </w:r>
      <w:bookmarkStart w:id="229" w:name="field_0_productfullname_12"/>
      <w:r>
        <w:rPr>
          <w:rFonts w:hint="eastAsia"/>
          <w:sz w:val="21"/>
          <w:szCs w:val="21"/>
        </w:rPr>
        <w:t>博时安怡</w:t>
      </w:r>
      <w:r>
        <w:rPr>
          <w:sz w:val="21"/>
          <w:szCs w:val="21"/>
        </w:rPr>
        <w:t>6个月定期开放债券型证券投资基金</w:t>
      </w:r>
      <w:bookmarkEnd w:id="229"/>
      <w:r>
        <w:rPr>
          <w:rFonts w:hint="eastAsia"/>
          <w:sz w:val="21"/>
          <w:szCs w:val="21"/>
        </w:rPr>
        <w:t xml:space="preserve">基金合同》 </w:t>
      </w:r>
    </w:p>
    <w:p>
      <w:pPr>
        <w:pStyle w:val="7"/>
        <w:spacing w:before="0" w:beforeAutospacing="0" w:after="0" w:afterAutospacing="0" w:line="360" w:lineRule="auto"/>
        <w:ind w:firstLine="420"/>
        <w:rPr>
          <w:sz w:val="21"/>
          <w:szCs w:val="21"/>
        </w:rPr>
      </w:pPr>
      <w:r>
        <w:rPr>
          <w:rFonts w:hint="eastAsia"/>
          <w:sz w:val="21"/>
          <w:szCs w:val="21"/>
        </w:rPr>
        <w:t>（三）《</w:t>
      </w:r>
      <w:bookmarkStart w:id="230" w:name="field_0_productfullname_13"/>
      <w:r>
        <w:rPr>
          <w:rFonts w:hint="eastAsia"/>
          <w:sz w:val="21"/>
          <w:szCs w:val="21"/>
        </w:rPr>
        <w:t>博时安怡</w:t>
      </w:r>
      <w:r>
        <w:rPr>
          <w:sz w:val="21"/>
          <w:szCs w:val="21"/>
        </w:rPr>
        <w:t>6个月定期开放债券型证券投资基金</w:t>
      </w:r>
      <w:bookmarkEnd w:id="230"/>
      <w:r>
        <w:rPr>
          <w:rFonts w:hint="eastAsia"/>
          <w:sz w:val="21"/>
          <w:szCs w:val="21"/>
        </w:rPr>
        <w:t xml:space="preserve">托管协议》 </w:t>
      </w:r>
    </w:p>
    <w:p>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pPr>
        <w:pStyle w:val="7"/>
        <w:spacing w:before="0" w:beforeAutospacing="0" w:after="0" w:afterAutospacing="0" w:line="360" w:lineRule="auto"/>
        <w:ind w:firstLine="420"/>
        <w:rPr>
          <w:sz w:val="21"/>
          <w:szCs w:val="21"/>
        </w:rPr>
      </w:pPr>
      <w:r>
        <w:rPr>
          <w:rFonts w:hint="eastAsia"/>
          <w:sz w:val="21"/>
          <w:szCs w:val="21"/>
        </w:rPr>
        <w:t xml:space="preserve">（六）法律意见书 </w:t>
      </w:r>
    </w:p>
    <w:p>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rPr>
          <w:sz w:val="21"/>
          <w:szCs w:val="21"/>
        </w:rPr>
      </w:pPr>
    </w:p>
    <w:p>
      <w:pPr>
        <w:pStyle w:val="7"/>
        <w:spacing w:before="0" w:beforeAutospacing="0" w:after="0" w:afterAutospacing="0" w:line="360" w:lineRule="auto"/>
        <w:ind w:firstLine="420"/>
        <w:jc w:val="right"/>
        <w:rPr>
          <w:sz w:val="21"/>
          <w:szCs w:val="21"/>
        </w:rPr>
      </w:pPr>
      <w:bookmarkStart w:id="231" w:name="field_0_managerorgfullname_7"/>
      <w:r>
        <w:rPr>
          <w:rFonts w:hint="eastAsia"/>
          <w:sz w:val="21"/>
          <w:szCs w:val="21"/>
        </w:rPr>
        <w:t>博时基金管理有限公司</w:t>
      </w:r>
      <w:bookmarkEnd w:id="231"/>
      <w:r>
        <w:rPr>
          <w:rFonts w:hint="eastAsia"/>
          <w:sz w:val="21"/>
          <w:szCs w:val="21"/>
        </w:rPr>
        <w:t xml:space="preserve">  </w:t>
      </w:r>
    </w:p>
    <w:p>
      <w:pPr>
        <w:pStyle w:val="7"/>
        <w:spacing w:before="0" w:beforeAutospacing="0" w:after="0" w:afterAutospacing="0" w:line="360" w:lineRule="auto"/>
        <w:ind w:firstLine="420"/>
        <w:jc w:val="right"/>
        <w:rPr>
          <w:sz w:val="21"/>
          <w:szCs w:val="21"/>
        </w:rPr>
      </w:pPr>
      <w:bookmarkStart w:id="232" w:name="chapter_level1_27_332_section_1_end"/>
      <w:bookmarkEnd w:id="232"/>
      <w:bookmarkStart w:id="233"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5</w:t>
      </w:r>
      <w:r>
        <w:rPr>
          <w:sz w:val="21"/>
          <w:szCs w:val="21"/>
        </w:rPr>
        <w:t>月</w:t>
      </w:r>
      <w:r>
        <w:rPr>
          <w:rFonts w:hint="eastAsia"/>
          <w:sz w:val="21"/>
          <w:szCs w:val="21"/>
          <w:lang w:val="en-US" w:eastAsia="zh-CN"/>
        </w:rPr>
        <w:t>6</w:t>
      </w:r>
      <w:r>
        <w:rPr>
          <w:sz w:val="21"/>
          <w:szCs w:val="21"/>
        </w:rPr>
        <w:t>日</w:t>
      </w:r>
      <w:bookmarkEnd w:id="233"/>
      <w:r>
        <w:rPr>
          <w:rFonts w:hint="eastAsia"/>
          <w:sz w:val="21"/>
          <w:szCs w:val="21"/>
        </w:rPr>
        <w:t xml:space="preserve">  </w:t>
      </w:r>
    </w:p>
    <w:p>
      <w:pPr>
        <w:rPr>
          <w:rFonts w:ascii="宋体" w:hAnsi="宋体" w:eastAsia="宋体"/>
        </w:rPr>
      </w:pPr>
      <w:bookmarkStart w:id="234" w:name="end"/>
      <w:bookmarkEnd w:id="234"/>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116</w:t>
    </w:r>
    <w:r>
      <w:fldChar w:fldCharType="end"/>
    </w:r>
    <w:r>
      <w:rPr>
        <w:rFonts w:hint="eastAsia"/>
      </w:rPr>
      <w:t>页 共</w:t>
    </w:r>
    <w:r>
      <w:fldChar w:fldCharType="begin"/>
    </w:r>
    <w:r>
      <w:instrText xml:space="preserve"> NumPages \* MERGEFORMAT </w:instrText>
    </w:r>
    <w:r>
      <w:fldChar w:fldCharType="separate"/>
    </w:r>
    <w:r>
      <w:t>116</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pPr>
      <w:pStyle w:val="5"/>
      <w:jc w:val="right"/>
    </w:pPr>
    <w:r>
      <w:rPr>
        <w:rFonts w:hint="eastAsia"/>
      </w:rPr>
      <w:t>博时安怡6个月定期开放债券型证券投资基金更新招募说明书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5AE9"/>
    <w:rsid w:val="00441A7F"/>
    <w:rsid w:val="00645AE9"/>
    <w:rsid w:val="006F5765"/>
    <w:rsid w:val="26B2371C"/>
    <w:rsid w:val="28234D1D"/>
    <w:rsid w:val="2ACA12FC"/>
    <w:rsid w:val="2B00249C"/>
    <w:rsid w:val="2B0D7639"/>
    <w:rsid w:val="2D1C383B"/>
    <w:rsid w:val="34D721AD"/>
    <w:rsid w:val="36AC3A19"/>
    <w:rsid w:val="3D4D4E83"/>
    <w:rsid w:val="46E240BF"/>
    <w:rsid w:val="4AEA0E00"/>
    <w:rsid w:val="59171A72"/>
    <w:rsid w:val="59CA24DB"/>
    <w:rsid w:val="63592D29"/>
    <w:rsid w:val="63E229AA"/>
    <w:rsid w:val="6B502BAB"/>
    <w:rsid w:val="71C072FE"/>
    <w:rsid w:val="71E10A85"/>
    <w:rsid w:val="7AAC7D83"/>
    <w:rsid w:val="7C755A03"/>
    <w:rsid w:val="7E2143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115</Pages>
  <Words>13160</Words>
  <Characters>75016</Characters>
  <Lines>625</Lines>
  <Paragraphs>175</Paragraphs>
  <TotalTime>1</TotalTime>
  <ScaleCrop>false</ScaleCrop>
  <LinksUpToDate>false</LinksUpToDate>
  <CharactersWithSpaces>88001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2025-09-04T17:03:00Z</dcterms:created>
  <dc:creator>BSKMadminDev</dc:creator>
  <cp:lastModifiedBy>huangzw</cp:lastModifiedBy>
  <dcterms:modified xsi:type="dcterms:W3CDTF">2026-04-30T06:28:23Z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2CFEDA4D7E354A31BA07638131733DA8</vt:lpwstr>
  </property>
</Properties>
</file>