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A4A682"/>
    <w:p w14:paraId="670C3BF1">
      <w:pPr>
        <w:jc w:val="center"/>
        <w:rPr>
          <w:rFonts w:hint="eastAsia" w:ascii="宋体" w:hAnsi="宋体" w:eastAsia="宋体"/>
          <w:b/>
          <w:sz w:val="30"/>
        </w:rPr>
      </w:pPr>
      <w:r>
        <w:rPr>
          <w:rFonts w:hint="eastAsia" w:ascii="宋体" w:hAnsi="宋体" w:eastAsia="宋体"/>
          <w:b/>
          <w:sz w:val="30"/>
        </w:rPr>
        <w:t>博时标普500交易型开放式指数证券投资基金联接基金</w:t>
      </w:r>
      <w:r>
        <w:rPr>
          <w:rFonts w:hint="eastAsia" w:ascii="宋体" w:hAnsi="宋体" w:eastAsia="宋体"/>
          <w:b/>
          <w:sz w:val="30"/>
          <w:lang w:val="en-US" w:eastAsia="zh-CN"/>
        </w:rPr>
        <w:t>E类份额调整</w:t>
      </w:r>
      <w:r>
        <w:rPr>
          <w:rFonts w:hint="eastAsia" w:ascii="宋体" w:hAnsi="宋体" w:eastAsia="宋体"/>
          <w:b/>
          <w:sz w:val="30"/>
        </w:rPr>
        <w:t>大额申购、转换转入、定期定额投资业务公告</w:t>
      </w:r>
    </w:p>
    <w:p w14:paraId="6C873A24">
      <w:pPr>
        <w:jc w:val="center"/>
        <w:rPr>
          <w:rFonts w:hint="eastAsia" w:ascii="宋体" w:hAnsi="宋体" w:eastAsia="宋体"/>
          <w:b/>
          <w:sz w:val="24"/>
          <w:lang w:eastAsia="zh-CN"/>
        </w:rPr>
      </w:pPr>
      <w:r>
        <w:rPr>
          <w:rFonts w:hint="eastAsia" w:ascii="宋体" w:hAnsi="宋体" w:eastAsia="宋体"/>
          <w:b/>
          <w:sz w:val="24"/>
        </w:rPr>
        <w:t>公告送出日期：</w:t>
      </w:r>
      <w:r>
        <w:rPr>
          <w:rFonts w:hint="eastAsia" w:ascii="宋体" w:hAnsi="宋体" w:eastAsia="宋体"/>
          <w:b/>
          <w:sz w:val="24"/>
          <w:lang w:eastAsia="zh-CN"/>
        </w:rPr>
        <w:t>2026年6月23日</w:t>
      </w:r>
    </w:p>
    <w:p w14:paraId="7917EDFE">
      <w:pPr>
        <w:jc w:val="center"/>
        <w:rPr>
          <w:rFonts w:ascii="宋体" w:hAnsi="宋体" w:eastAsia="宋体"/>
          <w:b/>
          <w:sz w:val="24"/>
        </w:rPr>
      </w:pPr>
    </w:p>
    <w:p w14:paraId="138EAEAA">
      <w:pPr>
        <w:pStyle w:val="2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w:t>1、公告基本信息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7"/>
        <w:gridCol w:w="2804"/>
        <w:gridCol w:w="4501"/>
      </w:tblGrid>
      <w:tr w14:paraId="04223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21" w:type="dxa"/>
            <w:gridSpan w:val="2"/>
            <w:vAlign w:val="center"/>
          </w:tcPr>
          <w:p w14:paraId="61875D3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基金名称</w:t>
            </w:r>
          </w:p>
        </w:tc>
        <w:tc>
          <w:tcPr>
            <w:tcW w:w="4501" w:type="dxa"/>
            <w:vAlign w:val="center"/>
          </w:tcPr>
          <w:p w14:paraId="62C2DB7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博时标普</w:t>
            </w:r>
            <w:r>
              <w:rPr>
                <w:rFonts w:ascii="宋体" w:hAnsi="宋体" w:eastAsia="宋体"/>
                <w:sz w:val="24"/>
              </w:rPr>
              <w:t>500交易型开放式指数证券投资基金联接基金</w:t>
            </w:r>
          </w:p>
        </w:tc>
      </w:tr>
      <w:tr w14:paraId="4DA245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21" w:type="dxa"/>
            <w:gridSpan w:val="2"/>
            <w:vAlign w:val="center"/>
          </w:tcPr>
          <w:p w14:paraId="34A2C06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基金简称</w:t>
            </w:r>
          </w:p>
        </w:tc>
        <w:tc>
          <w:tcPr>
            <w:tcW w:w="4501" w:type="dxa"/>
            <w:vAlign w:val="center"/>
          </w:tcPr>
          <w:p w14:paraId="0333E22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博时标普</w:t>
            </w:r>
            <w:r>
              <w:rPr>
                <w:rFonts w:ascii="宋体" w:hAnsi="宋体" w:eastAsia="宋体"/>
                <w:sz w:val="24"/>
              </w:rPr>
              <w:t>500ETF联接</w:t>
            </w:r>
          </w:p>
        </w:tc>
      </w:tr>
      <w:tr w14:paraId="124A8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21" w:type="dxa"/>
            <w:gridSpan w:val="2"/>
            <w:vAlign w:val="center"/>
          </w:tcPr>
          <w:p w14:paraId="1F43D26A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基金主代码</w:t>
            </w:r>
          </w:p>
        </w:tc>
        <w:tc>
          <w:tcPr>
            <w:tcW w:w="4501" w:type="dxa"/>
            <w:vAlign w:val="center"/>
          </w:tcPr>
          <w:p w14:paraId="65329CE2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050025</w:t>
            </w:r>
          </w:p>
        </w:tc>
      </w:tr>
      <w:tr w14:paraId="3E2E89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21" w:type="dxa"/>
            <w:gridSpan w:val="2"/>
            <w:vAlign w:val="center"/>
          </w:tcPr>
          <w:p w14:paraId="1642927B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基金管理人名称</w:t>
            </w:r>
          </w:p>
        </w:tc>
        <w:tc>
          <w:tcPr>
            <w:tcW w:w="4501" w:type="dxa"/>
            <w:vAlign w:val="center"/>
          </w:tcPr>
          <w:p w14:paraId="5462576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博时基金管理有限公司</w:t>
            </w:r>
          </w:p>
        </w:tc>
      </w:tr>
      <w:tr w14:paraId="252F5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21" w:type="dxa"/>
            <w:gridSpan w:val="2"/>
            <w:vAlign w:val="center"/>
          </w:tcPr>
          <w:p w14:paraId="1FEDB93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公告依据</w:t>
            </w:r>
          </w:p>
        </w:tc>
        <w:tc>
          <w:tcPr>
            <w:tcW w:w="4501" w:type="dxa"/>
            <w:vAlign w:val="center"/>
          </w:tcPr>
          <w:p w14:paraId="107BD4D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根据有关法律法规及《博时标普</w:t>
            </w:r>
            <w:r>
              <w:rPr>
                <w:rFonts w:ascii="宋体" w:hAnsi="宋体" w:eastAsia="宋体"/>
                <w:sz w:val="24"/>
              </w:rPr>
              <w:t>500交易型开放式指数证券投资基金联接基金基金合同》、《博时标普500交易型开放式指数证券投资基金联接基金招募说明书》等的规定</w:t>
            </w:r>
          </w:p>
        </w:tc>
      </w:tr>
      <w:tr w14:paraId="4978F1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Merge w:val="restart"/>
            <w:vAlign w:val="center"/>
          </w:tcPr>
          <w:p w14:paraId="35D20EA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暂停相关业务的起始日、金额及原因说明</w:t>
            </w:r>
          </w:p>
        </w:tc>
        <w:tc>
          <w:tcPr>
            <w:tcW w:w="2804" w:type="dxa"/>
            <w:vAlign w:val="center"/>
          </w:tcPr>
          <w:p w14:paraId="49A3E1F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暂停大额申购起始日</w:t>
            </w:r>
          </w:p>
        </w:tc>
        <w:tc>
          <w:tcPr>
            <w:tcW w:w="4501" w:type="dxa"/>
            <w:vAlign w:val="center"/>
          </w:tcPr>
          <w:p w14:paraId="4DA6962C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lang w:eastAsia="zh-CN"/>
              </w:rPr>
              <w:t>2026年6月24日</w:t>
            </w:r>
          </w:p>
        </w:tc>
      </w:tr>
      <w:tr w14:paraId="6E30F7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Merge w:val="continue"/>
            <w:vAlign w:val="center"/>
          </w:tcPr>
          <w:p w14:paraId="0D93DDE3"/>
        </w:tc>
        <w:tc>
          <w:tcPr>
            <w:tcW w:w="2804" w:type="dxa"/>
            <w:vAlign w:val="center"/>
          </w:tcPr>
          <w:p w14:paraId="367C1F9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暂停大额转换转入起始日</w:t>
            </w:r>
          </w:p>
        </w:tc>
        <w:tc>
          <w:tcPr>
            <w:tcW w:w="4501" w:type="dxa"/>
            <w:vAlign w:val="center"/>
          </w:tcPr>
          <w:p w14:paraId="55783DA7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lang w:eastAsia="zh-CN"/>
              </w:rPr>
              <w:t>2026年6月24日</w:t>
            </w:r>
          </w:p>
        </w:tc>
      </w:tr>
      <w:tr w14:paraId="48CF2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Merge w:val="continue"/>
            <w:vAlign w:val="center"/>
          </w:tcPr>
          <w:p w14:paraId="286B88C7"/>
        </w:tc>
        <w:tc>
          <w:tcPr>
            <w:tcW w:w="2804" w:type="dxa"/>
            <w:vAlign w:val="center"/>
          </w:tcPr>
          <w:p w14:paraId="0D1D97D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暂停大额定期定额投资起始日</w:t>
            </w:r>
          </w:p>
        </w:tc>
        <w:tc>
          <w:tcPr>
            <w:tcW w:w="4501" w:type="dxa"/>
            <w:vAlign w:val="center"/>
          </w:tcPr>
          <w:p w14:paraId="6CDF32B5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lang w:eastAsia="zh-CN"/>
              </w:rPr>
              <w:t>2026年6月24日</w:t>
            </w:r>
          </w:p>
        </w:tc>
      </w:tr>
      <w:tr w14:paraId="3B6CC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Merge w:val="continue"/>
            <w:vAlign w:val="center"/>
          </w:tcPr>
          <w:p w14:paraId="6FB4C5BB"/>
        </w:tc>
        <w:tc>
          <w:tcPr>
            <w:tcW w:w="2804" w:type="dxa"/>
            <w:vAlign w:val="center"/>
          </w:tcPr>
          <w:p w14:paraId="56A7E7F6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暂停大额申购、转换转入、定期定额投资的原因说明</w:t>
            </w:r>
          </w:p>
        </w:tc>
        <w:tc>
          <w:tcPr>
            <w:tcW w:w="4501" w:type="dxa"/>
            <w:vAlign w:val="center"/>
          </w:tcPr>
          <w:p w14:paraId="4DAEC5E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为保护基金份额持有人利益</w:t>
            </w:r>
          </w:p>
        </w:tc>
      </w:tr>
      <w:tr w14:paraId="47604F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21" w:type="dxa"/>
            <w:gridSpan w:val="2"/>
            <w:vAlign w:val="center"/>
          </w:tcPr>
          <w:p w14:paraId="7E5B6F4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下属分级基金的基金简称</w:t>
            </w:r>
          </w:p>
        </w:tc>
        <w:tc>
          <w:tcPr>
            <w:tcW w:w="4501" w:type="dxa"/>
            <w:vAlign w:val="center"/>
          </w:tcPr>
          <w:p w14:paraId="6226D48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博时标普</w:t>
            </w:r>
            <w:r>
              <w:rPr>
                <w:rFonts w:ascii="宋体" w:hAnsi="宋体" w:eastAsia="宋体"/>
                <w:sz w:val="24"/>
              </w:rPr>
              <w:t>500ETF联接E（人民币）</w:t>
            </w:r>
          </w:p>
        </w:tc>
      </w:tr>
      <w:tr w14:paraId="7D600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21" w:type="dxa"/>
            <w:gridSpan w:val="2"/>
            <w:vAlign w:val="center"/>
          </w:tcPr>
          <w:p w14:paraId="30F3D22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下属分级基金的交易代码</w:t>
            </w:r>
          </w:p>
        </w:tc>
        <w:tc>
          <w:tcPr>
            <w:tcW w:w="4501" w:type="dxa"/>
            <w:vAlign w:val="center"/>
          </w:tcPr>
          <w:p w14:paraId="42E98B9E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018738</w:t>
            </w:r>
          </w:p>
        </w:tc>
      </w:tr>
      <w:tr w14:paraId="3550FA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21" w:type="dxa"/>
            <w:gridSpan w:val="2"/>
            <w:vAlign w:val="center"/>
          </w:tcPr>
          <w:p w14:paraId="22961DC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该分级基金是否暂停大额申购、转换转入、定期定额投资</w:t>
            </w:r>
          </w:p>
        </w:tc>
        <w:tc>
          <w:tcPr>
            <w:tcW w:w="4501" w:type="dxa"/>
            <w:vAlign w:val="center"/>
          </w:tcPr>
          <w:p w14:paraId="2FB66C4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</w:tr>
    </w:tbl>
    <w:p w14:paraId="6DF2DDD1"/>
    <w:p w14:paraId="100E3FD4">
      <w:pPr>
        <w:pStyle w:val="2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2、其他需要提示的事项</w:t>
      </w:r>
    </w:p>
    <w:p w14:paraId="2B136964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）</w:t>
      </w:r>
      <w:r>
        <w:rPr>
          <w:rFonts w:hint="eastAsia"/>
          <w:lang w:eastAsia="zh-CN"/>
        </w:rPr>
        <w:t>2026年6月24日</w:t>
      </w:r>
      <w:r>
        <w:rPr>
          <w:rFonts w:hint="eastAsia"/>
        </w:rPr>
        <w:t>起，投资人通过各代销机构</w:t>
      </w: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>博时财富基金销售有限公司除外</w:t>
      </w:r>
      <w:r>
        <w:rPr>
          <w:rFonts w:hint="eastAsia"/>
          <w:highlight w:val="none"/>
          <w:lang w:eastAsia="zh-CN"/>
        </w:rPr>
        <w:t>）</w:t>
      </w:r>
      <w:r>
        <w:rPr>
          <w:rFonts w:hint="eastAsia"/>
        </w:rPr>
        <w:t>申购本基金</w:t>
      </w:r>
      <w:r>
        <w:rPr>
          <w:rFonts w:hint="eastAsia"/>
          <w:lang w:val="en-US" w:eastAsia="zh-CN"/>
        </w:rPr>
        <w:t>E类人民币</w:t>
      </w:r>
      <w:r>
        <w:rPr>
          <w:rFonts w:hint="eastAsia"/>
        </w:rPr>
        <w:t>份额单日每个基金账户的申购、转换转入及定期定额投资累计金额应不超过</w:t>
      </w:r>
      <w:r>
        <w:rPr>
          <w:rFonts w:hint="eastAsia"/>
          <w:lang w:val="en-US" w:eastAsia="zh-CN"/>
        </w:rPr>
        <w:t>100</w:t>
      </w:r>
      <w:r>
        <w:rPr>
          <w:rFonts w:hint="eastAsia"/>
        </w:rPr>
        <w:t>元。如单日每个基金账户的申购、转换转入及定期定额投资累计金额超过</w:t>
      </w:r>
      <w:r>
        <w:rPr>
          <w:rFonts w:hint="eastAsia"/>
          <w:lang w:eastAsia="zh-CN"/>
        </w:rPr>
        <w:t>以上情况</w:t>
      </w:r>
      <w:r>
        <w:rPr>
          <w:rFonts w:hint="eastAsia"/>
        </w:rPr>
        <w:t xml:space="preserve">，本基金管理人有权拒绝。 </w:t>
      </w:r>
    </w:p>
    <w:p w14:paraId="4B4DDA59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）</w:t>
      </w:r>
      <w:r>
        <w:rPr>
          <w:rFonts w:hint="eastAsia"/>
          <w:lang w:eastAsia="zh-CN"/>
        </w:rPr>
        <w:t>2026年6月24日</w:t>
      </w:r>
      <w:r>
        <w:rPr>
          <w:rFonts w:hint="eastAsia"/>
        </w:rPr>
        <w:t>起，投资人通过博时财富基金销售有限公司申购本基金</w:t>
      </w:r>
      <w:r>
        <w:rPr>
          <w:rFonts w:hint="eastAsia"/>
          <w:lang w:val="en-US" w:eastAsia="zh-CN"/>
        </w:rPr>
        <w:t>E类人民币</w:t>
      </w:r>
      <w:r>
        <w:rPr>
          <w:rFonts w:hint="eastAsia"/>
        </w:rPr>
        <w:t>份额单日每个基金账户的申购、转换转入及定期定额投资累计金额应不超过</w:t>
      </w:r>
      <w:r>
        <w:rPr>
          <w:rFonts w:hint="eastAsia"/>
          <w:lang w:val="en-US" w:eastAsia="zh-CN"/>
        </w:rPr>
        <w:t>500</w:t>
      </w:r>
      <w:r>
        <w:rPr>
          <w:rFonts w:hint="eastAsia"/>
        </w:rPr>
        <w:t>元。如单日每个基金账户的申购、转换转入及定期定额投资累计金额超过</w:t>
      </w:r>
      <w:r>
        <w:rPr>
          <w:rFonts w:hint="eastAsia"/>
          <w:lang w:eastAsia="zh-CN"/>
        </w:rPr>
        <w:t>以上情况</w:t>
      </w:r>
      <w:r>
        <w:rPr>
          <w:rFonts w:hint="eastAsia"/>
        </w:rPr>
        <w:t xml:space="preserve">，本基金管理人有权拒绝。 </w:t>
      </w:r>
    </w:p>
    <w:p w14:paraId="2615E25A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）</w:t>
      </w:r>
      <w:r>
        <w:rPr>
          <w:rFonts w:hint="eastAsia"/>
          <w:lang w:eastAsia="zh-CN"/>
        </w:rPr>
        <w:t>2026年6月24日</w:t>
      </w:r>
      <w:r>
        <w:rPr>
          <w:rFonts w:hint="eastAsia"/>
        </w:rPr>
        <w:t>起，投资人通过本公司直销</w:t>
      </w:r>
      <w:r>
        <w:rPr>
          <w:rFonts w:hint="eastAsia"/>
          <w:lang w:val="en-US" w:eastAsia="zh-CN"/>
        </w:rPr>
        <w:t>渠道</w:t>
      </w:r>
      <w:r>
        <w:rPr>
          <w:rFonts w:hint="eastAsia"/>
        </w:rPr>
        <w:t>申购本基金</w:t>
      </w:r>
      <w:r>
        <w:rPr>
          <w:rFonts w:hint="eastAsia"/>
          <w:lang w:val="en-US" w:eastAsia="zh-CN"/>
        </w:rPr>
        <w:t>E类人民币</w:t>
      </w:r>
      <w:r>
        <w:rPr>
          <w:rFonts w:hint="eastAsia"/>
        </w:rPr>
        <w:t>份额单日每个基金账户的申购、转换转入及定期定额投资累计金额应不超过</w:t>
      </w:r>
      <w:r>
        <w:rPr>
          <w:rFonts w:hint="eastAsia"/>
          <w:lang w:val="en-US" w:eastAsia="zh-CN"/>
        </w:rPr>
        <w:t>500</w:t>
      </w:r>
      <w:r>
        <w:rPr>
          <w:rFonts w:hint="eastAsia"/>
        </w:rPr>
        <w:t>元。如单日每个基金账户的申购、转换转入及定期定额投资累计金额超过</w:t>
      </w:r>
      <w:r>
        <w:rPr>
          <w:rFonts w:hint="eastAsia"/>
          <w:lang w:eastAsia="zh-CN"/>
        </w:rPr>
        <w:t>以上情况</w:t>
      </w:r>
      <w:r>
        <w:rPr>
          <w:rFonts w:hint="eastAsia"/>
        </w:rPr>
        <w:t xml:space="preserve">，本基金管理人有权拒绝。 </w:t>
      </w:r>
    </w:p>
    <w:p w14:paraId="60855FCA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  <w:b/>
          <w:bCs/>
          <w:lang w:eastAsia="zh-CN"/>
        </w:rPr>
        <w:t>（</w:t>
      </w:r>
      <w:r>
        <w:rPr>
          <w:rFonts w:hint="eastAsia"/>
          <w:b/>
          <w:bCs/>
          <w:lang w:val="en-US" w:eastAsia="zh-CN"/>
        </w:rPr>
        <w:t>4</w:t>
      </w:r>
      <w:r>
        <w:rPr>
          <w:rFonts w:hint="eastAsia"/>
          <w:b/>
          <w:bCs/>
          <w:lang w:eastAsia="zh-CN"/>
        </w:rPr>
        <w:t>）</w:t>
      </w:r>
      <w:r>
        <w:rPr>
          <w:rFonts w:hint="eastAsia"/>
          <w:b/>
          <w:bCs/>
        </w:rPr>
        <w:t>如投资者于</w:t>
      </w:r>
      <w:r>
        <w:rPr>
          <w:rFonts w:hint="eastAsia"/>
          <w:b/>
          <w:bCs/>
          <w:lang w:eastAsia="zh-CN"/>
        </w:rPr>
        <w:t>2026年6月23日</w:t>
      </w:r>
      <w:r>
        <w:rPr>
          <w:rFonts w:hint="default"/>
          <w:b/>
          <w:bCs/>
        </w:rPr>
        <w:t>15点之后申购</w:t>
      </w:r>
      <w:r>
        <w:rPr>
          <w:rFonts w:hint="eastAsia"/>
          <w:b/>
          <w:bCs/>
          <w:lang w:eastAsia="zh-CN"/>
        </w:rPr>
        <w:t>、</w:t>
      </w:r>
      <w:r>
        <w:rPr>
          <w:rFonts w:hint="default"/>
          <w:b/>
          <w:bCs/>
        </w:rPr>
        <w:t>转换转入</w:t>
      </w:r>
      <w:r>
        <w:rPr>
          <w:rFonts w:hint="eastAsia"/>
          <w:b/>
          <w:bCs/>
          <w:lang w:eastAsia="zh-CN"/>
        </w:rPr>
        <w:t>或</w:t>
      </w:r>
      <w:r>
        <w:rPr>
          <w:rFonts w:hint="eastAsia" w:ascii="宋体" w:hAnsi="宋体" w:eastAsia="宋体"/>
          <w:b/>
          <w:bCs/>
          <w:sz w:val="24"/>
        </w:rPr>
        <w:t>定期定额</w:t>
      </w:r>
      <w:r>
        <w:rPr>
          <w:rFonts w:hint="eastAsia"/>
          <w:b/>
          <w:bCs/>
          <w:sz w:val="24"/>
          <w:lang w:eastAsia="zh-CN"/>
        </w:rPr>
        <w:t>投资</w:t>
      </w:r>
      <w:r>
        <w:rPr>
          <w:rFonts w:hint="default"/>
          <w:b/>
          <w:bCs/>
        </w:rPr>
        <w:t>上述基金，将适用上述限制安排，敬请投资者注意。</w:t>
      </w:r>
    </w:p>
    <w:p w14:paraId="3248E8E8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）在本基金暂停</w:t>
      </w:r>
      <w:bookmarkStart w:id="0" w:name="_GoBack"/>
      <w:bookmarkEnd w:id="0"/>
      <w:r>
        <w:rPr>
          <w:rFonts w:hint="eastAsia"/>
        </w:rPr>
        <w:t xml:space="preserve">大额申购、转换转入、定期定额投资业务期间，其它业务正常办理。本基金恢复办理大额申购、转换转入、定期定额投资业务的时间将另行公告。 </w:t>
      </w:r>
    </w:p>
    <w:p w14:paraId="79709BB5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 xml:space="preserve">）如有疑问，请拨打博时一线通：95105568（免长途话费）或登录本公司网站www.bosera.com获取相关信息。 </w:t>
      </w:r>
    </w:p>
    <w:p w14:paraId="1C145BCA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7</w:t>
      </w:r>
      <w:r>
        <w:rPr>
          <w:rFonts w:hint="eastAsia"/>
          <w:lang w:eastAsia="zh-CN"/>
        </w:rPr>
        <w:t>）</w:t>
      </w:r>
      <w:r>
        <w:rPr>
          <w:rFonts w:hint="eastAsia"/>
        </w:rPr>
        <w:t>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</w:t>
      </w:r>
    </w:p>
    <w:p w14:paraId="7D46D57A">
      <w:pPr>
        <w:pStyle w:val="3"/>
        <w:spacing w:before="0" w:beforeAutospacing="0" w:after="0" w:afterAutospacing="0" w:line="360" w:lineRule="auto"/>
        <w:ind w:firstLine="420"/>
      </w:pPr>
      <w:r>
        <w:rPr>
          <w:rFonts w:hint="eastAsia"/>
        </w:rPr>
        <w:t xml:space="preserve">特此公告。 </w:t>
      </w:r>
    </w:p>
    <w:p w14:paraId="559686B3">
      <w:pPr>
        <w:pStyle w:val="3"/>
        <w:spacing w:before="0" w:beforeAutospacing="0" w:after="0" w:afterAutospacing="0" w:line="360" w:lineRule="auto"/>
        <w:ind w:firstLine="420"/>
      </w:pPr>
    </w:p>
    <w:p w14:paraId="7D50AC4A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/>
        </w:rPr>
      </w:pPr>
      <w:r>
        <w:rPr>
          <w:rFonts w:hint="eastAsia"/>
        </w:rPr>
        <w:t>博时基金管理有限公司</w:t>
      </w:r>
    </w:p>
    <w:p w14:paraId="70A2AE0E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2026年6月23日</w:t>
      </w:r>
    </w:p>
    <w:p w14:paraId="0FDDB831">
      <w:pPr>
        <w:pStyle w:val="3"/>
        <w:spacing w:before="0" w:beforeAutospacing="0" w:after="0" w:afterAutospacing="0" w:line="360" w:lineRule="auto"/>
        <w:ind w:firstLine="420"/>
        <w:jc w:val="right"/>
      </w:pPr>
    </w:p>
    <w:p w14:paraId="4C04D1AF">
      <w:pPr>
        <w:pStyle w:val="3"/>
        <w:spacing w:before="0" w:beforeAutospacing="0" w:after="0" w:afterAutospacing="0" w:line="360" w:lineRule="auto"/>
        <w:jc w:val="both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FD6"/>
    <w:rsid w:val="004B3FD6"/>
    <w:rsid w:val="00E05B48"/>
    <w:rsid w:val="222C5C60"/>
    <w:rsid w:val="6C7B23F5"/>
    <w:rsid w:val="6DE27B86"/>
    <w:rsid w:val="781D1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8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标题 3 Char"/>
    <w:basedOn w:val="6"/>
    <w:link w:val="2"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mycompany</Company>
  <Pages>2</Pages>
  <Words>166</Words>
  <Characters>952</Characters>
  <Lines>7</Lines>
  <Paragraphs>2</Paragraphs>
  <TotalTime>6</TotalTime>
  <ScaleCrop>false</ScaleCrop>
  <LinksUpToDate>false</LinksUpToDate>
  <CharactersWithSpaces>1116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2026-06-09T06:40:00Z</dcterms:created>
  <dc:creator>BSKMadminDev</dc:creator>
  <cp:lastModifiedBy>潘安妮</cp:lastModifiedBy>
  <dcterms:modified xsi:type="dcterms:W3CDTF">2026-06-22T05:49:18Z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1F68DAC881814F6DAB58CCE2E9EF2BB1_13</vt:lpwstr>
  </property>
</Properties>
</file>