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40F502">
      <w:pPr>
        <w:widowControl/>
        <w:jc w:val="left"/>
        <w:rPr>
          <w:rFonts w:ascii="宋体" w:hAnsi="宋体" w:eastAsia="宋体"/>
          <w:sz w:val="30"/>
        </w:rPr>
      </w:pPr>
      <w:bookmarkStart w:id="234" w:name="_GoBack"/>
      <w:bookmarkEnd w:id="234"/>
    </w:p>
    <w:p w14:paraId="68461DF3">
      <w:pPr>
        <w:widowControl/>
        <w:jc w:val="left"/>
        <w:rPr>
          <w:rFonts w:ascii="宋体" w:hAnsi="宋体" w:eastAsia="宋体"/>
          <w:sz w:val="30"/>
        </w:rPr>
      </w:pPr>
    </w:p>
    <w:p w14:paraId="7CF14F2E">
      <w:pPr>
        <w:widowControl/>
        <w:jc w:val="left"/>
        <w:rPr>
          <w:rFonts w:ascii="宋体" w:hAnsi="宋体" w:eastAsia="宋体"/>
          <w:sz w:val="30"/>
        </w:rPr>
      </w:pPr>
    </w:p>
    <w:p w14:paraId="062E6471">
      <w:pPr>
        <w:widowControl/>
        <w:jc w:val="left"/>
        <w:rPr>
          <w:rFonts w:ascii="宋体" w:hAnsi="宋体" w:eastAsia="宋体"/>
          <w:sz w:val="30"/>
        </w:rPr>
      </w:pPr>
    </w:p>
    <w:p w14:paraId="542FB921">
      <w:pPr>
        <w:widowControl/>
        <w:spacing w:line="800" w:lineRule="exact"/>
        <w:jc w:val="center"/>
        <w:rPr>
          <w:rFonts w:ascii="宋体" w:hAnsi="宋体" w:eastAsia="宋体"/>
          <w:b/>
          <w:sz w:val="52"/>
        </w:rPr>
      </w:pPr>
      <w:r>
        <w:rPr>
          <w:rFonts w:hint="eastAsia" w:ascii="宋体" w:hAnsi="宋体" w:eastAsia="宋体"/>
          <w:b/>
          <w:sz w:val="52"/>
        </w:rPr>
        <w:t>博时富洋纯债一年定期开放债券型发起式证券投资基金</w:t>
      </w:r>
    </w:p>
    <w:p w14:paraId="4AF175A8">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6CB06F64">
      <w:pPr>
        <w:widowControl/>
        <w:spacing w:line="800" w:lineRule="exact"/>
        <w:jc w:val="center"/>
        <w:rPr>
          <w:rFonts w:ascii="宋体" w:hAnsi="宋体" w:eastAsia="宋体"/>
          <w:b/>
          <w:sz w:val="52"/>
        </w:rPr>
      </w:pPr>
      <w:r>
        <w:rPr>
          <w:rFonts w:hint="eastAsia" w:ascii="宋体" w:hAnsi="宋体" w:eastAsia="宋体"/>
          <w:b/>
          <w:sz w:val="52"/>
        </w:rPr>
        <w:t>【本基金不向个人投资者公开销售】</w:t>
      </w:r>
    </w:p>
    <w:p w14:paraId="1762DD27">
      <w:pPr>
        <w:widowControl/>
        <w:spacing w:line="800" w:lineRule="exact"/>
        <w:jc w:val="center"/>
        <w:rPr>
          <w:rFonts w:ascii="宋体" w:hAnsi="宋体" w:eastAsia="宋体"/>
          <w:b/>
          <w:sz w:val="52"/>
        </w:rPr>
      </w:pPr>
    </w:p>
    <w:p w14:paraId="7D7F48EC">
      <w:pPr>
        <w:widowControl/>
        <w:spacing w:line="800" w:lineRule="exact"/>
        <w:jc w:val="center"/>
        <w:rPr>
          <w:rFonts w:ascii="宋体" w:hAnsi="宋体" w:eastAsia="宋体"/>
          <w:b/>
          <w:sz w:val="52"/>
        </w:rPr>
      </w:pPr>
    </w:p>
    <w:p w14:paraId="63A4F3E9">
      <w:pPr>
        <w:widowControl/>
        <w:spacing w:line="800" w:lineRule="exact"/>
        <w:jc w:val="center"/>
        <w:rPr>
          <w:rFonts w:ascii="宋体" w:hAnsi="宋体" w:eastAsia="宋体"/>
          <w:b/>
          <w:sz w:val="52"/>
        </w:rPr>
      </w:pPr>
    </w:p>
    <w:p w14:paraId="7FD1EADE">
      <w:pPr>
        <w:widowControl/>
        <w:spacing w:line="800" w:lineRule="exact"/>
        <w:jc w:val="center"/>
        <w:rPr>
          <w:rFonts w:ascii="宋体" w:hAnsi="宋体" w:eastAsia="宋体"/>
          <w:b/>
          <w:sz w:val="52"/>
        </w:rPr>
      </w:pPr>
    </w:p>
    <w:p w14:paraId="1920E212">
      <w:pPr>
        <w:widowControl/>
        <w:spacing w:line="800" w:lineRule="exact"/>
        <w:jc w:val="center"/>
        <w:rPr>
          <w:rFonts w:ascii="宋体" w:hAnsi="宋体" w:eastAsia="宋体"/>
          <w:b/>
          <w:sz w:val="52"/>
        </w:rPr>
      </w:pPr>
    </w:p>
    <w:p w14:paraId="4968F9DF">
      <w:pPr>
        <w:widowControl/>
        <w:spacing w:line="800" w:lineRule="exact"/>
        <w:jc w:val="center"/>
        <w:rPr>
          <w:rFonts w:ascii="宋体" w:hAnsi="宋体" w:eastAsia="宋体"/>
          <w:b/>
          <w:sz w:val="52"/>
        </w:rPr>
      </w:pPr>
    </w:p>
    <w:p w14:paraId="0786EBBC">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62AF7FCE">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上海银行股份有限公司</w:t>
      </w:r>
      <w:r>
        <w:rPr>
          <w:rFonts w:ascii="宋体" w:hAnsi="宋体" w:eastAsia="宋体"/>
          <w:b/>
          <w:sz w:val="30"/>
        </w:rPr>
        <w:br w:type="page"/>
      </w:r>
    </w:p>
    <w:p w14:paraId="44344D5F">
      <w:pPr>
        <w:pStyle w:val="2"/>
        <w:jc w:val="center"/>
        <w:rPr>
          <w:rFonts w:ascii="宋体" w:hAnsi="宋体" w:eastAsia="宋体"/>
          <w:sz w:val="30"/>
        </w:rPr>
      </w:pPr>
      <w:bookmarkStart w:id="0" w:name="_Toc208503983"/>
      <w:r>
        <w:rPr>
          <w:rFonts w:hint="eastAsia" w:ascii="宋体" w:hAnsi="宋体" w:eastAsia="宋体"/>
          <w:sz w:val="30"/>
        </w:rPr>
        <w:t>【重要提示】</w:t>
      </w:r>
      <w:bookmarkEnd w:id="0"/>
    </w:p>
    <w:p w14:paraId="71E16645">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2019年11月4日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博时富洋纯债一年定期开放债券型发起式证券投资基金</w:t>
      </w:r>
      <w:bookmarkEnd w:id="2"/>
      <w:r>
        <w:rPr>
          <w:rFonts w:hint="eastAsia"/>
          <w:sz w:val="21"/>
          <w:szCs w:val="21"/>
        </w:rPr>
        <w:t>注册的批复》（证监许可</w:t>
      </w:r>
      <w:bookmarkStart w:id="3" w:name="field_2343_lotnumber_1"/>
      <w:r>
        <w:rPr>
          <w:sz w:val="21"/>
          <w:szCs w:val="21"/>
        </w:rPr>
        <w:t>[2019]2189</w:t>
      </w:r>
      <w:bookmarkEnd w:id="3"/>
      <w:r>
        <w:rPr>
          <w:rFonts w:hint="eastAsia"/>
          <w:sz w:val="21"/>
          <w:szCs w:val="21"/>
        </w:rPr>
        <w:t xml:space="preserve">号）进行募集。 </w:t>
      </w:r>
    </w:p>
    <w:p w14:paraId="1E8439E7">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收益和市场前景作出实质性判断或保证，也不表明投资于本基金没有风险。 </w:t>
      </w:r>
    </w:p>
    <w:p w14:paraId="3CD93513">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4DE471E2">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2A6B10D7">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084B6A8F">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25441F4E">
      <w:pPr>
        <w:pStyle w:val="7"/>
        <w:spacing w:before="0" w:beforeAutospacing="0" w:after="0" w:afterAutospacing="0" w:line="360" w:lineRule="auto"/>
        <w:ind w:firstLine="420"/>
        <w:rPr>
          <w:sz w:val="21"/>
          <w:szCs w:val="21"/>
        </w:rPr>
      </w:pPr>
      <w:r>
        <w:rPr>
          <w:rFonts w:hint="eastAsia"/>
          <w:sz w:val="21"/>
          <w:szCs w:val="21"/>
        </w:rPr>
        <w:t xml:space="preserve">5、本基金为债券型基金，预期收益和预期风险高于货币市场基金，但低于混合型基金、股票型基金，属于中低风险/收益的产品。 </w:t>
      </w:r>
    </w:p>
    <w:p w14:paraId="05DEC80B">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债券（含国债、金融债、企业债、公司债、地方政府债、央行票据、中期票据、短期融资券、超短期融资券、公开发行的次级债）、资产支持证券、债券回购、同业存单、银行存款、国债期货等法律法规或中国证监会允许基金投资的其他金融工具（但须符合中国证监会的相关规定）。 </w:t>
      </w:r>
    </w:p>
    <w:p w14:paraId="5EFE7490">
      <w:pPr>
        <w:pStyle w:val="7"/>
        <w:spacing w:before="0" w:beforeAutospacing="0" w:after="0" w:afterAutospacing="0" w:line="360" w:lineRule="auto"/>
        <w:ind w:firstLine="420"/>
        <w:rPr>
          <w:sz w:val="21"/>
          <w:szCs w:val="21"/>
        </w:rPr>
      </w:pPr>
      <w:r>
        <w:rPr>
          <w:rFonts w:hint="eastAsia"/>
          <w:sz w:val="21"/>
          <w:szCs w:val="21"/>
        </w:rPr>
        <w:t xml:space="preserve">本基金不投资于股票等资产，也不投资于可转换债券、可交换债券。 </w:t>
      </w:r>
    </w:p>
    <w:p w14:paraId="23AB891D">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1E437075">
      <w:pPr>
        <w:pStyle w:val="7"/>
        <w:spacing w:before="0" w:beforeAutospacing="0" w:after="0" w:afterAutospacing="0" w:line="360" w:lineRule="auto"/>
        <w:ind w:firstLine="420"/>
        <w:rPr>
          <w:sz w:val="21"/>
          <w:szCs w:val="21"/>
        </w:rPr>
      </w:pPr>
      <w:r>
        <w:rPr>
          <w:rFonts w:hint="eastAsia"/>
          <w:sz w:val="21"/>
          <w:szCs w:val="21"/>
        </w:rPr>
        <w:t xml:space="preserve">7、本基金投资于债券资产比例不低于基金资产的80%，但应开放期流动性需要，为保护基金份额持有人利益，在每次开放期开始前1个月、开放期及开放期结束后1个月的期间内，基金投资不受上述比例限制。开放期内，每个交易日日终在扣除国债期货合约需缴纳的交易保证金后，本基金持有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106D2A14">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03FB54FF">
      <w:pPr>
        <w:pStyle w:val="7"/>
        <w:spacing w:before="0" w:beforeAutospacing="0" w:after="0" w:afterAutospacing="0" w:line="360" w:lineRule="auto"/>
        <w:ind w:firstLine="420"/>
        <w:rPr>
          <w:sz w:val="21"/>
          <w:szCs w:val="21"/>
        </w:rPr>
      </w:pPr>
      <w:r>
        <w:rPr>
          <w:rFonts w:hint="eastAsia"/>
          <w:sz w:val="21"/>
          <w:szCs w:val="21"/>
        </w:rPr>
        <w:t>9、本基金发售面值为人民币</w:t>
      </w:r>
      <w:bookmarkStart w:id="4" w:name="field_2343_facevalue_1"/>
      <w:r>
        <w:rPr>
          <w:sz w:val="21"/>
          <w:szCs w:val="21"/>
        </w:rPr>
        <w:t>1.00</w:t>
      </w:r>
      <w:bookmarkEnd w:id="4"/>
      <w:r>
        <w:rPr>
          <w:rFonts w:hint="eastAsia"/>
          <w:sz w:val="21"/>
          <w:szCs w:val="21"/>
        </w:rPr>
        <w:t xml:space="preserve">元。在市场波动因素影响下，本基金净值可能低于发售面值，本基金投资者有可能出现亏损。 </w:t>
      </w:r>
    </w:p>
    <w:p w14:paraId="62C26031">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7EA641EB">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2C34B81B">
      <w:pPr>
        <w:pStyle w:val="7"/>
        <w:spacing w:before="0" w:beforeAutospacing="0" w:after="0" w:afterAutospacing="0" w:line="360" w:lineRule="auto"/>
        <w:ind w:firstLine="420"/>
        <w:rPr>
          <w:sz w:val="21"/>
          <w:szCs w:val="21"/>
        </w:rPr>
      </w:pPr>
      <w:r>
        <w:rPr>
          <w:rFonts w:hint="eastAsia"/>
          <w:sz w:val="21"/>
          <w:szCs w:val="21"/>
        </w:rPr>
        <w:t xml:space="preserve">12、本基金单一投资者持有的基金份额或者构成一致行动人的多个投资者持有的基金份额可达到或者超过50%，基金不向个人投资者公开发售。法律法规或监管机构另有约定的除外。 </w:t>
      </w:r>
    </w:p>
    <w:p w14:paraId="5399DD43">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5" w:name="field_2343_infoendday_1"/>
      <w:r>
        <w:rPr>
          <w:sz w:val="21"/>
          <w:szCs w:val="21"/>
        </w:rPr>
        <w:t>20</w:t>
      </w:r>
      <w:r>
        <w:rPr>
          <w:rFonts w:hint="eastAsia"/>
          <w:sz w:val="21"/>
          <w:szCs w:val="21"/>
          <w:lang w:val="en-US" w:eastAsia="zh-CN"/>
        </w:rPr>
        <w:t>26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24</w:t>
      </w:r>
      <w:r>
        <w:rPr>
          <w:sz w:val="21"/>
          <w:szCs w:val="21"/>
        </w:rPr>
        <w:t>日</w:t>
      </w:r>
      <w:bookmarkEnd w:id="5"/>
      <w:r>
        <w:rPr>
          <w:rFonts w:hint="eastAsia"/>
          <w:sz w:val="21"/>
          <w:szCs w:val="21"/>
        </w:rPr>
        <w:t>，有关财务数据和净值表现截止日为</w:t>
      </w:r>
      <w:bookmarkStart w:id="6" w:name="field_2343_financeendday_1"/>
      <w:r>
        <w:rPr>
          <w:sz w:val="21"/>
          <w:szCs w:val="21"/>
        </w:rPr>
        <w:t>2025年6月30日</w:t>
      </w:r>
      <w:bookmarkEnd w:id="6"/>
      <w:r>
        <w:rPr>
          <w:rFonts w:hint="eastAsia"/>
          <w:sz w:val="21"/>
          <w:szCs w:val="21"/>
        </w:rPr>
        <w:t xml:space="preserve">（财务数据未经审计）。 </w:t>
      </w:r>
      <w:r>
        <w:rPr>
          <w:sz w:val="30"/>
        </w:rPr>
        <w:br w:type="page"/>
      </w:r>
    </w:p>
    <w:p w14:paraId="40517C44">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6863B00D">
      <w:pPr>
        <w:pStyle w:val="6"/>
        <w:tabs>
          <w:tab w:val="right" w:leader="dot" w:pos="8290"/>
        </w:tabs>
        <w:spacing w:line="360" w:lineRule="auto"/>
        <w:rPr>
          <w:rFonts w:ascii="宋体" w:hAnsi="宋体" w:eastAsia="宋体"/>
        </w:rPr>
      </w:pPr>
      <w:r>
        <w:fldChar w:fldCharType="begin"/>
      </w:r>
      <w:r>
        <w:instrText xml:space="preserve"> HYPERLINK \l "_Toc208503983"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_Toc208503983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EBA9302">
      <w:pPr>
        <w:pStyle w:val="6"/>
        <w:tabs>
          <w:tab w:val="right" w:leader="dot" w:pos="8290"/>
        </w:tabs>
        <w:spacing w:line="360" w:lineRule="auto"/>
        <w:rPr>
          <w:rFonts w:ascii="宋体" w:hAnsi="宋体" w:eastAsia="宋体"/>
        </w:rPr>
      </w:pPr>
      <w:r>
        <w:fldChar w:fldCharType="begin"/>
      </w:r>
      <w:r>
        <w:instrText xml:space="preserve"> HYPERLINK \l "_Toc208503984"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_Toc208503984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4AC1C8D6">
      <w:pPr>
        <w:pStyle w:val="6"/>
        <w:tabs>
          <w:tab w:val="right" w:leader="dot" w:pos="8290"/>
        </w:tabs>
        <w:spacing w:line="360" w:lineRule="auto"/>
        <w:rPr>
          <w:rFonts w:ascii="宋体" w:hAnsi="宋体" w:eastAsia="宋体"/>
        </w:rPr>
      </w:pPr>
      <w:r>
        <w:fldChar w:fldCharType="begin"/>
      </w:r>
      <w:r>
        <w:instrText xml:space="preserve"> HYPERLINK \l "_Toc208503985"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_Toc208503985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6335E7A9">
      <w:pPr>
        <w:pStyle w:val="6"/>
        <w:tabs>
          <w:tab w:val="right" w:leader="dot" w:pos="8290"/>
        </w:tabs>
        <w:spacing w:line="360" w:lineRule="auto"/>
        <w:rPr>
          <w:rFonts w:ascii="宋体" w:hAnsi="宋体" w:eastAsia="宋体"/>
        </w:rPr>
      </w:pPr>
      <w:r>
        <w:fldChar w:fldCharType="begin"/>
      </w:r>
      <w:r>
        <w:instrText xml:space="preserve"> HYPERLINK \l "_Toc208503986"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_Toc208503986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5291ED93">
      <w:pPr>
        <w:pStyle w:val="6"/>
        <w:tabs>
          <w:tab w:val="right" w:leader="dot" w:pos="8290"/>
        </w:tabs>
        <w:spacing w:line="360" w:lineRule="auto"/>
        <w:rPr>
          <w:rFonts w:ascii="宋体" w:hAnsi="宋体" w:eastAsia="宋体"/>
        </w:rPr>
      </w:pPr>
      <w:r>
        <w:fldChar w:fldCharType="begin"/>
      </w:r>
      <w:r>
        <w:instrText xml:space="preserve"> HYPERLINK \l "_Toc208503987"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_Toc208503987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5519ADED">
      <w:pPr>
        <w:pStyle w:val="6"/>
        <w:tabs>
          <w:tab w:val="right" w:leader="dot" w:pos="8290"/>
        </w:tabs>
        <w:spacing w:line="360" w:lineRule="auto"/>
        <w:rPr>
          <w:rFonts w:ascii="宋体" w:hAnsi="宋体" w:eastAsia="宋体"/>
        </w:rPr>
      </w:pPr>
      <w:r>
        <w:fldChar w:fldCharType="begin"/>
      </w:r>
      <w:r>
        <w:instrText xml:space="preserve"> HYPERLINK \l "_Toc208503988"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_Toc208503988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47FDF5F9">
      <w:pPr>
        <w:pStyle w:val="6"/>
        <w:tabs>
          <w:tab w:val="right" w:leader="dot" w:pos="8290"/>
        </w:tabs>
        <w:spacing w:line="360" w:lineRule="auto"/>
        <w:rPr>
          <w:rFonts w:ascii="宋体" w:hAnsi="宋体" w:eastAsia="宋体"/>
        </w:rPr>
      </w:pPr>
      <w:r>
        <w:fldChar w:fldCharType="begin"/>
      </w:r>
      <w:r>
        <w:instrText xml:space="preserve"> HYPERLINK \l "_Toc208503989"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_Toc208503989 \h </w:instrText>
      </w:r>
      <w:r>
        <w:rPr>
          <w:rFonts w:ascii="宋体" w:hAnsi="宋体" w:eastAsia="宋体"/>
        </w:rPr>
        <w:fldChar w:fldCharType="separate"/>
      </w:r>
      <w:r>
        <w:rPr>
          <w:rFonts w:ascii="宋体" w:hAnsi="宋体" w:eastAsia="宋体"/>
        </w:rPr>
        <w:t>29</w:t>
      </w:r>
      <w:r>
        <w:rPr>
          <w:rFonts w:ascii="宋体" w:hAnsi="宋体" w:eastAsia="宋体"/>
        </w:rPr>
        <w:fldChar w:fldCharType="end"/>
      </w:r>
      <w:r>
        <w:rPr>
          <w:rFonts w:ascii="宋体" w:hAnsi="宋体" w:eastAsia="宋体"/>
        </w:rPr>
        <w:fldChar w:fldCharType="end"/>
      </w:r>
    </w:p>
    <w:p w14:paraId="03BB6EFB">
      <w:pPr>
        <w:pStyle w:val="6"/>
        <w:tabs>
          <w:tab w:val="right" w:leader="dot" w:pos="8290"/>
        </w:tabs>
        <w:spacing w:line="360" w:lineRule="auto"/>
        <w:rPr>
          <w:rFonts w:ascii="宋体" w:hAnsi="宋体" w:eastAsia="宋体"/>
        </w:rPr>
      </w:pPr>
      <w:r>
        <w:fldChar w:fldCharType="begin"/>
      </w:r>
      <w:r>
        <w:instrText xml:space="preserve"> HYPERLINK \l "_Toc208503990"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_Toc208503990 \h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fldChar w:fldCharType="end"/>
      </w:r>
    </w:p>
    <w:p w14:paraId="0B4A81DC">
      <w:pPr>
        <w:pStyle w:val="6"/>
        <w:tabs>
          <w:tab w:val="right" w:leader="dot" w:pos="8290"/>
        </w:tabs>
        <w:spacing w:line="360" w:lineRule="auto"/>
        <w:rPr>
          <w:rFonts w:ascii="宋体" w:hAnsi="宋体" w:eastAsia="宋体"/>
        </w:rPr>
      </w:pPr>
      <w:r>
        <w:fldChar w:fldCharType="begin"/>
      </w:r>
      <w:r>
        <w:instrText xml:space="preserve"> HYPERLINK \l "_Toc208503991"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_Toc208503991 \h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fldChar w:fldCharType="end"/>
      </w:r>
    </w:p>
    <w:p w14:paraId="033FD7B3">
      <w:pPr>
        <w:pStyle w:val="6"/>
        <w:tabs>
          <w:tab w:val="right" w:leader="dot" w:pos="8290"/>
        </w:tabs>
        <w:spacing w:line="360" w:lineRule="auto"/>
        <w:rPr>
          <w:rFonts w:ascii="宋体" w:hAnsi="宋体" w:eastAsia="宋体"/>
        </w:rPr>
      </w:pPr>
      <w:r>
        <w:fldChar w:fldCharType="begin"/>
      </w:r>
      <w:r>
        <w:instrText xml:space="preserve"> HYPERLINK \l "_Toc208503992"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_Toc208503992 \h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fldChar w:fldCharType="end"/>
      </w:r>
    </w:p>
    <w:p w14:paraId="65614EE7">
      <w:pPr>
        <w:pStyle w:val="6"/>
        <w:tabs>
          <w:tab w:val="right" w:leader="dot" w:pos="8290"/>
        </w:tabs>
        <w:spacing w:line="360" w:lineRule="auto"/>
        <w:rPr>
          <w:rFonts w:ascii="宋体" w:hAnsi="宋体" w:eastAsia="宋体"/>
        </w:rPr>
      </w:pPr>
      <w:r>
        <w:fldChar w:fldCharType="begin"/>
      </w:r>
      <w:r>
        <w:instrText xml:space="preserve"> HYPERLINK \l "_Toc208503993"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_Toc208503993 \h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fldChar w:fldCharType="end"/>
      </w:r>
    </w:p>
    <w:p w14:paraId="1E990924">
      <w:pPr>
        <w:pStyle w:val="6"/>
        <w:tabs>
          <w:tab w:val="right" w:leader="dot" w:pos="8290"/>
        </w:tabs>
        <w:spacing w:line="360" w:lineRule="auto"/>
        <w:rPr>
          <w:rFonts w:ascii="宋体" w:hAnsi="宋体" w:eastAsia="宋体"/>
        </w:rPr>
      </w:pPr>
      <w:r>
        <w:fldChar w:fldCharType="begin"/>
      </w:r>
      <w:r>
        <w:instrText xml:space="preserve"> HYPERLINK \l "_Toc208503994"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_Toc208503994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14:paraId="25BE82F9">
      <w:pPr>
        <w:pStyle w:val="6"/>
        <w:tabs>
          <w:tab w:val="right" w:leader="dot" w:pos="8290"/>
        </w:tabs>
        <w:spacing w:line="360" w:lineRule="auto"/>
        <w:rPr>
          <w:rFonts w:ascii="宋体" w:hAnsi="宋体" w:eastAsia="宋体"/>
        </w:rPr>
      </w:pPr>
      <w:r>
        <w:fldChar w:fldCharType="begin"/>
      </w:r>
      <w:r>
        <w:instrText xml:space="preserve"> HYPERLINK \l "_Toc208503995"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_Toc208503995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5EA14624">
      <w:pPr>
        <w:pStyle w:val="6"/>
        <w:tabs>
          <w:tab w:val="right" w:leader="dot" w:pos="8290"/>
        </w:tabs>
        <w:spacing w:line="360" w:lineRule="auto"/>
        <w:rPr>
          <w:rFonts w:ascii="宋体" w:hAnsi="宋体" w:eastAsia="宋体"/>
        </w:rPr>
      </w:pPr>
      <w:r>
        <w:fldChar w:fldCharType="begin"/>
      </w:r>
      <w:r>
        <w:instrText xml:space="preserve"> HYPERLINK \l "_Toc208503996"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_Toc208503996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3DB9F072">
      <w:pPr>
        <w:pStyle w:val="6"/>
        <w:tabs>
          <w:tab w:val="right" w:leader="dot" w:pos="8290"/>
        </w:tabs>
        <w:spacing w:line="360" w:lineRule="auto"/>
        <w:rPr>
          <w:rFonts w:ascii="宋体" w:hAnsi="宋体" w:eastAsia="宋体"/>
        </w:rPr>
      </w:pPr>
      <w:r>
        <w:fldChar w:fldCharType="begin"/>
      </w:r>
      <w:r>
        <w:instrText xml:space="preserve"> HYPERLINK \l "_Toc208503997"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_Toc208503997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14:paraId="72AFE436">
      <w:pPr>
        <w:pStyle w:val="6"/>
        <w:tabs>
          <w:tab w:val="right" w:leader="dot" w:pos="8290"/>
        </w:tabs>
        <w:spacing w:line="360" w:lineRule="auto"/>
        <w:rPr>
          <w:rFonts w:ascii="宋体" w:hAnsi="宋体" w:eastAsia="宋体"/>
        </w:rPr>
      </w:pPr>
      <w:r>
        <w:fldChar w:fldCharType="begin"/>
      </w:r>
      <w:r>
        <w:instrText xml:space="preserve"> HYPERLINK \l "_Toc208503998"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_Toc208503998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41233640">
      <w:pPr>
        <w:pStyle w:val="6"/>
        <w:tabs>
          <w:tab w:val="right" w:leader="dot" w:pos="8290"/>
        </w:tabs>
        <w:spacing w:line="360" w:lineRule="auto"/>
        <w:rPr>
          <w:rFonts w:ascii="宋体" w:hAnsi="宋体" w:eastAsia="宋体"/>
        </w:rPr>
      </w:pPr>
      <w:r>
        <w:fldChar w:fldCharType="begin"/>
      </w:r>
      <w:r>
        <w:instrText xml:space="preserve"> HYPERLINK \l "_Toc208503999"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_Toc208503999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40BBBE8F">
      <w:pPr>
        <w:pStyle w:val="6"/>
        <w:tabs>
          <w:tab w:val="right" w:leader="dot" w:pos="8290"/>
        </w:tabs>
        <w:spacing w:line="360" w:lineRule="auto"/>
        <w:rPr>
          <w:rFonts w:ascii="宋体" w:hAnsi="宋体" w:eastAsia="宋体"/>
        </w:rPr>
      </w:pPr>
      <w:r>
        <w:fldChar w:fldCharType="begin"/>
      </w:r>
      <w:r>
        <w:instrText xml:space="preserve"> HYPERLINK \l "_Toc208504000"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_Toc208504000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16D50904">
      <w:pPr>
        <w:pStyle w:val="6"/>
        <w:tabs>
          <w:tab w:val="right" w:leader="dot" w:pos="8290"/>
        </w:tabs>
        <w:spacing w:line="360" w:lineRule="auto"/>
        <w:rPr>
          <w:rFonts w:ascii="宋体" w:hAnsi="宋体" w:eastAsia="宋体"/>
        </w:rPr>
      </w:pPr>
      <w:r>
        <w:fldChar w:fldCharType="begin"/>
      </w:r>
      <w:r>
        <w:instrText xml:space="preserve"> HYPERLINK \l "_Toc208504001"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_Toc208504001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4ABB2AC7">
      <w:pPr>
        <w:pStyle w:val="6"/>
        <w:tabs>
          <w:tab w:val="right" w:leader="dot" w:pos="8290"/>
        </w:tabs>
        <w:spacing w:line="360" w:lineRule="auto"/>
        <w:rPr>
          <w:rFonts w:ascii="宋体" w:hAnsi="宋体" w:eastAsia="宋体"/>
        </w:rPr>
      </w:pPr>
      <w:r>
        <w:fldChar w:fldCharType="begin"/>
      </w:r>
      <w:r>
        <w:instrText xml:space="preserve"> HYPERLINK \l "_Toc208504002"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_Toc208504002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32322CDB">
      <w:pPr>
        <w:pStyle w:val="6"/>
        <w:tabs>
          <w:tab w:val="right" w:leader="dot" w:pos="8290"/>
        </w:tabs>
        <w:spacing w:line="360" w:lineRule="auto"/>
        <w:rPr>
          <w:rFonts w:ascii="宋体" w:hAnsi="宋体" w:eastAsia="宋体"/>
        </w:rPr>
      </w:pPr>
      <w:r>
        <w:fldChar w:fldCharType="begin"/>
      </w:r>
      <w:r>
        <w:instrText xml:space="preserve"> HYPERLINK \l "_Toc208504003"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_Toc208504003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72EFC8EC">
      <w:pPr>
        <w:pStyle w:val="6"/>
        <w:tabs>
          <w:tab w:val="right" w:leader="dot" w:pos="8290"/>
        </w:tabs>
        <w:spacing w:line="360" w:lineRule="auto"/>
        <w:rPr>
          <w:rFonts w:ascii="宋体" w:hAnsi="宋体" w:eastAsia="宋体"/>
        </w:rPr>
      </w:pPr>
      <w:r>
        <w:fldChar w:fldCharType="begin"/>
      </w:r>
      <w:r>
        <w:instrText xml:space="preserve"> HYPERLINK \l "_Toc208504004"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_Toc208504004 \h </w:instrText>
      </w:r>
      <w:r>
        <w:rPr>
          <w:rFonts w:ascii="宋体" w:hAnsi="宋体" w:eastAsia="宋体"/>
        </w:rPr>
        <w:fldChar w:fldCharType="separate"/>
      </w:r>
      <w:r>
        <w:rPr>
          <w:rFonts w:ascii="宋体" w:hAnsi="宋体" w:eastAsia="宋体"/>
        </w:rPr>
        <w:t>111</w:t>
      </w:r>
      <w:r>
        <w:rPr>
          <w:rFonts w:ascii="宋体" w:hAnsi="宋体" w:eastAsia="宋体"/>
        </w:rPr>
        <w:fldChar w:fldCharType="end"/>
      </w:r>
      <w:r>
        <w:rPr>
          <w:rFonts w:ascii="宋体" w:hAnsi="宋体" w:eastAsia="宋体"/>
        </w:rPr>
        <w:fldChar w:fldCharType="end"/>
      </w:r>
    </w:p>
    <w:p w14:paraId="2092328F">
      <w:pPr>
        <w:pStyle w:val="6"/>
        <w:tabs>
          <w:tab w:val="right" w:leader="dot" w:pos="8290"/>
        </w:tabs>
        <w:spacing w:line="360" w:lineRule="auto"/>
        <w:rPr>
          <w:rFonts w:ascii="宋体" w:hAnsi="宋体" w:eastAsia="宋体"/>
        </w:rPr>
      </w:pPr>
      <w:r>
        <w:fldChar w:fldCharType="begin"/>
      </w:r>
      <w:r>
        <w:instrText xml:space="preserve"> HYPERLINK \l "_Toc208504005"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_Toc208504005 \h </w:instrText>
      </w:r>
      <w:r>
        <w:rPr>
          <w:rFonts w:ascii="宋体" w:hAnsi="宋体" w:eastAsia="宋体"/>
        </w:rPr>
        <w:fldChar w:fldCharType="separate"/>
      </w:r>
      <w:r>
        <w:rPr>
          <w:rFonts w:ascii="宋体" w:hAnsi="宋体" w:eastAsia="宋体"/>
        </w:rPr>
        <w:t>114</w:t>
      </w:r>
      <w:r>
        <w:rPr>
          <w:rFonts w:ascii="宋体" w:hAnsi="宋体" w:eastAsia="宋体"/>
        </w:rPr>
        <w:fldChar w:fldCharType="end"/>
      </w:r>
      <w:r>
        <w:rPr>
          <w:rFonts w:ascii="宋体" w:hAnsi="宋体" w:eastAsia="宋体"/>
        </w:rPr>
        <w:fldChar w:fldCharType="end"/>
      </w:r>
    </w:p>
    <w:p w14:paraId="47A9A323">
      <w:pPr>
        <w:pStyle w:val="6"/>
        <w:tabs>
          <w:tab w:val="right" w:leader="dot" w:pos="8290"/>
        </w:tabs>
        <w:spacing w:line="360" w:lineRule="auto"/>
        <w:rPr>
          <w:rFonts w:ascii="宋体" w:hAnsi="宋体" w:eastAsia="宋体"/>
        </w:rPr>
      </w:pPr>
      <w:r>
        <w:fldChar w:fldCharType="begin"/>
      </w:r>
      <w:r>
        <w:instrText xml:space="preserve"> HYPERLINK \l "_Toc208504006"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_Toc208504006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2C231751">
      <w:pPr>
        <w:pStyle w:val="6"/>
        <w:tabs>
          <w:tab w:val="right" w:leader="dot" w:pos="8290"/>
        </w:tabs>
        <w:spacing w:line="360" w:lineRule="auto"/>
        <w:rPr>
          <w:rFonts w:ascii="宋体" w:hAnsi="宋体" w:eastAsia="宋体"/>
        </w:rPr>
      </w:pPr>
      <w:r>
        <w:fldChar w:fldCharType="begin"/>
      </w:r>
      <w:r>
        <w:instrText xml:space="preserve"> HYPERLINK \l "_Toc208504007"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_Toc208504007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6850B481">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6FD4D920">
      <w:pPr>
        <w:pStyle w:val="2"/>
        <w:jc w:val="center"/>
        <w:rPr>
          <w:rFonts w:ascii="宋体" w:hAnsi="宋体" w:eastAsia="宋体"/>
          <w:sz w:val="30"/>
        </w:rPr>
      </w:pPr>
      <w:bookmarkStart w:id="7" w:name="chapter_level1_3_2344"/>
      <w:bookmarkStart w:id="8" w:name="_Toc208503984"/>
      <w:r>
        <w:rPr>
          <w:rFonts w:hint="eastAsia" w:ascii="宋体" w:hAnsi="宋体" w:eastAsia="宋体"/>
          <w:sz w:val="30"/>
        </w:rPr>
        <w:t>第一部分  绪言</w:t>
      </w:r>
      <w:bookmarkEnd w:id="7"/>
      <w:bookmarkEnd w:id="8"/>
    </w:p>
    <w:p w14:paraId="361105CE">
      <w:pPr>
        <w:pStyle w:val="7"/>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博时富洋纯债一年定期开放债券型发起式证券投资基金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博时富洋纯债一年定期开放债券型发起式证券投资基金</w:t>
      </w:r>
      <w:bookmarkEnd w:id="11"/>
      <w:r>
        <w:rPr>
          <w:rFonts w:hint="eastAsia"/>
          <w:sz w:val="21"/>
          <w:szCs w:val="21"/>
        </w:rPr>
        <w:t xml:space="preserve">基金合同》（以下简称“基金合同”）编写。  </w:t>
      </w:r>
    </w:p>
    <w:p w14:paraId="137ABBB6">
      <w:pPr>
        <w:pStyle w:val="7"/>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博时富洋纯债一年定期开放债券型发起式证券投资基金</w:t>
      </w:r>
      <w:bookmarkEnd w:id="12"/>
      <w:r>
        <w:rPr>
          <w:rFonts w:hint="eastAsia"/>
          <w:sz w:val="21"/>
          <w:szCs w:val="21"/>
        </w:rPr>
        <w:t xml:space="preserve">的投资目标、策略、风险、费率等与投资人投资决策有关的必要事项，投资人在作出投资决策前应仔细阅读本招募说明书。 </w:t>
      </w:r>
    </w:p>
    <w:p w14:paraId="2F25FD3B">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1037BE58">
      <w:pPr>
        <w:pStyle w:val="7"/>
        <w:spacing w:before="0" w:beforeAutospacing="0" w:after="0" w:afterAutospacing="0" w:line="360" w:lineRule="auto"/>
        <w:ind w:firstLine="420"/>
        <w:rPr>
          <w:sz w:val="21"/>
          <w:szCs w:val="21"/>
        </w:rPr>
      </w:pPr>
      <w:bookmarkStart w:id="13" w:name="field_0_productfullname_5"/>
      <w:r>
        <w:rPr>
          <w:rFonts w:hint="eastAsia"/>
          <w:sz w:val="21"/>
          <w:szCs w:val="21"/>
        </w:rPr>
        <w:t>博时富洋纯债一年定期开放债券型发起式证券投资基金</w:t>
      </w:r>
      <w:bookmarkEnd w:id="13"/>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335327FA">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4" w:name="chapter_level1_3_2344_section_1_end"/>
      <w:bookmarkEnd w:id="14"/>
      <w:r>
        <w:rPr>
          <w:rFonts w:hint="eastAsia"/>
          <w:sz w:val="21"/>
          <w:szCs w:val="21"/>
        </w:rPr>
        <w:t xml:space="preserve">了解基金份额持有人的权利和义务，应详细查阅基金合同。 </w:t>
      </w:r>
    </w:p>
    <w:p w14:paraId="6D4C8D1C">
      <w:pPr>
        <w:widowControl/>
        <w:jc w:val="left"/>
        <w:rPr>
          <w:rFonts w:ascii="宋体" w:hAnsi="宋体" w:eastAsia="宋体"/>
        </w:rPr>
      </w:pPr>
      <w:r>
        <w:rPr>
          <w:rFonts w:ascii="宋体" w:hAnsi="宋体" w:eastAsia="宋体"/>
        </w:rPr>
        <w:br w:type="page"/>
      </w:r>
    </w:p>
    <w:p w14:paraId="68CA0ED5">
      <w:pPr>
        <w:pStyle w:val="2"/>
        <w:jc w:val="center"/>
        <w:rPr>
          <w:rFonts w:ascii="宋体" w:hAnsi="宋体" w:eastAsia="宋体"/>
          <w:sz w:val="30"/>
        </w:rPr>
      </w:pPr>
      <w:bookmarkStart w:id="15" w:name="_Toc208503985"/>
      <w:bookmarkStart w:id="16" w:name="chapter_level1_4_49"/>
      <w:r>
        <w:rPr>
          <w:rFonts w:hint="eastAsia" w:ascii="宋体" w:hAnsi="宋体" w:eastAsia="宋体"/>
          <w:sz w:val="30"/>
        </w:rPr>
        <w:t>第二部分  释义</w:t>
      </w:r>
      <w:bookmarkEnd w:id="15"/>
      <w:bookmarkEnd w:id="16"/>
    </w:p>
    <w:p w14:paraId="459E5C87">
      <w:pPr>
        <w:pStyle w:val="7"/>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 xml:space="preserve">在本招募说明书中，除非文意另有所指，下列词语具有以下含义：  </w:t>
      </w:r>
    </w:p>
    <w:p w14:paraId="737EFA47">
      <w:pPr>
        <w:pStyle w:val="7"/>
        <w:spacing w:before="0" w:beforeAutospacing="0" w:after="0" w:afterAutospacing="0" w:line="360" w:lineRule="auto"/>
        <w:ind w:firstLine="420"/>
        <w:rPr>
          <w:sz w:val="21"/>
          <w:szCs w:val="21"/>
        </w:rPr>
      </w:pPr>
      <w:r>
        <w:rPr>
          <w:rFonts w:hint="eastAsia"/>
          <w:sz w:val="21"/>
          <w:szCs w:val="21"/>
        </w:rPr>
        <w:t>1、基金或本基金：指</w:t>
      </w:r>
      <w:bookmarkStart w:id="18" w:name="field_0_productfullname_6"/>
      <w:r>
        <w:rPr>
          <w:rFonts w:hint="eastAsia"/>
          <w:sz w:val="21"/>
          <w:szCs w:val="21"/>
        </w:rPr>
        <w:t>博时富洋纯债一年定期开放债券型发起式证券投资基金</w:t>
      </w:r>
      <w:bookmarkEnd w:id="18"/>
      <w:r>
        <w:rPr>
          <w:rFonts w:hint="eastAsia"/>
          <w:sz w:val="21"/>
          <w:szCs w:val="21"/>
        </w:rPr>
        <w:t xml:space="preserve">  </w:t>
      </w:r>
    </w:p>
    <w:p w14:paraId="411D8238">
      <w:pPr>
        <w:pStyle w:val="7"/>
        <w:spacing w:before="0" w:beforeAutospacing="0" w:after="0" w:afterAutospacing="0" w:line="360" w:lineRule="auto"/>
        <w:ind w:firstLine="420"/>
        <w:rPr>
          <w:sz w:val="21"/>
          <w:szCs w:val="21"/>
        </w:rPr>
      </w:pPr>
      <w:r>
        <w:rPr>
          <w:rFonts w:hint="eastAsia"/>
          <w:sz w:val="21"/>
          <w:szCs w:val="21"/>
        </w:rPr>
        <w:t>2、基金管理人：指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14:paraId="481A32D1">
      <w:pPr>
        <w:pStyle w:val="7"/>
        <w:spacing w:before="0" w:beforeAutospacing="0" w:after="0" w:afterAutospacing="0" w:line="360" w:lineRule="auto"/>
        <w:ind w:firstLine="420"/>
        <w:rPr>
          <w:sz w:val="21"/>
          <w:szCs w:val="21"/>
        </w:rPr>
      </w:pPr>
      <w:r>
        <w:rPr>
          <w:rFonts w:hint="eastAsia"/>
          <w:sz w:val="21"/>
          <w:szCs w:val="21"/>
        </w:rPr>
        <w:t>3、基金托管人：指</w:t>
      </w:r>
      <w:bookmarkStart w:id="20" w:name="field_0_trustorgfullname_1"/>
      <w:r>
        <w:rPr>
          <w:rFonts w:hint="eastAsia"/>
          <w:sz w:val="21"/>
          <w:szCs w:val="21"/>
        </w:rPr>
        <w:t>上海银行股份有限公司</w:t>
      </w:r>
      <w:bookmarkEnd w:id="20"/>
      <w:r>
        <w:rPr>
          <w:rFonts w:hint="eastAsia"/>
          <w:sz w:val="21"/>
          <w:szCs w:val="21"/>
        </w:rPr>
        <w:t xml:space="preserve">  </w:t>
      </w:r>
    </w:p>
    <w:p w14:paraId="1CFF8672">
      <w:pPr>
        <w:pStyle w:val="7"/>
        <w:spacing w:before="0" w:beforeAutospacing="0" w:after="0" w:afterAutospacing="0" w:line="360" w:lineRule="auto"/>
        <w:ind w:firstLine="420"/>
        <w:rPr>
          <w:sz w:val="21"/>
          <w:szCs w:val="21"/>
        </w:rPr>
      </w:pPr>
      <w:r>
        <w:rPr>
          <w:rFonts w:hint="eastAsia"/>
          <w:sz w:val="21"/>
          <w:szCs w:val="21"/>
        </w:rPr>
        <w:t>4、基金合同：指《</w:t>
      </w:r>
      <w:bookmarkStart w:id="21" w:name="field_0_productfullname_7"/>
      <w:r>
        <w:rPr>
          <w:rFonts w:hint="eastAsia"/>
          <w:sz w:val="21"/>
          <w:szCs w:val="21"/>
        </w:rPr>
        <w:t>博时富洋纯债一年定期开放债券型发起式证券投资基金</w:t>
      </w:r>
      <w:bookmarkEnd w:id="21"/>
      <w:r>
        <w:rPr>
          <w:rFonts w:hint="eastAsia"/>
          <w:sz w:val="21"/>
          <w:szCs w:val="21"/>
        </w:rPr>
        <w:t xml:space="preserve">基金合同》及对基金合同的任何有效修订和补充 </w:t>
      </w:r>
    </w:p>
    <w:p w14:paraId="4221BD26">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2" w:name="field_0_productfullname_8"/>
      <w:r>
        <w:rPr>
          <w:rFonts w:hint="eastAsia"/>
          <w:sz w:val="21"/>
          <w:szCs w:val="21"/>
        </w:rPr>
        <w:t>博时富洋纯债一年定期开放债券型发起式证券投资基金</w:t>
      </w:r>
      <w:bookmarkEnd w:id="22"/>
      <w:r>
        <w:rPr>
          <w:rFonts w:hint="eastAsia"/>
          <w:sz w:val="21"/>
          <w:szCs w:val="21"/>
        </w:rPr>
        <w:t xml:space="preserve">托管协议》及对该托管协议的任何有效修订和补充 </w:t>
      </w:r>
    </w:p>
    <w:p w14:paraId="59269A8F">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3" w:name="field_0_productfullname_9"/>
      <w:r>
        <w:rPr>
          <w:rFonts w:hint="eastAsia"/>
          <w:sz w:val="21"/>
          <w:szCs w:val="21"/>
        </w:rPr>
        <w:t>博时富洋纯债一年定期开放债券型发起式证券投资基金</w:t>
      </w:r>
      <w:bookmarkEnd w:id="23"/>
      <w:r>
        <w:rPr>
          <w:rFonts w:hint="eastAsia"/>
          <w:sz w:val="21"/>
          <w:szCs w:val="21"/>
        </w:rPr>
        <w:t xml:space="preserve">招募说明书》及其更新 </w:t>
      </w:r>
    </w:p>
    <w:p w14:paraId="3CF385C1">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4" w:name="field_0_productfullname_10"/>
      <w:r>
        <w:rPr>
          <w:rFonts w:hint="eastAsia"/>
          <w:sz w:val="21"/>
          <w:szCs w:val="21"/>
        </w:rPr>
        <w:t>博时富洋纯债一年定期开放债券型发起式证券投资基金</w:t>
      </w:r>
      <w:bookmarkEnd w:id="24"/>
      <w:r>
        <w:rPr>
          <w:rFonts w:hint="eastAsia"/>
          <w:sz w:val="21"/>
          <w:szCs w:val="21"/>
        </w:rPr>
        <w:t xml:space="preserve">基金份额发售公告》 </w:t>
      </w:r>
    </w:p>
    <w:p w14:paraId="69389E84">
      <w:pPr>
        <w:pStyle w:val="7"/>
        <w:spacing w:before="0" w:beforeAutospacing="0" w:after="0" w:afterAutospacing="0" w:line="360" w:lineRule="auto"/>
        <w:ind w:firstLine="420"/>
        <w:rPr>
          <w:sz w:val="21"/>
          <w:szCs w:val="21"/>
        </w:rPr>
      </w:pPr>
      <w:r>
        <w:rPr>
          <w:rFonts w:hint="eastAsia"/>
          <w:sz w:val="21"/>
          <w:szCs w:val="21"/>
        </w:rPr>
        <w:t>8、基金产品资料概要：指《</w:t>
      </w:r>
      <w:bookmarkStart w:id="25" w:name="field_0_productfullname_11"/>
      <w:r>
        <w:rPr>
          <w:rFonts w:hint="eastAsia"/>
          <w:sz w:val="21"/>
          <w:szCs w:val="21"/>
        </w:rPr>
        <w:t>博时富洋纯债一年定期开放债券型发起式证券投资基金</w:t>
      </w:r>
      <w:bookmarkEnd w:id="25"/>
      <w:r>
        <w:rPr>
          <w:rFonts w:hint="eastAsia"/>
          <w:sz w:val="21"/>
          <w:szCs w:val="21"/>
        </w:rPr>
        <w:t xml:space="preserve">基金产品资料概要》及其更新 </w:t>
      </w:r>
    </w:p>
    <w:p w14:paraId="5865283D">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637F0262">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24C68C14">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640830B0">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493152F7">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661217D5">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185C0F91">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51E09B6D">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20D5370D">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3B559E53">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18、个人投资者：指依据有关法律法规规定可投资于证券投资基金的自然人，本基金为定制基金，不向个人投资者公开发售。法律法规或监管机构另有规定的除外 </w:t>
      </w:r>
    </w:p>
    <w:p w14:paraId="07A854DB">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037D9429">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2FCE246E">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14:paraId="47A9A9E2">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22、投资人、投资者：指个人投资者、机构投资者、合格境外机构投资者、人民币合格境外机构投资者、发起资金提供方以及法律法规或中国证监会允许购买证券投资基金的其他投资人的合称 </w:t>
      </w:r>
    </w:p>
    <w:p w14:paraId="6C1FF64A">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0DB09064">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66EC6834">
      <w:pPr>
        <w:pStyle w:val="7"/>
        <w:spacing w:before="0" w:beforeAutospacing="0" w:after="0" w:afterAutospacing="0" w:line="360" w:lineRule="auto"/>
        <w:ind w:firstLine="420"/>
        <w:rPr>
          <w:sz w:val="21"/>
          <w:szCs w:val="21"/>
        </w:rPr>
      </w:pPr>
      <w:bookmarkStart w:id="26" w:name="chapter_level1_4_49_section_1_end"/>
      <w:bookmarkEnd w:id="26"/>
      <w:r>
        <w:rPr>
          <w:rFonts w:hint="eastAsia"/>
          <w:sz w:val="21"/>
          <w:szCs w:val="21"/>
        </w:rPr>
        <w:t xml:space="preserve">25、销售机构：指直销机构和代销机构 </w:t>
      </w:r>
    </w:p>
    <w:p w14:paraId="41B193BD">
      <w:pPr>
        <w:pStyle w:val="7"/>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26、直销机构：指</w:t>
      </w:r>
      <w:bookmarkStart w:id="28" w:name="field_0_managerorgfullname_2"/>
      <w:r>
        <w:rPr>
          <w:rFonts w:hint="eastAsia"/>
          <w:sz w:val="21"/>
          <w:szCs w:val="21"/>
        </w:rPr>
        <w:t>博时基金管理有限公司</w:t>
      </w:r>
      <w:bookmarkEnd w:id="28"/>
      <w:r>
        <w:rPr>
          <w:rFonts w:hint="eastAsia"/>
          <w:sz w:val="21"/>
          <w:szCs w:val="21"/>
        </w:rPr>
        <w:t xml:space="preserve">  </w:t>
      </w:r>
    </w:p>
    <w:p w14:paraId="751E2D76">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08961C87">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1405C025">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9" w:name="field_0_managerorgfullname_3"/>
      <w:r>
        <w:rPr>
          <w:rFonts w:hint="eastAsia"/>
          <w:sz w:val="21"/>
          <w:szCs w:val="21"/>
        </w:rPr>
        <w:t>博时基金管理有限公司</w:t>
      </w:r>
      <w:bookmarkEnd w:id="29"/>
      <w:r>
        <w:rPr>
          <w:rFonts w:hint="eastAsia"/>
          <w:sz w:val="21"/>
          <w:szCs w:val="21"/>
        </w:rPr>
        <w:t>或接受</w:t>
      </w:r>
      <w:bookmarkStart w:id="30" w:name="field_0_managerorgfullname_4"/>
      <w:r>
        <w:rPr>
          <w:rFonts w:hint="eastAsia"/>
          <w:sz w:val="21"/>
          <w:szCs w:val="21"/>
        </w:rPr>
        <w:t>博时基金管理有限公司</w:t>
      </w:r>
      <w:bookmarkEnd w:id="30"/>
      <w:r>
        <w:rPr>
          <w:rFonts w:hint="eastAsia"/>
          <w:sz w:val="21"/>
          <w:szCs w:val="21"/>
        </w:rPr>
        <w:t xml:space="preserve">委托代为办理登记业务的机构 </w:t>
      </w:r>
    </w:p>
    <w:p w14:paraId="371D92D3">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7EE58D27">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52B39631">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4F990F2D">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3B3F032B">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4F2AE0D3">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43E97410">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36、工作日：指上海证券交易所、深圳证券交易所的正常交易日 </w:t>
      </w:r>
    </w:p>
    <w:p w14:paraId="5D96EFCB">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37、T日：指销售机构在规定时间受理投资人申购、赎回或其他业务申请的工作日 </w:t>
      </w:r>
    </w:p>
    <w:p w14:paraId="3A2990FD">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6FB3C411">
      <w:pPr>
        <w:pStyle w:val="7"/>
        <w:spacing w:before="0" w:beforeAutospacing="0" w:after="0" w:afterAutospacing="0" w:line="360" w:lineRule="auto"/>
        <w:ind w:firstLine="420"/>
        <w:rPr>
          <w:sz w:val="21"/>
          <w:szCs w:val="21"/>
        </w:rPr>
      </w:pPr>
      <w:r>
        <w:rPr>
          <w:rFonts w:hint="eastAsia"/>
          <w:sz w:val="21"/>
          <w:szCs w:val="21"/>
        </w:rPr>
        <w:t xml:space="preserve">39、封闭期：指自基金合同生效之日起（包括基金合同生效之日）或自每一开放期结束之日次日起（包括该日）一年的期间。本基金的第一个封闭期为自基金合同生效日之日起（包括该日）至一年后的对应日前一日（含该日）的期间。下一个封闭期为首个开放期结束之日次日起（包括该日）至一年后的对应日前一日（含该日）的期间，以此类推。如该对应日不存在对应日期的，则顺延至下一日；如该对应日为非工作日的，封闭期相应顺延，以此类推。本基金封闭期内不办理申购与赎回业务，也不上市交易 </w:t>
      </w:r>
    </w:p>
    <w:p w14:paraId="164C7C8A">
      <w:pPr>
        <w:pStyle w:val="7"/>
        <w:spacing w:before="0" w:beforeAutospacing="0" w:after="0" w:afterAutospacing="0" w:line="360" w:lineRule="auto"/>
        <w:ind w:firstLine="420"/>
        <w:rPr>
          <w:sz w:val="21"/>
          <w:szCs w:val="21"/>
        </w:rPr>
      </w:pPr>
      <w:r>
        <w:rPr>
          <w:rFonts w:hint="eastAsia"/>
          <w:sz w:val="21"/>
          <w:szCs w:val="21"/>
        </w:rPr>
        <w:t xml:space="preserve">40、开放期：指自封闭期结束之日后第一个工作日起（含该日）1至20个工作日，具体期间由基金管理人在封闭期结束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 </w:t>
      </w:r>
    </w:p>
    <w:p w14:paraId="5C922728">
      <w:pPr>
        <w:pStyle w:val="7"/>
        <w:spacing w:before="0" w:beforeAutospacing="0" w:after="0" w:afterAutospacing="0" w:line="360" w:lineRule="auto"/>
        <w:ind w:firstLine="420"/>
        <w:rPr>
          <w:sz w:val="21"/>
          <w:szCs w:val="21"/>
        </w:rPr>
      </w:pPr>
      <w:r>
        <w:rPr>
          <w:rFonts w:hint="eastAsia"/>
          <w:sz w:val="21"/>
          <w:szCs w:val="21"/>
        </w:rPr>
        <w:t xml:space="preserve">41、开放日：指为投资人办理基金份额申购、赎回或其他业务的工作日 </w:t>
      </w:r>
    </w:p>
    <w:p w14:paraId="689C1A4C">
      <w:pPr>
        <w:pStyle w:val="7"/>
        <w:spacing w:before="0" w:beforeAutospacing="0" w:after="0" w:afterAutospacing="0" w:line="360" w:lineRule="auto"/>
        <w:ind w:firstLine="420"/>
        <w:rPr>
          <w:sz w:val="21"/>
          <w:szCs w:val="21"/>
        </w:rPr>
      </w:pPr>
      <w:r>
        <w:rPr>
          <w:rFonts w:hint="eastAsia"/>
          <w:sz w:val="21"/>
          <w:szCs w:val="21"/>
        </w:rPr>
        <w:t xml:space="preserve">42、开放时间：指开放日基金接受申购、赎回或其他业务的时间段 </w:t>
      </w:r>
    </w:p>
    <w:p w14:paraId="2FF2ED30">
      <w:pPr>
        <w:pStyle w:val="7"/>
        <w:spacing w:before="0" w:beforeAutospacing="0" w:after="0" w:afterAutospacing="0" w:line="360" w:lineRule="auto"/>
        <w:ind w:firstLine="420"/>
        <w:rPr>
          <w:sz w:val="21"/>
          <w:szCs w:val="21"/>
        </w:rPr>
      </w:pPr>
      <w:r>
        <w:rPr>
          <w:rFonts w:hint="eastAsia"/>
          <w:sz w:val="21"/>
          <w:szCs w:val="21"/>
        </w:rPr>
        <w:t>43、《业务规则》：指《</w:t>
      </w:r>
      <w:bookmarkStart w:id="31" w:name="field_0_managerorgfullname_5"/>
      <w:r>
        <w:rPr>
          <w:rFonts w:hint="eastAsia"/>
          <w:sz w:val="21"/>
          <w:szCs w:val="21"/>
        </w:rPr>
        <w:t>博时基金管理有限公司</w:t>
      </w:r>
      <w:bookmarkEnd w:id="31"/>
      <w:r>
        <w:rPr>
          <w:rFonts w:hint="eastAsia"/>
          <w:sz w:val="21"/>
          <w:szCs w:val="21"/>
        </w:rPr>
        <w:t xml:space="preserve">开放式基金业务规则》，是规范基金管理人所管理的开放式证券投资基金登记方面的业务规则，由基金管理人和投资人共同遵守 </w:t>
      </w:r>
    </w:p>
    <w:p w14:paraId="00D87C37">
      <w:pPr>
        <w:pStyle w:val="7"/>
        <w:spacing w:before="0" w:beforeAutospacing="0" w:after="0" w:afterAutospacing="0" w:line="360" w:lineRule="auto"/>
        <w:ind w:firstLine="420"/>
        <w:rPr>
          <w:sz w:val="21"/>
          <w:szCs w:val="21"/>
        </w:rPr>
      </w:pPr>
      <w:r>
        <w:rPr>
          <w:rFonts w:hint="eastAsia"/>
          <w:sz w:val="21"/>
          <w:szCs w:val="21"/>
        </w:rPr>
        <w:t xml:space="preserve">44、认购：指在基金募集期内，投资人根据基金合同和招募说明书的规定申请购买基金份额的行为 </w:t>
      </w:r>
    </w:p>
    <w:p w14:paraId="2D8CC7E3">
      <w:pPr>
        <w:pStyle w:val="7"/>
        <w:spacing w:before="0" w:beforeAutospacing="0" w:after="0" w:afterAutospacing="0" w:line="360" w:lineRule="auto"/>
        <w:ind w:firstLine="420"/>
        <w:rPr>
          <w:sz w:val="21"/>
          <w:szCs w:val="21"/>
        </w:rPr>
      </w:pPr>
      <w:r>
        <w:rPr>
          <w:rFonts w:hint="eastAsia"/>
          <w:sz w:val="21"/>
          <w:szCs w:val="21"/>
        </w:rPr>
        <w:t xml:space="preserve">45、申购：指基金合同生效后，投资人根据基金合同和招募说明书的规定申请购买基金份额的行为 </w:t>
      </w:r>
    </w:p>
    <w:p w14:paraId="7338743E">
      <w:pPr>
        <w:pStyle w:val="7"/>
        <w:spacing w:before="0" w:beforeAutospacing="0" w:after="0" w:afterAutospacing="0" w:line="360" w:lineRule="auto"/>
        <w:ind w:firstLine="420"/>
        <w:rPr>
          <w:sz w:val="21"/>
          <w:szCs w:val="21"/>
        </w:rPr>
      </w:pPr>
      <w:r>
        <w:rPr>
          <w:rFonts w:hint="eastAsia"/>
          <w:sz w:val="21"/>
          <w:szCs w:val="21"/>
        </w:rPr>
        <w:t xml:space="preserve">46、赎回：指基金合同生效后，基金份额持有人按基金合同和招募说明书规定的条件要求将基金份额兑换为现金的行为 </w:t>
      </w:r>
    </w:p>
    <w:p w14:paraId="1904138E">
      <w:pPr>
        <w:pStyle w:val="7"/>
        <w:spacing w:before="0" w:beforeAutospacing="0" w:after="0" w:afterAutospacing="0" w:line="360" w:lineRule="auto"/>
        <w:ind w:firstLine="420"/>
        <w:rPr>
          <w:sz w:val="21"/>
          <w:szCs w:val="21"/>
        </w:rPr>
      </w:pPr>
      <w:r>
        <w:rPr>
          <w:rFonts w:hint="eastAsia"/>
          <w:sz w:val="21"/>
          <w:szCs w:val="21"/>
        </w:rPr>
        <w:t xml:space="preserve">47、基金转换：指基金份额持有人按照基金合同和基金管理人届时有效公告规定的条件，申请将其持有基金管理人管理的、某一基金的基金份额转换为基金管理人管理的其他基金基金份额的行为 </w:t>
      </w:r>
    </w:p>
    <w:p w14:paraId="4070DC4F">
      <w:pPr>
        <w:pStyle w:val="7"/>
        <w:spacing w:before="0" w:beforeAutospacing="0" w:after="0" w:afterAutospacing="0" w:line="360" w:lineRule="auto"/>
        <w:ind w:firstLine="420"/>
        <w:rPr>
          <w:sz w:val="21"/>
          <w:szCs w:val="21"/>
        </w:rPr>
      </w:pPr>
      <w:r>
        <w:rPr>
          <w:rFonts w:hint="eastAsia"/>
          <w:sz w:val="21"/>
          <w:szCs w:val="21"/>
        </w:rPr>
        <w:t xml:space="preserve">48、转托管：指基金份额持有人在本基金的不同销售机构之间实施的变更所持基金份额销售机构的操作 </w:t>
      </w:r>
    </w:p>
    <w:p w14:paraId="4F3C553D">
      <w:pPr>
        <w:pStyle w:val="7"/>
        <w:spacing w:before="0" w:beforeAutospacing="0" w:after="0" w:afterAutospacing="0" w:line="360" w:lineRule="auto"/>
        <w:ind w:firstLine="420"/>
        <w:rPr>
          <w:sz w:val="21"/>
          <w:szCs w:val="21"/>
        </w:rPr>
      </w:pPr>
      <w:r>
        <w:rPr>
          <w:rFonts w:hint="eastAsia"/>
          <w:sz w:val="21"/>
          <w:szCs w:val="21"/>
        </w:rPr>
        <w:t xml:space="preserve">49、定期定额投资计划：指投资人通过有关销售机构提出申请，约定每期申购日、申购金额及扣款方式，由销售机构于每期约定申购日在投资人指定银行账户内自动完成扣款及受理基金申购申请的一种投资方式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0A602FB6">
      <w:pPr>
        <w:pStyle w:val="7"/>
        <w:spacing w:before="0" w:beforeAutospacing="0" w:after="0" w:afterAutospacing="0" w:line="360" w:lineRule="auto"/>
        <w:ind w:firstLine="420"/>
        <w:rPr>
          <w:sz w:val="21"/>
          <w:szCs w:val="21"/>
        </w:rPr>
      </w:pPr>
      <w:r>
        <w:rPr>
          <w:rFonts w:hint="eastAsia"/>
          <w:sz w:val="21"/>
          <w:szCs w:val="21"/>
        </w:rPr>
        <w:t>50、巨额赎回：指本基金开放期内单个开放日，基金净赎回申请（赎回申请份额总数加上基金转换中转出申请份额总数后扣除申购申请份额总数及基金转换中转入申请份额总数后的余额）超过上一工作日基金总份额的 </w:t>
      </w:r>
      <w:bookmarkStart w:id="32" w:name="field_49_mintredeemscale_1"/>
      <w:r>
        <w:rPr>
          <w:sz w:val="21"/>
          <w:szCs w:val="21"/>
        </w:rPr>
        <w:t>20</w:t>
      </w:r>
      <w:bookmarkEnd w:id="32"/>
      <w:r>
        <w:rPr>
          <w:rFonts w:hint="eastAsia"/>
          <w:sz w:val="21"/>
          <w:szCs w:val="21"/>
        </w:rPr>
        <w:t xml:space="preserve">% </w:t>
      </w:r>
    </w:p>
    <w:p w14:paraId="20B85380">
      <w:pPr>
        <w:pStyle w:val="7"/>
        <w:spacing w:before="0" w:beforeAutospacing="0" w:after="0" w:afterAutospacing="0" w:line="360" w:lineRule="auto"/>
        <w:ind w:firstLine="420"/>
        <w:rPr>
          <w:sz w:val="21"/>
          <w:szCs w:val="21"/>
        </w:rPr>
      </w:pPr>
      <w:r>
        <w:rPr>
          <w:rFonts w:hint="eastAsia"/>
          <w:sz w:val="21"/>
          <w:szCs w:val="21"/>
        </w:rPr>
        <w:t xml:space="preserve">51、元：指人民币元 </w:t>
      </w:r>
    </w:p>
    <w:p w14:paraId="1EDBD1C5">
      <w:pPr>
        <w:pStyle w:val="7"/>
        <w:spacing w:before="0" w:beforeAutospacing="0" w:after="0" w:afterAutospacing="0" w:line="360" w:lineRule="auto"/>
        <w:ind w:firstLine="420"/>
        <w:rPr>
          <w:sz w:val="21"/>
          <w:szCs w:val="21"/>
        </w:rPr>
      </w:pPr>
      <w:r>
        <w:rPr>
          <w:rFonts w:hint="eastAsia"/>
          <w:sz w:val="21"/>
          <w:szCs w:val="21"/>
        </w:rPr>
        <w:t xml:space="preserve">52、基金收益：指基金投资所得债券利息、买卖证券价差、银行存款利息、已实现的其他合法收入及因运用基金财产带来的成本和费用的节约 </w:t>
      </w:r>
    </w:p>
    <w:p w14:paraId="5CB0B6C2">
      <w:pPr>
        <w:pStyle w:val="7"/>
        <w:spacing w:before="0" w:beforeAutospacing="0" w:after="0" w:afterAutospacing="0" w:line="360" w:lineRule="auto"/>
        <w:ind w:firstLine="420"/>
        <w:rPr>
          <w:sz w:val="21"/>
          <w:szCs w:val="21"/>
        </w:rPr>
      </w:pPr>
      <w:r>
        <w:rPr>
          <w:rFonts w:hint="eastAsia"/>
          <w:sz w:val="21"/>
          <w:szCs w:val="21"/>
        </w:rPr>
        <w:t xml:space="preserve">53、基金资产总值：指基金拥有的各类有价证券、银行存款本息、基金应收款项及其他资产的价值总和 </w:t>
      </w:r>
    </w:p>
    <w:p w14:paraId="60D2AB6D">
      <w:pPr>
        <w:pStyle w:val="7"/>
        <w:spacing w:before="0" w:beforeAutospacing="0" w:after="0" w:afterAutospacing="0" w:line="360" w:lineRule="auto"/>
        <w:ind w:firstLine="420"/>
        <w:rPr>
          <w:sz w:val="21"/>
          <w:szCs w:val="21"/>
        </w:rPr>
      </w:pPr>
      <w:r>
        <w:rPr>
          <w:rFonts w:hint="eastAsia"/>
          <w:sz w:val="21"/>
          <w:szCs w:val="21"/>
        </w:rPr>
        <w:t xml:space="preserve">54、基金资产净值：指基金资产总值减去基金负债后的价值 </w:t>
      </w:r>
    </w:p>
    <w:p w14:paraId="197F836D">
      <w:pPr>
        <w:pStyle w:val="7"/>
        <w:spacing w:before="0" w:beforeAutospacing="0" w:after="0" w:afterAutospacing="0" w:line="360" w:lineRule="auto"/>
        <w:ind w:firstLine="420"/>
        <w:rPr>
          <w:sz w:val="21"/>
          <w:szCs w:val="21"/>
        </w:rPr>
      </w:pPr>
      <w:r>
        <w:rPr>
          <w:rFonts w:hint="eastAsia"/>
          <w:sz w:val="21"/>
          <w:szCs w:val="21"/>
        </w:rPr>
        <w:t xml:space="preserve">55、基金份额净值：指计算日基金资产净值除以计算日基金份额总数 </w:t>
      </w:r>
    </w:p>
    <w:p w14:paraId="52994A75">
      <w:pPr>
        <w:pStyle w:val="7"/>
        <w:spacing w:before="0" w:beforeAutospacing="0" w:after="0" w:afterAutospacing="0" w:line="360" w:lineRule="auto"/>
        <w:ind w:firstLine="420"/>
        <w:rPr>
          <w:sz w:val="21"/>
          <w:szCs w:val="21"/>
        </w:rPr>
      </w:pPr>
      <w:r>
        <w:rPr>
          <w:rFonts w:hint="eastAsia"/>
          <w:sz w:val="21"/>
          <w:szCs w:val="21"/>
        </w:rPr>
        <w:t xml:space="preserve">56、基金资产估值：指计算评估基金资产和负债的价值，以确定基金资产净值和基金份额净值的过程 </w:t>
      </w:r>
    </w:p>
    <w:p w14:paraId="01DCB23B">
      <w:pPr>
        <w:pStyle w:val="7"/>
        <w:spacing w:before="0" w:beforeAutospacing="0" w:after="0" w:afterAutospacing="0" w:line="360" w:lineRule="auto"/>
        <w:ind w:firstLine="420"/>
        <w:rPr>
          <w:sz w:val="21"/>
          <w:szCs w:val="21"/>
        </w:rPr>
      </w:pPr>
      <w:r>
        <w:rPr>
          <w:rFonts w:hint="eastAsia"/>
          <w:sz w:val="21"/>
          <w:szCs w:val="21"/>
        </w:rPr>
        <w:t xml:space="preserve">57、指定媒介：指中国证监会指定的用以进行信息披露的全国性报刊及指定互联网网站（包括基金管理人网站、基金托管人网站、中国证监会基金电子披露网站）等媒介 </w:t>
      </w:r>
    </w:p>
    <w:p w14:paraId="5A608E7E">
      <w:pPr>
        <w:pStyle w:val="7"/>
        <w:spacing w:before="0" w:beforeAutospacing="0" w:after="0" w:afterAutospacing="0" w:line="360" w:lineRule="auto"/>
        <w:ind w:firstLine="420"/>
        <w:rPr>
          <w:sz w:val="21"/>
          <w:szCs w:val="21"/>
        </w:rPr>
      </w:pPr>
      <w:r>
        <w:rPr>
          <w:rFonts w:hint="eastAsia"/>
          <w:sz w:val="21"/>
          <w:szCs w:val="21"/>
        </w:rPr>
        <w:t xml:space="preserve">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7AB60C3F">
      <w:pPr>
        <w:pStyle w:val="7"/>
        <w:spacing w:before="0" w:beforeAutospacing="0" w:after="0" w:afterAutospacing="0" w:line="360" w:lineRule="auto"/>
        <w:ind w:firstLine="420"/>
        <w:rPr>
          <w:sz w:val="21"/>
          <w:szCs w:val="21"/>
        </w:rPr>
      </w:pPr>
      <w:r>
        <w:rPr>
          <w:rFonts w:hint="eastAsia"/>
          <w:sz w:val="21"/>
          <w:szCs w:val="21"/>
        </w:rPr>
        <w:t xml:space="preserve">59、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 </w:t>
      </w:r>
    </w:p>
    <w:p w14:paraId="6751C26B">
      <w:pPr>
        <w:pStyle w:val="7"/>
        <w:spacing w:before="0" w:beforeAutospacing="0" w:after="0" w:afterAutospacing="0" w:line="360" w:lineRule="auto"/>
        <w:ind w:firstLine="420"/>
        <w:rPr>
          <w:sz w:val="21"/>
          <w:szCs w:val="21"/>
        </w:rPr>
      </w:pPr>
      <w:r>
        <w:rPr>
          <w:rFonts w:hint="eastAsia"/>
          <w:sz w:val="21"/>
          <w:szCs w:val="21"/>
        </w:rPr>
        <w:t xml:space="preserve">60、不可抗力：指基金合同当事人不能预见、不能避免且不能克服的客观事件 </w:t>
      </w:r>
    </w:p>
    <w:p w14:paraId="3115E44D">
      <w:pPr>
        <w:pStyle w:val="7"/>
        <w:spacing w:before="0" w:beforeAutospacing="0" w:after="0" w:afterAutospacing="0" w:line="360" w:lineRule="auto"/>
        <w:ind w:firstLine="420"/>
        <w:rPr>
          <w:sz w:val="21"/>
          <w:szCs w:val="21"/>
        </w:rPr>
      </w:pPr>
      <w:r>
        <w:rPr>
          <w:rFonts w:hint="eastAsia"/>
          <w:sz w:val="21"/>
          <w:szCs w:val="21"/>
        </w:rPr>
        <w:t xml:space="preserve">61、发起资金：指基金管理人的股东资金、基金管理人固有资金、基金管理人高级管理人员或基金经理（指基金管理人员工中依法具有基金经理资格者，包括但可能不限于本基金的基金经理，下同）等人员参与认购的资金 </w:t>
      </w:r>
    </w:p>
    <w:p w14:paraId="5BA69F56">
      <w:pPr>
        <w:pStyle w:val="7"/>
        <w:spacing w:before="0" w:beforeAutospacing="0" w:after="0" w:afterAutospacing="0" w:line="360" w:lineRule="auto"/>
        <w:ind w:firstLine="420"/>
        <w:rPr>
          <w:sz w:val="21"/>
          <w:szCs w:val="21"/>
        </w:rPr>
      </w:pPr>
      <w:r>
        <w:rPr>
          <w:rFonts w:hint="eastAsia"/>
          <w:sz w:val="21"/>
          <w:szCs w:val="21"/>
        </w:rPr>
        <w:t xml:space="preserve">62、发起资金提供方：指以发起资金认购本基金且承诺以发起资金认购的基金份额持有期限不少于3年的基金管理人股东、基金管理人、基金管理人的高级管理人员及基金经理等人员 </w:t>
      </w:r>
    </w:p>
    <w:p w14:paraId="29455EC8">
      <w:pPr>
        <w:pStyle w:val="7"/>
        <w:spacing w:before="0" w:beforeAutospacing="0" w:after="0" w:afterAutospacing="0" w:line="360" w:lineRule="auto"/>
        <w:ind w:firstLine="420"/>
        <w:rPr>
          <w:sz w:val="21"/>
          <w:szCs w:val="21"/>
        </w:rPr>
      </w:pPr>
      <w:r>
        <w:rPr>
          <w:rFonts w:hint="eastAsia"/>
          <w:sz w:val="21"/>
          <w:szCs w:val="21"/>
        </w:rPr>
        <w:t xml:space="preserve">63、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73F67BFC">
      <w:pPr>
        <w:pStyle w:val="7"/>
        <w:spacing w:before="0" w:beforeAutospacing="0" w:after="0" w:afterAutospacing="0" w:line="360" w:lineRule="auto"/>
        <w:ind w:firstLine="420"/>
        <w:rPr>
          <w:sz w:val="21"/>
          <w:szCs w:val="21"/>
        </w:rPr>
      </w:pPr>
      <w:r>
        <w:rPr>
          <w:rFonts w:hint="eastAsia"/>
          <w:sz w:val="21"/>
          <w:szCs w:val="21"/>
        </w:rPr>
        <w:t>64、特定资产：包括：（一）无可参考的活跃市场价格且采用估值技术仍导致公允价值存在重大不确定性的资产；（二）按摊余成本计量且计提资产减值准备仍导致资产价值存在</w:t>
      </w:r>
      <w:bookmarkStart w:id="33" w:name="chapter_level1_4_49_section_2_end"/>
      <w:bookmarkEnd w:id="33"/>
      <w:r>
        <w:rPr>
          <w:rFonts w:hint="eastAsia"/>
          <w:sz w:val="21"/>
          <w:szCs w:val="21"/>
        </w:rPr>
        <w:t xml:space="preserve">重大不确定性的资产；（三）其他资产价值存在重大不确定性的资产 </w:t>
      </w:r>
    </w:p>
    <w:p w14:paraId="7CCCF4A6">
      <w:pPr>
        <w:widowControl/>
        <w:jc w:val="left"/>
        <w:rPr>
          <w:rFonts w:ascii="宋体" w:hAnsi="宋体" w:eastAsia="宋体"/>
        </w:rPr>
      </w:pPr>
      <w:r>
        <w:rPr>
          <w:rFonts w:ascii="宋体" w:hAnsi="宋体" w:eastAsia="宋体"/>
        </w:rPr>
        <w:br w:type="page"/>
      </w:r>
    </w:p>
    <w:p w14:paraId="6774E9E2">
      <w:pPr>
        <w:pStyle w:val="2"/>
        <w:jc w:val="center"/>
        <w:rPr>
          <w:rFonts w:ascii="宋体" w:hAnsi="宋体" w:eastAsia="宋体"/>
          <w:sz w:val="30"/>
        </w:rPr>
      </w:pPr>
      <w:bookmarkStart w:id="34" w:name="chapter_level1_5_53"/>
      <w:bookmarkStart w:id="35" w:name="_Toc208503986"/>
      <w:r>
        <w:rPr>
          <w:rFonts w:hint="eastAsia" w:ascii="宋体" w:hAnsi="宋体" w:eastAsia="宋体"/>
          <w:sz w:val="30"/>
        </w:rPr>
        <w:t>第三部分  基金管理人</w:t>
      </w:r>
      <w:bookmarkEnd w:id="34"/>
      <w:bookmarkEnd w:id="35"/>
    </w:p>
    <w:p w14:paraId="1A84EC24">
      <w:pPr>
        <w:pStyle w:val="7"/>
        <w:spacing w:before="0" w:beforeAutospacing="0" w:after="0" w:afterAutospacing="0" w:line="360" w:lineRule="auto"/>
        <w:ind w:firstLine="420"/>
        <w:rPr>
          <w:rStyle w:val="11"/>
          <w:rFonts w:hint="eastAsia"/>
          <w:sz w:val="21"/>
          <w:szCs w:val="21"/>
        </w:rPr>
      </w:pPr>
      <w:bookmarkStart w:id="36" w:name="chapter_level1_5_53_section_1"/>
      <w:bookmarkEnd w:id="36"/>
      <w:r>
        <w:rPr>
          <w:rStyle w:val="11"/>
          <w:rFonts w:hint="eastAsia"/>
          <w:sz w:val="21"/>
          <w:szCs w:val="21"/>
        </w:rPr>
        <w:t>一、基金管理人概况</w:t>
      </w:r>
    </w:p>
    <w:p w14:paraId="20EF75CF">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名称：</w:t>
      </w:r>
      <w:r>
        <w:rPr>
          <w:rStyle w:val="11"/>
          <w:rFonts w:hint="eastAsia"/>
          <w:b w:val="0"/>
          <w:bCs w:val="0"/>
          <w:sz w:val="21"/>
          <w:szCs w:val="21"/>
        </w:rPr>
        <w:tab/>
      </w:r>
      <w:r>
        <w:rPr>
          <w:rStyle w:val="11"/>
          <w:rFonts w:hint="eastAsia"/>
          <w:b w:val="0"/>
          <w:bCs w:val="0"/>
          <w:sz w:val="21"/>
          <w:szCs w:val="21"/>
        </w:rPr>
        <w:t>博时基金管理有限公司</w:t>
      </w:r>
    </w:p>
    <w:p w14:paraId="0AEEC5C6">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住所：</w:t>
      </w:r>
      <w:r>
        <w:rPr>
          <w:rStyle w:val="11"/>
          <w:rFonts w:hint="eastAsia"/>
          <w:b w:val="0"/>
          <w:bCs w:val="0"/>
          <w:sz w:val="21"/>
          <w:szCs w:val="21"/>
        </w:rPr>
        <w:tab/>
      </w:r>
      <w:r>
        <w:rPr>
          <w:rStyle w:val="11"/>
          <w:rFonts w:hint="eastAsia"/>
          <w:b w:val="0"/>
          <w:bCs w:val="0"/>
          <w:sz w:val="21"/>
          <w:szCs w:val="21"/>
        </w:rPr>
        <w:t>深圳市福田区莲花街道福新社区益田路5999号基金大厦21层</w:t>
      </w:r>
    </w:p>
    <w:p w14:paraId="53661ABA">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办公地址：</w:t>
      </w:r>
      <w:r>
        <w:rPr>
          <w:rStyle w:val="11"/>
          <w:rFonts w:hint="eastAsia"/>
          <w:b w:val="0"/>
          <w:bCs w:val="0"/>
          <w:sz w:val="21"/>
          <w:szCs w:val="21"/>
        </w:rPr>
        <w:tab/>
      </w:r>
      <w:r>
        <w:rPr>
          <w:rStyle w:val="11"/>
          <w:rFonts w:hint="eastAsia"/>
          <w:b w:val="0"/>
          <w:bCs w:val="0"/>
          <w:sz w:val="21"/>
          <w:szCs w:val="21"/>
        </w:rPr>
        <w:t>广东省深圳市福田区益田路5999号基金大厦21层</w:t>
      </w:r>
    </w:p>
    <w:p w14:paraId="03DBBC81">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法定代表人：张东</w:t>
      </w:r>
    </w:p>
    <w:p w14:paraId="04BB0553">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成立时间：</w:t>
      </w:r>
      <w:r>
        <w:rPr>
          <w:rStyle w:val="11"/>
          <w:rFonts w:hint="eastAsia"/>
          <w:b w:val="0"/>
          <w:bCs w:val="0"/>
          <w:sz w:val="21"/>
          <w:szCs w:val="21"/>
        </w:rPr>
        <w:tab/>
      </w:r>
      <w:r>
        <w:rPr>
          <w:rStyle w:val="11"/>
          <w:rFonts w:hint="eastAsia"/>
          <w:b w:val="0"/>
          <w:bCs w:val="0"/>
          <w:sz w:val="21"/>
          <w:szCs w:val="21"/>
        </w:rPr>
        <w:t>1998年7月13日</w:t>
      </w:r>
    </w:p>
    <w:p w14:paraId="2E784D8C">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注册资本：</w:t>
      </w:r>
      <w:r>
        <w:rPr>
          <w:rStyle w:val="11"/>
          <w:rFonts w:hint="eastAsia"/>
          <w:b w:val="0"/>
          <w:bCs w:val="0"/>
          <w:sz w:val="21"/>
          <w:szCs w:val="21"/>
        </w:rPr>
        <w:tab/>
      </w:r>
      <w:r>
        <w:rPr>
          <w:rStyle w:val="11"/>
          <w:rFonts w:hint="eastAsia"/>
          <w:b w:val="0"/>
          <w:bCs w:val="0"/>
          <w:sz w:val="21"/>
          <w:szCs w:val="21"/>
        </w:rPr>
        <w:t>2.5亿元人民币</w:t>
      </w:r>
    </w:p>
    <w:p w14:paraId="4215B898">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存续期间：</w:t>
      </w:r>
      <w:r>
        <w:rPr>
          <w:rStyle w:val="11"/>
          <w:rFonts w:hint="eastAsia"/>
          <w:b w:val="0"/>
          <w:bCs w:val="0"/>
          <w:sz w:val="21"/>
          <w:szCs w:val="21"/>
        </w:rPr>
        <w:tab/>
      </w:r>
      <w:r>
        <w:rPr>
          <w:rStyle w:val="11"/>
          <w:rFonts w:hint="eastAsia"/>
          <w:b w:val="0"/>
          <w:bCs w:val="0"/>
          <w:sz w:val="21"/>
          <w:szCs w:val="21"/>
        </w:rPr>
        <w:t>持续经营</w:t>
      </w:r>
    </w:p>
    <w:p w14:paraId="5F460064">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联系人：    杜松岭</w:t>
      </w:r>
    </w:p>
    <w:p w14:paraId="2B42A564">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联系电话：  （0755）8316 9999</w:t>
      </w:r>
    </w:p>
    <w:p w14:paraId="4E8819C3">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07DE32E9">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公司设立了投资决策委员会。投资决策委员会负责指导基金资产的运作、确定基本的投资策略和投资组合的原则。</w:t>
      </w:r>
    </w:p>
    <w:p w14:paraId="41D36665">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 xml:space="preserve">公司已经建立健全投资管理制度、风险控制制度、内部监察制度、财务管理制度、人事管理制度、信息披露制度和员工行为准则等公司管理制度体系。   </w:t>
      </w:r>
    </w:p>
    <w:p w14:paraId="0FDFB186">
      <w:pPr>
        <w:pStyle w:val="7"/>
        <w:spacing w:before="0" w:beforeAutospacing="0" w:after="0" w:afterAutospacing="0" w:line="360" w:lineRule="auto"/>
        <w:ind w:firstLine="420"/>
        <w:rPr>
          <w:rStyle w:val="11"/>
          <w:rFonts w:hint="eastAsia"/>
          <w:sz w:val="21"/>
          <w:szCs w:val="21"/>
        </w:rPr>
      </w:pPr>
      <w:r>
        <w:rPr>
          <w:rStyle w:val="11"/>
          <w:rFonts w:hint="eastAsia"/>
          <w:sz w:val="21"/>
          <w:szCs w:val="21"/>
        </w:rPr>
        <w:t>二、主要成员情况</w:t>
      </w:r>
    </w:p>
    <w:p w14:paraId="5F9822A4">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1、基金管理人董事会成员</w:t>
      </w:r>
    </w:p>
    <w:p w14:paraId="375607C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4B2A785C">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A62FFF7">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0F2E098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3C6A18C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6B24B82C">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4B15755B">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7D8F71B2">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7106D0BC">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6F7B4E95">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57E8014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28270F02">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2、高级管理人员</w:t>
      </w:r>
    </w:p>
    <w:p w14:paraId="4FC2FB79">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张东先生，简历同上。</w:t>
      </w:r>
    </w:p>
    <w:p w14:paraId="68833E7E">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陈宇先生，简历同上。</w:t>
      </w:r>
    </w:p>
    <w:p w14:paraId="68AFDAE0">
      <w:pPr>
        <w:pStyle w:val="7"/>
        <w:spacing w:before="0" w:beforeAutospacing="0" w:after="0" w:afterAutospacing="0" w:line="360" w:lineRule="auto"/>
        <w:ind w:firstLine="420"/>
        <w:rPr>
          <w:rStyle w:val="11"/>
          <w:rFonts w:hint="eastAsia"/>
          <w:b w:val="0"/>
          <w:bCs w:val="0"/>
          <w:sz w:val="21"/>
          <w:szCs w:val="21"/>
        </w:rPr>
      </w:pPr>
      <w:r>
        <w:rPr>
          <w:rStyle w:val="11"/>
          <w:rFonts w:hint="eastAsia"/>
          <w:b w:val="0"/>
          <w:bCs w:val="0"/>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079E50E4">
      <w:pPr>
        <w:pStyle w:val="7"/>
        <w:spacing w:before="0" w:beforeAutospacing="0" w:after="0" w:afterAutospacing="0" w:line="360" w:lineRule="auto"/>
        <w:ind w:firstLine="420"/>
        <w:rPr>
          <w:sz w:val="21"/>
          <w:szCs w:val="21"/>
        </w:rPr>
      </w:pPr>
      <w:r>
        <w:rPr>
          <w:rStyle w:val="11"/>
          <w:rFonts w:hint="eastAsia"/>
          <w:b w:val="0"/>
          <w:bCs w:val="0"/>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60BEFDB2">
      <w:pPr>
        <w:pStyle w:val="7"/>
        <w:spacing w:before="0" w:beforeAutospacing="0" w:after="0" w:afterAutospacing="0" w:line="360" w:lineRule="auto"/>
        <w:ind w:firstLine="420"/>
        <w:rPr>
          <w:sz w:val="21"/>
          <w:szCs w:val="21"/>
        </w:rPr>
      </w:pPr>
      <w:bookmarkStart w:id="37" w:name="chapter_level1_5_53_section_2"/>
      <w:bookmarkEnd w:id="37"/>
      <w:r>
        <w:rPr>
          <w:rFonts w:hint="eastAsia"/>
          <w:sz w:val="21"/>
          <w:szCs w:val="21"/>
          <w:lang w:val="en-US" w:eastAsia="zh-CN"/>
        </w:rPr>
        <w:t>3</w:t>
      </w:r>
      <w:r>
        <w:rPr>
          <w:rFonts w:hint="eastAsia"/>
          <w:sz w:val="21"/>
          <w:szCs w:val="21"/>
        </w:rPr>
        <w:t xml:space="preserve">、本基金基金经理 </w:t>
      </w:r>
    </w:p>
    <w:p w14:paraId="09F40C41">
      <w:pPr>
        <w:pStyle w:val="7"/>
        <w:spacing w:before="0" w:beforeAutospacing="0" w:after="0" w:afterAutospacing="0" w:line="360" w:lineRule="auto"/>
        <w:ind w:firstLine="420"/>
        <w:rPr>
          <w:sz w:val="21"/>
          <w:szCs w:val="21"/>
        </w:rPr>
      </w:pPr>
      <w:bookmarkStart w:id="38" w:name="field_0_fundmanagerresume_1_start"/>
      <w:bookmarkEnd w:id="38"/>
      <w:r>
        <w:rPr>
          <w:rFonts w:hint="eastAsia"/>
          <w:sz w:val="21"/>
          <w:szCs w:val="21"/>
        </w:rPr>
        <w:t>李秋实女士，硕士。2012年加入博时基金管理有限公司。历任固定收益研究助理、研究员、高级研究员、高级研究员兼基金经理助理、博时民丰纯债债券型证券投资基金(2020年7月7日-2021年10月27日)、博时裕乾纯债债券型证券投资基金(2020年7月7日-2021年10月27日)、博时广利纯债3个月定期开放债券型发起式证券投资基金(2020年7月7日-2021年10月27日)、博时富乾纯债3个月定期开放债券型发起式证券投资基金(2020年7月7日-2021年10月27日)、博时华盈纯债债券型证券投资基金(2020年7月7日-2021年10月27日)、博时富添纯债债券型证券投资基金(2021年3月18日-2022年3月30日)、博时聚利纯债债券型证券投资基金(2021年8月17日-2023年1月18日)、博时聚利纯债3个月定期开放债券型发起式证券投资基金(2023年1月19日-2023年2月22日)、博时裕弘纯债债券型证券投资基金(2021年8月17日-2023年3月23日)、博时富进纯债一年定期开放债券型发起式证券投资基金(2021年1月27日-2025年6月25日)的基金经理。现任博时裕腾纯债债券型证券投资基金(2020年7月7日—至今)、博时富和纯债债券型证券投资基金(2020年7月7日—至今)、博时富安纯债3个月定期开放债券型发起式证券投资基金(2020年7月7日—至今)、博时富洋纯债一年定期开放债券型发起式证券投资基金(2021年1月27日—至今)、博时富永纯债3个月定期开放债券型发起式证券投资基金(2021年2月5日—至今)、博时富宁纯债债券型证券投资基金(2021年2月5日—至今)、博时富源纯债债券型证券投资基金(2021年2月25日—至今)、博时裕泉纯债债券型证券投资基金(2021年10月27日—至今)、博时裕瑞纯债债券型证券投资基金(2022年9月9日—至今)、博时富璟纯债一年定期开放债券型证券投资基金(2024年5月20日—至今)、博时利发纯债债券型证券投资基金(2026年1月30日—至今)、博时富泽金融债债券型证券投资基金(2026年1月30日—至今)、博时富悦纯债债券型证券投资基金(2026年1月30日—至今)、博时富淳纯债3个月定期开放债券型发起式证券投资基金(2026年5月21日—至今)的基金经理。</w:t>
      </w:r>
      <w:bookmarkStart w:id="39" w:name="field_0_fundmanagerresume_1_end"/>
      <w:bookmarkEnd w:id="39"/>
      <w:r>
        <w:rPr>
          <w:rFonts w:hint="eastAsia"/>
          <w:sz w:val="21"/>
          <w:szCs w:val="21"/>
        </w:rPr>
        <w:t xml:space="preserve">  </w:t>
      </w:r>
    </w:p>
    <w:p w14:paraId="6ADA5048">
      <w:pPr>
        <w:pStyle w:val="7"/>
        <w:spacing w:before="0" w:beforeAutospacing="0" w:after="0" w:afterAutospacing="0" w:line="360" w:lineRule="auto"/>
        <w:ind w:firstLine="420"/>
        <w:rPr>
          <w:rFonts w:hint="eastAsia" w:eastAsia="宋体"/>
          <w:sz w:val="21"/>
          <w:szCs w:val="21"/>
          <w:lang w:eastAsia="zh-CN"/>
        </w:rPr>
      </w:pPr>
      <w:bookmarkStart w:id="40" w:name="field_0_fundmanagershis_1_start"/>
      <w:bookmarkEnd w:id="40"/>
      <w:r>
        <w:rPr>
          <w:rFonts w:hint="eastAsia"/>
          <w:sz w:val="21"/>
          <w:szCs w:val="21"/>
        </w:rPr>
        <w:t>李田田女士，硕士。2018年在北京大学研究生毕业后加入博时基金管理有限公司。</w:t>
      </w:r>
      <w:r>
        <w:rPr>
          <w:rFonts w:hint="eastAsia"/>
          <w:sz w:val="21"/>
          <w:szCs w:val="21"/>
          <w:lang w:eastAsia="zh-CN"/>
        </w:rPr>
        <w:t>现任</w:t>
      </w:r>
      <w:r>
        <w:rPr>
          <w:rFonts w:hint="eastAsia"/>
          <w:sz w:val="21"/>
          <w:szCs w:val="21"/>
        </w:rPr>
        <w:t>博时富洋纯债一年定期开放债券型发起式证券投资基金(202</w:t>
      </w:r>
      <w:r>
        <w:rPr>
          <w:rFonts w:hint="eastAsia"/>
          <w:sz w:val="21"/>
          <w:szCs w:val="21"/>
          <w:lang w:val="en-US" w:eastAsia="zh-CN"/>
        </w:rPr>
        <w:t>6</w:t>
      </w:r>
      <w:r>
        <w:rPr>
          <w:rFonts w:hint="eastAsia"/>
          <w:sz w:val="21"/>
          <w:szCs w:val="21"/>
        </w:rPr>
        <w:t>年</w:t>
      </w:r>
      <w:r>
        <w:rPr>
          <w:rFonts w:hint="eastAsia"/>
          <w:sz w:val="21"/>
          <w:szCs w:val="21"/>
          <w:lang w:val="en-US" w:eastAsia="zh-CN"/>
        </w:rPr>
        <w:t>7</w:t>
      </w:r>
      <w:r>
        <w:rPr>
          <w:rFonts w:hint="eastAsia"/>
          <w:sz w:val="21"/>
          <w:szCs w:val="21"/>
        </w:rPr>
        <w:t>月</w:t>
      </w:r>
      <w:r>
        <w:rPr>
          <w:rFonts w:hint="eastAsia"/>
          <w:sz w:val="21"/>
          <w:szCs w:val="21"/>
          <w:lang w:val="en-US" w:eastAsia="zh-CN"/>
        </w:rPr>
        <w:t>24</w:t>
      </w:r>
      <w:r>
        <w:rPr>
          <w:rFonts w:hint="eastAsia"/>
          <w:sz w:val="21"/>
          <w:szCs w:val="21"/>
        </w:rPr>
        <w:t>日—至今)</w:t>
      </w:r>
      <w:r>
        <w:rPr>
          <w:rFonts w:hint="eastAsia"/>
          <w:sz w:val="21"/>
          <w:szCs w:val="21"/>
          <w:lang w:eastAsia="zh-CN"/>
        </w:rPr>
        <w:t>的基金经理。</w:t>
      </w:r>
    </w:p>
    <w:p w14:paraId="4565E6F2">
      <w:pPr>
        <w:pStyle w:val="7"/>
        <w:spacing w:before="0" w:beforeAutospacing="0" w:after="0" w:afterAutospacing="0" w:line="360" w:lineRule="auto"/>
        <w:ind w:firstLine="420"/>
        <w:rPr>
          <w:sz w:val="21"/>
          <w:szCs w:val="21"/>
        </w:rPr>
      </w:pPr>
      <w:r>
        <w:rPr>
          <w:rFonts w:hint="eastAsia"/>
          <w:sz w:val="21"/>
          <w:szCs w:val="21"/>
        </w:rPr>
        <w:t>本基金历任基金经理：王申（2020年1月15日-2021年1月27</w:t>
      </w:r>
      <w:bookmarkStart w:id="41" w:name="chapter_level1_5_53_section_2_end"/>
      <w:bookmarkEnd w:id="41"/>
      <w:r>
        <w:rPr>
          <w:rFonts w:hint="eastAsia"/>
          <w:sz w:val="21"/>
          <w:szCs w:val="21"/>
        </w:rPr>
        <w:t>日）。</w:t>
      </w:r>
      <w:bookmarkStart w:id="42" w:name="field_0_fundmanagershis_1_end"/>
      <w:bookmarkEnd w:id="42"/>
      <w:r>
        <w:rPr>
          <w:rFonts w:hint="eastAsia"/>
          <w:sz w:val="21"/>
          <w:szCs w:val="21"/>
        </w:rPr>
        <w:t xml:space="preserve">  </w:t>
      </w:r>
    </w:p>
    <w:p w14:paraId="1AF573F7">
      <w:pPr>
        <w:pStyle w:val="7"/>
        <w:spacing w:before="0" w:beforeAutospacing="0" w:after="0" w:afterAutospacing="0" w:line="360" w:lineRule="auto"/>
        <w:ind w:firstLine="420"/>
        <w:rPr>
          <w:rFonts w:hint="eastAsia"/>
          <w:sz w:val="21"/>
          <w:szCs w:val="21"/>
        </w:rPr>
      </w:pPr>
      <w:bookmarkStart w:id="43" w:name="field_0_managerpersoninfo2_1_start"/>
      <w:bookmarkEnd w:id="43"/>
      <w:bookmarkStart w:id="44" w:name="chapter_level1_5_53_section_3"/>
      <w:bookmarkEnd w:id="44"/>
      <w:r>
        <w:rPr>
          <w:rFonts w:hint="eastAsia"/>
          <w:sz w:val="21"/>
          <w:szCs w:val="21"/>
        </w:rPr>
        <w:t xml:space="preserve">4、投资决策委员会成员 </w:t>
      </w:r>
    </w:p>
    <w:p w14:paraId="6C74C087">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22933C01">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39511E7E">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5732B993">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2E45CFB9">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327A8794">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7131D240">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1A8D3827">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030AB6C9">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p>
    <w:p w14:paraId="3DE7288E">
      <w:pPr>
        <w:pStyle w:val="7"/>
        <w:spacing w:before="0" w:beforeAutospacing="0" w:after="0" w:afterAutospacing="0" w:line="360" w:lineRule="auto"/>
        <w:ind w:firstLine="420"/>
        <w:rPr>
          <w:sz w:val="21"/>
          <w:szCs w:val="21"/>
        </w:rPr>
      </w:pPr>
      <w:bookmarkStart w:id="45" w:name="chapter_level1_5_53_section_4"/>
      <w:bookmarkEnd w:id="45"/>
      <w:r>
        <w:rPr>
          <w:rStyle w:val="11"/>
          <w:rFonts w:hint="eastAsia"/>
          <w:sz w:val="21"/>
          <w:szCs w:val="21"/>
        </w:rPr>
        <w:t>三、基金管理人的职责</w:t>
      </w:r>
    </w:p>
    <w:p w14:paraId="4AC19653">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0EE0E628">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6E2E21D2">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0CA6B499">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546A8BF9">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78DB5ED6">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033427AC">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3297DFA4">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9F28227">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F56CB48">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8A311A8">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6E9FA63">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1359C4FE">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309F5984">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0EE14BB4">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2C56E217">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284F8CE">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CADE193">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1A0854B">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371BC1F">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1D3A4EB">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189213BB">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4ADA1B0C">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45DE32A8">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76FCDD1A">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70A5F6F8">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0DE41FAE">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14A49573">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737D8BE4">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34FBCFA1">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3561ED6D">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03E3B49A">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3580AE2C">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661DCF2D">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190211E7">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64F40B0">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2EEBEAF7">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09851F5A">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4126A44E">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1E814B53">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78B51D57">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5DBDDA78">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7D94FB44">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3476A7EB">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09C93436">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53B40F8B">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00C7E947">
      <w:pPr>
        <w:pStyle w:val="7"/>
        <w:spacing w:before="0" w:beforeAutospacing="0" w:after="0" w:afterAutospacing="0" w:line="360" w:lineRule="auto"/>
        <w:ind w:firstLine="420"/>
        <w:rPr>
          <w:rStyle w:val="11"/>
          <w:rFonts w:hint="eastAsia" w:ascii="Times New Roman" w:hAnsi="Times New Roman" w:cs="Times New Roman"/>
          <w:sz w:val="21"/>
          <w:szCs w:val="21"/>
        </w:rPr>
      </w:pPr>
      <w:bookmarkStart w:id="46" w:name="OLE_LINK2"/>
      <w:bookmarkStart w:id="47" w:name="OLE_LINK1"/>
      <w:bookmarkStart w:id="48" w:name="OLE_LINK4"/>
      <w:bookmarkStart w:id="49" w:name="OLE_LINK3"/>
      <w:r>
        <w:rPr>
          <w:rStyle w:val="11"/>
          <w:rFonts w:hint="eastAsia" w:ascii="Times New Roman" w:hAnsi="Times New Roman" w:cs="Times New Roman"/>
          <w:sz w:val="21"/>
          <w:szCs w:val="21"/>
        </w:rPr>
        <w:t>六、基金管理人的内部控制制度</w:t>
      </w:r>
    </w:p>
    <w:p w14:paraId="14C29661">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090BE3A8">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0278FE5A">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1520ABA2">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7A84D032">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41CE1CB4">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74F1722D">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33BC6A11">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6E443CB9">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2F408FB6">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6A5F2E59">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144F254C">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1A26B9EB">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006D3AAA">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230F8E49">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0FB89B78">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74B626AE">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68D5EFD4">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59C2AE6D">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411290F4">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3B427813">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7ED7AB42">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415BE699">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13418F2E">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3DEEDA3B">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4C0310CA">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6C29E733">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1EF61884">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0D681E53">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75BF5B85">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59FAE7DB">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32685122">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2B23C9A5">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2BFC4F85">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31655A48">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5F5EE788">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4FC34D60">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5047D805">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bookmarkEnd w:id="46"/>
      <w:bookmarkEnd w:id="47"/>
      <w:bookmarkEnd w:id="48"/>
      <w:bookmarkEnd w:id="49"/>
    </w:p>
    <w:p w14:paraId="3F03D447">
      <w:pPr>
        <w:widowControl/>
        <w:jc w:val="left"/>
        <w:rPr>
          <w:rFonts w:ascii="宋体" w:hAnsi="宋体" w:eastAsia="宋体"/>
        </w:rPr>
      </w:pPr>
      <w:r>
        <w:rPr>
          <w:rFonts w:ascii="宋体" w:hAnsi="宋体" w:eastAsia="宋体"/>
        </w:rPr>
        <w:br w:type="page"/>
      </w:r>
    </w:p>
    <w:p w14:paraId="0892EC7E">
      <w:pPr>
        <w:pStyle w:val="2"/>
        <w:jc w:val="center"/>
        <w:rPr>
          <w:rFonts w:ascii="宋体" w:hAnsi="宋体" w:eastAsia="宋体"/>
          <w:sz w:val="30"/>
        </w:rPr>
      </w:pPr>
      <w:bookmarkStart w:id="50" w:name="chapter_level1_6_55"/>
      <w:bookmarkStart w:id="51" w:name="_Toc208503987"/>
      <w:r>
        <w:rPr>
          <w:rFonts w:hint="eastAsia" w:ascii="宋体" w:hAnsi="宋体" w:eastAsia="宋体"/>
          <w:sz w:val="30"/>
        </w:rPr>
        <w:t>第四部分  基金托管人</w:t>
      </w:r>
      <w:bookmarkEnd w:id="50"/>
      <w:bookmarkEnd w:id="51"/>
    </w:p>
    <w:p w14:paraId="268A7A51">
      <w:pPr>
        <w:pStyle w:val="7"/>
        <w:spacing w:before="0" w:beforeAutospacing="0" w:after="0" w:afterAutospacing="0" w:line="360" w:lineRule="auto"/>
        <w:ind w:firstLine="420"/>
        <w:rPr>
          <w:sz w:val="21"/>
          <w:szCs w:val="21"/>
        </w:rPr>
      </w:pPr>
      <w:bookmarkStart w:id="52" w:name="chapter_level1_6_55_section_1"/>
      <w:bookmarkEnd w:id="52"/>
      <w:bookmarkStart w:id="53" w:name="field_0_trustcompanyinfo_1_start"/>
      <w:bookmarkEnd w:id="53"/>
      <w:r>
        <w:rPr>
          <w:rFonts w:hint="eastAsia"/>
          <w:sz w:val="21"/>
          <w:szCs w:val="21"/>
        </w:rPr>
        <w:t xml:space="preserve">(一) 基金托管人情况 </w:t>
      </w:r>
    </w:p>
    <w:p w14:paraId="36EC5BF9">
      <w:pPr>
        <w:pStyle w:val="7"/>
        <w:spacing w:before="0" w:beforeAutospacing="0" w:after="0" w:afterAutospacing="0" w:line="360" w:lineRule="auto"/>
        <w:ind w:firstLine="420"/>
        <w:rPr>
          <w:sz w:val="21"/>
          <w:szCs w:val="21"/>
        </w:rPr>
      </w:pPr>
      <w:r>
        <w:rPr>
          <w:rFonts w:hint="eastAsia"/>
          <w:sz w:val="21"/>
          <w:szCs w:val="21"/>
        </w:rPr>
        <w:t xml:space="preserve">1、基本情况 </w:t>
      </w:r>
    </w:p>
    <w:p w14:paraId="427EC289">
      <w:pPr>
        <w:pStyle w:val="7"/>
        <w:spacing w:before="0" w:beforeAutospacing="0" w:after="0" w:afterAutospacing="0" w:line="360" w:lineRule="auto"/>
        <w:ind w:firstLine="420"/>
        <w:rPr>
          <w:sz w:val="21"/>
          <w:szCs w:val="21"/>
        </w:rPr>
      </w:pPr>
      <w:r>
        <w:rPr>
          <w:rFonts w:hint="eastAsia"/>
          <w:sz w:val="21"/>
          <w:szCs w:val="21"/>
        </w:rPr>
        <w:t xml:space="preserve">名称：上海银行股份有限公司（以下简称“上海银行”） </w:t>
      </w:r>
    </w:p>
    <w:p w14:paraId="1C2E4B25">
      <w:pPr>
        <w:pStyle w:val="7"/>
        <w:spacing w:before="0" w:beforeAutospacing="0" w:after="0" w:afterAutospacing="0" w:line="360" w:lineRule="auto"/>
        <w:ind w:firstLine="420"/>
        <w:rPr>
          <w:sz w:val="21"/>
          <w:szCs w:val="21"/>
        </w:rPr>
      </w:pPr>
      <w:r>
        <w:rPr>
          <w:rFonts w:hint="eastAsia"/>
          <w:sz w:val="21"/>
          <w:szCs w:val="21"/>
        </w:rPr>
        <w:t xml:space="preserve">注册地址：上海市黄浦区中山南路688号 </w:t>
      </w:r>
    </w:p>
    <w:p w14:paraId="7597294C">
      <w:pPr>
        <w:pStyle w:val="7"/>
        <w:spacing w:before="0" w:beforeAutospacing="0" w:after="0" w:afterAutospacing="0" w:line="360" w:lineRule="auto"/>
        <w:ind w:firstLine="420"/>
        <w:rPr>
          <w:sz w:val="21"/>
          <w:szCs w:val="21"/>
        </w:rPr>
      </w:pPr>
      <w:r>
        <w:rPr>
          <w:rFonts w:hint="eastAsia"/>
          <w:sz w:val="21"/>
          <w:szCs w:val="21"/>
        </w:rPr>
        <w:t xml:space="preserve">办公地址：中国（上海）自由贸易试验区银城中路168号 </w:t>
      </w:r>
    </w:p>
    <w:p w14:paraId="504511F3">
      <w:pPr>
        <w:pStyle w:val="7"/>
        <w:spacing w:before="0" w:beforeAutospacing="0" w:after="0" w:afterAutospacing="0" w:line="360" w:lineRule="auto"/>
        <w:ind w:firstLine="420"/>
        <w:rPr>
          <w:sz w:val="21"/>
          <w:szCs w:val="21"/>
        </w:rPr>
      </w:pPr>
      <w:r>
        <w:rPr>
          <w:rFonts w:hint="eastAsia"/>
          <w:sz w:val="21"/>
          <w:szCs w:val="21"/>
        </w:rPr>
        <w:t>法定代表人：</w:t>
      </w:r>
      <w:r>
        <w:rPr>
          <w:rFonts w:hint="eastAsia" w:ascii="宋体" w:hAnsi="宋体" w:cs="宋体"/>
          <w:spacing w:val="0"/>
          <w:sz w:val="21"/>
          <w:szCs w:val="21"/>
        </w:rPr>
        <w:t>顾建忠</w:t>
      </w:r>
      <w:r>
        <w:rPr>
          <w:rFonts w:hint="eastAsia"/>
          <w:sz w:val="21"/>
          <w:szCs w:val="21"/>
        </w:rPr>
        <w:t xml:space="preserve"> </w:t>
      </w:r>
    </w:p>
    <w:p w14:paraId="384E843F">
      <w:pPr>
        <w:pStyle w:val="7"/>
        <w:spacing w:before="0" w:beforeAutospacing="0" w:after="0" w:afterAutospacing="0" w:line="360" w:lineRule="auto"/>
        <w:ind w:firstLine="420"/>
        <w:rPr>
          <w:sz w:val="21"/>
          <w:szCs w:val="21"/>
        </w:rPr>
      </w:pPr>
      <w:r>
        <w:rPr>
          <w:rFonts w:hint="eastAsia"/>
          <w:sz w:val="21"/>
          <w:szCs w:val="21"/>
        </w:rPr>
        <w:t xml:space="preserve">成立时间：1995年12月29日 </w:t>
      </w:r>
    </w:p>
    <w:p w14:paraId="6C225588">
      <w:pPr>
        <w:pStyle w:val="7"/>
        <w:spacing w:before="0" w:beforeAutospacing="0" w:after="0" w:afterAutospacing="0" w:line="360" w:lineRule="auto"/>
        <w:ind w:firstLine="420"/>
        <w:rPr>
          <w:sz w:val="21"/>
          <w:szCs w:val="21"/>
        </w:rPr>
      </w:pPr>
      <w:r>
        <w:rPr>
          <w:rFonts w:hint="eastAsia"/>
          <w:sz w:val="21"/>
          <w:szCs w:val="21"/>
        </w:rPr>
        <w:t xml:space="preserve">组织形式：股份有限公司（外商投资、上市） </w:t>
      </w:r>
    </w:p>
    <w:p w14:paraId="59990A0F">
      <w:pPr>
        <w:pStyle w:val="7"/>
        <w:spacing w:before="0" w:beforeAutospacing="0" w:after="0" w:afterAutospacing="0" w:line="360" w:lineRule="auto"/>
        <w:ind w:firstLine="420"/>
        <w:rPr>
          <w:sz w:val="21"/>
          <w:szCs w:val="21"/>
        </w:rPr>
      </w:pPr>
      <w:r>
        <w:rPr>
          <w:rFonts w:hint="eastAsia"/>
          <w:sz w:val="21"/>
          <w:szCs w:val="21"/>
        </w:rPr>
        <w:t xml:space="preserve">注册资本：人民币142.065287亿元 </w:t>
      </w:r>
    </w:p>
    <w:p w14:paraId="007B1A5A">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0A7E2E47">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 证监许可[2009]814号 </w:t>
      </w:r>
    </w:p>
    <w:p w14:paraId="03D9CEBC">
      <w:pPr>
        <w:pStyle w:val="7"/>
        <w:spacing w:before="0" w:beforeAutospacing="0" w:after="0" w:afterAutospacing="0" w:line="360" w:lineRule="auto"/>
        <w:ind w:firstLine="420"/>
        <w:rPr>
          <w:sz w:val="21"/>
          <w:szCs w:val="21"/>
        </w:rPr>
      </w:pPr>
      <w:r>
        <w:rPr>
          <w:rFonts w:hint="eastAsia"/>
          <w:sz w:val="21"/>
          <w:szCs w:val="21"/>
        </w:rPr>
        <w:t xml:space="preserve">托管部门联系人：周直毅 </w:t>
      </w:r>
    </w:p>
    <w:p w14:paraId="5D2E05FA">
      <w:pPr>
        <w:pStyle w:val="7"/>
        <w:spacing w:before="0" w:beforeAutospacing="0" w:after="0" w:afterAutospacing="0" w:line="360" w:lineRule="auto"/>
        <w:ind w:firstLine="420"/>
        <w:rPr>
          <w:sz w:val="21"/>
          <w:szCs w:val="21"/>
        </w:rPr>
      </w:pPr>
      <w:r>
        <w:rPr>
          <w:rFonts w:hint="eastAsia"/>
          <w:sz w:val="21"/>
          <w:szCs w:val="21"/>
        </w:rPr>
        <w:t xml:space="preserve">电话：021－68475608 </w:t>
      </w:r>
    </w:p>
    <w:p w14:paraId="356386B8">
      <w:pPr>
        <w:pStyle w:val="7"/>
        <w:spacing w:before="0" w:beforeAutospacing="0" w:after="0" w:afterAutospacing="0" w:line="360" w:lineRule="auto"/>
        <w:ind w:firstLine="420"/>
        <w:rPr>
          <w:sz w:val="21"/>
          <w:szCs w:val="21"/>
        </w:rPr>
      </w:pPr>
      <w:r>
        <w:rPr>
          <w:rFonts w:hint="eastAsia"/>
          <w:sz w:val="21"/>
          <w:szCs w:val="21"/>
        </w:rPr>
        <w:t xml:space="preserve">传真：021－68476901 </w:t>
      </w:r>
    </w:p>
    <w:p w14:paraId="765E203B">
      <w:pPr>
        <w:pStyle w:val="7"/>
        <w:spacing w:before="0" w:beforeAutospacing="0" w:after="0" w:afterAutospacing="0" w:line="360" w:lineRule="auto"/>
        <w:ind w:firstLine="420"/>
        <w:rPr>
          <w:sz w:val="21"/>
          <w:szCs w:val="21"/>
        </w:rPr>
      </w:pPr>
      <w:r>
        <w:rPr>
          <w:rFonts w:hint="eastAsia"/>
          <w:sz w:val="21"/>
          <w:szCs w:val="21"/>
        </w:rPr>
        <w:t xml:space="preserve">上海银行是上海证券交易所主板上市公司，股票代码601229。上海银行以“精品银行”为战略愿景，秉持“精诚至上，信义立行”的核心价值观，围绕高质量可持续发展目标，将数字化作为创新驱动、提升能级的核心力量，加快转型发展，努力实现新的质变。 </w:t>
      </w:r>
    </w:p>
    <w:p w14:paraId="024C334E">
      <w:pPr>
        <w:pStyle w:val="7"/>
        <w:spacing w:before="0" w:beforeAutospacing="0" w:after="0" w:afterAutospacing="0" w:line="360" w:lineRule="auto"/>
        <w:ind w:firstLine="420"/>
        <w:rPr>
          <w:sz w:val="21"/>
          <w:szCs w:val="21"/>
        </w:rPr>
      </w:pPr>
      <w:r>
        <w:rPr>
          <w:rFonts w:hint="eastAsia"/>
          <w:sz w:val="21"/>
          <w:szCs w:val="21"/>
        </w:rPr>
        <w:t xml:space="preserve">自成立以来，上海银行坚守金融企业初心使命，积极融入地方经济建设，助力长三角一体化、京津冀协同、粤港澳大湾区、成渝双城经济圈等战略实施，服务上海“五个中心”“五个新城”、自贸区和临港新片区等创新发展，区域服务能级不断提升；深耕金融“五篇大文章”，着力支持实体经济转型升级，在普惠、科创、绿色、民生等领域加大投入，打造“上行惠相伴”“绿树城银”等特色服务品牌，构建开放合作的创新服务平台，推出“上行e链”“上行e企赢”“小微快贷”等专业服务体系，业务规模持续增长；不断服务人民美好生活追求，深入建设“适老、为老、惠老”的养老金融服务模式、培育大财富管理专业能力、助力满足场景化消费需求等，为客户提供不止于金融的综合服务。 </w:t>
      </w:r>
    </w:p>
    <w:p w14:paraId="35E2A3E2">
      <w:pPr>
        <w:pStyle w:val="7"/>
        <w:spacing w:before="0" w:beforeAutospacing="0" w:after="0" w:afterAutospacing="0" w:line="360" w:lineRule="auto"/>
        <w:ind w:firstLine="420"/>
        <w:rPr>
          <w:sz w:val="21"/>
          <w:szCs w:val="21"/>
        </w:rPr>
      </w:pPr>
      <w:r>
        <w:rPr>
          <w:rFonts w:hint="eastAsia"/>
          <w:sz w:val="21"/>
          <w:szCs w:val="21"/>
        </w:rPr>
        <w:t xml:space="preserve">目前，上海银行已在上海、宁波、南京、杭州、天津、成都、深圳、北京、苏州设立一级分行，在无锡、绍兴、南通、常州、盐城、温州、前海、深汕特别合作区、泰州等设立二级分行，分支机构布局覆盖长三角、京津、粤港澳和中西部重点城市。陆续设立了上银香港及其子公司上银国际、上银基金及其子公司上银瑞金、上银理财，发起设立村镇银行，与携程共同设立尚诚消费金融，跨境和综合经营布局完善。 </w:t>
      </w:r>
    </w:p>
    <w:p w14:paraId="308BD891">
      <w:pPr>
        <w:pStyle w:val="7"/>
        <w:spacing w:before="0" w:beforeAutospacing="0" w:after="0" w:afterAutospacing="0" w:line="360" w:lineRule="auto"/>
        <w:ind w:firstLine="420"/>
        <w:rPr>
          <w:sz w:val="21"/>
          <w:szCs w:val="21"/>
        </w:rPr>
      </w:pPr>
      <w:r>
        <w:rPr>
          <w:rFonts w:hint="eastAsia"/>
          <w:sz w:val="21"/>
          <w:szCs w:val="21"/>
        </w:rPr>
        <w:t xml:space="preserve">近年来，上海银行综合实力不断增强、发展品质稳步提升。目前，集团总资产已超3万亿元，年营收超500亿元、盈利超200亿元，资产质量保持银行业较好水平。上海银行是国内20家系统重要性银行之一，在英国《银行家》杂志全球银行1000强榜单中列前百强。 </w:t>
      </w:r>
    </w:p>
    <w:p w14:paraId="59B78507">
      <w:pPr>
        <w:pStyle w:val="7"/>
        <w:spacing w:before="0" w:beforeAutospacing="0" w:after="0" w:afterAutospacing="0" w:line="360" w:lineRule="auto"/>
        <w:ind w:firstLine="420"/>
        <w:rPr>
          <w:sz w:val="21"/>
          <w:szCs w:val="21"/>
        </w:rPr>
      </w:pPr>
      <w:r>
        <w:rPr>
          <w:rFonts w:hint="eastAsia"/>
          <w:sz w:val="21"/>
          <w:szCs w:val="21"/>
        </w:rPr>
        <w:t xml:space="preserve">2、主要人员情况 </w:t>
      </w:r>
    </w:p>
    <w:p w14:paraId="6471CD62">
      <w:pPr>
        <w:pStyle w:val="7"/>
        <w:spacing w:before="0" w:beforeAutospacing="0" w:after="0" w:afterAutospacing="0" w:line="360" w:lineRule="auto"/>
        <w:ind w:firstLine="420"/>
        <w:rPr>
          <w:sz w:val="21"/>
          <w:szCs w:val="21"/>
        </w:rPr>
      </w:pPr>
      <w:r>
        <w:rPr>
          <w:rFonts w:hint="eastAsia"/>
          <w:sz w:val="21"/>
          <w:szCs w:val="21"/>
        </w:rPr>
        <w:t xml:space="preserve">上海银行总行下设资产托管部，是从事资产托管业务的职能部门，内设托管产品部、托管运作部（内设系统管理团队）、行管运作部、稽核监督部，100%员工拥有大学本科及以上学历，业务岗位人员均具有基金从业资格。 </w:t>
      </w:r>
    </w:p>
    <w:p w14:paraId="5C4A35B2">
      <w:pPr>
        <w:pStyle w:val="7"/>
        <w:spacing w:before="0" w:beforeAutospacing="0" w:after="0" w:afterAutospacing="0" w:line="360" w:lineRule="auto"/>
        <w:ind w:firstLine="420"/>
        <w:rPr>
          <w:sz w:val="21"/>
          <w:szCs w:val="21"/>
        </w:rPr>
      </w:pPr>
      <w:r>
        <w:rPr>
          <w:rFonts w:hint="eastAsia"/>
          <w:sz w:val="21"/>
          <w:szCs w:val="21"/>
        </w:rPr>
        <w:t xml:space="preserve">3、基金托管业务经营情况 </w:t>
      </w:r>
    </w:p>
    <w:p w14:paraId="580C3C1D">
      <w:pPr>
        <w:pStyle w:val="7"/>
        <w:spacing w:before="0" w:beforeAutospacing="0" w:after="0" w:afterAutospacing="0" w:line="360" w:lineRule="auto"/>
        <w:ind w:firstLine="420"/>
        <w:rPr>
          <w:sz w:val="21"/>
          <w:szCs w:val="21"/>
        </w:rPr>
      </w:pPr>
      <w:r>
        <w:rPr>
          <w:rFonts w:hint="eastAsia"/>
          <w:sz w:val="21"/>
          <w:szCs w:val="21"/>
        </w:rPr>
        <w:t xml:space="preserve">上海银行于2009年8月18日获得中国证监会、中国银监会核准开办证券投资基金托管业务，批准文号：中国证监会证监许可[2009]814号。 </w:t>
      </w:r>
    </w:p>
    <w:p w14:paraId="1F7B51C1">
      <w:pPr>
        <w:pStyle w:val="7"/>
        <w:spacing w:before="0" w:beforeAutospacing="0" w:after="0" w:afterAutospacing="0" w:line="360" w:lineRule="auto"/>
        <w:ind w:firstLine="420"/>
        <w:rPr>
          <w:sz w:val="21"/>
          <w:szCs w:val="21"/>
        </w:rPr>
      </w:pPr>
      <w:r>
        <w:rPr>
          <w:rFonts w:hint="eastAsia"/>
          <w:sz w:val="21"/>
          <w:szCs w:val="21"/>
        </w:rPr>
        <w:t xml:space="preserve">近年来，上海银行顺应市场发展趋势和监管导向，持续深化业务转型，把握市场热点，积极拓展公募基金、银行理财、保险、资产证券化四大重点细分市场，大力提升同业托管竞争力，保险托管规模近2000亿元，公募基金托管规模近3000亿元。同时，上海银行持续探索并积极推进托管产品创新，为包括基金公司、证券公司、信托公司、商业银行、保险公司、期货公司和私募投资机构等各类机构提供资产托管服务，形成了托管产品及服务多元化发展的格局。 </w:t>
      </w:r>
    </w:p>
    <w:p w14:paraId="10FE73A0">
      <w:pPr>
        <w:pStyle w:val="7"/>
        <w:spacing w:before="0" w:beforeAutospacing="0" w:after="0" w:afterAutospacing="0" w:line="360" w:lineRule="auto"/>
        <w:ind w:firstLine="420"/>
        <w:rPr>
          <w:sz w:val="21"/>
          <w:szCs w:val="21"/>
        </w:rPr>
      </w:pPr>
      <w:r>
        <w:rPr>
          <w:rFonts w:hint="eastAsia"/>
          <w:sz w:val="21"/>
          <w:szCs w:val="21"/>
        </w:rPr>
        <w:t>截至2025年8月25日，上海银行托管的公募证券投资基金已达160只，产品类型涵盖了股票型、混合型、债券型、货币型、指数型、ETF和ETF联接、QDII以及FOF基金等，基</w:t>
      </w:r>
      <w:bookmarkStart w:id="54" w:name="chapter_level1_6_55_section_1_end"/>
      <w:bookmarkEnd w:id="54"/>
      <w:r>
        <w:rPr>
          <w:rFonts w:hint="eastAsia"/>
          <w:sz w:val="21"/>
          <w:szCs w:val="21"/>
        </w:rPr>
        <w:t xml:space="preserve">金资产净值规模合计约2711亿元。 </w:t>
      </w:r>
      <w:bookmarkStart w:id="55" w:name="field_0_trustcompanyinfo_1_end"/>
      <w:bookmarkEnd w:id="55"/>
      <w:r>
        <w:rPr>
          <w:rFonts w:hint="eastAsia"/>
          <w:sz w:val="21"/>
          <w:szCs w:val="21"/>
        </w:rPr>
        <w:t xml:space="preserve">  </w:t>
      </w:r>
    </w:p>
    <w:p w14:paraId="072BECD2">
      <w:pPr>
        <w:pStyle w:val="7"/>
        <w:spacing w:before="0" w:beforeAutospacing="0" w:after="0" w:afterAutospacing="0" w:line="360" w:lineRule="auto"/>
        <w:ind w:firstLine="420"/>
        <w:rPr>
          <w:sz w:val="21"/>
          <w:szCs w:val="21"/>
        </w:rPr>
      </w:pPr>
      <w:bookmarkStart w:id="56" w:name="field_0_trustcontrollawinfo_1_start"/>
      <w:bookmarkEnd w:id="56"/>
      <w:bookmarkStart w:id="57" w:name="chapter_level1_6_55_section_2"/>
      <w:bookmarkEnd w:id="57"/>
      <w:r>
        <w:rPr>
          <w:rFonts w:hint="eastAsia"/>
          <w:sz w:val="21"/>
          <w:szCs w:val="21"/>
        </w:rPr>
        <w:t xml:space="preserve">(二) 基金托管人的内部控制制度 </w:t>
      </w:r>
    </w:p>
    <w:p w14:paraId="7AB13D20">
      <w:pPr>
        <w:pStyle w:val="7"/>
        <w:spacing w:before="0" w:beforeAutospacing="0" w:after="0" w:afterAutospacing="0" w:line="360" w:lineRule="auto"/>
        <w:ind w:firstLine="420"/>
        <w:rPr>
          <w:sz w:val="21"/>
          <w:szCs w:val="21"/>
        </w:rPr>
      </w:pPr>
      <w:r>
        <w:rPr>
          <w:rFonts w:hint="eastAsia"/>
          <w:sz w:val="21"/>
          <w:szCs w:val="21"/>
        </w:rPr>
        <w:t xml:space="preserve">1、内部控制目标 </w:t>
      </w:r>
    </w:p>
    <w:p w14:paraId="2694C9B8">
      <w:pPr>
        <w:pStyle w:val="7"/>
        <w:spacing w:before="0" w:beforeAutospacing="0" w:after="0" w:afterAutospacing="0" w:line="360" w:lineRule="auto"/>
        <w:ind w:firstLine="420"/>
        <w:rPr>
          <w:sz w:val="21"/>
          <w:szCs w:val="21"/>
        </w:rPr>
      </w:pPr>
      <w:r>
        <w:rPr>
          <w:rFonts w:hint="eastAsia"/>
          <w:sz w:val="21"/>
          <w:szCs w:val="21"/>
        </w:rPr>
        <w:t xml:space="preserve">严格遵守国家有关法律法规、行业监管规章和上海银行有关规定，守法经营、规范运作、严格监察，确保业务的稳健运行，保证基金资产的安全完整，确保有关信息的真实、准确、完整、及时，保护基金份额持有人的合法权益。 </w:t>
      </w:r>
    </w:p>
    <w:p w14:paraId="7062B906">
      <w:pPr>
        <w:pStyle w:val="7"/>
        <w:spacing w:before="0" w:beforeAutospacing="0" w:after="0" w:afterAutospacing="0" w:line="360" w:lineRule="auto"/>
        <w:ind w:firstLine="420"/>
        <w:rPr>
          <w:sz w:val="21"/>
          <w:szCs w:val="21"/>
        </w:rPr>
      </w:pPr>
      <w:r>
        <w:rPr>
          <w:rFonts w:hint="eastAsia"/>
          <w:sz w:val="21"/>
          <w:szCs w:val="21"/>
        </w:rPr>
        <w:t xml:space="preserve">2、内部控制组织结构 </w:t>
      </w:r>
    </w:p>
    <w:p w14:paraId="5ABE07BE">
      <w:pPr>
        <w:pStyle w:val="7"/>
        <w:spacing w:before="0" w:beforeAutospacing="0" w:after="0" w:afterAutospacing="0" w:line="360" w:lineRule="auto"/>
        <w:ind w:firstLine="420"/>
        <w:rPr>
          <w:sz w:val="21"/>
          <w:szCs w:val="21"/>
        </w:rPr>
      </w:pPr>
      <w:r>
        <w:rPr>
          <w:rFonts w:hint="eastAsia"/>
          <w:sz w:val="21"/>
          <w:szCs w:val="21"/>
        </w:rPr>
        <w:t xml:space="preserve">上海银行基金托管业务内部风险控制组织结构是由总行风险管理部门和资产托管部共同组成。托管业务风险控制纳入全行的风险管理体系；资产托管部配备专职人员负责托管业务内控稽核工作，各业务部室在各自职责范围内实施具体的风险控制措施。 </w:t>
      </w:r>
    </w:p>
    <w:p w14:paraId="0A0D57A9">
      <w:pPr>
        <w:pStyle w:val="7"/>
        <w:spacing w:before="0" w:beforeAutospacing="0" w:after="0" w:afterAutospacing="0" w:line="360" w:lineRule="auto"/>
        <w:ind w:firstLine="420"/>
        <w:rPr>
          <w:sz w:val="21"/>
          <w:szCs w:val="21"/>
        </w:rPr>
      </w:pPr>
      <w:r>
        <w:rPr>
          <w:rFonts w:hint="eastAsia"/>
          <w:sz w:val="21"/>
          <w:szCs w:val="21"/>
        </w:rPr>
        <w:t xml:space="preserve">3、内部控制的原则 </w:t>
      </w:r>
    </w:p>
    <w:p w14:paraId="4EFD40FF">
      <w:pPr>
        <w:pStyle w:val="7"/>
        <w:spacing w:before="0" w:beforeAutospacing="0" w:after="0" w:afterAutospacing="0" w:line="360" w:lineRule="auto"/>
        <w:ind w:firstLine="420"/>
        <w:rPr>
          <w:sz w:val="21"/>
          <w:szCs w:val="21"/>
        </w:rPr>
      </w:pPr>
      <w:r>
        <w:rPr>
          <w:rFonts w:hint="eastAsia"/>
          <w:sz w:val="21"/>
          <w:szCs w:val="21"/>
        </w:rPr>
        <w:t xml:space="preserve">（1）全面性原则：监督制约必须渗透到托管业务的全过程和各个操作环节，覆盖到资产托管部所有的部室、岗位和人员。 </w:t>
      </w:r>
    </w:p>
    <w:p w14:paraId="2AFE82C1">
      <w:pPr>
        <w:pStyle w:val="7"/>
        <w:spacing w:before="0" w:beforeAutospacing="0" w:after="0" w:afterAutospacing="0" w:line="360" w:lineRule="auto"/>
        <w:ind w:firstLine="420"/>
        <w:rPr>
          <w:sz w:val="21"/>
          <w:szCs w:val="21"/>
        </w:rPr>
      </w:pPr>
      <w:r>
        <w:rPr>
          <w:rFonts w:hint="eastAsia"/>
          <w:sz w:val="21"/>
          <w:szCs w:val="21"/>
        </w:rPr>
        <w:t xml:space="preserve">（2）独立性原则：资产托管部内设独立的稽核监督团队，保持高度的独立性和权威性，负责对托管业务风险控制工作进行指导和监督。 </w:t>
      </w:r>
    </w:p>
    <w:p w14:paraId="1BD02EFA">
      <w:pPr>
        <w:pStyle w:val="7"/>
        <w:spacing w:before="0" w:beforeAutospacing="0" w:after="0" w:afterAutospacing="0" w:line="360" w:lineRule="auto"/>
        <w:ind w:firstLine="420"/>
        <w:rPr>
          <w:sz w:val="21"/>
          <w:szCs w:val="21"/>
        </w:rPr>
      </w:pPr>
      <w:r>
        <w:rPr>
          <w:rFonts w:hint="eastAsia"/>
          <w:sz w:val="21"/>
          <w:szCs w:val="21"/>
        </w:rPr>
        <w:t xml:space="preserve">（3）相互制约原则：各业务部室在内部组织结构上形成相互制约，建立不同岗位之间的制衡体系。 </w:t>
      </w:r>
    </w:p>
    <w:p w14:paraId="3CE4A91D">
      <w:pPr>
        <w:pStyle w:val="7"/>
        <w:spacing w:before="0" w:beforeAutospacing="0" w:after="0" w:afterAutospacing="0" w:line="360" w:lineRule="auto"/>
        <w:ind w:firstLine="420"/>
        <w:rPr>
          <w:sz w:val="21"/>
          <w:szCs w:val="21"/>
        </w:rPr>
      </w:pPr>
      <w:r>
        <w:rPr>
          <w:rFonts w:hint="eastAsia"/>
          <w:sz w:val="21"/>
          <w:szCs w:val="21"/>
        </w:rPr>
        <w:t xml:space="preserve">（4）审慎性原则：内控与风险管理必须以防范风险、审慎经营为前提，保证托管资产的安全与完整；托管业务经营管理必须按照“内控优先”的原则，在新设机构或新增业务时，做到先期完成相关制度建设。 </w:t>
      </w:r>
    </w:p>
    <w:p w14:paraId="72C1187F">
      <w:pPr>
        <w:pStyle w:val="7"/>
        <w:spacing w:before="0" w:beforeAutospacing="0" w:after="0" w:afterAutospacing="0" w:line="360" w:lineRule="auto"/>
        <w:ind w:firstLine="420"/>
        <w:rPr>
          <w:sz w:val="21"/>
          <w:szCs w:val="21"/>
        </w:rPr>
      </w:pPr>
      <w:r>
        <w:rPr>
          <w:rFonts w:hint="eastAsia"/>
          <w:sz w:val="21"/>
          <w:szCs w:val="21"/>
        </w:rPr>
        <w:t xml:space="preserve">（5）有效性原则：内部控制体系应与所处的环境相适应，以合理的成本实现内控目标，内部制度的制订应当具有前瞻性，并应当根据国家政策、法律及经营管理的需要，适时进行相应修改和完善；内部控制应当具有高度的权威性，任何人不得拥有不受内部控制约束的权力，内部控制存在的问题应当能够得到及时反馈和纠正。 </w:t>
      </w:r>
    </w:p>
    <w:p w14:paraId="581E2781">
      <w:pPr>
        <w:pStyle w:val="7"/>
        <w:spacing w:before="0" w:beforeAutospacing="0" w:after="0" w:afterAutospacing="0" w:line="360" w:lineRule="auto"/>
        <w:ind w:firstLine="420"/>
        <w:rPr>
          <w:sz w:val="21"/>
          <w:szCs w:val="21"/>
        </w:rPr>
      </w:pPr>
      <w:r>
        <w:rPr>
          <w:rFonts w:hint="eastAsia"/>
          <w:sz w:val="21"/>
          <w:szCs w:val="21"/>
        </w:rPr>
        <w:t xml:space="preserve">4、内部控制制度及措施 </w:t>
      </w:r>
    </w:p>
    <w:p w14:paraId="138F0957">
      <w:pPr>
        <w:pStyle w:val="7"/>
        <w:spacing w:before="0" w:beforeAutospacing="0" w:after="0" w:afterAutospacing="0" w:line="360" w:lineRule="auto"/>
        <w:ind w:firstLine="420"/>
        <w:rPr>
          <w:sz w:val="21"/>
          <w:szCs w:val="21"/>
        </w:rPr>
      </w:pPr>
      <w:r>
        <w:rPr>
          <w:rFonts w:hint="eastAsia"/>
          <w:sz w:val="21"/>
          <w:szCs w:val="21"/>
        </w:rPr>
        <w:t xml:space="preserve">（1）建立明确的岗位职责、科学的业务流程、详细的操作手册、严格的人员行为规范等一系列规章制度。 </w:t>
      </w:r>
    </w:p>
    <w:p w14:paraId="362BA6EE">
      <w:pPr>
        <w:pStyle w:val="7"/>
        <w:spacing w:before="0" w:beforeAutospacing="0" w:after="0" w:afterAutospacing="0" w:line="360" w:lineRule="auto"/>
        <w:ind w:firstLine="420"/>
        <w:rPr>
          <w:sz w:val="21"/>
          <w:szCs w:val="21"/>
        </w:rPr>
      </w:pPr>
      <w:r>
        <w:rPr>
          <w:rFonts w:hint="eastAsia"/>
          <w:sz w:val="21"/>
          <w:szCs w:val="21"/>
        </w:rPr>
        <w:t xml:space="preserve">（2）建立托管业务前后台分离，不同岗位相互牵制的管理结构。 </w:t>
      </w:r>
    </w:p>
    <w:p w14:paraId="3E024616">
      <w:pPr>
        <w:pStyle w:val="7"/>
        <w:spacing w:before="0" w:beforeAutospacing="0" w:after="0" w:afterAutospacing="0" w:line="360" w:lineRule="auto"/>
        <w:ind w:firstLine="420"/>
        <w:rPr>
          <w:sz w:val="21"/>
          <w:szCs w:val="21"/>
        </w:rPr>
      </w:pPr>
      <w:r>
        <w:rPr>
          <w:rFonts w:hint="eastAsia"/>
          <w:sz w:val="21"/>
          <w:szCs w:val="21"/>
        </w:rPr>
        <w:t xml:space="preserve">（3）专门的稽核监督人员组织各业务部室进行风险识别、评估，制定并实施风险控制措施。 </w:t>
      </w:r>
    </w:p>
    <w:p w14:paraId="0BAF06F8">
      <w:pPr>
        <w:pStyle w:val="7"/>
        <w:spacing w:before="0" w:beforeAutospacing="0" w:after="0" w:afterAutospacing="0" w:line="360" w:lineRule="auto"/>
        <w:ind w:firstLine="420"/>
        <w:rPr>
          <w:sz w:val="21"/>
          <w:szCs w:val="21"/>
        </w:rPr>
      </w:pPr>
      <w:r>
        <w:rPr>
          <w:rFonts w:hint="eastAsia"/>
          <w:sz w:val="21"/>
          <w:szCs w:val="21"/>
        </w:rPr>
        <w:t xml:space="preserve">（4）托管业务操作间实施门禁管理和音像监控。 </w:t>
      </w:r>
    </w:p>
    <w:p w14:paraId="3A25B2FC">
      <w:pPr>
        <w:pStyle w:val="7"/>
        <w:spacing w:before="0" w:beforeAutospacing="0" w:after="0" w:afterAutospacing="0" w:line="360" w:lineRule="auto"/>
        <w:ind w:firstLine="420"/>
        <w:rPr>
          <w:sz w:val="21"/>
          <w:szCs w:val="21"/>
        </w:rPr>
      </w:pPr>
      <w:r>
        <w:rPr>
          <w:rFonts w:hint="eastAsia"/>
          <w:sz w:val="21"/>
          <w:szCs w:val="21"/>
        </w:rPr>
        <w:t xml:space="preserve">（5）定期开展业务与职业道德培训，使员工树立风险防范与控制理念，并签订承诺书。 </w:t>
      </w:r>
    </w:p>
    <w:p w14:paraId="1D6262E6">
      <w:pPr>
        <w:pStyle w:val="7"/>
        <w:spacing w:before="0" w:beforeAutospacing="0" w:after="0" w:afterAutospacing="0" w:line="360" w:lineRule="auto"/>
        <w:ind w:firstLine="420"/>
        <w:rPr>
          <w:sz w:val="21"/>
          <w:szCs w:val="21"/>
        </w:rPr>
      </w:pPr>
      <w:r>
        <w:rPr>
          <w:rFonts w:hint="eastAsia"/>
          <w:sz w:val="21"/>
          <w:szCs w:val="21"/>
        </w:rPr>
        <w:t xml:space="preserve">（6）制定完备的应急预案，并组织员工定期演练；建立异地灾备，保证业务连续不中断。 </w:t>
      </w:r>
    </w:p>
    <w:p w14:paraId="745FD6E6">
      <w:pPr>
        <w:pStyle w:val="7"/>
        <w:spacing w:before="0" w:beforeAutospacing="0" w:after="0" w:afterAutospacing="0" w:line="360" w:lineRule="auto"/>
        <w:ind w:firstLine="420"/>
        <w:rPr>
          <w:sz w:val="21"/>
          <w:szCs w:val="21"/>
        </w:rPr>
      </w:pPr>
      <w:r>
        <w:rPr>
          <w:rFonts w:hint="eastAsia"/>
          <w:sz w:val="21"/>
          <w:szCs w:val="21"/>
        </w:rPr>
        <w:t xml:space="preserve">(三) 基金托管人对基金管理人运作基金进行监督的方法和程序 </w:t>
      </w:r>
    </w:p>
    <w:p w14:paraId="5DD71BED">
      <w:pPr>
        <w:pStyle w:val="7"/>
        <w:spacing w:before="0" w:beforeAutospacing="0" w:after="0" w:afterAutospacing="0" w:line="360" w:lineRule="auto"/>
        <w:ind w:firstLine="420"/>
        <w:rPr>
          <w:sz w:val="21"/>
          <w:szCs w:val="21"/>
        </w:rPr>
      </w:pPr>
      <w:r>
        <w:rPr>
          <w:rFonts w:hint="eastAsia"/>
          <w:sz w:val="21"/>
          <w:szCs w:val="21"/>
        </w:rPr>
        <w:t xml:space="preserve">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 </w:t>
      </w:r>
    </w:p>
    <w:p w14:paraId="5945C265">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违反法律法规和基金合同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3BD1A645">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基金托管人发现基金管理人有重大违规行为，立即报告中国证监会，同时，通知基金管理人限期纠正，并将纠正结果报告中国证监会。 </w:t>
      </w:r>
    </w:p>
    <w:p w14:paraId="70EAF1D5">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基金托管人发现基金管理人的指令违反法律、行政法规和其他有关规定，或者违反基金合同约定的，应当拒绝执行，立即通知基金管理人，并及时向中国证监会报告。 </w:t>
      </w:r>
    </w:p>
    <w:p w14:paraId="55EBCDC3">
      <w:pPr>
        <w:pStyle w:val="7"/>
        <w:spacing w:before="0" w:beforeAutospacing="0" w:after="0" w:afterAutospacing="0" w:line="360" w:lineRule="auto"/>
        <w:ind w:firstLine="420"/>
        <w:rPr>
          <w:sz w:val="21"/>
          <w:szCs w:val="21"/>
        </w:rPr>
      </w:pPr>
      <w:r>
        <w:rPr>
          <w:rFonts w:hint="eastAsia"/>
          <w:sz w:val="21"/>
          <w:szCs w:val="21"/>
        </w:rPr>
        <w:t>基金托管人发现基金管理人依据交易程序已经生效的投资指令违反法律、行政法规和其他有关规定，或者违反基金合同约定的，应当立即通知基金管理人，并及时向中国证监会报</w:t>
      </w:r>
      <w:bookmarkStart w:id="58" w:name="chapter_level1_6_55_section_2_end"/>
      <w:bookmarkEnd w:id="58"/>
      <w:r>
        <w:rPr>
          <w:rFonts w:hint="eastAsia"/>
          <w:sz w:val="21"/>
          <w:szCs w:val="21"/>
        </w:rPr>
        <w:t xml:space="preserve">告。 </w:t>
      </w:r>
      <w:bookmarkStart w:id="59" w:name="field_0_trustcontrollawinfo_1_end"/>
      <w:bookmarkEnd w:id="59"/>
      <w:r>
        <w:rPr>
          <w:rFonts w:hint="eastAsia"/>
          <w:sz w:val="21"/>
          <w:szCs w:val="21"/>
        </w:rPr>
        <w:t xml:space="preserve">  </w:t>
      </w:r>
    </w:p>
    <w:p w14:paraId="403B43E8">
      <w:pPr>
        <w:widowControl/>
        <w:jc w:val="left"/>
        <w:rPr>
          <w:rFonts w:ascii="宋体" w:hAnsi="宋体" w:eastAsia="宋体"/>
        </w:rPr>
      </w:pPr>
      <w:r>
        <w:rPr>
          <w:rFonts w:ascii="宋体" w:hAnsi="宋体" w:eastAsia="宋体"/>
        </w:rPr>
        <w:br w:type="page"/>
      </w:r>
    </w:p>
    <w:p w14:paraId="1C459192">
      <w:pPr>
        <w:pStyle w:val="2"/>
        <w:jc w:val="center"/>
        <w:rPr>
          <w:rFonts w:ascii="宋体" w:hAnsi="宋体" w:eastAsia="宋体"/>
          <w:sz w:val="30"/>
        </w:rPr>
      </w:pPr>
      <w:bookmarkStart w:id="60" w:name="chapter_level1_7_56"/>
      <w:bookmarkStart w:id="61" w:name="_Toc208503988"/>
      <w:r>
        <w:rPr>
          <w:rFonts w:hint="eastAsia" w:ascii="宋体" w:hAnsi="宋体" w:eastAsia="宋体"/>
          <w:sz w:val="30"/>
        </w:rPr>
        <w:t>第五部分  相关服务机构</w:t>
      </w:r>
      <w:bookmarkEnd w:id="60"/>
      <w:bookmarkEnd w:id="61"/>
    </w:p>
    <w:p w14:paraId="265B18B2">
      <w:pPr>
        <w:pStyle w:val="7"/>
        <w:spacing w:before="0" w:beforeAutospacing="0" w:after="0" w:afterAutospacing="0" w:line="360" w:lineRule="auto"/>
        <w:ind w:firstLine="420"/>
        <w:rPr>
          <w:sz w:val="21"/>
          <w:szCs w:val="21"/>
        </w:rPr>
      </w:pPr>
      <w:bookmarkStart w:id="62" w:name="chapter_level1_7_56_section_1"/>
      <w:bookmarkEnd w:id="62"/>
      <w:r>
        <w:rPr>
          <w:rStyle w:val="11"/>
          <w:rFonts w:hint="eastAsia"/>
          <w:sz w:val="21"/>
          <w:szCs w:val="21"/>
        </w:rPr>
        <w:t>一、基金份额销售机构</w:t>
      </w:r>
    </w:p>
    <w:p w14:paraId="622329EF">
      <w:pPr>
        <w:pStyle w:val="7"/>
        <w:spacing w:before="0" w:beforeAutospacing="0" w:after="0" w:afterAutospacing="0" w:line="360" w:lineRule="auto"/>
        <w:ind w:firstLine="420"/>
        <w:rPr>
          <w:sz w:val="21"/>
          <w:szCs w:val="21"/>
        </w:rPr>
      </w:pPr>
      <w:r>
        <w:rPr>
          <w:rFonts w:hint="eastAsia"/>
          <w:sz w:val="21"/>
          <w:szCs w:val="21"/>
        </w:rPr>
        <w:t xml:space="preserve">1、直销机构 </w:t>
      </w:r>
    </w:p>
    <w:p w14:paraId="64E6E46A">
      <w:pPr>
        <w:pStyle w:val="7"/>
        <w:spacing w:before="0" w:beforeAutospacing="0" w:after="0" w:afterAutospacing="0" w:line="360" w:lineRule="auto"/>
        <w:ind w:firstLine="420"/>
        <w:rPr>
          <w:sz w:val="21"/>
          <w:szCs w:val="21"/>
        </w:rPr>
      </w:pPr>
      <w:bookmarkStart w:id="63" w:name="field_0_marketcompanyinfo_1_start"/>
      <w:bookmarkEnd w:id="63"/>
      <w:r>
        <w:rPr>
          <w:rFonts w:hint="eastAsia"/>
          <w:sz w:val="21"/>
          <w:szCs w:val="21"/>
        </w:rPr>
        <w:t xml:space="preserve">名称：博时基金管理有限公司北京直销中心 </w:t>
      </w:r>
    </w:p>
    <w:p w14:paraId="6B4FB22D">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3A313D24">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29E7DD1A">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44647552">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70530A3F">
      <w:pPr>
        <w:pStyle w:val="7"/>
        <w:spacing w:before="0" w:beforeAutospacing="0" w:after="0" w:afterAutospacing="0" w:line="360" w:lineRule="auto"/>
        <w:ind w:firstLine="420"/>
        <w:rPr>
          <w:sz w:val="21"/>
          <w:szCs w:val="21"/>
        </w:rPr>
      </w:pPr>
      <w:bookmarkStart w:id="64" w:name="chapter_level1_7_56_section_1_end"/>
      <w:bookmarkEnd w:id="64"/>
      <w:r>
        <w:rPr>
          <w:rFonts w:hint="eastAsia"/>
          <w:sz w:val="21"/>
          <w:szCs w:val="21"/>
        </w:rPr>
        <w:t xml:space="preserve">博时一线通：95105568（免长途话费） </w:t>
      </w:r>
      <w:bookmarkStart w:id="65" w:name="field_0_marketcompanyinfo_1_end"/>
      <w:bookmarkEnd w:id="65"/>
      <w:r>
        <w:rPr>
          <w:rFonts w:hint="eastAsia"/>
          <w:sz w:val="21"/>
          <w:szCs w:val="21"/>
        </w:rPr>
        <w:t xml:space="preserve">  </w:t>
      </w:r>
    </w:p>
    <w:p w14:paraId="2D0466FE">
      <w:pPr>
        <w:pStyle w:val="7"/>
        <w:spacing w:before="0" w:beforeAutospacing="0" w:after="0" w:afterAutospacing="0" w:line="360" w:lineRule="auto"/>
        <w:ind w:firstLine="420"/>
        <w:rPr>
          <w:sz w:val="21"/>
          <w:szCs w:val="21"/>
        </w:rPr>
      </w:pPr>
      <w:bookmarkStart w:id="66" w:name="chapter_level1_7_56_section_2"/>
      <w:bookmarkEnd w:id="66"/>
      <w:r>
        <w:rPr>
          <w:rFonts w:hint="eastAsia"/>
          <w:sz w:val="21"/>
          <w:szCs w:val="21"/>
        </w:rPr>
        <w:t xml:space="preserve">2、代销机构 </w:t>
      </w:r>
    </w:p>
    <w:p w14:paraId="2A93EC3F">
      <w:pPr>
        <w:pStyle w:val="7"/>
        <w:spacing w:before="0" w:beforeAutospacing="0" w:after="0" w:afterAutospacing="0" w:line="360" w:lineRule="auto"/>
        <w:ind w:firstLine="420"/>
        <w:rPr>
          <w:sz w:val="21"/>
          <w:szCs w:val="21"/>
        </w:rPr>
      </w:pPr>
      <w:bookmarkStart w:id="67" w:name="field_0_allproxysaletables_1_start"/>
      <w:bookmarkEnd w:id="67"/>
      <w:r>
        <w:rPr>
          <w:rFonts w:hint="eastAsia"/>
          <w:b/>
          <w:bCs/>
          <w:sz w:val="21"/>
          <w:szCs w:val="21"/>
        </w:rPr>
        <w:t>(1)中国邮政储蓄银行股份有限公司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14A6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7844D">
            <w:pPr>
              <w:pStyle w:val="7"/>
            </w:pPr>
            <w:r>
              <w:rPr>
                <w:rFonts w:hint="eastAsia"/>
              </w:rPr>
              <w:t xml:space="preserve">注册地址： </w:t>
            </w:r>
          </w:p>
        </w:tc>
        <w:tc>
          <w:tcPr>
            <w:tcW w:w="7440" w:type="dxa"/>
            <w:shd w:val="clear" w:color="auto" w:fill="auto"/>
          </w:tcPr>
          <w:p w14:paraId="601AC371">
            <w:pPr>
              <w:pStyle w:val="7"/>
            </w:pPr>
            <w:r>
              <w:rPr>
                <w:rFonts w:hint="eastAsia"/>
              </w:rPr>
              <w:t xml:space="preserve">北京市西城区金融大街3号 </w:t>
            </w:r>
          </w:p>
        </w:tc>
      </w:tr>
      <w:tr w14:paraId="5DC5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E0FD9">
            <w:pPr>
              <w:pStyle w:val="7"/>
            </w:pPr>
            <w:r>
              <w:rPr>
                <w:rFonts w:hint="eastAsia"/>
              </w:rPr>
              <w:t xml:space="preserve">办公地址： </w:t>
            </w:r>
          </w:p>
        </w:tc>
        <w:tc>
          <w:tcPr>
            <w:tcW w:w="7440" w:type="dxa"/>
            <w:shd w:val="clear" w:color="auto" w:fill="auto"/>
          </w:tcPr>
          <w:p w14:paraId="2676AF39">
            <w:pPr>
              <w:pStyle w:val="7"/>
            </w:pPr>
            <w:r>
              <w:rPr>
                <w:rFonts w:hint="eastAsia"/>
              </w:rPr>
              <w:t xml:space="preserve">北京市西城区金融大街3号 </w:t>
            </w:r>
          </w:p>
        </w:tc>
      </w:tr>
      <w:tr w14:paraId="4E01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FECDD">
            <w:pPr>
              <w:pStyle w:val="7"/>
            </w:pPr>
            <w:r>
              <w:rPr>
                <w:rFonts w:hint="eastAsia"/>
              </w:rPr>
              <w:t xml:space="preserve">法定代表人： </w:t>
            </w:r>
          </w:p>
        </w:tc>
        <w:tc>
          <w:tcPr>
            <w:tcW w:w="7440" w:type="dxa"/>
            <w:shd w:val="clear" w:color="auto" w:fill="auto"/>
          </w:tcPr>
          <w:p w14:paraId="10C8FD08">
            <w:pPr>
              <w:pStyle w:val="7"/>
            </w:pPr>
            <w:r>
              <w:rPr>
                <w:rFonts w:hint="eastAsia"/>
              </w:rPr>
              <w:t xml:space="preserve">郑国雨 </w:t>
            </w:r>
          </w:p>
        </w:tc>
      </w:tr>
      <w:tr w14:paraId="5F78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6D63A">
            <w:pPr>
              <w:pStyle w:val="7"/>
            </w:pPr>
            <w:r>
              <w:rPr>
                <w:rFonts w:hint="eastAsia"/>
              </w:rPr>
              <w:t xml:space="preserve">传真： </w:t>
            </w:r>
          </w:p>
        </w:tc>
        <w:tc>
          <w:tcPr>
            <w:tcW w:w="7440" w:type="dxa"/>
            <w:shd w:val="clear" w:color="auto" w:fill="auto"/>
          </w:tcPr>
          <w:p w14:paraId="13E3904D">
            <w:pPr>
              <w:pStyle w:val="7"/>
            </w:pPr>
            <w:r>
              <w:rPr>
                <w:rFonts w:hint="eastAsia"/>
              </w:rPr>
              <w:t xml:space="preserve">010－68858117 </w:t>
            </w:r>
          </w:p>
        </w:tc>
      </w:tr>
      <w:tr w14:paraId="278F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A4E57">
            <w:pPr>
              <w:pStyle w:val="7"/>
            </w:pPr>
            <w:r>
              <w:rPr>
                <w:rFonts w:hint="eastAsia"/>
              </w:rPr>
              <w:t xml:space="preserve">客户服务电话： </w:t>
            </w:r>
          </w:p>
        </w:tc>
        <w:tc>
          <w:tcPr>
            <w:tcW w:w="7440" w:type="dxa"/>
            <w:shd w:val="clear" w:color="auto" w:fill="auto"/>
          </w:tcPr>
          <w:p w14:paraId="45F6E4C4">
            <w:pPr>
              <w:pStyle w:val="7"/>
            </w:pPr>
            <w:r>
              <w:rPr>
                <w:rFonts w:hint="eastAsia"/>
              </w:rPr>
              <w:t xml:space="preserve">95580 </w:t>
            </w:r>
          </w:p>
        </w:tc>
      </w:tr>
      <w:tr w14:paraId="4988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AD23B">
            <w:pPr>
              <w:pStyle w:val="7"/>
            </w:pPr>
            <w:r>
              <w:rPr>
                <w:rFonts w:hint="eastAsia"/>
              </w:rPr>
              <w:t xml:space="preserve">网址： </w:t>
            </w:r>
          </w:p>
        </w:tc>
        <w:tc>
          <w:tcPr>
            <w:tcW w:w="7440" w:type="dxa"/>
            <w:shd w:val="clear" w:color="auto" w:fill="auto"/>
          </w:tcPr>
          <w:p w14:paraId="0A5325DE">
            <w:pPr>
              <w:pStyle w:val="7"/>
            </w:pPr>
            <w:r>
              <w:rPr>
                <w:rFonts w:hint="eastAsia"/>
              </w:rPr>
              <w:t xml:space="preserve">http://www.psbc.com </w:t>
            </w:r>
          </w:p>
        </w:tc>
      </w:tr>
    </w:tbl>
    <w:p w14:paraId="4D14B4FF">
      <w:pPr>
        <w:pStyle w:val="7"/>
        <w:spacing w:before="0" w:beforeAutospacing="0" w:after="0" w:afterAutospacing="0" w:line="360" w:lineRule="auto"/>
        <w:ind w:firstLine="420"/>
        <w:rPr>
          <w:sz w:val="21"/>
          <w:szCs w:val="21"/>
        </w:rPr>
      </w:pPr>
      <w:r>
        <w:rPr>
          <w:rFonts w:hint="eastAsia"/>
          <w:b/>
          <w:bCs/>
          <w:sz w:val="21"/>
          <w:szCs w:val="21"/>
        </w:rPr>
        <w:t>(2)博时财富基金销售有限公司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1206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6512C">
            <w:pPr>
              <w:pStyle w:val="7"/>
            </w:pPr>
            <w:r>
              <w:rPr>
                <w:rFonts w:hint="eastAsia"/>
              </w:rPr>
              <w:t xml:space="preserve">注册地址： </w:t>
            </w:r>
          </w:p>
        </w:tc>
        <w:tc>
          <w:tcPr>
            <w:tcW w:w="7440" w:type="dxa"/>
            <w:shd w:val="clear" w:color="auto" w:fill="auto"/>
          </w:tcPr>
          <w:p w14:paraId="77D749E1">
            <w:pPr>
              <w:pStyle w:val="7"/>
            </w:pPr>
            <w:r>
              <w:rPr>
                <w:rFonts w:hint="eastAsia"/>
              </w:rPr>
              <w:t xml:space="preserve">广东省深圳市福田区莲花街道福新社区益田路5999号基金大厦19层 </w:t>
            </w:r>
          </w:p>
        </w:tc>
      </w:tr>
      <w:tr w14:paraId="6375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3F6D9">
            <w:pPr>
              <w:pStyle w:val="7"/>
            </w:pPr>
            <w:r>
              <w:rPr>
                <w:rFonts w:hint="eastAsia"/>
              </w:rPr>
              <w:t xml:space="preserve">办公地址： </w:t>
            </w:r>
          </w:p>
        </w:tc>
        <w:tc>
          <w:tcPr>
            <w:tcW w:w="7440" w:type="dxa"/>
            <w:shd w:val="clear" w:color="auto" w:fill="auto"/>
          </w:tcPr>
          <w:p w14:paraId="16622839">
            <w:pPr>
              <w:pStyle w:val="7"/>
            </w:pPr>
            <w:r>
              <w:rPr>
                <w:rFonts w:hint="eastAsia"/>
              </w:rPr>
              <w:t xml:space="preserve">广东省深圳市福田区莲花街道福新社区益田路5999号基金大厦19层 </w:t>
            </w:r>
          </w:p>
        </w:tc>
      </w:tr>
      <w:tr w14:paraId="4E21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33346">
            <w:pPr>
              <w:pStyle w:val="7"/>
            </w:pPr>
            <w:r>
              <w:rPr>
                <w:rFonts w:hint="eastAsia"/>
              </w:rPr>
              <w:t xml:space="preserve">法定代表人： </w:t>
            </w:r>
          </w:p>
        </w:tc>
        <w:tc>
          <w:tcPr>
            <w:tcW w:w="7440" w:type="dxa"/>
            <w:shd w:val="clear" w:color="auto" w:fill="auto"/>
          </w:tcPr>
          <w:p w14:paraId="14735ED0">
            <w:pPr>
              <w:pStyle w:val="7"/>
            </w:pPr>
            <w:r>
              <w:rPr>
                <w:rFonts w:hint="eastAsia"/>
              </w:rPr>
              <w:t xml:space="preserve">王德英 </w:t>
            </w:r>
          </w:p>
        </w:tc>
      </w:tr>
      <w:tr w14:paraId="2A205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00075">
            <w:pPr>
              <w:pStyle w:val="7"/>
            </w:pPr>
            <w:r>
              <w:rPr>
                <w:rFonts w:hint="eastAsia"/>
              </w:rPr>
              <w:t xml:space="preserve">联系人： </w:t>
            </w:r>
          </w:p>
        </w:tc>
        <w:tc>
          <w:tcPr>
            <w:tcW w:w="7440" w:type="dxa"/>
            <w:shd w:val="clear" w:color="auto" w:fill="auto"/>
          </w:tcPr>
          <w:p w14:paraId="197DA354">
            <w:pPr>
              <w:pStyle w:val="7"/>
            </w:pPr>
            <w:r>
              <w:rPr>
                <w:rFonts w:hint="eastAsia"/>
              </w:rPr>
              <w:t xml:space="preserve">崔丹 </w:t>
            </w:r>
          </w:p>
        </w:tc>
      </w:tr>
      <w:tr w14:paraId="7503B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74E33">
            <w:pPr>
              <w:pStyle w:val="7"/>
            </w:pPr>
            <w:r>
              <w:rPr>
                <w:rFonts w:hint="eastAsia"/>
              </w:rPr>
              <w:t xml:space="preserve">电话： </w:t>
            </w:r>
          </w:p>
        </w:tc>
        <w:tc>
          <w:tcPr>
            <w:tcW w:w="7440" w:type="dxa"/>
            <w:shd w:val="clear" w:color="auto" w:fill="auto"/>
          </w:tcPr>
          <w:p w14:paraId="02733256">
            <w:pPr>
              <w:pStyle w:val="7"/>
            </w:pPr>
            <w:r>
              <w:rPr>
                <w:rFonts w:hint="eastAsia"/>
              </w:rPr>
              <w:t xml:space="preserve">0755-83169999 </w:t>
            </w:r>
          </w:p>
        </w:tc>
      </w:tr>
      <w:tr w14:paraId="3DEE7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93E29">
            <w:pPr>
              <w:pStyle w:val="7"/>
            </w:pPr>
            <w:r>
              <w:rPr>
                <w:rFonts w:hint="eastAsia"/>
              </w:rPr>
              <w:t xml:space="preserve">传真： </w:t>
            </w:r>
          </w:p>
        </w:tc>
        <w:tc>
          <w:tcPr>
            <w:tcW w:w="7440" w:type="dxa"/>
            <w:shd w:val="clear" w:color="auto" w:fill="auto"/>
          </w:tcPr>
          <w:p w14:paraId="232F9BCB">
            <w:pPr>
              <w:pStyle w:val="7"/>
            </w:pPr>
            <w:r>
              <w:rPr>
                <w:rFonts w:hint="eastAsia"/>
              </w:rPr>
              <w:t xml:space="preserve">0755-83195220 </w:t>
            </w:r>
          </w:p>
        </w:tc>
      </w:tr>
      <w:tr w14:paraId="62093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0FBF1">
            <w:pPr>
              <w:pStyle w:val="7"/>
            </w:pPr>
            <w:r>
              <w:rPr>
                <w:rFonts w:hint="eastAsia"/>
              </w:rPr>
              <w:t xml:space="preserve">客户服务电话： </w:t>
            </w:r>
          </w:p>
        </w:tc>
        <w:tc>
          <w:tcPr>
            <w:tcW w:w="7440" w:type="dxa"/>
            <w:shd w:val="clear" w:color="auto" w:fill="auto"/>
          </w:tcPr>
          <w:p w14:paraId="7022BFBD">
            <w:pPr>
              <w:pStyle w:val="7"/>
            </w:pPr>
            <w:r>
              <w:rPr>
                <w:rFonts w:hint="eastAsia"/>
              </w:rPr>
              <w:t xml:space="preserve">400-610-5568 </w:t>
            </w:r>
          </w:p>
        </w:tc>
      </w:tr>
      <w:tr w14:paraId="32F6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DFAF39">
            <w:pPr>
              <w:pStyle w:val="7"/>
            </w:pPr>
            <w:r>
              <w:rPr>
                <w:rFonts w:hint="eastAsia"/>
              </w:rPr>
              <w:t xml:space="preserve">网址： </w:t>
            </w:r>
          </w:p>
        </w:tc>
        <w:tc>
          <w:tcPr>
            <w:tcW w:w="7440" w:type="dxa"/>
            <w:shd w:val="clear" w:color="auto" w:fill="auto"/>
          </w:tcPr>
          <w:p w14:paraId="3E3EA226">
            <w:pPr>
              <w:pStyle w:val="7"/>
            </w:pPr>
            <w:r>
              <w:rPr>
                <w:rFonts w:hint="eastAsia"/>
              </w:rPr>
              <w:t xml:space="preserve">www.boserawealth.com </w:t>
            </w:r>
          </w:p>
        </w:tc>
      </w:tr>
    </w:tbl>
    <w:p w14:paraId="59265621">
      <w:pPr>
        <w:pStyle w:val="7"/>
        <w:spacing w:before="0" w:beforeAutospacing="0" w:after="0" w:afterAutospacing="0" w:line="360" w:lineRule="auto"/>
        <w:ind w:firstLine="420"/>
        <w:rPr>
          <w:sz w:val="21"/>
          <w:szCs w:val="21"/>
        </w:rPr>
      </w:pPr>
      <w:r>
        <w:rPr>
          <w:rFonts w:hint="eastAsia"/>
          <w:b/>
          <w:bCs/>
          <w:sz w:val="21"/>
          <w:szCs w:val="21"/>
        </w:rPr>
        <w:t>(3)上海天天基金销售有限公司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C3D1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ED12FBC">
            <w:pPr>
              <w:pStyle w:val="7"/>
            </w:pPr>
            <w:r>
              <w:rPr>
                <w:rFonts w:hint="eastAsia"/>
              </w:rPr>
              <w:t xml:space="preserve">注册地址： </w:t>
            </w:r>
          </w:p>
        </w:tc>
        <w:tc>
          <w:tcPr>
            <w:tcW w:w="7440" w:type="dxa"/>
            <w:shd w:val="clear" w:color="auto" w:fill="auto"/>
          </w:tcPr>
          <w:p w14:paraId="74A4B278">
            <w:pPr>
              <w:pStyle w:val="7"/>
            </w:pPr>
            <w:r>
              <w:rPr>
                <w:rFonts w:hint="eastAsia"/>
              </w:rPr>
              <w:t xml:space="preserve">上海市徐汇区龙田路190号2号楼2层 </w:t>
            </w:r>
          </w:p>
        </w:tc>
      </w:tr>
      <w:tr w14:paraId="2AF76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7CCBE">
            <w:pPr>
              <w:pStyle w:val="7"/>
            </w:pPr>
            <w:r>
              <w:rPr>
                <w:rFonts w:hint="eastAsia"/>
              </w:rPr>
              <w:t xml:space="preserve">办公地址： </w:t>
            </w:r>
          </w:p>
        </w:tc>
        <w:tc>
          <w:tcPr>
            <w:tcW w:w="7440" w:type="dxa"/>
            <w:shd w:val="clear" w:color="auto" w:fill="auto"/>
          </w:tcPr>
          <w:p w14:paraId="149B318D">
            <w:pPr>
              <w:pStyle w:val="7"/>
            </w:pPr>
            <w:r>
              <w:rPr>
                <w:rFonts w:hint="eastAsia"/>
              </w:rPr>
              <w:t xml:space="preserve">上海市徐汇区龙田路195号3C座9楼 </w:t>
            </w:r>
          </w:p>
        </w:tc>
      </w:tr>
      <w:tr w14:paraId="10C8B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7188A">
            <w:pPr>
              <w:pStyle w:val="7"/>
            </w:pPr>
            <w:r>
              <w:rPr>
                <w:rFonts w:hint="eastAsia"/>
              </w:rPr>
              <w:t xml:space="preserve">法定代表人： </w:t>
            </w:r>
          </w:p>
        </w:tc>
        <w:tc>
          <w:tcPr>
            <w:tcW w:w="7440" w:type="dxa"/>
            <w:shd w:val="clear" w:color="auto" w:fill="auto"/>
          </w:tcPr>
          <w:p w14:paraId="31DDABF5">
            <w:pPr>
              <w:pStyle w:val="7"/>
            </w:pPr>
            <w:r>
              <w:rPr>
                <w:rFonts w:hint="eastAsia"/>
              </w:rPr>
              <w:t xml:space="preserve">其实 </w:t>
            </w:r>
          </w:p>
        </w:tc>
      </w:tr>
      <w:tr w14:paraId="5C26A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F59DA">
            <w:pPr>
              <w:pStyle w:val="7"/>
            </w:pPr>
            <w:r>
              <w:rPr>
                <w:rFonts w:hint="eastAsia"/>
              </w:rPr>
              <w:t xml:space="preserve">联系人： </w:t>
            </w:r>
          </w:p>
        </w:tc>
        <w:tc>
          <w:tcPr>
            <w:tcW w:w="7440" w:type="dxa"/>
            <w:shd w:val="clear" w:color="auto" w:fill="auto"/>
          </w:tcPr>
          <w:p w14:paraId="1B105F71">
            <w:pPr>
              <w:pStyle w:val="7"/>
            </w:pPr>
            <w:r>
              <w:rPr>
                <w:rFonts w:hint="eastAsia"/>
              </w:rPr>
              <w:t xml:space="preserve">潘世友 </w:t>
            </w:r>
          </w:p>
        </w:tc>
      </w:tr>
      <w:tr w14:paraId="60B54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A0327">
            <w:pPr>
              <w:pStyle w:val="7"/>
            </w:pPr>
            <w:r>
              <w:rPr>
                <w:rFonts w:hint="eastAsia"/>
              </w:rPr>
              <w:t xml:space="preserve">电话： </w:t>
            </w:r>
          </w:p>
        </w:tc>
        <w:tc>
          <w:tcPr>
            <w:tcW w:w="7440" w:type="dxa"/>
            <w:shd w:val="clear" w:color="auto" w:fill="auto"/>
          </w:tcPr>
          <w:p w14:paraId="0757CEBF">
            <w:pPr>
              <w:pStyle w:val="7"/>
            </w:pPr>
            <w:r>
              <w:rPr>
                <w:rFonts w:hint="eastAsia"/>
              </w:rPr>
              <w:t xml:space="preserve">021-54509998 </w:t>
            </w:r>
          </w:p>
        </w:tc>
      </w:tr>
      <w:tr w14:paraId="2B5E8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BDF1B">
            <w:pPr>
              <w:pStyle w:val="7"/>
            </w:pPr>
            <w:r>
              <w:rPr>
                <w:rFonts w:hint="eastAsia"/>
              </w:rPr>
              <w:t xml:space="preserve">传真： </w:t>
            </w:r>
          </w:p>
        </w:tc>
        <w:tc>
          <w:tcPr>
            <w:tcW w:w="7440" w:type="dxa"/>
            <w:shd w:val="clear" w:color="auto" w:fill="auto"/>
          </w:tcPr>
          <w:p w14:paraId="3426650B">
            <w:pPr>
              <w:pStyle w:val="7"/>
            </w:pPr>
            <w:r>
              <w:rPr>
                <w:rFonts w:hint="eastAsia"/>
              </w:rPr>
              <w:t xml:space="preserve">021-64385308 </w:t>
            </w:r>
          </w:p>
        </w:tc>
      </w:tr>
      <w:tr w14:paraId="7F57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DA603">
            <w:pPr>
              <w:pStyle w:val="7"/>
            </w:pPr>
            <w:r>
              <w:rPr>
                <w:rFonts w:hint="eastAsia"/>
              </w:rPr>
              <w:t xml:space="preserve">客户服务电话： </w:t>
            </w:r>
          </w:p>
        </w:tc>
        <w:tc>
          <w:tcPr>
            <w:tcW w:w="7440" w:type="dxa"/>
            <w:shd w:val="clear" w:color="auto" w:fill="auto"/>
          </w:tcPr>
          <w:p w14:paraId="09C4500E">
            <w:pPr>
              <w:pStyle w:val="7"/>
            </w:pPr>
            <w:r>
              <w:rPr>
                <w:rFonts w:hint="eastAsia"/>
              </w:rPr>
              <w:t xml:space="preserve">400-181-8188 </w:t>
            </w:r>
          </w:p>
        </w:tc>
      </w:tr>
      <w:tr w14:paraId="5C22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C3AF8">
            <w:pPr>
              <w:pStyle w:val="7"/>
            </w:pPr>
            <w:r>
              <w:rPr>
                <w:rFonts w:hint="eastAsia"/>
              </w:rPr>
              <w:t xml:space="preserve">网址： </w:t>
            </w:r>
          </w:p>
        </w:tc>
        <w:tc>
          <w:tcPr>
            <w:tcW w:w="7440" w:type="dxa"/>
            <w:shd w:val="clear" w:color="auto" w:fill="auto"/>
          </w:tcPr>
          <w:p w14:paraId="09973DF1">
            <w:pPr>
              <w:pStyle w:val="7"/>
            </w:pPr>
            <w:r>
              <w:rPr>
                <w:rFonts w:hint="eastAsia"/>
              </w:rPr>
              <w:t xml:space="preserve">http://www.1234567.com.cn </w:t>
            </w:r>
          </w:p>
        </w:tc>
      </w:tr>
    </w:tbl>
    <w:p w14:paraId="338D4FE2">
      <w:pPr>
        <w:pStyle w:val="7"/>
        <w:spacing w:before="0" w:beforeAutospacing="0" w:after="0" w:afterAutospacing="0" w:line="360" w:lineRule="auto"/>
        <w:ind w:firstLine="420"/>
        <w:rPr>
          <w:sz w:val="21"/>
          <w:szCs w:val="21"/>
        </w:rPr>
      </w:pPr>
      <w:r>
        <w:rPr>
          <w:rFonts w:hint="eastAsia"/>
          <w:b/>
          <w:bCs/>
          <w:sz w:val="21"/>
          <w:szCs w:val="21"/>
        </w:rPr>
        <w:t>(4)上海利得基金销售有限公司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24F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60C22">
            <w:pPr>
              <w:pStyle w:val="7"/>
            </w:pPr>
            <w:r>
              <w:rPr>
                <w:rFonts w:hint="eastAsia"/>
              </w:rPr>
              <w:t xml:space="preserve">注册地址： </w:t>
            </w:r>
          </w:p>
        </w:tc>
        <w:tc>
          <w:tcPr>
            <w:tcW w:w="7440" w:type="dxa"/>
            <w:shd w:val="clear" w:color="auto" w:fill="auto"/>
          </w:tcPr>
          <w:p w14:paraId="0EAC62F7">
            <w:pPr>
              <w:pStyle w:val="7"/>
            </w:pPr>
            <w:r>
              <w:rPr>
                <w:rFonts w:hint="eastAsia"/>
              </w:rPr>
              <w:t xml:space="preserve">上海市宝山区蕴川路5475号1033室 </w:t>
            </w:r>
          </w:p>
        </w:tc>
      </w:tr>
      <w:tr w14:paraId="2307C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0330A">
            <w:pPr>
              <w:pStyle w:val="7"/>
            </w:pPr>
            <w:r>
              <w:rPr>
                <w:rFonts w:hint="eastAsia"/>
              </w:rPr>
              <w:t xml:space="preserve">办公地址： </w:t>
            </w:r>
          </w:p>
        </w:tc>
        <w:tc>
          <w:tcPr>
            <w:tcW w:w="7440" w:type="dxa"/>
            <w:shd w:val="clear" w:color="auto" w:fill="auto"/>
          </w:tcPr>
          <w:p w14:paraId="723DAD91">
            <w:pPr>
              <w:pStyle w:val="7"/>
            </w:pPr>
            <w:r>
              <w:rPr>
                <w:rFonts w:hint="eastAsia"/>
              </w:rPr>
              <w:t xml:space="preserve">上海浦东新区峨山路91弄61号10号楼12楼 </w:t>
            </w:r>
          </w:p>
        </w:tc>
      </w:tr>
      <w:tr w14:paraId="53874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50855">
            <w:pPr>
              <w:pStyle w:val="7"/>
            </w:pPr>
            <w:r>
              <w:rPr>
                <w:rFonts w:hint="eastAsia"/>
              </w:rPr>
              <w:t xml:space="preserve">法定代表人： </w:t>
            </w:r>
          </w:p>
        </w:tc>
        <w:tc>
          <w:tcPr>
            <w:tcW w:w="7440" w:type="dxa"/>
            <w:shd w:val="clear" w:color="auto" w:fill="auto"/>
          </w:tcPr>
          <w:p w14:paraId="4A1D6324">
            <w:pPr>
              <w:pStyle w:val="7"/>
            </w:pPr>
            <w:r>
              <w:rPr>
                <w:rFonts w:hint="eastAsia"/>
              </w:rPr>
              <w:t xml:space="preserve">李兴春 </w:t>
            </w:r>
          </w:p>
        </w:tc>
      </w:tr>
      <w:tr w14:paraId="2F15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8E117">
            <w:pPr>
              <w:pStyle w:val="7"/>
            </w:pPr>
            <w:r>
              <w:rPr>
                <w:rFonts w:hint="eastAsia"/>
              </w:rPr>
              <w:t xml:space="preserve">联系人： </w:t>
            </w:r>
          </w:p>
        </w:tc>
        <w:tc>
          <w:tcPr>
            <w:tcW w:w="7440" w:type="dxa"/>
            <w:shd w:val="clear" w:color="auto" w:fill="auto"/>
          </w:tcPr>
          <w:p w14:paraId="66D638AD">
            <w:pPr>
              <w:pStyle w:val="7"/>
            </w:pPr>
            <w:r>
              <w:rPr>
                <w:rFonts w:hint="eastAsia"/>
              </w:rPr>
              <w:t xml:space="preserve">徐鹏 </w:t>
            </w:r>
          </w:p>
        </w:tc>
      </w:tr>
      <w:tr w14:paraId="0239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F493E">
            <w:pPr>
              <w:pStyle w:val="7"/>
            </w:pPr>
            <w:r>
              <w:rPr>
                <w:rFonts w:hint="eastAsia"/>
              </w:rPr>
              <w:t xml:space="preserve">电话： </w:t>
            </w:r>
          </w:p>
        </w:tc>
        <w:tc>
          <w:tcPr>
            <w:tcW w:w="7440" w:type="dxa"/>
            <w:shd w:val="clear" w:color="auto" w:fill="auto"/>
          </w:tcPr>
          <w:p w14:paraId="5C133602">
            <w:pPr>
              <w:pStyle w:val="7"/>
            </w:pPr>
            <w:r>
              <w:rPr>
                <w:rFonts w:hint="eastAsia"/>
              </w:rPr>
              <w:t xml:space="preserve">021-50583533 </w:t>
            </w:r>
          </w:p>
        </w:tc>
      </w:tr>
      <w:tr w14:paraId="4AAD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747D7">
            <w:pPr>
              <w:pStyle w:val="7"/>
            </w:pPr>
            <w:r>
              <w:rPr>
                <w:rFonts w:hint="eastAsia"/>
              </w:rPr>
              <w:t xml:space="preserve">传真： </w:t>
            </w:r>
          </w:p>
        </w:tc>
        <w:tc>
          <w:tcPr>
            <w:tcW w:w="7440" w:type="dxa"/>
            <w:shd w:val="clear" w:color="auto" w:fill="auto"/>
          </w:tcPr>
          <w:p w14:paraId="314B7E6F">
            <w:pPr>
              <w:pStyle w:val="7"/>
            </w:pPr>
            <w:r>
              <w:rPr>
                <w:rFonts w:hint="eastAsia"/>
              </w:rPr>
              <w:t xml:space="preserve">021-50583633 </w:t>
            </w:r>
          </w:p>
        </w:tc>
      </w:tr>
      <w:tr w14:paraId="34465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B38B7">
            <w:pPr>
              <w:pStyle w:val="7"/>
            </w:pPr>
            <w:r>
              <w:rPr>
                <w:rFonts w:hint="eastAsia"/>
              </w:rPr>
              <w:t xml:space="preserve">客户服务电话： </w:t>
            </w:r>
          </w:p>
        </w:tc>
        <w:tc>
          <w:tcPr>
            <w:tcW w:w="7440" w:type="dxa"/>
            <w:shd w:val="clear" w:color="auto" w:fill="auto"/>
          </w:tcPr>
          <w:p w14:paraId="2FC19CF2">
            <w:pPr>
              <w:pStyle w:val="7"/>
            </w:pPr>
            <w:r>
              <w:rPr>
                <w:rFonts w:hint="eastAsia"/>
              </w:rPr>
              <w:t xml:space="preserve">400-921-7755 </w:t>
            </w:r>
          </w:p>
        </w:tc>
      </w:tr>
      <w:tr w14:paraId="1A559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459A6">
            <w:pPr>
              <w:pStyle w:val="7"/>
            </w:pPr>
            <w:r>
              <w:rPr>
                <w:rFonts w:hint="eastAsia"/>
              </w:rPr>
              <w:t xml:space="preserve">网址： </w:t>
            </w:r>
          </w:p>
        </w:tc>
        <w:tc>
          <w:tcPr>
            <w:tcW w:w="7440" w:type="dxa"/>
            <w:shd w:val="clear" w:color="auto" w:fill="auto"/>
          </w:tcPr>
          <w:p w14:paraId="321B280A">
            <w:pPr>
              <w:pStyle w:val="7"/>
            </w:pPr>
            <w:r>
              <w:rPr>
                <w:rFonts w:hint="eastAsia"/>
              </w:rPr>
              <w:t xml:space="preserve">http://a.leadfund.com.cn/ </w:t>
            </w:r>
          </w:p>
        </w:tc>
      </w:tr>
    </w:tbl>
    <w:p w14:paraId="50EDFD20">
      <w:pPr>
        <w:pStyle w:val="7"/>
        <w:spacing w:before="0" w:beforeAutospacing="0" w:after="0" w:afterAutospacing="0" w:line="360" w:lineRule="auto"/>
        <w:ind w:firstLine="420"/>
        <w:rPr>
          <w:sz w:val="21"/>
          <w:szCs w:val="21"/>
        </w:rPr>
      </w:pPr>
      <w:r>
        <w:rPr>
          <w:rFonts w:hint="eastAsia"/>
          <w:b/>
          <w:bCs/>
          <w:sz w:val="21"/>
          <w:szCs w:val="21"/>
        </w:rPr>
        <w:t>(5)北京汇成基金销售有限公司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21D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9554D">
            <w:pPr>
              <w:pStyle w:val="7"/>
            </w:pPr>
            <w:r>
              <w:rPr>
                <w:rFonts w:hint="eastAsia"/>
              </w:rPr>
              <w:t xml:space="preserve">注册地址： </w:t>
            </w:r>
          </w:p>
        </w:tc>
        <w:tc>
          <w:tcPr>
            <w:tcW w:w="7440" w:type="dxa"/>
            <w:shd w:val="clear" w:color="auto" w:fill="auto"/>
          </w:tcPr>
          <w:p w14:paraId="06D29243">
            <w:pPr>
              <w:pStyle w:val="7"/>
            </w:pPr>
            <w:r>
              <w:rPr>
                <w:rFonts w:hint="eastAsia"/>
              </w:rPr>
              <w:t xml:space="preserve">北京市西城区宣武门外大街甲1号4层401-2 </w:t>
            </w:r>
          </w:p>
        </w:tc>
      </w:tr>
      <w:tr w14:paraId="71770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BA543">
            <w:pPr>
              <w:pStyle w:val="7"/>
            </w:pPr>
            <w:r>
              <w:rPr>
                <w:rFonts w:hint="eastAsia"/>
              </w:rPr>
              <w:t xml:space="preserve">办公地址： </w:t>
            </w:r>
          </w:p>
        </w:tc>
        <w:tc>
          <w:tcPr>
            <w:tcW w:w="7440" w:type="dxa"/>
            <w:shd w:val="clear" w:color="auto" w:fill="auto"/>
          </w:tcPr>
          <w:p w14:paraId="4697EAFD">
            <w:pPr>
              <w:pStyle w:val="7"/>
            </w:pPr>
            <w:r>
              <w:rPr>
                <w:rFonts w:hint="eastAsia"/>
              </w:rPr>
              <w:t xml:space="preserve">北京市西城区宣武门外大街甲1号4层401-2 </w:t>
            </w:r>
          </w:p>
        </w:tc>
      </w:tr>
      <w:tr w14:paraId="5BF41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F4344">
            <w:pPr>
              <w:pStyle w:val="7"/>
            </w:pPr>
            <w:r>
              <w:rPr>
                <w:rFonts w:hint="eastAsia"/>
              </w:rPr>
              <w:t xml:space="preserve">法定代表人： </w:t>
            </w:r>
          </w:p>
        </w:tc>
        <w:tc>
          <w:tcPr>
            <w:tcW w:w="7440" w:type="dxa"/>
            <w:shd w:val="clear" w:color="auto" w:fill="auto"/>
          </w:tcPr>
          <w:p w14:paraId="1D4BAE67">
            <w:pPr>
              <w:pStyle w:val="7"/>
            </w:pPr>
            <w:r>
              <w:rPr>
                <w:rFonts w:hint="eastAsia"/>
              </w:rPr>
              <w:t xml:space="preserve">王伟刚 </w:t>
            </w:r>
          </w:p>
        </w:tc>
      </w:tr>
      <w:tr w14:paraId="58F5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C87C4">
            <w:pPr>
              <w:pStyle w:val="7"/>
            </w:pPr>
            <w:r>
              <w:rPr>
                <w:rFonts w:hint="eastAsia"/>
              </w:rPr>
              <w:t xml:space="preserve">联系人： </w:t>
            </w:r>
          </w:p>
        </w:tc>
        <w:tc>
          <w:tcPr>
            <w:tcW w:w="7440" w:type="dxa"/>
            <w:shd w:val="clear" w:color="auto" w:fill="auto"/>
          </w:tcPr>
          <w:p w14:paraId="4FEBFEBB">
            <w:pPr>
              <w:pStyle w:val="7"/>
            </w:pPr>
            <w:r>
              <w:rPr>
                <w:rFonts w:hint="eastAsia"/>
              </w:rPr>
              <w:t xml:space="preserve">丁向坤 </w:t>
            </w:r>
          </w:p>
        </w:tc>
      </w:tr>
      <w:tr w14:paraId="4FA62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59D98">
            <w:pPr>
              <w:pStyle w:val="7"/>
            </w:pPr>
            <w:r>
              <w:rPr>
                <w:rFonts w:hint="eastAsia"/>
              </w:rPr>
              <w:t xml:space="preserve">电话： </w:t>
            </w:r>
          </w:p>
        </w:tc>
        <w:tc>
          <w:tcPr>
            <w:tcW w:w="7440" w:type="dxa"/>
            <w:shd w:val="clear" w:color="auto" w:fill="auto"/>
          </w:tcPr>
          <w:p w14:paraId="28F17E70">
            <w:pPr>
              <w:pStyle w:val="7"/>
            </w:pPr>
            <w:r>
              <w:rPr>
                <w:rFonts w:hint="eastAsia"/>
              </w:rPr>
              <w:t xml:space="preserve">010-56282140 </w:t>
            </w:r>
          </w:p>
        </w:tc>
      </w:tr>
      <w:tr w14:paraId="3C45F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93898">
            <w:pPr>
              <w:pStyle w:val="7"/>
            </w:pPr>
            <w:r>
              <w:rPr>
                <w:rFonts w:hint="eastAsia"/>
              </w:rPr>
              <w:t xml:space="preserve">传真： </w:t>
            </w:r>
          </w:p>
        </w:tc>
        <w:tc>
          <w:tcPr>
            <w:tcW w:w="7440" w:type="dxa"/>
            <w:shd w:val="clear" w:color="auto" w:fill="auto"/>
          </w:tcPr>
          <w:p w14:paraId="6894CADD">
            <w:pPr>
              <w:pStyle w:val="7"/>
            </w:pPr>
            <w:r>
              <w:rPr>
                <w:rFonts w:hint="eastAsia"/>
              </w:rPr>
              <w:t xml:space="preserve">010-62680827 </w:t>
            </w:r>
          </w:p>
        </w:tc>
      </w:tr>
      <w:tr w14:paraId="221CB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AACF9">
            <w:pPr>
              <w:pStyle w:val="7"/>
            </w:pPr>
            <w:r>
              <w:rPr>
                <w:rFonts w:hint="eastAsia"/>
              </w:rPr>
              <w:t xml:space="preserve">客户服务电话： </w:t>
            </w:r>
          </w:p>
        </w:tc>
        <w:tc>
          <w:tcPr>
            <w:tcW w:w="7440" w:type="dxa"/>
            <w:shd w:val="clear" w:color="auto" w:fill="auto"/>
          </w:tcPr>
          <w:p w14:paraId="61DCE611">
            <w:pPr>
              <w:pStyle w:val="7"/>
            </w:pPr>
            <w:r>
              <w:rPr>
                <w:rFonts w:hint="eastAsia"/>
              </w:rPr>
              <w:t xml:space="preserve">010-63158805 </w:t>
            </w:r>
          </w:p>
        </w:tc>
      </w:tr>
      <w:tr w14:paraId="04562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F6E2A">
            <w:pPr>
              <w:pStyle w:val="7"/>
            </w:pPr>
            <w:r>
              <w:rPr>
                <w:rFonts w:hint="eastAsia"/>
              </w:rPr>
              <w:t xml:space="preserve">网址： </w:t>
            </w:r>
          </w:p>
        </w:tc>
        <w:tc>
          <w:tcPr>
            <w:tcW w:w="7440" w:type="dxa"/>
            <w:shd w:val="clear" w:color="auto" w:fill="auto"/>
          </w:tcPr>
          <w:p w14:paraId="7BAF9306">
            <w:pPr>
              <w:pStyle w:val="7"/>
            </w:pPr>
            <w:r>
              <w:rPr>
                <w:rFonts w:hint="eastAsia"/>
              </w:rPr>
              <w:t xml:space="preserve">www.hcfunds.com </w:t>
            </w:r>
          </w:p>
        </w:tc>
      </w:tr>
    </w:tbl>
    <w:p w14:paraId="5492C30F">
      <w:pPr>
        <w:pStyle w:val="7"/>
        <w:spacing w:before="0" w:beforeAutospacing="0" w:after="0" w:afterAutospacing="0" w:line="360" w:lineRule="auto"/>
        <w:ind w:firstLine="420"/>
        <w:rPr>
          <w:sz w:val="21"/>
          <w:szCs w:val="21"/>
        </w:rPr>
      </w:pPr>
      <w:r>
        <w:rPr>
          <w:rFonts w:hint="eastAsia"/>
          <w:b/>
          <w:bCs/>
          <w:sz w:val="21"/>
          <w:szCs w:val="21"/>
        </w:rPr>
        <w:t>(6)上海基煜基金销售有限公司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D52B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32FDCD">
            <w:pPr>
              <w:pStyle w:val="7"/>
            </w:pPr>
            <w:r>
              <w:rPr>
                <w:rFonts w:hint="eastAsia"/>
              </w:rPr>
              <w:t xml:space="preserve">注册地址： </w:t>
            </w:r>
          </w:p>
        </w:tc>
        <w:tc>
          <w:tcPr>
            <w:tcW w:w="7440" w:type="dxa"/>
            <w:shd w:val="clear" w:color="auto" w:fill="auto"/>
          </w:tcPr>
          <w:p w14:paraId="5EBA7BC7">
            <w:pPr>
              <w:pStyle w:val="7"/>
            </w:pPr>
            <w:r>
              <w:rPr>
                <w:rFonts w:hint="eastAsia"/>
              </w:rPr>
              <w:t xml:space="preserve">上海市黄浦区广东路500号30层3001单元 </w:t>
            </w:r>
          </w:p>
        </w:tc>
      </w:tr>
      <w:tr w14:paraId="6C40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C7B78">
            <w:pPr>
              <w:pStyle w:val="7"/>
            </w:pPr>
            <w:r>
              <w:rPr>
                <w:rFonts w:hint="eastAsia"/>
              </w:rPr>
              <w:t xml:space="preserve">办公地址： </w:t>
            </w:r>
          </w:p>
        </w:tc>
        <w:tc>
          <w:tcPr>
            <w:tcW w:w="7440" w:type="dxa"/>
            <w:shd w:val="clear" w:color="auto" w:fill="auto"/>
          </w:tcPr>
          <w:p w14:paraId="38BF8EDE">
            <w:pPr>
              <w:pStyle w:val="7"/>
            </w:pPr>
            <w:r>
              <w:rPr>
                <w:rFonts w:hint="eastAsia"/>
              </w:rPr>
              <w:t xml:space="preserve">上海市浦东新区银城中路488号太平金融大厦1503室 </w:t>
            </w:r>
          </w:p>
        </w:tc>
      </w:tr>
      <w:tr w14:paraId="23F0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B37BC">
            <w:pPr>
              <w:pStyle w:val="7"/>
            </w:pPr>
            <w:r>
              <w:rPr>
                <w:rFonts w:hint="eastAsia"/>
              </w:rPr>
              <w:t xml:space="preserve">法定代表人： </w:t>
            </w:r>
          </w:p>
        </w:tc>
        <w:tc>
          <w:tcPr>
            <w:tcW w:w="7440" w:type="dxa"/>
            <w:shd w:val="clear" w:color="auto" w:fill="auto"/>
          </w:tcPr>
          <w:p w14:paraId="3F66E722">
            <w:pPr>
              <w:pStyle w:val="7"/>
            </w:pPr>
            <w:r>
              <w:rPr>
                <w:rFonts w:hint="eastAsia"/>
              </w:rPr>
              <w:t xml:space="preserve">王翔  </w:t>
            </w:r>
          </w:p>
        </w:tc>
      </w:tr>
      <w:tr w14:paraId="29E2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1E7BC">
            <w:pPr>
              <w:pStyle w:val="7"/>
            </w:pPr>
            <w:r>
              <w:rPr>
                <w:rFonts w:hint="eastAsia"/>
              </w:rPr>
              <w:t xml:space="preserve">联系人： </w:t>
            </w:r>
          </w:p>
        </w:tc>
        <w:tc>
          <w:tcPr>
            <w:tcW w:w="7440" w:type="dxa"/>
            <w:shd w:val="clear" w:color="auto" w:fill="auto"/>
          </w:tcPr>
          <w:p w14:paraId="30B2FAD6">
            <w:pPr>
              <w:pStyle w:val="7"/>
            </w:pPr>
            <w:r>
              <w:rPr>
                <w:rFonts w:hint="eastAsia"/>
              </w:rPr>
              <w:t xml:space="preserve">蓝杰 </w:t>
            </w:r>
          </w:p>
        </w:tc>
      </w:tr>
      <w:tr w14:paraId="50E2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280F4">
            <w:pPr>
              <w:pStyle w:val="7"/>
            </w:pPr>
            <w:r>
              <w:rPr>
                <w:rFonts w:hint="eastAsia"/>
              </w:rPr>
              <w:t xml:space="preserve">电话： </w:t>
            </w:r>
          </w:p>
        </w:tc>
        <w:tc>
          <w:tcPr>
            <w:tcW w:w="7440" w:type="dxa"/>
            <w:shd w:val="clear" w:color="auto" w:fill="auto"/>
          </w:tcPr>
          <w:p w14:paraId="226BD4E1">
            <w:pPr>
              <w:pStyle w:val="7"/>
            </w:pPr>
            <w:r>
              <w:rPr>
                <w:rFonts w:hint="eastAsia"/>
              </w:rPr>
              <w:t xml:space="preserve">021-65370077 </w:t>
            </w:r>
          </w:p>
        </w:tc>
      </w:tr>
      <w:tr w14:paraId="0BA1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5AB35">
            <w:pPr>
              <w:pStyle w:val="7"/>
            </w:pPr>
            <w:r>
              <w:rPr>
                <w:rFonts w:hint="eastAsia"/>
              </w:rPr>
              <w:t xml:space="preserve">传真： </w:t>
            </w:r>
          </w:p>
        </w:tc>
        <w:tc>
          <w:tcPr>
            <w:tcW w:w="7440" w:type="dxa"/>
            <w:shd w:val="clear" w:color="auto" w:fill="auto"/>
          </w:tcPr>
          <w:p w14:paraId="439EB582">
            <w:pPr>
              <w:pStyle w:val="7"/>
            </w:pPr>
            <w:r>
              <w:rPr>
                <w:rFonts w:hint="eastAsia"/>
              </w:rPr>
              <w:t xml:space="preserve">021-55085991 </w:t>
            </w:r>
          </w:p>
        </w:tc>
      </w:tr>
      <w:tr w14:paraId="0C57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98844">
            <w:pPr>
              <w:pStyle w:val="7"/>
            </w:pPr>
            <w:r>
              <w:rPr>
                <w:rFonts w:hint="eastAsia"/>
              </w:rPr>
              <w:t xml:space="preserve">客户服务电话： </w:t>
            </w:r>
          </w:p>
        </w:tc>
        <w:tc>
          <w:tcPr>
            <w:tcW w:w="7440" w:type="dxa"/>
            <w:shd w:val="clear" w:color="auto" w:fill="auto"/>
          </w:tcPr>
          <w:p w14:paraId="2FA0BEF9">
            <w:pPr>
              <w:pStyle w:val="7"/>
            </w:pPr>
            <w:r>
              <w:rPr>
                <w:rFonts w:hint="eastAsia"/>
              </w:rPr>
              <w:t xml:space="preserve">400-820-5369 </w:t>
            </w:r>
          </w:p>
        </w:tc>
      </w:tr>
      <w:tr w14:paraId="7C11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4AC98">
            <w:pPr>
              <w:pStyle w:val="7"/>
            </w:pPr>
            <w:r>
              <w:rPr>
                <w:rFonts w:hint="eastAsia"/>
              </w:rPr>
              <w:t xml:space="preserve">网址： </w:t>
            </w:r>
          </w:p>
        </w:tc>
        <w:tc>
          <w:tcPr>
            <w:tcW w:w="7440" w:type="dxa"/>
            <w:shd w:val="clear" w:color="auto" w:fill="auto"/>
          </w:tcPr>
          <w:p w14:paraId="456A43FC">
            <w:pPr>
              <w:pStyle w:val="7"/>
            </w:pPr>
            <w:r>
              <w:rPr>
                <w:rFonts w:hint="eastAsia"/>
              </w:rPr>
              <w:t xml:space="preserve">www.jiyufund.com.cn </w:t>
            </w:r>
          </w:p>
        </w:tc>
      </w:tr>
    </w:tbl>
    <w:p w14:paraId="31088952">
      <w:pPr>
        <w:pStyle w:val="7"/>
        <w:spacing w:before="0" w:beforeAutospacing="0" w:after="0" w:afterAutospacing="0" w:line="360" w:lineRule="auto"/>
        <w:ind w:firstLine="420"/>
        <w:rPr>
          <w:sz w:val="21"/>
          <w:szCs w:val="21"/>
        </w:rPr>
      </w:pPr>
      <w:bookmarkStart w:id="68" w:name="field_0_allproxysaletables_1_end"/>
      <w:bookmarkEnd w:id="68"/>
      <w:bookmarkStart w:id="69" w:name="chapter_level1_7_56_section_3"/>
      <w:bookmarkEnd w:id="69"/>
      <w:bookmarkStart w:id="70" w:name="chapter_level1_7_56_section_2_end"/>
      <w:bookmarkEnd w:id="70"/>
      <w:r>
        <w:rPr>
          <w:rStyle w:val="11"/>
          <w:rFonts w:hint="eastAsia"/>
          <w:sz w:val="21"/>
          <w:szCs w:val="21"/>
        </w:rPr>
        <w:t>二、登记机构</w:t>
      </w:r>
    </w:p>
    <w:p w14:paraId="5BA87D6F">
      <w:pPr>
        <w:pStyle w:val="7"/>
        <w:spacing w:before="0" w:beforeAutospacing="0" w:after="0" w:afterAutospacing="0" w:line="360" w:lineRule="auto"/>
        <w:ind w:firstLine="420"/>
        <w:rPr>
          <w:sz w:val="21"/>
          <w:szCs w:val="21"/>
        </w:rPr>
      </w:pPr>
      <w:bookmarkStart w:id="71" w:name="field_0_registercompanyinfo_1_start"/>
      <w:bookmarkEnd w:id="71"/>
      <w:r>
        <w:rPr>
          <w:rFonts w:hint="eastAsia"/>
          <w:sz w:val="21"/>
          <w:szCs w:val="21"/>
        </w:rPr>
        <w:t xml:space="preserve">名称：博时基金管理有限公司 </w:t>
      </w:r>
    </w:p>
    <w:p w14:paraId="135E1828">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7A188FF">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1F60F06F">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5642C78C">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61ACB444">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04E3DA5E">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2" w:name="field_0_registercompanyinfo_1_end"/>
      <w:bookmarkEnd w:id="72"/>
      <w:r>
        <w:rPr>
          <w:rFonts w:hint="eastAsia"/>
          <w:sz w:val="21"/>
          <w:szCs w:val="21"/>
        </w:rPr>
        <w:t xml:space="preserve">  </w:t>
      </w:r>
    </w:p>
    <w:p w14:paraId="67758876">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6F936ADA">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0AB4978C">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2E855FBE">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468270ED">
      <w:pPr>
        <w:pStyle w:val="7"/>
        <w:spacing w:before="0" w:beforeAutospacing="0" w:after="0" w:afterAutospacing="0" w:line="360" w:lineRule="auto"/>
        <w:ind w:firstLine="420"/>
        <w:rPr>
          <w:sz w:val="21"/>
          <w:szCs w:val="21"/>
        </w:rPr>
      </w:pPr>
      <w:r>
        <w:rPr>
          <w:rFonts w:hint="eastAsia"/>
          <w:sz w:val="21"/>
          <w:szCs w:val="21"/>
        </w:rPr>
        <w:t xml:space="preserve">负责人：俞卫锋  </w:t>
      </w:r>
    </w:p>
    <w:p w14:paraId="28EBB453">
      <w:pPr>
        <w:pStyle w:val="7"/>
        <w:spacing w:before="0" w:beforeAutospacing="0" w:after="0" w:afterAutospacing="0" w:line="360" w:lineRule="auto"/>
        <w:ind w:firstLine="420"/>
        <w:rPr>
          <w:sz w:val="21"/>
          <w:szCs w:val="21"/>
        </w:rPr>
      </w:pPr>
      <w:r>
        <w:rPr>
          <w:rFonts w:hint="eastAsia"/>
          <w:sz w:val="21"/>
          <w:szCs w:val="21"/>
        </w:rPr>
        <w:t xml:space="preserve">电话：021- 31358666 </w:t>
      </w:r>
    </w:p>
    <w:p w14:paraId="1DF45CA5">
      <w:pPr>
        <w:pStyle w:val="7"/>
        <w:spacing w:before="0" w:beforeAutospacing="0" w:after="0" w:afterAutospacing="0" w:line="360" w:lineRule="auto"/>
        <w:ind w:firstLine="420"/>
        <w:rPr>
          <w:sz w:val="21"/>
          <w:szCs w:val="21"/>
        </w:rPr>
      </w:pPr>
      <w:r>
        <w:rPr>
          <w:rFonts w:hint="eastAsia"/>
          <w:sz w:val="21"/>
          <w:szCs w:val="21"/>
        </w:rPr>
        <w:t xml:space="preserve">传真：021- 31358600 </w:t>
      </w:r>
    </w:p>
    <w:p w14:paraId="3062B1CB">
      <w:pPr>
        <w:pStyle w:val="7"/>
        <w:spacing w:before="0" w:beforeAutospacing="0" w:after="0" w:afterAutospacing="0" w:line="360" w:lineRule="auto"/>
        <w:ind w:firstLine="420"/>
        <w:rPr>
          <w:sz w:val="21"/>
          <w:szCs w:val="21"/>
        </w:rPr>
      </w:pPr>
      <w:r>
        <w:rPr>
          <w:rFonts w:hint="eastAsia"/>
          <w:sz w:val="21"/>
          <w:szCs w:val="21"/>
        </w:rPr>
        <w:t xml:space="preserve">联系人：陆奇 </w:t>
      </w:r>
    </w:p>
    <w:p w14:paraId="6BE0985F">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4E4D46B6">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2DA63A22">
      <w:pPr>
        <w:pStyle w:val="7"/>
        <w:spacing w:before="0" w:beforeAutospacing="0" w:after="0" w:afterAutospacing="0" w:line="360" w:lineRule="auto"/>
        <w:ind w:firstLine="420"/>
        <w:rPr>
          <w:sz w:val="21"/>
          <w:szCs w:val="21"/>
        </w:rPr>
      </w:pPr>
      <w:bookmarkStart w:id="73" w:name="field_0_accountingcompanyinfo_1_start"/>
      <w:bookmarkEnd w:id="73"/>
      <w:r>
        <w:rPr>
          <w:rFonts w:hint="eastAsia"/>
          <w:sz w:val="21"/>
          <w:szCs w:val="21"/>
        </w:rPr>
        <w:t xml:space="preserve">名称：安永华明会计师事务所（特殊普通合伙） </w:t>
      </w:r>
    </w:p>
    <w:p w14:paraId="08817119">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0BCEA441">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455468BE">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758795E8">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3A8747FF">
      <w:pPr>
        <w:pStyle w:val="7"/>
        <w:spacing w:before="0" w:beforeAutospacing="0" w:after="0" w:afterAutospacing="0" w:line="360" w:lineRule="auto"/>
        <w:ind w:firstLine="420"/>
        <w:rPr>
          <w:sz w:val="21"/>
          <w:szCs w:val="21"/>
        </w:rPr>
      </w:pPr>
      <w:r>
        <w:rPr>
          <w:rFonts w:hint="eastAsia"/>
          <w:sz w:val="21"/>
          <w:szCs w:val="21"/>
        </w:rPr>
        <w:t xml:space="preserve">传真：（010）85188298  </w:t>
      </w:r>
    </w:p>
    <w:p w14:paraId="00BABDB4">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70A98FBD">
      <w:pPr>
        <w:pStyle w:val="7"/>
        <w:spacing w:before="0" w:beforeAutospacing="0" w:after="0" w:afterAutospacing="0" w:line="360" w:lineRule="auto"/>
        <w:ind w:firstLine="420"/>
        <w:rPr>
          <w:sz w:val="21"/>
          <w:szCs w:val="21"/>
        </w:rPr>
      </w:pPr>
      <w:bookmarkStart w:id="74" w:name="chapter_level1_7_56_section_3_end"/>
      <w:bookmarkEnd w:id="74"/>
      <w:r>
        <w:rPr>
          <w:rFonts w:hint="eastAsia"/>
          <w:sz w:val="21"/>
          <w:szCs w:val="21"/>
        </w:rPr>
        <w:t xml:space="preserve">联系人：朱燕 </w:t>
      </w:r>
      <w:bookmarkStart w:id="75" w:name="field_0_accountingcompanyinfo_1_end"/>
      <w:bookmarkEnd w:id="75"/>
      <w:r>
        <w:rPr>
          <w:rFonts w:hint="eastAsia"/>
          <w:sz w:val="21"/>
          <w:szCs w:val="21"/>
        </w:rPr>
        <w:t xml:space="preserve">  </w:t>
      </w:r>
    </w:p>
    <w:p w14:paraId="5B323646">
      <w:pPr>
        <w:widowControl/>
        <w:jc w:val="left"/>
        <w:rPr>
          <w:rFonts w:ascii="宋体" w:hAnsi="宋体" w:eastAsia="宋体"/>
        </w:rPr>
      </w:pPr>
      <w:r>
        <w:rPr>
          <w:rFonts w:ascii="宋体" w:hAnsi="宋体" w:eastAsia="宋体"/>
        </w:rPr>
        <w:br w:type="page"/>
      </w:r>
    </w:p>
    <w:p w14:paraId="1D13197F">
      <w:pPr>
        <w:pStyle w:val="2"/>
        <w:jc w:val="center"/>
        <w:rPr>
          <w:rFonts w:ascii="宋体" w:hAnsi="宋体" w:eastAsia="宋体"/>
          <w:sz w:val="30"/>
        </w:rPr>
      </w:pPr>
      <w:bookmarkStart w:id="76" w:name="chapter_level1_9_58"/>
      <w:bookmarkStart w:id="77" w:name="_Toc208503989"/>
      <w:r>
        <w:rPr>
          <w:rFonts w:hint="eastAsia" w:ascii="宋体" w:hAnsi="宋体" w:eastAsia="宋体"/>
          <w:sz w:val="30"/>
        </w:rPr>
        <w:t>第六部分 基金的募集与基金合同的生效</w:t>
      </w:r>
      <w:bookmarkEnd w:id="76"/>
      <w:bookmarkEnd w:id="77"/>
    </w:p>
    <w:p w14:paraId="57E91FCB">
      <w:pPr>
        <w:pStyle w:val="7"/>
        <w:spacing w:before="0" w:beforeAutospacing="0" w:after="0" w:afterAutospacing="0" w:line="360" w:lineRule="auto"/>
        <w:ind w:firstLine="420"/>
        <w:rPr>
          <w:sz w:val="21"/>
          <w:szCs w:val="21"/>
        </w:rPr>
      </w:pPr>
      <w:bookmarkStart w:id="78" w:name="chapter_level1_9_58_section_1"/>
      <w:bookmarkEnd w:id="78"/>
      <w:r>
        <w:rPr>
          <w:rFonts w:hint="eastAsia"/>
          <w:b/>
          <w:bCs/>
          <w:sz w:val="21"/>
          <w:szCs w:val="21"/>
        </w:rPr>
        <w:t>一．基金的募集</w:t>
      </w:r>
    </w:p>
    <w:p w14:paraId="61B0F584">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9" w:name="field_2343_approveddate_2"/>
      <w:r>
        <w:rPr>
          <w:sz w:val="21"/>
          <w:szCs w:val="21"/>
        </w:rPr>
        <w:t>2019年11月4日</w:t>
      </w:r>
      <w:bookmarkEnd w:id="79"/>
      <w:r>
        <w:rPr>
          <w:rFonts w:hint="eastAsia"/>
          <w:sz w:val="21"/>
          <w:szCs w:val="21"/>
        </w:rPr>
        <w:t>证监许可</w:t>
      </w:r>
      <w:bookmarkStart w:id="80" w:name="field_2343_lotnumber_2"/>
      <w:r>
        <w:rPr>
          <w:sz w:val="21"/>
          <w:szCs w:val="21"/>
        </w:rPr>
        <w:t>[2019]2189</w:t>
      </w:r>
      <w:bookmarkEnd w:id="80"/>
      <w:r>
        <w:rPr>
          <w:rFonts w:hint="eastAsia"/>
          <w:sz w:val="21"/>
          <w:szCs w:val="21"/>
        </w:rPr>
        <w:t xml:space="preserve">号文准予募集注册。 </w:t>
      </w:r>
    </w:p>
    <w:p w14:paraId="48F1C47C">
      <w:pPr>
        <w:pStyle w:val="7"/>
        <w:spacing w:before="0" w:beforeAutospacing="0" w:after="0" w:afterAutospacing="0" w:line="360" w:lineRule="auto"/>
        <w:ind w:firstLine="420"/>
        <w:rPr>
          <w:sz w:val="21"/>
          <w:szCs w:val="21"/>
        </w:rPr>
      </w:pPr>
      <w:r>
        <w:rPr>
          <w:rFonts w:hint="eastAsia"/>
          <w:sz w:val="21"/>
          <w:szCs w:val="21"/>
        </w:rPr>
        <w:t>本基金募集期自</w:t>
      </w:r>
      <w:bookmarkStart w:id="81" w:name="field_58_raisebegindate_1"/>
      <w:r>
        <w:rPr>
          <w:sz w:val="21"/>
          <w:szCs w:val="21"/>
        </w:rPr>
        <w:t>2020年1月7日</w:t>
      </w:r>
      <w:bookmarkEnd w:id="81"/>
      <w:r>
        <w:rPr>
          <w:rFonts w:hint="eastAsia"/>
          <w:sz w:val="21"/>
          <w:szCs w:val="21"/>
        </w:rPr>
        <w:t>至</w:t>
      </w:r>
      <w:bookmarkStart w:id="82" w:name="field_58_raiseenddate_1"/>
      <w:r>
        <w:rPr>
          <w:sz w:val="21"/>
          <w:szCs w:val="21"/>
        </w:rPr>
        <w:t>2020年1月14日</w:t>
      </w:r>
      <w:bookmarkEnd w:id="82"/>
      <w:r>
        <w:rPr>
          <w:rFonts w:hint="eastAsia"/>
          <w:sz w:val="21"/>
          <w:szCs w:val="21"/>
        </w:rPr>
        <w:t>期间，基金份额共募集</w:t>
      </w:r>
      <w:bookmarkStart w:id="83" w:name="field_58_raisetotal_1"/>
      <w:r>
        <w:rPr>
          <w:sz w:val="21"/>
          <w:szCs w:val="21"/>
        </w:rPr>
        <w:t>999,999,000.00</w:t>
      </w:r>
      <w:bookmarkEnd w:id="83"/>
      <w:r>
        <w:rPr>
          <w:rFonts w:hint="eastAsia"/>
          <w:sz w:val="21"/>
          <w:szCs w:val="21"/>
        </w:rPr>
        <w:t>份（含利息结转的份额），募集有效认购总户数为</w:t>
      </w:r>
      <w:bookmarkStart w:id="84" w:name="field_58_effectivetotal_1"/>
      <w:r>
        <w:rPr>
          <w:sz w:val="21"/>
          <w:szCs w:val="21"/>
        </w:rPr>
        <w:t>2</w:t>
      </w:r>
      <w:bookmarkEnd w:id="84"/>
      <w:r>
        <w:rPr>
          <w:rFonts w:hint="eastAsia"/>
          <w:sz w:val="21"/>
          <w:szCs w:val="21"/>
        </w:rPr>
        <w:t xml:space="preserve">户。 </w:t>
      </w:r>
    </w:p>
    <w:p w14:paraId="01867D7A">
      <w:pPr>
        <w:pStyle w:val="7"/>
        <w:spacing w:before="0" w:beforeAutospacing="0" w:after="0" w:afterAutospacing="0" w:line="360" w:lineRule="auto"/>
        <w:ind w:firstLine="420"/>
        <w:rPr>
          <w:sz w:val="21"/>
          <w:szCs w:val="21"/>
        </w:rPr>
      </w:pPr>
      <w:r>
        <w:rPr>
          <w:rFonts w:hint="eastAsia"/>
          <w:sz w:val="21"/>
          <w:szCs w:val="21"/>
        </w:rPr>
        <w:t>本基金的运作方式为</w:t>
      </w:r>
      <w:bookmarkStart w:id="85" w:name="field_58_operation_1"/>
      <w:r>
        <w:rPr>
          <w:rFonts w:hint="eastAsia"/>
          <w:sz w:val="21"/>
          <w:szCs w:val="21"/>
        </w:rPr>
        <w:t>契约型定期开放式</w:t>
      </w:r>
      <w:bookmarkEnd w:id="85"/>
      <w:r>
        <w:rPr>
          <w:rFonts w:hint="eastAsia"/>
          <w:sz w:val="21"/>
          <w:szCs w:val="21"/>
        </w:rPr>
        <w:t>，存续期间为</w:t>
      </w:r>
      <w:bookmarkStart w:id="86" w:name="field_58_duration_1"/>
      <w:r>
        <w:rPr>
          <w:rFonts w:hint="eastAsia"/>
          <w:sz w:val="21"/>
          <w:szCs w:val="21"/>
        </w:rPr>
        <w:t>不定期</w:t>
      </w:r>
      <w:bookmarkEnd w:id="86"/>
      <w:r>
        <w:rPr>
          <w:rFonts w:hint="eastAsia"/>
          <w:sz w:val="21"/>
          <w:szCs w:val="21"/>
        </w:rPr>
        <w:t xml:space="preserve">。 </w:t>
      </w:r>
    </w:p>
    <w:p w14:paraId="11D96A83">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36522B5D">
      <w:pPr>
        <w:pStyle w:val="7"/>
        <w:spacing w:before="0" w:beforeAutospacing="0" w:after="0" w:afterAutospacing="0" w:line="360" w:lineRule="auto"/>
        <w:ind w:firstLine="420"/>
        <w:rPr>
          <w:sz w:val="21"/>
          <w:szCs w:val="21"/>
        </w:rPr>
      </w:pPr>
      <w:bookmarkStart w:id="87" w:name="chapter_level1_9_58_section_1_end"/>
      <w:bookmarkEnd w:id="87"/>
      <w:r>
        <w:rPr>
          <w:rFonts w:hint="eastAsia"/>
          <w:sz w:val="21"/>
          <w:szCs w:val="21"/>
        </w:rPr>
        <w:t>本基金的基金合同已于</w:t>
      </w:r>
      <w:bookmarkStart w:id="88" w:name="field_0_foundday_1"/>
      <w:r>
        <w:rPr>
          <w:sz w:val="21"/>
          <w:szCs w:val="21"/>
        </w:rPr>
        <w:t>2020年1月15日</w:t>
      </w:r>
      <w:bookmarkEnd w:id="88"/>
      <w:r>
        <w:rPr>
          <w:rFonts w:hint="eastAsia"/>
          <w:sz w:val="21"/>
          <w:szCs w:val="21"/>
        </w:rPr>
        <w:t xml:space="preserve">正式生效。 </w:t>
      </w:r>
    </w:p>
    <w:p w14:paraId="4D8F03A0">
      <w:pPr>
        <w:pStyle w:val="7"/>
        <w:spacing w:before="0" w:beforeAutospacing="0" w:after="0" w:afterAutospacing="0" w:line="360" w:lineRule="auto"/>
        <w:ind w:firstLine="420"/>
        <w:rPr>
          <w:sz w:val="21"/>
          <w:szCs w:val="21"/>
        </w:rPr>
      </w:pPr>
      <w:bookmarkStart w:id="89" w:name="chapter_level1_9_58_section_2"/>
      <w:bookmarkEnd w:id="89"/>
      <w:r>
        <w:rPr>
          <w:rStyle w:val="11"/>
          <w:rFonts w:hint="eastAsia"/>
          <w:sz w:val="21"/>
          <w:szCs w:val="21"/>
        </w:rPr>
        <w:t>三、基金存续期内的基金份额持有人数量和资产规模</w:t>
      </w:r>
    </w:p>
    <w:p w14:paraId="583C5FE5">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 </w:t>
      </w:r>
    </w:p>
    <w:p w14:paraId="5D727E55">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本基金在基金合同生效三年后继续存续的，基金存续期内，连续20个工作日出现基金资产净值低于5000万元情形的，基金管理人应当在定期报告中予以披露。 </w:t>
      </w:r>
    </w:p>
    <w:p w14:paraId="63BFF5AC">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连续60个工作日出现基金资产净值低于5000万元情形的，基金管理人应当在十个工作日内向中国证监会报告并提出解决方案，如持续运作、转换运作方式、与其他基金合并或者终止基金合同等，并在六个月内召开基金份额持有人大会进行表决。 </w:t>
      </w:r>
    </w:p>
    <w:p w14:paraId="1323348D">
      <w:pPr>
        <w:pStyle w:val="7"/>
        <w:spacing w:before="0" w:beforeAutospacing="0" w:after="0" w:afterAutospacing="0" w:line="360" w:lineRule="auto"/>
        <w:ind w:firstLine="420"/>
        <w:rPr>
          <w:sz w:val="21"/>
          <w:szCs w:val="21"/>
        </w:rPr>
      </w:pPr>
      <w:bookmarkStart w:id="90" w:name="chapter_level1_9_58_section_2_end"/>
      <w:bookmarkEnd w:id="90"/>
      <w:r>
        <w:rPr>
          <w:rFonts w:hint="eastAsia"/>
          <w:sz w:val="21"/>
          <w:szCs w:val="21"/>
        </w:rPr>
        <w:t xml:space="preserve">法律法规或监管机构另有规定时，从其规定。 </w:t>
      </w:r>
    </w:p>
    <w:p w14:paraId="5F3FEEA6">
      <w:pPr>
        <w:widowControl/>
        <w:jc w:val="left"/>
        <w:rPr>
          <w:rFonts w:ascii="宋体" w:hAnsi="宋体" w:eastAsia="宋体"/>
        </w:rPr>
      </w:pPr>
      <w:r>
        <w:rPr>
          <w:rFonts w:ascii="宋体" w:hAnsi="宋体" w:eastAsia="宋体"/>
        </w:rPr>
        <w:br w:type="page"/>
      </w:r>
    </w:p>
    <w:p w14:paraId="5A5FA1D6">
      <w:pPr>
        <w:pStyle w:val="2"/>
        <w:jc w:val="center"/>
        <w:rPr>
          <w:rFonts w:ascii="宋体" w:hAnsi="宋体" w:eastAsia="宋体"/>
          <w:sz w:val="30"/>
        </w:rPr>
      </w:pPr>
      <w:bookmarkStart w:id="91" w:name="chapter_level1_10_59"/>
      <w:bookmarkStart w:id="92" w:name="_Toc208503990"/>
      <w:r>
        <w:rPr>
          <w:rFonts w:hint="eastAsia" w:ascii="宋体" w:hAnsi="宋体" w:eastAsia="宋体"/>
          <w:sz w:val="30"/>
        </w:rPr>
        <w:t>第七部分  基金份额的申购与赎回</w:t>
      </w:r>
      <w:bookmarkEnd w:id="91"/>
      <w:bookmarkEnd w:id="92"/>
    </w:p>
    <w:p w14:paraId="25089E1C">
      <w:pPr>
        <w:pStyle w:val="7"/>
        <w:spacing w:before="0" w:beforeAutospacing="0" w:after="0" w:afterAutospacing="0" w:line="360" w:lineRule="auto"/>
        <w:ind w:firstLine="420"/>
        <w:rPr>
          <w:sz w:val="21"/>
          <w:szCs w:val="21"/>
        </w:rPr>
      </w:pPr>
      <w:bookmarkStart w:id="93" w:name="chapter_level1_10_59_section_1"/>
      <w:bookmarkEnd w:id="93"/>
      <w:r>
        <w:rPr>
          <w:rStyle w:val="11"/>
          <w:rFonts w:hint="eastAsia"/>
          <w:sz w:val="21"/>
          <w:szCs w:val="21"/>
        </w:rPr>
        <w:t>一、申购和赎回场所</w:t>
      </w:r>
    </w:p>
    <w:p w14:paraId="502B1A23">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指定的其他销售机构。基金管理人可根据情况变更或增减销售机构，并在管理人网站公示。基金投资者应当在销售机构办理基金销售业务的营业场所或按销售机构提供的其他方式</w:t>
      </w:r>
      <w:bookmarkStart w:id="94" w:name="chapter_level1_10_59_section_1_end"/>
      <w:bookmarkEnd w:id="94"/>
      <w:r>
        <w:rPr>
          <w:rFonts w:hint="eastAsia"/>
          <w:sz w:val="21"/>
          <w:szCs w:val="21"/>
        </w:rPr>
        <w:t xml:space="preserve">办理基金份额的申购与赎回。 </w:t>
      </w:r>
    </w:p>
    <w:p w14:paraId="271759DA">
      <w:pPr>
        <w:pStyle w:val="7"/>
        <w:spacing w:before="0" w:beforeAutospacing="0" w:after="0" w:afterAutospacing="0" w:line="360" w:lineRule="auto"/>
        <w:ind w:firstLine="420"/>
        <w:rPr>
          <w:sz w:val="21"/>
          <w:szCs w:val="21"/>
        </w:rPr>
      </w:pPr>
      <w:bookmarkStart w:id="95" w:name="chapter_level1_10_59_section_2"/>
      <w:bookmarkEnd w:id="95"/>
      <w:r>
        <w:rPr>
          <w:rStyle w:val="11"/>
          <w:rFonts w:hint="eastAsia"/>
          <w:sz w:val="21"/>
          <w:szCs w:val="21"/>
        </w:rPr>
        <w:t>二、申购和赎回的开放日及时间</w:t>
      </w:r>
    </w:p>
    <w:p w14:paraId="2A786E34">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327D7F70">
      <w:pPr>
        <w:pStyle w:val="7"/>
        <w:spacing w:before="0" w:beforeAutospacing="0" w:after="0" w:afterAutospacing="0" w:line="360" w:lineRule="auto"/>
        <w:ind w:firstLine="420"/>
        <w:rPr>
          <w:sz w:val="21"/>
          <w:szCs w:val="21"/>
        </w:rPr>
      </w:pPr>
      <w:r>
        <w:rPr>
          <w:rFonts w:hint="eastAsia"/>
          <w:sz w:val="21"/>
          <w:szCs w:val="21"/>
        </w:rPr>
        <w:t xml:space="preserve">本基金在开放期内，投资人在开放日办理基金份额的申购和赎回，具体办理时间为上海证券交易所、深圳证券交易所的正常交易日的交易时间，但基金管理人根据法律法规、中国证监会的要求或基金合同的规定公告暂停申购、赎回时除外。在封闭期内，本基金不办理申购、赎回业务，也不上市交易。 </w:t>
      </w:r>
    </w:p>
    <w:p w14:paraId="6F54DAFA">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14:paraId="59EC1601">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66F31CD2">
      <w:pPr>
        <w:pStyle w:val="7"/>
        <w:spacing w:before="0" w:beforeAutospacing="0" w:after="0" w:afterAutospacing="0" w:line="360" w:lineRule="auto"/>
        <w:ind w:firstLine="420"/>
        <w:rPr>
          <w:sz w:val="21"/>
          <w:szCs w:val="21"/>
        </w:rPr>
      </w:pPr>
      <w:r>
        <w:rPr>
          <w:rFonts w:hint="eastAsia"/>
          <w:sz w:val="21"/>
          <w:szCs w:val="21"/>
        </w:rPr>
        <w:t xml:space="preserve">除法律法规或基金合同另有约定外，本基金每个封闭期结束之后第一个工作日起（含该日）进入开放期，开放期的期限为自封闭期结束之日后第一个工作日起（含该日）一至二十个工作日，具体期间由基金管理人在封闭期结束前公告说明，但在开放期内，基金管理人有权延长开放期时间并公告，但开放期最长不可超过20个工作日。 </w:t>
      </w:r>
    </w:p>
    <w:p w14:paraId="7950EC9A">
      <w:pPr>
        <w:pStyle w:val="7"/>
        <w:spacing w:before="0" w:beforeAutospacing="0" w:after="0" w:afterAutospacing="0" w:line="360" w:lineRule="auto"/>
        <w:ind w:firstLine="420"/>
        <w:rPr>
          <w:sz w:val="21"/>
          <w:szCs w:val="21"/>
        </w:rPr>
      </w:pPr>
      <w:r>
        <w:rPr>
          <w:rFonts w:hint="eastAsia"/>
          <w:sz w:val="21"/>
          <w:szCs w:val="21"/>
        </w:rPr>
        <w:t xml:space="preserve">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 </w:t>
      </w:r>
    </w:p>
    <w:p w14:paraId="32567AB7">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在开放期内，投资人在基金合同约定之外的日期和时间提出申购、赎回、转换申请且登记机构确认接受的，其基金份额申购、赎回价格为下一开放日基金份额申购、赎回的价格；但若投资人在开放期最后一日业务办理时间结束之后提出申购、赎回或者转换申请的，视为无效申请。开放期以及开放期办理申购与赎回业务的具体事宜见招募说明书及基金管理人届</w:t>
      </w:r>
      <w:bookmarkStart w:id="96" w:name="chapter_level1_10_59_section_2_end"/>
      <w:bookmarkEnd w:id="96"/>
      <w:r>
        <w:rPr>
          <w:rFonts w:hint="eastAsia"/>
          <w:sz w:val="21"/>
          <w:szCs w:val="21"/>
        </w:rPr>
        <w:t xml:space="preserve">时发布的相关公告。 </w:t>
      </w:r>
    </w:p>
    <w:p w14:paraId="1C385C51">
      <w:pPr>
        <w:pStyle w:val="7"/>
        <w:spacing w:before="0" w:beforeAutospacing="0" w:after="0" w:afterAutospacing="0" w:line="360" w:lineRule="auto"/>
        <w:ind w:firstLine="420"/>
        <w:rPr>
          <w:sz w:val="21"/>
          <w:szCs w:val="21"/>
        </w:rPr>
      </w:pPr>
      <w:bookmarkStart w:id="97" w:name="chapter_level1_10_59_section_3"/>
      <w:bookmarkEnd w:id="97"/>
      <w:r>
        <w:rPr>
          <w:rStyle w:val="11"/>
          <w:rFonts w:hint="eastAsia"/>
          <w:sz w:val="21"/>
          <w:szCs w:val="21"/>
        </w:rPr>
        <w:t>三、申购与赎回的原则</w:t>
      </w:r>
    </w:p>
    <w:p w14:paraId="4D13C79B">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4C4C918C">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7DE92C6F">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067B603A">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5BA00176">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56DB617C">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59EF0145">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58C3EF02">
      <w:pPr>
        <w:pStyle w:val="7"/>
        <w:spacing w:before="0" w:beforeAutospacing="0" w:after="0" w:afterAutospacing="0" w:line="360" w:lineRule="auto"/>
        <w:ind w:firstLine="420"/>
        <w:rPr>
          <w:sz w:val="21"/>
          <w:szCs w:val="21"/>
        </w:rPr>
      </w:pPr>
      <w:r>
        <w:rPr>
          <w:rFonts w:hint="eastAsia"/>
          <w:sz w:val="21"/>
          <w:szCs w:val="21"/>
        </w:rPr>
        <w:t>1、首次购买基金份额的最低金额为</w:t>
      </w:r>
      <w:bookmarkStart w:id="98" w:name="field_59_dealerfirstpurminamount_1"/>
      <w:r>
        <w:rPr>
          <w:sz w:val="21"/>
          <w:szCs w:val="21"/>
        </w:rPr>
        <w:t>1.00</w:t>
      </w:r>
      <w:bookmarkEnd w:id="98"/>
      <w:r>
        <w:rPr>
          <w:rFonts w:hint="eastAsia"/>
          <w:sz w:val="21"/>
          <w:szCs w:val="21"/>
        </w:rPr>
        <w:t>元（含申购费），追加购买单笔最低金额为</w:t>
      </w:r>
      <w:bookmarkStart w:id="99" w:name="field_59_dealerlaterpurminamount_1"/>
      <w:r>
        <w:rPr>
          <w:sz w:val="21"/>
          <w:szCs w:val="21"/>
        </w:rPr>
        <w:t>1.00</w:t>
      </w:r>
      <w:bookmarkEnd w:id="99"/>
      <w:r>
        <w:rPr>
          <w:rFonts w:hint="eastAsia"/>
          <w:sz w:val="21"/>
          <w:szCs w:val="21"/>
        </w:rPr>
        <w:t xml:space="preserve">元（含申购费）；详情请见当地销售机构公告； </w:t>
      </w:r>
    </w:p>
    <w:p w14:paraId="40BECD50">
      <w:pPr>
        <w:pStyle w:val="7"/>
        <w:spacing w:before="0" w:beforeAutospacing="0" w:after="0" w:afterAutospacing="0" w:line="360" w:lineRule="auto"/>
        <w:ind w:firstLine="420"/>
        <w:rPr>
          <w:sz w:val="21"/>
          <w:szCs w:val="21"/>
        </w:rPr>
      </w:pPr>
      <w:r>
        <w:rPr>
          <w:rFonts w:hint="eastAsia"/>
          <w:sz w:val="21"/>
          <w:szCs w:val="21"/>
        </w:rPr>
        <w:t>2、每个交易账户最低持有基金份额余额为足</w:t>
      </w:r>
      <w:bookmarkStart w:id="100" w:name="field_59_minholdshare_1"/>
      <w:r>
        <w:rPr>
          <w:sz w:val="21"/>
          <w:szCs w:val="21"/>
        </w:rPr>
        <w:t>1</w:t>
      </w:r>
      <w:bookmarkEnd w:id="100"/>
      <w:r>
        <w:rPr>
          <w:rFonts w:hint="eastAsia"/>
          <w:sz w:val="21"/>
          <w:szCs w:val="21"/>
        </w:rPr>
        <w:t>份，若某笔赎回导致单个交易账户的基金份额余额少于足</w:t>
      </w:r>
      <w:bookmarkStart w:id="101" w:name="field_59_minholdshare_2"/>
      <w:r>
        <w:rPr>
          <w:sz w:val="21"/>
          <w:szCs w:val="21"/>
        </w:rPr>
        <w:t>1</w:t>
      </w:r>
      <w:bookmarkEnd w:id="101"/>
      <w:r>
        <w:rPr>
          <w:rFonts w:hint="eastAsia"/>
          <w:sz w:val="21"/>
          <w:szCs w:val="21"/>
        </w:rPr>
        <w:t xml:space="preserve">份时，余额部分基金份额必须一同赎回； </w:t>
      </w:r>
    </w:p>
    <w:p w14:paraId="17229E27">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3、本基金目前对单个投资人累计持有份额不设上限限制，基金管理人可以规定单个投资者累计持有的基金份额数量限制，具体规定见定期更新的招募说明书或相关公告； </w:t>
      </w:r>
    </w:p>
    <w:p w14:paraId="73E3BAF6">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 </w:t>
      </w:r>
    </w:p>
    <w:p w14:paraId="63E00E2B">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5、基金管理人可在法律法规允许的情况下，调整上述规定申购金额和赎回份额等数量限制。基金管理人必须在调整实施前依照《信息披露办法》的有关规定进行公告。 </w:t>
      </w:r>
    </w:p>
    <w:p w14:paraId="1DFDA15B">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3EE2B926">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7A1B3B2C">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083A5EA6">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31354946">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投资人申购基金份额时，必须全额交付申购款项，投资人交付申购款项，申购成立；基金份额登记机构确认基金份额时，申购生效。 </w:t>
      </w:r>
    </w:p>
    <w:p w14:paraId="7AAB3F09">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人赎回申请生效后，基金管理人将在T＋7日(包括该日)内支付赎回款项。在发生巨额赎回或本基金合同约定的其他暂停赎回或延缓支付赎回款项的情形时，款项的支付办法参照本基金合同有关条款处理。 </w:t>
      </w:r>
    </w:p>
    <w:p w14:paraId="016C0851">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5CFEF36C">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634366C2">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361D8614">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基金销售机构对申购、赎回申请的受理并不代表申请一定成功，而仅代表销售机构确实接收到申请。申购、赎回申请的确认以登记机构的确认结果为准。对于申购、赎回申请的确认情况，投资者应及时查询。 </w:t>
      </w:r>
    </w:p>
    <w:p w14:paraId="4EFD74D8">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5B4DBBDA">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540F2B10">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62C809F1">
      <w:pPr>
        <w:pStyle w:val="7"/>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14:paraId="32FD561B">
      <w:pPr>
        <w:pStyle w:val="7"/>
        <w:spacing w:before="0" w:beforeAutospacing="0" w:after="0" w:afterAutospacing="0" w:line="360" w:lineRule="auto"/>
        <w:ind w:firstLine="420"/>
        <w:rPr>
          <w:sz w:val="21"/>
          <w:szCs w:val="21"/>
        </w:rPr>
      </w:pPr>
      <w:r>
        <w:rPr>
          <w:rFonts w:hint="eastAsia"/>
          <w:sz w:val="21"/>
          <w:szCs w:val="21"/>
        </w:rPr>
        <w:t xml:space="preserve">表2：本基金份额的申购费率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6"/>
        <w:gridCol w:w="1536"/>
      </w:tblGrid>
      <w:tr w14:paraId="712F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C816AB">
            <w:pPr>
              <w:pStyle w:val="7"/>
            </w:pPr>
            <w:r>
              <w:rPr>
                <w:rFonts w:hint="eastAsia"/>
              </w:rPr>
              <w:t xml:space="preserve">金额（M） </w:t>
            </w:r>
          </w:p>
        </w:tc>
        <w:tc>
          <w:tcPr>
            <w:tcW w:w="0" w:type="auto"/>
            <w:shd w:val="clear" w:color="auto" w:fill="auto"/>
          </w:tcPr>
          <w:p w14:paraId="38180E48">
            <w:pPr>
              <w:pStyle w:val="7"/>
            </w:pPr>
            <w:r>
              <w:rPr>
                <w:rFonts w:hint="eastAsia"/>
              </w:rPr>
              <w:t xml:space="preserve">申购费率 </w:t>
            </w:r>
          </w:p>
        </w:tc>
      </w:tr>
      <w:tr w14:paraId="50D0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B379BB">
            <w:pPr>
              <w:pStyle w:val="7"/>
            </w:pPr>
            <w:r>
              <w:rPr>
                <w:rFonts w:hint="eastAsia"/>
              </w:rPr>
              <w:t xml:space="preserve">M＜100万 </w:t>
            </w:r>
          </w:p>
        </w:tc>
        <w:tc>
          <w:tcPr>
            <w:tcW w:w="0" w:type="auto"/>
            <w:shd w:val="clear" w:color="auto" w:fill="auto"/>
          </w:tcPr>
          <w:p w14:paraId="4018DA27">
            <w:pPr>
              <w:pStyle w:val="7"/>
            </w:pPr>
            <w:r>
              <w:rPr>
                <w:rFonts w:hint="eastAsia"/>
              </w:rPr>
              <w:t xml:space="preserve">0.80% </w:t>
            </w:r>
          </w:p>
        </w:tc>
      </w:tr>
      <w:tr w14:paraId="5F26D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897AEA">
            <w:pPr>
              <w:pStyle w:val="7"/>
            </w:pPr>
            <w:r>
              <w:rPr>
                <w:rFonts w:hint="eastAsia"/>
              </w:rPr>
              <w:t xml:space="preserve">100万≤M＜300万 </w:t>
            </w:r>
          </w:p>
        </w:tc>
        <w:tc>
          <w:tcPr>
            <w:tcW w:w="0" w:type="auto"/>
            <w:shd w:val="clear" w:color="auto" w:fill="auto"/>
          </w:tcPr>
          <w:p w14:paraId="6D078E09">
            <w:pPr>
              <w:pStyle w:val="7"/>
            </w:pPr>
            <w:r>
              <w:rPr>
                <w:rFonts w:hint="eastAsia"/>
              </w:rPr>
              <w:t xml:space="preserve">0.50% </w:t>
            </w:r>
          </w:p>
        </w:tc>
      </w:tr>
      <w:tr w14:paraId="42B43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125219">
            <w:pPr>
              <w:pStyle w:val="7"/>
            </w:pPr>
            <w:r>
              <w:rPr>
                <w:rFonts w:hint="eastAsia"/>
              </w:rPr>
              <w:t xml:space="preserve">300万≤M＜500万 </w:t>
            </w:r>
          </w:p>
        </w:tc>
        <w:tc>
          <w:tcPr>
            <w:tcW w:w="0" w:type="auto"/>
            <w:shd w:val="clear" w:color="auto" w:fill="auto"/>
          </w:tcPr>
          <w:p w14:paraId="530EF177">
            <w:pPr>
              <w:pStyle w:val="7"/>
            </w:pPr>
            <w:r>
              <w:rPr>
                <w:rFonts w:hint="eastAsia"/>
              </w:rPr>
              <w:t xml:space="preserve">0.30% </w:t>
            </w:r>
          </w:p>
        </w:tc>
      </w:tr>
      <w:tr w14:paraId="6090D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1974E4">
            <w:pPr>
              <w:pStyle w:val="7"/>
            </w:pPr>
            <w:r>
              <w:rPr>
                <w:rFonts w:hint="eastAsia"/>
              </w:rPr>
              <w:t xml:space="preserve">M≥500万 </w:t>
            </w:r>
          </w:p>
        </w:tc>
        <w:tc>
          <w:tcPr>
            <w:tcW w:w="0" w:type="auto"/>
            <w:shd w:val="clear" w:color="auto" w:fill="auto"/>
          </w:tcPr>
          <w:p w14:paraId="2448FDCD">
            <w:pPr>
              <w:pStyle w:val="7"/>
            </w:pPr>
            <w:r>
              <w:rPr>
                <w:rFonts w:hint="eastAsia"/>
              </w:rPr>
              <w:t xml:space="preserve">每笔1000元 </w:t>
            </w:r>
          </w:p>
        </w:tc>
      </w:tr>
    </w:tbl>
    <w:p w14:paraId="430BDFF0">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7B6A1C7D">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14:paraId="02EBA780">
      <w:pPr>
        <w:pStyle w:val="7"/>
        <w:spacing w:before="0" w:beforeAutospacing="0" w:after="0" w:afterAutospacing="0" w:line="360" w:lineRule="auto"/>
        <w:ind w:firstLine="420"/>
        <w:rPr>
          <w:sz w:val="21"/>
          <w:szCs w:val="21"/>
        </w:rPr>
      </w:pPr>
      <w:r>
        <w:rPr>
          <w:rFonts w:hint="eastAsia"/>
          <w:sz w:val="21"/>
          <w:szCs w:val="21"/>
        </w:rPr>
        <w:t xml:space="preserve">表3：本基金份额的赎回费率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56"/>
        <w:gridCol w:w="1176"/>
      </w:tblGrid>
      <w:tr w14:paraId="5FD6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9ECE1C">
            <w:pPr>
              <w:pStyle w:val="7"/>
            </w:pPr>
            <w:r>
              <w:rPr>
                <w:rFonts w:hint="eastAsia"/>
              </w:rPr>
              <w:t xml:space="preserve">持有时间 </w:t>
            </w:r>
          </w:p>
        </w:tc>
        <w:tc>
          <w:tcPr>
            <w:tcW w:w="0" w:type="auto"/>
            <w:shd w:val="clear" w:color="auto" w:fill="auto"/>
          </w:tcPr>
          <w:p w14:paraId="30183ECB">
            <w:pPr>
              <w:pStyle w:val="7"/>
            </w:pPr>
            <w:r>
              <w:rPr>
                <w:rFonts w:hint="eastAsia"/>
              </w:rPr>
              <w:t xml:space="preserve">赎回费率 </w:t>
            </w:r>
          </w:p>
        </w:tc>
      </w:tr>
      <w:tr w14:paraId="799B5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9994B6">
            <w:pPr>
              <w:pStyle w:val="7"/>
            </w:pPr>
            <w:r>
              <w:rPr>
                <w:rFonts w:hint="eastAsia"/>
              </w:rPr>
              <w:t xml:space="preserve">在同一开放期内申购后又赎回且持续持有期限少于7日 </w:t>
            </w:r>
          </w:p>
        </w:tc>
        <w:tc>
          <w:tcPr>
            <w:tcW w:w="0" w:type="auto"/>
            <w:shd w:val="clear" w:color="auto" w:fill="auto"/>
          </w:tcPr>
          <w:p w14:paraId="32E0020E">
            <w:pPr>
              <w:pStyle w:val="7"/>
            </w:pPr>
            <w:r>
              <w:rPr>
                <w:rFonts w:hint="eastAsia"/>
              </w:rPr>
              <w:t xml:space="preserve">1.50% </w:t>
            </w:r>
          </w:p>
        </w:tc>
      </w:tr>
      <w:tr w14:paraId="0D126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4FAAC9">
            <w:pPr>
              <w:pStyle w:val="7"/>
            </w:pPr>
            <w:r>
              <w:rPr>
                <w:rFonts w:hint="eastAsia"/>
              </w:rPr>
              <w:t xml:space="preserve">在同一开放期内申购后又赎回且持续持有期限大于等于7日 </w:t>
            </w:r>
          </w:p>
        </w:tc>
        <w:tc>
          <w:tcPr>
            <w:tcW w:w="0" w:type="auto"/>
            <w:shd w:val="clear" w:color="auto" w:fill="auto"/>
          </w:tcPr>
          <w:p w14:paraId="7D17B245">
            <w:pPr>
              <w:pStyle w:val="7"/>
            </w:pPr>
            <w:r>
              <w:rPr>
                <w:rFonts w:hint="eastAsia"/>
              </w:rPr>
              <w:t xml:space="preserve">0.10% </w:t>
            </w:r>
          </w:p>
        </w:tc>
      </w:tr>
      <w:tr w14:paraId="29B9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22A06B">
            <w:pPr>
              <w:pStyle w:val="7"/>
            </w:pPr>
            <w:r>
              <w:rPr>
                <w:rFonts w:hint="eastAsia"/>
              </w:rPr>
              <w:t xml:space="preserve">认购或在非同一开放期申购后又赎回 </w:t>
            </w:r>
          </w:p>
        </w:tc>
        <w:tc>
          <w:tcPr>
            <w:tcW w:w="0" w:type="auto"/>
            <w:shd w:val="clear" w:color="auto" w:fill="auto"/>
          </w:tcPr>
          <w:p w14:paraId="66871683">
            <w:pPr>
              <w:pStyle w:val="7"/>
            </w:pPr>
            <w:r>
              <w:rPr>
                <w:rFonts w:hint="eastAsia"/>
              </w:rPr>
              <w:t xml:space="preserve">0% </w:t>
            </w:r>
          </w:p>
        </w:tc>
      </w:tr>
    </w:tbl>
    <w:p w14:paraId="28750009">
      <w:pPr>
        <w:pStyle w:val="7"/>
        <w:spacing w:before="0" w:beforeAutospacing="0" w:after="0" w:afterAutospacing="0" w:line="360" w:lineRule="auto"/>
        <w:ind w:firstLine="420"/>
        <w:rPr>
          <w:sz w:val="21"/>
          <w:szCs w:val="21"/>
        </w:rPr>
      </w:pPr>
      <w:r>
        <w:rPr>
          <w:rFonts w:hint="eastAsia"/>
          <w:sz w:val="21"/>
          <w:szCs w:val="21"/>
        </w:rPr>
        <w:t xml:space="preserve">本基金的赎回费用由赎回基金份额的基金份额持有人承担，在基金份额持有人赎回基金份额时收取。向在同一开放期内申购后又赎回且持续持有期限少于7日的投资者收取的赎回费全额计入基金财产，向在同一开放期内申购后又赎回且持续持有期限大于等于7日的投资者收取的赎回费中不低于赎回费总额的25%计入基金财产。 </w:t>
      </w:r>
    </w:p>
    <w:p w14:paraId="751B27A5">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3DF8AC4B">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14:paraId="22162796">
      <w:pPr>
        <w:pStyle w:val="7"/>
        <w:spacing w:before="0" w:beforeAutospacing="0" w:after="0" w:afterAutospacing="0" w:line="360" w:lineRule="auto"/>
        <w:ind w:firstLine="420"/>
        <w:rPr>
          <w:sz w:val="21"/>
          <w:szCs w:val="21"/>
        </w:rPr>
      </w:pPr>
      <w:r>
        <w:rPr>
          <w:rFonts w:hint="eastAsia"/>
          <w:sz w:val="21"/>
          <w:szCs w:val="21"/>
        </w:rPr>
        <w:t xml:space="preserve">4、开放期内，当本基金发生大额申购或赎回情形时，基金管理人可以采用摆动定价机制以确保基金估值的公平性。具体处理原则与操作规范遵循相关法律法规以及监管部门、自律规则的规定。 </w:t>
      </w:r>
    </w:p>
    <w:p w14:paraId="786F44AE">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6B8E88A1">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1C969D27">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39A16EDD">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3EC91134">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7F414CC9">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37CFD2C6">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16D1151C">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534DB44A">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14:paraId="2CBAD427">
      <w:pPr>
        <w:pStyle w:val="7"/>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0D05A26A">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1DF76121">
      <w:pPr>
        <w:pStyle w:val="7"/>
        <w:spacing w:before="0" w:beforeAutospacing="0" w:after="0" w:afterAutospacing="0" w:line="360" w:lineRule="auto"/>
        <w:ind w:firstLine="420"/>
        <w:rPr>
          <w:sz w:val="21"/>
          <w:szCs w:val="21"/>
        </w:rPr>
      </w:pPr>
      <w:r>
        <w:rPr>
          <w:rFonts w:hint="eastAsia"/>
          <w:sz w:val="21"/>
          <w:szCs w:val="21"/>
        </w:rPr>
        <w:t xml:space="preserve">例3：假定T日基金份额净值为1.0560元，某投资人本次申购本基金40万元，对应的本次申购费率为0.80%，该投资人可得到的基金份额为： </w:t>
      </w:r>
    </w:p>
    <w:p w14:paraId="4E9A9606">
      <w:pPr>
        <w:pStyle w:val="7"/>
        <w:spacing w:before="0" w:beforeAutospacing="0" w:after="0" w:afterAutospacing="0" w:line="360" w:lineRule="auto"/>
        <w:ind w:firstLine="420"/>
        <w:rPr>
          <w:sz w:val="21"/>
          <w:szCs w:val="21"/>
        </w:rPr>
      </w:pPr>
      <w:r>
        <w:rPr>
          <w:rFonts w:hint="eastAsia"/>
          <w:sz w:val="21"/>
          <w:szCs w:val="21"/>
        </w:rPr>
        <w:t xml:space="preserve">净申购金额=400,000/（1+0.80%）＝396,825.40元 </w:t>
      </w:r>
    </w:p>
    <w:p w14:paraId="529832FF">
      <w:pPr>
        <w:pStyle w:val="7"/>
        <w:spacing w:before="0" w:beforeAutospacing="0" w:after="0" w:afterAutospacing="0" w:line="360" w:lineRule="auto"/>
        <w:ind w:firstLine="420"/>
        <w:rPr>
          <w:sz w:val="21"/>
          <w:szCs w:val="21"/>
        </w:rPr>
      </w:pPr>
      <w:r>
        <w:rPr>
          <w:rFonts w:hint="eastAsia"/>
          <w:sz w:val="21"/>
          <w:szCs w:val="21"/>
        </w:rPr>
        <w:t xml:space="preserve">申购费用=400,000-396,825.40＝3,174.60元 </w:t>
      </w:r>
    </w:p>
    <w:p w14:paraId="27C9B385">
      <w:pPr>
        <w:pStyle w:val="7"/>
        <w:spacing w:before="0" w:beforeAutospacing="0" w:after="0" w:afterAutospacing="0" w:line="360" w:lineRule="auto"/>
        <w:ind w:firstLine="420"/>
        <w:rPr>
          <w:sz w:val="21"/>
          <w:szCs w:val="21"/>
        </w:rPr>
      </w:pPr>
      <w:r>
        <w:rPr>
          <w:rFonts w:hint="eastAsia"/>
          <w:sz w:val="21"/>
          <w:szCs w:val="21"/>
        </w:rPr>
        <w:t xml:space="preserve">申购份额=396,825.40/1.0560＝375,781.63份 </w:t>
      </w:r>
    </w:p>
    <w:p w14:paraId="5570A788">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即：投资人投资40万元申购本基金，假定申购当日基金份额净值为1.0560元，可得到375,781.63份基金份额。 </w:t>
      </w:r>
    </w:p>
    <w:p w14:paraId="177D93D9">
      <w:pPr>
        <w:pStyle w:val="7"/>
        <w:spacing w:before="0" w:beforeAutospacing="0" w:after="0" w:afterAutospacing="0" w:line="360" w:lineRule="auto"/>
        <w:ind w:firstLine="420"/>
        <w:rPr>
          <w:sz w:val="21"/>
          <w:szCs w:val="21"/>
        </w:rPr>
      </w:pPr>
      <w:r>
        <w:rPr>
          <w:rFonts w:hint="eastAsia"/>
          <w:sz w:val="21"/>
          <w:szCs w:val="21"/>
        </w:rPr>
        <w:t xml:space="preserve">例4：假定T日基金份额净值为1.0560元，某投资人投资600万元申购本基金，其对应的申购费用为1,000元，则其可得到的申购份额为： </w:t>
      </w:r>
    </w:p>
    <w:p w14:paraId="3542F39E">
      <w:pPr>
        <w:pStyle w:val="7"/>
        <w:spacing w:before="0" w:beforeAutospacing="0" w:after="0" w:afterAutospacing="0" w:line="360" w:lineRule="auto"/>
        <w:ind w:firstLine="420"/>
        <w:rPr>
          <w:sz w:val="21"/>
          <w:szCs w:val="21"/>
        </w:rPr>
      </w:pPr>
      <w:r>
        <w:rPr>
          <w:rFonts w:hint="eastAsia"/>
          <w:sz w:val="21"/>
          <w:szCs w:val="21"/>
        </w:rPr>
        <w:t xml:space="preserve">申购费用＝1,000.00元 </w:t>
      </w:r>
    </w:p>
    <w:p w14:paraId="251ED24F">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01E1AA2D">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14:paraId="7672589E">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即，投资人投资600万元申购本基金，假定申购当日基金份额净值为1.0560元，可得到5,680,871.21份基金份额。 </w:t>
      </w:r>
    </w:p>
    <w:p w14:paraId="30B39313">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2AE3BCAC">
      <w:pPr>
        <w:pStyle w:val="7"/>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0A3735EF">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7C01BD86">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79248431">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747F2AB9">
      <w:pPr>
        <w:pStyle w:val="7"/>
        <w:spacing w:before="0" w:beforeAutospacing="0" w:after="0" w:afterAutospacing="0" w:line="360" w:lineRule="auto"/>
        <w:ind w:firstLine="420"/>
        <w:rPr>
          <w:sz w:val="21"/>
          <w:szCs w:val="21"/>
        </w:rPr>
      </w:pPr>
      <w:r>
        <w:rPr>
          <w:rFonts w:hint="eastAsia"/>
          <w:sz w:val="21"/>
          <w:szCs w:val="21"/>
        </w:rPr>
        <w:t xml:space="preserve">例5：某投资者赎回本基金1万份基金份额，该笔份额持有时间满一个封闭期，对应的赎回费率为0%，假设赎回当日基金份额净值是1.2500元，则其可得到的赎回金额为： </w:t>
      </w:r>
    </w:p>
    <w:p w14:paraId="2DE1FBE3">
      <w:pPr>
        <w:pStyle w:val="7"/>
        <w:spacing w:before="0" w:beforeAutospacing="0" w:after="0" w:afterAutospacing="0" w:line="360" w:lineRule="auto"/>
        <w:ind w:firstLine="420"/>
        <w:rPr>
          <w:sz w:val="21"/>
          <w:szCs w:val="21"/>
        </w:rPr>
      </w:pPr>
      <w:r>
        <w:rPr>
          <w:rFonts w:hint="eastAsia"/>
          <w:sz w:val="21"/>
          <w:szCs w:val="21"/>
        </w:rPr>
        <w:t xml:space="preserve">赎回总金额=10,000×1.2500=12,500.00 元 </w:t>
      </w:r>
    </w:p>
    <w:p w14:paraId="71335965">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14:paraId="647AD227">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14:paraId="0CF69CE9">
      <w:pPr>
        <w:pStyle w:val="7"/>
        <w:spacing w:before="0" w:beforeAutospacing="0" w:after="0" w:afterAutospacing="0" w:line="360" w:lineRule="auto"/>
        <w:ind w:firstLine="420"/>
        <w:rPr>
          <w:sz w:val="21"/>
          <w:szCs w:val="21"/>
        </w:rPr>
      </w:pPr>
      <w:r>
        <w:rPr>
          <w:rFonts w:hint="eastAsia"/>
          <w:sz w:val="21"/>
          <w:szCs w:val="21"/>
        </w:rPr>
        <w:t xml:space="preserve">即：投资者赎回本基金1万份基金份额，该笔份额持有时间满一个封闭期，假设赎回当日基金份额净值是1.2500元，则其可得到的赎回金额为12,500.00元。 </w:t>
      </w:r>
    </w:p>
    <w:p w14:paraId="7F02685C">
      <w:pPr>
        <w:pStyle w:val="7"/>
        <w:spacing w:before="0" w:beforeAutospacing="0" w:after="0" w:afterAutospacing="0" w:line="360" w:lineRule="auto"/>
        <w:ind w:firstLine="420"/>
        <w:rPr>
          <w:sz w:val="21"/>
          <w:szCs w:val="21"/>
        </w:rPr>
      </w:pPr>
      <w:r>
        <w:rPr>
          <w:rFonts w:hint="eastAsia"/>
          <w:sz w:val="21"/>
          <w:szCs w:val="21"/>
        </w:rPr>
        <w:t xml:space="preserve">3、本基金份额净值的计算，保留到小数点后4位，小数点后第5位四舍五入，由此产生的收益或损失由基金财产承担。在封闭期内，基金管理人应当至少每周在指定网站披露一次基金份额净值和基金份额累计净值。在开放期内，T日的基金份额净值和基金份额累计净值在当天收市后计算，并在T+1日内公告。遇特殊情况，经履行适当程序，可以适当延迟计算或公告。 </w:t>
      </w:r>
    </w:p>
    <w:p w14:paraId="1BB50654">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且在不对基金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 </w:t>
      </w:r>
    </w:p>
    <w:p w14:paraId="3FF90889">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14:paraId="1A0399F8">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5B17701B">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14143B21">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44DDC7AE">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428F4E58">
      <w:pPr>
        <w:pStyle w:val="7"/>
        <w:spacing w:before="0" w:beforeAutospacing="0" w:after="0" w:afterAutospacing="0" w:line="360" w:lineRule="auto"/>
        <w:ind w:firstLine="420"/>
        <w:rPr>
          <w:sz w:val="21"/>
          <w:szCs w:val="21"/>
        </w:rPr>
      </w:pPr>
      <w:r>
        <w:rPr>
          <w:rFonts w:hint="eastAsia"/>
          <w:sz w:val="21"/>
          <w:szCs w:val="21"/>
        </w:rPr>
        <w:t xml:space="preserve">九、拒绝或暂停申购的情形及处理 </w:t>
      </w:r>
    </w:p>
    <w:p w14:paraId="1C004F7E">
      <w:pPr>
        <w:pStyle w:val="7"/>
        <w:spacing w:before="0" w:beforeAutospacing="0" w:after="0" w:afterAutospacing="0" w:line="360" w:lineRule="auto"/>
        <w:ind w:firstLine="420"/>
        <w:rPr>
          <w:sz w:val="21"/>
          <w:szCs w:val="21"/>
        </w:rPr>
      </w:pPr>
      <w:r>
        <w:rPr>
          <w:rFonts w:hint="eastAsia"/>
          <w:sz w:val="21"/>
          <w:szCs w:val="21"/>
        </w:rPr>
        <w:t xml:space="preserve">在开放期内，发生下列情况时，基金管理人可拒绝或暂停接受投资人的申购申请： </w:t>
      </w:r>
    </w:p>
    <w:p w14:paraId="46DC8E48">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42972FE8">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48BBEA99">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6C9947D9">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14:paraId="28957C07">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5ED25E36">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7A53AA0D">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0A95DEC4">
      <w:pPr>
        <w:pStyle w:val="7"/>
        <w:spacing w:before="0" w:beforeAutospacing="0" w:after="0" w:afterAutospacing="0" w:line="360" w:lineRule="auto"/>
        <w:ind w:firstLine="420"/>
        <w:rPr>
          <w:sz w:val="21"/>
          <w:szCs w:val="21"/>
        </w:rPr>
      </w:pPr>
      <w:r>
        <w:rPr>
          <w:rFonts w:hint="eastAsia"/>
          <w:sz w:val="21"/>
          <w:szCs w:val="21"/>
        </w:rPr>
        <w:t xml:space="preserve">8、个人投资者公开申购。 </w:t>
      </w:r>
    </w:p>
    <w:p w14:paraId="25E16888">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08E3D87B">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进行公告。如果投资人的申购申请全部或部分被拒绝的，被拒绝的申购款项本金将退还给投资人。在暂停申购的情况消除时，基金管理人应及时恢复申购业务的办理，且开放期内按暂停申购的期间相应延长，具体时间以基金管理人届时公告为准。 </w:t>
      </w:r>
    </w:p>
    <w:p w14:paraId="0E3F5598">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14:paraId="1DFC3D11">
      <w:pPr>
        <w:pStyle w:val="7"/>
        <w:spacing w:before="0" w:beforeAutospacing="0" w:after="0" w:afterAutospacing="0" w:line="360" w:lineRule="auto"/>
        <w:ind w:firstLine="420"/>
        <w:rPr>
          <w:sz w:val="21"/>
          <w:szCs w:val="21"/>
        </w:rPr>
      </w:pPr>
      <w:r>
        <w:rPr>
          <w:rFonts w:hint="eastAsia"/>
          <w:sz w:val="21"/>
          <w:szCs w:val="21"/>
        </w:rPr>
        <w:t xml:space="preserve">在开放期内，发生下列情形时，基金管理人可暂停接受投资人的赎回申请或延缓支付赎回款项： </w:t>
      </w:r>
    </w:p>
    <w:p w14:paraId="313E05D8">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2708D9BF">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1C302317">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5B5938CF">
      <w:pPr>
        <w:pStyle w:val="7"/>
        <w:spacing w:before="0" w:beforeAutospacing="0" w:after="0" w:afterAutospacing="0" w:line="360" w:lineRule="auto"/>
        <w:ind w:firstLine="420"/>
        <w:rPr>
          <w:sz w:val="21"/>
          <w:szCs w:val="21"/>
        </w:rPr>
      </w:pPr>
      <w:r>
        <w:rPr>
          <w:rFonts w:hint="eastAsia"/>
          <w:sz w:val="21"/>
          <w:szCs w:val="21"/>
        </w:rPr>
        <w:t xml:space="preserve">4、发生继续接受赎回申请将损害现有基金份额持有人利益的情形。 </w:t>
      </w:r>
    </w:p>
    <w:p w14:paraId="6F9FE2B5">
      <w:pPr>
        <w:pStyle w:val="7"/>
        <w:spacing w:before="0" w:beforeAutospacing="0" w:after="0" w:afterAutospacing="0" w:line="360" w:lineRule="auto"/>
        <w:ind w:firstLine="420"/>
        <w:rPr>
          <w:sz w:val="21"/>
          <w:szCs w:val="21"/>
        </w:rPr>
      </w:pPr>
      <w:r>
        <w:rPr>
          <w:rFonts w:hint="eastAsia"/>
          <w:sz w:val="21"/>
          <w:szCs w:val="21"/>
        </w:rPr>
        <w:t xml:space="preserve">5、当特定资产占前一估值日基金资产净值50%以上的，经与基金托管人协商确认后，基金管理人应当延缓支付赎回款项或暂停接受基金赎回申请。 </w:t>
      </w:r>
    </w:p>
    <w:p w14:paraId="2A25F8EB">
      <w:pPr>
        <w:pStyle w:val="7"/>
        <w:spacing w:before="0" w:beforeAutospacing="0" w:after="0" w:afterAutospacing="0" w:line="360" w:lineRule="auto"/>
        <w:ind w:firstLine="420"/>
        <w:rPr>
          <w:sz w:val="21"/>
          <w:szCs w:val="21"/>
        </w:rPr>
      </w:pPr>
      <w:r>
        <w:rPr>
          <w:rFonts w:hint="eastAsia"/>
          <w:sz w:val="21"/>
          <w:szCs w:val="21"/>
        </w:rPr>
        <w:t xml:space="preserve">6、法律法规规定或中国证监会认定的其他情形。 </w:t>
      </w:r>
    </w:p>
    <w:p w14:paraId="21516A4F">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接受基金份额持有人的赎回申请或延缓支付赎回款项时，基金管理人应按规定报中国证监会备案，已确认的赎回申请，基金管理人应足额支付；如暂时不能足额支付，未支付部分可延期支付。在暂停赎回的情况消除时，基金管理人应及时恢复赎回业务的办理并公告，且开放期按暂停赎回的期间相应延长，具体时间以基金管理人届时公告为准。 </w:t>
      </w:r>
    </w:p>
    <w:p w14:paraId="2EB118FF">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5756A8C9">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59FD3046">
      <w:pPr>
        <w:pStyle w:val="7"/>
        <w:spacing w:before="0" w:beforeAutospacing="0" w:after="0" w:afterAutospacing="0" w:line="360" w:lineRule="auto"/>
        <w:ind w:firstLine="420"/>
        <w:rPr>
          <w:sz w:val="21"/>
          <w:szCs w:val="21"/>
        </w:rPr>
      </w:pPr>
      <w:r>
        <w:rPr>
          <w:rFonts w:hint="eastAsia"/>
          <w:sz w:val="21"/>
          <w:szCs w:val="21"/>
        </w:rPr>
        <w:t xml:space="preserve">若本基金开放期内单个开放日的基金份额净赎回申请(赎回申请份额总数加上基金转换中转出申请份额总数后扣除申购申请份额总数及基金转换中转入申请份额总数后的余额)超过前一工作日的基金总份额的20%，即认为是发生了巨额赎回。 </w:t>
      </w:r>
    </w:p>
    <w:p w14:paraId="218D5D5A">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13193E27">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当基金出现巨额赎回时，基金管理人可以根据基金当时的资产组合状况决定全额赎回、延缓支付赎回款项或延期办理。 </w:t>
      </w:r>
    </w:p>
    <w:p w14:paraId="62A0D7D9">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295D0DB2">
      <w:pPr>
        <w:pStyle w:val="7"/>
        <w:spacing w:before="0" w:beforeAutospacing="0" w:after="0" w:afterAutospacing="0" w:line="360" w:lineRule="auto"/>
        <w:ind w:firstLine="420"/>
        <w:rPr>
          <w:sz w:val="21"/>
          <w:szCs w:val="21"/>
        </w:rPr>
      </w:pPr>
      <w:r>
        <w:rPr>
          <w:rFonts w:hint="eastAsia"/>
          <w:sz w:val="21"/>
          <w:szCs w:val="21"/>
        </w:rPr>
        <w:t>（2）延缓支付赎回款项：开放期内，发生巨额赎回且不存在单一持有人赎回申请超过上一工作日基金总份额</w:t>
      </w:r>
      <w:bookmarkStart w:id="102" w:name="field_49_mintredeemscale_2"/>
      <w:r>
        <w:rPr>
          <w:sz w:val="21"/>
          <w:szCs w:val="21"/>
        </w:rPr>
        <w:t>20</w:t>
      </w:r>
      <w:bookmarkEnd w:id="102"/>
      <w:r>
        <w:rPr>
          <w:rFonts w:hint="eastAsia"/>
          <w:sz w:val="21"/>
          <w:szCs w:val="21"/>
        </w:rPr>
        <w:t>%的情况下，基金管理人可以根据第（1）项办理，亦可在对符合法律法规及基金合同约定的赎回申请全部接受和确认并当日按比例办理支付的赎回份额不得低于前一工作日基金总份额的</w:t>
      </w:r>
      <w:bookmarkStart w:id="103" w:name="field_49_mintredeemscale_3"/>
      <w:r>
        <w:rPr>
          <w:sz w:val="21"/>
          <w:szCs w:val="21"/>
        </w:rPr>
        <w:t>20</w:t>
      </w:r>
      <w:bookmarkEnd w:id="103"/>
      <w:r>
        <w:rPr>
          <w:rFonts w:hint="eastAsia"/>
          <w:sz w:val="21"/>
          <w:szCs w:val="21"/>
        </w:rPr>
        <w:t xml:space="preserve">%的基础上，可对其余赎回申请采取延缓支付赎回款项的措施。即对于已接受的赎回申请，如基金管理人认为全额支付投资人的赎回款项有困难或认为全额支付投资人的赎回款项可能会对基金的资产净值造成较大波动的，基金管理人可对赎回款项进行延缓支付，但不得超过20个工作日。延缓支付的赎回申请以赎回申请当日的基金份额净值为基础计算赎回金额。 </w:t>
      </w:r>
    </w:p>
    <w:p w14:paraId="067C9726">
      <w:pPr>
        <w:pStyle w:val="7"/>
        <w:spacing w:before="0" w:beforeAutospacing="0" w:after="0" w:afterAutospacing="0" w:line="360" w:lineRule="auto"/>
        <w:ind w:firstLine="420"/>
        <w:rPr>
          <w:sz w:val="21"/>
          <w:szCs w:val="21"/>
        </w:rPr>
      </w:pPr>
      <w:r>
        <w:rPr>
          <w:rFonts w:hint="eastAsia"/>
          <w:sz w:val="21"/>
          <w:szCs w:val="21"/>
        </w:rPr>
        <w:t>（3）延期办理：开放期内，如果发生巨额赎回且单一持有人赎回申请超过上一工作日基金总份额</w:t>
      </w:r>
      <w:bookmarkStart w:id="104" w:name="field_49_mintredeemscale_4"/>
      <w:r>
        <w:rPr>
          <w:sz w:val="21"/>
          <w:szCs w:val="21"/>
        </w:rPr>
        <w:t>20</w:t>
      </w:r>
      <w:bookmarkEnd w:id="104"/>
      <w:r>
        <w:rPr>
          <w:rFonts w:hint="eastAsia"/>
          <w:sz w:val="21"/>
          <w:szCs w:val="21"/>
        </w:rPr>
        <w:t xml:space="preserve">%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外延期办理的期限最长不可超过20个工作日，开放期外延期办理期间不办理申购亦不接受新的赎回申请。延期的赎回申请无优先权并以下一工作日的基金份额净值为基础计算赎回金额，以此类推。部分延期赎回不受单笔赎回最低份额的限制。延长期限的最后一个工作日，尚未办理完的赎回申请，基金管理人应按上述第（1）项规则办理。 </w:t>
      </w:r>
    </w:p>
    <w:p w14:paraId="156D29AB">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3F940025">
      <w:pPr>
        <w:pStyle w:val="7"/>
        <w:spacing w:before="0" w:beforeAutospacing="0" w:after="0" w:afterAutospacing="0" w:line="360" w:lineRule="auto"/>
        <w:ind w:firstLine="420"/>
        <w:rPr>
          <w:sz w:val="21"/>
          <w:szCs w:val="21"/>
        </w:rPr>
      </w:pPr>
      <w:r>
        <w:rPr>
          <w:rFonts w:hint="eastAsia"/>
          <w:sz w:val="21"/>
          <w:szCs w:val="21"/>
        </w:rPr>
        <w:t xml:space="preserve">当发生上述巨额赎回并延缓支付赎回款项或延期办理时，基金管理人应当通过邮寄、传真或者招募说明书规定的其他方式在3个交易日内通知基金份额持有人，说明有关处理方法，并于两日内依据相关规定进行公告。 </w:t>
      </w:r>
    </w:p>
    <w:p w14:paraId="0B93F292">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053D52AD">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387085A6">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2、如发生暂停的时间为1日，基金管理人应于重新开放日，在指定媒介上刊登基金重新开放申购或赎回公告，并公布最近1个工作日的基金份额净值。 </w:t>
      </w:r>
    </w:p>
    <w:p w14:paraId="4A2CEDA8">
      <w:pPr>
        <w:pStyle w:val="7"/>
        <w:spacing w:before="0" w:beforeAutospacing="0" w:after="0" w:afterAutospacing="0" w:line="360" w:lineRule="auto"/>
        <w:ind w:firstLine="420"/>
        <w:rPr>
          <w:sz w:val="21"/>
          <w:szCs w:val="21"/>
        </w:rPr>
      </w:pPr>
      <w:r>
        <w:rPr>
          <w:rFonts w:hint="eastAsia"/>
          <w:sz w:val="21"/>
          <w:szCs w:val="21"/>
        </w:rPr>
        <w:t xml:space="preserve">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14:paraId="37A0E7F1">
      <w:pPr>
        <w:pStyle w:val="7"/>
        <w:spacing w:before="0" w:beforeAutospacing="0" w:after="0" w:afterAutospacing="0" w:line="360" w:lineRule="auto"/>
        <w:ind w:firstLine="420"/>
        <w:rPr>
          <w:sz w:val="21"/>
          <w:szCs w:val="21"/>
        </w:rPr>
      </w:pPr>
      <w:r>
        <w:rPr>
          <w:rFonts w:hint="eastAsia"/>
          <w:sz w:val="21"/>
          <w:szCs w:val="21"/>
        </w:rPr>
        <w:t>4、以上暂停及恢复基金申购与赎回的公告规定，不适用于基金合同约定的封闭期与开</w:t>
      </w:r>
      <w:bookmarkStart w:id="105" w:name="chapter_level1_10_59_section_3_end"/>
      <w:bookmarkEnd w:id="105"/>
      <w:r>
        <w:rPr>
          <w:rFonts w:hint="eastAsia"/>
          <w:sz w:val="21"/>
          <w:szCs w:val="21"/>
        </w:rPr>
        <w:t xml:space="preserve">放期运作方式转换引起的暂停或恢复申购与赎回的情形。 </w:t>
      </w:r>
    </w:p>
    <w:p w14:paraId="7EB369E0">
      <w:pPr>
        <w:pStyle w:val="7"/>
        <w:spacing w:before="0" w:beforeAutospacing="0" w:after="0" w:afterAutospacing="0" w:line="360" w:lineRule="auto"/>
        <w:ind w:firstLine="420"/>
        <w:rPr>
          <w:sz w:val="21"/>
          <w:szCs w:val="21"/>
        </w:rPr>
      </w:pPr>
      <w:bookmarkStart w:id="106" w:name="chapter_level1_10_59_section_4"/>
      <w:bookmarkEnd w:id="106"/>
      <w:r>
        <w:rPr>
          <w:rStyle w:val="11"/>
          <w:rFonts w:hint="eastAsia"/>
          <w:sz w:val="21"/>
          <w:szCs w:val="21"/>
        </w:rPr>
        <w:t>十三、基金转换</w:t>
      </w:r>
    </w:p>
    <w:p w14:paraId="447667C5">
      <w:pPr>
        <w:pStyle w:val="7"/>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107" w:name="chapter_level1_10_59_section_4_end"/>
      <w:bookmarkEnd w:id="107"/>
      <w:r>
        <w:rPr>
          <w:rFonts w:hint="eastAsia"/>
          <w:sz w:val="21"/>
          <w:szCs w:val="21"/>
        </w:rPr>
        <w:t xml:space="preserve">届时根据相关法律法规及基金合同的规定制定并公告，并提前告知基金托管人与相关机构。 </w:t>
      </w:r>
    </w:p>
    <w:p w14:paraId="62C935B1">
      <w:pPr>
        <w:pStyle w:val="7"/>
        <w:spacing w:before="0" w:beforeAutospacing="0" w:after="0" w:afterAutospacing="0" w:line="360" w:lineRule="auto"/>
        <w:ind w:firstLine="420"/>
        <w:rPr>
          <w:sz w:val="21"/>
          <w:szCs w:val="21"/>
        </w:rPr>
      </w:pPr>
      <w:bookmarkStart w:id="108" w:name="chapter_level1_10_59_section_5"/>
      <w:bookmarkEnd w:id="108"/>
      <w:r>
        <w:rPr>
          <w:rStyle w:val="11"/>
          <w:rFonts w:hint="eastAsia"/>
          <w:sz w:val="21"/>
          <w:szCs w:val="21"/>
        </w:rPr>
        <w:t>十四、基金份额的转让</w:t>
      </w:r>
    </w:p>
    <w:p w14:paraId="645C0544">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346A403B">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3D45CCFC">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4598720F">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3D0D9F71">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42F7B32D">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9" w:name="chapter_level1_10_59_section_5_end"/>
      <w:bookmarkEnd w:id="109"/>
      <w:r>
        <w:rPr>
          <w:rFonts w:hint="eastAsia"/>
          <w:sz w:val="21"/>
          <w:szCs w:val="21"/>
        </w:rPr>
        <w:t xml:space="preserve">以按照规定的标准收取转托管费。 </w:t>
      </w:r>
    </w:p>
    <w:p w14:paraId="4FFD879F">
      <w:pPr>
        <w:pStyle w:val="7"/>
        <w:spacing w:before="0" w:beforeAutospacing="0" w:after="0" w:afterAutospacing="0" w:line="360" w:lineRule="auto"/>
        <w:ind w:firstLine="420"/>
        <w:rPr>
          <w:sz w:val="21"/>
          <w:szCs w:val="21"/>
        </w:rPr>
      </w:pPr>
      <w:bookmarkStart w:id="110" w:name="chapter_level1_10_59_section_6"/>
      <w:bookmarkEnd w:id="110"/>
      <w:r>
        <w:rPr>
          <w:rStyle w:val="11"/>
          <w:rFonts w:hint="eastAsia"/>
          <w:sz w:val="21"/>
          <w:szCs w:val="21"/>
        </w:rPr>
        <w:t>十七、定期定额投资计划</w:t>
      </w:r>
    </w:p>
    <w:p w14:paraId="625380F0">
      <w:pPr>
        <w:pStyle w:val="7"/>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基金管理人可以为投资人办理定期定额投资计划，具体规则由基金管理人另行规定。投资人在办理定期定额投资计划时可自行约定每期申购金额，每期申购金额必须不低于基金管</w:t>
      </w:r>
      <w:bookmarkStart w:id="111" w:name="chapter_level1_10_59_section_6_end"/>
      <w:bookmarkEnd w:id="111"/>
      <w:r>
        <w:rPr>
          <w:rFonts w:hint="eastAsia"/>
          <w:sz w:val="21"/>
          <w:szCs w:val="21"/>
        </w:rPr>
        <w:t xml:space="preserve">理人在相关公告或更新的招募说明书中所规定的定期定额投资计划最低申购金额。 </w:t>
      </w:r>
    </w:p>
    <w:p w14:paraId="231EA5C6">
      <w:pPr>
        <w:pStyle w:val="7"/>
        <w:spacing w:before="0" w:beforeAutospacing="0" w:after="0" w:afterAutospacing="0" w:line="360" w:lineRule="auto"/>
        <w:ind w:firstLine="420"/>
        <w:rPr>
          <w:sz w:val="21"/>
          <w:szCs w:val="21"/>
        </w:rPr>
      </w:pPr>
      <w:bookmarkStart w:id="112" w:name="chapter_level1_10_59_section_7"/>
      <w:bookmarkEnd w:id="112"/>
      <w:r>
        <w:rPr>
          <w:rStyle w:val="11"/>
          <w:rFonts w:hint="eastAsia"/>
          <w:sz w:val="21"/>
          <w:szCs w:val="21"/>
        </w:rPr>
        <w:t>十八、基金份额的冻结、解冻和质押</w:t>
      </w:r>
    </w:p>
    <w:p w14:paraId="6A0B7748">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9288DDF">
      <w:pPr>
        <w:pStyle w:val="7"/>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14:paraId="016B0596">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5FA7CAB1">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3" w:name="chapter_level1_10_59_section_7_end"/>
      <w:bookmarkEnd w:id="113"/>
      <w:r>
        <w:rPr>
          <w:rFonts w:hint="eastAsia"/>
          <w:sz w:val="21"/>
          <w:szCs w:val="21"/>
        </w:rPr>
        <w:t xml:space="preserve">或届时发布的相关公告。 </w:t>
      </w:r>
    </w:p>
    <w:p w14:paraId="3E95C812">
      <w:pPr>
        <w:widowControl/>
        <w:jc w:val="left"/>
        <w:rPr>
          <w:rFonts w:ascii="宋体" w:hAnsi="宋体" w:eastAsia="宋体"/>
        </w:rPr>
      </w:pPr>
      <w:r>
        <w:rPr>
          <w:rFonts w:ascii="宋体" w:hAnsi="宋体" w:eastAsia="宋体"/>
        </w:rPr>
        <w:br w:type="page"/>
      </w:r>
    </w:p>
    <w:p w14:paraId="33703636">
      <w:pPr>
        <w:pStyle w:val="2"/>
        <w:jc w:val="center"/>
        <w:rPr>
          <w:rFonts w:ascii="宋体" w:hAnsi="宋体" w:eastAsia="宋体"/>
          <w:sz w:val="30"/>
        </w:rPr>
      </w:pPr>
      <w:bookmarkStart w:id="114" w:name="_Toc208503991"/>
      <w:bookmarkStart w:id="115" w:name="chapter_level1_11_60"/>
      <w:r>
        <w:rPr>
          <w:rFonts w:hint="eastAsia" w:ascii="宋体" w:hAnsi="宋体" w:eastAsia="宋体"/>
          <w:sz w:val="30"/>
        </w:rPr>
        <w:t>第八部分  基金的投资</w:t>
      </w:r>
      <w:bookmarkEnd w:id="114"/>
      <w:bookmarkEnd w:id="115"/>
    </w:p>
    <w:p w14:paraId="1F8E7B74">
      <w:pPr>
        <w:pStyle w:val="7"/>
        <w:spacing w:before="0" w:beforeAutospacing="0" w:after="0" w:afterAutospacing="0" w:line="360" w:lineRule="auto"/>
        <w:ind w:firstLine="420"/>
        <w:rPr>
          <w:sz w:val="21"/>
          <w:szCs w:val="21"/>
        </w:rPr>
      </w:pPr>
      <w:bookmarkStart w:id="116" w:name="chapter_level1_11_60_section_1"/>
      <w:bookmarkEnd w:id="116"/>
      <w:r>
        <w:rPr>
          <w:rStyle w:val="11"/>
          <w:rFonts w:hint="eastAsia"/>
          <w:sz w:val="21"/>
          <w:szCs w:val="21"/>
        </w:rPr>
        <w:t>一、投资目标</w:t>
      </w:r>
    </w:p>
    <w:p w14:paraId="5C24D67D">
      <w:pPr>
        <w:pStyle w:val="7"/>
        <w:spacing w:before="0" w:beforeAutospacing="0" w:after="0" w:afterAutospacing="0" w:line="360" w:lineRule="auto"/>
        <w:ind w:firstLine="420"/>
        <w:rPr>
          <w:sz w:val="21"/>
          <w:szCs w:val="21"/>
        </w:rPr>
      </w:pPr>
      <w:bookmarkStart w:id="117" w:name="field_60_investmenttarget_1_start"/>
      <w:bookmarkEnd w:id="117"/>
      <w:r>
        <w:rPr>
          <w:rFonts w:hint="eastAsia"/>
          <w:sz w:val="21"/>
          <w:szCs w:val="21"/>
        </w:rPr>
        <w:t> 在有效控制投资组合风险的前提下，力争长期内实现超越业绩比较基准的投资回报。 </w:t>
      </w:r>
      <w:bookmarkStart w:id="118" w:name="field_60_investmenttarget_1_end"/>
      <w:bookmarkEnd w:id="118"/>
      <w:r>
        <w:rPr>
          <w:rFonts w:hint="eastAsia"/>
          <w:sz w:val="21"/>
          <w:szCs w:val="21"/>
        </w:rPr>
        <w:t xml:space="preserve">  </w:t>
      </w:r>
    </w:p>
    <w:p w14:paraId="3AA0017C">
      <w:pPr>
        <w:pStyle w:val="7"/>
        <w:spacing w:before="0" w:beforeAutospacing="0" w:after="0" w:afterAutospacing="0" w:line="360" w:lineRule="auto"/>
        <w:ind w:firstLine="420"/>
        <w:rPr>
          <w:sz w:val="21"/>
          <w:szCs w:val="21"/>
        </w:rPr>
      </w:pPr>
      <w:r>
        <w:rPr>
          <w:rStyle w:val="11"/>
          <w:rFonts w:hint="eastAsia"/>
          <w:sz w:val="21"/>
          <w:szCs w:val="21"/>
        </w:rPr>
        <w:t>二、投资范围</w:t>
      </w:r>
    </w:p>
    <w:p w14:paraId="614421C8">
      <w:pPr>
        <w:pStyle w:val="7"/>
        <w:spacing w:before="0" w:beforeAutospacing="0" w:after="0" w:afterAutospacing="0" w:line="360" w:lineRule="auto"/>
        <w:ind w:firstLine="420"/>
        <w:rPr>
          <w:sz w:val="21"/>
          <w:szCs w:val="21"/>
        </w:rPr>
      </w:pPr>
      <w:bookmarkStart w:id="119" w:name="field_60_investmentrange_1_start"/>
      <w:bookmarkEnd w:id="119"/>
      <w:r>
        <w:rPr>
          <w:rFonts w:hint="eastAsia"/>
          <w:sz w:val="21"/>
          <w:szCs w:val="21"/>
        </w:rPr>
        <w:t xml:space="preserve">本基金的投资范围主要为具有良好流动性的金融工具，包括债券（含国债、金融债、企业债、公司债、地方政府债、央行票据、中期票据、短期融资券、超短期融资券、公开发行的次级债）、资产支持证券、债券回购、同业存单、银行存款、国债期货等法律法规或中国证监会允许基金投资的其他金融工具（但须符合中国证监会的相关规定）。 </w:t>
      </w:r>
    </w:p>
    <w:p w14:paraId="2C4B0425">
      <w:pPr>
        <w:pStyle w:val="7"/>
        <w:spacing w:before="0" w:beforeAutospacing="0" w:after="0" w:afterAutospacing="0" w:line="360" w:lineRule="auto"/>
        <w:ind w:firstLine="420"/>
        <w:rPr>
          <w:sz w:val="21"/>
          <w:szCs w:val="21"/>
        </w:rPr>
      </w:pPr>
      <w:r>
        <w:rPr>
          <w:rFonts w:hint="eastAsia"/>
          <w:sz w:val="21"/>
          <w:szCs w:val="21"/>
        </w:rPr>
        <w:t xml:space="preserve">本基金不投资于股票等资产，也不投资于可转换债券、可交换债券。 </w:t>
      </w:r>
    </w:p>
    <w:p w14:paraId="49B5703A">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17E1E053">
      <w:pPr>
        <w:pStyle w:val="7"/>
        <w:spacing w:before="0" w:beforeAutospacing="0" w:after="0" w:afterAutospacing="0" w:line="360" w:lineRule="auto"/>
        <w:ind w:firstLine="420"/>
        <w:rPr>
          <w:sz w:val="21"/>
          <w:szCs w:val="21"/>
        </w:rPr>
      </w:pPr>
      <w:r>
        <w:rPr>
          <w:rFonts w:hint="eastAsia"/>
          <w:sz w:val="21"/>
          <w:szCs w:val="21"/>
        </w:rPr>
        <w:t xml:space="preserve">本基金投资于债券资产比例不低于基金资产的80%，但应开放期流动性需要，为保护基金份额持有人利益，在每次开放期开始前1个月、开放期及开放期结束后1个月的期间内，基金投资不受上述比例限制。开放期内，每个交易日日终在扣除国债期货合约需缴纳的交易保证金后，本基金持有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0D77FAEB">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20" w:name="field_60_investmentrange_1_end"/>
      <w:bookmarkEnd w:id="120"/>
      <w:r>
        <w:rPr>
          <w:rFonts w:hint="eastAsia"/>
          <w:sz w:val="21"/>
          <w:szCs w:val="21"/>
        </w:rPr>
        <w:t xml:space="preserve">  </w:t>
      </w:r>
    </w:p>
    <w:p w14:paraId="40B597C9">
      <w:pPr>
        <w:pStyle w:val="7"/>
        <w:spacing w:before="0" w:beforeAutospacing="0" w:after="0" w:afterAutospacing="0" w:line="360" w:lineRule="auto"/>
        <w:ind w:firstLine="420"/>
        <w:rPr>
          <w:sz w:val="21"/>
          <w:szCs w:val="21"/>
        </w:rPr>
      </w:pPr>
      <w:r>
        <w:rPr>
          <w:rStyle w:val="11"/>
          <w:rFonts w:hint="eastAsia"/>
          <w:sz w:val="21"/>
          <w:szCs w:val="21"/>
        </w:rPr>
        <w:t>三、投资策略</w:t>
      </w:r>
    </w:p>
    <w:p w14:paraId="6F058670">
      <w:pPr>
        <w:pStyle w:val="7"/>
        <w:spacing w:before="0" w:beforeAutospacing="0" w:after="0" w:afterAutospacing="0" w:line="360" w:lineRule="auto"/>
        <w:ind w:firstLine="420"/>
        <w:rPr>
          <w:sz w:val="21"/>
          <w:szCs w:val="21"/>
        </w:rPr>
      </w:pPr>
      <w:bookmarkStart w:id="121" w:name="field_60_investmentstrategy_1_start"/>
      <w:bookmarkEnd w:id="121"/>
      <w:r>
        <w:rPr>
          <w:rFonts w:hint="eastAsia"/>
          <w:sz w:val="21"/>
          <w:szCs w:val="21"/>
        </w:rPr>
        <w:t xml:space="preserve">（一）封闭期投资策略 </w:t>
      </w:r>
    </w:p>
    <w:p w14:paraId="45E96796">
      <w:pPr>
        <w:pStyle w:val="7"/>
        <w:spacing w:before="0" w:beforeAutospacing="0" w:after="0" w:afterAutospacing="0" w:line="360" w:lineRule="auto"/>
        <w:ind w:firstLine="420"/>
        <w:rPr>
          <w:sz w:val="21"/>
          <w:szCs w:val="21"/>
        </w:rPr>
      </w:pPr>
      <w:r>
        <w:rPr>
          <w:rFonts w:hint="eastAsia"/>
          <w:sz w:val="21"/>
          <w:szCs w:val="21"/>
        </w:rPr>
        <w:t xml:space="preserve">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个券挖掘策略等。在谨慎投资的前提下，力争获取高于业绩比较基准的投资收益。 </w:t>
      </w:r>
    </w:p>
    <w:p w14:paraId="11BA5351">
      <w:pPr>
        <w:pStyle w:val="7"/>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14:paraId="2845BB9F">
      <w:pPr>
        <w:pStyle w:val="7"/>
        <w:spacing w:before="0" w:beforeAutospacing="0" w:after="0" w:afterAutospacing="0" w:line="360" w:lineRule="auto"/>
        <w:ind w:firstLine="420"/>
        <w:rPr>
          <w:sz w:val="21"/>
          <w:szCs w:val="21"/>
        </w:rPr>
      </w:pPr>
      <w:r>
        <w:rPr>
          <w:rFonts w:hint="eastAsia"/>
          <w:sz w:val="21"/>
          <w:szCs w:val="21"/>
        </w:rPr>
        <w:t xml:space="preserve">灵活应用各种期限结构策略、信用策略、互换策略、息差策略、个券挖掘策略，在合理管理并控制组合风险的前提下，最大化组合收益。   </w:t>
      </w:r>
    </w:p>
    <w:p w14:paraId="603231CF">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1ED4D763">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55879EFB">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 </w:t>
      </w:r>
    </w:p>
    <w:p w14:paraId="72F7F345">
      <w:pPr>
        <w:pStyle w:val="7"/>
        <w:spacing w:before="0" w:beforeAutospacing="0" w:after="0" w:afterAutospacing="0" w:line="360" w:lineRule="auto"/>
        <w:ind w:firstLine="420"/>
        <w:rPr>
          <w:sz w:val="21"/>
          <w:szCs w:val="21"/>
        </w:rPr>
      </w:pPr>
      <w:r>
        <w:rPr>
          <w:rFonts w:hint="eastAsia"/>
          <w:sz w:val="21"/>
          <w:szCs w:val="21"/>
        </w:rPr>
        <w:t xml:space="preserve">3）杠铃策略是使投资组合中债券的久期集中在收益率曲线的两端，适用于收益率曲线两头下降较中间下降更多的蝶式变动； </w:t>
      </w:r>
    </w:p>
    <w:p w14:paraId="671C50CA">
      <w:pPr>
        <w:pStyle w:val="7"/>
        <w:spacing w:before="0" w:beforeAutospacing="0" w:after="0" w:afterAutospacing="0" w:line="360" w:lineRule="auto"/>
        <w:ind w:firstLine="420"/>
        <w:rPr>
          <w:sz w:val="21"/>
          <w:szCs w:val="21"/>
        </w:rPr>
      </w:pPr>
      <w:r>
        <w:rPr>
          <w:rFonts w:hint="eastAsia"/>
          <w:sz w:val="21"/>
          <w:szCs w:val="21"/>
        </w:rPr>
        <w:t xml:space="preserve">4）梯式策略是使投资组合中的债券久期均匀分布于收益率曲线，适用于收益率曲线水平移动。   </w:t>
      </w:r>
    </w:p>
    <w:p w14:paraId="1138917C">
      <w:pPr>
        <w:pStyle w:val="7"/>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本基金分别采用以下的分析策略：   </w:t>
      </w:r>
    </w:p>
    <w:p w14:paraId="79A579C9">
      <w:pPr>
        <w:pStyle w:val="7"/>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2E40D82C">
      <w:pPr>
        <w:pStyle w:val="7"/>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本基金将采用变化后债券信用级别所对应的信用利差曲线对公司债、企业债定价。影响信用债信用风险的因素分为行业风险、公司风险、现金流风险、资产负债风险和其他风险等五个方面。本基金主要依靠内部评级系统分析信用债的相对信用水平、违约风险及理论信用利差。 </w:t>
      </w:r>
    </w:p>
    <w:p w14:paraId="3249DC0A">
      <w:pPr>
        <w:pStyle w:val="7"/>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3、互换策略。不同券种在利息、违约风险、久期、流动性、税收和衍生条款等方面存在差别，基金管理人可以同时买入和卖出具有相近特性的两个或两个以上券种，赚取收益级差。互换策略分为两种：   </w:t>
      </w:r>
    </w:p>
    <w:p w14:paraId="7C6B2FDC">
      <w:pPr>
        <w:pStyle w:val="7"/>
        <w:spacing w:before="0" w:beforeAutospacing="0" w:after="0" w:afterAutospacing="0" w:line="360" w:lineRule="auto"/>
        <w:ind w:firstLine="420"/>
        <w:rPr>
          <w:sz w:val="21"/>
          <w:szCs w:val="21"/>
        </w:rPr>
      </w:pPr>
      <w:r>
        <w:rPr>
          <w:rFonts w:hint="eastAsia"/>
          <w:sz w:val="21"/>
          <w:szCs w:val="21"/>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0863C0D6">
      <w:pPr>
        <w:pStyle w:val="7"/>
        <w:spacing w:before="0" w:beforeAutospacing="0" w:after="0" w:afterAutospacing="0" w:line="360" w:lineRule="auto"/>
        <w:ind w:firstLine="420"/>
        <w:rPr>
          <w:sz w:val="21"/>
          <w:szCs w:val="21"/>
        </w:rPr>
      </w:pPr>
      <w:r>
        <w:rPr>
          <w:rFonts w:hint="eastAsia"/>
          <w:sz w:val="21"/>
          <w:szCs w:val="21"/>
        </w:rPr>
        <w:t xml:space="preserve">2）市场间利差互换。一般在公司信用债和国家信用债之间进行。如果预期信用利差扩大，则用国家信用债替换公司信用债；如果预期信用利差缩小，则用公司信用债替换国家信用债。   </w:t>
      </w:r>
    </w:p>
    <w:p w14:paraId="5831D639">
      <w:pPr>
        <w:pStyle w:val="7"/>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14:paraId="2DF446C9">
      <w:pPr>
        <w:pStyle w:val="7"/>
        <w:spacing w:before="0" w:beforeAutospacing="0" w:after="0" w:afterAutospacing="0" w:line="360" w:lineRule="auto"/>
        <w:ind w:firstLine="420"/>
        <w:rPr>
          <w:sz w:val="21"/>
          <w:szCs w:val="21"/>
        </w:rPr>
      </w:pPr>
      <w:r>
        <w:rPr>
          <w:rFonts w:hint="eastAsia"/>
          <w:sz w:val="21"/>
          <w:szCs w:val="21"/>
        </w:rPr>
        <w:t xml:space="preserve">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14:paraId="0E6C3A8D">
      <w:pPr>
        <w:pStyle w:val="7"/>
        <w:spacing w:before="0" w:beforeAutospacing="0" w:after="0" w:afterAutospacing="0" w:line="360" w:lineRule="auto"/>
        <w:ind w:firstLine="420"/>
        <w:rPr>
          <w:sz w:val="21"/>
          <w:szCs w:val="21"/>
        </w:rPr>
      </w:pPr>
      <w:r>
        <w:rPr>
          <w:rFonts w:hint="eastAsia"/>
          <w:sz w:val="21"/>
          <w:szCs w:val="21"/>
        </w:rPr>
        <w:t xml:space="preserve">6、国债期货投资策略 </w:t>
      </w:r>
    </w:p>
    <w:p w14:paraId="1DCCA7BD">
      <w:pPr>
        <w:pStyle w:val="7"/>
        <w:spacing w:before="0" w:beforeAutospacing="0" w:after="0" w:afterAutospacing="0" w:line="360" w:lineRule="auto"/>
        <w:ind w:firstLine="420"/>
        <w:rPr>
          <w:sz w:val="21"/>
          <w:szCs w:val="21"/>
        </w:rPr>
      </w:pPr>
      <w:r>
        <w:rPr>
          <w:rFonts w:hint="eastAsia"/>
          <w:sz w:val="21"/>
          <w:szCs w:val="21"/>
        </w:rPr>
        <w:t xml:space="preserve">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通过多头或空头套期保值等策略进行套期保值操作。基金管理人将充分考虑国债期货的收益性、流动性及风险性特征，运用国债期货对冲系统性风险、对冲特殊情况下的流动性风险，如大额申购赎回等；利用金融衍生品的杠杆作用，以达到降低投资组合的整体风险的目的。 </w:t>
      </w:r>
    </w:p>
    <w:p w14:paraId="72A3C30D">
      <w:pPr>
        <w:pStyle w:val="7"/>
        <w:spacing w:before="0" w:beforeAutospacing="0" w:after="0" w:afterAutospacing="0" w:line="360" w:lineRule="auto"/>
        <w:ind w:firstLine="420"/>
        <w:rPr>
          <w:sz w:val="21"/>
          <w:szCs w:val="21"/>
        </w:rPr>
      </w:pPr>
      <w:r>
        <w:rPr>
          <w:rFonts w:hint="eastAsia"/>
          <w:sz w:val="21"/>
          <w:szCs w:val="21"/>
        </w:rPr>
        <w:t xml:space="preserve">7、资产支持证券投资策略。 </w:t>
      </w:r>
    </w:p>
    <w:p w14:paraId="7FDE9732">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5E1F26E4">
      <w:pPr>
        <w:pStyle w:val="7"/>
        <w:spacing w:before="0" w:beforeAutospacing="0" w:after="0" w:afterAutospacing="0" w:line="360" w:lineRule="auto"/>
        <w:ind w:firstLine="420"/>
        <w:rPr>
          <w:sz w:val="21"/>
          <w:szCs w:val="21"/>
        </w:rPr>
      </w:pPr>
      <w:r>
        <w:rPr>
          <w:rFonts w:hint="eastAsia"/>
          <w:sz w:val="21"/>
          <w:szCs w:val="21"/>
        </w:rPr>
        <w:t xml:space="preserve">（二）开放期投资策略 </w:t>
      </w:r>
    </w:p>
    <w:p w14:paraId="713F2E0E">
      <w:pPr>
        <w:pStyle w:val="7"/>
        <w:spacing w:before="0" w:beforeAutospacing="0" w:after="0" w:afterAutospacing="0" w:line="360" w:lineRule="auto"/>
        <w:ind w:firstLine="420"/>
        <w:rPr>
          <w:sz w:val="21"/>
          <w:szCs w:val="21"/>
        </w:rPr>
      </w:pPr>
      <w:r>
        <w:rPr>
          <w:rFonts w:hint="eastAsia"/>
          <w:sz w:val="21"/>
          <w:szCs w:val="21"/>
        </w:rPr>
        <w:t>开放期内，本基金为保持较高的组合流动性，方便投资人安排投资，在遵守本基金有关</w:t>
      </w:r>
      <w:bookmarkStart w:id="122" w:name="chapter_level1_11_60_section_1_end"/>
      <w:bookmarkEnd w:id="122"/>
      <w:r>
        <w:rPr>
          <w:rFonts w:hint="eastAsia"/>
          <w:sz w:val="21"/>
          <w:szCs w:val="21"/>
        </w:rPr>
        <w:t xml:space="preserve">投资限制与投资比例的前提下，将主要投资于高流动性的投资品种。 </w:t>
      </w:r>
      <w:bookmarkStart w:id="123" w:name="field_60_investmentstrategy_1_end"/>
      <w:bookmarkEnd w:id="123"/>
      <w:r>
        <w:rPr>
          <w:rFonts w:hint="eastAsia"/>
          <w:sz w:val="21"/>
          <w:szCs w:val="21"/>
        </w:rPr>
        <w:t xml:space="preserve">  </w:t>
      </w:r>
    </w:p>
    <w:p w14:paraId="6D491C40">
      <w:pPr>
        <w:pStyle w:val="7"/>
        <w:spacing w:before="0" w:beforeAutospacing="0" w:after="0" w:afterAutospacing="0" w:line="360" w:lineRule="auto"/>
        <w:ind w:firstLine="420"/>
        <w:rPr>
          <w:sz w:val="21"/>
          <w:szCs w:val="21"/>
        </w:rPr>
      </w:pPr>
      <w:bookmarkStart w:id="124" w:name="chapter_level1_11_60_section_2"/>
      <w:bookmarkEnd w:id="124"/>
      <w:r>
        <w:rPr>
          <w:rStyle w:val="11"/>
          <w:rFonts w:hint="eastAsia"/>
          <w:sz w:val="21"/>
          <w:szCs w:val="21"/>
        </w:rPr>
        <w:t>四、投资决策流程</w:t>
      </w:r>
    </w:p>
    <w:p w14:paraId="155A73CC">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1DBC364B">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121AECB3">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7735821C">
      <w:pPr>
        <w:pStyle w:val="7"/>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32F7CCA0">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5FB14DEA">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0BEBD2DF">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14:paraId="01CD5C1C">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27316EBC">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192457F3">
      <w:pPr>
        <w:pStyle w:val="7"/>
        <w:spacing w:before="0" w:beforeAutospacing="0" w:after="0" w:afterAutospacing="0" w:line="360" w:lineRule="auto"/>
        <w:ind w:firstLine="420"/>
        <w:rPr>
          <w:sz w:val="21"/>
          <w:szCs w:val="21"/>
        </w:rPr>
      </w:pPr>
      <w:r>
        <w:rPr>
          <w:rStyle w:val="11"/>
          <w:rFonts w:hint="eastAsia"/>
          <w:sz w:val="21"/>
          <w:szCs w:val="21"/>
        </w:rPr>
        <w:t>五、投资限制</w:t>
      </w:r>
    </w:p>
    <w:p w14:paraId="515D8C13">
      <w:pPr>
        <w:pStyle w:val="7"/>
        <w:spacing w:before="0" w:beforeAutospacing="0" w:after="0" w:afterAutospacing="0" w:line="360" w:lineRule="auto"/>
        <w:ind w:firstLine="420"/>
        <w:rPr>
          <w:sz w:val="21"/>
          <w:szCs w:val="21"/>
        </w:rPr>
      </w:pPr>
      <w:r>
        <w:rPr>
          <w:rFonts w:hint="eastAsia"/>
          <w:sz w:val="21"/>
          <w:szCs w:val="21"/>
        </w:rPr>
        <w:t xml:space="preserve">1、组合限制 </w:t>
      </w:r>
    </w:p>
    <w:p w14:paraId="0AF4BFF4">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157CB9AF">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（1）本基金投资于债券资产比例不低于基金资产的80%，但应开放期流动性需要，为保护基金份额持有人利益，在每次开放期开始前1个月、开放期及开放期结束后1个月的期间内，基金投资不受上述比例限制； </w:t>
      </w:r>
    </w:p>
    <w:p w14:paraId="37CB0334">
      <w:pPr>
        <w:pStyle w:val="7"/>
        <w:spacing w:before="0" w:beforeAutospacing="0" w:after="0" w:afterAutospacing="0" w:line="360" w:lineRule="auto"/>
        <w:ind w:firstLine="420"/>
        <w:rPr>
          <w:sz w:val="21"/>
          <w:szCs w:val="21"/>
        </w:rPr>
      </w:pPr>
      <w:r>
        <w:rPr>
          <w:rFonts w:hint="eastAsia"/>
          <w:sz w:val="21"/>
          <w:szCs w:val="21"/>
        </w:rPr>
        <w:t xml:space="preserve">（2）开放期内，每个交易日日终在扣除国债期货合约需缴纳的交易保证金后，本基金持有现金或者到期日在一年以内的政府债券投资比例合计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7C41B7CC">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6122943A">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21CCA2C1">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45C694FD">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693E888C">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36DD4E87">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7A070295">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098DC427">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1E5F682F">
      <w:pPr>
        <w:pStyle w:val="7"/>
        <w:spacing w:before="0" w:beforeAutospacing="0" w:after="0" w:afterAutospacing="0" w:line="360" w:lineRule="auto"/>
        <w:ind w:firstLine="420"/>
        <w:rPr>
          <w:sz w:val="21"/>
          <w:szCs w:val="21"/>
        </w:rPr>
      </w:pPr>
      <w:r>
        <w:rPr>
          <w:rFonts w:hint="eastAsia"/>
          <w:sz w:val="21"/>
          <w:szCs w:val="21"/>
        </w:rPr>
        <w:t xml:space="preserve">（11）本基金若参与国债期货交易，需遵守下列投资比例限制： </w:t>
      </w:r>
    </w:p>
    <w:p w14:paraId="538161ED">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14:paraId="55A9A3E0">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14:paraId="07CC34FB">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14:paraId="56B7BB19">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14:paraId="32DB315E">
      <w:pPr>
        <w:pStyle w:val="7"/>
        <w:spacing w:before="0" w:beforeAutospacing="0" w:after="0" w:afterAutospacing="0" w:line="360" w:lineRule="auto"/>
        <w:ind w:firstLine="420"/>
        <w:rPr>
          <w:sz w:val="21"/>
          <w:szCs w:val="21"/>
        </w:rPr>
      </w:pPr>
      <w:r>
        <w:rPr>
          <w:rFonts w:hint="eastAsia"/>
          <w:sz w:val="21"/>
          <w:szCs w:val="21"/>
        </w:rPr>
        <w:t xml:space="preserve">（12）开放期内，本基金资产总值不得超过基金资产净值的140%；封闭期内，本基金资产总值不得超过基金资产净值的200%； </w:t>
      </w:r>
    </w:p>
    <w:p w14:paraId="6F6AC23B">
      <w:pPr>
        <w:pStyle w:val="7"/>
        <w:spacing w:before="0" w:beforeAutospacing="0" w:after="0" w:afterAutospacing="0" w:line="360" w:lineRule="auto"/>
        <w:ind w:firstLine="420"/>
        <w:rPr>
          <w:sz w:val="21"/>
          <w:szCs w:val="21"/>
        </w:rPr>
      </w:pPr>
      <w:r>
        <w:rPr>
          <w:rFonts w:hint="eastAsia"/>
          <w:sz w:val="21"/>
          <w:szCs w:val="21"/>
        </w:rPr>
        <w:t xml:space="preserve">（13）开放期内，本基金主动投资于流动性受限资产的市值合计不得超过基金资产净值的15%；封闭期内不受此限； </w:t>
      </w:r>
    </w:p>
    <w:p w14:paraId="2C754CC0">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3F2D8911">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1F1CCC1C">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14:paraId="42069A72">
      <w:pPr>
        <w:pStyle w:val="7"/>
        <w:spacing w:before="0" w:beforeAutospacing="0" w:after="0" w:afterAutospacing="0" w:line="360" w:lineRule="auto"/>
        <w:ind w:firstLine="420"/>
        <w:rPr>
          <w:sz w:val="21"/>
          <w:szCs w:val="21"/>
        </w:rPr>
      </w:pPr>
      <w:r>
        <w:rPr>
          <w:rFonts w:hint="eastAsia"/>
          <w:sz w:val="21"/>
          <w:szCs w:val="21"/>
        </w:rPr>
        <w:t xml:space="preserve">除上述第（2）、（10）、（13）、（14）条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7DCC6424">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23DE0B2F">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25E57D5E">
      <w:pPr>
        <w:pStyle w:val="7"/>
        <w:spacing w:before="0" w:beforeAutospacing="0" w:after="0" w:afterAutospacing="0" w:line="360" w:lineRule="auto"/>
        <w:ind w:firstLine="420"/>
        <w:rPr>
          <w:sz w:val="21"/>
          <w:szCs w:val="21"/>
        </w:rPr>
      </w:pPr>
      <w:r>
        <w:rPr>
          <w:rFonts w:hint="eastAsia"/>
          <w:sz w:val="21"/>
          <w:szCs w:val="21"/>
        </w:rPr>
        <w:t xml:space="preserve">2、禁止行为 </w:t>
      </w:r>
    </w:p>
    <w:p w14:paraId="0FF20B8C">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368E884F">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CCEDD84">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54D03523">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A4769AA">
      <w:pPr>
        <w:pStyle w:val="7"/>
        <w:spacing w:before="0" w:beforeAutospacing="0" w:after="0" w:afterAutospacing="0" w:line="360" w:lineRule="auto"/>
        <w:ind w:firstLine="420"/>
        <w:rPr>
          <w:sz w:val="21"/>
          <w:szCs w:val="21"/>
        </w:rPr>
      </w:pPr>
      <w:r>
        <w:rPr>
          <w:rFonts w:hint="eastAsia"/>
          <w:sz w:val="21"/>
          <w:szCs w:val="21"/>
        </w:rPr>
        <w:t xml:space="preserve">（4）向基金管理人、基金托管人出资； </w:t>
      </w:r>
    </w:p>
    <w:p w14:paraId="718EBB51">
      <w:pPr>
        <w:pStyle w:val="7"/>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14:paraId="174200FE">
      <w:pPr>
        <w:pStyle w:val="7"/>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14:paraId="081442B8">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D512C94">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3A3741DA">
      <w:pPr>
        <w:pStyle w:val="7"/>
        <w:spacing w:before="0" w:beforeAutospacing="0" w:after="0" w:afterAutospacing="0" w:line="360" w:lineRule="auto"/>
        <w:ind w:firstLine="420"/>
        <w:rPr>
          <w:sz w:val="21"/>
          <w:szCs w:val="21"/>
        </w:rPr>
      </w:pPr>
      <w:r>
        <w:rPr>
          <w:rStyle w:val="11"/>
          <w:rFonts w:hint="eastAsia"/>
          <w:sz w:val="21"/>
          <w:szCs w:val="21"/>
        </w:rPr>
        <w:t>六、业绩比较基准</w:t>
      </w:r>
    </w:p>
    <w:p w14:paraId="4165F385">
      <w:pPr>
        <w:pStyle w:val="7"/>
        <w:spacing w:before="0" w:beforeAutospacing="0" w:after="0" w:afterAutospacing="0" w:line="360" w:lineRule="auto"/>
        <w:ind w:firstLine="420"/>
        <w:rPr>
          <w:sz w:val="21"/>
          <w:szCs w:val="21"/>
        </w:rPr>
      </w:pPr>
      <w:bookmarkStart w:id="125" w:name="chapter_level1_11_60_section_2_end"/>
      <w:bookmarkEnd w:id="125"/>
      <w:bookmarkStart w:id="126" w:name="chapter_level1_11_60_section_3"/>
      <w:bookmarkEnd w:id="126"/>
      <w:r>
        <w:rPr>
          <w:rFonts w:hint="eastAsia"/>
          <w:sz w:val="21"/>
          <w:szCs w:val="21"/>
        </w:rPr>
        <w:t>本基金的业绩比较基准为：</w:t>
      </w:r>
      <w:bookmarkStart w:id="127" w:name="field_60_benchmark_1_start"/>
      <w:bookmarkEnd w:id="127"/>
      <w:r>
        <w:rPr>
          <w:rFonts w:hint="eastAsia"/>
          <w:sz w:val="21"/>
          <w:szCs w:val="21"/>
        </w:rPr>
        <w:t> 中债综合财富（总值）指数收益率×90%+1年期定期存款利率（税后）×10%</w:t>
      </w:r>
      <w:bookmarkStart w:id="128" w:name="field_60_benchmark_1_end"/>
      <w:bookmarkEnd w:id="128"/>
      <w:r>
        <w:rPr>
          <w:rFonts w:hint="eastAsia"/>
          <w:sz w:val="21"/>
          <w:szCs w:val="21"/>
        </w:rPr>
        <w:t xml:space="preserve">  </w:t>
      </w:r>
    </w:p>
    <w:p w14:paraId="5F904AD7">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财富（总值）指数由中央国债登记结算有限责任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的80%（开放期开始前1个月、开放期及开放期结束后1个月的期间内除外），持有现金或者到期日在一年以内的政府债券不低于基金资产净值的5%（封闭期内除外），采用90%作为业绩比较基准中债券投资所代表的权重，10%作为业绩比较基准中现金资产投资所代表的权重可以较好的反映本基金的风险收益特征。 </w:t>
      </w:r>
    </w:p>
    <w:p w14:paraId="55723598">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29" w:name="chapter_level1_11_60_section_3_end"/>
      <w:bookmarkEnd w:id="129"/>
      <w:r>
        <w:rPr>
          <w:rFonts w:hint="eastAsia"/>
          <w:sz w:val="21"/>
          <w:szCs w:val="21"/>
        </w:rPr>
        <w:t xml:space="preserve">当调整业绩比较基准并及时公告，而无需召开基金份额持有人大会。 </w:t>
      </w:r>
    </w:p>
    <w:p w14:paraId="2223FE00">
      <w:pPr>
        <w:pStyle w:val="7"/>
        <w:spacing w:before="0" w:beforeAutospacing="0" w:after="0" w:afterAutospacing="0" w:line="360" w:lineRule="auto"/>
        <w:ind w:firstLine="420"/>
        <w:rPr>
          <w:sz w:val="21"/>
          <w:szCs w:val="21"/>
        </w:rPr>
      </w:pPr>
      <w:bookmarkStart w:id="130" w:name="chapter_level1_11_60_section_4"/>
      <w:bookmarkEnd w:id="130"/>
      <w:r>
        <w:rPr>
          <w:rStyle w:val="11"/>
          <w:rFonts w:hint="eastAsia"/>
          <w:sz w:val="21"/>
          <w:szCs w:val="21"/>
        </w:rPr>
        <w:t>七、风险收益特征</w:t>
      </w:r>
    </w:p>
    <w:p w14:paraId="2D9BDBF7">
      <w:pPr>
        <w:pStyle w:val="7"/>
        <w:spacing w:before="0" w:beforeAutospacing="0" w:after="0" w:afterAutospacing="0" w:line="360" w:lineRule="auto"/>
        <w:ind w:firstLine="420"/>
        <w:rPr>
          <w:sz w:val="21"/>
          <w:szCs w:val="21"/>
        </w:rPr>
      </w:pPr>
      <w:bookmarkStart w:id="131" w:name="field_60_riskyield_1_start"/>
      <w:bookmarkEnd w:id="131"/>
      <w:r>
        <w:rPr>
          <w:rFonts w:hint="eastAsia"/>
          <w:sz w:val="21"/>
          <w:szCs w:val="21"/>
        </w:rPr>
        <w:t>  本基金为债券型基金，预期收益和预期风险高于货币市场基金，但低于混合型基金、股票型基金，属于中低风险/收益的产品。</w:t>
      </w:r>
      <w:bookmarkStart w:id="132" w:name="field_60_riskyield_1_end"/>
      <w:bookmarkEnd w:id="132"/>
      <w:r>
        <w:rPr>
          <w:rFonts w:hint="eastAsia"/>
          <w:sz w:val="21"/>
          <w:szCs w:val="21"/>
        </w:rPr>
        <w:t xml:space="preserve">  </w:t>
      </w:r>
    </w:p>
    <w:p w14:paraId="09EA1273">
      <w:pPr>
        <w:pStyle w:val="7"/>
        <w:spacing w:before="0" w:beforeAutospacing="0" w:after="0" w:afterAutospacing="0" w:line="360" w:lineRule="auto"/>
        <w:ind w:firstLine="420"/>
        <w:rPr>
          <w:sz w:val="21"/>
          <w:szCs w:val="21"/>
        </w:rPr>
      </w:pPr>
      <w:r>
        <w:rPr>
          <w:rFonts w:hint="eastAsia"/>
          <w:sz w:val="21"/>
          <w:szCs w:val="21"/>
        </w:rPr>
        <w:t xml:space="preserve">八、基金管理人代表基金行使相关权利的处理原则及方法 </w:t>
      </w:r>
    </w:p>
    <w:p w14:paraId="07C5B5C9">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10727B59">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14:paraId="1E5EAA35">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14:paraId="67B5B03F">
      <w:pPr>
        <w:pStyle w:val="7"/>
        <w:spacing w:before="0" w:beforeAutospacing="0" w:after="0" w:afterAutospacing="0" w:line="360" w:lineRule="auto"/>
        <w:ind w:firstLine="420"/>
        <w:rPr>
          <w:sz w:val="21"/>
          <w:szCs w:val="21"/>
        </w:rPr>
      </w:pPr>
      <w:r>
        <w:rPr>
          <w:rStyle w:val="11"/>
          <w:rFonts w:hint="eastAsia"/>
          <w:sz w:val="21"/>
          <w:szCs w:val="21"/>
        </w:rPr>
        <w:t>九、侧袋机制的实施和投资运作安排</w:t>
      </w:r>
    </w:p>
    <w:p w14:paraId="38B7EB5C">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1D42F5D">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7659F60F">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33" w:name="chapter_level1_11_60_section_4_end"/>
      <w:bookmarkEnd w:id="133"/>
      <w:r>
        <w:rPr>
          <w:rFonts w:hint="eastAsia"/>
          <w:sz w:val="21"/>
          <w:szCs w:val="21"/>
        </w:rPr>
        <w:t xml:space="preserve">对投资者权益有重大影响的事项详见本招募说明书“侧袋机制”章节的规定。 </w:t>
      </w:r>
    </w:p>
    <w:p w14:paraId="06A0D0C0">
      <w:pPr>
        <w:pStyle w:val="7"/>
        <w:spacing w:before="0" w:beforeAutospacing="0" w:after="0" w:afterAutospacing="0" w:line="360" w:lineRule="auto"/>
        <w:ind w:firstLine="420"/>
        <w:rPr>
          <w:sz w:val="21"/>
          <w:szCs w:val="21"/>
        </w:rPr>
      </w:pPr>
      <w:bookmarkStart w:id="134" w:name="chapter_level1_11_60_section_5"/>
      <w:bookmarkEnd w:id="134"/>
      <w:bookmarkStart w:id="135" w:name="chapter_level1_11_60_section_5_end"/>
      <w:bookmarkEnd w:id="135"/>
      <w:r>
        <w:rPr>
          <w:rStyle w:val="11"/>
          <w:rFonts w:hint="eastAsia"/>
          <w:sz w:val="21"/>
          <w:szCs w:val="21"/>
        </w:rPr>
        <w:t>十、基金投资组合报告</w:t>
      </w:r>
    </w:p>
    <w:p w14:paraId="59CAC8A8">
      <w:pPr>
        <w:pStyle w:val="7"/>
        <w:spacing w:before="0" w:beforeAutospacing="0" w:after="0" w:afterAutospacing="0" w:line="360" w:lineRule="auto"/>
        <w:ind w:firstLine="420"/>
        <w:rPr>
          <w:sz w:val="21"/>
          <w:szCs w:val="21"/>
        </w:rPr>
      </w:pPr>
      <w:bookmarkStart w:id="136" w:name="chapter_level1_11_60_section_6"/>
      <w:bookmarkEnd w:id="136"/>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556018D4">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22D36220">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7" w:name="field_2343_financeendday_2"/>
      <w:r>
        <w:rPr>
          <w:sz w:val="21"/>
          <w:szCs w:val="21"/>
        </w:rPr>
        <w:t>2025年6月30日</w:t>
      </w:r>
      <w:bookmarkEnd w:id="137"/>
      <w:r>
        <w:rPr>
          <w:rFonts w:hint="eastAsia"/>
          <w:sz w:val="21"/>
          <w:szCs w:val="21"/>
        </w:rPr>
        <w:t xml:space="preserve">，本报告中所列财务数据未经审计。 </w:t>
      </w:r>
    </w:p>
    <w:p w14:paraId="2020B747">
      <w:pPr>
        <w:pStyle w:val="7"/>
        <w:spacing w:before="0" w:beforeAutospacing="0" w:after="0" w:afterAutospacing="0" w:line="360" w:lineRule="auto"/>
        <w:ind w:firstLine="420"/>
        <w:rPr>
          <w:sz w:val="21"/>
          <w:szCs w:val="21"/>
        </w:rPr>
      </w:pPr>
      <w:bookmarkStart w:id="138" w:name="field_0_fundportfolio_1_start"/>
      <w:bookmarkEnd w:id="138"/>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0D7F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E0D8D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ED61842">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5F35FB62">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1075A976">
            <w:pPr>
              <w:jc w:val="center"/>
              <w:rPr>
                <w:rFonts w:ascii="宋体" w:hAnsi="宋体" w:eastAsia="宋体" w:cs="宋体"/>
                <w:sz w:val="24"/>
                <w:szCs w:val="24"/>
              </w:rPr>
            </w:pPr>
            <w:r>
              <w:rPr>
                <w:rFonts w:hint="eastAsia" w:ascii="宋体" w:hAnsi="宋体" w:eastAsia="宋体"/>
              </w:rPr>
              <w:t>占基金总资产的比例(%)</w:t>
            </w:r>
          </w:p>
        </w:tc>
      </w:tr>
      <w:tr w14:paraId="0650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98D68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461336B">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5701502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104740">
            <w:pPr>
              <w:jc w:val="right"/>
              <w:rPr>
                <w:rFonts w:ascii="宋体" w:hAnsi="宋体" w:eastAsia="宋体" w:cs="宋体"/>
                <w:sz w:val="24"/>
                <w:szCs w:val="24"/>
              </w:rPr>
            </w:pPr>
            <w:r>
              <w:rPr>
                <w:rFonts w:hint="eastAsia" w:ascii="宋体" w:hAnsi="宋体" w:eastAsia="宋体"/>
              </w:rPr>
              <w:t>-</w:t>
            </w:r>
          </w:p>
        </w:tc>
      </w:tr>
      <w:tr w14:paraId="2DD8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CAEE24">
            <w:pPr>
              <w:jc w:val="center"/>
              <w:rPr>
                <w:rFonts w:ascii="宋体" w:hAnsi="宋体" w:eastAsia="宋体" w:cs="宋体"/>
                <w:sz w:val="24"/>
                <w:szCs w:val="24"/>
              </w:rPr>
            </w:pPr>
          </w:p>
        </w:tc>
        <w:tc>
          <w:tcPr>
            <w:tcW w:w="0" w:type="auto"/>
            <w:shd w:val="clear" w:color="auto" w:fill="auto"/>
          </w:tcPr>
          <w:p w14:paraId="3AD07160">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CC0EDC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C6A0A02">
            <w:pPr>
              <w:jc w:val="right"/>
              <w:rPr>
                <w:rFonts w:ascii="宋体" w:hAnsi="宋体" w:eastAsia="宋体" w:cs="宋体"/>
                <w:sz w:val="24"/>
                <w:szCs w:val="24"/>
              </w:rPr>
            </w:pPr>
            <w:r>
              <w:rPr>
                <w:rFonts w:hint="eastAsia" w:ascii="宋体" w:hAnsi="宋体" w:eastAsia="宋体"/>
              </w:rPr>
              <w:t>-</w:t>
            </w:r>
          </w:p>
        </w:tc>
      </w:tr>
      <w:tr w14:paraId="5E7E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87F83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D8B3209">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3EC5F0F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D111F9A">
            <w:pPr>
              <w:jc w:val="right"/>
              <w:rPr>
                <w:rFonts w:ascii="宋体" w:hAnsi="宋体" w:eastAsia="宋体" w:cs="宋体"/>
                <w:sz w:val="24"/>
                <w:szCs w:val="24"/>
              </w:rPr>
            </w:pPr>
            <w:r>
              <w:rPr>
                <w:rFonts w:hint="eastAsia" w:ascii="宋体" w:hAnsi="宋体" w:eastAsia="宋体"/>
              </w:rPr>
              <w:t>-</w:t>
            </w:r>
          </w:p>
        </w:tc>
      </w:tr>
      <w:tr w14:paraId="58FE6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A3B2EF">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9EC6DED">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586B3C7B">
            <w:pPr>
              <w:jc w:val="right"/>
              <w:rPr>
                <w:rFonts w:ascii="宋体" w:hAnsi="宋体" w:eastAsia="宋体" w:cs="宋体"/>
                <w:sz w:val="24"/>
                <w:szCs w:val="24"/>
              </w:rPr>
            </w:pPr>
            <w:r>
              <w:rPr>
                <w:rFonts w:hint="eastAsia" w:ascii="宋体" w:hAnsi="宋体" w:eastAsia="宋体"/>
              </w:rPr>
              <w:t>1,285,988,472.48</w:t>
            </w:r>
          </w:p>
        </w:tc>
        <w:tc>
          <w:tcPr>
            <w:tcW w:w="0" w:type="auto"/>
            <w:shd w:val="clear" w:color="auto" w:fill="auto"/>
          </w:tcPr>
          <w:p w14:paraId="7845BF74">
            <w:pPr>
              <w:jc w:val="right"/>
              <w:rPr>
                <w:rFonts w:ascii="宋体" w:hAnsi="宋体" w:eastAsia="宋体" w:cs="宋体"/>
                <w:sz w:val="24"/>
                <w:szCs w:val="24"/>
              </w:rPr>
            </w:pPr>
            <w:r>
              <w:rPr>
                <w:rFonts w:hint="eastAsia" w:ascii="宋体" w:hAnsi="宋体" w:eastAsia="宋体"/>
              </w:rPr>
              <w:t>99.69</w:t>
            </w:r>
          </w:p>
        </w:tc>
      </w:tr>
      <w:tr w14:paraId="0770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E7854F">
            <w:pPr>
              <w:jc w:val="center"/>
              <w:rPr>
                <w:rFonts w:ascii="宋体" w:hAnsi="宋体" w:eastAsia="宋体" w:cs="宋体"/>
                <w:sz w:val="24"/>
                <w:szCs w:val="24"/>
              </w:rPr>
            </w:pPr>
          </w:p>
        </w:tc>
        <w:tc>
          <w:tcPr>
            <w:tcW w:w="0" w:type="auto"/>
            <w:shd w:val="clear" w:color="auto" w:fill="auto"/>
          </w:tcPr>
          <w:p w14:paraId="21A10171">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3298FCC6">
            <w:pPr>
              <w:jc w:val="right"/>
              <w:rPr>
                <w:rFonts w:ascii="宋体" w:hAnsi="宋体" w:eastAsia="宋体" w:cs="宋体"/>
                <w:sz w:val="24"/>
                <w:szCs w:val="24"/>
              </w:rPr>
            </w:pPr>
            <w:r>
              <w:rPr>
                <w:rFonts w:hint="eastAsia" w:ascii="宋体" w:hAnsi="宋体" w:eastAsia="宋体"/>
              </w:rPr>
              <w:t>1,285,988,472.48</w:t>
            </w:r>
          </w:p>
        </w:tc>
        <w:tc>
          <w:tcPr>
            <w:tcW w:w="0" w:type="auto"/>
            <w:shd w:val="clear" w:color="auto" w:fill="auto"/>
          </w:tcPr>
          <w:p w14:paraId="4E8B1A44">
            <w:pPr>
              <w:jc w:val="right"/>
              <w:rPr>
                <w:rFonts w:ascii="宋体" w:hAnsi="宋体" w:eastAsia="宋体" w:cs="宋体"/>
                <w:sz w:val="24"/>
                <w:szCs w:val="24"/>
              </w:rPr>
            </w:pPr>
            <w:r>
              <w:rPr>
                <w:rFonts w:hint="eastAsia" w:ascii="宋体" w:hAnsi="宋体" w:eastAsia="宋体"/>
              </w:rPr>
              <w:t>99.69</w:t>
            </w:r>
          </w:p>
        </w:tc>
      </w:tr>
      <w:tr w14:paraId="365A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43A92B">
            <w:pPr>
              <w:jc w:val="center"/>
              <w:rPr>
                <w:rFonts w:ascii="宋体" w:hAnsi="宋体" w:eastAsia="宋体" w:cs="宋体"/>
                <w:sz w:val="24"/>
                <w:szCs w:val="24"/>
              </w:rPr>
            </w:pPr>
          </w:p>
        </w:tc>
        <w:tc>
          <w:tcPr>
            <w:tcW w:w="0" w:type="auto"/>
            <w:shd w:val="clear" w:color="auto" w:fill="auto"/>
          </w:tcPr>
          <w:p w14:paraId="79C3D106">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41B271A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1A8AC55">
            <w:pPr>
              <w:jc w:val="right"/>
              <w:rPr>
                <w:rFonts w:ascii="宋体" w:hAnsi="宋体" w:eastAsia="宋体" w:cs="宋体"/>
                <w:sz w:val="24"/>
                <w:szCs w:val="24"/>
              </w:rPr>
            </w:pPr>
            <w:r>
              <w:rPr>
                <w:rFonts w:hint="eastAsia" w:ascii="宋体" w:hAnsi="宋体" w:eastAsia="宋体"/>
              </w:rPr>
              <w:t>-</w:t>
            </w:r>
          </w:p>
        </w:tc>
      </w:tr>
      <w:tr w14:paraId="5326B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564ABD">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1849FF2">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62356C1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4F8D413">
            <w:pPr>
              <w:jc w:val="right"/>
              <w:rPr>
                <w:rFonts w:ascii="宋体" w:hAnsi="宋体" w:eastAsia="宋体" w:cs="宋体"/>
                <w:sz w:val="24"/>
                <w:szCs w:val="24"/>
              </w:rPr>
            </w:pPr>
            <w:r>
              <w:rPr>
                <w:rFonts w:hint="eastAsia" w:ascii="宋体" w:hAnsi="宋体" w:eastAsia="宋体"/>
              </w:rPr>
              <w:t>-</w:t>
            </w:r>
          </w:p>
        </w:tc>
      </w:tr>
      <w:tr w14:paraId="57A5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32F19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192B0A4">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12141D9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C91D11">
            <w:pPr>
              <w:jc w:val="right"/>
              <w:rPr>
                <w:rFonts w:ascii="宋体" w:hAnsi="宋体" w:eastAsia="宋体" w:cs="宋体"/>
                <w:sz w:val="24"/>
                <w:szCs w:val="24"/>
              </w:rPr>
            </w:pPr>
            <w:r>
              <w:rPr>
                <w:rFonts w:hint="eastAsia" w:ascii="宋体" w:hAnsi="宋体" w:eastAsia="宋体"/>
              </w:rPr>
              <w:t>-</w:t>
            </w:r>
          </w:p>
        </w:tc>
      </w:tr>
      <w:tr w14:paraId="2A581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FD8DAB">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C127B77">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043129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9DA1D7">
            <w:pPr>
              <w:jc w:val="right"/>
              <w:rPr>
                <w:rFonts w:ascii="宋体" w:hAnsi="宋体" w:eastAsia="宋体" w:cs="宋体"/>
                <w:sz w:val="24"/>
                <w:szCs w:val="24"/>
              </w:rPr>
            </w:pPr>
            <w:r>
              <w:rPr>
                <w:rFonts w:hint="eastAsia" w:ascii="宋体" w:hAnsi="宋体" w:eastAsia="宋体"/>
              </w:rPr>
              <w:t>-</w:t>
            </w:r>
          </w:p>
        </w:tc>
      </w:tr>
      <w:tr w14:paraId="3326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A43DF4">
            <w:pPr>
              <w:jc w:val="center"/>
              <w:rPr>
                <w:rFonts w:ascii="宋体" w:hAnsi="宋体" w:eastAsia="宋体" w:cs="宋体"/>
                <w:sz w:val="24"/>
                <w:szCs w:val="24"/>
              </w:rPr>
            </w:pPr>
          </w:p>
        </w:tc>
        <w:tc>
          <w:tcPr>
            <w:tcW w:w="0" w:type="auto"/>
            <w:shd w:val="clear" w:color="auto" w:fill="auto"/>
          </w:tcPr>
          <w:p w14:paraId="41365EF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5BEA2B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19DE4FB">
            <w:pPr>
              <w:jc w:val="right"/>
              <w:rPr>
                <w:rFonts w:ascii="宋体" w:hAnsi="宋体" w:eastAsia="宋体" w:cs="宋体"/>
                <w:sz w:val="24"/>
                <w:szCs w:val="24"/>
              </w:rPr>
            </w:pPr>
            <w:r>
              <w:rPr>
                <w:rFonts w:hint="eastAsia" w:ascii="宋体" w:hAnsi="宋体" w:eastAsia="宋体"/>
              </w:rPr>
              <w:t>-</w:t>
            </w:r>
          </w:p>
        </w:tc>
      </w:tr>
      <w:tr w14:paraId="57521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F6BC87">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CE79E57">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0FB8CEF5">
            <w:pPr>
              <w:jc w:val="right"/>
              <w:rPr>
                <w:rFonts w:ascii="宋体" w:hAnsi="宋体" w:eastAsia="宋体" w:cs="宋体"/>
                <w:sz w:val="24"/>
                <w:szCs w:val="24"/>
              </w:rPr>
            </w:pPr>
            <w:r>
              <w:rPr>
                <w:rFonts w:hint="eastAsia" w:ascii="宋体" w:hAnsi="宋体" w:eastAsia="宋体"/>
              </w:rPr>
              <w:t>3,985,858.23</w:t>
            </w:r>
          </w:p>
        </w:tc>
        <w:tc>
          <w:tcPr>
            <w:tcW w:w="0" w:type="auto"/>
            <w:shd w:val="clear" w:color="auto" w:fill="auto"/>
          </w:tcPr>
          <w:p w14:paraId="3CD902BA">
            <w:pPr>
              <w:jc w:val="right"/>
              <w:rPr>
                <w:rFonts w:ascii="宋体" w:hAnsi="宋体" w:eastAsia="宋体" w:cs="宋体"/>
                <w:sz w:val="24"/>
                <w:szCs w:val="24"/>
              </w:rPr>
            </w:pPr>
            <w:r>
              <w:rPr>
                <w:rFonts w:hint="eastAsia" w:ascii="宋体" w:hAnsi="宋体" w:eastAsia="宋体"/>
              </w:rPr>
              <w:t>0.31</w:t>
            </w:r>
          </w:p>
        </w:tc>
      </w:tr>
      <w:tr w14:paraId="53F50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C3E5A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F4C7A54">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40F8D83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FB7F6DF">
            <w:pPr>
              <w:jc w:val="right"/>
              <w:rPr>
                <w:rFonts w:ascii="宋体" w:hAnsi="宋体" w:eastAsia="宋体" w:cs="宋体"/>
                <w:sz w:val="24"/>
                <w:szCs w:val="24"/>
              </w:rPr>
            </w:pPr>
            <w:r>
              <w:rPr>
                <w:rFonts w:hint="eastAsia" w:ascii="宋体" w:hAnsi="宋体" w:eastAsia="宋体"/>
              </w:rPr>
              <w:t>-</w:t>
            </w:r>
          </w:p>
        </w:tc>
      </w:tr>
      <w:tr w14:paraId="0446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06B49F">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E3F1234">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793696F">
            <w:pPr>
              <w:jc w:val="right"/>
              <w:rPr>
                <w:rFonts w:ascii="宋体" w:hAnsi="宋体" w:eastAsia="宋体" w:cs="宋体"/>
                <w:sz w:val="24"/>
                <w:szCs w:val="24"/>
              </w:rPr>
            </w:pPr>
            <w:r>
              <w:rPr>
                <w:rFonts w:hint="eastAsia" w:ascii="宋体" w:hAnsi="宋体" w:eastAsia="宋体"/>
              </w:rPr>
              <w:t>1,289,974,330.71</w:t>
            </w:r>
          </w:p>
        </w:tc>
        <w:tc>
          <w:tcPr>
            <w:tcW w:w="0" w:type="auto"/>
            <w:shd w:val="clear" w:color="auto" w:fill="auto"/>
          </w:tcPr>
          <w:p w14:paraId="20A41454">
            <w:pPr>
              <w:jc w:val="right"/>
              <w:rPr>
                <w:rFonts w:ascii="宋体" w:hAnsi="宋体" w:eastAsia="宋体" w:cs="宋体"/>
                <w:sz w:val="24"/>
                <w:szCs w:val="24"/>
              </w:rPr>
            </w:pPr>
            <w:r>
              <w:rPr>
                <w:rFonts w:hint="eastAsia" w:ascii="宋体" w:hAnsi="宋体" w:eastAsia="宋体"/>
              </w:rPr>
              <w:t>100.00</w:t>
            </w:r>
          </w:p>
        </w:tc>
      </w:tr>
    </w:tbl>
    <w:p w14:paraId="03CAE245">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14:paraId="51A9F75A">
      <w:pPr>
        <w:pStyle w:val="7"/>
        <w:spacing w:before="0" w:beforeAutospacing="0" w:after="0" w:afterAutospacing="0" w:line="360" w:lineRule="auto"/>
        <w:ind w:firstLine="420"/>
        <w:rPr>
          <w:sz w:val="21"/>
          <w:szCs w:val="21"/>
        </w:rPr>
      </w:pPr>
      <w:r>
        <w:rPr>
          <w:rStyle w:val="11"/>
          <w:rFonts w:hint="eastAsia"/>
          <w:sz w:val="21"/>
          <w:szCs w:val="21"/>
        </w:rPr>
        <w:t>2.1 报告期末按行业分类的境内股票投资组合</w:t>
      </w:r>
    </w:p>
    <w:p w14:paraId="02BFAF7A">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14:paraId="2877B321">
      <w:pPr>
        <w:pStyle w:val="7"/>
        <w:spacing w:before="0" w:beforeAutospacing="0" w:after="0" w:afterAutospacing="0" w:line="360" w:lineRule="auto"/>
        <w:ind w:firstLine="420"/>
        <w:rPr>
          <w:sz w:val="21"/>
          <w:szCs w:val="21"/>
        </w:rPr>
      </w:pPr>
      <w:r>
        <w:rPr>
          <w:rStyle w:val="11"/>
          <w:rFonts w:hint="eastAsia"/>
          <w:sz w:val="21"/>
          <w:szCs w:val="21"/>
        </w:rPr>
        <w:t>2.2 报告期末按行业分类的港股通投资股票投资组合</w:t>
      </w:r>
    </w:p>
    <w:p w14:paraId="5EE61262">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3AD49A1B">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14:paraId="294B7EC7">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0213548A">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14:paraId="1018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C54CF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5383D8D">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5B392809">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9D8DB2F">
            <w:pPr>
              <w:jc w:val="center"/>
              <w:rPr>
                <w:rFonts w:ascii="宋体" w:hAnsi="宋体" w:eastAsia="宋体" w:cs="宋体"/>
                <w:sz w:val="24"/>
                <w:szCs w:val="24"/>
              </w:rPr>
            </w:pPr>
            <w:r>
              <w:rPr>
                <w:rFonts w:hint="eastAsia" w:ascii="宋体" w:hAnsi="宋体" w:eastAsia="宋体"/>
              </w:rPr>
              <w:t>占基金资产净值比例(％)</w:t>
            </w:r>
          </w:p>
        </w:tc>
      </w:tr>
      <w:tr w14:paraId="4CA97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411F5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D934994">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44002473">
            <w:pPr>
              <w:jc w:val="right"/>
              <w:rPr>
                <w:rFonts w:ascii="宋体" w:hAnsi="宋体" w:eastAsia="宋体" w:cs="宋体"/>
                <w:sz w:val="24"/>
                <w:szCs w:val="24"/>
              </w:rPr>
            </w:pPr>
            <w:r>
              <w:rPr>
                <w:rFonts w:hint="eastAsia" w:ascii="宋体" w:hAnsi="宋体" w:eastAsia="宋体"/>
              </w:rPr>
              <w:t>112,441,230.85</w:t>
            </w:r>
          </w:p>
        </w:tc>
        <w:tc>
          <w:tcPr>
            <w:tcW w:w="0" w:type="auto"/>
            <w:shd w:val="clear" w:color="auto" w:fill="auto"/>
          </w:tcPr>
          <w:p w14:paraId="421C53B1">
            <w:pPr>
              <w:jc w:val="right"/>
              <w:rPr>
                <w:rFonts w:ascii="宋体" w:hAnsi="宋体" w:eastAsia="宋体" w:cs="宋体"/>
                <w:sz w:val="24"/>
                <w:szCs w:val="24"/>
              </w:rPr>
            </w:pPr>
            <w:r>
              <w:rPr>
                <w:rFonts w:hint="eastAsia" w:ascii="宋体" w:hAnsi="宋体" w:eastAsia="宋体"/>
              </w:rPr>
              <w:t>11.12</w:t>
            </w:r>
          </w:p>
        </w:tc>
      </w:tr>
      <w:tr w14:paraId="79328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E9850B">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2CCDA1B">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22E2787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67A498E">
            <w:pPr>
              <w:jc w:val="right"/>
              <w:rPr>
                <w:rFonts w:ascii="宋体" w:hAnsi="宋体" w:eastAsia="宋体" w:cs="宋体"/>
                <w:sz w:val="24"/>
                <w:szCs w:val="24"/>
              </w:rPr>
            </w:pPr>
            <w:r>
              <w:rPr>
                <w:rFonts w:hint="eastAsia" w:ascii="宋体" w:hAnsi="宋体" w:eastAsia="宋体"/>
              </w:rPr>
              <w:t>-</w:t>
            </w:r>
          </w:p>
        </w:tc>
      </w:tr>
      <w:tr w14:paraId="2D636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677426">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63487BF">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1D6D1912">
            <w:pPr>
              <w:jc w:val="right"/>
              <w:rPr>
                <w:rFonts w:ascii="宋体" w:hAnsi="宋体" w:eastAsia="宋体" w:cs="宋体"/>
                <w:sz w:val="24"/>
                <w:szCs w:val="24"/>
              </w:rPr>
            </w:pPr>
            <w:r>
              <w:rPr>
                <w:rFonts w:hint="eastAsia" w:ascii="宋体" w:hAnsi="宋体" w:eastAsia="宋体"/>
              </w:rPr>
              <w:t>849,728,282.73</w:t>
            </w:r>
          </w:p>
        </w:tc>
        <w:tc>
          <w:tcPr>
            <w:tcW w:w="0" w:type="auto"/>
            <w:shd w:val="clear" w:color="auto" w:fill="auto"/>
          </w:tcPr>
          <w:p w14:paraId="5393BE74">
            <w:pPr>
              <w:jc w:val="right"/>
              <w:rPr>
                <w:rFonts w:ascii="宋体" w:hAnsi="宋体" w:eastAsia="宋体" w:cs="宋体"/>
                <w:sz w:val="24"/>
                <w:szCs w:val="24"/>
              </w:rPr>
            </w:pPr>
            <w:r>
              <w:rPr>
                <w:rFonts w:hint="eastAsia" w:ascii="宋体" w:hAnsi="宋体" w:eastAsia="宋体"/>
              </w:rPr>
              <w:t>84.02</w:t>
            </w:r>
          </w:p>
        </w:tc>
      </w:tr>
      <w:tr w14:paraId="2EB4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827CC1">
            <w:pPr>
              <w:jc w:val="center"/>
              <w:rPr>
                <w:rFonts w:ascii="宋体" w:hAnsi="宋体" w:eastAsia="宋体" w:cs="宋体"/>
                <w:sz w:val="24"/>
                <w:szCs w:val="24"/>
              </w:rPr>
            </w:pPr>
          </w:p>
        </w:tc>
        <w:tc>
          <w:tcPr>
            <w:tcW w:w="0" w:type="auto"/>
            <w:shd w:val="clear" w:color="auto" w:fill="auto"/>
          </w:tcPr>
          <w:p w14:paraId="475AD49D">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0A82F467">
            <w:pPr>
              <w:jc w:val="right"/>
              <w:rPr>
                <w:rFonts w:ascii="宋体" w:hAnsi="宋体" w:eastAsia="宋体" w:cs="宋体"/>
                <w:sz w:val="24"/>
                <w:szCs w:val="24"/>
              </w:rPr>
            </w:pPr>
            <w:r>
              <w:rPr>
                <w:rFonts w:hint="eastAsia" w:ascii="宋体" w:hAnsi="宋体" w:eastAsia="宋体"/>
              </w:rPr>
              <w:t>737,215,452.04</w:t>
            </w:r>
          </w:p>
        </w:tc>
        <w:tc>
          <w:tcPr>
            <w:tcW w:w="0" w:type="auto"/>
            <w:shd w:val="clear" w:color="auto" w:fill="auto"/>
          </w:tcPr>
          <w:p w14:paraId="0470C246">
            <w:pPr>
              <w:jc w:val="right"/>
              <w:rPr>
                <w:rFonts w:ascii="宋体" w:hAnsi="宋体" w:eastAsia="宋体" w:cs="宋体"/>
                <w:sz w:val="24"/>
                <w:szCs w:val="24"/>
              </w:rPr>
            </w:pPr>
            <w:r>
              <w:rPr>
                <w:rFonts w:hint="eastAsia" w:ascii="宋体" w:hAnsi="宋体" w:eastAsia="宋体"/>
              </w:rPr>
              <w:t>72.90</w:t>
            </w:r>
          </w:p>
        </w:tc>
      </w:tr>
      <w:tr w14:paraId="6D65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88D49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DA3994D">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22AAFF8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D6A928">
            <w:pPr>
              <w:jc w:val="right"/>
              <w:rPr>
                <w:rFonts w:ascii="宋体" w:hAnsi="宋体" w:eastAsia="宋体" w:cs="宋体"/>
                <w:sz w:val="24"/>
                <w:szCs w:val="24"/>
              </w:rPr>
            </w:pPr>
            <w:r>
              <w:rPr>
                <w:rFonts w:hint="eastAsia" w:ascii="宋体" w:hAnsi="宋体" w:eastAsia="宋体"/>
              </w:rPr>
              <w:t>-</w:t>
            </w:r>
          </w:p>
        </w:tc>
      </w:tr>
      <w:tr w14:paraId="1DD7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B0E40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DE7314F">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7F8FDAC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FCF0480">
            <w:pPr>
              <w:jc w:val="right"/>
              <w:rPr>
                <w:rFonts w:ascii="宋体" w:hAnsi="宋体" w:eastAsia="宋体" w:cs="宋体"/>
                <w:sz w:val="24"/>
                <w:szCs w:val="24"/>
              </w:rPr>
            </w:pPr>
            <w:r>
              <w:rPr>
                <w:rFonts w:hint="eastAsia" w:ascii="宋体" w:hAnsi="宋体" w:eastAsia="宋体"/>
              </w:rPr>
              <w:t>-</w:t>
            </w:r>
          </w:p>
        </w:tc>
      </w:tr>
      <w:tr w14:paraId="12CE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ABA03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92C6ABE">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29FB4E78">
            <w:pPr>
              <w:jc w:val="right"/>
              <w:rPr>
                <w:rFonts w:ascii="宋体" w:hAnsi="宋体" w:eastAsia="宋体" w:cs="宋体"/>
                <w:sz w:val="24"/>
                <w:szCs w:val="24"/>
              </w:rPr>
            </w:pPr>
            <w:r>
              <w:rPr>
                <w:rFonts w:hint="eastAsia" w:ascii="宋体" w:hAnsi="宋体" w:eastAsia="宋体"/>
              </w:rPr>
              <w:t>124,414,827.40</w:t>
            </w:r>
          </w:p>
        </w:tc>
        <w:tc>
          <w:tcPr>
            <w:tcW w:w="0" w:type="auto"/>
            <w:shd w:val="clear" w:color="auto" w:fill="auto"/>
          </w:tcPr>
          <w:p w14:paraId="519C4C5E">
            <w:pPr>
              <w:jc w:val="right"/>
              <w:rPr>
                <w:rFonts w:ascii="宋体" w:hAnsi="宋体" w:eastAsia="宋体" w:cs="宋体"/>
                <w:sz w:val="24"/>
                <w:szCs w:val="24"/>
              </w:rPr>
            </w:pPr>
            <w:r>
              <w:rPr>
                <w:rFonts w:hint="eastAsia" w:ascii="宋体" w:hAnsi="宋体" w:eastAsia="宋体"/>
              </w:rPr>
              <w:t>12.30</w:t>
            </w:r>
          </w:p>
        </w:tc>
      </w:tr>
      <w:tr w14:paraId="24F2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7D1382">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2257992">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72FBD9D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37DB53C">
            <w:pPr>
              <w:jc w:val="right"/>
              <w:rPr>
                <w:rFonts w:ascii="宋体" w:hAnsi="宋体" w:eastAsia="宋体" w:cs="宋体"/>
                <w:sz w:val="24"/>
                <w:szCs w:val="24"/>
              </w:rPr>
            </w:pPr>
            <w:r>
              <w:rPr>
                <w:rFonts w:hint="eastAsia" w:ascii="宋体" w:hAnsi="宋体" w:eastAsia="宋体"/>
              </w:rPr>
              <w:t>-</w:t>
            </w:r>
          </w:p>
        </w:tc>
      </w:tr>
      <w:tr w14:paraId="7148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2E5CA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CC4EBE0">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151BF8CC">
            <w:pPr>
              <w:jc w:val="right"/>
              <w:rPr>
                <w:rFonts w:ascii="宋体" w:hAnsi="宋体" w:eastAsia="宋体" w:cs="宋体"/>
                <w:sz w:val="24"/>
                <w:szCs w:val="24"/>
              </w:rPr>
            </w:pPr>
            <w:r>
              <w:rPr>
                <w:rFonts w:hint="eastAsia" w:ascii="宋体" w:hAnsi="宋体" w:eastAsia="宋体"/>
              </w:rPr>
              <w:t>199,404,131.50</w:t>
            </w:r>
          </w:p>
        </w:tc>
        <w:tc>
          <w:tcPr>
            <w:tcW w:w="0" w:type="auto"/>
            <w:shd w:val="clear" w:color="auto" w:fill="auto"/>
          </w:tcPr>
          <w:p w14:paraId="05B222C6">
            <w:pPr>
              <w:jc w:val="right"/>
              <w:rPr>
                <w:rFonts w:ascii="宋体" w:hAnsi="宋体" w:eastAsia="宋体" w:cs="宋体"/>
                <w:sz w:val="24"/>
                <w:szCs w:val="24"/>
              </w:rPr>
            </w:pPr>
            <w:r>
              <w:rPr>
                <w:rFonts w:hint="eastAsia" w:ascii="宋体" w:hAnsi="宋体" w:eastAsia="宋体"/>
              </w:rPr>
              <w:t>19.72</w:t>
            </w:r>
          </w:p>
        </w:tc>
      </w:tr>
      <w:tr w14:paraId="0C9F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17F61E">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E1EE864">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0C05CC9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F240D2">
            <w:pPr>
              <w:jc w:val="right"/>
              <w:rPr>
                <w:rFonts w:ascii="宋体" w:hAnsi="宋体" w:eastAsia="宋体" w:cs="宋体"/>
                <w:sz w:val="24"/>
                <w:szCs w:val="24"/>
              </w:rPr>
            </w:pPr>
            <w:r>
              <w:rPr>
                <w:rFonts w:hint="eastAsia" w:ascii="宋体" w:hAnsi="宋体" w:eastAsia="宋体"/>
              </w:rPr>
              <w:t>-</w:t>
            </w:r>
          </w:p>
        </w:tc>
      </w:tr>
      <w:tr w14:paraId="5F0CE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1D88C4">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35EABC9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99EE5AB">
            <w:pPr>
              <w:jc w:val="right"/>
              <w:rPr>
                <w:rFonts w:ascii="宋体" w:hAnsi="宋体" w:eastAsia="宋体" w:cs="宋体"/>
                <w:sz w:val="24"/>
                <w:szCs w:val="24"/>
              </w:rPr>
            </w:pPr>
            <w:r>
              <w:rPr>
                <w:rFonts w:hint="eastAsia" w:ascii="宋体" w:hAnsi="宋体" w:eastAsia="宋体"/>
              </w:rPr>
              <w:t>1,285,988,472.48</w:t>
            </w:r>
          </w:p>
        </w:tc>
        <w:tc>
          <w:tcPr>
            <w:tcW w:w="0" w:type="auto"/>
            <w:shd w:val="clear" w:color="auto" w:fill="auto"/>
          </w:tcPr>
          <w:p w14:paraId="72B9DB31">
            <w:pPr>
              <w:jc w:val="right"/>
              <w:rPr>
                <w:rFonts w:ascii="宋体" w:hAnsi="宋体" w:eastAsia="宋体" w:cs="宋体"/>
                <w:sz w:val="24"/>
                <w:szCs w:val="24"/>
              </w:rPr>
            </w:pPr>
            <w:r>
              <w:rPr>
                <w:rFonts w:hint="eastAsia" w:ascii="宋体" w:hAnsi="宋体" w:eastAsia="宋体"/>
              </w:rPr>
              <w:t>127.16</w:t>
            </w:r>
          </w:p>
        </w:tc>
      </w:tr>
    </w:tbl>
    <w:p w14:paraId="6BCAF1AB">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9"/>
        <w:gridCol w:w="1161"/>
        <w:gridCol w:w="1694"/>
        <w:gridCol w:w="1161"/>
        <w:gridCol w:w="1686"/>
        <w:gridCol w:w="2215"/>
      </w:tblGrid>
      <w:tr w14:paraId="5D0C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A8129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CEE2BCB">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637CAE8C">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1B07226A">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2F850283">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A7C22B6">
            <w:pPr>
              <w:jc w:val="center"/>
              <w:rPr>
                <w:rFonts w:ascii="宋体" w:hAnsi="宋体" w:eastAsia="宋体" w:cs="宋体"/>
                <w:sz w:val="24"/>
                <w:szCs w:val="24"/>
              </w:rPr>
            </w:pPr>
            <w:r>
              <w:rPr>
                <w:rFonts w:hint="eastAsia" w:ascii="宋体" w:hAnsi="宋体" w:eastAsia="宋体"/>
              </w:rPr>
              <w:t>占基金资产净值比例(％)</w:t>
            </w:r>
          </w:p>
        </w:tc>
      </w:tr>
      <w:tr w14:paraId="11FE4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EEC9A2">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3A2F8EA">
            <w:pPr>
              <w:jc w:val="center"/>
              <w:rPr>
                <w:rFonts w:ascii="宋体" w:hAnsi="宋体" w:eastAsia="宋体" w:cs="宋体"/>
                <w:sz w:val="24"/>
                <w:szCs w:val="24"/>
              </w:rPr>
            </w:pPr>
            <w:r>
              <w:rPr>
                <w:rFonts w:hint="eastAsia" w:ascii="宋体" w:hAnsi="宋体" w:eastAsia="宋体"/>
              </w:rPr>
              <w:t>230203</w:t>
            </w:r>
          </w:p>
        </w:tc>
        <w:tc>
          <w:tcPr>
            <w:tcW w:w="0" w:type="auto"/>
            <w:shd w:val="clear" w:color="auto" w:fill="auto"/>
          </w:tcPr>
          <w:p w14:paraId="16C07243">
            <w:pPr>
              <w:jc w:val="center"/>
              <w:rPr>
                <w:rFonts w:ascii="宋体" w:hAnsi="宋体" w:eastAsia="宋体" w:cs="宋体"/>
                <w:sz w:val="24"/>
                <w:szCs w:val="24"/>
              </w:rPr>
            </w:pPr>
            <w:r>
              <w:rPr>
                <w:rFonts w:hint="eastAsia" w:ascii="宋体" w:hAnsi="宋体" w:eastAsia="宋体"/>
              </w:rPr>
              <w:t>23国开03</w:t>
            </w:r>
          </w:p>
        </w:tc>
        <w:tc>
          <w:tcPr>
            <w:tcW w:w="0" w:type="auto"/>
            <w:shd w:val="clear" w:color="auto" w:fill="auto"/>
          </w:tcPr>
          <w:p w14:paraId="012309F8">
            <w:pPr>
              <w:jc w:val="right"/>
              <w:rPr>
                <w:rFonts w:ascii="宋体" w:hAnsi="宋体" w:eastAsia="宋体" w:cs="宋体"/>
                <w:sz w:val="24"/>
                <w:szCs w:val="24"/>
              </w:rPr>
            </w:pPr>
            <w:r>
              <w:rPr>
                <w:rFonts w:hint="eastAsia" w:ascii="宋体" w:hAnsi="宋体" w:eastAsia="宋体"/>
              </w:rPr>
              <w:t>1,500,000</w:t>
            </w:r>
          </w:p>
        </w:tc>
        <w:tc>
          <w:tcPr>
            <w:tcW w:w="0" w:type="auto"/>
            <w:shd w:val="clear" w:color="auto" w:fill="auto"/>
          </w:tcPr>
          <w:p w14:paraId="76D0B77E">
            <w:pPr>
              <w:jc w:val="right"/>
              <w:rPr>
                <w:rFonts w:ascii="宋体" w:hAnsi="宋体" w:eastAsia="宋体" w:cs="宋体"/>
                <w:sz w:val="24"/>
                <w:szCs w:val="24"/>
              </w:rPr>
            </w:pPr>
            <w:r>
              <w:rPr>
                <w:rFonts w:hint="eastAsia" w:ascii="宋体" w:hAnsi="宋体" w:eastAsia="宋体"/>
              </w:rPr>
              <w:t>156,223,479.45</w:t>
            </w:r>
          </w:p>
        </w:tc>
        <w:tc>
          <w:tcPr>
            <w:tcW w:w="0" w:type="auto"/>
            <w:shd w:val="clear" w:color="auto" w:fill="auto"/>
          </w:tcPr>
          <w:p w14:paraId="0ED76315">
            <w:pPr>
              <w:jc w:val="right"/>
              <w:rPr>
                <w:rFonts w:ascii="宋体" w:hAnsi="宋体" w:eastAsia="宋体" w:cs="宋体"/>
                <w:sz w:val="24"/>
                <w:szCs w:val="24"/>
              </w:rPr>
            </w:pPr>
            <w:r>
              <w:rPr>
                <w:rFonts w:hint="eastAsia" w:ascii="宋体" w:hAnsi="宋体" w:eastAsia="宋体"/>
              </w:rPr>
              <w:t>15.45</w:t>
            </w:r>
          </w:p>
        </w:tc>
      </w:tr>
      <w:tr w14:paraId="0EE59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C0548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2FBE464">
            <w:pPr>
              <w:jc w:val="center"/>
              <w:rPr>
                <w:rFonts w:ascii="宋体" w:hAnsi="宋体" w:eastAsia="宋体" w:cs="宋体"/>
                <w:sz w:val="24"/>
                <w:szCs w:val="24"/>
              </w:rPr>
            </w:pPr>
            <w:r>
              <w:rPr>
                <w:rFonts w:hint="eastAsia" w:ascii="宋体" w:hAnsi="宋体" w:eastAsia="宋体"/>
              </w:rPr>
              <w:t>220208</w:t>
            </w:r>
          </w:p>
        </w:tc>
        <w:tc>
          <w:tcPr>
            <w:tcW w:w="0" w:type="auto"/>
            <w:shd w:val="clear" w:color="auto" w:fill="auto"/>
          </w:tcPr>
          <w:p w14:paraId="70BA4C11">
            <w:pPr>
              <w:jc w:val="center"/>
              <w:rPr>
                <w:rFonts w:ascii="宋体" w:hAnsi="宋体" w:eastAsia="宋体" w:cs="宋体"/>
                <w:sz w:val="24"/>
                <w:szCs w:val="24"/>
              </w:rPr>
            </w:pPr>
            <w:r>
              <w:rPr>
                <w:rFonts w:hint="eastAsia" w:ascii="宋体" w:hAnsi="宋体" w:eastAsia="宋体"/>
              </w:rPr>
              <w:t>22国开08</w:t>
            </w:r>
          </w:p>
        </w:tc>
        <w:tc>
          <w:tcPr>
            <w:tcW w:w="0" w:type="auto"/>
            <w:shd w:val="clear" w:color="auto" w:fill="auto"/>
          </w:tcPr>
          <w:p w14:paraId="0A7A6D27">
            <w:pPr>
              <w:jc w:val="right"/>
              <w:rPr>
                <w:rFonts w:ascii="宋体" w:hAnsi="宋体" w:eastAsia="宋体" w:cs="宋体"/>
                <w:sz w:val="24"/>
                <w:szCs w:val="24"/>
              </w:rPr>
            </w:pPr>
            <w:r>
              <w:rPr>
                <w:rFonts w:hint="eastAsia" w:ascii="宋体" w:hAnsi="宋体" w:eastAsia="宋体"/>
              </w:rPr>
              <w:t>1,400,000</w:t>
            </w:r>
          </w:p>
        </w:tc>
        <w:tc>
          <w:tcPr>
            <w:tcW w:w="0" w:type="auto"/>
            <w:shd w:val="clear" w:color="auto" w:fill="auto"/>
          </w:tcPr>
          <w:p w14:paraId="7A45B735">
            <w:pPr>
              <w:jc w:val="right"/>
              <w:rPr>
                <w:rFonts w:ascii="宋体" w:hAnsi="宋体" w:eastAsia="宋体" w:cs="宋体"/>
                <w:sz w:val="24"/>
                <w:szCs w:val="24"/>
              </w:rPr>
            </w:pPr>
            <w:r>
              <w:rPr>
                <w:rFonts w:hint="eastAsia" w:ascii="宋体" w:hAnsi="宋体" w:eastAsia="宋体"/>
              </w:rPr>
              <w:t>143,206,767.12</w:t>
            </w:r>
          </w:p>
        </w:tc>
        <w:tc>
          <w:tcPr>
            <w:tcW w:w="0" w:type="auto"/>
            <w:shd w:val="clear" w:color="auto" w:fill="auto"/>
          </w:tcPr>
          <w:p w14:paraId="4380ECAD">
            <w:pPr>
              <w:jc w:val="right"/>
              <w:rPr>
                <w:rFonts w:ascii="宋体" w:hAnsi="宋体" w:eastAsia="宋体" w:cs="宋体"/>
                <w:sz w:val="24"/>
                <w:szCs w:val="24"/>
              </w:rPr>
            </w:pPr>
            <w:r>
              <w:rPr>
                <w:rFonts w:hint="eastAsia" w:ascii="宋体" w:hAnsi="宋体" w:eastAsia="宋体"/>
              </w:rPr>
              <w:t>14.16</w:t>
            </w:r>
          </w:p>
        </w:tc>
      </w:tr>
      <w:tr w14:paraId="799E1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747A7F">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44D673C">
            <w:pPr>
              <w:jc w:val="center"/>
              <w:rPr>
                <w:rFonts w:ascii="宋体" w:hAnsi="宋体" w:eastAsia="宋体" w:cs="宋体"/>
                <w:sz w:val="24"/>
                <w:szCs w:val="24"/>
              </w:rPr>
            </w:pPr>
            <w:r>
              <w:rPr>
                <w:rFonts w:hint="eastAsia" w:ascii="宋体" w:hAnsi="宋体" w:eastAsia="宋体"/>
              </w:rPr>
              <w:t>09240202</w:t>
            </w:r>
          </w:p>
        </w:tc>
        <w:tc>
          <w:tcPr>
            <w:tcW w:w="0" w:type="auto"/>
            <w:shd w:val="clear" w:color="auto" w:fill="auto"/>
          </w:tcPr>
          <w:p w14:paraId="259FFE16">
            <w:pPr>
              <w:jc w:val="center"/>
              <w:rPr>
                <w:rFonts w:ascii="宋体" w:hAnsi="宋体" w:eastAsia="宋体" w:cs="宋体"/>
                <w:sz w:val="24"/>
                <w:szCs w:val="24"/>
              </w:rPr>
            </w:pPr>
            <w:r>
              <w:rPr>
                <w:rFonts w:hint="eastAsia" w:ascii="宋体" w:hAnsi="宋体" w:eastAsia="宋体"/>
              </w:rPr>
              <w:t>24国开清发02</w:t>
            </w:r>
          </w:p>
        </w:tc>
        <w:tc>
          <w:tcPr>
            <w:tcW w:w="0" w:type="auto"/>
            <w:shd w:val="clear" w:color="auto" w:fill="auto"/>
          </w:tcPr>
          <w:p w14:paraId="608392C9">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25845200">
            <w:pPr>
              <w:jc w:val="right"/>
              <w:rPr>
                <w:rFonts w:ascii="宋体" w:hAnsi="宋体" w:eastAsia="宋体" w:cs="宋体"/>
                <w:sz w:val="24"/>
                <w:szCs w:val="24"/>
              </w:rPr>
            </w:pPr>
            <w:r>
              <w:rPr>
                <w:rFonts w:hint="eastAsia" w:ascii="宋体" w:hAnsi="宋体" w:eastAsia="宋体"/>
              </w:rPr>
              <w:t>101,188,356.16</w:t>
            </w:r>
          </w:p>
        </w:tc>
        <w:tc>
          <w:tcPr>
            <w:tcW w:w="0" w:type="auto"/>
            <w:shd w:val="clear" w:color="auto" w:fill="auto"/>
          </w:tcPr>
          <w:p w14:paraId="4FBF4C3F">
            <w:pPr>
              <w:jc w:val="right"/>
              <w:rPr>
                <w:rFonts w:ascii="宋体" w:hAnsi="宋体" w:eastAsia="宋体" w:cs="宋体"/>
                <w:sz w:val="24"/>
                <w:szCs w:val="24"/>
              </w:rPr>
            </w:pPr>
            <w:r>
              <w:rPr>
                <w:rFonts w:hint="eastAsia" w:ascii="宋体" w:hAnsi="宋体" w:eastAsia="宋体"/>
              </w:rPr>
              <w:t>10.01</w:t>
            </w:r>
          </w:p>
        </w:tc>
      </w:tr>
      <w:tr w14:paraId="7981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CE075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FCE6809">
            <w:pPr>
              <w:jc w:val="center"/>
              <w:rPr>
                <w:rFonts w:ascii="宋体" w:hAnsi="宋体" w:eastAsia="宋体" w:cs="宋体"/>
                <w:sz w:val="24"/>
                <w:szCs w:val="24"/>
              </w:rPr>
            </w:pPr>
            <w:r>
              <w:rPr>
                <w:rFonts w:hint="eastAsia" w:ascii="宋体" w:hAnsi="宋体" w:eastAsia="宋体"/>
              </w:rPr>
              <w:t>112402111</w:t>
            </w:r>
          </w:p>
        </w:tc>
        <w:tc>
          <w:tcPr>
            <w:tcW w:w="0" w:type="auto"/>
            <w:shd w:val="clear" w:color="auto" w:fill="auto"/>
          </w:tcPr>
          <w:p w14:paraId="72D8A7D0">
            <w:pPr>
              <w:jc w:val="center"/>
              <w:rPr>
                <w:rFonts w:ascii="宋体" w:hAnsi="宋体" w:eastAsia="宋体" w:cs="宋体"/>
                <w:sz w:val="24"/>
                <w:szCs w:val="24"/>
              </w:rPr>
            </w:pPr>
            <w:r>
              <w:rPr>
                <w:rFonts w:hint="eastAsia" w:ascii="宋体" w:hAnsi="宋体" w:eastAsia="宋体"/>
              </w:rPr>
              <w:t>24工商银行CD111</w:t>
            </w:r>
          </w:p>
        </w:tc>
        <w:tc>
          <w:tcPr>
            <w:tcW w:w="0" w:type="auto"/>
            <w:shd w:val="clear" w:color="auto" w:fill="auto"/>
          </w:tcPr>
          <w:p w14:paraId="4CDEC1CD">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1D4BF733">
            <w:pPr>
              <w:jc w:val="right"/>
              <w:rPr>
                <w:rFonts w:ascii="宋体" w:hAnsi="宋体" w:eastAsia="宋体" w:cs="宋体"/>
                <w:sz w:val="24"/>
                <w:szCs w:val="24"/>
              </w:rPr>
            </w:pPr>
            <w:r>
              <w:rPr>
                <w:rFonts w:hint="eastAsia" w:ascii="宋体" w:hAnsi="宋体" w:eastAsia="宋体"/>
              </w:rPr>
              <w:t>99,712,652.05</w:t>
            </w:r>
          </w:p>
        </w:tc>
        <w:tc>
          <w:tcPr>
            <w:tcW w:w="0" w:type="auto"/>
            <w:shd w:val="clear" w:color="auto" w:fill="auto"/>
          </w:tcPr>
          <w:p w14:paraId="5FD4CD55">
            <w:pPr>
              <w:jc w:val="right"/>
              <w:rPr>
                <w:rFonts w:ascii="宋体" w:hAnsi="宋体" w:eastAsia="宋体" w:cs="宋体"/>
                <w:sz w:val="24"/>
                <w:szCs w:val="24"/>
              </w:rPr>
            </w:pPr>
            <w:r>
              <w:rPr>
                <w:rFonts w:hint="eastAsia" w:ascii="宋体" w:hAnsi="宋体" w:eastAsia="宋体"/>
              </w:rPr>
              <w:t>9.86</w:t>
            </w:r>
          </w:p>
        </w:tc>
      </w:tr>
      <w:tr w14:paraId="286FB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88CB8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E4538C0">
            <w:pPr>
              <w:jc w:val="center"/>
              <w:rPr>
                <w:rFonts w:ascii="宋体" w:hAnsi="宋体" w:eastAsia="宋体" w:cs="宋体"/>
                <w:sz w:val="24"/>
                <w:szCs w:val="24"/>
              </w:rPr>
            </w:pPr>
            <w:r>
              <w:rPr>
                <w:rFonts w:hint="eastAsia" w:ascii="宋体" w:hAnsi="宋体" w:eastAsia="宋体"/>
              </w:rPr>
              <w:t>112404053</w:t>
            </w:r>
          </w:p>
        </w:tc>
        <w:tc>
          <w:tcPr>
            <w:tcW w:w="0" w:type="auto"/>
            <w:shd w:val="clear" w:color="auto" w:fill="auto"/>
          </w:tcPr>
          <w:p w14:paraId="4E391E2D">
            <w:pPr>
              <w:jc w:val="center"/>
              <w:rPr>
                <w:rFonts w:ascii="宋体" w:hAnsi="宋体" w:eastAsia="宋体" w:cs="宋体"/>
                <w:sz w:val="24"/>
                <w:szCs w:val="24"/>
              </w:rPr>
            </w:pPr>
            <w:r>
              <w:rPr>
                <w:rFonts w:hint="eastAsia" w:ascii="宋体" w:hAnsi="宋体" w:eastAsia="宋体"/>
              </w:rPr>
              <w:t>24中国银行CD053</w:t>
            </w:r>
          </w:p>
        </w:tc>
        <w:tc>
          <w:tcPr>
            <w:tcW w:w="0" w:type="auto"/>
            <w:shd w:val="clear" w:color="auto" w:fill="auto"/>
          </w:tcPr>
          <w:p w14:paraId="362BDFAF">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3354C11A">
            <w:pPr>
              <w:jc w:val="right"/>
              <w:rPr>
                <w:rFonts w:ascii="宋体" w:hAnsi="宋体" w:eastAsia="宋体" w:cs="宋体"/>
                <w:sz w:val="24"/>
                <w:szCs w:val="24"/>
              </w:rPr>
            </w:pPr>
            <w:r>
              <w:rPr>
                <w:rFonts w:hint="eastAsia" w:ascii="宋体" w:hAnsi="宋体" w:eastAsia="宋体"/>
              </w:rPr>
              <w:t>99,691,479.45</w:t>
            </w:r>
          </w:p>
        </w:tc>
        <w:tc>
          <w:tcPr>
            <w:tcW w:w="0" w:type="auto"/>
            <w:shd w:val="clear" w:color="auto" w:fill="auto"/>
          </w:tcPr>
          <w:p w14:paraId="46E96FD9">
            <w:pPr>
              <w:jc w:val="right"/>
              <w:rPr>
                <w:rFonts w:ascii="宋体" w:hAnsi="宋体" w:eastAsia="宋体" w:cs="宋体"/>
                <w:sz w:val="24"/>
                <w:szCs w:val="24"/>
              </w:rPr>
            </w:pPr>
            <w:r>
              <w:rPr>
                <w:rFonts w:hint="eastAsia" w:ascii="宋体" w:hAnsi="宋体" w:eastAsia="宋体"/>
              </w:rPr>
              <w:t>9.86</w:t>
            </w:r>
          </w:p>
        </w:tc>
      </w:tr>
    </w:tbl>
    <w:p w14:paraId="4FAA09BE">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14:paraId="3904F67A">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2E67D090">
      <w:pPr>
        <w:pStyle w:val="7"/>
        <w:spacing w:before="0" w:beforeAutospacing="0" w:after="0" w:afterAutospacing="0" w:line="360" w:lineRule="auto"/>
        <w:ind w:firstLine="420"/>
        <w:rPr>
          <w:sz w:val="21"/>
          <w:szCs w:val="21"/>
        </w:rPr>
      </w:pPr>
      <w:r>
        <w:rPr>
          <w:rStyle w:val="11"/>
          <w:rFonts w:hint="eastAsia"/>
          <w:sz w:val="21"/>
          <w:szCs w:val="21"/>
        </w:rPr>
        <w:t>7 报告期末按公允价值占基金资产净值比例大小排序的前五名贵金属投资明细</w:t>
      </w:r>
    </w:p>
    <w:p w14:paraId="5C8CE1B7">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36233E37">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0EF55916">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546ED15B">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70A71115">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3203F9AD">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1AE2593B">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25F76468">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2454BEF">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4F23F127">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14:paraId="4B522D80">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212F79B3">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14:paraId="76839130">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5725DD78">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42F909FE">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664F7716">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农业发展银行在报告编制前一年受到国家外汇管理局枣庄市分局、河南金融监管局、湖北金融监管局的处罚。中国工商银行股份有限公司在报告编制前一年受到中国人民银行南阳市分行、国家外汇管理局泉州市分局、国家外汇管理局福建省分局、国家税务总局咸宁市税务局、国家金融监督管理总局上海监管局、宁夏回族自治区市场监督管理厅的处罚。中国银行股份有限公司在报告编制前一年受到中国人民银行重庆市分行、三明市市场监管局、国家外汇管理局安徽省分局、国家金融监督管理总局上海监管局的处罚。国家开发银行在报告编制前一年受到中国人民银行湖北省分行、北京金融监管局、吉林金融监管局的处罚。国泰海通证券股份有限公司在报告编制前一年受到深圳证券交易所的通报批评。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5A71BE3E">
      <w:pPr>
        <w:pStyle w:val="7"/>
        <w:spacing w:before="0" w:beforeAutospacing="0" w:after="0" w:afterAutospacing="0" w:line="360" w:lineRule="auto"/>
        <w:ind w:firstLine="420"/>
        <w:rPr>
          <w:sz w:val="21"/>
          <w:szCs w:val="21"/>
        </w:rPr>
      </w:pPr>
      <w:r>
        <w:rPr>
          <w:rStyle w:val="11"/>
          <w:rFonts w:hint="eastAsia"/>
          <w:sz w:val="21"/>
          <w:szCs w:val="21"/>
        </w:rPr>
        <w:t>11.2其他资产构成</w:t>
      </w:r>
    </w:p>
    <w:p w14:paraId="12C9ADAF">
      <w:pPr>
        <w:pStyle w:val="7"/>
        <w:spacing w:before="0" w:beforeAutospacing="0" w:after="0" w:afterAutospacing="0" w:line="360" w:lineRule="auto"/>
        <w:ind w:firstLine="420"/>
        <w:rPr>
          <w:sz w:val="21"/>
          <w:szCs w:val="21"/>
        </w:rPr>
      </w:pPr>
      <w:r>
        <w:rPr>
          <w:rFonts w:hint="eastAsia"/>
          <w:sz w:val="21"/>
          <w:szCs w:val="21"/>
        </w:rPr>
        <w:t>本基金本报告期末未持有其他资产。</w:t>
      </w:r>
    </w:p>
    <w:p w14:paraId="58F29F0E">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p w14:paraId="6029439C">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426940B1">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14:paraId="2EEE5EB5">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501AD2C4">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14:paraId="49123F87">
      <w:pPr>
        <w:pStyle w:val="7"/>
        <w:spacing w:before="0" w:beforeAutospacing="0" w:after="0" w:afterAutospacing="0" w:line="360" w:lineRule="auto"/>
        <w:ind w:firstLine="420"/>
        <w:rPr>
          <w:sz w:val="21"/>
          <w:szCs w:val="21"/>
        </w:rPr>
      </w:pPr>
      <w:bookmarkStart w:id="139" w:name="chapter_level1_11_60_section_6_end"/>
      <w:bookmarkEnd w:id="139"/>
      <w:r>
        <w:rPr>
          <w:rFonts w:hint="eastAsia"/>
          <w:sz w:val="21"/>
          <w:szCs w:val="21"/>
        </w:rPr>
        <w:t>由于四舍五入的原因，分项之和与合计项之间可能存在尾差。</w:t>
      </w:r>
      <w:bookmarkStart w:id="140" w:name="field_0_fundportfolio_1_end"/>
      <w:bookmarkEnd w:id="140"/>
      <w:r>
        <w:rPr>
          <w:rFonts w:hint="eastAsia"/>
          <w:sz w:val="21"/>
          <w:szCs w:val="21"/>
        </w:rPr>
        <w:t xml:space="preserve">  </w:t>
      </w:r>
    </w:p>
    <w:p w14:paraId="7FA7FBCB">
      <w:pPr>
        <w:widowControl/>
        <w:jc w:val="left"/>
        <w:rPr>
          <w:rFonts w:ascii="宋体" w:hAnsi="宋体" w:eastAsia="宋体"/>
        </w:rPr>
      </w:pPr>
      <w:r>
        <w:rPr>
          <w:rFonts w:ascii="宋体" w:hAnsi="宋体" w:eastAsia="宋体"/>
        </w:rPr>
        <w:br w:type="page"/>
      </w:r>
    </w:p>
    <w:p w14:paraId="58DC2B65">
      <w:pPr>
        <w:pStyle w:val="2"/>
        <w:jc w:val="center"/>
        <w:rPr>
          <w:rFonts w:ascii="宋体" w:hAnsi="宋体" w:eastAsia="宋体"/>
          <w:sz w:val="30"/>
        </w:rPr>
      </w:pPr>
      <w:bookmarkStart w:id="141" w:name="chapter_level1_12_3500"/>
      <w:bookmarkStart w:id="142" w:name="_Toc208503992"/>
      <w:r>
        <w:rPr>
          <w:rFonts w:hint="eastAsia" w:ascii="宋体" w:hAnsi="宋体" w:eastAsia="宋体"/>
          <w:sz w:val="30"/>
        </w:rPr>
        <w:t>第九部分 基金的业绩</w:t>
      </w:r>
      <w:bookmarkEnd w:id="141"/>
      <w:bookmarkEnd w:id="142"/>
    </w:p>
    <w:p w14:paraId="3F98293E">
      <w:pPr>
        <w:pStyle w:val="7"/>
        <w:spacing w:before="0" w:beforeAutospacing="0" w:after="0" w:afterAutospacing="0" w:line="360" w:lineRule="auto"/>
        <w:ind w:firstLine="420"/>
        <w:rPr>
          <w:sz w:val="21"/>
          <w:szCs w:val="21"/>
        </w:rPr>
      </w:pPr>
      <w:bookmarkStart w:id="143" w:name="chapter_level1_12_3500_section_1"/>
      <w:bookmarkEnd w:id="143"/>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75278F92">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287B239E">
      <w:pPr>
        <w:pStyle w:val="7"/>
        <w:spacing w:before="0" w:beforeAutospacing="0" w:after="0" w:afterAutospacing="0" w:line="360" w:lineRule="auto"/>
        <w:ind w:firstLine="420"/>
        <w:rPr>
          <w:sz w:val="21"/>
          <w:szCs w:val="21"/>
        </w:rPr>
      </w:pPr>
      <w:bookmarkStart w:id="144" w:name="field_0_indatatable_1_start"/>
      <w:bookmarkEnd w:id="144"/>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0E97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2E3D466D">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045584BC">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41B95891">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3A90C8F">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9FD9FD4">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41AF3D1C">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CA4619C">
            <w:pPr>
              <w:jc w:val="center"/>
              <w:rPr>
                <w:rFonts w:ascii="宋体" w:hAnsi="宋体" w:eastAsia="宋体" w:cs="宋体"/>
                <w:sz w:val="24"/>
                <w:szCs w:val="24"/>
              </w:rPr>
            </w:pPr>
            <w:r>
              <w:rPr>
                <w:rFonts w:hint="eastAsia" w:ascii="宋体" w:hAnsi="宋体" w:eastAsia="宋体"/>
              </w:rPr>
              <w:t>②-④</w:t>
            </w:r>
          </w:p>
        </w:tc>
      </w:tr>
      <w:tr w14:paraId="06DB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A1AE23">
            <w:pPr>
              <w:jc w:val="center"/>
              <w:rPr>
                <w:rFonts w:ascii="宋体" w:hAnsi="宋体" w:eastAsia="宋体" w:cs="宋体"/>
                <w:sz w:val="24"/>
                <w:szCs w:val="24"/>
              </w:rPr>
            </w:pPr>
            <w:r>
              <w:rPr>
                <w:rFonts w:hint="eastAsia" w:ascii="宋体" w:hAnsi="宋体" w:eastAsia="宋体"/>
              </w:rPr>
              <w:t>2020.01.15-2020.12.31</w:t>
            </w:r>
          </w:p>
        </w:tc>
        <w:tc>
          <w:tcPr>
            <w:tcW w:w="0" w:type="auto"/>
            <w:shd w:val="clear" w:color="auto" w:fill="auto"/>
          </w:tcPr>
          <w:p w14:paraId="6B25406E">
            <w:pPr>
              <w:jc w:val="center"/>
              <w:rPr>
                <w:rFonts w:ascii="宋体" w:hAnsi="宋体" w:eastAsia="宋体" w:cs="宋体"/>
                <w:sz w:val="24"/>
                <w:szCs w:val="24"/>
              </w:rPr>
            </w:pPr>
            <w:r>
              <w:rPr>
                <w:rFonts w:hint="eastAsia" w:ascii="宋体" w:hAnsi="宋体" w:eastAsia="宋体"/>
              </w:rPr>
              <w:t>2.04%</w:t>
            </w:r>
          </w:p>
        </w:tc>
        <w:tc>
          <w:tcPr>
            <w:tcW w:w="0" w:type="auto"/>
            <w:shd w:val="clear" w:color="auto" w:fill="auto"/>
          </w:tcPr>
          <w:p w14:paraId="35A3D418">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127F1AE1">
            <w:pPr>
              <w:jc w:val="center"/>
              <w:rPr>
                <w:rFonts w:ascii="宋体" w:hAnsi="宋体" w:eastAsia="宋体" w:cs="宋体"/>
                <w:sz w:val="24"/>
                <w:szCs w:val="24"/>
              </w:rPr>
            </w:pPr>
            <w:r>
              <w:rPr>
                <w:rFonts w:hint="eastAsia" w:ascii="宋体" w:hAnsi="宋体" w:eastAsia="宋体"/>
              </w:rPr>
              <w:t>2.59%</w:t>
            </w:r>
          </w:p>
        </w:tc>
        <w:tc>
          <w:tcPr>
            <w:tcW w:w="0" w:type="auto"/>
            <w:shd w:val="clear" w:color="auto" w:fill="auto"/>
          </w:tcPr>
          <w:p w14:paraId="6E04B7D0">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7F7ED3DD">
            <w:pPr>
              <w:jc w:val="center"/>
              <w:rPr>
                <w:rFonts w:ascii="宋体" w:hAnsi="宋体" w:eastAsia="宋体" w:cs="宋体"/>
                <w:sz w:val="24"/>
                <w:szCs w:val="24"/>
              </w:rPr>
            </w:pPr>
            <w:r>
              <w:rPr>
                <w:rFonts w:hint="eastAsia" w:ascii="宋体" w:hAnsi="宋体" w:eastAsia="宋体"/>
              </w:rPr>
              <w:t>-0.55%</w:t>
            </w:r>
          </w:p>
        </w:tc>
        <w:tc>
          <w:tcPr>
            <w:tcW w:w="0" w:type="auto"/>
            <w:shd w:val="clear" w:color="auto" w:fill="auto"/>
          </w:tcPr>
          <w:p w14:paraId="62C472CC">
            <w:pPr>
              <w:jc w:val="center"/>
              <w:rPr>
                <w:rFonts w:ascii="宋体" w:hAnsi="宋体" w:eastAsia="宋体" w:cs="宋体"/>
                <w:sz w:val="24"/>
                <w:szCs w:val="24"/>
              </w:rPr>
            </w:pPr>
            <w:r>
              <w:rPr>
                <w:rFonts w:hint="eastAsia" w:ascii="宋体" w:hAnsi="宋体" w:eastAsia="宋体"/>
              </w:rPr>
              <w:t>-0.04%</w:t>
            </w:r>
          </w:p>
        </w:tc>
      </w:tr>
      <w:tr w14:paraId="2EC11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D93FD4">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14A7F6E9">
            <w:pPr>
              <w:jc w:val="center"/>
              <w:rPr>
                <w:rFonts w:ascii="宋体" w:hAnsi="宋体" w:eastAsia="宋体" w:cs="宋体"/>
                <w:sz w:val="24"/>
                <w:szCs w:val="24"/>
              </w:rPr>
            </w:pPr>
            <w:r>
              <w:rPr>
                <w:rFonts w:hint="eastAsia" w:ascii="宋体" w:hAnsi="宋体" w:eastAsia="宋体"/>
              </w:rPr>
              <w:t>3.84%</w:t>
            </w:r>
          </w:p>
        </w:tc>
        <w:tc>
          <w:tcPr>
            <w:tcW w:w="0" w:type="auto"/>
            <w:shd w:val="clear" w:color="auto" w:fill="auto"/>
          </w:tcPr>
          <w:p w14:paraId="353CDBEA">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0662AFAE">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14:paraId="3D491AA8">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FC02B5D">
            <w:pPr>
              <w:jc w:val="center"/>
              <w:rPr>
                <w:rFonts w:ascii="宋体" w:hAnsi="宋体" w:eastAsia="宋体" w:cs="宋体"/>
                <w:sz w:val="24"/>
                <w:szCs w:val="24"/>
              </w:rPr>
            </w:pPr>
            <w:r>
              <w:rPr>
                <w:rFonts w:hint="eastAsia" w:ascii="宋体" w:hAnsi="宋体" w:eastAsia="宋体"/>
              </w:rPr>
              <w:t>-0.89%</w:t>
            </w:r>
          </w:p>
        </w:tc>
        <w:tc>
          <w:tcPr>
            <w:tcW w:w="0" w:type="auto"/>
            <w:shd w:val="clear" w:color="auto" w:fill="auto"/>
          </w:tcPr>
          <w:p w14:paraId="79C05FA8">
            <w:pPr>
              <w:jc w:val="center"/>
              <w:rPr>
                <w:rFonts w:ascii="宋体" w:hAnsi="宋体" w:eastAsia="宋体" w:cs="宋体"/>
                <w:sz w:val="24"/>
                <w:szCs w:val="24"/>
              </w:rPr>
            </w:pPr>
            <w:r>
              <w:rPr>
                <w:rFonts w:hint="eastAsia" w:ascii="宋体" w:hAnsi="宋体" w:eastAsia="宋体"/>
              </w:rPr>
              <w:t>-0.01%</w:t>
            </w:r>
          </w:p>
        </w:tc>
      </w:tr>
      <w:tr w14:paraId="33588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5D4B4C">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52A7077E">
            <w:pPr>
              <w:jc w:val="center"/>
              <w:rPr>
                <w:rFonts w:ascii="宋体" w:hAnsi="宋体" w:eastAsia="宋体" w:cs="宋体"/>
                <w:sz w:val="24"/>
                <w:szCs w:val="24"/>
              </w:rPr>
            </w:pPr>
            <w:r>
              <w:rPr>
                <w:rFonts w:hint="eastAsia" w:ascii="宋体" w:hAnsi="宋体" w:eastAsia="宋体"/>
              </w:rPr>
              <w:t>2.29%</w:t>
            </w:r>
          </w:p>
        </w:tc>
        <w:tc>
          <w:tcPr>
            <w:tcW w:w="0" w:type="auto"/>
            <w:shd w:val="clear" w:color="auto" w:fill="auto"/>
          </w:tcPr>
          <w:p w14:paraId="725E28F9">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1E6036F5">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6508462B">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27DBEE28">
            <w:pPr>
              <w:jc w:val="center"/>
              <w:rPr>
                <w:rFonts w:ascii="宋体" w:hAnsi="宋体" w:eastAsia="宋体" w:cs="宋体"/>
                <w:sz w:val="24"/>
                <w:szCs w:val="24"/>
              </w:rPr>
            </w:pPr>
            <w:r>
              <w:rPr>
                <w:rFonts w:hint="eastAsia" w:ascii="宋体" w:hAnsi="宋体" w:eastAsia="宋体"/>
              </w:rPr>
              <w:t>-0.83%</w:t>
            </w:r>
          </w:p>
        </w:tc>
        <w:tc>
          <w:tcPr>
            <w:tcW w:w="0" w:type="auto"/>
            <w:shd w:val="clear" w:color="auto" w:fill="auto"/>
          </w:tcPr>
          <w:p w14:paraId="2B1E6CD0">
            <w:pPr>
              <w:jc w:val="center"/>
              <w:rPr>
                <w:rFonts w:ascii="宋体" w:hAnsi="宋体" w:eastAsia="宋体" w:cs="宋体"/>
                <w:sz w:val="24"/>
                <w:szCs w:val="24"/>
              </w:rPr>
            </w:pPr>
            <w:r>
              <w:rPr>
                <w:rFonts w:hint="eastAsia" w:ascii="宋体" w:hAnsi="宋体" w:eastAsia="宋体"/>
              </w:rPr>
              <w:t>-0.01%</w:t>
            </w:r>
          </w:p>
        </w:tc>
      </w:tr>
      <w:tr w14:paraId="7F013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2EAB80">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405A107">
            <w:pPr>
              <w:jc w:val="center"/>
              <w:rPr>
                <w:rFonts w:ascii="宋体" w:hAnsi="宋体" w:eastAsia="宋体" w:cs="宋体"/>
                <w:sz w:val="24"/>
                <w:szCs w:val="24"/>
              </w:rPr>
            </w:pPr>
            <w:r>
              <w:rPr>
                <w:rFonts w:hint="eastAsia" w:ascii="宋体" w:hAnsi="宋体" w:eastAsia="宋体"/>
              </w:rPr>
              <w:t>2.42%</w:t>
            </w:r>
          </w:p>
        </w:tc>
        <w:tc>
          <w:tcPr>
            <w:tcW w:w="0" w:type="auto"/>
            <w:shd w:val="clear" w:color="auto" w:fill="auto"/>
          </w:tcPr>
          <w:p w14:paraId="47E93F94">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16AF183F">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14:paraId="00FED34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DD50021">
            <w:pPr>
              <w:jc w:val="center"/>
              <w:rPr>
                <w:rFonts w:ascii="宋体" w:hAnsi="宋体" w:eastAsia="宋体" w:cs="宋体"/>
                <w:sz w:val="24"/>
                <w:szCs w:val="24"/>
              </w:rPr>
            </w:pPr>
            <w:r>
              <w:rPr>
                <w:rFonts w:hint="eastAsia" w:ascii="宋体" w:hAnsi="宋体" w:eastAsia="宋体"/>
              </w:rPr>
              <w:t>-2.03%</w:t>
            </w:r>
          </w:p>
        </w:tc>
        <w:tc>
          <w:tcPr>
            <w:tcW w:w="0" w:type="auto"/>
            <w:shd w:val="clear" w:color="auto" w:fill="auto"/>
          </w:tcPr>
          <w:p w14:paraId="25E71E51">
            <w:pPr>
              <w:jc w:val="center"/>
              <w:rPr>
                <w:rFonts w:ascii="宋体" w:hAnsi="宋体" w:eastAsia="宋体" w:cs="宋体"/>
                <w:sz w:val="24"/>
                <w:szCs w:val="24"/>
              </w:rPr>
            </w:pPr>
            <w:r>
              <w:rPr>
                <w:rFonts w:hint="eastAsia" w:ascii="宋体" w:hAnsi="宋体" w:eastAsia="宋体"/>
              </w:rPr>
              <w:t>-0.01%</w:t>
            </w:r>
          </w:p>
        </w:tc>
      </w:tr>
      <w:tr w14:paraId="06892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C8A62A">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1C79E330">
            <w:pPr>
              <w:jc w:val="center"/>
              <w:rPr>
                <w:rFonts w:ascii="宋体" w:hAnsi="宋体" w:eastAsia="宋体" w:cs="宋体"/>
                <w:sz w:val="24"/>
                <w:szCs w:val="24"/>
              </w:rPr>
            </w:pPr>
            <w:r>
              <w:rPr>
                <w:rFonts w:hint="eastAsia" w:ascii="宋体" w:hAnsi="宋体" w:eastAsia="宋体"/>
              </w:rPr>
              <w:t>3.51%</w:t>
            </w:r>
          </w:p>
        </w:tc>
        <w:tc>
          <w:tcPr>
            <w:tcW w:w="0" w:type="auto"/>
            <w:shd w:val="clear" w:color="auto" w:fill="auto"/>
          </w:tcPr>
          <w:p w14:paraId="0DB1333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99C1F17">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0D27E5C5">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58690FB1">
            <w:pPr>
              <w:jc w:val="center"/>
              <w:rPr>
                <w:rFonts w:ascii="宋体" w:hAnsi="宋体" w:eastAsia="宋体" w:cs="宋体"/>
                <w:sz w:val="24"/>
                <w:szCs w:val="24"/>
              </w:rPr>
            </w:pPr>
            <w:r>
              <w:rPr>
                <w:rFonts w:hint="eastAsia" w:ascii="宋体" w:hAnsi="宋体" w:eastAsia="宋体"/>
              </w:rPr>
              <w:t>-3.48%</w:t>
            </w:r>
          </w:p>
        </w:tc>
        <w:tc>
          <w:tcPr>
            <w:tcW w:w="0" w:type="auto"/>
            <w:shd w:val="clear" w:color="auto" w:fill="auto"/>
          </w:tcPr>
          <w:p w14:paraId="70C95DBF">
            <w:pPr>
              <w:jc w:val="center"/>
              <w:rPr>
                <w:rFonts w:ascii="宋体" w:hAnsi="宋体" w:eastAsia="宋体" w:cs="宋体"/>
                <w:sz w:val="24"/>
                <w:szCs w:val="24"/>
              </w:rPr>
            </w:pPr>
            <w:r>
              <w:rPr>
                <w:rFonts w:hint="eastAsia" w:ascii="宋体" w:hAnsi="宋体" w:eastAsia="宋体"/>
              </w:rPr>
              <w:t>-0.04%</w:t>
            </w:r>
          </w:p>
        </w:tc>
      </w:tr>
      <w:tr w14:paraId="6040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C2CCA1">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57CE2ABF">
            <w:pPr>
              <w:jc w:val="center"/>
              <w:rPr>
                <w:rFonts w:ascii="宋体" w:hAnsi="宋体" w:eastAsia="宋体" w:cs="宋体"/>
                <w:sz w:val="24"/>
                <w:szCs w:val="24"/>
              </w:rPr>
            </w:pPr>
            <w:r>
              <w:rPr>
                <w:rFonts w:hint="eastAsia" w:ascii="宋体" w:hAnsi="宋体" w:eastAsia="宋体"/>
              </w:rPr>
              <w:t>0.50%</w:t>
            </w:r>
          </w:p>
        </w:tc>
        <w:tc>
          <w:tcPr>
            <w:tcW w:w="0" w:type="auto"/>
            <w:shd w:val="clear" w:color="auto" w:fill="auto"/>
          </w:tcPr>
          <w:p w14:paraId="3F7F2F15">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4C53FBEB">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14:paraId="28E59649">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7BB18E38">
            <w:pPr>
              <w:jc w:val="center"/>
              <w:rPr>
                <w:rFonts w:ascii="宋体" w:hAnsi="宋体" w:eastAsia="宋体" w:cs="宋体"/>
                <w:sz w:val="24"/>
                <w:szCs w:val="24"/>
              </w:rPr>
            </w:pPr>
            <w:r>
              <w:rPr>
                <w:rFonts w:hint="eastAsia" w:ascii="宋体" w:hAnsi="宋体" w:eastAsia="宋体"/>
              </w:rPr>
              <w:t>-0.52%</w:t>
            </w:r>
          </w:p>
        </w:tc>
        <w:tc>
          <w:tcPr>
            <w:tcW w:w="0" w:type="auto"/>
            <w:shd w:val="clear" w:color="auto" w:fill="auto"/>
          </w:tcPr>
          <w:p w14:paraId="2A11A9BE">
            <w:pPr>
              <w:jc w:val="center"/>
              <w:rPr>
                <w:rFonts w:ascii="宋体" w:hAnsi="宋体" w:eastAsia="宋体" w:cs="宋体"/>
                <w:sz w:val="24"/>
                <w:szCs w:val="24"/>
              </w:rPr>
            </w:pPr>
            <w:r>
              <w:rPr>
                <w:rFonts w:hint="eastAsia" w:ascii="宋体" w:hAnsi="宋体" w:eastAsia="宋体"/>
              </w:rPr>
              <w:t>-0.06%</w:t>
            </w:r>
          </w:p>
        </w:tc>
      </w:tr>
      <w:tr w14:paraId="6BDB8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415E00">
            <w:pPr>
              <w:jc w:val="center"/>
              <w:rPr>
                <w:rFonts w:ascii="宋体" w:hAnsi="宋体" w:eastAsia="宋体" w:cs="宋体"/>
                <w:sz w:val="24"/>
                <w:szCs w:val="24"/>
              </w:rPr>
            </w:pPr>
            <w:r>
              <w:rPr>
                <w:rFonts w:hint="eastAsia" w:ascii="宋体" w:hAnsi="宋体" w:eastAsia="宋体"/>
              </w:rPr>
              <w:t>2020.01.15-2025.06.30</w:t>
            </w:r>
          </w:p>
        </w:tc>
        <w:tc>
          <w:tcPr>
            <w:tcW w:w="0" w:type="auto"/>
            <w:shd w:val="clear" w:color="auto" w:fill="auto"/>
          </w:tcPr>
          <w:p w14:paraId="77E1B0C0">
            <w:pPr>
              <w:jc w:val="center"/>
              <w:rPr>
                <w:rFonts w:ascii="宋体" w:hAnsi="宋体" w:eastAsia="宋体" w:cs="宋体"/>
                <w:sz w:val="24"/>
                <w:szCs w:val="24"/>
              </w:rPr>
            </w:pPr>
            <w:r>
              <w:rPr>
                <w:rFonts w:hint="eastAsia" w:ascii="宋体" w:hAnsi="宋体" w:eastAsia="宋体"/>
              </w:rPr>
              <w:t>15.48%</w:t>
            </w:r>
          </w:p>
        </w:tc>
        <w:tc>
          <w:tcPr>
            <w:tcW w:w="0" w:type="auto"/>
            <w:shd w:val="clear" w:color="auto" w:fill="auto"/>
          </w:tcPr>
          <w:p w14:paraId="4448B022">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0B77113">
            <w:pPr>
              <w:jc w:val="center"/>
              <w:rPr>
                <w:rFonts w:ascii="宋体" w:hAnsi="宋体" w:eastAsia="宋体" w:cs="宋体"/>
                <w:sz w:val="24"/>
                <w:szCs w:val="24"/>
              </w:rPr>
            </w:pPr>
            <w:r>
              <w:rPr>
                <w:rFonts w:hint="eastAsia" w:ascii="宋体" w:hAnsi="宋体" w:eastAsia="宋体"/>
              </w:rPr>
              <w:t>25.07%</w:t>
            </w:r>
          </w:p>
        </w:tc>
        <w:tc>
          <w:tcPr>
            <w:tcW w:w="0" w:type="auto"/>
            <w:shd w:val="clear" w:color="auto" w:fill="auto"/>
          </w:tcPr>
          <w:p w14:paraId="6371702E">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14:paraId="11CDE9AE">
            <w:pPr>
              <w:jc w:val="center"/>
              <w:rPr>
                <w:rFonts w:ascii="宋体" w:hAnsi="宋体" w:eastAsia="宋体" w:cs="宋体"/>
                <w:sz w:val="24"/>
                <w:szCs w:val="24"/>
              </w:rPr>
            </w:pPr>
            <w:r>
              <w:rPr>
                <w:rFonts w:hint="eastAsia" w:ascii="宋体" w:hAnsi="宋体" w:eastAsia="宋体"/>
              </w:rPr>
              <w:t>-9.59%</w:t>
            </w:r>
          </w:p>
        </w:tc>
        <w:tc>
          <w:tcPr>
            <w:tcW w:w="0" w:type="auto"/>
            <w:shd w:val="clear" w:color="auto" w:fill="auto"/>
          </w:tcPr>
          <w:p w14:paraId="489B838E">
            <w:pPr>
              <w:jc w:val="center"/>
              <w:rPr>
                <w:rFonts w:ascii="宋体" w:hAnsi="宋体" w:eastAsia="宋体" w:cs="宋体"/>
                <w:sz w:val="24"/>
                <w:szCs w:val="24"/>
              </w:rPr>
            </w:pPr>
            <w:r>
              <w:rPr>
                <w:rFonts w:hint="eastAsia" w:ascii="宋体" w:hAnsi="宋体" w:eastAsia="宋体"/>
              </w:rPr>
              <w:t>-0.03%</w:t>
            </w:r>
          </w:p>
        </w:tc>
      </w:tr>
    </w:tbl>
    <w:p w14:paraId="1BB3FBFE">
      <w:pPr>
        <w:pStyle w:val="7"/>
        <w:spacing w:before="0" w:beforeAutospacing="0" w:after="0" w:afterAutospacing="0" w:line="360" w:lineRule="auto"/>
        <w:ind w:firstLine="420"/>
        <w:rPr>
          <w:sz w:val="21"/>
          <w:szCs w:val="21"/>
        </w:rPr>
      </w:pPr>
      <w:bookmarkStart w:id="145" w:name="field_0_indatatable_1_end"/>
      <w:bookmarkEnd w:id="145"/>
      <w:bookmarkStart w:id="146" w:name="chapter_level1_12_3500_section_1_end"/>
      <w:bookmarkEnd w:id="146"/>
      <w:r>
        <w:rPr>
          <w:rFonts w:hint="eastAsia"/>
          <w:sz w:val="21"/>
          <w:szCs w:val="21"/>
        </w:rPr>
        <w:t xml:space="preserve">  </w:t>
      </w:r>
    </w:p>
    <w:p w14:paraId="43AF0B35">
      <w:pPr>
        <w:widowControl/>
        <w:jc w:val="left"/>
        <w:rPr>
          <w:rFonts w:ascii="宋体" w:hAnsi="宋体" w:eastAsia="宋体"/>
        </w:rPr>
      </w:pPr>
      <w:r>
        <w:rPr>
          <w:rFonts w:ascii="宋体" w:hAnsi="宋体" w:eastAsia="宋体"/>
        </w:rPr>
        <w:br w:type="page"/>
      </w:r>
    </w:p>
    <w:p w14:paraId="0FB8BF0C">
      <w:pPr>
        <w:pStyle w:val="2"/>
        <w:jc w:val="center"/>
        <w:rPr>
          <w:rFonts w:ascii="宋体" w:hAnsi="宋体" w:eastAsia="宋体"/>
          <w:sz w:val="30"/>
        </w:rPr>
      </w:pPr>
      <w:bookmarkStart w:id="147" w:name="_Toc208503993"/>
      <w:bookmarkStart w:id="148" w:name="chapter_level1_13_62"/>
      <w:r>
        <w:rPr>
          <w:rFonts w:hint="eastAsia" w:ascii="宋体" w:hAnsi="宋体" w:eastAsia="宋体"/>
          <w:sz w:val="30"/>
        </w:rPr>
        <w:t>第十部分  基金的财产</w:t>
      </w:r>
      <w:bookmarkEnd w:id="147"/>
      <w:bookmarkEnd w:id="148"/>
    </w:p>
    <w:p w14:paraId="63A94F81">
      <w:pPr>
        <w:pStyle w:val="7"/>
        <w:spacing w:before="0" w:beforeAutospacing="0" w:after="0" w:afterAutospacing="0" w:line="360" w:lineRule="auto"/>
        <w:ind w:firstLine="420"/>
        <w:rPr>
          <w:sz w:val="21"/>
          <w:szCs w:val="21"/>
        </w:rPr>
      </w:pPr>
      <w:bookmarkStart w:id="149" w:name="chapter_level1_13_62_section_1"/>
      <w:bookmarkEnd w:id="149"/>
      <w:r>
        <w:rPr>
          <w:rStyle w:val="11"/>
          <w:rFonts w:hint="eastAsia"/>
          <w:sz w:val="21"/>
          <w:szCs w:val="21"/>
        </w:rPr>
        <w:t>一、基金资产总值</w:t>
      </w:r>
    </w:p>
    <w:p w14:paraId="00B72E0B">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053506B9">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750FE2AB">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B58557D">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6C2987F7">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4333BCB">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1C61895E">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7B32FA1E">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0" w:name="chapter_level1_13_62_section_1_end"/>
      <w:bookmarkEnd w:id="150"/>
      <w:r>
        <w:rPr>
          <w:rFonts w:hint="eastAsia"/>
          <w:sz w:val="21"/>
          <w:szCs w:val="21"/>
        </w:rPr>
        <w:t xml:space="preserve">得相互抵销。 </w:t>
      </w:r>
    </w:p>
    <w:p w14:paraId="20C361DF">
      <w:pPr>
        <w:widowControl/>
        <w:jc w:val="left"/>
        <w:rPr>
          <w:rFonts w:ascii="宋体" w:hAnsi="宋体" w:eastAsia="宋体"/>
        </w:rPr>
      </w:pPr>
      <w:r>
        <w:rPr>
          <w:rFonts w:ascii="宋体" w:hAnsi="宋体" w:eastAsia="宋体"/>
        </w:rPr>
        <w:br w:type="page"/>
      </w:r>
    </w:p>
    <w:p w14:paraId="6215D44D">
      <w:pPr>
        <w:pStyle w:val="2"/>
        <w:jc w:val="center"/>
        <w:rPr>
          <w:rFonts w:ascii="宋体" w:hAnsi="宋体" w:eastAsia="宋体"/>
          <w:sz w:val="30"/>
        </w:rPr>
      </w:pPr>
      <w:bookmarkStart w:id="151" w:name="_Toc208503994"/>
      <w:bookmarkStart w:id="152" w:name="chapter_level1_14_63"/>
      <w:r>
        <w:rPr>
          <w:rFonts w:hint="eastAsia" w:ascii="宋体" w:hAnsi="宋体" w:eastAsia="宋体"/>
          <w:sz w:val="30"/>
        </w:rPr>
        <w:t>第十一部分  基金资产的估值</w:t>
      </w:r>
      <w:bookmarkEnd w:id="151"/>
      <w:bookmarkEnd w:id="152"/>
    </w:p>
    <w:p w14:paraId="659485BD">
      <w:pPr>
        <w:pStyle w:val="7"/>
        <w:spacing w:before="0" w:beforeAutospacing="0" w:after="0" w:afterAutospacing="0" w:line="360" w:lineRule="auto"/>
        <w:ind w:firstLine="420"/>
        <w:rPr>
          <w:sz w:val="21"/>
          <w:szCs w:val="21"/>
        </w:rPr>
      </w:pPr>
      <w:bookmarkStart w:id="153" w:name="chapter_level1_14_63_section_1"/>
      <w:bookmarkEnd w:id="153"/>
      <w:r>
        <w:rPr>
          <w:rStyle w:val="11"/>
          <w:rFonts w:hint="eastAsia"/>
          <w:sz w:val="21"/>
          <w:szCs w:val="21"/>
        </w:rPr>
        <w:t>一、估值日</w:t>
      </w:r>
    </w:p>
    <w:p w14:paraId="771D89A2">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342F6280">
      <w:pPr>
        <w:pStyle w:val="7"/>
        <w:spacing w:before="0" w:beforeAutospacing="0" w:after="0" w:afterAutospacing="0" w:line="360" w:lineRule="auto"/>
        <w:ind w:firstLine="420"/>
        <w:rPr>
          <w:sz w:val="21"/>
          <w:szCs w:val="21"/>
        </w:rPr>
      </w:pPr>
      <w:r>
        <w:rPr>
          <w:rStyle w:val="11"/>
          <w:rFonts w:hint="eastAsia"/>
          <w:sz w:val="21"/>
          <w:szCs w:val="21"/>
        </w:rPr>
        <w:t>二、估值对象</w:t>
      </w:r>
    </w:p>
    <w:p w14:paraId="1E144B3F">
      <w:pPr>
        <w:pStyle w:val="7"/>
        <w:spacing w:before="0" w:beforeAutospacing="0" w:after="0" w:afterAutospacing="0" w:line="360" w:lineRule="auto"/>
        <w:ind w:firstLine="420"/>
        <w:rPr>
          <w:sz w:val="21"/>
          <w:szCs w:val="21"/>
        </w:rPr>
      </w:pPr>
      <w:r>
        <w:rPr>
          <w:rFonts w:hint="eastAsia"/>
          <w:sz w:val="21"/>
          <w:szCs w:val="21"/>
        </w:rPr>
        <w:t xml:space="preserve">基金所拥有的债券、国债期货合约和银行存款本息、应收款项、其它投资等资产及负债。 </w:t>
      </w:r>
    </w:p>
    <w:p w14:paraId="5D66B23A">
      <w:pPr>
        <w:pStyle w:val="7"/>
        <w:spacing w:before="0" w:beforeAutospacing="0" w:after="0" w:afterAutospacing="0" w:line="360" w:lineRule="auto"/>
        <w:ind w:firstLine="420"/>
        <w:rPr>
          <w:sz w:val="21"/>
          <w:szCs w:val="21"/>
        </w:rPr>
      </w:pPr>
      <w:r>
        <w:rPr>
          <w:rStyle w:val="11"/>
          <w:rFonts w:hint="eastAsia"/>
          <w:sz w:val="21"/>
          <w:szCs w:val="21"/>
        </w:rPr>
        <w:t>三、估值原则</w:t>
      </w:r>
    </w:p>
    <w:p w14:paraId="1D249966">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1003CFA4">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5F3665AA">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52A43695">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61E60BD2">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3653A2F1">
      <w:pPr>
        <w:pStyle w:val="7"/>
        <w:spacing w:before="0" w:beforeAutospacing="0" w:after="0" w:afterAutospacing="0" w:line="360" w:lineRule="auto"/>
        <w:ind w:firstLine="420"/>
        <w:rPr>
          <w:sz w:val="21"/>
          <w:szCs w:val="21"/>
        </w:rPr>
      </w:pPr>
      <w:r>
        <w:rPr>
          <w:rFonts w:hint="eastAsia"/>
          <w:sz w:val="21"/>
          <w:szCs w:val="21"/>
        </w:rPr>
        <w:t xml:space="preserve">四、估值方法 </w:t>
      </w:r>
    </w:p>
    <w:p w14:paraId="2BA9B54A">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748A6048">
      <w:pPr>
        <w:pStyle w:val="7"/>
        <w:spacing w:before="0" w:beforeAutospacing="0" w:after="0" w:afterAutospacing="0" w:line="360" w:lineRule="auto"/>
        <w:ind w:firstLine="420"/>
        <w:rPr>
          <w:sz w:val="21"/>
          <w:szCs w:val="21"/>
        </w:rPr>
      </w:pPr>
      <w:r>
        <w:rPr>
          <w:rFonts w:hint="eastAsia"/>
          <w:sz w:val="21"/>
          <w:szCs w:val="21"/>
        </w:rPr>
        <w:t xml:space="preserve">（1）交易所上市交易或挂牌转让的固定收益品种（基金合同另有规定的除外），选取估值日第三方估值机构提供的相应品种对应的估值净价估值，具体估值机构由基金管理人与基金托管人另行协商约定； </w:t>
      </w:r>
    </w:p>
    <w:p w14:paraId="0880AEE2">
      <w:pPr>
        <w:pStyle w:val="7"/>
        <w:spacing w:before="0" w:beforeAutospacing="0" w:after="0" w:afterAutospacing="0" w:line="360" w:lineRule="auto"/>
        <w:ind w:firstLine="420"/>
        <w:rPr>
          <w:sz w:val="21"/>
          <w:szCs w:val="21"/>
        </w:rPr>
      </w:pPr>
      <w:r>
        <w:rPr>
          <w:rFonts w:hint="eastAsia"/>
          <w:sz w:val="21"/>
          <w:szCs w:val="21"/>
        </w:rPr>
        <w:t xml:space="preserve">（2）交易所上市不存在活跃市场的有价证券，采用估值技术确定公允价值。交易所上市的资产支持证券，采用估值技术确定公允价值，在估值技术难以可靠计量公允价值的情况下，按成本估值。 </w:t>
      </w:r>
    </w:p>
    <w:p w14:paraId="01A360D2">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69CB51C9">
      <w:pPr>
        <w:pStyle w:val="7"/>
        <w:spacing w:before="0" w:beforeAutospacing="0" w:after="0" w:afterAutospacing="0" w:line="360" w:lineRule="auto"/>
        <w:ind w:firstLine="420"/>
        <w:rPr>
          <w:sz w:val="21"/>
          <w:szCs w:val="21"/>
        </w:rPr>
      </w:pPr>
      <w:r>
        <w:rPr>
          <w:rFonts w:hint="eastAsia"/>
          <w:sz w:val="21"/>
          <w:szCs w:val="21"/>
        </w:rPr>
        <w:t xml:space="preserve">3、同业存单、全国银行间债券市场交易的债券、资产支持证券等固定收益品种，采用估值技术确定公允价值。 </w:t>
      </w:r>
    </w:p>
    <w:p w14:paraId="6B6AD8EE">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48DA582E">
      <w:pPr>
        <w:pStyle w:val="7"/>
        <w:spacing w:before="0" w:beforeAutospacing="0" w:after="0" w:afterAutospacing="0" w:line="360" w:lineRule="auto"/>
        <w:ind w:firstLine="420"/>
        <w:rPr>
          <w:sz w:val="21"/>
          <w:szCs w:val="21"/>
        </w:rPr>
      </w:pPr>
      <w:r>
        <w:rPr>
          <w:rFonts w:hint="eastAsia"/>
          <w:sz w:val="21"/>
          <w:szCs w:val="21"/>
        </w:rPr>
        <w:t xml:space="preserve">5、基金投资的国债期货合约，一般以估值当日结算价进行估值，估值当日无结算价的，且最近交易日后经济环境未发生重大变化的，采用最近交易日结算价估值。 </w:t>
      </w:r>
    </w:p>
    <w:p w14:paraId="3C62B109">
      <w:pPr>
        <w:pStyle w:val="7"/>
        <w:spacing w:before="0" w:beforeAutospacing="0" w:after="0" w:afterAutospacing="0" w:line="360" w:lineRule="auto"/>
        <w:ind w:firstLine="420"/>
        <w:rPr>
          <w:sz w:val="21"/>
          <w:szCs w:val="21"/>
        </w:rPr>
      </w:pPr>
      <w:r>
        <w:rPr>
          <w:rFonts w:hint="eastAsia"/>
          <w:sz w:val="21"/>
          <w:szCs w:val="21"/>
        </w:rPr>
        <w:t xml:space="preserve">6、开放期内，当发生大额申购或赎回情形时，基金管理人可以采用摆动定价机制，以确保基金估值的公平性。 </w:t>
      </w:r>
    </w:p>
    <w:p w14:paraId="25E95849">
      <w:pPr>
        <w:pStyle w:val="7"/>
        <w:spacing w:before="0" w:beforeAutospacing="0" w:after="0" w:afterAutospacing="0" w:line="360" w:lineRule="auto"/>
        <w:ind w:firstLine="420"/>
        <w:rPr>
          <w:sz w:val="21"/>
          <w:szCs w:val="21"/>
        </w:rPr>
      </w:pPr>
      <w:r>
        <w:rPr>
          <w:rFonts w:hint="eastAsia"/>
          <w:sz w:val="21"/>
          <w:szCs w:val="21"/>
        </w:rPr>
        <w:t xml:space="preserve">7、如有确凿证据表明按上述方法进行估值不能客观反映其公允价值的，基金管理人可根据具体情况与基金托管人商定后，按最能反映公允价值的价格估值。 </w:t>
      </w:r>
    </w:p>
    <w:p w14:paraId="164F4361">
      <w:pPr>
        <w:pStyle w:val="7"/>
        <w:spacing w:before="0" w:beforeAutospacing="0" w:after="0" w:afterAutospacing="0" w:line="360" w:lineRule="auto"/>
        <w:ind w:firstLine="420"/>
        <w:rPr>
          <w:sz w:val="21"/>
          <w:szCs w:val="21"/>
        </w:rPr>
      </w:pPr>
      <w:r>
        <w:rPr>
          <w:rFonts w:hint="eastAsia"/>
          <w:sz w:val="21"/>
          <w:szCs w:val="21"/>
        </w:rPr>
        <w:t xml:space="preserve">8、相关法律法规以及监管部门有强制规定的，从其规定。如有新增事项，按国家最新规定估值。 </w:t>
      </w:r>
    </w:p>
    <w:p w14:paraId="5AC4B587">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6289C8F">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4" w:name="chapter_level1_14_63_section_1_end"/>
      <w:bookmarkEnd w:id="154"/>
      <w:r>
        <w:rPr>
          <w:rFonts w:hint="eastAsia"/>
          <w:sz w:val="21"/>
          <w:szCs w:val="21"/>
        </w:rPr>
        <w:t xml:space="preserve">对外予以公布。 </w:t>
      </w:r>
    </w:p>
    <w:p w14:paraId="5F909FA3">
      <w:pPr>
        <w:pStyle w:val="7"/>
        <w:spacing w:before="0" w:beforeAutospacing="0" w:after="0" w:afterAutospacing="0" w:line="360" w:lineRule="auto"/>
        <w:ind w:firstLine="420"/>
        <w:rPr>
          <w:sz w:val="21"/>
          <w:szCs w:val="21"/>
        </w:rPr>
      </w:pPr>
      <w:bookmarkStart w:id="155" w:name="chapter_level1_14_63_section_2"/>
      <w:bookmarkEnd w:id="155"/>
      <w:r>
        <w:rPr>
          <w:rStyle w:val="11"/>
          <w:rFonts w:hint="eastAsia"/>
          <w:sz w:val="21"/>
          <w:szCs w:val="21"/>
        </w:rPr>
        <w:t>五、估值程序</w:t>
      </w:r>
    </w:p>
    <w:p w14:paraId="6B63F57E">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56" w:name="field_63_netdecimalvalue_1"/>
      <w:r>
        <w:rPr>
          <w:sz w:val="21"/>
          <w:szCs w:val="21"/>
        </w:rPr>
        <w:t>0.0001</w:t>
      </w:r>
      <w:bookmarkEnd w:id="156"/>
      <w:r>
        <w:rPr>
          <w:rFonts w:hint="eastAsia"/>
          <w:sz w:val="21"/>
          <w:szCs w:val="21"/>
        </w:rPr>
        <w:t>元，小数点后第</w:t>
      </w:r>
      <w:bookmarkStart w:id="157" w:name="field_0_netdecimaladd1_1"/>
      <w:r>
        <w:rPr>
          <w:sz w:val="21"/>
          <w:szCs w:val="21"/>
        </w:rPr>
        <w:t>5</w:t>
      </w:r>
      <w:bookmarkEnd w:id="157"/>
      <w:r>
        <w:rPr>
          <w:rFonts w:hint="eastAsia"/>
          <w:sz w:val="21"/>
          <w:szCs w:val="21"/>
        </w:rPr>
        <w:t xml:space="preserve">位四舍五入。基金管理人可以设立大额赎回情形下的净值精度应急调整机制。特殊情况下，基金管理人可与基金托管人、登记机构协商增加基金份额净值计算位数，以维护基金投资人利益。国家另有规定的，从其规定。 </w:t>
      </w:r>
    </w:p>
    <w:p w14:paraId="1CBA88CE">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基金管理人应每个工作日计算基金资产净值及基金份额净值，并按规定进行公告。 </w:t>
      </w:r>
    </w:p>
    <w:p w14:paraId="363736FC">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2D8E68DA">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737430F2">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58" w:name="field_63_netdecimal_1"/>
      <w:r>
        <w:rPr>
          <w:sz w:val="21"/>
          <w:szCs w:val="21"/>
        </w:rPr>
        <w:t>4</w:t>
      </w:r>
      <w:bookmarkEnd w:id="158"/>
      <w:r>
        <w:rPr>
          <w:rFonts w:hint="eastAsia"/>
          <w:sz w:val="21"/>
          <w:szCs w:val="21"/>
        </w:rPr>
        <w:t>位以内(含第</w:t>
      </w:r>
      <w:bookmarkStart w:id="159" w:name="field_63_netdecimal_2"/>
      <w:r>
        <w:rPr>
          <w:sz w:val="21"/>
          <w:szCs w:val="21"/>
        </w:rPr>
        <w:t>4</w:t>
      </w:r>
      <w:bookmarkEnd w:id="159"/>
      <w:r>
        <w:rPr>
          <w:rFonts w:hint="eastAsia"/>
          <w:sz w:val="21"/>
          <w:szCs w:val="21"/>
        </w:rPr>
        <w:t xml:space="preserve">位)发生估值错误时，视为基金份额净值错误。 </w:t>
      </w:r>
    </w:p>
    <w:p w14:paraId="7B1BF26A">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EFDF112">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17B31631">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E84796B">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C2F2736">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706EAAFA">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56B2C0BD">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3A3412F">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6AF135B3">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5D1B6556">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6278FA44">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641A83A1">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209C5BC1">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0C398A81">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1161D4F8">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214D2EE0">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2AF673B1">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6BF92FE7">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3480CC38">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401AA08F">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（4）前述内容如法律法规或监管机关另有规定的，从其规定处理。如果行业另有通行做法，基金管理人和基金托管人应本着平等和保护基金份额持有人利益的原则进行协商。 </w:t>
      </w:r>
    </w:p>
    <w:p w14:paraId="30EDAF4A">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7C4D9A5D">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5D109118">
      <w:pPr>
        <w:pStyle w:val="7"/>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2AF15EB6">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555991B2">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60909628">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52751091">
      <w:pPr>
        <w:pStyle w:val="7"/>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 </w:t>
      </w:r>
    </w:p>
    <w:p w14:paraId="28E53F61">
      <w:pPr>
        <w:pStyle w:val="7"/>
        <w:spacing w:before="0" w:beforeAutospacing="0" w:after="0" w:afterAutospacing="0" w:line="360" w:lineRule="auto"/>
        <w:ind w:firstLine="420"/>
        <w:rPr>
          <w:sz w:val="21"/>
          <w:szCs w:val="21"/>
        </w:rPr>
      </w:pPr>
      <w:r>
        <w:rPr>
          <w:rStyle w:val="11"/>
          <w:rFonts w:hint="eastAsia"/>
          <w:sz w:val="21"/>
          <w:szCs w:val="21"/>
        </w:rPr>
        <w:t>九、特殊情况的处理方法</w:t>
      </w:r>
    </w:p>
    <w:p w14:paraId="4DAB6DF4">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1、基金管理人或基金托管人按估值方法的第7项进行估值时，所造成的误差不作为基金资产估值错误处理。 </w:t>
      </w:r>
    </w:p>
    <w:p w14:paraId="1B487704">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登记结算公司及存款银行等第三方机构发送的数据错误、遗漏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0A2BA190">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14:paraId="2E5D8F19">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0" w:name="chapter_level1_14_63_section_2_end"/>
      <w:bookmarkEnd w:id="160"/>
      <w:r>
        <w:rPr>
          <w:rFonts w:hint="eastAsia"/>
          <w:sz w:val="21"/>
          <w:szCs w:val="21"/>
        </w:rPr>
        <w:t xml:space="preserve">的基金净值信息，暂停披露侧袋账户基金净值信息。  </w:t>
      </w:r>
    </w:p>
    <w:p w14:paraId="08B253D2">
      <w:pPr>
        <w:widowControl/>
        <w:jc w:val="left"/>
        <w:rPr>
          <w:rFonts w:ascii="宋体" w:hAnsi="宋体" w:eastAsia="宋体"/>
        </w:rPr>
      </w:pPr>
      <w:r>
        <w:rPr>
          <w:rFonts w:ascii="宋体" w:hAnsi="宋体" w:eastAsia="宋体"/>
        </w:rPr>
        <w:br w:type="page"/>
      </w:r>
    </w:p>
    <w:p w14:paraId="6A4179A7">
      <w:pPr>
        <w:pStyle w:val="2"/>
        <w:jc w:val="center"/>
        <w:rPr>
          <w:rFonts w:ascii="宋体" w:hAnsi="宋体" w:eastAsia="宋体"/>
          <w:sz w:val="30"/>
        </w:rPr>
      </w:pPr>
      <w:bookmarkStart w:id="161" w:name="_Toc208503995"/>
      <w:bookmarkStart w:id="162" w:name="chapter_level1_15_64"/>
      <w:r>
        <w:rPr>
          <w:rFonts w:hint="eastAsia" w:ascii="宋体" w:hAnsi="宋体" w:eastAsia="宋体"/>
          <w:sz w:val="30"/>
        </w:rPr>
        <w:t>第十二部分  基金的收益与分配</w:t>
      </w:r>
      <w:bookmarkEnd w:id="161"/>
      <w:bookmarkEnd w:id="162"/>
    </w:p>
    <w:p w14:paraId="608390D3">
      <w:pPr>
        <w:pStyle w:val="7"/>
        <w:spacing w:before="0" w:beforeAutospacing="0" w:after="0" w:afterAutospacing="0" w:line="360" w:lineRule="auto"/>
        <w:ind w:firstLine="420"/>
        <w:rPr>
          <w:sz w:val="21"/>
          <w:szCs w:val="21"/>
        </w:rPr>
      </w:pPr>
      <w:bookmarkStart w:id="163" w:name="chapter_level1_15_64_section_1"/>
      <w:bookmarkEnd w:id="163"/>
      <w:r>
        <w:rPr>
          <w:rStyle w:val="11"/>
          <w:rFonts w:hint="eastAsia"/>
          <w:sz w:val="21"/>
          <w:szCs w:val="21"/>
        </w:rPr>
        <w:t>一、基金利润的构成</w:t>
      </w:r>
    </w:p>
    <w:p w14:paraId="029403E7">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6EBBE24F">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4D3C631B">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54E4BD7C">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1C20C8E1">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14:paraId="69102543">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14:paraId="1C420A55">
      <w:pPr>
        <w:pStyle w:val="7"/>
        <w:spacing w:before="0" w:beforeAutospacing="0" w:after="0" w:afterAutospacing="0" w:line="360" w:lineRule="auto"/>
        <w:ind w:firstLine="420"/>
        <w:rPr>
          <w:sz w:val="21"/>
          <w:szCs w:val="21"/>
        </w:rPr>
      </w:pPr>
      <w:r>
        <w:rPr>
          <w:rFonts w:hint="eastAsia"/>
          <w:sz w:val="21"/>
          <w:szCs w:val="21"/>
        </w:rPr>
        <w:t xml:space="preserve">3、每一基金份额享有同等分配权； </w:t>
      </w:r>
    </w:p>
    <w:p w14:paraId="25B2C5A0">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484057F9">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4" w:name="chapter_level1_15_64_section_1_end"/>
      <w:bookmarkEnd w:id="164"/>
      <w:r>
        <w:rPr>
          <w:rFonts w:hint="eastAsia"/>
          <w:sz w:val="21"/>
          <w:szCs w:val="21"/>
        </w:rPr>
        <w:t xml:space="preserve">基金管理人可对基金收益分配原则和支付方式进行调整，不需召开基金份额持有人大会。 </w:t>
      </w:r>
    </w:p>
    <w:p w14:paraId="2789C092">
      <w:pPr>
        <w:pStyle w:val="7"/>
        <w:spacing w:before="0" w:beforeAutospacing="0" w:after="0" w:afterAutospacing="0" w:line="360" w:lineRule="auto"/>
        <w:ind w:firstLine="420"/>
        <w:rPr>
          <w:sz w:val="21"/>
          <w:szCs w:val="21"/>
        </w:rPr>
      </w:pPr>
      <w:bookmarkStart w:id="165" w:name="chapter_level1_15_64_section_2"/>
      <w:bookmarkEnd w:id="165"/>
      <w:r>
        <w:rPr>
          <w:rStyle w:val="11"/>
          <w:rFonts w:hint="eastAsia"/>
          <w:sz w:val="21"/>
          <w:szCs w:val="21"/>
        </w:rPr>
        <w:t>四、收益分配方案</w:t>
      </w:r>
    </w:p>
    <w:p w14:paraId="7A1B21D7">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0A2DB83A">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02D8AAE8">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61688B7A">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4C578A57">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 </w:t>
      </w:r>
    </w:p>
    <w:p w14:paraId="494CD683">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20B32064">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6" w:name="chapter_level1_15_64_section_2_end"/>
      <w:bookmarkEnd w:id="166"/>
      <w:r>
        <w:rPr>
          <w:rFonts w:hint="eastAsia"/>
          <w:sz w:val="21"/>
          <w:szCs w:val="21"/>
        </w:rPr>
        <w:t xml:space="preserve">节的规定。 </w:t>
      </w:r>
    </w:p>
    <w:p w14:paraId="09963588">
      <w:pPr>
        <w:widowControl/>
        <w:jc w:val="left"/>
        <w:rPr>
          <w:rFonts w:ascii="宋体" w:hAnsi="宋体" w:eastAsia="宋体"/>
        </w:rPr>
      </w:pPr>
      <w:r>
        <w:rPr>
          <w:rFonts w:ascii="宋体" w:hAnsi="宋体" w:eastAsia="宋体"/>
        </w:rPr>
        <w:br w:type="page"/>
      </w:r>
    </w:p>
    <w:p w14:paraId="1026A248">
      <w:pPr>
        <w:pStyle w:val="2"/>
        <w:jc w:val="center"/>
        <w:rPr>
          <w:rFonts w:ascii="宋体" w:hAnsi="宋体" w:eastAsia="宋体"/>
          <w:sz w:val="30"/>
        </w:rPr>
      </w:pPr>
      <w:bookmarkStart w:id="167" w:name="_Toc208503996"/>
      <w:bookmarkStart w:id="168" w:name="chapter_level1_16_65"/>
      <w:r>
        <w:rPr>
          <w:rFonts w:hint="eastAsia" w:ascii="宋体" w:hAnsi="宋体" w:eastAsia="宋体"/>
          <w:sz w:val="30"/>
        </w:rPr>
        <w:t>第十三部分  基金的费用与税收</w:t>
      </w:r>
      <w:bookmarkEnd w:id="167"/>
      <w:bookmarkEnd w:id="168"/>
    </w:p>
    <w:p w14:paraId="12582B03">
      <w:pPr>
        <w:pStyle w:val="7"/>
        <w:spacing w:before="0" w:beforeAutospacing="0" w:after="0" w:afterAutospacing="0" w:line="360" w:lineRule="auto"/>
        <w:ind w:firstLine="420"/>
        <w:rPr>
          <w:sz w:val="21"/>
          <w:szCs w:val="21"/>
        </w:rPr>
      </w:pPr>
      <w:bookmarkStart w:id="169" w:name="chapter_level1_16_65_section_1"/>
      <w:bookmarkEnd w:id="169"/>
      <w:r>
        <w:rPr>
          <w:rStyle w:val="11"/>
          <w:rFonts w:hint="eastAsia"/>
          <w:sz w:val="21"/>
          <w:szCs w:val="21"/>
        </w:rPr>
        <w:t>一、基金费用的种类</w:t>
      </w:r>
    </w:p>
    <w:p w14:paraId="6F361BA1">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085D2CC">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C11C429">
      <w:pPr>
        <w:pStyle w:val="7"/>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 </w:t>
      </w:r>
    </w:p>
    <w:p w14:paraId="0002CB98">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4、《基金合同》生效后与基金相关的会计师费、律师费、诉讼费和仲裁费； </w:t>
      </w:r>
    </w:p>
    <w:p w14:paraId="79C04B9C">
      <w:pPr>
        <w:pStyle w:val="7"/>
        <w:spacing w:before="0" w:beforeAutospacing="0" w:after="0" w:afterAutospacing="0" w:line="360" w:lineRule="auto"/>
        <w:ind w:firstLine="420"/>
        <w:rPr>
          <w:sz w:val="21"/>
          <w:szCs w:val="21"/>
        </w:rPr>
      </w:pPr>
      <w:r>
        <w:rPr>
          <w:rFonts w:hint="eastAsia"/>
          <w:sz w:val="21"/>
          <w:szCs w:val="21"/>
        </w:rPr>
        <w:t xml:space="preserve">5、基金份额持有人大会费用； </w:t>
      </w:r>
    </w:p>
    <w:p w14:paraId="68ACFEA8">
      <w:pPr>
        <w:pStyle w:val="7"/>
        <w:spacing w:before="0" w:beforeAutospacing="0" w:after="0" w:afterAutospacing="0" w:line="360" w:lineRule="auto"/>
        <w:ind w:firstLine="420"/>
        <w:rPr>
          <w:sz w:val="21"/>
          <w:szCs w:val="21"/>
        </w:rPr>
      </w:pPr>
      <w:r>
        <w:rPr>
          <w:rFonts w:hint="eastAsia"/>
          <w:sz w:val="21"/>
          <w:szCs w:val="21"/>
        </w:rPr>
        <w:t xml:space="preserve">6、基金的证券、期货交易费用； </w:t>
      </w:r>
    </w:p>
    <w:p w14:paraId="124513F0">
      <w:pPr>
        <w:pStyle w:val="7"/>
        <w:spacing w:before="0" w:beforeAutospacing="0" w:after="0" w:afterAutospacing="0" w:line="360" w:lineRule="auto"/>
        <w:ind w:firstLine="420"/>
        <w:rPr>
          <w:sz w:val="21"/>
          <w:szCs w:val="21"/>
        </w:rPr>
      </w:pPr>
      <w:r>
        <w:rPr>
          <w:rFonts w:hint="eastAsia"/>
          <w:sz w:val="21"/>
          <w:szCs w:val="21"/>
        </w:rPr>
        <w:t xml:space="preserve">7、基金的银行汇划费用； </w:t>
      </w:r>
    </w:p>
    <w:p w14:paraId="5E80DB70">
      <w:pPr>
        <w:pStyle w:val="7"/>
        <w:spacing w:before="0" w:beforeAutospacing="0" w:after="0" w:afterAutospacing="0" w:line="360" w:lineRule="auto"/>
        <w:ind w:firstLine="420"/>
        <w:rPr>
          <w:sz w:val="21"/>
          <w:szCs w:val="21"/>
        </w:rPr>
      </w:pPr>
      <w:r>
        <w:rPr>
          <w:rFonts w:hint="eastAsia"/>
          <w:sz w:val="21"/>
          <w:szCs w:val="21"/>
        </w:rPr>
        <w:t xml:space="preserve">8、基金的开户费用、账户维护费用； </w:t>
      </w:r>
    </w:p>
    <w:p w14:paraId="585F7385">
      <w:pPr>
        <w:pStyle w:val="7"/>
        <w:spacing w:before="0" w:beforeAutospacing="0" w:after="0" w:afterAutospacing="0" w:line="360" w:lineRule="auto"/>
        <w:ind w:firstLine="420"/>
        <w:rPr>
          <w:sz w:val="21"/>
          <w:szCs w:val="21"/>
        </w:rPr>
      </w:pPr>
      <w:r>
        <w:rPr>
          <w:rFonts w:hint="eastAsia"/>
          <w:sz w:val="21"/>
          <w:szCs w:val="21"/>
        </w:rPr>
        <w:t xml:space="preserve">9、按照国家有关规定和《基金合同》约定，可以在基金财产中列支的其他费用。 </w:t>
      </w:r>
    </w:p>
    <w:p w14:paraId="7E551B63">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1880643C">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454DDD8">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0" w:name="field_0_managementrate_1"/>
      <w:r>
        <w:rPr>
          <w:sz w:val="21"/>
          <w:szCs w:val="21"/>
        </w:rPr>
        <w:t>0.30</w:t>
      </w:r>
      <w:bookmarkEnd w:id="170"/>
      <w:r>
        <w:rPr>
          <w:rFonts w:hint="eastAsia"/>
          <w:sz w:val="21"/>
          <w:szCs w:val="21"/>
        </w:rPr>
        <w:t xml:space="preserve">%年费率计提。管理费的计算方法如下： </w:t>
      </w:r>
    </w:p>
    <w:p w14:paraId="63066C66">
      <w:pPr>
        <w:pStyle w:val="7"/>
        <w:spacing w:before="0" w:beforeAutospacing="0" w:after="0" w:afterAutospacing="0" w:line="360" w:lineRule="auto"/>
        <w:ind w:firstLine="420"/>
        <w:rPr>
          <w:sz w:val="21"/>
          <w:szCs w:val="21"/>
        </w:rPr>
      </w:pPr>
      <w:r>
        <w:rPr>
          <w:rFonts w:hint="eastAsia"/>
          <w:sz w:val="21"/>
          <w:szCs w:val="21"/>
        </w:rPr>
        <w:t>H＝E×</w:t>
      </w:r>
      <w:bookmarkStart w:id="171" w:name="field_0_managementrate_2"/>
      <w:r>
        <w:rPr>
          <w:sz w:val="21"/>
          <w:szCs w:val="21"/>
        </w:rPr>
        <w:t>0.30</w:t>
      </w:r>
      <w:bookmarkEnd w:id="171"/>
      <w:r>
        <w:rPr>
          <w:rFonts w:hint="eastAsia"/>
          <w:sz w:val="21"/>
          <w:szCs w:val="21"/>
        </w:rPr>
        <w:t xml:space="preserve">%÷当年天数 </w:t>
      </w:r>
    </w:p>
    <w:p w14:paraId="092C1F27">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47AFC6E">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50334237">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 </w:t>
      </w:r>
    </w:p>
    <w:p w14:paraId="246201AD">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207102F0">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2" w:name="field_0_trusteerate_1"/>
      <w:r>
        <w:rPr>
          <w:sz w:val="21"/>
          <w:szCs w:val="21"/>
        </w:rPr>
        <w:t>0.</w:t>
      </w:r>
      <w:bookmarkEnd w:id="172"/>
      <w:r>
        <w:rPr>
          <w:rFonts w:hint="eastAsia"/>
          <w:sz w:val="21"/>
          <w:szCs w:val="21"/>
          <w:lang w:val="en-US" w:eastAsia="zh-CN"/>
        </w:rPr>
        <w:t>08</w:t>
      </w:r>
      <w:r>
        <w:rPr>
          <w:rFonts w:hint="eastAsia"/>
          <w:sz w:val="21"/>
          <w:szCs w:val="21"/>
        </w:rPr>
        <w:t xml:space="preserve">% 的年费率计提。托管费的计算方法如下： </w:t>
      </w:r>
    </w:p>
    <w:p w14:paraId="77F28BEF">
      <w:pPr>
        <w:pStyle w:val="7"/>
        <w:spacing w:before="0" w:beforeAutospacing="0" w:after="0" w:afterAutospacing="0" w:line="360" w:lineRule="auto"/>
        <w:ind w:firstLine="420"/>
        <w:rPr>
          <w:sz w:val="21"/>
          <w:szCs w:val="21"/>
        </w:rPr>
      </w:pPr>
      <w:r>
        <w:rPr>
          <w:rFonts w:hint="eastAsia"/>
          <w:sz w:val="21"/>
          <w:szCs w:val="21"/>
        </w:rPr>
        <w:t>H＝E×</w:t>
      </w:r>
      <w:bookmarkStart w:id="173" w:name="field_0_trusteerate_2"/>
      <w:r>
        <w:rPr>
          <w:sz w:val="21"/>
          <w:szCs w:val="21"/>
        </w:rPr>
        <w:t>0.</w:t>
      </w:r>
      <w:bookmarkEnd w:id="173"/>
      <w:r>
        <w:rPr>
          <w:rFonts w:hint="eastAsia"/>
          <w:sz w:val="21"/>
          <w:szCs w:val="21"/>
          <w:lang w:val="en-US" w:eastAsia="zh-CN"/>
        </w:rPr>
        <w:t>08</w:t>
      </w:r>
      <w:r>
        <w:rPr>
          <w:rFonts w:hint="eastAsia"/>
          <w:sz w:val="21"/>
          <w:szCs w:val="21"/>
        </w:rPr>
        <w:t xml:space="preserve">%÷当年天数 </w:t>
      </w:r>
    </w:p>
    <w:p w14:paraId="2B4666BC">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075C4CEC">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E75DEFE">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托管人根据与管理人协商一致的方式于次月首日起第三个工作日内从基金财产中一次性支取。若遇法定节假日、休息日或不可抗力等致使无法按时支付的，支付日期顺延。 </w:t>
      </w:r>
    </w:p>
    <w:p w14:paraId="026B2FBE">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上述“一、基金费用的种类”中第3－9项费用，根据有关法规及相应协议规定，按费用实际支出金额列入当期费用，由基金托管人从基金财产中支付。 </w:t>
      </w:r>
    </w:p>
    <w:p w14:paraId="7C392F24">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3E7C5036">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5E4C03AA">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61CA1B66">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60B1DF73">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78810194">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6E3B0F31">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0EFF9C5B">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9E8512D">
      <w:pPr>
        <w:pStyle w:val="7"/>
        <w:spacing w:before="0" w:beforeAutospacing="0" w:after="0" w:afterAutospacing="0" w:line="360" w:lineRule="auto"/>
        <w:ind w:firstLine="420"/>
        <w:rPr>
          <w:sz w:val="21"/>
          <w:szCs w:val="21"/>
        </w:rPr>
      </w:pPr>
      <w:r>
        <w:rPr>
          <w:rStyle w:val="11"/>
          <w:rFonts w:hint="eastAsia"/>
          <w:sz w:val="21"/>
          <w:szCs w:val="21"/>
        </w:rPr>
        <w:t>五、基金税收</w:t>
      </w:r>
    </w:p>
    <w:p w14:paraId="014879D9">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本基金运作过程中涉及的各纳税主体，其纳税义务按国家税收法律、法规执行。基金财产投资的相关税收，由基金份额持有人承担，基金管理人或者其他扣缴义务人按照国家有关税收征收的规定代扣代缴。 </w:t>
      </w:r>
    </w:p>
    <w:p w14:paraId="64ADD408">
      <w:pPr>
        <w:pStyle w:val="7"/>
        <w:spacing w:before="0" w:beforeAutospacing="0" w:after="0" w:afterAutospacing="0" w:line="360" w:lineRule="auto"/>
        <w:ind w:firstLine="420"/>
        <w:rPr>
          <w:sz w:val="21"/>
          <w:szCs w:val="21"/>
        </w:rPr>
      </w:pPr>
      <w:r>
        <w:rPr>
          <w:rStyle w:val="11"/>
          <w:rFonts w:hint="eastAsia"/>
          <w:sz w:val="21"/>
          <w:szCs w:val="21"/>
        </w:rPr>
        <w:t>六、基金管理费、基金托管费的调整</w:t>
      </w:r>
    </w:p>
    <w:p w14:paraId="25CB2C9E">
      <w:pPr>
        <w:pStyle w:val="7"/>
        <w:spacing w:before="0" w:beforeAutospacing="0" w:after="0" w:afterAutospacing="0" w:line="360" w:lineRule="auto"/>
        <w:ind w:firstLine="420"/>
        <w:rPr>
          <w:sz w:val="21"/>
          <w:szCs w:val="21"/>
        </w:rPr>
      </w:pPr>
      <w:r>
        <w:rPr>
          <w:rFonts w:hint="eastAsia"/>
          <w:sz w:val="21"/>
          <w:szCs w:val="21"/>
        </w:rPr>
        <w:t>基金管理人和基金托管人可根据基金规模等因素协商一致，在履行适当程序后，调整基金管理费或基金托管费。基金管理人必须依照有关规定最迟于新的费率实施日前依照《信息</w:t>
      </w:r>
      <w:bookmarkStart w:id="174" w:name="chapter_level1_16_65_section_1_end"/>
      <w:bookmarkEnd w:id="174"/>
      <w:r>
        <w:rPr>
          <w:rFonts w:hint="eastAsia"/>
          <w:sz w:val="21"/>
          <w:szCs w:val="21"/>
        </w:rPr>
        <w:t xml:space="preserve">披露办法》的有关规定在指定媒介上刊登公告。 </w:t>
      </w:r>
    </w:p>
    <w:p w14:paraId="59F2B660">
      <w:pPr>
        <w:widowControl/>
        <w:jc w:val="left"/>
        <w:rPr>
          <w:rFonts w:ascii="宋体" w:hAnsi="宋体" w:eastAsia="宋体"/>
        </w:rPr>
      </w:pPr>
      <w:r>
        <w:rPr>
          <w:rFonts w:ascii="宋体" w:hAnsi="宋体" w:eastAsia="宋体"/>
        </w:rPr>
        <w:br w:type="page"/>
      </w:r>
    </w:p>
    <w:p w14:paraId="61395D1B">
      <w:pPr>
        <w:pStyle w:val="2"/>
        <w:jc w:val="center"/>
        <w:rPr>
          <w:rFonts w:ascii="宋体" w:hAnsi="宋体" w:eastAsia="宋体"/>
          <w:sz w:val="30"/>
        </w:rPr>
      </w:pPr>
      <w:bookmarkStart w:id="175" w:name="_Toc208503997"/>
      <w:bookmarkStart w:id="176" w:name="chapter_level1_17_66"/>
      <w:r>
        <w:rPr>
          <w:rFonts w:hint="eastAsia" w:ascii="宋体" w:hAnsi="宋体" w:eastAsia="宋体"/>
          <w:sz w:val="30"/>
        </w:rPr>
        <w:t>第十四部分  基金的会计与审计</w:t>
      </w:r>
      <w:bookmarkEnd w:id="175"/>
      <w:bookmarkEnd w:id="176"/>
    </w:p>
    <w:p w14:paraId="3F9CA630">
      <w:pPr>
        <w:pStyle w:val="7"/>
        <w:spacing w:before="0" w:beforeAutospacing="0" w:after="0" w:afterAutospacing="0" w:line="360" w:lineRule="auto"/>
        <w:ind w:firstLine="420"/>
        <w:rPr>
          <w:sz w:val="21"/>
          <w:szCs w:val="21"/>
        </w:rPr>
      </w:pPr>
      <w:bookmarkStart w:id="177" w:name="chapter_level1_17_66_section_1"/>
      <w:bookmarkEnd w:id="177"/>
      <w:r>
        <w:rPr>
          <w:rStyle w:val="11"/>
          <w:rFonts w:hint="eastAsia"/>
          <w:sz w:val="21"/>
          <w:szCs w:val="21"/>
        </w:rPr>
        <w:t>一、基金会计政策</w:t>
      </w:r>
    </w:p>
    <w:p w14:paraId="5E13CBE9">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63DDCD6C">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01B424DD">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19E88E91">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1AD9BCEE">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7D049147">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78E92F9C">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7、基金托管人每月与基金管理人就基金的会计核算、报表编制等进行核对并以托管协议约定的方式确认。 </w:t>
      </w:r>
    </w:p>
    <w:p w14:paraId="7F614C89">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6D5246C4">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4058F8A9">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6728EDE5">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8" w:name="chapter_level1_17_66_section_1_end"/>
      <w:bookmarkEnd w:id="178"/>
      <w:r>
        <w:rPr>
          <w:rFonts w:hint="eastAsia"/>
          <w:sz w:val="21"/>
          <w:szCs w:val="21"/>
        </w:rPr>
        <w:t xml:space="preserve">务所需依照《信息披露办法》在指定媒介公告。 </w:t>
      </w:r>
    </w:p>
    <w:p w14:paraId="7D8E5B0E">
      <w:pPr>
        <w:widowControl/>
        <w:jc w:val="left"/>
        <w:rPr>
          <w:rFonts w:ascii="宋体" w:hAnsi="宋体" w:eastAsia="宋体"/>
        </w:rPr>
      </w:pPr>
      <w:r>
        <w:rPr>
          <w:rFonts w:ascii="宋体" w:hAnsi="宋体" w:eastAsia="宋体"/>
        </w:rPr>
        <w:br w:type="page"/>
      </w:r>
    </w:p>
    <w:p w14:paraId="24C8CDE7">
      <w:pPr>
        <w:pStyle w:val="2"/>
        <w:jc w:val="center"/>
        <w:rPr>
          <w:rFonts w:ascii="宋体" w:hAnsi="宋体" w:eastAsia="宋体"/>
          <w:sz w:val="30"/>
        </w:rPr>
      </w:pPr>
      <w:bookmarkStart w:id="179" w:name="_Toc208503998"/>
      <w:bookmarkStart w:id="180" w:name="chapter_level1_18_67"/>
      <w:r>
        <w:rPr>
          <w:rFonts w:hint="eastAsia" w:ascii="宋体" w:hAnsi="宋体" w:eastAsia="宋体"/>
          <w:sz w:val="30"/>
        </w:rPr>
        <w:t>第十五部分  基金的信息披露</w:t>
      </w:r>
      <w:bookmarkEnd w:id="179"/>
      <w:bookmarkEnd w:id="180"/>
    </w:p>
    <w:p w14:paraId="764FAEF9">
      <w:pPr>
        <w:pStyle w:val="7"/>
        <w:spacing w:before="0" w:beforeAutospacing="0" w:after="0" w:afterAutospacing="0" w:line="360" w:lineRule="auto"/>
        <w:ind w:firstLine="420"/>
        <w:rPr>
          <w:sz w:val="21"/>
          <w:szCs w:val="21"/>
        </w:rPr>
      </w:pPr>
      <w:bookmarkStart w:id="181" w:name="chapter_level1_18_67_section_1"/>
      <w:bookmarkEnd w:id="181"/>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56FE9C0C">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3DDA817B">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2D5613A1">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B0DA4A8">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全国性报刊（以下简称“指定报刊”）及指定互联网网站（以下简称“指定网站”）媒介披露，并保证基金投资者能够按照《基金合同》约定的时间和方式查阅或者复制公开披露的信息资料。 </w:t>
      </w:r>
    </w:p>
    <w:p w14:paraId="46C45011">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4C3EEBBB">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41D80D35">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19643252">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304F807E">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46D98C51">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6C8B65B3">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1A24E491">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四、本基金公开披露的信息应采用中文文本。同时采用外文文本的，基金信息披露义务人应保证不同文本的内容一致。不同文本之间发生歧义的，以中文文本为准。</w:t>
      </w:r>
    </w:p>
    <w:p w14:paraId="39A49FBE">
      <w:pPr>
        <w:pStyle w:val="7"/>
        <w:spacing w:before="0" w:beforeAutospacing="0" w:after="0" w:afterAutospacing="0" w:line="360" w:lineRule="auto"/>
        <w:ind w:firstLine="420"/>
        <w:rPr>
          <w:sz w:val="21"/>
          <w:szCs w:val="21"/>
        </w:rPr>
      </w:pPr>
      <w:bookmarkStart w:id="182" w:name="chapter_level1_18_67_section_1_end"/>
      <w:bookmarkEnd w:id="182"/>
      <w:r>
        <w:rPr>
          <w:rFonts w:hint="eastAsia"/>
          <w:sz w:val="21"/>
          <w:szCs w:val="21"/>
        </w:rPr>
        <w:t xml:space="preserve">本基金公开披露的信息采用阿拉伯数字；除特别说明外，货币单位为人民币元。 </w:t>
      </w:r>
    </w:p>
    <w:p w14:paraId="657C3400">
      <w:pPr>
        <w:pStyle w:val="7"/>
        <w:spacing w:before="0" w:beforeAutospacing="0" w:after="0" w:afterAutospacing="0" w:line="360" w:lineRule="auto"/>
        <w:ind w:firstLine="420"/>
        <w:rPr>
          <w:sz w:val="21"/>
          <w:szCs w:val="21"/>
        </w:rPr>
      </w:pPr>
      <w:bookmarkStart w:id="183" w:name="chapter_level1_18_67_section_2"/>
      <w:bookmarkEnd w:id="183"/>
      <w:r>
        <w:rPr>
          <w:rStyle w:val="11"/>
          <w:rFonts w:hint="eastAsia"/>
          <w:sz w:val="21"/>
          <w:szCs w:val="21"/>
        </w:rPr>
        <w:t>五、公开披露的基金信息</w:t>
      </w:r>
    </w:p>
    <w:p w14:paraId="764B6934">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71CDEC15">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50269337">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33D07868">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2C45D044">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0E362B3A">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5CF3D803">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应当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 </w:t>
      </w:r>
    </w:p>
    <w:p w14:paraId="7731E4A7">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1C05593B">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29AE640B">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3762A3C3">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40F526CE">
      <w:pPr>
        <w:pStyle w:val="7"/>
        <w:spacing w:before="0" w:beforeAutospacing="0" w:after="0" w:afterAutospacing="0" w:line="360" w:lineRule="auto"/>
        <w:ind w:firstLine="420"/>
        <w:rPr>
          <w:sz w:val="21"/>
          <w:szCs w:val="21"/>
        </w:rPr>
      </w:pPr>
      <w:r>
        <w:rPr>
          <w:rFonts w:hint="eastAsia"/>
          <w:sz w:val="21"/>
          <w:szCs w:val="21"/>
        </w:rPr>
        <w:t xml:space="preserve">基金合同生效公告中将说明基金募集情况及基金管理人、基金管理人股东、基金管理人高级管理人员或基金经理持有的基金份额、承诺持有的期限等情况。 </w:t>
      </w:r>
    </w:p>
    <w:p w14:paraId="47161CDF">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138AA7A5">
      <w:pPr>
        <w:pStyle w:val="7"/>
        <w:spacing w:before="0" w:beforeAutospacing="0" w:after="0" w:afterAutospacing="0" w:line="360" w:lineRule="auto"/>
        <w:ind w:firstLine="420"/>
        <w:rPr>
          <w:sz w:val="21"/>
          <w:szCs w:val="21"/>
        </w:rPr>
      </w:pPr>
      <w:r>
        <w:rPr>
          <w:rFonts w:hint="eastAsia"/>
          <w:sz w:val="21"/>
          <w:szCs w:val="21"/>
        </w:rPr>
        <w:t xml:space="preserve">《基金合同》生效后，在封闭期内，基金管理人应当至少每周在指定网站披露一次基金份额净值和基金份额累计净值。 </w:t>
      </w:r>
    </w:p>
    <w:p w14:paraId="69892142">
      <w:pPr>
        <w:pStyle w:val="7"/>
        <w:spacing w:before="0" w:beforeAutospacing="0" w:after="0" w:afterAutospacing="0" w:line="360" w:lineRule="auto"/>
        <w:ind w:firstLine="420"/>
        <w:rPr>
          <w:sz w:val="21"/>
          <w:szCs w:val="21"/>
        </w:rPr>
      </w:pPr>
      <w:r>
        <w:rPr>
          <w:rFonts w:hint="eastAsia"/>
          <w:sz w:val="21"/>
          <w:szCs w:val="21"/>
        </w:rPr>
        <w:t xml:space="preserve">《基金合同》生效后，在开放期不晚于每个开放日的次日，基金管理人应通过指定网站、基金销售机构网站或者营业网点披露开放日的基金份额净值和基金份额累计净值。 </w:t>
      </w:r>
    </w:p>
    <w:p w14:paraId="109292C6">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基金管理人应当在不晚于半年度和年度最后一日的次日，在指定网站披露半年度和年度最后一日的基金份额净值和基金份额累计净值。 </w:t>
      </w:r>
    </w:p>
    <w:p w14:paraId="596EA2F4">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30E78895">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5F541C92">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3C318E1C">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13D0D1A6">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629AAAAD">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48C3C94B">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0EED6672">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基金管理人应当在基金年度报告、中期报告、季度报告中分别披露基金管理人固有资金、基金管理人股东、基金管理人高级管理人员或基金经理等持有基金的份额、期限及期间的变动情况。 </w:t>
      </w:r>
    </w:p>
    <w:p w14:paraId="54C3FA45">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45DE1B83">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1A93E76F">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519B8FA3">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38D2CEEF">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17A85A3F">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0D0ED479">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1E74C782">
      <w:pPr>
        <w:pStyle w:val="7"/>
        <w:spacing w:before="0" w:beforeAutospacing="0" w:after="0" w:afterAutospacing="0" w:line="360" w:lineRule="auto"/>
        <w:ind w:firstLine="420"/>
        <w:rPr>
          <w:sz w:val="21"/>
          <w:szCs w:val="21"/>
        </w:rPr>
      </w:pPr>
      <w:r>
        <w:rPr>
          <w:rFonts w:hint="eastAsia"/>
          <w:sz w:val="21"/>
          <w:szCs w:val="21"/>
        </w:rPr>
        <w:t xml:space="preserve">3、转换基金运作方式（不包括本基金封闭期与开放期运作方式的转变）、基金合并； </w:t>
      </w:r>
    </w:p>
    <w:p w14:paraId="60327AD7">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73EDD83B">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1C0BD6DC">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33DA186A">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13146F57">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7E7E0A9E">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24713B63">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49515237">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52E9ACBC">
      <w:pPr>
        <w:pStyle w:val="7"/>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14:paraId="41B05451">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520A626D">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4DCC087A">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1A6B81AB">
      <w:pPr>
        <w:pStyle w:val="7"/>
        <w:spacing w:before="0" w:beforeAutospacing="0" w:after="0" w:afterAutospacing="0" w:line="360" w:lineRule="auto"/>
        <w:ind w:firstLine="420"/>
        <w:rPr>
          <w:sz w:val="21"/>
          <w:szCs w:val="21"/>
        </w:rPr>
      </w:pPr>
      <w:r>
        <w:rPr>
          <w:rFonts w:hint="eastAsia"/>
          <w:sz w:val="21"/>
          <w:szCs w:val="21"/>
        </w:rPr>
        <w:t xml:space="preserve">16、管理费、托管费、申购费、赎回费等费用计提标准、计提方式和费率发生变更； </w:t>
      </w:r>
    </w:p>
    <w:p w14:paraId="6CE49D30">
      <w:pPr>
        <w:pStyle w:val="7"/>
        <w:spacing w:before="0" w:beforeAutospacing="0" w:after="0" w:afterAutospacing="0" w:line="360" w:lineRule="auto"/>
        <w:ind w:firstLine="420"/>
        <w:rPr>
          <w:sz w:val="21"/>
          <w:szCs w:val="21"/>
        </w:rPr>
      </w:pPr>
      <w:r>
        <w:rPr>
          <w:rFonts w:hint="eastAsia"/>
          <w:sz w:val="21"/>
          <w:szCs w:val="21"/>
        </w:rPr>
        <w:t xml:space="preserve">17、基金份额净值估值错误达基金份额净值百分之零点五； </w:t>
      </w:r>
    </w:p>
    <w:p w14:paraId="0984B635">
      <w:pPr>
        <w:pStyle w:val="7"/>
        <w:spacing w:before="0" w:beforeAutospacing="0" w:after="0" w:afterAutospacing="0" w:line="360" w:lineRule="auto"/>
        <w:ind w:firstLine="420"/>
        <w:rPr>
          <w:sz w:val="21"/>
          <w:szCs w:val="21"/>
        </w:rPr>
      </w:pPr>
      <w:r>
        <w:rPr>
          <w:rFonts w:hint="eastAsia"/>
          <w:sz w:val="21"/>
          <w:szCs w:val="21"/>
        </w:rPr>
        <w:t xml:space="preserve">18、本基金进入开放期； </w:t>
      </w:r>
    </w:p>
    <w:p w14:paraId="1FA3DD58">
      <w:pPr>
        <w:pStyle w:val="7"/>
        <w:spacing w:before="0" w:beforeAutospacing="0" w:after="0" w:afterAutospacing="0" w:line="360" w:lineRule="auto"/>
        <w:ind w:firstLine="420"/>
        <w:rPr>
          <w:sz w:val="21"/>
          <w:szCs w:val="21"/>
        </w:rPr>
      </w:pPr>
      <w:r>
        <w:rPr>
          <w:rFonts w:hint="eastAsia"/>
          <w:sz w:val="21"/>
          <w:szCs w:val="21"/>
        </w:rPr>
        <w:t xml:space="preserve">19、本基金发生巨额赎回并延缓支付赎回款项； </w:t>
      </w:r>
    </w:p>
    <w:p w14:paraId="41CADB25">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14:paraId="53951805">
      <w:pPr>
        <w:pStyle w:val="7"/>
        <w:spacing w:before="0" w:beforeAutospacing="0" w:after="0" w:afterAutospacing="0" w:line="360" w:lineRule="auto"/>
        <w:ind w:firstLine="420"/>
        <w:rPr>
          <w:sz w:val="21"/>
          <w:szCs w:val="21"/>
        </w:rPr>
      </w:pPr>
      <w:r>
        <w:rPr>
          <w:rFonts w:hint="eastAsia"/>
          <w:sz w:val="21"/>
          <w:szCs w:val="21"/>
        </w:rPr>
        <w:t xml:space="preserve">21、调整基金份额类别的设置； </w:t>
      </w:r>
    </w:p>
    <w:p w14:paraId="309E50FF">
      <w:pPr>
        <w:pStyle w:val="7"/>
        <w:spacing w:before="0" w:beforeAutospacing="0" w:after="0" w:afterAutospacing="0" w:line="360" w:lineRule="auto"/>
        <w:ind w:firstLine="420"/>
        <w:rPr>
          <w:sz w:val="21"/>
          <w:szCs w:val="21"/>
        </w:rPr>
      </w:pPr>
      <w:r>
        <w:rPr>
          <w:rFonts w:hint="eastAsia"/>
          <w:sz w:val="21"/>
          <w:szCs w:val="21"/>
        </w:rPr>
        <w:t xml:space="preserve">22、基金推出新业务或服务； </w:t>
      </w:r>
    </w:p>
    <w:p w14:paraId="6CE357C2">
      <w:pPr>
        <w:pStyle w:val="7"/>
        <w:spacing w:before="0" w:beforeAutospacing="0" w:after="0" w:afterAutospacing="0" w:line="360" w:lineRule="auto"/>
        <w:ind w:firstLine="420"/>
        <w:rPr>
          <w:sz w:val="21"/>
          <w:szCs w:val="21"/>
        </w:rPr>
      </w:pPr>
      <w:r>
        <w:rPr>
          <w:rFonts w:hint="eastAsia"/>
          <w:sz w:val="21"/>
          <w:szCs w:val="21"/>
        </w:rPr>
        <w:t xml:space="preserve">23、发生涉及本基金申购、赎回事项调整或潜在影响投资者赎回等重大事项时； </w:t>
      </w:r>
    </w:p>
    <w:p w14:paraId="5DDD18B6">
      <w:pPr>
        <w:pStyle w:val="7"/>
        <w:spacing w:before="0" w:beforeAutospacing="0" w:after="0" w:afterAutospacing="0" w:line="360" w:lineRule="auto"/>
        <w:ind w:firstLine="420"/>
        <w:rPr>
          <w:sz w:val="21"/>
          <w:szCs w:val="21"/>
        </w:rPr>
      </w:pPr>
      <w:r>
        <w:rPr>
          <w:rFonts w:hint="eastAsia"/>
          <w:sz w:val="21"/>
          <w:szCs w:val="21"/>
        </w:rPr>
        <w:t xml:space="preserve">24、基金管理人采用摆动定价机制进行估值时； </w:t>
      </w:r>
    </w:p>
    <w:p w14:paraId="4005CB48">
      <w:pPr>
        <w:pStyle w:val="7"/>
        <w:spacing w:before="0" w:beforeAutospacing="0" w:after="0" w:afterAutospacing="0" w:line="360" w:lineRule="auto"/>
        <w:ind w:firstLine="420"/>
        <w:rPr>
          <w:sz w:val="21"/>
          <w:szCs w:val="21"/>
        </w:rPr>
      </w:pPr>
      <w:r>
        <w:rPr>
          <w:rFonts w:hint="eastAsia"/>
          <w:sz w:val="21"/>
          <w:szCs w:val="21"/>
        </w:rPr>
        <w:t xml:space="preserve">25、基金信息披露义务人认为可能对基金份额持有人权益或者基金份额的价格产生重大影响的其他事项或中国证监会规定的其他事项。 </w:t>
      </w:r>
    </w:p>
    <w:p w14:paraId="21BCFB70">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366F72D4">
      <w:pPr>
        <w:pStyle w:val="7"/>
        <w:spacing w:before="0" w:beforeAutospacing="0" w:after="0" w:afterAutospacing="0" w:line="360" w:lineRule="auto"/>
        <w:ind w:firstLine="420"/>
        <w:rPr>
          <w:sz w:val="21"/>
          <w:szCs w:val="21"/>
        </w:rPr>
      </w:pPr>
      <w:r>
        <w:rPr>
          <w:rFonts w:hint="eastAsia"/>
          <w:sz w:val="21"/>
          <w:szCs w:val="21"/>
        </w:rPr>
        <w:t xml:space="preserve">在基金合同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2D1565D9">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11266B2C">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21309952">
      <w:pPr>
        <w:pStyle w:val="7"/>
        <w:spacing w:before="0" w:beforeAutospacing="0" w:after="0" w:afterAutospacing="0" w:line="360" w:lineRule="auto"/>
        <w:ind w:firstLine="420"/>
        <w:rPr>
          <w:sz w:val="21"/>
          <w:szCs w:val="21"/>
        </w:rPr>
      </w:pPr>
      <w:r>
        <w:rPr>
          <w:rFonts w:hint="eastAsia"/>
          <w:sz w:val="21"/>
          <w:szCs w:val="21"/>
        </w:rPr>
        <w:t xml:space="preserve">（十）清算报告 </w:t>
      </w:r>
    </w:p>
    <w:p w14:paraId="55E6E7A5">
      <w:pPr>
        <w:pStyle w:val="7"/>
        <w:spacing w:before="0" w:beforeAutospacing="0" w:after="0" w:afterAutospacing="0" w:line="360" w:lineRule="auto"/>
        <w:ind w:firstLine="420"/>
        <w:rPr>
          <w:sz w:val="21"/>
          <w:szCs w:val="21"/>
        </w:rPr>
      </w:pPr>
      <w:r>
        <w:rPr>
          <w:rFonts w:hint="eastAsia"/>
          <w:sz w:val="21"/>
          <w:szCs w:val="21"/>
        </w:rPr>
        <w:t xml:space="preserve">基金合同终止的，基金管理人应当依法组织基金财产清算小组对基金财产进行清算并作出清算报告。基金财产清算小组应当将清算报告登载在指定网站上，并将清算报告提示性公告登载在指定报刊上。 </w:t>
      </w:r>
    </w:p>
    <w:p w14:paraId="788BE060">
      <w:pPr>
        <w:pStyle w:val="7"/>
        <w:spacing w:before="0" w:beforeAutospacing="0" w:after="0" w:afterAutospacing="0" w:line="360" w:lineRule="auto"/>
        <w:ind w:firstLine="420"/>
        <w:rPr>
          <w:sz w:val="21"/>
          <w:szCs w:val="21"/>
        </w:rPr>
      </w:pPr>
      <w:r>
        <w:rPr>
          <w:rFonts w:hint="eastAsia"/>
          <w:sz w:val="21"/>
          <w:szCs w:val="21"/>
        </w:rPr>
        <w:t xml:space="preserve">（十一）资产支持证券的投资情况 </w:t>
      </w:r>
    </w:p>
    <w:p w14:paraId="5ACCBAA8">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4C6395F8">
      <w:pPr>
        <w:pStyle w:val="7"/>
        <w:spacing w:before="0" w:beforeAutospacing="0" w:after="0" w:afterAutospacing="0" w:line="360" w:lineRule="auto"/>
        <w:ind w:firstLine="420"/>
        <w:rPr>
          <w:sz w:val="21"/>
          <w:szCs w:val="21"/>
        </w:rPr>
      </w:pPr>
      <w:r>
        <w:rPr>
          <w:rFonts w:hint="eastAsia"/>
          <w:sz w:val="21"/>
          <w:szCs w:val="21"/>
        </w:rPr>
        <w:t xml:space="preserve">（十二）国债期货的投资情况 </w:t>
      </w:r>
    </w:p>
    <w:p w14:paraId="078755D2">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 </w:t>
      </w:r>
    </w:p>
    <w:p w14:paraId="1C03644B">
      <w:pPr>
        <w:pStyle w:val="7"/>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14:paraId="68E8D712">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2100D5D0">
      <w:pPr>
        <w:pStyle w:val="7"/>
        <w:spacing w:before="0" w:beforeAutospacing="0" w:after="0" w:afterAutospacing="0" w:line="360" w:lineRule="auto"/>
        <w:ind w:firstLine="420"/>
        <w:rPr>
          <w:sz w:val="21"/>
          <w:szCs w:val="21"/>
        </w:rPr>
      </w:pPr>
      <w:r>
        <w:rPr>
          <w:rFonts w:hint="eastAsia"/>
          <w:sz w:val="21"/>
          <w:szCs w:val="21"/>
        </w:rPr>
        <w:t xml:space="preserve">（十四）中国证监会规定的其他信息。 </w:t>
      </w:r>
    </w:p>
    <w:p w14:paraId="5BD0FEA3">
      <w:pPr>
        <w:pStyle w:val="7"/>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中充分披露基金的相关情况并揭示相关风险，说明本基金单一投资者持有的基金份额或者构成一致行动人的多个投资者持有的基金份额可达到或者超过50%，基金不向个人投资者公开发</w:t>
      </w:r>
      <w:bookmarkStart w:id="184" w:name="chapter_level1_18_67_section_2_end"/>
      <w:bookmarkEnd w:id="184"/>
      <w:r>
        <w:rPr>
          <w:rFonts w:hint="eastAsia"/>
          <w:sz w:val="21"/>
          <w:szCs w:val="21"/>
        </w:rPr>
        <w:t xml:space="preserve">售，法律法规或监管机构另有规定的除外。 </w:t>
      </w:r>
    </w:p>
    <w:p w14:paraId="32E68DDD">
      <w:pPr>
        <w:pStyle w:val="7"/>
        <w:spacing w:before="0" w:beforeAutospacing="0" w:after="0" w:afterAutospacing="0" w:line="360" w:lineRule="auto"/>
        <w:ind w:firstLine="420"/>
        <w:rPr>
          <w:sz w:val="21"/>
          <w:szCs w:val="21"/>
        </w:rPr>
      </w:pPr>
      <w:bookmarkStart w:id="185" w:name="chapter_level1_18_67_section_3"/>
      <w:bookmarkEnd w:id="185"/>
      <w:r>
        <w:rPr>
          <w:rStyle w:val="11"/>
          <w:rFonts w:hint="eastAsia"/>
          <w:sz w:val="21"/>
          <w:szCs w:val="21"/>
        </w:rPr>
        <w:t>六、信息披露事务管理</w:t>
      </w:r>
    </w:p>
    <w:p w14:paraId="2078624D">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7DDE2779">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14:paraId="6280029D">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对价、基金定期报告、更新的招募说明书、基金产品资料概要、基金清算报告等公开披露的相关基金信息进行复核、审查，并向基金管理人进行书面或电子确认。 </w:t>
      </w:r>
    </w:p>
    <w:p w14:paraId="7EAD2B3E">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7A691177">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1DC9749F">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3936494B">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44F62359">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0879F5D1">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748676A7">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4588C10D">
      <w:pPr>
        <w:pStyle w:val="7"/>
        <w:spacing w:before="0" w:beforeAutospacing="0" w:after="0" w:afterAutospacing="0" w:line="360" w:lineRule="auto"/>
        <w:ind w:firstLine="420"/>
        <w:rPr>
          <w:sz w:val="21"/>
          <w:szCs w:val="21"/>
        </w:rPr>
      </w:pPr>
      <w:r>
        <w:rPr>
          <w:rFonts w:hint="eastAsia"/>
          <w:sz w:val="21"/>
          <w:szCs w:val="21"/>
        </w:rPr>
        <w:t xml:space="preserve">1、不可抗力； </w:t>
      </w:r>
    </w:p>
    <w:p w14:paraId="205964E4">
      <w:pPr>
        <w:pStyle w:val="7"/>
        <w:spacing w:before="0" w:beforeAutospacing="0" w:after="0" w:afterAutospacing="0" w:line="360" w:lineRule="auto"/>
        <w:ind w:firstLine="420"/>
        <w:rPr>
          <w:sz w:val="21"/>
          <w:szCs w:val="21"/>
        </w:rPr>
      </w:pPr>
      <w:r>
        <w:rPr>
          <w:rFonts w:hint="eastAsia"/>
          <w:sz w:val="21"/>
          <w:szCs w:val="21"/>
        </w:rPr>
        <w:t xml:space="preserve">2、发生暂停估值的情形； </w:t>
      </w:r>
    </w:p>
    <w:p w14:paraId="1418A69C">
      <w:pPr>
        <w:pStyle w:val="7"/>
        <w:spacing w:before="0" w:beforeAutospacing="0" w:after="0" w:afterAutospacing="0" w:line="360" w:lineRule="auto"/>
        <w:ind w:firstLine="420"/>
        <w:rPr>
          <w:sz w:val="21"/>
          <w:szCs w:val="21"/>
        </w:rPr>
      </w:pPr>
      <w:bookmarkStart w:id="186" w:name="chapter_level1_18_67_section_3_end"/>
      <w:bookmarkEnd w:id="186"/>
      <w:r>
        <w:rPr>
          <w:rFonts w:hint="eastAsia"/>
          <w:sz w:val="21"/>
          <w:szCs w:val="21"/>
        </w:rPr>
        <w:t xml:space="preserve">3、法律法规规定、中国证监会或基金合同认定的其他情形。 </w:t>
      </w:r>
    </w:p>
    <w:p w14:paraId="6B30647C">
      <w:pPr>
        <w:widowControl/>
        <w:jc w:val="left"/>
        <w:rPr>
          <w:rFonts w:ascii="宋体" w:hAnsi="宋体" w:eastAsia="宋体"/>
        </w:rPr>
      </w:pPr>
      <w:r>
        <w:rPr>
          <w:rFonts w:ascii="宋体" w:hAnsi="宋体" w:eastAsia="宋体"/>
        </w:rPr>
        <w:br w:type="page"/>
      </w:r>
    </w:p>
    <w:p w14:paraId="6EBAD8ED">
      <w:pPr>
        <w:pStyle w:val="2"/>
        <w:jc w:val="center"/>
        <w:rPr>
          <w:rFonts w:ascii="宋体" w:hAnsi="宋体" w:eastAsia="宋体"/>
          <w:sz w:val="30"/>
        </w:rPr>
      </w:pPr>
      <w:bookmarkStart w:id="187" w:name="chapter_level1_19_68"/>
      <w:bookmarkStart w:id="188" w:name="_Toc208503999"/>
      <w:r>
        <w:rPr>
          <w:rFonts w:hint="eastAsia" w:ascii="宋体" w:hAnsi="宋体" w:eastAsia="宋体"/>
          <w:sz w:val="30"/>
        </w:rPr>
        <w:t>第十六部分  侧袋机制</w:t>
      </w:r>
      <w:bookmarkEnd w:id="187"/>
      <w:bookmarkEnd w:id="188"/>
    </w:p>
    <w:p w14:paraId="0E3A36FD">
      <w:pPr>
        <w:pStyle w:val="7"/>
        <w:spacing w:before="0" w:beforeAutospacing="0" w:after="0" w:afterAutospacing="0" w:line="360" w:lineRule="auto"/>
        <w:ind w:firstLine="420"/>
        <w:rPr>
          <w:sz w:val="21"/>
          <w:szCs w:val="21"/>
        </w:rPr>
      </w:pPr>
      <w:bookmarkStart w:id="189" w:name="chapter_level1_19_68_section_1"/>
      <w:bookmarkEnd w:id="189"/>
      <w:r>
        <w:rPr>
          <w:rStyle w:val="11"/>
          <w:rFonts w:hint="eastAsia"/>
          <w:sz w:val="21"/>
          <w:szCs w:val="21"/>
        </w:rPr>
        <w:t>一、侧袋机制的实施条件、实施程序和特定资产范围</w:t>
      </w:r>
    </w:p>
    <w:p w14:paraId="1B4363E4">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3F51D17F">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45734CB8">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184CC793">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3B758EAC">
      <w:pPr>
        <w:pStyle w:val="7"/>
        <w:spacing w:before="0" w:beforeAutospacing="0" w:after="0" w:afterAutospacing="0" w:line="360" w:lineRule="auto"/>
        <w:ind w:firstLine="420"/>
        <w:rPr>
          <w:sz w:val="21"/>
          <w:szCs w:val="21"/>
        </w:rPr>
      </w:pPr>
      <w:r>
        <w:rPr>
          <w:rFonts w:hint="eastAsia"/>
          <w:sz w:val="21"/>
          <w:szCs w:val="21"/>
        </w:rPr>
        <w:t xml:space="preserve">1、侧袋账户 </w:t>
      </w:r>
    </w:p>
    <w:p w14:paraId="237E6A2E">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14:paraId="585FC488">
      <w:pPr>
        <w:pStyle w:val="7"/>
        <w:spacing w:before="0" w:beforeAutospacing="0" w:after="0" w:afterAutospacing="0" w:line="360" w:lineRule="auto"/>
        <w:ind w:firstLine="420"/>
        <w:rPr>
          <w:sz w:val="21"/>
          <w:szCs w:val="21"/>
        </w:rPr>
      </w:pPr>
      <w:r>
        <w:rPr>
          <w:rFonts w:hint="eastAsia"/>
          <w:sz w:val="21"/>
          <w:szCs w:val="21"/>
        </w:rPr>
        <w:t xml:space="preserve">2、主袋账户 </w:t>
      </w:r>
    </w:p>
    <w:p w14:paraId="763D1D53">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14:paraId="54B03025">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14:paraId="3E48CC0B">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10A5C11F">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13C1EF2D">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22C0A3A4">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5EA9A38C">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0A6AFAF3">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78462B91">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5231EBDE">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4CDD89FA">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7D2CFD05">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3624B85D">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7E6344E8">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1FBF745F">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3CC8A095">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14:paraId="56C1C669">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1DAF1C6B">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42AC06E1">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14:paraId="212293D2">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697C6713">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69984B19">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3442FCBD">
      <w:pPr>
        <w:pStyle w:val="7"/>
        <w:spacing w:before="0" w:beforeAutospacing="0" w:after="0" w:afterAutospacing="0" w:line="360" w:lineRule="auto"/>
        <w:ind w:firstLine="420"/>
        <w:rPr>
          <w:sz w:val="21"/>
          <w:szCs w:val="21"/>
        </w:rPr>
      </w:pPr>
      <w:r>
        <w:rPr>
          <w:rFonts w:hint="eastAsia"/>
          <w:sz w:val="21"/>
          <w:szCs w:val="21"/>
        </w:rPr>
        <w:t xml:space="preserve">2、定期报告 </w:t>
      </w:r>
    </w:p>
    <w:p w14:paraId="0F946A5C">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67F2765B">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4BE9E343">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1D48557C">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006143A1">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0ADFFDE8">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4B238A56">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6D1B2120">
      <w:pPr>
        <w:pStyle w:val="7"/>
        <w:spacing w:before="0" w:beforeAutospacing="0" w:after="0" w:afterAutospacing="0" w:line="360" w:lineRule="auto"/>
        <w:ind w:firstLine="420"/>
        <w:rPr>
          <w:sz w:val="21"/>
          <w:szCs w:val="21"/>
        </w:rPr>
      </w:pPr>
      <w:r>
        <w:rPr>
          <w:rFonts w:hint="eastAsia"/>
          <w:sz w:val="21"/>
          <w:szCs w:val="21"/>
        </w:rPr>
        <w:t xml:space="preserve">3、临时报告 </w:t>
      </w:r>
    </w:p>
    <w:p w14:paraId="75D18823">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582BB49A">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7F5BA8C7">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69AACE26">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23EE7654">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75450387">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34A848A5">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398665FB">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4E6EDA83">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6017D771">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68E43A75">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0270B889">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90" w:name="chapter_level1_19_68_section_1_end"/>
      <w:bookmarkEnd w:id="190"/>
      <w:r>
        <w:rPr>
          <w:rStyle w:val="11"/>
          <w:rFonts w:hint="eastAsia"/>
          <w:sz w:val="21"/>
          <w:szCs w:val="21"/>
        </w:rPr>
        <w:t>改或调整，无需召开基金份额持有人大会审议。</w:t>
      </w:r>
    </w:p>
    <w:p w14:paraId="02223C87">
      <w:pPr>
        <w:widowControl/>
        <w:jc w:val="left"/>
        <w:rPr>
          <w:rFonts w:ascii="宋体" w:hAnsi="宋体" w:eastAsia="宋体"/>
        </w:rPr>
      </w:pPr>
      <w:r>
        <w:rPr>
          <w:rFonts w:ascii="宋体" w:hAnsi="宋体" w:eastAsia="宋体"/>
        </w:rPr>
        <w:br w:type="page"/>
      </w:r>
    </w:p>
    <w:p w14:paraId="70B17EA7">
      <w:pPr>
        <w:pStyle w:val="2"/>
        <w:jc w:val="center"/>
        <w:rPr>
          <w:rFonts w:ascii="宋体" w:hAnsi="宋体" w:eastAsia="宋体"/>
          <w:sz w:val="30"/>
        </w:rPr>
      </w:pPr>
      <w:bookmarkStart w:id="191" w:name="chapter_level1_20_51428"/>
      <w:bookmarkStart w:id="192" w:name="_Toc208504000"/>
      <w:r>
        <w:rPr>
          <w:rFonts w:hint="eastAsia" w:ascii="宋体" w:hAnsi="宋体" w:eastAsia="宋体"/>
          <w:sz w:val="30"/>
        </w:rPr>
        <w:t>第十七部分 风险揭示</w:t>
      </w:r>
      <w:bookmarkEnd w:id="191"/>
      <w:bookmarkEnd w:id="192"/>
    </w:p>
    <w:p w14:paraId="014F0F2D">
      <w:pPr>
        <w:pStyle w:val="7"/>
        <w:spacing w:before="0" w:beforeAutospacing="0" w:after="0" w:afterAutospacing="0" w:line="360" w:lineRule="auto"/>
        <w:ind w:firstLine="420"/>
        <w:rPr>
          <w:sz w:val="21"/>
          <w:szCs w:val="21"/>
        </w:rPr>
      </w:pPr>
      <w:bookmarkStart w:id="193" w:name="chapter_level1_20_51428_section_1"/>
      <w:bookmarkEnd w:id="193"/>
      <w:r>
        <w:rPr>
          <w:rStyle w:val="11"/>
          <w:rFonts w:hint="eastAsia"/>
          <w:sz w:val="21"/>
          <w:szCs w:val="21"/>
        </w:rPr>
        <w:t>一、投资于本基金的主要风险</w:t>
      </w:r>
    </w:p>
    <w:p w14:paraId="1DB2CDB0">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7783B1C0">
      <w:pPr>
        <w:pStyle w:val="7"/>
        <w:spacing w:before="0" w:beforeAutospacing="0" w:after="0" w:afterAutospacing="0" w:line="360" w:lineRule="auto"/>
        <w:ind w:firstLine="420"/>
        <w:rPr>
          <w:sz w:val="21"/>
          <w:szCs w:val="21"/>
        </w:rPr>
      </w:pPr>
      <w:r>
        <w:rPr>
          <w:rFonts w:hint="eastAsia"/>
          <w:sz w:val="21"/>
          <w:szCs w:val="21"/>
        </w:rPr>
        <w:t xml:space="preserve">1、市场风险 </w:t>
      </w:r>
    </w:p>
    <w:p w14:paraId="1E831C41">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75573DDB">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0EC06D7D">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5709CD7A">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00102F65">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7EE8B6B5">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236994E0">
      <w:pPr>
        <w:pStyle w:val="7"/>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293C1F66">
      <w:pPr>
        <w:pStyle w:val="7"/>
        <w:spacing w:before="0" w:beforeAutospacing="0" w:after="0" w:afterAutospacing="0" w:line="360" w:lineRule="auto"/>
        <w:ind w:firstLine="420"/>
        <w:rPr>
          <w:sz w:val="21"/>
          <w:szCs w:val="21"/>
        </w:rPr>
      </w:pPr>
      <w:r>
        <w:rPr>
          <w:rFonts w:hint="eastAsia"/>
          <w:sz w:val="21"/>
          <w:szCs w:val="21"/>
        </w:rPr>
        <w:t xml:space="preserve">2、信用风险 </w:t>
      </w:r>
    </w:p>
    <w:p w14:paraId="3EC5F75A">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1E420FAE">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2D32D223">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76DA093C">
      <w:pPr>
        <w:pStyle w:val="7"/>
        <w:spacing w:before="0" w:beforeAutospacing="0" w:after="0" w:afterAutospacing="0" w:line="360" w:lineRule="auto"/>
        <w:ind w:firstLine="420"/>
        <w:rPr>
          <w:sz w:val="21"/>
          <w:szCs w:val="21"/>
        </w:rPr>
      </w:pPr>
      <w:r>
        <w:rPr>
          <w:rFonts w:hint="eastAsia"/>
          <w:sz w:val="21"/>
          <w:szCs w:val="21"/>
        </w:rPr>
        <w:t xml:space="preserve">（1）基金申购、赎回的安排 </w:t>
      </w:r>
    </w:p>
    <w:p w14:paraId="06203CD5">
      <w:pPr>
        <w:pStyle w:val="7"/>
        <w:spacing w:before="0" w:beforeAutospacing="0" w:after="0" w:afterAutospacing="0" w:line="360" w:lineRule="auto"/>
        <w:ind w:firstLine="420"/>
        <w:rPr>
          <w:sz w:val="21"/>
          <w:szCs w:val="21"/>
        </w:rPr>
      </w:pPr>
      <w:r>
        <w:rPr>
          <w:rFonts w:hint="eastAsia"/>
          <w:sz w:val="21"/>
          <w:szCs w:val="21"/>
        </w:rPr>
        <w:t xml:space="preserve">本基金在封闭期内，不办理申购、赎回业务，无流动性应对压力。在开放期内基于客户集中度控制和巨额赎回监测及应对在投资者申购赎回方面均明确了管理机制，基金管理人在保障投资者合法权益的前提下可按照法律法规及基金合同的规定，审慎确认申购赎回申请并综合运用各类流动性风险管理工具作为辅助措施，全面应对流动性风险。 </w:t>
      </w:r>
    </w:p>
    <w:p w14:paraId="3B320204">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6302355A">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32286F08">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02A4B377">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延缓支付赎回款项或延期办理。同时，如本基金单个基金份额持有人在单个开放日申请赎回基金份额超过基金总份额一定比例以上的，基金管理人有权对其采取延缓支付赎回款项或延期办理赎回申请的措施。 </w:t>
      </w:r>
    </w:p>
    <w:p w14:paraId="7B0018E2">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072E01B6">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18D8D2B2">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0091959A">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5F2D9432">
      <w:pPr>
        <w:pStyle w:val="7"/>
        <w:spacing w:before="0" w:beforeAutospacing="0" w:after="0" w:afterAutospacing="0" w:line="360" w:lineRule="auto"/>
        <w:ind w:firstLine="420"/>
        <w:rPr>
          <w:sz w:val="21"/>
          <w:szCs w:val="21"/>
        </w:rPr>
      </w:pPr>
      <w:r>
        <w:rPr>
          <w:rFonts w:hint="eastAsia"/>
          <w:sz w:val="21"/>
          <w:szCs w:val="21"/>
        </w:rPr>
        <w:t xml:space="preserve">4、操作风险 </w:t>
      </w:r>
    </w:p>
    <w:p w14:paraId="4162358D">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296BEB2A">
      <w:pPr>
        <w:pStyle w:val="7"/>
        <w:spacing w:before="0" w:beforeAutospacing="0" w:after="0" w:afterAutospacing="0" w:line="360" w:lineRule="auto"/>
        <w:ind w:firstLine="420"/>
        <w:rPr>
          <w:sz w:val="21"/>
          <w:szCs w:val="21"/>
        </w:rPr>
      </w:pPr>
      <w:r>
        <w:rPr>
          <w:rFonts w:hint="eastAsia"/>
          <w:sz w:val="21"/>
          <w:szCs w:val="21"/>
        </w:rPr>
        <w:t xml:space="preserve">5、管理风险 </w:t>
      </w:r>
    </w:p>
    <w:p w14:paraId="3D133226">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430F0EE4">
      <w:pPr>
        <w:pStyle w:val="7"/>
        <w:spacing w:before="0" w:beforeAutospacing="0" w:after="0" w:afterAutospacing="0" w:line="360" w:lineRule="auto"/>
        <w:ind w:firstLine="420"/>
        <w:rPr>
          <w:sz w:val="21"/>
          <w:szCs w:val="21"/>
        </w:rPr>
      </w:pPr>
      <w:r>
        <w:rPr>
          <w:rFonts w:hint="eastAsia"/>
          <w:sz w:val="21"/>
          <w:szCs w:val="21"/>
        </w:rPr>
        <w:t xml:space="preserve">6、合规风险 </w:t>
      </w:r>
    </w:p>
    <w:p w14:paraId="5BE7BC2D">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5D914011">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53AE7D80">
      <w:pPr>
        <w:pStyle w:val="7"/>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39F84E16">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36690653">
      <w:pPr>
        <w:pStyle w:val="7"/>
        <w:spacing w:before="0" w:beforeAutospacing="0" w:after="0" w:afterAutospacing="0" w:line="360" w:lineRule="auto"/>
        <w:ind w:firstLine="420"/>
        <w:rPr>
          <w:sz w:val="21"/>
          <w:szCs w:val="21"/>
        </w:rPr>
      </w:pPr>
      <w:r>
        <w:rPr>
          <w:rFonts w:hint="eastAsia"/>
          <w:sz w:val="21"/>
          <w:szCs w:val="21"/>
        </w:rPr>
        <w:t xml:space="preserve">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3D2BA00E">
      <w:pPr>
        <w:pStyle w:val="7"/>
        <w:spacing w:before="0" w:beforeAutospacing="0" w:after="0" w:afterAutospacing="0" w:line="360" w:lineRule="auto"/>
        <w:ind w:firstLine="420"/>
        <w:rPr>
          <w:sz w:val="21"/>
          <w:szCs w:val="21"/>
        </w:rPr>
      </w:pPr>
      <w:r>
        <w:rPr>
          <w:rFonts w:hint="eastAsia"/>
          <w:sz w:val="21"/>
          <w:szCs w:val="21"/>
        </w:rPr>
        <w:t xml:space="preserve">本基金以定期开放的方式运作，即采用封闭运作和开放运作交替循环的方式。自基金合同生效之日起（包括基金合同生效之日）或自每一开放期结束之日次日起（包括该日）一年的期间，本基金采取封闭运作模式，基金份额持有人不能赎回基金份额，因此，若基金份额持有人错过某一开放期而未能赎回，其份额将转入下一封闭期，至下一开放期方可赎回。 </w:t>
      </w:r>
    </w:p>
    <w:p w14:paraId="401DE86D">
      <w:pPr>
        <w:pStyle w:val="7"/>
        <w:spacing w:before="0" w:beforeAutospacing="0" w:after="0" w:afterAutospacing="0" w:line="360" w:lineRule="auto"/>
        <w:ind w:firstLine="420"/>
        <w:rPr>
          <w:sz w:val="21"/>
          <w:szCs w:val="21"/>
        </w:rPr>
      </w:pPr>
      <w:r>
        <w:rPr>
          <w:rFonts w:hint="eastAsia"/>
          <w:sz w:val="21"/>
          <w:szCs w:val="21"/>
        </w:rPr>
        <w:t xml:space="preserve">本基金开放期内单个开放日出现巨额赎回的，基金管理人对符合法律法规及《基金合同》约定的赎回申请应于当日全部予以接受和确认。基金经理会对可能出现的巨额赎回情况进行充分准备并做好流动性管理，但当基金在单个开放日出现巨额赎回被全部确认时，申请赎回的基金份额持有人仍有可能存在延缓支付赎回款项的风险，同时，如本基金单个基金份额持有人在单个开放日申请赎回基金份额超过基金总份额一定比例以上的，基金管理人有权对其采取延期办理赎回申请的措施，未赎回的基金份额持有人仍有可能承担短期内变现而带来的冲击成本对基金净资产产生的负面影响。 </w:t>
      </w:r>
    </w:p>
    <w:p w14:paraId="2649DF1C">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因此本基金面临自动清盘的风险。 </w:t>
      </w:r>
    </w:p>
    <w:p w14:paraId="4F331727">
      <w:pPr>
        <w:pStyle w:val="7"/>
        <w:spacing w:before="0" w:beforeAutospacing="0" w:after="0" w:afterAutospacing="0" w:line="360" w:lineRule="auto"/>
        <w:ind w:firstLine="420"/>
        <w:rPr>
          <w:sz w:val="21"/>
          <w:szCs w:val="21"/>
        </w:rPr>
      </w:pPr>
      <w:r>
        <w:rPr>
          <w:rFonts w:hint="eastAsia"/>
          <w:sz w:val="21"/>
          <w:szCs w:val="21"/>
        </w:rPr>
        <w:t xml:space="preserve">本基金为定制基金，采取发起式基金形式，单一投资者持有的基金份额或者构成一致行动人的多个投资者持有的基金份额可达到或者超过50%，本基金不得向个人投资者公开发售。法律法规或监管机构另有规定的除外。本基金特定机构投资者赎回可能会导致现有的中小基金份额持有人造成损失。 </w:t>
      </w:r>
    </w:p>
    <w:p w14:paraId="46767A9F">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183E5695">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证券登记结算机构等。 </w:t>
      </w:r>
    </w:p>
    <w:p w14:paraId="4483588C">
      <w:pPr>
        <w:pStyle w:val="7"/>
        <w:spacing w:before="0" w:beforeAutospacing="0" w:after="0" w:afterAutospacing="0" w:line="360" w:lineRule="auto"/>
        <w:ind w:firstLine="420"/>
        <w:rPr>
          <w:sz w:val="21"/>
          <w:szCs w:val="21"/>
        </w:rPr>
      </w:pPr>
      <w:r>
        <w:rPr>
          <w:rFonts w:hint="eastAsia"/>
          <w:sz w:val="21"/>
          <w:szCs w:val="21"/>
        </w:rPr>
        <w:t xml:space="preserve">（2）操作风险：证券交易所、证券登记结算机构等在业务操作过程中，因操作失误或违反操作规程而引起的风险。 </w:t>
      </w:r>
    </w:p>
    <w:p w14:paraId="7B1E0E46">
      <w:pPr>
        <w:pStyle w:val="7"/>
        <w:spacing w:before="0" w:beforeAutospacing="0" w:after="0" w:afterAutospacing="0" w:line="360" w:lineRule="auto"/>
        <w:ind w:firstLine="420"/>
        <w:rPr>
          <w:sz w:val="21"/>
          <w:szCs w:val="21"/>
        </w:rPr>
      </w:pPr>
      <w:r>
        <w:rPr>
          <w:rFonts w:hint="eastAsia"/>
          <w:sz w:val="21"/>
          <w:szCs w:val="21"/>
        </w:rPr>
        <w:t xml:space="preserve">9、其它风险 </w:t>
      </w:r>
    </w:p>
    <w:p w14:paraId="3637BEFB">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50BF873B">
      <w:pPr>
        <w:pStyle w:val="7"/>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304C99B9">
      <w:pPr>
        <w:pStyle w:val="7"/>
        <w:spacing w:before="0" w:beforeAutospacing="0" w:after="0" w:afterAutospacing="0" w:line="360" w:lineRule="auto"/>
        <w:ind w:firstLine="420"/>
        <w:rPr>
          <w:sz w:val="21"/>
          <w:szCs w:val="21"/>
        </w:rPr>
      </w:pPr>
      <w:r>
        <w:rPr>
          <w:rStyle w:val="11"/>
          <w:rFonts w:hint="eastAsia"/>
          <w:sz w:val="21"/>
          <w:szCs w:val="21"/>
        </w:rPr>
        <w:t>二、声明</w:t>
      </w:r>
    </w:p>
    <w:p w14:paraId="241AB1A6">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049108D4">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4" w:name="chapter_level1_20_51428_section_1_end"/>
      <w:bookmarkEnd w:id="194"/>
      <w:r>
        <w:rPr>
          <w:rFonts w:hint="eastAsia"/>
          <w:sz w:val="21"/>
          <w:szCs w:val="21"/>
        </w:rPr>
        <w:t xml:space="preserve">金管理人与基金代销机构都不能保证其收益或本金安全。 </w:t>
      </w:r>
    </w:p>
    <w:p w14:paraId="17404979">
      <w:pPr>
        <w:widowControl/>
        <w:jc w:val="left"/>
        <w:rPr>
          <w:rFonts w:ascii="宋体" w:hAnsi="宋体" w:eastAsia="宋体"/>
        </w:rPr>
      </w:pPr>
      <w:r>
        <w:rPr>
          <w:rFonts w:ascii="宋体" w:hAnsi="宋体" w:eastAsia="宋体"/>
        </w:rPr>
        <w:br w:type="page"/>
      </w:r>
    </w:p>
    <w:p w14:paraId="30650A78">
      <w:pPr>
        <w:pStyle w:val="2"/>
        <w:jc w:val="center"/>
        <w:rPr>
          <w:rFonts w:ascii="宋体" w:hAnsi="宋体" w:eastAsia="宋体"/>
          <w:sz w:val="30"/>
        </w:rPr>
      </w:pPr>
      <w:bookmarkStart w:id="195" w:name="chapter_level1_21_69"/>
      <w:bookmarkStart w:id="196" w:name="_Toc208504001"/>
      <w:r>
        <w:rPr>
          <w:rFonts w:hint="eastAsia" w:ascii="宋体" w:hAnsi="宋体" w:eastAsia="宋体"/>
          <w:sz w:val="30"/>
        </w:rPr>
        <w:t>第十八部分  基金合同的变更、终止与基金财产的清算</w:t>
      </w:r>
      <w:bookmarkEnd w:id="195"/>
      <w:bookmarkEnd w:id="196"/>
    </w:p>
    <w:p w14:paraId="298D2CFA">
      <w:pPr>
        <w:pStyle w:val="7"/>
        <w:spacing w:before="0" w:beforeAutospacing="0" w:after="0" w:afterAutospacing="0" w:line="360" w:lineRule="auto"/>
        <w:ind w:firstLine="420"/>
        <w:rPr>
          <w:sz w:val="21"/>
          <w:szCs w:val="21"/>
        </w:rPr>
      </w:pPr>
      <w:bookmarkStart w:id="197" w:name="chapter_level1_21_69_section_1"/>
      <w:bookmarkEnd w:id="197"/>
      <w:r>
        <w:rPr>
          <w:rStyle w:val="11"/>
          <w:rFonts w:hint="eastAsia"/>
          <w:sz w:val="21"/>
          <w:szCs w:val="21"/>
        </w:rPr>
        <w:t>一、《基金合同》的变更</w:t>
      </w:r>
    </w:p>
    <w:p w14:paraId="62580831">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A48200E">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2、关于《基金合同》变更的基金份额持有人大会决议须报中国证监会备案，自表决通过之日起生效，并自决议生效后两日内在指定媒介公告。 </w:t>
      </w:r>
    </w:p>
    <w:p w14:paraId="70E53196">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2C4F14FF">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02B3B986">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27EB4F71">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4F4E1F66">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2D43AA1F">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6DD6D166">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79CE0145">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41066BE7">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5343857A">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07EADA2E">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420981E5">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792EDD2E">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BBB366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77343A1">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DBE8761">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14B5D52A">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64C4CF8">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3EC1E5D">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86DFB2A">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5704E44F">
      <w:pPr>
        <w:pStyle w:val="7"/>
        <w:spacing w:before="0" w:beforeAutospacing="0" w:after="0" w:afterAutospacing="0" w:line="360" w:lineRule="auto"/>
        <w:ind w:firstLine="420"/>
        <w:rPr>
          <w:sz w:val="21"/>
          <w:szCs w:val="21"/>
        </w:rPr>
      </w:pPr>
      <w:r>
        <w:rPr>
          <w:rStyle w:val="11"/>
          <w:rFonts w:hint="eastAsia"/>
          <w:sz w:val="21"/>
          <w:szCs w:val="21"/>
        </w:rPr>
        <w:t>四、清算费用</w:t>
      </w:r>
    </w:p>
    <w:p w14:paraId="5411980F">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01BAE478">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7B640F4C">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21E90DDE">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4551F864">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 </w:t>
      </w:r>
    </w:p>
    <w:p w14:paraId="21DC45EE">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6C7CFFCA">
      <w:pPr>
        <w:pStyle w:val="7"/>
        <w:spacing w:before="0" w:beforeAutospacing="0" w:after="0" w:afterAutospacing="0" w:line="360" w:lineRule="auto"/>
        <w:ind w:firstLine="420"/>
        <w:rPr>
          <w:sz w:val="21"/>
          <w:szCs w:val="21"/>
        </w:rPr>
      </w:pPr>
      <w:bookmarkStart w:id="198" w:name="chapter_level1_21_69_section_1_end"/>
      <w:bookmarkEnd w:id="198"/>
      <w:r>
        <w:rPr>
          <w:rFonts w:hint="eastAsia"/>
          <w:sz w:val="21"/>
          <w:szCs w:val="21"/>
        </w:rPr>
        <w:t xml:space="preserve">基金财产清算账册及有关文件由基金托管人保存15年以上。 </w:t>
      </w:r>
    </w:p>
    <w:p w14:paraId="7B64A30A">
      <w:pPr>
        <w:widowControl/>
        <w:jc w:val="left"/>
        <w:rPr>
          <w:rFonts w:ascii="宋体" w:hAnsi="宋体" w:eastAsia="宋体"/>
        </w:rPr>
      </w:pPr>
      <w:r>
        <w:rPr>
          <w:rFonts w:ascii="宋体" w:hAnsi="宋体" w:eastAsia="宋体"/>
        </w:rPr>
        <w:br w:type="page"/>
      </w:r>
    </w:p>
    <w:p w14:paraId="5906DF64">
      <w:pPr>
        <w:pStyle w:val="2"/>
        <w:jc w:val="center"/>
        <w:rPr>
          <w:rFonts w:ascii="宋体" w:hAnsi="宋体" w:eastAsia="宋体"/>
          <w:sz w:val="30"/>
        </w:rPr>
      </w:pPr>
      <w:bookmarkStart w:id="199" w:name="_Toc208504002"/>
      <w:bookmarkStart w:id="200" w:name="chapter_level1_22_71"/>
      <w:r>
        <w:rPr>
          <w:rFonts w:hint="eastAsia" w:ascii="宋体" w:hAnsi="宋体" w:eastAsia="宋体"/>
          <w:sz w:val="30"/>
        </w:rPr>
        <w:t>第十九部分  基金合同的内容摘要</w:t>
      </w:r>
      <w:bookmarkEnd w:id="199"/>
      <w:bookmarkEnd w:id="200"/>
    </w:p>
    <w:p w14:paraId="5824670B">
      <w:pPr>
        <w:pStyle w:val="7"/>
        <w:spacing w:before="0" w:beforeAutospacing="0" w:after="0" w:afterAutospacing="0" w:line="360" w:lineRule="auto"/>
        <w:ind w:firstLine="420"/>
        <w:rPr>
          <w:sz w:val="21"/>
          <w:szCs w:val="21"/>
        </w:rPr>
      </w:pPr>
      <w:bookmarkStart w:id="201" w:name="chapter_level1_22_71_section_1"/>
      <w:bookmarkEnd w:id="201"/>
      <w:r>
        <w:rPr>
          <w:rStyle w:val="11"/>
          <w:rFonts w:hint="eastAsia"/>
          <w:sz w:val="21"/>
          <w:szCs w:val="21"/>
        </w:rPr>
        <w:t>一、基金份额持有人、基金管理人和基金托管人的权利、义务</w:t>
      </w:r>
    </w:p>
    <w:p w14:paraId="0F670B83">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6EBD8955">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0AC06F28">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5E0BA2D5">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481FDE71">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0BEF8C9F">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4CD8F2DA">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536FD541">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5DD56848">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45AA913E">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7A15F514">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474E94A5">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72B3280B">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541206C1">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（12）依照法律法规为基金的利益对被投资公司行使相关权利，为基金的利益行使因基金财产投资于证券所产生的权利；     </w:t>
      </w:r>
    </w:p>
    <w:p w14:paraId="12BA401A">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020FBC20">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14:paraId="5AAB9A4B">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7D46970F">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2285A9BE">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7EA55341">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DB4EEAD">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A85B22C">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6FC1810">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7B4F2C8">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1F6E2695">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34409DB">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0289B2C">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E8A79AA">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E5120CF">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905B858">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DE9FCBA">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4BC86BBE">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C3E24A0">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07E3594">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EB81773">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3B9AA0FE">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2FC277C">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722E9A89">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1F2D65C0">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963192A">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7DD03E5">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739F6C8">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13833F6A">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11AE60FA">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07871BC">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526541A8">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5A9E0A89">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6F845F24">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2777E38C">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780AAACC">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5E55614F">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0A9C2305">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47C1F063">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1D1357EE">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5D86E2A5">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1CD2E6ED">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21D9320B">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2F3723BB">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51CCF9F9">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0D54030A">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3AC670DE">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2D2FF943">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7C00559B">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0F1E00AF">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47E3A7A2">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61F2FE3F">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3C5F7EF">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7A13790D">
      <w:pPr>
        <w:pStyle w:val="7"/>
        <w:spacing w:before="0" w:beforeAutospacing="0" w:after="0" w:afterAutospacing="0" w:line="360" w:lineRule="auto"/>
        <w:ind w:firstLine="420"/>
        <w:rPr>
          <w:sz w:val="21"/>
          <w:szCs w:val="21"/>
        </w:rPr>
      </w:pPr>
      <w:r>
        <w:rPr>
          <w:rFonts w:hint="eastAsia"/>
          <w:sz w:val="21"/>
          <w:szCs w:val="21"/>
        </w:rPr>
        <w:t xml:space="preserve">（12）保存基金份额持有人名册； </w:t>
      </w:r>
    </w:p>
    <w:p w14:paraId="489BA686">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05FD30A4">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51E81F06">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1D26CF61">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7CD44B8A">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2800CF75">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385B84A3">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2E0B329D">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06E95C0B">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317AAF99">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6714FFCA">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56D26011">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B54940C">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14:paraId="2F63E9A6">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73D6646F">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5FDFC478">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6A517041">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4984EF11">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401BFA09">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35D13610">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1AD52707">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60B48EA0">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4AA6B09A">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1262552E">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4C41F1AA">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C756154">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34FBD429">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4590A20E">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4A2B193C">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18226213">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6034F457">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75412185">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3029EAF4">
      <w:pPr>
        <w:pStyle w:val="7"/>
        <w:spacing w:before="0" w:beforeAutospacing="0" w:after="0" w:afterAutospacing="0" w:line="360" w:lineRule="auto"/>
        <w:ind w:firstLine="420"/>
        <w:rPr>
          <w:sz w:val="21"/>
          <w:szCs w:val="21"/>
        </w:rPr>
      </w:pPr>
      <w:r>
        <w:rPr>
          <w:rFonts w:hint="eastAsia"/>
          <w:sz w:val="21"/>
          <w:szCs w:val="21"/>
        </w:rPr>
        <w:t xml:space="preserve">（9）发起资金提供方持有认购的基金份额不少于3年，法律法规或监管机构另有规定的除外； </w:t>
      </w:r>
    </w:p>
    <w:p w14:paraId="47201A0C">
      <w:pPr>
        <w:pStyle w:val="7"/>
        <w:spacing w:before="0" w:beforeAutospacing="0" w:after="0" w:afterAutospacing="0" w:line="360" w:lineRule="auto"/>
        <w:ind w:firstLine="420"/>
        <w:rPr>
          <w:sz w:val="21"/>
          <w:szCs w:val="21"/>
        </w:rPr>
      </w:pPr>
      <w:r>
        <w:rPr>
          <w:rFonts w:hint="eastAsia"/>
          <w:sz w:val="21"/>
          <w:szCs w:val="21"/>
        </w:rPr>
        <w:t xml:space="preserve">（10）法律法规及中国证监会规定的和《基金合同》约定的其他义务。 </w:t>
      </w:r>
    </w:p>
    <w:p w14:paraId="07B49F16">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1CE9B5B3">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 </w:t>
      </w:r>
    </w:p>
    <w:p w14:paraId="5DB4AB19">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3492A478">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479C739E">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5C626397">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33135499">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5B1F932F">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1D0EE4DE">
      <w:pPr>
        <w:pStyle w:val="7"/>
        <w:spacing w:before="0" w:beforeAutospacing="0" w:after="0" w:afterAutospacing="0" w:line="360" w:lineRule="auto"/>
        <w:ind w:firstLine="420"/>
        <w:rPr>
          <w:sz w:val="21"/>
          <w:szCs w:val="21"/>
        </w:rPr>
      </w:pPr>
      <w:r>
        <w:rPr>
          <w:rFonts w:hint="eastAsia"/>
          <w:sz w:val="21"/>
          <w:szCs w:val="21"/>
        </w:rPr>
        <w:t xml:space="preserve">（4）转换基金运作方式（不包括本基金封闭期与开放期运作方式的转变）； </w:t>
      </w:r>
    </w:p>
    <w:p w14:paraId="3A5A7ED7">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14:paraId="5A729480">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765343B6">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553688BC">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7E57EA39">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73C6D8B">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54DB0E34">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2CB9AD3A">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36A841DD">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3CE03128">
      <w:pPr>
        <w:pStyle w:val="7"/>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14:paraId="2342DF98">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6BC3623B">
      <w:pPr>
        <w:pStyle w:val="7"/>
        <w:spacing w:before="0" w:beforeAutospacing="0" w:after="0" w:afterAutospacing="0" w:line="360" w:lineRule="auto"/>
        <w:ind w:firstLine="420"/>
        <w:rPr>
          <w:sz w:val="21"/>
          <w:szCs w:val="21"/>
        </w:rPr>
      </w:pPr>
      <w:r>
        <w:rPr>
          <w:rFonts w:hint="eastAsia"/>
          <w:sz w:val="21"/>
          <w:szCs w:val="21"/>
        </w:rPr>
        <w:t xml:space="preserve">（2）在法律法规和《基金合同》规定的范围内且在对现有基金份额持有人利益无实质性不利影响的前提下，调整本基金的申购费率、调低赎回费率或变更收费方式或调整基金份额类别设置、对基金份额分类办法及规则进行调整； </w:t>
      </w:r>
    </w:p>
    <w:p w14:paraId="2B697893">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74536BB7">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7B60FF93">
      <w:pPr>
        <w:pStyle w:val="7"/>
        <w:spacing w:before="0" w:beforeAutospacing="0" w:after="0" w:afterAutospacing="0" w:line="360" w:lineRule="auto"/>
        <w:ind w:firstLine="420"/>
        <w:rPr>
          <w:sz w:val="21"/>
          <w:szCs w:val="21"/>
        </w:rPr>
      </w:pPr>
      <w:r>
        <w:rPr>
          <w:rFonts w:hint="eastAsia"/>
          <w:sz w:val="21"/>
          <w:szCs w:val="21"/>
        </w:rPr>
        <w:t xml:space="preserve">（5）在法律法规和《基金合同》规定的范围内且在对现有基金份额持有人利益无实质性不利影响的前提下，基金管理人、登记机构、基金销售机构调整有关认购、申购、赎回、转换、基金交易、非交易过户、转托管等业务规则； </w:t>
      </w:r>
    </w:p>
    <w:p w14:paraId="39CAE26E">
      <w:pPr>
        <w:pStyle w:val="7"/>
        <w:spacing w:before="0" w:beforeAutospacing="0" w:after="0" w:afterAutospacing="0" w:line="360" w:lineRule="auto"/>
        <w:ind w:firstLine="420"/>
        <w:rPr>
          <w:sz w:val="21"/>
          <w:szCs w:val="21"/>
        </w:rPr>
      </w:pPr>
      <w:r>
        <w:rPr>
          <w:rFonts w:hint="eastAsia"/>
          <w:sz w:val="21"/>
          <w:szCs w:val="21"/>
        </w:rPr>
        <w:t xml:space="preserve">（6）在法律法规和《基金合同》规定的范围内且在对现有基金份额持有人利益无实质性不利影响的前提下，基金推出新业务或服务； </w:t>
      </w:r>
    </w:p>
    <w:p w14:paraId="346FC433">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28BE3E40">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3223844A">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38E5E030">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2AC86F4F">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66B3D130">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33462E49">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68F7598A">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5BC1B48E">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6B909124">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4327C1EC">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5AE2F410">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16C23B74">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3AE96A66">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BD97AF7">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1D7FE7AD">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3117AA1E">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218C9D70">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138E1C8C">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13CDB5C3">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7F737BDB">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2B77945A">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70AA2A29">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43A6DC55">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0C33B26D">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17D52A4B">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0E1B62A0">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69D63B4E">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1B666C0F">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38BD58BE">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3B1A7F3F">
      <w:pPr>
        <w:pStyle w:val="7"/>
        <w:spacing w:before="0" w:beforeAutospacing="0" w:after="0" w:afterAutospacing="0" w:line="360" w:lineRule="auto"/>
        <w:ind w:firstLine="420"/>
        <w:rPr>
          <w:sz w:val="21"/>
          <w:szCs w:val="21"/>
        </w:rPr>
      </w:pPr>
      <w:r>
        <w:rPr>
          <w:rFonts w:hint="eastAsia"/>
          <w:sz w:val="21"/>
          <w:szCs w:val="21"/>
        </w:rPr>
        <w:t xml:space="preserve">（5）会议通知公布前报中国证监会备案。 </w:t>
      </w:r>
    </w:p>
    <w:p w14:paraId="775BECC5">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在授权方式上，本基金的基金份额持有人亦可采用其他非书面方式授权其代理人出席基金份额持有人大会，基金份额持有人可以采用书面、网络、电话、短信或其他方式进行授权，具体方式由会议召集人确定并在会议通知中列明。 </w:t>
      </w:r>
    </w:p>
    <w:p w14:paraId="0FE40866">
      <w:pPr>
        <w:pStyle w:val="7"/>
        <w:spacing w:before="0" w:beforeAutospacing="0" w:after="0" w:afterAutospacing="0" w:line="360" w:lineRule="auto"/>
        <w:ind w:firstLine="420"/>
        <w:rPr>
          <w:sz w:val="21"/>
          <w:szCs w:val="21"/>
        </w:rPr>
      </w:pPr>
      <w:r>
        <w:rPr>
          <w:rFonts w:hint="eastAsia"/>
          <w:sz w:val="21"/>
          <w:szCs w:val="21"/>
        </w:rPr>
        <w:t xml:space="preserve">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4C2923AF">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499ED23D">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1691806D">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49BCDC3B">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5B991E11">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5420806B">
      <w:pPr>
        <w:pStyle w:val="7"/>
        <w:spacing w:before="0" w:beforeAutospacing="0" w:after="0" w:afterAutospacing="0" w:line="360" w:lineRule="auto"/>
        <w:ind w:firstLine="420"/>
        <w:rPr>
          <w:sz w:val="21"/>
          <w:szCs w:val="21"/>
        </w:rPr>
      </w:pPr>
      <w:r>
        <w:rPr>
          <w:rFonts w:hint="eastAsia"/>
          <w:sz w:val="21"/>
          <w:szCs w:val="21"/>
        </w:rPr>
        <w:t xml:space="preserve">2、议事程序 </w:t>
      </w:r>
    </w:p>
    <w:p w14:paraId="4DF8A05D">
      <w:pPr>
        <w:pStyle w:val="7"/>
        <w:spacing w:before="0" w:beforeAutospacing="0" w:after="0" w:afterAutospacing="0" w:line="360" w:lineRule="auto"/>
        <w:ind w:firstLine="420"/>
        <w:rPr>
          <w:sz w:val="21"/>
          <w:szCs w:val="21"/>
        </w:rPr>
      </w:pPr>
      <w:r>
        <w:rPr>
          <w:rFonts w:hint="eastAsia"/>
          <w:sz w:val="21"/>
          <w:szCs w:val="21"/>
        </w:rPr>
        <w:t xml:space="preserve">（1）现场开会 </w:t>
      </w:r>
    </w:p>
    <w:p w14:paraId="07777567">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7A7D6576">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4C146F95">
      <w:pPr>
        <w:pStyle w:val="7"/>
        <w:spacing w:before="0" w:beforeAutospacing="0" w:after="0" w:afterAutospacing="0" w:line="360" w:lineRule="auto"/>
        <w:ind w:firstLine="420"/>
        <w:rPr>
          <w:sz w:val="21"/>
          <w:szCs w:val="21"/>
        </w:rPr>
      </w:pPr>
      <w:r>
        <w:rPr>
          <w:rFonts w:hint="eastAsia"/>
          <w:sz w:val="21"/>
          <w:szCs w:val="21"/>
        </w:rPr>
        <w:t xml:space="preserve">（2）通讯开会 </w:t>
      </w:r>
    </w:p>
    <w:p w14:paraId="44F417C1">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6457D0E8">
      <w:pPr>
        <w:pStyle w:val="7"/>
        <w:spacing w:before="0" w:beforeAutospacing="0" w:after="0" w:afterAutospacing="0" w:line="360" w:lineRule="auto"/>
        <w:ind w:firstLine="420"/>
        <w:rPr>
          <w:sz w:val="21"/>
          <w:szCs w:val="21"/>
        </w:rPr>
      </w:pPr>
      <w:r>
        <w:rPr>
          <w:rFonts w:hint="eastAsia"/>
          <w:sz w:val="21"/>
          <w:szCs w:val="21"/>
        </w:rPr>
        <w:t xml:space="preserve">（六）表决 </w:t>
      </w:r>
    </w:p>
    <w:p w14:paraId="41B634FE">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045A1B2E">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1EA10819">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33DD517A">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428830C0">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4B1A5EC2">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48027584">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3D017F31">
      <w:pPr>
        <w:pStyle w:val="7"/>
        <w:spacing w:before="0" w:beforeAutospacing="0" w:after="0" w:afterAutospacing="0" w:line="360" w:lineRule="auto"/>
        <w:ind w:firstLine="420"/>
        <w:rPr>
          <w:sz w:val="21"/>
          <w:szCs w:val="21"/>
        </w:rPr>
      </w:pPr>
      <w:r>
        <w:rPr>
          <w:rFonts w:hint="eastAsia"/>
          <w:sz w:val="21"/>
          <w:szCs w:val="21"/>
        </w:rPr>
        <w:t xml:space="preserve">（七）计票 </w:t>
      </w:r>
    </w:p>
    <w:p w14:paraId="37177AA2">
      <w:pPr>
        <w:pStyle w:val="7"/>
        <w:spacing w:before="0" w:beforeAutospacing="0" w:after="0" w:afterAutospacing="0" w:line="360" w:lineRule="auto"/>
        <w:ind w:firstLine="420"/>
        <w:rPr>
          <w:sz w:val="21"/>
          <w:szCs w:val="21"/>
        </w:rPr>
      </w:pPr>
      <w:r>
        <w:rPr>
          <w:rFonts w:hint="eastAsia"/>
          <w:sz w:val="21"/>
          <w:szCs w:val="21"/>
        </w:rPr>
        <w:t xml:space="preserve">1、现场开会 </w:t>
      </w:r>
    </w:p>
    <w:p w14:paraId="4B82A3C7">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4E6D9C9C">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005EBD98">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6CA51333">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66C9D3A7">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37BAE82">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15C93438">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00665D85">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0A2EB7F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3C254BAD">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基金份额持有人大会决议自生效之日起2日内在指定媒介上公告。如果采用通讯方式进行表决，在公告基金份额持有人大会决议时，必须将公证书全文、公证机构、公证员姓名等一同公告。 </w:t>
      </w:r>
    </w:p>
    <w:p w14:paraId="144F4C4C">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0357BC54">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2D288786">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3A07A20C">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5E055075">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6B8B374A">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767FDC69">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1FB92BE9">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010FBDF8">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2FBD83E5">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34EE1C07">
      <w:pPr>
        <w:pStyle w:val="7"/>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14:paraId="3C3A199C">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16734C9B">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14:paraId="317BC73F">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6ECC7376">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09F2E88">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2、关于《基金合同》变更的基金份额持有人大会决议须报中国证监会备案，自表决通过之日起生效，并自决议生效后两日内在指定媒介公告。 </w:t>
      </w:r>
    </w:p>
    <w:p w14:paraId="73868871">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7AAB861D">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093A9C34">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66F2B8D6">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2FE322F">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7ABB0B43">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6334A7CD">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2CB62BF6">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4AF89F92">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0F64EFA">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5A24596A">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420AD69">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6A9D9584">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3F1862CF">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2526429B">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E80B159">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7EC492D5">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460BEA6">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7AEADEC">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68D890C">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4CA5B05C">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7E953095">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53807AB">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7F4B1ECB">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2D678C31">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04E013C5">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 </w:t>
      </w:r>
    </w:p>
    <w:p w14:paraId="30ED63CA">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0F739CCA">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638D4FD0">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67EA254F">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 </w:t>
      </w:r>
    </w:p>
    <w:p w14:paraId="40A2F0D8">
      <w:pPr>
        <w:pStyle w:val="7"/>
        <w:spacing w:before="0" w:beforeAutospacing="0" w:after="0" w:afterAutospacing="0" w:line="360" w:lineRule="auto"/>
        <w:ind w:firstLine="420"/>
        <w:rPr>
          <w:sz w:val="21"/>
          <w:szCs w:val="21"/>
        </w:rPr>
      </w:pPr>
      <w:r>
        <w:rPr>
          <w:rFonts w:hint="eastAsia"/>
          <w:sz w:val="21"/>
          <w:szCs w:val="21"/>
        </w:rPr>
        <w:t xml:space="preserve">争议处理期间，各方当事人应恪守各自职责，各自继续忠实、勤勉、尽责地履行基金合同和托管协议规定的义务，维护基金份额持有人的合法权益。 </w:t>
      </w:r>
    </w:p>
    <w:p w14:paraId="331724CE">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14:paraId="07ABC28C">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14:paraId="31F37A76">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2" w:name="chapter_level1_22_71_section_1_end"/>
      <w:bookmarkEnd w:id="202"/>
      <w:r>
        <w:rPr>
          <w:rFonts w:hint="eastAsia"/>
          <w:sz w:val="21"/>
          <w:szCs w:val="21"/>
        </w:rPr>
        <w:t xml:space="preserve">和营业场所查阅。 </w:t>
      </w:r>
    </w:p>
    <w:p w14:paraId="096BB915">
      <w:pPr>
        <w:widowControl/>
        <w:jc w:val="left"/>
        <w:rPr>
          <w:rFonts w:ascii="宋体" w:hAnsi="宋体" w:eastAsia="宋体"/>
        </w:rPr>
      </w:pPr>
      <w:r>
        <w:rPr>
          <w:rFonts w:ascii="宋体" w:hAnsi="宋体" w:eastAsia="宋体"/>
        </w:rPr>
        <w:br w:type="page"/>
      </w:r>
    </w:p>
    <w:p w14:paraId="04B011F6">
      <w:pPr>
        <w:pStyle w:val="2"/>
        <w:jc w:val="center"/>
        <w:rPr>
          <w:rFonts w:ascii="宋体" w:hAnsi="宋体" w:eastAsia="宋体"/>
          <w:sz w:val="30"/>
        </w:rPr>
      </w:pPr>
      <w:bookmarkStart w:id="203" w:name="_Toc208504003"/>
      <w:bookmarkStart w:id="204" w:name="chapter_level1_23_72"/>
      <w:r>
        <w:rPr>
          <w:rFonts w:hint="eastAsia" w:ascii="宋体" w:hAnsi="宋体" w:eastAsia="宋体"/>
          <w:sz w:val="30"/>
        </w:rPr>
        <w:t>第二十部分  基金托管协议的内容摘要</w:t>
      </w:r>
      <w:bookmarkEnd w:id="203"/>
      <w:bookmarkEnd w:id="204"/>
    </w:p>
    <w:p w14:paraId="55B5F7EB">
      <w:pPr>
        <w:pStyle w:val="7"/>
        <w:spacing w:before="0" w:beforeAutospacing="0" w:after="0" w:afterAutospacing="0" w:line="360" w:lineRule="auto"/>
        <w:ind w:firstLine="420"/>
        <w:rPr>
          <w:sz w:val="21"/>
          <w:szCs w:val="21"/>
        </w:rPr>
      </w:pPr>
      <w:bookmarkStart w:id="205" w:name="chapter_level1_23_72_section_1"/>
      <w:bookmarkEnd w:id="205"/>
      <w:r>
        <w:rPr>
          <w:rStyle w:val="11"/>
          <w:rFonts w:hint="eastAsia"/>
          <w:sz w:val="21"/>
          <w:szCs w:val="21"/>
        </w:rPr>
        <w:t>一、托管协议当事人</w:t>
      </w:r>
    </w:p>
    <w:p w14:paraId="685F4C47">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34E274C9">
      <w:pPr>
        <w:pStyle w:val="7"/>
        <w:spacing w:before="0" w:beforeAutospacing="0" w:after="0" w:afterAutospacing="0" w:line="360" w:lineRule="auto"/>
        <w:ind w:firstLine="420"/>
        <w:rPr>
          <w:sz w:val="21"/>
          <w:szCs w:val="21"/>
        </w:rPr>
      </w:pPr>
      <w:r>
        <w:rPr>
          <w:rFonts w:hint="eastAsia"/>
          <w:sz w:val="21"/>
          <w:szCs w:val="21"/>
        </w:rPr>
        <w:t>名称：</w:t>
      </w:r>
      <w:bookmarkStart w:id="206" w:name="field_0_managerorgfullname_6"/>
      <w:r>
        <w:rPr>
          <w:rFonts w:hint="eastAsia"/>
          <w:sz w:val="21"/>
          <w:szCs w:val="21"/>
        </w:rPr>
        <w:t>博时基金管理有限公司</w:t>
      </w:r>
      <w:bookmarkEnd w:id="206"/>
      <w:r>
        <w:rPr>
          <w:rFonts w:hint="eastAsia"/>
          <w:sz w:val="21"/>
          <w:szCs w:val="21"/>
        </w:rPr>
        <w:t xml:space="preserve">  </w:t>
      </w:r>
    </w:p>
    <w:p w14:paraId="33927512">
      <w:pPr>
        <w:pStyle w:val="7"/>
        <w:spacing w:before="0" w:beforeAutospacing="0" w:after="0" w:afterAutospacing="0" w:line="360" w:lineRule="auto"/>
        <w:ind w:firstLine="420"/>
        <w:rPr>
          <w:sz w:val="21"/>
          <w:szCs w:val="21"/>
        </w:rPr>
      </w:pPr>
      <w:r>
        <w:rPr>
          <w:rFonts w:hint="eastAsia"/>
          <w:sz w:val="21"/>
          <w:szCs w:val="21"/>
        </w:rPr>
        <w:t xml:space="preserve">注册地址：广东省深圳市福田区深南大道7088号招商银行大厦29层 </w:t>
      </w:r>
    </w:p>
    <w:p w14:paraId="2A3B95DA">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办公地址：广东省深圳市福田区深南大道7088号招商银行大厦29层 </w:t>
      </w:r>
    </w:p>
    <w:p w14:paraId="1B05E8EE">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41473CEB">
      <w:pPr>
        <w:pStyle w:val="7"/>
        <w:spacing w:before="0" w:beforeAutospacing="0" w:after="0" w:afterAutospacing="0" w:line="360" w:lineRule="auto"/>
        <w:ind w:firstLine="420"/>
        <w:rPr>
          <w:sz w:val="21"/>
          <w:szCs w:val="21"/>
        </w:rPr>
      </w:pPr>
      <w:r>
        <w:rPr>
          <w:rFonts w:hint="eastAsia"/>
          <w:sz w:val="21"/>
          <w:szCs w:val="21"/>
        </w:rPr>
        <w:t xml:space="preserve">邮政编码：518400 </w:t>
      </w:r>
    </w:p>
    <w:p w14:paraId="52FCD4CA">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31110790">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7E3FA898">
      <w:pPr>
        <w:pStyle w:val="7"/>
        <w:spacing w:before="0" w:beforeAutospacing="0" w:after="0" w:afterAutospacing="0" w:line="360" w:lineRule="auto"/>
        <w:ind w:firstLine="420"/>
        <w:rPr>
          <w:sz w:val="21"/>
          <w:szCs w:val="21"/>
        </w:rPr>
      </w:pPr>
      <w:r>
        <w:rPr>
          <w:rFonts w:hint="eastAsia"/>
          <w:sz w:val="21"/>
          <w:szCs w:val="21"/>
        </w:rPr>
        <w:t xml:space="preserve">组织形式： 有限责任公司 </w:t>
      </w:r>
    </w:p>
    <w:p w14:paraId="1634C100">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3D204808">
      <w:pPr>
        <w:pStyle w:val="7"/>
        <w:spacing w:before="0" w:beforeAutospacing="0" w:after="0" w:afterAutospacing="0" w:line="360" w:lineRule="auto"/>
        <w:ind w:firstLine="420"/>
        <w:rPr>
          <w:sz w:val="21"/>
          <w:szCs w:val="21"/>
        </w:rPr>
      </w:pPr>
      <w:r>
        <w:rPr>
          <w:rFonts w:hint="eastAsia"/>
          <w:sz w:val="21"/>
          <w:szCs w:val="21"/>
        </w:rPr>
        <w:t xml:space="preserve">存续期限：持续经营 </w:t>
      </w:r>
    </w:p>
    <w:p w14:paraId="46F45BB0">
      <w:pPr>
        <w:pStyle w:val="7"/>
        <w:spacing w:before="0" w:beforeAutospacing="0" w:after="0" w:afterAutospacing="0" w:line="360" w:lineRule="auto"/>
        <w:ind w:firstLine="420"/>
        <w:rPr>
          <w:sz w:val="21"/>
          <w:szCs w:val="21"/>
        </w:rPr>
      </w:pPr>
      <w:r>
        <w:rPr>
          <w:rFonts w:hint="eastAsia"/>
          <w:sz w:val="21"/>
          <w:szCs w:val="21"/>
        </w:rPr>
        <w:t xml:space="preserve">电话：0755-83169999 </w:t>
      </w:r>
    </w:p>
    <w:p w14:paraId="745D7924">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0A8323BE">
      <w:pPr>
        <w:pStyle w:val="7"/>
        <w:spacing w:before="0" w:beforeAutospacing="0" w:after="0" w:afterAutospacing="0" w:line="360" w:lineRule="auto"/>
        <w:ind w:firstLine="420"/>
        <w:rPr>
          <w:sz w:val="21"/>
          <w:szCs w:val="21"/>
        </w:rPr>
      </w:pPr>
      <w:r>
        <w:rPr>
          <w:rFonts w:hint="eastAsia"/>
          <w:sz w:val="21"/>
          <w:szCs w:val="21"/>
        </w:rPr>
        <w:t>名称：</w:t>
      </w:r>
      <w:bookmarkStart w:id="207" w:name="field_0_trustorgfullname_2"/>
      <w:r>
        <w:rPr>
          <w:rFonts w:hint="eastAsia"/>
          <w:sz w:val="21"/>
          <w:szCs w:val="21"/>
        </w:rPr>
        <w:t>上海银行股份有限公司</w:t>
      </w:r>
      <w:bookmarkEnd w:id="207"/>
      <w:r>
        <w:rPr>
          <w:rFonts w:hint="eastAsia"/>
          <w:sz w:val="21"/>
          <w:szCs w:val="21"/>
        </w:rPr>
        <w:t xml:space="preserve">(简称：上海银行) </w:t>
      </w:r>
    </w:p>
    <w:p w14:paraId="2F6AE216">
      <w:pPr>
        <w:pStyle w:val="7"/>
        <w:spacing w:before="0" w:beforeAutospacing="0" w:after="0" w:afterAutospacing="0" w:line="360" w:lineRule="auto"/>
        <w:ind w:firstLine="420"/>
        <w:rPr>
          <w:sz w:val="21"/>
          <w:szCs w:val="21"/>
        </w:rPr>
      </w:pPr>
      <w:r>
        <w:rPr>
          <w:rFonts w:hint="eastAsia"/>
          <w:sz w:val="21"/>
          <w:szCs w:val="21"/>
        </w:rPr>
        <w:t xml:space="preserve">注册地址：中国(上海)自由贸易试验区银城中路168号 </w:t>
      </w:r>
    </w:p>
    <w:p w14:paraId="4E96AE13">
      <w:pPr>
        <w:pStyle w:val="7"/>
        <w:spacing w:before="0" w:beforeAutospacing="0" w:after="0" w:afterAutospacing="0" w:line="360" w:lineRule="auto"/>
        <w:ind w:firstLine="420"/>
        <w:rPr>
          <w:sz w:val="21"/>
          <w:szCs w:val="21"/>
        </w:rPr>
      </w:pPr>
      <w:r>
        <w:rPr>
          <w:rFonts w:hint="eastAsia"/>
          <w:sz w:val="21"/>
          <w:szCs w:val="21"/>
        </w:rPr>
        <w:t xml:space="preserve">办公地址：中国(上海)自由贸易试验区银城中路168号 </w:t>
      </w:r>
    </w:p>
    <w:p w14:paraId="3E53D359">
      <w:pPr>
        <w:pStyle w:val="7"/>
        <w:spacing w:before="0" w:beforeAutospacing="0" w:after="0" w:afterAutospacing="0" w:line="360" w:lineRule="auto"/>
        <w:ind w:firstLine="420"/>
        <w:rPr>
          <w:sz w:val="21"/>
          <w:szCs w:val="21"/>
        </w:rPr>
      </w:pPr>
      <w:r>
        <w:rPr>
          <w:rFonts w:hint="eastAsia"/>
          <w:sz w:val="21"/>
          <w:szCs w:val="21"/>
        </w:rPr>
        <w:t xml:space="preserve">邮政编码：200120 </w:t>
      </w:r>
    </w:p>
    <w:p w14:paraId="48876674">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顾建忠</w:t>
      </w:r>
      <w:r>
        <w:rPr>
          <w:rFonts w:hint="eastAsia"/>
          <w:sz w:val="21"/>
          <w:szCs w:val="21"/>
        </w:rPr>
        <w:t xml:space="preserve"> </w:t>
      </w:r>
    </w:p>
    <w:p w14:paraId="0A8AA10C">
      <w:pPr>
        <w:pStyle w:val="7"/>
        <w:spacing w:before="0" w:beforeAutospacing="0" w:after="0" w:afterAutospacing="0" w:line="360" w:lineRule="auto"/>
        <w:ind w:firstLine="420"/>
        <w:rPr>
          <w:sz w:val="21"/>
          <w:szCs w:val="21"/>
        </w:rPr>
      </w:pPr>
      <w:r>
        <w:rPr>
          <w:rFonts w:hint="eastAsia"/>
          <w:sz w:val="21"/>
          <w:szCs w:val="21"/>
        </w:rPr>
        <w:t xml:space="preserve">成立日期：1995年12月29日 </w:t>
      </w:r>
    </w:p>
    <w:p w14:paraId="136B3E2B">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批准设立机关和批准设立文号：中国人民银行 银复[1995]469号《关于上海城市合作银行开业的批复》，中国人民银行 银复[1998]215号《关于上海城市合作银行更改行名的批复》 </w:t>
      </w:r>
    </w:p>
    <w:p w14:paraId="04721FDA">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基金托管业务批准文号：中国证监会证监许可[2009]814号 </w:t>
      </w:r>
    </w:p>
    <w:p w14:paraId="38BA46D4">
      <w:pPr>
        <w:pStyle w:val="7"/>
        <w:spacing w:before="0" w:beforeAutospacing="0" w:after="0" w:afterAutospacing="0" w:line="360" w:lineRule="auto"/>
        <w:ind w:firstLine="420"/>
        <w:rPr>
          <w:sz w:val="21"/>
          <w:szCs w:val="21"/>
        </w:rPr>
      </w:pPr>
      <w:r>
        <w:rPr>
          <w:rFonts w:hint="eastAsia"/>
          <w:sz w:val="21"/>
          <w:szCs w:val="21"/>
        </w:rPr>
        <w:t xml:space="preserve">组织形式：股份有限公司（中外合资、上市） </w:t>
      </w:r>
    </w:p>
    <w:p w14:paraId="68247C0C">
      <w:pPr>
        <w:pStyle w:val="7"/>
        <w:spacing w:before="0" w:beforeAutospacing="0" w:after="0" w:afterAutospacing="0" w:line="360" w:lineRule="auto"/>
        <w:ind w:firstLine="420"/>
        <w:rPr>
          <w:sz w:val="21"/>
          <w:szCs w:val="21"/>
        </w:rPr>
      </w:pPr>
      <w:r>
        <w:rPr>
          <w:rFonts w:hint="eastAsia"/>
          <w:sz w:val="21"/>
          <w:szCs w:val="21"/>
        </w:rPr>
        <w:t xml:space="preserve">注册资本：人民币142.065287亿元 </w:t>
      </w:r>
    </w:p>
    <w:p w14:paraId="441B95D9">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B6CCE21">
      <w:pPr>
        <w:pStyle w:val="7"/>
        <w:spacing w:before="0" w:beforeAutospacing="0" w:after="0" w:afterAutospacing="0" w:line="360" w:lineRule="auto"/>
        <w:ind w:firstLine="420"/>
        <w:rPr>
          <w:sz w:val="21"/>
          <w:szCs w:val="21"/>
        </w:rPr>
      </w:pPr>
      <w:r>
        <w:rPr>
          <w:rFonts w:hint="eastAsia"/>
          <w:sz w:val="21"/>
          <w:szCs w:val="21"/>
        </w:rPr>
        <w:t xml:space="preserve">经营范围：人民币存贷款等 </w:t>
      </w:r>
    </w:p>
    <w:p w14:paraId="75C59F51">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50834A90">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1B6C120E">
      <w:pPr>
        <w:pStyle w:val="7"/>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金融工具，包括债券（含国债、金融债、企业债、公司债、地方政府债、央行票据、中期票据、短期融资券、超短期融资券、公开发行的次级债）、资产支持证券、债券回购、同业存单、银行存款、国债期货等法律法规或中国证监会允许基金投资的其他金融工具（但须符合中国证监会的相关规定）。 </w:t>
      </w:r>
    </w:p>
    <w:p w14:paraId="1F9772E4">
      <w:pPr>
        <w:pStyle w:val="7"/>
        <w:spacing w:before="0" w:beforeAutospacing="0" w:after="0" w:afterAutospacing="0" w:line="360" w:lineRule="auto"/>
        <w:ind w:firstLine="420"/>
        <w:rPr>
          <w:sz w:val="21"/>
          <w:szCs w:val="21"/>
        </w:rPr>
      </w:pPr>
      <w:r>
        <w:rPr>
          <w:rFonts w:hint="eastAsia"/>
          <w:sz w:val="21"/>
          <w:szCs w:val="21"/>
        </w:rPr>
        <w:t xml:space="preserve">本基金不投资于股票等资产，也不投资于可转换债券、可交换债券。 </w:t>
      </w:r>
    </w:p>
    <w:p w14:paraId="7F271F05">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17B93291">
      <w:pPr>
        <w:pStyle w:val="7"/>
        <w:spacing w:before="0" w:beforeAutospacing="0" w:after="0" w:afterAutospacing="0" w:line="360" w:lineRule="auto"/>
        <w:ind w:firstLine="420"/>
        <w:rPr>
          <w:sz w:val="21"/>
          <w:szCs w:val="21"/>
        </w:rPr>
      </w:pPr>
      <w:r>
        <w:rPr>
          <w:rFonts w:hint="eastAsia"/>
          <w:sz w:val="21"/>
          <w:szCs w:val="21"/>
        </w:rPr>
        <w:t xml:space="preserve">本基金投资于债券资产比例不低于基金资产的80%，但应开放期流动性需要，为保护基金份额持有人利益，在每次开放期开始前1个月、开放期及开放期结束后1个月的期间内，基金投资不受上述比例限制。开放期内，每个交易日日终在扣除国债期货合约需缴纳的交易保证金后，本基金持有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172CC525">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55683BD4">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14:paraId="70D6AAE8">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（1）本基金投资于债券资产比例不低于基金资产的80%，但应开放期流动性需要，为保护基金份额持有人利益，在每次开放期开始前1个月、开放期及开放期结束后1个月的期间内，基金投资不受上述比例限制； </w:t>
      </w:r>
    </w:p>
    <w:p w14:paraId="697C15A0">
      <w:pPr>
        <w:pStyle w:val="7"/>
        <w:spacing w:before="0" w:beforeAutospacing="0" w:after="0" w:afterAutospacing="0" w:line="360" w:lineRule="auto"/>
        <w:ind w:firstLine="420"/>
        <w:rPr>
          <w:sz w:val="21"/>
          <w:szCs w:val="21"/>
        </w:rPr>
      </w:pPr>
      <w:r>
        <w:rPr>
          <w:rFonts w:hint="eastAsia"/>
          <w:sz w:val="21"/>
          <w:szCs w:val="21"/>
        </w:rPr>
        <w:t xml:space="preserve">（2）开放期内，每个交易日日终在扣除国债期货合约需缴纳的交易保证金后，本基金持有现金或者到期日在一年以内的政府债券投资比例合计不低于基金资产净值的5%；在封闭期内，本基金不受上述5%的限制，但每个交易日日终在扣除国债期货合约需缴纳的交易保证金后，应当保持不低于交易保证金一倍的现金；其中，现金不包括结算备付金、存出保证金、应收申购款等； </w:t>
      </w:r>
    </w:p>
    <w:p w14:paraId="27252824">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770FBA21">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26094234">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602EEF1C">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7F8DA442">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6B47A525">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2EC3E28B">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41F1035D">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0C1A35E6">
      <w:pPr>
        <w:pStyle w:val="7"/>
        <w:spacing w:before="0" w:beforeAutospacing="0" w:after="0" w:afterAutospacing="0" w:line="360" w:lineRule="auto"/>
        <w:ind w:firstLine="420"/>
        <w:rPr>
          <w:sz w:val="21"/>
          <w:szCs w:val="21"/>
        </w:rPr>
      </w:pPr>
      <w:r>
        <w:rPr>
          <w:rFonts w:hint="eastAsia"/>
          <w:sz w:val="21"/>
          <w:szCs w:val="21"/>
        </w:rPr>
        <w:t xml:space="preserve">（11）本基金若参与国债期货交易，需遵守下列投资比例限制： </w:t>
      </w:r>
    </w:p>
    <w:p w14:paraId="396EAF65">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14:paraId="6ADA74DF">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14:paraId="4F886879">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14:paraId="57837687">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14:paraId="739F45E0">
      <w:pPr>
        <w:pStyle w:val="7"/>
        <w:spacing w:before="0" w:beforeAutospacing="0" w:after="0" w:afterAutospacing="0" w:line="360" w:lineRule="auto"/>
        <w:ind w:firstLine="420"/>
        <w:rPr>
          <w:sz w:val="21"/>
          <w:szCs w:val="21"/>
        </w:rPr>
      </w:pPr>
      <w:r>
        <w:rPr>
          <w:rFonts w:hint="eastAsia"/>
          <w:sz w:val="21"/>
          <w:szCs w:val="21"/>
        </w:rPr>
        <w:t xml:space="preserve">（12）开放期内，本基金资产总值不得超过基金资产净值的140%；封闭期内，本基金资产总值不得超过基金资产净值的200%； </w:t>
      </w:r>
    </w:p>
    <w:p w14:paraId="11F42272">
      <w:pPr>
        <w:pStyle w:val="7"/>
        <w:spacing w:before="0" w:beforeAutospacing="0" w:after="0" w:afterAutospacing="0" w:line="360" w:lineRule="auto"/>
        <w:ind w:firstLine="420"/>
        <w:rPr>
          <w:sz w:val="21"/>
          <w:szCs w:val="21"/>
        </w:rPr>
      </w:pPr>
      <w:r>
        <w:rPr>
          <w:rFonts w:hint="eastAsia"/>
          <w:sz w:val="21"/>
          <w:szCs w:val="21"/>
        </w:rPr>
        <w:t xml:space="preserve">（13）开放期内，本基金主动投资于流动性受限资产的市值合计不得超过基金资产净值的15%；封闭期内不受此限； </w:t>
      </w:r>
    </w:p>
    <w:p w14:paraId="53A7BF2B">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497B3AA3">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57D741AB">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14:paraId="6C1CF63D">
      <w:pPr>
        <w:pStyle w:val="7"/>
        <w:spacing w:before="0" w:beforeAutospacing="0" w:after="0" w:afterAutospacing="0" w:line="360" w:lineRule="auto"/>
        <w:ind w:firstLine="420"/>
        <w:rPr>
          <w:sz w:val="21"/>
          <w:szCs w:val="21"/>
        </w:rPr>
      </w:pPr>
      <w:r>
        <w:rPr>
          <w:rFonts w:hint="eastAsia"/>
          <w:sz w:val="21"/>
          <w:szCs w:val="21"/>
        </w:rPr>
        <w:t xml:space="preserve">除上述第（2）、（10）、（13）、（14）条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0B848E50">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D7ADC5C">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31B2A264">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（三）基金托管人根据有关法律法规的规定及《基金合同》的约定，对本托管协议第十五条第九款基金投资禁止行为通过事后监督方式进行监督。 </w:t>
      </w:r>
    </w:p>
    <w:p w14:paraId="31E19836">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重大关联交易应提交基金管理人董事会审议，并经过三分之二以上的独立董事通过。基金管理人董事会应至少每半年对关联交易事项进行审查。 </w:t>
      </w:r>
    </w:p>
    <w:p w14:paraId="7608C852">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14:paraId="431A8261">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2A68AA19">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693EBF38">
      <w:pPr>
        <w:pStyle w:val="7"/>
        <w:spacing w:before="0" w:beforeAutospacing="0" w:after="0" w:afterAutospacing="0" w:line="360" w:lineRule="auto"/>
        <w:ind w:firstLine="420"/>
        <w:rPr>
          <w:sz w:val="21"/>
          <w:szCs w:val="21"/>
        </w:rPr>
      </w:pPr>
      <w:r>
        <w:rPr>
          <w:rFonts w:hint="eastAsia"/>
          <w:sz w:val="21"/>
          <w:szCs w:val="21"/>
        </w:rPr>
        <w:t xml:space="preserve">（六）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3A54A9F1">
      <w:pPr>
        <w:pStyle w:val="7"/>
        <w:spacing w:before="0" w:beforeAutospacing="0" w:after="0" w:afterAutospacing="0" w:line="360" w:lineRule="auto"/>
        <w:ind w:firstLine="420"/>
        <w:rPr>
          <w:sz w:val="21"/>
          <w:szCs w:val="21"/>
        </w:rPr>
      </w:pPr>
      <w:r>
        <w:rPr>
          <w:rFonts w:hint="eastAsia"/>
          <w:sz w:val="21"/>
          <w:szCs w:val="21"/>
        </w:rPr>
        <w:t xml:space="preserve">（七）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12997FCA">
      <w:pPr>
        <w:pStyle w:val="7"/>
        <w:spacing w:before="0" w:beforeAutospacing="0" w:after="0" w:afterAutospacing="0" w:line="360" w:lineRule="auto"/>
        <w:ind w:firstLine="420"/>
        <w:rPr>
          <w:sz w:val="21"/>
          <w:szCs w:val="21"/>
        </w:rPr>
      </w:pPr>
      <w:r>
        <w:rPr>
          <w:rFonts w:hint="eastAsia"/>
          <w:sz w:val="21"/>
          <w:szCs w:val="21"/>
        </w:rPr>
        <w:t xml:space="preserve">（八）若基金托管人发现基金管理人依据交易程序已经生效的指令违反法律、行政法规和其他有关规定，或者违反《基金合同》约定的，应当立即通知基金管理人，由此造成的损失由基金管理人承担。 </w:t>
      </w:r>
    </w:p>
    <w:p w14:paraId="28E0F7C9">
      <w:pPr>
        <w:pStyle w:val="7"/>
        <w:spacing w:before="0" w:beforeAutospacing="0" w:after="0" w:afterAutospacing="0" w:line="360" w:lineRule="auto"/>
        <w:ind w:firstLine="420"/>
        <w:rPr>
          <w:sz w:val="21"/>
          <w:szCs w:val="21"/>
        </w:rPr>
      </w:pPr>
      <w:r>
        <w:rPr>
          <w:rFonts w:hint="eastAsia"/>
          <w:sz w:val="21"/>
          <w:szCs w:val="21"/>
        </w:rPr>
        <w:t xml:space="preserve">（九）基金托管人发现基金管理人有重大违规行为，应及时报告中国证监会，同时通知基金管理人限期纠正，并将纠正结果报告中国证监会。基金管理人无正当理由，拒绝、阻挠基金托管人根据本托管协议规定行使监督权，或采取拖延、欺诈等手段妨碍基金托管人进行有效监督，情节严重或经基金托管人提出警告仍不改正的，基金托管人应报告中国证监会。 </w:t>
      </w:r>
    </w:p>
    <w:p w14:paraId="7500BA01">
      <w:pPr>
        <w:pStyle w:val="7"/>
        <w:spacing w:before="0" w:beforeAutospacing="0" w:after="0" w:afterAutospacing="0" w:line="360" w:lineRule="auto"/>
        <w:ind w:firstLine="420"/>
        <w:rPr>
          <w:sz w:val="21"/>
          <w:szCs w:val="21"/>
        </w:rPr>
      </w:pPr>
      <w:r>
        <w:rPr>
          <w:rFonts w:hint="eastAsia"/>
          <w:sz w:val="21"/>
          <w:szCs w:val="21"/>
        </w:rPr>
        <w:t xml:space="preserve">（十）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2F2D071E">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43665F8B">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2390156F">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 </w:t>
      </w:r>
    </w:p>
    <w:p w14:paraId="37391616">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51382A6F">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58B65CE7">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3572254E">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475BB3F6">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1ED56258">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2.基金托管人应安全保管基金财产，不对处于基金托管人实际控制之外的账户或财产承担责任。 </w:t>
      </w:r>
    </w:p>
    <w:p w14:paraId="5CB74713">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3.基金托管人按照规定开设基金财产的资金账户、证券账户等投资所需其他账户。 </w:t>
      </w:r>
    </w:p>
    <w:p w14:paraId="02D4E131">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559076F5">
      <w:pPr>
        <w:pStyle w:val="7"/>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托管资产开户银行扣收结算费和账户维护费等费用）。 </w:t>
      </w:r>
    </w:p>
    <w:p w14:paraId="3E316455">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78EDFFC1">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08B6BDE3">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2046AE1C">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1.基金募集期间募集的资金应存于基金管理人在具有托管资格的商业银行开立的“基金募集专户”。该账户由基金管理人开立并管理。 </w:t>
      </w:r>
    </w:p>
    <w:p w14:paraId="2E444E92">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验资报告需对发起资金的持有人及其持有份额进行专门说明。出具的验资报告由参加验资的2名或2名以上中国注册会计师签字方为有效。 </w:t>
      </w:r>
    </w:p>
    <w:p w14:paraId="7FFA7851">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63BCB56D">
      <w:pPr>
        <w:pStyle w:val="7"/>
        <w:spacing w:before="0" w:beforeAutospacing="0" w:after="0" w:afterAutospacing="0" w:line="360" w:lineRule="auto"/>
        <w:ind w:firstLine="420"/>
        <w:rPr>
          <w:sz w:val="21"/>
          <w:szCs w:val="21"/>
        </w:rPr>
      </w:pPr>
      <w:r>
        <w:rPr>
          <w:rFonts w:hint="eastAsia"/>
          <w:sz w:val="21"/>
          <w:szCs w:val="21"/>
        </w:rPr>
        <w:t xml:space="preserve">（三）基金托管账户的开立和管理 </w:t>
      </w:r>
    </w:p>
    <w:p w14:paraId="00092ABD">
      <w:pPr>
        <w:pStyle w:val="7"/>
        <w:spacing w:before="0" w:beforeAutospacing="0" w:after="0" w:afterAutospacing="0" w:line="360" w:lineRule="auto"/>
        <w:ind w:firstLine="420"/>
        <w:rPr>
          <w:sz w:val="21"/>
          <w:szCs w:val="21"/>
        </w:rPr>
      </w:pPr>
      <w:r>
        <w:rPr>
          <w:rFonts w:hint="eastAsia"/>
          <w:sz w:val="21"/>
          <w:szCs w:val="21"/>
        </w:rPr>
        <w:t xml:space="preserve">1.基金托管人应以本基金的名义在其营业机构开立基金的托管账户，并根据基金管理人合法合规的指令办理资金收付。 </w:t>
      </w:r>
    </w:p>
    <w:p w14:paraId="0C257E9A">
      <w:pPr>
        <w:pStyle w:val="7"/>
        <w:spacing w:before="0" w:beforeAutospacing="0" w:after="0" w:afterAutospacing="0" w:line="360" w:lineRule="auto"/>
        <w:ind w:firstLine="420"/>
        <w:rPr>
          <w:sz w:val="21"/>
          <w:szCs w:val="21"/>
        </w:rPr>
      </w:pPr>
      <w:r>
        <w:rPr>
          <w:rFonts w:hint="eastAsia"/>
          <w:sz w:val="21"/>
          <w:szCs w:val="21"/>
        </w:rPr>
        <w:t xml:space="preserve">2.基金托管账户的开立和使用，限于满足开展本基金业务的需要。基金托管人和基金管理人不得假借本基金的名义开立任何其他银行账户；亦不得使用基金的任何账户进行本基金业务以外的活动。 </w:t>
      </w:r>
    </w:p>
    <w:p w14:paraId="6788FE65">
      <w:pPr>
        <w:pStyle w:val="7"/>
        <w:spacing w:before="0" w:beforeAutospacing="0" w:after="0" w:afterAutospacing="0" w:line="360" w:lineRule="auto"/>
        <w:ind w:firstLine="420"/>
        <w:rPr>
          <w:sz w:val="21"/>
          <w:szCs w:val="21"/>
        </w:rPr>
      </w:pPr>
      <w:r>
        <w:rPr>
          <w:rFonts w:hint="eastAsia"/>
          <w:sz w:val="21"/>
          <w:szCs w:val="21"/>
        </w:rPr>
        <w:t xml:space="preserve">3.基金托管账户的开立和管理应符合银行业监督管理机构的有关规定。 </w:t>
      </w:r>
    </w:p>
    <w:p w14:paraId="3D07C626">
      <w:pPr>
        <w:pStyle w:val="7"/>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0EA9814E">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72BB003E">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1.基金托管人在中国证券登记结算有限责任公司上海分公司、深圳分公司为基金开立证券账户。 </w:t>
      </w:r>
    </w:p>
    <w:p w14:paraId="7A396321">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332DEE39">
      <w:pPr>
        <w:pStyle w:val="7"/>
        <w:spacing w:before="0" w:beforeAutospacing="0" w:after="0" w:afterAutospacing="0" w:line="360" w:lineRule="auto"/>
        <w:ind w:firstLine="420"/>
        <w:rPr>
          <w:sz w:val="21"/>
          <w:szCs w:val="21"/>
        </w:rPr>
      </w:pPr>
      <w:r>
        <w:rPr>
          <w:rFonts w:hint="eastAsia"/>
          <w:sz w:val="21"/>
          <w:szCs w:val="21"/>
        </w:rPr>
        <w:t xml:space="preserve">3.基金证券账户的开立、变更和证券账户卡的保管由基金托管人负责，账户资产的管理和运用由基金管理人负责。 </w:t>
      </w:r>
    </w:p>
    <w:p w14:paraId="22651903">
      <w:pPr>
        <w:pStyle w:val="7"/>
        <w:spacing w:before="0" w:beforeAutospacing="0" w:after="0" w:afterAutospacing="0" w:line="360" w:lineRule="auto"/>
        <w:ind w:firstLine="420"/>
        <w:rPr>
          <w:sz w:val="21"/>
          <w:szCs w:val="21"/>
        </w:rPr>
      </w:pPr>
      <w:r>
        <w:rPr>
          <w:rFonts w:hint="eastAsia"/>
          <w:sz w:val="21"/>
          <w:szCs w:val="21"/>
        </w:rPr>
        <w:t xml:space="preserve">证券账户开户费由本基金财产承担，若因基金银行存款余额不足导致证券账户开户费无法扣收，由基金管理人先行垫付。 </w:t>
      </w:r>
    </w:p>
    <w:p w14:paraId="3C587F59">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 </w:t>
      </w:r>
    </w:p>
    <w:p w14:paraId="2D3CEE31">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14822362">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14:paraId="4D1B5D6B">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持有人账户和资金结算账户，并代表基金进行银行间市场债券的结算。基金管理人和基金托管人共同代表基金签订全国银行间债券市场债券回购主协议。 </w:t>
      </w:r>
    </w:p>
    <w:p w14:paraId="530A40D3">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5B67886B">
      <w:pPr>
        <w:pStyle w:val="7"/>
        <w:spacing w:before="0" w:beforeAutospacing="0" w:after="0" w:afterAutospacing="0" w:line="360" w:lineRule="auto"/>
        <w:ind w:firstLine="420"/>
        <w:rPr>
          <w:sz w:val="21"/>
          <w:szCs w:val="21"/>
        </w:rPr>
      </w:pPr>
      <w:r>
        <w:rPr>
          <w:rFonts w:hint="eastAsia"/>
          <w:sz w:val="21"/>
          <w:szCs w:val="21"/>
        </w:rPr>
        <w:t xml:space="preserve">1. 在本托管协议订立日之后，本基金被允许从事符合法律法规规定和《基金合同》约定的其他投资品种的投资业务时，如果涉及相关账户的开设和使用，按有关规则进行开立和使用。 </w:t>
      </w:r>
    </w:p>
    <w:p w14:paraId="6A321DEA">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4875E1EB">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3937E6A4">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的资产不承担保管责任。 </w:t>
      </w:r>
    </w:p>
    <w:p w14:paraId="2FC9BDE6">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4F4FF3DD">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 </w:t>
      </w:r>
    </w:p>
    <w:p w14:paraId="1F94B4FB">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对于无法取得二份以上的正本的，基金管理人应向基金托管人提供合同复印件，并在复印件上加盖公章，未经双方协商或未在合同约定范围内，合同原件不得转移。 </w:t>
      </w:r>
    </w:p>
    <w:p w14:paraId="555DC873">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0C4A84FA">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550A18C0">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金额。基金份额净值是按照每个交易日闭市后，基金资产净值除以当日基金份额的余额数量计算，精确到0.0001元，小数点后第五位四舍五入。国家另有规定的，从其规定。 </w:t>
      </w:r>
    </w:p>
    <w:p w14:paraId="4E98CD84">
      <w:pPr>
        <w:pStyle w:val="7"/>
        <w:spacing w:before="0" w:beforeAutospacing="0" w:after="0" w:afterAutospacing="0" w:line="360" w:lineRule="auto"/>
        <w:ind w:firstLine="420"/>
        <w:rPr>
          <w:sz w:val="21"/>
          <w:szCs w:val="21"/>
        </w:rPr>
      </w:pPr>
      <w:r>
        <w:rPr>
          <w:rFonts w:hint="eastAsia"/>
          <w:sz w:val="21"/>
          <w:szCs w:val="21"/>
        </w:rPr>
        <w:t xml:space="preserve">基金管理人每个交易日计算基金资产净值及基金份额净值，并按规定公告。 </w:t>
      </w:r>
    </w:p>
    <w:p w14:paraId="09D74BB8">
      <w:pPr>
        <w:pStyle w:val="7"/>
        <w:spacing w:before="0" w:beforeAutospacing="0" w:after="0" w:afterAutospacing="0" w:line="360" w:lineRule="auto"/>
        <w:ind w:firstLine="420"/>
        <w:rPr>
          <w:sz w:val="21"/>
          <w:szCs w:val="21"/>
        </w:rPr>
      </w:pPr>
      <w:r>
        <w:rPr>
          <w:rFonts w:hint="eastAsia"/>
          <w:sz w:val="21"/>
          <w:szCs w:val="21"/>
        </w:rPr>
        <w:t xml:space="preserve">2.基金管理人应每交易日对基金资产估值。但基金管理人根据法律法规或《基金合同》的规定暂停估值时除外。基金管理人每个交易日对基金资产估值后，将基金份额净值结果发送基金托管人，经基金托管人复核无误后，由基金管理人按约定对外公布。 </w:t>
      </w:r>
    </w:p>
    <w:p w14:paraId="4E61E0FF">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33CCC37D">
      <w:pPr>
        <w:pStyle w:val="7"/>
        <w:spacing w:before="0" w:beforeAutospacing="0" w:after="0" w:afterAutospacing="0" w:line="360" w:lineRule="auto"/>
        <w:ind w:firstLine="420"/>
        <w:rPr>
          <w:sz w:val="21"/>
          <w:szCs w:val="21"/>
        </w:rPr>
      </w:pPr>
      <w:r>
        <w:rPr>
          <w:rFonts w:hint="eastAsia"/>
          <w:sz w:val="21"/>
          <w:szCs w:val="21"/>
        </w:rPr>
        <w:t xml:space="preserve">1.估值对象 </w:t>
      </w:r>
    </w:p>
    <w:p w14:paraId="445A4123">
      <w:pPr>
        <w:pStyle w:val="7"/>
        <w:spacing w:before="0" w:beforeAutospacing="0" w:after="0" w:afterAutospacing="0" w:line="360" w:lineRule="auto"/>
        <w:ind w:firstLine="420"/>
        <w:rPr>
          <w:sz w:val="21"/>
          <w:szCs w:val="21"/>
        </w:rPr>
      </w:pPr>
      <w:r>
        <w:rPr>
          <w:rFonts w:hint="eastAsia"/>
          <w:sz w:val="21"/>
          <w:szCs w:val="21"/>
        </w:rPr>
        <w:t xml:space="preserve">基金所拥有的债券、国债期货合约和银行存款本息、应收款项、其它投资等资产及负债。 </w:t>
      </w:r>
    </w:p>
    <w:p w14:paraId="6133202B">
      <w:pPr>
        <w:pStyle w:val="7"/>
        <w:spacing w:before="0" w:beforeAutospacing="0" w:after="0" w:afterAutospacing="0" w:line="360" w:lineRule="auto"/>
        <w:ind w:firstLine="420"/>
        <w:rPr>
          <w:sz w:val="21"/>
          <w:szCs w:val="21"/>
        </w:rPr>
      </w:pPr>
      <w:r>
        <w:rPr>
          <w:rFonts w:hint="eastAsia"/>
          <w:sz w:val="21"/>
          <w:szCs w:val="21"/>
        </w:rPr>
        <w:t xml:space="preserve">2.估值方法 </w:t>
      </w:r>
    </w:p>
    <w:p w14:paraId="79FDE912">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38CDB342">
      <w:pPr>
        <w:pStyle w:val="7"/>
        <w:spacing w:before="0" w:beforeAutospacing="0" w:after="0" w:afterAutospacing="0" w:line="360" w:lineRule="auto"/>
        <w:ind w:firstLine="420"/>
        <w:rPr>
          <w:sz w:val="21"/>
          <w:szCs w:val="21"/>
        </w:rPr>
      </w:pPr>
      <w:r>
        <w:rPr>
          <w:rFonts w:hint="eastAsia"/>
          <w:sz w:val="21"/>
          <w:szCs w:val="21"/>
        </w:rPr>
        <w:t xml:space="preserve">（A）交易所上市交易或挂牌转让的固定收益品种（基金合同另有规定的除外），选取估值日第三方估值机构提供的相应品种对应的估值净价估值，具体估值机构由基金管理人与基金托管人另行协商约定； </w:t>
      </w:r>
    </w:p>
    <w:p w14:paraId="5E973127">
      <w:pPr>
        <w:pStyle w:val="7"/>
        <w:spacing w:before="0" w:beforeAutospacing="0" w:after="0" w:afterAutospacing="0" w:line="360" w:lineRule="auto"/>
        <w:ind w:firstLine="420"/>
        <w:rPr>
          <w:sz w:val="21"/>
          <w:szCs w:val="21"/>
        </w:rPr>
      </w:pPr>
      <w:r>
        <w:rPr>
          <w:rFonts w:hint="eastAsia"/>
          <w:sz w:val="21"/>
          <w:szCs w:val="21"/>
        </w:rPr>
        <w:t xml:space="preserve">（B）交易所上市不存在活跃市场的有价证券，采用估值技术确定公允价值。交易所上市的资产支持证券，采用估值技术确定公允价值，在估值技术难以可靠计量公允价值的情况下，按成本估值。 </w:t>
      </w:r>
    </w:p>
    <w:p w14:paraId="5D969785">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17AB5C29">
      <w:pPr>
        <w:pStyle w:val="7"/>
        <w:spacing w:before="0" w:beforeAutospacing="0" w:after="0" w:afterAutospacing="0" w:line="360" w:lineRule="auto"/>
        <w:ind w:firstLine="420"/>
        <w:rPr>
          <w:sz w:val="21"/>
          <w:szCs w:val="21"/>
        </w:rPr>
      </w:pPr>
      <w:r>
        <w:rPr>
          <w:rFonts w:hint="eastAsia"/>
          <w:sz w:val="21"/>
          <w:szCs w:val="21"/>
        </w:rPr>
        <w:t xml:space="preserve">(3)同业存单、全国银行间债券市场交易的债券、资产支持证券等固定收益品种，采用估值技术确定公允价值。 </w:t>
      </w:r>
    </w:p>
    <w:p w14:paraId="630F9103">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472A88C3">
      <w:pPr>
        <w:pStyle w:val="7"/>
        <w:spacing w:before="0" w:beforeAutospacing="0" w:after="0" w:afterAutospacing="0" w:line="360" w:lineRule="auto"/>
        <w:ind w:firstLine="420"/>
        <w:rPr>
          <w:sz w:val="21"/>
          <w:szCs w:val="21"/>
        </w:rPr>
      </w:pPr>
      <w:r>
        <w:rPr>
          <w:rFonts w:hint="eastAsia"/>
          <w:sz w:val="21"/>
          <w:szCs w:val="21"/>
        </w:rPr>
        <w:t xml:space="preserve">(5)基金投资的国债期货合约，一般以估值当日结算价进行估值，估值当日无结算价的，且最近交易日后经济环境未发生重大变化的，采用最近交易日结算价估值。 </w:t>
      </w:r>
    </w:p>
    <w:p w14:paraId="41E66708">
      <w:pPr>
        <w:pStyle w:val="7"/>
        <w:spacing w:before="0" w:beforeAutospacing="0" w:after="0" w:afterAutospacing="0" w:line="360" w:lineRule="auto"/>
        <w:ind w:firstLine="420"/>
        <w:rPr>
          <w:sz w:val="21"/>
          <w:szCs w:val="21"/>
        </w:rPr>
      </w:pPr>
      <w:r>
        <w:rPr>
          <w:rFonts w:hint="eastAsia"/>
          <w:sz w:val="21"/>
          <w:szCs w:val="21"/>
        </w:rPr>
        <w:t xml:space="preserve">（6）开放期内，当发生大额申购或赎回情形时，基金管理人可以采用摆动定价机制，以确保基金估值的公平性。 </w:t>
      </w:r>
    </w:p>
    <w:p w14:paraId="7179A0F1">
      <w:pPr>
        <w:pStyle w:val="7"/>
        <w:spacing w:before="0" w:beforeAutospacing="0" w:after="0" w:afterAutospacing="0" w:line="360" w:lineRule="auto"/>
        <w:ind w:firstLine="420"/>
        <w:rPr>
          <w:sz w:val="21"/>
          <w:szCs w:val="21"/>
        </w:rPr>
      </w:pPr>
      <w:r>
        <w:rPr>
          <w:rFonts w:hint="eastAsia"/>
          <w:sz w:val="21"/>
          <w:szCs w:val="21"/>
        </w:rPr>
        <w:t xml:space="preserve">(7)如有确凿证据表明按上述方法进行估值不能客观反映其公允价值的，基金管理人可根据具体情况与基金托管人商定后，按最能反映公允价值的价格估值。 </w:t>
      </w:r>
    </w:p>
    <w:p w14:paraId="66D66321">
      <w:pPr>
        <w:pStyle w:val="7"/>
        <w:spacing w:before="0" w:beforeAutospacing="0" w:after="0" w:afterAutospacing="0" w:line="360" w:lineRule="auto"/>
        <w:ind w:firstLine="420"/>
        <w:rPr>
          <w:sz w:val="21"/>
          <w:szCs w:val="21"/>
        </w:rPr>
      </w:pPr>
      <w:r>
        <w:rPr>
          <w:rFonts w:hint="eastAsia"/>
          <w:sz w:val="21"/>
          <w:szCs w:val="21"/>
        </w:rPr>
        <w:t xml:space="preserve">(8)相关法律法规以及监管部门有强制规定的，从其规定。如有新增事项，按国家最新规定估值。 </w:t>
      </w:r>
    </w:p>
    <w:p w14:paraId="1E0B9D6D">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2C404E54">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46B2948">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14:paraId="028E86C3">
      <w:pPr>
        <w:pStyle w:val="7"/>
        <w:spacing w:before="0" w:beforeAutospacing="0" w:after="0" w:afterAutospacing="0" w:line="360" w:lineRule="auto"/>
        <w:ind w:firstLine="420"/>
        <w:rPr>
          <w:sz w:val="21"/>
          <w:szCs w:val="21"/>
        </w:rPr>
      </w:pPr>
      <w:r>
        <w:rPr>
          <w:rFonts w:hint="eastAsia"/>
          <w:sz w:val="21"/>
          <w:szCs w:val="21"/>
        </w:rPr>
        <w:t xml:space="preserve">基金管理人、基金托管人按估值方法的第7项进行估值时，所造成的误差不作为基金资产估值错误处理。 </w:t>
      </w:r>
    </w:p>
    <w:p w14:paraId="4F91626A">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期货交易所、登记结算公司及存款银行等第三方机构发送的数据错误、遗漏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337ECDA4">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082F1D48">
      <w:pPr>
        <w:pStyle w:val="7"/>
        <w:spacing w:before="0" w:beforeAutospacing="0" w:after="0" w:afterAutospacing="0" w:line="360" w:lineRule="auto"/>
        <w:ind w:firstLine="420"/>
        <w:rPr>
          <w:sz w:val="21"/>
          <w:szCs w:val="21"/>
        </w:rPr>
      </w:pPr>
      <w:r>
        <w:rPr>
          <w:rFonts w:hint="eastAsia"/>
          <w:sz w:val="21"/>
          <w:szCs w:val="21"/>
        </w:rPr>
        <w:t xml:space="preserve">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 </w:t>
      </w:r>
    </w:p>
    <w:p w14:paraId="4409B4D2">
      <w:pPr>
        <w:pStyle w:val="7"/>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5D605EF4">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1EA4225D">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承担相应的责任。 </w:t>
      </w:r>
    </w:p>
    <w:p w14:paraId="69E359C7">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38F00DFC">
      <w:pPr>
        <w:pStyle w:val="7"/>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14:paraId="0DDD1B3F">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153D1BE1">
      <w:pPr>
        <w:pStyle w:val="7"/>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4.前述内容如法律法规或者监管部门另有规定的，从其规定。如果行业另有通行做法，双方当事人应本着平等和保护基金份额持有人利益的原则进行协商。 </w:t>
      </w:r>
    </w:p>
    <w:p w14:paraId="54718D83">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14:paraId="660F71B6">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7B8C1FA6">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4D267DB1">
      <w:pPr>
        <w:pStyle w:val="7"/>
        <w:spacing w:before="0" w:beforeAutospacing="0" w:after="0" w:afterAutospacing="0" w:line="360" w:lineRule="auto"/>
        <w:ind w:firstLine="420"/>
        <w:rPr>
          <w:sz w:val="21"/>
          <w:szCs w:val="21"/>
        </w:rPr>
      </w:pPr>
      <w:r>
        <w:rPr>
          <w:rFonts w:hint="eastAsia"/>
          <w:sz w:val="21"/>
          <w:szCs w:val="21"/>
        </w:rPr>
        <w:t xml:space="preserve">3. 当特定资产占前一估值日基金资产净值50%以上的，经与基金托管人协商确认后，基金管理人应当暂停估值； </w:t>
      </w:r>
    </w:p>
    <w:p w14:paraId="6D69FA5D">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4、法律法规规定、中国证监会和《基金合同》认定的其他情形。 </w:t>
      </w:r>
    </w:p>
    <w:p w14:paraId="122F76F2">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30172FE5">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1F8E19F5">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2146AD38">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 </w:t>
      </w:r>
    </w:p>
    <w:p w14:paraId="118E5AC0">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32802108">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55FF4B9D">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1658254E">
      <w:pPr>
        <w:pStyle w:val="7"/>
        <w:spacing w:before="0" w:beforeAutospacing="0" w:after="0" w:afterAutospacing="0" w:line="360" w:lineRule="auto"/>
        <w:ind w:firstLine="420"/>
        <w:rPr>
          <w:sz w:val="21"/>
          <w:szCs w:val="21"/>
        </w:rPr>
      </w:pPr>
      <w:r>
        <w:rPr>
          <w:rFonts w:hint="eastAsia"/>
          <w:sz w:val="21"/>
          <w:szCs w:val="21"/>
        </w:rPr>
        <w:t xml:space="preserve">2.报表复核 </w:t>
      </w:r>
    </w:p>
    <w:p w14:paraId="4FCC364B">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46D7E118">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1D651B33">
      <w:pPr>
        <w:pStyle w:val="7"/>
        <w:spacing w:before="0" w:beforeAutospacing="0" w:after="0" w:afterAutospacing="0" w:line="360" w:lineRule="auto"/>
        <w:ind w:firstLine="420"/>
        <w:rPr>
          <w:sz w:val="21"/>
          <w:szCs w:val="21"/>
        </w:rPr>
      </w:pPr>
      <w:r>
        <w:rPr>
          <w:rFonts w:hint="eastAsia"/>
          <w:sz w:val="21"/>
          <w:szCs w:val="21"/>
        </w:rPr>
        <w:t xml:space="preserve">(1)报表的编制 </w:t>
      </w:r>
    </w:p>
    <w:p w14:paraId="54B50243">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的财务会计报告应当经过具有证券、期货相关业务资格的会计师事务所审计。《基金合同》生效不足两个月的，基金管理人可以不编制当期季度报告、中期报告或者年度报告。 </w:t>
      </w:r>
    </w:p>
    <w:p w14:paraId="6736D075">
      <w:pPr>
        <w:pStyle w:val="7"/>
        <w:spacing w:before="0" w:beforeAutospacing="0" w:after="0" w:afterAutospacing="0" w:line="360" w:lineRule="auto"/>
        <w:ind w:firstLine="420"/>
        <w:rPr>
          <w:sz w:val="21"/>
          <w:szCs w:val="21"/>
        </w:rPr>
      </w:pPr>
      <w:r>
        <w:rPr>
          <w:rFonts w:hint="eastAsia"/>
          <w:sz w:val="21"/>
          <w:szCs w:val="21"/>
        </w:rPr>
        <w:t xml:space="preserve">(2)报表的复核 </w:t>
      </w:r>
    </w:p>
    <w:p w14:paraId="1B5944CE">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41B332CE">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20D5A4A8">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46CD1385">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应保管基金份额持有人名册，保存期不少于15年。如不能妥善保管，则按相关法规承担责任。 </w:t>
      </w:r>
    </w:p>
    <w:p w14:paraId="120BD986">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管理人不得将所保管的基金份额持有人名册用于基金托管业务以外的其他用途，并应遵守保密义务。 </w:t>
      </w:r>
    </w:p>
    <w:p w14:paraId="35EB58C6">
      <w:pPr>
        <w:pStyle w:val="7"/>
        <w:spacing w:before="0" w:beforeAutospacing="0" w:after="0" w:afterAutospacing="0" w:line="360" w:lineRule="auto"/>
        <w:ind w:firstLine="420"/>
        <w:rPr>
          <w:sz w:val="21"/>
          <w:szCs w:val="21"/>
        </w:rPr>
      </w:pPr>
      <w:r>
        <w:rPr>
          <w:rStyle w:val="11"/>
          <w:rFonts w:hint="eastAsia"/>
          <w:sz w:val="21"/>
          <w:szCs w:val="21"/>
        </w:rPr>
        <w:t>七、托管协议的变更、终止与基金财产的清算</w:t>
      </w:r>
    </w:p>
    <w:p w14:paraId="02F56586">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4F6A85E1">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本协议双方当事人经协商一致，可以对协议进行修改。修改后的新协议，其内容不得与《基金合同》的规定有任何冲突。基金托管协议的变更报中国证监会备案。 </w:t>
      </w:r>
    </w:p>
    <w:p w14:paraId="078D4AAE">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291DD8C3">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5A6E23E5">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010B25A4">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0B0B778A">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274F2A69">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3FB05EBD">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6181384D">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30686661">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3817EDAE">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7593BD0D">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A28E423">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B3AF781">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98CF8C6">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77E8C94">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6E0CFA4">
      <w:pPr>
        <w:pStyle w:val="7"/>
        <w:spacing w:before="0" w:beforeAutospacing="0" w:after="0" w:afterAutospacing="0" w:line="360" w:lineRule="auto"/>
        <w:ind w:firstLine="420"/>
        <w:rPr>
          <w:sz w:val="21"/>
          <w:szCs w:val="21"/>
        </w:rPr>
      </w:pPr>
      <w:r>
        <w:rPr>
          <w:rFonts w:hint="eastAsia"/>
          <w:sz w:val="21"/>
          <w:szCs w:val="21"/>
        </w:rPr>
        <w:t xml:space="preserve">(6)将清算结果报中国证监会备案并公告； </w:t>
      </w:r>
    </w:p>
    <w:p w14:paraId="7D0F8706">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AF1F0BB">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5.基金财产清算的期限为6个月，但因本基金所持证券的流动性受到限制而不能及时变现的，清算期限可相应顺延。 </w:t>
      </w:r>
    </w:p>
    <w:p w14:paraId="199354B4">
      <w:pPr>
        <w:pStyle w:val="7"/>
        <w:spacing w:before="0" w:beforeAutospacing="0" w:after="0" w:afterAutospacing="0" w:line="360" w:lineRule="auto"/>
        <w:ind w:firstLine="420"/>
        <w:rPr>
          <w:sz w:val="21"/>
          <w:szCs w:val="21"/>
        </w:rPr>
      </w:pPr>
      <w:r>
        <w:rPr>
          <w:rFonts w:hint="eastAsia"/>
          <w:sz w:val="21"/>
          <w:szCs w:val="21"/>
        </w:rPr>
        <w:t xml:space="preserve">6.清算费用 </w:t>
      </w:r>
    </w:p>
    <w:p w14:paraId="58E1051F">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77AF72FF">
      <w:pPr>
        <w:pStyle w:val="7"/>
        <w:spacing w:before="0" w:beforeAutospacing="0" w:after="0" w:afterAutospacing="0" w:line="360" w:lineRule="auto"/>
        <w:ind w:firstLine="420"/>
        <w:rPr>
          <w:sz w:val="21"/>
          <w:szCs w:val="21"/>
        </w:rPr>
      </w:pPr>
      <w:r>
        <w:rPr>
          <w:rFonts w:hint="eastAsia"/>
          <w:sz w:val="21"/>
          <w:szCs w:val="21"/>
        </w:rPr>
        <w:t xml:space="preserve">7.基金财产清算剩余资产的分配： </w:t>
      </w:r>
    </w:p>
    <w:p w14:paraId="21ED9DC4">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0B6968F2">
      <w:pPr>
        <w:pStyle w:val="7"/>
        <w:spacing w:before="0" w:beforeAutospacing="0" w:after="0" w:afterAutospacing="0" w:line="360" w:lineRule="auto"/>
        <w:ind w:firstLine="420"/>
        <w:rPr>
          <w:sz w:val="21"/>
          <w:szCs w:val="21"/>
        </w:rPr>
      </w:pPr>
      <w:r>
        <w:rPr>
          <w:rFonts w:hint="eastAsia"/>
          <w:sz w:val="21"/>
          <w:szCs w:val="21"/>
        </w:rPr>
        <w:t xml:space="preserve">8.基金财产清算的公告 </w:t>
      </w:r>
    </w:p>
    <w:p w14:paraId="0A8BBE28">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 </w:t>
      </w:r>
    </w:p>
    <w:p w14:paraId="29C1FEE8">
      <w:pPr>
        <w:pStyle w:val="7"/>
        <w:spacing w:before="0" w:beforeAutospacing="0" w:after="0" w:afterAutospacing="0" w:line="360" w:lineRule="auto"/>
        <w:ind w:firstLine="420"/>
        <w:rPr>
          <w:sz w:val="21"/>
          <w:szCs w:val="21"/>
        </w:rPr>
      </w:pPr>
      <w:r>
        <w:rPr>
          <w:rFonts w:hint="eastAsia"/>
          <w:sz w:val="21"/>
          <w:szCs w:val="21"/>
        </w:rPr>
        <w:t xml:space="preserve">9.基金财产清算账册及文件的保存 </w:t>
      </w:r>
    </w:p>
    <w:p w14:paraId="798AF933">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2B4EFD52">
      <w:pPr>
        <w:pStyle w:val="7"/>
        <w:spacing w:before="0" w:beforeAutospacing="0" w:after="0" w:afterAutospacing="0" w:line="360" w:lineRule="auto"/>
        <w:ind w:firstLine="420"/>
        <w:rPr>
          <w:sz w:val="21"/>
          <w:szCs w:val="21"/>
        </w:rPr>
      </w:pPr>
      <w:r>
        <w:rPr>
          <w:rStyle w:val="11"/>
          <w:rFonts w:hint="eastAsia"/>
          <w:sz w:val="21"/>
          <w:szCs w:val="21"/>
        </w:rPr>
        <w:t>八、争议解决方式</w:t>
      </w:r>
    </w:p>
    <w:p w14:paraId="42C50A8F">
      <w:pPr>
        <w:pStyle w:val="7"/>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深圳国际仲裁院（深圳仲裁委员会），按照深圳国际仲裁院（深圳仲裁委员会）届时有效的仲裁规则进行仲裁。仲裁地点为深圳市。仲裁裁决是终局的，对当事人均有约束力，除非仲裁裁决另有规定，仲裁费用、律师费用由败诉方承担。 </w:t>
      </w:r>
    </w:p>
    <w:p w14:paraId="6BCDFEDE">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0F31A211">
      <w:pPr>
        <w:pStyle w:val="7"/>
        <w:spacing w:before="0" w:beforeAutospacing="0" w:after="0" w:afterAutospacing="0" w:line="360" w:lineRule="auto"/>
        <w:ind w:firstLine="420"/>
        <w:rPr>
          <w:sz w:val="21"/>
          <w:szCs w:val="21"/>
        </w:rPr>
      </w:pPr>
      <w:r>
        <w:rPr>
          <w:rFonts w:hint="eastAsia"/>
          <w:sz w:val="21"/>
          <w:szCs w:val="21"/>
        </w:rPr>
        <w:t>本协议受中国法律（为本协议之目的，在此不包括香港、澳门特别行政区和台湾地区法</w:t>
      </w:r>
      <w:bookmarkStart w:id="208" w:name="chapter_level1_23_72_section_1_end"/>
      <w:bookmarkEnd w:id="208"/>
      <w:r>
        <w:rPr>
          <w:rFonts w:hint="eastAsia"/>
          <w:sz w:val="21"/>
          <w:szCs w:val="21"/>
        </w:rPr>
        <w:t xml:space="preserve">律）管辖。 </w:t>
      </w:r>
    </w:p>
    <w:p w14:paraId="58E6F837">
      <w:pPr>
        <w:widowControl/>
        <w:jc w:val="left"/>
        <w:rPr>
          <w:rFonts w:ascii="宋体" w:hAnsi="宋体" w:eastAsia="宋体"/>
        </w:rPr>
      </w:pPr>
      <w:r>
        <w:rPr>
          <w:rFonts w:ascii="宋体" w:hAnsi="宋体" w:eastAsia="宋体"/>
        </w:rPr>
        <w:br w:type="page"/>
      </w:r>
    </w:p>
    <w:p w14:paraId="5D5B0AA5">
      <w:pPr>
        <w:pStyle w:val="2"/>
        <w:jc w:val="center"/>
        <w:rPr>
          <w:rFonts w:ascii="宋体" w:hAnsi="宋体" w:eastAsia="宋体"/>
          <w:sz w:val="30"/>
        </w:rPr>
      </w:pPr>
      <w:bookmarkStart w:id="209" w:name="_Toc208504004"/>
      <w:bookmarkStart w:id="210" w:name="chapter_level1_24_75"/>
      <w:r>
        <w:rPr>
          <w:rFonts w:hint="eastAsia" w:ascii="宋体" w:hAnsi="宋体" w:eastAsia="宋体"/>
          <w:sz w:val="30"/>
        </w:rPr>
        <w:t>第二十一部分  对基金份额持有人的服务</w:t>
      </w:r>
      <w:bookmarkEnd w:id="209"/>
      <w:bookmarkEnd w:id="210"/>
    </w:p>
    <w:p w14:paraId="57CD605A">
      <w:pPr>
        <w:pStyle w:val="7"/>
        <w:spacing w:before="0" w:beforeAutospacing="0" w:after="0" w:afterAutospacing="0" w:line="360" w:lineRule="auto"/>
        <w:ind w:firstLine="420"/>
        <w:rPr>
          <w:sz w:val="21"/>
          <w:szCs w:val="21"/>
        </w:rPr>
      </w:pPr>
      <w:bookmarkStart w:id="211" w:name="chapter_level1_24_75_section_1"/>
      <w:bookmarkEnd w:id="211"/>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39B90843">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6B62BF8F">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194CA182">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5C81C713">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283919CA">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5C41BBFD">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1BAA0062">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561BB859">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630C24A8">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699F00E7">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13036352">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4BC2A20A">
      <w:pPr>
        <w:pStyle w:val="7"/>
        <w:spacing w:before="0" w:beforeAutospacing="0" w:after="0" w:afterAutospacing="0" w:line="360" w:lineRule="auto"/>
        <w:ind w:firstLine="420"/>
        <w:rPr>
          <w:sz w:val="21"/>
          <w:szCs w:val="21"/>
        </w:rPr>
      </w:pPr>
      <w:r>
        <w:rPr>
          <w:rFonts w:hint="eastAsia"/>
          <w:sz w:val="21"/>
          <w:szCs w:val="21"/>
        </w:rPr>
        <w:t xml:space="preserve">2、查询服务 </w:t>
      </w:r>
    </w:p>
    <w:p w14:paraId="627F0651">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3A8C74AB">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5C63A1B6">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3FE4BDE6">
      <w:pPr>
        <w:pStyle w:val="7"/>
        <w:spacing w:before="0" w:beforeAutospacing="0" w:after="0" w:afterAutospacing="0" w:line="360" w:lineRule="auto"/>
        <w:ind w:firstLine="420"/>
        <w:rPr>
          <w:sz w:val="21"/>
          <w:szCs w:val="21"/>
        </w:rPr>
      </w:pPr>
      <w:r>
        <w:rPr>
          <w:rFonts w:hint="eastAsia"/>
          <w:sz w:val="21"/>
          <w:szCs w:val="21"/>
        </w:rPr>
        <w:t xml:space="preserve">4、在线客服 </w:t>
      </w:r>
    </w:p>
    <w:p w14:paraId="72A145AE">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49151FD1">
      <w:pPr>
        <w:pStyle w:val="7"/>
        <w:spacing w:before="0" w:beforeAutospacing="0" w:after="0" w:afterAutospacing="0" w:line="360" w:lineRule="auto"/>
        <w:ind w:firstLine="420"/>
        <w:rPr>
          <w:sz w:val="21"/>
          <w:szCs w:val="21"/>
        </w:rPr>
      </w:pPr>
      <w:r>
        <w:rPr>
          <w:rStyle w:val="11"/>
          <w:rFonts w:hint="eastAsia"/>
          <w:sz w:val="21"/>
          <w:szCs w:val="21"/>
        </w:rPr>
        <w:t>三、短信服务</w:t>
      </w:r>
    </w:p>
    <w:p w14:paraId="032F058D">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32602706">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46B2A90A">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78B8A71F">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587A757D">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36E3CED5">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696969CC">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45196FF2">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54B26DFB">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28C83B95">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26F8B3A7">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7546E997">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12CB1328">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3EDD6310">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791AF247">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029B2E8B">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3B244D55">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568CEB1B">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2" w:name="chapter_level1_24_75_section_1_end"/>
      <w:bookmarkEnd w:id="212"/>
      <w:r>
        <w:rPr>
          <w:rStyle w:val="11"/>
          <w:rFonts w:hint="eastAsia"/>
          <w:sz w:val="21"/>
          <w:szCs w:val="21"/>
        </w:rPr>
        <w:t>理人。请确保投资前，您/贵机构已经全面理解了本招募说明书。</w:t>
      </w:r>
    </w:p>
    <w:p w14:paraId="13478FF8">
      <w:pPr>
        <w:widowControl/>
        <w:jc w:val="left"/>
        <w:rPr>
          <w:rFonts w:ascii="宋体" w:hAnsi="宋体" w:eastAsia="宋体"/>
        </w:rPr>
      </w:pPr>
      <w:r>
        <w:rPr>
          <w:rFonts w:ascii="宋体" w:hAnsi="宋体" w:eastAsia="宋体"/>
        </w:rPr>
        <w:br w:type="page"/>
      </w:r>
    </w:p>
    <w:p w14:paraId="2F7B1F8C">
      <w:pPr>
        <w:pStyle w:val="2"/>
        <w:jc w:val="center"/>
        <w:rPr>
          <w:rFonts w:ascii="宋体" w:hAnsi="宋体" w:eastAsia="宋体"/>
          <w:sz w:val="30"/>
        </w:rPr>
      </w:pPr>
      <w:bookmarkStart w:id="213" w:name="chapter_level1_25_3499"/>
      <w:bookmarkStart w:id="214" w:name="_Toc208504005"/>
      <w:r>
        <w:rPr>
          <w:rFonts w:hint="eastAsia" w:ascii="宋体" w:hAnsi="宋体" w:eastAsia="宋体"/>
          <w:sz w:val="30"/>
        </w:rPr>
        <w:t>第二十二部分 其他应披露的事项</w:t>
      </w:r>
      <w:bookmarkEnd w:id="213"/>
      <w:bookmarkEnd w:id="214"/>
    </w:p>
    <w:p w14:paraId="39738FFF">
      <w:pPr>
        <w:pStyle w:val="7"/>
        <w:spacing w:before="0" w:beforeAutospacing="0" w:after="0" w:afterAutospacing="0" w:line="360" w:lineRule="auto"/>
        <w:ind w:firstLine="420"/>
        <w:rPr>
          <w:sz w:val="21"/>
          <w:szCs w:val="21"/>
        </w:rPr>
      </w:pPr>
      <w:bookmarkStart w:id="215" w:name="chapter_level1_25_3499_section_1"/>
      <w:bookmarkEnd w:id="215"/>
      <w:bookmarkStart w:id="216" w:name="field_0_bsrevealinfo_1_start"/>
      <w:bookmarkEnd w:id="216"/>
      <w:r>
        <w:rPr>
          <w:rFonts w:hint="eastAsia"/>
          <w:sz w:val="21"/>
          <w:szCs w:val="21"/>
        </w:rPr>
        <w:t>（一）、2025年8月29日，我公司公告了《博时富洋纯债一年定期开放债券型发起式证券投资基金2025年中期报告》；</w:t>
      </w:r>
    </w:p>
    <w:p w14:paraId="295393F2">
      <w:pPr>
        <w:pStyle w:val="7"/>
        <w:spacing w:before="0" w:beforeAutospacing="0" w:after="0" w:afterAutospacing="0" w:line="360" w:lineRule="auto"/>
        <w:ind w:firstLine="420"/>
        <w:rPr>
          <w:sz w:val="21"/>
          <w:szCs w:val="21"/>
        </w:rPr>
      </w:pPr>
      <w:r>
        <w:rPr>
          <w:rFonts w:hint="eastAsia"/>
          <w:sz w:val="21"/>
          <w:szCs w:val="21"/>
        </w:rPr>
        <w:t>（二）、2025年7月21日，我公司公告了《博时富洋纯债一年定期开放债券型发起式证券投资基金2025年第2季度报告》；</w:t>
      </w:r>
    </w:p>
    <w:p w14:paraId="02ED3AD2">
      <w:pPr>
        <w:pStyle w:val="7"/>
        <w:spacing w:before="0" w:beforeAutospacing="0" w:after="0" w:afterAutospacing="0" w:line="360" w:lineRule="auto"/>
        <w:ind w:firstLine="420"/>
        <w:rPr>
          <w:sz w:val="21"/>
          <w:szCs w:val="21"/>
        </w:rPr>
      </w:pPr>
      <w:r>
        <w:rPr>
          <w:rFonts w:hint="eastAsia"/>
          <w:sz w:val="21"/>
          <w:szCs w:val="21"/>
        </w:rPr>
        <w:t>（三）、2025年6月26日，我公司公告了《博时富洋纯债一年定期开放债券型发起式证券投资基金基金产品资料概要更新》；</w:t>
      </w:r>
    </w:p>
    <w:p w14:paraId="517F8393">
      <w:pPr>
        <w:pStyle w:val="7"/>
        <w:spacing w:before="0" w:beforeAutospacing="0" w:after="0" w:afterAutospacing="0" w:line="360" w:lineRule="auto"/>
        <w:ind w:firstLine="420"/>
        <w:rPr>
          <w:sz w:val="21"/>
          <w:szCs w:val="21"/>
        </w:rPr>
      </w:pPr>
      <w:r>
        <w:rPr>
          <w:rFonts w:hint="eastAsia"/>
          <w:sz w:val="21"/>
          <w:szCs w:val="21"/>
        </w:rPr>
        <w:t>（四）、2025年6月18日，我公司公告了《博时富洋纯债一年定期开放债券型发起式证券投资基金分红公告》；</w:t>
      </w:r>
    </w:p>
    <w:p w14:paraId="0D678C98">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0E91FDAB">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285911C5">
      <w:pPr>
        <w:pStyle w:val="7"/>
        <w:spacing w:before="0" w:beforeAutospacing="0" w:after="0" w:afterAutospacing="0" w:line="360" w:lineRule="auto"/>
        <w:ind w:firstLine="420"/>
        <w:rPr>
          <w:sz w:val="21"/>
          <w:szCs w:val="21"/>
        </w:rPr>
      </w:pPr>
      <w:r>
        <w:rPr>
          <w:rFonts w:hint="eastAsia"/>
          <w:sz w:val="21"/>
          <w:szCs w:val="21"/>
        </w:rPr>
        <w:t>（七）、2025年4月22日，我公司公告了《博时富洋纯债一年定期开放债券型发起式证券投资基金2025年第1季度报告》；</w:t>
      </w:r>
    </w:p>
    <w:p w14:paraId="1966EA9A">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1E89EB73">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（九）、2025年3月31日，我公司公告了《博时基金管理有限公司旗下公募基金通过证券公司证券交易及佣金支付情况（2024年度）》、《博时富洋纯债一年定期开放债券型发起式证券投资基金2024年年度报告》；</w:t>
      </w:r>
    </w:p>
    <w:p w14:paraId="636ADB81">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7743BA5A">
      <w:pPr>
        <w:pStyle w:val="7"/>
        <w:spacing w:before="0" w:beforeAutospacing="0" w:after="0" w:afterAutospacing="0" w:line="360" w:lineRule="auto"/>
        <w:ind w:firstLine="420"/>
        <w:rPr>
          <w:sz w:val="21"/>
          <w:szCs w:val="21"/>
        </w:rPr>
      </w:pPr>
      <w:r>
        <w:rPr>
          <w:rFonts w:hint="eastAsia"/>
          <w:sz w:val="21"/>
          <w:szCs w:val="21"/>
        </w:rPr>
        <w:t>（十一）、2025年3月22日，我公司公告了《博时富洋纯债一年定期开放债券型发起式证券投资基金分红公告》；</w:t>
      </w:r>
    </w:p>
    <w:p w14:paraId="473878F9">
      <w:pPr>
        <w:pStyle w:val="7"/>
        <w:spacing w:before="0" w:beforeAutospacing="0" w:after="0" w:afterAutospacing="0" w:line="360" w:lineRule="auto"/>
        <w:ind w:firstLine="420"/>
        <w:rPr>
          <w:sz w:val="21"/>
          <w:szCs w:val="21"/>
        </w:rPr>
      </w:pPr>
      <w:r>
        <w:rPr>
          <w:rFonts w:hint="eastAsia"/>
          <w:sz w:val="21"/>
          <w:szCs w:val="21"/>
        </w:rPr>
        <w:t>（十二）、2025年3月1日，我公司公告了《博时富洋纯债一年定期开放债券型发起式证券投资基金开放申购、赎回业务的公告》；</w:t>
      </w:r>
    </w:p>
    <w:p w14:paraId="585ADE76">
      <w:pPr>
        <w:pStyle w:val="7"/>
        <w:spacing w:before="0" w:beforeAutospacing="0" w:after="0" w:afterAutospacing="0" w:line="360" w:lineRule="auto"/>
        <w:ind w:firstLine="420"/>
        <w:rPr>
          <w:sz w:val="21"/>
          <w:szCs w:val="21"/>
        </w:rPr>
      </w:pPr>
      <w:r>
        <w:rPr>
          <w:rFonts w:hint="eastAsia"/>
          <w:sz w:val="21"/>
          <w:szCs w:val="21"/>
        </w:rPr>
        <w:t>（十三）、2025年1月22日，我公司公告了《博时富洋纯债一年定期开放债券型发起式证券投资基金2024年第4季度报告》；</w:t>
      </w:r>
    </w:p>
    <w:p w14:paraId="1D7C1100">
      <w:pPr>
        <w:pStyle w:val="7"/>
        <w:spacing w:before="0" w:beforeAutospacing="0" w:after="0" w:afterAutospacing="0" w:line="360" w:lineRule="auto"/>
        <w:ind w:firstLine="420"/>
        <w:rPr>
          <w:sz w:val="21"/>
          <w:szCs w:val="21"/>
        </w:rPr>
      </w:pPr>
      <w:r>
        <w:rPr>
          <w:rFonts w:hint="eastAsia"/>
          <w:sz w:val="21"/>
          <w:szCs w:val="21"/>
        </w:rPr>
        <w:t>（十四）、2024年12月7日，我公司公告了《博时基金管理有限公司关于高级管理人员变更的公告》；</w:t>
      </w:r>
    </w:p>
    <w:p w14:paraId="11571955">
      <w:pPr>
        <w:pStyle w:val="7"/>
        <w:spacing w:before="0" w:beforeAutospacing="0" w:after="0" w:afterAutospacing="0" w:line="360" w:lineRule="auto"/>
        <w:ind w:firstLine="420"/>
        <w:rPr>
          <w:sz w:val="21"/>
          <w:szCs w:val="21"/>
        </w:rPr>
      </w:pPr>
      <w:r>
        <w:rPr>
          <w:rFonts w:hint="eastAsia"/>
          <w:sz w:val="21"/>
          <w:szCs w:val="21"/>
        </w:rPr>
        <w:t>（十五）、2024年11月18日，我公司公告了《博时基金管理有限公司关于终止乾道基金销售有限公司办理旗下基金销售业务的公告》；</w:t>
      </w:r>
    </w:p>
    <w:p w14:paraId="24B2DF29">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3E16C4F7">
      <w:pPr>
        <w:pStyle w:val="7"/>
        <w:spacing w:before="0" w:beforeAutospacing="0" w:after="0" w:afterAutospacing="0" w:line="360" w:lineRule="auto"/>
        <w:ind w:firstLine="420"/>
        <w:rPr>
          <w:sz w:val="21"/>
          <w:szCs w:val="21"/>
        </w:rPr>
      </w:pPr>
      <w:r>
        <w:rPr>
          <w:rFonts w:hint="eastAsia"/>
          <w:sz w:val="21"/>
          <w:szCs w:val="21"/>
        </w:rPr>
        <w:t>（十七）、2024年10月25日，我公司公告了《博时富洋纯债一年定期开放债券型发起式证券投资基金2024年第3季度报告》；</w:t>
      </w:r>
    </w:p>
    <w:p w14:paraId="349AF871">
      <w:pPr>
        <w:pStyle w:val="7"/>
        <w:spacing w:before="0" w:beforeAutospacing="0" w:after="0" w:afterAutospacing="0" w:line="360" w:lineRule="auto"/>
        <w:ind w:firstLine="420"/>
        <w:rPr>
          <w:sz w:val="21"/>
          <w:szCs w:val="21"/>
        </w:rPr>
      </w:pPr>
      <w:r>
        <w:rPr>
          <w:rFonts w:hint="eastAsia"/>
          <w:sz w:val="21"/>
          <w:szCs w:val="21"/>
        </w:rPr>
        <w:t>（十八）、2024年9月30日，我公司公告了《博时富洋纯债一年定期开放债券型发起式证券投资基金更新招募说明书》；</w:t>
      </w:r>
    </w:p>
    <w:p w14:paraId="75AC7BC8">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4F1D92B3">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7" w:name="chapter_level1_25_3499_section_1_end"/>
      <w:bookmarkEnd w:id="217"/>
      <w:r>
        <w:rPr>
          <w:rFonts w:hint="eastAsia"/>
          <w:sz w:val="21"/>
          <w:szCs w:val="21"/>
        </w:rPr>
        <w:t>变更的公告》。</w:t>
      </w:r>
      <w:bookmarkStart w:id="218" w:name="field_0_bsrevealinfo_1_end"/>
      <w:bookmarkEnd w:id="218"/>
      <w:r>
        <w:rPr>
          <w:rFonts w:hint="eastAsia"/>
          <w:sz w:val="21"/>
          <w:szCs w:val="21"/>
        </w:rPr>
        <w:t xml:space="preserve">  </w:t>
      </w:r>
    </w:p>
    <w:p w14:paraId="1156EF99">
      <w:pPr>
        <w:widowControl/>
        <w:jc w:val="left"/>
        <w:rPr>
          <w:rFonts w:ascii="宋体" w:hAnsi="宋体" w:eastAsia="宋体"/>
        </w:rPr>
      </w:pPr>
      <w:r>
        <w:rPr>
          <w:rFonts w:ascii="宋体" w:hAnsi="宋体" w:eastAsia="宋体"/>
        </w:rPr>
        <w:br w:type="page"/>
      </w:r>
    </w:p>
    <w:p w14:paraId="4A5EEB40">
      <w:pPr>
        <w:pStyle w:val="2"/>
        <w:jc w:val="center"/>
        <w:rPr>
          <w:rFonts w:ascii="宋体" w:hAnsi="宋体" w:eastAsia="宋体"/>
          <w:sz w:val="30"/>
        </w:rPr>
      </w:pPr>
      <w:bookmarkStart w:id="219" w:name="_Toc208504006"/>
      <w:bookmarkStart w:id="220" w:name="chapter_level1_26_77"/>
      <w:r>
        <w:rPr>
          <w:rFonts w:hint="eastAsia" w:ascii="宋体" w:hAnsi="宋体" w:eastAsia="宋体"/>
          <w:sz w:val="30"/>
        </w:rPr>
        <w:t>第二十三部分  招募说明书存放及查阅方式</w:t>
      </w:r>
      <w:bookmarkEnd w:id="219"/>
      <w:bookmarkEnd w:id="220"/>
    </w:p>
    <w:p w14:paraId="7B0D0628">
      <w:pPr>
        <w:pStyle w:val="7"/>
        <w:spacing w:before="0" w:beforeAutospacing="0" w:after="0" w:afterAutospacing="0" w:line="360" w:lineRule="auto"/>
        <w:ind w:firstLine="420"/>
        <w:rPr>
          <w:sz w:val="21"/>
          <w:szCs w:val="21"/>
        </w:rPr>
      </w:pPr>
      <w:bookmarkStart w:id="221" w:name="chapter_level1_26_77_section_1"/>
      <w:bookmarkEnd w:id="221"/>
      <w:r>
        <w:rPr>
          <w:rFonts w:hint="eastAsia"/>
          <w:sz w:val="21"/>
          <w:szCs w:val="21"/>
        </w:rPr>
        <w:t xml:space="preserve">招募说明书公布后，应当分别置备于基金管理人、基金托管人和基金销售机构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3DF52BDE">
      <w:pPr>
        <w:pStyle w:val="7"/>
        <w:spacing w:before="0" w:beforeAutospacing="0" w:after="0" w:afterAutospacing="0" w:line="360" w:lineRule="auto"/>
        <w:ind w:firstLine="420"/>
        <w:rPr>
          <w:sz w:val="21"/>
          <w:szCs w:val="21"/>
        </w:rPr>
      </w:pPr>
      <w:bookmarkStart w:id="222" w:name="chapter_level1_26_77_section_1_end"/>
      <w:bookmarkEnd w:id="222"/>
      <w:r>
        <w:rPr>
          <w:rFonts w:hint="eastAsia"/>
          <w:sz w:val="21"/>
          <w:szCs w:val="21"/>
        </w:rPr>
        <w:t xml:space="preserve">投资人还可以直接登录基金管理人的网站（www.bosera.com）查阅和下载招募说明书。 </w:t>
      </w:r>
    </w:p>
    <w:p w14:paraId="115B9198">
      <w:pPr>
        <w:widowControl/>
        <w:jc w:val="left"/>
        <w:rPr>
          <w:rFonts w:ascii="宋体" w:hAnsi="宋体" w:eastAsia="宋体"/>
        </w:rPr>
      </w:pPr>
      <w:r>
        <w:rPr>
          <w:rFonts w:ascii="宋体" w:hAnsi="宋体" w:eastAsia="宋体"/>
        </w:rPr>
        <w:br w:type="page"/>
      </w:r>
    </w:p>
    <w:p w14:paraId="4EB06F0D">
      <w:pPr>
        <w:pStyle w:val="2"/>
        <w:jc w:val="center"/>
        <w:rPr>
          <w:rFonts w:ascii="宋体" w:hAnsi="宋体" w:eastAsia="宋体"/>
          <w:sz w:val="30"/>
        </w:rPr>
      </w:pPr>
      <w:bookmarkStart w:id="223" w:name="chapter_level1_27_332"/>
      <w:bookmarkStart w:id="224" w:name="_Toc208504007"/>
      <w:r>
        <w:rPr>
          <w:rFonts w:hint="eastAsia" w:ascii="宋体" w:hAnsi="宋体" w:eastAsia="宋体"/>
          <w:sz w:val="30"/>
        </w:rPr>
        <w:t>第二十四部分  备查文件</w:t>
      </w:r>
      <w:bookmarkEnd w:id="223"/>
      <w:bookmarkEnd w:id="224"/>
    </w:p>
    <w:p w14:paraId="05C39E92">
      <w:pPr>
        <w:pStyle w:val="7"/>
        <w:spacing w:before="0" w:beforeAutospacing="0" w:after="0" w:afterAutospacing="0" w:line="360" w:lineRule="auto"/>
        <w:ind w:firstLine="420"/>
        <w:rPr>
          <w:sz w:val="21"/>
          <w:szCs w:val="21"/>
        </w:rPr>
      </w:pPr>
      <w:bookmarkStart w:id="225" w:name="chapter_level1_27_332_section_1"/>
      <w:bookmarkEnd w:id="225"/>
      <w:r>
        <w:rPr>
          <w:rFonts w:hint="eastAsia"/>
          <w:sz w:val="21"/>
          <w:szCs w:val="21"/>
        </w:rPr>
        <w:t xml:space="preserve">以下备查文件存放在基金管理人的办公场所，在办公时间可供免费查阅。  </w:t>
      </w:r>
    </w:p>
    <w:p w14:paraId="0FC79367">
      <w:pPr>
        <w:pStyle w:val="7"/>
        <w:spacing w:before="0" w:beforeAutospacing="0" w:after="0" w:afterAutospacing="0" w:line="360" w:lineRule="auto"/>
        <w:ind w:firstLine="420"/>
        <w:rPr>
          <w:sz w:val="21"/>
          <w:szCs w:val="21"/>
        </w:rPr>
      </w:pPr>
      <w:r>
        <w:rPr>
          <w:rFonts w:hint="eastAsia"/>
          <w:sz w:val="21"/>
          <w:szCs w:val="21"/>
        </w:rPr>
        <w:t>（一）中国证监会准予</w:t>
      </w:r>
      <w:bookmarkStart w:id="226" w:name="field_0_productfullname_12"/>
      <w:r>
        <w:rPr>
          <w:rFonts w:hint="eastAsia"/>
          <w:sz w:val="21"/>
          <w:szCs w:val="21"/>
        </w:rPr>
        <w:t>博时富洋纯债一年定期开放债券型发起式证券投资基金</w:t>
      </w:r>
      <w:bookmarkEnd w:id="226"/>
      <w:r>
        <w:rPr>
          <w:rFonts w:hint="eastAsia"/>
          <w:sz w:val="21"/>
          <w:szCs w:val="21"/>
        </w:rPr>
        <w:t xml:space="preserve">注册的文件 </w:t>
      </w:r>
    </w:p>
    <w:p w14:paraId="0F82DE3F">
      <w:pPr>
        <w:pStyle w:val="7"/>
        <w:spacing w:before="0" w:beforeAutospacing="0" w:after="0" w:afterAutospacing="0" w:line="360" w:lineRule="auto"/>
        <w:ind w:firstLine="420"/>
        <w:rPr>
          <w:sz w:val="21"/>
          <w:szCs w:val="21"/>
        </w:rPr>
      </w:pPr>
      <w:r>
        <w:rPr>
          <w:rFonts w:hint="eastAsia"/>
          <w:sz w:val="21"/>
          <w:szCs w:val="21"/>
        </w:rPr>
        <w:t>（二）《</w:t>
      </w:r>
      <w:bookmarkStart w:id="227" w:name="field_0_productfullname_13"/>
      <w:r>
        <w:rPr>
          <w:rFonts w:hint="eastAsia"/>
          <w:sz w:val="21"/>
          <w:szCs w:val="21"/>
        </w:rPr>
        <w:t>博时富洋纯债一年定期开放债券型发起式证券投资基金</w:t>
      </w:r>
      <w:bookmarkEnd w:id="227"/>
      <w:r>
        <w:rPr>
          <w:rFonts w:hint="eastAsia"/>
          <w:sz w:val="21"/>
          <w:szCs w:val="21"/>
        </w:rPr>
        <w:t xml:space="preserve">基金合同》 </w:t>
      </w:r>
    </w:p>
    <w:p w14:paraId="485F7074">
      <w:pPr>
        <w:pStyle w:val="7"/>
        <w:spacing w:before="0" w:beforeAutospacing="0" w:after="0" w:afterAutospacing="0" w:line="360" w:lineRule="auto"/>
        <w:ind w:firstLine="420"/>
        <w:rPr>
          <w:sz w:val="21"/>
          <w:szCs w:val="21"/>
        </w:rPr>
      </w:pPr>
      <w:r>
        <w:rPr>
          <w:rFonts w:hint="eastAsia"/>
          <w:sz w:val="21"/>
          <w:szCs w:val="21"/>
        </w:rPr>
        <w:t>（三）《</w:t>
      </w:r>
      <w:bookmarkStart w:id="228" w:name="field_0_productfullname_14"/>
      <w:r>
        <w:rPr>
          <w:rFonts w:hint="eastAsia"/>
          <w:sz w:val="21"/>
          <w:szCs w:val="21"/>
        </w:rPr>
        <w:t>博时富洋纯债一年定期开放债券型发起式证券投资基金</w:t>
      </w:r>
      <w:bookmarkEnd w:id="228"/>
      <w:r>
        <w:rPr>
          <w:rFonts w:hint="eastAsia"/>
          <w:sz w:val="21"/>
          <w:szCs w:val="21"/>
        </w:rPr>
        <w:t xml:space="preserve">托管协议》 </w:t>
      </w:r>
    </w:p>
    <w:p w14:paraId="124EA961">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49BE275E">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1CB52E8B">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9" w:name="field_0_productfullname_15"/>
      <w:r>
        <w:rPr>
          <w:rFonts w:hint="eastAsia"/>
          <w:sz w:val="21"/>
          <w:szCs w:val="21"/>
        </w:rPr>
        <w:t>博时富洋纯债一年定期开放债券型发起式证券投资基金</w:t>
      </w:r>
      <w:bookmarkEnd w:id="229"/>
      <w:r>
        <w:rPr>
          <w:rFonts w:hint="eastAsia"/>
          <w:sz w:val="21"/>
          <w:szCs w:val="21"/>
        </w:rPr>
        <w:t xml:space="preserve">之法律意见书 </w:t>
      </w:r>
    </w:p>
    <w:p w14:paraId="16E22E9E">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153DFF9E">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0A645C67">
      <w:pPr>
        <w:pStyle w:val="7"/>
        <w:spacing w:before="0" w:beforeAutospacing="0" w:after="0" w:afterAutospacing="0" w:line="360" w:lineRule="auto"/>
        <w:ind w:firstLine="420"/>
        <w:rPr>
          <w:sz w:val="21"/>
          <w:szCs w:val="21"/>
        </w:rPr>
      </w:pPr>
    </w:p>
    <w:p w14:paraId="15795DCC">
      <w:pPr>
        <w:pStyle w:val="7"/>
        <w:spacing w:before="0" w:beforeAutospacing="0" w:after="0" w:afterAutospacing="0" w:line="360" w:lineRule="auto"/>
        <w:ind w:firstLine="420"/>
        <w:rPr>
          <w:sz w:val="21"/>
          <w:szCs w:val="21"/>
        </w:rPr>
      </w:pPr>
    </w:p>
    <w:p w14:paraId="39C6EB0C">
      <w:pPr>
        <w:pStyle w:val="7"/>
        <w:spacing w:before="0" w:beforeAutospacing="0" w:after="0" w:afterAutospacing="0" w:line="360" w:lineRule="auto"/>
        <w:ind w:firstLine="420"/>
        <w:rPr>
          <w:sz w:val="21"/>
          <w:szCs w:val="21"/>
        </w:rPr>
      </w:pPr>
    </w:p>
    <w:p w14:paraId="0F855397">
      <w:pPr>
        <w:pStyle w:val="7"/>
        <w:spacing w:before="0" w:beforeAutospacing="0" w:after="0" w:afterAutospacing="0" w:line="360" w:lineRule="auto"/>
        <w:ind w:firstLine="420"/>
        <w:jc w:val="right"/>
        <w:rPr>
          <w:sz w:val="21"/>
          <w:szCs w:val="21"/>
        </w:rPr>
      </w:pPr>
      <w:bookmarkStart w:id="230" w:name="field_0_managerorgfullname_7"/>
      <w:r>
        <w:rPr>
          <w:rFonts w:hint="eastAsia"/>
          <w:sz w:val="21"/>
          <w:szCs w:val="21"/>
        </w:rPr>
        <w:t>博时基金管理有限公司</w:t>
      </w:r>
      <w:bookmarkEnd w:id="230"/>
      <w:r>
        <w:rPr>
          <w:rFonts w:hint="eastAsia"/>
          <w:sz w:val="21"/>
          <w:szCs w:val="21"/>
        </w:rPr>
        <w:t xml:space="preserve"> </w:t>
      </w:r>
    </w:p>
    <w:p w14:paraId="6BB1013F">
      <w:pPr>
        <w:pStyle w:val="7"/>
        <w:spacing w:before="0" w:beforeAutospacing="0" w:after="0" w:afterAutospacing="0" w:line="360" w:lineRule="auto"/>
        <w:ind w:firstLine="420"/>
        <w:jc w:val="right"/>
        <w:rPr>
          <w:sz w:val="21"/>
          <w:szCs w:val="21"/>
        </w:rPr>
      </w:pPr>
      <w:bookmarkStart w:id="231" w:name="chapter_level1_27_332_section_1_end"/>
      <w:bookmarkEnd w:id="231"/>
      <w:bookmarkStart w:id="232" w:name="field_0_commitmenttime_1"/>
      <w:r>
        <w:rPr>
          <w:sz w:val="21"/>
          <w:szCs w:val="21"/>
        </w:rPr>
        <w:t>20</w:t>
      </w:r>
      <w:r>
        <w:rPr>
          <w:rFonts w:hint="eastAsia"/>
          <w:sz w:val="21"/>
          <w:szCs w:val="21"/>
          <w:lang w:val="en-US" w:eastAsia="zh-CN"/>
        </w:rPr>
        <w:t>26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24</w:t>
      </w:r>
      <w:r>
        <w:rPr>
          <w:sz w:val="21"/>
          <w:szCs w:val="21"/>
        </w:rPr>
        <w:t>日</w:t>
      </w:r>
      <w:bookmarkEnd w:id="232"/>
      <w:r>
        <w:rPr>
          <w:rFonts w:hint="eastAsia"/>
          <w:sz w:val="21"/>
          <w:szCs w:val="21"/>
        </w:rPr>
        <w:t xml:space="preserve"> </w:t>
      </w:r>
    </w:p>
    <w:p w14:paraId="66FF2CC1">
      <w:pPr>
        <w:rPr>
          <w:rFonts w:ascii="宋体" w:hAnsi="宋体" w:eastAsia="宋体"/>
        </w:rPr>
      </w:pPr>
      <w:bookmarkStart w:id="233" w:name="end"/>
      <w:bookmarkEnd w:id="233"/>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B48E8">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118</w:t>
    </w:r>
    <w:r>
      <w:fldChar w:fldCharType="end"/>
    </w:r>
    <w:r>
      <w:rPr>
        <w:rFonts w:hint="eastAsia"/>
      </w:rPr>
      <w:t>页 共</w:t>
    </w:r>
    <w:r>
      <w:fldChar w:fldCharType="begin"/>
    </w:r>
    <w:r>
      <w:instrText xml:space="preserve"> NumPages \* MERGEFORMAT </w:instrText>
    </w:r>
    <w:r>
      <w:fldChar w:fldCharType="separate"/>
    </w:r>
    <w:r>
      <w:t>119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6B63A">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BE74160">
    <w:pPr>
      <w:pStyle w:val="5"/>
      <w:jc w:val="right"/>
    </w:pPr>
    <w:r>
      <w:rPr>
        <w:rFonts w:hint="eastAsia"/>
      </w:rPr>
      <w:t>博时富洋纯债一年定期开放债券型发起式证券投资基金更新招募说明书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771"/>
    <w:rsid w:val="006B1B5A"/>
    <w:rsid w:val="00CA1771"/>
    <w:rsid w:val="00ED425B"/>
    <w:rsid w:val="13555D47"/>
    <w:rsid w:val="2AA677E3"/>
    <w:rsid w:val="3F0F732E"/>
    <w:rsid w:val="498A5E5B"/>
    <w:rsid w:val="5E7139C5"/>
    <w:rsid w:val="5F1161B2"/>
    <w:rsid w:val="707C4774"/>
    <w:rsid w:val="718261C7"/>
    <w:rsid w:val="7FDA62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117</Pages>
  <Words>13471</Words>
  <Characters>76787</Characters>
  <Lines>639</Lines>
  <Paragraphs>180</Paragraphs>
  <TotalTime>8</TotalTime>
  <ScaleCrop>false</ScaleCrop>
  <LinksUpToDate>false</LinksUpToDate>
  <CharactersWithSpaces>90078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2025-09-11T09:25:00Z</dcterms:created>
  <dc:creator>BSKMadminDev</dc:creator>
  <cp:lastModifiedBy>huangzw</cp:lastModifiedBy>
  <dcterms:modified xsi:type="dcterms:W3CDTF">2026-07-23T09:08:45Z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87F5FB3B83FE43AAA6B6B44A1F311120</vt:lpwstr>
  </property>
</Properties>
</file>