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AE656C">
      <w:pPr>
        <w:pStyle w:val="14"/>
      </w:pPr>
    </w:p>
    <w:p w14:paraId="1F62F1F4">
      <w:pPr>
        <w:pStyle w:val="14"/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关于博时中债0-3年国开行债券交易型开放式指数证券投资基金</w:t>
      </w:r>
      <w:r>
        <w:rPr>
          <w:rFonts w:hint="eastAsia"/>
          <w:b/>
          <w:sz w:val="30"/>
          <w:szCs w:val="30"/>
          <w:lang w:val="en-US" w:eastAsia="zh-CN"/>
        </w:rPr>
        <w:t>调整</w:t>
      </w:r>
      <w:r>
        <w:rPr>
          <w:rFonts w:hint="eastAsia"/>
          <w:b/>
          <w:sz w:val="30"/>
          <w:szCs w:val="30"/>
        </w:rPr>
        <w:t>基金份额参考净值（IOPV）</w:t>
      </w:r>
      <w:r>
        <w:rPr>
          <w:rFonts w:hint="eastAsia"/>
          <w:b/>
          <w:sz w:val="30"/>
          <w:szCs w:val="30"/>
          <w:lang w:val="en-US" w:eastAsia="zh-CN"/>
        </w:rPr>
        <w:t>计算公式</w:t>
      </w:r>
      <w:r>
        <w:rPr>
          <w:rFonts w:hint="eastAsia"/>
          <w:b/>
          <w:sz w:val="30"/>
          <w:szCs w:val="30"/>
        </w:rPr>
        <w:t>的公告</w:t>
      </w:r>
    </w:p>
    <w:p w14:paraId="3449A653">
      <w:pPr>
        <w:pStyle w:val="14"/>
        <w:jc w:val="center"/>
        <w:rPr>
          <w:sz w:val="30"/>
          <w:szCs w:val="30"/>
        </w:rPr>
      </w:pPr>
    </w:p>
    <w:p w14:paraId="4BBF2BF1">
      <w:pPr>
        <w:pStyle w:val="14"/>
        <w:spacing w:line="360" w:lineRule="auto"/>
        <w:ind w:firstLine="420" w:firstLineChars="200"/>
        <w:jc w:val="both"/>
        <w:rPr>
          <w:rFonts w:hint="eastAsia"/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eastAsia="zh-CN"/>
        </w:rPr>
        <w:t>博时中债</w:t>
      </w:r>
      <w:r>
        <w:rPr>
          <w:rFonts w:hint="eastAsia"/>
          <w:sz w:val="21"/>
          <w:szCs w:val="21"/>
          <w:lang w:val="en-US" w:eastAsia="zh-CN"/>
        </w:rPr>
        <w:t>0-3年国开行债券交易型开放式指数证券投资基金</w:t>
      </w:r>
      <w:r>
        <w:rPr>
          <w:rFonts w:hint="eastAsia"/>
          <w:sz w:val="21"/>
          <w:szCs w:val="21"/>
          <w:lang w:eastAsia="zh-CN"/>
        </w:rPr>
        <w:t>（以下简称“本基金”，场内简称：国开</w:t>
      </w:r>
      <w:r>
        <w:rPr>
          <w:rFonts w:hint="eastAsia"/>
          <w:sz w:val="21"/>
          <w:szCs w:val="21"/>
          <w:lang w:val="en-US" w:eastAsia="zh-CN"/>
        </w:rPr>
        <w:t>债</w:t>
      </w:r>
      <w:r>
        <w:rPr>
          <w:rFonts w:hint="eastAsia"/>
          <w:sz w:val="21"/>
          <w:szCs w:val="21"/>
          <w:lang w:eastAsia="zh-CN"/>
        </w:rPr>
        <w:t>ETF</w:t>
      </w:r>
      <w:r>
        <w:rPr>
          <w:rFonts w:hint="eastAsia"/>
          <w:sz w:val="21"/>
          <w:szCs w:val="21"/>
          <w:lang w:val="en-US" w:eastAsia="zh-CN"/>
        </w:rPr>
        <w:t>博时</w:t>
      </w:r>
      <w:r>
        <w:rPr>
          <w:rFonts w:hint="eastAsia"/>
          <w:sz w:val="21"/>
          <w:szCs w:val="21"/>
          <w:lang w:eastAsia="zh-CN"/>
        </w:rPr>
        <w:t>，基金代码：1596</w:t>
      </w:r>
      <w:r>
        <w:rPr>
          <w:rFonts w:hint="eastAsia"/>
          <w:sz w:val="21"/>
          <w:szCs w:val="21"/>
          <w:lang w:val="en-US" w:eastAsia="zh-CN"/>
        </w:rPr>
        <w:t>50</w:t>
      </w:r>
      <w:r>
        <w:rPr>
          <w:rFonts w:hint="eastAsia"/>
          <w:sz w:val="21"/>
          <w:szCs w:val="21"/>
          <w:lang w:eastAsia="zh-CN"/>
        </w:rPr>
        <w:t>）于2022年</w:t>
      </w:r>
      <w:r>
        <w:rPr>
          <w:rFonts w:hint="eastAsia"/>
          <w:sz w:val="21"/>
          <w:szCs w:val="21"/>
          <w:lang w:val="en-US" w:eastAsia="zh-CN"/>
        </w:rPr>
        <w:t>10</w:t>
      </w:r>
      <w:r>
        <w:rPr>
          <w:rFonts w:hint="eastAsia"/>
          <w:sz w:val="21"/>
          <w:szCs w:val="21"/>
          <w:lang w:eastAsia="zh-CN"/>
        </w:rPr>
        <w:t>月</w:t>
      </w:r>
      <w:r>
        <w:rPr>
          <w:rFonts w:hint="eastAsia"/>
          <w:sz w:val="21"/>
          <w:szCs w:val="21"/>
          <w:lang w:val="en-US" w:eastAsia="zh-CN"/>
        </w:rPr>
        <w:t>28</w:t>
      </w:r>
      <w:r>
        <w:rPr>
          <w:rFonts w:hint="eastAsia"/>
          <w:sz w:val="21"/>
          <w:szCs w:val="21"/>
          <w:lang w:eastAsia="zh-CN"/>
        </w:rPr>
        <w:t>日开始在深圳证券交易所上市交易。</w:t>
      </w:r>
      <w:r>
        <w:rPr>
          <w:rFonts w:hint="eastAsia"/>
          <w:sz w:val="21"/>
          <w:szCs w:val="21"/>
          <w:lang w:val="en-US" w:eastAsia="zh-CN"/>
        </w:rPr>
        <w:t>为更好地满足投资者的需求，</w:t>
      </w:r>
      <w:r>
        <w:rPr>
          <w:rFonts w:hint="eastAsia"/>
          <w:sz w:val="21"/>
          <w:szCs w:val="21"/>
          <w:lang w:eastAsia="zh-CN"/>
        </w:rPr>
        <w:t>根据本基金基金合同、招募说明书等有关规定，博时基金管理有限公司（以下简称“本公司”）决定自</w:t>
      </w:r>
      <w:r>
        <w:rPr>
          <w:rFonts w:hint="eastAsia"/>
          <w:sz w:val="21"/>
          <w:szCs w:val="21"/>
          <w:highlight w:val="none"/>
          <w:lang w:eastAsia="zh-CN"/>
        </w:rPr>
        <w:t>202</w:t>
      </w:r>
      <w:r>
        <w:rPr>
          <w:rFonts w:hint="eastAsia"/>
          <w:sz w:val="21"/>
          <w:szCs w:val="21"/>
          <w:highlight w:val="none"/>
          <w:lang w:val="en-US" w:eastAsia="zh-CN"/>
        </w:rPr>
        <w:t>6</w:t>
      </w:r>
      <w:r>
        <w:rPr>
          <w:rFonts w:hint="eastAsia"/>
          <w:sz w:val="21"/>
          <w:szCs w:val="21"/>
          <w:highlight w:val="none"/>
          <w:lang w:eastAsia="zh-CN"/>
        </w:rPr>
        <w:t>年</w:t>
      </w:r>
      <w:r>
        <w:rPr>
          <w:rFonts w:hint="eastAsia"/>
          <w:sz w:val="21"/>
          <w:szCs w:val="21"/>
          <w:highlight w:val="none"/>
          <w:lang w:val="en-US" w:eastAsia="zh-CN"/>
        </w:rPr>
        <w:t>9</w:t>
      </w:r>
      <w:r>
        <w:rPr>
          <w:rFonts w:hint="eastAsia"/>
          <w:sz w:val="21"/>
          <w:szCs w:val="21"/>
          <w:highlight w:val="none"/>
          <w:lang w:eastAsia="zh-CN"/>
        </w:rPr>
        <w:t>月</w:t>
      </w:r>
      <w:r>
        <w:rPr>
          <w:rFonts w:hint="eastAsia"/>
          <w:sz w:val="21"/>
          <w:szCs w:val="21"/>
          <w:highlight w:val="none"/>
          <w:lang w:val="en-US" w:eastAsia="zh-CN"/>
        </w:rPr>
        <w:t>21</w:t>
      </w:r>
      <w:r>
        <w:rPr>
          <w:rFonts w:hint="eastAsia"/>
          <w:sz w:val="21"/>
          <w:szCs w:val="21"/>
          <w:highlight w:val="none"/>
          <w:lang w:eastAsia="zh-CN"/>
        </w:rPr>
        <w:t>日</w:t>
      </w:r>
      <w:r>
        <w:rPr>
          <w:rFonts w:hint="eastAsia"/>
          <w:sz w:val="21"/>
          <w:szCs w:val="21"/>
          <w:lang w:eastAsia="zh-CN"/>
        </w:rPr>
        <w:t>起，</w:t>
      </w:r>
      <w:r>
        <w:rPr>
          <w:rFonts w:hint="eastAsia"/>
          <w:sz w:val="21"/>
          <w:szCs w:val="21"/>
          <w:lang w:val="en-US" w:eastAsia="zh-CN"/>
        </w:rPr>
        <w:t>调整本基金</w:t>
      </w:r>
      <w:r>
        <w:rPr>
          <w:rFonts w:hint="eastAsia"/>
          <w:sz w:val="21"/>
          <w:szCs w:val="21"/>
          <w:lang w:eastAsia="zh-CN"/>
        </w:rPr>
        <w:t>基金份额参考净值（IOPV）</w:t>
      </w:r>
      <w:r>
        <w:rPr>
          <w:rFonts w:hint="eastAsia"/>
          <w:sz w:val="21"/>
          <w:szCs w:val="21"/>
          <w:lang w:val="en-US" w:eastAsia="zh-CN"/>
        </w:rPr>
        <w:t>计算公式</w:t>
      </w:r>
      <w:r>
        <w:rPr>
          <w:rFonts w:hint="eastAsia"/>
          <w:sz w:val="21"/>
          <w:szCs w:val="21"/>
          <w:lang w:eastAsia="zh-CN"/>
        </w:rPr>
        <w:t>，具体</w:t>
      </w:r>
      <w:r>
        <w:rPr>
          <w:rFonts w:hint="eastAsia"/>
          <w:sz w:val="21"/>
          <w:szCs w:val="21"/>
          <w:lang w:val="en-US" w:eastAsia="zh-CN"/>
        </w:rPr>
        <w:t>事项公告</w:t>
      </w:r>
      <w:r>
        <w:rPr>
          <w:rFonts w:hint="eastAsia"/>
          <w:sz w:val="21"/>
          <w:szCs w:val="21"/>
          <w:lang w:eastAsia="zh-CN"/>
        </w:rPr>
        <w:t>如下：</w:t>
      </w:r>
    </w:p>
    <w:p w14:paraId="10442799">
      <w:pPr>
        <w:pStyle w:val="14"/>
        <w:spacing w:line="360" w:lineRule="auto"/>
        <w:ind w:firstLine="422" w:firstLineChars="200"/>
        <w:jc w:val="both"/>
        <w:rPr>
          <w:rFonts w:hint="default"/>
          <w:b/>
          <w:bCs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eastAsia="zh-CN"/>
        </w:rPr>
        <w:t>一、</w:t>
      </w:r>
      <w:r>
        <w:rPr>
          <w:rFonts w:hint="eastAsia"/>
          <w:b/>
          <w:bCs/>
          <w:sz w:val="21"/>
          <w:szCs w:val="21"/>
          <w:lang w:val="en-US" w:eastAsia="zh-CN"/>
        </w:rPr>
        <w:t>调整后的</w:t>
      </w:r>
      <w:r>
        <w:rPr>
          <w:rFonts w:hint="eastAsia"/>
          <w:b/>
          <w:bCs/>
          <w:sz w:val="21"/>
          <w:szCs w:val="21"/>
          <w:lang w:eastAsia="zh-CN"/>
        </w:rPr>
        <w:t>基金份额参考净值（IOPV）计算公式</w:t>
      </w:r>
    </w:p>
    <w:p w14:paraId="7D9021CA">
      <w:pPr>
        <w:spacing w:line="360" w:lineRule="auto"/>
        <w:ind w:left="420"/>
        <w:rPr>
          <w:rFonts w:hAnsi="Cambria Math" w:eastAsia="仿宋_GB2312" w:cs="Times New Roman"/>
          <w:b w:val="0"/>
          <w:i w:val="0"/>
          <w:sz w:val="21"/>
          <w:szCs w:val="21"/>
        </w:rPr>
      </w:pPr>
      <w:r>
        <w:rPr>
          <w:rFonts w:hint="eastAsia"/>
          <w:sz w:val="21"/>
          <w:szCs w:val="21"/>
          <w:lang w:eastAsia="zh-CN"/>
        </w:rPr>
        <w:t>基金份额参考净值＝</w:t>
      </w:r>
      <m:oMath>
        <m:d>
          <m:dPr>
            <m:begChr m:val="{"/>
            <m:endChr m:val="}"/>
            <m:ctrlPr>
              <w:rPr>
                <w:rFonts w:ascii="Cambria Math" w:hAnsi="Cambria Math" w:eastAsia="仿宋_GB2312" w:cs="Times New Roman"/>
                <w:sz w:val="21"/>
                <w:szCs w:val="21"/>
              </w:rPr>
            </m:ctrlPr>
          </m:dPr>
          <m:e>
            <m:nary>
              <m:naryPr>
                <m:chr m:val="∑"/>
                <m:limLoc m:val="undOvr"/>
                <m:ctrlPr>
                  <w:rPr>
                    <w:rFonts w:ascii="Cambria Math" w:hAnsi="Cambria Math" w:eastAsia="仿宋_GB2312" w:cs="Times New Roman"/>
                    <w:sz w:val="21"/>
                    <w:szCs w:val="21"/>
                  </w:rPr>
                </m:ctrlPr>
              </m:naryPr>
              <m:sub>
                <m:r>
                  <m:rPr/>
                  <w:rPr>
                    <w:rFonts w:ascii="Cambria Math" w:hAnsi="Cambria Math" w:eastAsia="仿宋_GB2312" w:cs="Times New Roman"/>
                    <w:sz w:val="21"/>
                    <w:szCs w:val="21"/>
                  </w:rPr>
                  <m:t>i=1</m:t>
                </m:r>
                <m:ctrlPr>
                  <w:rPr>
                    <w:rFonts w:ascii="Cambria Math" w:hAnsi="Cambria Math" w:eastAsia="仿宋_GB2312" w:cs="Times New Roman"/>
                    <w:sz w:val="21"/>
                    <w:szCs w:val="21"/>
                  </w:rPr>
                </m:ctrlPr>
              </m:sub>
              <m:sup>
                <m:r>
                  <m:rPr/>
                  <w:rPr>
                    <w:rFonts w:ascii="Cambria Math" w:hAnsi="Cambria Math" w:eastAsia="仿宋_GB2312" w:cs="Times New Roman"/>
                    <w:sz w:val="21"/>
                    <w:szCs w:val="21"/>
                  </w:rPr>
                  <m:t>n</m:t>
                </m:r>
                <m:ctrlPr>
                  <w:rPr>
                    <w:rFonts w:ascii="Cambria Math" w:hAnsi="Cambria Math" w:eastAsia="仿宋_GB2312" w:cs="Times New Roman"/>
                    <w:sz w:val="21"/>
                    <w:szCs w:val="21"/>
                  </w:rPr>
                </m:ctrlPr>
              </m:sup>
              <m:e>
                <m:r>
                  <m:rPr/>
                  <w:rPr>
                    <w:rFonts w:ascii="Cambria Math" w:hAnsi="Cambria Math" w:eastAsia="仿宋_GB2312" w:cs="Times New Roman"/>
                    <w:sz w:val="21"/>
                    <w:szCs w:val="21"/>
                  </w:rPr>
                  <m:t>[(</m:t>
                </m:r>
                <m:sSub>
                  <m:sSubPr>
                    <m:ctrlPr>
                      <w:rPr>
                        <w:rFonts w:ascii="Cambria Math" w:hAnsi="Cambria Math" w:eastAsia="仿宋_GB2312" w:cs="Times New Roman"/>
                        <w:iCs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eastAsia="仿宋_GB2312" w:cs="Times New Roman"/>
                        <w:sz w:val="21"/>
                        <w:szCs w:val="21"/>
                      </w:rPr>
                      <m:t>P</m:t>
                    </m:r>
                    <m:ctrlPr>
                      <w:rPr>
                        <w:rFonts w:ascii="Cambria Math" w:hAnsi="Cambria Math" w:eastAsia="仿宋_GB2312" w:cs="Times New Roman"/>
                        <w:iCs/>
                        <w:sz w:val="21"/>
                        <w:szCs w:val="21"/>
                      </w:rPr>
                    </m:ctrlP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eastAsia="仿宋_GB2312" w:cs="Times New Roman"/>
                        <w:sz w:val="21"/>
                        <w:szCs w:val="21"/>
                      </w:rPr>
                      <m:t>i</m:t>
                    </m:r>
                    <m:ctrlPr>
                      <w:rPr>
                        <w:rFonts w:ascii="Cambria Math" w:hAnsi="Cambria Math" w:eastAsia="仿宋_GB2312" w:cs="Times New Roman"/>
                        <w:iCs/>
                        <w:sz w:val="21"/>
                        <w:szCs w:val="21"/>
                      </w:rPr>
                    </m:ctrlPr>
                  </m:sub>
                </m:sSub>
                <m:r>
                  <m:rPr>
                    <m:sty m:val="p"/>
                  </m:rPr>
                  <w:rPr>
                    <w:rFonts w:ascii="Cambria Math" w:hAnsi="Cambria Math" w:eastAsia="仿宋_GB2312" w:cs="Times New Roman"/>
                    <w:sz w:val="21"/>
                    <w:szCs w:val="21"/>
                  </w:rPr>
                  <m:t>+A</m:t>
                </m:r>
                <m:sSub>
                  <m:sSubPr>
                    <m:ctrlPr>
                      <w:rPr>
                        <w:rFonts w:ascii="Cambria Math" w:hAnsi="Cambria Math" w:eastAsia="仿宋_GB2312" w:cs="Times New Roman"/>
                        <w:iCs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eastAsia="仿宋_GB2312" w:cs="Times New Roman"/>
                        <w:sz w:val="21"/>
                        <w:szCs w:val="21"/>
                      </w:rPr>
                      <m:t>I</m:t>
                    </m:r>
                    <m:ctrlPr>
                      <w:rPr>
                        <w:rFonts w:ascii="Cambria Math" w:hAnsi="Cambria Math" w:eastAsia="仿宋_GB2312" w:cs="Times New Roman"/>
                        <w:iCs/>
                        <w:sz w:val="21"/>
                        <w:szCs w:val="21"/>
                      </w:rPr>
                    </m:ctrlP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eastAsia="仿宋_GB2312" w:cs="Times New Roman"/>
                        <w:sz w:val="21"/>
                        <w:szCs w:val="21"/>
                      </w:rPr>
                      <m:t>i</m:t>
                    </m:r>
                    <m:ctrlPr>
                      <w:rPr>
                        <w:rFonts w:ascii="Cambria Math" w:hAnsi="Cambria Math" w:eastAsia="仿宋_GB2312" w:cs="Times New Roman"/>
                        <w:iCs/>
                        <w:sz w:val="21"/>
                        <w:szCs w:val="21"/>
                      </w:rPr>
                    </m:ctrlPr>
                  </m:sub>
                </m:sSub>
                <m:r>
                  <m:rPr/>
                  <w:rPr>
                    <w:rFonts w:ascii="Cambria Math" w:hAnsi="Cambria Math" w:eastAsia="仿宋_GB2312" w:cs="Times New Roman"/>
                    <w:sz w:val="21"/>
                    <w:szCs w:val="21"/>
                  </w:rPr>
                  <m:t>)</m:t>
                </m:r>
                <m:ctrlPr>
                  <w:rPr>
                    <w:rFonts w:ascii="Cambria Math" w:hAnsi="Cambria Math" w:eastAsia="仿宋_GB2312" w:cs="Times New Roman"/>
                    <w:sz w:val="21"/>
                    <w:szCs w:val="21"/>
                  </w:rPr>
                </m:ctrlPr>
              </m:e>
            </m:nary>
            <m:r>
              <m:rPr/>
              <w:rPr>
                <w:rFonts w:ascii="Cambria Math" w:hAnsi="Cambria Math" w:eastAsia="MS Gothic" w:cs="Times New Roman"/>
                <w:sz w:val="21"/>
                <w:szCs w:val="21"/>
              </w:rPr>
              <m:t>∗</m:t>
            </m:r>
            <m:r>
              <m:rPr>
                <m:sty m:val="p"/>
              </m:rPr>
              <w:rPr>
                <w:rFonts w:ascii="Cambria Math" w:hAnsi="Cambria Math" w:eastAsia="仿宋_GB2312" w:cs="Times New Roman"/>
                <w:sz w:val="21"/>
                <w:szCs w:val="21"/>
              </w:rPr>
              <m:t>Share</m:t>
            </m:r>
            <m:sSub>
              <m:sSubPr>
                <m:ctrlPr>
                  <w:rPr>
                    <w:rFonts w:ascii="Cambria Math" w:hAnsi="Cambria Math" w:eastAsia="仿宋_GB2312" w:cs="Times New Roman"/>
                    <w:sz w:val="21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eastAsia="仿宋_GB2312" w:cs="Times New Roman"/>
                    <w:sz w:val="21"/>
                    <w:szCs w:val="21"/>
                  </w:rPr>
                  <m:t>s</m:t>
                </m:r>
                <m:ctrlPr>
                  <w:rPr>
                    <w:rFonts w:ascii="Cambria Math" w:hAnsi="Cambria Math" w:eastAsia="仿宋_GB2312" w:cs="Times New Roman"/>
                    <w:sz w:val="21"/>
                    <w:szCs w:val="21"/>
                  </w:rPr>
                </m:ctrlPr>
              </m:e>
              <m:sub>
                <m:r>
                  <m:rPr>
                    <m:sty m:val="p"/>
                  </m:rPr>
                  <w:rPr>
                    <w:rFonts w:ascii="Cambria Math" w:hAnsi="Cambria Math" w:eastAsia="仿宋_GB2312" w:cs="Times New Roman"/>
                    <w:sz w:val="21"/>
                    <w:szCs w:val="21"/>
                  </w:rPr>
                  <m:t>i</m:t>
                </m:r>
                <m:ctrlPr>
                  <w:rPr>
                    <w:rFonts w:ascii="Cambria Math" w:hAnsi="Cambria Math" w:eastAsia="仿宋_GB2312" w:cs="Times New Roman"/>
                    <w:sz w:val="21"/>
                    <w:szCs w:val="21"/>
                  </w:rPr>
                </m:ctrlPr>
              </m:sub>
            </m:sSub>
            <m:r>
              <m:rPr/>
              <w:rPr>
                <w:rFonts w:ascii="Cambria Math" w:hAnsi="Cambria Math" w:eastAsia="仿宋_GB2312" w:cs="Times New Roman"/>
                <w:sz w:val="21"/>
                <w:szCs w:val="21"/>
              </w:rPr>
              <m:t>]+</m:t>
            </m:r>
            <m:sSub>
              <m:sSubPr>
                <m:ctrlPr>
                  <w:rPr>
                    <w:rFonts w:ascii="Cambria Math" w:hAnsi="Cambria Math" w:eastAsia="仿宋_GB2312" w:cs="Times New Roman"/>
                    <w:b w:val="0"/>
                    <w:i w:val="0"/>
                    <w:sz w:val="21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eastAsia="仿宋_GB2312" w:cs="Times New Roman"/>
                    <w:sz w:val="21"/>
                    <w:szCs w:val="21"/>
                  </w:rPr>
                  <m:t>ECC</m:t>
                </m:r>
                <m:ctrlPr>
                  <w:rPr>
                    <w:rFonts w:ascii="Cambria Math" w:hAnsi="Cambria Math" w:eastAsia="仿宋_GB2312" w:cs="Times New Roman"/>
                    <w:b w:val="0"/>
                    <w:i w:val="0"/>
                    <w:sz w:val="21"/>
                    <w:szCs w:val="21"/>
                  </w:rPr>
                </m:ctrlPr>
              </m:e>
              <m:sub>
                <m:r>
                  <m:rPr>
                    <m:sty m:val="p"/>
                  </m:rPr>
                  <w:rPr>
                    <w:rFonts w:hint="eastAsia" w:ascii="Cambria Math" w:hAnsi="Cambria Math" w:eastAsia="仿宋_GB2312" w:cs="Times New Roman"/>
                    <w:sz w:val="21"/>
                    <w:szCs w:val="21"/>
                    <w:lang w:val="en-US" w:eastAsia="zh-CN"/>
                  </w:rPr>
                  <m:t>adj</m:t>
                </m:r>
                <m:ctrlPr>
                  <w:rPr>
                    <w:rFonts w:ascii="Cambria Math" w:hAnsi="Cambria Math" w:eastAsia="仿宋_GB2312" w:cs="Times New Roman"/>
                    <w:b w:val="0"/>
                    <w:i w:val="0"/>
                    <w:sz w:val="21"/>
                    <w:szCs w:val="21"/>
                  </w:rPr>
                </m:ctrlPr>
              </m:sub>
            </m:sSub>
            <m:ctrlPr>
              <w:rPr>
                <w:rFonts w:ascii="Cambria Math" w:hAnsi="Cambria Math" w:eastAsia="仿宋_GB2312" w:cs="Times New Roman"/>
                <w:sz w:val="21"/>
                <w:szCs w:val="21"/>
              </w:rPr>
            </m:ctrlPr>
          </m:e>
        </m:d>
        <m:r>
          <m:rPr/>
          <w:rPr>
            <w:rFonts w:ascii="Cambria Math" w:hAnsi="Cambria Math" w:eastAsia="仿宋_GB2312" w:cs="Times New Roman"/>
            <w:sz w:val="21"/>
            <w:szCs w:val="21"/>
          </w:rPr>
          <m:t xml:space="preserve"> / </m:t>
        </m:r>
        <m:r>
          <m:rPr>
            <m:sty m:val="p"/>
          </m:rPr>
          <w:rPr>
            <w:rFonts w:ascii="Cambria Math" w:hAnsi="Cambria Math" w:eastAsia="仿宋_GB2312" w:cs="Times New Roman"/>
            <w:sz w:val="21"/>
            <w:szCs w:val="21"/>
          </w:rPr>
          <m:t>CU</m:t>
        </m:r>
      </m:oMath>
    </w:p>
    <w:p w14:paraId="58B49B3B">
      <w:pPr>
        <w:spacing w:line="360" w:lineRule="auto"/>
        <w:ind w:left="420"/>
        <w:rPr>
          <w:rFonts w:ascii="宋体" w:hAnsi="宋体" w:eastAsia="宋体"/>
          <w:sz w:val="21"/>
          <w:szCs w:val="21"/>
        </w:rPr>
      </w:pPr>
      <w:r>
        <w:rPr>
          <w:rFonts w:hint="eastAsia" w:ascii="宋体" w:hAnsi="宋体" w:eastAsia="宋体"/>
          <w:sz w:val="21"/>
          <w:szCs w:val="21"/>
        </w:rPr>
        <w:t>其中：</w:t>
      </w:r>
    </w:p>
    <w:p w14:paraId="73AA464F">
      <w:pPr>
        <w:spacing w:line="360" w:lineRule="auto"/>
        <w:ind w:firstLine="420" w:firstLineChars="200"/>
        <w:rPr>
          <w:rFonts w:ascii="宋体" w:hAnsi="宋体" w:eastAsia="宋体"/>
          <w:sz w:val="21"/>
          <w:szCs w:val="21"/>
        </w:rPr>
      </w:pPr>
      <m:oMath>
        <m:sSub>
          <m:sSubPr>
            <m:ctrlPr>
              <w:rPr>
                <w:rFonts w:ascii="Cambria Math" w:hAnsi="Cambria Math" w:eastAsia="宋体"/>
                <w:iCs/>
                <w:sz w:val="21"/>
                <w:szCs w:val="21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eastAsia="宋体"/>
                <w:sz w:val="21"/>
                <w:szCs w:val="21"/>
              </w:rPr>
              <m:t>P</m:t>
            </m:r>
            <m:ctrlPr>
              <w:rPr>
                <w:rFonts w:ascii="Cambria Math" w:hAnsi="Cambria Math" w:eastAsia="宋体"/>
                <w:iCs/>
                <w:sz w:val="21"/>
                <w:szCs w:val="21"/>
              </w:rPr>
            </m:ctrlPr>
          </m:e>
          <m:sub>
            <m:r>
              <m:rPr>
                <m:sty m:val="p"/>
              </m:rPr>
              <w:rPr>
                <w:rFonts w:ascii="Cambria Math" w:hAnsi="Cambria Math" w:eastAsia="宋体"/>
                <w:sz w:val="21"/>
                <w:szCs w:val="21"/>
              </w:rPr>
              <m:t>i</m:t>
            </m:r>
            <m:ctrlPr>
              <w:rPr>
                <w:rFonts w:ascii="Cambria Math" w:hAnsi="Cambria Math" w:eastAsia="宋体"/>
                <w:iCs/>
                <w:sz w:val="21"/>
                <w:szCs w:val="21"/>
              </w:rPr>
            </m:ctrlPr>
          </m:sub>
        </m:sSub>
        <m:r>
          <m:rPr>
            <m:sty m:val="p"/>
          </m:rPr>
          <w:rPr>
            <w:rFonts w:ascii="Cambria Math" w:hAnsi="Cambria Math" w:eastAsia="宋体"/>
            <w:sz w:val="21"/>
            <w:szCs w:val="21"/>
          </w:rPr>
          <m:t>:</m:t>
        </m:r>
      </m:oMath>
      <w:r>
        <w:rPr>
          <w:rFonts w:ascii="宋体" w:hAnsi="宋体" w:eastAsia="宋体"/>
          <w:sz w:val="21"/>
          <w:szCs w:val="21"/>
        </w:rPr>
        <w:t xml:space="preserve"> T</w:t>
      </w:r>
      <w:r>
        <w:rPr>
          <w:rFonts w:hint="eastAsia" w:ascii="宋体" w:hAnsi="宋体" w:eastAsia="宋体"/>
          <w:sz w:val="21"/>
          <w:szCs w:val="21"/>
        </w:rPr>
        <w:t>日申购赎回清单中第</w:t>
      </w:r>
      <w:r>
        <w:rPr>
          <w:rFonts w:ascii="宋体" w:hAnsi="宋体" w:eastAsia="宋体"/>
          <w:sz w:val="21"/>
          <w:szCs w:val="21"/>
        </w:rPr>
        <w:t>i</w:t>
      </w:r>
      <w:r>
        <w:rPr>
          <w:rFonts w:hint="eastAsia" w:ascii="宋体" w:hAnsi="宋体" w:eastAsia="宋体"/>
          <w:sz w:val="21"/>
          <w:szCs w:val="21"/>
        </w:rPr>
        <w:t>只成分券的实时</w:t>
      </w:r>
      <w:r>
        <w:rPr>
          <w:rFonts w:hint="eastAsia" w:ascii="宋体" w:hAnsi="宋体" w:eastAsia="宋体"/>
          <w:sz w:val="21"/>
          <w:szCs w:val="21"/>
          <w:lang w:eastAsia="zh-CN"/>
        </w:rPr>
        <w:t>估算</w:t>
      </w:r>
      <w:r>
        <w:rPr>
          <w:rFonts w:hint="eastAsia" w:ascii="宋体" w:hAnsi="宋体" w:eastAsia="宋体"/>
          <w:sz w:val="21"/>
          <w:szCs w:val="21"/>
        </w:rPr>
        <w:t>净价</w:t>
      </w:r>
    </w:p>
    <w:p w14:paraId="5977C1F4">
      <w:pPr>
        <w:spacing w:line="360" w:lineRule="auto"/>
        <w:ind w:firstLine="420" w:firstLineChars="200"/>
        <w:rPr>
          <w:rFonts w:ascii="宋体" w:hAnsi="宋体" w:eastAsia="宋体"/>
          <w:sz w:val="21"/>
          <w:szCs w:val="21"/>
        </w:rPr>
      </w:pPr>
      <m:oMath>
        <m:sSub>
          <m:sSubPr>
            <m:ctrlPr>
              <w:rPr>
                <w:rFonts w:ascii="Cambria Math" w:hAnsi="Cambria Math" w:eastAsia="宋体"/>
                <w:iCs/>
                <w:sz w:val="21"/>
                <w:szCs w:val="21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eastAsia="宋体"/>
                <w:sz w:val="21"/>
                <w:szCs w:val="21"/>
              </w:rPr>
              <m:t>AI</m:t>
            </m:r>
            <m:ctrlPr>
              <w:rPr>
                <w:rFonts w:ascii="Cambria Math" w:hAnsi="Cambria Math" w:eastAsia="宋体"/>
                <w:iCs/>
                <w:sz w:val="21"/>
                <w:szCs w:val="21"/>
              </w:rPr>
            </m:ctrlPr>
          </m:e>
          <m:sub>
            <m:r>
              <m:rPr>
                <m:sty m:val="p"/>
              </m:rPr>
              <w:rPr>
                <w:rFonts w:ascii="Cambria Math" w:hAnsi="Cambria Math" w:eastAsia="宋体"/>
                <w:sz w:val="21"/>
                <w:szCs w:val="21"/>
              </w:rPr>
              <m:t>i</m:t>
            </m:r>
            <m:ctrlPr>
              <w:rPr>
                <w:rFonts w:ascii="Cambria Math" w:hAnsi="Cambria Math" w:eastAsia="宋体"/>
                <w:iCs/>
                <w:sz w:val="21"/>
                <w:szCs w:val="21"/>
              </w:rPr>
            </m:ctrlPr>
          </m:sub>
        </m:sSub>
        <m:r>
          <m:rPr>
            <m:sty m:val="p"/>
          </m:rPr>
          <w:rPr>
            <w:rFonts w:ascii="Cambria Math" w:hAnsi="Cambria Math" w:eastAsia="宋体"/>
            <w:sz w:val="21"/>
            <w:szCs w:val="21"/>
          </w:rPr>
          <m:t>:</m:t>
        </m:r>
      </m:oMath>
      <w:r>
        <w:rPr>
          <w:rFonts w:ascii="宋体" w:hAnsi="宋体" w:eastAsia="宋体"/>
          <w:sz w:val="21"/>
          <w:szCs w:val="21"/>
        </w:rPr>
        <w:t xml:space="preserve"> T</w:t>
      </w:r>
      <w:r>
        <w:rPr>
          <w:rFonts w:hint="eastAsia" w:ascii="宋体" w:hAnsi="宋体" w:eastAsia="宋体"/>
          <w:sz w:val="21"/>
          <w:szCs w:val="21"/>
        </w:rPr>
        <w:t>日申购赎回清单中第</w:t>
      </w:r>
      <w:r>
        <w:rPr>
          <w:rFonts w:ascii="宋体" w:hAnsi="宋体" w:eastAsia="宋体"/>
          <w:sz w:val="21"/>
          <w:szCs w:val="21"/>
        </w:rPr>
        <w:t>i</w:t>
      </w:r>
      <w:r>
        <w:rPr>
          <w:rFonts w:hint="eastAsia" w:ascii="宋体" w:hAnsi="宋体" w:eastAsia="宋体"/>
          <w:sz w:val="21"/>
          <w:szCs w:val="21"/>
        </w:rPr>
        <w:t>只成分券的日终应计利息</w:t>
      </w:r>
    </w:p>
    <w:p w14:paraId="0B4109BA">
      <w:pPr>
        <w:spacing w:line="360" w:lineRule="auto"/>
        <w:ind w:firstLine="420" w:firstLineChars="200"/>
        <w:rPr>
          <w:rFonts w:ascii="宋体" w:hAnsi="宋体" w:eastAsia="宋体"/>
          <w:sz w:val="21"/>
          <w:szCs w:val="21"/>
        </w:rPr>
      </w:pPr>
      <m:oMath>
        <m:sSub>
          <m:sSubPr>
            <m:ctrlPr>
              <w:rPr>
                <w:rFonts w:ascii="Cambria Math" w:hAnsi="Cambria Math" w:eastAsia="宋体"/>
                <w:iCs/>
                <w:sz w:val="21"/>
                <w:szCs w:val="21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eastAsia="宋体"/>
                <w:sz w:val="21"/>
                <w:szCs w:val="21"/>
              </w:rPr>
              <m:t>Shares</m:t>
            </m:r>
            <m:ctrlPr>
              <w:rPr>
                <w:rFonts w:ascii="Cambria Math" w:hAnsi="Cambria Math" w:eastAsia="宋体"/>
                <w:iCs/>
                <w:sz w:val="21"/>
                <w:szCs w:val="21"/>
              </w:rPr>
            </m:ctrlPr>
          </m:e>
          <m:sub>
            <m:r>
              <m:rPr>
                <m:sty m:val="p"/>
              </m:rPr>
              <w:rPr>
                <w:rFonts w:ascii="Cambria Math" w:hAnsi="Cambria Math" w:eastAsia="宋体"/>
                <w:sz w:val="21"/>
                <w:szCs w:val="21"/>
              </w:rPr>
              <m:t>i</m:t>
            </m:r>
            <m:ctrlPr>
              <w:rPr>
                <w:rFonts w:ascii="Cambria Math" w:hAnsi="Cambria Math" w:eastAsia="宋体"/>
                <w:iCs/>
                <w:sz w:val="21"/>
                <w:szCs w:val="21"/>
              </w:rPr>
            </m:ctrlPr>
          </m:sub>
        </m:sSub>
        <m:r>
          <m:rPr>
            <m:sty m:val="p"/>
          </m:rPr>
          <w:rPr>
            <w:rFonts w:ascii="Cambria Math" w:hAnsi="Cambria Math" w:eastAsia="宋体"/>
            <w:sz w:val="21"/>
            <w:szCs w:val="21"/>
          </w:rPr>
          <m:t>:</m:t>
        </m:r>
      </m:oMath>
      <w:r>
        <w:rPr>
          <w:rFonts w:ascii="宋体" w:hAnsi="宋体" w:eastAsia="宋体"/>
          <w:sz w:val="21"/>
          <w:szCs w:val="21"/>
        </w:rPr>
        <w:t xml:space="preserve"> </w:t>
      </w:r>
      <w:r>
        <w:rPr>
          <w:rFonts w:hint="eastAsia" w:ascii="宋体" w:hAnsi="宋体" w:eastAsia="宋体"/>
          <w:sz w:val="21"/>
          <w:szCs w:val="21"/>
          <w:lang w:eastAsia="zh-CN"/>
        </w:rPr>
        <w:t>根据</w:t>
      </w:r>
      <w:r>
        <w:rPr>
          <w:rFonts w:ascii="宋体" w:hAnsi="宋体" w:eastAsia="宋体"/>
          <w:sz w:val="21"/>
          <w:szCs w:val="21"/>
        </w:rPr>
        <w:t>T</w:t>
      </w:r>
      <w:r>
        <w:rPr>
          <w:rFonts w:hint="eastAsia" w:ascii="宋体" w:hAnsi="宋体" w:eastAsia="宋体"/>
          <w:sz w:val="21"/>
          <w:szCs w:val="21"/>
        </w:rPr>
        <w:t>日申购赎回清单</w:t>
      </w:r>
      <w:r>
        <w:rPr>
          <w:rFonts w:hint="eastAsia" w:ascii="宋体" w:hAnsi="宋体" w:eastAsia="宋体"/>
          <w:sz w:val="21"/>
          <w:szCs w:val="21"/>
          <w:lang w:eastAsia="zh-CN"/>
        </w:rPr>
        <w:t>计算的</w:t>
      </w:r>
      <w:r>
        <w:rPr>
          <w:rFonts w:hint="eastAsia" w:ascii="宋体" w:hAnsi="宋体" w:eastAsia="宋体"/>
          <w:sz w:val="21"/>
          <w:szCs w:val="21"/>
        </w:rPr>
        <w:t>第</w:t>
      </w:r>
      <w:r>
        <w:rPr>
          <w:rFonts w:ascii="宋体" w:hAnsi="宋体" w:eastAsia="宋体"/>
          <w:sz w:val="21"/>
          <w:szCs w:val="21"/>
        </w:rPr>
        <w:t>i</w:t>
      </w:r>
      <w:r>
        <w:rPr>
          <w:rFonts w:hint="eastAsia" w:ascii="宋体" w:hAnsi="宋体" w:eastAsia="宋体"/>
          <w:sz w:val="21"/>
          <w:szCs w:val="21"/>
        </w:rPr>
        <w:t>只成分券的数量（单位：张）</w:t>
      </w:r>
    </w:p>
    <w:p w14:paraId="1EAA4E2D">
      <w:pPr>
        <w:spacing w:line="360" w:lineRule="auto"/>
        <w:ind w:firstLine="420" w:firstLineChars="200"/>
        <w:rPr>
          <w:rFonts w:ascii="宋体" w:hAnsi="宋体" w:eastAsia="宋体"/>
          <w:sz w:val="21"/>
          <w:szCs w:val="21"/>
        </w:rPr>
      </w:pPr>
      <m:oMath>
        <m:sSub>
          <m:sSubPr>
            <m:ctrlPr>
              <w:rPr>
                <w:rFonts w:ascii="Cambria Math" w:hAnsi="Cambria Math" w:eastAsia="宋体"/>
                <w:b w:val="0"/>
                <w:i w:val="0"/>
                <w:sz w:val="21"/>
                <w:szCs w:val="21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eastAsia="宋体"/>
                <w:sz w:val="21"/>
                <w:szCs w:val="21"/>
              </w:rPr>
              <m:t>ECC</m:t>
            </m:r>
            <m:ctrlPr>
              <w:rPr>
                <w:rFonts w:ascii="Cambria Math" w:hAnsi="Cambria Math" w:eastAsia="宋体"/>
                <w:b w:val="0"/>
                <w:i w:val="0"/>
                <w:sz w:val="21"/>
                <w:szCs w:val="21"/>
              </w:rPr>
            </m:ctrlPr>
          </m:e>
          <m:sub>
            <m:r>
              <m:rPr>
                <m:sty m:val="p"/>
              </m:rPr>
              <w:rPr>
                <w:rFonts w:hint="eastAsia" w:ascii="Cambria Math" w:hAnsi="Cambria Math" w:eastAsia="宋体"/>
                <w:sz w:val="21"/>
                <w:szCs w:val="21"/>
                <w:lang w:val="en-US" w:eastAsia="zh-CN"/>
              </w:rPr>
              <m:t>adj</m:t>
            </m:r>
            <m:ctrlPr>
              <w:rPr>
                <w:rFonts w:ascii="Cambria Math" w:hAnsi="Cambria Math" w:eastAsia="宋体"/>
                <w:b w:val="0"/>
                <w:i w:val="0"/>
                <w:sz w:val="21"/>
                <w:szCs w:val="21"/>
              </w:rPr>
            </m:ctrlPr>
          </m:sub>
        </m:sSub>
      </m:oMath>
      <w:r>
        <w:rPr>
          <w:rFonts w:hint="eastAsia" w:ascii="宋体" w:hAnsi="宋体" w:eastAsia="宋体"/>
          <w:sz w:val="21"/>
          <w:szCs w:val="21"/>
        </w:rPr>
        <w:t>：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>经利息调整的</w:t>
      </w:r>
      <w:r>
        <w:rPr>
          <w:rFonts w:ascii="宋体" w:hAnsi="宋体" w:eastAsia="宋体"/>
          <w:sz w:val="21"/>
          <w:szCs w:val="21"/>
        </w:rPr>
        <w:t>T</w:t>
      </w:r>
      <w:r>
        <w:rPr>
          <w:rFonts w:hint="eastAsia" w:ascii="宋体" w:hAnsi="宋体" w:eastAsia="宋体"/>
          <w:sz w:val="21"/>
          <w:szCs w:val="21"/>
        </w:rPr>
        <w:t>日申购赎回清单中的预估现金部分</w:t>
      </w:r>
    </w:p>
    <w:p w14:paraId="4918F6DF">
      <w:pPr>
        <w:pStyle w:val="14"/>
        <w:spacing w:line="360" w:lineRule="auto"/>
        <w:ind w:firstLine="420" w:firstLineChars="200"/>
        <w:jc w:val="both"/>
        <w:rPr>
          <w:rFonts w:hint="eastAsia"/>
          <w:sz w:val="21"/>
          <w:szCs w:val="21"/>
          <w:lang w:eastAsia="zh-CN"/>
        </w:rPr>
      </w:pPr>
      <m:oMath>
        <m:r>
          <m:rPr>
            <m:sty m:val="p"/>
          </m:rPr>
          <w:rPr>
            <w:rFonts w:ascii="Cambria Math" w:hAnsi="Cambria Math" w:eastAsia="宋体"/>
            <w:sz w:val="21"/>
            <w:szCs w:val="21"/>
          </w:rPr>
          <m:t>CU</m:t>
        </m:r>
      </m:oMath>
      <w:r>
        <w:rPr>
          <w:rFonts w:ascii="宋体" w:hAnsi="宋体" w:eastAsia="宋体"/>
          <w:sz w:val="21"/>
          <w:szCs w:val="21"/>
        </w:rPr>
        <w:t xml:space="preserve">: </w:t>
      </w:r>
      <w:r>
        <w:rPr>
          <w:rFonts w:hint="eastAsia" w:ascii="宋体" w:hAnsi="宋体" w:eastAsia="宋体"/>
          <w:sz w:val="21"/>
          <w:szCs w:val="21"/>
        </w:rPr>
        <w:t>最小申购赎回单位（单位</w:t>
      </w:r>
      <w:r>
        <w:rPr>
          <w:rFonts w:hint="eastAsia" w:hAnsi="宋体"/>
          <w:sz w:val="21"/>
          <w:szCs w:val="21"/>
          <w:lang w:eastAsia="zh-CN"/>
        </w:rPr>
        <w:t>：</w:t>
      </w:r>
      <w:r>
        <w:rPr>
          <w:rFonts w:hint="eastAsia" w:ascii="宋体" w:hAnsi="宋体" w:eastAsia="宋体"/>
          <w:sz w:val="21"/>
          <w:szCs w:val="21"/>
        </w:rPr>
        <w:t>份）</w:t>
      </w:r>
    </w:p>
    <w:p w14:paraId="5647BD1C">
      <w:pPr>
        <w:pStyle w:val="14"/>
        <w:numPr>
          <w:ilvl w:val="0"/>
          <w:numId w:val="0"/>
        </w:numPr>
        <w:spacing w:line="360" w:lineRule="auto"/>
        <w:ind w:firstLine="422" w:firstLineChars="200"/>
        <w:jc w:val="both"/>
        <w:rPr>
          <w:rFonts w:hint="eastAsia"/>
          <w:b/>
          <w:bCs/>
          <w:sz w:val="21"/>
          <w:szCs w:val="21"/>
          <w:lang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二</w:t>
      </w:r>
      <w:r>
        <w:rPr>
          <w:rFonts w:hint="eastAsia"/>
          <w:b/>
          <w:bCs/>
          <w:sz w:val="21"/>
          <w:szCs w:val="21"/>
          <w:lang w:eastAsia="zh-CN"/>
        </w:rPr>
        <w:t>、其他需要提示的事项</w:t>
      </w:r>
    </w:p>
    <w:p w14:paraId="60172690">
      <w:pPr>
        <w:pStyle w:val="14"/>
        <w:numPr>
          <w:ilvl w:val="0"/>
          <w:numId w:val="0"/>
        </w:numPr>
        <w:spacing w:line="360" w:lineRule="auto"/>
        <w:ind w:firstLine="420" w:firstLineChars="200"/>
        <w:jc w:val="both"/>
        <w:rPr>
          <w:rFonts w:hint="eastAsia"/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val="en-US" w:eastAsia="zh-CN"/>
        </w:rPr>
        <w:t xml:space="preserve">1. </w:t>
      </w:r>
      <w:r>
        <w:rPr>
          <w:rFonts w:hint="eastAsia"/>
          <w:sz w:val="21"/>
          <w:szCs w:val="21"/>
          <w:lang w:eastAsia="zh-CN"/>
        </w:rPr>
        <w:t>本次</w:t>
      </w:r>
      <w:r>
        <w:rPr>
          <w:rFonts w:hint="eastAsia"/>
          <w:sz w:val="21"/>
          <w:szCs w:val="21"/>
          <w:lang w:val="en-US" w:eastAsia="zh-CN"/>
        </w:rPr>
        <w:t>调整IOPV计算公式</w:t>
      </w:r>
      <w:r>
        <w:rPr>
          <w:rFonts w:hint="eastAsia"/>
          <w:sz w:val="21"/>
          <w:szCs w:val="21"/>
          <w:lang w:eastAsia="zh-CN"/>
        </w:rPr>
        <w:t>符合相关法律法规及基金合同的规定。本公告仅对上述</w:t>
      </w:r>
      <w:r>
        <w:rPr>
          <w:rFonts w:hint="eastAsia"/>
          <w:sz w:val="21"/>
          <w:szCs w:val="21"/>
          <w:lang w:val="en-US" w:eastAsia="zh-CN"/>
        </w:rPr>
        <w:t>调整</w:t>
      </w:r>
      <w:r>
        <w:rPr>
          <w:rFonts w:hint="eastAsia"/>
          <w:sz w:val="21"/>
          <w:szCs w:val="21"/>
          <w:lang w:eastAsia="zh-CN"/>
        </w:rPr>
        <w:t>IOPV</w:t>
      </w:r>
      <w:r>
        <w:rPr>
          <w:rFonts w:hint="eastAsia"/>
          <w:sz w:val="21"/>
          <w:szCs w:val="21"/>
          <w:lang w:val="en-US" w:eastAsia="zh-CN"/>
        </w:rPr>
        <w:t>计算公式</w:t>
      </w:r>
      <w:r>
        <w:rPr>
          <w:rFonts w:hint="eastAsia"/>
          <w:sz w:val="21"/>
          <w:szCs w:val="21"/>
          <w:lang w:eastAsia="zh-CN"/>
        </w:rPr>
        <w:t>的有关事项予以提示说明。本基金的招募说明书中涉及的内容将进行相应更新。</w:t>
      </w:r>
    </w:p>
    <w:p w14:paraId="63972AA0">
      <w:pPr>
        <w:pStyle w:val="14"/>
        <w:numPr>
          <w:ilvl w:val="0"/>
          <w:numId w:val="0"/>
        </w:numPr>
        <w:spacing w:line="360" w:lineRule="auto"/>
        <w:ind w:firstLine="420" w:firstLineChars="200"/>
        <w:jc w:val="both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2. 本基金管理人可根据基金的运作情况决定是否暂停发布IOPV或再次调整IOPV计算公式，届时可能给投资者交易造成不便，敬请投资者做好投资安排。</w:t>
      </w:r>
    </w:p>
    <w:p w14:paraId="0AB46DF7">
      <w:pPr>
        <w:pStyle w:val="14"/>
        <w:numPr>
          <w:ilvl w:val="0"/>
          <w:numId w:val="0"/>
        </w:numPr>
        <w:spacing w:line="360" w:lineRule="auto"/>
        <w:ind w:firstLine="420" w:firstLineChars="20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 xml:space="preserve">3. </w:t>
      </w:r>
      <w:r>
        <w:rPr>
          <w:rFonts w:hint="default"/>
          <w:sz w:val="21"/>
          <w:szCs w:val="21"/>
          <w:lang w:val="en-US" w:eastAsia="zh-CN"/>
        </w:rPr>
        <w:t>本基金基金份额参考净值（IOPV）由基金管理人委托的机构计算，并在深圳证券交易所的交易时间向市场发布，仅供投资者参考。IOPV与实时的基金份额净值可能存在差异，IOPV计算也可能出现错误。投资人若参考IOPV进行投资决策可能导致损失，需投资人自行承担。</w:t>
      </w:r>
    </w:p>
    <w:p w14:paraId="43CF3EE9">
      <w:pPr>
        <w:pStyle w:val="14"/>
        <w:numPr>
          <w:ilvl w:val="0"/>
          <w:numId w:val="0"/>
        </w:numPr>
        <w:spacing w:line="360" w:lineRule="auto"/>
        <w:ind w:firstLine="420" w:firstLineChars="200"/>
        <w:jc w:val="both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4. 本基金管理人承诺以诚实信用、勤勉尽责的原则管理和运用基金资产，但不保证本基金一定盈利，也不保证最低收益。请投资人认真阅读基金的相关法律文件,充分了解本基金的风险收益特征，并根据自身风险承受能力审慎做出投资决定。</w:t>
      </w:r>
    </w:p>
    <w:p w14:paraId="724DB1C4">
      <w:pPr>
        <w:pStyle w:val="14"/>
        <w:numPr>
          <w:ilvl w:val="0"/>
          <w:numId w:val="0"/>
        </w:numPr>
        <w:spacing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 xml:space="preserve">5. 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投资者欲了解本基金的详细情况，请致电博时一线通95105568（免长途话费）或登录本公司网站https://www.bosera.com查阅本基金基金合同及招募说明书。</w:t>
      </w:r>
    </w:p>
    <w:p w14:paraId="78CD5A8C">
      <w:pPr>
        <w:pStyle w:val="14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 w14:paraId="4E8AF2D5">
      <w:pPr>
        <w:pStyle w:val="14"/>
        <w:spacing w:line="360" w:lineRule="auto"/>
        <w:jc w:val="right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博时基金管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理有限公司 </w:t>
      </w:r>
    </w:p>
    <w:p w14:paraId="4C44DFD5">
      <w:pPr>
        <w:wordWrap w:val="0"/>
        <w:spacing w:line="360" w:lineRule="auto"/>
        <w:jc w:val="righ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 xml:space="preserve">  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202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年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19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日</w:t>
      </w:r>
    </w:p>
    <w:p w14:paraId="3E005FD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D7D"/>
    <w:rsid w:val="000318C7"/>
    <w:rsid w:val="000B38A0"/>
    <w:rsid w:val="000C7F5F"/>
    <w:rsid w:val="001078A5"/>
    <w:rsid w:val="00184CFB"/>
    <w:rsid w:val="00195059"/>
    <w:rsid w:val="001E3F88"/>
    <w:rsid w:val="001E7003"/>
    <w:rsid w:val="00282075"/>
    <w:rsid w:val="002903DA"/>
    <w:rsid w:val="002A67D3"/>
    <w:rsid w:val="003323EB"/>
    <w:rsid w:val="0033479F"/>
    <w:rsid w:val="003A4EB4"/>
    <w:rsid w:val="00450DA0"/>
    <w:rsid w:val="004833CB"/>
    <w:rsid w:val="00490708"/>
    <w:rsid w:val="004A2231"/>
    <w:rsid w:val="00520A14"/>
    <w:rsid w:val="0053739B"/>
    <w:rsid w:val="005A14EC"/>
    <w:rsid w:val="005B5979"/>
    <w:rsid w:val="005F6080"/>
    <w:rsid w:val="006040E7"/>
    <w:rsid w:val="00636020"/>
    <w:rsid w:val="00685F15"/>
    <w:rsid w:val="006E49BD"/>
    <w:rsid w:val="00704AE4"/>
    <w:rsid w:val="0071656F"/>
    <w:rsid w:val="00753843"/>
    <w:rsid w:val="007D55EA"/>
    <w:rsid w:val="0083104B"/>
    <w:rsid w:val="00882AAF"/>
    <w:rsid w:val="00932F96"/>
    <w:rsid w:val="009332B6"/>
    <w:rsid w:val="009B69C8"/>
    <w:rsid w:val="00AB5114"/>
    <w:rsid w:val="00AC4D7D"/>
    <w:rsid w:val="00B113AE"/>
    <w:rsid w:val="00C02DDA"/>
    <w:rsid w:val="00CD7524"/>
    <w:rsid w:val="00DB5936"/>
    <w:rsid w:val="00E41016"/>
    <w:rsid w:val="00E6173F"/>
    <w:rsid w:val="00E970C0"/>
    <w:rsid w:val="00EE4683"/>
    <w:rsid w:val="00F044EC"/>
    <w:rsid w:val="00F273CA"/>
    <w:rsid w:val="00F35156"/>
    <w:rsid w:val="00F41338"/>
    <w:rsid w:val="00F9582D"/>
    <w:rsid w:val="118E44DC"/>
    <w:rsid w:val="15B471CE"/>
    <w:rsid w:val="1C897269"/>
    <w:rsid w:val="1E445E34"/>
    <w:rsid w:val="29BD3E42"/>
    <w:rsid w:val="2BA916D0"/>
    <w:rsid w:val="2C87189D"/>
    <w:rsid w:val="345920CE"/>
    <w:rsid w:val="39705EDB"/>
    <w:rsid w:val="3E79398F"/>
    <w:rsid w:val="56B548EA"/>
    <w:rsid w:val="5A845B3B"/>
    <w:rsid w:val="61455F49"/>
    <w:rsid w:val="63AD7979"/>
    <w:rsid w:val="6419172F"/>
    <w:rsid w:val="64535BA7"/>
    <w:rsid w:val="6A4502E0"/>
    <w:rsid w:val="744D78DA"/>
    <w:rsid w:val="7D13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qFormat="1"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qFormat="1"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5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Subtle 1"/>
    <w:basedOn w:val="8"/>
    <w:semiHidden/>
    <w:unhideWhenUsed/>
    <w:qFormat/>
    <w:uiPriority w:val="99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">
    <w:name w:val="Colorful List Accent 2"/>
    <w:basedOn w:val="9"/>
    <w:qFormat/>
    <w:uiPriority w:val="72"/>
    <w:rPr>
      <w:rFonts w:eastAsia="微软雅黑"/>
      <w:color w:val="000000" w:themeColor="text1"/>
      <w:kern w:val="0"/>
      <w:sz w:val="16"/>
      <w:szCs w:val="20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rFonts w:eastAsia="微软雅黑"/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0000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 w:themeFill="background1" w:themeFillShade="D9"/>
      </w:tcPr>
    </w:tblStylePr>
    <w:tblStylePr w:type="firstCol">
      <w:rPr>
        <w:b/>
        <w:bCs/>
      </w:rPr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 w:themeFill="background1" w:themeFillShade="D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single" w:color="F1F1F1" w:themeColor="background1" w:themeShade="F2" w:sz="4" w:space="0"/>
          <w:left w:val="nil"/>
          <w:bottom w:val="single" w:color="F1F1F1" w:themeColor="background1" w:themeShade="F2" w:sz="4" w:space="0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2Horz">
      <w:tcPr>
        <w:tcBorders>
          <w:top w:val="nil"/>
          <w:bottom w:val="nil"/>
        </w:tcBorders>
        <w:shd w:val="clear" w:color="auto" w:fill="F1F1F1" w:themeFill="background1" w:themeFillShade="F2"/>
      </w:tcPr>
    </w:tblStylePr>
    <w:tblStylePr w:type="neCell">
      <w:rPr>
        <w:b/>
        <w:bCs/>
      </w:rPr>
      <w:tcPr>
        <w:tcBorders>
          <w:tl2br w:val="nil"/>
          <w:tr2bl w:val="nil"/>
        </w:tcBorders>
      </w:tcPr>
    </w:tblStylePr>
    <w:tblStylePr w:type="swCell">
      <w:rPr>
        <w:b/>
        <w:bCs/>
      </w:rPr>
      <w:tcPr>
        <w:tcBorders>
          <w:tl2br w:val="nil"/>
          <w:tr2bl w:val="nil"/>
        </w:tcBorders>
      </w:tcPr>
    </w:tblStylePr>
  </w:style>
  <w:style w:type="character" w:styleId="12">
    <w:name w:val="FollowedHyperlink"/>
    <w:basedOn w:val="11"/>
    <w:semiHidden/>
    <w:unhideWhenUsed/>
    <w:qFormat/>
    <w:uiPriority w:val="99"/>
    <w:rPr>
      <w:color w:val="800080"/>
      <w:u w:val="single"/>
    </w:rPr>
  </w:style>
  <w:style w:type="character" w:styleId="13">
    <w:name w:val="Hyperlink"/>
    <w:basedOn w:val="11"/>
    <w:semiHidden/>
    <w:unhideWhenUsed/>
    <w:qFormat/>
    <w:uiPriority w:val="99"/>
    <w:rPr>
      <w:color w:val="0000FF"/>
      <w:u w:val="single"/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kern w:val="0"/>
      <w:sz w:val="24"/>
      <w:szCs w:val="24"/>
      <w:lang w:val="en-US" w:eastAsia="zh-CN" w:bidi="ar-SA"/>
    </w:rPr>
  </w:style>
  <w:style w:type="paragraph" w:customStyle="1" w:styleId="15">
    <w:name w:val="xl63"/>
    <w:basedOn w:val="1"/>
    <w:qFormat/>
    <w:uiPriority w:val="0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00CCFF"/>
      <w:spacing w:before="100" w:beforeAutospacing="1" w:after="100" w:afterAutospacing="1"/>
      <w:jc w:val="center"/>
    </w:pPr>
    <w:rPr>
      <w:rFonts w:ascii="宋体" w:hAnsi="宋体" w:eastAsia="宋体" w:cs="宋体"/>
      <w:b/>
      <w:bCs/>
      <w:color w:val="800080"/>
      <w:kern w:val="0"/>
      <w:sz w:val="24"/>
      <w:szCs w:val="24"/>
    </w:rPr>
  </w:style>
  <w:style w:type="paragraph" w:customStyle="1" w:styleId="16">
    <w:name w:val="xl64"/>
    <w:basedOn w:val="1"/>
    <w:qFormat/>
    <w:uiPriority w:val="0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4"/>
      <w:szCs w:val="24"/>
    </w:rPr>
  </w:style>
  <w:style w:type="character" w:customStyle="1" w:styleId="17">
    <w:name w:val="页眉 字符"/>
    <w:basedOn w:val="11"/>
    <w:link w:val="6"/>
    <w:qFormat/>
    <w:uiPriority w:val="99"/>
    <w:rPr>
      <w:sz w:val="18"/>
      <w:szCs w:val="18"/>
    </w:rPr>
  </w:style>
  <w:style w:type="character" w:customStyle="1" w:styleId="18">
    <w:name w:val="页脚 字符"/>
    <w:basedOn w:val="11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309</Words>
  <Characters>1766</Characters>
  <Lines>14</Lines>
  <Paragraphs>4</Paragraphs>
  <TotalTime>2</TotalTime>
  <ScaleCrop>false</ScaleCrop>
  <LinksUpToDate>false</LinksUpToDate>
  <CharactersWithSpaces>2071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2019-06-24T01:33:00Z</dcterms:created>
  <dc:creator>符筱</dc:creator>
  <cp:lastModifiedBy>zhouhy</cp:lastModifiedBy>
  <dcterms:modified xsi:type="dcterms:W3CDTF">2026-09-17T02:48:03Z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11071FEE13D848A19E9AA3A4B2AF40B5_12</vt:lpwstr>
  </property>
</Properties>
</file>