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0B2C6A5">
      <w:pPr>
        <w:pStyle w:val="7"/>
        <w:snapToGrid w:val="0"/>
        <w:spacing w:before="0" w:beforeAutospacing="0" w:after="0" w:afterAutospacing="0" w:line="240" w:lineRule="auto"/>
        <w:ind w:firstLine="0" w:firstLineChars="0"/>
        <w:jc w:val="center"/>
        <w:rPr>
          <w:rFonts w:ascii="Times New Roman" w:hAnsi="Times New Roman" w:eastAsia="楷体_GB2312" w:cs="Times New Roman"/>
          <w:b/>
          <w:sz w:val="32"/>
        </w:rPr>
      </w:pPr>
      <w:r>
        <w:rPr>
          <w:rFonts w:hint="eastAsia" w:ascii="Times New Roman" w:hAnsi="Times New Roman" w:eastAsia="楷体_GB2312" w:cs="Times New Roman"/>
          <w:b/>
          <w:sz w:val="32"/>
        </w:rPr>
        <w:t>博时基金管理有限公司</w:t>
      </w:r>
    </w:p>
    <w:p w14:paraId="15166AB5">
      <w:pPr>
        <w:pStyle w:val="7"/>
        <w:snapToGrid w:val="0"/>
        <w:spacing w:before="0" w:beforeAutospacing="0" w:after="0" w:afterAutospacing="0" w:line="240" w:lineRule="auto"/>
        <w:ind w:firstLine="0" w:firstLineChars="0"/>
        <w:jc w:val="center"/>
        <w:rPr>
          <w:rFonts w:ascii="Times New Roman" w:hAnsi="Times New Roman" w:eastAsia="楷体_GB2312" w:cs="Times New Roman"/>
          <w:b/>
          <w:sz w:val="32"/>
        </w:rPr>
      </w:pPr>
      <w:r>
        <w:rPr>
          <w:rFonts w:hint="eastAsia" w:ascii="Times New Roman" w:hAnsi="Times New Roman" w:eastAsia="楷体_GB2312" w:cs="Times New Roman"/>
          <w:b/>
          <w:sz w:val="32"/>
        </w:rPr>
        <w:t>关于博时招商蛇口产业园封闭式基础设施证券投资基金</w:t>
      </w:r>
      <w:r>
        <w:rPr>
          <w:rFonts w:hint="eastAsia" w:ascii="Times New Roman" w:hAnsi="Times New Roman" w:eastAsia="楷体_GB2312" w:cs="Times New Roman"/>
          <w:b/>
          <w:sz w:val="32"/>
          <w:lang w:eastAsia="zh-CN"/>
        </w:rPr>
        <w:t>基金</w:t>
      </w:r>
      <w:r>
        <w:rPr>
          <w:rFonts w:hint="eastAsia" w:ascii="楷体" w:hAnsi="楷体" w:eastAsia="楷体"/>
          <w:b/>
          <w:sz w:val="32"/>
          <w:szCs w:val="32"/>
        </w:rPr>
        <w:t>份额解除限售的</w:t>
      </w:r>
      <w:r>
        <w:rPr>
          <w:rFonts w:hint="eastAsia" w:ascii="楷体" w:hAnsi="楷体" w:eastAsia="楷体"/>
          <w:b/>
          <w:sz w:val="32"/>
          <w:szCs w:val="32"/>
          <w:lang w:val="en-US" w:eastAsia="zh-CN"/>
        </w:rPr>
        <w:t>提示性</w:t>
      </w:r>
      <w:r>
        <w:rPr>
          <w:rFonts w:hint="eastAsia" w:ascii="楷体" w:hAnsi="楷体" w:eastAsia="楷体"/>
          <w:b/>
          <w:sz w:val="32"/>
          <w:szCs w:val="32"/>
        </w:rPr>
        <w:t>公告</w:t>
      </w:r>
    </w:p>
    <w:p w14:paraId="50CC3A0E">
      <w:pPr>
        <w:pStyle w:val="7"/>
        <w:snapToGrid w:val="0"/>
        <w:spacing w:before="0" w:beforeAutospacing="0" w:after="0" w:afterAutospacing="0" w:line="240" w:lineRule="auto"/>
        <w:ind w:firstLine="482"/>
        <w:jc w:val="center"/>
        <w:rPr>
          <w:rFonts w:ascii="Times New Roman" w:hAnsi="Times New Roman" w:eastAsia="楷体_GB2312" w:cs="Times New Roman"/>
          <w:b/>
        </w:rPr>
      </w:pPr>
    </w:p>
    <w:p w14:paraId="0458E542">
      <w:pPr>
        <w:pStyle w:val="7"/>
        <w:snapToGrid w:val="0"/>
        <w:spacing w:before="0" w:beforeAutospacing="0" w:after="0" w:afterAutospacing="0" w:line="240" w:lineRule="auto"/>
        <w:ind w:firstLine="482"/>
        <w:jc w:val="center"/>
        <w:rPr>
          <w:rFonts w:ascii="Times New Roman" w:hAnsi="Times New Roman" w:eastAsia="楷体_GB2312" w:cs="Times New Roman"/>
          <w:b/>
        </w:rPr>
      </w:pPr>
    </w:p>
    <w:p w14:paraId="0406FEEE">
      <w:pPr>
        <w:pStyle w:val="7"/>
        <w:snapToGrid w:val="0"/>
        <w:spacing w:before="0" w:beforeAutospacing="0" w:after="0" w:afterAutospacing="0" w:line="240" w:lineRule="auto"/>
        <w:ind w:firstLine="482"/>
        <w:jc w:val="both"/>
        <w:rPr>
          <w:rFonts w:ascii="Times New Roman" w:hAnsi="Times New Roman" w:eastAsia="楷体_GB2312" w:cs="Times New Roman"/>
          <w:b/>
        </w:rPr>
      </w:pPr>
      <w:r>
        <w:rPr>
          <w:rFonts w:hint="default" w:ascii="Times New Roman" w:hAnsi="Times New Roman" w:eastAsia="楷体_GB2312" w:cs="Times New Roman"/>
          <w:b/>
        </w:rPr>
        <w:t>一、公募REITs基本信息</w:t>
      </w:r>
    </w:p>
    <w:tbl>
      <w:tblPr>
        <w:tblStyle w:val="9"/>
        <w:tblW w:w="0" w:type="auto"/>
        <w:tblInd w:w="39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769"/>
        <w:gridCol w:w="5135"/>
      </w:tblGrid>
      <w:tr w14:paraId="2FD65AE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9" w:hRule="atLeast"/>
        </w:trPr>
        <w:tc>
          <w:tcPr>
            <w:tcW w:w="2769" w:type="dxa"/>
            <w:vAlign w:val="center"/>
          </w:tcPr>
          <w:p w14:paraId="453AB329">
            <w:pPr>
              <w:pStyle w:val="7"/>
              <w:snapToGrid w:val="0"/>
              <w:spacing w:before="0" w:beforeAutospacing="0" w:after="0" w:afterAutospacing="0" w:line="240" w:lineRule="auto"/>
              <w:ind w:firstLine="0" w:firstLineChars="0"/>
              <w:jc w:val="both"/>
              <w:rPr>
                <w:rFonts w:ascii="Times New Roman" w:hAnsi="Times New Roman" w:eastAsia="楷体_GB2312" w:cs="Times New Roman"/>
              </w:rPr>
            </w:pPr>
            <w:r>
              <w:rPr>
                <w:rFonts w:hint="default" w:ascii="Times New Roman" w:hAnsi="Times New Roman" w:eastAsia="楷体_GB2312" w:cs="Times New Roman"/>
              </w:rPr>
              <w:t>公募REITs名称</w:t>
            </w:r>
          </w:p>
        </w:tc>
        <w:tc>
          <w:tcPr>
            <w:tcW w:w="5135" w:type="dxa"/>
          </w:tcPr>
          <w:p w14:paraId="6509940F">
            <w:pPr>
              <w:pStyle w:val="7"/>
              <w:snapToGrid w:val="0"/>
              <w:spacing w:before="0" w:beforeAutospacing="0" w:after="0" w:afterAutospacing="0" w:line="240" w:lineRule="auto"/>
              <w:ind w:firstLine="0" w:firstLineChars="0"/>
              <w:jc w:val="both"/>
              <w:rPr>
                <w:rFonts w:ascii="Times New Roman" w:hAnsi="Times New Roman" w:eastAsia="楷体_GB2312" w:cs="Times New Roman"/>
              </w:rPr>
            </w:pPr>
            <w:r>
              <w:rPr>
                <w:rFonts w:hint="default" w:ascii="Times New Roman" w:hAnsi="Times New Roman" w:eastAsia="楷体_GB2312" w:cs="Times New Roman"/>
              </w:rPr>
              <w:t>博时招商蛇口产业园封闭式基础设施证券投资基金</w:t>
            </w:r>
          </w:p>
        </w:tc>
      </w:tr>
      <w:tr w14:paraId="14F694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9" w:hRule="atLeast"/>
        </w:trPr>
        <w:tc>
          <w:tcPr>
            <w:tcW w:w="2769" w:type="dxa"/>
            <w:vAlign w:val="center"/>
          </w:tcPr>
          <w:p w14:paraId="02F1EADE">
            <w:pPr>
              <w:pStyle w:val="7"/>
              <w:snapToGrid w:val="0"/>
              <w:spacing w:before="0" w:beforeAutospacing="0" w:after="0" w:afterAutospacing="0" w:line="240" w:lineRule="auto"/>
              <w:ind w:firstLine="0" w:firstLineChars="0"/>
              <w:jc w:val="both"/>
              <w:rPr>
                <w:rFonts w:ascii="Times New Roman" w:hAnsi="Times New Roman" w:eastAsia="楷体_GB2312" w:cs="Times New Roman"/>
              </w:rPr>
            </w:pPr>
            <w:r>
              <w:rPr>
                <w:rFonts w:hint="default" w:ascii="Times New Roman" w:hAnsi="Times New Roman" w:eastAsia="楷体_GB2312" w:cs="Times New Roman"/>
              </w:rPr>
              <w:t>公募REITs简称</w:t>
            </w:r>
          </w:p>
        </w:tc>
        <w:tc>
          <w:tcPr>
            <w:tcW w:w="5135" w:type="dxa"/>
          </w:tcPr>
          <w:p w14:paraId="199291AC">
            <w:pPr>
              <w:pStyle w:val="7"/>
              <w:snapToGrid w:val="0"/>
              <w:spacing w:before="0" w:beforeAutospacing="0" w:after="0" w:afterAutospacing="0" w:line="240" w:lineRule="auto"/>
              <w:ind w:firstLine="0" w:firstLineChars="0"/>
              <w:jc w:val="both"/>
              <w:rPr>
                <w:rFonts w:ascii="Times New Roman" w:hAnsi="Times New Roman" w:eastAsia="楷体_GB2312" w:cs="Times New Roman"/>
              </w:rPr>
            </w:pPr>
            <w:r>
              <w:rPr>
                <w:rFonts w:hint="default" w:ascii="Times New Roman" w:hAnsi="Times New Roman" w:eastAsia="楷体_GB2312" w:cs="Times New Roman"/>
              </w:rPr>
              <w:t>博时蛇口产园REIT</w:t>
            </w:r>
          </w:p>
        </w:tc>
      </w:tr>
      <w:tr w14:paraId="29A51BD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1" w:hRule="atLeast"/>
        </w:trPr>
        <w:tc>
          <w:tcPr>
            <w:tcW w:w="2769" w:type="dxa"/>
            <w:vAlign w:val="center"/>
          </w:tcPr>
          <w:p w14:paraId="01D4BB81">
            <w:pPr>
              <w:pStyle w:val="7"/>
              <w:snapToGrid w:val="0"/>
              <w:spacing w:before="0" w:beforeAutospacing="0" w:after="0" w:afterAutospacing="0" w:line="240" w:lineRule="auto"/>
              <w:ind w:firstLine="0" w:firstLineChars="0"/>
              <w:jc w:val="both"/>
              <w:rPr>
                <w:rFonts w:ascii="Times New Roman" w:hAnsi="Times New Roman" w:eastAsia="楷体_GB2312" w:cs="Times New Roman"/>
              </w:rPr>
            </w:pPr>
            <w:r>
              <w:rPr>
                <w:rFonts w:hint="default" w:ascii="Times New Roman" w:hAnsi="Times New Roman" w:eastAsia="楷体_GB2312" w:cs="Times New Roman"/>
              </w:rPr>
              <w:t>公募REITs代码</w:t>
            </w:r>
          </w:p>
        </w:tc>
        <w:tc>
          <w:tcPr>
            <w:tcW w:w="5135" w:type="dxa"/>
          </w:tcPr>
          <w:p w14:paraId="0A2E39D5">
            <w:pPr>
              <w:pStyle w:val="7"/>
              <w:snapToGrid w:val="0"/>
              <w:spacing w:before="0" w:beforeAutospacing="0" w:after="0" w:afterAutospacing="0" w:line="240" w:lineRule="auto"/>
              <w:ind w:firstLine="0" w:firstLineChars="0"/>
              <w:jc w:val="both"/>
              <w:rPr>
                <w:rFonts w:ascii="Times New Roman" w:hAnsi="Times New Roman" w:eastAsia="楷体_GB2312" w:cs="Times New Roman"/>
              </w:rPr>
            </w:pPr>
            <w:r>
              <w:rPr>
                <w:rFonts w:hint="default" w:ascii="Times New Roman" w:hAnsi="Times New Roman" w:eastAsia="楷体_GB2312" w:cs="Times New Roman"/>
              </w:rPr>
              <w:t>180101</w:t>
            </w:r>
          </w:p>
        </w:tc>
      </w:tr>
      <w:tr w14:paraId="46E2629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1" w:hRule="atLeast"/>
        </w:trPr>
        <w:tc>
          <w:tcPr>
            <w:tcW w:w="2769" w:type="dxa"/>
            <w:vAlign w:val="center"/>
          </w:tcPr>
          <w:p w14:paraId="10580DB5">
            <w:pPr>
              <w:pStyle w:val="7"/>
              <w:snapToGrid w:val="0"/>
              <w:spacing w:before="0" w:beforeAutospacing="0" w:after="0" w:afterAutospacing="0" w:line="240" w:lineRule="auto"/>
              <w:ind w:firstLine="0" w:firstLineChars="0"/>
              <w:jc w:val="both"/>
              <w:rPr>
                <w:rFonts w:ascii="Times New Roman" w:hAnsi="Times New Roman" w:eastAsia="楷体_GB2312" w:cs="Times New Roman"/>
              </w:rPr>
            </w:pPr>
            <w:r>
              <w:rPr>
                <w:rFonts w:hint="default" w:ascii="Times New Roman" w:hAnsi="Times New Roman" w:eastAsia="楷体_GB2312" w:cs="Times New Roman"/>
              </w:rPr>
              <w:t>公募REITs合同生效日</w:t>
            </w:r>
          </w:p>
        </w:tc>
        <w:tc>
          <w:tcPr>
            <w:tcW w:w="5135" w:type="dxa"/>
          </w:tcPr>
          <w:p w14:paraId="3B5A93CA">
            <w:pPr>
              <w:pStyle w:val="7"/>
              <w:snapToGrid w:val="0"/>
              <w:spacing w:before="0" w:beforeAutospacing="0" w:after="0" w:afterAutospacing="0" w:line="240" w:lineRule="auto"/>
              <w:ind w:firstLine="0" w:firstLineChars="0"/>
              <w:jc w:val="both"/>
              <w:rPr>
                <w:rFonts w:ascii="Times New Roman" w:hAnsi="Times New Roman" w:eastAsia="楷体_GB2312" w:cs="Times New Roman"/>
              </w:rPr>
            </w:pPr>
            <w:r>
              <w:rPr>
                <w:rFonts w:hint="default" w:ascii="Times New Roman" w:hAnsi="Times New Roman" w:eastAsia="楷体_GB2312" w:cs="Times New Roman"/>
              </w:rPr>
              <w:t>2021年6月7日</w:t>
            </w:r>
          </w:p>
        </w:tc>
      </w:tr>
      <w:tr w14:paraId="031E3BF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769" w:type="dxa"/>
            <w:vAlign w:val="center"/>
          </w:tcPr>
          <w:p w14:paraId="0729F331">
            <w:pPr>
              <w:pStyle w:val="7"/>
              <w:snapToGrid w:val="0"/>
              <w:spacing w:before="0" w:beforeAutospacing="0" w:after="0" w:afterAutospacing="0" w:line="240" w:lineRule="auto"/>
              <w:ind w:firstLine="0" w:firstLineChars="0"/>
              <w:jc w:val="both"/>
              <w:rPr>
                <w:rFonts w:ascii="Times New Roman" w:hAnsi="Times New Roman" w:eastAsia="楷体_GB2312" w:cs="Times New Roman"/>
              </w:rPr>
            </w:pPr>
            <w:r>
              <w:rPr>
                <w:rFonts w:hint="default" w:ascii="Times New Roman" w:hAnsi="Times New Roman" w:eastAsia="楷体_GB2312" w:cs="Times New Roman"/>
              </w:rPr>
              <w:t>基金管理人名称</w:t>
            </w:r>
          </w:p>
        </w:tc>
        <w:tc>
          <w:tcPr>
            <w:tcW w:w="5135" w:type="dxa"/>
          </w:tcPr>
          <w:p w14:paraId="4EBF513E">
            <w:pPr>
              <w:pStyle w:val="7"/>
              <w:snapToGrid w:val="0"/>
              <w:spacing w:before="0" w:beforeAutospacing="0" w:after="0" w:afterAutospacing="0" w:line="240" w:lineRule="auto"/>
              <w:ind w:firstLine="0" w:firstLineChars="0"/>
              <w:jc w:val="both"/>
              <w:rPr>
                <w:rFonts w:ascii="Times New Roman" w:hAnsi="Times New Roman" w:eastAsia="楷体_GB2312" w:cs="Times New Roman"/>
              </w:rPr>
            </w:pPr>
            <w:r>
              <w:rPr>
                <w:rFonts w:hint="default" w:ascii="Times New Roman" w:hAnsi="Times New Roman" w:eastAsia="楷体_GB2312" w:cs="Times New Roman"/>
              </w:rPr>
              <w:t>博时基金管理有限公司</w:t>
            </w:r>
          </w:p>
        </w:tc>
      </w:tr>
      <w:tr w14:paraId="7C39274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8" w:hRule="atLeast"/>
        </w:trPr>
        <w:tc>
          <w:tcPr>
            <w:tcW w:w="2769" w:type="dxa"/>
            <w:vAlign w:val="center"/>
          </w:tcPr>
          <w:p w14:paraId="32EDDDD2">
            <w:pPr>
              <w:pStyle w:val="7"/>
              <w:snapToGrid w:val="0"/>
              <w:spacing w:before="0" w:beforeAutospacing="0" w:after="0" w:afterAutospacing="0" w:line="240" w:lineRule="auto"/>
              <w:ind w:firstLine="0" w:firstLineChars="0"/>
              <w:jc w:val="both"/>
              <w:rPr>
                <w:rFonts w:ascii="Times New Roman" w:hAnsi="Times New Roman" w:eastAsia="楷体_GB2312" w:cs="Times New Roman"/>
              </w:rPr>
            </w:pPr>
            <w:r>
              <w:rPr>
                <w:rFonts w:hint="default" w:ascii="Times New Roman" w:hAnsi="Times New Roman" w:eastAsia="楷体_GB2312" w:cs="Times New Roman"/>
              </w:rPr>
              <w:t>基金托管人名称</w:t>
            </w:r>
          </w:p>
        </w:tc>
        <w:tc>
          <w:tcPr>
            <w:tcW w:w="5135" w:type="dxa"/>
          </w:tcPr>
          <w:p w14:paraId="1E9BF313">
            <w:pPr>
              <w:pStyle w:val="7"/>
              <w:snapToGrid w:val="0"/>
              <w:spacing w:before="0" w:beforeAutospacing="0" w:after="0" w:afterAutospacing="0" w:line="240" w:lineRule="auto"/>
              <w:ind w:firstLine="0" w:firstLineChars="0"/>
              <w:jc w:val="both"/>
              <w:rPr>
                <w:rFonts w:ascii="Times New Roman" w:hAnsi="Times New Roman" w:eastAsia="楷体_GB2312" w:cs="Times New Roman"/>
              </w:rPr>
            </w:pPr>
            <w:r>
              <w:rPr>
                <w:rFonts w:hint="default" w:ascii="Times New Roman" w:hAnsi="Times New Roman" w:eastAsia="楷体_GB2312" w:cs="Times New Roman"/>
              </w:rPr>
              <w:t>招商银行股份有限公司</w:t>
            </w:r>
          </w:p>
        </w:tc>
      </w:tr>
      <w:tr w14:paraId="0DDAAC3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2769" w:type="dxa"/>
            <w:vAlign w:val="center"/>
          </w:tcPr>
          <w:p w14:paraId="6C80C491">
            <w:pPr>
              <w:pStyle w:val="7"/>
              <w:snapToGrid w:val="0"/>
              <w:spacing w:before="0" w:beforeAutospacing="0" w:after="0" w:afterAutospacing="0" w:line="240" w:lineRule="auto"/>
              <w:ind w:firstLine="0" w:firstLineChars="0"/>
              <w:jc w:val="both"/>
              <w:rPr>
                <w:rFonts w:ascii="Times New Roman" w:hAnsi="Times New Roman" w:eastAsia="楷体_GB2312" w:cs="Times New Roman"/>
              </w:rPr>
            </w:pPr>
            <w:r>
              <w:rPr>
                <w:rFonts w:hint="default" w:ascii="Times New Roman" w:hAnsi="Times New Roman" w:eastAsia="楷体_GB2312" w:cs="Times New Roman"/>
              </w:rPr>
              <w:t>公告依据</w:t>
            </w:r>
          </w:p>
        </w:tc>
        <w:tc>
          <w:tcPr>
            <w:tcW w:w="5135" w:type="dxa"/>
          </w:tcPr>
          <w:p w14:paraId="6A8CAF3F">
            <w:pPr>
              <w:pStyle w:val="7"/>
              <w:snapToGrid w:val="0"/>
              <w:spacing w:before="0" w:beforeAutospacing="0" w:after="0" w:afterAutospacing="0" w:line="240" w:lineRule="auto"/>
              <w:ind w:firstLine="0" w:firstLineChars="0"/>
              <w:jc w:val="both"/>
              <w:rPr>
                <w:rFonts w:hint="default" w:ascii="Times New Roman" w:hAnsi="Times New Roman" w:eastAsia="楷体_GB2312" w:cs="Times New Roman"/>
                <w:lang w:val="en-US" w:eastAsia="zh-CN"/>
              </w:rPr>
            </w:pPr>
            <w:r>
              <w:rPr>
                <w:rFonts w:hint="eastAsia" w:ascii="Times New Roman" w:hAnsi="Times New Roman" w:eastAsia="楷体_GB2312" w:cs="Times New Roman"/>
              </w:rPr>
              <w:t>《中华人民共和国证券投资基金法》《公开募集基础设施证券投资基金指引（试行）》《公开募集证券投资基金信息披露管理办法》《</w:t>
            </w:r>
            <w:r>
              <w:rPr>
                <w:rFonts w:hint="eastAsia" w:ascii="Times New Roman" w:hAnsi="Times New Roman" w:eastAsia="楷体_GB2312" w:cs="Times New Roman"/>
                <w:lang w:val="en-US" w:eastAsia="zh-CN"/>
              </w:rPr>
              <w:t>深圳</w:t>
            </w:r>
            <w:r>
              <w:rPr>
                <w:rFonts w:hint="eastAsia" w:ascii="Times New Roman" w:hAnsi="Times New Roman" w:eastAsia="楷体_GB2312" w:cs="Times New Roman"/>
              </w:rPr>
              <w:t>证券交易所公开募集不动产投资信托基金业务办法（试行）》《</w:t>
            </w:r>
            <w:r>
              <w:rPr>
                <w:rFonts w:hint="eastAsia" w:ascii="Times New Roman" w:hAnsi="Times New Roman" w:eastAsia="楷体_GB2312" w:cs="Times New Roman"/>
                <w:lang w:val="en-US" w:eastAsia="zh-CN"/>
              </w:rPr>
              <w:t>深圳</w:t>
            </w:r>
            <w:r>
              <w:rPr>
                <w:rFonts w:hint="eastAsia" w:ascii="Times New Roman" w:hAnsi="Times New Roman" w:eastAsia="楷体_GB2312" w:cs="Times New Roman"/>
              </w:rPr>
              <w:t>证券交易所公开募集不动产投资信托基金</w:t>
            </w:r>
            <w:r>
              <w:rPr>
                <w:rFonts w:hint="eastAsia" w:ascii="Times New Roman" w:hAnsi="Times New Roman" w:eastAsia="楷体_GB2312" w:cs="Times New Roman"/>
                <w:lang w:val="en-US" w:eastAsia="zh-CN"/>
              </w:rPr>
              <w:t>业务</w:t>
            </w:r>
            <w:r>
              <w:rPr>
                <w:rFonts w:hint="eastAsia" w:ascii="Times New Roman" w:hAnsi="Times New Roman" w:eastAsia="楷体_GB2312" w:cs="Times New Roman"/>
              </w:rPr>
              <w:t>指引第5号——临时报告（试行）》《</w:t>
            </w:r>
            <w:r>
              <w:rPr>
                <w:rFonts w:hint="eastAsia" w:ascii="Times New Roman" w:hAnsi="Times New Roman" w:eastAsia="楷体_GB2312" w:cs="Times New Roman"/>
                <w:lang w:val="en-US" w:eastAsia="zh-CN"/>
              </w:rPr>
              <w:t>深圳</w:t>
            </w:r>
            <w:r>
              <w:rPr>
                <w:rFonts w:hint="eastAsia" w:ascii="Times New Roman" w:hAnsi="Times New Roman" w:eastAsia="楷体_GB2312" w:cs="Times New Roman"/>
              </w:rPr>
              <w:t>证券交易所公开募集不动产投资信托基金业务指南第</w:t>
            </w:r>
            <w:r>
              <w:rPr>
                <w:rFonts w:hint="eastAsia" w:ascii="Times New Roman" w:hAnsi="Times New Roman" w:eastAsia="楷体_GB2312" w:cs="Times New Roman"/>
                <w:lang w:val="en-US" w:eastAsia="zh-CN"/>
              </w:rPr>
              <w:t>4</w:t>
            </w:r>
            <w:r>
              <w:rPr>
                <w:rFonts w:hint="eastAsia" w:ascii="Times New Roman" w:hAnsi="Times New Roman" w:eastAsia="楷体_GB2312" w:cs="Times New Roman"/>
              </w:rPr>
              <w:t>号——存续</w:t>
            </w:r>
            <w:r>
              <w:rPr>
                <w:rFonts w:hint="eastAsia" w:ascii="Times New Roman" w:hAnsi="Times New Roman" w:eastAsia="楷体_GB2312" w:cs="Times New Roman"/>
                <w:lang w:val="en-US" w:eastAsia="zh-CN"/>
              </w:rPr>
              <w:t>期</w:t>
            </w:r>
            <w:r>
              <w:rPr>
                <w:rFonts w:hint="eastAsia" w:ascii="Times New Roman" w:hAnsi="Times New Roman" w:eastAsia="楷体_GB2312" w:cs="Times New Roman"/>
              </w:rPr>
              <w:t>业务</w:t>
            </w:r>
            <w:r>
              <w:rPr>
                <w:rFonts w:hint="eastAsia" w:ascii="Times New Roman" w:hAnsi="Times New Roman" w:eastAsia="楷体_GB2312" w:cs="Times New Roman"/>
                <w:lang w:val="en-US" w:eastAsia="zh-CN"/>
              </w:rPr>
              <w:t>办理</w:t>
            </w:r>
            <w:r>
              <w:rPr>
                <w:rFonts w:hint="eastAsia" w:ascii="Times New Roman" w:hAnsi="Times New Roman" w:eastAsia="楷体_GB2312" w:cs="Times New Roman"/>
              </w:rPr>
              <w:t>》等有关规定以及《博时招商蛇口产业园封闭式基础设施证券投资基金基金合同》、《博时招商蛇口产业园封闭式基础设施证券投资基金招募说明书》</w:t>
            </w:r>
            <w:r>
              <w:rPr>
                <w:rFonts w:hint="eastAsia" w:ascii="Times New Roman" w:hAnsi="Times New Roman" w:eastAsia="楷体_GB2312" w:cs="Times New Roman"/>
                <w:lang w:val="en-US" w:eastAsia="zh-CN"/>
              </w:rPr>
              <w:t>及其更新等</w:t>
            </w:r>
          </w:p>
        </w:tc>
      </w:tr>
      <w:tr w14:paraId="5E376B7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2769" w:type="dxa"/>
            <w:vAlign w:val="center"/>
          </w:tcPr>
          <w:p w14:paraId="02D219C8">
            <w:pPr>
              <w:pStyle w:val="7"/>
              <w:snapToGrid w:val="0"/>
              <w:spacing w:before="0" w:beforeAutospacing="0" w:after="0" w:afterAutospacing="0" w:line="240" w:lineRule="auto"/>
              <w:ind w:firstLine="0" w:firstLineChars="0"/>
              <w:jc w:val="both"/>
              <w:rPr>
                <w:rFonts w:ascii="Times New Roman" w:hAnsi="Times New Roman" w:eastAsia="楷体_GB2312" w:cs="Times New Roman"/>
              </w:rPr>
            </w:pPr>
            <w:r>
              <w:rPr>
                <w:rFonts w:hint="default" w:ascii="Times New Roman" w:hAnsi="Times New Roman" w:eastAsia="楷体_GB2312" w:cs="Times New Roman"/>
              </w:rPr>
              <w:t>业务类型</w:t>
            </w:r>
          </w:p>
        </w:tc>
        <w:tc>
          <w:tcPr>
            <w:tcW w:w="5135" w:type="dxa"/>
          </w:tcPr>
          <w:p w14:paraId="56ABED22">
            <w:pPr>
              <w:pStyle w:val="7"/>
              <w:snapToGrid w:val="0"/>
              <w:spacing w:before="0" w:beforeAutospacing="0" w:after="0" w:afterAutospacing="0" w:line="240" w:lineRule="auto"/>
              <w:ind w:firstLine="0" w:firstLineChars="0"/>
              <w:jc w:val="both"/>
              <w:rPr>
                <w:rFonts w:ascii="Times New Roman" w:hAnsi="Times New Roman" w:eastAsia="楷体_GB2312" w:cs="Times New Roman"/>
              </w:rPr>
            </w:pPr>
            <w:r>
              <w:rPr>
                <w:rFonts w:hint="default" w:ascii="Times New Roman" w:hAnsi="Times New Roman" w:eastAsia="楷体_GB2312" w:cs="Times New Roman"/>
              </w:rPr>
              <w:t>场内解除限售</w:t>
            </w:r>
          </w:p>
        </w:tc>
      </w:tr>
      <w:tr w14:paraId="55798BF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2769" w:type="dxa"/>
          </w:tcPr>
          <w:p w14:paraId="7C71F78D">
            <w:pPr>
              <w:pStyle w:val="7"/>
              <w:snapToGrid w:val="0"/>
              <w:spacing w:before="0" w:beforeAutospacing="0" w:after="0" w:afterAutospacing="0" w:line="240" w:lineRule="auto"/>
              <w:ind w:firstLine="0" w:firstLineChars="0"/>
              <w:jc w:val="both"/>
              <w:rPr>
                <w:rFonts w:ascii="Times New Roman" w:hAnsi="Times New Roman" w:eastAsia="楷体_GB2312" w:cs="Times New Roman"/>
              </w:rPr>
            </w:pPr>
            <w:r>
              <w:rPr>
                <w:rFonts w:hint="default" w:ascii="Times New Roman" w:hAnsi="Times New Roman" w:eastAsia="楷体_GB2312" w:cs="Times New Roman"/>
              </w:rPr>
              <w:t>解除限售生效日</w:t>
            </w:r>
          </w:p>
        </w:tc>
        <w:tc>
          <w:tcPr>
            <w:tcW w:w="5135" w:type="dxa"/>
          </w:tcPr>
          <w:p w14:paraId="79BDC113">
            <w:pPr>
              <w:pStyle w:val="7"/>
              <w:snapToGrid w:val="0"/>
              <w:spacing w:before="0" w:beforeAutospacing="0" w:after="0" w:afterAutospacing="0" w:line="240" w:lineRule="auto"/>
              <w:ind w:firstLine="0" w:firstLineChars="0"/>
              <w:jc w:val="both"/>
              <w:rPr>
                <w:rFonts w:hint="default" w:ascii="Times New Roman" w:hAnsi="Times New Roman" w:eastAsia="楷体_GB2312" w:cs="Times New Roman"/>
                <w:lang w:val="en-US" w:eastAsia="zh-CN"/>
              </w:rPr>
            </w:pPr>
            <w:r>
              <w:rPr>
                <w:rFonts w:hint="eastAsia" w:ascii="Times New Roman" w:hAnsi="Times New Roman" w:eastAsia="楷体_GB2312" w:cs="Times New Roman"/>
                <w:lang w:val="en-US" w:eastAsia="zh-CN"/>
              </w:rPr>
              <w:t>2026年6月16日</w:t>
            </w:r>
          </w:p>
        </w:tc>
      </w:tr>
    </w:tbl>
    <w:p w14:paraId="3C9F89E2">
      <w:pPr>
        <w:pStyle w:val="7"/>
        <w:snapToGrid w:val="0"/>
        <w:spacing w:before="156" w:beforeLines="50" w:beforeAutospacing="0" w:after="0" w:afterAutospacing="0" w:line="240" w:lineRule="auto"/>
        <w:ind w:firstLine="482"/>
        <w:jc w:val="both"/>
        <w:rPr>
          <w:rFonts w:ascii="Times New Roman" w:hAnsi="Times New Roman" w:eastAsia="楷体_GB2312" w:cs="Times New Roman"/>
          <w:b/>
        </w:rPr>
      </w:pPr>
    </w:p>
    <w:p w14:paraId="046C4439">
      <w:pPr>
        <w:pStyle w:val="7"/>
        <w:snapToGrid w:val="0"/>
        <w:spacing w:before="156" w:beforeLines="50" w:beforeAutospacing="0" w:after="0" w:afterAutospacing="0" w:line="240" w:lineRule="auto"/>
        <w:ind w:firstLine="482"/>
        <w:jc w:val="both"/>
        <w:rPr>
          <w:rFonts w:ascii="Times New Roman" w:hAnsi="Times New Roman" w:eastAsia="楷体_GB2312" w:cs="Times New Roman"/>
          <w:b/>
        </w:rPr>
      </w:pPr>
      <w:r>
        <w:rPr>
          <w:rFonts w:hint="default" w:ascii="Times New Roman" w:hAnsi="Times New Roman" w:eastAsia="楷体_GB2312" w:cs="Times New Roman"/>
          <w:b/>
        </w:rPr>
        <w:t>二、解除限售份额基本情况</w:t>
      </w:r>
    </w:p>
    <w:p w14:paraId="31607A69">
      <w:pPr>
        <w:pStyle w:val="7"/>
        <w:snapToGrid w:val="0"/>
        <w:spacing w:before="156" w:beforeLines="50" w:line="240" w:lineRule="auto"/>
        <w:ind w:firstLine="482"/>
        <w:jc w:val="both"/>
        <w:rPr>
          <w:rFonts w:hint="eastAsia" w:ascii="Times New Roman" w:hAnsi="Times New Roman" w:eastAsia="楷体_GB2312" w:cs="Times New Roman"/>
        </w:rPr>
      </w:pPr>
      <w:r>
        <w:rPr>
          <w:rFonts w:hint="eastAsia" w:ascii="Times New Roman" w:hAnsi="Times New Roman" w:eastAsia="楷体_GB2312" w:cs="Times New Roman"/>
          <w:bCs/>
        </w:rPr>
        <w:t>截至202</w:t>
      </w:r>
      <w:r>
        <w:rPr>
          <w:rFonts w:hint="eastAsia" w:ascii="Times New Roman" w:hAnsi="Times New Roman" w:eastAsia="楷体_GB2312" w:cs="Times New Roman"/>
          <w:bCs/>
          <w:lang w:val="en-US" w:eastAsia="zh-CN"/>
        </w:rPr>
        <w:t>6</w:t>
      </w:r>
      <w:r>
        <w:rPr>
          <w:rFonts w:hint="eastAsia" w:ascii="Times New Roman" w:hAnsi="Times New Roman" w:eastAsia="楷体_GB2312" w:cs="Times New Roman"/>
          <w:bCs/>
        </w:rPr>
        <w:t>年</w:t>
      </w:r>
      <w:r>
        <w:rPr>
          <w:rFonts w:hint="eastAsia" w:ascii="Times New Roman" w:hAnsi="Times New Roman" w:eastAsia="楷体_GB2312" w:cs="Times New Roman"/>
          <w:bCs/>
          <w:lang w:val="en-US" w:eastAsia="zh-CN"/>
        </w:rPr>
        <w:t>6</w:t>
      </w:r>
      <w:r>
        <w:rPr>
          <w:rFonts w:hint="eastAsia" w:ascii="Times New Roman" w:hAnsi="Times New Roman" w:eastAsia="楷体_GB2312" w:cs="Times New Roman"/>
          <w:bCs/>
        </w:rPr>
        <w:t>月</w:t>
      </w:r>
      <w:r>
        <w:rPr>
          <w:rFonts w:hint="eastAsia" w:ascii="Times New Roman" w:hAnsi="Times New Roman" w:eastAsia="楷体_GB2312" w:cs="Times New Roman"/>
          <w:bCs/>
          <w:lang w:val="en-US" w:eastAsia="zh-CN"/>
        </w:rPr>
        <w:t>9</w:t>
      </w:r>
      <w:r>
        <w:rPr>
          <w:rFonts w:hint="eastAsia" w:ascii="Times New Roman" w:hAnsi="Times New Roman" w:eastAsia="楷体_GB2312" w:cs="Times New Roman"/>
          <w:bCs/>
        </w:rPr>
        <w:t>日，</w:t>
      </w:r>
      <w:r>
        <w:rPr>
          <w:rFonts w:hint="eastAsia" w:ascii="Times New Roman" w:hAnsi="Times New Roman" w:eastAsia="楷体_GB2312" w:cs="Times New Roman"/>
        </w:rPr>
        <w:t>博时招商蛇口产业园封闭式基础设施证券投资基金（以下简称“博时蛇口产园REIT”）场内及场外限售份额基本情况如下：</w:t>
      </w:r>
    </w:p>
    <w:p w14:paraId="2F70972D">
      <w:pPr>
        <w:pStyle w:val="7"/>
        <w:snapToGrid w:val="0"/>
        <w:spacing w:before="156" w:beforeLines="50" w:line="240" w:lineRule="auto"/>
        <w:ind w:firstLine="482"/>
        <w:jc w:val="both"/>
        <w:rPr>
          <w:rFonts w:ascii="Times New Roman" w:hAnsi="Times New Roman" w:eastAsia="楷体_GB2312" w:cs="Times New Roman"/>
          <w:b/>
        </w:rPr>
      </w:pPr>
      <w:r>
        <w:rPr>
          <w:rFonts w:hint="default" w:ascii="Times New Roman" w:hAnsi="Times New Roman" w:eastAsia="楷体_GB2312" w:cs="Times New Roman"/>
          <w:b/>
        </w:rPr>
        <w:t>（一）公募REITs场内份额解除限售</w:t>
      </w:r>
    </w:p>
    <w:p w14:paraId="47B1E4DE">
      <w:pPr>
        <w:pStyle w:val="7"/>
        <w:snapToGrid w:val="0"/>
        <w:spacing w:before="156" w:beforeLines="50" w:beforeAutospacing="0" w:after="0" w:afterAutospacing="0" w:line="240" w:lineRule="auto"/>
        <w:ind w:firstLine="482"/>
        <w:jc w:val="both"/>
        <w:rPr>
          <w:rFonts w:ascii="Times New Roman" w:hAnsi="Times New Roman" w:eastAsia="楷体_GB2312" w:cs="Times New Roman"/>
          <w:b/>
        </w:rPr>
      </w:pPr>
      <w:r>
        <w:rPr>
          <w:rFonts w:hint="default" w:ascii="Times New Roman" w:hAnsi="Times New Roman" w:eastAsia="楷体_GB2312" w:cs="Times New Roman"/>
          <w:b/>
        </w:rPr>
        <w:t>1</w:t>
      </w:r>
      <w:r>
        <w:rPr>
          <w:rFonts w:ascii="Times New Roman" w:hAnsi="Times New Roman" w:eastAsia="楷体_GB2312" w:cs="Times New Roman"/>
          <w:b/>
        </w:rPr>
        <w:t>.</w:t>
      </w:r>
      <w:r>
        <w:rPr>
          <w:rFonts w:hint="default" w:ascii="Times New Roman" w:hAnsi="Times New Roman" w:eastAsia="楷体_GB2312" w:cs="Times New Roman"/>
          <w:b/>
        </w:rPr>
        <w:t>本次解除限售的份额情况：</w:t>
      </w:r>
    </w:p>
    <w:tbl>
      <w:tblPr>
        <w:tblStyle w:val="9"/>
        <w:tblW w:w="9373" w:type="dxa"/>
        <w:tblInd w:w="-397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09"/>
        <w:gridCol w:w="3095"/>
        <w:gridCol w:w="2025"/>
        <w:gridCol w:w="1455"/>
        <w:gridCol w:w="2089"/>
      </w:tblGrid>
      <w:tr w14:paraId="364BB9D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8" w:hRule="atLeast"/>
        </w:trPr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8D8D8" w:themeFill="background1" w:themeFillShade="D9"/>
            <w:vAlign w:val="center"/>
          </w:tcPr>
          <w:p w14:paraId="5BE46ACE">
            <w:pPr>
              <w:snapToGrid w:val="0"/>
              <w:jc w:val="center"/>
              <w:rPr>
                <w:rFonts w:ascii="Times New Roman" w:hAnsi="Times New Roman" w:eastAsia="楷体" w:cs="Times New Roman"/>
                <w:b/>
                <w:sz w:val="24"/>
                <w:szCs w:val="24"/>
              </w:rPr>
            </w:pPr>
            <w:r>
              <w:rPr>
                <w:rFonts w:hint="default" w:ascii="Times New Roman" w:hAnsi="Times New Roman" w:eastAsia="楷体" w:cs="Times New Roman"/>
                <w:b/>
                <w:sz w:val="24"/>
                <w:szCs w:val="24"/>
              </w:rPr>
              <w:t>序号</w:t>
            </w:r>
          </w:p>
        </w:tc>
        <w:tc>
          <w:tcPr>
            <w:tcW w:w="30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8D8D8" w:themeFill="background1" w:themeFillShade="D9"/>
            <w:vAlign w:val="center"/>
          </w:tcPr>
          <w:p w14:paraId="699233C7">
            <w:pPr>
              <w:snapToGrid w:val="0"/>
              <w:jc w:val="center"/>
              <w:rPr>
                <w:rFonts w:ascii="Times New Roman" w:hAnsi="Times New Roman" w:eastAsia="楷体" w:cs="Times New Roman"/>
                <w:b/>
                <w:sz w:val="24"/>
                <w:szCs w:val="24"/>
              </w:rPr>
            </w:pPr>
            <w:r>
              <w:rPr>
                <w:rFonts w:hint="default" w:ascii="Times New Roman" w:hAnsi="Times New Roman" w:eastAsia="楷体" w:cs="Times New Roman"/>
                <w:b/>
                <w:sz w:val="24"/>
                <w:szCs w:val="24"/>
              </w:rPr>
              <w:t>证券账户名称</w:t>
            </w:r>
          </w:p>
        </w:tc>
        <w:tc>
          <w:tcPr>
            <w:tcW w:w="20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8D8D8" w:themeFill="background1" w:themeFillShade="D9"/>
            <w:vAlign w:val="center"/>
          </w:tcPr>
          <w:p w14:paraId="1702EB7D">
            <w:pPr>
              <w:snapToGrid w:val="0"/>
              <w:jc w:val="center"/>
              <w:rPr>
                <w:rFonts w:ascii="Times New Roman" w:hAnsi="Times New Roman" w:eastAsia="楷体" w:cs="Times New Roman"/>
                <w:b/>
                <w:sz w:val="24"/>
                <w:szCs w:val="24"/>
              </w:rPr>
            </w:pPr>
            <w:r>
              <w:rPr>
                <w:rFonts w:hint="default" w:ascii="Times New Roman" w:hAnsi="Times New Roman" w:eastAsia="楷体" w:cs="Times New Roman"/>
                <w:b/>
                <w:sz w:val="24"/>
                <w:szCs w:val="24"/>
              </w:rPr>
              <w:t>限售份额（份）</w:t>
            </w:r>
          </w:p>
        </w:tc>
        <w:tc>
          <w:tcPr>
            <w:tcW w:w="14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8D8D8" w:themeFill="background1" w:themeFillShade="D9"/>
            <w:vAlign w:val="center"/>
          </w:tcPr>
          <w:p w14:paraId="5D1DC939">
            <w:pPr>
              <w:snapToGrid w:val="0"/>
              <w:jc w:val="center"/>
              <w:rPr>
                <w:rFonts w:ascii="Times New Roman" w:hAnsi="Times New Roman" w:eastAsia="楷体" w:cs="Times New Roman"/>
                <w:b/>
                <w:sz w:val="24"/>
                <w:szCs w:val="24"/>
              </w:rPr>
            </w:pPr>
            <w:r>
              <w:rPr>
                <w:rFonts w:hint="default" w:ascii="Times New Roman" w:hAnsi="Times New Roman" w:eastAsia="楷体" w:cs="Times New Roman"/>
                <w:b/>
                <w:sz w:val="24"/>
                <w:szCs w:val="24"/>
              </w:rPr>
              <w:t>限售类型</w:t>
            </w:r>
          </w:p>
        </w:tc>
        <w:tc>
          <w:tcPr>
            <w:tcW w:w="20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8D8D8" w:themeFill="background1" w:themeFillShade="D9"/>
            <w:vAlign w:val="center"/>
          </w:tcPr>
          <w:p w14:paraId="6840102C">
            <w:pPr>
              <w:snapToGrid w:val="0"/>
              <w:jc w:val="center"/>
              <w:rPr>
                <w:rFonts w:ascii="Times New Roman" w:hAnsi="Times New Roman" w:eastAsia="楷体" w:cs="Times New Roman"/>
                <w:b/>
                <w:sz w:val="24"/>
                <w:szCs w:val="24"/>
              </w:rPr>
            </w:pPr>
            <w:r>
              <w:rPr>
                <w:rFonts w:hint="default" w:ascii="Times New Roman" w:hAnsi="Times New Roman" w:eastAsia="楷体" w:cs="Times New Roman"/>
                <w:b/>
                <w:sz w:val="24"/>
                <w:szCs w:val="24"/>
              </w:rPr>
              <w:t>限售期</w:t>
            </w:r>
          </w:p>
        </w:tc>
      </w:tr>
      <w:tr w14:paraId="25B3AB7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9" w:hRule="atLeast"/>
        </w:trPr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75F332C">
            <w:pPr>
              <w:snapToGrid w:val="0"/>
              <w:jc w:val="center"/>
              <w:rPr>
                <w:rFonts w:ascii="Times New Roman" w:hAnsi="Times New Roman" w:eastAsia="楷体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楷体" w:cs="Times New Roman"/>
                <w:sz w:val="24"/>
                <w:szCs w:val="24"/>
              </w:rPr>
              <w:t>1</w:t>
            </w:r>
          </w:p>
        </w:tc>
        <w:tc>
          <w:tcPr>
            <w:tcW w:w="30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80D7E20">
            <w:pPr>
              <w:jc w:val="center"/>
              <w:rPr>
                <w:rFonts w:hint="default" w:ascii="Times New Roman" w:hAnsi="Times New Roman" w:eastAsia="楷体" w:cs="Times New Roman"/>
                <w:color w:val="000000"/>
                <w:sz w:val="24"/>
                <w:szCs w:val="24"/>
                <w:lang w:eastAsia="zh-CN"/>
              </w:rPr>
            </w:pPr>
            <w:r>
              <w:rPr>
                <w:rFonts w:hint="eastAsia" w:ascii="Times New Roman" w:hAnsi="Times New Roman" w:eastAsia="楷体_GB2312" w:cs="Times New Roman"/>
                <w:color w:val="000000"/>
                <w:sz w:val="21"/>
                <w:szCs w:val="21"/>
                <w:lang w:val="en-US" w:eastAsia="zh-CN" w:bidi="ar-SA"/>
              </w:rPr>
              <w:t>招商局光明科技园有限公司</w:t>
            </w:r>
          </w:p>
        </w:tc>
        <w:tc>
          <w:tcPr>
            <w:tcW w:w="20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461B06A">
            <w:pPr>
              <w:jc w:val="center"/>
              <w:rPr>
                <w:rFonts w:hint="default" w:ascii="Times New Roman" w:hAnsi="Times New Roman" w:eastAsia="楷体" w:cs="Times New Roman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楷体_GB2312" w:cs="Times New Roman"/>
                <w:color w:val="000000"/>
                <w:sz w:val="21"/>
                <w:szCs w:val="21"/>
                <w:lang w:val="en-US" w:eastAsia="zh-CN" w:bidi="ar-SA"/>
              </w:rPr>
              <w:t>62,535,703</w:t>
            </w:r>
          </w:p>
        </w:tc>
        <w:tc>
          <w:tcPr>
            <w:tcW w:w="14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3A7BEA7">
            <w:pPr>
              <w:snapToGrid w:val="0"/>
              <w:rPr>
                <w:rFonts w:hint="default" w:ascii="Times New Roman" w:hAnsi="Times New Roman" w:eastAsia="楷体" w:cs="Times New Roman"/>
                <w:sz w:val="24"/>
                <w:szCs w:val="24"/>
                <w:lang w:eastAsia="zh-CN"/>
              </w:rPr>
            </w:pPr>
            <w:r>
              <w:rPr>
                <w:rFonts w:hint="eastAsia" w:eastAsia="楷体_GB2312" w:cs="Times New Roman"/>
                <w:color w:val="000000"/>
                <w:sz w:val="21"/>
                <w:szCs w:val="21"/>
                <w:lang w:val="en-US" w:eastAsia="zh-CN" w:bidi="ar-SA"/>
              </w:rPr>
              <w:t>第一次</w:t>
            </w:r>
            <w:r>
              <w:rPr>
                <w:rFonts w:hint="eastAsia" w:ascii="Times New Roman" w:hAnsi="Times New Roman" w:eastAsia="楷体_GB2312" w:cs="Times New Roman"/>
                <w:color w:val="000000"/>
                <w:sz w:val="21"/>
                <w:szCs w:val="21"/>
                <w:lang w:val="en-US" w:eastAsia="zh-CN" w:bidi="ar-SA"/>
              </w:rPr>
              <w:t>扩募发行原始权益人</w:t>
            </w:r>
            <w:r>
              <w:rPr>
                <w:rFonts w:hint="eastAsia" w:eastAsia="楷体_GB2312" w:cs="Times New Roman"/>
                <w:color w:val="000000"/>
                <w:sz w:val="21"/>
                <w:szCs w:val="21"/>
                <w:lang w:val="en-US" w:eastAsia="zh-CN" w:bidi="ar-SA"/>
              </w:rPr>
              <w:t>战略配售限售</w:t>
            </w:r>
          </w:p>
        </w:tc>
        <w:tc>
          <w:tcPr>
            <w:tcW w:w="20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D8905A3">
            <w:pPr>
              <w:snapToGrid w:val="0"/>
              <w:jc w:val="center"/>
              <w:rPr>
                <w:rFonts w:ascii="Times New Roman" w:hAnsi="Times New Roman" w:eastAsia="楷体" w:cs="Times New Roman"/>
                <w:sz w:val="24"/>
                <w:szCs w:val="24"/>
              </w:rPr>
            </w:pPr>
            <w:r>
              <w:rPr>
                <w:rFonts w:hint="eastAsia" w:ascii="楷体" w:hAnsi="楷体" w:eastAsia="楷体"/>
                <w:sz w:val="21"/>
                <w:szCs w:val="21"/>
                <w:lang w:val="en-US" w:eastAsia="zh-CN"/>
              </w:rPr>
              <w:t>36</w:t>
            </w:r>
            <w:r>
              <w:rPr>
                <w:rFonts w:hint="eastAsia" w:ascii="楷体" w:hAnsi="楷体" w:eastAsia="楷体"/>
                <w:sz w:val="21"/>
                <w:szCs w:val="21"/>
              </w:rPr>
              <w:t>个月</w:t>
            </w:r>
          </w:p>
        </w:tc>
      </w:tr>
    </w:tbl>
    <w:p w14:paraId="47F7A3C6">
      <w:pPr>
        <w:pStyle w:val="7"/>
        <w:snapToGrid w:val="0"/>
        <w:spacing w:before="0" w:beforeAutospacing="0" w:after="0" w:afterAutospacing="0" w:line="240" w:lineRule="auto"/>
        <w:ind w:firstLine="480"/>
        <w:jc w:val="both"/>
        <w:rPr>
          <w:rFonts w:ascii="Times New Roman" w:hAnsi="Times New Roman" w:eastAsia="楷体_GB2312" w:cs="Times New Roman"/>
        </w:rPr>
      </w:pPr>
      <w:r>
        <w:rPr>
          <w:rFonts w:hint="default" w:ascii="Times New Roman" w:hAnsi="Times New Roman" w:eastAsia="楷体_GB2312" w:cs="Times New Roman"/>
        </w:rPr>
        <w:t>注：</w:t>
      </w:r>
      <w:r>
        <w:rPr>
          <w:rFonts w:hint="eastAsia" w:ascii="Times New Roman" w:hAnsi="Times New Roman" w:eastAsia="楷体_GB2312" w:cs="Times New Roman"/>
        </w:rPr>
        <w:t>上述锁定份额自本基金</w:t>
      </w:r>
      <w:r>
        <w:rPr>
          <w:rFonts w:hint="eastAsia" w:ascii="Times New Roman" w:hAnsi="Times New Roman" w:eastAsia="楷体_GB2312" w:cs="Times New Roman"/>
          <w:lang w:eastAsia="zh-CN"/>
        </w:rPr>
        <w:t>第一次扩募</w:t>
      </w:r>
      <w:r>
        <w:rPr>
          <w:rFonts w:hint="eastAsia" w:ascii="Times New Roman" w:hAnsi="Times New Roman" w:eastAsia="楷体_GB2312" w:cs="Times New Roman"/>
        </w:rPr>
        <w:t>份额上市之日（202</w:t>
      </w:r>
      <w:r>
        <w:rPr>
          <w:rFonts w:hint="eastAsia" w:ascii="Times New Roman" w:hAnsi="Times New Roman" w:eastAsia="楷体_GB2312" w:cs="Times New Roman"/>
          <w:lang w:val="en-US" w:eastAsia="zh-CN"/>
        </w:rPr>
        <w:t>3</w:t>
      </w:r>
      <w:r>
        <w:rPr>
          <w:rFonts w:hint="eastAsia" w:ascii="Times New Roman" w:hAnsi="Times New Roman" w:eastAsia="楷体_GB2312" w:cs="Times New Roman"/>
        </w:rPr>
        <w:t>年6月</w:t>
      </w:r>
      <w:r>
        <w:rPr>
          <w:rFonts w:hint="eastAsia" w:ascii="Times New Roman" w:hAnsi="Times New Roman" w:eastAsia="楷体_GB2312" w:cs="Times New Roman"/>
          <w:lang w:val="en-US" w:eastAsia="zh-CN"/>
        </w:rPr>
        <w:t>16</w:t>
      </w:r>
      <w:r>
        <w:rPr>
          <w:rFonts w:hint="eastAsia" w:ascii="Times New Roman" w:hAnsi="Times New Roman" w:eastAsia="楷体_GB2312" w:cs="Times New Roman"/>
        </w:rPr>
        <w:t>日）起计算锁定期。</w:t>
      </w:r>
    </w:p>
    <w:p w14:paraId="18416AAF">
      <w:pPr>
        <w:pStyle w:val="7"/>
        <w:snapToGrid w:val="0"/>
        <w:spacing w:before="0" w:beforeAutospacing="0" w:after="0" w:afterAutospacing="0" w:line="240" w:lineRule="auto"/>
        <w:ind w:firstLine="482"/>
        <w:jc w:val="both"/>
        <w:rPr>
          <w:rFonts w:ascii="Times New Roman" w:hAnsi="Times New Roman" w:eastAsia="楷体_GB2312" w:cs="Times New Roman"/>
          <w:b/>
        </w:rPr>
      </w:pPr>
    </w:p>
    <w:p w14:paraId="4D3AA0AD">
      <w:pPr>
        <w:pStyle w:val="7"/>
        <w:snapToGrid w:val="0"/>
        <w:spacing w:before="0" w:beforeAutospacing="0" w:after="0" w:afterAutospacing="0" w:line="240" w:lineRule="auto"/>
        <w:ind w:firstLine="482"/>
        <w:jc w:val="both"/>
        <w:rPr>
          <w:rFonts w:ascii="Times New Roman" w:hAnsi="Times New Roman" w:eastAsia="楷体_GB2312" w:cs="Times New Roman"/>
          <w:b/>
        </w:rPr>
      </w:pPr>
      <w:r>
        <w:rPr>
          <w:rFonts w:hint="default" w:ascii="Times New Roman" w:hAnsi="Times New Roman" w:eastAsia="楷体_GB2312" w:cs="Times New Roman"/>
          <w:b/>
        </w:rPr>
        <w:t>2</w:t>
      </w:r>
      <w:r>
        <w:rPr>
          <w:rFonts w:ascii="Times New Roman" w:hAnsi="Times New Roman" w:eastAsia="楷体_GB2312" w:cs="Times New Roman"/>
          <w:b/>
        </w:rPr>
        <w:t>.</w:t>
      </w:r>
      <w:r>
        <w:rPr>
          <w:rFonts w:hint="default" w:ascii="Times New Roman" w:hAnsi="Times New Roman" w:eastAsia="楷体_GB2312" w:cs="Times New Roman"/>
          <w:b/>
        </w:rPr>
        <w:t>本次解除限售后剩余的限售份额情况：</w:t>
      </w:r>
    </w:p>
    <w:tbl>
      <w:tblPr>
        <w:tblStyle w:val="9"/>
        <w:tblW w:w="5549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91"/>
        <w:gridCol w:w="3039"/>
        <w:gridCol w:w="2142"/>
        <w:gridCol w:w="1429"/>
        <w:gridCol w:w="2057"/>
      </w:tblGrid>
      <w:tr w14:paraId="53BA1CE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8" w:hRule="atLeast"/>
          <w:jc w:val="center"/>
        </w:trPr>
        <w:tc>
          <w:tcPr>
            <w:tcW w:w="41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8D8D8" w:themeFill="background1" w:themeFillShade="D9"/>
            <w:vAlign w:val="center"/>
          </w:tcPr>
          <w:p w14:paraId="1A3C90C4">
            <w:pPr>
              <w:snapToGrid w:val="0"/>
              <w:rPr>
                <w:rFonts w:ascii="Times New Roman" w:hAnsi="Times New Roman" w:eastAsia="楷体" w:cs="Times New Roman"/>
                <w:b/>
                <w:sz w:val="24"/>
                <w:szCs w:val="24"/>
              </w:rPr>
            </w:pPr>
            <w:r>
              <w:rPr>
                <w:rFonts w:hint="default" w:ascii="Times New Roman" w:hAnsi="Times New Roman" w:eastAsia="楷体" w:cs="Times New Roman"/>
                <w:b/>
                <w:sz w:val="24"/>
                <w:szCs w:val="24"/>
              </w:rPr>
              <w:t>序号</w:t>
            </w:r>
          </w:p>
        </w:tc>
        <w:tc>
          <w:tcPr>
            <w:tcW w:w="16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8D8D8" w:themeFill="background1" w:themeFillShade="D9"/>
            <w:vAlign w:val="center"/>
          </w:tcPr>
          <w:p w14:paraId="23FB7F03">
            <w:pPr>
              <w:snapToGrid w:val="0"/>
              <w:jc w:val="center"/>
              <w:rPr>
                <w:rFonts w:ascii="Times New Roman" w:hAnsi="Times New Roman" w:eastAsia="楷体" w:cs="Times New Roman"/>
                <w:b/>
                <w:sz w:val="24"/>
                <w:szCs w:val="24"/>
              </w:rPr>
            </w:pPr>
            <w:r>
              <w:rPr>
                <w:rFonts w:hint="default" w:ascii="Times New Roman" w:hAnsi="Times New Roman" w:eastAsia="楷体" w:cs="Times New Roman"/>
                <w:b/>
                <w:sz w:val="24"/>
                <w:szCs w:val="24"/>
              </w:rPr>
              <w:t>证券账户名称</w:t>
            </w:r>
          </w:p>
        </w:tc>
        <w:tc>
          <w:tcPr>
            <w:tcW w:w="11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8D8D8" w:themeFill="background1" w:themeFillShade="D9"/>
            <w:vAlign w:val="center"/>
          </w:tcPr>
          <w:p w14:paraId="6A71B2AE">
            <w:pPr>
              <w:snapToGrid w:val="0"/>
              <w:jc w:val="center"/>
              <w:rPr>
                <w:rFonts w:ascii="Times New Roman" w:hAnsi="Times New Roman" w:eastAsia="楷体" w:cs="Times New Roman"/>
                <w:b/>
                <w:sz w:val="24"/>
                <w:szCs w:val="24"/>
              </w:rPr>
            </w:pPr>
            <w:r>
              <w:rPr>
                <w:rFonts w:hint="default" w:ascii="Times New Roman" w:hAnsi="Times New Roman" w:eastAsia="楷体" w:cs="Times New Roman"/>
                <w:b/>
                <w:sz w:val="24"/>
                <w:szCs w:val="24"/>
              </w:rPr>
              <w:t>限售份额（份）</w:t>
            </w:r>
          </w:p>
        </w:tc>
        <w:tc>
          <w:tcPr>
            <w:tcW w:w="75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8D8D8" w:themeFill="background1" w:themeFillShade="D9"/>
            <w:vAlign w:val="center"/>
          </w:tcPr>
          <w:p w14:paraId="32DD4978">
            <w:pPr>
              <w:snapToGrid w:val="0"/>
              <w:jc w:val="center"/>
              <w:rPr>
                <w:rFonts w:ascii="Times New Roman" w:hAnsi="Times New Roman" w:eastAsia="楷体" w:cs="Times New Roman"/>
                <w:b/>
                <w:sz w:val="24"/>
                <w:szCs w:val="24"/>
              </w:rPr>
            </w:pPr>
            <w:r>
              <w:rPr>
                <w:rFonts w:hint="default" w:ascii="Times New Roman" w:hAnsi="Times New Roman" w:eastAsia="楷体" w:cs="Times New Roman"/>
                <w:b/>
                <w:sz w:val="24"/>
                <w:szCs w:val="24"/>
              </w:rPr>
              <w:t>限售类型</w:t>
            </w:r>
          </w:p>
        </w:tc>
        <w:tc>
          <w:tcPr>
            <w:tcW w:w="108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8D8D8" w:themeFill="background1" w:themeFillShade="D9"/>
            <w:vAlign w:val="center"/>
          </w:tcPr>
          <w:p w14:paraId="1F13AF38">
            <w:pPr>
              <w:snapToGrid w:val="0"/>
              <w:jc w:val="center"/>
              <w:rPr>
                <w:rFonts w:ascii="Times New Roman" w:hAnsi="Times New Roman" w:eastAsia="楷体" w:cs="Times New Roman"/>
                <w:b/>
                <w:sz w:val="24"/>
                <w:szCs w:val="24"/>
              </w:rPr>
            </w:pPr>
            <w:r>
              <w:rPr>
                <w:rFonts w:hint="default" w:ascii="Times New Roman" w:hAnsi="Times New Roman" w:eastAsia="楷体" w:cs="Times New Roman"/>
                <w:b/>
                <w:sz w:val="24"/>
                <w:szCs w:val="24"/>
              </w:rPr>
              <w:t>限售期</w:t>
            </w:r>
          </w:p>
        </w:tc>
      </w:tr>
      <w:tr w14:paraId="242B49A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1" w:hRule="atLeast"/>
          <w:jc w:val="center"/>
        </w:trPr>
        <w:tc>
          <w:tcPr>
            <w:tcW w:w="7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ADC93FE">
            <w:pPr>
              <w:snapToGrid w:val="0"/>
              <w:jc w:val="center"/>
              <w:rPr>
                <w:rFonts w:ascii="Times New Roman" w:hAnsi="Times New Roman" w:eastAsia="楷体" w:cs="Times New Roman"/>
                <w:sz w:val="24"/>
                <w:szCs w:val="24"/>
              </w:rPr>
            </w:pPr>
            <w:r>
              <w:rPr>
                <w:rFonts w:hint="eastAsia" w:ascii="楷体" w:hAnsi="楷体" w:eastAsia="楷体"/>
                <w:sz w:val="24"/>
                <w:szCs w:val="24"/>
              </w:rPr>
              <w:t>1</w:t>
            </w:r>
          </w:p>
        </w:tc>
        <w:tc>
          <w:tcPr>
            <w:tcW w:w="30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7E6CF8B">
            <w:pPr>
              <w:jc w:val="center"/>
              <w:rPr>
                <w:rFonts w:ascii="Times New Roman" w:hAnsi="Times New Roman" w:eastAsia="楷体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eastAsia="楷体_GB2312" w:cs="Times New Roman"/>
                <w:color w:val="000000"/>
                <w:sz w:val="21"/>
                <w:szCs w:val="21"/>
                <w:lang w:val="en-US" w:eastAsia="zh-CN" w:bidi="ar-SA"/>
              </w:rPr>
              <w:t>招商局蛇口工业区控股股份有限公司</w:t>
            </w:r>
          </w:p>
        </w:tc>
        <w:tc>
          <w:tcPr>
            <w:tcW w:w="21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D44F8CD">
            <w:pPr>
              <w:jc w:val="center"/>
              <w:rPr>
                <w:rFonts w:ascii="Times New Roman" w:hAnsi="Times New Roman" w:eastAsia="楷体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楷体_GB2312" w:cs="Times New Roman"/>
                <w:color w:val="000000"/>
                <w:sz w:val="21"/>
                <w:szCs w:val="21"/>
                <w:lang w:val="en-US" w:eastAsia="zh-CN" w:bidi="ar-SA"/>
              </w:rPr>
              <w:t>180,000,000</w:t>
            </w:r>
          </w:p>
        </w:tc>
        <w:tc>
          <w:tcPr>
            <w:tcW w:w="14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C5D9612">
            <w:pPr>
              <w:jc w:val="center"/>
              <w:rPr>
                <w:rFonts w:ascii="Times New Roman" w:hAnsi="Times New Roman" w:eastAsia="楷体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eastAsia="楷体_GB2312" w:cs="Times New Roman"/>
                <w:color w:val="000000"/>
                <w:sz w:val="21"/>
                <w:szCs w:val="21"/>
                <w:lang w:val="en-US" w:eastAsia="zh-CN" w:bidi="ar-SA"/>
              </w:rPr>
              <w:t>首次发行原始权益人</w:t>
            </w:r>
            <w:r>
              <w:rPr>
                <w:rFonts w:hint="eastAsia" w:eastAsia="楷体_GB2312" w:cs="Times New Roman"/>
                <w:color w:val="000000"/>
                <w:sz w:val="21"/>
                <w:szCs w:val="21"/>
                <w:lang w:val="en-US" w:eastAsia="zh-CN" w:bidi="ar-SA"/>
              </w:rPr>
              <w:t>战略配售限售</w:t>
            </w:r>
          </w:p>
        </w:tc>
        <w:tc>
          <w:tcPr>
            <w:tcW w:w="20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0A161ED">
            <w:pPr>
              <w:jc w:val="center"/>
              <w:rPr>
                <w:rFonts w:ascii="Times New Roman" w:hAnsi="Times New Roman" w:eastAsia="楷体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eastAsia="楷体_GB2312" w:cs="Times New Roman"/>
                <w:color w:val="000000"/>
                <w:sz w:val="21"/>
                <w:szCs w:val="21"/>
                <w:lang w:val="en-US" w:eastAsia="zh-CN" w:bidi="ar-SA"/>
              </w:rPr>
              <w:t>自</w:t>
            </w:r>
            <w:r>
              <w:rPr>
                <w:rFonts w:hint="eastAsia" w:eastAsia="楷体_GB2312" w:cs="Times New Roman"/>
                <w:color w:val="000000"/>
                <w:sz w:val="21"/>
                <w:szCs w:val="21"/>
                <w:lang w:val="en-US" w:eastAsia="zh-CN" w:bidi="ar-SA"/>
              </w:rPr>
              <w:t>首次发售份额</w:t>
            </w:r>
            <w:r>
              <w:rPr>
                <w:rFonts w:hint="eastAsia" w:ascii="Times New Roman" w:hAnsi="Times New Roman" w:eastAsia="楷体_GB2312" w:cs="Times New Roman"/>
                <w:color w:val="000000"/>
                <w:sz w:val="21"/>
                <w:szCs w:val="21"/>
                <w:lang w:val="en-US" w:eastAsia="zh-CN" w:bidi="ar-SA"/>
              </w:rPr>
              <w:t>上市之日起限售60个月</w:t>
            </w:r>
          </w:p>
        </w:tc>
      </w:tr>
      <w:tr w14:paraId="2AD63CC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1" w:hRule="atLeast"/>
          <w:jc w:val="center"/>
        </w:trPr>
        <w:tc>
          <w:tcPr>
            <w:tcW w:w="7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09951F2">
            <w:pPr>
              <w:snapToGrid w:val="0"/>
              <w:jc w:val="center"/>
              <w:rPr>
                <w:rFonts w:hint="default" w:ascii="Times New Roman" w:hAnsi="Times New Roman" w:eastAsia="楷体" w:cs="Times New Roman"/>
                <w:sz w:val="24"/>
                <w:szCs w:val="24"/>
                <w:lang w:val="en-US" w:eastAsia="zh-CN"/>
              </w:rPr>
            </w:pPr>
            <w:r>
              <w:rPr>
                <w:rFonts w:hint="eastAsia" w:ascii="楷体" w:hAnsi="楷体" w:eastAsia="楷体"/>
                <w:sz w:val="24"/>
                <w:szCs w:val="24"/>
                <w:lang w:val="en-US" w:eastAsia="zh-CN"/>
              </w:rPr>
              <w:t>2</w:t>
            </w:r>
          </w:p>
        </w:tc>
        <w:tc>
          <w:tcPr>
            <w:tcW w:w="30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7CD0DA3">
            <w:pPr>
              <w:jc w:val="center"/>
              <w:rPr>
                <w:rFonts w:ascii="Times New Roman" w:hAnsi="Times New Roman" w:eastAsia="楷体" w:cs="Times New Roman"/>
                <w:color w:val="000000"/>
                <w:sz w:val="24"/>
                <w:szCs w:val="24"/>
              </w:rPr>
            </w:pPr>
            <w:r>
              <w:rPr>
                <w:rFonts w:hint="eastAsia" w:ascii="Times New Roman" w:hAnsi="Times New Roman" w:eastAsia="楷体_GB2312" w:cs="Times New Roman"/>
                <w:color w:val="000000"/>
                <w:sz w:val="21"/>
                <w:szCs w:val="21"/>
                <w:lang w:val="en-US" w:eastAsia="zh-CN" w:bidi="ar-SA"/>
              </w:rPr>
              <w:t>招商局光明科技园有限公司</w:t>
            </w:r>
          </w:p>
        </w:tc>
        <w:tc>
          <w:tcPr>
            <w:tcW w:w="21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FE17367">
            <w:pPr>
              <w:jc w:val="center"/>
              <w:rPr>
                <w:rFonts w:ascii="Times New Roman" w:hAnsi="Times New Roman" w:eastAsia="楷体" w:cs="Times New Roman"/>
                <w:color w:val="000000"/>
                <w:sz w:val="24"/>
                <w:szCs w:val="24"/>
              </w:rPr>
            </w:pPr>
            <w:r>
              <w:rPr>
                <w:rFonts w:hint="eastAsia" w:ascii="Times New Roman" w:hAnsi="Times New Roman" w:eastAsia="楷体_GB2312" w:cs="Times New Roman"/>
                <w:color w:val="000000"/>
                <w:sz w:val="21"/>
                <w:szCs w:val="21"/>
                <w:lang w:val="en-US" w:eastAsia="zh-CN" w:bidi="ar-SA"/>
              </w:rPr>
              <w:t>104,226,174</w:t>
            </w:r>
          </w:p>
        </w:tc>
        <w:tc>
          <w:tcPr>
            <w:tcW w:w="14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81FD999">
            <w:pPr>
              <w:jc w:val="center"/>
              <w:rPr>
                <w:rFonts w:ascii="Times New Roman" w:hAnsi="Times New Roman" w:eastAsia="楷体" w:cs="Times New Roman"/>
                <w:sz w:val="24"/>
                <w:szCs w:val="24"/>
              </w:rPr>
            </w:pPr>
            <w:r>
              <w:rPr>
                <w:rFonts w:hint="eastAsia" w:eastAsia="楷体_GB2312" w:cs="Times New Roman"/>
                <w:color w:val="000000"/>
                <w:sz w:val="21"/>
                <w:szCs w:val="21"/>
                <w:lang w:val="en-US" w:eastAsia="zh-CN" w:bidi="ar-SA"/>
              </w:rPr>
              <w:t>第一次</w:t>
            </w:r>
            <w:r>
              <w:rPr>
                <w:rFonts w:hint="eastAsia" w:ascii="Times New Roman" w:hAnsi="Times New Roman" w:eastAsia="楷体_GB2312" w:cs="Times New Roman"/>
                <w:color w:val="000000"/>
                <w:sz w:val="21"/>
                <w:szCs w:val="21"/>
                <w:lang w:val="en-US" w:eastAsia="zh-CN" w:bidi="ar-SA"/>
              </w:rPr>
              <w:t>扩募发行原始权益人</w:t>
            </w:r>
            <w:r>
              <w:rPr>
                <w:rFonts w:hint="eastAsia" w:eastAsia="楷体_GB2312" w:cs="Times New Roman"/>
                <w:color w:val="000000"/>
                <w:sz w:val="21"/>
                <w:szCs w:val="21"/>
                <w:lang w:val="en-US" w:eastAsia="zh-CN" w:bidi="ar-SA"/>
              </w:rPr>
              <w:t>战略配售限售</w:t>
            </w:r>
          </w:p>
        </w:tc>
        <w:tc>
          <w:tcPr>
            <w:tcW w:w="20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0719C8B">
            <w:pPr>
              <w:jc w:val="center"/>
              <w:rPr>
                <w:rFonts w:ascii="Times New Roman" w:hAnsi="Times New Roman" w:eastAsia="楷体" w:cs="Times New Roman"/>
                <w:sz w:val="24"/>
                <w:szCs w:val="24"/>
              </w:rPr>
            </w:pPr>
            <w:r>
              <w:rPr>
                <w:rFonts w:hint="eastAsia" w:eastAsia="楷体_GB2312" w:cs="Times New Roman"/>
                <w:color w:val="000000"/>
                <w:sz w:val="21"/>
                <w:szCs w:val="21"/>
                <w:lang w:val="en-US" w:eastAsia="zh-CN" w:bidi="ar-SA"/>
              </w:rPr>
              <w:t>自2023年度</w:t>
            </w:r>
            <w:r>
              <w:rPr>
                <w:rFonts w:hint="eastAsia" w:ascii="Times New Roman" w:hAnsi="Times New Roman" w:eastAsia="楷体_GB2312" w:cs="Times New Roman"/>
                <w:color w:val="000000"/>
                <w:sz w:val="21"/>
                <w:szCs w:val="21"/>
                <w:lang w:val="en-US" w:eastAsia="zh-CN" w:bidi="ar-SA"/>
              </w:rPr>
              <w:t>第一次扩募上市之日起限售60个月</w:t>
            </w:r>
          </w:p>
        </w:tc>
      </w:tr>
      <w:tr w14:paraId="2D8D116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1" w:hRule="atLeast"/>
          <w:jc w:val="center"/>
        </w:trPr>
        <w:tc>
          <w:tcPr>
            <w:tcW w:w="38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6D2A910">
            <w:pPr>
              <w:snapToGrid w:val="0"/>
              <w:jc w:val="center"/>
              <w:rPr>
                <w:rFonts w:hint="eastAsia" w:ascii="Times New Roman" w:hAnsi="Times New Roman" w:eastAsia="楷体" w:cs="Times New Roman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eastAsia="楷体" w:cs="Times New Roman"/>
                <w:color w:val="000000"/>
                <w:sz w:val="21"/>
                <w:szCs w:val="21"/>
                <w:lang w:val="en-US" w:eastAsia="zh-CN"/>
              </w:rPr>
              <w:t>合计</w:t>
            </w:r>
          </w:p>
        </w:tc>
        <w:tc>
          <w:tcPr>
            <w:tcW w:w="21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516DD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楷体" w:cs="Times New Roman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284</w:t>
            </w:r>
            <w:r>
              <w:rPr>
                <w:rFonts w:hint="eastAsia" w:eastAsia="等线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,</w:t>
            </w: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226</w:t>
            </w:r>
            <w:r>
              <w:rPr>
                <w:rFonts w:hint="eastAsia" w:eastAsia="等线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,</w:t>
            </w: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174 </w:t>
            </w:r>
          </w:p>
        </w:tc>
        <w:tc>
          <w:tcPr>
            <w:tcW w:w="14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F9EA8F4">
            <w:pPr>
              <w:snapToGrid w:val="0"/>
              <w:rPr>
                <w:rFonts w:hint="default" w:ascii="Times New Roman" w:hAnsi="Times New Roman" w:eastAsia="楷体" w:cs="Times New Roman"/>
                <w:sz w:val="24"/>
                <w:szCs w:val="24"/>
              </w:rPr>
            </w:pPr>
          </w:p>
        </w:tc>
        <w:tc>
          <w:tcPr>
            <w:tcW w:w="20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6FDE98D">
            <w:pPr>
              <w:snapToGrid w:val="0"/>
              <w:jc w:val="center"/>
              <w:rPr>
                <w:rFonts w:hint="default" w:ascii="Times New Roman" w:hAnsi="Times New Roman" w:eastAsia="楷体" w:cs="Times New Roman"/>
                <w:sz w:val="24"/>
                <w:szCs w:val="24"/>
              </w:rPr>
            </w:pPr>
          </w:p>
        </w:tc>
      </w:tr>
    </w:tbl>
    <w:p w14:paraId="53E03A10">
      <w:pPr>
        <w:pStyle w:val="7"/>
        <w:snapToGrid w:val="0"/>
        <w:spacing w:before="0" w:beforeAutospacing="0" w:after="0" w:afterAutospacing="0" w:line="240" w:lineRule="auto"/>
        <w:ind w:firstLine="480"/>
        <w:jc w:val="both"/>
        <w:rPr>
          <w:rFonts w:hint="default" w:ascii="Times New Roman" w:hAnsi="Times New Roman" w:eastAsia="KaiTi_GB2312" w:cs="Times New Roman"/>
          <w:color w:val="000000"/>
          <w:sz w:val="24"/>
          <w:szCs w:val="24"/>
        </w:rPr>
      </w:pPr>
      <w:r>
        <w:rPr>
          <w:rFonts w:hint="default" w:ascii="Times New Roman" w:hAnsi="Times New Roman" w:eastAsia="KaiTi_GB2312" w:cs="Times New Roman"/>
          <w:color w:val="000000"/>
          <w:sz w:val="24"/>
          <w:szCs w:val="24"/>
        </w:rPr>
        <w:t>注：本基金首次发售份额上市之日为</w:t>
      </w:r>
      <w:r>
        <w:rPr>
          <w:rFonts w:hint="default" w:ascii="Times New Roman" w:hAnsi="Times New Roman" w:eastAsia="Times New Roman" w:cs="Times New Roman"/>
          <w:color w:val="000000"/>
          <w:sz w:val="24"/>
          <w:szCs w:val="24"/>
        </w:rPr>
        <w:t>2021</w:t>
      </w:r>
      <w:r>
        <w:rPr>
          <w:rFonts w:hint="default" w:ascii="Times New Roman" w:hAnsi="Times New Roman" w:eastAsia="KaiTi_GB2312" w:cs="Times New Roman"/>
          <w:color w:val="000000"/>
          <w:sz w:val="24"/>
          <w:szCs w:val="24"/>
        </w:rPr>
        <w:t>年</w:t>
      </w:r>
      <w:r>
        <w:rPr>
          <w:rFonts w:hint="default" w:ascii="Times New Roman" w:hAnsi="Times New Roman" w:eastAsia="Times New Roman" w:cs="Times New Roman"/>
          <w:color w:val="000000"/>
          <w:sz w:val="24"/>
          <w:szCs w:val="24"/>
        </w:rPr>
        <w:t>6</w:t>
      </w:r>
      <w:r>
        <w:rPr>
          <w:rFonts w:hint="default" w:ascii="Times New Roman" w:hAnsi="Times New Roman" w:eastAsia="KaiTi_GB2312" w:cs="Times New Roman"/>
          <w:color w:val="000000"/>
          <w:sz w:val="24"/>
          <w:szCs w:val="24"/>
        </w:rPr>
        <w:t>月</w:t>
      </w:r>
      <w:r>
        <w:rPr>
          <w:rFonts w:hint="default" w:ascii="Times New Roman" w:hAnsi="Times New Roman" w:eastAsia="Times New Roman" w:cs="Times New Roman"/>
          <w:color w:val="000000"/>
          <w:sz w:val="24"/>
          <w:szCs w:val="24"/>
        </w:rPr>
        <w:t>21</w:t>
      </w:r>
      <w:r>
        <w:rPr>
          <w:rFonts w:hint="default" w:ascii="Times New Roman" w:hAnsi="Times New Roman" w:eastAsia="KaiTi_GB2312" w:cs="Times New Roman"/>
          <w:color w:val="000000"/>
          <w:sz w:val="24"/>
          <w:szCs w:val="24"/>
        </w:rPr>
        <w:t>日，</w:t>
      </w:r>
      <w:r>
        <w:rPr>
          <w:rFonts w:hint="default" w:ascii="Times New Roman" w:hAnsi="Times New Roman" w:eastAsia="Times New Roman" w:cs="Times New Roman"/>
          <w:color w:val="000000"/>
          <w:sz w:val="24"/>
          <w:szCs w:val="24"/>
        </w:rPr>
        <w:t>202</w:t>
      </w:r>
      <w:r>
        <w:rPr>
          <w:rFonts w:hint="default" w:ascii="Times New Roman" w:hAnsi="Times New Roman" w:cs="Times New Roman"/>
          <w:color w:val="000000"/>
          <w:sz w:val="24"/>
          <w:szCs w:val="24"/>
          <w:lang w:val="en-US" w:eastAsia="zh-CN"/>
        </w:rPr>
        <w:t>3</w:t>
      </w:r>
      <w:r>
        <w:rPr>
          <w:rFonts w:hint="default" w:ascii="Times New Roman" w:hAnsi="Times New Roman" w:eastAsia="KaiTi_GB2312" w:cs="Times New Roman"/>
          <w:color w:val="000000"/>
          <w:sz w:val="24"/>
          <w:szCs w:val="24"/>
        </w:rPr>
        <w:t>年度第一次扩募份额上市之日为</w:t>
      </w:r>
      <w:r>
        <w:rPr>
          <w:rFonts w:hint="default" w:ascii="Times New Roman" w:hAnsi="Times New Roman" w:eastAsia="Times New Roman" w:cs="Times New Roman"/>
          <w:color w:val="000000"/>
          <w:sz w:val="24"/>
          <w:szCs w:val="24"/>
        </w:rPr>
        <w:t>2023</w:t>
      </w:r>
      <w:r>
        <w:rPr>
          <w:rFonts w:hint="default" w:ascii="Times New Roman" w:hAnsi="Times New Roman" w:eastAsia="KaiTi_GB2312" w:cs="Times New Roman"/>
          <w:color w:val="000000"/>
          <w:sz w:val="24"/>
          <w:szCs w:val="24"/>
        </w:rPr>
        <w:t>年</w:t>
      </w:r>
      <w:r>
        <w:rPr>
          <w:rFonts w:hint="default" w:ascii="Times New Roman" w:hAnsi="Times New Roman" w:eastAsia="Times New Roman" w:cs="Times New Roman"/>
          <w:color w:val="000000"/>
          <w:sz w:val="24"/>
          <w:szCs w:val="24"/>
        </w:rPr>
        <w:t>6</w:t>
      </w:r>
      <w:r>
        <w:rPr>
          <w:rFonts w:hint="default" w:ascii="Times New Roman" w:hAnsi="Times New Roman" w:eastAsia="KaiTi_GB2312" w:cs="Times New Roman"/>
          <w:color w:val="000000"/>
          <w:sz w:val="24"/>
          <w:szCs w:val="24"/>
        </w:rPr>
        <w:t>月</w:t>
      </w:r>
      <w:r>
        <w:rPr>
          <w:rFonts w:hint="default" w:ascii="Times New Roman" w:hAnsi="Times New Roman" w:eastAsia="Times New Roman" w:cs="Times New Roman"/>
          <w:color w:val="000000"/>
          <w:sz w:val="24"/>
          <w:szCs w:val="24"/>
        </w:rPr>
        <w:t>16</w:t>
      </w:r>
      <w:r>
        <w:rPr>
          <w:rFonts w:hint="default" w:ascii="Times New Roman" w:hAnsi="Times New Roman" w:eastAsia="KaiTi_GB2312" w:cs="Times New Roman"/>
          <w:color w:val="000000"/>
          <w:sz w:val="24"/>
          <w:szCs w:val="24"/>
        </w:rPr>
        <w:t xml:space="preserve">日。 </w:t>
      </w:r>
    </w:p>
    <w:p w14:paraId="65FD5DB9">
      <w:pPr>
        <w:pStyle w:val="7"/>
        <w:snapToGrid w:val="0"/>
        <w:spacing w:before="0" w:beforeAutospacing="0" w:after="0" w:afterAutospacing="0" w:line="240" w:lineRule="auto"/>
        <w:ind w:firstLine="480"/>
        <w:jc w:val="both"/>
        <w:rPr>
          <w:rFonts w:hint="default" w:ascii="Times New Roman" w:hAnsi="Times New Roman" w:eastAsia="KaiTi_GB2312" w:cs="Times New Roman"/>
          <w:color w:val="000000"/>
          <w:sz w:val="24"/>
          <w:szCs w:val="24"/>
        </w:rPr>
      </w:pPr>
    </w:p>
    <w:p w14:paraId="12D016BA">
      <w:pPr>
        <w:pStyle w:val="7"/>
        <w:snapToGrid w:val="0"/>
        <w:spacing w:before="0" w:beforeAutospacing="0" w:after="0" w:afterAutospacing="0" w:line="240" w:lineRule="auto"/>
        <w:ind w:firstLine="482"/>
        <w:jc w:val="both"/>
        <w:rPr>
          <w:rFonts w:ascii="Times New Roman" w:hAnsi="Times New Roman" w:eastAsia="楷体_GB2312" w:cs="Times New Roman"/>
          <w:b/>
        </w:rPr>
      </w:pPr>
      <w:r>
        <w:rPr>
          <w:rFonts w:hint="default" w:ascii="Times New Roman" w:hAnsi="Times New Roman" w:eastAsia="楷体_GB2312" w:cs="Times New Roman"/>
          <w:b/>
        </w:rPr>
        <w:t>（二）公募REITs场外份额解除限售</w:t>
      </w:r>
    </w:p>
    <w:p w14:paraId="74BCE581">
      <w:pPr>
        <w:pStyle w:val="7"/>
        <w:snapToGrid w:val="0"/>
        <w:spacing w:before="0" w:beforeAutospacing="0" w:after="0" w:afterAutospacing="0" w:line="240" w:lineRule="auto"/>
        <w:ind w:firstLine="482"/>
        <w:jc w:val="both"/>
        <w:rPr>
          <w:rFonts w:ascii="Times New Roman" w:hAnsi="Times New Roman" w:eastAsia="楷体_GB2312" w:cs="Times New Roman"/>
          <w:b/>
        </w:rPr>
      </w:pPr>
      <w:r>
        <w:rPr>
          <w:rFonts w:hint="default" w:ascii="Times New Roman" w:hAnsi="Times New Roman" w:eastAsia="楷体_GB2312" w:cs="Times New Roman"/>
          <w:b/>
        </w:rPr>
        <w:t>1</w:t>
      </w:r>
      <w:r>
        <w:rPr>
          <w:rFonts w:ascii="Times New Roman" w:hAnsi="Times New Roman" w:eastAsia="楷体_GB2312" w:cs="Times New Roman"/>
          <w:b/>
        </w:rPr>
        <w:t>.</w:t>
      </w:r>
      <w:r>
        <w:rPr>
          <w:rFonts w:hint="default" w:ascii="Times New Roman" w:hAnsi="Times New Roman" w:eastAsia="楷体_GB2312" w:cs="Times New Roman"/>
          <w:b/>
        </w:rPr>
        <w:t>本次解除限售的份额情况：</w:t>
      </w:r>
    </w:p>
    <w:p w14:paraId="0F5141D5">
      <w:pPr>
        <w:pStyle w:val="7"/>
        <w:snapToGrid w:val="0"/>
        <w:spacing w:before="0" w:beforeAutospacing="0" w:after="0" w:afterAutospacing="0" w:line="240" w:lineRule="auto"/>
        <w:ind w:firstLine="480"/>
        <w:jc w:val="both"/>
        <w:rPr>
          <w:rFonts w:ascii="Times New Roman" w:hAnsi="Times New Roman" w:eastAsia="楷体_GB2312" w:cs="Times New Roman"/>
        </w:rPr>
      </w:pPr>
      <w:r>
        <w:rPr>
          <w:rFonts w:hint="default" w:ascii="Times New Roman" w:hAnsi="Times New Roman" w:eastAsia="楷体_GB2312" w:cs="Times New Roman"/>
        </w:rPr>
        <w:t>不涉及。</w:t>
      </w:r>
    </w:p>
    <w:p w14:paraId="6C1FF0AB">
      <w:pPr>
        <w:pStyle w:val="7"/>
        <w:snapToGrid w:val="0"/>
        <w:spacing w:before="0" w:beforeAutospacing="0" w:after="0" w:afterAutospacing="0" w:line="240" w:lineRule="auto"/>
        <w:ind w:firstLine="482"/>
        <w:jc w:val="both"/>
        <w:rPr>
          <w:rFonts w:ascii="Times New Roman" w:hAnsi="Times New Roman" w:eastAsia="楷体_GB2312" w:cs="Times New Roman"/>
          <w:b/>
        </w:rPr>
      </w:pPr>
    </w:p>
    <w:p w14:paraId="28FE86F0">
      <w:pPr>
        <w:pStyle w:val="7"/>
        <w:snapToGrid w:val="0"/>
        <w:spacing w:before="0" w:beforeAutospacing="0" w:after="0" w:afterAutospacing="0" w:line="240" w:lineRule="auto"/>
        <w:ind w:firstLine="482"/>
        <w:jc w:val="both"/>
        <w:rPr>
          <w:rFonts w:ascii="Times New Roman" w:hAnsi="Times New Roman" w:eastAsia="楷体_GB2312" w:cs="Times New Roman"/>
          <w:b/>
        </w:rPr>
      </w:pPr>
      <w:r>
        <w:rPr>
          <w:rFonts w:hint="default" w:ascii="Times New Roman" w:hAnsi="Times New Roman" w:eastAsia="楷体_GB2312" w:cs="Times New Roman"/>
          <w:b/>
        </w:rPr>
        <w:t>2</w:t>
      </w:r>
      <w:r>
        <w:rPr>
          <w:rFonts w:ascii="Times New Roman" w:hAnsi="Times New Roman" w:eastAsia="楷体_GB2312" w:cs="Times New Roman"/>
          <w:b/>
        </w:rPr>
        <w:t>.</w:t>
      </w:r>
      <w:r>
        <w:rPr>
          <w:rFonts w:hint="default" w:ascii="Times New Roman" w:hAnsi="Times New Roman" w:eastAsia="楷体_GB2312" w:cs="Times New Roman"/>
          <w:b/>
        </w:rPr>
        <w:t>本次解除限售后剩余限售份额情况：</w:t>
      </w:r>
    </w:p>
    <w:p w14:paraId="2FAE65C2">
      <w:pPr>
        <w:pStyle w:val="7"/>
        <w:snapToGrid w:val="0"/>
        <w:spacing w:before="0" w:beforeAutospacing="0" w:after="0" w:afterAutospacing="0" w:line="240" w:lineRule="auto"/>
        <w:ind w:firstLine="480"/>
        <w:jc w:val="both"/>
        <w:rPr>
          <w:rFonts w:ascii="Times New Roman" w:hAnsi="Times New Roman" w:eastAsia="楷体_GB2312" w:cs="Times New Roman"/>
        </w:rPr>
      </w:pPr>
      <w:r>
        <w:rPr>
          <w:rFonts w:hint="default" w:ascii="Times New Roman" w:hAnsi="Times New Roman" w:eastAsia="楷体_GB2312" w:cs="Times New Roman"/>
        </w:rPr>
        <w:t>不涉及。</w:t>
      </w:r>
    </w:p>
    <w:p w14:paraId="22B18FBC">
      <w:pPr>
        <w:pStyle w:val="7"/>
        <w:snapToGrid w:val="0"/>
        <w:spacing w:before="0" w:beforeAutospacing="0" w:after="0" w:afterAutospacing="0" w:line="240" w:lineRule="auto"/>
        <w:ind w:firstLine="482"/>
        <w:jc w:val="both"/>
        <w:rPr>
          <w:rFonts w:ascii="Times New Roman" w:hAnsi="Times New Roman" w:eastAsia="楷体_GB2312" w:cs="Times New Roman"/>
          <w:b/>
        </w:rPr>
      </w:pPr>
    </w:p>
    <w:p w14:paraId="1F5C207F">
      <w:pPr>
        <w:pStyle w:val="7"/>
        <w:snapToGrid w:val="0"/>
        <w:spacing w:before="156" w:beforeLines="50" w:beforeAutospacing="0" w:after="0" w:afterAutospacing="0" w:line="360" w:lineRule="auto"/>
        <w:ind w:firstLine="482"/>
        <w:jc w:val="both"/>
        <w:rPr>
          <w:rFonts w:ascii="Times New Roman" w:hAnsi="Times New Roman" w:eastAsia="楷体_GB2312" w:cs="Times New Roman"/>
          <w:b/>
        </w:rPr>
      </w:pPr>
      <w:r>
        <w:rPr>
          <w:rFonts w:hint="default" w:ascii="Times New Roman" w:hAnsi="Times New Roman" w:eastAsia="楷体_GB2312" w:cs="Times New Roman"/>
          <w:b/>
        </w:rPr>
        <w:t>三、本次限售份额上市后流通份额变化情况</w:t>
      </w:r>
    </w:p>
    <w:p w14:paraId="1421EC6C">
      <w:pPr>
        <w:pStyle w:val="7"/>
        <w:snapToGrid w:val="0"/>
        <w:spacing w:before="0" w:beforeAutospacing="0" w:after="0" w:afterAutospacing="0" w:line="360" w:lineRule="auto"/>
        <w:ind w:firstLine="482"/>
        <w:jc w:val="both"/>
        <w:rPr>
          <w:rFonts w:hint="eastAsia" w:eastAsia="楷体_GB2312"/>
          <w:color w:val="000000"/>
          <w:sz w:val="24"/>
          <w:szCs w:val="24"/>
          <w:lang w:eastAsia="zh-CN"/>
        </w:rPr>
      </w:pPr>
      <w:r>
        <w:rPr>
          <w:rFonts w:hint="eastAsia" w:eastAsia="楷体_GB2312"/>
          <w:color w:val="000000"/>
          <w:sz w:val="24"/>
          <w:szCs w:val="24"/>
        </w:rPr>
        <w:t>本次</w:t>
      </w:r>
      <w:r>
        <w:rPr>
          <w:rFonts w:hint="eastAsia" w:eastAsia="楷体_GB2312"/>
          <w:color w:val="000000"/>
          <w:sz w:val="24"/>
          <w:szCs w:val="24"/>
          <w:lang w:val="en-US" w:eastAsia="zh-CN"/>
        </w:rPr>
        <w:t>解禁的扩募</w:t>
      </w:r>
      <w:r>
        <w:rPr>
          <w:rFonts w:hint="eastAsia" w:eastAsia="楷体_GB2312"/>
          <w:color w:val="000000"/>
          <w:sz w:val="24"/>
          <w:szCs w:val="24"/>
        </w:rPr>
        <w:t>战略配售份额上市流通前，可在二级市场直接交易的本基金流通份额为1,074,368,989份，占本基金全部基金份额的75.6%。本次</w:t>
      </w:r>
      <w:r>
        <w:rPr>
          <w:rFonts w:hint="eastAsia" w:eastAsia="楷体_GB2312"/>
          <w:color w:val="000000"/>
          <w:sz w:val="24"/>
          <w:szCs w:val="24"/>
          <w:lang w:val="en-US" w:eastAsia="zh-CN"/>
        </w:rPr>
        <w:t>解禁的扩募</w:t>
      </w:r>
      <w:r>
        <w:rPr>
          <w:rFonts w:hint="eastAsia" w:eastAsia="楷体_GB2312"/>
          <w:color w:val="000000"/>
          <w:sz w:val="24"/>
          <w:szCs w:val="24"/>
        </w:rPr>
        <w:t>战略配售份额解禁后，可流通份额合计为1</w:t>
      </w:r>
      <w:r>
        <w:rPr>
          <w:rFonts w:hint="eastAsia" w:eastAsia="楷体_GB2312"/>
          <w:color w:val="000000"/>
          <w:sz w:val="24"/>
          <w:szCs w:val="24"/>
          <w:lang w:val="en-US" w:eastAsia="zh-CN"/>
        </w:rPr>
        <w:t>,</w:t>
      </w:r>
      <w:r>
        <w:rPr>
          <w:rFonts w:hint="eastAsia" w:eastAsia="楷体_GB2312"/>
          <w:color w:val="000000"/>
          <w:sz w:val="24"/>
          <w:szCs w:val="24"/>
        </w:rPr>
        <w:t>136</w:t>
      </w:r>
      <w:r>
        <w:rPr>
          <w:rFonts w:hint="eastAsia" w:eastAsia="楷体_GB2312"/>
          <w:color w:val="000000"/>
          <w:sz w:val="24"/>
          <w:szCs w:val="24"/>
          <w:lang w:val="en-US" w:eastAsia="zh-CN"/>
        </w:rPr>
        <w:t>,</w:t>
      </w:r>
      <w:r>
        <w:rPr>
          <w:rFonts w:hint="eastAsia" w:eastAsia="楷体_GB2312"/>
          <w:color w:val="000000"/>
          <w:sz w:val="24"/>
          <w:szCs w:val="24"/>
        </w:rPr>
        <w:t>904</w:t>
      </w:r>
      <w:r>
        <w:rPr>
          <w:rFonts w:hint="eastAsia" w:eastAsia="楷体_GB2312"/>
          <w:color w:val="000000"/>
          <w:sz w:val="24"/>
          <w:szCs w:val="24"/>
          <w:lang w:val="en-US" w:eastAsia="zh-CN"/>
        </w:rPr>
        <w:t>,</w:t>
      </w:r>
      <w:r>
        <w:rPr>
          <w:rFonts w:hint="eastAsia" w:eastAsia="楷体_GB2312"/>
          <w:color w:val="000000"/>
          <w:sz w:val="24"/>
          <w:szCs w:val="24"/>
        </w:rPr>
        <w:t>692份，占本基金全部基金份额的80%</w:t>
      </w:r>
      <w:r>
        <w:rPr>
          <w:rFonts w:hint="eastAsia" w:eastAsia="楷体_GB2312"/>
          <w:color w:val="000000"/>
          <w:sz w:val="24"/>
          <w:szCs w:val="24"/>
          <w:lang w:eastAsia="zh-CN"/>
        </w:rPr>
        <w:t>。</w:t>
      </w:r>
    </w:p>
    <w:p w14:paraId="09069223">
      <w:pPr>
        <w:pStyle w:val="7"/>
        <w:snapToGrid w:val="0"/>
        <w:spacing w:before="0" w:beforeAutospacing="0" w:after="0" w:afterAutospacing="0" w:line="360" w:lineRule="auto"/>
        <w:ind w:firstLine="482"/>
        <w:jc w:val="both"/>
        <w:rPr>
          <w:rFonts w:ascii="Times New Roman" w:hAnsi="Times New Roman" w:eastAsia="楷体_GB2312" w:cs="Times New Roman"/>
          <w:b/>
        </w:rPr>
      </w:pPr>
    </w:p>
    <w:p w14:paraId="10B00409">
      <w:pPr>
        <w:pStyle w:val="7"/>
        <w:numPr>
          <w:ilvl w:val="0"/>
          <w:numId w:val="1"/>
        </w:numPr>
        <w:snapToGrid w:val="0"/>
        <w:spacing w:before="0" w:beforeAutospacing="0" w:after="0" w:afterAutospacing="0" w:line="360" w:lineRule="auto"/>
        <w:ind w:firstLine="482"/>
        <w:jc w:val="both"/>
        <w:rPr>
          <w:rFonts w:hint="default" w:ascii="Times New Roman" w:hAnsi="Times New Roman" w:eastAsia="楷体_GB2312" w:cs="Times New Roman"/>
          <w:b/>
          <w:highlight w:val="none"/>
          <w:lang w:eastAsia="zh-CN"/>
        </w:rPr>
      </w:pPr>
      <w:r>
        <w:rPr>
          <w:rFonts w:hint="default" w:ascii="Times New Roman" w:hAnsi="Times New Roman" w:eastAsia="楷体_GB2312" w:cs="Times New Roman"/>
          <w:b/>
          <w:highlight w:val="none"/>
          <w:lang w:eastAsia="zh-CN"/>
        </w:rPr>
        <w:t>对基金份额持有人权益的影响分析</w:t>
      </w:r>
    </w:p>
    <w:p w14:paraId="33253319">
      <w:pPr>
        <w:pStyle w:val="7"/>
        <w:numPr>
          <w:ilvl w:val="0"/>
          <w:numId w:val="0"/>
        </w:numPr>
        <w:snapToGrid w:val="0"/>
        <w:spacing w:before="0" w:beforeAutospacing="0" w:after="0" w:afterAutospacing="0" w:line="360" w:lineRule="auto"/>
        <w:jc w:val="both"/>
        <w:rPr>
          <w:rFonts w:hint="default" w:ascii="Times New Roman" w:hAnsi="Times New Roman" w:eastAsia="楷体_GB2312" w:cs="Times New Roman"/>
          <w:color w:val="000000"/>
          <w:sz w:val="24"/>
          <w:szCs w:val="24"/>
          <w:highlight w:val="none"/>
          <w:lang w:val="en-US" w:eastAsia="zh-CN" w:bidi="ar-SA"/>
        </w:rPr>
      </w:pPr>
      <w:r>
        <w:rPr>
          <w:rFonts w:hint="default" w:ascii="Times New Roman" w:hAnsi="Times New Roman" w:eastAsia="楷体_GB2312" w:cs="Times New Roman"/>
          <w:b/>
          <w:highlight w:val="none"/>
          <w:lang w:val="en-US" w:eastAsia="zh-CN"/>
        </w:rPr>
        <w:t xml:space="preserve">   </w:t>
      </w:r>
      <w:r>
        <w:rPr>
          <w:rFonts w:hint="eastAsia" w:ascii="Times New Roman" w:hAnsi="Times New Roman" w:eastAsia="楷体_GB2312" w:cs="Times New Roman"/>
          <w:color w:val="000000"/>
          <w:sz w:val="24"/>
          <w:szCs w:val="24"/>
          <w:highlight w:val="none"/>
          <w:lang w:val="en-US" w:eastAsia="zh-CN" w:bidi="ar-SA"/>
        </w:rPr>
        <w:t>本次解除限售份额占总份额为4.4%，对基金份额持有人权益影响较小。</w:t>
      </w:r>
    </w:p>
    <w:p w14:paraId="0FBC60ED">
      <w:pPr>
        <w:pStyle w:val="7"/>
        <w:numPr>
          <w:ilvl w:val="0"/>
          <w:numId w:val="0"/>
        </w:numPr>
        <w:snapToGrid w:val="0"/>
        <w:spacing w:before="0" w:beforeAutospacing="0" w:after="0" w:afterAutospacing="0" w:line="360" w:lineRule="auto"/>
        <w:jc w:val="both"/>
        <w:rPr>
          <w:rFonts w:ascii="Times New Roman" w:hAnsi="Times New Roman" w:eastAsia="楷体_GB2312" w:cs="Times New Roman"/>
          <w:b/>
        </w:rPr>
      </w:pPr>
    </w:p>
    <w:p w14:paraId="62BC367C">
      <w:pPr>
        <w:pStyle w:val="7"/>
        <w:numPr>
          <w:ilvl w:val="0"/>
          <w:numId w:val="1"/>
        </w:numPr>
        <w:snapToGrid w:val="0"/>
        <w:spacing w:before="0" w:beforeAutospacing="0" w:after="0" w:afterAutospacing="0" w:line="360" w:lineRule="auto"/>
        <w:ind w:firstLine="482"/>
        <w:jc w:val="both"/>
        <w:rPr>
          <w:rFonts w:ascii="Times New Roman" w:hAnsi="Times New Roman" w:eastAsia="楷体_GB2312" w:cs="Times New Roman"/>
          <w:b/>
        </w:rPr>
      </w:pPr>
      <w:r>
        <w:rPr>
          <w:rFonts w:hint="default" w:ascii="Times New Roman" w:hAnsi="Times New Roman" w:eastAsia="楷体_GB2312" w:cs="Times New Roman"/>
          <w:b/>
        </w:rPr>
        <w:t>其他需要提示的事项</w:t>
      </w:r>
    </w:p>
    <w:p w14:paraId="699C3C3E">
      <w:pPr>
        <w:pStyle w:val="7"/>
        <w:snapToGrid w:val="0"/>
        <w:spacing w:before="0" w:beforeAutospacing="0" w:after="0" w:afterAutospacing="0" w:line="360" w:lineRule="auto"/>
        <w:ind w:firstLine="480"/>
        <w:jc w:val="both"/>
        <w:rPr>
          <w:rFonts w:ascii="Times New Roman" w:hAnsi="Times New Roman" w:eastAsia="楷体_GB2312" w:cs="Times New Roman"/>
          <w:sz w:val="24"/>
        </w:rPr>
      </w:pPr>
      <w:r>
        <w:rPr>
          <w:rFonts w:hint="default" w:ascii="Times New Roman" w:hAnsi="Times New Roman" w:eastAsia="楷体_GB2312" w:cs="Times New Roman"/>
        </w:rPr>
        <w:t>（一）</w:t>
      </w:r>
      <w:r>
        <w:rPr>
          <w:rFonts w:hint="eastAsia" w:ascii="Times New Roman" w:hAnsi="Times New Roman" w:eastAsia="楷体_GB2312" w:cs="Times New Roman"/>
          <w:lang w:val="en-US" w:eastAsia="zh-CN"/>
        </w:rPr>
        <w:t>不动产</w:t>
      </w:r>
      <w:r>
        <w:rPr>
          <w:rFonts w:hint="default" w:ascii="Times New Roman" w:hAnsi="Times New Roman" w:eastAsia="楷体_GB2312" w:cs="Times New Roman"/>
          <w:sz w:val="24"/>
        </w:rPr>
        <w:t xml:space="preserve">项目近期经营业绩 </w:t>
      </w:r>
    </w:p>
    <w:p w14:paraId="3BABF94F">
      <w:pPr>
        <w:pStyle w:val="7"/>
        <w:snapToGrid w:val="0"/>
        <w:spacing w:before="0" w:beforeAutospacing="0" w:after="0" w:afterAutospacing="0" w:line="360" w:lineRule="auto"/>
        <w:ind w:firstLine="480"/>
        <w:jc w:val="both"/>
        <w:rPr>
          <w:rFonts w:hint="eastAsia" w:ascii="Times New Roman" w:hAnsi="Times New Roman" w:eastAsia="楷体_GB2312" w:cs="Times New Roman"/>
          <w:lang w:val="en-US" w:eastAsia="zh-CN"/>
        </w:rPr>
      </w:pPr>
      <w:r>
        <w:rPr>
          <w:rFonts w:hint="eastAsia" w:ascii="Times New Roman" w:hAnsi="Times New Roman" w:eastAsia="楷体_GB2312" w:cs="Times New Roman"/>
        </w:rPr>
        <w:t>本基金通过专项计划100%持有的</w:t>
      </w:r>
      <w:r>
        <w:rPr>
          <w:rFonts w:hint="eastAsia" w:ascii="Times New Roman" w:hAnsi="Times New Roman" w:eastAsia="楷体_GB2312" w:cs="Times New Roman"/>
          <w:lang w:val="en-US" w:eastAsia="zh-CN"/>
        </w:rPr>
        <w:t>不动产</w:t>
      </w:r>
      <w:r>
        <w:rPr>
          <w:rFonts w:hint="eastAsia" w:ascii="Times New Roman" w:hAnsi="Times New Roman" w:eastAsia="楷体_GB2312" w:cs="Times New Roman"/>
        </w:rPr>
        <w:t>资产合计由3个产业园项目组成，可出租面积合计约204,758.5</w:t>
      </w:r>
      <w:bookmarkStart w:id="0" w:name="_GoBack"/>
      <w:bookmarkEnd w:id="0"/>
      <w:r>
        <w:rPr>
          <w:rFonts w:hint="eastAsia" w:ascii="Times New Roman" w:hAnsi="Times New Roman" w:eastAsia="楷体_GB2312" w:cs="Times New Roman"/>
        </w:rPr>
        <w:t>9平方米。截至202</w:t>
      </w:r>
      <w:r>
        <w:rPr>
          <w:rFonts w:hint="eastAsia" w:ascii="Times New Roman" w:hAnsi="Times New Roman" w:eastAsia="楷体_GB2312" w:cs="Times New Roman"/>
          <w:lang w:val="en-US" w:eastAsia="zh-CN"/>
        </w:rPr>
        <w:t>6</w:t>
      </w:r>
      <w:r>
        <w:rPr>
          <w:rFonts w:hint="eastAsia" w:ascii="Times New Roman" w:hAnsi="Times New Roman" w:eastAsia="楷体_GB2312" w:cs="Times New Roman"/>
        </w:rPr>
        <w:t>年</w:t>
      </w:r>
      <w:r>
        <w:rPr>
          <w:rFonts w:hint="eastAsia" w:ascii="Times New Roman" w:hAnsi="Times New Roman" w:eastAsia="楷体_GB2312" w:cs="Times New Roman"/>
          <w:lang w:val="en-US" w:eastAsia="zh-CN"/>
        </w:rPr>
        <w:t>3</w:t>
      </w:r>
      <w:r>
        <w:rPr>
          <w:rFonts w:hint="eastAsia" w:ascii="Times New Roman" w:hAnsi="Times New Roman" w:eastAsia="楷体_GB2312" w:cs="Times New Roman"/>
        </w:rPr>
        <w:t>月3</w:t>
      </w:r>
      <w:r>
        <w:rPr>
          <w:rFonts w:hint="eastAsia" w:ascii="Times New Roman" w:hAnsi="Times New Roman" w:eastAsia="楷体_GB2312" w:cs="Times New Roman"/>
          <w:lang w:val="en-US" w:eastAsia="zh-CN"/>
        </w:rPr>
        <w:t>1</w:t>
      </w:r>
      <w:r>
        <w:rPr>
          <w:rFonts w:hint="eastAsia" w:ascii="Times New Roman" w:hAnsi="Times New Roman" w:eastAsia="楷体_GB2312" w:cs="Times New Roman"/>
        </w:rPr>
        <w:t>日，本基金持有的</w:t>
      </w:r>
      <w:r>
        <w:rPr>
          <w:rFonts w:hint="eastAsia" w:ascii="Times New Roman" w:hAnsi="Times New Roman" w:eastAsia="楷体_GB2312" w:cs="Times New Roman"/>
          <w:lang w:val="en-US" w:eastAsia="zh-CN"/>
        </w:rPr>
        <w:t>不动产</w:t>
      </w:r>
      <w:r>
        <w:rPr>
          <w:rFonts w:hint="eastAsia" w:ascii="Times New Roman" w:hAnsi="Times New Roman" w:eastAsia="楷体_GB2312" w:cs="Times New Roman"/>
        </w:rPr>
        <w:t>项目公司经营基本保持稳定，月末时点出租率为</w:t>
      </w:r>
      <w:r>
        <w:rPr>
          <w:rFonts w:hint="eastAsia" w:ascii="Times New Roman" w:hAnsi="Times New Roman" w:eastAsia="楷体_GB2312" w:cs="Times New Roman"/>
          <w:lang w:val="en-US" w:eastAsia="zh-CN"/>
        </w:rPr>
        <w:t>85.15</w:t>
      </w:r>
      <w:r>
        <w:rPr>
          <w:rFonts w:hint="eastAsia" w:ascii="Times New Roman" w:hAnsi="Times New Roman" w:eastAsia="楷体_GB2312" w:cs="Times New Roman"/>
        </w:rPr>
        <w:t>%</w:t>
      </w:r>
      <w:r>
        <w:rPr>
          <w:rFonts w:hint="eastAsia" w:ascii="Times New Roman" w:hAnsi="Times New Roman" w:eastAsia="楷体_GB2312" w:cs="Times New Roman"/>
          <w:lang w:eastAsia="zh-CN"/>
        </w:rPr>
        <w:t>，</w:t>
      </w:r>
      <w:r>
        <w:rPr>
          <w:rFonts w:hint="eastAsia" w:ascii="Times New Roman" w:hAnsi="Times New Roman" w:eastAsia="楷体_GB2312" w:cs="Times New Roman"/>
          <w:lang w:val="en-US" w:eastAsia="zh-CN"/>
        </w:rPr>
        <w:t>2026年第一季度平均出租率86.40%，当期租金收缴率96.57%，截至本公告发布之日，基金投资运作正常，外部管理机构履职正常</w:t>
      </w:r>
      <w:r>
        <w:rPr>
          <w:rFonts w:hint="eastAsia" w:ascii="Times New Roman" w:hAnsi="Times New Roman" w:eastAsia="楷体_GB2312" w:cs="Times New Roman"/>
        </w:rPr>
        <w:t>。</w:t>
      </w:r>
    </w:p>
    <w:p w14:paraId="0FEE46AD">
      <w:pPr>
        <w:pStyle w:val="7"/>
        <w:snapToGrid w:val="0"/>
        <w:spacing w:before="0" w:beforeAutospacing="0" w:after="0" w:afterAutospacing="0" w:line="360" w:lineRule="auto"/>
        <w:ind w:firstLine="480"/>
        <w:jc w:val="both"/>
        <w:rPr>
          <w:rFonts w:ascii="Times New Roman" w:hAnsi="Times New Roman" w:eastAsia="楷体_GB2312" w:cs="Times New Roman"/>
        </w:rPr>
      </w:pPr>
      <w:r>
        <w:rPr>
          <w:rFonts w:hint="default" w:ascii="Times New Roman" w:hAnsi="Times New Roman" w:eastAsia="楷体_GB2312" w:cs="Times New Roman"/>
        </w:rPr>
        <w:t>（二）净现金流分派率说明</w:t>
      </w:r>
    </w:p>
    <w:p w14:paraId="34646941">
      <w:pPr>
        <w:pStyle w:val="7"/>
        <w:snapToGrid w:val="0"/>
        <w:spacing w:before="0" w:beforeAutospacing="0" w:after="0" w:afterAutospacing="0" w:line="360" w:lineRule="auto"/>
        <w:ind w:firstLine="480"/>
        <w:jc w:val="both"/>
        <w:rPr>
          <w:rFonts w:ascii="Times New Roman" w:hAnsi="Times New Roman" w:eastAsia="楷体_GB2312" w:cs="Times New Roman"/>
        </w:rPr>
      </w:pPr>
      <w:r>
        <w:rPr>
          <w:rFonts w:hint="eastAsia" w:ascii="Times New Roman" w:hAnsi="Times New Roman" w:eastAsia="楷体_GB2312" w:cs="Times New Roman"/>
          <w:lang w:val="en-US" w:eastAsia="zh-CN"/>
        </w:rPr>
        <w:t>基金</w:t>
      </w:r>
      <w:r>
        <w:rPr>
          <w:rFonts w:hint="eastAsia" w:ascii="Times New Roman" w:hAnsi="Times New Roman" w:eastAsia="楷体_GB2312" w:cs="Times New Roman"/>
        </w:rPr>
        <w:t>二级市场交易价格上涨会导致买入成本上涨，导致投资者实际的净现金流分派率降低。</w:t>
      </w:r>
    </w:p>
    <w:p w14:paraId="17C3D63C">
      <w:pPr>
        <w:pStyle w:val="7"/>
        <w:snapToGrid w:val="0"/>
        <w:spacing w:before="0" w:beforeAutospacing="0" w:after="0" w:afterAutospacing="0" w:line="360" w:lineRule="auto"/>
        <w:ind w:firstLine="480"/>
        <w:jc w:val="both"/>
        <w:rPr>
          <w:rFonts w:ascii="Times New Roman" w:hAnsi="Times New Roman" w:eastAsia="楷体_GB2312" w:cs="Times New Roman"/>
        </w:rPr>
      </w:pPr>
      <w:r>
        <w:rPr>
          <w:rFonts w:hint="eastAsia" w:ascii="Times New Roman" w:hAnsi="Times New Roman" w:eastAsia="楷体_GB2312" w:cs="Times New Roman"/>
          <w:lang w:val="en-US" w:eastAsia="zh-CN"/>
        </w:rPr>
        <w:t>2026年6月8日，本基金在二级市场的收盘价为1.728元/份，</w:t>
      </w:r>
      <w:r>
        <w:rPr>
          <w:rFonts w:hint="eastAsia" w:ascii="Times New Roman" w:hAnsi="Times New Roman" w:eastAsia="楷体_GB2312" w:cs="Times New Roman"/>
        </w:rPr>
        <w:t>根据</w:t>
      </w:r>
      <w:r>
        <w:rPr>
          <w:rFonts w:hint="eastAsia" w:ascii="Times New Roman" w:hAnsi="Times New Roman" w:eastAsia="楷体_GB2312" w:cs="Times New Roman"/>
          <w:highlight w:val="none"/>
        </w:rPr>
        <w:t>《</w:t>
      </w:r>
      <w:r>
        <w:rPr>
          <w:rFonts w:hint="eastAsia" w:ascii="楷体" w:hAnsi="楷体" w:eastAsia="楷体" w:cs="楷体"/>
          <w:highlight w:val="none"/>
        </w:rPr>
        <w:t>博时招商蛇口产业园封闭式基础设施证券投资基金</w:t>
      </w:r>
      <w:r>
        <w:rPr>
          <w:rFonts w:hint="eastAsia" w:ascii="楷体" w:hAnsi="楷体" w:eastAsia="楷体" w:cs="楷体"/>
          <w:highlight w:val="none"/>
          <w:lang w:val="en-US" w:eastAsia="zh-CN"/>
        </w:rPr>
        <w:t>2025年年度报告</w:t>
      </w:r>
      <w:r>
        <w:rPr>
          <w:rFonts w:hint="eastAsia" w:ascii="Times New Roman" w:hAnsi="Times New Roman" w:eastAsia="楷体_GB2312" w:cs="Times New Roman"/>
          <w:highlight w:val="none"/>
        </w:rPr>
        <w:t>》，</w:t>
      </w:r>
      <w:r>
        <w:rPr>
          <w:rFonts w:hint="eastAsia" w:ascii="Times New Roman" w:hAnsi="Times New Roman" w:eastAsia="楷体_GB2312" w:cs="Times New Roman"/>
          <w:highlight w:val="none"/>
          <w:lang w:val="en-US" w:eastAsia="zh-CN"/>
        </w:rPr>
        <w:t>2025年全年，本基金实现</w:t>
      </w:r>
      <w:r>
        <w:rPr>
          <w:rFonts w:hint="eastAsia" w:ascii="Times New Roman" w:hAnsi="Times New Roman" w:eastAsia="楷体_GB2312" w:cs="Times New Roman"/>
        </w:rPr>
        <w:t>可供分配金额为</w:t>
      </w:r>
      <w:r>
        <w:rPr>
          <w:rFonts w:hint="eastAsia" w:ascii="Times New Roman" w:hAnsi="Times New Roman" w:eastAsia="楷体_GB2312" w:cs="Times New Roman"/>
          <w:lang w:val="en-US" w:eastAsia="zh-CN"/>
        </w:rPr>
        <w:t>120,616,413.57</w:t>
      </w:r>
      <w:r>
        <w:rPr>
          <w:rFonts w:hint="eastAsia" w:ascii="Times New Roman" w:hAnsi="Times New Roman" w:eastAsia="楷体_GB2312" w:cs="Times New Roman"/>
        </w:rPr>
        <w:t>元。基于上述数据，净现金流分派率的计算方法举例说明如下：</w:t>
      </w:r>
    </w:p>
    <w:p w14:paraId="0F1AF3CE">
      <w:pPr>
        <w:pStyle w:val="7"/>
        <w:snapToGrid w:val="0"/>
        <w:spacing w:before="0" w:beforeAutospacing="0" w:after="0" w:afterAutospacing="0" w:line="360" w:lineRule="auto"/>
        <w:ind w:firstLine="480"/>
        <w:jc w:val="both"/>
        <w:rPr>
          <w:rFonts w:ascii="Times New Roman" w:hAnsi="Times New Roman" w:eastAsia="楷体_GB2312" w:cs="Times New Roman"/>
        </w:rPr>
      </w:pPr>
      <w:r>
        <w:rPr>
          <w:rFonts w:hint="eastAsia" w:ascii="Times New Roman" w:hAnsi="Times New Roman" w:eastAsia="楷体_GB2312" w:cs="Times New Roman"/>
          <w:lang w:val="en-US" w:eastAsia="zh-CN"/>
        </w:rPr>
        <w:t>若</w:t>
      </w:r>
      <w:r>
        <w:rPr>
          <w:rFonts w:hint="eastAsia" w:ascii="Times New Roman" w:hAnsi="Times New Roman" w:eastAsia="楷体_GB2312" w:cs="Times New Roman"/>
        </w:rPr>
        <w:t>投资人在202</w:t>
      </w:r>
      <w:r>
        <w:rPr>
          <w:rFonts w:hint="eastAsia" w:ascii="Times New Roman" w:hAnsi="Times New Roman" w:eastAsia="楷体_GB2312" w:cs="Times New Roman"/>
          <w:lang w:val="en-US" w:eastAsia="zh-CN"/>
        </w:rPr>
        <w:t>6</w:t>
      </w:r>
      <w:r>
        <w:rPr>
          <w:rFonts w:hint="eastAsia" w:ascii="Times New Roman" w:hAnsi="Times New Roman" w:eastAsia="楷体_GB2312" w:cs="Times New Roman"/>
        </w:rPr>
        <w:t>年</w:t>
      </w:r>
      <w:r>
        <w:rPr>
          <w:rFonts w:hint="eastAsia" w:ascii="Times New Roman" w:hAnsi="Times New Roman" w:eastAsia="楷体_GB2312" w:cs="Times New Roman"/>
          <w:lang w:val="en-US" w:eastAsia="zh-CN"/>
        </w:rPr>
        <w:t>6</w:t>
      </w:r>
      <w:r>
        <w:rPr>
          <w:rFonts w:hint="eastAsia" w:ascii="Times New Roman" w:hAnsi="Times New Roman" w:eastAsia="楷体_GB2312" w:cs="Times New Roman"/>
        </w:rPr>
        <w:t>月</w:t>
      </w:r>
      <w:r>
        <w:rPr>
          <w:rFonts w:hint="eastAsia" w:ascii="Times New Roman" w:hAnsi="Times New Roman" w:eastAsia="楷体_GB2312" w:cs="Times New Roman"/>
          <w:lang w:val="en-US" w:eastAsia="zh-CN"/>
        </w:rPr>
        <w:t>8</w:t>
      </w:r>
      <w:r>
        <w:rPr>
          <w:rFonts w:hint="eastAsia" w:ascii="Times New Roman" w:hAnsi="Times New Roman" w:eastAsia="楷体_GB2312" w:cs="Times New Roman"/>
        </w:rPr>
        <w:t>日通过二级市场交易买入本基金，假设买入价格</w:t>
      </w:r>
      <w:r>
        <w:rPr>
          <w:rFonts w:hint="eastAsia" w:ascii="Times New Roman" w:hAnsi="Times New Roman" w:eastAsia="楷体_GB2312" w:cs="Times New Roman"/>
          <w:lang w:val="en-US" w:eastAsia="zh-CN"/>
        </w:rPr>
        <w:t>1.728</w:t>
      </w:r>
      <w:r>
        <w:rPr>
          <w:rFonts w:hint="eastAsia" w:ascii="Times New Roman" w:hAnsi="Times New Roman" w:eastAsia="楷体_GB2312" w:cs="Times New Roman"/>
        </w:rPr>
        <w:t>元/份，该投资者的202</w:t>
      </w:r>
      <w:r>
        <w:rPr>
          <w:rFonts w:hint="eastAsia" w:ascii="Times New Roman" w:hAnsi="Times New Roman" w:eastAsia="楷体_GB2312" w:cs="Times New Roman"/>
          <w:lang w:val="en-US" w:eastAsia="zh-CN"/>
        </w:rPr>
        <w:t>5</w:t>
      </w:r>
      <w:r>
        <w:rPr>
          <w:rFonts w:hint="eastAsia" w:ascii="Times New Roman" w:hAnsi="Times New Roman" w:eastAsia="楷体_GB2312" w:cs="Times New Roman"/>
        </w:rPr>
        <w:t>年度净现金流分派率预测值=</w:t>
      </w:r>
      <w:r>
        <w:rPr>
          <w:rFonts w:hint="eastAsia" w:ascii="Times New Roman" w:hAnsi="Times New Roman" w:eastAsia="楷体_GB2312" w:cs="Times New Roman"/>
          <w:lang w:val="en-US" w:eastAsia="zh-CN"/>
        </w:rPr>
        <w:t>4.91</w:t>
      </w:r>
      <w:r>
        <w:rPr>
          <w:rFonts w:hint="eastAsia" w:ascii="Times New Roman" w:hAnsi="Times New Roman" w:eastAsia="楷体_GB2312" w:cs="Times New Roman"/>
        </w:rPr>
        <w:t>%</w:t>
      </w:r>
    </w:p>
    <w:p w14:paraId="4CBE3340">
      <w:pPr>
        <w:pStyle w:val="7"/>
        <w:snapToGrid w:val="0"/>
        <w:spacing w:before="0" w:beforeAutospacing="0" w:after="0" w:afterAutospacing="0" w:line="360" w:lineRule="auto"/>
        <w:ind w:firstLine="480"/>
        <w:jc w:val="both"/>
        <w:rPr>
          <w:rFonts w:ascii="Times New Roman" w:hAnsi="Times New Roman" w:eastAsia="楷体_GB2312" w:cs="Times New Roman"/>
        </w:rPr>
      </w:pPr>
      <w:r>
        <w:rPr>
          <w:rFonts w:hint="eastAsia" w:ascii="Times New Roman" w:hAnsi="Times New Roman" w:eastAsia="楷体_GB2312" w:cs="Times New Roman"/>
        </w:rPr>
        <w:t>需特别说明的是：</w:t>
      </w:r>
    </w:p>
    <w:p w14:paraId="19A1FECA">
      <w:pPr>
        <w:pStyle w:val="7"/>
        <w:snapToGrid w:val="0"/>
        <w:spacing w:before="0" w:beforeAutospacing="0" w:after="0" w:afterAutospacing="0" w:line="360" w:lineRule="auto"/>
        <w:ind w:firstLine="480"/>
        <w:jc w:val="both"/>
        <w:rPr>
          <w:rFonts w:ascii="Times New Roman" w:hAnsi="Times New Roman" w:eastAsia="楷体_GB2312" w:cs="Times New Roman"/>
        </w:rPr>
      </w:pPr>
      <w:r>
        <w:rPr>
          <w:rFonts w:hint="eastAsia" w:ascii="Times New Roman" w:hAnsi="Times New Roman" w:eastAsia="楷体_GB2312" w:cs="Times New Roman"/>
        </w:rPr>
        <w:t>1、以上计算说明中的202</w:t>
      </w:r>
      <w:r>
        <w:rPr>
          <w:rFonts w:hint="eastAsia" w:ascii="Times New Roman" w:hAnsi="Times New Roman" w:eastAsia="楷体_GB2312" w:cs="Times New Roman"/>
          <w:lang w:val="en-US" w:eastAsia="zh-CN"/>
        </w:rPr>
        <w:t>5</w:t>
      </w:r>
      <w:r>
        <w:rPr>
          <w:rFonts w:hint="eastAsia" w:ascii="Times New Roman" w:hAnsi="Times New Roman" w:eastAsia="楷体_GB2312" w:cs="Times New Roman"/>
        </w:rPr>
        <w:t>年年度可供分配金额系根据</w:t>
      </w:r>
      <w:r>
        <w:rPr>
          <w:rFonts w:hint="eastAsia" w:ascii="Times New Roman" w:hAnsi="Times New Roman" w:eastAsia="楷体_GB2312" w:cs="Times New Roman"/>
          <w:highlight w:val="none"/>
        </w:rPr>
        <w:t>《</w:t>
      </w:r>
      <w:r>
        <w:rPr>
          <w:rFonts w:hint="eastAsia" w:ascii="楷体" w:hAnsi="楷体" w:eastAsia="楷体" w:cs="楷体"/>
          <w:highlight w:val="none"/>
        </w:rPr>
        <w:t>博时招商蛇口产业园封闭式基础设施证券投资基金</w:t>
      </w:r>
      <w:r>
        <w:rPr>
          <w:rFonts w:hint="eastAsia" w:ascii="楷体" w:hAnsi="楷体" w:eastAsia="楷体" w:cs="楷体"/>
          <w:highlight w:val="none"/>
          <w:lang w:val="en-US" w:eastAsia="zh-CN"/>
        </w:rPr>
        <w:t>2025年年度报告</w:t>
      </w:r>
      <w:r>
        <w:rPr>
          <w:rFonts w:hint="eastAsia" w:ascii="Times New Roman" w:hAnsi="Times New Roman" w:eastAsia="楷体_GB2312" w:cs="Times New Roman"/>
          <w:highlight w:val="none"/>
        </w:rPr>
        <w:t>》</w:t>
      </w:r>
      <w:r>
        <w:rPr>
          <w:rFonts w:hint="eastAsia" w:ascii="Times New Roman" w:hAnsi="Times New Roman" w:eastAsia="楷体_GB2312" w:cs="Times New Roman"/>
        </w:rPr>
        <w:t>披露的</w:t>
      </w:r>
      <w:r>
        <w:rPr>
          <w:rFonts w:hint="eastAsia" w:ascii="Times New Roman" w:hAnsi="Times New Roman" w:eastAsia="楷体_GB2312" w:cs="Times New Roman"/>
          <w:lang w:val="en-US" w:eastAsia="zh-CN"/>
        </w:rPr>
        <w:t>报告期可供分配金额。</w:t>
      </w:r>
    </w:p>
    <w:p w14:paraId="1F839093">
      <w:pPr>
        <w:pStyle w:val="7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157" w:afterLines="50" w:afterAutospacing="0" w:line="360" w:lineRule="auto"/>
        <w:ind w:firstLine="480"/>
        <w:jc w:val="both"/>
        <w:textAlignment w:val="auto"/>
        <w:rPr>
          <w:rFonts w:hint="eastAsia" w:ascii="Times New Roman" w:hAnsi="Times New Roman" w:eastAsia="楷体_GB2312" w:cs="Times New Roman"/>
        </w:rPr>
      </w:pPr>
      <w:r>
        <w:rPr>
          <w:rFonts w:hint="eastAsia" w:ascii="Times New Roman" w:hAnsi="Times New Roman" w:eastAsia="楷体_GB2312" w:cs="Times New Roman"/>
        </w:rPr>
        <w:t>2、以上净现金流分派率仅为举例，非基金实际净现金流分派率，亦不构成对投资者实际现金流分派所得情况的预测。净现金流分派率不等同于基金的收益率。</w:t>
      </w:r>
    </w:p>
    <w:p w14:paraId="745F9FE0">
      <w:pPr>
        <w:pStyle w:val="7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157" w:afterLines="50" w:afterAutospacing="0" w:line="360" w:lineRule="auto"/>
        <w:ind w:firstLine="480"/>
        <w:jc w:val="both"/>
        <w:textAlignment w:val="auto"/>
        <w:rPr>
          <w:rFonts w:ascii="Times New Roman" w:hAnsi="Times New Roman" w:eastAsia="楷体_GB2312" w:cs="Times New Roman"/>
        </w:rPr>
      </w:pPr>
      <w:r>
        <w:rPr>
          <w:rFonts w:hint="default" w:ascii="Times New Roman" w:hAnsi="Times New Roman" w:eastAsia="楷体_GB2312" w:cs="Times New Roman"/>
        </w:rPr>
        <w:t>（</w:t>
      </w:r>
      <w:r>
        <w:rPr>
          <w:rFonts w:hint="eastAsia" w:ascii="Times New Roman" w:hAnsi="Times New Roman" w:eastAsia="楷体_GB2312" w:cs="Times New Roman"/>
          <w:lang w:eastAsia="zh-CN"/>
        </w:rPr>
        <w:t>三</w:t>
      </w:r>
      <w:r>
        <w:rPr>
          <w:rFonts w:hint="default" w:ascii="Times New Roman" w:hAnsi="Times New Roman" w:eastAsia="楷体_GB2312" w:cs="Times New Roman"/>
        </w:rPr>
        <w:t>）</w:t>
      </w:r>
      <w:r>
        <w:rPr>
          <w:rFonts w:hint="eastAsia" w:ascii="Times New Roman" w:hAnsi="Times New Roman" w:eastAsia="楷体_GB2312" w:cs="Times New Roman"/>
        </w:rPr>
        <w:t>本基金不同于股票、债券或主要投资于股票、债券的基金。本基金主要投资于最终投资标的为</w:t>
      </w:r>
      <w:r>
        <w:rPr>
          <w:rFonts w:hint="eastAsia" w:ascii="Times New Roman" w:hAnsi="Times New Roman" w:eastAsia="楷体_GB2312" w:cs="Times New Roman"/>
          <w:lang w:val="en-US" w:eastAsia="zh-CN"/>
        </w:rPr>
        <w:t>不动产</w:t>
      </w:r>
      <w:r>
        <w:rPr>
          <w:rFonts w:hint="eastAsia" w:ascii="Times New Roman" w:hAnsi="Times New Roman" w:eastAsia="楷体_GB2312" w:cs="Times New Roman"/>
        </w:rPr>
        <w:t>项目的</w:t>
      </w:r>
      <w:r>
        <w:rPr>
          <w:rFonts w:hint="eastAsia" w:ascii="Times New Roman" w:hAnsi="Times New Roman" w:eastAsia="楷体_GB2312" w:cs="Times New Roman"/>
          <w:lang w:val="en-US" w:eastAsia="zh-CN"/>
        </w:rPr>
        <w:t>不动产</w:t>
      </w:r>
      <w:r>
        <w:rPr>
          <w:rFonts w:hint="eastAsia" w:ascii="Times New Roman" w:hAnsi="Times New Roman" w:eastAsia="楷体_GB2312" w:cs="Times New Roman"/>
        </w:rPr>
        <w:t>资产支持证券，并持有其全部份额，基金通过资产支持证券、项目公司等特殊目的载体取得</w:t>
      </w:r>
      <w:r>
        <w:rPr>
          <w:rFonts w:hint="eastAsia" w:ascii="Times New Roman" w:hAnsi="Times New Roman" w:eastAsia="楷体_GB2312" w:cs="Times New Roman"/>
          <w:lang w:val="en-US" w:eastAsia="zh-CN"/>
        </w:rPr>
        <w:t>不动产</w:t>
      </w:r>
      <w:r>
        <w:rPr>
          <w:rFonts w:hint="eastAsia" w:ascii="Times New Roman" w:hAnsi="Times New Roman" w:eastAsia="楷体_GB2312" w:cs="Times New Roman"/>
        </w:rPr>
        <w:t>项目完全所有权。基金交易价格会因为</w:t>
      </w:r>
      <w:r>
        <w:rPr>
          <w:rFonts w:hint="eastAsia" w:ascii="Times New Roman" w:hAnsi="Times New Roman" w:eastAsia="楷体_GB2312" w:cs="Times New Roman"/>
          <w:lang w:val="en-US" w:eastAsia="zh-CN"/>
        </w:rPr>
        <w:t>不动产</w:t>
      </w:r>
      <w:r>
        <w:rPr>
          <w:rFonts w:hint="eastAsia" w:ascii="Times New Roman" w:hAnsi="Times New Roman" w:eastAsia="楷体_GB2312" w:cs="Times New Roman"/>
        </w:rPr>
        <w:t>项目运营情况、证券市场波动等因素产生波动，投资人在投资本基金前，应全面了解本基金的产品特性，充分考虑自身的风险承受能力，并承担基金投资中出现的各类风险，包括但不限于：因政治、经济、社会等环境因素对证券价格产生影响而形成的系统性风险，基金管理人在</w:t>
      </w:r>
      <w:r>
        <w:rPr>
          <w:rFonts w:hint="eastAsia" w:ascii="Times New Roman" w:hAnsi="Times New Roman" w:eastAsia="楷体_GB2312" w:cs="Times New Roman"/>
          <w:lang w:val="en-US" w:eastAsia="zh-CN"/>
        </w:rPr>
        <w:t>不动产</w:t>
      </w:r>
      <w:r>
        <w:rPr>
          <w:rFonts w:hint="eastAsia" w:ascii="Times New Roman" w:hAnsi="Times New Roman" w:eastAsia="楷体_GB2312" w:cs="Times New Roman"/>
        </w:rPr>
        <w:t>项目运营过程中产生的风险等。</w:t>
      </w:r>
    </w:p>
    <w:p w14:paraId="017DA873">
      <w:pPr>
        <w:pStyle w:val="7"/>
        <w:snapToGrid w:val="0"/>
        <w:spacing w:before="0" w:beforeAutospacing="0" w:after="0" w:afterAutospacing="0" w:line="360" w:lineRule="auto"/>
        <w:ind w:firstLine="480"/>
        <w:jc w:val="both"/>
        <w:rPr>
          <w:rFonts w:ascii="Times New Roman" w:hAnsi="Times New Roman" w:eastAsia="楷体_GB2312" w:cs="Times New Roman"/>
        </w:rPr>
      </w:pPr>
    </w:p>
    <w:p w14:paraId="512F7BBF">
      <w:pPr>
        <w:pStyle w:val="7"/>
        <w:snapToGrid w:val="0"/>
        <w:spacing w:before="0" w:beforeAutospacing="0" w:after="0" w:afterAutospacing="0" w:line="360" w:lineRule="auto"/>
        <w:ind w:firstLine="482"/>
        <w:jc w:val="both"/>
        <w:rPr>
          <w:rFonts w:ascii="Times New Roman" w:hAnsi="Times New Roman" w:eastAsia="楷体_GB2312" w:cs="Times New Roman"/>
          <w:b/>
        </w:rPr>
      </w:pPr>
      <w:r>
        <w:rPr>
          <w:rFonts w:hint="default" w:ascii="Times New Roman" w:hAnsi="Times New Roman" w:eastAsia="楷体_GB2312" w:cs="Times New Roman"/>
          <w:b/>
          <w:lang w:eastAsia="zh-CN"/>
        </w:rPr>
        <w:t>六</w:t>
      </w:r>
      <w:r>
        <w:rPr>
          <w:rFonts w:hint="default" w:ascii="Times New Roman" w:hAnsi="Times New Roman" w:eastAsia="楷体_GB2312" w:cs="Times New Roman"/>
          <w:b/>
        </w:rPr>
        <w:t>、相关机构联系方式</w:t>
      </w:r>
    </w:p>
    <w:p w14:paraId="477C215A">
      <w:pPr>
        <w:pStyle w:val="7"/>
        <w:snapToGrid w:val="0"/>
        <w:spacing w:before="0" w:beforeAutospacing="0" w:after="0" w:afterAutospacing="0" w:line="360" w:lineRule="auto"/>
        <w:ind w:firstLine="480"/>
        <w:jc w:val="both"/>
        <w:rPr>
          <w:rFonts w:ascii="Times New Roman" w:hAnsi="Times New Roman" w:eastAsia="楷体_GB2312" w:cs="Times New Roman"/>
        </w:rPr>
      </w:pPr>
      <w:r>
        <w:rPr>
          <w:rFonts w:hint="default" w:ascii="Times New Roman" w:hAnsi="Times New Roman" w:eastAsia="楷体_GB2312" w:cs="Times New Roman"/>
        </w:rPr>
        <w:t>本基金份额持有人及希望了解本基金其他有关信息的投资者，可以登录本基金管理人网站（http</w:t>
      </w:r>
      <w:r>
        <w:rPr>
          <w:rFonts w:hint="eastAsia" w:ascii="Times New Roman" w:hAnsi="Times New Roman" w:eastAsia="楷体_GB2312" w:cs="Times New Roman"/>
          <w:lang w:val="en-US" w:eastAsia="zh-CN"/>
        </w:rPr>
        <w:t>s</w:t>
      </w:r>
      <w:r>
        <w:rPr>
          <w:rFonts w:hint="default" w:ascii="Times New Roman" w:hAnsi="Times New Roman" w:eastAsia="楷体_GB2312" w:cs="Times New Roman"/>
        </w:rPr>
        <w:t>://www.bosera.com）或拨打博时一线通95105568（免长途费）咨询相关事宜。</w:t>
      </w:r>
    </w:p>
    <w:p w14:paraId="4EB1E9FA">
      <w:pPr>
        <w:pStyle w:val="7"/>
        <w:snapToGrid w:val="0"/>
        <w:spacing w:before="0" w:beforeAutospacing="0" w:after="0" w:afterAutospacing="0" w:line="360" w:lineRule="auto"/>
        <w:ind w:firstLine="482"/>
        <w:jc w:val="both"/>
        <w:rPr>
          <w:rFonts w:ascii="Times New Roman" w:hAnsi="Times New Roman" w:eastAsia="楷体_GB2312" w:cs="Times New Roman"/>
          <w:b/>
        </w:rPr>
      </w:pPr>
      <w:r>
        <w:rPr>
          <w:rFonts w:hint="default" w:ascii="Times New Roman" w:hAnsi="Times New Roman" w:eastAsia="楷体_GB2312" w:cs="Times New Roman"/>
          <w:b/>
          <w:lang w:eastAsia="zh-CN"/>
        </w:rPr>
        <w:t>七</w:t>
      </w:r>
      <w:r>
        <w:rPr>
          <w:rFonts w:hint="default" w:ascii="Times New Roman" w:hAnsi="Times New Roman" w:eastAsia="楷体_GB2312" w:cs="Times New Roman"/>
          <w:b/>
        </w:rPr>
        <w:t>、风险提示</w:t>
      </w:r>
    </w:p>
    <w:p w14:paraId="36B278C4">
      <w:pPr>
        <w:pStyle w:val="7"/>
        <w:snapToGrid w:val="0"/>
        <w:spacing w:before="0" w:beforeAutospacing="0" w:after="0" w:afterAutospacing="0" w:line="360" w:lineRule="auto"/>
        <w:ind w:firstLine="480"/>
        <w:jc w:val="both"/>
        <w:rPr>
          <w:rFonts w:ascii="Times New Roman" w:hAnsi="Times New Roman" w:eastAsia="楷体_GB2312" w:cs="Times New Roman"/>
        </w:rPr>
      </w:pPr>
      <w:r>
        <w:rPr>
          <w:rFonts w:hint="eastAsia" w:ascii="Times New Roman" w:hAnsi="Times New Roman" w:eastAsia="楷体_GB2312" w:cs="Times New Roman"/>
        </w:rPr>
        <w:t>基金管理人承诺以诚实信用、勤勉尽责的原则管理和运用基金资产，但不保证基金一定盈利，也不保证最低收益。销售机构根据法规要求对投资者类别、风险承受能力和基金的风险等级进行划分，并提出适当性匹配意见。投资者在投资基金前应认真阅读《博时招商蛇口产业园封闭式基础设施证券投资基金基金合同》、《博时招商蛇口产业园封闭式基础设施证券投资基金招募说明书》和基金产品资料概要等基金法律文件，全面认识基金产品的风险收益特征，在了解产品情况及销售机构适当性意见的基础上，根据自身的风险承受能力、投资期限和投资目标，对基金投资作出独立决策，选择合适的基金产品。基金管理人提醒投资者基金投资的“买者自负”原则，在投资者作出投资决策后，基金运营状况与基金净值变化引致的投资风险，由投资者自行负责。</w:t>
      </w:r>
    </w:p>
    <w:p w14:paraId="3D898D3B">
      <w:pPr>
        <w:pStyle w:val="7"/>
        <w:snapToGrid w:val="0"/>
        <w:spacing w:before="0" w:beforeAutospacing="0" w:after="0" w:afterAutospacing="0" w:line="360" w:lineRule="auto"/>
        <w:ind w:firstLine="480"/>
        <w:jc w:val="both"/>
        <w:rPr>
          <w:rFonts w:ascii="Times New Roman" w:hAnsi="Times New Roman" w:eastAsia="楷体_GB2312" w:cs="Times New Roman"/>
        </w:rPr>
      </w:pPr>
      <w:r>
        <w:rPr>
          <w:rFonts w:hint="eastAsia" w:ascii="Times New Roman" w:hAnsi="Times New Roman" w:eastAsia="楷体_GB2312" w:cs="Times New Roman"/>
        </w:rPr>
        <w:t xml:space="preserve">特此公告。 </w:t>
      </w:r>
    </w:p>
    <w:p w14:paraId="13CB69D7">
      <w:pPr>
        <w:pStyle w:val="7"/>
        <w:snapToGrid w:val="0"/>
        <w:spacing w:before="0" w:beforeAutospacing="0" w:after="0" w:afterAutospacing="0" w:line="360" w:lineRule="auto"/>
        <w:ind w:firstLine="480"/>
        <w:jc w:val="right"/>
        <w:rPr>
          <w:rFonts w:ascii="Times New Roman" w:hAnsi="Times New Roman" w:eastAsia="楷体_GB2312" w:cs="Times New Roman"/>
        </w:rPr>
      </w:pPr>
    </w:p>
    <w:p w14:paraId="57541B4E">
      <w:pPr>
        <w:pStyle w:val="7"/>
        <w:snapToGrid w:val="0"/>
        <w:spacing w:before="0" w:beforeAutospacing="0" w:after="0" w:afterAutospacing="0" w:line="360" w:lineRule="auto"/>
        <w:ind w:firstLine="480"/>
        <w:jc w:val="right"/>
        <w:rPr>
          <w:rFonts w:ascii="Times New Roman" w:hAnsi="Times New Roman" w:eastAsia="楷体_GB2312" w:cs="Times New Roman"/>
        </w:rPr>
      </w:pPr>
      <w:r>
        <w:rPr>
          <w:rFonts w:hint="default" w:ascii="Times New Roman" w:hAnsi="Times New Roman" w:eastAsia="楷体_GB2312" w:cs="Times New Roman"/>
        </w:rPr>
        <w:t>博时基金管理有限公司</w:t>
      </w:r>
    </w:p>
    <w:p w14:paraId="20A7954B">
      <w:pPr>
        <w:pStyle w:val="7"/>
        <w:snapToGrid w:val="0"/>
        <w:spacing w:before="0" w:beforeAutospacing="0" w:after="0" w:afterAutospacing="0" w:line="360" w:lineRule="auto"/>
        <w:ind w:firstLine="480"/>
        <w:jc w:val="right"/>
        <w:rPr>
          <w:rFonts w:ascii="Times New Roman" w:hAnsi="Times New Roman" w:eastAsia="楷体_GB2312" w:cs="Times New Roman"/>
        </w:rPr>
      </w:pPr>
      <w:r>
        <w:rPr>
          <w:rFonts w:hint="eastAsia" w:ascii="Times New Roman" w:hAnsi="Times New Roman" w:eastAsia="楷体_GB2312" w:cs="Times New Roman"/>
        </w:rPr>
        <w:t>202</w:t>
      </w:r>
      <w:r>
        <w:rPr>
          <w:rFonts w:hint="eastAsia" w:ascii="Times New Roman" w:hAnsi="Times New Roman" w:eastAsia="楷体_GB2312" w:cs="Times New Roman"/>
          <w:lang w:val="en-US" w:eastAsia="zh-CN"/>
        </w:rPr>
        <w:t>6</w:t>
      </w:r>
      <w:r>
        <w:rPr>
          <w:rFonts w:hint="eastAsia" w:ascii="Times New Roman" w:hAnsi="Times New Roman" w:eastAsia="楷体_GB2312" w:cs="Times New Roman"/>
        </w:rPr>
        <w:t>年</w:t>
      </w:r>
      <w:r>
        <w:rPr>
          <w:rFonts w:hint="eastAsia" w:ascii="Times New Roman" w:hAnsi="Times New Roman" w:eastAsia="楷体_GB2312" w:cs="Times New Roman"/>
          <w:lang w:val="en-US" w:eastAsia="zh-CN"/>
        </w:rPr>
        <w:t>6</w:t>
      </w:r>
      <w:r>
        <w:rPr>
          <w:rFonts w:hint="eastAsia" w:ascii="Times New Roman" w:hAnsi="Times New Roman" w:eastAsia="楷体_GB2312" w:cs="Times New Roman"/>
        </w:rPr>
        <w:t>月</w:t>
      </w:r>
      <w:r>
        <w:rPr>
          <w:rFonts w:hint="eastAsia" w:ascii="Times New Roman" w:hAnsi="Times New Roman" w:eastAsia="楷体_GB2312" w:cs="Times New Roman"/>
          <w:lang w:val="en-US" w:eastAsia="zh-CN"/>
        </w:rPr>
        <w:t>10</w:t>
      </w:r>
      <w:r>
        <w:rPr>
          <w:rFonts w:hint="eastAsia" w:ascii="Times New Roman" w:hAnsi="Times New Roman" w:eastAsia="楷体_GB2312" w:cs="Times New Roman"/>
        </w:rPr>
        <w:t>日</w:t>
      </w:r>
    </w:p>
    <w:p w14:paraId="3E82F387">
      <w:pPr>
        <w:pStyle w:val="7"/>
        <w:snapToGrid w:val="0"/>
        <w:spacing w:before="0" w:beforeAutospacing="0" w:after="0" w:afterAutospacing="0" w:line="360" w:lineRule="auto"/>
        <w:ind w:firstLine="480"/>
        <w:jc w:val="right"/>
        <w:rPr>
          <w:rFonts w:ascii="Times New Roman" w:hAnsi="Times New Roman" w:eastAsia="楷体_GB2312" w:cs="Times New Roma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/>
  </w:endnote>
  <w:endnote w:type="continuationSeparator" w:id="1">
    <w:p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monospace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楷体_GB2312">
    <w:altName w:val="楷体"/>
    <w:panose1 w:val="00000000000000000000"/>
    <w:charset w:val="86"/>
    <w:family w:val="swiss"/>
    <w:pitch w:val="default"/>
    <w:sig w:usb0="00000000" w:usb1="00000000" w:usb2="0000001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KaiTi_GB2312">
    <w:altName w:val="楷体"/>
    <w:panose1 w:val="00000000000000000000"/>
    <w:charset w:val="86"/>
    <w:family w:val="swiss"/>
    <w:pitch w:val="default"/>
    <w:sig w:usb0="00000000" w:usb1="00000000" w:usb2="00000000" w:usb3="00000000" w:csb0="0004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/>
  </w:footnote>
  <w:footnote w:type="continuationSeparator" w:id="1">
    <w:p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8627EA1"/>
    <w:multiLevelType w:val="singleLevel"/>
    <w:tmpl w:val="88627EA1"/>
    <w:lvl w:ilvl="0" w:tentative="0">
      <w:start w:val="4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2A27"/>
    <w:rsid w:val="000245F6"/>
    <w:rsid w:val="00027128"/>
    <w:rsid w:val="00055197"/>
    <w:rsid w:val="000724EA"/>
    <w:rsid w:val="000739E1"/>
    <w:rsid w:val="000B26FC"/>
    <w:rsid w:val="000D2DE3"/>
    <w:rsid w:val="000F35C4"/>
    <w:rsid w:val="001254D6"/>
    <w:rsid w:val="00126663"/>
    <w:rsid w:val="00147FCC"/>
    <w:rsid w:val="001533A5"/>
    <w:rsid w:val="00172A27"/>
    <w:rsid w:val="00292351"/>
    <w:rsid w:val="00350399"/>
    <w:rsid w:val="00474EB3"/>
    <w:rsid w:val="00561FDE"/>
    <w:rsid w:val="00603907"/>
    <w:rsid w:val="0061286B"/>
    <w:rsid w:val="00616D31"/>
    <w:rsid w:val="006B1A75"/>
    <w:rsid w:val="007C63FF"/>
    <w:rsid w:val="007D4A1C"/>
    <w:rsid w:val="008124D8"/>
    <w:rsid w:val="00837A62"/>
    <w:rsid w:val="008669EF"/>
    <w:rsid w:val="00885943"/>
    <w:rsid w:val="008E04C7"/>
    <w:rsid w:val="00924CF0"/>
    <w:rsid w:val="00947657"/>
    <w:rsid w:val="00954CD8"/>
    <w:rsid w:val="009B2F12"/>
    <w:rsid w:val="009B6882"/>
    <w:rsid w:val="009C29F3"/>
    <w:rsid w:val="009C415D"/>
    <w:rsid w:val="009D0C15"/>
    <w:rsid w:val="00A638E4"/>
    <w:rsid w:val="00AA5224"/>
    <w:rsid w:val="00AC0C8E"/>
    <w:rsid w:val="00AD5894"/>
    <w:rsid w:val="00AE3D36"/>
    <w:rsid w:val="00AE6A89"/>
    <w:rsid w:val="00B30524"/>
    <w:rsid w:val="00B45ABD"/>
    <w:rsid w:val="00B46529"/>
    <w:rsid w:val="00C014C6"/>
    <w:rsid w:val="00C5126C"/>
    <w:rsid w:val="00C62731"/>
    <w:rsid w:val="00C643DC"/>
    <w:rsid w:val="00CF27DC"/>
    <w:rsid w:val="00D53425"/>
    <w:rsid w:val="00DE3CD5"/>
    <w:rsid w:val="00E12612"/>
    <w:rsid w:val="00E20B77"/>
    <w:rsid w:val="00E3712E"/>
    <w:rsid w:val="00E8649C"/>
    <w:rsid w:val="00EA427A"/>
    <w:rsid w:val="00EE608D"/>
    <w:rsid w:val="00F26ED8"/>
    <w:rsid w:val="00F40D03"/>
    <w:rsid w:val="017243F6"/>
    <w:rsid w:val="05CB212B"/>
    <w:rsid w:val="086C7A1F"/>
    <w:rsid w:val="096D20B1"/>
    <w:rsid w:val="0C382C6B"/>
    <w:rsid w:val="0C6C4D29"/>
    <w:rsid w:val="0DF96C83"/>
    <w:rsid w:val="14F66259"/>
    <w:rsid w:val="15315DFC"/>
    <w:rsid w:val="18080548"/>
    <w:rsid w:val="180C24E1"/>
    <w:rsid w:val="1A3D4A55"/>
    <w:rsid w:val="1AEC5E95"/>
    <w:rsid w:val="1BBE355D"/>
    <w:rsid w:val="1C2818B5"/>
    <w:rsid w:val="21A71A62"/>
    <w:rsid w:val="227321CF"/>
    <w:rsid w:val="23D2178E"/>
    <w:rsid w:val="24DE1982"/>
    <w:rsid w:val="25862709"/>
    <w:rsid w:val="25B92D7D"/>
    <w:rsid w:val="26DE1E50"/>
    <w:rsid w:val="2AB149B9"/>
    <w:rsid w:val="2B602F4C"/>
    <w:rsid w:val="2C004309"/>
    <w:rsid w:val="32544FB6"/>
    <w:rsid w:val="354B3EC5"/>
    <w:rsid w:val="35A66B92"/>
    <w:rsid w:val="35AA4894"/>
    <w:rsid w:val="3638531A"/>
    <w:rsid w:val="372845A4"/>
    <w:rsid w:val="38C979E5"/>
    <w:rsid w:val="38DE69D7"/>
    <w:rsid w:val="39330C3E"/>
    <w:rsid w:val="39514803"/>
    <w:rsid w:val="3AEB78E1"/>
    <w:rsid w:val="3B6E4317"/>
    <w:rsid w:val="3CDE30AB"/>
    <w:rsid w:val="3E4B6FF9"/>
    <w:rsid w:val="3E8F6104"/>
    <w:rsid w:val="415762DB"/>
    <w:rsid w:val="42103CB3"/>
    <w:rsid w:val="44773462"/>
    <w:rsid w:val="48272DCD"/>
    <w:rsid w:val="49142A7B"/>
    <w:rsid w:val="4AE401D1"/>
    <w:rsid w:val="4C115F56"/>
    <w:rsid w:val="4C75632F"/>
    <w:rsid w:val="4D57400C"/>
    <w:rsid w:val="525C13B3"/>
    <w:rsid w:val="53A6758A"/>
    <w:rsid w:val="5569793E"/>
    <w:rsid w:val="568556E5"/>
    <w:rsid w:val="58095862"/>
    <w:rsid w:val="58CD5400"/>
    <w:rsid w:val="5AC83393"/>
    <w:rsid w:val="5F33116F"/>
    <w:rsid w:val="60A46DAB"/>
    <w:rsid w:val="616B23E1"/>
    <w:rsid w:val="64477323"/>
    <w:rsid w:val="6797236D"/>
    <w:rsid w:val="6BAB5D34"/>
    <w:rsid w:val="6CC36F15"/>
    <w:rsid w:val="6CCA3E19"/>
    <w:rsid w:val="6D980FF1"/>
    <w:rsid w:val="6E3B266B"/>
    <w:rsid w:val="702B22CF"/>
    <w:rsid w:val="73E20776"/>
    <w:rsid w:val="7412791E"/>
    <w:rsid w:val="755B4ED8"/>
    <w:rsid w:val="7613142D"/>
    <w:rsid w:val="7BE54933"/>
    <w:rsid w:val="7D6608B5"/>
    <w:rsid w:val="7F094B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qFormat="1" w:unhideWhenUsed="0" w:uiPriority="0" w:semiHidden="0" w:name="footnote text"/>
    <w:lsdException w:qFormat="1" w:unhideWhenUsed="0" w:uiPriority="0" w:semiHidden="0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qFormat="1" w:unhideWhenUsed="0" w:uiPriority="0" w:semiHidden="0" w:name="footnote reference"/>
    <w:lsdException w:qFormat="1" w:unhideWhenUsed="0" w:uiPriority="0" w:semiHidden="0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qFormat="1"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nhideWhenUsed="0" w:uiPriority="99" w:semiHidden="0" w:name="Normal (Web)"/>
    <w:lsdException w:uiPriority="99" w:name="HTML Acronym"/>
    <w:lsdException w:uiPriority="99" w:name="HTML Address"/>
    <w:lsdException w:uiPriority="99" w:name="HTML Cite"/>
    <w:lsdException w:qFormat="1" w:uiPriority="99" w:name="HTML Code"/>
    <w:lsdException w:qFormat="1" w:uiPriority="99" w:name="HTML Definition"/>
    <w:lsdException w:qFormat="1" w:uiPriority="99" w:name="HTML Keyboard"/>
    <w:lsdException w:uiPriority="99" w:name="HTML Preformatted"/>
    <w:lsdException w:qFormat="1" w:uiPriority="99" w:name="HTML Sample"/>
    <w:lsdException w:uiPriority="99" w:name="HTML Typewriter"/>
    <w:lsdException w:uiPriority="99" w:name="HTML Variable"/>
    <w:lsdException w:qFormat="1" w:uiPriority="99" w:name="Normal Table"/>
    <w:lsdException w:qFormat="1"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autoSpaceDE w:val="0"/>
      <w:autoSpaceDN w:val="0"/>
      <w:adjustRightInd w:val="0"/>
      <w:textAlignment w:val="baseline"/>
    </w:pPr>
    <w:rPr>
      <w:rFonts w:ascii="Times New Roman" w:hAnsi="Times New Roman" w:eastAsia="宋体" w:cs="Times New Roman"/>
      <w:lang w:val="en-US" w:eastAsia="zh-CN" w:bidi="ar-SA"/>
    </w:rPr>
  </w:style>
  <w:style w:type="character" w:default="1" w:styleId="10">
    <w:name w:val="Default Paragraph Font"/>
    <w:semiHidden/>
    <w:unhideWhenUsed/>
    <w:qFormat/>
    <w:uiPriority w:val="1"/>
  </w:style>
  <w:style w:type="table" w:default="1" w:styleId="9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link w:val="21"/>
    <w:qFormat/>
    <w:uiPriority w:val="0"/>
  </w:style>
  <w:style w:type="paragraph" w:styleId="3">
    <w:name w:val="Balloon Text"/>
    <w:basedOn w:val="1"/>
    <w:link w:val="23"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25"/>
    <w:unhideWhenUsed/>
    <w:qFormat/>
    <w:uiPriority w:val="99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5">
    <w:name w:val="header"/>
    <w:basedOn w:val="1"/>
    <w:link w:val="24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footnote text"/>
    <w:basedOn w:val="1"/>
    <w:link w:val="22"/>
    <w:qFormat/>
    <w:uiPriority w:val="0"/>
    <w:pPr>
      <w:snapToGrid w:val="0"/>
    </w:pPr>
    <w:rPr>
      <w:sz w:val="18"/>
      <w:szCs w:val="18"/>
    </w:rPr>
  </w:style>
  <w:style w:type="paragraph" w:styleId="7">
    <w:name w:val="Normal (Web)"/>
    <w:basedOn w:val="1"/>
    <w:qFormat/>
    <w:uiPriority w:val="99"/>
    <w:pPr>
      <w:widowControl/>
      <w:autoSpaceDE/>
      <w:autoSpaceDN/>
      <w:adjustRightInd/>
      <w:spacing w:before="100" w:beforeAutospacing="1" w:after="100" w:afterAutospacing="1" w:line="560" w:lineRule="exact"/>
      <w:ind w:firstLine="200" w:firstLineChars="200"/>
      <w:textAlignment w:val="auto"/>
    </w:pPr>
    <w:rPr>
      <w:rFonts w:ascii="宋体" w:hAnsi="宋体" w:cs="宋体"/>
      <w:color w:val="000000"/>
      <w:sz w:val="24"/>
      <w:szCs w:val="24"/>
    </w:rPr>
  </w:style>
  <w:style w:type="paragraph" w:styleId="8">
    <w:name w:val="annotation subject"/>
    <w:basedOn w:val="2"/>
    <w:next w:val="2"/>
    <w:link w:val="26"/>
    <w:semiHidden/>
    <w:unhideWhenUsed/>
    <w:qFormat/>
    <w:uiPriority w:val="99"/>
    <w:rPr>
      <w:b/>
      <w:bCs/>
    </w:rPr>
  </w:style>
  <w:style w:type="character" w:styleId="11">
    <w:name w:val="Strong"/>
    <w:basedOn w:val="10"/>
    <w:qFormat/>
    <w:uiPriority w:val="22"/>
    <w:rPr>
      <w:b/>
      <w:bCs/>
    </w:rPr>
  </w:style>
  <w:style w:type="character" w:styleId="12">
    <w:name w:val="FollowedHyperlink"/>
    <w:basedOn w:val="10"/>
    <w:semiHidden/>
    <w:unhideWhenUsed/>
    <w:qFormat/>
    <w:uiPriority w:val="99"/>
    <w:rPr>
      <w:color w:val="333333"/>
      <w:u w:val="none"/>
    </w:rPr>
  </w:style>
  <w:style w:type="character" w:styleId="13">
    <w:name w:val="Emphasis"/>
    <w:basedOn w:val="10"/>
    <w:qFormat/>
    <w:uiPriority w:val="20"/>
    <w:rPr>
      <w:color w:val="D70C19"/>
    </w:rPr>
  </w:style>
  <w:style w:type="character" w:styleId="14">
    <w:name w:val="HTML Definition"/>
    <w:basedOn w:val="10"/>
    <w:semiHidden/>
    <w:unhideWhenUsed/>
    <w:qFormat/>
    <w:uiPriority w:val="99"/>
    <w:rPr>
      <w:i/>
      <w:iCs/>
    </w:rPr>
  </w:style>
  <w:style w:type="character" w:styleId="15">
    <w:name w:val="Hyperlink"/>
    <w:basedOn w:val="10"/>
    <w:semiHidden/>
    <w:unhideWhenUsed/>
    <w:qFormat/>
    <w:uiPriority w:val="99"/>
    <w:rPr>
      <w:color w:val="333333"/>
      <w:u w:val="none"/>
    </w:rPr>
  </w:style>
  <w:style w:type="character" w:styleId="16">
    <w:name w:val="HTML Code"/>
    <w:basedOn w:val="10"/>
    <w:semiHidden/>
    <w:unhideWhenUsed/>
    <w:qFormat/>
    <w:uiPriority w:val="99"/>
    <w:rPr>
      <w:rFonts w:hint="default" w:ascii="monospace" w:hAnsi="monospace" w:eastAsia="monospace" w:cs="monospace"/>
      <w:sz w:val="21"/>
      <w:szCs w:val="21"/>
    </w:rPr>
  </w:style>
  <w:style w:type="character" w:styleId="17">
    <w:name w:val="annotation reference"/>
    <w:qFormat/>
    <w:uiPriority w:val="0"/>
    <w:rPr>
      <w:sz w:val="21"/>
      <w:szCs w:val="21"/>
    </w:rPr>
  </w:style>
  <w:style w:type="character" w:styleId="18">
    <w:name w:val="footnote reference"/>
    <w:qFormat/>
    <w:uiPriority w:val="0"/>
    <w:rPr>
      <w:vertAlign w:val="superscript"/>
    </w:rPr>
  </w:style>
  <w:style w:type="character" w:styleId="19">
    <w:name w:val="HTML Keyboard"/>
    <w:basedOn w:val="10"/>
    <w:semiHidden/>
    <w:unhideWhenUsed/>
    <w:qFormat/>
    <w:uiPriority w:val="99"/>
    <w:rPr>
      <w:rFonts w:hint="default" w:ascii="monospace" w:hAnsi="monospace" w:eastAsia="monospace" w:cs="monospace"/>
      <w:sz w:val="21"/>
      <w:szCs w:val="21"/>
      <w:bdr w:val="single" w:color="DDDDDD" w:sz="4" w:space="0"/>
      <w:shd w:val="clear" w:color="auto" w:fill="EFEFEF"/>
    </w:rPr>
  </w:style>
  <w:style w:type="character" w:styleId="20">
    <w:name w:val="HTML Sample"/>
    <w:basedOn w:val="10"/>
    <w:semiHidden/>
    <w:unhideWhenUsed/>
    <w:qFormat/>
    <w:uiPriority w:val="99"/>
    <w:rPr>
      <w:rFonts w:ascii="monospace" w:hAnsi="monospace" w:eastAsia="monospace" w:cs="monospace"/>
      <w:sz w:val="21"/>
      <w:szCs w:val="21"/>
    </w:rPr>
  </w:style>
  <w:style w:type="character" w:customStyle="1" w:styleId="21">
    <w:name w:val="批注文字 字符"/>
    <w:basedOn w:val="10"/>
    <w:link w:val="2"/>
    <w:qFormat/>
    <w:uiPriority w:val="0"/>
    <w:rPr>
      <w:rFonts w:ascii="Times New Roman" w:hAnsi="Times New Roman" w:eastAsia="宋体" w:cs="Times New Roman"/>
      <w:kern w:val="0"/>
      <w:sz w:val="20"/>
      <w:szCs w:val="20"/>
    </w:rPr>
  </w:style>
  <w:style w:type="character" w:customStyle="1" w:styleId="22">
    <w:name w:val="脚注文本 字符"/>
    <w:basedOn w:val="10"/>
    <w:link w:val="6"/>
    <w:qFormat/>
    <w:uiPriority w:val="0"/>
    <w:rPr>
      <w:rFonts w:ascii="Times New Roman" w:hAnsi="Times New Roman" w:eastAsia="宋体" w:cs="Times New Roman"/>
      <w:kern w:val="0"/>
      <w:sz w:val="18"/>
      <w:szCs w:val="18"/>
    </w:rPr>
  </w:style>
  <w:style w:type="character" w:customStyle="1" w:styleId="23">
    <w:name w:val="批注框文本 字符"/>
    <w:basedOn w:val="10"/>
    <w:link w:val="3"/>
    <w:semiHidden/>
    <w:qFormat/>
    <w:uiPriority w:val="99"/>
    <w:rPr>
      <w:rFonts w:ascii="Times New Roman" w:hAnsi="Times New Roman" w:eastAsia="宋体" w:cs="Times New Roman"/>
      <w:kern w:val="0"/>
      <w:sz w:val="18"/>
      <w:szCs w:val="18"/>
    </w:rPr>
  </w:style>
  <w:style w:type="character" w:customStyle="1" w:styleId="24">
    <w:name w:val="页眉 字符"/>
    <w:basedOn w:val="10"/>
    <w:link w:val="5"/>
    <w:qFormat/>
    <w:uiPriority w:val="99"/>
    <w:rPr>
      <w:rFonts w:ascii="Times New Roman" w:hAnsi="Times New Roman" w:eastAsia="宋体" w:cs="Times New Roman"/>
      <w:kern w:val="0"/>
      <w:sz w:val="18"/>
      <w:szCs w:val="18"/>
    </w:rPr>
  </w:style>
  <w:style w:type="character" w:customStyle="1" w:styleId="25">
    <w:name w:val="页脚 字符"/>
    <w:basedOn w:val="10"/>
    <w:link w:val="4"/>
    <w:qFormat/>
    <w:uiPriority w:val="99"/>
    <w:rPr>
      <w:rFonts w:ascii="Times New Roman" w:hAnsi="Times New Roman" w:eastAsia="宋体" w:cs="Times New Roman"/>
      <w:kern w:val="0"/>
      <w:sz w:val="18"/>
      <w:szCs w:val="18"/>
    </w:rPr>
  </w:style>
  <w:style w:type="character" w:customStyle="1" w:styleId="26">
    <w:name w:val="批注主题 字符"/>
    <w:basedOn w:val="21"/>
    <w:link w:val="8"/>
    <w:semiHidden/>
    <w:qFormat/>
    <w:uiPriority w:val="99"/>
    <w:rPr>
      <w:rFonts w:ascii="Times New Roman" w:hAnsi="Times New Roman" w:eastAsia="宋体" w:cs="Times New Roman"/>
      <w:b/>
      <w:bCs/>
      <w:kern w:val="0"/>
      <w:sz w:val="20"/>
      <w:szCs w:val="20"/>
    </w:rPr>
  </w:style>
  <w:style w:type="paragraph" w:customStyle="1" w:styleId="27">
    <w:name w:val="修订1"/>
    <w:hidden/>
    <w:semiHidden/>
    <w:qFormat/>
    <w:uiPriority w:val="99"/>
    <w:rPr>
      <w:rFonts w:ascii="Times New Roman" w:hAnsi="Times New Roman" w:eastAsia="宋体" w:cs="Times New Roman"/>
      <w:lang w:val="en-US" w:eastAsia="zh-CN" w:bidi="ar-SA"/>
    </w:rPr>
  </w:style>
  <w:style w:type="paragraph" w:customStyle="1" w:styleId="28">
    <w:name w:val="Default"/>
    <w:qFormat/>
    <w:uiPriority w:val="0"/>
    <w:pPr>
      <w:widowControl w:val="0"/>
      <w:autoSpaceDE w:val="0"/>
      <w:autoSpaceDN w:val="0"/>
      <w:adjustRightInd w:val="0"/>
    </w:pPr>
    <w:rPr>
      <w:rFonts w:ascii="宋体" w:eastAsia="宋体" w:cs="宋体" w:hAnsiTheme="minorHAnsi"/>
      <w:color w:val="000000"/>
      <w:sz w:val="24"/>
      <w:szCs w:val="24"/>
      <w:lang w:val="en-US" w:eastAsia="zh-CN" w:bidi="ar-SA"/>
    </w:rPr>
  </w:style>
  <w:style w:type="character" w:customStyle="1" w:styleId="29">
    <w:name w:val="error"/>
    <w:basedOn w:val="10"/>
    <w:qFormat/>
    <w:uiPriority w:val="0"/>
    <w:rPr>
      <w:color w:val="D70C19"/>
      <w:sz w:val="14"/>
      <w:szCs w:val="14"/>
    </w:rPr>
  </w:style>
  <w:style w:type="character" w:customStyle="1" w:styleId="30">
    <w:name w:val="error1"/>
    <w:basedOn w:val="10"/>
    <w:qFormat/>
    <w:uiPriority w:val="0"/>
  </w:style>
  <w:style w:type="character" w:customStyle="1" w:styleId="31">
    <w:name w:val="error2"/>
    <w:basedOn w:val="10"/>
    <w:qFormat/>
    <w:uiPriority w:val="0"/>
  </w:style>
  <w:style w:type="character" w:customStyle="1" w:styleId="32">
    <w:name w:val="font21"/>
    <w:basedOn w:val="10"/>
    <w:qFormat/>
    <w:uiPriority w:val="0"/>
    <w:rPr>
      <w:rFonts w:hint="default" w:ascii="Times New Roman" w:hAnsi="Times New Roman" w:cs="Times New Roman"/>
      <w:color w:val="000000"/>
      <w:sz w:val="20"/>
      <w:szCs w:val="20"/>
      <w:u w:val="none"/>
    </w:rPr>
  </w:style>
  <w:style w:type="character" w:customStyle="1" w:styleId="33">
    <w:name w:val="font41"/>
    <w:basedOn w:val="10"/>
    <w:qFormat/>
    <w:uiPriority w:val="0"/>
    <w:rPr>
      <w:rFonts w:hint="eastAsia" w:ascii="宋体" w:hAnsi="宋体" w:eastAsia="宋体" w:cs="宋体"/>
      <w:color w:val="000000"/>
      <w:sz w:val="20"/>
      <w:szCs w:val="20"/>
      <w:u w:val="none"/>
    </w:rPr>
  </w:style>
  <w:style w:type="paragraph" w:customStyle="1" w:styleId="34">
    <w:name w:val="Revision"/>
    <w:hidden/>
    <w:semiHidden/>
    <w:qFormat/>
    <w:uiPriority w:val="99"/>
    <w:rPr>
      <w:rFonts w:ascii="Times New Roman" w:hAnsi="Times New Roman" w:eastAsia="宋体" w:cs="Times New Roman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P R C</Company>
  <Pages>4</Pages>
  <Words>557</Words>
  <Characters>3180</Characters>
  <Lines>26</Lines>
  <Paragraphs>7</Paragraphs>
  <TotalTime>5</TotalTime>
  <ScaleCrop>false</ScaleCrop>
  <LinksUpToDate>false</LinksUpToDate>
  <CharactersWithSpaces>3730</CharactersWithSpaces>
  <Application>WPS Office_12.8.2.19795_F1E327BC-269C-435d-A152-05C5408002CA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2023-12-05T06:25:00Z</dcterms:created>
  <dc:creator>Chen Wang</dc:creator>
  <cp:lastModifiedBy>wangqc</cp:lastModifiedBy>
  <cp:lastPrinted>2022-05-19T09:29:00Z</cp:lastPrinted>
  <dcterms:modified xsi:type="dcterms:W3CDTF">2026-06-09T05:53:41Z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2052-12.8.2.19795</vt:lpwstr>
  </property>
  <property fmtid="{D5CDD505-2E9C-101B-9397-08002B2CF9AE}" pid="3" name="ICV">
    <vt:lpwstr>CFCCA4B9B8B649A697BBC3D79AD26F0F</vt:lpwstr>
  </property>
</Properties>
</file>