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DF71D">
      <w:pPr>
        <w:snapToGrid w:val="0"/>
        <w:spacing w:line="360" w:lineRule="auto"/>
        <w:jc w:val="center"/>
        <w:rPr>
          <w:rFonts w:hint="eastAsia" w:ascii="宋体" w:hAnsi="宋体" w:eastAsia="宋体" w:cs="宋体"/>
          <w:b/>
          <w:sz w:val="48"/>
          <w:szCs w:val="48"/>
          <w:highlight w:val="none"/>
        </w:rPr>
      </w:pPr>
    </w:p>
    <w:p w14:paraId="23446DB2">
      <w:pPr>
        <w:snapToGrid w:val="0"/>
        <w:spacing w:line="360" w:lineRule="auto"/>
        <w:jc w:val="center"/>
        <w:rPr>
          <w:rFonts w:hint="eastAsia" w:ascii="宋体" w:hAnsi="宋体" w:eastAsia="宋体" w:cs="宋体"/>
          <w:b/>
          <w:sz w:val="48"/>
          <w:szCs w:val="48"/>
          <w:highlight w:val="none"/>
        </w:rPr>
      </w:pPr>
    </w:p>
    <w:p w14:paraId="003C66CC">
      <w:pPr>
        <w:snapToGrid w:val="0"/>
        <w:spacing w:line="360" w:lineRule="auto"/>
        <w:jc w:val="center"/>
        <w:rPr>
          <w:rFonts w:hint="eastAsia" w:ascii="宋体" w:hAnsi="宋体" w:eastAsia="宋体" w:cs="宋体"/>
          <w:b/>
          <w:color w:val="000000"/>
          <w:kern w:val="0"/>
          <w:sz w:val="48"/>
          <w:szCs w:val="48"/>
          <w:highlight w:val="none"/>
        </w:rPr>
      </w:pPr>
      <w:r>
        <w:rPr>
          <w:rFonts w:hint="eastAsia" w:ascii="宋体" w:hAnsi="宋体" w:eastAsia="宋体" w:cs="宋体"/>
          <w:b/>
          <w:sz w:val="48"/>
          <w:szCs w:val="48"/>
          <w:lang w:eastAsia="zh-CN"/>
        </w:rPr>
        <w:t>博时中证机器人交易型开放式指数证券投资基金上市交易公告书</w:t>
      </w:r>
    </w:p>
    <w:p w14:paraId="209116E6">
      <w:pPr>
        <w:snapToGrid w:val="0"/>
        <w:spacing w:line="360" w:lineRule="auto"/>
        <w:jc w:val="center"/>
        <w:rPr>
          <w:rFonts w:hint="eastAsia" w:ascii="宋体" w:hAnsi="宋体" w:eastAsia="宋体" w:cs="宋体"/>
          <w:b/>
          <w:color w:val="000000"/>
          <w:kern w:val="0"/>
          <w:sz w:val="48"/>
          <w:szCs w:val="48"/>
          <w:highlight w:val="none"/>
        </w:rPr>
      </w:pPr>
    </w:p>
    <w:p w14:paraId="6C72E0E3">
      <w:pPr>
        <w:snapToGrid w:val="0"/>
        <w:spacing w:line="360" w:lineRule="auto"/>
        <w:jc w:val="center"/>
        <w:rPr>
          <w:rFonts w:hint="eastAsia" w:ascii="宋体" w:hAnsi="宋体" w:eastAsia="宋体" w:cs="宋体"/>
          <w:b/>
          <w:sz w:val="48"/>
          <w:szCs w:val="48"/>
          <w:highlight w:val="none"/>
        </w:rPr>
      </w:pPr>
    </w:p>
    <w:p w14:paraId="4F35346C">
      <w:pPr>
        <w:snapToGrid w:val="0"/>
        <w:spacing w:line="360" w:lineRule="auto"/>
        <w:jc w:val="center"/>
        <w:rPr>
          <w:rFonts w:hint="eastAsia" w:ascii="宋体" w:hAnsi="宋体" w:eastAsia="宋体" w:cs="宋体"/>
          <w:b/>
          <w:sz w:val="48"/>
          <w:szCs w:val="48"/>
          <w:highlight w:val="none"/>
        </w:rPr>
      </w:pPr>
    </w:p>
    <w:p w14:paraId="148E3BE0">
      <w:pPr>
        <w:rPr>
          <w:rFonts w:hint="eastAsia" w:ascii="宋体" w:hAnsi="宋体" w:eastAsia="宋体" w:cs="宋体"/>
          <w:b/>
          <w:sz w:val="48"/>
          <w:szCs w:val="48"/>
          <w:highlight w:val="none"/>
        </w:rPr>
      </w:pPr>
    </w:p>
    <w:p w14:paraId="23A33AAA">
      <w:pPr>
        <w:jc w:val="center"/>
        <w:rPr>
          <w:rFonts w:hint="eastAsia" w:ascii="宋体" w:hAnsi="宋体" w:eastAsia="宋体" w:cs="宋体"/>
          <w:b/>
          <w:color w:val="000000"/>
          <w:kern w:val="0"/>
          <w:sz w:val="30"/>
          <w:szCs w:val="30"/>
          <w:highlight w:val="none"/>
        </w:rPr>
      </w:pPr>
      <w:r>
        <w:rPr>
          <w:rFonts w:hint="eastAsia" w:ascii="宋体" w:hAnsi="宋体" w:eastAsia="宋体" w:cs="宋体"/>
          <w:b/>
          <w:color w:val="000000"/>
          <w:kern w:val="0"/>
          <w:sz w:val="30"/>
          <w:szCs w:val="30"/>
        </w:rPr>
        <w:t>基金管理人：博时基金管理有限公司</w:t>
      </w:r>
    </w:p>
    <w:p w14:paraId="4E927F81">
      <w:pPr>
        <w:jc w:val="center"/>
        <w:rPr>
          <w:rFonts w:hint="eastAsia" w:ascii="宋体" w:hAnsi="宋体" w:eastAsia="宋体" w:cs="宋体"/>
          <w:b/>
          <w:color w:val="000000"/>
          <w:kern w:val="0"/>
          <w:sz w:val="30"/>
          <w:szCs w:val="30"/>
          <w:highlight w:val="none"/>
          <w:lang w:eastAsia="zh-CN"/>
        </w:rPr>
      </w:pPr>
      <w:r>
        <w:rPr>
          <w:rFonts w:hint="eastAsia" w:ascii="宋体" w:hAnsi="宋体" w:eastAsia="宋体" w:cs="宋体"/>
          <w:b/>
          <w:color w:val="000000"/>
          <w:kern w:val="0"/>
          <w:sz w:val="30"/>
          <w:szCs w:val="30"/>
        </w:rPr>
        <w:t>基金托管人：宁波银行股份有限公司</w:t>
      </w:r>
    </w:p>
    <w:p w14:paraId="68B508D8">
      <w:pPr>
        <w:jc w:val="center"/>
        <w:rPr>
          <w:rFonts w:hint="eastAsia" w:ascii="宋体" w:hAnsi="宋体" w:eastAsia="宋体" w:cs="宋体"/>
          <w:b/>
          <w:color w:val="000000"/>
          <w:kern w:val="0"/>
          <w:sz w:val="30"/>
          <w:szCs w:val="30"/>
          <w:highlight w:val="none"/>
        </w:rPr>
      </w:pPr>
      <w:r>
        <w:rPr>
          <w:rFonts w:hint="eastAsia" w:ascii="宋体" w:hAnsi="宋体" w:eastAsia="宋体" w:cs="宋体"/>
          <w:b/>
          <w:color w:val="000000"/>
          <w:kern w:val="0"/>
          <w:sz w:val="30"/>
          <w:szCs w:val="30"/>
        </w:rPr>
        <w:t>登记机构：中国证券登记结算有限责任公司</w:t>
      </w:r>
    </w:p>
    <w:p w14:paraId="0B9DACE5">
      <w:pPr>
        <w:jc w:val="center"/>
        <w:rPr>
          <w:rFonts w:hint="eastAsia" w:ascii="宋体" w:hAnsi="宋体" w:eastAsia="宋体" w:cs="宋体"/>
          <w:b/>
          <w:color w:val="000000"/>
          <w:kern w:val="0"/>
          <w:sz w:val="30"/>
          <w:szCs w:val="30"/>
          <w:highlight w:val="none"/>
        </w:rPr>
      </w:pPr>
      <w:r>
        <w:rPr>
          <w:rFonts w:hint="eastAsia" w:ascii="宋体" w:hAnsi="宋体" w:eastAsia="宋体" w:cs="宋体"/>
          <w:b/>
          <w:color w:val="000000"/>
          <w:kern w:val="0"/>
          <w:sz w:val="30"/>
          <w:szCs w:val="30"/>
        </w:rPr>
        <w:t>上市地点：深圳证券交易所</w:t>
      </w:r>
    </w:p>
    <w:p w14:paraId="542A493B">
      <w:pPr>
        <w:jc w:val="center"/>
        <w:rPr>
          <w:rFonts w:hint="eastAsia" w:ascii="宋体" w:hAnsi="宋体" w:eastAsia="宋体" w:cs="宋体"/>
          <w:b/>
          <w:color w:val="000000"/>
          <w:kern w:val="0"/>
          <w:sz w:val="30"/>
          <w:szCs w:val="30"/>
          <w:highlight w:val="none"/>
          <w:lang w:eastAsia="zh-CN"/>
        </w:rPr>
      </w:pPr>
      <w:r>
        <w:rPr>
          <w:rFonts w:hint="eastAsia" w:ascii="宋体" w:hAnsi="宋体" w:eastAsia="宋体" w:cs="宋体"/>
          <w:b/>
          <w:color w:val="000000"/>
          <w:kern w:val="0"/>
          <w:sz w:val="30"/>
          <w:szCs w:val="30"/>
        </w:rPr>
        <w:t>上市时间：2026年10月15日</w:t>
      </w:r>
    </w:p>
    <w:p w14:paraId="25EC679A">
      <w:pPr>
        <w:jc w:val="center"/>
        <w:rPr>
          <w:rFonts w:hint="eastAsia" w:ascii="宋体" w:hAnsi="宋体" w:eastAsia="宋体" w:cs="宋体"/>
          <w:b/>
          <w:color w:val="000000"/>
          <w:kern w:val="0"/>
          <w:sz w:val="30"/>
          <w:szCs w:val="30"/>
          <w:highlight w:val="none"/>
          <w:lang w:eastAsia="zh-CN"/>
        </w:rPr>
      </w:pPr>
      <w:r>
        <w:rPr>
          <w:rFonts w:hint="eastAsia" w:ascii="宋体" w:hAnsi="宋体" w:eastAsia="宋体" w:cs="宋体"/>
          <w:b/>
          <w:color w:val="000000"/>
          <w:kern w:val="0"/>
          <w:sz w:val="30"/>
          <w:szCs w:val="30"/>
        </w:rPr>
        <w:t>公告日期：2026年10月12日</w:t>
      </w:r>
    </w:p>
    <w:p w14:paraId="5123F7CD">
      <w:pPr>
        <w:widowControl/>
        <w:snapToGrid w:val="0"/>
        <w:spacing w:line="360" w:lineRule="auto"/>
        <w:jc w:val="center"/>
        <w:rPr>
          <w:rFonts w:hint="eastAsia" w:ascii="宋体" w:hAnsi="宋体" w:eastAsia="宋体" w:cs="宋体"/>
          <w:b/>
          <w:color w:val="000000"/>
          <w:kern w:val="0"/>
          <w:sz w:val="32"/>
          <w:szCs w:val="32"/>
          <w:highlight w:val="none"/>
          <w:lang w:val="zh-CN" w:eastAsia="zh-CN"/>
        </w:rPr>
      </w:pPr>
    </w:p>
    <w:p w14:paraId="25A20C68">
      <w:pPr>
        <w:widowControl/>
        <w:snapToGrid w:val="0"/>
        <w:spacing w:line="360" w:lineRule="auto"/>
        <w:jc w:val="center"/>
        <w:rPr>
          <w:rFonts w:hint="eastAsia" w:ascii="宋体" w:hAnsi="宋体" w:eastAsia="宋体" w:cs="宋体"/>
          <w:sz w:val="32"/>
          <w:szCs w:val="32"/>
          <w:highlight w:val="none"/>
          <w:lang w:val="zh-CN"/>
        </w:rPr>
      </w:pPr>
    </w:p>
    <w:p w14:paraId="2321C9FE">
      <w:pPr>
        <w:widowControl/>
        <w:snapToGrid w:val="0"/>
        <w:spacing w:line="360" w:lineRule="auto"/>
        <w:jc w:val="center"/>
        <w:rPr>
          <w:rFonts w:hint="eastAsia" w:ascii="宋体" w:hAnsi="宋体" w:eastAsia="宋体" w:cs="宋体"/>
          <w:sz w:val="32"/>
          <w:szCs w:val="32"/>
          <w:highlight w:val="none"/>
          <w:lang w:val="zh-CN"/>
        </w:rPr>
      </w:pPr>
    </w:p>
    <w:p w14:paraId="1E0E0547">
      <w:pPr>
        <w:widowControl/>
        <w:snapToGrid w:val="0"/>
        <w:spacing w:line="360" w:lineRule="auto"/>
        <w:jc w:val="center"/>
        <w:rPr>
          <w:rFonts w:hint="eastAsia" w:ascii="宋体" w:hAnsi="宋体" w:eastAsia="宋体" w:cs="宋体"/>
          <w:sz w:val="32"/>
          <w:szCs w:val="32"/>
          <w:highlight w:val="none"/>
          <w:lang w:val="zh-CN"/>
        </w:rPr>
        <w:sectPr>
          <w:pgSz w:w="11906" w:h="16838"/>
          <w:pgMar w:top="1440" w:right="1800" w:bottom="1440" w:left="1800" w:header="0" w:footer="0" w:gutter="0"/>
          <w:pgNumType w:fmt="decimal"/>
          <w:cols w:space="720" w:num="1"/>
          <w:formProt w:val="0"/>
          <w:docGrid w:type="lines" w:linePitch="312" w:charSpace="0"/>
        </w:sectPr>
      </w:pPr>
    </w:p>
    <w:p w14:paraId="1F453072">
      <w:pPr>
        <w:widowControl/>
        <w:snapToGrid w:val="0"/>
        <w:spacing w:line="360" w:lineRule="auto"/>
        <w:jc w:val="center"/>
        <w:rPr>
          <w:rFonts w:hint="eastAsia" w:ascii="宋体" w:hAnsi="宋体" w:eastAsia="宋体" w:cs="宋体"/>
          <w:sz w:val="44"/>
          <w:szCs w:val="44"/>
          <w:highlight w:val="none"/>
          <w:lang w:val="zh-CN"/>
        </w:rPr>
      </w:pPr>
      <w:r>
        <w:rPr>
          <w:rFonts w:hint="eastAsia" w:ascii="宋体" w:hAnsi="宋体" w:eastAsia="宋体" w:cs="宋体"/>
          <w:sz w:val="44"/>
          <w:szCs w:val="44"/>
          <w:lang w:val="zh-CN"/>
        </w:rPr>
        <w:t>目  录</w:t>
      </w:r>
    </w:p>
    <w:sdt>
      <w:sdtPr>
        <w:rPr>
          <w:rFonts w:hint="eastAsia" w:ascii="宋体" w:hAnsi="宋体" w:eastAsia="宋体" w:cs="宋体"/>
        </w:rPr>
        <w:id w:val="147469588"/>
        <w:docPartObj>
          <w:docPartGallery w:val="Table of Contents"/>
          <w:docPartUnique/>
        </w:docPartObj>
      </w:sdtPr>
      <w:sdtEndPr>
        <w:rPr>
          <w:rFonts w:hint="eastAsia" w:ascii="宋体" w:hAnsi="宋体" w:eastAsia="宋体" w:cs="宋体"/>
        </w:rPr>
      </w:sdtEndPr>
      <w:sdtContent>
        <w:p w14:paraId="7F6D327C">
          <w:pPr>
            <w:pStyle w:val="21"/>
            <w:rPr>
              <w:rFonts w:hint="eastAsia" w:ascii="宋体" w:hAnsi="宋体" w:eastAsia="宋体" w:cs="宋体"/>
              <w:b/>
              <w:bCs/>
              <w:caps/>
              <w:color w:val="auto"/>
              <w:kern w:val="2"/>
              <w:sz w:val="24"/>
              <w:szCs w:val="24"/>
              <w:lang w:val="en-US" w:eastAsia="en-US" w:bidi="ar-SA"/>
            </w:rPr>
          </w:pPr>
          <w:r>
            <w:rPr>
              <w:rFonts w:hint="eastAsia" w:ascii="宋体" w:hAnsi="宋体" w:eastAsia="宋体" w:cs="宋体"/>
            </w:rPr>
            <w:fldChar w:fldCharType="begin"/>
          </w:r>
          <w:r>
            <w:rPr>
              <w:rStyle w:val="63"/>
              <w:rFonts w:hint="eastAsia" w:ascii="宋体" w:hAnsi="宋体" w:eastAsia="宋体" w:cs="宋体"/>
              <w:sz w:val="24"/>
              <w:szCs w:val="24"/>
              <w:lang w:val="en-US" w:eastAsia="en-US"/>
            </w:rPr>
            <w:instrText xml:space="preserve"> TOC \o "1-3" \h \z \u </w:instrText>
          </w:r>
          <w:r>
            <w:rPr>
              <w:rStyle w:val="63"/>
              <w:rFonts w:hint="eastAsia" w:ascii="宋体" w:hAnsi="宋体" w:eastAsia="宋体" w:cs="宋体"/>
              <w:sz w:val="24"/>
              <w:szCs w:val="24"/>
              <w:lang w:val="en-US" w:eastAsia="en-US"/>
            </w:rPr>
            <w:fldChar w:fldCharType="separate"/>
          </w:r>
        </w:p>
        <w:p w14:paraId="5321A98F">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_Toc4704 </w:instrText>
          </w:r>
          <w:r>
            <w:rPr>
              <w:rFonts w:hint="eastAsia" w:ascii="宋体" w:hAnsi="宋体" w:eastAsia="宋体" w:cs="宋体"/>
              <w:szCs w:val="24"/>
              <w:lang w:val="en-US" w:eastAsia="en-US"/>
            </w:rPr>
            <w:fldChar w:fldCharType="separate"/>
          </w:r>
          <w:r>
            <w:rPr>
              <w:rFonts w:hint="eastAsia" w:ascii="宋体" w:hAnsi="宋体" w:eastAsia="宋体" w:cs="宋体"/>
            </w:rPr>
            <w:t>一、重要声明与提示</w:t>
          </w:r>
          <w:r>
            <w:tab/>
          </w:r>
          <w:r>
            <w:fldChar w:fldCharType="begin"/>
          </w:r>
          <w:r>
            <w:instrText xml:space="preserve"> PAGEREF _Toc4704 \h </w:instrText>
          </w:r>
          <w:r>
            <w:fldChar w:fldCharType="separate"/>
          </w:r>
          <w:r>
            <w:t>1</w:t>
          </w:r>
          <w:r>
            <w:fldChar w:fldCharType="end"/>
          </w:r>
          <w:r>
            <w:rPr>
              <w:rFonts w:hint="eastAsia" w:ascii="宋体" w:hAnsi="宋体" w:eastAsia="宋体" w:cs="宋体"/>
              <w:szCs w:val="24"/>
              <w:lang w:val="en-US" w:eastAsia="en-US"/>
            </w:rPr>
            <w:fldChar w:fldCharType="end"/>
          </w:r>
        </w:p>
        <w:p w14:paraId="177CE70B">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_Toc4891 </w:instrText>
          </w:r>
          <w:r>
            <w:rPr>
              <w:rFonts w:hint="eastAsia" w:ascii="宋体" w:hAnsi="宋体" w:eastAsia="宋体" w:cs="宋体"/>
              <w:szCs w:val="24"/>
              <w:lang w:val="en-US" w:eastAsia="en-US"/>
            </w:rPr>
            <w:fldChar w:fldCharType="separate"/>
          </w:r>
          <w:r>
            <w:rPr>
              <w:rFonts w:hint="eastAsia" w:ascii="宋体" w:hAnsi="宋体" w:eastAsia="宋体" w:cs="宋体"/>
            </w:rPr>
            <w:t>二、基金概览</w:t>
          </w:r>
          <w:r>
            <w:tab/>
          </w:r>
          <w:r>
            <w:fldChar w:fldCharType="begin"/>
          </w:r>
          <w:r>
            <w:instrText xml:space="preserve"> PAGEREF _Toc4891 \h </w:instrText>
          </w:r>
          <w:r>
            <w:fldChar w:fldCharType="separate"/>
          </w:r>
          <w:r>
            <w:t>1</w:t>
          </w:r>
          <w:r>
            <w:fldChar w:fldCharType="end"/>
          </w:r>
          <w:r>
            <w:rPr>
              <w:rFonts w:hint="eastAsia" w:ascii="宋体" w:hAnsi="宋体" w:eastAsia="宋体" w:cs="宋体"/>
              <w:szCs w:val="24"/>
              <w:lang w:val="en-US" w:eastAsia="en-US"/>
            </w:rPr>
            <w:fldChar w:fldCharType="end"/>
          </w:r>
        </w:p>
        <w:p w14:paraId="17F461E8">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_Toc6291 </w:instrText>
          </w:r>
          <w:r>
            <w:rPr>
              <w:rFonts w:hint="eastAsia" w:ascii="宋体" w:hAnsi="宋体" w:eastAsia="宋体" w:cs="宋体"/>
              <w:szCs w:val="24"/>
              <w:lang w:val="en-US" w:eastAsia="en-US"/>
            </w:rPr>
            <w:fldChar w:fldCharType="separate"/>
          </w:r>
          <w:r>
            <w:rPr>
              <w:rFonts w:hint="eastAsia" w:ascii="宋体" w:hAnsi="宋体" w:eastAsia="宋体" w:cs="宋体"/>
            </w:rPr>
            <w:t>三、基金的募集与上市交易</w:t>
          </w:r>
          <w:r>
            <w:tab/>
          </w:r>
          <w:r>
            <w:fldChar w:fldCharType="begin"/>
          </w:r>
          <w:r>
            <w:instrText xml:space="preserve"> PAGEREF _Toc6291 \h </w:instrText>
          </w:r>
          <w:r>
            <w:fldChar w:fldCharType="separate"/>
          </w:r>
          <w:r>
            <w:t>2</w:t>
          </w:r>
          <w:r>
            <w:fldChar w:fldCharType="end"/>
          </w:r>
          <w:r>
            <w:rPr>
              <w:rFonts w:hint="eastAsia" w:ascii="宋体" w:hAnsi="宋体" w:eastAsia="宋体" w:cs="宋体"/>
              <w:szCs w:val="24"/>
              <w:lang w:val="en-US" w:eastAsia="en-US"/>
            </w:rPr>
            <w:fldChar w:fldCharType="end"/>
          </w:r>
        </w:p>
        <w:p w14:paraId="00C4778D">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_Toc21796 </w:instrText>
          </w:r>
          <w:r>
            <w:rPr>
              <w:rFonts w:hint="eastAsia" w:ascii="宋体" w:hAnsi="宋体" w:eastAsia="宋体" w:cs="宋体"/>
              <w:szCs w:val="24"/>
              <w:lang w:val="en-US" w:eastAsia="en-US"/>
            </w:rPr>
            <w:fldChar w:fldCharType="separate"/>
          </w:r>
          <w:r>
            <w:rPr>
              <w:rFonts w:hint="eastAsia" w:ascii="宋体" w:hAnsi="宋体" w:eastAsia="宋体" w:cs="宋体"/>
            </w:rPr>
            <w:t>四、持有人户数、持有人结构及前十名持有人</w:t>
          </w:r>
          <w:r>
            <w:tab/>
          </w:r>
          <w:r>
            <w:fldChar w:fldCharType="begin"/>
          </w:r>
          <w:r>
            <w:instrText xml:space="preserve"> PAGEREF _Toc21796 \h </w:instrText>
          </w:r>
          <w:r>
            <w:fldChar w:fldCharType="separate"/>
          </w:r>
          <w:r>
            <w:t>5</w:t>
          </w:r>
          <w:r>
            <w:fldChar w:fldCharType="end"/>
          </w:r>
          <w:r>
            <w:rPr>
              <w:rFonts w:hint="eastAsia" w:ascii="宋体" w:hAnsi="宋体" w:eastAsia="宋体" w:cs="宋体"/>
              <w:szCs w:val="24"/>
              <w:lang w:val="en-US" w:eastAsia="en-US"/>
            </w:rPr>
            <w:fldChar w:fldCharType="end"/>
          </w:r>
        </w:p>
        <w:p w14:paraId="00F628B1">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_Toc19642 </w:instrText>
          </w:r>
          <w:r>
            <w:rPr>
              <w:rFonts w:hint="eastAsia" w:ascii="宋体" w:hAnsi="宋体" w:eastAsia="宋体" w:cs="宋体"/>
              <w:szCs w:val="24"/>
              <w:lang w:val="en-US" w:eastAsia="en-US"/>
            </w:rPr>
            <w:fldChar w:fldCharType="separate"/>
          </w:r>
          <w:r>
            <w:rPr>
              <w:rFonts w:hint="eastAsia" w:ascii="宋体" w:hAnsi="宋体" w:eastAsia="宋体" w:cs="宋体"/>
            </w:rPr>
            <w:t>五、基金主要当事人简介</w:t>
          </w:r>
          <w:r>
            <w:tab/>
          </w:r>
          <w:r>
            <w:fldChar w:fldCharType="begin"/>
          </w:r>
          <w:r>
            <w:instrText xml:space="preserve"> PAGEREF _Toc19642 \h </w:instrText>
          </w:r>
          <w:r>
            <w:fldChar w:fldCharType="separate"/>
          </w:r>
          <w:r>
            <w:t>6</w:t>
          </w:r>
          <w:r>
            <w:fldChar w:fldCharType="end"/>
          </w:r>
          <w:r>
            <w:rPr>
              <w:rFonts w:hint="eastAsia" w:ascii="宋体" w:hAnsi="宋体" w:eastAsia="宋体" w:cs="宋体"/>
              <w:szCs w:val="24"/>
              <w:lang w:val="en-US" w:eastAsia="en-US"/>
            </w:rPr>
            <w:fldChar w:fldCharType="end"/>
          </w:r>
        </w:p>
        <w:p w14:paraId="579AB2D2">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_Toc24968 </w:instrText>
          </w:r>
          <w:r>
            <w:rPr>
              <w:rFonts w:hint="eastAsia" w:ascii="宋体" w:hAnsi="宋体" w:eastAsia="宋体" w:cs="宋体"/>
              <w:szCs w:val="24"/>
              <w:lang w:val="en-US" w:eastAsia="en-US"/>
            </w:rPr>
            <w:fldChar w:fldCharType="separate"/>
          </w:r>
          <w:r>
            <w:rPr>
              <w:rFonts w:hint="eastAsia" w:ascii="宋体" w:hAnsi="宋体" w:eastAsia="宋体" w:cs="宋体"/>
            </w:rPr>
            <w:t>六、基金合同摘要</w:t>
          </w:r>
          <w:r>
            <w:tab/>
          </w:r>
          <w:r>
            <w:fldChar w:fldCharType="begin"/>
          </w:r>
          <w:r>
            <w:instrText xml:space="preserve"> PAGEREF _Toc24968 \h </w:instrText>
          </w:r>
          <w:r>
            <w:fldChar w:fldCharType="separate"/>
          </w:r>
          <w:r>
            <w:t>12</w:t>
          </w:r>
          <w:r>
            <w:fldChar w:fldCharType="end"/>
          </w:r>
          <w:r>
            <w:rPr>
              <w:rFonts w:hint="eastAsia" w:ascii="宋体" w:hAnsi="宋体" w:eastAsia="宋体" w:cs="宋体"/>
              <w:szCs w:val="24"/>
              <w:lang w:val="en-US" w:eastAsia="en-US"/>
            </w:rPr>
            <w:fldChar w:fldCharType="end"/>
          </w:r>
        </w:p>
        <w:p w14:paraId="0890D834">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_Toc26137 </w:instrText>
          </w:r>
          <w:r>
            <w:rPr>
              <w:rFonts w:hint="eastAsia" w:ascii="宋体" w:hAnsi="宋体" w:eastAsia="宋体" w:cs="宋体"/>
              <w:szCs w:val="24"/>
              <w:lang w:val="en-US" w:eastAsia="en-US"/>
            </w:rPr>
            <w:fldChar w:fldCharType="separate"/>
          </w:r>
          <w:r>
            <w:rPr>
              <w:rFonts w:hint="eastAsia" w:ascii="宋体" w:hAnsi="宋体" w:eastAsia="宋体" w:cs="宋体"/>
            </w:rPr>
            <w:t>七、基金财务状况</w:t>
          </w:r>
          <w:r>
            <w:tab/>
          </w:r>
          <w:r>
            <w:fldChar w:fldCharType="begin"/>
          </w:r>
          <w:r>
            <w:instrText xml:space="preserve"> PAGEREF _Toc26137 \h </w:instrText>
          </w:r>
          <w:r>
            <w:fldChar w:fldCharType="separate"/>
          </w:r>
          <w:r>
            <w:t>12</w:t>
          </w:r>
          <w:r>
            <w:fldChar w:fldCharType="end"/>
          </w:r>
          <w:r>
            <w:rPr>
              <w:rFonts w:hint="eastAsia" w:ascii="宋体" w:hAnsi="宋体" w:eastAsia="宋体" w:cs="宋体"/>
              <w:szCs w:val="24"/>
              <w:lang w:val="en-US" w:eastAsia="en-US"/>
            </w:rPr>
            <w:fldChar w:fldCharType="end"/>
          </w:r>
        </w:p>
        <w:p w14:paraId="6FFB006B">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_Toc11878 </w:instrText>
          </w:r>
          <w:r>
            <w:rPr>
              <w:rFonts w:hint="eastAsia" w:ascii="宋体" w:hAnsi="宋体" w:eastAsia="宋体" w:cs="宋体"/>
              <w:szCs w:val="24"/>
              <w:lang w:val="en-US" w:eastAsia="en-US"/>
            </w:rPr>
            <w:fldChar w:fldCharType="separate"/>
          </w:r>
          <w:r>
            <w:rPr>
              <w:rFonts w:hint="eastAsia" w:ascii="宋体" w:hAnsi="宋体" w:eastAsia="宋体" w:cs="宋体"/>
            </w:rPr>
            <w:t>八、基金投资组合</w:t>
          </w:r>
          <w:r>
            <w:tab/>
          </w:r>
          <w:r>
            <w:fldChar w:fldCharType="begin"/>
          </w:r>
          <w:r>
            <w:instrText xml:space="preserve"> PAGEREF _Toc11878 \h </w:instrText>
          </w:r>
          <w:r>
            <w:fldChar w:fldCharType="separate"/>
          </w:r>
          <w:r>
            <w:t>14</w:t>
          </w:r>
          <w:r>
            <w:fldChar w:fldCharType="end"/>
          </w:r>
          <w:r>
            <w:rPr>
              <w:rFonts w:hint="eastAsia" w:ascii="宋体" w:hAnsi="宋体" w:eastAsia="宋体" w:cs="宋体"/>
              <w:szCs w:val="24"/>
              <w:lang w:val="en-US" w:eastAsia="en-US"/>
            </w:rPr>
            <w:fldChar w:fldCharType="end"/>
          </w:r>
        </w:p>
        <w:p w14:paraId="39452F9D">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_Toc14001 </w:instrText>
          </w:r>
          <w:r>
            <w:rPr>
              <w:rFonts w:hint="eastAsia" w:ascii="宋体" w:hAnsi="宋体" w:eastAsia="宋体" w:cs="宋体"/>
              <w:szCs w:val="24"/>
              <w:lang w:val="en-US" w:eastAsia="en-US"/>
            </w:rPr>
            <w:fldChar w:fldCharType="separate"/>
          </w:r>
          <w:r>
            <w:rPr>
              <w:rFonts w:hint="eastAsia" w:ascii="宋体" w:hAnsi="宋体" w:eastAsia="宋体" w:cs="宋体"/>
            </w:rPr>
            <w:t>九、重大事件揭示</w:t>
          </w:r>
          <w:r>
            <w:tab/>
          </w:r>
          <w:r>
            <w:fldChar w:fldCharType="begin"/>
          </w:r>
          <w:r>
            <w:instrText xml:space="preserve"> PAGEREF _Toc14001 \h </w:instrText>
          </w:r>
          <w:r>
            <w:fldChar w:fldCharType="separate"/>
          </w:r>
          <w:r>
            <w:t>16</w:t>
          </w:r>
          <w:r>
            <w:fldChar w:fldCharType="end"/>
          </w:r>
          <w:r>
            <w:rPr>
              <w:rFonts w:hint="eastAsia" w:ascii="宋体" w:hAnsi="宋体" w:eastAsia="宋体" w:cs="宋体"/>
              <w:szCs w:val="24"/>
              <w:lang w:val="en-US" w:eastAsia="en-US"/>
            </w:rPr>
            <w:fldChar w:fldCharType="end"/>
          </w:r>
        </w:p>
        <w:p w14:paraId="723C52C5">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_Toc4266 </w:instrText>
          </w:r>
          <w:r>
            <w:rPr>
              <w:rFonts w:hint="eastAsia" w:ascii="宋体" w:hAnsi="宋体" w:eastAsia="宋体" w:cs="宋体"/>
              <w:szCs w:val="24"/>
              <w:lang w:val="en-US" w:eastAsia="en-US"/>
            </w:rPr>
            <w:fldChar w:fldCharType="separate"/>
          </w:r>
          <w:r>
            <w:rPr>
              <w:rFonts w:hint="eastAsia" w:ascii="宋体" w:hAnsi="宋体" w:eastAsia="宋体" w:cs="宋体"/>
            </w:rPr>
            <w:t>十、基金管理人承诺</w:t>
          </w:r>
          <w:r>
            <w:tab/>
          </w:r>
          <w:r>
            <w:fldChar w:fldCharType="begin"/>
          </w:r>
          <w:r>
            <w:instrText xml:space="preserve"> PAGEREF _Toc4266 \h </w:instrText>
          </w:r>
          <w:r>
            <w:fldChar w:fldCharType="separate"/>
          </w:r>
          <w:r>
            <w:t>16</w:t>
          </w:r>
          <w:r>
            <w:fldChar w:fldCharType="end"/>
          </w:r>
          <w:r>
            <w:rPr>
              <w:rFonts w:hint="eastAsia" w:ascii="宋体" w:hAnsi="宋体" w:eastAsia="宋体" w:cs="宋体"/>
              <w:szCs w:val="24"/>
              <w:lang w:val="en-US" w:eastAsia="en-US"/>
            </w:rPr>
            <w:fldChar w:fldCharType="end"/>
          </w:r>
        </w:p>
        <w:p w14:paraId="265713A2">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_Toc9960 </w:instrText>
          </w:r>
          <w:r>
            <w:rPr>
              <w:rFonts w:hint="eastAsia" w:ascii="宋体" w:hAnsi="宋体" w:eastAsia="宋体" w:cs="宋体"/>
              <w:szCs w:val="24"/>
              <w:lang w:val="en-US" w:eastAsia="en-US"/>
            </w:rPr>
            <w:fldChar w:fldCharType="separate"/>
          </w:r>
          <w:r>
            <w:rPr>
              <w:rFonts w:hint="eastAsia" w:ascii="宋体" w:hAnsi="宋体" w:eastAsia="宋体" w:cs="宋体"/>
            </w:rPr>
            <w:t>十一、基金托管人承诺</w:t>
          </w:r>
          <w:r>
            <w:tab/>
          </w:r>
          <w:r>
            <w:fldChar w:fldCharType="begin"/>
          </w:r>
          <w:r>
            <w:instrText xml:space="preserve"> PAGEREF _Toc9960 \h </w:instrText>
          </w:r>
          <w:r>
            <w:fldChar w:fldCharType="separate"/>
          </w:r>
          <w:r>
            <w:t>16</w:t>
          </w:r>
          <w:r>
            <w:fldChar w:fldCharType="end"/>
          </w:r>
          <w:r>
            <w:rPr>
              <w:rFonts w:hint="eastAsia" w:ascii="宋体" w:hAnsi="宋体" w:eastAsia="宋体" w:cs="宋体"/>
              <w:szCs w:val="24"/>
              <w:lang w:val="en-US" w:eastAsia="en-US"/>
            </w:rPr>
            <w:fldChar w:fldCharType="end"/>
          </w:r>
        </w:p>
        <w:p w14:paraId="402A13C4">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_Toc16800 </w:instrText>
          </w:r>
          <w:r>
            <w:rPr>
              <w:rFonts w:hint="eastAsia" w:ascii="宋体" w:hAnsi="宋体" w:eastAsia="宋体" w:cs="宋体"/>
              <w:szCs w:val="24"/>
              <w:lang w:val="en-US" w:eastAsia="en-US"/>
            </w:rPr>
            <w:fldChar w:fldCharType="separate"/>
          </w:r>
          <w:r>
            <w:rPr>
              <w:rFonts w:hint="eastAsia" w:ascii="宋体" w:hAnsi="宋体" w:eastAsia="宋体" w:cs="宋体"/>
            </w:rPr>
            <w:t>十二、备查文件目录</w:t>
          </w:r>
          <w:r>
            <w:tab/>
          </w:r>
          <w:r>
            <w:fldChar w:fldCharType="begin"/>
          </w:r>
          <w:r>
            <w:instrText xml:space="preserve"> PAGEREF _Toc16800 \h </w:instrText>
          </w:r>
          <w:r>
            <w:fldChar w:fldCharType="separate"/>
          </w:r>
          <w:r>
            <w:t>17</w:t>
          </w:r>
          <w:r>
            <w:fldChar w:fldCharType="end"/>
          </w:r>
          <w:r>
            <w:rPr>
              <w:rFonts w:hint="eastAsia" w:ascii="宋体" w:hAnsi="宋体" w:eastAsia="宋体" w:cs="宋体"/>
              <w:szCs w:val="24"/>
              <w:lang w:val="en-US" w:eastAsia="en-US"/>
            </w:rPr>
            <w:fldChar w:fldCharType="end"/>
          </w:r>
        </w:p>
        <w:p w14:paraId="0DA3713A">
          <w:pPr>
            <w:pStyle w:val="21"/>
            <w:tabs>
              <w:tab w:val="right" w:leader="dot" w:pos="8306"/>
              <w:tab w:val="clear" w:pos="8296"/>
            </w:tabs>
          </w:pPr>
          <w:r>
            <w:rPr>
              <w:rFonts w:hint="eastAsia" w:ascii="宋体" w:hAnsi="宋体" w:eastAsia="宋体" w:cs="宋体"/>
              <w:szCs w:val="24"/>
              <w:lang w:val="en-US" w:eastAsia="en-US"/>
            </w:rPr>
            <w:fldChar w:fldCharType="begin"/>
          </w:r>
          <w:r>
            <w:rPr>
              <w:rFonts w:hint="eastAsia" w:ascii="宋体" w:hAnsi="宋体" w:eastAsia="宋体" w:cs="宋体"/>
              <w:szCs w:val="24"/>
              <w:lang w:val="en-US" w:eastAsia="en-US"/>
            </w:rPr>
            <w:instrText xml:space="preserve"> HYPERLINK \l _Toc15184 </w:instrText>
          </w:r>
          <w:r>
            <w:rPr>
              <w:rFonts w:hint="eastAsia" w:ascii="宋体" w:hAnsi="宋体" w:eastAsia="宋体" w:cs="宋体"/>
              <w:szCs w:val="24"/>
              <w:lang w:val="en-US" w:eastAsia="en-US"/>
            </w:rPr>
            <w:fldChar w:fldCharType="separate"/>
          </w:r>
          <w:r>
            <w:rPr>
              <w:rFonts w:hint="eastAsia" w:ascii="宋体" w:hAnsi="宋体" w:eastAsia="宋体" w:cs="宋体"/>
            </w:rPr>
            <w:t>附件：基金合同摘要</w:t>
          </w:r>
          <w:r>
            <w:tab/>
          </w:r>
          <w:r>
            <w:fldChar w:fldCharType="begin"/>
          </w:r>
          <w:r>
            <w:instrText xml:space="preserve"> PAGEREF _Toc15184 \h </w:instrText>
          </w:r>
          <w:r>
            <w:fldChar w:fldCharType="separate"/>
          </w:r>
          <w:r>
            <w:t>19</w:t>
          </w:r>
          <w:r>
            <w:fldChar w:fldCharType="end"/>
          </w:r>
          <w:r>
            <w:rPr>
              <w:rFonts w:hint="eastAsia" w:ascii="宋体" w:hAnsi="宋体" w:eastAsia="宋体" w:cs="宋体"/>
              <w:szCs w:val="24"/>
              <w:lang w:val="en-US" w:eastAsia="en-US"/>
            </w:rPr>
            <w:fldChar w:fldCharType="end"/>
          </w:r>
        </w:p>
        <w:p w14:paraId="6B03E03E">
          <w:pPr>
            <w:pStyle w:val="21"/>
            <w:rPr>
              <w:rFonts w:hint="eastAsia" w:ascii="宋体" w:hAnsi="宋体" w:eastAsia="宋体" w:cs="宋体"/>
              <w:sz w:val="21"/>
              <w:szCs w:val="22"/>
              <w:highlight w:val="none"/>
              <w:lang w:val="en-US" w:eastAsia="en-US"/>
            </w:rPr>
          </w:pPr>
          <w:r>
            <w:rPr>
              <w:rStyle w:val="63"/>
              <w:rFonts w:hint="eastAsia" w:ascii="宋体" w:hAnsi="宋体" w:eastAsia="宋体" w:cs="宋体"/>
              <w:sz w:val="24"/>
              <w:szCs w:val="24"/>
              <w:lang w:val="en-US" w:eastAsia="en-US"/>
            </w:rPr>
            <w:fldChar w:fldCharType="end"/>
          </w:r>
        </w:p>
      </w:sdtContent>
    </w:sdt>
    <w:p w14:paraId="78AF164A">
      <w:pPr>
        <w:snapToGrid w:val="0"/>
        <w:spacing w:line="480" w:lineRule="auto"/>
        <w:rPr>
          <w:rFonts w:hint="eastAsia" w:ascii="宋体" w:hAnsi="宋体" w:eastAsia="宋体" w:cs="宋体"/>
          <w:sz w:val="24"/>
          <w:szCs w:val="21"/>
          <w:highlight w:val="none"/>
          <w:lang w:val="en-US" w:eastAsia="en-US"/>
        </w:rPr>
      </w:pPr>
    </w:p>
    <w:p w14:paraId="6358822D">
      <w:pPr>
        <w:pStyle w:val="77"/>
        <w:rPr>
          <w:rFonts w:hint="eastAsia" w:ascii="宋体" w:hAnsi="宋体" w:eastAsia="宋体" w:cs="宋体"/>
          <w:szCs w:val="21"/>
          <w:highlight w:val="none"/>
        </w:rPr>
        <w:sectPr>
          <w:pgSz w:w="11906" w:h="16838"/>
          <w:pgMar w:top="1440" w:right="1800" w:bottom="1440" w:left="1800" w:header="0" w:footer="0" w:gutter="0"/>
          <w:pgNumType w:fmt="decimal"/>
          <w:cols w:space="720" w:num="1"/>
          <w:formProt w:val="0"/>
          <w:docGrid w:type="lines" w:linePitch="312" w:charSpace="0"/>
        </w:sectPr>
      </w:pPr>
    </w:p>
    <w:p w14:paraId="1D7E74BC">
      <w:pPr>
        <w:pStyle w:val="2"/>
        <w:ind w:left="0" w:firstLine="0"/>
        <w:rPr>
          <w:rFonts w:hint="eastAsia" w:ascii="宋体" w:hAnsi="宋体" w:eastAsia="宋体" w:cs="宋体"/>
          <w:highlight w:val="none"/>
        </w:rPr>
      </w:pPr>
      <w:bookmarkStart w:id="0" w:name="_Toc4704"/>
      <w:r>
        <w:rPr>
          <w:rFonts w:hint="eastAsia" w:ascii="宋体" w:hAnsi="宋体" w:eastAsia="宋体" w:cs="宋体"/>
        </w:rPr>
        <w:t>一、重要声明与提示</w:t>
      </w:r>
      <w:bookmarkEnd w:id="0"/>
    </w:p>
    <w:p w14:paraId="40F6D9D6">
      <w:pPr>
        <w:widowControl/>
        <w:snapToGrid w:val="0"/>
        <w:spacing w:line="360" w:lineRule="auto"/>
        <w:ind w:right="0" w:firstLine="424"/>
        <w:rPr>
          <w:rFonts w:hint="eastAsia" w:ascii="宋体" w:hAnsi="宋体" w:eastAsia="宋体" w:cs="宋体"/>
          <w:kern w:val="0"/>
          <w:sz w:val="24"/>
          <w:highlight w:val="none"/>
        </w:rPr>
      </w:pPr>
      <w:r>
        <w:rPr>
          <w:rFonts w:hint="eastAsia" w:ascii="宋体" w:hAnsi="宋体" w:eastAsia="宋体" w:cs="宋体"/>
          <w:kern w:val="0"/>
          <w:sz w:val="24"/>
        </w:rPr>
        <w:t>《博时中证机器人交易型开放式指数证券投资基金上市交易公告书》（以下简称“本公告”）依据《中华人民共和国证券投资基金法》（以下简称“《基金法》”）、《证券投资基金信息披露内容与格式准则第1号〈上市交易公告书的内容与格式〉》和《深圳证券交易所证券投资基金上市规则》的规定编制，博时中证机器人交易型开放式指数证券投资基金（以下简称“本基金”）基金管理人博时基金管理有限公司（以下简称“本基金管理人”）的董事会及董事保证本报告所载资料不存在虚假记载、误导性陈述或者重大遗漏，并对其内容的真实性、准确性和完整性承担个别及连带责任。本基金托管人宁波银行股份有限公司保证本公告书中基金财务会计资料等内容的真实性、准确性和完整性，承诺其中不存在虚假记载、误导性陈述或者重大遗漏。</w:t>
      </w:r>
      <w:bookmarkStart w:id="1" w:name="OLE_LINK10"/>
      <w:bookmarkEnd w:id="1"/>
      <w:bookmarkStart w:id="2" w:name="OLE_LINK11"/>
      <w:bookmarkEnd w:id="2"/>
    </w:p>
    <w:p w14:paraId="3682F17C">
      <w:pPr>
        <w:widowControl/>
        <w:snapToGrid w:val="0"/>
        <w:spacing w:before="0" w:after="240" w:line="360" w:lineRule="auto"/>
        <w:ind w:right="0" w:firstLine="424"/>
        <w:rPr>
          <w:rFonts w:hint="eastAsia" w:ascii="宋体" w:hAnsi="宋体" w:eastAsia="宋体" w:cs="宋体"/>
          <w:kern w:val="0"/>
          <w:szCs w:val="21"/>
          <w:highlight w:val="none"/>
        </w:rPr>
      </w:pPr>
      <w:r>
        <w:rPr>
          <w:rFonts w:hint="eastAsia" w:ascii="宋体" w:hAnsi="宋体" w:eastAsia="宋体" w:cs="宋体"/>
          <w:kern w:val="0"/>
          <w:sz w:val="24"/>
        </w:rPr>
        <w:t>中国证券监督管理委员会（以下简称“中国证监会”）和深圳证券交易所对本基金上市交易及有关事项的意见，均不表明对本基金的任何保证。凡本公告书未涉及的有关内容，请投资者详细查阅刊登于本基金管理人网站（https://www.bosera.com）上的《博时中证机器人交易型开放式指数证券投资基金招募说明书》。</w:t>
      </w:r>
    </w:p>
    <w:p w14:paraId="3768DAFA">
      <w:pPr>
        <w:pStyle w:val="2"/>
        <w:ind w:left="0" w:firstLine="0"/>
        <w:rPr>
          <w:rFonts w:hint="eastAsia" w:ascii="宋体" w:hAnsi="宋体" w:eastAsia="宋体" w:cs="宋体"/>
          <w:highlight w:val="none"/>
        </w:rPr>
      </w:pPr>
      <w:bookmarkStart w:id="3" w:name="_Toc4891"/>
      <w:r>
        <w:rPr>
          <w:rFonts w:hint="eastAsia" w:ascii="宋体" w:hAnsi="宋体" w:eastAsia="宋体" w:cs="宋体"/>
        </w:rPr>
        <w:t>二、基金概览</w:t>
      </w:r>
      <w:bookmarkEnd w:id="3"/>
    </w:p>
    <w:p w14:paraId="602631EB">
      <w:pPr>
        <w:widowControl/>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1、基金名称：博时中证机器人交易型开放式指数证券投资基金</w:t>
      </w:r>
    </w:p>
    <w:p w14:paraId="006F8102">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2、基金类型：股票型指数基金</w:t>
      </w:r>
    </w:p>
    <w:p w14:paraId="299B7C6B">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3、运作方式：交易型开放式</w:t>
      </w:r>
    </w:p>
    <w:p w14:paraId="5CD35DD9">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4、基金存续期限：不定期</w:t>
      </w:r>
    </w:p>
    <w:p w14:paraId="2F4D3800">
      <w:pPr>
        <w:widowControl/>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5、基金简称：博时中证机器人ETF </w:t>
      </w:r>
    </w:p>
    <w:p w14:paraId="3FBFA6B4">
      <w:pPr>
        <w:widowControl/>
        <w:snapToGrid w:val="0"/>
        <w:spacing w:line="360" w:lineRule="auto"/>
        <w:ind w:right="0" w:firstLine="424"/>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rPr>
        <w:t>6、场内简称：机器人ETF博时</w:t>
      </w:r>
    </w:p>
    <w:p w14:paraId="06BD103F">
      <w:pPr>
        <w:widowControl/>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7、基金代码：158037 </w:t>
      </w:r>
    </w:p>
    <w:p w14:paraId="40B516D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8、截至公告日前两个工作日的基金份额总额：截至2026年10月8日，本基金的基金份额总额为213,394,517.00份。</w:t>
      </w:r>
    </w:p>
    <w:p w14:paraId="112D55A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9、截至公告日前两个工作日的基金份额净值：截至2026年10月8日，本基金的基金份额净值为0.9999元。</w:t>
      </w:r>
    </w:p>
    <w:p w14:paraId="42398FE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10、本次上市交易的基金份额总额：截至2026年10月8日，本次上市交易的基金份额总额为213,394,517.00份。</w:t>
      </w:r>
    </w:p>
    <w:p w14:paraId="48147AE5">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11、上市交易的证券交易所：深圳证券交易所</w:t>
      </w:r>
    </w:p>
    <w:p w14:paraId="3E2FBF01">
      <w:pPr>
        <w:widowControl/>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12、上市交易日期：2026年10月15日</w:t>
      </w:r>
    </w:p>
    <w:p w14:paraId="13E7B7C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13、基金管理人：博时基金管理有限公司。</w:t>
      </w:r>
    </w:p>
    <w:p w14:paraId="0ED64961">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14、基金托管人：宁波银行股份有限公司。</w:t>
      </w:r>
    </w:p>
    <w:p w14:paraId="149E6176">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15、本次上市交易的基金份额注册登记机构：中国证券登记结算有限责任公司。</w:t>
      </w:r>
    </w:p>
    <w:p w14:paraId="31481B45">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16、申购赎回代办券商：</w:t>
      </w:r>
    </w:p>
    <w:p w14:paraId="2AE6E4E7">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财达证券股份有限公司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长城证券股份有限公司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德邦证券股份有限公司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东方财富证券股份有限公司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东莞证券股份有限公司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东海证券股份有限公司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东吴证券股份有限公司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东兴证券股份有限公司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方正证券股份有限公司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广发证券股份有限公司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国海证券股份有限公司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国金证券股份有限公司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国盛证券股份有限公司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国泰海通证券股份有限公司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国投证券股份有限公司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国新证券股份有限公司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国信证券股份有限公司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华宝证券股份有限公司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华创证券有限责任公司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华福证券股份有限公司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华泰证券股份有限公司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华西证券股份有限公司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华鑫证券有限责任公司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江海证券有限公司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联储证券股份有限公司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瑞银证券有限责任公司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山西证券股份有限公司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申万宏源西部证券有限公司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申万宏源证券有限公司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世纪证券有限责任公司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万和证券股份有限公司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西部证券股份有限公司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西南证券股份有限公司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湘财证券股份有限公司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兴业证券股份有限公司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招商证券股份有限公司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浙商证券股份有限公司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中国国际金融股份有限公司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中国银河证券股份有限公司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中国中金财富证券有限公司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中泰证券股份有限公司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中信建投证券股份有限公司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中信证券（山东）有限责任公司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中信证券股份有限公司</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中信证券华南股份有限公司</w:t>
      </w:r>
      <w:r>
        <w:rPr>
          <w:rFonts w:hint="eastAsia" w:ascii="宋体" w:hAnsi="宋体" w:eastAsia="宋体" w:cs="宋体"/>
          <w:color w:val="000000"/>
          <w:sz w:val="24"/>
          <w:szCs w:val="24"/>
          <w:lang w:eastAsia="zh-CN"/>
        </w:rPr>
        <w:t>。</w:t>
      </w:r>
    </w:p>
    <w:p w14:paraId="72E473E0">
      <w:pPr>
        <w:pStyle w:val="2"/>
        <w:ind w:left="0" w:firstLine="0"/>
        <w:rPr>
          <w:rFonts w:hint="eastAsia" w:ascii="宋体" w:hAnsi="宋体" w:eastAsia="宋体" w:cs="宋体"/>
          <w:highlight w:val="none"/>
        </w:rPr>
      </w:pPr>
      <w:bookmarkStart w:id="4" w:name="_Toc6291"/>
      <w:r>
        <w:rPr>
          <w:rFonts w:hint="eastAsia" w:ascii="宋体" w:hAnsi="宋体" w:eastAsia="宋体" w:cs="宋体"/>
        </w:rPr>
        <w:t>三、基金的募集与上市交易</w:t>
      </w:r>
      <w:bookmarkEnd w:id="4"/>
    </w:p>
    <w:p w14:paraId="1976739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（一）本基金上市前基金募集情况</w:t>
      </w:r>
    </w:p>
    <w:p w14:paraId="7C019D8F">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1、基金募集申请的核准机构和核准文号：中国证券监督管理委员会，证监许可[2026]2052号文。</w:t>
      </w:r>
    </w:p>
    <w:p w14:paraId="46D4F3A1">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2、基金运作方式：交易型开放式。</w:t>
      </w:r>
    </w:p>
    <w:p w14:paraId="34375962">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3、基金合同期限：不定期。</w:t>
      </w:r>
    </w:p>
    <w:p w14:paraId="6B019E46">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4、发售日期：2026年8月24日至2026年9月24日。</w:t>
      </w:r>
    </w:p>
    <w:p w14:paraId="0203A19E">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5、发售价格：每份基金份额初始面值为1.00元人民币。</w:t>
      </w:r>
    </w:p>
    <w:p w14:paraId="0987ACE1">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6、发售方式：投资人可选择网上现金认购</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网下现金认购</w:t>
      </w:r>
      <w:r>
        <w:rPr>
          <w:rFonts w:hint="eastAsia" w:ascii="宋体" w:hAnsi="宋体" w:eastAsia="宋体" w:cs="宋体"/>
          <w:color w:val="000000"/>
          <w:kern w:val="0"/>
          <w:sz w:val="24"/>
          <w:lang w:val="en-US" w:eastAsia="zh-CN"/>
        </w:rPr>
        <w:t>两</w:t>
      </w:r>
      <w:r>
        <w:rPr>
          <w:rFonts w:hint="eastAsia" w:ascii="宋体" w:hAnsi="宋体" w:eastAsia="宋体" w:cs="宋体"/>
          <w:color w:val="000000"/>
          <w:kern w:val="0"/>
          <w:sz w:val="24"/>
        </w:rPr>
        <w:t>种方式。</w:t>
      </w:r>
    </w:p>
    <w:p w14:paraId="77DA0D1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7、发售机构</w:t>
      </w:r>
    </w:p>
    <w:p w14:paraId="63D9BC3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（1）网下现金发售的直销机构</w:t>
      </w:r>
    </w:p>
    <w:p w14:paraId="4E8591F3">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名称：博时基金管理有限公司</w:t>
      </w:r>
    </w:p>
    <w:p w14:paraId="3FBB97DF">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住所：深圳市福田区莲花街道福新社区益田路5999号基金大厦21层</w:t>
      </w:r>
    </w:p>
    <w:p w14:paraId="26E59AB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办公地址：北京市东城区建国门内大街8号中粮广场C座609</w:t>
      </w:r>
    </w:p>
    <w:p w14:paraId="7425C7D5">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电话：010-65187055</w:t>
      </w:r>
    </w:p>
    <w:p w14:paraId="0CB3FC98">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传真：010-65187032</w:t>
      </w:r>
    </w:p>
    <w:p w14:paraId="0E4336A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联系人：韩明亮</w:t>
      </w:r>
    </w:p>
    <w:p w14:paraId="0511B7ED">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全国统一客服热线：95105568（免长途费）</w:t>
      </w:r>
    </w:p>
    <w:p w14:paraId="75863F41">
      <w:pPr>
        <w:widowControl/>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公司网址：</w:t>
      </w:r>
      <w:r>
        <w:rPr>
          <w:rFonts w:hint="eastAsia" w:ascii="宋体" w:hAnsi="宋体" w:eastAsia="宋体" w:cs="宋体"/>
          <w:color w:val="000000"/>
          <w:kern w:val="0"/>
          <w:sz w:val="24"/>
          <w:lang w:eastAsia="zh-CN"/>
        </w:rPr>
        <w:t>https://www.bosera.com</w:t>
      </w:r>
    </w:p>
    <w:p w14:paraId="5BF112D7">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（2）网下现金发售代理机构</w:t>
      </w:r>
    </w:p>
    <w:p w14:paraId="1EABE734">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站查询网下发售机构信息。</w:t>
      </w:r>
    </w:p>
    <w:p w14:paraId="6C99A42B">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3</w:t>
      </w:r>
      <w:r>
        <w:rPr>
          <w:rFonts w:hint="eastAsia" w:ascii="宋体" w:hAnsi="宋体" w:eastAsia="宋体" w:cs="宋体"/>
          <w:color w:val="000000"/>
          <w:kern w:val="0"/>
          <w:sz w:val="24"/>
        </w:rPr>
        <w:t>）网上现金发售代理机构</w:t>
      </w:r>
    </w:p>
    <w:p w14:paraId="466A00E9">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网上现金发售通过具有基金代销业务资格的深圳证券交易所会员单位办理，具体名单如下： </w:t>
      </w:r>
    </w:p>
    <w:p w14:paraId="6646F162">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1）已经具有发行认购权限的深圳证券交易所会员单位： </w:t>
      </w:r>
    </w:p>
    <w:p w14:paraId="0EE6F39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爱建证券、渤海证券、财达证券、财通证券、财信证券、川财证券、大通证券、大同证券、德邦证券、第一创业、东北证券、东方财富、东方证券、东莞证券、东海证券、东吴证券、东兴证券、方正证券、高华证券、光大证券、广发证券、国都证券、国海证券、国金证券、国开证券、国联民生证券、国融证券、国盛证券、国泰海通证券、国投证券、国新证券、国信证券、国元证券、金融街证券、红塔证券、天府证券、华安证券、华宝证券、华创证券、华福证券、华金证券、华林证券、华龙证券、华泰证券、华西证券、华鑫证券、华源证券、江海证券、金元证券、开源证券、联储证券、民生证券、南京证券、平安证券、瑞银证券、山西证券、上海证券、申万宏源、申万宏源西部、世纪证券、首创证券、太平洋证券、天风证券、万和证券、万联证券、麦高证券、五矿证券、西部证券、西南证券、湘财证券、诚通证券、信达证券、兴业证券、银河证券、银泰证券、英大证券、甬兴证券、粤开证券、长城国瑞、长城证券、长江证券、招商证券、浙商证券、中航证券、中金财富、中金公司、中山证券、中泰证券、中天证券、中信建投、中信山东、中信证券、中信证券华南、中银证券、中邮证券、中原证券（排名不分先后）</w:t>
      </w:r>
    </w:p>
    <w:p w14:paraId="0016D928">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2）本基金募集期结束前获得基金销售资格同时具备深圳证券交易所会员单位资格的证券公司也可代理场内的基金份额发售。 </w:t>
      </w:r>
    </w:p>
    <w:p w14:paraId="1EAB6CDC">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3）尚未取得基金销售资格，但属于深圳证券交易所会员的其他机构，可在本基金上市交易后，代理投资者通过深圳证券交易所交易系统参与本基金的上市交易。</w:t>
      </w:r>
    </w:p>
    <w:p w14:paraId="04AAC95B">
      <w:pPr>
        <w:widowControl/>
        <w:snapToGrid w:val="0"/>
        <w:spacing w:line="360" w:lineRule="auto"/>
        <w:ind w:right="0" w:firstLine="424"/>
        <w:rPr>
          <w:rFonts w:hint="eastAsia" w:ascii="宋体" w:hAnsi="宋体" w:eastAsia="宋体" w:cs="宋体"/>
          <w:kern w:val="0"/>
          <w:sz w:val="24"/>
        </w:rPr>
      </w:pPr>
      <w:r>
        <w:rPr>
          <w:rFonts w:hint="eastAsia" w:ascii="宋体" w:hAnsi="宋体" w:eastAsia="宋体" w:cs="宋体"/>
          <w:kern w:val="0"/>
          <w:sz w:val="24"/>
        </w:rPr>
        <w:t>8、募集资金总额及入账情况：本基金自2026年8月24日起向社会公开募集，截至2026年9月24日募集工作已顺利结束。经安永华明会计师事务所（特殊普通合伙）验资，此次募集的实收基金现金部分为人民币213,394,517.00元。其中，首次募集期间现金认购的有效认购资金扣除认购费用后的净认购金额为人民币213,374,000.00元；有效认购资金在首次募集期间产生的利息为人民币21,645.88元，其中人民币20,517.00</w:t>
      </w:r>
      <w:r>
        <w:rPr>
          <w:rFonts w:hint="eastAsia" w:ascii="宋体" w:hAnsi="宋体" w:eastAsia="宋体" w:cs="宋体"/>
          <w:kern w:val="0"/>
          <w:sz w:val="24"/>
          <w:lang w:val="en-US" w:eastAsia="zh-CN"/>
        </w:rPr>
        <w:t>元</w:t>
      </w:r>
      <w:r>
        <w:rPr>
          <w:rFonts w:hint="eastAsia" w:ascii="宋体" w:hAnsi="宋体" w:eastAsia="宋体" w:cs="宋体"/>
          <w:kern w:val="0"/>
          <w:sz w:val="24"/>
        </w:rPr>
        <w:t>折成20,517.00份基金份额，剩余人民币1,128.88元归入基金财产</w:t>
      </w:r>
      <w:r>
        <w:rPr>
          <w:rFonts w:hint="eastAsia" w:ascii="宋体" w:hAnsi="宋体" w:eastAsia="宋体" w:cs="宋体"/>
          <w:kern w:val="0"/>
          <w:sz w:val="24"/>
          <w:lang w:eastAsia="zh-CN"/>
        </w:rPr>
        <w:t>。</w:t>
      </w:r>
      <w:r>
        <w:rPr>
          <w:rFonts w:hint="eastAsia" w:ascii="宋体" w:hAnsi="宋体" w:eastAsia="宋体" w:cs="宋体"/>
          <w:kern w:val="0"/>
          <w:sz w:val="24"/>
        </w:rPr>
        <w:t>上述净认购金额人民币213,374,000.00元已于2026年9月30日止全部划</w:t>
      </w:r>
      <w:r>
        <w:rPr>
          <w:rFonts w:hint="eastAsia" w:ascii="宋体" w:hAnsi="宋体" w:eastAsia="宋体" w:cs="宋体"/>
          <w:kern w:val="0"/>
          <w:sz w:val="24"/>
          <w:lang w:val="en-US" w:eastAsia="zh-CN"/>
        </w:rPr>
        <w:t>入基金</w:t>
      </w:r>
      <w:r>
        <w:rPr>
          <w:rFonts w:hint="eastAsia" w:ascii="宋体" w:hAnsi="宋体" w:eastAsia="宋体" w:cs="宋体"/>
          <w:kern w:val="0"/>
          <w:sz w:val="24"/>
        </w:rPr>
        <w:t>托管账户。上述有效认购资金产生的利息中人民币10,532.09元已于2026年9月30日止划入基金托管</w:t>
      </w:r>
      <w:r>
        <w:rPr>
          <w:rFonts w:hint="eastAsia" w:ascii="宋体" w:hAnsi="宋体" w:eastAsia="宋体" w:cs="宋体"/>
          <w:kern w:val="0"/>
          <w:sz w:val="24"/>
          <w:lang w:val="en-US" w:eastAsia="zh-CN"/>
        </w:rPr>
        <w:t>账</w:t>
      </w:r>
      <w:r>
        <w:rPr>
          <w:rFonts w:hint="eastAsia" w:ascii="宋体" w:hAnsi="宋体" w:eastAsia="宋体" w:cs="宋体"/>
          <w:kern w:val="0"/>
          <w:sz w:val="24"/>
        </w:rPr>
        <w:t>户，剩余款项将于下一银行结息日次一工作日（2026年12月21日）划入基金托管</w:t>
      </w:r>
      <w:r>
        <w:rPr>
          <w:rFonts w:hint="eastAsia" w:ascii="宋体" w:hAnsi="宋体" w:eastAsia="宋体" w:cs="宋体"/>
          <w:kern w:val="0"/>
          <w:sz w:val="24"/>
          <w:lang w:val="en-US" w:eastAsia="zh-CN"/>
        </w:rPr>
        <w:t>账</w:t>
      </w:r>
      <w:r>
        <w:rPr>
          <w:rFonts w:hint="eastAsia" w:ascii="宋体" w:hAnsi="宋体" w:eastAsia="宋体" w:cs="宋体"/>
          <w:kern w:val="0"/>
          <w:sz w:val="24"/>
        </w:rPr>
        <w:t>户。</w:t>
      </w:r>
      <w:bookmarkStart w:id="5" w:name="field_0_raiseenddate_2"/>
      <w:bookmarkEnd w:id="5"/>
      <w:bookmarkStart w:id="6" w:name="field_0_raisebegindate_2"/>
      <w:bookmarkEnd w:id="6"/>
    </w:p>
    <w:p w14:paraId="76157964">
      <w:pPr>
        <w:widowControl/>
        <w:snapToGrid w:val="0"/>
        <w:spacing w:line="360" w:lineRule="auto"/>
        <w:ind w:right="0" w:firstLine="480"/>
        <w:rPr>
          <w:rFonts w:hint="eastAsia" w:ascii="宋体" w:hAnsi="宋体" w:eastAsia="宋体" w:cs="宋体"/>
          <w:kern w:val="0"/>
          <w:sz w:val="24"/>
          <w:highlight w:val="none"/>
        </w:rPr>
      </w:pPr>
      <w:r>
        <w:rPr>
          <w:rFonts w:hint="eastAsia" w:ascii="宋体" w:hAnsi="宋体" w:eastAsia="宋体" w:cs="宋体"/>
          <w:kern w:val="0"/>
          <w:sz w:val="24"/>
        </w:rPr>
        <w:t>9、基金备案情况：本基金于2026年9月30日得到中国证监会书面确认，基金备案手续办理完毕。根据《中华人民共和国证券投资基金法》及其配套法规和《博时中证机器人交易型开放式指数证券投资基金基金合同》的有关规定，本基金的募集情况已符合基金合同生效的条件，基金合同于2026年9月30日正式生效。</w:t>
      </w:r>
    </w:p>
    <w:p w14:paraId="2A7254F3">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10、基金合同生效日：2026年9月30日。</w:t>
      </w:r>
    </w:p>
    <w:p w14:paraId="7D1B28B5">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sz w:val="24"/>
        </w:rPr>
        <w:t>11、基金合同生效日份额总额：213,394,517.00份。</w:t>
      </w:r>
    </w:p>
    <w:p w14:paraId="49E99D82">
      <w:pPr>
        <w:widowControl/>
        <w:snapToGrid w:val="0"/>
        <w:spacing w:line="360" w:lineRule="auto"/>
        <w:ind w:right="0" w:firstLine="424"/>
        <w:jc w:val="left"/>
        <w:rPr>
          <w:rFonts w:hint="eastAsia" w:ascii="宋体" w:hAnsi="宋体" w:eastAsia="宋体" w:cs="宋体"/>
          <w:color w:val="000000"/>
          <w:kern w:val="0"/>
          <w:sz w:val="24"/>
          <w:highlight w:val="none"/>
        </w:rPr>
      </w:pPr>
      <w:r>
        <w:rPr>
          <w:rFonts w:hint="eastAsia" w:ascii="宋体" w:hAnsi="宋体" w:eastAsia="宋体" w:cs="宋体"/>
          <w:kern w:val="0"/>
          <w:sz w:val="24"/>
        </w:rPr>
        <w:t>（二）</w:t>
      </w:r>
      <w:r>
        <w:rPr>
          <w:rFonts w:hint="eastAsia" w:ascii="宋体" w:hAnsi="宋体" w:eastAsia="宋体" w:cs="宋体"/>
          <w:color w:val="000000"/>
          <w:kern w:val="0"/>
          <w:sz w:val="24"/>
        </w:rPr>
        <w:t>基金上市交易</w:t>
      </w:r>
    </w:p>
    <w:p w14:paraId="0DF79CDE">
      <w:pPr>
        <w:snapToGrid w:val="0"/>
        <w:spacing w:line="360" w:lineRule="auto"/>
        <w:ind w:right="0" w:firstLine="424"/>
        <w:rPr>
          <w:rFonts w:hint="eastAsia" w:ascii="宋体" w:hAnsi="宋体" w:eastAsia="宋体" w:cs="宋体"/>
          <w:color w:val="000000"/>
          <w:kern w:val="0"/>
          <w:sz w:val="24"/>
        </w:rPr>
      </w:pPr>
      <w:r>
        <w:rPr>
          <w:rFonts w:hint="eastAsia" w:ascii="宋体" w:hAnsi="宋体" w:eastAsia="宋体" w:cs="宋体"/>
          <w:color w:val="000000"/>
          <w:kern w:val="0"/>
          <w:sz w:val="24"/>
        </w:rPr>
        <w:t>1、基金上市交易的核准机构和核准文号：深圳证券交易所深证上〔2026〕1364号</w:t>
      </w:r>
    </w:p>
    <w:p w14:paraId="7EDAFF73">
      <w:pPr>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2、上市交易日期：2026年10月15日</w:t>
      </w:r>
    </w:p>
    <w:p w14:paraId="7EC25001">
      <w:pPr>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3、上市交易的证券交易所：深圳证券交易所</w:t>
      </w:r>
    </w:p>
    <w:p w14:paraId="587A474C">
      <w:pPr>
        <w:snapToGrid w:val="0"/>
        <w:spacing w:line="360" w:lineRule="auto"/>
        <w:ind w:right="0" w:firstLine="424"/>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rPr>
        <w:t>4、基金二级市场交易简称：机器人ETF博时</w:t>
      </w:r>
    </w:p>
    <w:p w14:paraId="4378A05D">
      <w:pPr>
        <w:snapToGrid w:val="0"/>
        <w:spacing w:line="360" w:lineRule="auto"/>
        <w:ind w:right="0" w:firstLine="424"/>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rPr>
        <w:t>5、基金二级市场交易代码：158037 </w:t>
      </w:r>
    </w:p>
    <w:p w14:paraId="6071C491">
      <w:pPr>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投资者在深圳证券交易所各会员单位证券营业部均可参与基金二级市场交易。</w:t>
      </w:r>
    </w:p>
    <w:p w14:paraId="0059C5AC">
      <w:pPr>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6、本次交易上市份额：213,394,517.00 份（截至2026年10月8日）</w:t>
      </w:r>
    </w:p>
    <w:p w14:paraId="415D9CFE">
      <w:pPr>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7、未上市交易份额的流通规定：本基金上市交易后，所有的基金份额均可进行交易，不存在未上市交易的基金份额。</w:t>
      </w:r>
    </w:p>
    <w:p w14:paraId="45948504">
      <w:pPr>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8、基金资产净值的披露：在本基金</w:t>
      </w:r>
      <w:r>
        <w:rPr>
          <w:rFonts w:hint="eastAsia" w:ascii="宋体" w:hAnsi="宋体" w:eastAsia="宋体" w:cs="宋体"/>
          <w:color w:val="000000"/>
          <w:kern w:val="0"/>
          <w:sz w:val="24"/>
          <w:lang w:val="en-US" w:eastAsia="zh-CN"/>
        </w:rPr>
        <w:t>份额</w:t>
      </w:r>
      <w:r>
        <w:rPr>
          <w:rFonts w:hint="eastAsia" w:ascii="宋体" w:hAnsi="宋体" w:eastAsia="宋体" w:cs="宋体"/>
          <w:color w:val="000000"/>
          <w:kern w:val="0"/>
          <w:sz w:val="24"/>
        </w:rPr>
        <w:t>上市交易</w:t>
      </w:r>
      <w:r>
        <w:rPr>
          <w:rFonts w:hint="eastAsia" w:ascii="宋体" w:hAnsi="宋体" w:eastAsia="宋体" w:cs="宋体"/>
          <w:color w:val="000000"/>
          <w:kern w:val="0"/>
          <w:sz w:val="24"/>
          <w:lang w:val="en-US" w:eastAsia="zh-CN"/>
        </w:rPr>
        <w:t>或者</w:t>
      </w:r>
      <w:r>
        <w:rPr>
          <w:rFonts w:hint="eastAsia" w:ascii="宋体" w:hAnsi="宋体" w:eastAsia="宋体" w:cs="宋体"/>
          <w:color w:val="000000"/>
          <w:kern w:val="0"/>
          <w:sz w:val="24"/>
        </w:rPr>
        <w:t>开始办理基金份额申购</w:t>
      </w:r>
      <w:r>
        <w:rPr>
          <w:rFonts w:hint="eastAsia" w:ascii="宋体" w:hAnsi="宋体" w:eastAsia="宋体" w:cs="宋体"/>
          <w:color w:val="000000"/>
          <w:kern w:val="0"/>
          <w:sz w:val="24"/>
          <w:lang w:val="en-US" w:eastAsia="zh-CN"/>
        </w:rPr>
        <w:t>或者</w:t>
      </w:r>
      <w:r>
        <w:rPr>
          <w:rFonts w:hint="eastAsia" w:ascii="宋体" w:hAnsi="宋体" w:eastAsia="宋体" w:cs="宋体"/>
          <w:color w:val="000000"/>
          <w:kern w:val="0"/>
          <w:sz w:val="24"/>
        </w:rPr>
        <w:t>赎回后，基金管理人应当在不晚于每个开放日的次日，通过规定网站、基金销售机构网站或者营业网点披露开放日的基金份额净值和基金份额累计净值，并在深圳证券交易所行情发布系统揭示基金份额净值</w:t>
      </w:r>
      <w:r>
        <w:rPr>
          <w:rFonts w:hint="eastAsia" w:ascii="宋体" w:hAnsi="宋体" w:eastAsia="宋体" w:cs="宋体"/>
          <w:color w:val="000000"/>
          <w:kern w:val="0"/>
          <w:szCs w:val="21"/>
        </w:rPr>
        <w:t>。</w:t>
      </w:r>
    </w:p>
    <w:p w14:paraId="473FEB22">
      <w:pPr>
        <w:snapToGrid w:val="0"/>
        <w:spacing w:line="360" w:lineRule="auto"/>
        <w:ind w:right="0" w:firstLine="371"/>
        <w:rPr>
          <w:rFonts w:hint="eastAsia" w:ascii="宋体" w:hAnsi="宋体" w:eastAsia="宋体" w:cs="宋体"/>
          <w:color w:val="000000"/>
          <w:kern w:val="0"/>
          <w:sz w:val="24"/>
          <w:szCs w:val="21"/>
          <w:highlight w:val="none"/>
        </w:rPr>
      </w:pPr>
    </w:p>
    <w:p w14:paraId="04524403">
      <w:pPr>
        <w:pStyle w:val="2"/>
        <w:ind w:left="0" w:firstLine="0"/>
        <w:rPr>
          <w:rFonts w:hint="eastAsia" w:ascii="宋体" w:hAnsi="宋体" w:eastAsia="宋体" w:cs="宋体"/>
          <w:highlight w:val="none"/>
        </w:rPr>
      </w:pPr>
      <w:bookmarkStart w:id="7" w:name="_Toc21796"/>
      <w:r>
        <w:rPr>
          <w:rFonts w:hint="eastAsia" w:ascii="宋体" w:hAnsi="宋体" w:eastAsia="宋体" w:cs="宋体"/>
        </w:rPr>
        <w:t>四、持有人户数、持有人结构及前十名持有人</w:t>
      </w:r>
      <w:bookmarkEnd w:id="7"/>
    </w:p>
    <w:p w14:paraId="579561F7">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（一）持有人户数</w:t>
      </w:r>
    </w:p>
    <w:p w14:paraId="4CB2C8E4">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截至公告日前两个工作日即2026年10月8日，本基金份额持有人户数为2,137户，平均每户持有的基金份额为99,857.05份。</w:t>
      </w:r>
    </w:p>
    <w:p w14:paraId="6CC914B8">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（二）持有人结构</w:t>
      </w:r>
    </w:p>
    <w:p w14:paraId="556A7908">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截至公告日前两个工作日即2026年10月8日，本基金份额持有人结构如下：</w:t>
      </w:r>
    </w:p>
    <w:p w14:paraId="5790E58E">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机构投资者持有的基金份额为77,912,459.00份，占基金总份额的36.51</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rPr>
        <w:t>；个人投资者持有的基金份额为135,482,058.00份，占基金总份额的63.49%。</w:t>
      </w:r>
    </w:p>
    <w:p w14:paraId="024E361A">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（三）前十名基金份额持有人的情况：</w:t>
      </w:r>
    </w:p>
    <w:p w14:paraId="1D01F40A">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截至公告日前两个工作日即2026年10月8日，前十名基金份额持有人的情况如下表。</w:t>
      </w:r>
    </w:p>
    <w:tbl>
      <w:tblPr>
        <w:tblStyle w:val="27"/>
        <w:tblW w:w="0" w:type="auto"/>
        <w:jc w:val="center"/>
        <w:tblLayout w:type="autofit"/>
        <w:tblCellMar>
          <w:top w:w="0" w:type="dxa"/>
          <w:left w:w="108" w:type="dxa"/>
          <w:bottom w:w="0" w:type="dxa"/>
          <w:right w:w="108" w:type="dxa"/>
        </w:tblCellMar>
      </w:tblPr>
      <w:tblGrid>
        <w:gridCol w:w="684"/>
        <w:gridCol w:w="4483"/>
        <w:gridCol w:w="1783"/>
        <w:gridCol w:w="1572"/>
      </w:tblGrid>
      <w:tr w14:paraId="2E7D6948">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1D181460">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序号</w:t>
            </w:r>
          </w:p>
        </w:tc>
        <w:tc>
          <w:tcPr>
            <w:tcW w:w="4483" w:type="dxa"/>
            <w:tcBorders>
              <w:top w:val="single" w:color="000000" w:sz="4" w:space="0"/>
              <w:left w:val="single" w:color="000000" w:sz="4" w:space="0"/>
              <w:bottom w:val="single" w:color="000000" w:sz="4" w:space="0"/>
              <w:right w:val="single" w:color="000000" w:sz="4" w:space="0"/>
            </w:tcBorders>
            <w:vAlign w:val="center"/>
          </w:tcPr>
          <w:p w14:paraId="6A6D7B4D">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持有人名称（全称）</w:t>
            </w:r>
          </w:p>
        </w:tc>
        <w:tc>
          <w:tcPr>
            <w:tcW w:w="1783" w:type="dxa"/>
            <w:tcBorders>
              <w:top w:val="single" w:color="000000" w:sz="4" w:space="0"/>
              <w:left w:val="single" w:color="000000" w:sz="4" w:space="0"/>
              <w:bottom w:val="single" w:color="000000" w:sz="4" w:space="0"/>
              <w:right w:val="single" w:color="000000" w:sz="4" w:space="0"/>
            </w:tcBorders>
            <w:vAlign w:val="center"/>
          </w:tcPr>
          <w:p w14:paraId="34ECC9CC">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持有基金份额（份）</w:t>
            </w:r>
          </w:p>
        </w:tc>
        <w:tc>
          <w:tcPr>
            <w:tcW w:w="0" w:type="auto"/>
            <w:tcBorders>
              <w:top w:val="single" w:color="000000" w:sz="4" w:space="0"/>
              <w:left w:val="single" w:color="000000" w:sz="4" w:space="0"/>
              <w:bottom w:val="single" w:color="000000" w:sz="4" w:space="0"/>
              <w:right w:val="single" w:color="000000" w:sz="4" w:space="0"/>
            </w:tcBorders>
            <w:vAlign w:val="center"/>
          </w:tcPr>
          <w:p w14:paraId="7660E947">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占场内总份额比例（%）</w:t>
            </w:r>
          </w:p>
        </w:tc>
      </w:tr>
      <w:tr w14:paraId="30371C9F">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08327D68">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w:t>
            </w:r>
          </w:p>
        </w:tc>
        <w:tc>
          <w:tcPr>
            <w:tcW w:w="4483" w:type="dxa"/>
            <w:tcBorders>
              <w:top w:val="single" w:color="000000" w:sz="4" w:space="0"/>
              <w:left w:val="single" w:color="000000" w:sz="4" w:space="0"/>
              <w:bottom w:val="single" w:color="000000" w:sz="4" w:space="0"/>
              <w:right w:val="single" w:color="000000" w:sz="4" w:space="0"/>
            </w:tcBorders>
            <w:vAlign w:val="center"/>
          </w:tcPr>
          <w:p w14:paraId="6A8A6A33">
            <w:pPr>
              <w:widowControl/>
              <w:snapToGrid w:val="0"/>
              <w:spacing w:line="360" w:lineRule="auto"/>
              <w:jc w:val="left"/>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上海证券－国泰君安证券股份有限公司－上海证券正和2号FOF单一资产管理计划</w:t>
            </w:r>
          </w:p>
        </w:tc>
        <w:tc>
          <w:tcPr>
            <w:tcW w:w="1783" w:type="dxa"/>
            <w:tcBorders>
              <w:top w:val="single" w:color="000000" w:sz="4" w:space="0"/>
              <w:left w:val="single" w:color="000000" w:sz="4" w:space="0"/>
              <w:bottom w:val="single" w:color="000000" w:sz="4" w:space="0"/>
              <w:right w:val="single" w:color="000000" w:sz="4" w:space="0"/>
            </w:tcBorders>
            <w:vAlign w:val="bottom"/>
          </w:tcPr>
          <w:p w14:paraId="31475C54">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13,000,252.00</w:t>
            </w:r>
          </w:p>
        </w:tc>
        <w:tc>
          <w:tcPr>
            <w:tcW w:w="1572" w:type="dxa"/>
            <w:tcBorders>
              <w:top w:val="single" w:color="000000" w:sz="4" w:space="0"/>
              <w:left w:val="single" w:color="000000" w:sz="4" w:space="0"/>
              <w:bottom w:val="single" w:color="000000" w:sz="4" w:space="0"/>
              <w:right w:val="single" w:color="000000" w:sz="4" w:space="0"/>
            </w:tcBorders>
            <w:vAlign w:val="bottom"/>
          </w:tcPr>
          <w:p w14:paraId="28766750">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6.09</w:t>
            </w:r>
          </w:p>
        </w:tc>
      </w:tr>
      <w:tr w14:paraId="1C6EC79F">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00DDACC2">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2</w:t>
            </w:r>
          </w:p>
        </w:tc>
        <w:tc>
          <w:tcPr>
            <w:tcW w:w="4483" w:type="dxa"/>
            <w:tcBorders>
              <w:top w:val="single" w:color="000000" w:sz="4" w:space="0"/>
              <w:left w:val="single" w:color="000000" w:sz="4" w:space="0"/>
              <w:bottom w:val="single" w:color="000000" w:sz="4" w:space="0"/>
              <w:right w:val="single" w:color="000000" w:sz="4" w:space="0"/>
            </w:tcBorders>
            <w:vAlign w:val="center"/>
          </w:tcPr>
          <w:p w14:paraId="3CE0E90C">
            <w:pPr>
              <w:widowControl/>
              <w:snapToGrid w:val="0"/>
              <w:spacing w:line="360" w:lineRule="auto"/>
              <w:jc w:val="left"/>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招商期货有限公司</w:t>
            </w:r>
          </w:p>
        </w:tc>
        <w:tc>
          <w:tcPr>
            <w:tcW w:w="1783" w:type="dxa"/>
            <w:tcBorders>
              <w:top w:val="single" w:color="000000" w:sz="4" w:space="0"/>
              <w:left w:val="single" w:color="000000" w:sz="4" w:space="0"/>
              <w:bottom w:val="single" w:color="000000" w:sz="4" w:space="0"/>
              <w:right w:val="single" w:color="000000" w:sz="4" w:space="0"/>
            </w:tcBorders>
            <w:vAlign w:val="bottom"/>
          </w:tcPr>
          <w:p w14:paraId="2135F3EA">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10,000,194.00</w:t>
            </w:r>
          </w:p>
        </w:tc>
        <w:tc>
          <w:tcPr>
            <w:tcW w:w="1572" w:type="dxa"/>
            <w:tcBorders>
              <w:top w:val="single" w:color="000000" w:sz="4" w:space="0"/>
              <w:left w:val="single" w:color="000000" w:sz="4" w:space="0"/>
              <w:bottom w:val="single" w:color="000000" w:sz="4" w:space="0"/>
              <w:right w:val="single" w:color="000000" w:sz="4" w:space="0"/>
            </w:tcBorders>
            <w:vAlign w:val="bottom"/>
          </w:tcPr>
          <w:p w14:paraId="180A73D1">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4.69</w:t>
            </w:r>
          </w:p>
        </w:tc>
      </w:tr>
      <w:tr w14:paraId="1DE60EBA">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276C7E00">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3</w:t>
            </w:r>
          </w:p>
        </w:tc>
        <w:tc>
          <w:tcPr>
            <w:tcW w:w="4483" w:type="dxa"/>
            <w:tcBorders>
              <w:top w:val="single" w:color="000000" w:sz="4" w:space="0"/>
              <w:left w:val="single" w:color="000000" w:sz="4" w:space="0"/>
              <w:bottom w:val="single" w:color="000000" w:sz="4" w:space="0"/>
              <w:right w:val="single" w:color="000000" w:sz="4" w:space="0"/>
            </w:tcBorders>
            <w:vAlign w:val="center"/>
          </w:tcPr>
          <w:p w14:paraId="5C95160F">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深圳市恒泰融安投资管理有限公司－恒泰融安泰山9号私募证券投资基金</w:t>
            </w:r>
          </w:p>
        </w:tc>
        <w:tc>
          <w:tcPr>
            <w:tcW w:w="1783" w:type="dxa"/>
            <w:tcBorders>
              <w:top w:val="single" w:color="000000" w:sz="4" w:space="0"/>
              <w:left w:val="single" w:color="000000" w:sz="4" w:space="0"/>
              <w:bottom w:val="single" w:color="000000" w:sz="4" w:space="0"/>
              <w:right w:val="single" w:color="000000" w:sz="4" w:space="0"/>
            </w:tcBorders>
            <w:vAlign w:val="bottom"/>
          </w:tcPr>
          <w:p w14:paraId="380231F2">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8,000,155.00</w:t>
            </w:r>
          </w:p>
        </w:tc>
        <w:tc>
          <w:tcPr>
            <w:tcW w:w="1572" w:type="dxa"/>
            <w:tcBorders>
              <w:top w:val="single" w:color="000000" w:sz="4" w:space="0"/>
              <w:left w:val="single" w:color="000000" w:sz="4" w:space="0"/>
              <w:bottom w:val="single" w:color="000000" w:sz="4" w:space="0"/>
              <w:right w:val="single" w:color="000000" w:sz="4" w:space="0"/>
            </w:tcBorders>
            <w:vAlign w:val="bottom"/>
          </w:tcPr>
          <w:p w14:paraId="7F100DDB">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3.75</w:t>
            </w:r>
          </w:p>
        </w:tc>
      </w:tr>
      <w:tr w14:paraId="1ED16725">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6B2AD6FE">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4</w:t>
            </w:r>
          </w:p>
        </w:tc>
        <w:tc>
          <w:tcPr>
            <w:tcW w:w="4483" w:type="dxa"/>
            <w:tcBorders>
              <w:top w:val="single" w:color="000000" w:sz="4" w:space="0"/>
              <w:left w:val="single" w:color="000000" w:sz="4" w:space="0"/>
              <w:bottom w:val="single" w:color="000000" w:sz="4" w:space="0"/>
              <w:right w:val="single" w:color="000000" w:sz="4" w:space="0"/>
            </w:tcBorders>
            <w:vAlign w:val="center"/>
          </w:tcPr>
          <w:p w14:paraId="397E20CD">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国信证券股份有限公司</w:t>
            </w:r>
          </w:p>
        </w:tc>
        <w:tc>
          <w:tcPr>
            <w:tcW w:w="1783" w:type="dxa"/>
            <w:tcBorders>
              <w:top w:val="single" w:color="000000" w:sz="4" w:space="0"/>
              <w:left w:val="single" w:color="000000" w:sz="4" w:space="0"/>
              <w:bottom w:val="single" w:color="000000" w:sz="4" w:space="0"/>
              <w:right w:val="single" w:color="000000" w:sz="4" w:space="0"/>
            </w:tcBorders>
            <w:vAlign w:val="bottom"/>
          </w:tcPr>
          <w:p w14:paraId="0F79CCD3">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7,000,136.00</w:t>
            </w:r>
          </w:p>
        </w:tc>
        <w:tc>
          <w:tcPr>
            <w:tcW w:w="1572" w:type="dxa"/>
            <w:tcBorders>
              <w:top w:val="single" w:color="000000" w:sz="4" w:space="0"/>
              <w:left w:val="single" w:color="000000" w:sz="4" w:space="0"/>
              <w:bottom w:val="single" w:color="000000" w:sz="4" w:space="0"/>
              <w:right w:val="single" w:color="000000" w:sz="4" w:space="0"/>
            </w:tcBorders>
            <w:vAlign w:val="bottom"/>
          </w:tcPr>
          <w:p w14:paraId="1FB968F4">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3.28</w:t>
            </w:r>
          </w:p>
        </w:tc>
      </w:tr>
      <w:tr w14:paraId="5A72DD67">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21E35EC2">
            <w:pPr>
              <w:widowControl/>
              <w:snapToGrid w:val="0"/>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w:t>
            </w:r>
          </w:p>
        </w:tc>
        <w:tc>
          <w:tcPr>
            <w:tcW w:w="4483" w:type="dxa"/>
            <w:tcBorders>
              <w:top w:val="single" w:color="000000" w:sz="4" w:space="0"/>
              <w:left w:val="single" w:color="000000" w:sz="4" w:space="0"/>
              <w:bottom w:val="single" w:color="000000" w:sz="4" w:space="0"/>
              <w:right w:val="single" w:color="000000" w:sz="4" w:space="0"/>
            </w:tcBorders>
            <w:vAlign w:val="center"/>
          </w:tcPr>
          <w:p w14:paraId="7349D1A2">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国泰海通证券股份有限公司</w:t>
            </w:r>
          </w:p>
        </w:tc>
        <w:tc>
          <w:tcPr>
            <w:tcW w:w="1783" w:type="dxa"/>
            <w:tcBorders>
              <w:top w:val="single" w:color="000000" w:sz="4" w:space="0"/>
              <w:left w:val="single" w:color="000000" w:sz="4" w:space="0"/>
              <w:bottom w:val="single" w:color="000000" w:sz="4" w:space="0"/>
              <w:right w:val="single" w:color="000000" w:sz="4" w:space="0"/>
            </w:tcBorders>
            <w:vAlign w:val="bottom"/>
          </w:tcPr>
          <w:p w14:paraId="34167EAF">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7,000,136.00</w:t>
            </w:r>
          </w:p>
        </w:tc>
        <w:tc>
          <w:tcPr>
            <w:tcW w:w="1572" w:type="dxa"/>
            <w:tcBorders>
              <w:top w:val="single" w:color="000000" w:sz="4" w:space="0"/>
              <w:left w:val="single" w:color="000000" w:sz="4" w:space="0"/>
              <w:bottom w:val="single" w:color="000000" w:sz="4" w:space="0"/>
              <w:right w:val="single" w:color="000000" w:sz="4" w:space="0"/>
            </w:tcBorders>
            <w:vAlign w:val="bottom"/>
          </w:tcPr>
          <w:p w14:paraId="0D42189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3.28</w:t>
            </w:r>
          </w:p>
        </w:tc>
      </w:tr>
      <w:tr w14:paraId="71C5D7C8">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5BAE43CE">
            <w:pPr>
              <w:widowControl/>
              <w:snapToGrid w:val="0"/>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w:t>
            </w:r>
          </w:p>
        </w:tc>
        <w:tc>
          <w:tcPr>
            <w:tcW w:w="4483" w:type="dxa"/>
            <w:tcBorders>
              <w:top w:val="single" w:color="000000" w:sz="4" w:space="0"/>
              <w:left w:val="single" w:color="000000" w:sz="4" w:space="0"/>
              <w:bottom w:val="single" w:color="000000" w:sz="4" w:space="0"/>
              <w:right w:val="single" w:color="000000" w:sz="4" w:space="0"/>
            </w:tcBorders>
            <w:vAlign w:val="center"/>
          </w:tcPr>
          <w:p w14:paraId="6A2F91B5">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招商证券股份有限公司</w:t>
            </w:r>
          </w:p>
        </w:tc>
        <w:tc>
          <w:tcPr>
            <w:tcW w:w="1783" w:type="dxa"/>
            <w:tcBorders>
              <w:top w:val="single" w:color="000000" w:sz="4" w:space="0"/>
              <w:left w:val="single" w:color="000000" w:sz="4" w:space="0"/>
              <w:bottom w:val="single" w:color="000000" w:sz="4" w:space="0"/>
              <w:right w:val="single" w:color="000000" w:sz="4" w:space="0"/>
            </w:tcBorders>
            <w:vAlign w:val="bottom"/>
          </w:tcPr>
          <w:p w14:paraId="5C916EE7">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7,000,136.00</w:t>
            </w:r>
          </w:p>
        </w:tc>
        <w:tc>
          <w:tcPr>
            <w:tcW w:w="1572" w:type="dxa"/>
            <w:tcBorders>
              <w:top w:val="single" w:color="000000" w:sz="4" w:space="0"/>
              <w:left w:val="single" w:color="000000" w:sz="4" w:space="0"/>
              <w:bottom w:val="single" w:color="000000" w:sz="4" w:space="0"/>
              <w:right w:val="single" w:color="000000" w:sz="4" w:space="0"/>
            </w:tcBorders>
            <w:vAlign w:val="bottom"/>
          </w:tcPr>
          <w:p w14:paraId="231620A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3.28</w:t>
            </w:r>
          </w:p>
        </w:tc>
      </w:tr>
      <w:tr w14:paraId="491EA08D">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590C2CDB">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7</w:t>
            </w:r>
          </w:p>
        </w:tc>
        <w:tc>
          <w:tcPr>
            <w:tcW w:w="4483" w:type="dxa"/>
            <w:tcBorders>
              <w:top w:val="single" w:color="000000" w:sz="4" w:space="0"/>
              <w:left w:val="single" w:color="000000" w:sz="4" w:space="0"/>
              <w:bottom w:val="single" w:color="000000" w:sz="4" w:space="0"/>
              <w:right w:val="single" w:color="000000" w:sz="4" w:space="0"/>
            </w:tcBorders>
            <w:vAlign w:val="center"/>
          </w:tcPr>
          <w:p w14:paraId="3A0C378D">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东吴证券股份有限公司</w:t>
            </w:r>
          </w:p>
        </w:tc>
        <w:tc>
          <w:tcPr>
            <w:tcW w:w="1783" w:type="dxa"/>
            <w:tcBorders>
              <w:top w:val="single" w:color="000000" w:sz="4" w:space="0"/>
              <w:left w:val="single" w:color="000000" w:sz="4" w:space="0"/>
              <w:bottom w:val="single" w:color="000000" w:sz="4" w:space="0"/>
              <w:right w:val="single" w:color="000000" w:sz="4" w:space="0"/>
            </w:tcBorders>
            <w:vAlign w:val="bottom"/>
          </w:tcPr>
          <w:p w14:paraId="72CBF4D7">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6,000,116.00</w:t>
            </w:r>
          </w:p>
        </w:tc>
        <w:tc>
          <w:tcPr>
            <w:tcW w:w="1572" w:type="dxa"/>
            <w:tcBorders>
              <w:top w:val="single" w:color="000000" w:sz="4" w:space="0"/>
              <w:left w:val="single" w:color="000000" w:sz="4" w:space="0"/>
              <w:bottom w:val="single" w:color="000000" w:sz="4" w:space="0"/>
              <w:right w:val="single" w:color="000000" w:sz="4" w:space="0"/>
            </w:tcBorders>
            <w:vAlign w:val="bottom"/>
          </w:tcPr>
          <w:p w14:paraId="3862F8EB">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2.81</w:t>
            </w:r>
          </w:p>
        </w:tc>
      </w:tr>
      <w:tr w14:paraId="3A8910E3">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2B6C949B">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8</w:t>
            </w:r>
          </w:p>
        </w:tc>
        <w:tc>
          <w:tcPr>
            <w:tcW w:w="4483" w:type="dxa"/>
            <w:tcBorders>
              <w:top w:val="single" w:color="000000" w:sz="4" w:space="0"/>
              <w:left w:val="single" w:color="000000" w:sz="4" w:space="0"/>
              <w:bottom w:val="single" w:color="000000" w:sz="4" w:space="0"/>
              <w:right w:val="single" w:color="000000" w:sz="4" w:space="0"/>
            </w:tcBorders>
            <w:vAlign w:val="center"/>
          </w:tcPr>
          <w:p w14:paraId="41B0D1F4">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铸锋私募基金管理（北京）有限公司－铸锋银锋2号私募证券投资基金</w:t>
            </w:r>
          </w:p>
        </w:tc>
        <w:tc>
          <w:tcPr>
            <w:tcW w:w="1783" w:type="dxa"/>
            <w:tcBorders>
              <w:top w:val="single" w:color="000000" w:sz="4" w:space="0"/>
              <w:left w:val="single" w:color="000000" w:sz="4" w:space="0"/>
              <w:bottom w:val="single" w:color="000000" w:sz="4" w:space="0"/>
              <w:right w:val="single" w:color="000000" w:sz="4" w:space="0"/>
            </w:tcBorders>
            <w:vAlign w:val="bottom"/>
          </w:tcPr>
          <w:p w14:paraId="7BA64EEC">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5,000,097.00</w:t>
            </w:r>
          </w:p>
        </w:tc>
        <w:tc>
          <w:tcPr>
            <w:tcW w:w="1572" w:type="dxa"/>
            <w:tcBorders>
              <w:top w:val="single" w:color="000000" w:sz="4" w:space="0"/>
              <w:left w:val="single" w:color="000000" w:sz="4" w:space="0"/>
              <w:bottom w:val="single" w:color="000000" w:sz="4" w:space="0"/>
              <w:right w:val="single" w:color="000000" w:sz="4" w:space="0"/>
            </w:tcBorders>
            <w:vAlign w:val="bottom"/>
          </w:tcPr>
          <w:p w14:paraId="5D79E037">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2.34</w:t>
            </w:r>
          </w:p>
        </w:tc>
      </w:tr>
      <w:tr w14:paraId="10BC8E03">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3E3B29FB">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9</w:t>
            </w:r>
          </w:p>
        </w:tc>
        <w:tc>
          <w:tcPr>
            <w:tcW w:w="4483" w:type="dxa"/>
            <w:tcBorders>
              <w:top w:val="single" w:color="000000" w:sz="4" w:space="0"/>
              <w:left w:val="single" w:color="000000" w:sz="4" w:space="0"/>
              <w:bottom w:val="single" w:color="000000" w:sz="4" w:space="0"/>
              <w:right w:val="single" w:color="000000" w:sz="4" w:space="0"/>
            </w:tcBorders>
            <w:vAlign w:val="center"/>
          </w:tcPr>
          <w:p w14:paraId="0F1EC9F0">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邓立峰</w:t>
            </w:r>
          </w:p>
        </w:tc>
        <w:tc>
          <w:tcPr>
            <w:tcW w:w="1783" w:type="dxa"/>
            <w:tcBorders>
              <w:top w:val="single" w:color="000000" w:sz="4" w:space="0"/>
              <w:left w:val="single" w:color="000000" w:sz="4" w:space="0"/>
              <w:bottom w:val="single" w:color="000000" w:sz="4" w:space="0"/>
              <w:right w:val="single" w:color="000000" w:sz="4" w:space="0"/>
            </w:tcBorders>
            <w:vAlign w:val="bottom"/>
          </w:tcPr>
          <w:p w14:paraId="5066FD1D">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4,000,622.00</w:t>
            </w:r>
          </w:p>
        </w:tc>
        <w:tc>
          <w:tcPr>
            <w:tcW w:w="1572" w:type="dxa"/>
            <w:tcBorders>
              <w:top w:val="single" w:color="000000" w:sz="4" w:space="0"/>
              <w:left w:val="single" w:color="000000" w:sz="4" w:space="0"/>
              <w:bottom w:val="single" w:color="000000" w:sz="4" w:space="0"/>
              <w:right w:val="single" w:color="000000" w:sz="4" w:space="0"/>
            </w:tcBorders>
            <w:vAlign w:val="bottom"/>
          </w:tcPr>
          <w:p w14:paraId="749FA1C7">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1.87</w:t>
            </w:r>
          </w:p>
        </w:tc>
      </w:tr>
      <w:tr w14:paraId="085EBFC7">
        <w:tblPrEx>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vAlign w:val="center"/>
          </w:tcPr>
          <w:p w14:paraId="5BCD29C2">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10</w:t>
            </w:r>
          </w:p>
        </w:tc>
        <w:tc>
          <w:tcPr>
            <w:tcW w:w="4483" w:type="dxa"/>
            <w:tcBorders>
              <w:top w:val="single" w:color="000000" w:sz="4" w:space="0"/>
              <w:left w:val="single" w:color="000000" w:sz="4" w:space="0"/>
              <w:bottom w:val="single" w:color="000000" w:sz="4" w:space="0"/>
              <w:right w:val="single" w:color="000000" w:sz="4" w:space="0"/>
            </w:tcBorders>
            <w:vAlign w:val="center"/>
          </w:tcPr>
          <w:p w14:paraId="3272A0C0">
            <w:pPr>
              <w:widowControl/>
              <w:snapToGrid w:val="0"/>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安合融信（青岛）私募基金管理有限公司－安合融信匠人匠心10号私募证券投资基金</w:t>
            </w:r>
          </w:p>
        </w:tc>
        <w:tc>
          <w:tcPr>
            <w:tcW w:w="1783" w:type="dxa"/>
            <w:tcBorders>
              <w:top w:val="single" w:color="000000" w:sz="4" w:space="0"/>
              <w:left w:val="single" w:color="000000" w:sz="4" w:space="0"/>
              <w:bottom w:val="single" w:color="000000" w:sz="4" w:space="0"/>
              <w:right w:val="single" w:color="000000" w:sz="4" w:space="0"/>
            </w:tcBorders>
            <w:vAlign w:val="bottom"/>
          </w:tcPr>
          <w:p w14:paraId="367013BF">
            <w:pPr>
              <w:widowControl/>
              <w:snapToGrid w:val="0"/>
              <w:spacing w:line="360" w:lineRule="auto"/>
              <w:jc w:val="center"/>
              <w:rPr>
                <w:rFonts w:hint="eastAsia" w:ascii="宋体" w:hAnsi="宋体" w:eastAsia="宋体" w:cs="宋体"/>
                <w:color w:val="000000"/>
                <w:kern w:val="0"/>
                <w:sz w:val="21"/>
                <w:szCs w:val="21"/>
                <w:lang w:val="en-US"/>
              </w:rPr>
            </w:pPr>
            <w:r>
              <w:rPr>
                <w:rFonts w:hint="eastAsia" w:ascii="宋体" w:hAnsi="宋体" w:eastAsia="宋体" w:cs="宋体"/>
                <w:color w:val="000000"/>
                <w:kern w:val="0"/>
                <w:sz w:val="21"/>
                <w:szCs w:val="21"/>
                <w:lang w:val="en-US" w:eastAsia="zh-CN"/>
              </w:rPr>
              <w:t>4,000,077.00</w:t>
            </w:r>
          </w:p>
        </w:tc>
        <w:tc>
          <w:tcPr>
            <w:tcW w:w="1572" w:type="dxa"/>
            <w:tcBorders>
              <w:top w:val="single" w:color="000000" w:sz="4" w:space="0"/>
              <w:left w:val="single" w:color="000000" w:sz="4" w:space="0"/>
              <w:bottom w:val="single" w:color="000000" w:sz="4" w:space="0"/>
              <w:right w:val="single" w:color="000000" w:sz="4" w:space="0"/>
            </w:tcBorders>
            <w:vAlign w:val="bottom"/>
          </w:tcPr>
          <w:p w14:paraId="0404048B">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1.87</w:t>
            </w:r>
          </w:p>
        </w:tc>
      </w:tr>
    </w:tbl>
    <w:p w14:paraId="5AD156C5">
      <w:pPr>
        <w:pStyle w:val="2"/>
        <w:ind w:left="0" w:firstLine="0"/>
        <w:rPr>
          <w:rFonts w:hint="eastAsia" w:ascii="宋体" w:hAnsi="宋体" w:eastAsia="宋体" w:cs="宋体"/>
          <w:highlight w:val="none"/>
        </w:rPr>
      </w:pPr>
      <w:bookmarkStart w:id="27" w:name="_GoBack"/>
      <w:bookmarkEnd w:id="27"/>
      <w:bookmarkStart w:id="8" w:name="_Toc19642"/>
      <w:r>
        <w:rPr>
          <w:rFonts w:hint="eastAsia" w:ascii="宋体" w:hAnsi="宋体" w:eastAsia="宋体" w:cs="宋体"/>
        </w:rPr>
        <w:t>五、基金主要当事人简介</w:t>
      </w:r>
      <w:bookmarkEnd w:id="8"/>
    </w:p>
    <w:p w14:paraId="363E57D0">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（一）基金管理人</w:t>
      </w:r>
    </w:p>
    <w:p w14:paraId="6B6D8F48">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1、基金管理人概况</w:t>
      </w:r>
    </w:p>
    <w:p w14:paraId="467BF65B">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名称：</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博时基金管理有限公司</w:t>
      </w:r>
    </w:p>
    <w:p w14:paraId="222A7B9D">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住所：</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深圳市福田区莲花街道福新社区益田路5999号基金大厦21层</w:t>
      </w:r>
    </w:p>
    <w:p w14:paraId="69D12DA2">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办公地址：</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广东省深圳市福田区益田路5999号基金大厦21层</w:t>
      </w:r>
    </w:p>
    <w:p w14:paraId="181C65AA">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法定代表人：张东</w:t>
      </w:r>
    </w:p>
    <w:p w14:paraId="64BD971C">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成立时间：</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1998年7月13日</w:t>
      </w:r>
    </w:p>
    <w:p w14:paraId="48949A45">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注册资本：</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2.5亿元人民币</w:t>
      </w:r>
    </w:p>
    <w:p w14:paraId="3C7950CD">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存续期间：</w:t>
      </w:r>
      <w:r>
        <w:rPr>
          <w:rFonts w:hint="eastAsia" w:ascii="宋体" w:hAnsi="宋体" w:eastAsia="宋体" w:cs="宋体"/>
          <w:color w:val="000000"/>
          <w:kern w:val="0"/>
          <w:sz w:val="24"/>
          <w:lang w:val="en-US" w:eastAsia="zh-CN"/>
        </w:rPr>
        <w:tab/>
      </w:r>
      <w:r>
        <w:rPr>
          <w:rFonts w:hint="eastAsia" w:ascii="宋体" w:hAnsi="宋体" w:eastAsia="宋体" w:cs="宋体"/>
          <w:color w:val="000000"/>
          <w:kern w:val="0"/>
          <w:sz w:val="24"/>
          <w:lang w:val="en-US" w:eastAsia="zh-CN"/>
        </w:rPr>
        <w:t>持续经营</w:t>
      </w:r>
    </w:p>
    <w:p w14:paraId="4E0984BE">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联系人：    杜松岭</w:t>
      </w:r>
    </w:p>
    <w:p w14:paraId="7DF32770">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联系电话：  （0755）8316 9999</w:t>
      </w:r>
    </w:p>
    <w:p w14:paraId="49346BCF">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470E50B">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公司设立了投资决策委员会。投资决策委员会负责指导基金资产的运作、确定基本的投资策略和投资组合的原则。</w:t>
      </w:r>
    </w:p>
    <w:p w14:paraId="4D6EE3D8">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公司已经建立健全投资管理制度、风险控制制度、内部监察制度、财务管理制度、人事管理制度、信息披露制度和员工行为准则等公司管理制度体系。</w:t>
      </w:r>
    </w:p>
    <w:p w14:paraId="32113F01">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 xml:space="preserve"> 2、主要成员情况</w:t>
      </w:r>
    </w:p>
    <w:p w14:paraId="4F038167">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（1）基金管理人董事会成员</w:t>
      </w:r>
    </w:p>
    <w:p w14:paraId="5799C97B">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1E473B31">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DD50370">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5A17DBA">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56F9220">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7A174B7F">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CFFCAC9">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D227249">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E2BE932">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514EF97">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5F1C51DE">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4CC88E37">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（2）高级管理人员</w:t>
      </w:r>
    </w:p>
    <w:p w14:paraId="3831F60B">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张东先生，简历同上。</w:t>
      </w:r>
    </w:p>
    <w:p w14:paraId="7453E0D8">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陈宇先生，简历同上。</w:t>
      </w:r>
    </w:p>
    <w:p w14:paraId="10C10C02">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09CFA52C">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6282B1B2">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 xml:space="preserve">于善辉先生，硕士，副总经理。 2001年至2023年先后在天相投资顾问有限公司、民生加银基金管理有限公司工作。2023年加入博时基金管理有限公司，现任公司副总经理兼公司投资决策委员会专职委员、年金投资部总经理。 </w:t>
      </w:r>
    </w:p>
    <w:p w14:paraId="26779615">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 xml:space="preserve">（3）本基金基金经理 </w:t>
      </w:r>
    </w:p>
    <w:p w14:paraId="4709AD9B">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刘玉强先生，硕士。2015年从北京大学硕士研究生毕业后加入博时基金管理有限公司。曾任研究员、基金经理助理。现任博时专精特新主题混合型证券投资基金(2023年2月1日—至今)、博时上证科创板综合交易型开放式指数证券投资基金(2025年2月26日—至今)、博时上证科创板综合交易型开放式指数证券投资基金联接基金(2025年4月8日—至今)、博时上证科创板综合价格指数增强型证券投资基金(2025年4月29日—至今)、博时国证大盘成长交易型开放式指数证券投资基金(2025年6月18日—至今)、博时上证综合指数增强型证券投资基金(2025年7月17日—至今)、博时量化多策略股票型证券投资基金(2025年11月3日—至今)、博时中证机器人交易型开放式指数证券投资基金(2026年9月30日—至今)的基金经理。</w:t>
      </w:r>
    </w:p>
    <w:p w14:paraId="5C19A06D">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 xml:space="preserve">（4）投资决策委员会成员 </w:t>
      </w:r>
    </w:p>
    <w:p w14:paraId="23FAAAAF">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公司首席资产配置官黄健斌先生。</w:t>
      </w:r>
    </w:p>
    <w:p w14:paraId="5ECCC240">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公司副总经理兼公司投资决策委员会专职委员、年金投资部总经理于善辉先生。</w:t>
      </w:r>
    </w:p>
    <w:p w14:paraId="3A4862AF">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首席基金经理过钧先生。 </w:t>
      </w:r>
    </w:p>
    <w:p w14:paraId="15CDBB7C">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首席投资官兼权益投研一体化总监、境外投资部总经理曾鹏先生。 </w:t>
      </w:r>
    </w:p>
    <w:p w14:paraId="18ADDEC4">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董事总经理兼权益投资三部总经理、权益投资三部投资总监蔡滨先生。 </w:t>
      </w:r>
    </w:p>
    <w:p w14:paraId="78FFEA1F">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行业研究部总经理魏立先生。 </w:t>
      </w:r>
    </w:p>
    <w:p w14:paraId="61C1A840">
      <w:pPr>
        <w:widowControl/>
        <w:snapToGrid w:val="0"/>
        <w:spacing w:line="360" w:lineRule="auto"/>
        <w:ind w:right="0" w:firstLine="48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指数与量化投资部总经理兼指数与量化投资部投资总监赵云阳先生。  </w:t>
      </w:r>
    </w:p>
    <w:p w14:paraId="6B151DBF">
      <w:pPr>
        <w:widowControl/>
        <w:snapToGrid w:val="0"/>
        <w:spacing w:line="360" w:lineRule="auto"/>
        <w:ind w:right="0"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lang w:val="en-US" w:eastAsia="zh-CN"/>
        </w:rPr>
        <w:t xml:space="preserve">宏观策略部总经理助理（主持工作）兼首席策略分析师陈显顺先生。 </w:t>
      </w:r>
    </w:p>
    <w:p w14:paraId="4E40BAF6">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lang w:val="en-US" w:eastAsia="zh-CN"/>
        </w:rPr>
        <w:t xml:space="preserve">（5）上述人员之间均不存在近亲属关系。   </w:t>
      </w:r>
    </w:p>
    <w:p w14:paraId="2CBB2619">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（二）基金托管人情况</w:t>
      </w:r>
    </w:p>
    <w:p w14:paraId="35A99039">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1、基本情况</w:t>
      </w:r>
    </w:p>
    <w:p w14:paraId="088A752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名称：宁波银行股份有限公司</w:t>
      </w:r>
    </w:p>
    <w:p w14:paraId="4953248C">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住所：浙江省宁波市宁东路345号</w:t>
      </w:r>
    </w:p>
    <w:p w14:paraId="13086616">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办公地址：浙江省宁波市宁东路345号</w:t>
      </w:r>
    </w:p>
    <w:p w14:paraId="7A8B086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法定代表人：庄灵君</w:t>
      </w:r>
    </w:p>
    <w:p w14:paraId="04B2B166">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注册日期：1997年04月10日</w:t>
      </w:r>
    </w:p>
    <w:p w14:paraId="129AD9F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批准设立机关和批准设立文号：中国银监会，银监复[2007]64号</w:t>
      </w:r>
    </w:p>
    <w:p w14:paraId="1BF6FF0D">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组织形式：股份有限公司</w:t>
      </w:r>
    </w:p>
    <w:p w14:paraId="5B4D4A9B">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注册资本：人民币陆拾陆亿零叁佰伍拾玖万零柒佰玖拾贰元整</w:t>
      </w:r>
    </w:p>
    <w:p w14:paraId="00990BD3">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存续期间：持续经营</w:t>
      </w:r>
    </w:p>
    <w:p w14:paraId="3640ACB6">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基金托管资格批文及文号：证监许可【2012】1432号</w:t>
      </w:r>
    </w:p>
    <w:p w14:paraId="04628A08">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托管部门联系人：王海燕</w:t>
      </w:r>
    </w:p>
    <w:p w14:paraId="6E7D8372">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电话：0574-89103171</w:t>
      </w:r>
    </w:p>
    <w:p w14:paraId="28B18300">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2、主要人员情况</w:t>
      </w:r>
    </w:p>
    <w:p w14:paraId="562C8F5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截至2026年6月底，宁波银行资产托管部共有员工123人， 所有员工拥有大学本科及以上学历。</w:t>
      </w:r>
    </w:p>
    <w:p w14:paraId="19C3E379">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3、基金托管业务经营情况</w:t>
      </w:r>
    </w:p>
    <w:p w14:paraId="67B87EBB">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作为中国大陆托管服务的先行者，宁波银行自2012年获得证券投资基金资产托管的资格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丰富和成熟的产品线。拥有包括证券投资基金、信托资产、ＱＤＩＩ资产、股权投资基金、证券公司集合资产管理计划、证券公司定向资产管理计划、基金公司特定客户资产管理等门类齐全的托管产品体系，同时在国内率先开展绩效评估、风险管理等增值服务，可以为各类客户提供个性化的托管服务。</w:t>
      </w:r>
    </w:p>
    <w:p w14:paraId="62E26977">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截至2026年6月底，宁波银行共托管154只证券投资基金，证券投资基金托管规模2648.7亿元。</w:t>
      </w:r>
    </w:p>
    <w:p w14:paraId="5182E733">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（三）基金验资机构</w:t>
      </w:r>
    </w:p>
    <w:p w14:paraId="16113CC0">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名称：安永华明会计师事务所（特殊普通合伙）</w:t>
      </w:r>
    </w:p>
    <w:p w14:paraId="4E7A905F">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住所：北京市东城区东长安街1号东方广场安永大楼17层01-12室</w:t>
      </w:r>
    </w:p>
    <w:p w14:paraId="1A5CEA7D">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办公地址：北京市东城区东长安街1号东方广场安永大楼17层01-12室</w:t>
      </w:r>
    </w:p>
    <w:p w14:paraId="3EF77E82">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执行事务合伙人：毛鞍宁</w:t>
      </w:r>
    </w:p>
    <w:p w14:paraId="037AA17B">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联系电话：（010）58153000</w:t>
      </w:r>
    </w:p>
    <w:p w14:paraId="1C05171C">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传真电话：（010）85188298</w:t>
      </w:r>
    </w:p>
    <w:p w14:paraId="7F47C05E">
      <w:pPr>
        <w:widowControl/>
        <w:snapToGrid w:val="0"/>
        <w:spacing w:line="360" w:lineRule="auto"/>
        <w:ind w:right="0" w:firstLine="480"/>
        <w:rPr>
          <w:rFonts w:hint="eastAsia" w:ascii="宋体" w:hAnsi="宋体" w:eastAsia="宋体" w:cs="宋体"/>
          <w:color w:val="000000"/>
          <w:kern w:val="0"/>
          <w:sz w:val="24"/>
        </w:rPr>
      </w:pPr>
      <w:r>
        <w:rPr>
          <w:rFonts w:hint="eastAsia" w:ascii="宋体" w:hAnsi="宋体" w:eastAsia="宋体" w:cs="宋体"/>
          <w:color w:val="000000"/>
          <w:kern w:val="0"/>
          <w:sz w:val="24"/>
        </w:rPr>
        <w:t>经办注册会计师： 高鹤、王海彦</w:t>
      </w:r>
    </w:p>
    <w:p w14:paraId="5B9D6D84">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联系人：王海彦</w:t>
      </w:r>
    </w:p>
    <w:p w14:paraId="4334E4EA">
      <w:pPr>
        <w:pStyle w:val="2"/>
        <w:ind w:left="0" w:firstLine="0"/>
        <w:rPr>
          <w:rFonts w:hint="eastAsia" w:ascii="宋体" w:hAnsi="宋体" w:eastAsia="宋体" w:cs="宋体"/>
          <w:highlight w:val="none"/>
        </w:rPr>
      </w:pPr>
      <w:bookmarkStart w:id="9" w:name="_Toc24968"/>
      <w:r>
        <w:rPr>
          <w:rFonts w:hint="eastAsia" w:ascii="宋体" w:hAnsi="宋体" w:eastAsia="宋体" w:cs="宋体"/>
        </w:rPr>
        <w:t>六、基金合同摘要</w:t>
      </w:r>
      <w:bookmarkEnd w:id="9"/>
    </w:p>
    <w:p w14:paraId="7E516D17">
      <w:pPr>
        <w:snapToGrid w:val="0"/>
        <w:spacing w:line="360" w:lineRule="auto"/>
        <w:ind w:right="0" w:firstLine="480"/>
        <w:rPr>
          <w:rFonts w:hint="eastAsia" w:ascii="宋体" w:hAnsi="宋体" w:eastAsia="宋体" w:cs="宋体"/>
          <w:kern w:val="0"/>
          <w:sz w:val="24"/>
          <w:highlight w:val="none"/>
        </w:rPr>
      </w:pPr>
      <w:r>
        <w:rPr>
          <w:rFonts w:hint="eastAsia" w:ascii="宋体" w:hAnsi="宋体" w:eastAsia="宋体" w:cs="宋体"/>
          <w:kern w:val="0"/>
          <w:sz w:val="24"/>
        </w:rPr>
        <w:t>基金合同的内容摘要见附件：基金合同摘要。</w:t>
      </w:r>
    </w:p>
    <w:p w14:paraId="2BC33694">
      <w:pPr>
        <w:widowControl/>
        <w:snapToGrid w:val="0"/>
        <w:spacing w:line="360" w:lineRule="auto"/>
        <w:rPr>
          <w:rFonts w:hint="eastAsia" w:ascii="宋体" w:hAnsi="宋体" w:eastAsia="宋体" w:cs="宋体"/>
          <w:color w:val="000000"/>
          <w:kern w:val="0"/>
          <w:sz w:val="24"/>
          <w:szCs w:val="21"/>
          <w:highlight w:val="none"/>
        </w:rPr>
      </w:pPr>
    </w:p>
    <w:p w14:paraId="19DEDB97">
      <w:pPr>
        <w:pStyle w:val="2"/>
        <w:ind w:left="0" w:firstLine="0"/>
        <w:rPr>
          <w:rFonts w:hint="eastAsia" w:ascii="宋体" w:hAnsi="宋体" w:eastAsia="宋体" w:cs="宋体"/>
          <w:highlight w:val="none"/>
        </w:rPr>
      </w:pPr>
      <w:bookmarkStart w:id="10" w:name="_Toc26137"/>
      <w:r>
        <w:rPr>
          <w:rFonts w:hint="eastAsia" w:ascii="宋体" w:hAnsi="宋体" w:eastAsia="宋体" w:cs="宋体"/>
        </w:rPr>
        <w:t>七、基金财务状况</w:t>
      </w:r>
      <w:bookmarkEnd w:id="10"/>
    </w:p>
    <w:p w14:paraId="3BE938C7">
      <w:pPr>
        <w:snapToGrid w:val="0"/>
        <w:spacing w:line="360" w:lineRule="auto"/>
        <w:rPr>
          <w:rFonts w:hint="eastAsia" w:ascii="宋体" w:hAnsi="宋体" w:eastAsia="宋体" w:cs="宋体"/>
          <w:kern w:val="0"/>
          <w:sz w:val="24"/>
          <w:highlight w:val="none"/>
        </w:rPr>
      </w:pPr>
      <w:r>
        <w:rPr>
          <w:rFonts w:hint="eastAsia" w:ascii="宋体" w:hAnsi="宋体" w:eastAsia="宋体" w:cs="宋体"/>
          <w:kern w:val="0"/>
          <w:sz w:val="24"/>
        </w:rPr>
        <w:t>（一）基金募集期间费用</w:t>
      </w:r>
    </w:p>
    <w:p w14:paraId="45E4D7A1">
      <w:pPr>
        <w:snapToGrid w:val="0"/>
        <w:spacing w:line="360" w:lineRule="auto"/>
        <w:ind w:right="0" w:firstLine="424"/>
        <w:rPr>
          <w:rFonts w:hint="eastAsia" w:ascii="宋体" w:hAnsi="宋体" w:eastAsia="宋体" w:cs="宋体"/>
          <w:kern w:val="0"/>
          <w:sz w:val="24"/>
          <w:highlight w:val="none"/>
        </w:rPr>
      </w:pPr>
      <w:r>
        <w:rPr>
          <w:rFonts w:hint="eastAsia" w:ascii="宋体" w:hAnsi="宋体" w:eastAsia="宋体" w:cs="宋体"/>
          <w:kern w:val="0"/>
          <w:sz w:val="24"/>
        </w:rPr>
        <w:t>基金合同生效前所发生的信息披露费、律师费和会计师费以及其他费用不从基金财产中列支。</w:t>
      </w:r>
    </w:p>
    <w:p w14:paraId="05267BB4">
      <w:pPr>
        <w:snapToGrid w:val="0"/>
        <w:spacing w:line="360" w:lineRule="auto"/>
        <w:rPr>
          <w:rFonts w:hint="eastAsia" w:ascii="宋体" w:hAnsi="宋体" w:eastAsia="宋体" w:cs="宋体"/>
          <w:kern w:val="0"/>
          <w:sz w:val="24"/>
          <w:highlight w:val="none"/>
        </w:rPr>
      </w:pPr>
      <w:r>
        <w:rPr>
          <w:rFonts w:hint="eastAsia" w:ascii="宋体" w:hAnsi="宋体" w:eastAsia="宋体" w:cs="宋体"/>
          <w:kern w:val="0"/>
          <w:sz w:val="24"/>
        </w:rPr>
        <w:t>（二）基金上市前重要财务事项</w:t>
      </w:r>
    </w:p>
    <w:p w14:paraId="48E61ED2">
      <w:pPr>
        <w:snapToGrid w:val="0"/>
        <w:spacing w:line="360" w:lineRule="auto"/>
        <w:ind w:right="0" w:firstLine="424"/>
        <w:rPr>
          <w:rFonts w:hint="eastAsia" w:ascii="宋体" w:hAnsi="宋体" w:eastAsia="宋体" w:cs="宋体"/>
          <w:kern w:val="0"/>
          <w:sz w:val="24"/>
          <w:highlight w:val="none"/>
        </w:rPr>
      </w:pPr>
      <w:r>
        <w:rPr>
          <w:rFonts w:hint="eastAsia" w:ascii="宋体" w:hAnsi="宋体" w:eastAsia="宋体" w:cs="宋体"/>
          <w:kern w:val="0"/>
          <w:sz w:val="24"/>
        </w:rPr>
        <w:t>本基金发售后至上市交易公告书公告前无重要财务事项发生。</w:t>
      </w:r>
    </w:p>
    <w:p w14:paraId="2A5360DD">
      <w:pPr>
        <w:snapToGrid w:val="0"/>
        <w:spacing w:line="360" w:lineRule="auto"/>
        <w:rPr>
          <w:rFonts w:hint="eastAsia" w:ascii="宋体" w:hAnsi="宋体" w:eastAsia="宋体" w:cs="宋体"/>
          <w:kern w:val="0"/>
          <w:sz w:val="24"/>
          <w:highlight w:val="none"/>
        </w:rPr>
      </w:pPr>
      <w:r>
        <w:rPr>
          <w:rFonts w:hint="eastAsia" w:ascii="宋体" w:hAnsi="宋体" w:eastAsia="宋体" w:cs="宋体"/>
          <w:kern w:val="0"/>
          <w:sz w:val="24"/>
        </w:rPr>
        <w:t>（三）基金资产负债表</w:t>
      </w:r>
    </w:p>
    <w:p w14:paraId="75902D26">
      <w:pPr>
        <w:snapToGrid w:val="0"/>
        <w:spacing w:line="360" w:lineRule="auto"/>
        <w:ind w:right="0" w:firstLine="424"/>
        <w:rPr>
          <w:rFonts w:hint="eastAsia" w:ascii="宋体" w:hAnsi="宋体" w:eastAsia="宋体" w:cs="宋体"/>
          <w:kern w:val="0"/>
          <w:sz w:val="24"/>
          <w:highlight w:val="none"/>
        </w:rPr>
      </w:pPr>
      <w:r>
        <w:rPr>
          <w:rFonts w:hint="eastAsia" w:ascii="宋体" w:hAnsi="宋体" w:eastAsia="宋体" w:cs="宋体"/>
          <w:kern w:val="0"/>
          <w:sz w:val="24"/>
        </w:rPr>
        <w:t>截至公告前两个工作日即2026年10月8日，本基金的资产负债表如下（未经审计）：</w:t>
      </w:r>
    </w:p>
    <w:p w14:paraId="79BD557E">
      <w:pPr>
        <w:snapToGrid w:val="0"/>
        <w:spacing w:line="360" w:lineRule="auto"/>
        <w:ind w:right="0" w:firstLine="371"/>
        <w:jc w:val="right"/>
        <w:rPr>
          <w:rFonts w:hint="eastAsia" w:ascii="宋体" w:hAnsi="宋体" w:eastAsia="宋体" w:cs="宋体"/>
          <w:kern w:val="0"/>
          <w:szCs w:val="21"/>
          <w:highlight w:val="none"/>
        </w:rPr>
      </w:pPr>
      <w:r>
        <w:rPr>
          <w:rFonts w:hint="eastAsia" w:ascii="宋体" w:hAnsi="宋体" w:eastAsia="宋体" w:cs="宋体"/>
          <w:kern w:val="0"/>
          <w:szCs w:val="21"/>
        </w:rPr>
        <w:t>单位：人民币元</w:t>
      </w:r>
    </w:p>
    <w:tbl>
      <w:tblPr>
        <w:tblStyle w:val="27"/>
        <w:tblW w:w="5000" w:type="pct"/>
        <w:tblInd w:w="0" w:type="dxa"/>
        <w:tblLayout w:type="fixed"/>
        <w:tblCellMar>
          <w:top w:w="0" w:type="dxa"/>
          <w:left w:w="108" w:type="dxa"/>
          <w:bottom w:w="0" w:type="dxa"/>
          <w:right w:w="108" w:type="dxa"/>
        </w:tblCellMar>
      </w:tblPr>
      <w:tblGrid>
        <w:gridCol w:w="3957"/>
        <w:gridCol w:w="4565"/>
      </w:tblGrid>
      <w:tr w14:paraId="72445EE3">
        <w:tblPrEx>
          <w:tblCellMar>
            <w:top w:w="0" w:type="dxa"/>
            <w:left w:w="108" w:type="dxa"/>
            <w:bottom w:w="0" w:type="dxa"/>
            <w:right w:w="108" w:type="dxa"/>
          </w:tblCellMar>
        </w:tblPrEx>
        <w:trPr>
          <w:trHeight w:val="300" w:hRule="atLeast"/>
        </w:trPr>
        <w:tc>
          <w:tcPr>
            <w:tcW w:w="3857" w:type="dxa"/>
            <w:vMerge w:val="restart"/>
            <w:tcBorders>
              <w:top w:val="single" w:color="000000" w:sz="8" w:space="0"/>
              <w:left w:val="single" w:color="000000" w:sz="8" w:space="0"/>
              <w:bottom w:val="single" w:color="000000" w:sz="8" w:space="0"/>
              <w:right w:val="single" w:color="000000" w:sz="8" w:space="0"/>
            </w:tcBorders>
            <w:vAlign w:val="center"/>
          </w:tcPr>
          <w:p w14:paraId="45C33FDB">
            <w:pPr>
              <w:widowControl/>
              <w:snapToGrid w:val="0"/>
              <w:spacing w:line="360" w:lineRule="auto"/>
              <w:ind w:right="0" w:firstLine="373"/>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资 产</w:t>
            </w:r>
          </w:p>
        </w:tc>
        <w:tc>
          <w:tcPr>
            <w:tcW w:w="4449" w:type="dxa"/>
            <w:tcBorders>
              <w:top w:val="single" w:color="000000" w:sz="8" w:space="0"/>
              <w:bottom w:val="single" w:color="000000" w:sz="8" w:space="0"/>
              <w:right w:val="single" w:color="000000" w:sz="8" w:space="0"/>
            </w:tcBorders>
            <w:vAlign w:val="center"/>
          </w:tcPr>
          <w:p w14:paraId="2362EBC7">
            <w:pPr>
              <w:widowControl/>
              <w:snapToGrid w:val="0"/>
              <w:spacing w:line="360" w:lineRule="auto"/>
              <w:ind w:right="0" w:firstLine="373"/>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本报告期末</w:t>
            </w:r>
          </w:p>
        </w:tc>
      </w:tr>
      <w:tr w14:paraId="1049D134">
        <w:tblPrEx>
          <w:tblCellMar>
            <w:top w:w="0" w:type="dxa"/>
            <w:left w:w="108" w:type="dxa"/>
            <w:bottom w:w="0" w:type="dxa"/>
            <w:right w:w="108" w:type="dxa"/>
          </w:tblCellMar>
        </w:tblPrEx>
        <w:trPr>
          <w:trHeight w:val="300" w:hRule="atLeast"/>
        </w:trPr>
        <w:tc>
          <w:tcPr>
            <w:tcW w:w="3857" w:type="dxa"/>
            <w:vMerge w:val="continue"/>
            <w:tcBorders>
              <w:top w:val="single" w:color="000000" w:sz="8" w:space="0"/>
              <w:left w:val="single" w:color="000000" w:sz="8" w:space="0"/>
              <w:bottom w:val="single" w:color="000000" w:sz="8" w:space="0"/>
              <w:right w:val="single" w:color="000000" w:sz="8" w:space="0"/>
            </w:tcBorders>
            <w:vAlign w:val="center"/>
          </w:tcPr>
          <w:p w14:paraId="177B2B74">
            <w:pPr>
              <w:widowControl/>
              <w:snapToGrid w:val="0"/>
              <w:spacing w:line="360" w:lineRule="auto"/>
              <w:ind w:right="0" w:firstLine="373"/>
              <w:jc w:val="center"/>
              <w:rPr>
                <w:rFonts w:hint="eastAsia" w:ascii="宋体" w:hAnsi="宋体" w:eastAsia="宋体" w:cs="宋体"/>
                <w:b/>
                <w:color w:val="000000"/>
                <w:kern w:val="0"/>
                <w:szCs w:val="21"/>
                <w:highlight w:val="none"/>
              </w:rPr>
            </w:pPr>
          </w:p>
        </w:tc>
        <w:tc>
          <w:tcPr>
            <w:tcW w:w="4449" w:type="dxa"/>
            <w:tcBorders>
              <w:bottom w:val="single" w:color="000000" w:sz="8" w:space="0"/>
              <w:right w:val="single" w:color="000000" w:sz="8" w:space="0"/>
            </w:tcBorders>
            <w:vAlign w:val="center"/>
          </w:tcPr>
          <w:p w14:paraId="492969F3">
            <w:pPr>
              <w:widowControl/>
              <w:snapToGrid w:val="0"/>
              <w:spacing w:line="360" w:lineRule="auto"/>
              <w:ind w:right="0" w:firstLine="373"/>
              <w:jc w:val="center"/>
              <w:rPr>
                <w:rFonts w:hint="eastAsia" w:ascii="宋体" w:hAnsi="宋体" w:eastAsia="宋体" w:cs="宋体"/>
                <w:b/>
                <w:color w:val="000000"/>
                <w:kern w:val="0"/>
                <w:szCs w:val="21"/>
                <w:highlight w:val="none"/>
                <w:lang w:eastAsia="zh-CN"/>
              </w:rPr>
            </w:pPr>
            <w:r>
              <w:rPr>
                <w:rFonts w:hint="eastAsia" w:ascii="宋体" w:hAnsi="宋体" w:eastAsia="宋体" w:cs="宋体"/>
                <w:b/>
                <w:color w:val="000000"/>
                <w:kern w:val="0"/>
                <w:szCs w:val="21"/>
                <w:lang w:eastAsia="zh-CN"/>
              </w:rPr>
              <w:t>2026年10月8日</w:t>
            </w:r>
          </w:p>
        </w:tc>
      </w:tr>
      <w:tr w14:paraId="7022E42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B8A8BC9">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资 产：</w:t>
            </w:r>
          </w:p>
        </w:tc>
        <w:tc>
          <w:tcPr>
            <w:tcW w:w="4449" w:type="dxa"/>
            <w:tcBorders>
              <w:bottom w:val="single" w:color="000000" w:sz="8" w:space="0"/>
              <w:right w:val="single" w:color="000000" w:sz="8" w:space="0"/>
            </w:tcBorders>
            <w:vAlign w:val="center"/>
          </w:tcPr>
          <w:p w14:paraId="121607A9">
            <w:pPr>
              <w:widowControl/>
              <w:snapToGrid w:val="0"/>
              <w:spacing w:line="360" w:lineRule="auto"/>
              <w:ind w:right="0" w:firstLine="371"/>
              <w:jc w:val="right"/>
              <w:rPr>
                <w:rFonts w:hint="eastAsia" w:ascii="宋体" w:hAnsi="宋体" w:eastAsia="宋体" w:cs="宋体"/>
                <w:b/>
                <w:color w:val="000000"/>
                <w:kern w:val="0"/>
                <w:szCs w:val="21"/>
                <w:highlight w:val="none"/>
              </w:rPr>
            </w:pPr>
          </w:p>
        </w:tc>
      </w:tr>
      <w:tr w14:paraId="611C94C9">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CF72833">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银行存款</w:t>
            </w:r>
          </w:p>
        </w:tc>
        <w:tc>
          <w:tcPr>
            <w:tcW w:w="4449" w:type="dxa"/>
            <w:tcBorders>
              <w:bottom w:val="single" w:color="000000" w:sz="8" w:space="0"/>
              <w:right w:val="single" w:color="000000" w:sz="8" w:space="0"/>
            </w:tcBorders>
            <w:vAlign w:val="center"/>
          </w:tcPr>
          <w:p w14:paraId="2674C52C">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13,394,090.21</w:t>
            </w:r>
          </w:p>
        </w:tc>
      </w:tr>
      <w:tr w14:paraId="6C9BAEA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CD30B0F">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结算备付金</w:t>
            </w:r>
          </w:p>
        </w:tc>
        <w:tc>
          <w:tcPr>
            <w:tcW w:w="4449" w:type="dxa"/>
            <w:tcBorders>
              <w:bottom w:val="single" w:color="000000" w:sz="8" w:space="0"/>
              <w:right w:val="single" w:color="000000" w:sz="8" w:space="0"/>
            </w:tcBorders>
            <w:vAlign w:val="center"/>
          </w:tcPr>
          <w:p w14:paraId="4F62E3AB">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200,011,391.57</w:t>
            </w:r>
          </w:p>
        </w:tc>
      </w:tr>
      <w:tr w14:paraId="6C3FBB2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8BBFA3E">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存出保证金</w:t>
            </w:r>
          </w:p>
        </w:tc>
        <w:tc>
          <w:tcPr>
            <w:tcW w:w="4449" w:type="dxa"/>
            <w:tcBorders>
              <w:bottom w:val="single" w:color="000000" w:sz="8" w:space="0"/>
              <w:right w:val="single" w:color="000000" w:sz="8" w:space="0"/>
            </w:tcBorders>
            <w:vAlign w:val="center"/>
          </w:tcPr>
          <w:p w14:paraId="4E2A4DAD">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783D4D9A">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DE0A034">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交易性金融资产</w:t>
            </w:r>
          </w:p>
        </w:tc>
        <w:tc>
          <w:tcPr>
            <w:tcW w:w="4449" w:type="dxa"/>
            <w:tcBorders>
              <w:bottom w:val="single" w:color="000000" w:sz="8" w:space="0"/>
              <w:right w:val="single" w:color="000000" w:sz="8" w:space="0"/>
            </w:tcBorders>
            <w:vAlign w:val="center"/>
          </w:tcPr>
          <w:p w14:paraId="6732BFEE">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4874B64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FAAD016">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其中：股票投资</w:t>
            </w:r>
          </w:p>
        </w:tc>
        <w:tc>
          <w:tcPr>
            <w:tcW w:w="4449" w:type="dxa"/>
            <w:tcBorders>
              <w:bottom w:val="single" w:color="000000" w:sz="8" w:space="0"/>
              <w:right w:val="single" w:color="000000" w:sz="8" w:space="0"/>
            </w:tcBorders>
            <w:vAlign w:val="center"/>
          </w:tcPr>
          <w:p w14:paraId="61D244E9">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3C63D91">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6A25A58">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债券投资</w:t>
            </w:r>
          </w:p>
        </w:tc>
        <w:tc>
          <w:tcPr>
            <w:tcW w:w="4449" w:type="dxa"/>
            <w:tcBorders>
              <w:bottom w:val="single" w:color="000000" w:sz="8" w:space="0"/>
              <w:right w:val="single" w:color="000000" w:sz="8" w:space="0"/>
            </w:tcBorders>
            <w:vAlign w:val="center"/>
          </w:tcPr>
          <w:p w14:paraId="1DF8DB09">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497DF64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A430905">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资产支持证券投资</w:t>
            </w:r>
          </w:p>
        </w:tc>
        <w:tc>
          <w:tcPr>
            <w:tcW w:w="4449" w:type="dxa"/>
            <w:tcBorders>
              <w:bottom w:val="single" w:color="000000" w:sz="8" w:space="0"/>
              <w:right w:val="single" w:color="000000" w:sz="8" w:space="0"/>
            </w:tcBorders>
            <w:vAlign w:val="center"/>
          </w:tcPr>
          <w:p w14:paraId="77FC2F8C">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0D07036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DABCA32">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衍生金融资产</w:t>
            </w:r>
          </w:p>
        </w:tc>
        <w:tc>
          <w:tcPr>
            <w:tcW w:w="4449" w:type="dxa"/>
            <w:tcBorders>
              <w:bottom w:val="single" w:color="000000" w:sz="8" w:space="0"/>
              <w:right w:val="single" w:color="000000" w:sz="8" w:space="0"/>
            </w:tcBorders>
            <w:vAlign w:val="center"/>
          </w:tcPr>
          <w:p w14:paraId="29355DF4">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EAF6E6A">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4BE33B1B">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买入返售金融资产</w:t>
            </w:r>
          </w:p>
        </w:tc>
        <w:tc>
          <w:tcPr>
            <w:tcW w:w="4449" w:type="dxa"/>
            <w:tcBorders>
              <w:bottom w:val="single" w:color="000000" w:sz="8" w:space="0"/>
              <w:right w:val="single" w:color="000000" w:sz="8" w:space="0"/>
            </w:tcBorders>
            <w:vAlign w:val="center"/>
          </w:tcPr>
          <w:p w14:paraId="188F17A1">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090B7995">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AB3042B">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应收证券清算款</w:t>
            </w:r>
          </w:p>
        </w:tc>
        <w:tc>
          <w:tcPr>
            <w:tcW w:w="4449" w:type="dxa"/>
            <w:tcBorders>
              <w:bottom w:val="single" w:color="000000" w:sz="8" w:space="0"/>
              <w:right w:val="single" w:color="000000" w:sz="8" w:space="0"/>
            </w:tcBorders>
            <w:vAlign w:val="center"/>
          </w:tcPr>
          <w:p w14:paraId="464ACBF8">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1FC89DB">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6447C69">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应收股利</w:t>
            </w:r>
          </w:p>
        </w:tc>
        <w:tc>
          <w:tcPr>
            <w:tcW w:w="4449" w:type="dxa"/>
            <w:tcBorders>
              <w:bottom w:val="single" w:color="000000" w:sz="8" w:space="0"/>
              <w:right w:val="single" w:color="000000" w:sz="8" w:space="0"/>
            </w:tcBorders>
            <w:vAlign w:val="center"/>
          </w:tcPr>
          <w:p w14:paraId="78305940">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4B91DC42">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43F9C94">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应收申购款</w:t>
            </w:r>
          </w:p>
        </w:tc>
        <w:tc>
          <w:tcPr>
            <w:tcW w:w="4449" w:type="dxa"/>
            <w:tcBorders>
              <w:bottom w:val="single" w:color="000000" w:sz="8" w:space="0"/>
              <w:right w:val="single" w:color="000000" w:sz="8" w:space="0"/>
            </w:tcBorders>
            <w:vAlign w:val="center"/>
          </w:tcPr>
          <w:p w14:paraId="1BAEC7C9">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1C1D120C">
        <w:tblPrEx>
          <w:tblCellMar>
            <w:top w:w="0" w:type="dxa"/>
            <w:left w:w="108" w:type="dxa"/>
            <w:bottom w:w="0" w:type="dxa"/>
            <w:right w:w="108" w:type="dxa"/>
          </w:tblCellMar>
        </w:tblPrEx>
        <w:trPr>
          <w:trHeight w:val="90" w:hRule="atLeast"/>
        </w:trPr>
        <w:tc>
          <w:tcPr>
            <w:tcW w:w="3857" w:type="dxa"/>
            <w:tcBorders>
              <w:left w:val="single" w:color="000000" w:sz="8" w:space="0"/>
              <w:bottom w:val="single" w:color="000000" w:sz="8" w:space="0"/>
              <w:right w:val="single" w:color="000000" w:sz="8" w:space="0"/>
            </w:tcBorders>
            <w:vAlign w:val="center"/>
          </w:tcPr>
          <w:p w14:paraId="2A313357">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其他资产</w:t>
            </w:r>
          </w:p>
        </w:tc>
        <w:tc>
          <w:tcPr>
            <w:tcW w:w="4449" w:type="dxa"/>
            <w:tcBorders>
              <w:bottom w:val="single" w:color="000000" w:sz="8" w:space="0"/>
              <w:right w:val="single" w:color="000000" w:sz="8" w:space="0"/>
            </w:tcBorders>
            <w:vAlign w:val="center"/>
          </w:tcPr>
          <w:p w14:paraId="47A2BFE1">
            <w:pPr>
              <w:keepNext w:val="0"/>
              <w:keepLines w:val="0"/>
              <w:widowControl/>
              <w:suppressLineNumbers w:val="0"/>
              <w:snapToGrid w:val="0"/>
              <w:jc w:val="righ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color w:val="000000"/>
                <w:kern w:val="0"/>
                <w:sz w:val="22"/>
                <w:szCs w:val="22"/>
                <w:highlight w:val="none"/>
                <w:lang w:bidi="ar"/>
              </w:rPr>
              <w:t>-</w:t>
            </w:r>
          </w:p>
        </w:tc>
      </w:tr>
      <w:tr w14:paraId="64943BFB">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6D58479C">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资产总计</w:t>
            </w:r>
          </w:p>
        </w:tc>
        <w:tc>
          <w:tcPr>
            <w:tcW w:w="4449" w:type="dxa"/>
            <w:tcBorders>
              <w:bottom w:val="single" w:color="000000" w:sz="8" w:space="0"/>
              <w:right w:val="single" w:color="000000" w:sz="8" w:space="0"/>
            </w:tcBorders>
            <w:vAlign w:val="center"/>
          </w:tcPr>
          <w:p w14:paraId="0090E679">
            <w:pPr>
              <w:keepNext w:val="0"/>
              <w:keepLines w:val="0"/>
              <w:widowControl/>
              <w:suppressLineNumbers w:val="0"/>
              <w:snapToGrid w:val="0"/>
              <w:jc w:val="right"/>
              <w:textAlignment w:val="center"/>
              <w:rPr>
                <w:rFonts w:hint="eastAsia"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213,405,481.78</w:t>
            </w:r>
          </w:p>
        </w:tc>
      </w:tr>
      <w:tr w14:paraId="72D19A53">
        <w:tblPrEx>
          <w:tblCellMar>
            <w:top w:w="0" w:type="dxa"/>
            <w:left w:w="108" w:type="dxa"/>
            <w:bottom w:w="0" w:type="dxa"/>
            <w:right w:w="108" w:type="dxa"/>
          </w:tblCellMar>
        </w:tblPrEx>
        <w:trPr>
          <w:trHeight w:val="300" w:hRule="atLeast"/>
        </w:trPr>
        <w:tc>
          <w:tcPr>
            <w:tcW w:w="3857" w:type="dxa"/>
            <w:vMerge w:val="restart"/>
            <w:tcBorders>
              <w:left w:val="single" w:color="000000" w:sz="8" w:space="0"/>
              <w:bottom w:val="single" w:color="000000" w:sz="8" w:space="0"/>
              <w:right w:val="single" w:color="000000" w:sz="8" w:space="0"/>
            </w:tcBorders>
            <w:vAlign w:val="center"/>
          </w:tcPr>
          <w:p w14:paraId="08AC4521">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负债和所有者权益</w:t>
            </w:r>
          </w:p>
        </w:tc>
        <w:tc>
          <w:tcPr>
            <w:tcW w:w="4449" w:type="dxa"/>
            <w:tcBorders>
              <w:bottom w:val="single" w:color="000000" w:sz="8" w:space="0"/>
              <w:right w:val="single" w:color="000000" w:sz="8" w:space="0"/>
            </w:tcBorders>
            <w:vAlign w:val="center"/>
          </w:tcPr>
          <w:p w14:paraId="6EE56062">
            <w:pPr>
              <w:widowControl/>
              <w:snapToGrid w:val="0"/>
              <w:spacing w:line="360" w:lineRule="auto"/>
              <w:ind w:right="0" w:firstLine="373"/>
              <w:jc w:val="right"/>
              <w:rPr>
                <w:rFonts w:hint="eastAsia" w:ascii="宋体" w:hAnsi="宋体" w:eastAsia="宋体" w:cs="宋体"/>
                <w:b/>
                <w:color w:val="000000"/>
                <w:kern w:val="0"/>
                <w:szCs w:val="21"/>
                <w:highlight w:val="none"/>
              </w:rPr>
            </w:pPr>
          </w:p>
        </w:tc>
      </w:tr>
      <w:tr w14:paraId="51DCC148">
        <w:tblPrEx>
          <w:tblCellMar>
            <w:top w:w="0" w:type="dxa"/>
            <w:left w:w="108" w:type="dxa"/>
            <w:bottom w:w="0" w:type="dxa"/>
            <w:right w:w="108" w:type="dxa"/>
          </w:tblCellMar>
        </w:tblPrEx>
        <w:trPr>
          <w:trHeight w:val="300" w:hRule="atLeast"/>
        </w:trPr>
        <w:tc>
          <w:tcPr>
            <w:tcW w:w="3857" w:type="dxa"/>
            <w:vMerge w:val="continue"/>
            <w:tcBorders>
              <w:left w:val="single" w:color="000000" w:sz="8" w:space="0"/>
              <w:bottom w:val="single" w:color="000000" w:sz="8" w:space="0"/>
              <w:right w:val="single" w:color="000000" w:sz="8" w:space="0"/>
            </w:tcBorders>
            <w:vAlign w:val="center"/>
          </w:tcPr>
          <w:p w14:paraId="43426843">
            <w:pPr>
              <w:widowControl/>
              <w:snapToGrid w:val="0"/>
              <w:spacing w:line="360" w:lineRule="auto"/>
              <w:ind w:right="0" w:firstLine="371"/>
              <w:jc w:val="left"/>
              <w:rPr>
                <w:rFonts w:hint="eastAsia" w:ascii="宋体" w:hAnsi="宋体" w:eastAsia="宋体" w:cs="宋体"/>
                <w:b/>
                <w:color w:val="000000"/>
                <w:kern w:val="0"/>
                <w:szCs w:val="21"/>
                <w:highlight w:val="none"/>
              </w:rPr>
            </w:pPr>
          </w:p>
        </w:tc>
        <w:tc>
          <w:tcPr>
            <w:tcW w:w="4449" w:type="dxa"/>
            <w:tcBorders>
              <w:bottom w:val="single" w:color="000000" w:sz="8" w:space="0"/>
              <w:right w:val="single" w:color="000000" w:sz="8" w:space="0"/>
            </w:tcBorders>
            <w:vAlign w:val="center"/>
          </w:tcPr>
          <w:p w14:paraId="75E20B77">
            <w:pPr>
              <w:widowControl/>
              <w:snapToGrid w:val="0"/>
              <w:spacing w:line="360" w:lineRule="auto"/>
              <w:ind w:right="0" w:firstLine="371"/>
              <w:jc w:val="right"/>
              <w:rPr>
                <w:rFonts w:hint="eastAsia" w:ascii="宋体" w:hAnsi="宋体" w:eastAsia="宋体" w:cs="宋体"/>
                <w:color w:val="000000"/>
                <w:kern w:val="0"/>
                <w:szCs w:val="21"/>
                <w:highlight w:val="none"/>
              </w:rPr>
            </w:pPr>
          </w:p>
        </w:tc>
      </w:tr>
      <w:tr w14:paraId="0059877A">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EDBF540">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负 债：</w:t>
            </w:r>
          </w:p>
        </w:tc>
        <w:tc>
          <w:tcPr>
            <w:tcW w:w="4449" w:type="dxa"/>
            <w:tcBorders>
              <w:bottom w:val="single" w:color="000000" w:sz="8" w:space="0"/>
              <w:right w:val="single" w:color="000000" w:sz="8" w:space="0"/>
            </w:tcBorders>
            <w:vAlign w:val="center"/>
          </w:tcPr>
          <w:p w14:paraId="21C02EB2">
            <w:pPr>
              <w:widowControl/>
              <w:snapToGrid w:val="0"/>
              <w:spacing w:line="360" w:lineRule="auto"/>
              <w:ind w:right="0" w:firstLine="371"/>
              <w:jc w:val="right"/>
              <w:rPr>
                <w:rFonts w:hint="eastAsia" w:ascii="宋体" w:hAnsi="宋体" w:eastAsia="宋体" w:cs="宋体"/>
                <w:b/>
                <w:color w:val="000000"/>
                <w:kern w:val="0"/>
                <w:szCs w:val="21"/>
                <w:highlight w:val="none"/>
              </w:rPr>
            </w:pPr>
          </w:p>
        </w:tc>
      </w:tr>
      <w:tr w14:paraId="2090B76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92E2B35">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短期借款</w:t>
            </w:r>
          </w:p>
        </w:tc>
        <w:tc>
          <w:tcPr>
            <w:tcW w:w="4449" w:type="dxa"/>
            <w:tcBorders>
              <w:bottom w:val="single" w:color="000000" w:sz="8" w:space="0"/>
              <w:right w:val="single" w:color="000000" w:sz="8" w:space="0"/>
            </w:tcBorders>
            <w:vAlign w:val="center"/>
          </w:tcPr>
          <w:p w14:paraId="73E47B59">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2A7C709">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0CAD1A3">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交易性金融负债</w:t>
            </w:r>
          </w:p>
        </w:tc>
        <w:tc>
          <w:tcPr>
            <w:tcW w:w="4449" w:type="dxa"/>
            <w:tcBorders>
              <w:bottom w:val="single" w:color="000000" w:sz="8" w:space="0"/>
              <w:right w:val="single" w:color="000000" w:sz="8" w:space="0"/>
            </w:tcBorders>
            <w:vAlign w:val="center"/>
          </w:tcPr>
          <w:p w14:paraId="2D430E5F">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3615635">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5A82B7C">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衍生金融负债</w:t>
            </w:r>
          </w:p>
        </w:tc>
        <w:tc>
          <w:tcPr>
            <w:tcW w:w="4449" w:type="dxa"/>
            <w:tcBorders>
              <w:bottom w:val="single" w:color="000000" w:sz="8" w:space="0"/>
              <w:right w:val="single" w:color="000000" w:sz="8" w:space="0"/>
            </w:tcBorders>
            <w:vAlign w:val="center"/>
          </w:tcPr>
          <w:p w14:paraId="0D075113">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17F5F7A">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C0589E9">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卖出回购金融资产款</w:t>
            </w:r>
          </w:p>
        </w:tc>
        <w:tc>
          <w:tcPr>
            <w:tcW w:w="4449" w:type="dxa"/>
            <w:tcBorders>
              <w:bottom w:val="single" w:color="000000" w:sz="8" w:space="0"/>
              <w:right w:val="single" w:color="000000" w:sz="8" w:space="0"/>
            </w:tcBorders>
            <w:vAlign w:val="center"/>
          </w:tcPr>
          <w:p w14:paraId="04BC335A">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CEF8962">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72A4B8C">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应付证券清算款</w:t>
            </w:r>
          </w:p>
        </w:tc>
        <w:tc>
          <w:tcPr>
            <w:tcW w:w="4449" w:type="dxa"/>
            <w:tcBorders>
              <w:bottom w:val="single" w:color="000000" w:sz="8" w:space="0"/>
              <w:right w:val="single" w:color="000000" w:sz="8" w:space="0"/>
            </w:tcBorders>
            <w:vAlign w:val="center"/>
          </w:tcPr>
          <w:p w14:paraId="57F82003">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7487316D">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C68FCC4">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应付赎回款</w:t>
            </w:r>
          </w:p>
        </w:tc>
        <w:tc>
          <w:tcPr>
            <w:tcW w:w="4449" w:type="dxa"/>
            <w:tcBorders>
              <w:bottom w:val="single" w:color="000000" w:sz="8" w:space="0"/>
              <w:right w:val="single" w:color="000000" w:sz="8" w:space="0"/>
            </w:tcBorders>
            <w:vAlign w:val="center"/>
          </w:tcPr>
          <w:p w14:paraId="770B0360">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BECAD4C">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1F0BA6C">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应付管理人报酬</w:t>
            </w:r>
          </w:p>
        </w:tc>
        <w:tc>
          <w:tcPr>
            <w:tcW w:w="4449" w:type="dxa"/>
            <w:tcBorders>
              <w:bottom w:val="single" w:color="000000" w:sz="8" w:space="0"/>
              <w:right w:val="single" w:color="000000" w:sz="8" w:space="0"/>
            </w:tcBorders>
            <w:vAlign w:val="center"/>
          </w:tcPr>
          <w:p w14:paraId="04686C63">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23,384.65</w:t>
            </w:r>
          </w:p>
        </w:tc>
      </w:tr>
      <w:tr w14:paraId="251C8C6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9CE65DF">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应付托管费</w:t>
            </w:r>
          </w:p>
        </w:tc>
        <w:tc>
          <w:tcPr>
            <w:tcW w:w="4449" w:type="dxa"/>
            <w:tcBorders>
              <w:bottom w:val="single" w:color="000000" w:sz="8" w:space="0"/>
              <w:right w:val="single" w:color="000000" w:sz="8" w:space="0"/>
            </w:tcBorders>
            <w:vAlign w:val="center"/>
          </w:tcPr>
          <w:p w14:paraId="2B4EA041">
            <w:pPr>
              <w:keepNext w:val="0"/>
              <w:keepLines w:val="0"/>
              <w:widowControl/>
              <w:suppressLineNumbers w:val="0"/>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4,676.93</w:t>
            </w:r>
          </w:p>
        </w:tc>
      </w:tr>
      <w:tr w14:paraId="55DB077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C4DD019">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应付销售服务费</w:t>
            </w:r>
          </w:p>
        </w:tc>
        <w:tc>
          <w:tcPr>
            <w:tcW w:w="4449" w:type="dxa"/>
            <w:tcBorders>
              <w:bottom w:val="single" w:color="000000" w:sz="8" w:space="0"/>
              <w:right w:val="single" w:color="000000" w:sz="8" w:space="0"/>
            </w:tcBorders>
            <w:vAlign w:val="center"/>
          </w:tcPr>
          <w:p w14:paraId="040115BF">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1013161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64F4958">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应交税费</w:t>
            </w:r>
          </w:p>
        </w:tc>
        <w:tc>
          <w:tcPr>
            <w:tcW w:w="4449" w:type="dxa"/>
            <w:tcBorders>
              <w:bottom w:val="single" w:color="000000" w:sz="8" w:space="0"/>
              <w:right w:val="single" w:color="000000" w:sz="8" w:space="0"/>
            </w:tcBorders>
            <w:vAlign w:val="center"/>
          </w:tcPr>
          <w:p w14:paraId="3BBCC648">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06AD26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408E6A26">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应付利润</w:t>
            </w:r>
          </w:p>
        </w:tc>
        <w:tc>
          <w:tcPr>
            <w:tcW w:w="4449" w:type="dxa"/>
            <w:tcBorders>
              <w:bottom w:val="single" w:color="000000" w:sz="8" w:space="0"/>
              <w:right w:val="single" w:color="000000" w:sz="8" w:space="0"/>
            </w:tcBorders>
            <w:vAlign w:val="center"/>
          </w:tcPr>
          <w:p w14:paraId="0F0535DC">
            <w:pPr>
              <w:widowControl/>
              <w:snapToGrid w:val="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6D768F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CB4836C">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其他负债</w:t>
            </w:r>
          </w:p>
        </w:tc>
        <w:tc>
          <w:tcPr>
            <w:tcW w:w="4449" w:type="dxa"/>
            <w:tcBorders>
              <w:bottom w:val="single" w:color="000000" w:sz="8" w:space="0"/>
              <w:right w:val="single" w:color="000000" w:sz="8" w:space="0"/>
            </w:tcBorders>
            <w:vAlign w:val="center"/>
          </w:tcPr>
          <w:p w14:paraId="120FB5A8">
            <w:pPr>
              <w:keepNext w:val="0"/>
              <w:keepLines w:val="0"/>
              <w:widowControl/>
              <w:suppressLineNumbers w:val="0"/>
              <w:snapToGrid w:val="0"/>
              <w:jc w:val="righ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2"/>
                <w:sz w:val="20"/>
                <w:szCs w:val="20"/>
                <w:highlight w:val="none"/>
                <w:u w:val="none"/>
                <w:lang w:val="en-US" w:eastAsia="zh-CN" w:bidi="ar-SA"/>
              </w:rPr>
              <w:t>7,548.39</w:t>
            </w:r>
          </w:p>
        </w:tc>
      </w:tr>
      <w:tr w14:paraId="2DC71D30">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4A870397">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负债合计</w:t>
            </w:r>
          </w:p>
        </w:tc>
        <w:tc>
          <w:tcPr>
            <w:tcW w:w="4449" w:type="dxa"/>
            <w:tcBorders>
              <w:bottom w:val="single" w:color="000000" w:sz="8" w:space="0"/>
              <w:right w:val="single" w:color="000000" w:sz="8" w:space="0"/>
            </w:tcBorders>
            <w:vAlign w:val="center"/>
          </w:tcPr>
          <w:p w14:paraId="16526F63">
            <w:pPr>
              <w:keepNext w:val="0"/>
              <w:keepLines w:val="0"/>
              <w:widowControl/>
              <w:suppressLineNumbers w:val="0"/>
              <w:snapToGrid w:val="0"/>
              <w:jc w:val="right"/>
              <w:textAlignment w:val="center"/>
              <w:rPr>
                <w:rFonts w:hint="eastAsia"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35,609.97</w:t>
            </w:r>
          </w:p>
        </w:tc>
      </w:tr>
      <w:tr w14:paraId="6D5E2600">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1CB3EF4">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所有者权益：</w:t>
            </w:r>
          </w:p>
        </w:tc>
        <w:tc>
          <w:tcPr>
            <w:tcW w:w="4449" w:type="dxa"/>
            <w:tcBorders>
              <w:bottom w:val="single" w:color="000000" w:sz="8" w:space="0"/>
              <w:right w:val="single" w:color="000000" w:sz="8" w:space="0"/>
            </w:tcBorders>
            <w:vAlign w:val="center"/>
          </w:tcPr>
          <w:p w14:paraId="35549CE5">
            <w:pPr>
              <w:widowControl/>
              <w:snapToGrid w:val="0"/>
              <w:spacing w:line="360" w:lineRule="auto"/>
              <w:ind w:right="0" w:firstLine="373"/>
              <w:jc w:val="right"/>
              <w:rPr>
                <w:rFonts w:hint="eastAsia" w:ascii="宋体" w:hAnsi="宋体" w:eastAsia="宋体" w:cs="宋体"/>
                <w:b/>
                <w:color w:val="000000"/>
                <w:kern w:val="0"/>
                <w:szCs w:val="21"/>
                <w:highlight w:val="none"/>
              </w:rPr>
            </w:pPr>
          </w:p>
        </w:tc>
      </w:tr>
      <w:tr w14:paraId="1B687E5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1146066">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实收基金</w:t>
            </w:r>
          </w:p>
        </w:tc>
        <w:tc>
          <w:tcPr>
            <w:tcW w:w="4449" w:type="dxa"/>
            <w:tcBorders>
              <w:bottom w:val="single" w:color="000000" w:sz="8" w:space="0"/>
              <w:right w:val="single" w:color="000000" w:sz="8" w:space="0"/>
            </w:tcBorders>
            <w:vAlign w:val="center"/>
          </w:tcPr>
          <w:p w14:paraId="4A557134">
            <w:pPr>
              <w:keepNext w:val="0"/>
              <w:keepLines w:val="0"/>
              <w:widowControl/>
              <w:suppressLineNumbers w:val="0"/>
              <w:snapToGrid w:val="0"/>
              <w:jc w:val="righ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2"/>
                <w:sz w:val="20"/>
                <w:szCs w:val="20"/>
                <w:highlight w:val="none"/>
                <w:u w:val="none"/>
                <w:lang w:val="en-US" w:eastAsia="zh-CN" w:bidi="ar-SA"/>
              </w:rPr>
              <w:t>213,394,517.00</w:t>
            </w:r>
          </w:p>
        </w:tc>
      </w:tr>
      <w:tr w14:paraId="26BE8B2B">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74B7857">
            <w:pPr>
              <w:widowControl/>
              <w:snapToGrid w:val="0"/>
              <w:spacing w:line="360" w:lineRule="auto"/>
              <w:ind w:right="0" w:firstLine="371"/>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未分配利润</w:t>
            </w:r>
          </w:p>
        </w:tc>
        <w:tc>
          <w:tcPr>
            <w:tcW w:w="4449" w:type="dxa"/>
            <w:tcBorders>
              <w:bottom w:val="single" w:color="000000" w:sz="8" w:space="0"/>
              <w:right w:val="single" w:color="000000" w:sz="8" w:space="0"/>
            </w:tcBorders>
            <w:vAlign w:val="bottom"/>
          </w:tcPr>
          <w:p w14:paraId="6B3AE918">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-24,645.19</w:t>
            </w:r>
          </w:p>
        </w:tc>
      </w:tr>
      <w:tr w14:paraId="7D31DC3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5BE5BB1">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所有者权益合计</w:t>
            </w:r>
          </w:p>
        </w:tc>
        <w:tc>
          <w:tcPr>
            <w:tcW w:w="4449" w:type="dxa"/>
            <w:tcBorders>
              <w:bottom w:val="single" w:color="000000" w:sz="8" w:space="0"/>
              <w:right w:val="single" w:color="000000" w:sz="8" w:space="0"/>
            </w:tcBorders>
            <w:vAlign w:val="center"/>
          </w:tcPr>
          <w:p w14:paraId="3966D3EE">
            <w:pPr>
              <w:keepNext w:val="0"/>
              <w:keepLines w:val="0"/>
              <w:widowControl/>
              <w:suppressLineNumbers w:val="0"/>
              <w:snapToGrid w:val="0"/>
              <w:jc w:val="right"/>
              <w:textAlignment w:val="center"/>
              <w:rPr>
                <w:rFonts w:hint="eastAsia"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213,369,871.81</w:t>
            </w:r>
          </w:p>
        </w:tc>
      </w:tr>
      <w:tr w14:paraId="71301189">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636B78AA">
            <w:pPr>
              <w:widowControl/>
              <w:snapToGrid w:val="0"/>
              <w:spacing w:line="360" w:lineRule="auto"/>
              <w:ind w:right="0" w:firstLine="373"/>
              <w:jc w:val="left"/>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rPr>
              <w:t>负债和所有者权益总计</w:t>
            </w:r>
          </w:p>
        </w:tc>
        <w:tc>
          <w:tcPr>
            <w:tcW w:w="4449" w:type="dxa"/>
            <w:tcBorders>
              <w:bottom w:val="single" w:color="000000" w:sz="8" w:space="0"/>
              <w:right w:val="single" w:color="000000" w:sz="8" w:space="0"/>
            </w:tcBorders>
            <w:vAlign w:val="center"/>
          </w:tcPr>
          <w:p w14:paraId="756C3127">
            <w:pPr>
              <w:widowControl/>
              <w:snapToGrid w:val="0"/>
              <w:jc w:val="right"/>
              <w:textAlignment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213,405,481.78</w:t>
            </w:r>
          </w:p>
        </w:tc>
      </w:tr>
    </w:tbl>
    <w:p w14:paraId="5CD683C3">
      <w:pPr>
        <w:widowControl w:val="0"/>
        <w:snapToGrid w:val="0"/>
        <w:spacing w:line="360" w:lineRule="auto"/>
        <w:ind w:right="0" w:firstLine="42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注：截至2026年10月8日，基金份额净值0.9999元，基金份额总额213,394,517.00份。</w:t>
      </w:r>
    </w:p>
    <w:p w14:paraId="752C1996">
      <w:pPr>
        <w:pStyle w:val="2"/>
        <w:keepNext w:val="0"/>
        <w:keepLines w:val="0"/>
        <w:ind w:left="0" w:firstLine="0"/>
        <w:rPr>
          <w:rFonts w:hint="eastAsia" w:ascii="宋体" w:hAnsi="宋体" w:eastAsia="宋体" w:cs="宋体"/>
          <w:highlight w:val="none"/>
        </w:rPr>
      </w:pPr>
      <w:bookmarkStart w:id="11" w:name="__RefHeading___Toc22900845"/>
      <w:bookmarkEnd w:id="11"/>
      <w:bookmarkStart w:id="12" w:name="_Toc11878"/>
      <w:r>
        <w:rPr>
          <w:rFonts w:hint="eastAsia" w:ascii="宋体" w:hAnsi="宋体" w:eastAsia="宋体" w:cs="宋体"/>
        </w:rPr>
        <w:t>八、基金投资组合</w:t>
      </w:r>
      <w:bookmarkEnd w:id="12"/>
    </w:p>
    <w:p w14:paraId="16CA7F79">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本基金目前处于建仓期，在上市首日前，基金管理人将使本基金的投资组合比例符合有关法律法规、部门规章、规范性文件的规定和基金合同的有关约定。</w:t>
      </w:r>
    </w:p>
    <w:p w14:paraId="4591C554">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截至公告前两个工作日即2026年10月8日，本基金的投资组合情况如下：</w:t>
      </w:r>
    </w:p>
    <w:p w14:paraId="6C7FEB2F">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（一）基金资产组合情况</w:t>
      </w:r>
    </w:p>
    <w:tbl>
      <w:tblPr>
        <w:tblStyle w:val="27"/>
        <w:tblW w:w="5000" w:type="pct"/>
        <w:tblInd w:w="0" w:type="dxa"/>
        <w:tblLayout w:type="fixed"/>
        <w:tblCellMar>
          <w:top w:w="0" w:type="dxa"/>
          <w:left w:w="108" w:type="dxa"/>
          <w:bottom w:w="0" w:type="dxa"/>
          <w:right w:w="108" w:type="dxa"/>
        </w:tblCellMar>
      </w:tblPr>
      <w:tblGrid>
        <w:gridCol w:w="861"/>
        <w:gridCol w:w="3698"/>
        <w:gridCol w:w="2448"/>
        <w:gridCol w:w="1515"/>
      </w:tblGrid>
      <w:tr w14:paraId="4B32546F">
        <w:tblPrEx>
          <w:tblCellMar>
            <w:top w:w="0" w:type="dxa"/>
            <w:left w:w="108" w:type="dxa"/>
            <w:bottom w:w="0" w:type="dxa"/>
            <w:right w:w="108" w:type="dxa"/>
          </w:tblCellMar>
        </w:tblPrEx>
        <w:trPr>
          <w:trHeight w:val="870" w:hRule="atLeast"/>
        </w:trPr>
        <w:tc>
          <w:tcPr>
            <w:tcW w:w="861" w:type="dxa"/>
            <w:tcBorders>
              <w:top w:val="single" w:color="000000" w:sz="8" w:space="0"/>
              <w:left w:val="single" w:color="000000" w:sz="8" w:space="0"/>
              <w:bottom w:val="single" w:color="000000" w:sz="8" w:space="0"/>
              <w:right w:val="single" w:color="000000" w:sz="8" w:space="0"/>
            </w:tcBorders>
            <w:vAlign w:val="center"/>
          </w:tcPr>
          <w:p w14:paraId="57FDC37C">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序号</w:t>
            </w:r>
          </w:p>
        </w:tc>
        <w:tc>
          <w:tcPr>
            <w:tcW w:w="3698" w:type="dxa"/>
            <w:tcBorders>
              <w:top w:val="single" w:color="000000" w:sz="8" w:space="0"/>
              <w:bottom w:val="single" w:color="000000" w:sz="8" w:space="0"/>
              <w:right w:val="single" w:color="000000" w:sz="8" w:space="0"/>
            </w:tcBorders>
            <w:vAlign w:val="center"/>
          </w:tcPr>
          <w:p w14:paraId="042AFC95">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项目</w:t>
            </w:r>
          </w:p>
        </w:tc>
        <w:tc>
          <w:tcPr>
            <w:tcW w:w="2448" w:type="dxa"/>
            <w:tcBorders>
              <w:top w:val="single" w:color="000000" w:sz="8" w:space="0"/>
              <w:bottom w:val="single" w:color="000000" w:sz="8" w:space="0"/>
              <w:right w:val="single" w:color="000000" w:sz="8" w:space="0"/>
            </w:tcBorders>
            <w:vAlign w:val="center"/>
          </w:tcPr>
          <w:p w14:paraId="028AEBBE">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金额（元）</w:t>
            </w:r>
          </w:p>
        </w:tc>
        <w:tc>
          <w:tcPr>
            <w:tcW w:w="1515" w:type="dxa"/>
            <w:tcBorders>
              <w:top w:val="single" w:color="000000" w:sz="8" w:space="0"/>
              <w:bottom w:val="single" w:color="000000" w:sz="8" w:space="0"/>
              <w:right w:val="single" w:color="000000" w:sz="8" w:space="0"/>
            </w:tcBorders>
            <w:vAlign w:val="center"/>
          </w:tcPr>
          <w:p w14:paraId="7154E34A">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占基金总资产的比例（%）</w:t>
            </w:r>
          </w:p>
        </w:tc>
      </w:tr>
      <w:tr w14:paraId="7E53FD3E">
        <w:tblPrEx>
          <w:tblCellMar>
            <w:top w:w="0" w:type="dxa"/>
            <w:left w:w="108" w:type="dxa"/>
            <w:bottom w:w="0" w:type="dxa"/>
            <w:right w:w="108" w:type="dxa"/>
          </w:tblCellMar>
        </w:tblPrEx>
        <w:trPr>
          <w:trHeight w:val="400" w:hRule="atLeast"/>
        </w:trPr>
        <w:tc>
          <w:tcPr>
            <w:tcW w:w="861" w:type="dxa"/>
            <w:tcBorders>
              <w:left w:val="single" w:color="000000" w:sz="8" w:space="0"/>
              <w:bottom w:val="single" w:color="000000" w:sz="8" w:space="0"/>
              <w:right w:val="single" w:color="000000" w:sz="8" w:space="0"/>
            </w:tcBorders>
            <w:vAlign w:val="bottom"/>
          </w:tcPr>
          <w:p w14:paraId="10F9D44C">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1</w:t>
            </w:r>
          </w:p>
        </w:tc>
        <w:tc>
          <w:tcPr>
            <w:tcW w:w="3698" w:type="dxa"/>
            <w:tcBorders>
              <w:bottom w:val="single" w:color="000000" w:sz="8" w:space="0"/>
              <w:right w:val="single" w:color="000000" w:sz="8" w:space="0"/>
            </w:tcBorders>
            <w:vAlign w:val="bottom"/>
          </w:tcPr>
          <w:p w14:paraId="1739ED40">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权益投资</w:t>
            </w:r>
          </w:p>
        </w:tc>
        <w:tc>
          <w:tcPr>
            <w:tcW w:w="2448" w:type="dxa"/>
            <w:tcBorders>
              <w:bottom w:val="single" w:color="000000" w:sz="8" w:space="0"/>
              <w:right w:val="single" w:color="000000" w:sz="8" w:space="0"/>
            </w:tcBorders>
            <w:vAlign w:val="center"/>
          </w:tcPr>
          <w:p w14:paraId="4C19BE0A">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76DC2189">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15778C01">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17571F7D">
            <w:pPr>
              <w:widowControl/>
              <w:snapToGrid w:val="0"/>
              <w:spacing w:line="360" w:lineRule="auto"/>
              <w:jc w:val="center"/>
              <w:rPr>
                <w:rFonts w:hint="eastAsia" w:ascii="宋体" w:hAnsi="宋体" w:eastAsia="宋体" w:cs="宋体"/>
                <w:i w:val="0"/>
                <w:iCs w:val="0"/>
                <w:color w:val="000000"/>
                <w:kern w:val="0"/>
                <w:sz w:val="20"/>
                <w:szCs w:val="21"/>
                <w:highlight w:val="none"/>
                <w:u w:val="none"/>
                <w:lang w:val="en-US" w:eastAsia="zh-CN" w:bidi="ar"/>
              </w:rPr>
            </w:pPr>
          </w:p>
        </w:tc>
        <w:tc>
          <w:tcPr>
            <w:tcW w:w="3698" w:type="dxa"/>
            <w:tcBorders>
              <w:bottom w:val="single" w:color="000000" w:sz="8" w:space="0"/>
              <w:right w:val="single" w:color="000000" w:sz="8" w:space="0"/>
            </w:tcBorders>
            <w:vAlign w:val="bottom"/>
          </w:tcPr>
          <w:p w14:paraId="7F773567">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其中：股票</w:t>
            </w:r>
          </w:p>
        </w:tc>
        <w:tc>
          <w:tcPr>
            <w:tcW w:w="2448" w:type="dxa"/>
            <w:tcBorders>
              <w:bottom w:val="single" w:color="000000" w:sz="8" w:space="0"/>
              <w:right w:val="single" w:color="000000" w:sz="8" w:space="0"/>
            </w:tcBorders>
            <w:vAlign w:val="center"/>
          </w:tcPr>
          <w:p w14:paraId="7EA0A90A">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4D0EE1AE">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229B3EED">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603B5CEE">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2</w:t>
            </w:r>
          </w:p>
        </w:tc>
        <w:tc>
          <w:tcPr>
            <w:tcW w:w="3698" w:type="dxa"/>
            <w:tcBorders>
              <w:bottom w:val="single" w:color="000000" w:sz="8" w:space="0"/>
              <w:right w:val="single" w:color="000000" w:sz="8" w:space="0"/>
            </w:tcBorders>
            <w:vAlign w:val="bottom"/>
          </w:tcPr>
          <w:p w14:paraId="57DEA3CD">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固定收益投资</w:t>
            </w:r>
          </w:p>
        </w:tc>
        <w:tc>
          <w:tcPr>
            <w:tcW w:w="2448" w:type="dxa"/>
            <w:tcBorders>
              <w:bottom w:val="single" w:color="000000" w:sz="8" w:space="0"/>
              <w:right w:val="single" w:color="000000" w:sz="8" w:space="0"/>
            </w:tcBorders>
            <w:vAlign w:val="center"/>
          </w:tcPr>
          <w:p w14:paraId="6F747AEC">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0AC788FB">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1137AE17">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7270E4B9">
            <w:pPr>
              <w:widowControl/>
              <w:snapToGrid w:val="0"/>
              <w:spacing w:line="360" w:lineRule="auto"/>
              <w:jc w:val="center"/>
              <w:rPr>
                <w:rFonts w:hint="eastAsia" w:ascii="宋体" w:hAnsi="宋体" w:eastAsia="宋体" w:cs="宋体"/>
                <w:i w:val="0"/>
                <w:iCs w:val="0"/>
                <w:color w:val="000000"/>
                <w:kern w:val="0"/>
                <w:sz w:val="20"/>
                <w:szCs w:val="21"/>
                <w:highlight w:val="none"/>
                <w:u w:val="none"/>
                <w:lang w:val="en-US" w:eastAsia="zh-CN" w:bidi="ar"/>
              </w:rPr>
            </w:pPr>
          </w:p>
        </w:tc>
        <w:tc>
          <w:tcPr>
            <w:tcW w:w="3698" w:type="dxa"/>
            <w:tcBorders>
              <w:bottom w:val="single" w:color="000000" w:sz="8" w:space="0"/>
              <w:right w:val="single" w:color="000000" w:sz="8" w:space="0"/>
            </w:tcBorders>
            <w:vAlign w:val="bottom"/>
          </w:tcPr>
          <w:p w14:paraId="5FFA9C7D">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其中：债券</w:t>
            </w:r>
          </w:p>
        </w:tc>
        <w:tc>
          <w:tcPr>
            <w:tcW w:w="2448" w:type="dxa"/>
            <w:tcBorders>
              <w:bottom w:val="single" w:color="000000" w:sz="8" w:space="0"/>
              <w:right w:val="single" w:color="000000" w:sz="8" w:space="0"/>
            </w:tcBorders>
            <w:vAlign w:val="center"/>
          </w:tcPr>
          <w:p w14:paraId="182CCABA">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6D898D93">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36FF276F">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0268A31A">
            <w:pPr>
              <w:widowControl/>
              <w:snapToGrid w:val="0"/>
              <w:spacing w:line="360" w:lineRule="auto"/>
              <w:jc w:val="center"/>
              <w:rPr>
                <w:rFonts w:hint="eastAsia" w:ascii="宋体" w:hAnsi="宋体" w:eastAsia="宋体" w:cs="宋体"/>
                <w:i w:val="0"/>
                <w:iCs w:val="0"/>
                <w:color w:val="000000"/>
                <w:kern w:val="0"/>
                <w:sz w:val="20"/>
                <w:szCs w:val="21"/>
                <w:highlight w:val="none"/>
                <w:u w:val="none"/>
                <w:lang w:val="en-US" w:eastAsia="zh-CN" w:bidi="ar"/>
              </w:rPr>
            </w:pPr>
          </w:p>
        </w:tc>
        <w:tc>
          <w:tcPr>
            <w:tcW w:w="3698" w:type="dxa"/>
            <w:tcBorders>
              <w:bottom w:val="single" w:color="000000" w:sz="8" w:space="0"/>
              <w:right w:val="single" w:color="000000" w:sz="8" w:space="0"/>
            </w:tcBorders>
            <w:vAlign w:val="bottom"/>
          </w:tcPr>
          <w:p w14:paraId="78B35287">
            <w:pPr>
              <w:widowControl/>
              <w:snapToGrid w:val="0"/>
              <w:spacing w:line="360" w:lineRule="auto"/>
              <w:ind w:right="0" w:firstLine="630"/>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资产支持证券</w:t>
            </w:r>
          </w:p>
        </w:tc>
        <w:tc>
          <w:tcPr>
            <w:tcW w:w="2448" w:type="dxa"/>
            <w:tcBorders>
              <w:bottom w:val="single" w:color="000000" w:sz="8" w:space="0"/>
              <w:right w:val="single" w:color="000000" w:sz="8" w:space="0"/>
            </w:tcBorders>
            <w:vAlign w:val="center"/>
          </w:tcPr>
          <w:p w14:paraId="07EE77F4">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4CA4B409">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5B0AF04B">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370F64AC">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3</w:t>
            </w:r>
          </w:p>
        </w:tc>
        <w:tc>
          <w:tcPr>
            <w:tcW w:w="3698" w:type="dxa"/>
            <w:tcBorders>
              <w:bottom w:val="single" w:color="000000" w:sz="8" w:space="0"/>
              <w:right w:val="single" w:color="000000" w:sz="8" w:space="0"/>
            </w:tcBorders>
            <w:vAlign w:val="bottom"/>
          </w:tcPr>
          <w:p w14:paraId="6A462457">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金融衍生品投资</w:t>
            </w:r>
          </w:p>
        </w:tc>
        <w:tc>
          <w:tcPr>
            <w:tcW w:w="2448" w:type="dxa"/>
            <w:tcBorders>
              <w:bottom w:val="single" w:color="000000" w:sz="8" w:space="0"/>
              <w:right w:val="single" w:color="000000" w:sz="8" w:space="0"/>
            </w:tcBorders>
            <w:vAlign w:val="center"/>
          </w:tcPr>
          <w:p w14:paraId="3AE3D9BF">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532CBF0C">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66F9A83C">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2458F7AD">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4</w:t>
            </w:r>
          </w:p>
        </w:tc>
        <w:tc>
          <w:tcPr>
            <w:tcW w:w="3698" w:type="dxa"/>
            <w:tcBorders>
              <w:bottom w:val="single" w:color="000000" w:sz="8" w:space="0"/>
              <w:right w:val="single" w:color="000000" w:sz="8" w:space="0"/>
            </w:tcBorders>
            <w:vAlign w:val="bottom"/>
          </w:tcPr>
          <w:p w14:paraId="45D71672">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买入返售金融资产</w:t>
            </w:r>
          </w:p>
        </w:tc>
        <w:tc>
          <w:tcPr>
            <w:tcW w:w="2448" w:type="dxa"/>
            <w:tcBorders>
              <w:bottom w:val="single" w:color="000000" w:sz="8" w:space="0"/>
              <w:right w:val="single" w:color="000000" w:sz="8" w:space="0"/>
            </w:tcBorders>
            <w:vAlign w:val="center"/>
          </w:tcPr>
          <w:p w14:paraId="2D5189D5">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29663A2C">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3DF57EA8">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478175A9">
            <w:pPr>
              <w:widowControl/>
              <w:snapToGrid w:val="0"/>
              <w:spacing w:line="360" w:lineRule="auto"/>
              <w:jc w:val="center"/>
              <w:rPr>
                <w:rFonts w:hint="eastAsia" w:ascii="宋体" w:hAnsi="宋体" w:eastAsia="宋体" w:cs="宋体"/>
                <w:i w:val="0"/>
                <w:iCs w:val="0"/>
                <w:color w:val="000000"/>
                <w:kern w:val="0"/>
                <w:sz w:val="20"/>
                <w:szCs w:val="21"/>
                <w:highlight w:val="none"/>
                <w:u w:val="none"/>
                <w:lang w:val="en-US" w:eastAsia="zh-CN" w:bidi="ar"/>
              </w:rPr>
            </w:pPr>
          </w:p>
        </w:tc>
        <w:tc>
          <w:tcPr>
            <w:tcW w:w="3698" w:type="dxa"/>
            <w:tcBorders>
              <w:bottom w:val="single" w:color="000000" w:sz="8" w:space="0"/>
              <w:right w:val="single" w:color="000000" w:sz="8" w:space="0"/>
            </w:tcBorders>
            <w:vAlign w:val="bottom"/>
          </w:tcPr>
          <w:p w14:paraId="436B392A">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其中：买断式回购的买入返售金融资产</w:t>
            </w:r>
          </w:p>
        </w:tc>
        <w:tc>
          <w:tcPr>
            <w:tcW w:w="2448" w:type="dxa"/>
            <w:tcBorders>
              <w:bottom w:val="single" w:color="000000" w:sz="8" w:space="0"/>
              <w:right w:val="single" w:color="000000" w:sz="8" w:space="0"/>
            </w:tcBorders>
            <w:vAlign w:val="center"/>
          </w:tcPr>
          <w:p w14:paraId="7BC4983C">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30E92206">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2D3CA3F7">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365B169A">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5</w:t>
            </w:r>
          </w:p>
        </w:tc>
        <w:tc>
          <w:tcPr>
            <w:tcW w:w="3698" w:type="dxa"/>
            <w:tcBorders>
              <w:bottom w:val="single" w:color="000000" w:sz="8" w:space="0"/>
              <w:right w:val="single" w:color="000000" w:sz="8" w:space="0"/>
            </w:tcBorders>
            <w:vAlign w:val="bottom"/>
          </w:tcPr>
          <w:p w14:paraId="0404241C">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银行存款和结算备付金合计</w:t>
            </w:r>
          </w:p>
        </w:tc>
        <w:tc>
          <w:tcPr>
            <w:tcW w:w="2448" w:type="dxa"/>
            <w:tcBorders>
              <w:bottom w:val="single" w:color="000000" w:sz="8" w:space="0"/>
              <w:right w:val="single" w:color="000000" w:sz="8" w:space="0"/>
            </w:tcBorders>
            <w:vAlign w:val="center"/>
          </w:tcPr>
          <w:p w14:paraId="254A824B">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213,405,481.78</w:t>
            </w:r>
          </w:p>
        </w:tc>
        <w:tc>
          <w:tcPr>
            <w:tcW w:w="1515" w:type="dxa"/>
            <w:tcBorders>
              <w:bottom w:val="single" w:color="000000" w:sz="8" w:space="0"/>
              <w:right w:val="single" w:color="000000" w:sz="8" w:space="0"/>
            </w:tcBorders>
            <w:vAlign w:val="center"/>
          </w:tcPr>
          <w:p w14:paraId="438CE9A4">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100.00</w:t>
            </w:r>
          </w:p>
        </w:tc>
      </w:tr>
      <w:tr w14:paraId="4FB5FCA4">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3F54C20A">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6</w:t>
            </w:r>
          </w:p>
        </w:tc>
        <w:tc>
          <w:tcPr>
            <w:tcW w:w="3698" w:type="dxa"/>
            <w:tcBorders>
              <w:bottom w:val="single" w:color="000000" w:sz="8" w:space="0"/>
              <w:right w:val="single" w:color="000000" w:sz="8" w:space="0"/>
            </w:tcBorders>
            <w:vAlign w:val="bottom"/>
          </w:tcPr>
          <w:p w14:paraId="000DB56E">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其他资产</w:t>
            </w:r>
          </w:p>
        </w:tc>
        <w:tc>
          <w:tcPr>
            <w:tcW w:w="2448" w:type="dxa"/>
            <w:tcBorders>
              <w:bottom w:val="single" w:color="000000" w:sz="8" w:space="0"/>
              <w:right w:val="single" w:color="000000" w:sz="8" w:space="0"/>
            </w:tcBorders>
            <w:shd w:val="clear" w:color="auto" w:fill="auto"/>
            <w:vAlign w:val="center"/>
          </w:tcPr>
          <w:p w14:paraId="688D94AE">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2"/>
                <w:szCs w:val="22"/>
                <w:highlight w:val="none"/>
                <w:lang w:bidi="ar"/>
              </w:rPr>
              <w:t>-</w:t>
            </w:r>
          </w:p>
        </w:tc>
        <w:tc>
          <w:tcPr>
            <w:tcW w:w="1515" w:type="dxa"/>
            <w:tcBorders>
              <w:bottom w:val="single" w:color="000000" w:sz="8" w:space="0"/>
              <w:right w:val="single" w:color="000000" w:sz="8" w:space="0"/>
            </w:tcBorders>
            <w:vAlign w:val="center"/>
          </w:tcPr>
          <w:p w14:paraId="659BD4F1">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2"/>
                <w:szCs w:val="22"/>
                <w:highlight w:val="none"/>
                <w:lang w:bidi="ar"/>
              </w:rPr>
              <w:t>-</w:t>
            </w:r>
          </w:p>
        </w:tc>
      </w:tr>
      <w:tr w14:paraId="55B95BAC">
        <w:tblPrEx>
          <w:tblCellMar>
            <w:top w:w="0" w:type="dxa"/>
            <w:left w:w="108" w:type="dxa"/>
            <w:bottom w:w="0" w:type="dxa"/>
            <w:right w:w="108" w:type="dxa"/>
          </w:tblCellMar>
        </w:tblPrEx>
        <w:trPr>
          <w:trHeight w:val="300" w:hRule="atLeast"/>
        </w:trPr>
        <w:tc>
          <w:tcPr>
            <w:tcW w:w="861" w:type="dxa"/>
            <w:tcBorders>
              <w:left w:val="single" w:color="000000" w:sz="8" w:space="0"/>
              <w:bottom w:val="single" w:color="000000" w:sz="8" w:space="0"/>
              <w:right w:val="single" w:color="000000" w:sz="8" w:space="0"/>
            </w:tcBorders>
            <w:vAlign w:val="bottom"/>
          </w:tcPr>
          <w:p w14:paraId="7D668FE0">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7</w:t>
            </w:r>
          </w:p>
        </w:tc>
        <w:tc>
          <w:tcPr>
            <w:tcW w:w="3698" w:type="dxa"/>
            <w:tcBorders>
              <w:bottom w:val="single" w:color="000000" w:sz="8" w:space="0"/>
              <w:right w:val="single" w:color="000000" w:sz="8" w:space="0"/>
            </w:tcBorders>
            <w:vAlign w:val="bottom"/>
          </w:tcPr>
          <w:p w14:paraId="350B9B8B">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合计</w:t>
            </w:r>
          </w:p>
        </w:tc>
        <w:tc>
          <w:tcPr>
            <w:tcW w:w="2448" w:type="dxa"/>
            <w:tcBorders>
              <w:bottom w:val="single" w:color="000000" w:sz="8" w:space="0"/>
              <w:right w:val="single" w:color="000000" w:sz="8" w:space="0"/>
            </w:tcBorders>
            <w:shd w:val="clear" w:color="auto" w:fill="auto"/>
            <w:vAlign w:val="center"/>
          </w:tcPr>
          <w:p w14:paraId="4923A615">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213,405,481.78</w:t>
            </w:r>
          </w:p>
        </w:tc>
        <w:tc>
          <w:tcPr>
            <w:tcW w:w="1515" w:type="dxa"/>
            <w:tcBorders>
              <w:bottom w:val="single" w:color="000000" w:sz="8" w:space="0"/>
              <w:right w:val="single" w:color="000000" w:sz="8" w:space="0"/>
            </w:tcBorders>
            <w:shd w:val="clear" w:color="auto" w:fill="auto"/>
            <w:vAlign w:val="center"/>
          </w:tcPr>
          <w:p w14:paraId="1080A076">
            <w:pPr>
              <w:keepNext w:val="0"/>
              <w:keepLines w:val="0"/>
              <w:widowControl/>
              <w:suppressLineNumbers w:val="0"/>
              <w:snapToGrid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100.00</w:t>
            </w:r>
          </w:p>
        </w:tc>
      </w:tr>
    </w:tbl>
    <w:p w14:paraId="10348F96">
      <w:pPr>
        <w:widowControl/>
        <w:snapToGrid w:val="0"/>
        <w:spacing w:before="0" w:after="0"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（二）按行业分类的股票投资组合</w:t>
      </w:r>
    </w:p>
    <w:p w14:paraId="7499C447">
      <w:pPr>
        <w:widowControl/>
        <w:snapToGrid w:val="0"/>
        <w:spacing w:before="0" w:after="0"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截至2026年10月8日，本基金未持有</w:t>
      </w:r>
      <w:r>
        <w:rPr>
          <w:rFonts w:hint="eastAsia" w:ascii="宋体" w:hAnsi="宋体" w:eastAsia="宋体" w:cs="宋体"/>
          <w:color w:val="000000"/>
          <w:kern w:val="0"/>
          <w:sz w:val="24"/>
          <w:lang w:val="en-US" w:eastAsia="zh-CN"/>
        </w:rPr>
        <w:t>股票</w:t>
      </w:r>
      <w:r>
        <w:rPr>
          <w:rFonts w:hint="eastAsia" w:ascii="宋体" w:hAnsi="宋体" w:eastAsia="宋体" w:cs="宋体"/>
          <w:color w:val="000000"/>
          <w:kern w:val="0"/>
          <w:sz w:val="24"/>
        </w:rPr>
        <w:t>。</w:t>
      </w:r>
    </w:p>
    <w:p w14:paraId="1041173A">
      <w:pPr>
        <w:keepNext w:val="0"/>
        <w:keepLines w:val="0"/>
        <w:pageBreakBefore w:val="0"/>
        <w:widowControl/>
        <w:numPr>
          <w:ilvl w:val="-1"/>
          <w:numId w:val="0"/>
        </w:numPr>
        <w:kinsoku/>
        <w:overflowPunct/>
        <w:autoSpaceDE/>
        <w:bidi w:val="0"/>
        <w:snapToGrid w:val="0"/>
        <w:spacing w:line="360" w:lineRule="auto"/>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三</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期末按公允价值占基金资产净值比例大小排序的前十名股票明细</w:t>
      </w:r>
    </w:p>
    <w:p w14:paraId="3D5E84EB">
      <w:pPr>
        <w:widowControl/>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截至2026年10月8日，本基金未持有</w:t>
      </w:r>
      <w:r>
        <w:rPr>
          <w:rFonts w:hint="eastAsia" w:ascii="宋体" w:hAnsi="宋体" w:eastAsia="宋体" w:cs="宋体"/>
          <w:color w:val="000000"/>
          <w:kern w:val="0"/>
          <w:sz w:val="24"/>
          <w:lang w:val="en-US" w:eastAsia="zh-CN"/>
        </w:rPr>
        <w:t>股票</w:t>
      </w:r>
      <w:r>
        <w:rPr>
          <w:rFonts w:hint="eastAsia" w:ascii="宋体" w:hAnsi="宋体" w:eastAsia="宋体" w:cs="宋体"/>
          <w:color w:val="000000"/>
          <w:kern w:val="0"/>
          <w:sz w:val="24"/>
        </w:rPr>
        <w:t>。</w:t>
      </w:r>
    </w:p>
    <w:p w14:paraId="34B7B2AB">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（四）按券种分类的债券投资组合</w:t>
      </w:r>
    </w:p>
    <w:p w14:paraId="6E655ED9">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截至2026年10月8日，本基金未持有债券。</w:t>
      </w:r>
    </w:p>
    <w:p w14:paraId="383B3BAD">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（五）按公允价值占基金资产净值比例大小排序的前五名债券明细</w:t>
      </w:r>
    </w:p>
    <w:p w14:paraId="27BC368C">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截至2026年10月8日，本基金未持有债券。</w:t>
      </w:r>
    </w:p>
    <w:p w14:paraId="4CB2B198">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（六）按公允价值占净值比例大小排序的前十名资产支持证券投资明细 </w:t>
      </w:r>
    </w:p>
    <w:p w14:paraId="0186F724">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截至2026年10月8日，本基金未持有资产支持证券。 </w:t>
      </w:r>
    </w:p>
    <w:p w14:paraId="2BF40C6F">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（七）按公允价值占基金资产净值比例大小排序的前五名贵金属投资明细 </w:t>
      </w:r>
    </w:p>
    <w:p w14:paraId="50B24C2F">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截至2026年10月8日，本基金未持有贵金属。</w:t>
      </w:r>
    </w:p>
    <w:p w14:paraId="0D734E67">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（八）按公允价值占净值比例大小排序的前五名权证投资明细 </w:t>
      </w:r>
    </w:p>
    <w:p w14:paraId="2DFD8809">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截至2026年10月8日，本基金未持有权证。</w:t>
      </w:r>
    </w:p>
    <w:p w14:paraId="1173B1FB">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（九）本基金投资的股指期货交易情况说明 </w:t>
      </w:r>
    </w:p>
    <w:p w14:paraId="79D6B029">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截至2026年10月8日，本基金未持有股指期货。</w:t>
      </w:r>
    </w:p>
    <w:p w14:paraId="5343E2C7">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 xml:space="preserve">（十）本基金投资的国债期货交易情况说明 </w:t>
      </w:r>
    </w:p>
    <w:p w14:paraId="7A3655C3">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截至2026年10月8日，本基金未持有国债期货。</w:t>
      </w:r>
    </w:p>
    <w:p w14:paraId="28CE6E00">
      <w:pPr>
        <w:widowControl/>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（十一）投资组合报告附注</w:t>
      </w:r>
    </w:p>
    <w:p w14:paraId="04BEE981">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1、 基金投资前十名证券的发行主体被监管部门立案调查或编制日前一年内受到公开谴责、处罚的投资决策程序说明</w:t>
      </w:r>
    </w:p>
    <w:p w14:paraId="7F38848F">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基金管理人未发现本基金投资的前十名证券的发行主体出现本期被监管部门立案调查，或在报告编制日前一年内受到公开谴责、处罚的情形。</w:t>
      </w:r>
    </w:p>
    <w:p w14:paraId="2B7679E9">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2、本基金前十名股票中，没有投资于超出基金合同规定备选股票库之外的股票。</w:t>
      </w:r>
    </w:p>
    <w:p w14:paraId="76D26ECC">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3、其他资产构成如下：</w:t>
      </w:r>
    </w:p>
    <w:tbl>
      <w:tblPr>
        <w:tblStyle w:val="27"/>
        <w:tblW w:w="7972" w:type="dxa"/>
        <w:tblInd w:w="102" w:type="dxa"/>
        <w:tblLayout w:type="fixed"/>
        <w:tblCellMar>
          <w:top w:w="0" w:type="dxa"/>
          <w:left w:w="108" w:type="dxa"/>
          <w:bottom w:w="0" w:type="dxa"/>
          <w:right w:w="108" w:type="dxa"/>
        </w:tblCellMar>
      </w:tblPr>
      <w:tblGrid>
        <w:gridCol w:w="907"/>
        <w:gridCol w:w="2246"/>
        <w:gridCol w:w="4819"/>
      </w:tblGrid>
      <w:tr w14:paraId="48DA534A">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29DDF0FE">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序号</w:t>
            </w:r>
          </w:p>
        </w:tc>
        <w:tc>
          <w:tcPr>
            <w:tcW w:w="2246" w:type="dxa"/>
            <w:tcBorders>
              <w:top w:val="single" w:color="000000" w:sz="4" w:space="0"/>
              <w:bottom w:val="single" w:color="000000" w:sz="4" w:space="0"/>
              <w:right w:val="single" w:color="000000" w:sz="4" w:space="0"/>
            </w:tcBorders>
            <w:vAlign w:val="center"/>
          </w:tcPr>
          <w:p w14:paraId="6222C50E">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其他资产</w:t>
            </w:r>
          </w:p>
        </w:tc>
        <w:tc>
          <w:tcPr>
            <w:tcW w:w="4819" w:type="dxa"/>
            <w:tcBorders>
              <w:top w:val="single" w:color="000000" w:sz="4" w:space="0"/>
              <w:bottom w:val="single" w:color="000000" w:sz="4" w:space="0"/>
              <w:right w:val="single" w:color="000000" w:sz="4" w:space="0"/>
            </w:tcBorders>
            <w:vAlign w:val="center"/>
          </w:tcPr>
          <w:p w14:paraId="7992F047">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金额（元）</w:t>
            </w:r>
          </w:p>
        </w:tc>
      </w:tr>
      <w:tr w14:paraId="344D2621">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2D5FF3C2">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1</w:t>
            </w:r>
          </w:p>
        </w:tc>
        <w:tc>
          <w:tcPr>
            <w:tcW w:w="2246" w:type="dxa"/>
            <w:tcBorders>
              <w:top w:val="single" w:color="000000" w:sz="4" w:space="0"/>
              <w:bottom w:val="single" w:color="000000" w:sz="4" w:space="0"/>
              <w:right w:val="single" w:color="000000" w:sz="4" w:space="0"/>
            </w:tcBorders>
            <w:vAlign w:val="center"/>
          </w:tcPr>
          <w:p w14:paraId="6A92DD87">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存出保证金</w:t>
            </w:r>
          </w:p>
        </w:tc>
        <w:tc>
          <w:tcPr>
            <w:tcW w:w="4819" w:type="dxa"/>
            <w:tcBorders>
              <w:top w:val="single" w:color="000000" w:sz="4" w:space="0"/>
              <w:bottom w:val="single" w:color="000000" w:sz="4" w:space="0"/>
              <w:right w:val="single" w:color="000000" w:sz="4" w:space="0"/>
            </w:tcBorders>
            <w:vAlign w:val="center"/>
          </w:tcPr>
          <w:p w14:paraId="27CA9D20">
            <w:pPr>
              <w:widowControl/>
              <w:ind w:right="0" w:firstLine="42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lang w:bidi="ar"/>
              </w:rPr>
              <w:t xml:space="preserve">- </w:t>
            </w:r>
          </w:p>
        </w:tc>
      </w:tr>
      <w:tr w14:paraId="1D6C24DF">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3B813F7C">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2</w:t>
            </w:r>
          </w:p>
        </w:tc>
        <w:tc>
          <w:tcPr>
            <w:tcW w:w="2246" w:type="dxa"/>
            <w:tcBorders>
              <w:top w:val="single" w:color="000000" w:sz="4" w:space="0"/>
              <w:bottom w:val="single" w:color="000000" w:sz="4" w:space="0"/>
              <w:right w:val="single" w:color="000000" w:sz="4" w:space="0"/>
            </w:tcBorders>
          </w:tcPr>
          <w:p w14:paraId="4961BCE3">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应收证券清算款</w:t>
            </w:r>
          </w:p>
        </w:tc>
        <w:tc>
          <w:tcPr>
            <w:tcW w:w="4819" w:type="dxa"/>
            <w:tcBorders>
              <w:top w:val="single" w:color="000000" w:sz="4" w:space="0"/>
              <w:bottom w:val="single" w:color="000000" w:sz="4" w:space="0"/>
              <w:right w:val="single" w:color="000000" w:sz="4" w:space="0"/>
            </w:tcBorders>
            <w:vAlign w:val="center"/>
          </w:tcPr>
          <w:p w14:paraId="593C875E">
            <w:pPr>
              <w:widowControl/>
              <w:ind w:right="0" w:firstLine="42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lang w:bidi="ar"/>
              </w:rPr>
              <w:t xml:space="preserve">- </w:t>
            </w:r>
          </w:p>
        </w:tc>
      </w:tr>
      <w:tr w14:paraId="504B14A0">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5A206D20">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3</w:t>
            </w:r>
          </w:p>
        </w:tc>
        <w:tc>
          <w:tcPr>
            <w:tcW w:w="2246" w:type="dxa"/>
            <w:tcBorders>
              <w:top w:val="single" w:color="000000" w:sz="4" w:space="0"/>
              <w:bottom w:val="single" w:color="000000" w:sz="4" w:space="0"/>
              <w:right w:val="single" w:color="000000" w:sz="4" w:space="0"/>
            </w:tcBorders>
          </w:tcPr>
          <w:p w14:paraId="7541041B">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应收利息</w:t>
            </w:r>
          </w:p>
        </w:tc>
        <w:tc>
          <w:tcPr>
            <w:tcW w:w="4819" w:type="dxa"/>
            <w:tcBorders>
              <w:top w:val="single" w:color="000000" w:sz="4" w:space="0"/>
              <w:bottom w:val="single" w:color="000000" w:sz="4" w:space="0"/>
              <w:right w:val="single" w:color="000000" w:sz="4" w:space="0"/>
            </w:tcBorders>
            <w:vAlign w:val="center"/>
          </w:tcPr>
          <w:p w14:paraId="6EC0CCC8">
            <w:pPr>
              <w:widowControl/>
              <w:ind w:right="0" w:firstLine="420"/>
              <w:jc w:val="right"/>
              <w:textAlignment w:val="center"/>
              <w:rPr>
                <w:rFonts w:hint="eastAsia" w:ascii="宋体" w:hAnsi="宋体" w:eastAsia="宋体" w:cs="宋体"/>
                <w:color w:val="000000"/>
                <w:szCs w:val="21"/>
                <w:highlight w:val="none"/>
              </w:rPr>
            </w:pPr>
            <w:r>
              <w:rPr>
                <w:rFonts w:hint="eastAsia" w:ascii="宋体" w:hAnsi="宋体" w:eastAsia="宋体" w:cs="宋体"/>
                <w:color w:val="000000"/>
                <w:kern w:val="0"/>
                <w:szCs w:val="21"/>
                <w:lang w:bidi="ar"/>
              </w:rPr>
              <w:t xml:space="preserve">- </w:t>
            </w:r>
          </w:p>
        </w:tc>
      </w:tr>
      <w:tr w14:paraId="1098C1DE">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6F9B50F6">
            <w:pPr>
              <w:widowControl/>
              <w:snapToGrid w:val="0"/>
              <w:spacing w:line="360" w:lineRule="auto"/>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4</w:t>
            </w:r>
          </w:p>
        </w:tc>
        <w:tc>
          <w:tcPr>
            <w:tcW w:w="2246" w:type="dxa"/>
            <w:tcBorders>
              <w:bottom w:val="single" w:color="000000" w:sz="4" w:space="0"/>
              <w:right w:val="single" w:color="000000" w:sz="4" w:space="0"/>
            </w:tcBorders>
          </w:tcPr>
          <w:p w14:paraId="53C84FD9">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待摊费用</w:t>
            </w:r>
          </w:p>
        </w:tc>
        <w:tc>
          <w:tcPr>
            <w:tcW w:w="4819" w:type="dxa"/>
            <w:tcBorders>
              <w:bottom w:val="single" w:color="000000" w:sz="4" w:space="0"/>
              <w:right w:val="single" w:color="000000" w:sz="4" w:space="0"/>
            </w:tcBorders>
            <w:vAlign w:val="center"/>
          </w:tcPr>
          <w:p w14:paraId="0DB5E594">
            <w:pPr>
              <w:widowControl/>
              <w:snapToGrid w:val="0"/>
              <w:ind w:right="0" w:firstLine="42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lang w:bidi="ar"/>
              </w:rPr>
              <w:t>-</w:t>
            </w:r>
          </w:p>
        </w:tc>
      </w:tr>
      <w:tr w14:paraId="676ACE67">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6C82A056">
            <w:pPr>
              <w:widowControl/>
              <w:snapToGrid w:val="0"/>
              <w:spacing w:line="360" w:lineRule="auto"/>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lang w:val="en-US" w:eastAsia="zh-CN"/>
              </w:rPr>
              <w:t>5</w:t>
            </w:r>
          </w:p>
        </w:tc>
        <w:tc>
          <w:tcPr>
            <w:tcW w:w="2246" w:type="dxa"/>
            <w:tcBorders>
              <w:bottom w:val="single" w:color="000000" w:sz="4" w:space="0"/>
              <w:right w:val="single" w:color="000000" w:sz="4" w:space="0"/>
            </w:tcBorders>
          </w:tcPr>
          <w:p w14:paraId="21083370">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其他</w:t>
            </w:r>
          </w:p>
        </w:tc>
        <w:tc>
          <w:tcPr>
            <w:tcW w:w="4819" w:type="dxa"/>
            <w:tcBorders>
              <w:bottom w:val="single" w:color="000000" w:sz="4" w:space="0"/>
              <w:right w:val="single" w:color="000000" w:sz="4" w:space="0"/>
            </w:tcBorders>
            <w:vAlign w:val="center"/>
          </w:tcPr>
          <w:p w14:paraId="14BD2EFB">
            <w:pPr>
              <w:widowControl/>
              <w:snapToGrid w:val="0"/>
              <w:ind w:right="0" w:firstLine="42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lang w:bidi="ar"/>
              </w:rPr>
              <w:t>-</w:t>
            </w:r>
          </w:p>
        </w:tc>
      </w:tr>
      <w:tr w14:paraId="38011688">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22688990">
            <w:pPr>
              <w:widowControl/>
              <w:snapToGrid w:val="0"/>
              <w:spacing w:line="360" w:lineRule="auto"/>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lang w:val="en-US" w:eastAsia="zh-CN"/>
              </w:rPr>
              <w:t>6</w:t>
            </w:r>
          </w:p>
        </w:tc>
        <w:tc>
          <w:tcPr>
            <w:tcW w:w="2246" w:type="dxa"/>
            <w:tcBorders>
              <w:top w:val="single" w:color="000000" w:sz="4" w:space="0"/>
              <w:bottom w:val="single" w:color="000000" w:sz="4" w:space="0"/>
              <w:right w:val="single" w:color="000000" w:sz="4" w:space="0"/>
            </w:tcBorders>
          </w:tcPr>
          <w:p w14:paraId="765E559C">
            <w:pPr>
              <w:widowControl/>
              <w:snapToGrid w:val="0"/>
              <w:spacing w:line="360" w:lineRule="auto"/>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合计</w:t>
            </w:r>
          </w:p>
        </w:tc>
        <w:tc>
          <w:tcPr>
            <w:tcW w:w="4819" w:type="dxa"/>
            <w:tcBorders>
              <w:top w:val="single" w:color="000000" w:sz="4" w:space="0"/>
              <w:bottom w:val="single" w:color="000000" w:sz="4" w:space="0"/>
              <w:right w:val="single" w:color="000000" w:sz="4" w:space="0"/>
            </w:tcBorders>
            <w:vAlign w:val="center"/>
          </w:tcPr>
          <w:p w14:paraId="14E3CD1B">
            <w:pPr>
              <w:widowControl/>
              <w:snapToGrid w:val="0"/>
              <w:ind w:right="0" w:firstLine="420"/>
              <w:jc w:val="right"/>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lang w:bidi="ar"/>
              </w:rPr>
              <w:t>-</w:t>
            </w:r>
          </w:p>
        </w:tc>
      </w:tr>
    </w:tbl>
    <w:p w14:paraId="26E0ACF2">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4、本报告期末持有的处于转股期的可转换债券明细</w:t>
      </w:r>
    </w:p>
    <w:p w14:paraId="16984F5E">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截至2026年10月8日，本基金未持有可转换债券。</w:t>
      </w:r>
    </w:p>
    <w:p w14:paraId="437F7610">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5、本报告期前十名股票中存在流通受限情况的说明</w:t>
      </w:r>
    </w:p>
    <w:p w14:paraId="192A7068">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截至2026年10月8日，本基金未持有股票。</w:t>
      </w:r>
    </w:p>
    <w:p w14:paraId="750EB93A">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6、投资组合报告附注的其他文字描述部分</w:t>
      </w:r>
    </w:p>
    <w:p w14:paraId="59FBB1CF">
      <w:pPr>
        <w:widowControl/>
        <w:snapToGrid w:val="0"/>
        <w:spacing w:line="360" w:lineRule="auto"/>
        <w:ind w:right="0" w:firstLine="480"/>
        <w:rPr>
          <w:rFonts w:hint="eastAsia" w:ascii="宋体" w:hAnsi="宋体" w:eastAsia="宋体" w:cs="宋体"/>
          <w:bCs/>
          <w:color w:val="000000"/>
          <w:sz w:val="24"/>
          <w:highlight w:val="none"/>
        </w:rPr>
      </w:pPr>
      <w:r>
        <w:rPr>
          <w:rFonts w:hint="eastAsia" w:ascii="宋体" w:hAnsi="宋体" w:eastAsia="宋体" w:cs="宋体"/>
          <w:bCs/>
          <w:color w:val="000000"/>
          <w:sz w:val="24"/>
        </w:rPr>
        <w:t>由于四舍五入的原因，分项之和与合计项之间可能存在尾差。</w:t>
      </w:r>
    </w:p>
    <w:p w14:paraId="1B86CCC0">
      <w:pPr>
        <w:widowControl/>
        <w:snapToGrid w:val="0"/>
        <w:spacing w:line="360" w:lineRule="auto"/>
        <w:ind w:right="0" w:firstLine="480"/>
        <w:rPr>
          <w:rFonts w:hint="eastAsia" w:ascii="宋体" w:hAnsi="宋体" w:eastAsia="宋体" w:cs="宋体"/>
          <w:bCs/>
          <w:color w:val="000000"/>
          <w:kern w:val="0"/>
          <w:sz w:val="24"/>
          <w:highlight w:val="none"/>
        </w:rPr>
      </w:pPr>
    </w:p>
    <w:p w14:paraId="64CC1ACF">
      <w:pPr>
        <w:pStyle w:val="2"/>
        <w:ind w:left="0" w:firstLine="0"/>
        <w:rPr>
          <w:rFonts w:hint="eastAsia" w:ascii="宋体" w:hAnsi="宋体" w:eastAsia="宋体" w:cs="宋体"/>
          <w:highlight w:val="none"/>
        </w:rPr>
      </w:pPr>
      <w:bookmarkStart w:id="13" w:name="_Toc14001"/>
      <w:r>
        <w:rPr>
          <w:rFonts w:hint="eastAsia" w:ascii="宋体" w:hAnsi="宋体" w:eastAsia="宋体" w:cs="宋体"/>
        </w:rPr>
        <w:t>九、重大事件揭示</w:t>
      </w:r>
      <w:bookmarkEnd w:id="13"/>
    </w:p>
    <w:p w14:paraId="1AAA9E33">
      <w:pPr>
        <w:widowControl/>
        <w:snapToGrid w:val="0"/>
        <w:spacing w:line="360" w:lineRule="auto"/>
        <w:ind w:right="0" w:firstLine="480"/>
        <w:rPr>
          <w:rFonts w:hint="eastAsia" w:ascii="宋体" w:hAnsi="宋体" w:eastAsia="宋体" w:cs="宋体"/>
          <w:bCs/>
          <w:color w:val="000000"/>
          <w:sz w:val="24"/>
          <w:highlight w:val="none"/>
        </w:rPr>
      </w:pPr>
      <w:r>
        <w:rPr>
          <w:rFonts w:hint="eastAsia" w:ascii="宋体" w:hAnsi="宋体" w:eastAsia="宋体" w:cs="宋体"/>
          <w:bCs/>
          <w:color w:val="000000"/>
          <w:sz w:val="24"/>
        </w:rPr>
        <w:t>（一） 2026年10月1日发布《博时中证机器人交易型开放式指数证券投资基金基金合同生效公告》。</w:t>
      </w:r>
    </w:p>
    <w:p w14:paraId="5584126F">
      <w:pPr>
        <w:widowControl/>
        <w:snapToGrid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rPr>
        <w:t xml:space="preserve">   </w:t>
      </w:r>
    </w:p>
    <w:p w14:paraId="1E697B66">
      <w:pPr>
        <w:pStyle w:val="2"/>
        <w:ind w:left="0" w:firstLine="0"/>
        <w:rPr>
          <w:rFonts w:hint="eastAsia" w:ascii="宋体" w:hAnsi="宋体" w:eastAsia="宋体" w:cs="宋体"/>
          <w:highlight w:val="none"/>
        </w:rPr>
      </w:pPr>
      <w:bookmarkStart w:id="14" w:name="_Toc4266"/>
      <w:r>
        <w:rPr>
          <w:rFonts w:hint="eastAsia" w:ascii="宋体" w:hAnsi="宋体" w:eastAsia="宋体" w:cs="宋体"/>
        </w:rPr>
        <w:t>十、基金管理人承诺</w:t>
      </w:r>
      <w:bookmarkEnd w:id="14"/>
    </w:p>
    <w:p w14:paraId="4EFFA36D">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基金管理人就基金上市交易之后履行管理人职责做出以下承诺：</w:t>
      </w:r>
    </w:p>
    <w:p w14:paraId="11FB39A7">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（一）严格遵守《基金法》及其他法律法规、基金合同的规定，以诚实信用、勤勉尽责的原则管理和运用基金资产。</w:t>
      </w:r>
    </w:p>
    <w:p w14:paraId="323FCD19">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（二）真实、准确、完整和及时地披露定期报告等有关信息披露文件，披露所有对基金份额持有人有重大影响的信息，并接受中国证监会、深圳证券交易所的监督管理。</w:t>
      </w:r>
    </w:p>
    <w:p w14:paraId="2CEE9AD7">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（三）在知悉可能对基金价格产生误导性影响或引起较大波动的任何公共传播媒介中出现的或者在市场上流传的消息后，将及时予以公开澄清。</w:t>
      </w:r>
    </w:p>
    <w:p w14:paraId="246686DA">
      <w:pPr>
        <w:widowControl/>
        <w:snapToGrid w:val="0"/>
        <w:spacing w:line="360" w:lineRule="auto"/>
        <w:ind w:right="0" w:firstLine="371"/>
        <w:rPr>
          <w:rFonts w:hint="eastAsia" w:ascii="宋体" w:hAnsi="宋体" w:eastAsia="宋体" w:cs="宋体"/>
          <w:color w:val="000000"/>
          <w:kern w:val="0"/>
          <w:sz w:val="24"/>
          <w:szCs w:val="21"/>
          <w:highlight w:val="none"/>
        </w:rPr>
      </w:pPr>
    </w:p>
    <w:p w14:paraId="5D801616">
      <w:pPr>
        <w:pStyle w:val="2"/>
        <w:ind w:left="0" w:firstLine="0"/>
        <w:rPr>
          <w:rFonts w:hint="eastAsia" w:ascii="宋体" w:hAnsi="宋体" w:eastAsia="宋体" w:cs="宋体"/>
          <w:highlight w:val="none"/>
        </w:rPr>
      </w:pPr>
      <w:bookmarkStart w:id="15" w:name="_Toc9960"/>
      <w:r>
        <w:rPr>
          <w:rFonts w:hint="eastAsia" w:ascii="宋体" w:hAnsi="宋体" w:eastAsia="宋体" w:cs="宋体"/>
        </w:rPr>
        <w:t>十一、基金托管人承诺</w:t>
      </w:r>
      <w:bookmarkEnd w:id="15"/>
    </w:p>
    <w:p w14:paraId="3AE01D47">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基金托管人就本基金上市交易后履行托管人职责做出如下承诺：</w:t>
      </w:r>
    </w:p>
    <w:p w14:paraId="13F2827E">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（一）严格遵守《基金法》、《公开募集证券投资基金运作管理办法》及本基金《基金合同》、《托管协议》的规定，以诚实信用、勤勉尽责的原则托管基金资产。</w:t>
      </w:r>
    </w:p>
    <w:p w14:paraId="51D5CFBB">
      <w:pPr>
        <w:widowControl/>
        <w:snapToGrid w:val="0"/>
        <w:spacing w:line="360" w:lineRule="auto"/>
        <w:ind w:right="0" w:firstLine="424"/>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向中国证监会报告。</w:t>
      </w:r>
    </w:p>
    <w:p w14:paraId="6C2A3EEC">
      <w:pPr>
        <w:widowControl/>
        <w:snapToGrid w:val="0"/>
        <w:spacing w:line="360" w:lineRule="auto"/>
        <w:ind w:right="0" w:firstLine="371"/>
        <w:rPr>
          <w:rFonts w:hint="eastAsia" w:ascii="宋体" w:hAnsi="宋体" w:eastAsia="宋体" w:cs="宋体"/>
          <w:color w:val="000000"/>
          <w:kern w:val="0"/>
          <w:sz w:val="24"/>
          <w:szCs w:val="21"/>
          <w:highlight w:val="none"/>
        </w:rPr>
      </w:pPr>
    </w:p>
    <w:p w14:paraId="0B6A2BF4">
      <w:pPr>
        <w:pStyle w:val="2"/>
        <w:ind w:left="0" w:firstLine="0"/>
        <w:rPr>
          <w:rFonts w:hint="eastAsia" w:ascii="宋体" w:hAnsi="宋体" w:eastAsia="宋体" w:cs="宋体"/>
          <w:highlight w:val="none"/>
        </w:rPr>
      </w:pPr>
      <w:bookmarkStart w:id="16" w:name="OLE_LINK9"/>
      <w:bookmarkStart w:id="17" w:name="_Toc16800"/>
      <w:r>
        <w:rPr>
          <w:rFonts w:hint="eastAsia" w:ascii="宋体" w:hAnsi="宋体" w:eastAsia="宋体" w:cs="宋体"/>
        </w:rPr>
        <w:t>十二、</w:t>
      </w:r>
      <w:bookmarkEnd w:id="16"/>
      <w:r>
        <w:rPr>
          <w:rFonts w:hint="eastAsia" w:ascii="宋体" w:hAnsi="宋体" w:eastAsia="宋体" w:cs="宋体"/>
        </w:rPr>
        <w:t>备查文件目录</w:t>
      </w:r>
      <w:bookmarkEnd w:id="17"/>
    </w:p>
    <w:p w14:paraId="0E5D1456">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（一）中国证监会准予博时中证机器人交易型开放式指数证券投资基金注册的批复文件</w:t>
      </w:r>
    </w:p>
    <w:p w14:paraId="2A8D3C7B">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（二）《博时中证机器人交易型开放式指数证券投资基金基金合同》</w:t>
      </w:r>
    </w:p>
    <w:p w14:paraId="0795FFDC">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（三）《博时中证机器人交易型开放式指数证券投资基金托管协议》</w:t>
      </w:r>
    </w:p>
    <w:p w14:paraId="76DB37B3">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（四）《博时中证机器人交易型开放式指数证券投资基金招募说明书》</w:t>
      </w:r>
    </w:p>
    <w:p w14:paraId="0B8D0DEB">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（五）基金管理人业务资格批件、营业执照</w:t>
      </w:r>
    </w:p>
    <w:p w14:paraId="32F3B1C2">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（六）基金托管人业务资格批件、营业执照</w:t>
      </w:r>
    </w:p>
    <w:p w14:paraId="6DF7A96E">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（七）法律意见书</w:t>
      </w:r>
    </w:p>
    <w:p w14:paraId="6145B6CB">
      <w:pPr>
        <w:snapToGrid w:val="0"/>
        <w:spacing w:line="360" w:lineRule="auto"/>
        <w:ind w:right="0" w:firstLine="480"/>
        <w:jc w:val="left"/>
        <w:rPr>
          <w:rFonts w:hint="eastAsia" w:ascii="宋体" w:hAnsi="宋体" w:eastAsia="宋体" w:cs="宋体"/>
          <w:kern w:val="0"/>
          <w:sz w:val="24"/>
          <w:highlight w:val="none"/>
        </w:rPr>
      </w:pPr>
      <w:r>
        <w:rPr>
          <w:rFonts w:hint="eastAsia" w:ascii="宋体" w:hAnsi="宋体" w:eastAsia="宋体" w:cs="宋体"/>
          <w:kern w:val="0"/>
          <w:sz w:val="24"/>
        </w:rPr>
        <w:t>（八）中国证监会要求的其他文件</w:t>
      </w:r>
    </w:p>
    <w:p w14:paraId="02020B5D">
      <w:pPr>
        <w:snapToGrid w:val="0"/>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rPr>
        <w:t xml:space="preserve">    查阅方式：投资者可在营业时间免费查阅，也可按工本费购买复印件。</w:t>
      </w:r>
    </w:p>
    <w:p w14:paraId="70052D03">
      <w:pPr>
        <w:snapToGrid w:val="0"/>
        <w:spacing w:line="360" w:lineRule="auto"/>
        <w:ind w:right="0" w:firstLine="480"/>
        <w:rPr>
          <w:rFonts w:hint="eastAsia" w:ascii="宋体" w:hAnsi="宋体" w:eastAsia="宋体" w:cs="宋体"/>
          <w:kern w:val="0"/>
          <w:sz w:val="24"/>
          <w:highlight w:val="none"/>
        </w:rPr>
      </w:pPr>
    </w:p>
    <w:p w14:paraId="2C4D8D0A">
      <w:pPr>
        <w:snapToGrid w:val="0"/>
        <w:spacing w:line="360" w:lineRule="auto"/>
        <w:ind w:right="0" w:firstLine="480"/>
        <w:rPr>
          <w:rFonts w:hint="eastAsia" w:ascii="宋体" w:hAnsi="宋体" w:eastAsia="宋体" w:cs="宋体"/>
          <w:kern w:val="0"/>
          <w:sz w:val="24"/>
          <w:highlight w:val="none"/>
        </w:rPr>
      </w:pPr>
      <w:r>
        <w:rPr>
          <w:rFonts w:hint="eastAsia" w:ascii="宋体" w:hAnsi="宋体" w:eastAsia="宋体" w:cs="宋体"/>
          <w:kern w:val="0"/>
          <w:sz w:val="24"/>
        </w:rPr>
        <w:t>风险提示：本基金管理人承诺以诚实信用、勤勉尽责的原则管理和运用基金财产，但不保证基金一定盈利，也不保证最低收益。基金的过往业绩并不代表其将来表现。投资有风险，敬请投资人认真阅读基金的</w:t>
      </w:r>
      <w:r>
        <w:rPr>
          <w:rFonts w:hint="eastAsia" w:ascii="宋体" w:hAnsi="宋体" w:eastAsia="宋体" w:cs="宋体"/>
          <w:color w:val="000000"/>
          <w:sz w:val="24"/>
          <w:szCs w:val="24"/>
        </w:rPr>
        <w:t>《基金合同》、《招募说明书》和《产品资料概要》</w:t>
      </w:r>
      <w:r>
        <w:rPr>
          <w:rFonts w:hint="eastAsia" w:ascii="宋体" w:hAnsi="宋体" w:eastAsia="宋体" w:cs="宋体"/>
          <w:color w:val="000000"/>
          <w:sz w:val="24"/>
          <w:szCs w:val="24"/>
          <w:lang w:eastAsia="zh-CN"/>
        </w:rPr>
        <w:t>等</w:t>
      </w:r>
      <w:r>
        <w:rPr>
          <w:rFonts w:hint="eastAsia" w:ascii="宋体" w:hAnsi="宋体" w:eastAsia="宋体" w:cs="宋体"/>
          <w:kern w:val="0"/>
          <w:sz w:val="24"/>
        </w:rPr>
        <w:t>相关法律文件，并选择适合自身风险承受能力的投资品种进行投资。</w:t>
      </w:r>
    </w:p>
    <w:p w14:paraId="2F5998F0">
      <w:pPr>
        <w:widowControl/>
        <w:snapToGrid w:val="0"/>
        <w:spacing w:line="360" w:lineRule="auto"/>
        <w:jc w:val="right"/>
        <w:rPr>
          <w:rFonts w:hint="eastAsia" w:ascii="宋体" w:hAnsi="宋体" w:eastAsia="宋体" w:cs="宋体"/>
          <w:color w:val="000000"/>
          <w:kern w:val="0"/>
          <w:sz w:val="24"/>
          <w:highlight w:val="none"/>
        </w:rPr>
      </w:pPr>
    </w:p>
    <w:p w14:paraId="2C06A549">
      <w:pPr>
        <w:snapToGrid w:val="0"/>
        <w:spacing w:line="360" w:lineRule="auto"/>
        <w:ind w:right="0" w:firstLine="480"/>
        <w:jc w:val="right"/>
        <w:rPr>
          <w:rFonts w:hint="eastAsia" w:ascii="宋体" w:hAnsi="宋体" w:eastAsia="宋体" w:cs="宋体"/>
          <w:color w:val="000000"/>
          <w:kern w:val="0"/>
          <w:sz w:val="24"/>
          <w:highlight w:val="none"/>
        </w:rPr>
      </w:pPr>
    </w:p>
    <w:p w14:paraId="74FD1278">
      <w:pPr>
        <w:snapToGrid w:val="0"/>
        <w:spacing w:line="360" w:lineRule="auto"/>
        <w:ind w:right="0" w:firstLine="480"/>
        <w:jc w:val="right"/>
        <w:rPr>
          <w:rFonts w:hint="eastAsia" w:ascii="宋体" w:hAnsi="宋体" w:eastAsia="宋体" w:cs="宋体"/>
          <w:kern w:val="0"/>
          <w:sz w:val="24"/>
          <w:highlight w:val="none"/>
        </w:rPr>
      </w:pPr>
      <w:r>
        <w:rPr>
          <w:rFonts w:hint="eastAsia" w:ascii="宋体" w:hAnsi="宋体" w:eastAsia="宋体" w:cs="宋体"/>
          <w:kern w:val="0"/>
          <w:sz w:val="24"/>
        </w:rPr>
        <w:t>博时基金管理有限公司</w:t>
      </w:r>
    </w:p>
    <w:p w14:paraId="01AE896E">
      <w:pPr>
        <w:snapToGrid w:val="0"/>
        <w:spacing w:line="360" w:lineRule="auto"/>
        <w:ind w:right="0" w:firstLine="480"/>
        <w:jc w:val="right"/>
        <w:rPr>
          <w:rFonts w:hint="eastAsia" w:ascii="宋体" w:hAnsi="宋体" w:eastAsia="宋体" w:cs="宋体"/>
          <w:kern w:val="0"/>
          <w:sz w:val="24"/>
          <w:highlight w:val="none"/>
          <w:lang w:eastAsia="zh-CN"/>
        </w:rPr>
      </w:pPr>
      <w:r>
        <w:rPr>
          <w:rFonts w:hint="eastAsia" w:ascii="宋体" w:hAnsi="宋体" w:eastAsia="宋体" w:cs="宋体"/>
          <w:kern w:val="0"/>
          <w:sz w:val="24"/>
          <w:lang w:eastAsia="zh-CN"/>
        </w:rPr>
        <w:t>2026年10月12日</w:t>
      </w:r>
    </w:p>
    <w:p w14:paraId="1A04E103">
      <w:pPr>
        <w:rPr>
          <w:rFonts w:hint="eastAsia" w:ascii="宋体" w:hAnsi="宋体" w:eastAsia="宋体" w:cs="宋体"/>
          <w:highlight w:val="none"/>
        </w:rPr>
      </w:pPr>
      <w:r>
        <w:rPr>
          <w:rFonts w:hint="eastAsia" w:ascii="宋体" w:hAnsi="宋体" w:eastAsia="宋体" w:cs="宋体"/>
        </w:rPr>
        <w:br w:type="page"/>
      </w:r>
    </w:p>
    <w:p w14:paraId="239264CC">
      <w:pPr>
        <w:pStyle w:val="2"/>
        <w:ind w:left="0" w:firstLine="0"/>
        <w:rPr>
          <w:rFonts w:hint="eastAsia" w:ascii="宋体" w:hAnsi="宋体" w:eastAsia="宋体" w:cs="宋体"/>
          <w:highlight w:val="none"/>
        </w:rPr>
      </w:pPr>
      <w:bookmarkStart w:id="18" w:name="_Toc15184"/>
      <w:r>
        <w:rPr>
          <w:rFonts w:hint="eastAsia" w:ascii="宋体" w:hAnsi="宋体" w:eastAsia="宋体" w:cs="宋体"/>
        </w:rPr>
        <w:t>附件：基金合同摘要</w:t>
      </w:r>
      <w:bookmarkEnd w:id="18"/>
    </w:p>
    <w:p w14:paraId="2439DDF6">
      <w:pPr>
        <w:snapToGrid w:val="0"/>
        <w:spacing w:line="360" w:lineRule="auto"/>
        <w:rPr>
          <w:rFonts w:hint="eastAsia" w:ascii="宋体" w:hAnsi="宋体" w:eastAsia="宋体" w:cs="宋体"/>
          <w:b/>
          <w:color w:val="0C0C0C" w:themeColor="text1" w:themeTint="F2"/>
          <w:sz w:val="24"/>
        </w:rPr>
      </w:pPr>
      <w:r>
        <w:rPr>
          <w:rFonts w:hint="eastAsia" w:ascii="宋体" w:hAnsi="宋体" w:eastAsia="宋体" w:cs="宋体"/>
          <w:b/>
          <w:color w:val="0C0C0C" w:themeColor="text1" w:themeTint="F2"/>
          <w:sz w:val="24"/>
        </w:rPr>
        <w:t>一、基金份额持有人、基金管理人和基金托管人的权利、义务</w:t>
      </w:r>
    </w:p>
    <w:p w14:paraId="0FB8FCE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（一）基金份额持有人的权利与义务</w:t>
      </w:r>
    </w:p>
    <w:p w14:paraId="549E41C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6F747F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每份基金份额具有同等的合法权益。</w:t>
      </w:r>
    </w:p>
    <w:p w14:paraId="42D711C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1、根据《基金法》、《运作办法》及其他有关规定，基金份额持有人的权利包括但不限于：</w:t>
      </w:r>
    </w:p>
    <w:p w14:paraId="4C7349B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（1）分享基金财产收益；</w:t>
      </w:r>
    </w:p>
    <w:p w14:paraId="24B77E8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（2）参与分配清算后的剩余基金财产；</w:t>
      </w:r>
    </w:p>
    <w:p w14:paraId="2312F91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（3）依法转让或者申请赎回其持有的基金份额；</w:t>
      </w:r>
    </w:p>
    <w:p w14:paraId="4C7C365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（4）按照规定要求召开基金份额持有人大会或者召集基金份额持有人大会；</w:t>
      </w:r>
    </w:p>
    <w:p w14:paraId="0FB2119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（5）出席或者委派代表出席基金份额持有人大会，对基金份额持有人大会审议事项行使表决权；</w:t>
      </w:r>
    </w:p>
    <w:p w14:paraId="794DB1C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（6）查阅或者复制公开披露的基金信息资料；</w:t>
      </w:r>
    </w:p>
    <w:p w14:paraId="2B29FB5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（7）监督基金管理人的投资运作；</w:t>
      </w:r>
    </w:p>
    <w:p w14:paraId="13A635B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（8）对基金管理人、基金托管人、基金服务机构损害其合法权益的行为依法提起诉讼或仲裁；</w:t>
      </w:r>
    </w:p>
    <w:p w14:paraId="216203C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（9）法律法规及中国证监会规定的和《基金合同》约定的其他权利。</w:t>
      </w:r>
    </w:p>
    <w:p w14:paraId="765EDCF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2、根据《基金法》、《运作办法》及其他有关规定，基金份额持有人的义务包括但不限于：</w:t>
      </w:r>
    </w:p>
    <w:p w14:paraId="6E4D34E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（1）认真阅读并遵守《基金合同》、招募说明书及基金产品资料概要等信息披露文件；</w:t>
      </w:r>
    </w:p>
    <w:p w14:paraId="6C8CDFE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（2）了解所投资基金产品，了解自身风险承受能力，自主判断基金的投资价值，自主做出投资决策，自行承担投资风险；</w:t>
      </w:r>
    </w:p>
    <w:p w14:paraId="5C2D613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（3）关注基金信息披露，及时行使权利和履行义务；</w:t>
      </w:r>
    </w:p>
    <w:p w14:paraId="48A6CAA1">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（4）交纳基金认购款项和认购股票、申购对价及法律法规和《基金合同》所规定的费用；</w:t>
      </w:r>
    </w:p>
    <w:p w14:paraId="6046284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（5）在其持有的基金份额范围内，承担基金亏损或者《基金合同》终止的有限责任；</w:t>
      </w:r>
    </w:p>
    <w:p w14:paraId="50503AE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（6）不从事任何有损基金及其他《基金合同》当事人合法权益的活动；</w:t>
      </w:r>
    </w:p>
    <w:p w14:paraId="6CD9B29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（7）执行生效的基金份额持有人大会的决议；</w:t>
      </w:r>
    </w:p>
    <w:p w14:paraId="544261A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（8）返还在基金交易过程中因任何原因获得的不当得利；</w:t>
      </w:r>
    </w:p>
    <w:p w14:paraId="5864FB6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（9）法律法规及中国证监会规定的和《基金合同》约定的其他义务。</w:t>
      </w:r>
    </w:p>
    <w:p w14:paraId="610B3B0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（二）基金管理人的权利与义务</w:t>
      </w:r>
    </w:p>
    <w:p w14:paraId="2A518FEA">
      <w:pPr>
        <w:snapToGrid w:val="0"/>
        <w:spacing w:line="360" w:lineRule="auto"/>
        <w:ind w:firstLine="480"/>
        <w:rPr>
          <w:rFonts w:hint="eastAsia" w:ascii="宋体" w:hAnsi="宋体" w:eastAsia="宋体" w:cs="宋体"/>
          <w:color w:val="0C0C0C" w:themeColor="text1" w:themeTint="F2"/>
          <w:sz w:val="24"/>
          <w:szCs w:val="24"/>
        </w:rPr>
      </w:pPr>
      <w:bookmarkStart w:id="19" w:name="OLE_LINK4"/>
      <w:r>
        <w:rPr>
          <w:rFonts w:hint="eastAsia" w:ascii="宋体" w:hAnsi="宋体" w:eastAsia="宋体" w:cs="宋体"/>
          <w:color w:val="0C0C0C" w:themeColor="text1" w:themeTint="F2"/>
          <w:sz w:val="24"/>
          <w:szCs w:val="24"/>
        </w:rPr>
        <w:t>1、根据《基金法》、《运作办法》及其他有关规定，基金管理人的权利包括但不限于：</w:t>
      </w:r>
    </w:p>
    <w:p w14:paraId="720D92D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（1）依法募集资金；</w:t>
      </w:r>
    </w:p>
    <w:p w14:paraId="1D8FC06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（2）自《基金合同》生效之日起，根据法律法规和《基金合同》独立运用并管理基金财产；</w:t>
      </w:r>
    </w:p>
    <w:p w14:paraId="6FC1F72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（3）依照《基金合同》收取基金管理费以及法律法规规定或中国证监会批准的其他费用；</w:t>
      </w:r>
    </w:p>
    <w:p w14:paraId="36E211E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（4）销售基金份额；</w:t>
      </w:r>
    </w:p>
    <w:p w14:paraId="441CAB2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（5）按照规定召集基金份额持有人大会；</w:t>
      </w:r>
    </w:p>
    <w:p w14:paraId="493DBD8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4F7A9FF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（7）在基金托管人更换时，提名新的基金托管人；</w:t>
      </w:r>
    </w:p>
    <w:p w14:paraId="35708BC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（8）选择、更换基金销售机构，对基金销售机构的相关行为进行监督和处理； </w:t>
      </w:r>
    </w:p>
    <w:p w14:paraId="67E579D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（9）担任或委托其他符合条件的机构担任基金登记机构办理基金登记业务并获得《基金合同》规定的费用； </w:t>
      </w:r>
    </w:p>
    <w:p w14:paraId="2EB1576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（10）依据《基金合同》及有关法律规定决定基金收益的分配方案；</w:t>
      </w:r>
      <w:r>
        <w:rPr>
          <w:rFonts w:hint="eastAsia" w:ascii="宋体" w:hAnsi="宋体" w:eastAsia="宋体" w:cs="宋体"/>
          <w:color w:val="0C0C0C" w:themeColor="text1" w:themeTint="F2"/>
          <w:sz w:val="24"/>
          <w:szCs w:val="24"/>
        </w:rPr>
        <w:tab/>
      </w:r>
    </w:p>
    <w:p w14:paraId="774ECE3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（11）在《基金合同》约定的范围内，拒绝或暂停受理申购与赎回申请； </w:t>
      </w:r>
    </w:p>
    <w:p w14:paraId="74528BE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（12）依照法律法规为基金的利益对被投资公司行使股东权利，为基金的利益行使因基金财产投资于证券所产生的权利；</w:t>
      </w:r>
    </w:p>
    <w:p w14:paraId="5F5B9A4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（13）在法律法规允许的前提下，为基金的利益依法为基金进行融资和转融通证券出借业务；</w:t>
      </w:r>
    </w:p>
    <w:p w14:paraId="04D417F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（14）以基金管理人的名义，代表基金份额持有人的利益行使诉讼权利或者实施其他法律行为；</w:t>
      </w:r>
      <w:r>
        <w:rPr>
          <w:rFonts w:hint="eastAsia" w:ascii="宋体" w:hAnsi="宋体" w:eastAsia="宋体" w:cs="宋体"/>
          <w:color w:val="0C0C0C" w:themeColor="text1" w:themeTint="F2"/>
          <w:sz w:val="24"/>
          <w:szCs w:val="24"/>
        </w:rPr>
        <w:tab/>
      </w:r>
    </w:p>
    <w:p w14:paraId="1D7D424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（15）选择、更换律师事务所、会计师事务所、证券、期货经纪商或其他为基金提供服务的外部机构；</w:t>
      </w:r>
      <w:r>
        <w:rPr>
          <w:rFonts w:hint="eastAsia" w:ascii="宋体" w:hAnsi="宋体" w:eastAsia="宋体" w:cs="宋体"/>
          <w:color w:val="0C0C0C" w:themeColor="text1" w:themeTint="F2"/>
          <w:sz w:val="24"/>
          <w:szCs w:val="24"/>
        </w:rPr>
        <w:tab/>
      </w:r>
    </w:p>
    <w:p w14:paraId="6541968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（16）在符合有关法律、法规的前提下，制订和调整有关基金认购、申购、赎回、非交易过户等业务规则；</w:t>
      </w:r>
    </w:p>
    <w:p w14:paraId="63943B1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（17）法律法规及中国证监会规定的和《基金合同》约定的其他权利。</w:t>
      </w:r>
    </w:p>
    <w:p w14:paraId="0408483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2、根据《基金法》、《运作办法》及其他有关规定，基金管理人的义务包括但不限于：</w:t>
      </w:r>
    </w:p>
    <w:p w14:paraId="5096D7D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（1）依法募集资金，办理或者委托经中国证监会认定的其他机构代为办理基金份额的发售、申购、赎回和登记事宜；</w:t>
      </w:r>
    </w:p>
    <w:p w14:paraId="085DB58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（2）办理基金备案手续；</w:t>
      </w:r>
    </w:p>
    <w:p w14:paraId="1731032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（3）自《基金合同》生效之日起，以诚实信用、谨慎勤勉的原则管理和运用基金财产；</w:t>
      </w:r>
    </w:p>
    <w:p w14:paraId="057905F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（4）配备足够的具有专业资格的人员进行基金投资分析、决策，以专业化的经营方式管理和运作基金财产；</w:t>
      </w:r>
    </w:p>
    <w:p w14:paraId="062702B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（5）建立健全内部风险控制、监察与稽核、财务管理及人事管理等制度，保证所管理的基金财产和基金管理人的财产相互独立，对所管理的不同基金分别管理，分别记账，进行证券投资；</w:t>
      </w:r>
    </w:p>
    <w:p w14:paraId="768101C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（6）除依据《基金法》、《基金合同》及其他有关规定外，不得利用基金财产为自己及任何第三人谋取利益，不得委托第三人运作基金财产；</w:t>
      </w:r>
    </w:p>
    <w:p w14:paraId="048C981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（7）依法接受基金托管人的监督；</w:t>
      </w:r>
    </w:p>
    <w:p w14:paraId="2B27C6C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（8）采取适当合理的措施使计算基金份额认购价格、申购对价、赎回对价的方法符合《基金合同》等法律文件的规定，按有关规定计算并公告基金净值信息，确定基金份额申购、赎回对价，编制申购赎回清单；</w:t>
      </w:r>
    </w:p>
    <w:p w14:paraId="2B49882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（9）进行基金会计核算并编制基金财务会计报告；</w:t>
      </w:r>
    </w:p>
    <w:p w14:paraId="5966400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（10）编制季度报告、中期报告和年度报告；</w:t>
      </w:r>
    </w:p>
    <w:p w14:paraId="102BDE5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（11）严格按照《基金法》、《基金合同》及其他有关规定，履行信息披露及报告义务；</w:t>
      </w:r>
    </w:p>
    <w:p w14:paraId="5A31387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073AA0F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（13）按《基金合同》的约定确定基金收益分配方案，及时向基金份额持有人分配基金收益；</w:t>
      </w:r>
    </w:p>
    <w:p w14:paraId="732C741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（14）按规定受理申购与赎回申请，及时、足额支付赎回对价；</w:t>
      </w:r>
    </w:p>
    <w:p w14:paraId="3932E3D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（15）依据《基金法》、《基金合同》及其他有关规定召集基金份额持有人大会或配合基金托管人、基金份额持有人依法召集基金份额持有人大会；</w:t>
      </w:r>
    </w:p>
    <w:p w14:paraId="519FF2E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（16）按规定保存基金财产管理业务活动的会计账册、报表、记录和其他相关资料，保存期限不低于法定最低期限；</w:t>
      </w:r>
    </w:p>
    <w:p w14:paraId="74FF391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5AAE97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（18）组织并参加基金财产清算小组，参与基金财产的保管、清理、估价、变现和分配；</w:t>
      </w:r>
    </w:p>
    <w:p w14:paraId="7879316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（19）面临解散、依法被撤销或者被依法宣告破产时，及时报告中国证监会并通知基金托管人；</w:t>
      </w:r>
    </w:p>
    <w:p w14:paraId="6035177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（20）因违反《基金合同》导致基金财产的损失或损害基金份额持有人合法权益时，应当承担赔偿责任，其赔偿责任不因其退任而免除；</w:t>
      </w:r>
    </w:p>
    <w:p w14:paraId="05C82D9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（21）监督基金托管人按法律法规和《基金合同》规定履行自己的义务，基金托管人违反《基金合同》造成基金财产损失时，基金管理人应为基金份额持有人利益向基金托管人追偿；</w:t>
      </w:r>
    </w:p>
    <w:p w14:paraId="79DF958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（22）当基金管理人将其义务委托第三方处理时，应当对第三方处理有关基金事务的行为承担责任；</w:t>
      </w:r>
    </w:p>
    <w:p w14:paraId="058713E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（23）以基金管理人名义，代表基金份额持有人利益行使诉讼权利或实施其他法律行为；</w:t>
      </w:r>
    </w:p>
    <w:p w14:paraId="0358437B">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（24）基金在募集期间未能达到基金的备案条件，</w:t>
      </w:r>
      <w:r>
        <w:rPr>
          <w:rFonts w:hint="eastAsia" w:ascii="宋体" w:hAnsi="宋体" w:eastAsia="宋体" w:cs="宋体"/>
          <w:color w:val="0C0C0C" w:themeColor="text1" w:themeTint="F2"/>
          <w:sz w:val="24"/>
          <w:szCs w:val="24"/>
        </w:rPr>
        <w:t>《基金合同》</w:t>
      </w:r>
      <w:r>
        <w:rPr>
          <w:rFonts w:hint="eastAsia" w:ascii="宋体" w:hAnsi="宋体" w:eastAsia="宋体" w:cs="宋体"/>
          <w:sz w:val="24"/>
          <w:szCs w:val="24"/>
        </w:rPr>
        <w:t>不能生效，基金管理人承担全部募集费用，将已募集资金并加计银行同期活期存款利息在基金募集期结束后30日内退还基金认购人，对于基金募集期间网下股票认购所冻结的股票，发售代理机构应予以解冻；</w:t>
      </w:r>
    </w:p>
    <w:p w14:paraId="1B1BAC6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（25）执行生效的基金份额持有人大会的决议；</w:t>
      </w:r>
    </w:p>
    <w:p w14:paraId="39E46CD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（26）建立并保存基金份额持有人名册；</w:t>
      </w:r>
    </w:p>
    <w:p w14:paraId="415BB86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（27）法律法规及中国证监会规定的和《基金合同》约定的其他义务。</w:t>
      </w:r>
      <w:bookmarkEnd w:id="19"/>
    </w:p>
    <w:p w14:paraId="1544581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eastAsia="宋体" w:cs="宋体"/>
          <w:sz w:val="24"/>
          <w:szCs w:val="24"/>
        </w:rPr>
        <w:tab/>
      </w:r>
      <w:r>
        <w:rPr>
          <w:rFonts w:hint="eastAsia" w:ascii="宋体" w:hAnsi="宋体" w:eastAsia="宋体" w:cs="宋体"/>
          <w:sz w:val="24"/>
          <w:szCs w:val="24"/>
        </w:rPr>
        <w:t>基金托管人的权利与义务</w:t>
      </w:r>
    </w:p>
    <w:p w14:paraId="1AD9A57D">
      <w:pPr>
        <w:snapToGrid w:val="0"/>
        <w:spacing w:line="360" w:lineRule="auto"/>
        <w:ind w:firstLine="480"/>
        <w:rPr>
          <w:rFonts w:hint="eastAsia" w:ascii="宋体" w:hAnsi="宋体" w:eastAsia="宋体" w:cs="宋体"/>
          <w:color w:val="0C0C0C" w:themeColor="text1" w:themeTint="F2"/>
          <w:sz w:val="24"/>
          <w:szCs w:val="24"/>
        </w:rPr>
      </w:pPr>
      <w:bookmarkStart w:id="20" w:name="OLE_LINK3"/>
      <w:r>
        <w:rPr>
          <w:rFonts w:hint="eastAsia" w:ascii="宋体" w:hAnsi="宋体" w:eastAsia="宋体" w:cs="宋体"/>
          <w:color w:val="0C0C0C" w:themeColor="text1" w:themeTint="F2"/>
          <w:sz w:val="24"/>
          <w:szCs w:val="24"/>
        </w:rPr>
        <w:t>1、根据《基金法》、《运作办法》及其他有关规定，基金托管人的权利包括但不限于：</w:t>
      </w:r>
    </w:p>
    <w:p w14:paraId="4413C0D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（1）自《基金合同》生效之日起，依法律法规和《基金合同》的规定安全保管基金财产；</w:t>
      </w:r>
    </w:p>
    <w:p w14:paraId="49A6A54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（2）依《基金合同》约定获得基金托管费以及法律法规规定或监管部门批准的其他费用；</w:t>
      </w:r>
    </w:p>
    <w:p w14:paraId="229FE43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151FA7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（4）根据相关市场规则，为基金开设托管账户、证券账户等投资所需账户，根据基金管理人的投资指令，及时办理清算、交割事宜；</w:t>
      </w:r>
    </w:p>
    <w:p w14:paraId="475FEE8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（5）提议召开或召集基金份额持有人大会；</w:t>
      </w:r>
    </w:p>
    <w:p w14:paraId="3FFEF5A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（6）在基金管理人更换时，提名新的基金管理人；</w:t>
      </w:r>
    </w:p>
    <w:p w14:paraId="10C1E3D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（7）法律法规及中国证监会规定的和《基金合同》约定的其他权利。</w:t>
      </w:r>
    </w:p>
    <w:p w14:paraId="7ACE3BD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2、根据《基金法》、《运作办法》及其他有关规定，基金托管人的义务包括但不限于：</w:t>
      </w:r>
    </w:p>
    <w:p w14:paraId="1991644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（1）以诚实信用、勤勉尽责的原则持有并安全保管基金财产；</w:t>
      </w:r>
    </w:p>
    <w:p w14:paraId="7CAD375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（2）设立专门的基金托管部门，具有符合要求的营业场所，配备足够的、合格的熟悉基金托管业务的专职人员，负责基金财产托管事宜；</w:t>
      </w:r>
    </w:p>
    <w:p w14:paraId="1E89229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267531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（4）除依据《基金法》、《基金合同》及其他有关规定外，不得利用基金财产为自己及任何第三人谋取利益，不得委托第三人托管基金财产；</w:t>
      </w:r>
    </w:p>
    <w:p w14:paraId="5A59CBA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（5）保管由基金管理人代表基金签订的与基金有关的重大合同及有关凭证；</w:t>
      </w:r>
    </w:p>
    <w:p w14:paraId="6BC33D2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（6）按规定开设基金财产的托管账户、证券账户等投资所需账户，按照《基金合同》的约定，根据基金管理人的投资指令，及时办理清算、交割事宜；</w:t>
      </w:r>
    </w:p>
    <w:p w14:paraId="106B273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4AFFB81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（8）复核、审查基金管理人计算的基金资产净值、基金份额净值、基金份额申购、赎回对价；</w:t>
      </w:r>
    </w:p>
    <w:p w14:paraId="112FE02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（9）办理与基金托管业务活动有关的信息披露事项；</w:t>
      </w:r>
    </w:p>
    <w:p w14:paraId="3F16FE7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2D4991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（11）保存基金托管业务活动的记录、账册、报表和其他相关资料，保存期限不低于法定最低期限；</w:t>
      </w:r>
    </w:p>
    <w:p w14:paraId="30F11E3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（12）从基金管理人或其委托的登记机构处接收并保存基金份额持有人名册；</w:t>
      </w:r>
    </w:p>
    <w:p w14:paraId="2ABD2EF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（13）按规定制作相关账册并与基金管理人核对；</w:t>
      </w:r>
    </w:p>
    <w:p w14:paraId="0C3A2C8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（14）依据基金管理人的指令或有关规定向基金份额持有人支付基金收益和赎回对价的现金部分；</w:t>
      </w:r>
    </w:p>
    <w:p w14:paraId="668E103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（15）依据《基金法》、《基金合同》及其他有关规定，召集基金份额持有人大会或配合基金管理人、基金份额持有人依法召集基金份额持有人大会；</w:t>
      </w:r>
    </w:p>
    <w:p w14:paraId="1FE5755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（16）按照法律法规和《基金合同》、《托管协议》的规定监督基金管理人的投资运作；</w:t>
      </w:r>
    </w:p>
    <w:p w14:paraId="0163FD9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（17）参加基金财产清算小组，参与基金财产的保管、清理、估价、变现和分配；</w:t>
      </w:r>
    </w:p>
    <w:p w14:paraId="64E10B8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（18）面临解散、依法被撤销或者被依法宣告破产时，及时报告中国证监会和银行业监督管理机构，并通知基金管理人；</w:t>
      </w:r>
    </w:p>
    <w:p w14:paraId="41B28DD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（19）因违反《基金合同》导致基金财产损失时，应承担赔偿责任，其赔偿责任不因其退任而免除；</w:t>
      </w:r>
    </w:p>
    <w:p w14:paraId="6AC2393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（20）按规定监督基金管理人按法律法规和《基金合同》、《托管协议》规定履行自己的义务，基金管理人因违反《基金合同》、《托管协议》造成基金财产损失时，应为基金份额持有人利益向基金管理人追偿；</w:t>
      </w:r>
    </w:p>
    <w:p w14:paraId="24A78C4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（21）执行生效的基金份额持有人大会的决议；</w:t>
      </w:r>
    </w:p>
    <w:p w14:paraId="150112C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（22）法律法规及中国证监会规定的和《基金合同》、《托管协议》约定的其他义务。</w:t>
      </w:r>
      <w:bookmarkEnd w:id="20"/>
    </w:p>
    <w:p w14:paraId="3313F077">
      <w:pPr>
        <w:spacing w:line="360" w:lineRule="auto"/>
        <w:ind w:firstLine="482"/>
        <w:rPr>
          <w:rFonts w:hint="eastAsia" w:ascii="宋体" w:hAnsi="宋体" w:eastAsia="宋体" w:cs="宋体"/>
          <w:b/>
          <w:sz w:val="24"/>
        </w:rPr>
      </w:pPr>
      <w:r>
        <w:rPr>
          <w:rFonts w:hint="eastAsia" w:ascii="宋体" w:hAnsi="宋体" w:eastAsia="宋体" w:cs="宋体"/>
          <w:b/>
          <w:sz w:val="24"/>
        </w:rPr>
        <w:t>二、基金份额持有人大会召集、议事及表决的程序和规则</w:t>
      </w:r>
    </w:p>
    <w:p w14:paraId="0870B08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基金份额持有人大会由基金份额持有人组成，基金份额持有人的合法授权代表有权代表基金份额持有人出席会议并表决。基金份额持有人持有的每一基金份额拥有平等的投票权。</w:t>
      </w:r>
    </w:p>
    <w:p w14:paraId="6ED3300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383B24C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45FE72E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17FA776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法律法规或监管机构对基金份额持有人大会另有规定的，从其规定。</w:t>
      </w:r>
    </w:p>
    <w:p w14:paraId="1A23CE8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本基金份额持有人大会不设日常机构。</w:t>
      </w:r>
    </w:p>
    <w:p w14:paraId="18F22FA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（一）召开事由</w:t>
      </w:r>
    </w:p>
    <w:p w14:paraId="03631AA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1、除法律法规、中国证监会和基金合同另有规定外，当出现或需要决定下列事由之一的，应当召开基金份额持有人大会：</w:t>
      </w:r>
    </w:p>
    <w:p w14:paraId="24EBEB4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（1）终止《基金合同》；</w:t>
      </w:r>
    </w:p>
    <w:p w14:paraId="2E5D586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（2）更换基金管理人；</w:t>
      </w:r>
    </w:p>
    <w:p w14:paraId="0EF88A0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（3）更换基金托管人；</w:t>
      </w:r>
    </w:p>
    <w:p w14:paraId="48C86C4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（4）转换基金运作方式；</w:t>
      </w:r>
    </w:p>
    <w:p w14:paraId="223F641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（5）调整基金管理人、基金托管人的报酬标准；</w:t>
      </w:r>
    </w:p>
    <w:p w14:paraId="582BA1A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（6）变更基金类别；</w:t>
      </w:r>
    </w:p>
    <w:p w14:paraId="24FE815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（7）本基金与其他基金的合并；</w:t>
      </w:r>
    </w:p>
    <w:p w14:paraId="266A031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（8）变更基金投资目标、范围或策略；</w:t>
      </w:r>
    </w:p>
    <w:p w14:paraId="67638E9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（9）变更基金份额持有人大会程序；</w:t>
      </w:r>
    </w:p>
    <w:p w14:paraId="3FFD854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（10）基金管理人或基金托管人要求召开基金份额持有人大会；</w:t>
      </w:r>
    </w:p>
    <w:p w14:paraId="60230B8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（11）单独或合计持有本基金总份额10%以上（含10%）基金份额的基金份额持有人（以基金管理人收到提议当日的基金份额计算，下同）就同一事项书面要求召开基金份额持有人大会；</w:t>
      </w:r>
    </w:p>
    <w:p w14:paraId="1223F51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（12）对基金合同当事人权利和义务产生重大影响的其他事项；</w:t>
      </w:r>
    </w:p>
    <w:p w14:paraId="5168310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（13）终止基金上市，但因基金不再具备上市条件而被深圳证券交易所终止上市的情形除外；</w:t>
      </w:r>
    </w:p>
    <w:p w14:paraId="6D98162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（14）法律法规、《基金合同》或中国证监会规定的其他应当召开基金份额持有人大会的事项。</w:t>
      </w:r>
    </w:p>
    <w:p w14:paraId="1A3E274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03C7432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（1）法律法规要求增加的基金费用的收取；</w:t>
      </w:r>
    </w:p>
    <w:p w14:paraId="013D84E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（2）调整本基金的申购费率、变更收费方式或调整基金份额类别设置、对基金份额分类办法及规则进行调整；</w:t>
      </w:r>
    </w:p>
    <w:p w14:paraId="03B0053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（3）因相应的法律法规、深圳证券交易所或者登记机构的相关业务规则发生变动而应当对《基金合同》进行修改；</w:t>
      </w:r>
    </w:p>
    <w:p w14:paraId="09BD07E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（4）对《基金合同》的修改对基金份额持有人利益无实质性不利影响或修改不涉及《基金合同》当事人权利义务关系发生重大变化；</w:t>
      </w:r>
    </w:p>
    <w:p w14:paraId="5CE428C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（5）基金管理人、相关证券交易所和登记机构等调整有关基金申购、赎回、交易、转托管、非交易过户等业务的规则（包括申购赎回清单的调整、开放时间的调整等）；</w:t>
      </w:r>
    </w:p>
    <w:p w14:paraId="444A1AD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（6）经履行相关程序后，基金推出新业务或服务；</w:t>
      </w:r>
    </w:p>
    <w:p w14:paraId="223321C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（7）本基金的联接基金采取其他方式参与本基金的申购赎回；</w:t>
      </w:r>
    </w:p>
    <w:p w14:paraId="3F9D2A7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（8）调整基金的申购赎回方式及申购对价、赎回对价组成；调整申购赎回清单的内容，调整申购赎回清单计算和公告时间或频率；</w:t>
      </w:r>
    </w:p>
    <w:p w14:paraId="3945334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（9）进行基金份额的拆分与合并；</w:t>
      </w:r>
    </w:p>
    <w:p w14:paraId="26C4724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（10）按照法律法规和《基金合同》规定不需召开基金份额持有人大会的其他情形。</w:t>
      </w:r>
    </w:p>
    <w:p w14:paraId="24580B6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（二）会议召集人及召集方式</w:t>
      </w:r>
    </w:p>
    <w:p w14:paraId="1B7BAA0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1、除法律法规规定或《基金合同》另有约定外，基金份额持有人大会由基金管理人召集。</w:t>
      </w:r>
    </w:p>
    <w:p w14:paraId="28978F6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2、基金管理人未按规定召集或不能召集时，由基金托管人召集。</w:t>
      </w:r>
    </w:p>
    <w:p w14:paraId="4D41F1B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7F3C29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0AA6FB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578341D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6、基金份额持有人会议的召集人负责选择确定开会时间、地点、方式和权益登记日。</w:t>
      </w:r>
    </w:p>
    <w:p w14:paraId="63D6BF7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（三）召开基金份额持有人大会的通知时间、通知内容、通知方式</w:t>
      </w:r>
    </w:p>
    <w:p w14:paraId="25B30A9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1、召开基金份额持有人大会，召集人应于会议召开前30日，在规定媒介公告。基金份额持有人大会通知应至少载明以下内容：</w:t>
      </w:r>
    </w:p>
    <w:p w14:paraId="49F7EBC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（1）会议召开的时间、地点和会议形式；</w:t>
      </w:r>
    </w:p>
    <w:p w14:paraId="117D4CE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（2）会议拟审议的事项、议事程序和表决方式；</w:t>
      </w:r>
    </w:p>
    <w:p w14:paraId="7277BAA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（3）有权出席基金份额持有人大会的基金份额持有人的权益登记日；</w:t>
      </w:r>
    </w:p>
    <w:p w14:paraId="56F8329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（4）授权委托证明的内容要求（包括但不限于代理人身份，代理权限和代理有效期限等）、送达时间和地点；</w:t>
      </w:r>
    </w:p>
    <w:p w14:paraId="1CD00C0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（5）会务常设联系人姓名及联系电话；</w:t>
      </w:r>
    </w:p>
    <w:p w14:paraId="499A22C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（6）出席会议者必须准备的文件和必须履行的手续；</w:t>
      </w:r>
    </w:p>
    <w:p w14:paraId="664DF14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（7）召集人需要通知的其他事项。</w:t>
      </w:r>
    </w:p>
    <w:p w14:paraId="6B3220C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BA1A62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104B0E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（四）基金份额持有人出席会议的方式</w:t>
      </w:r>
    </w:p>
    <w:p w14:paraId="7DF1C52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基金份额持有人大会可通过现场开会方式、通讯开会方式或法律法规、监管机构允许的其他方式召开，会议的召开方式由会议召集人确定。</w:t>
      </w:r>
    </w:p>
    <w:p w14:paraId="207DCF1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6BF703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1B5419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7F3F80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61AB6CB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在同时符合以下条件时，通讯开会的方式视为有效：</w:t>
      </w:r>
    </w:p>
    <w:p w14:paraId="65F09DF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（1）会议召集人按《基金合同》约定公布会议通知后，在2个工作日内连续公布相关提示性公告；</w:t>
      </w:r>
    </w:p>
    <w:p w14:paraId="7E26C12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FC91DA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（3）本人直接出具表决意见或授权他人代表出具表决意见的，基金份额持有人所持有的基金份额不小于在权益登记日基金总份额的二分之一（含二分之一）；</w:t>
      </w:r>
    </w:p>
    <w:p w14:paraId="2BCA402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AE8E8B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8A34C7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2443847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（五）议事内容与程序</w:t>
      </w:r>
    </w:p>
    <w:p w14:paraId="6919D4D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1、议事内容及提案权</w:t>
      </w:r>
    </w:p>
    <w:p w14:paraId="627F944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647D7D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基金份额持有人大会的召集人发出召集会议的通知后，对原有提案的修改应当在基金份额持有人大会召开前及时公告。</w:t>
      </w:r>
    </w:p>
    <w:p w14:paraId="5005408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基金份额持有人大会不得对未事先公告的议事内容进行表决。</w:t>
      </w:r>
    </w:p>
    <w:p w14:paraId="0B19313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2、议事程序</w:t>
      </w:r>
    </w:p>
    <w:p w14:paraId="50AA1A5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w:t>
      </w:r>
    </w:p>
    <w:p w14:paraId="685DB54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1F2872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756DC74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w:t>
      </w:r>
    </w:p>
    <w:p w14:paraId="624E2A3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在通讯开会的情况下，首先由召集人提前30日公布提案，在所通知的表决截止日期后2个工作日内在公证机关监督下由召集人统计全部有效表决，在公证机关监督下形成决议。</w:t>
      </w:r>
    </w:p>
    <w:p w14:paraId="567B04D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（六）表决</w:t>
      </w:r>
    </w:p>
    <w:p w14:paraId="6466144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基金份额持有人所持每份基金份额有一票表决权。</w:t>
      </w:r>
    </w:p>
    <w:p w14:paraId="4816F2C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基金份额持有人大会决议分为一般决议和特别决议：</w:t>
      </w:r>
    </w:p>
    <w:p w14:paraId="66B5025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436000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BF31B8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基金份额持有人大会采取记名方式进行投票表决。</w:t>
      </w:r>
    </w:p>
    <w:p w14:paraId="323F9C6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DED01A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基金份额持有人大会的各项提案或同一项提案内并列的各项议题应当分开审议、逐项表决。</w:t>
      </w:r>
    </w:p>
    <w:p w14:paraId="593131C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在上述规则的前提下，具体规则以召集人发布的基金份额持有人大会通知为准。</w:t>
      </w:r>
    </w:p>
    <w:p w14:paraId="43392DD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（七）计票</w:t>
      </w:r>
    </w:p>
    <w:p w14:paraId="3EAE2C0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w:t>
      </w:r>
    </w:p>
    <w:p w14:paraId="35A1CA4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165D2E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（2）监票人应当在基金份额持有人表决后立即进行清点并由大会主持人当场公布计票结果。</w:t>
      </w:r>
    </w:p>
    <w:p w14:paraId="00C1DF7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B103B2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（4）计票过程应由公证机关予以公证，基金管理人或基金托管人拒不出席大会的，不影响计票的效力。</w:t>
      </w:r>
    </w:p>
    <w:p w14:paraId="32CE180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w:t>
      </w:r>
    </w:p>
    <w:p w14:paraId="7F65C7C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496A37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（八）生效与公告</w:t>
      </w:r>
    </w:p>
    <w:p w14:paraId="574E111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基金份额持有人大会的决议，召集人应当自通过之日起5日内报中国证监会备案。</w:t>
      </w:r>
    </w:p>
    <w:p w14:paraId="589A039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基金份额持有人大会的决议自表决通过之日起生效。</w:t>
      </w:r>
    </w:p>
    <w:p w14:paraId="05CECA5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7329BCA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D1D575B">
      <w:pPr>
        <w:spacing w:line="360" w:lineRule="auto"/>
        <w:ind w:firstLine="480"/>
        <w:rPr>
          <w:rFonts w:hint="eastAsia" w:ascii="宋体" w:hAnsi="宋体" w:eastAsia="宋体" w:cs="宋体"/>
          <w:b/>
          <w:sz w:val="24"/>
        </w:rPr>
      </w:pPr>
      <w:bookmarkStart w:id="21" w:name="OLE_LINK6"/>
      <w:bookmarkStart w:id="22" w:name="OLE_LINK7"/>
      <w:r>
        <w:rPr>
          <w:rFonts w:hint="eastAsia" w:ascii="宋体" w:hAnsi="宋体" w:eastAsia="宋体" w:cs="宋体"/>
          <w:color w:val="0C0C0C" w:themeColor="text1" w:themeTint="F2"/>
          <w:sz w:val="24"/>
          <w:szCs w:val="24"/>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bookmarkEnd w:id="21"/>
      <w:bookmarkEnd w:id="22"/>
    </w:p>
    <w:p w14:paraId="6F5A2CAD">
      <w:pPr>
        <w:spacing w:line="360" w:lineRule="auto"/>
        <w:rPr>
          <w:rFonts w:hint="eastAsia" w:ascii="宋体" w:hAnsi="宋体" w:eastAsia="宋体" w:cs="宋体"/>
          <w:b/>
          <w:sz w:val="24"/>
        </w:rPr>
      </w:pPr>
      <w:r>
        <w:rPr>
          <w:rFonts w:hint="eastAsia" w:ascii="宋体" w:hAnsi="宋体" w:eastAsia="宋体" w:cs="宋体"/>
          <w:b/>
          <w:sz w:val="24"/>
        </w:rPr>
        <w:t>三、基金收益分配原则、执行方式</w:t>
      </w:r>
    </w:p>
    <w:p w14:paraId="01B13B5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（一）基金收益分配原则</w:t>
      </w:r>
    </w:p>
    <w:p w14:paraId="188C510B">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1、本基金基金份额的收益分配方式采用现金分红；</w:t>
      </w:r>
    </w:p>
    <w:p w14:paraId="4B443A2C">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2、当收益评价日核定的基金份额净值增长率超过标的指数同期增长率达到0.01%以上时，可进行收益分配；</w:t>
      </w:r>
    </w:p>
    <w:p w14:paraId="663E7AA2">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59881ECD">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4、若《基金合同》生效不满3个月可不进行收益分配；</w:t>
      </w:r>
    </w:p>
    <w:p w14:paraId="1996B84B">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5、每一基金份额享有同等分配权；</w:t>
      </w:r>
    </w:p>
    <w:p w14:paraId="6E04AF8A">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6、法律法规或监管机关、证券交易所、登记机构另有规定的，从其规定。</w:t>
      </w:r>
    </w:p>
    <w:p w14:paraId="0CDC935B">
      <w:pPr>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在不违反法律法规且对基金份额持有人利益无实质性不利影响的前提下，基金管理人经与基金托管人协商一致后可对基金收益分配原则进行调整，并及时公告。</w:t>
      </w:r>
    </w:p>
    <w:p w14:paraId="27A8569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（二）基金收益分配比例及金额的确定原则</w:t>
      </w:r>
    </w:p>
    <w:p w14:paraId="63D153A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1、在收益评价日，基金管理人计算基金份额净值增长率、标的指数同期增长率。</w:t>
      </w:r>
    </w:p>
    <w:p w14:paraId="14E030F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基金收益评价日本基金相对标的指数的超额收益率＝基金份额净值增长率－标的指数同期增长率。</w:t>
      </w:r>
    </w:p>
    <w:p w14:paraId="6010CA8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671C454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期间如发生基金份额折算、拆分或合并，则以基金份额折算日、经拆分或合并调整后的基金份额折算日为初始日重新计算上述指标。</w:t>
      </w:r>
    </w:p>
    <w:p w14:paraId="5666DAF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收益评价日日期以本基金日后相关公告为准。</w:t>
      </w:r>
    </w:p>
    <w:p w14:paraId="5AA5ECB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2、根据前述收益分配原则计算截至基金收益评价日本基金的份额可分配收益，并确定收益分配比例。</w:t>
      </w:r>
    </w:p>
    <w:p w14:paraId="4A2DFBE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3、根据前述可供分配利润及收益分配比例计算收益分配金额。</w:t>
      </w:r>
    </w:p>
    <w:p w14:paraId="3D50AC5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（三）收益分配方案</w:t>
      </w:r>
    </w:p>
    <w:p w14:paraId="2CCFC34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基金收益分配方案中应载明基金收益分配对象、分配时间、分配数额及比例、分配方式等内容。</w:t>
      </w:r>
    </w:p>
    <w:p w14:paraId="39D0205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（四）收益分配方案的确定、公告与实施</w:t>
      </w:r>
    </w:p>
    <w:p w14:paraId="073FA5E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本基金收益分配方案由基金管理人拟定，并由基金托管人复核，依照《信息披露办法》的有关规定在规定媒介公告。</w:t>
      </w:r>
    </w:p>
    <w:p w14:paraId="4C72B71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（五）基金收益分配中发生的费用</w:t>
      </w:r>
    </w:p>
    <w:p w14:paraId="257A1AC3">
      <w:pPr>
        <w:spacing w:line="360" w:lineRule="auto"/>
        <w:ind w:firstLine="480"/>
        <w:rPr>
          <w:rFonts w:hint="eastAsia" w:ascii="宋体" w:hAnsi="宋体" w:eastAsia="宋体" w:cs="宋体"/>
          <w:bCs/>
          <w:sz w:val="24"/>
        </w:rPr>
      </w:pPr>
      <w:r>
        <w:rPr>
          <w:rFonts w:hint="eastAsia" w:ascii="宋体" w:hAnsi="宋体" w:eastAsia="宋体" w:cs="宋体"/>
          <w:color w:val="0C0C0C" w:themeColor="text1" w:themeTint="F2"/>
          <w:sz w:val="24"/>
          <w:szCs w:val="24"/>
        </w:rPr>
        <w:t>基金收益分配时所发生的银行转账或其他手续费用由投资者自行承担。</w:t>
      </w:r>
    </w:p>
    <w:p w14:paraId="19E88B2E">
      <w:pPr>
        <w:spacing w:line="360" w:lineRule="auto"/>
        <w:rPr>
          <w:rFonts w:hint="eastAsia" w:ascii="宋体" w:hAnsi="宋体" w:eastAsia="宋体" w:cs="宋体"/>
          <w:b/>
          <w:sz w:val="24"/>
        </w:rPr>
      </w:pPr>
      <w:r>
        <w:rPr>
          <w:rFonts w:hint="eastAsia" w:ascii="宋体" w:hAnsi="宋体" w:eastAsia="宋体" w:cs="宋体"/>
          <w:b/>
          <w:sz w:val="24"/>
        </w:rPr>
        <w:t>四、与基金财产管理、运作有关费用的提取、支付方式与比例</w:t>
      </w:r>
    </w:p>
    <w:p w14:paraId="721D145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（一）基金费用的种类</w:t>
      </w:r>
    </w:p>
    <w:p w14:paraId="2236723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1、基金管理人的管理费；</w:t>
      </w:r>
    </w:p>
    <w:p w14:paraId="6503895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2、基金托管人的托管费；</w:t>
      </w:r>
    </w:p>
    <w:p w14:paraId="0815F88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3、基金的证券、期货、期权交易费用；</w:t>
      </w:r>
    </w:p>
    <w:p w14:paraId="3BBF2E2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4、《基金合同》生效后与基金相关的信息披露费用，但法律法规、中国证监会另有规定的除外；</w:t>
      </w:r>
    </w:p>
    <w:p w14:paraId="127AB2E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5、《基金合同》生效后与基金相关的公证费、会计师费、审计费、律师费、仲裁费和诉讼费；</w:t>
      </w:r>
    </w:p>
    <w:p w14:paraId="1CC220B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6、基金份额持有人大会费用；</w:t>
      </w:r>
    </w:p>
    <w:p w14:paraId="63EBDFB6">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7、基金银行汇划费用、账户开户及维护费用、场内注册登记费用、IOPV计算与发布费用、收益分配中发生的费用（银行转账或其他手续费用除外）；</w:t>
      </w:r>
    </w:p>
    <w:p w14:paraId="2EDDFE8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8、基金上市初费及年费；</w:t>
      </w:r>
    </w:p>
    <w:p w14:paraId="25B44C0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9、按照国家有关规定和《基金合同》约定，可以在基金财产中列支的其他费用。</w:t>
      </w:r>
    </w:p>
    <w:p w14:paraId="7CA9CFB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（二）基金费用计提方法、计提标准和支付方式</w:t>
      </w:r>
    </w:p>
    <w:p w14:paraId="680321F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1、基金管理人的管理费</w:t>
      </w:r>
    </w:p>
    <w:p w14:paraId="063E58F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本基金的管理费按前一日基金资产净值的0.50%年费率计提。管理费的计算方法如下：</w:t>
      </w:r>
    </w:p>
    <w:p w14:paraId="0E39A4D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H＝E×0.50%÷当年实际天数</w:t>
      </w:r>
    </w:p>
    <w:p w14:paraId="3585E93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H为每日应计提的基金管理费</w:t>
      </w:r>
    </w:p>
    <w:p w14:paraId="20623D2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E为前一日的基金资产净值</w:t>
      </w:r>
    </w:p>
    <w:p w14:paraId="217E562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费每日计提，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至最近可支付日支付。</w:t>
      </w:r>
    </w:p>
    <w:p w14:paraId="1595B0B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2、基金托管人的托管费</w:t>
      </w:r>
    </w:p>
    <w:p w14:paraId="6DCC83A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本基金的托管费按前一日基金资产净值的0.10%年费率计提。托管费的计算方法如下：</w:t>
      </w:r>
    </w:p>
    <w:p w14:paraId="5E34CC9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H＝E×0.10%÷当年实际天数</w:t>
      </w:r>
    </w:p>
    <w:p w14:paraId="0CC5E5C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H为每日应计提的基金托管费</w:t>
      </w:r>
    </w:p>
    <w:p w14:paraId="1B9F1CC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E为前一日的基金资产净值</w:t>
      </w:r>
    </w:p>
    <w:p w14:paraId="5A2FF0A2">
      <w:pPr>
        <w:snapToGrid w:val="0"/>
        <w:spacing w:line="360" w:lineRule="auto"/>
        <w:ind w:firstLine="480"/>
        <w:rPr>
          <w:rFonts w:hint="eastAsia" w:ascii="宋体" w:hAnsi="宋体" w:eastAsia="宋体" w:cs="宋体"/>
          <w:bCs/>
          <w:sz w:val="24"/>
        </w:rPr>
      </w:pPr>
      <w:r>
        <w:rPr>
          <w:rFonts w:hint="eastAsia" w:ascii="宋体" w:hAnsi="宋体" w:eastAsia="宋体" w:cs="宋体"/>
          <w:bCs/>
          <w:sz w:val="24"/>
        </w:rPr>
        <w:t>基金托管费每日计提，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至最近可支付日支付。</w:t>
      </w:r>
    </w:p>
    <w:p w14:paraId="34DEB47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bCs/>
          <w:sz w:val="24"/>
        </w:rPr>
        <w:t>上述“一、基金费用的种类”中第3－9项费用，根据有关法规及相应协议规定，按费用实际支出金额列入当期费用，由基金托管人从基金财产中支付。</w:t>
      </w:r>
    </w:p>
    <w:p w14:paraId="518105C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（三）不列入基金费用的项目</w:t>
      </w:r>
    </w:p>
    <w:p w14:paraId="5FEF0840">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1、基金管理人和基金托管人因未履行或未完全履行义务导致的费用支出或基金财产的损失；</w:t>
      </w:r>
    </w:p>
    <w:p w14:paraId="00F790F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2、基金管理人和基金托管人处理与基金运作无关的事项发生的费用；</w:t>
      </w:r>
    </w:p>
    <w:p w14:paraId="7B10C11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3、《基金合同》生效前的相关费用；</w:t>
      </w:r>
    </w:p>
    <w:p w14:paraId="604258C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4、指数许可使用费；</w:t>
      </w:r>
    </w:p>
    <w:p w14:paraId="7B4FB05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5、其他根据相关法律法规及中国证监会的有关规定不得列入基金费用的项目。</w:t>
      </w:r>
    </w:p>
    <w:p w14:paraId="2CE52D1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（四）基金税收</w:t>
      </w:r>
    </w:p>
    <w:p w14:paraId="6B698EC1">
      <w:pPr>
        <w:spacing w:line="360" w:lineRule="auto"/>
        <w:ind w:firstLine="480"/>
        <w:rPr>
          <w:rFonts w:hint="eastAsia" w:ascii="宋体" w:hAnsi="宋体" w:eastAsia="宋体" w:cs="宋体"/>
          <w:b/>
          <w:sz w:val="24"/>
        </w:rPr>
      </w:pPr>
      <w:r>
        <w:rPr>
          <w:rFonts w:hint="eastAsia" w:ascii="宋体" w:hAnsi="宋体" w:eastAsia="宋体" w:cs="宋体"/>
          <w:color w:val="0C0C0C" w:themeColor="text1" w:themeTint="F2"/>
          <w:sz w:val="24"/>
          <w:szCs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1E39BB9">
      <w:pPr>
        <w:spacing w:line="360" w:lineRule="auto"/>
        <w:rPr>
          <w:rFonts w:hint="eastAsia" w:ascii="宋体" w:hAnsi="宋体" w:eastAsia="宋体" w:cs="宋体"/>
          <w:b/>
          <w:color w:val="0C0C0C" w:themeColor="text1" w:themeTint="F2"/>
          <w:sz w:val="24"/>
        </w:rPr>
      </w:pPr>
      <w:r>
        <w:rPr>
          <w:rFonts w:hint="eastAsia" w:ascii="宋体" w:hAnsi="宋体" w:eastAsia="宋体" w:cs="宋体"/>
          <w:b/>
          <w:color w:val="0C0C0C" w:themeColor="text1" w:themeTint="F2"/>
          <w:sz w:val="24"/>
        </w:rPr>
        <w:t>五、基金资产的投资范围和投资限制</w:t>
      </w:r>
    </w:p>
    <w:p w14:paraId="4ED516C7">
      <w:pPr>
        <w:spacing w:line="360" w:lineRule="auto"/>
        <w:ind w:firstLine="480"/>
        <w:rPr>
          <w:rFonts w:hint="eastAsia" w:ascii="宋体" w:hAnsi="宋体" w:eastAsia="宋体" w:cs="宋体"/>
          <w:color w:val="0C0C0C" w:themeColor="text1" w:themeTint="F2"/>
          <w:sz w:val="24"/>
        </w:rPr>
      </w:pPr>
      <w:r>
        <w:rPr>
          <w:rFonts w:hint="eastAsia" w:ascii="宋体" w:hAnsi="宋体" w:eastAsia="宋体" w:cs="宋体"/>
          <w:color w:val="0C0C0C" w:themeColor="text1" w:themeTint="F2"/>
          <w:sz w:val="24"/>
        </w:rPr>
        <w:t>（一）投资范围</w:t>
      </w:r>
    </w:p>
    <w:p w14:paraId="6D09FD8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本基金主要投资于标的指数成份股和备选成份股(含存托凭证)。</w:t>
      </w:r>
    </w:p>
    <w:p w14:paraId="7B5B671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为更好地实现基金的投资目标，本基金可能会少量投资于依法发行上市的非成份股（包括主板、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729C71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本基金可根据法律法规的规定参与融资和转融通证券出借业务。未来在法律法规允许的前提下，本基金可根据相关法律法规规定参与融券业务。</w:t>
      </w:r>
    </w:p>
    <w:p w14:paraId="73A2554B">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如法律法规或中国证监会以后允许基金投资其他品种，本基金管理人在履行适当程序后，可以将其纳入本基金的投资范围。</w:t>
      </w:r>
    </w:p>
    <w:p w14:paraId="298DF8F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052CB1BA">
      <w:pPr>
        <w:snapToGrid w:val="0"/>
        <w:spacing w:line="360" w:lineRule="auto"/>
        <w:ind w:firstLine="480"/>
        <w:rPr>
          <w:rFonts w:hint="eastAsia" w:ascii="宋体" w:hAnsi="宋体" w:eastAsia="宋体" w:cs="宋体"/>
          <w:color w:val="0C0C0C" w:themeColor="text1" w:themeTint="F2"/>
          <w:sz w:val="24"/>
          <w:szCs w:val="24"/>
        </w:rPr>
      </w:pPr>
      <w:bookmarkStart w:id="23" w:name="OLE_LINK8"/>
      <w:r>
        <w:rPr>
          <w:rFonts w:hint="eastAsia" w:ascii="宋体" w:hAnsi="宋体" w:eastAsia="宋体" w:cs="宋体"/>
          <w:color w:val="0C0C0C" w:themeColor="text1" w:themeTint="F2"/>
          <w:sz w:val="24"/>
          <w:szCs w:val="24"/>
        </w:rPr>
        <w:t>若法律法规的相关规定发生变更或监管机构允许，本基金管理人在履行适当程序后，可对上述资产配置比例进行调整。</w:t>
      </w:r>
      <w:bookmarkEnd w:id="23"/>
    </w:p>
    <w:p w14:paraId="22AACE5A">
      <w:pPr>
        <w:spacing w:line="360" w:lineRule="auto"/>
        <w:ind w:firstLine="480"/>
        <w:rPr>
          <w:rFonts w:hint="eastAsia" w:ascii="宋体" w:hAnsi="宋体" w:eastAsia="宋体" w:cs="宋体"/>
          <w:color w:val="0C0C0C" w:themeColor="text1" w:themeTint="F2"/>
          <w:sz w:val="24"/>
        </w:rPr>
      </w:pPr>
      <w:r>
        <w:rPr>
          <w:rFonts w:hint="eastAsia" w:ascii="宋体" w:hAnsi="宋体" w:eastAsia="宋体" w:cs="宋体"/>
          <w:color w:val="0C0C0C" w:themeColor="text1" w:themeTint="F2"/>
          <w:sz w:val="24"/>
        </w:rPr>
        <w:t>（二）投资组合限制</w:t>
      </w:r>
    </w:p>
    <w:p w14:paraId="5C16FDF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1、组合限制</w:t>
      </w:r>
    </w:p>
    <w:p w14:paraId="5C020064">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基金的投资组合应遵循以下限制：</w:t>
      </w:r>
    </w:p>
    <w:p w14:paraId="5EBF2845">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（1）本基金投资于标的指数成份股和备选成份股（含存托凭证）的资产比例不低于基金资产净值的90%，且不低于非现金基金资产的80%；</w:t>
      </w:r>
    </w:p>
    <w:p w14:paraId="5046AC00">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（2）每个交易日日终在扣除股指期货、股票期权和国债期货合约需缴纳的交易保证金后，本基金应当保持不低于交易保证金一倍的现金，其中现金不包括结算备付金、存出保证金和应收申购款等；</w:t>
      </w:r>
    </w:p>
    <w:p w14:paraId="202422DF">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（3）本基金持有一家公司发行的证券，其市值不超过基金资产净值的10%，完全按照有关指数的构成比例进行证券投资的基金品种可以不受前述比例限制；</w:t>
      </w:r>
    </w:p>
    <w:p w14:paraId="1F2DE22A">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（4）本基金管理人管理的全部基金持有一家公司发行的证券，不超过该证券的10%，完全按照有关指数的构成比例进行证券投资的基金品种可以不受前述比例限制；</w:t>
      </w:r>
    </w:p>
    <w:p w14:paraId="28498D67">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（5）本基金参与股指期货和国债期货交易，需遵守下列投资比例限制：</w:t>
      </w:r>
    </w:p>
    <w:p w14:paraId="6BE7CE81">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1）本基金在任何交易日日终，持有的买入股指期货合约价值，不得超过基金资产净值的10%；在任何交易日日终，持有的买入国债期货合约价值，不得超过基金资产净值的15%；</w:t>
      </w:r>
    </w:p>
    <w:p w14:paraId="67FD910C">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2FEFFFDB">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 xml:space="preserve">3）本基金在任何交易日日终，持有的卖出股指期货合约价值不得超过基金持有的股票总市值的20%；在任何交易日日终，持有的卖出国债期货合约价值不得超过基金持有的债券总市值的30%； </w:t>
      </w:r>
    </w:p>
    <w:p w14:paraId="51A3D570">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114205F9">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F838AE7">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（6）本基金投资于同一原始权益人的各类资产支持证券的比例，不得超过基金资产净值的10％；</w:t>
      </w:r>
    </w:p>
    <w:p w14:paraId="64A11D22">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（7）本基金持有的全部资产支持证券，其市值不得超过基金资产净值的20％；</w:t>
      </w:r>
    </w:p>
    <w:p w14:paraId="78CD4DF7">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（8）本基金持有的同一(指同一信用级别)资产支持证券的比例，不得超过该资产支持证券规模的10％；</w:t>
      </w:r>
    </w:p>
    <w:p w14:paraId="257C5208">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（9）本基金管理人管理的全部基金投资于同一原始权益人的各类资产支持证券，不得超过其各类资产支持证券合计规模的10％；</w:t>
      </w:r>
    </w:p>
    <w:p w14:paraId="1B0BD0BD">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（10）本基金应投资于信用级别评级为BBB以上(含BBB)的资产支持证券。基金持有资产支持证券期间，如果其信用等级下降、不再符合投资标准，应在评级报告发布之日起3个月内予以全部卖出；</w:t>
      </w:r>
    </w:p>
    <w:p w14:paraId="6440A634">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（11）基金财产参与股票发行申购，本基金所申报的金额不超过本基金的总资产，本基金所申报的股票数量不超过拟发行股票公司本次发行股票的总量；</w:t>
      </w:r>
    </w:p>
    <w:p w14:paraId="4D7A18D6">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（12）本基金参与融资的，在任何交易日日终，本基金持有的融资买入股票与其他有价证券市值之和，不得超过基金资产净值的95%；</w:t>
      </w:r>
    </w:p>
    <w:p w14:paraId="12944308">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（13）本基金参与转融通证券出借业务，需遵守下列投资限制：</w:t>
      </w:r>
    </w:p>
    <w:p w14:paraId="47C0C271">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1）出借证券资产不得超过基金资产净值的30%，出借期限在10个交易日以上的出借证券应纳入《流动性风险管理规定》所述流动性受限证券的范围；</w:t>
      </w:r>
    </w:p>
    <w:p w14:paraId="3A1D76D0">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2）参与出借业务的单只证券不得超过本基金持有该证券总量的30%；</w:t>
      </w:r>
    </w:p>
    <w:p w14:paraId="0F08679D">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3）最近6个月内日均基金资产净值不得低于2亿元；</w:t>
      </w:r>
    </w:p>
    <w:p w14:paraId="62E5F7C3">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4）证券出借的平均剩余期限不得超过30天，平均剩余期限按照市值加权平均计算；</w:t>
      </w:r>
    </w:p>
    <w:p w14:paraId="70AC5459">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因证券、期货市场波动、证券发行人合并、基金规模变动等基金管理人之外的因素致使基金投资不符合上述规定的，基金管理人不得新增出借业务；</w:t>
      </w:r>
    </w:p>
    <w:p w14:paraId="3550189E">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（14）本基金投资股票期权应当符合以下要求：</w:t>
      </w:r>
    </w:p>
    <w:p w14:paraId="48304C35">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0C07448C">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E55F565">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（16）本基金与私募类证券资管产品及中国证监会认定的其他主体为交易对手开展逆回购交易的，可接受质押品的资质要求应当与本基金合同约定的投资范围保持一致；</w:t>
      </w:r>
    </w:p>
    <w:p w14:paraId="306DB75E">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（17）本基金资产总值不得超过基金资产净值的140%；</w:t>
      </w:r>
    </w:p>
    <w:p w14:paraId="5CCDD6ED">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（18）本基金投资存托凭证的比例限制依照境内上市交易的股票执行；</w:t>
      </w:r>
    </w:p>
    <w:p w14:paraId="5C9BFAFE">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（19）法律法规及中国证监会规定的和《基金合同》约定的其他投资限制。</w:t>
      </w:r>
    </w:p>
    <w:p w14:paraId="78FEAA10">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除上述（2）、（10）、（13）、（15）、（16）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44A5EAA1">
      <w:pPr>
        <w:spacing w:before="0" w:beforeAutospacing="0" w:after="0" w:afterAutospacing="0" w:line="360" w:lineRule="auto"/>
        <w:ind w:firstLine="420"/>
        <w:rPr>
          <w:rFonts w:hint="eastAsia" w:ascii="宋体" w:hAnsi="宋体" w:eastAsia="宋体" w:cs="宋体"/>
          <w:sz w:val="24"/>
        </w:rPr>
      </w:pPr>
      <w:r>
        <w:rPr>
          <w:rFonts w:hint="eastAsia" w:ascii="宋体" w:hAnsi="宋体" w:eastAsia="宋体" w:cs="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3DE16482">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法律法规或监管部门取消或调整上述限制，如适用于本基金，基金管理人在与基金托管人协商一致并履行适当程序后，则本基金投资不再受相关限制或按照调整后的规定执行。</w:t>
      </w:r>
    </w:p>
    <w:p w14:paraId="334792B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2、禁止行为</w:t>
      </w:r>
    </w:p>
    <w:p w14:paraId="196FEB7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为维护基金份额持有人的合法权益，基金财产不得用于下列投资或者活动：</w:t>
      </w:r>
    </w:p>
    <w:p w14:paraId="2467AE5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（1）承销证券；</w:t>
      </w:r>
    </w:p>
    <w:p w14:paraId="58FE99A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（2）违反规定向他人贷款或者提供担保；</w:t>
      </w:r>
    </w:p>
    <w:p w14:paraId="44851A3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（3）从事承担无限责任的投资；</w:t>
      </w:r>
    </w:p>
    <w:p w14:paraId="500D7525">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（4）买卖其他基金份额，但是中国证监会另有规定的除外；</w:t>
      </w:r>
    </w:p>
    <w:p w14:paraId="5A8A7DD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（5）向其基金管理人、基金托管人出资；</w:t>
      </w:r>
    </w:p>
    <w:p w14:paraId="1A327CA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（6）从事内幕交易、操纵证券交易价格及其他不正当的证券交易活动；</w:t>
      </w:r>
    </w:p>
    <w:p w14:paraId="21872D1F">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（7）法律、行政法规和中国证监会规定禁止的其他活动。</w:t>
      </w:r>
    </w:p>
    <w:p w14:paraId="57169742">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C26F58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法律、行政法规或监管部门取消或调整上述限制，如适用于本基金，基金管理人在履行适当程序后，则本基金投资不再受相关限制或按照调整后的规定执行。</w:t>
      </w:r>
    </w:p>
    <w:p w14:paraId="5D5AE3CD">
      <w:pPr>
        <w:snapToGrid w:val="0"/>
        <w:spacing w:line="360" w:lineRule="auto"/>
        <w:ind w:firstLine="482"/>
        <w:rPr>
          <w:rFonts w:hint="eastAsia" w:ascii="宋体" w:hAnsi="宋体" w:eastAsia="宋体" w:cs="宋体"/>
          <w:b/>
          <w:sz w:val="24"/>
        </w:rPr>
      </w:pPr>
      <w:r>
        <w:rPr>
          <w:rFonts w:hint="eastAsia" w:ascii="宋体" w:hAnsi="宋体" w:eastAsia="宋体" w:cs="宋体"/>
          <w:b/>
          <w:sz w:val="24"/>
        </w:rPr>
        <w:t>六、基金资产净值的计算方法和公告方式</w:t>
      </w:r>
    </w:p>
    <w:p w14:paraId="152427A6">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（一）基金资产净值的计算方式</w:t>
      </w:r>
    </w:p>
    <w:p w14:paraId="22D0B20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9B06AA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2、对于已上市或已挂牌转让的不含权固定收益品种，选取估值日第三方估值基准服务机构提供的相应品种当日的估值全价进行估值。</w:t>
      </w:r>
    </w:p>
    <w:p w14:paraId="0DD77A9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3、对于已上市或已挂牌转让的含权固定收益品种，选取估值日第三方估值基准服务机构提供的相应品种当日的唯一估值全价或推荐估值全价进行估值。</w:t>
      </w:r>
    </w:p>
    <w:p w14:paraId="67F5A1A1">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0632DB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B5D4A19">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5、对于未上市或未挂牌转让且不存在活跃市场的固定收益品种，应采用在当前情况下适用并且有足够可利用数据和其他信息支持的估值技术确定其公允价值。</w:t>
      </w:r>
    </w:p>
    <w:p w14:paraId="4ABFAA5C">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6、处于未上市期间的有价证券应区分如下情况处理：</w:t>
      </w:r>
    </w:p>
    <w:p w14:paraId="78DD921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（1）送股、转增股、配股和公开增发的新股，按估值日在证券交易所挂牌的同一股票的估值方法估值；该日无交易的，以最近一日的市价（收盘价）估值；</w:t>
      </w:r>
    </w:p>
    <w:p w14:paraId="590014C3">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（2）首次公开发行未上市的股票，采用估值技术确定公允价值；</w:t>
      </w:r>
    </w:p>
    <w:p w14:paraId="423A22C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59FEC77">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7、本基金投资存托凭证的估值核算，依照境内上市交易的股票执行。</w:t>
      </w:r>
    </w:p>
    <w:p w14:paraId="54352EC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8、同一证券同时在两个或两个以上市场交易的，按证券所处的市场分别估值。</w:t>
      </w:r>
    </w:p>
    <w:p w14:paraId="0A386D1D">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9、本基金参与股指期货、国债期货合约交易，一般以估值当日结算价确定公允价值，估值当日无结算价的，且最近交易日后未发生影响公允价值计量的重大事件的，采用最近交易日结算价估值。</w:t>
      </w:r>
    </w:p>
    <w:p w14:paraId="4B9B569E">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10、本基金投资股票期权，根据相关法律法规以及监管部门的规定估值。</w:t>
      </w:r>
    </w:p>
    <w:p w14:paraId="5790A488">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11、本基金参与融资及转融通证券出借业务的，应参照法律法规及行业协会的相关规定进行估值。</w:t>
      </w:r>
    </w:p>
    <w:p w14:paraId="0CCA4914">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12、如有确凿证据表明按上述方法进行估值不能客观反映其公允价值的，基金管理人可根据具体情况与基金托管人商定后，按最能反映公允价值的方法估值。</w:t>
      </w:r>
    </w:p>
    <w:p w14:paraId="6A0D1A8A">
      <w:pPr>
        <w:snapToGrid w:val="0"/>
        <w:spacing w:line="360" w:lineRule="auto"/>
        <w:ind w:firstLine="48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53EF4B8C">
      <w:pPr>
        <w:widowControl/>
        <w:snapToGrid w:val="0"/>
        <w:spacing w:line="360" w:lineRule="auto"/>
        <w:ind w:firstLine="480"/>
        <w:jc w:val="left"/>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但基金托管人有权向监管部门报告。</w:t>
      </w:r>
    </w:p>
    <w:p w14:paraId="3947EB1F">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（二）基金净值信息</w:t>
      </w:r>
    </w:p>
    <w:p w14:paraId="1D465B83">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《基金合同》生效后，在基金份额上市交易或者开始办理基金份额申购或者赎回前，基金管理人应当至少每周在规定网站披露一次基金份额净值和基金份额累计净值。</w:t>
      </w:r>
    </w:p>
    <w:p w14:paraId="65824A20">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2F83D418">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基金管理人应当在不晚于半年度和年度最后一日的次日，在规定网站披露半年度和年度最后一日的基金份额净值和基金份额累计净值。</w:t>
      </w:r>
    </w:p>
    <w:p w14:paraId="316F5148">
      <w:pPr>
        <w:snapToGrid w:val="0"/>
        <w:spacing w:line="360" w:lineRule="auto"/>
        <w:ind w:firstLine="482"/>
        <w:rPr>
          <w:rFonts w:hint="eastAsia" w:ascii="宋体" w:hAnsi="宋体" w:eastAsia="宋体" w:cs="宋体"/>
          <w:b/>
          <w:sz w:val="24"/>
        </w:rPr>
      </w:pPr>
      <w:r>
        <w:rPr>
          <w:rFonts w:hint="eastAsia" w:ascii="宋体" w:hAnsi="宋体" w:eastAsia="宋体" w:cs="宋体"/>
          <w:b/>
          <w:sz w:val="24"/>
        </w:rPr>
        <w:t>七、基金合同的变更、终止与基金财产的清算</w:t>
      </w:r>
    </w:p>
    <w:p w14:paraId="0415E460">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（一）《基金合同》的变更</w:t>
      </w:r>
    </w:p>
    <w:p w14:paraId="494CC166">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65E89B06">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2、关于《基金合同》变更的基金份额持有人大会决议自生效后方可执行，自决议生效后按规定在规定媒介公告。</w:t>
      </w:r>
    </w:p>
    <w:p w14:paraId="0A5251B7">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（二）《基金合同》的终止事由</w:t>
      </w:r>
    </w:p>
    <w:p w14:paraId="4D22C4FD">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有下列情形之一的，经履行相关程序后，《基金合同》应当终止：</w:t>
      </w:r>
    </w:p>
    <w:p w14:paraId="7E25E4C5">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1、基金份额持有人大会决定终止的；</w:t>
      </w:r>
    </w:p>
    <w:p w14:paraId="40790553">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2、基金管理人、基金托管人职责终止，在6个月内没有新基金管理人、新基金托管人承接的；</w:t>
      </w:r>
    </w:p>
    <w:p w14:paraId="0E4D2EA4">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rPr>
        <w:t>3、</w:t>
      </w:r>
      <w:r>
        <w:rPr>
          <w:rFonts w:hint="eastAsia" w:ascii="宋体" w:hAnsi="宋体" w:eastAsia="宋体" w:cs="宋体"/>
          <w:sz w:val="24"/>
          <w:szCs w:val="24"/>
        </w:rPr>
        <w:t>《基金合同》约定的其他情形；</w:t>
      </w:r>
    </w:p>
    <w:p w14:paraId="218935A8">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4、相关法律法规和中国证监会规定的其他情况。</w:t>
      </w:r>
    </w:p>
    <w:p w14:paraId="7E3E50F7">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（三）基金财产的清算</w:t>
      </w:r>
    </w:p>
    <w:p w14:paraId="5F34CD5A">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1、基金财产清算小组：自出现《基金合同》终止事由之日起30个工作日内成立基金财产清算小组，基金管理人组织基金财产清算小组并在中国证监会的监督下进行基金清算。</w:t>
      </w:r>
    </w:p>
    <w:p w14:paraId="1953AD64">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2、在基金财产清算小组接管基金财产之前，基金管理人和基金托管人应按照《基金合同》和托管协议的规定继续履行保护基金财产安全的职责。</w:t>
      </w:r>
    </w:p>
    <w:p w14:paraId="47B2FBD1">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B2D0321">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4、基金财产清算小组职责：基金财产清算小组负责基金财产的保管、清理、估价、变现和分配。基金财产清算小组可以依法进行必要的民事活动。</w:t>
      </w:r>
    </w:p>
    <w:p w14:paraId="3C933213">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5、基金财产清算程序：</w:t>
      </w:r>
    </w:p>
    <w:p w14:paraId="62FC8070">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（1）《基金合同》终止情形出现时，由基金财产清算小组统一接管基金；</w:t>
      </w:r>
    </w:p>
    <w:p w14:paraId="65455CD2">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（2）对基金财产和债权债务进行清理和确认；</w:t>
      </w:r>
    </w:p>
    <w:p w14:paraId="2707DDD3">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（3）对基金财产进行估值和变现；</w:t>
      </w:r>
    </w:p>
    <w:p w14:paraId="38B55549">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（4）制作清算报告；</w:t>
      </w:r>
    </w:p>
    <w:p w14:paraId="6B01E81E">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（5）聘请会计师事务所对清算报告进行外部审计，聘请律师事务所对清算报告出具法律意见书；</w:t>
      </w:r>
    </w:p>
    <w:p w14:paraId="09BBD193">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（6）将清算报告报中国证监会备案并公告；</w:t>
      </w:r>
    </w:p>
    <w:p w14:paraId="5FDB4CC2">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（7）对基金剩余财产进行分配。</w:t>
      </w:r>
    </w:p>
    <w:p w14:paraId="6FB2BAA0">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6、基金财产清算的期限为6个月，但因本基金所持证券的流动性受到限制而不能及时变现的，清算期限相应顺延。</w:t>
      </w:r>
    </w:p>
    <w:p w14:paraId="67B4DA9A">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（四）清算费用</w:t>
      </w:r>
    </w:p>
    <w:p w14:paraId="109FE86F">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清算费用是指基金财产清算小组在进行基金财产清算过程中发生的所有合理费用，清算费用由基金财产清算小组优先从基金剩余财产中支付。</w:t>
      </w:r>
    </w:p>
    <w:p w14:paraId="5E7EE1AF">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（五）基金财产清算剩余资产的分配</w:t>
      </w:r>
    </w:p>
    <w:p w14:paraId="7423B4ED">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依据基金财产清算的分配方案，将基金财产清算后的全部剩余资产扣除基金财产清算费用、交纳所欠税款并清偿基金债务后，按基金份额持有人持有的基金份额比例进行分配。</w:t>
      </w:r>
    </w:p>
    <w:p w14:paraId="1A75EF50">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（六）基金财产清算的公告</w:t>
      </w:r>
    </w:p>
    <w:p w14:paraId="0D8AB2B4">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26EB4DA">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（七）基金财产清算账册及文件的保存</w:t>
      </w:r>
    </w:p>
    <w:p w14:paraId="253A931E">
      <w:pPr>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基金财产清算账册及有关文件由基金托管人保存，保存期限不低于法定最低期限。</w:t>
      </w:r>
    </w:p>
    <w:p w14:paraId="126694BE">
      <w:pPr>
        <w:snapToGrid w:val="0"/>
        <w:spacing w:line="360" w:lineRule="auto"/>
        <w:ind w:firstLine="482"/>
        <w:rPr>
          <w:rFonts w:hint="eastAsia" w:ascii="宋体" w:hAnsi="宋体" w:eastAsia="宋体" w:cs="宋体"/>
          <w:b/>
          <w:sz w:val="24"/>
        </w:rPr>
      </w:pPr>
      <w:r>
        <w:rPr>
          <w:rFonts w:hint="eastAsia" w:ascii="宋体" w:hAnsi="宋体" w:eastAsia="宋体" w:cs="宋体"/>
          <w:b/>
          <w:sz w:val="24"/>
        </w:rPr>
        <w:t>八、争议的处理</w:t>
      </w:r>
    </w:p>
    <w:p w14:paraId="4E870148">
      <w:pPr>
        <w:snapToGrid w:val="0"/>
        <w:spacing w:line="360" w:lineRule="auto"/>
        <w:ind w:firstLine="480"/>
        <w:rPr>
          <w:rFonts w:hint="eastAsia" w:ascii="宋体" w:hAnsi="宋体" w:eastAsia="宋体" w:cs="宋体"/>
          <w:bCs/>
          <w:sz w:val="24"/>
        </w:rPr>
      </w:pPr>
      <w:r>
        <w:rPr>
          <w:rFonts w:hint="eastAsia" w:ascii="宋体" w:hAnsi="宋体" w:eastAsia="宋体" w:cs="宋体"/>
          <w:bCs/>
          <w:sz w:val="24"/>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75C133A6">
      <w:pPr>
        <w:snapToGrid w:val="0"/>
        <w:spacing w:line="360" w:lineRule="auto"/>
        <w:ind w:firstLine="480"/>
        <w:rPr>
          <w:rFonts w:hint="eastAsia" w:ascii="宋体" w:hAnsi="宋体" w:eastAsia="宋体" w:cs="宋体"/>
          <w:bCs/>
          <w:sz w:val="24"/>
        </w:rPr>
      </w:pPr>
      <w:r>
        <w:rPr>
          <w:rFonts w:hint="eastAsia" w:ascii="宋体" w:hAnsi="宋体" w:eastAsia="宋体" w:cs="宋体"/>
          <w:bCs/>
          <w:sz w:val="24"/>
        </w:rPr>
        <w:t>争议处理期间，基金管理人、基金托管人应恪守基金管理人和基金托管人的职责，各自继续忠实、勤勉、尽责地履行基金合同和基金托管协议规定的义务，维护基金份额持有人的合法权益。</w:t>
      </w:r>
    </w:p>
    <w:p w14:paraId="6610AE0A">
      <w:pPr>
        <w:snapToGrid w:val="0"/>
        <w:spacing w:line="360" w:lineRule="auto"/>
        <w:ind w:firstLine="480"/>
        <w:rPr>
          <w:rFonts w:hint="eastAsia" w:ascii="宋体" w:hAnsi="宋体" w:eastAsia="宋体" w:cs="宋体"/>
          <w:bCs/>
          <w:sz w:val="24"/>
        </w:rPr>
      </w:pPr>
      <w:r>
        <w:rPr>
          <w:rFonts w:hint="eastAsia" w:ascii="宋体" w:hAnsi="宋体" w:eastAsia="宋体" w:cs="宋体"/>
          <w:bCs/>
          <w:sz w:val="24"/>
        </w:rPr>
        <w:t>《基金合同》受中国法律（为本基金合同之目的，在此不包括香港、澳门特别行政区法律和台湾地区的有关规定）管辖并从其解释。</w:t>
      </w:r>
    </w:p>
    <w:p w14:paraId="469467FF">
      <w:pPr>
        <w:snapToGrid w:val="0"/>
        <w:spacing w:line="360" w:lineRule="auto"/>
        <w:ind w:firstLine="482"/>
        <w:rPr>
          <w:rFonts w:hint="eastAsia" w:ascii="宋体" w:hAnsi="宋体" w:eastAsia="宋体" w:cs="宋体"/>
          <w:b/>
          <w:sz w:val="24"/>
        </w:rPr>
      </w:pPr>
      <w:r>
        <w:rPr>
          <w:rFonts w:hint="eastAsia" w:ascii="宋体" w:hAnsi="宋体" w:eastAsia="宋体" w:cs="宋体"/>
          <w:b/>
          <w:sz w:val="24"/>
        </w:rPr>
        <w:t>九、基金合同存放地和投资者取得合同的方式</w:t>
      </w:r>
    </w:p>
    <w:p w14:paraId="381F2903">
      <w:pPr>
        <w:spacing w:line="360" w:lineRule="auto"/>
        <w:ind w:firstLine="480"/>
        <w:rPr>
          <w:rFonts w:hint="eastAsia" w:ascii="宋体" w:hAnsi="宋体" w:eastAsia="宋体" w:cs="宋体"/>
          <w:bCs/>
          <w:sz w:val="24"/>
        </w:rPr>
      </w:pPr>
      <w:bookmarkStart w:id="24" w:name="CLAUSE_0467a38cd9ce462381256d127af2578b"/>
      <w:bookmarkStart w:id="25" w:name="_Toc233456272"/>
      <w:bookmarkStart w:id="26" w:name="_Toc258829400"/>
      <w:r>
        <w:rPr>
          <w:rFonts w:hint="eastAsia" w:ascii="宋体" w:hAnsi="宋体" w:eastAsia="宋体" w:cs="宋体"/>
          <w:sz w:val="24"/>
          <w:szCs w:val="24"/>
        </w:rPr>
        <w:t>本基金合同可印制成册，供投资人在基金管理人、基金托管人、代销机构的办公场所查阅。</w:t>
      </w:r>
      <w:bookmarkEnd w:id="24"/>
      <w:bookmarkEnd w:id="25"/>
      <w:bookmarkEnd w:id="26"/>
    </w:p>
    <w:sectPr>
      <w:footerReference r:id="rId3" w:type="default"/>
      <w:pgSz w:w="11906" w:h="16838"/>
      <w:pgMar w:top="1440" w:right="1800" w:bottom="1440" w:left="1800" w:header="0" w:footer="992" w:gutter="0"/>
      <w:pgNumType w:fmt="decimal" w:start="1"/>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reeSans">
    <w:altName w:val="Segoe Print"/>
    <w:panose1 w:val="00000000000000000000"/>
    <w:charset w:val="00"/>
    <w:family w:val="auto"/>
    <w:pitch w:val="default"/>
    <w:sig w:usb0="00000000" w:usb1="00000000" w:usb2="00000000" w:usb3="00000000" w:csb0="00000000" w:csb1="00000000"/>
  </w:font>
  <w:font w:name="仿宋_GB2312;仿宋">
    <w:altName w:val="仿宋"/>
    <w:panose1 w:val="00000000000000000000"/>
    <w:charset w:val="00"/>
    <w:family w:val="auto"/>
    <w:pitch w:val="default"/>
    <w:sig w:usb0="00000000" w:usb1="00000000" w:usb2="00000000" w:usb3="00000000" w:csb0="00000000" w:csb1="00000000"/>
  </w:font>
  <w:font w:name="Arial Unicode MS;宋体">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6DDE1">
    <w:pPr>
      <w:pStyle w:val="19"/>
      <w:jc w:val="center"/>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52</w:t>
    </w:r>
    <w:r>
      <w:rPr>
        <w:rFonts w:ascii="Arial" w:hAnsi="Arial" w:cs="Arial"/>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pStyle w:val="6"/>
      <w:suff w:val="nothing"/>
      <w:lvlText w:val=""/>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1">
    <w:nsid w:val="59ADCABA"/>
    <w:multiLevelType w:val="singleLevel"/>
    <w:tmpl w:val="59ADCABA"/>
    <w:lvl w:ilvl="0" w:tentative="0">
      <w:start w:val="1"/>
      <w:numFmt w:val="decimal"/>
      <w:pStyle w:val="79"/>
      <w:lvlText w:val="(%1)"/>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autoHyphenation/>
  <w:displayHorizontalDrawingGridEvery w:val="1"/>
  <w:displayVerticalDrawingGridEvery w:val="1"/>
  <w:noPunctuationKerning w:val="1"/>
  <w:compat>
    <w:noLeading/>
    <w:doNotExpandShiftReturn/>
    <w:doNotWrapTextWithPunct/>
    <w:doNotUseEastAsianBreakRules/>
    <w:useFELayout/>
    <w:doNotUseIndentAsNumberingTabStop/>
    <w:useAltKinsokuLineBreakRules/>
    <w:compatSetting w:name="compatibilityMode" w:uri="http://schemas.microsoft.com/office/word" w:val="11"/>
  </w:compat>
  <w:rsids>
    <w:rsidRoot w:val="00000000"/>
    <w:rsid w:val="09254490"/>
    <w:rsid w:val="0A7B600A"/>
    <w:rsid w:val="0AE81B50"/>
    <w:rsid w:val="0F75098A"/>
    <w:rsid w:val="105305AF"/>
    <w:rsid w:val="10B63CFC"/>
    <w:rsid w:val="12A365A3"/>
    <w:rsid w:val="1B0B1998"/>
    <w:rsid w:val="1D950E34"/>
    <w:rsid w:val="1F7A5793"/>
    <w:rsid w:val="22986E4F"/>
    <w:rsid w:val="245176FA"/>
    <w:rsid w:val="253B6259"/>
    <w:rsid w:val="26DB7863"/>
    <w:rsid w:val="2C414528"/>
    <w:rsid w:val="2EAC599E"/>
    <w:rsid w:val="30A75A67"/>
    <w:rsid w:val="31AF19A7"/>
    <w:rsid w:val="321B4E36"/>
    <w:rsid w:val="33606967"/>
    <w:rsid w:val="351A0E86"/>
    <w:rsid w:val="393A5334"/>
    <w:rsid w:val="3C5F7F25"/>
    <w:rsid w:val="3D2E3810"/>
    <w:rsid w:val="3E644CDD"/>
    <w:rsid w:val="434C71F8"/>
    <w:rsid w:val="44737DE3"/>
    <w:rsid w:val="473B1996"/>
    <w:rsid w:val="47856606"/>
    <w:rsid w:val="4C5A70B4"/>
    <w:rsid w:val="4FE75DA8"/>
    <w:rsid w:val="52383FF3"/>
    <w:rsid w:val="531F09C6"/>
    <w:rsid w:val="54FD105E"/>
    <w:rsid w:val="557E7EEE"/>
    <w:rsid w:val="58D464E9"/>
    <w:rsid w:val="59B57AB7"/>
    <w:rsid w:val="5BDC2EC5"/>
    <w:rsid w:val="5CAB3BFC"/>
    <w:rsid w:val="5D614E3F"/>
    <w:rsid w:val="5E6A7340"/>
    <w:rsid w:val="61003CAE"/>
    <w:rsid w:val="635B67CE"/>
    <w:rsid w:val="69EB2BE4"/>
    <w:rsid w:val="7A8F0CDC"/>
    <w:rsid w:val="7C0D01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Times New Roman" w:hAnsi="Times New Roman" w:eastAsia="宋体" w:cs="Times New Roman"/>
      <w:color w:val="auto"/>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before="240" w:after="0" w:line="360" w:lineRule="auto"/>
      <w:jc w:val="center"/>
      <w:outlineLvl w:val="0"/>
    </w:pPr>
    <w:rPr>
      <w:rFonts w:ascii="Arial" w:hAnsi="Arial" w:cs="Arial"/>
      <w:b/>
      <w:kern w:val="0"/>
      <w:sz w:val="30"/>
      <w:szCs w:val="30"/>
    </w:rPr>
  </w:style>
  <w:style w:type="paragraph" w:styleId="3">
    <w:name w:val="heading 2"/>
    <w:basedOn w:val="1"/>
    <w:next w:val="1"/>
    <w:qFormat/>
    <w:uiPriority w:val="0"/>
    <w:pPr>
      <w:keepNext/>
      <w:keepLines/>
      <w:numPr>
        <w:ilvl w:val="1"/>
        <w:numId w:val="1"/>
      </w:numPr>
      <w:spacing w:before="260" w:after="260" w:line="415" w:lineRule="auto"/>
      <w:outlineLvl w:val="1"/>
    </w:pPr>
    <w:rPr>
      <w:rFonts w:ascii="Cambria" w:hAnsi="Cambria" w:eastAsia="宋体" w:cs="Times New Roman"/>
      <w:b/>
      <w:bCs/>
      <w:sz w:val="32"/>
      <w:szCs w:val="32"/>
    </w:rPr>
  </w:style>
  <w:style w:type="paragraph" w:styleId="4">
    <w:name w:val="heading 3"/>
    <w:basedOn w:val="1"/>
    <w:next w:val="1"/>
    <w:qFormat/>
    <w:uiPriority w:val="0"/>
    <w:pPr>
      <w:numPr>
        <w:ilvl w:val="2"/>
        <w:numId w:val="1"/>
      </w:numPr>
      <w:spacing w:before="120" w:after="120" w:line="360" w:lineRule="auto"/>
      <w:outlineLvl w:val="2"/>
    </w:pPr>
    <w:rPr>
      <w:rFonts w:ascii="宋体" w:hAnsi="宋体"/>
      <w:b/>
      <w:szCs w:val="20"/>
    </w:rPr>
  </w:style>
  <w:style w:type="paragraph" w:styleId="5">
    <w:name w:val="heading 4"/>
    <w:basedOn w:val="1"/>
    <w:next w:val="1"/>
    <w:qFormat/>
    <w:uiPriority w:val="0"/>
    <w:pPr>
      <w:keepNext/>
      <w:keepLines/>
      <w:numPr>
        <w:ilvl w:val="3"/>
        <w:numId w:val="1"/>
      </w:numPr>
      <w:spacing w:line="360" w:lineRule="auto"/>
      <w:outlineLvl w:val="3"/>
    </w:pPr>
    <w:rPr>
      <w:rFonts w:ascii="Arial" w:hAnsi="Arial" w:cs="Arial"/>
      <w:szCs w:val="20"/>
    </w:rPr>
  </w:style>
  <w:style w:type="paragraph" w:styleId="6">
    <w:name w:val="heading 5"/>
    <w:basedOn w:val="1"/>
    <w:next w:val="1"/>
    <w:qFormat/>
    <w:uiPriority w:val="0"/>
    <w:pPr>
      <w:keepNext/>
      <w:keepLines/>
      <w:numPr>
        <w:ilvl w:val="4"/>
        <w:numId w:val="1"/>
      </w:numPr>
      <w:snapToGrid w:val="0"/>
      <w:spacing w:line="360" w:lineRule="auto"/>
      <w:outlineLvl w:val="4"/>
    </w:pPr>
    <w:rPr>
      <w:szCs w:val="20"/>
    </w:rPr>
  </w:style>
  <w:style w:type="paragraph" w:styleId="7">
    <w:name w:val="heading 6"/>
    <w:basedOn w:val="1"/>
    <w:next w:val="1"/>
    <w:qFormat/>
    <w:uiPriority w:val="0"/>
    <w:pPr>
      <w:keepNext/>
      <w:keepLines/>
      <w:numPr>
        <w:ilvl w:val="5"/>
        <w:numId w:val="1"/>
      </w:numPr>
      <w:spacing w:before="240" w:after="64" w:line="319" w:lineRule="auto"/>
      <w:outlineLvl w:val="5"/>
    </w:pPr>
    <w:rPr>
      <w:rFonts w:ascii="Arial" w:hAnsi="Arial" w:eastAsia="黑体" w:cs="Arial"/>
      <w:b/>
      <w:sz w:val="24"/>
      <w:szCs w:val="20"/>
    </w:rPr>
  </w:style>
  <w:style w:type="paragraph" w:styleId="8">
    <w:name w:val="heading 7"/>
    <w:basedOn w:val="1"/>
    <w:next w:val="1"/>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qFormat/>
    <w:uiPriority w:val="0"/>
    <w:pPr>
      <w:keepNext/>
      <w:keepLines/>
      <w:numPr>
        <w:ilvl w:val="7"/>
        <w:numId w:val="1"/>
      </w:numPr>
      <w:spacing w:before="240" w:after="64" w:line="319" w:lineRule="auto"/>
      <w:outlineLvl w:val="7"/>
    </w:pPr>
    <w:rPr>
      <w:rFonts w:ascii="Arial" w:hAnsi="Arial" w:eastAsia="黑体" w:cs="Arial"/>
      <w:sz w:val="24"/>
      <w:szCs w:val="20"/>
    </w:rPr>
  </w:style>
  <w:style w:type="paragraph" w:styleId="10">
    <w:name w:val="heading 9"/>
    <w:basedOn w:val="1"/>
    <w:next w:val="1"/>
    <w:qFormat/>
    <w:uiPriority w:val="0"/>
    <w:pPr>
      <w:keepNext/>
      <w:keepLines/>
      <w:numPr>
        <w:ilvl w:val="8"/>
        <w:numId w:val="1"/>
      </w:numPr>
      <w:spacing w:before="240" w:after="64" w:line="319" w:lineRule="auto"/>
      <w:outlineLvl w:val="8"/>
    </w:pPr>
    <w:rPr>
      <w:rFonts w:ascii="Arial" w:hAnsi="Arial" w:eastAsia="黑体" w:cs="Arial"/>
      <w:szCs w:val="20"/>
    </w:rPr>
  </w:style>
  <w:style w:type="character" w:default="1" w:styleId="28">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right="0" w:firstLine="0"/>
      <w:jc w:val="left"/>
    </w:pPr>
    <w:rPr>
      <w:rFonts w:ascii="Calibri" w:hAnsi="Calibri" w:cs="Calibri"/>
      <w:sz w:val="18"/>
      <w:szCs w:val="18"/>
    </w:rPr>
  </w:style>
  <w:style w:type="paragraph" w:styleId="12">
    <w:name w:val="caption"/>
    <w:basedOn w:val="1"/>
    <w:qFormat/>
    <w:uiPriority w:val="0"/>
    <w:pPr>
      <w:suppressLineNumbers/>
      <w:spacing w:before="120" w:after="120"/>
    </w:pPr>
    <w:rPr>
      <w:rFonts w:cs="FreeSans"/>
      <w:i/>
      <w:iCs/>
      <w:sz w:val="24"/>
      <w:szCs w:val="24"/>
    </w:rPr>
  </w:style>
  <w:style w:type="paragraph" w:styleId="13">
    <w:name w:val="annotation text"/>
    <w:basedOn w:val="1"/>
    <w:qFormat/>
    <w:uiPriority w:val="0"/>
    <w:pPr>
      <w:jc w:val="left"/>
    </w:pPr>
  </w:style>
  <w:style w:type="paragraph" w:styleId="14">
    <w:name w:val="Body Text"/>
    <w:basedOn w:val="1"/>
    <w:qFormat/>
    <w:uiPriority w:val="0"/>
    <w:pPr>
      <w:spacing w:line="360" w:lineRule="auto"/>
    </w:pPr>
    <w:rPr>
      <w:rFonts w:ascii="仿宋_GB2312;仿宋" w:hAnsi="仿宋_GB2312;仿宋" w:eastAsia="仿宋_GB2312;仿宋"/>
      <w:sz w:val="24"/>
    </w:rPr>
  </w:style>
  <w:style w:type="paragraph" w:styleId="15">
    <w:name w:val="Body Text Indent"/>
    <w:basedOn w:val="1"/>
    <w:qFormat/>
    <w:uiPriority w:val="0"/>
    <w:pPr>
      <w:autoSpaceDE w:val="0"/>
      <w:spacing w:line="360" w:lineRule="auto"/>
      <w:ind w:left="0" w:right="0" w:firstLine="425"/>
      <w:textAlignment w:val="bottom"/>
    </w:pPr>
    <w:rPr>
      <w:rFonts w:ascii="宋体" w:hAnsi="宋体"/>
      <w:color w:val="FF0000"/>
      <w:szCs w:val="20"/>
    </w:rPr>
  </w:style>
  <w:style w:type="paragraph" w:styleId="16">
    <w:name w:val="toc 5"/>
    <w:basedOn w:val="1"/>
    <w:next w:val="1"/>
    <w:qFormat/>
    <w:uiPriority w:val="0"/>
    <w:pPr>
      <w:ind w:left="840" w:right="0" w:firstLine="0"/>
      <w:jc w:val="left"/>
    </w:pPr>
    <w:rPr>
      <w:rFonts w:ascii="Calibri" w:hAnsi="Calibri" w:cs="Calibri"/>
      <w:sz w:val="18"/>
      <w:szCs w:val="18"/>
    </w:rPr>
  </w:style>
  <w:style w:type="paragraph" w:styleId="17">
    <w:name w:val="toc 3"/>
    <w:basedOn w:val="1"/>
    <w:next w:val="1"/>
    <w:qFormat/>
    <w:uiPriority w:val="0"/>
    <w:pPr>
      <w:ind w:left="420" w:right="0" w:firstLine="0"/>
      <w:jc w:val="left"/>
    </w:pPr>
    <w:rPr>
      <w:rFonts w:ascii="Calibri" w:hAnsi="Calibri" w:cs="Calibri"/>
      <w:i/>
      <w:iCs/>
      <w:sz w:val="20"/>
      <w:szCs w:val="20"/>
    </w:rPr>
  </w:style>
  <w:style w:type="paragraph" w:styleId="18">
    <w:name w:val="toc 8"/>
    <w:basedOn w:val="1"/>
    <w:next w:val="1"/>
    <w:qFormat/>
    <w:uiPriority w:val="0"/>
    <w:pPr>
      <w:ind w:left="1470" w:right="0" w:firstLine="0"/>
      <w:jc w:val="left"/>
    </w:pPr>
    <w:rPr>
      <w:rFonts w:ascii="Calibri" w:hAnsi="Calibri" w:cs="Calibri"/>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21">
    <w:name w:val="toc 1"/>
    <w:basedOn w:val="1"/>
    <w:next w:val="1"/>
    <w:qFormat/>
    <w:uiPriority w:val="0"/>
    <w:pPr>
      <w:tabs>
        <w:tab w:val="right" w:leader="dot" w:pos="8296"/>
      </w:tabs>
      <w:spacing w:before="120" w:after="120" w:line="360" w:lineRule="auto"/>
      <w:jc w:val="left"/>
    </w:pPr>
    <w:rPr>
      <w:rFonts w:ascii="Calibri" w:hAnsi="Calibri" w:cs="Calibri"/>
      <w:b/>
      <w:bCs/>
      <w:caps/>
      <w:sz w:val="20"/>
      <w:szCs w:val="20"/>
    </w:rPr>
  </w:style>
  <w:style w:type="paragraph" w:styleId="22">
    <w:name w:val="toc 4"/>
    <w:basedOn w:val="1"/>
    <w:next w:val="1"/>
    <w:qFormat/>
    <w:uiPriority w:val="0"/>
    <w:pPr>
      <w:ind w:left="630" w:right="0" w:firstLine="0"/>
      <w:jc w:val="left"/>
    </w:pPr>
    <w:rPr>
      <w:rFonts w:ascii="Calibri" w:hAnsi="Calibri" w:cs="Calibri"/>
      <w:sz w:val="18"/>
      <w:szCs w:val="18"/>
    </w:rPr>
  </w:style>
  <w:style w:type="paragraph" w:styleId="23">
    <w:name w:val="List"/>
    <w:basedOn w:val="14"/>
    <w:qFormat/>
    <w:uiPriority w:val="0"/>
    <w:rPr>
      <w:rFonts w:cs="FreeSans"/>
    </w:rPr>
  </w:style>
  <w:style w:type="paragraph" w:styleId="24">
    <w:name w:val="toc 6"/>
    <w:basedOn w:val="1"/>
    <w:next w:val="1"/>
    <w:qFormat/>
    <w:uiPriority w:val="0"/>
    <w:pPr>
      <w:ind w:left="1050" w:right="0" w:firstLine="0"/>
      <w:jc w:val="left"/>
    </w:pPr>
    <w:rPr>
      <w:rFonts w:ascii="Calibri" w:hAnsi="Calibri" w:cs="Calibri"/>
      <w:sz w:val="18"/>
      <w:szCs w:val="18"/>
    </w:rPr>
  </w:style>
  <w:style w:type="paragraph" w:styleId="25">
    <w:name w:val="toc 2"/>
    <w:basedOn w:val="1"/>
    <w:next w:val="1"/>
    <w:qFormat/>
    <w:uiPriority w:val="0"/>
    <w:pPr>
      <w:ind w:left="210" w:right="0" w:firstLine="0"/>
      <w:jc w:val="left"/>
    </w:pPr>
    <w:rPr>
      <w:rFonts w:ascii="Calibri" w:hAnsi="Calibri" w:cs="Calibri"/>
      <w:smallCaps/>
      <w:sz w:val="20"/>
      <w:szCs w:val="20"/>
    </w:rPr>
  </w:style>
  <w:style w:type="paragraph" w:styleId="26">
    <w:name w:val="toc 9"/>
    <w:basedOn w:val="1"/>
    <w:next w:val="1"/>
    <w:qFormat/>
    <w:uiPriority w:val="0"/>
    <w:pPr>
      <w:ind w:left="1680" w:right="0" w:firstLine="0"/>
      <w:jc w:val="left"/>
    </w:pPr>
    <w:rPr>
      <w:rFonts w:ascii="Calibri" w:hAnsi="Calibri" w:cs="Calibri"/>
      <w:sz w:val="18"/>
      <w:szCs w:val="18"/>
    </w:rPr>
  </w:style>
  <w:style w:type="character" w:styleId="29">
    <w:name w:val="Strong"/>
    <w:basedOn w:val="30"/>
    <w:qFormat/>
    <w:uiPriority w:val="0"/>
    <w:rPr>
      <w:b/>
      <w:bCs/>
    </w:rPr>
  </w:style>
  <w:style w:type="character" w:customStyle="1" w:styleId="30">
    <w:name w:val="默认段落字体1"/>
    <w:qFormat/>
    <w:uiPriority w:val="0"/>
  </w:style>
  <w:style w:type="character" w:styleId="31">
    <w:name w:val="page number"/>
    <w:basedOn w:val="30"/>
    <w:qFormat/>
    <w:uiPriority w:val="0"/>
  </w:style>
  <w:style w:type="character" w:styleId="32">
    <w:name w:val="FollowedHyperlink"/>
    <w:qFormat/>
    <w:uiPriority w:val="0"/>
    <w:rPr>
      <w:color w:val="800080"/>
      <w:u w:val="single"/>
    </w:rPr>
  </w:style>
  <w:style w:type="character" w:styleId="33">
    <w:name w:val="Hyperlink"/>
    <w:qFormat/>
    <w:uiPriority w:val="0"/>
    <w:rPr>
      <w:color w:val="0000FF"/>
      <w:u w:val="single"/>
    </w:rPr>
  </w:style>
  <w:style w:type="character" w:customStyle="1" w:styleId="34">
    <w:name w:val="WW8Num2z0"/>
    <w:qFormat/>
    <w:uiPriority w:val="0"/>
  </w:style>
  <w:style w:type="character" w:customStyle="1" w:styleId="35">
    <w:name w:val="WW8Num3z0"/>
    <w:qFormat/>
    <w:uiPriority w:val="0"/>
  </w:style>
  <w:style w:type="character" w:customStyle="1" w:styleId="36">
    <w:name w:val="标题 1 Char"/>
    <w:qFormat/>
    <w:uiPriority w:val="0"/>
    <w:rPr>
      <w:rFonts w:ascii="Arial" w:hAnsi="Arial" w:cs="Arial"/>
      <w:b/>
      <w:sz w:val="30"/>
      <w:szCs w:val="30"/>
    </w:rPr>
  </w:style>
  <w:style w:type="character" w:customStyle="1" w:styleId="37">
    <w:name w:val="标题 2 Char"/>
    <w:qFormat/>
    <w:uiPriority w:val="0"/>
    <w:rPr>
      <w:rFonts w:ascii="Cambria" w:hAnsi="Cambria" w:eastAsia="宋体" w:cs="Times New Roman"/>
      <w:b/>
      <w:bCs/>
      <w:kern w:val="2"/>
      <w:sz w:val="32"/>
      <w:szCs w:val="32"/>
    </w:rPr>
  </w:style>
  <w:style w:type="character" w:customStyle="1" w:styleId="38">
    <w:name w:val="标题 3 Char"/>
    <w:qFormat/>
    <w:uiPriority w:val="0"/>
    <w:rPr>
      <w:rFonts w:ascii="宋体" w:hAnsi="宋体" w:cs="Times New Roman"/>
      <w:b/>
      <w:kern w:val="2"/>
      <w:sz w:val="21"/>
    </w:rPr>
  </w:style>
  <w:style w:type="character" w:customStyle="1" w:styleId="39">
    <w:name w:val="标题 4 Char"/>
    <w:qFormat/>
    <w:uiPriority w:val="0"/>
    <w:rPr>
      <w:rFonts w:ascii="Arial" w:hAnsi="Arial" w:cs="Arial"/>
      <w:kern w:val="2"/>
      <w:sz w:val="21"/>
    </w:rPr>
  </w:style>
  <w:style w:type="character" w:customStyle="1" w:styleId="40">
    <w:name w:val="标题 5 Char"/>
    <w:qFormat/>
    <w:uiPriority w:val="0"/>
    <w:rPr>
      <w:rFonts w:ascii="Times New Roman" w:hAnsi="Times New Roman" w:cs="Times New Roman"/>
      <w:kern w:val="2"/>
      <w:sz w:val="21"/>
    </w:rPr>
  </w:style>
  <w:style w:type="character" w:customStyle="1" w:styleId="41">
    <w:name w:val="标题 6 Char"/>
    <w:qFormat/>
    <w:uiPriority w:val="0"/>
    <w:rPr>
      <w:rFonts w:ascii="Arial" w:hAnsi="Arial" w:eastAsia="黑体" w:cs="Arial"/>
      <w:b/>
      <w:kern w:val="2"/>
      <w:sz w:val="24"/>
    </w:rPr>
  </w:style>
  <w:style w:type="character" w:customStyle="1" w:styleId="42">
    <w:name w:val="标题 7 Char"/>
    <w:qFormat/>
    <w:uiPriority w:val="0"/>
    <w:rPr>
      <w:rFonts w:ascii="Times New Roman" w:hAnsi="Times New Roman" w:cs="Times New Roman"/>
      <w:b/>
      <w:kern w:val="2"/>
      <w:sz w:val="24"/>
    </w:rPr>
  </w:style>
  <w:style w:type="character" w:customStyle="1" w:styleId="43">
    <w:name w:val="标题 8 Char"/>
    <w:qFormat/>
    <w:uiPriority w:val="0"/>
    <w:rPr>
      <w:rFonts w:ascii="Arial" w:hAnsi="Arial" w:eastAsia="黑体" w:cs="Arial"/>
      <w:kern w:val="2"/>
      <w:sz w:val="24"/>
    </w:rPr>
  </w:style>
  <w:style w:type="character" w:customStyle="1" w:styleId="44">
    <w:name w:val="标题 9 Char"/>
    <w:qFormat/>
    <w:uiPriority w:val="0"/>
    <w:rPr>
      <w:rFonts w:ascii="Arial" w:hAnsi="Arial" w:eastAsia="黑体" w:cs="Arial"/>
      <w:kern w:val="2"/>
      <w:sz w:val="21"/>
    </w:rPr>
  </w:style>
  <w:style w:type="character" w:customStyle="1" w:styleId="45">
    <w:name w:val="批注文字 Char"/>
    <w:qFormat/>
    <w:uiPriority w:val="0"/>
    <w:rPr>
      <w:rFonts w:ascii="Times New Roman" w:hAnsi="Times New Roman" w:eastAsia="宋体" w:cs="Times New Roman"/>
      <w:szCs w:val="24"/>
    </w:rPr>
  </w:style>
  <w:style w:type="character" w:customStyle="1" w:styleId="46">
    <w:name w:val="正文文本 Char"/>
    <w:qFormat/>
    <w:uiPriority w:val="0"/>
    <w:rPr>
      <w:rFonts w:ascii="仿宋_GB2312;仿宋" w:hAnsi="仿宋_GB2312;仿宋" w:eastAsia="仿宋_GB2312;仿宋" w:cs="Times New Roman"/>
      <w:kern w:val="2"/>
      <w:sz w:val="24"/>
      <w:szCs w:val="24"/>
    </w:rPr>
  </w:style>
  <w:style w:type="character" w:customStyle="1" w:styleId="47">
    <w:name w:val="正文文本缩进 Char"/>
    <w:qFormat/>
    <w:uiPriority w:val="0"/>
    <w:rPr>
      <w:rFonts w:ascii="宋体" w:hAnsi="宋体" w:cs="Times New Roman"/>
      <w:color w:val="FF0000"/>
      <w:kern w:val="2"/>
      <w:sz w:val="21"/>
    </w:rPr>
  </w:style>
  <w:style w:type="character" w:customStyle="1" w:styleId="48">
    <w:name w:val="纯文本 Char"/>
    <w:qFormat/>
    <w:uiPriority w:val="0"/>
    <w:rPr>
      <w:rFonts w:cs="Courier New"/>
      <w:kern w:val="2"/>
      <w:sz w:val="21"/>
      <w:szCs w:val="21"/>
    </w:rPr>
  </w:style>
  <w:style w:type="character" w:customStyle="1" w:styleId="49">
    <w:name w:val="正文文本缩进 2 Char"/>
    <w:qFormat/>
    <w:uiPriority w:val="0"/>
    <w:rPr>
      <w:rFonts w:ascii="仿宋_GB2312;仿宋" w:hAnsi="仿宋_GB2312;仿宋" w:eastAsia="仿宋_GB2312;仿宋" w:cs="Times New Roman"/>
      <w:kern w:val="2"/>
      <w:sz w:val="24"/>
      <w:szCs w:val="24"/>
    </w:rPr>
  </w:style>
  <w:style w:type="character" w:customStyle="1" w:styleId="50">
    <w:name w:val="批注框文本 Char"/>
    <w:qFormat/>
    <w:uiPriority w:val="0"/>
    <w:rPr>
      <w:rFonts w:ascii="Times New Roman" w:hAnsi="Times New Roman" w:eastAsia="宋体" w:cs="Times New Roman"/>
      <w:sz w:val="18"/>
      <w:szCs w:val="18"/>
    </w:rPr>
  </w:style>
  <w:style w:type="character" w:customStyle="1" w:styleId="51">
    <w:name w:val="页脚 Char"/>
    <w:qFormat/>
    <w:uiPriority w:val="0"/>
    <w:rPr>
      <w:rFonts w:ascii="Times New Roman" w:hAnsi="Times New Roman" w:eastAsia="宋体" w:cs="Times New Roman"/>
      <w:sz w:val="18"/>
      <w:szCs w:val="18"/>
    </w:rPr>
  </w:style>
  <w:style w:type="character" w:customStyle="1" w:styleId="52">
    <w:name w:val="页眉 Char"/>
    <w:qFormat/>
    <w:uiPriority w:val="0"/>
    <w:rPr>
      <w:rFonts w:ascii="Times New Roman" w:hAnsi="Times New Roman" w:eastAsia="宋体" w:cs="Times New Roman"/>
      <w:sz w:val="18"/>
      <w:szCs w:val="18"/>
    </w:rPr>
  </w:style>
  <w:style w:type="character" w:customStyle="1" w:styleId="53">
    <w:name w:val="正文文本缩进 3 Char"/>
    <w:qFormat/>
    <w:uiPriority w:val="0"/>
    <w:rPr>
      <w:rFonts w:ascii="仿宋_GB2312;仿宋" w:hAnsi="仿宋_GB2312;仿宋" w:eastAsia="仿宋_GB2312;仿宋" w:cs="Times New Roman"/>
      <w:color w:val="FF0000"/>
      <w:kern w:val="2"/>
      <w:sz w:val="24"/>
      <w:szCs w:val="18"/>
    </w:rPr>
  </w:style>
  <w:style w:type="character" w:customStyle="1" w:styleId="54">
    <w:name w:val="正文文本 2 Char"/>
    <w:qFormat/>
    <w:uiPriority w:val="0"/>
    <w:rPr>
      <w:rFonts w:ascii="仿宋_GB2312;仿宋" w:hAnsi="仿宋_GB2312;仿宋" w:eastAsia="仿宋_GB2312;仿宋" w:cs="Times New Roman"/>
      <w:color w:val="000000"/>
      <w:kern w:val="2"/>
      <w:sz w:val="21"/>
      <w:szCs w:val="24"/>
    </w:rPr>
  </w:style>
  <w:style w:type="character" w:customStyle="1" w:styleId="55">
    <w:name w:val="标题 Char"/>
    <w:qFormat/>
    <w:uiPriority w:val="0"/>
    <w:rPr>
      <w:rFonts w:ascii="Arial" w:hAnsi="Arial" w:cs="Arial"/>
      <w:b/>
      <w:bCs/>
      <w:kern w:val="2"/>
      <w:sz w:val="32"/>
      <w:szCs w:val="32"/>
    </w:rPr>
  </w:style>
  <w:style w:type="character" w:customStyle="1" w:styleId="56">
    <w:name w:val="批注主题 Char"/>
    <w:qFormat/>
    <w:uiPriority w:val="0"/>
    <w:rPr>
      <w:rFonts w:ascii="Times New Roman" w:hAnsi="Times New Roman" w:eastAsia="宋体" w:cs="Times New Roman"/>
      <w:b/>
      <w:bCs/>
      <w:szCs w:val="24"/>
    </w:rPr>
  </w:style>
  <w:style w:type="character" w:customStyle="1" w:styleId="57">
    <w:name w:val="正文首行缩进 Char"/>
    <w:qFormat/>
    <w:uiPriority w:val="0"/>
    <w:rPr>
      <w:rFonts w:ascii="Times New Roman" w:hAnsi="Times New Roman" w:eastAsia="仿宋_GB2312;仿宋" w:cs="Times New Roman"/>
      <w:kern w:val="2"/>
      <w:sz w:val="21"/>
      <w:szCs w:val="24"/>
    </w:rPr>
  </w:style>
  <w:style w:type="character" w:customStyle="1" w:styleId="58">
    <w:name w:val="批注引用1"/>
    <w:qFormat/>
    <w:uiPriority w:val="0"/>
    <w:rPr>
      <w:sz w:val="21"/>
      <w:szCs w:val="21"/>
    </w:rPr>
  </w:style>
  <w:style w:type="character" w:customStyle="1" w:styleId="59">
    <w:name w:val="read"/>
    <w:basedOn w:val="30"/>
    <w:qFormat/>
    <w:uiPriority w:val="0"/>
  </w:style>
  <w:style w:type="character" w:customStyle="1" w:styleId="60">
    <w:name w:val="unnamed11"/>
    <w:qFormat/>
    <w:uiPriority w:val="0"/>
    <w:rPr>
      <w:rFonts w:ascii="宋体" w:hAnsi="宋体" w:eastAsia="宋体" w:cs="宋体"/>
      <w:sz w:val="18"/>
      <w:szCs w:val="18"/>
    </w:rPr>
  </w:style>
  <w:style w:type="character" w:customStyle="1" w:styleId="61">
    <w:name w:val="无间隔 Char"/>
    <w:qFormat/>
    <w:uiPriority w:val="0"/>
    <w:rPr>
      <w:kern w:val="2"/>
      <w:sz w:val="21"/>
      <w:szCs w:val="21"/>
    </w:rPr>
  </w:style>
  <w:style w:type="character" w:customStyle="1" w:styleId="62">
    <w:name w:val="批注文字 字符"/>
    <w:qFormat/>
    <w:uiPriority w:val="0"/>
    <w:rPr>
      <w:rFonts w:ascii="Times New Roman" w:hAnsi="Times New Roman" w:eastAsia="宋体" w:cs="Times New Roman"/>
      <w:szCs w:val="24"/>
    </w:rPr>
  </w:style>
  <w:style w:type="character" w:customStyle="1" w:styleId="63">
    <w:name w:val="Index Link"/>
    <w:qFormat/>
    <w:uiPriority w:val="0"/>
  </w:style>
  <w:style w:type="paragraph" w:customStyle="1" w:styleId="64">
    <w:name w:val="Heading"/>
    <w:basedOn w:val="1"/>
    <w:next w:val="14"/>
    <w:qFormat/>
    <w:uiPriority w:val="0"/>
    <w:pPr>
      <w:spacing w:before="240" w:after="60"/>
      <w:jc w:val="center"/>
      <w:outlineLvl w:val="0"/>
    </w:pPr>
    <w:rPr>
      <w:rFonts w:ascii="Arial" w:hAnsi="Arial" w:cs="Arial"/>
      <w:b/>
      <w:bCs/>
      <w:sz w:val="32"/>
      <w:szCs w:val="32"/>
    </w:rPr>
  </w:style>
  <w:style w:type="paragraph" w:customStyle="1" w:styleId="65">
    <w:name w:val="Index"/>
    <w:basedOn w:val="1"/>
    <w:qFormat/>
    <w:uiPriority w:val="0"/>
    <w:pPr>
      <w:suppressLineNumbers/>
    </w:pPr>
    <w:rPr>
      <w:rFonts w:cs="FreeSans"/>
    </w:rPr>
  </w:style>
  <w:style w:type="paragraph" w:customStyle="1" w:styleId="66">
    <w:name w:val="正文缩进1"/>
    <w:basedOn w:val="1"/>
    <w:qFormat/>
    <w:uiPriority w:val="0"/>
    <w:pPr>
      <w:snapToGrid w:val="0"/>
      <w:spacing w:line="360" w:lineRule="auto"/>
      <w:ind w:left="0" w:right="0" w:firstLine="420"/>
    </w:pPr>
    <w:rPr>
      <w:sz w:val="28"/>
      <w:szCs w:val="20"/>
    </w:rPr>
  </w:style>
  <w:style w:type="paragraph" w:customStyle="1" w:styleId="67">
    <w:name w:val="批注文字1"/>
    <w:basedOn w:val="1"/>
    <w:qFormat/>
    <w:uiPriority w:val="0"/>
    <w:pPr>
      <w:jc w:val="left"/>
    </w:pPr>
  </w:style>
  <w:style w:type="paragraph" w:customStyle="1" w:styleId="68">
    <w:name w:val="纯文本1"/>
    <w:basedOn w:val="1"/>
    <w:qFormat/>
    <w:uiPriority w:val="0"/>
    <w:pPr>
      <w:jc w:val="left"/>
    </w:pPr>
    <w:rPr>
      <w:rFonts w:ascii="Calibri" w:hAnsi="Calibri" w:cs="Courier New"/>
      <w:szCs w:val="21"/>
    </w:rPr>
  </w:style>
  <w:style w:type="paragraph" w:customStyle="1" w:styleId="69">
    <w:name w:val="正文文本缩进 21"/>
    <w:basedOn w:val="1"/>
    <w:qFormat/>
    <w:uiPriority w:val="0"/>
    <w:pPr>
      <w:spacing w:line="360" w:lineRule="auto"/>
      <w:ind w:left="0" w:right="0" w:firstLine="480"/>
    </w:pPr>
    <w:rPr>
      <w:rFonts w:ascii="仿宋_GB2312;仿宋" w:hAnsi="仿宋_GB2312;仿宋" w:eastAsia="仿宋_GB2312;仿宋"/>
      <w:sz w:val="24"/>
    </w:rPr>
  </w:style>
  <w:style w:type="paragraph" w:customStyle="1" w:styleId="70">
    <w:name w:val="批注框文本1"/>
    <w:basedOn w:val="1"/>
    <w:qFormat/>
    <w:uiPriority w:val="0"/>
    <w:rPr>
      <w:sz w:val="18"/>
      <w:szCs w:val="18"/>
    </w:rPr>
  </w:style>
  <w:style w:type="paragraph" w:customStyle="1" w:styleId="71">
    <w:name w:val="Header and Footer"/>
    <w:basedOn w:val="1"/>
    <w:qFormat/>
    <w:uiPriority w:val="0"/>
    <w:pPr>
      <w:suppressLineNumbers/>
      <w:tabs>
        <w:tab w:val="center" w:pos="4819"/>
        <w:tab w:val="right" w:pos="9638"/>
      </w:tabs>
    </w:pPr>
  </w:style>
  <w:style w:type="paragraph" w:customStyle="1" w:styleId="72">
    <w:name w:val="正文文本缩进 31"/>
    <w:basedOn w:val="1"/>
    <w:qFormat/>
    <w:uiPriority w:val="0"/>
    <w:pPr>
      <w:spacing w:line="360" w:lineRule="auto"/>
      <w:ind w:left="0" w:right="0" w:firstLine="480"/>
    </w:pPr>
    <w:rPr>
      <w:rFonts w:ascii="仿宋_GB2312;仿宋" w:hAnsi="仿宋_GB2312;仿宋" w:eastAsia="仿宋_GB2312;仿宋"/>
      <w:color w:val="FF0000"/>
      <w:sz w:val="24"/>
      <w:szCs w:val="18"/>
    </w:rPr>
  </w:style>
  <w:style w:type="paragraph" w:customStyle="1" w:styleId="73">
    <w:name w:val="正文文本 21"/>
    <w:basedOn w:val="1"/>
    <w:qFormat/>
    <w:uiPriority w:val="0"/>
    <w:pPr>
      <w:spacing w:line="360" w:lineRule="auto"/>
    </w:pPr>
    <w:rPr>
      <w:rFonts w:ascii="仿宋_GB2312;仿宋" w:hAnsi="仿宋_GB2312;仿宋" w:eastAsia="仿宋_GB2312;仿宋"/>
      <w:color w:val="000000"/>
    </w:rPr>
  </w:style>
  <w:style w:type="paragraph" w:customStyle="1" w:styleId="74">
    <w:name w:val="普通(网站)1"/>
    <w:basedOn w:val="1"/>
    <w:qFormat/>
    <w:uiPriority w:val="0"/>
    <w:pPr>
      <w:widowControl/>
      <w:spacing w:before="100" w:after="100"/>
      <w:jc w:val="left"/>
    </w:pPr>
    <w:rPr>
      <w:rFonts w:ascii="Arial Unicode MS;宋体" w:hAnsi="Arial Unicode MS;宋体" w:eastAsia="Arial Unicode MS;宋体" w:cs="Arial Unicode MS;宋体"/>
      <w:kern w:val="0"/>
      <w:sz w:val="24"/>
    </w:rPr>
  </w:style>
  <w:style w:type="paragraph" w:customStyle="1" w:styleId="75">
    <w:name w:val="批注主题1"/>
    <w:basedOn w:val="67"/>
    <w:next w:val="67"/>
    <w:qFormat/>
    <w:uiPriority w:val="0"/>
    <w:rPr>
      <w:b/>
      <w:bCs/>
    </w:rPr>
  </w:style>
  <w:style w:type="paragraph" w:customStyle="1" w:styleId="76">
    <w:name w:val="正文首行缩进1"/>
    <w:basedOn w:val="14"/>
    <w:qFormat/>
    <w:uiPriority w:val="0"/>
    <w:pPr>
      <w:spacing w:before="0" w:after="120" w:line="240" w:lineRule="auto"/>
      <w:ind w:left="0" w:right="0" w:firstLine="420"/>
    </w:pPr>
    <w:rPr>
      <w:rFonts w:ascii="Times New Roman" w:hAnsi="Times New Roman" w:eastAsia="宋体"/>
      <w:sz w:val="21"/>
    </w:rPr>
  </w:style>
  <w:style w:type="paragraph" w:customStyle="1" w:styleId="77">
    <w:name w:val="TOC 标题"/>
    <w:basedOn w:val="2"/>
    <w:next w:val="1"/>
    <w:qFormat/>
    <w:uiPriority w:val="0"/>
    <w:pPr>
      <w:widowControl/>
      <w:numPr>
        <w:ilvl w:val="0"/>
        <w:numId w:val="0"/>
      </w:numPr>
      <w:spacing w:before="480" w:after="0" w:line="276" w:lineRule="auto"/>
      <w:jc w:val="left"/>
      <w:outlineLvl w:val="9"/>
    </w:pPr>
    <w:rPr>
      <w:rFonts w:ascii="Cambria" w:hAnsi="Cambria" w:eastAsia="宋体" w:cs="Times New Roman"/>
      <w:color w:val="365F91"/>
      <w:kern w:val="0"/>
      <w:sz w:val="28"/>
      <w:szCs w:val="28"/>
    </w:rPr>
  </w:style>
  <w:style w:type="paragraph" w:customStyle="1" w:styleId="78">
    <w:name w:val="unnamed1"/>
    <w:basedOn w:val="1"/>
    <w:qFormat/>
    <w:uiPriority w:val="0"/>
    <w:pPr>
      <w:widowControl/>
      <w:spacing w:before="60" w:after="60"/>
      <w:ind w:left="15" w:right="15" w:firstLine="0"/>
      <w:jc w:val="left"/>
    </w:pPr>
    <w:rPr>
      <w:rFonts w:ascii="宋体" w:hAnsi="宋体" w:cs="宋体"/>
      <w:color w:val="000000"/>
      <w:kern w:val="0"/>
      <w:sz w:val="18"/>
      <w:szCs w:val="18"/>
    </w:rPr>
  </w:style>
  <w:style w:type="paragraph" w:customStyle="1" w:styleId="79">
    <w:name w:val="列表2"/>
    <w:basedOn w:val="1"/>
    <w:next w:val="64"/>
    <w:qFormat/>
    <w:uiPriority w:val="0"/>
    <w:pPr>
      <w:numPr>
        <w:ilvl w:val="0"/>
        <w:numId w:val="2"/>
      </w:numPr>
      <w:tabs>
        <w:tab w:val="left" w:pos="360"/>
      </w:tabs>
      <w:spacing w:line="360" w:lineRule="auto"/>
    </w:pPr>
    <w:rPr>
      <w:rFonts w:ascii="宋体" w:hAnsi="宋体"/>
      <w:szCs w:val="20"/>
    </w:rPr>
  </w:style>
  <w:style w:type="paragraph" w:customStyle="1" w:styleId="80">
    <w:name w:val="列表1"/>
    <w:basedOn w:val="1"/>
    <w:next w:val="1"/>
    <w:qFormat/>
    <w:uiPriority w:val="0"/>
    <w:pPr>
      <w:tabs>
        <w:tab w:val="left" w:pos="644"/>
      </w:tabs>
      <w:spacing w:line="360" w:lineRule="auto"/>
      <w:ind w:left="567" w:right="0" w:hanging="283"/>
    </w:pPr>
    <w:rPr>
      <w:szCs w:val="20"/>
    </w:rPr>
  </w:style>
  <w:style w:type="paragraph" w:customStyle="1" w:styleId="81">
    <w:name w:val="Char"/>
    <w:basedOn w:val="1"/>
    <w:qFormat/>
    <w:uiPriority w:val="0"/>
  </w:style>
  <w:style w:type="paragraph" w:customStyle="1" w:styleId="82">
    <w:name w:val="Char Char Char"/>
    <w:basedOn w:val="1"/>
    <w:qFormat/>
    <w:uiPriority w:val="0"/>
  </w:style>
  <w:style w:type="paragraph" w:customStyle="1" w:styleId="83">
    <w:name w:val="默认段落字体 Para Char"/>
    <w:basedOn w:val="1"/>
    <w:qFormat/>
    <w:uiPriority w:val="0"/>
    <w:pPr>
      <w:tabs>
        <w:tab w:val="left" w:pos="360"/>
      </w:tabs>
    </w:pPr>
    <w:rPr>
      <w:sz w:val="24"/>
    </w:rPr>
  </w:style>
  <w:style w:type="paragraph" w:customStyle="1" w:styleId="84">
    <w:name w:val="修订"/>
    <w:qFormat/>
    <w:uiPriority w:val="0"/>
    <w:pPr>
      <w:widowControl/>
      <w:suppressAutoHyphens/>
      <w:bidi w:val="0"/>
    </w:pPr>
    <w:rPr>
      <w:rFonts w:ascii="Times New Roman" w:hAnsi="Times New Roman" w:eastAsia="宋体" w:cs="Times New Roman"/>
      <w:color w:val="auto"/>
      <w:kern w:val="2"/>
      <w:sz w:val="21"/>
      <w:szCs w:val="24"/>
      <w:lang w:val="en-US" w:eastAsia="zh-CN" w:bidi="ar-SA"/>
    </w:rPr>
  </w:style>
  <w:style w:type="paragraph" w:customStyle="1" w:styleId="85">
    <w:name w:val="无间隔"/>
    <w:basedOn w:val="1"/>
    <w:qFormat/>
    <w:uiPriority w:val="0"/>
    <w:pPr>
      <w:widowControl/>
      <w:jc w:val="left"/>
    </w:pPr>
    <w:rPr>
      <w:rFonts w:ascii="Calibri" w:hAnsi="Calibri" w:cs="Calibri"/>
      <w:szCs w:val="21"/>
    </w:rPr>
  </w:style>
  <w:style w:type="paragraph" w:customStyle="1" w:styleId="86">
    <w:name w:val="列出段落"/>
    <w:basedOn w:val="1"/>
    <w:qFormat/>
    <w:uiPriority w:val="0"/>
    <w:pPr>
      <w:widowControl/>
      <w:ind w:left="0" w:right="0" w:firstLine="420"/>
    </w:pPr>
    <w:rPr>
      <w:rFonts w:ascii="Calibri" w:hAnsi="Calibri" w:cs="宋体"/>
      <w:kern w:val="0"/>
      <w:szCs w:val="21"/>
    </w:rPr>
  </w:style>
  <w:style w:type="paragraph" w:customStyle="1" w:styleId="87">
    <w:name w:val="Table Contents"/>
    <w:basedOn w:val="1"/>
    <w:qFormat/>
    <w:uiPriority w:val="0"/>
    <w:pPr>
      <w:widowControl w:val="0"/>
      <w:suppressLineNumbers/>
    </w:pPr>
  </w:style>
  <w:style w:type="paragraph" w:customStyle="1" w:styleId="88">
    <w:name w:val="Table Heading"/>
    <w:basedOn w:val="87"/>
    <w:qFormat/>
    <w:uiPriority w:val="0"/>
    <w:pPr>
      <w:suppressLineNumbers/>
      <w:jc w:val="center"/>
    </w:pPr>
    <w:rPr>
      <w:b/>
      <w:bCs/>
    </w:rPr>
  </w:style>
  <w:style w:type="paragraph" w:customStyle="1" w:styleId="89">
    <w:name w:val="Frame Contents"/>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TotalTime>0</TotalTime>
  <ScaleCrop>false</ScaleCrop>
  <LinksUpToDate>false</LinksUpToDate>
  <Application>WPS Office_12.8.2.19795_F1E327BC-269C-435d-A152-05C5408002CA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2020-04-16T06:55:00Z</dcterms:created>
  <dc:creator>孙静</dc:creator>
  <cp:lastModifiedBy>liwen</cp:lastModifiedBy>
  <cp:lastPrinted>2020-04-16T15:02:00Z</cp:lastPrinted>
  <dcterms:modified xsi:type="dcterms:W3CDTF">2026-10-09T06:08:04Z</dcterms:modified>
  <dc:title>上证超级大盘交易型开放式指数证券投资基金</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416BD6A00D7248A78666DF8207BAC99A_13</vt:lpwstr>
  </property>
  <property fmtid="{D5CDD505-2E9C-101B-9397-08002B2CF9AE}" pid="3" name="KSOProductBuildVer">
    <vt:lpwstr>2052-12.8.2.19795</vt:lpwstr>
  </property>
</Properties>
</file>