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8FF992">
      <w:pPr>
        <w:widowControl/>
        <w:jc w:val="left"/>
        <w:rPr>
          <w:rFonts w:ascii="宋体" w:hAnsi="宋体" w:eastAsia="宋体"/>
          <w:sz w:val="30"/>
        </w:rPr>
      </w:pPr>
    </w:p>
    <w:p w14:paraId="1C7F00FC">
      <w:pPr>
        <w:widowControl/>
        <w:jc w:val="left"/>
        <w:rPr>
          <w:rFonts w:ascii="宋体" w:hAnsi="宋体" w:eastAsia="宋体"/>
          <w:sz w:val="30"/>
        </w:rPr>
      </w:pPr>
    </w:p>
    <w:p w14:paraId="4A3B85D2">
      <w:pPr>
        <w:widowControl/>
        <w:jc w:val="left"/>
        <w:rPr>
          <w:rFonts w:ascii="宋体" w:hAnsi="宋体" w:eastAsia="宋体"/>
          <w:sz w:val="30"/>
        </w:rPr>
      </w:pPr>
    </w:p>
    <w:p w14:paraId="6BF90D38">
      <w:pPr>
        <w:widowControl/>
        <w:jc w:val="left"/>
        <w:rPr>
          <w:rFonts w:ascii="宋体" w:hAnsi="宋体" w:eastAsia="宋体"/>
          <w:sz w:val="30"/>
        </w:rPr>
      </w:pPr>
    </w:p>
    <w:p w14:paraId="46408EC5">
      <w:pPr>
        <w:widowControl/>
        <w:spacing w:line="800" w:lineRule="exact"/>
        <w:jc w:val="center"/>
        <w:rPr>
          <w:rFonts w:ascii="宋体" w:hAnsi="宋体" w:eastAsia="宋体"/>
          <w:b/>
          <w:sz w:val="52"/>
        </w:rPr>
      </w:pPr>
      <w:r>
        <w:rPr>
          <w:rFonts w:hint="eastAsia" w:ascii="宋体" w:hAnsi="宋体" w:eastAsia="宋体"/>
          <w:b/>
          <w:sz w:val="52"/>
        </w:rPr>
        <w:t>博时恒裕</w:t>
      </w:r>
      <w:r>
        <w:rPr>
          <w:rFonts w:ascii="宋体" w:hAnsi="宋体" w:eastAsia="宋体"/>
          <w:b/>
          <w:sz w:val="52"/>
        </w:rPr>
        <w:t>6个月持有期混合型证券投资基金</w:t>
      </w:r>
    </w:p>
    <w:p w14:paraId="563C5B8C">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1350D857">
      <w:pPr>
        <w:widowControl/>
        <w:spacing w:line="800" w:lineRule="exact"/>
        <w:jc w:val="center"/>
        <w:rPr>
          <w:rFonts w:ascii="宋体" w:hAnsi="宋体" w:eastAsia="宋体"/>
          <w:b/>
          <w:sz w:val="52"/>
        </w:rPr>
      </w:pPr>
    </w:p>
    <w:p w14:paraId="1C6E69E2">
      <w:pPr>
        <w:widowControl/>
        <w:spacing w:line="800" w:lineRule="exact"/>
        <w:jc w:val="center"/>
        <w:rPr>
          <w:rFonts w:ascii="宋体" w:hAnsi="宋体" w:eastAsia="宋体"/>
          <w:b/>
          <w:sz w:val="52"/>
        </w:rPr>
      </w:pPr>
    </w:p>
    <w:p w14:paraId="0FC79DDB">
      <w:pPr>
        <w:widowControl/>
        <w:spacing w:line="800" w:lineRule="exact"/>
        <w:jc w:val="center"/>
        <w:rPr>
          <w:rFonts w:ascii="宋体" w:hAnsi="宋体" w:eastAsia="宋体"/>
          <w:b/>
          <w:sz w:val="52"/>
        </w:rPr>
      </w:pPr>
    </w:p>
    <w:p w14:paraId="3904EEAC">
      <w:pPr>
        <w:widowControl/>
        <w:spacing w:line="800" w:lineRule="exact"/>
        <w:jc w:val="center"/>
        <w:rPr>
          <w:rFonts w:ascii="宋体" w:hAnsi="宋体" w:eastAsia="宋体"/>
          <w:b/>
          <w:sz w:val="52"/>
        </w:rPr>
      </w:pPr>
    </w:p>
    <w:p w14:paraId="33D97CF0">
      <w:pPr>
        <w:widowControl/>
        <w:spacing w:line="800" w:lineRule="exact"/>
        <w:jc w:val="center"/>
        <w:rPr>
          <w:rFonts w:ascii="宋体" w:hAnsi="宋体" w:eastAsia="宋体"/>
          <w:b/>
          <w:sz w:val="52"/>
        </w:rPr>
      </w:pPr>
    </w:p>
    <w:p w14:paraId="1A51F17E">
      <w:pPr>
        <w:widowControl/>
        <w:spacing w:line="800" w:lineRule="exact"/>
        <w:jc w:val="center"/>
        <w:rPr>
          <w:rFonts w:ascii="宋体" w:hAnsi="宋体" w:eastAsia="宋体"/>
          <w:b/>
          <w:sz w:val="52"/>
        </w:rPr>
      </w:pPr>
    </w:p>
    <w:p w14:paraId="661CD59E">
      <w:pPr>
        <w:widowControl/>
        <w:spacing w:line="800" w:lineRule="exact"/>
        <w:jc w:val="center"/>
        <w:rPr>
          <w:rFonts w:ascii="宋体" w:hAnsi="宋体" w:eastAsia="宋体"/>
          <w:b/>
          <w:sz w:val="52"/>
        </w:rPr>
      </w:pPr>
    </w:p>
    <w:p w14:paraId="19764ED3">
      <w:pPr>
        <w:widowControl/>
        <w:spacing w:line="800" w:lineRule="exact"/>
        <w:jc w:val="center"/>
        <w:rPr>
          <w:rFonts w:ascii="宋体" w:hAnsi="宋体" w:eastAsia="宋体"/>
          <w:b/>
          <w:sz w:val="52"/>
        </w:rPr>
      </w:pPr>
    </w:p>
    <w:p w14:paraId="11210B90">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184D79C8">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中信银行股份有限公司</w:t>
      </w:r>
      <w:r>
        <w:rPr>
          <w:rFonts w:ascii="宋体" w:hAnsi="宋体" w:eastAsia="宋体"/>
          <w:b/>
          <w:sz w:val="30"/>
        </w:rPr>
        <w:br w:type="page"/>
      </w:r>
    </w:p>
    <w:p w14:paraId="6E33D3B0">
      <w:pPr>
        <w:pStyle w:val="2"/>
        <w:jc w:val="center"/>
        <w:rPr>
          <w:rFonts w:ascii="宋体" w:hAnsi="宋体" w:eastAsia="宋体"/>
          <w:sz w:val="30"/>
        </w:rPr>
      </w:pPr>
      <w:bookmarkStart w:id="0" w:name="_Toc239193695"/>
      <w:r>
        <w:rPr>
          <w:rFonts w:hint="eastAsia" w:ascii="宋体" w:hAnsi="宋体" w:eastAsia="宋体"/>
          <w:sz w:val="30"/>
        </w:rPr>
        <w:t>【重要提示】</w:t>
      </w:r>
      <w:bookmarkEnd w:id="0"/>
    </w:p>
    <w:p w14:paraId="6E9B3ADE">
      <w:pPr>
        <w:pStyle w:val="7"/>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2020年3月10日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博时恒裕</w:t>
      </w:r>
      <w:r>
        <w:rPr>
          <w:sz w:val="21"/>
          <w:szCs w:val="21"/>
        </w:rPr>
        <w:t>6个月持有期混合型证券投资基金</w:t>
      </w:r>
      <w:bookmarkEnd w:id="2"/>
      <w:r>
        <w:rPr>
          <w:rFonts w:hint="eastAsia"/>
          <w:sz w:val="21"/>
          <w:szCs w:val="21"/>
        </w:rPr>
        <w:t>注册的批复》（证监许可</w:t>
      </w:r>
      <w:bookmarkStart w:id="3" w:name="field_2343_lotnumber_1"/>
      <w:r>
        <w:rPr>
          <w:sz w:val="21"/>
          <w:szCs w:val="21"/>
        </w:rPr>
        <w:t>[2020]386</w:t>
      </w:r>
      <w:bookmarkEnd w:id="3"/>
      <w:r>
        <w:rPr>
          <w:rFonts w:hint="eastAsia"/>
          <w:sz w:val="21"/>
          <w:szCs w:val="21"/>
        </w:rPr>
        <w:t xml:space="preserve">号）进行募集。  </w:t>
      </w:r>
    </w:p>
    <w:p w14:paraId="0AE47D70">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14:paraId="536B11B3">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1A5AA2A1">
      <w:pPr>
        <w:pStyle w:val="7"/>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44A80F44">
      <w:pPr>
        <w:pStyle w:val="7"/>
        <w:spacing w:before="0" w:beforeAutospacing="0" w:after="0" w:afterAutospacing="0" w:line="360" w:lineRule="auto"/>
        <w:ind w:firstLine="420"/>
        <w:rPr>
          <w:sz w:val="21"/>
          <w:szCs w:val="21"/>
        </w:rPr>
      </w:pPr>
      <w:r>
        <w:rPr>
          <w:rFonts w:hint="eastAsia"/>
          <w:sz w:val="21"/>
          <w:szCs w:val="21"/>
        </w:rPr>
        <w:t xml:space="preserve">5、本基金是混合型证券投资基金，其预期收益和预期风险水平高于债券型基金产品和货币市场基金，低于股票型基金，属于中等预期风险、中等预期收益的基金产品。本基金如果投资港股通标的股票，需承担汇率风险以及境外市场的风险。 </w:t>
      </w:r>
    </w:p>
    <w:p w14:paraId="0CE763F7">
      <w:pPr>
        <w:pStyle w:val="7"/>
        <w:spacing w:before="0" w:beforeAutospacing="0" w:after="0" w:afterAutospacing="0" w:line="360" w:lineRule="auto"/>
        <w:ind w:firstLine="420"/>
        <w:rPr>
          <w:sz w:val="21"/>
          <w:szCs w:val="21"/>
        </w:rPr>
      </w:pPr>
      <w:r>
        <w:rPr>
          <w:rFonts w:hint="eastAsia"/>
          <w:sz w:val="21"/>
          <w:szCs w:val="21"/>
        </w:rPr>
        <w:t xml:space="preserve">6、本基金的投资范围为具有良好流动性的金融工具，包括国内依法发行上市的股票（包括中小板、创业板及其他经中国证监会核准或注册上市的股票、存托凭证）、内地与香港股票市场交易互联互通机制下允许投资的香港联合交易所上市的股票（以下简称“港股通标的股票”）、债券（包括国债、金融债、地方政府债、政府支持机构债券、企业债、公司债、央行票据、中期票据、短期融资券、可转换债券（含可分离交易可转换债券）、可交换债、次级债等）、资产支持证券、货币市场工具（含同业存单）、银行存款、债券回购、股指期货、股票期权、国债期货、信用衍生品以及法律法规或中国证监会允许基金投资的其他金融工具（但须符合中国证监会的相关规定）。本基金可根据相关法律法规和基金合同的约定参与融资业务。如法律法规或中国证监会以后允许基金投资其他品种，本基金管理人在履行适当程序后，可以将其纳入本基金的投资范围。 </w:t>
      </w:r>
    </w:p>
    <w:p w14:paraId="4F588764">
      <w:pPr>
        <w:pStyle w:val="7"/>
        <w:spacing w:before="0" w:beforeAutospacing="0" w:after="0" w:afterAutospacing="0" w:line="360" w:lineRule="auto"/>
        <w:ind w:firstLine="420"/>
        <w:rPr>
          <w:sz w:val="21"/>
          <w:szCs w:val="21"/>
        </w:rPr>
      </w:pPr>
      <w:r>
        <w:rPr>
          <w:rFonts w:hint="eastAsia"/>
          <w:sz w:val="21"/>
          <w:szCs w:val="21"/>
        </w:rPr>
        <w:t xml:space="preserve">本基金基金资产可以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 </w:t>
      </w:r>
    </w:p>
    <w:p w14:paraId="5E0296CC">
      <w:pPr>
        <w:pStyle w:val="7"/>
        <w:spacing w:before="0" w:beforeAutospacing="0" w:after="0" w:afterAutospacing="0" w:line="360" w:lineRule="auto"/>
        <w:ind w:firstLine="420"/>
        <w:rPr>
          <w:sz w:val="21"/>
          <w:szCs w:val="21"/>
        </w:rPr>
      </w:pPr>
      <w:r>
        <w:rPr>
          <w:rFonts w:hint="eastAsia"/>
          <w:sz w:val="21"/>
          <w:szCs w:val="21"/>
        </w:rPr>
        <w:t xml:space="preserve">本基金可根据投资策略需要或不同配置地市场环境的变化，选择将部分基金资产投资于港股或选择不将基金资产投资于港股，基金资产并非必然投资港股。 </w:t>
      </w:r>
    </w:p>
    <w:p w14:paraId="6F26A170">
      <w:pPr>
        <w:pStyle w:val="7"/>
        <w:spacing w:before="0" w:beforeAutospacing="0" w:after="0" w:afterAutospacing="0" w:line="360" w:lineRule="auto"/>
        <w:ind w:firstLine="420"/>
        <w:rPr>
          <w:sz w:val="21"/>
          <w:szCs w:val="21"/>
        </w:rPr>
      </w:pPr>
      <w:r>
        <w:rPr>
          <w:rFonts w:hint="eastAsia"/>
          <w:sz w:val="21"/>
          <w:szCs w:val="21"/>
        </w:rPr>
        <w:t xml:space="preserve">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04DB41A8">
      <w:pPr>
        <w:pStyle w:val="7"/>
        <w:spacing w:before="0" w:beforeAutospacing="0" w:after="0" w:afterAutospacing="0" w:line="360" w:lineRule="auto"/>
        <w:ind w:firstLine="420"/>
        <w:rPr>
          <w:sz w:val="21"/>
          <w:szCs w:val="21"/>
        </w:rPr>
      </w:pPr>
      <w:r>
        <w:rPr>
          <w:rFonts w:hint="eastAsia"/>
          <w:sz w:val="21"/>
          <w:szCs w:val="21"/>
        </w:rPr>
        <w:t xml:space="preserve">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 </w:t>
      </w:r>
    </w:p>
    <w:p w14:paraId="759E1846">
      <w:pPr>
        <w:pStyle w:val="7"/>
        <w:spacing w:before="0" w:beforeAutospacing="0" w:after="0" w:afterAutospacing="0" w:line="360" w:lineRule="auto"/>
        <w:ind w:firstLine="420"/>
        <w:rPr>
          <w:sz w:val="21"/>
          <w:szCs w:val="21"/>
        </w:rPr>
      </w:pPr>
      <w:r>
        <w:rPr>
          <w:rFonts w:hint="eastAsia"/>
          <w:sz w:val="21"/>
          <w:szCs w:val="21"/>
        </w:rPr>
        <w:t xml:space="preserve">本基金可参与股票期权交易，以套期保值为主要目的，若参与股票期权交易，可能面临价格波动风险、市场流动性风险、强制平仓风险、合约到期风险、行权失败风险、交易违约风险等。 </w:t>
      </w:r>
    </w:p>
    <w:p w14:paraId="664E05F8">
      <w:pPr>
        <w:pStyle w:val="7"/>
        <w:spacing w:before="0" w:beforeAutospacing="0" w:after="0" w:afterAutospacing="0" w:line="360" w:lineRule="auto"/>
        <w:ind w:firstLine="420"/>
        <w:rPr>
          <w:sz w:val="21"/>
          <w:szCs w:val="21"/>
        </w:rPr>
      </w:pPr>
      <w:r>
        <w:rPr>
          <w:rFonts w:hint="eastAsia"/>
          <w:sz w:val="21"/>
          <w:szCs w:val="21"/>
        </w:rPr>
        <w:t xml:space="preserve">为对冲信用风险，本基金可能投资于信用衍生品，信用衍生品投资可能面临流动性风险、偿付风险以及价格波动风险。 </w:t>
      </w:r>
    </w:p>
    <w:p w14:paraId="22127387">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323E60A1">
      <w:pPr>
        <w:pStyle w:val="7"/>
        <w:spacing w:before="0" w:beforeAutospacing="0" w:after="0" w:afterAutospacing="0" w:line="360" w:lineRule="auto"/>
        <w:ind w:firstLine="420"/>
        <w:rPr>
          <w:sz w:val="21"/>
          <w:szCs w:val="21"/>
        </w:rPr>
      </w:pPr>
      <w:r>
        <w:rPr>
          <w:rFonts w:hint="eastAsia"/>
          <w:sz w:val="21"/>
          <w:szCs w:val="21"/>
        </w:rPr>
        <w:t xml:space="preserve">7、本基金对每份基金份额设置六个月的最短持有期。在基金份额的最短持有期到期日之前（不含当日），投资者不能提出赎回申请，最短持有期期满后（含最短持有期到期日当日）投资者可以申请赎回。因此，对于基金份额持有人而言，存在投资本基金后，六个月内无法赎回的风险。 </w:t>
      </w:r>
    </w:p>
    <w:p w14:paraId="3CE4ED29">
      <w:pPr>
        <w:pStyle w:val="7"/>
        <w:spacing w:before="0" w:beforeAutospacing="0" w:after="0" w:afterAutospacing="0" w:line="360" w:lineRule="auto"/>
        <w:ind w:firstLine="420"/>
        <w:rPr>
          <w:sz w:val="21"/>
          <w:szCs w:val="21"/>
        </w:rPr>
      </w:pPr>
      <w:r>
        <w:rPr>
          <w:rFonts w:hint="eastAsia"/>
          <w:sz w:val="21"/>
          <w:szCs w:val="21"/>
        </w:rPr>
        <w:t xml:space="preserve">8、本基金的投资组合比例为：本基金的投资组合比例为：本基金的股票资产（含存托凭证）占基金资产的0%-30%，港股通标的股票的投资比例为股票资产（含存托凭证）的0%-50%；投资于同业存单的比例不超过基金资产的20%；每个交易日日终在扣除股指期货合约、股票期权、国债期货合约所需缴纳的交易保证金后，现金或到期日在一年以内的政府债券不低于基金资产净值的5%。前述现金不包括结算备付金、存出保证金、应收申购款等。 </w:t>
      </w:r>
    </w:p>
    <w:p w14:paraId="70FB668B">
      <w:pPr>
        <w:pStyle w:val="7"/>
        <w:spacing w:before="0" w:beforeAutospacing="0" w:after="0" w:afterAutospacing="0" w:line="360" w:lineRule="auto"/>
        <w:ind w:firstLine="420"/>
        <w:rPr>
          <w:sz w:val="21"/>
          <w:szCs w:val="21"/>
        </w:rPr>
      </w:pPr>
      <w:r>
        <w:rPr>
          <w:rFonts w:hint="eastAsia"/>
          <w:sz w:val="21"/>
          <w:szCs w:val="21"/>
        </w:rPr>
        <w:t xml:space="preserve">9、本基金发售面值为人民币1.00元。在市场波动因素影响下，本基金净值可能低于发售面值，本基金投资者有可能出现亏损。 </w:t>
      </w:r>
    </w:p>
    <w:p w14:paraId="51ABB419">
      <w:pPr>
        <w:pStyle w:val="7"/>
        <w:spacing w:before="0" w:beforeAutospacing="0" w:after="0" w:afterAutospacing="0" w:line="360" w:lineRule="auto"/>
        <w:ind w:firstLine="420"/>
        <w:rPr>
          <w:sz w:val="21"/>
          <w:szCs w:val="21"/>
        </w:rPr>
      </w:pPr>
      <w:r>
        <w:rPr>
          <w:rFonts w:hint="eastAsia"/>
          <w:sz w:val="21"/>
          <w:szCs w:val="21"/>
        </w:rPr>
        <w:t xml:space="preserve">10、基金的过往业绩并不预示其未来表现，基金管理人管理的其他基金的业绩也不构成对本基金业绩表现的保证。 </w:t>
      </w:r>
    </w:p>
    <w:p w14:paraId="573704AB">
      <w:pPr>
        <w:pStyle w:val="7"/>
        <w:spacing w:before="0" w:beforeAutospacing="0" w:after="0" w:afterAutospacing="0" w:line="360" w:lineRule="auto"/>
        <w:ind w:firstLine="420"/>
        <w:rPr>
          <w:sz w:val="21"/>
          <w:szCs w:val="21"/>
        </w:rPr>
      </w:pPr>
      <w:r>
        <w:rPr>
          <w:rFonts w:hint="eastAsia"/>
          <w:sz w:val="21"/>
          <w:szCs w:val="21"/>
        </w:rPr>
        <w:t xml:space="preserve">11、基金管理人依照恪尽职守、诚实信用、谨慎勤勉的原则管理和运用基金财产，但不保证基金一定盈利，也不保证最低收益。 </w:t>
      </w:r>
    </w:p>
    <w:p w14:paraId="41791243">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4" w:name="field_2343_infoendday_1"/>
      <w:r>
        <w:rPr>
          <w:sz w:val="21"/>
          <w:szCs w:val="21"/>
        </w:rPr>
        <w:t>2026年</w:t>
      </w:r>
      <w:r>
        <w:rPr>
          <w:rFonts w:hint="eastAsia"/>
          <w:sz w:val="21"/>
          <w:szCs w:val="21"/>
          <w:lang w:val="en-US" w:eastAsia="zh-CN"/>
        </w:rPr>
        <w:t>10</w:t>
      </w:r>
      <w:r>
        <w:rPr>
          <w:sz w:val="21"/>
          <w:szCs w:val="21"/>
        </w:rPr>
        <w:t>月</w:t>
      </w:r>
      <w:r>
        <w:rPr>
          <w:rFonts w:hint="eastAsia"/>
          <w:sz w:val="21"/>
          <w:szCs w:val="21"/>
          <w:lang w:val="en-US" w:eastAsia="zh-CN"/>
        </w:rPr>
        <w:t>20</w:t>
      </w:r>
      <w:r>
        <w:rPr>
          <w:sz w:val="21"/>
          <w:szCs w:val="21"/>
        </w:rPr>
        <w:t>日</w:t>
      </w:r>
      <w:bookmarkEnd w:id="4"/>
      <w:r>
        <w:rPr>
          <w:rFonts w:hint="eastAsia"/>
          <w:sz w:val="21"/>
          <w:szCs w:val="21"/>
        </w:rPr>
        <w:t>，有关财务数据和净值表现截止日为</w:t>
      </w:r>
      <w:bookmarkStart w:id="5" w:name="field_2343_financeendday_1"/>
      <w:r>
        <w:rPr>
          <w:sz w:val="21"/>
          <w:szCs w:val="21"/>
        </w:rPr>
        <w:t>2026年6月30日</w:t>
      </w:r>
      <w:bookmarkEnd w:id="5"/>
      <w:r>
        <w:rPr>
          <w:rFonts w:hint="eastAsia"/>
          <w:sz w:val="21"/>
          <w:szCs w:val="21"/>
        </w:rPr>
        <w:t xml:space="preserve">（财务数据未经审计）。 </w:t>
      </w:r>
      <w:r>
        <w:rPr>
          <w:sz w:val="30"/>
        </w:rPr>
        <w:br w:type="page"/>
      </w:r>
    </w:p>
    <w:p w14:paraId="26955130">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2845A4D6">
      <w:pPr>
        <w:pStyle w:val="6"/>
        <w:tabs>
          <w:tab w:val="right" w:leader="dot" w:pos="8290"/>
        </w:tabs>
        <w:spacing w:line="360" w:lineRule="auto"/>
        <w:rPr>
          <w:rFonts w:ascii="宋体" w:hAnsi="宋体" w:eastAsia="宋体"/>
        </w:rPr>
      </w:pPr>
      <w:r>
        <w:fldChar w:fldCharType="begin"/>
      </w:r>
      <w:r>
        <w:instrText xml:space="preserve"> HYPERLINK \l "_Toc239193695"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_Toc239193695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7980C06C">
      <w:pPr>
        <w:pStyle w:val="6"/>
        <w:tabs>
          <w:tab w:val="right" w:leader="dot" w:pos="8290"/>
        </w:tabs>
        <w:spacing w:line="360" w:lineRule="auto"/>
        <w:rPr>
          <w:rFonts w:ascii="宋体" w:hAnsi="宋体" w:eastAsia="宋体"/>
        </w:rPr>
      </w:pPr>
      <w:r>
        <w:fldChar w:fldCharType="begin"/>
      </w:r>
      <w:r>
        <w:instrText xml:space="preserve"> HYPERLINK \l "_Toc239193696"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_Toc239193696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298550E9">
      <w:pPr>
        <w:pStyle w:val="6"/>
        <w:tabs>
          <w:tab w:val="right" w:leader="dot" w:pos="8290"/>
        </w:tabs>
        <w:spacing w:line="360" w:lineRule="auto"/>
        <w:rPr>
          <w:rFonts w:ascii="宋体" w:hAnsi="宋体" w:eastAsia="宋体"/>
        </w:rPr>
      </w:pPr>
      <w:r>
        <w:fldChar w:fldCharType="begin"/>
      </w:r>
      <w:r>
        <w:instrText xml:space="preserve"> HYPERLINK \l "_Toc239193697"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_Toc239193697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7C9A9F6A">
      <w:pPr>
        <w:pStyle w:val="6"/>
        <w:tabs>
          <w:tab w:val="right" w:leader="dot" w:pos="8290"/>
        </w:tabs>
        <w:spacing w:line="360" w:lineRule="auto"/>
        <w:rPr>
          <w:rFonts w:ascii="宋体" w:hAnsi="宋体" w:eastAsia="宋体"/>
        </w:rPr>
      </w:pPr>
      <w:r>
        <w:fldChar w:fldCharType="begin"/>
      </w:r>
      <w:r>
        <w:instrText xml:space="preserve"> HYPERLINK \l "_Toc239193698"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_Toc239193698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14:paraId="4BDBCE84">
      <w:pPr>
        <w:pStyle w:val="6"/>
        <w:tabs>
          <w:tab w:val="right" w:leader="dot" w:pos="8290"/>
        </w:tabs>
        <w:spacing w:line="360" w:lineRule="auto"/>
        <w:rPr>
          <w:rFonts w:ascii="宋体" w:hAnsi="宋体" w:eastAsia="宋体"/>
        </w:rPr>
      </w:pPr>
      <w:r>
        <w:fldChar w:fldCharType="begin"/>
      </w:r>
      <w:r>
        <w:instrText xml:space="preserve"> HYPERLINK \l "_Toc239193699"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_Toc239193699 \h </w:instrText>
      </w:r>
      <w:r>
        <w:rPr>
          <w:rFonts w:ascii="宋体" w:hAnsi="宋体" w:eastAsia="宋体"/>
        </w:rPr>
        <w:fldChar w:fldCharType="separate"/>
      </w:r>
      <w:r>
        <w:rPr>
          <w:rFonts w:ascii="宋体" w:hAnsi="宋体" w:eastAsia="宋体"/>
        </w:rPr>
        <w:t>21</w:t>
      </w:r>
      <w:r>
        <w:rPr>
          <w:rFonts w:ascii="宋体" w:hAnsi="宋体" w:eastAsia="宋体"/>
        </w:rPr>
        <w:fldChar w:fldCharType="end"/>
      </w:r>
      <w:r>
        <w:rPr>
          <w:rFonts w:ascii="宋体" w:hAnsi="宋体" w:eastAsia="宋体"/>
        </w:rPr>
        <w:fldChar w:fldCharType="end"/>
      </w:r>
    </w:p>
    <w:p w14:paraId="5A8B4477">
      <w:pPr>
        <w:pStyle w:val="6"/>
        <w:tabs>
          <w:tab w:val="right" w:leader="dot" w:pos="8290"/>
        </w:tabs>
        <w:spacing w:line="360" w:lineRule="auto"/>
        <w:rPr>
          <w:rFonts w:ascii="宋体" w:hAnsi="宋体" w:eastAsia="宋体"/>
        </w:rPr>
      </w:pPr>
      <w:r>
        <w:fldChar w:fldCharType="begin"/>
      </w:r>
      <w:r>
        <w:instrText xml:space="preserve"> HYPERLINK \l "_Toc239193700"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_Toc239193700 \h </w:instrText>
      </w:r>
      <w:r>
        <w:rPr>
          <w:rFonts w:ascii="宋体" w:hAnsi="宋体" w:eastAsia="宋体"/>
        </w:rPr>
        <w:fldChar w:fldCharType="separate"/>
      </w:r>
      <w:r>
        <w:rPr>
          <w:rFonts w:ascii="宋体" w:hAnsi="宋体" w:eastAsia="宋体"/>
        </w:rPr>
        <w:t>25</w:t>
      </w:r>
      <w:r>
        <w:rPr>
          <w:rFonts w:ascii="宋体" w:hAnsi="宋体" w:eastAsia="宋体"/>
        </w:rPr>
        <w:fldChar w:fldCharType="end"/>
      </w:r>
      <w:r>
        <w:rPr>
          <w:rFonts w:ascii="宋体" w:hAnsi="宋体" w:eastAsia="宋体"/>
        </w:rPr>
        <w:fldChar w:fldCharType="end"/>
      </w:r>
    </w:p>
    <w:p w14:paraId="4731F02D">
      <w:pPr>
        <w:pStyle w:val="6"/>
        <w:tabs>
          <w:tab w:val="right" w:leader="dot" w:pos="8290"/>
        </w:tabs>
        <w:spacing w:line="360" w:lineRule="auto"/>
        <w:rPr>
          <w:rFonts w:ascii="宋体" w:hAnsi="宋体" w:eastAsia="宋体"/>
        </w:rPr>
      </w:pPr>
      <w:r>
        <w:fldChar w:fldCharType="begin"/>
      </w:r>
      <w:r>
        <w:instrText xml:space="preserve"> HYPERLINK \l "_Toc239193701"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_Toc239193701 \h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fldChar w:fldCharType="end"/>
      </w:r>
    </w:p>
    <w:p w14:paraId="2900A38C">
      <w:pPr>
        <w:pStyle w:val="6"/>
        <w:tabs>
          <w:tab w:val="right" w:leader="dot" w:pos="8290"/>
        </w:tabs>
        <w:spacing w:line="360" w:lineRule="auto"/>
        <w:rPr>
          <w:rFonts w:ascii="宋体" w:hAnsi="宋体" w:eastAsia="宋体"/>
        </w:rPr>
      </w:pPr>
      <w:r>
        <w:fldChar w:fldCharType="begin"/>
      </w:r>
      <w:r>
        <w:instrText xml:space="preserve"> HYPERLINK \l "_Toc239193702"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_Toc239193702 \h </w:instrText>
      </w:r>
      <w:r>
        <w:rPr>
          <w:rFonts w:ascii="宋体" w:hAnsi="宋体" w:eastAsia="宋体"/>
        </w:rPr>
        <w:fldChar w:fldCharType="separate"/>
      </w:r>
      <w:r>
        <w:rPr>
          <w:rFonts w:ascii="宋体" w:hAnsi="宋体" w:eastAsia="宋体"/>
        </w:rPr>
        <w:t>48</w:t>
      </w:r>
      <w:r>
        <w:rPr>
          <w:rFonts w:ascii="宋体" w:hAnsi="宋体" w:eastAsia="宋体"/>
        </w:rPr>
        <w:fldChar w:fldCharType="end"/>
      </w:r>
      <w:r>
        <w:rPr>
          <w:rFonts w:ascii="宋体" w:hAnsi="宋体" w:eastAsia="宋体"/>
        </w:rPr>
        <w:fldChar w:fldCharType="end"/>
      </w:r>
    </w:p>
    <w:p w14:paraId="0F1CFB34">
      <w:pPr>
        <w:pStyle w:val="6"/>
        <w:tabs>
          <w:tab w:val="right" w:leader="dot" w:pos="8290"/>
        </w:tabs>
        <w:spacing w:line="360" w:lineRule="auto"/>
        <w:rPr>
          <w:rFonts w:ascii="宋体" w:hAnsi="宋体" w:eastAsia="宋体"/>
        </w:rPr>
      </w:pPr>
      <w:r>
        <w:fldChar w:fldCharType="begin"/>
      </w:r>
      <w:r>
        <w:instrText xml:space="preserve"> HYPERLINK \l "_Toc239193703"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_Toc239193703 \h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fldChar w:fldCharType="end"/>
      </w:r>
    </w:p>
    <w:p w14:paraId="51E1E3A4">
      <w:pPr>
        <w:pStyle w:val="6"/>
        <w:tabs>
          <w:tab w:val="right" w:leader="dot" w:pos="8290"/>
        </w:tabs>
        <w:spacing w:line="360" w:lineRule="auto"/>
        <w:rPr>
          <w:rFonts w:ascii="宋体" w:hAnsi="宋体" w:eastAsia="宋体"/>
        </w:rPr>
      </w:pPr>
      <w:r>
        <w:fldChar w:fldCharType="begin"/>
      </w:r>
      <w:r>
        <w:instrText xml:space="preserve"> HYPERLINK \l "_Toc239193704"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_Toc239193704 \h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fldChar w:fldCharType="end"/>
      </w:r>
    </w:p>
    <w:p w14:paraId="4D298E14">
      <w:pPr>
        <w:pStyle w:val="6"/>
        <w:tabs>
          <w:tab w:val="right" w:leader="dot" w:pos="8290"/>
        </w:tabs>
        <w:spacing w:line="360" w:lineRule="auto"/>
        <w:rPr>
          <w:rFonts w:ascii="宋体" w:hAnsi="宋体" w:eastAsia="宋体"/>
        </w:rPr>
      </w:pPr>
      <w:r>
        <w:fldChar w:fldCharType="begin"/>
      </w:r>
      <w:r>
        <w:instrText xml:space="preserve"> HYPERLINK \l "_Toc239193705"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_Toc239193705 \h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fldChar w:fldCharType="end"/>
      </w:r>
    </w:p>
    <w:p w14:paraId="5B59E00D">
      <w:pPr>
        <w:pStyle w:val="6"/>
        <w:tabs>
          <w:tab w:val="right" w:leader="dot" w:pos="8290"/>
        </w:tabs>
        <w:spacing w:line="360" w:lineRule="auto"/>
        <w:rPr>
          <w:rFonts w:ascii="宋体" w:hAnsi="宋体" w:eastAsia="宋体"/>
        </w:rPr>
      </w:pPr>
      <w:r>
        <w:fldChar w:fldCharType="begin"/>
      </w:r>
      <w:r>
        <w:instrText xml:space="preserve"> HYPERLINK \l "_Toc239193706"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_Toc239193706 \h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fldChar w:fldCharType="end"/>
      </w:r>
    </w:p>
    <w:p w14:paraId="63795F33">
      <w:pPr>
        <w:pStyle w:val="6"/>
        <w:tabs>
          <w:tab w:val="right" w:leader="dot" w:pos="8290"/>
        </w:tabs>
        <w:spacing w:line="360" w:lineRule="auto"/>
        <w:rPr>
          <w:rFonts w:ascii="宋体" w:hAnsi="宋体" w:eastAsia="宋体"/>
        </w:rPr>
      </w:pPr>
      <w:r>
        <w:fldChar w:fldCharType="begin"/>
      </w:r>
      <w:r>
        <w:instrText xml:space="preserve"> HYPERLINK \l "_Toc239193707"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_Toc239193707 \h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fldChar w:fldCharType="end"/>
      </w:r>
    </w:p>
    <w:p w14:paraId="4EA16EB3">
      <w:pPr>
        <w:pStyle w:val="6"/>
        <w:tabs>
          <w:tab w:val="right" w:leader="dot" w:pos="8290"/>
        </w:tabs>
        <w:spacing w:line="360" w:lineRule="auto"/>
        <w:rPr>
          <w:rFonts w:ascii="宋体" w:hAnsi="宋体" w:eastAsia="宋体"/>
        </w:rPr>
      </w:pPr>
      <w:r>
        <w:fldChar w:fldCharType="begin"/>
      </w:r>
      <w:r>
        <w:instrText xml:space="preserve"> HYPERLINK \l "_Toc239193708"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_Toc239193708 \h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fldChar w:fldCharType="end"/>
      </w:r>
    </w:p>
    <w:p w14:paraId="32F28DDA">
      <w:pPr>
        <w:pStyle w:val="6"/>
        <w:tabs>
          <w:tab w:val="right" w:leader="dot" w:pos="8290"/>
        </w:tabs>
        <w:spacing w:line="360" w:lineRule="auto"/>
        <w:rPr>
          <w:rFonts w:ascii="宋体" w:hAnsi="宋体" w:eastAsia="宋体"/>
        </w:rPr>
      </w:pPr>
      <w:r>
        <w:fldChar w:fldCharType="begin"/>
      </w:r>
      <w:r>
        <w:instrText xml:space="preserve"> HYPERLINK \l "_Toc239193709"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_Toc239193709 \h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fldChar w:fldCharType="end"/>
      </w:r>
    </w:p>
    <w:p w14:paraId="0CF307AE">
      <w:pPr>
        <w:pStyle w:val="6"/>
        <w:tabs>
          <w:tab w:val="right" w:leader="dot" w:pos="8290"/>
        </w:tabs>
        <w:spacing w:line="360" w:lineRule="auto"/>
        <w:rPr>
          <w:rFonts w:ascii="宋体" w:hAnsi="宋体" w:eastAsia="宋体"/>
        </w:rPr>
      </w:pPr>
      <w:r>
        <w:fldChar w:fldCharType="begin"/>
      </w:r>
      <w:r>
        <w:instrText xml:space="preserve"> HYPERLINK \l "_Toc239193710"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_Toc239193710 \h </w:instrText>
      </w:r>
      <w:r>
        <w:rPr>
          <w:rFonts w:ascii="宋体" w:hAnsi="宋体" w:eastAsia="宋体"/>
        </w:rPr>
        <w:fldChar w:fldCharType="separate"/>
      </w:r>
      <w:r>
        <w:rPr>
          <w:rFonts w:ascii="宋体" w:hAnsi="宋体" w:eastAsia="宋体"/>
        </w:rPr>
        <w:t>86</w:t>
      </w:r>
      <w:r>
        <w:rPr>
          <w:rFonts w:ascii="宋体" w:hAnsi="宋体" w:eastAsia="宋体"/>
        </w:rPr>
        <w:fldChar w:fldCharType="end"/>
      </w:r>
      <w:r>
        <w:rPr>
          <w:rFonts w:ascii="宋体" w:hAnsi="宋体" w:eastAsia="宋体"/>
        </w:rPr>
        <w:fldChar w:fldCharType="end"/>
      </w:r>
    </w:p>
    <w:p w14:paraId="756485CD">
      <w:pPr>
        <w:pStyle w:val="6"/>
        <w:tabs>
          <w:tab w:val="right" w:leader="dot" w:pos="8290"/>
        </w:tabs>
        <w:spacing w:line="360" w:lineRule="auto"/>
        <w:rPr>
          <w:rFonts w:ascii="宋体" w:hAnsi="宋体" w:eastAsia="宋体"/>
        </w:rPr>
      </w:pPr>
      <w:r>
        <w:fldChar w:fldCharType="begin"/>
      </w:r>
      <w:r>
        <w:instrText xml:space="preserve"> HYPERLINK \l "_Toc239193711"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_Toc239193711 \h </w:instrText>
      </w:r>
      <w:r>
        <w:rPr>
          <w:rFonts w:ascii="宋体" w:hAnsi="宋体" w:eastAsia="宋体"/>
        </w:rPr>
        <w:fldChar w:fldCharType="separate"/>
      </w:r>
      <w:r>
        <w:rPr>
          <w:rFonts w:ascii="宋体" w:hAnsi="宋体" w:eastAsia="宋体"/>
        </w:rPr>
        <w:t>93</w:t>
      </w:r>
      <w:r>
        <w:rPr>
          <w:rFonts w:ascii="宋体" w:hAnsi="宋体" w:eastAsia="宋体"/>
        </w:rPr>
        <w:fldChar w:fldCharType="end"/>
      </w:r>
      <w:r>
        <w:rPr>
          <w:rFonts w:ascii="宋体" w:hAnsi="宋体" w:eastAsia="宋体"/>
        </w:rPr>
        <w:fldChar w:fldCharType="end"/>
      </w:r>
    </w:p>
    <w:p w14:paraId="02CB3D1C">
      <w:pPr>
        <w:pStyle w:val="6"/>
        <w:tabs>
          <w:tab w:val="right" w:leader="dot" w:pos="8290"/>
        </w:tabs>
        <w:spacing w:line="360" w:lineRule="auto"/>
        <w:rPr>
          <w:rFonts w:ascii="宋体" w:hAnsi="宋体" w:eastAsia="宋体"/>
        </w:rPr>
      </w:pPr>
      <w:r>
        <w:fldChar w:fldCharType="begin"/>
      </w:r>
      <w:r>
        <w:instrText xml:space="preserve"> HYPERLINK \l "_Toc239193712"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_Toc239193712 \h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fldChar w:fldCharType="end"/>
      </w:r>
    </w:p>
    <w:p w14:paraId="29E63A73">
      <w:pPr>
        <w:pStyle w:val="6"/>
        <w:tabs>
          <w:tab w:val="right" w:leader="dot" w:pos="8290"/>
        </w:tabs>
        <w:spacing w:line="360" w:lineRule="auto"/>
        <w:rPr>
          <w:rFonts w:ascii="宋体" w:hAnsi="宋体" w:eastAsia="宋体"/>
        </w:rPr>
      </w:pPr>
      <w:r>
        <w:fldChar w:fldCharType="begin"/>
      </w:r>
      <w:r>
        <w:instrText xml:space="preserve"> HYPERLINK \l "_Toc239193713"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_Toc239193713 \h </w:instrText>
      </w:r>
      <w:r>
        <w:rPr>
          <w:rFonts w:ascii="宋体" w:hAnsi="宋体" w:eastAsia="宋体"/>
        </w:rPr>
        <w:fldChar w:fldCharType="separate"/>
      </w:r>
      <w:r>
        <w:rPr>
          <w:rFonts w:ascii="宋体" w:hAnsi="宋体" w:eastAsia="宋体"/>
        </w:rPr>
        <w:t>102</w:t>
      </w:r>
      <w:r>
        <w:rPr>
          <w:rFonts w:ascii="宋体" w:hAnsi="宋体" w:eastAsia="宋体"/>
        </w:rPr>
        <w:fldChar w:fldCharType="end"/>
      </w:r>
      <w:r>
        <w:rPr>
          <w:rFonts w:ascii="宋体" w:hAnsi="宋体" w:eastAsia="宋体"/>
        </w:rPr>
        <w:fldChar w:fldCharType="end"/>
      </w:r>
    </w:p>
    <w:p w14:paraId="52DC97AA">
      <w:pPr>
        <w:pStyle w:val="6"/>
        <w:tabs>
          <w:tab w:val="right" w:leader="dot" w:pos="8290"/>
        </w:tabs>
        <w:spacing w:line="360" w:lineRule="auto"/>
        <w:rPr>
          <w:rFonts w:ascii="宋体" w:hAnsi="宋体" w:eastAsia="宋体"/>
        </w:rPr>
      </w:pPr>
      <w:r>
        <w:fldChar w:fldCharType="begin"/>
      </w:r>
      <w:r>
        <w:instrText xml:space="preserve"> HYPERLINK \l "_Toc239193714"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_Toc239193714 \h </w:instrText>
      </w:r>
      <w:r>
        <w:rPr>
          <w:rFonts w:ascii="宋体" w:hAnsi="宋体" w:eastAsia="宋体"/>
        </w:rPr>
        <w:fldChar w:fldCharType="separate"/>
      </w:r>
      <w:r>
        <w:rPr>
          <w:rFonts w:ascii="宋体" w:hAnsi="宋体" w:eastAsia="宋体"/>
        </w:rPr>
        <w:t>117</w:t>
      </w:r>
      <w:r>
        <w:rPr>
          <w:rFonts w:ascii="宋体" w:hAnsi="宋体" w:eastAsia="宋体"/>
        </w:rPr>
        <w:fldChar w:fldCharType="end"/>
      </w:r>
      <w:r>
        <w:rPr>
          <w:rFonts w:ascii="宋体" w:hAnsi="宋体" w:eastAsia="宋体"/>
        </w:rPr>
        <w:fldChar w:fldCharType="end"/>
      </w:r>
    </w:p>
    <w:p w14:paraId="13181C88">
      <w:pPr>
        <w:pStyle w:val="6"/>
        <w:tabs>
          <w:tab w:val="right" w:leader="dot" w:pos="8290"/>
        </w:tabs>
        <w:spacing w:line="360" w:lineRule="auto"/>
        <w:rPr>
          <w:rFonts w:ascii="宋体" w:hAnsi="宋体" w:eastAsia="宋体"/>
        </w:rPr>
      </w:pPr>
      <w:r>
        <w:fldChar w:fldCharType="begin"/>
      </w:r>
      <w:r>
        <w:instrText xml:space="preserve"> HYPERLINK \l "_Toc239193715"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_Toc239193715 \h </w:instrText>
      </w:r>
      <w:r>
        <w:rPr>
          <w:rFonts w:ascii="宋体" w:hAnsi="宋体" w:eastAsia="宋体"/>
        </w:rPr>
        <w:fldChar w:fldCharType="separate"/>
      </w:r>
      <w:r>
        <w:rPr>
          <w:rFonts w:ascii="宋体" w:hAnsi="宋体" w:eastAsia="宋体"/>
        </w:rPr>
        <w:t>138</w:t>
      </w:r>
      <w:r>
        <w:rPr>
          <w:rFonts w:ascii="宋体" w:hAnsi="宋体" w:eastAsia="宋体"/>
        </w:rPr>
        <w:fldChar w:fldCharType="end"/>
      </w:r>
      <w:r>
        <w:rPr>
          <w:rFonts w:ascii="宋体" w:hAnsi="宋体" w:eastAsia="宋体"/>
        </w:rPr>
        <w:fldChar w:fldCharType="end"/>
      </w:r>
    </w:p>
    <w:p w14:paraId="71C2EDAE">
      <w:pPr>
        <w:pStyle w:val="6"/>
        <w:tabs>
          <w:tab w:val="right" w:leader="dot" w:pos="8290"/>
        </w:tabs>
        <w:spacing w:line="360" w:lineRule="auto"/>
        <w:rPr>
          <w:rFonts w:ascii="宋体" w:hAnsi="宋体" w:eastAsia="宋体"/>
        </w:rPr>
      </w:pPr>
      <w:r>
        <w:fldChar w:fldCharType="begin"/>
      </w:r>
      <w:r>
        <w:instrText xml:space="preserve"> HYPERLINK \l "_Toc239193716"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_Toc239193716 \h </w:instrText>
      </w:r>
      <w:r>
        <w:rPr>
          <w:rFonts w:ascii="宋体" w:hAnsi="宋体" w:eastAsia="宋体"/>
        </w:rPr>
        <w:fldChar w:fldCharType="separate"/>
      </w:r>
      <w:r>
        <w:rPr>
          <w:rFonts w:ascii="宋体" w:hAnsi="宋体" w:eastAsia="宋体"/>
        </w:rPr>
        <w:t>141</w:t>
      </w:r>
      <w:r>
        <w:rPr>
          <w:rFonts w:ascii="宋体" w:hAnsi="宋体" w:eastAsia="宋体"/>
        </w:rPr>
        <w:fldChar w:fldCharType="end"/>
      </w:r>
      <w:r>
        <w:rPr>
          <w:rFonts w:ascii="宋体" w:hAnsi="宋体" w:eastAsia="宋体"/>
        </w:rPr>
        <w:fldChar w:fldCharType="end"/>
      </w:r>
    </w:p>
    <w:p w14:paraId="4722F758">
      <w:pPr>
        <w:pStyle w:val="6"/>
        <w:tabs>
          <w:tab w:val="right" w:leader="dot" w:pos="8290"/>
        </w:tabs>
        <w:spacing w:line="360" w:lineRule="auto"/>
        <w:rPr>
          <w:rFonts w:ascii="宋体" w:hAnsi="宋体" w:eastAsia="宋体"/>
        </w:rPr>
      </w:pPr>
      <w:r>
        <w:fldChar w:fldCharType="begin"/>
      </w:r>
      <w:r>
        <w:instrText xml:space="preserve"> HYPERLINK \l "_Toc239193717"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_Toc239193717 \h </w:instrText>
      </w:r>
      <w:r>
        <w:rPr>
          <w:rFonts w:ascii="宋体" w:hAnsi="宋体" w:eastAsia="宋体"/>
        </w:rPr>
        <w:fldChar w:fldCharType="separate"/>
      </w:r>
      <w:r>
        <w:rPr>
          <w:rFonts w:ascii="宋体" w:hAnsi="宋体" w:eastAsia="宋体"/>
        </w:rPr>
        <w:t>143</w:t>
      </w:r>
      <w:r>
        <w:rPr>
          <w:rFonts w:ascii="宋体" w:hAnsi="宋体" w:eastAsia="宋体"/>
        </w:rPr>
        <w:fldChar w:fldCharType="end"/>
      </w:r>
      <w:r>
        <w:rPr>
          <w:rFonts w:ascii="宋体" w:hAnsi="宋体" w:eastAsia="宋体"/>
        </w:rPr>
        <w:fldChar w:fldCharType="end"/>
      </w:r>
    </w:p>
    <w:p w14:paraId="2C428D04">
      <w:pPr>
        <w:pStyle w:val="6"/>
        <w:tabs>
          <w:tab w:val="right" w:leader="dot" w:pos="8290"/>
        </w:tabs>
        <w:spacing w:line="360" w:lineRule="auto"/>
        <w:rPr>
          <w:rFonts w:ascii="宋体" w:hAnsi="宋体" w:eastAsia="宋体"/>
        </w:rPr>
      </w:pPr>
      <w:r>
        <w:fldChar w:fldCharType="begin"/>
      </w:r>
      <w:r>
        <w:instrText xml:space="preserve"> HYPERLINK \l "_Toc239193718"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_Toc239193718 \h </w:instrText>
      </w:r>
      <w:r>
        <w:rPr>
          <w:rFonts w:ascii="宋体" w:hAnsi="宋体" w:eastAsia="宋体"/>
        </w:rPr>
        <w:fldChar w:fldCharType="separate"/>
      </w:r>
      <w:r>
        <w:rPr>
          <w:rFonts w:ascii="宋体" w:hAnsi="宋体" w:eastAsia="宋体"/>
        </w:rPr>
        <w:t>144</w:t>
      </w:r>
      <w:r>
        <w:rPr>
          <w:rFonts w:ascii="宋体" w:hAnsi="宋体" w:eastAsia="宋体"/>
        </w:rPr>
        <w:fldChar w:fldCharType="end"/>
      </w:r>
      <w:r>
        <w:rPr>
          <w:rFonts w:ascii="宋体" w:hAnsi="宋体" w:eastAsia="宋体"/>
        </w:rPr>
        <w:fldChar w:fldCharType="end"/>
      </w:r>
    </w:p>
    <w:p w14:paraId="7DEA95B0">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0F4D7C5D">
      <w:pPr>
        <w:pStyle w:val="2"/>
        <w:jc w:val="center"/>
        <w:rPr>
          <w:rFonts w:ascii="宋体" w:hAnsi="宋体" w:eastAsia="宋体"/>
          <w:sz w:val="30"/>
        </w:rPr>
      </w:pPr>
      <w:bookmarkStart w:id="6" w:name="chapter_level1_3_2344"/>
      <w:bookmarkStart w:id="7" w:name="_Toc239193696"/>
      <w:r>
        <w:rPr>
          <w:rFonts w:hint="eastAsia" w:ascii="宋体" w:hAnsi="宋体" w:eastAsia="宋体"/>
          <w:sz w:val="30"/>
        </w:rPr>
        <w:t>第一部分  绪言</w:t>
      </w:r>
      <w:bookmarkEnd w:id="6"/>
      <w:bookmarkEnd w:id="7"/>
    </w:p>
    <w:p w14:paraId="33D89A31">
      <w:pPr>
        <w:pStyle w:val="7"/>
        <w:spacing w:before="0" w:beforeAutospacing="0" w:after="0" w:afterAutospacing="0" w:line="360" w:lineRule="auto"/>
        <w:ind w:firstLine="420"/>
        <w:rPr>
          <w:sz w:val="21"/>
          <w:szCs w:val="21"/>
        </w:rPr>
      </w:pPr>
      <w:bookmarkStart w:id="8" w:name="chapter_level1_3_2344_section_1"/>
      <w:bookmarkEnd w:id="8"/>
      <w:r>
        <w:rPr>
          <w:rFonts w:hint="eastAsia"/>
          <w:sz w:val="21"/>
          <w:szCs w:val="21"/>
        </w:rPr>
        <w:t>《</w:t>
      </w:r>
      <w:bookmarkStart w:id="9" w:name="field_0_productfullname_2"/>
      <w:r>
        <w:rPr>
          <w:rFonts w:hint="eastAsia"/>
          <w:sz w:val="21"/>
          <w:szCs w:val="21"/>
        </w:rPr>
        <w:t>博时恒裕</w:t>
      </w:r>
      <w:r>
        <w:rPr>
          <w:sz w:val="21"/>
          <w:szCs w:val="21"/>
        </w:rPr>
        <w:t>6个月持有期混合型证券投资基金</w:t>
      </w:r>
      <w:bookmarkEnd w:id="9"/>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0" w:name="field_0_productfullname_3"/>
      <w:r>
        <w:rPr>
          <w:rFonts w:hint="eastAsia"/>
          <w:sz w:val="21"/>
          <w:szCs w:val="21"/>
        </w:rPr>
        <w:t>博时恒裕</w:t>
      </w:r>
      <w:r>
        <w:rPr>
          <w:sz w:val="21"/>
          <w:szCs w:val="21"/>
        </w:rPr>
        <w:t>6个月持有期混合型证券投资基金</w:t>
      </w:r>
      <w:bookmarkEnd w:id="10"/>
      <w:r>
        <w:rPr>
          <w:rFonts w:hint="eastAsia"/>
          <w:sz w:val="21"/>
          <w:szCs w:val="21"/>
        </w:rPr>
        <w:t xml:space="preserve">基金合同》（以下简称“基金合同”）编写。  </w:t>
      </w:r>
    </w:p>
    <w:p w14:paraId="3000F1DA">
      <w:pPr>
        <w:pStyle w:val="7"/>
        <w:spacing w:before="0" w:beforeAutospacing="0" w:after="0" w:afterAutospacing="0" w:line="360" w:lineRule="auto"/>
        <w:ind w:firstLine="420"/>
        <w:rPr>
          <w:sz w:val="21"/>
          <w:szCs w:val="21"/>
        </w:rPr>
      </w:pPr>
      <w:r>
        <w:rPr>
          <w:rFonts w:hint="eastAsia"/>
          <w:sz w:val="21"/>
          <w:szCs w:val="21"/>
        </w:rPr>
        <w:t>本招募说明书阐述了</w:t>
      </w:r>
      <w:bookmarkStart w:id="11" w:name="field_0_productfullname_4"/>
      <w:r>
        <w:rPr>
          <w:rFonts w:hint="eastAsia"/>
          <w:sz w:val="21"/>
          <w:szCs w:val="21"/>
        </w:rPr>
        <w:t>博时恒裕</w:t>
      </w:r>
      <w:r>
        <w:rPr>
          <w:sz w:val="21"/>
          <w:szCs w:val="21"/>
        </w:rPr>
        <w:t>6个月持有期混合型证券投资基金</w:t>
      </w:r>
      <w:bookmarkEnd w:id="11"/>
      <w:r>
        <w:rPr>
          <w:rFonts w:hint="eastAsia"/>
          <w:sz w:val="21"/>
          <w:szCs w:val="21"/>
        </w:rPr>
        <w:t xml:space="preserve">的投资目标、策略、风险、费率等与投资人投资决策有关的必要事项，投资人在作出投资决策前应仔细阅读本招募说明书。 </w:t>
      </w:r>
    </w:p>
    <w:p w14:paraId="7ABFBFF9">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60DE19E9">
      <w:pPr>
        <w:pStyle w:val="7"/>
        <w:spacing w:before="0" w:beforeAutospacing="0" w:after="0" w:afterAutospacing="0" w:line="360" w:lineRule="auto"/>
        <w:ind w:firstLine="420"/>
        <w:rPr>
          <w:sz w:val="21"/>
          <w:szCs w:val="21"/>
        </w:rPr>
      </w:pPr>
      <w:bookmarkStart w:id="12" w:name="field_0_productfullname_5"/>
      <w:r>
        <w:rPr>
          <w:rFonts w:hint="eastAsia"/>
          <w:sz w:val="21"/>
          <w:szCs w:val="21"/>
        </w:rPr>
        <w:t>博时恒裕</w:t>
      </w:r>
      <w:r>
        <w:rPr>
          <w:sz w:val="21"/>
          <w:szCs w:val="21"/>
        </w:rPr>
        <w:t>6个月持有期混合型证券投资基金</w:t>
      </w:r>
      <w:bookmarkEnd w:id="12"/>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73E23E80">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3" w:name="chapter_level1_3_2344_section_1_end"/>
      <w:bookmarkEnd w:id="13"/>
      <w:r>
        <w:rPr>
          <w:rFonts w:hint="eastAsia"/>
          <w:sz w:val="21"/>
          <w:szCs w:val="21"/>
        </w:rPr>
        <w:t xml:space="preserve">了解基金份额持有人的权利和义务，应详细查阅基金合同。 </w:t>
      </w:r>
    </w:p>
    <w:p w14:paraId="00F6AE9C">
      <w:pPr>
        <w:widowControl/>
        <w:jc w:val="left"/>
        <w:rPr>
          <w:rFonts w:ascii="宋体" w:hAnsi="宋体" w:eastAsia="宋体"/>
        </w:rPr>
      </w:pPr>
      <w:r>
        <w:rPr>
          <w:rFonts w:ascii="宋体" w:hAnsi="宋体" w:eastAsia="宋体"/>
        </w:rPr>
        <w:br w:type="page"/>
      </w:r>
    </w:p>
    <w:p w14:paraId="5F8D3B83">
      <w:pPr>
        <w:pStyle w:val="2"/>
        <w:jc w:val="center"/>
        <w:rPr>
          <w:rFonts w:ascii="宋体" w:hAnsi="宋体" w:eastAsia="宋体"/>
          <w:sz w:val="30"/>
        </w:rPr>
      </w:pPr>
      <w:bookmarkStart w:id="14" w:name="chapter_level1_4_49"/>
      <w:bookmarkStart w:id="15" w:name="_Toc239193697"/>
      <w:r>
        <w:rPr>
          <w:rFonts w:hint="eastAsia" w:ascii="宋体" w:hAnsi="宋体" w:eastAsia="宋体"/>
          <w:sz w:val="30"/>
        </w:rPr>
        <w:t>第二部分  释义</w:t>
      </w:r>
      <w:bookmarkEnd w:id="14"/>
      <w:bookmarkEnd w:id="15"/>
    </w:p>
    <w:p w14:paraId="48C64EF4">
      <w:pPr>
        <w:pStyle w:val="7"/>
        <w:spacing w:before="0" w:beforeAutospacing="0" w:after="0" w:afterAutospacing="0" w:line="360" w:lineRule="auto"/>
        <w:ind w:firstLine="420"/>
        <w:rPr>
          <w:sz w:val="21"/>
          <w:szCs w:val="21"/>
        </w:rPr>
      </w:pPr>
      <w:bookmarkStart w:id="16" w:name="chapter_level1_4_49_section_1"/>
      <w:bookmarkEnd w:id="16"/>
      <w:r>
        <w:rPr>
          <w:rFonts w:hint="eastAsia"/>
          <w:sz w:val="21"/>
          <w:szCs w:val="21"/>
        </w:rPr>
        <w:t xml:space="preserve">在本招募说明书中，除非文意另有所指，下列词语或简称具有如下含义：  </w:t>
      </w:r>
    </w:p>
    <w:p w14:paraId="6EA7091D">
      <w:pPr>
        <w:pStyle w:val="7"/>
        <w:spacing w:before="0" w:beforeAutospacing="0" w:after="0" w:afterAutospacing="0" w:line="360" w:lineRule="auto"/>
        <w:ind w:firstLine="420"/>
        <w:rPr>
          <w:sz w:val="21"/>
          <w:szCs w:val="21"/>
        </w:rPr>
      </w:pPr>
      <w:r>
        <w:rPr>
          <w:rFonts w:hint="eastAsia"/>
          <w:sz w:val="21"/>
          <w:szCs w:val="21"/>
        </w:rPr>
        <w:t>1、基金或本基金：指</w:t>
      </w:r>
      <w:bookmarkStart w:id="17" w:name="field_0_productfullname_6"/>
      <w:r>
        <w:rPr>
          <w:rFonts w:hint="eastAsia"/>
          <w:sz w:val="21"/>
          <w:szCs w:val="21"/>
        </w:rPr>
        <w:t>博时恒裕</w:t>
      </w:r>
      <w:r>
        <w:rPr>
          <w:sz w:val="21"/>
          <w:szCs w:val="21"/>
        </w:rPr>
        <w:t>6个月持有期混合型证券投资基金</w:t>
      </w:r>
      <w:bookmarkEnd w:id="17"/>
      <w:r>
        <w:rPr>
          <w:rFonts w:hint="eastAsia"/>
          <w:sz w:val="21"/>
          <w:szCs w:val="21"/>
        </w:rPr>
        <w:t xml:space="preserve">  </w:t>
      </w:r>
    </w:p>
    <w:p w14:paraId="271699C2">
      <w:pPr>
        <w:pStyle w:val="7"/>
        <w:spacing w:before="0" w:beforeAutospacing="0" w:after="0" w:afterAutospacing="0" w:line="360" w:lineRule="auto"/>
        <w:ind w:firstLine="420"/>
        <w:rPr>
          <w:sz w:val="21"/>
          <w:szCs w:val="21"/>
        </w:rPr>
      </w:pPr>
      <w:r>
        <w:rPr>
          <w:rFonts w:hint="eastAsia"/>
          <w:sz w:val="21"/>
          <w:szCs w:val="21"/>
        </w:rPr>
        <w:t>2、基金管理人：指</w:t>
      </w:r>
      <w:bookmarkStart w:id="18" w:name="field_0_managerorgfullname_1"/>
      <w:r>
        <w:rPr>
          <w:rFonts w:hint="eastAsia"/>
          <w:sz w:val="21"/>
          <w:szCs w:val="21"/>
        </w:rPr>
        <w:t>博时基金管理有限公司</w:t>
      </w:r>
      <w:bookmarkEnd w:id="18"/>
      <w:r>
        <w:rPr>
          <w:rFonts w:hint="eastAsia"/>
          <w:sz w:val="21"/>
          <w:szCs w:val="21"/>
        </w:rPr>
        <w:t xml:space="preserve">        </w:t>
      </w:r>
    </w:p>
    <w:p w14:paraId="1B765ED3">
      <w:pPr>
        <w:pStyle w:val="7"/>
        <w:spacing w:before="0" w:beforeAutospacing="0" w:after="0" w:afterAutospacing="0" w:line="360" w:lineRule="auto"/>
        <w:ind w:firstLine="420"/>
        <w:rPr>
          <w:sz w:val="21"/>
          <w:szCs w:val="21"/>
        </w:rPr>
      </w:pPr>
      <w:r>
        <w:rPr>
          <w:rFonts w:hint="eastAsia"/>
          <w:sz w:val="21"/>
          <w:szCs w:val="21"/>
        </w:rPr>
        <w:t>3、基金托管人：指</w:t>
      </w:r>
      <w:bookmarkStart w:id="19" w:name="field_0_trustorgfullname_1"/>
      <w:r>
        <w:rPr>
          <w:rFonts w:hint="eastAsia"/>
          <w:sz w:val="21"/>
          <w:szCs w:val="21"/>
        </w:rPr>
        <w:t>中信银行股份有限公司</w:t>
      </w:r>
      <w:bookmarkEnd w:id="19"/>
      <w:r>
        <w:rPr>
          <w:rFonts w:hint="eastAsia"/>
          <w:sz w:val="21"/>
          <w:szCs w:val="21"/>
        </w:rPr>
        <w:t xml:space="preserve">  </w:t>
      </w:r>
    </w:p>
    <w:p w14:paraId="18F5AE89">
      <w:pPr>
        <w:pStyle w:val="7"/>
        <w:spacing w:before="0" w:beforeAutospacing="0" w:after="0" w:afterAutospacing="0" w:line="360" w:lineRule="auto"/>
        <w:ind w:firstLine="420"/>
        <w:rPr>
          <w:sz w:val="21"/>
          <w:szCs w:val="21"/>
        </w:rPr>
      </w:pPr>
      <w:r>
        <w:rPr>
          <w:rFonts w:hint="eastAsia"/>
          <w:sz w:val="21"/>
          <w:szCs w:val="21"/>
        </w:rPr>
        <w:t>4、基金合同：指《</w:t>
      </w:r>
      <w:bookmarkStart w:id="20" w:name="field_0_productfullname_7"/>
      <w:r>
        <w:rPr>
          <w:rFonts w:hint="eastAsia"/>
          <w:sz w:val="21"/>
          <w:szCs w:val="21"/>
        </w:rPr>
        <w:t>博时恒裕</w:t>
      </w:r>
      <w:r>
        <w:rPr>
          <w:sz w:val="21"/>
          <w:szCs w:val="21"/>
        </w:rPr>
        <w:t>6个月持有期混合型证券投资基金</w:t>
      </w:r>
      <w:bookmarkEnd w:id="20"/>
      <w:r>
        <w:rPr>
          <w:rFonts w:hint="eastAsia"/>
          <w:sz w:val="21"/>
          <w:szCs w:val="21"/>
        </w:rPr>
        <w:t xml:space="preserve">基金合同》及对基金合同的任何有效修订和补充 </w:t>
      </w:r>
    </w:p>
    <w:p w14:paraId="13A1BB94">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1" w:name="field_0_productfullname_8"/>
      <w:r>
        <w:rPr>
          <w:rFonts w:hint="eastAsia"/>
          <w:sz w:val="21"/>
          <w:szCs w:val="21"/>
        </w:rPr>
        <w:t>博时恒裕</w:t>
      </w:r>
      <w:r>
        <w:rPr>
          <w:sz w:val="21"/>
          <w:szCs w:val="21"/>
        </w:rPr>
        <w:t>6个月持有期混合型证券投资基金</w:t>
      </w:r>
      <w:bookmarkEnd w:id="21"/>
      <w:r>
        <w:rPr>
          <w:rFonts w:hint="eastAsia"/>
          <w:sz w:val="21"/>
          <w:szCs w:val="21"/>
        </w:rPr>
        <w:t xml:space="preserve">托管协议》及对该托管协议的任何有效修订和补充 </w:t>
      </w:r>
    </w:p>
    <w:p w14:paraId="7C3319C5">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22" w:name="field_0_productfullname_9"/>
      <w:r>
        <w:rPr>
          <w:rFonts w:hint="eastAsia"/>
          <w:sz w:val="21"/>
          <w:szCs w:val="21"/>
        </w:rPr>
        <w:t>博时恒裕</w:t>
      </w:r>
      <w:r>
        <w:rPr>
          <w:sz w:val="21"/>
          <w:szCs w:val="21"/>
        </w:rPr>
        <w:t>6个月持有期混合型证券投资基金</w:t>
      </w:r>
      <w:bookmarkEnd w:id="22"/>
      <w:r>
        <w:rPr>
          <w:rFonts w:hint="eastAsia"/>
          <w:sz w:val="21"/>
          <w:szCs w:val="21"/>
        </w:rPr>
        <w:t xml:space="preserve">招募说明书》及其更新 </w:t>
      </w:r>
    </w:p>
    <w:p w14:paraId="1D0BE726">
      <w:pPr>
        <w:pStyle w:val="7"/>
        <w:spacing w:before="0" w:beforeAutospacing="0" w:after="0" w:afterAutospacing="0" w:line="360" w:lineRule="auto"/>
        <w:ind w:firstLine="420"/>
        <w:rPr>
          <w:sz w:val="21"/>
          <w:szCs w:val="21"/>
        </w:rPr>
      </w:pPr>
      <w:r>
        <w:rPr>
          <w:rFonts w:hint="eastAsia"/>
          <w:sz w:val="21"/>
          <w:szCs w:val="21"/>
        </w:rPr>
        <w:t>7、基金产品资料概要：指《</w:t>
      </w:r>
      <w:bookmarkStart w:id="23" w:name="field_0_productfullname_10"/>
      <w:r>
        <w:rPr>
          <w:rFonts w:hint="eastAsia"/>
          <w:sz w:val="21"/>
          <w:szCs w:val="21"/>
        </w:rPr>
        <w:t>博时恒裕</w:t>
      </w:r>
      <w:r>
        <w:rPr>
          <w:sz w:val="21"/>
          <w:szCs w:val="21"/>
        </w:rPr>
        <w:t>6个月持有期混合型证券投资基金</w:t>
      </w:r>
      <w:bookmarkEnd w:id="23"/>
      <w:r>
        <w:rPr>
          <w:rFonts w:hint="eastAsia"/>
          <w:sz w:val="21"/>
          <w:szCs w:val="21"/>
        </w:rPr>
        <w:t xml:space="preserve">基金产品资料概要》及其更新 </w:t>
      </w:r>
    </w:p>
    <w:p w14:paraId="527C5421">
      <w:pPr>
        <w:pStyle w:val="7"/>
        <w:spacing w:before="0" w:beforeAutospacing="0" w:after="0" w:afterAutospacing="0" w:line="360" w:lineRule="auto"/>
        <w:ind w:firstLine="420"/>
        <w:rPr>
          <w:sz w:val="21"/>
          <w:szCs w:val="21"/>
        </w:rPr>
      </w:pPr>
      <w:r>
        <w:rPr>
          <w:rFonts w:hint="eastAsia"/>
          <w:sz w:val="21"/>
          <w:szCs w:val="21"/>
        </w:rPr>
        <w:t>8、基金份额发售公告：指《</w:t>
      </w:r>
      <w:bookmarkStart w:id="24" w:name="field_0_productfullname_11"/>
      <w:r>
        <w:rPr>
          <w:rFonts w:hint="eastAsia"/>
          <w:sz w:val="21"/>
          <w:szCs w:val="21"/>
        </w:rPr>
        <w:t>博时恒裕</w:t>
      </w:r>
      <w:r>
        <w:rPr>
          <w:sz w:val="21"/>
          <w:szCs w:val="21"/>
        </w:rPr>
        <w:t>6个月持有期混合型证券投资基金</w:t>
      </w:r>
      <w:bookmarkEnd w:id="24"/>
      <w:r>
        <w:rPr>
          <w:rFonts w:hint="eastAsia"/>
          <w:sz w:val="21"/>
          <w:szCs w:val="21"/>
        </w:rPr>
        <w:t xml:space="preserve">基金份额发售公告》 </w:t>
      </w:r>
    </w:p>
    <w:p w14:paraId="4B0EE159">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14B4E55C">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48A33F6C">
      <w:pPr>
        <w:pStyle w:val="7"/>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14:paraId="28F32AEA">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12、《信息披露办法》：指中国证监会2019年7月26日颁布、同年9月1日实施的《公开募集证券投资基金信息披露管理办法》及颁布机关对其不时做出的修订 </w:t>
      </w:r>
    </w:p>
    <w:p w14:paraId="2A278BB2">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0A165713">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363EFF34">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16A8A673">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16、银行业监督管理机构：指中国人民银行和/或中国银行保险监督管理委员会 </w:t>
      </w:r>
    </w:p>
    <w:p w14:paraId="74BCC7AC">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61241FC3">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55E61ECB">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5A19861D">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20、合格境外机构投资者：指符合《合格境外机构投资者境内证券投资管理办法》及相关法律法规规定可以投资于在中国境内依法募集的证券投资基金的中国境外的机构投资者 </w:t>
      </w:r>
    </w:p>
    <w:p w14:paraId="717E37CC">
      <w:pPr>
        <w:pStyle w:val="7"/>
        <w:spacing w:before="0" w:beforeAutospacing="0" w:after="0" w:afterAutospacing="0" w:line="360" w:lineRule="auto"/>
        <w:ind w:firstLine="420"/>
        <w:rPr>
          <w:sz w:val="21"/>
          <w:szCs w:val="21"/>
        </w:rPr>
      </w:pPr>
      <w:r>
        <w:rPr>
          <w:rFonts w:hint="eastAsia"/>
          <w:sz w:val="21"/>
          <w:szCs w:val="21"/>
        </w:rPr>
        <w:t xml:space="preserve">21、人民币合格境外机构投资者：指按照《人民币合格境外机构投资者境内证券投资试点办法》及相关法律法规规定，运用来自境外的人民币资金进行境内证券投资的境外法人 </w:t>
      </w:r>
    </w:p>
    <w:p w14:paraId="08C89D33">
      <w:pPr>
        <w:pStyle w:val="7"/>
        <w:spacing w:before="0" w:beforeAutospacing="0" w:after="0" w:afterAutospacing="0" w:line="360" w:lineRule="auto"/>
        <w:ind w:firstLine="420"/>
        <w:rPr>
          <w:sz w:val="21"/>
          <w:szCs w:val="21"/>
        </w:rPr>
      </w:pPr>
      <w:r>
        <w:rPr>
          <w:rFonts w:hint="eastAsia"/>
          <w:sz w:val="21"/>
          <w:szCs w:val="21"/>
        </w:rPr>
        <w:t xml:space="preserve">22、投资人、投资者：指个人投资者、机构投资者、合格境外机构投资者和人民币合格境外机构投资者以及法律法规或中国证监会允许购买证券投资基金的其他投资人的合称 </w:t>
      </w:r>
    </w:p>
    <w:p w14:paraId="3C78B9D7">
      <w:pPr>
        <w:pStyle w:val="7"/>
        <w:spacing w:before="0" w:beforeAutospacing="0" w:after="0" w:afterAutospacing="0" w:line="360" w:lineRule="auto"/>
        <w:ind w:firstLine="420"/>
        <w:rPr>
          <w:sz w:val="21"/>
          <w:szCs w:val="21"/>
        </w:rPr>
      </w:pPr>
      <w:r>
        <w:rPr>
          <w:rFonts w:hint="eastAsia"/>
          <w:sz w:val="21"/>
          <w:szCs w:val="21"/>
        </w:rPr>
        <w:t xml:space="preserve">23、基金份额持有人：指依基金合同和招募说明书合法取得基金份额的投资人 </w:t>
      </w:r>
    </w:p>
    <w:p w14:paraId="29EA5475">
      <w:pPr>
        <w:pStyle w:val="7"/>
        <w:spacing w:before="0" w:beforeAutospacing="0" w:after="0" w:afterAutospacing="0" w:line="360" w:lineRule="auto"/>
        <w:ind w:firstLine="420"/>
        <w:rPr>
          <w:sz w:val="21"/>
          <w:szCs w:val="21"/>
        </w:rPr>
      </w:pPr>
      <w:r>
        <w:rPr>
          <w:rFonts w:hint="eastAsia"/>
          <w:sz w:val="21"/>
          <w:szCs w:val="21"/>
        </w:rPr>
        <w:t xml:space="preserve">24、基金销售业务：指基金管理人或销售机构宣传推介基金，发售基金份额，办理基金份额的申购、赎回、转换、转托管及定期定额投资等业务 </w:t>
      </w:r>
    </w:p>
    <w:p w14:paraId="0C097A53">
      <w:pPr>
        <w:pStyle w:val="7"/>
        <w:spacing w:before="0" w:beforeAutospacing="0" w:after="0" w:afterAutospacing="0" w:line="360" w:lineRule="auto"/>
        <w:ind w:firstLine="420"/>
        <w:rPr>
          <w:sz w:val="21"/>
          <w:szCs w:val="21"/>
        </w:rPr>
      </w:pPr>
      <w:bookmarkStart w:id="25" w:name="chapter_level1_4_49_section_1_end"/>
      <w:bookmarkEnd w:id="25"/>
      <w:r>
        <w:rPr>
          <w:rFonts w:hint="eastAsia"/>
          <w:sz w:val="21"/>
          <w:szCs w:val="21"/>
        </w:rPr>
        <w:t xml:space="preserve">25、销售机构：指直销机构和代销机构 </w:t>
      </w:r>
    </w:p>
    <w:p w14:paraId="2868A02E">
      <w:pPr>
        <w:pStyle w:val="7"/>
        <w:spacing w:before="0" w:beforeAutospacing="0" w:after="0" w:afterAutospacing="0" w:line="360" w:lineRule="auto"/>
        <w:ind w:firstLine="420"/>
        <w:rPr>
          <w:sz w:val="21"/>
          <w:szCs w:val="21"/>
        </w:rPr>
      </w:pPr>
      <w:bookmarkStart w:id="26" w:name="chapter_level1_4_49_section_2"/>
      <w:bookmarkEnd w:id="26"/>
      <w:r>
        <w:rPr>
          <w:rFonts w:hint="eastAsia"/>
          <w:sz w:val="21"/>
          <w:szCs w:val="21"/>
        </w:rPr>
        <w:t>26、直销机构：指</w:t>
      </w:r>
      <w:bookmarkStart w:id="27" w:name="field_0_managerorgfullname_2"/>
      <w:r>
        <w:rPr>
          <w:rFonts w:hint="eastAsia"/>
          <w:sz w:val="21"/>
          <w:szCs w:val="21"/>
        </w:rPr>
        <w:t>博时基金管理有限公司</w:t>
      </w:r>
      <w:bookmarkEnd w:id="27"/>
      <w:r>
        <w:rPr>
          <w:rFonts w:hint="eastAsia"/>
          <w:sz w:val="21"/>
          <w:szCs w:val="21"/>
        </w:rPr>
        <w:t xml:space="preserve">   </w:t>
      </w:r>
    </w:p>
    <w:p w14:paraId="56D473F9">
      <w:pPr>
        <w:pStyle w:val="7"/>
        <w:spacing w:before="0" w:beforeAutospacing="0" w:after="0" w:afterAutospacing="0" w:line="360" w:lineRule="auto"/>
        <w:ind w:firstLine="420"/>
        <w:rPr>
          <w:sz w:val="21"/>
          <w:szCs w:val="21"/>
        </w:rPr>
      </w:pPr>
      <w:r>
        <w:rPr>
          <w:rFonts w:hint="eastAsia"/>
          <w:sz w:val="21"/>
          <w:szCs w:val="21"/>
        </w:rPr>
        <w:t xml:space="preserve">27、代销机构：指符合《销售办法》和中国证监会规定的其他条件，取得基金销售业务资格并与基金管理人签订了基金销售服务协议，办理基金销售业务的机构 </w:t>
      </w:r>
    </w:p>
    <w:p w14:paraId="2FBF1BA0">
      <w:pPr>
        <w:pStyle w:val="7"/>
        <w:spacing w:before="0" w:beforeAutospacing="0" w:after="0" w:afterAutospacing="0" w:line="360" w:lineRule="auto"/>
        <w:ind w:firstLine="420"/>
        <w:rPr>
          <w:sz w:val="21"/>
          <w:szCs w:val="21"/>
        </w:rPr>
      </w:pPr>
      <w:r>
        <w:rPr>
          <w:rFonts w:hint="eastAsia"/>
          <w:sz w:val="21"/>
          <w:szCs w:val="21"/>
        </w:rPr>
        <w:t xml:space="preserve">28、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351B3EF7">
      <w:pPr>
        <w:pStyle w:val="7"/>
        <w:spacing w:before="0" w:beforeAutospacing="0" w:after="0" w:afterAutospacing="0" w:line="360" w:lineRule="auto"/>
        <w:ind w:firstLine="420"/>
        <w:rPr>
          <w:sz w:val="21"/>
          <w:szCs w:val="21"/>
        </w:rPr>
      </w:pPr>
      <w:r>
        <w:rPr>
          <w:rFonts w:hint="eastAsia"/>
          <w:sz w:val="21"/>
          <w:szCs w:val="21"/>
        </w:rPr>
        <w:t>29、登记机构：指办理登记业务的机构。基金的登记机构为</w:t>
      </w:r>
      <w:bookmarkStart w:id="28" w:name="field_0_managerorgfullname_3"/>
      <w:r>
        <w:rPr>
          <w:rFonts w:hint="eastAsia"/>
          <w:sz w:val="21"/>
          <w:szCs w:val="21"/>
        </w:rPr>
        <w:t>博时基金管理有限公司</w:t>
      </w:r>
      <w:bookmarkEnd w:id="28"/>
      <w:r>
        <w:rPr>
          <w:rFonts w:hint="eastAsia"/>
          <w:sz w:val="21"/>
          <w:szCs w:val="21"/>
        </w:rPr>
        <w:t>或接受</w:t>
      </w:r>
      <w:bookmarkStart w:id="29" w:name="field_0_managerorgfullname_4"/>
      <w:r>
        <w:rPr>
          <w:rFonts w:hint="eastAsia"/>
          <w:sz w:val="21"/>
          <w:szCs w:val="21"/>
        </w:rPr>
        <w:t>博时基金管理有限公司</w:t>
      </w:r>
      <w:bookmarkEnd w:id="29"/>
      <w:r>
        <w:rPr>
          <w:rFonts w:hint="eastAsia"/>
          <w:sz w:val="21"/>
          <w:szCs w:val="21"/>
        </w:rPr>
        <w:t xml:space="preserve">委托代为办理登记业务的机构 </w:t>
      </w:r>
    </w:p>
    <w:p w14:paraId="57002710">
      <w:pPr>
        <w:pStyle w:val="7"/>
        <w:spacing w:before="0" w:beforeAutospacing="0" w:after="0" w:afterAutospacing="0" w:line="360" w:lineRule="auto"/>
        <w:ind w:firstLine="420"/>
        <w:rPr>
          <w:sz w:val="21"/>
          <w:szCs w:val="21"/>
        </w:rPr>
      </w:pPr>
      <w:r>
        <w:rPr>
          <w:rFonts w:hint="eastAsia"/>
          <w:sz w:val="21"/>
          <w:szCs w:val="21"/>
        </w:rPr>
        <w:t xml:space="preserve">30、基金账户：指登记机构为投资人开立的、记录其持有的、基金管理人所管理的基金份额余额及其变动情况的账户 </w:t>
      </w:r>
    </w:p>
    <w:p w14:paraId="33E63DA8">
      <w:pPr>
        <w:pStyle w:val="7"/>
        <w:spacing w:before="0" w:beforeAutospacing="0" w:after="0" w:afterAutospacing="0" w:line="360" w:lineRule="auto"/>
        <w:ind w:firstLine="420"/>
        <w:rPr>
          <w:sz w:val="21"/>
          <w:szCs w:val="21"/>
        </w:rPr>
      </w:pPr>
      <w:r>
        <w:rPr>
          <w:rFonts w:hint="eastAsia"/>
          <w:sz w:val="21"/>
          <w:szCs w:val="21"/>
        </w:rPr>
        <w:t xml:space="preserve">31、基金交易账户：指销售机构为投资人开立的、记录投资人通过该销售机构办理认购、申购、赎回、转换、转托管及定期定额投资等业务而引起的基金份额变动及结余情况的账户 </w:t>
      </w:r>
    </w:p>
    <w:p w14:paraId="5066598D">
      <w:pPr>
        <w:pStyle w:val="7"/>
        <w:spacing w:before="0" w:beforeAutospacing="0" w:after="0" w:afterAutospacing="0" w:line="360" w:lineRule="auto"/>
        <w:ind w:firstLine="420"/>
        <w:rPr>
          <w:sz w:val="21"/>
          <w:szCs w:val="21"/>
        </w:rPr>
      </w:pPr>
      <w:r>
        <w:rPr>
          <w:rFonts w:hint="eastAsia"/>
          <w:sz w:val="21"/>
          <w:szCs w:val="21"/>
        </w:rPr>
        <w:t xml:space="preserve">32、基金合同生效日：指基金募集达到法律法规规定及基金合同规定的条件，基金管理人向中国证监会办理基金备案手续完毕，并获得中国证监会书面确认的日期 </w:t>
      </w:r>
    </w:p>
    <w:p w14:paraId="41DBC40D">
      <w:pPr>
        <w:pStyle w:val="7"/>
        <w:spacing w:before="0" w:beforeAutospacing="0" w:after="0" w:afterAutospacing="0" w:line="360" w:lineRule="auto"/>
        <w:ind w:firstLine="420"/>
        <w:rPr>
          <w:sz w:val="21"/>
          <w:szCs w:val="21"/>
        </w:rPr>
      </w:pPr>
      <w:r>
        <w:rPr>
          <w:rFonts w:hint="eastAsia"/>
          <w:sz w:val="21"/>
          <w:szCs w:val="21"/>
        </w:rPr>
        <w:t xml:space="preserve">33、基金合同终止日：指基金合同规定的基金合同终止事由出现后，基金财产清算完毕，清算结果报中国证监会备案并予以公告的日期 </w:t>
      </w:r>
    </w:p>
    <w:p w14:paraId="54C2E27C">
      <w:pPr>
        <w:pStyle w:val="7"/>
        <w:spacing w:before="0" w:beforeAutospacing="0" w:after="0" w:afterAutospacing="0" w:line="360" w:lineRule="auto"/>
        <w:ind w:firstLine="420"/>
        <w:rPr>
          <w:sz w:val="21"/>
          <w:szCs w:val="21"/>
        </w:rPr>
      </w:pPr>
      <w:r>
        <w:rPr>
          <w:rFonts w:hint="eastAsia"/>
          <w:sz w:val="21"/>
          <w:szCs w:val="21"/>
        </w:rPr>
        <w:t xml:space="preserve">34、基金募集期：指自基金份额发售之日起至发售结束之日止的期间，最长不得超过3个月 </w:t>
      </w:r>
    </w:p>
    <w:p w14:paraId="1F70DFB6">
      <w:pPr>
        <w:pStyle w:val="7"/>
        <w:spacing w:before="0" w:beforeAutospacing="0" w:after="0" w:afterAutospacing="0" w:line="360" w:lineRule="auto"/>
        <w:ind w:firstLine="420"/>
        <w:rPr>
          <w:sz w:val="21"/>
          <w:szCs w:val="21"/>
        </w:rPr>
      </w:pPr>
      <w:r>
        <w:rPr>
          <w:rFonts w:hint="eastAsia"/>
          <w:sz w:val="21"/>
          <w:szCs w:val="21"/>
        </w:rPr>
        <w:t xml:space="preserve">35、存续期：指基金合同生效至终止之间的不定期期限 </w:t>
      </w:r>
    </w:p>
    <w:p w14:paraId="6451E573">
      <w:pPr>
        <w:pStyle w:val="7"/>
        <w:spacing w:before="0" w:beforeAutospacing="0" w:after="0" w:afterAutospacing="0" w:line="360" w:lineRule="auto"/>
        <w:ind w:firstLine="420"/>
        <w:rPr>
          <w:sz w:val="21"/>
          <w:szCs w:val="21"/>
        </w:rPr>
      </w:pPr>
      <w:r>
        <w:rPr>
          <w:rFonts w:hint="eastAsia"/>
          <w:sz w:val="21"/>
          <w:szCs w:val="21"/>
        </w:rPr>
        <w:t xml:space="preserve">36、工作日：指上海证券交易所、深圳证券交易所及相关期货交易所的正常交易日 </w:t>
      </w:r>
    </w:p>
    <w:p w14:paraId="26F6C8FA">
      <w:pPr>
        <w:pStyle w:val="7"/>
        <w:spacing w:before="0" w:beforeAutospacing="0" w:after="0" w:afterAutospacing="0" w:line="360" w:lineRule="auto"/>
        <w:ind w:firstLine="420"/>
        <w:rPr>
          <w:sz w:val="21"/>
          <w:szCs w:val="21"/>
        </w:rPr>
      </w:pPr>
      <w:r>
        <w:rPr>
          <w:rFonts w:hint="eastAsia"/>
          <w:sz w:val="21"/>
          <w:szCs w:val="21"/>
        </w:rPr>
        <w:t xml:space="preserve">37、T日：指销售机构在规定时间受理投资人申购、赎回或其他业务申请的开放日 </w:t>
      </w:r>
    </w:p>
    <w:p w14:paraId="6CADEBD9">
      <w:pPr>
        <w:pStyle w:val="7"/>
        <w:spacing w:before="0" w:beforeAutospacing="0" w:after="0" w:afterAutospacing="0" w:line="360" w:lineRule="auto"/>
        <w:ind w:firstLine="420"/>
        <w:rPr>
          <w:sz w:val="21"/>
          <w:szCs w:val="21"/>
        </w:rPr>
      </w:pPr>
      <w:r>
        <w:rPr>
          <w:rFonts w:hint="eastAsia"/>
          <w:sz w:val="21"/>
          <w:szCs w:val="21"/>
        </w:rPr>
        <w:t xml:space="preserve">38、T+n日：指自T日起第n个工作日(不包含T日) </w:t>
      </w:r>
    </w:p>
    <w:p w14:paraId="043E7FC8">
      <w:pPr>
        <w:pStyle w:val="7"/>
        <w:spacing w:before="0" w:beforeAutospacing="0" w:after="0" w:afterAutospacing="0" w:line="360" w:lineRule="auto"/>
        <w:ind w:firstLine="420"/>
        <w:rPr>
          <w:sz w:val="21"/>
          <w:szCs w:val="21"/>
        </w:rPr>
      </w:pPr>
      <w:r>
        <w:rPr>
          <w:rFonts w:hint="eastAsia"/>
          <w:sz w:val="21"/>
          <w:szCs w:val="21"/>
        </w:rPr>
        <w:t xml:space="preserve">39、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 </w:t>
      </w:r>
    </w:p>
    <w:p w14:paraId="3B8C6BBD">
      <w:pPr>
        <w:pStyle w:val="7"/>
        <w:spacing w:before="0" w:beforeAutospacing="0" w:after="0" w:afterAutospacing="0" w:line="360" w:lineRule="auto"/>
        <w:ind w:firstLine="420"/>
        <w:rPr>
          <w:sz w:val="21"/>
          <w:szCs w:val="21"/>
        </w:rPr>
      </w:pPr>
      <w:r>
        <w:rPr>
          <w:rFonts w:hint="eastAsia"/>
          <w:sz w:val="21"/>
          <w:szCs w:val="21"/>
        </w:rPr>
        <w:t xml:space="preserve">40、开放时间：指开放日基金接受申购、赎回或其他交易的时间段 </w:t>
      </w:r>
    </w:p>
    <w:p w14:paraId="2E0DAE6F">
      <w:pPr>
        <w:pStyle w:val="7"/>
        <w:spacing w:before="0" w:beforeAutospacing="0" w:after="0" w:afterAutospacing="0" w:line="360" w:lineRule="auto"/>
        <w:ind w:firstLine="420"/>
        <w:rPr>
          <w:sz w:val="21"/>
          <w:szCs w:val="21"/>
        </w:rPr>
      </w:pPr>
      <w:r>
        <w:rPr>
          <w:rFonts w:hint="eastAsia"/>
          <w:sz w:val="21"/>
          <w:szCs w:val="21"/>
        </w:rPr>
        <w:t xml:space="preserve">41、最短持有期：指本基金对每份基金份额设置六个月的最短持有期。在最短持有期到期日之前（不含当日），投资者不能提出赎回申请；最短持有期期满后（含最短持有期到期日当日）投资者可以申请赎回 </w:t>
      </w:r>
    </w:p>
    <w:p w14:paraId="3B3E3DBF">
      <w:pPr>
        <w:pStyle w:val="7"/>
        <w:spacing w:before="0" w:beforeAutospacing="0" w:after="0" w:afterAutospacing="0" w:line="360" w:lineRule="auto"/>
        <w:ind w:firstLine="420"/>
        <w:rPr>
          <w:sz w:val="21"/>
          <w:szCs w:val="21"/>
        </w:rPr>
      </w:pPr>
      <w:r>
        <w:rPr>
          <w:rFonts w:hint="eastAsia"/>
          <w:sz w:val="21"/>
          <w:szCs w:val="21"/>
        </w:rPr>
        <w:t xml:space="preserve">42、最短持有期起始日：每份认购份额的最短持有期起始日指基金合同生效日，每份申购份额的最短持有期起始日指该基金份额申购申请的确认日 </w:t>
      </w:r>
    </w:p>
    <w:p w14:paraId="05A68ED0">
      <w:pPr>
        <w:pStyle w:val="7"/>
        <w:spacing w:before="0" w:beforeAutospacing="0" w:after="0" w:afterAutospacing="0" w:line="360" w:lineRule="auto"/>
        <w:ind w:firstLine="420"/>
        <w:rPr>
          <w:sz w:val="21"/>
          <w:szCs w:val="21"/>
        </w:rPr>
      </w:pPr>
      <w:r>
        <w:rPr>
          <w:rFonts w:hint="eastAsia"/>
          <w:sz w:val="21"/>
          <w:szCs w:val="21"/>
        </w:rPr>
        <w:t xml:space="preserve">43、最短持有期到期日：指最短持有期起始日起六个月后的对应日，如无对应日或该对应日为非工作日，则顺延至下一工作日。因不可抗力或基金合同约定的其他情形致使基金管理人无法在该基金份额的最短持有期到期日按时开放办理该基金份额的赎回业务的，该基金份额的最短持有期到期日顺延至不可抗力或基金合同约定的其他情形的影响因素消除之日起的下一个工作日 </w:t>
      </w:r>
    </w:p>
    <w:p w14:paraId="56BB1756">
      <w:pPr>
        <w:pStyle w:val="7"/>
        <w:spacing w:before="0" w:beforeAutospacing="0" w:after="0" w:afterAutospacing="0" w:line="360" w:lineRule="auto"/>
        <w:ind w:firstLine="420"/>
        <w:rPr>
          <w:sz w:val="21"/>
          <w:szCs w:val="21"/>
        </w:rPr>
      </w:pPr>
      <w:r>
        <w:rPr>
          <w:rFonts w:hint="eastAsia"/>
          <w:sz w:val="21"/>
          <w:szCs w:val="21"/>
        </w:rPr>
        <w:t>44、《业务规则》：指《</w:t>
      </w:r>
      <w:bookmarkStart w:id="30" w:name="field_0_managerorgfullname_5"/>
      <w:r>
        <w:rPr>
          <w:rFonts w:hint="eastAsia"/>
          <w:sz w:val="21"/>
          <w:szCs w:val="21"/>
        </w:rPr>
        <w:t>博时基金管理有限公司</w:t>
      </w:r>
      <w:bookmarkEnd w:id="30"/>
      <w:r>
        <w:rPr>
          <w:rFonts w:hint="eastAsia"/>
          <w:sz w:val="21"/>
          <w:szCs w:val="21"/>
        </w:rPr>
        <w:t xml:space="preserve">开放式基金业务规则》，是规范基金管理人所管理的开放式证券投资基金登记方面的业务规则，由基金管理人和投资人共同遵守 </w:t>
      </w:r>
    </w:p>
    <w:p w14:paraId="56C0F906">
      <w:pPr>
        <w:pStyle w:val="7"/>
        <w:spacing w:before="0" w:beforeAutospacing="0" w:after="0" w:afterAutospacing="0" w:line="360" w:lineRule="auto"/>
        <w:ind w:firstLine="420"/>
        <w:rPr>
          <w:sz w:val="21"/>
          <w:szCs w:val="21"/>
        </w:rPr>
      </w:pPr>
      <w:r>
        <w:rPr>
          <w:rFonts w:hint="eastAsia"/>
          <w:sz w:val="21"/>
          <w:szCs w:val="21"/>
        </w:rPr>
        <w:t xml:space="preserve">45、认购：指在基金募集期内，投资人根据基金合同和招募说明书的规定申请购买基金份额的行为 </w:t>
      </w:r>
    </w:p>
    <w:p w14:paraId="64D2C0BF">
      <w:pPr>
        <w:pStyle w:val="7"/>
        <w:spacing w:before="0" w:beforeAutospacing="0" w:after="0" w:afterAutospacing="0" w:line="360" w:lineRule="auto"/>
        <w:ind w:firstLine="420"/>
        <w:rPr>
          <w:sz w:val="21"/>
          <w:szCs w:val="21"/>
        </w:rPr>
      </w:pPr>
      <w:r>
        <w:rPr>
          <w:rFonts w:hint="eastAsia"/>
          <w:sz w:val="21"/>
          <w:szCs w:val="21"/>
        </w:rPr>
        <w:t xml:space="preserve">46、申购：指基金合同生效后，投资人根据基金合同和招募说明书的规定申请购买基金份额的行为 </w:t>
      </w:r>
    </w:p>
    <w:p w14:paraId="2FBE4376">
      <w:pPr>
        <w:pStyle w:val="7"/>
        <w:spacing w:before="0" w:beforeAutospacing="0" w:after="0" w:afterAutospacing="0" w:line="360" w:lineRule="auto"/>
        <w:ind w:firstLine="420"/>
        <w:rPr>
          <w:sz w:val="21"/>
          <w:szCs w:val="21"/>
        </w:rPr>
      </w:pPr>
      <w:r>
        <w:rPr>
          <w:rFonts w:hint="eastAsia"/>
          <w:sz w:val="21"/>
          <w:szCs w:val="21"/>
        </w:rPr>
        <w:t xml:space="preserve">47、赎回：指基金合同生效后，基金份额持有人按基金合同和招募说明书规定的条件要求将基金份额兑换为现金的行为 </w:t>
      </w:r>
    </w:p>
    <w:p w14:paraId="39A3BB3F">
      <w:pPr>
        <w:pStyle w:val="7"/>
        <w:spacing w:before="0" w:beforeAutospacing="0" w:after="0" w:afterAutospacing="0" w:line="360" w:lineRule="auto"/>
        <w:ind w:firstLine="420"/>
        <w:rPr>
          <w:sz w:val="21"/>
          <w:szCs w:val="21"/>
        </w:rPr>
      </w:pPr>
      <w:r>
        <w:rPr>
          <w:rFonts w:hint="eastAsia"/>
          <w:sz w:val="21"/>
          <w:szCs w:val="21"/>
        </w:rPr>
        <w:t xml:space="preserve">48、基金转换：指基金份额持有人按照基金合同和基金管理人届时有效公告规定的条件，申请将其持有基金管理人管理的、某一基金的基金份额转换为基金管理人管理的其他基金基金份额的行为 </w:t>
      </w:r>
    </w:p>
    <w:p w14:paraId="34B7108E">
      <w:pPr>
        <w:pStyle w:val="7"/>
        <w:spacing w:before="0" w:beforeAutospacing="0" w:after="0" w:afterAutospacing="0" w:line="360" w:lineRule="auto"/>
        <w:ind w:firstLine="420"/>
        <w:rPr>
          <w:sz w:val="21"/>
          <w:szCs w:val="21"/>
        </w:rPr>
      </w:pPr>
      <w:r>
        <w:rPr>
          <w:rFonts w:hint="eastAsia"/>
          <w:sz w:val="21"/>
          <w:szCs w:val="21"/>
        </w:rPr>
        <w:t xml:space="preserve">49、转托管：指基金份额持有人在本基金的不同销售机构之间实施的变更所持基金份额销售机构的操作 </w:t>
      </w:r>
    </w:p>
    <w:p w14:paraId="519C7077">
      <w:pPr>
        <w:pStyle w:val="7"/>
        <w:spacing w:before="0" w:beforeAutospacing="0" w:after="0" w:afterAutospacing="0" w:line="360" w:lineRule="auto"/>
        <w:ind w:firstLine="420"/>
        <w:rPr>
          <w:sz w:val="21"/>
          <w:szCs w:val="21"/>
        </w:rPr>
      </w:pPr>
      <w:r>
        <w:rPr>
          <w:rFonts w:hint="eastAsia"/>
          <w:sz w:val="21"/>
          <w:szCs w:val="21"/>
        </w:rPr>
        <w:t xml:space="preserve">50、定期定额投资计划：指投资人通过有关销售机构提出申请，约定每期申购日、扣款金额及扣款方式，由销售机构于每期约定扣款日在投资人指定银行账户内自动完成扣款及受理基金申购申请的一种投资方式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358C5797">
      <w:pPr>
        <w:pStyle w:val="7"/>
        <w:spacing w:before="0" w:beforeAutospacing="0" w:after="0" w:afterAutospacing="0" w:line="360" w:lineRule="auto"/>
        <w:ind w:firstLine="420"/>
        <w:rPr>
          <w:sz w:val="21"/>
          <w:szCs w:val="21"/>
        </w:rPr>
      </w:pPr>
      <w:r>
        <w:rPr>
          <w:rFonts w:hint="eastAsia"/>
          <w:sz w:val="21"/>
          <w:szCs w:val="21"/>
        </w:rPr>
        <w:t>51、巨额赎回：指本基金单个开放日，基金净赎回申请(赎回申请份额总数加上基金转换中转出申请份额总数后扣除申购申请份额总数及基金转换中转入申请份额总数后的余额)超过上一开放日基金总份额的 </w:t>
      </w:r>
      <w:bookmarkStart w:id="31" w:name="field_49_mintredeemscale_1"/>
      <w:r>
        <w:rPr>
          <w:sz w:val="21"/>
          <w:szCs w:val="21"/>
        </w:rPr>
        <w:t>10</w:t>
      </w:r>
      <w:bookmarkEnd w:id="31"/>
      <w:r>
        <w:rPr>
          <w:rFonts w:hint="eastAsia"/>
          <w:sz w:val="21"/>
          <w:szCs w:val="21"/>
        </w:rPr>
        <w:t xml:space="preserve"> % </w:t>
      </w:r>
    </w:p>
    <w:p w14:paraId="14114C9F">
      <w:pPr>
        <w:pStyle w:val="7"/>
        <w:spacing w:before="0" w:beforeAutospacing="0" w:after="0" w:afterAutospacing="0" w:line="360" w:lineRule="auto"/>
        <w:ind w:firstLine="420"/>
        <w:rPr>
          <w:sz w:val="21"/>
          <w:szCs w:val="21"/>
        </w:rPr>
      </w:pPr>
      <w:r>
        <w:rPr>
          <w:rFonts w:hint="eastAsia"/>
          <w:sz w:val="21"/>
          <w:szCs w:val="21"/>
        </w:rPr>
        <w:t xml:space="preserve">52、元：指人民币元 </w:t>
      </w:r>
    </w:p>
    <w:p w14:paraId="7692731D">
      <w:pPr>
        <w:pStyle w:val="7"/>
        <w:spacing w:before="0" w:beforeAutospacing="0" w:after="0" w:afterAutospacing="0" w:line="360" w:lineRule="auto"/>
        <w:ind w:firstLine="420"/>
        <w:rPr>
          <w:sz w:val="21"/>
          <w:szCs w:val="21"/>
        </w:rPr>
      </w:pPr>
      <w:r>
        <w:rPr>
          <w:rFonts w:hint="eastAsia"/>
          <w:sz w:val="21"/>
          <w:szCs w:val="21"/>
        </w:rPr>
        <w:t xml:space="preserve">53、基金收益：指基金投资所得红利、股息、债券利息、买卖证券价差、银行存款利息、已实现的其他合法收入及因运用基金财产带来的成本和费用的节约 </w:t>
      </w:r>
    </w:p>
    <w:p w14:paraId="4816468C">
      <w:pPr>
        <w:pStyle w:val="7"/>
        <w:spacing w:before="0" w:beforeAutospacing="0" w:after="0" w:afterAutospacing="0" w:line="360" w:lineRule="auto"/>
        <w:ind w:firstLine="420"/>
        <w:rPr>
          <w:sz w:val="21"/>
          <w:szCs w:val="21"/>
        </w:rPr>
      </w:pPr>
      <w:r>
        <w:rPr>
          <w:rFonts w:hint="eastAsia"/>
          <w:sz w:val="21"/>
          <w:szCs w:val="21"/>
        </w:rPr>
        <w:t xml:space="preserve">54、基金资产总值：指基金拥有的各类有价证券、银行存款本息、基金应收款项及其他资产的价值总和 </w:t>
      </w:r>
    </w:p>
    <w:p w14:paraId="1897E6EE">
      <w:pPr>
        <w:pStyle w:val="7"/>
        <w:spacing w:before="0" w:beforeAutospacing="0" w:after="0" w:afterAutospacing="0" w:line="360" w:lineRule="auto"/>
        <w:ind w:firstLine="420"/>
        <w:rPr>
          <w:sz w:val="21"/>
          <w:szCs w:val="21"/>
        </w:rPr>
      </w:pPr>
      <w:r>
        <w:rPr>
          <w:rFonts w:hint="eastAsia"/>
          <w:sz w:val="21"/>
          <w:szCs w:val="21"/>
        </w:rPr>
        <w:t xml:space="preserve">55、基金资产净值：指基金资产总值减去基金负债后的价值 </w:t>
      </w:r>
    </w:p>
    <w:p w14:paraId="2E344AC8">
      <w:pPr>
        <w:pStyle w:val="7"/>
        <w:spacing w:before="0" w:beforeAutospacing="0" w:after="0" w:afterAutospacing="0" w:line="360" w:lineRule="auto"/>
        <w:ind w:firstLine="420"/>
        <w:rPr>
          <w:sz w:val="21"/>
          <w:szCs w:val="21"/>
        </w:rPr>
      </w:pPr>
      <w:r>
        <w:rPr>
          <w:rFonts w:hint="eastAsia"/>
          <w:sz w:val="21"/>
          <w:szCs w:val="21"/>
        </w:rPr>
        <w:t xml:space="preserve">56、基金份额净值：指计算日基金资产净值除以计算日该类基金份额总数 </w:t>
      </w:r>
    </w:p>
    <w:p w14:paraId="1EF541F6">
      <w:pPr>
        <w:pStyle w:val="7"/>
        <w:spacing w:before="0" w:beforeAutospacing="0" w:after="0" w:afterAutospacing="0" w:line="360" w:lineRule="auto"/>
        <w:ind w:firstLine="420"/>
        <w:rPr>
          <w:sz w:val="21"/>
          <w:szCs w:val="21"/>
        </w:rPr>
      </w:pPr>
      <w:r>
        <w:rPr>
          <w:rFonts w:hint="eastAsia"/>
          <w:sz w:val="21"/>
          <w:szCs w:val="21"/>
        </w:rPr>
        <w:t xml:space="preserve">57、基金资产估值：指计算评估基金资产和负债的价值，以确定基金资产净值和基金份额净值的过程 </w:t>
      </w:r>
    </w:p>
    <w:p w14:paraId="4C693171">
      <w:pPr>
        <w:pStyle w:val="7"/>
        <w:spacing w:before="0" w:beforeAutospacing="0" w:after="0" w:afterAutospacing="0" w:line="360" w:lineRule="auto"/>
        <w:ind w:firstLine="420"/>
        <w:rPr>
          <w:sz w:val="21"/>
          <w:szCs w:val="21"/>
        </w:rPr>
      </w:pPr>
      <w:r>
        <w:rPr>
          <w:rFonts w:hint="eastAsia"/>
          <w:sz w:val="21"/>
          <w:szCs w:val="21"/>
        </w:rPr>
        <w:t xml:space="preserve">58、基金份额分类：指本基金分设两类基金份额，即A类基金份额和C类基金份额。两类基金份额分设不同的基金代码，分别计算基金份额净值，计算公式为计算日各类别基金资产净值除以计算日发售在外的该类别基金份额总数 </w:t>
      </w:r>
    </w:p>
    <w:p w14:paraId="3911E0A9">
      <w:pPr>
        <w:pStyle w:val="7"/>
        <w:spacing w:before="0" w:beforeAutospacing="0" w:after="0" w:afterAutospacing="0" w:line="360" w:lineRule="auto"/>
        <w:ind w:firstLine="420"/>
        <w:rPr>
          <w:sz w:val="21"/>
          <w:szCs w:val="21"/>
        </w:rPr>
      </w:pPr>
      <w:r>
        <w:rPr>
          <w:rFonts w:hint="eastAsia"/>
          <w:sz w:val="21"/>
          <w:szCs w:val="21"/>
        </w:rPr>
        <w:t xml:space="preserve">59、A类基金份额：指在投资者认购、申购时收取认购、申购费用，不从本类别基金资产中计提销售服务费的基金份额 </w:t>
      </w:r>
    </w:p>
    <w:p w14:paraId="502766DA">
      <w:pPr>
        <w:pStyle w:val="7"/>
        <w:spacing w:before="0" w:beforeAutospacing="0" w:after="0" w:afterAutospacing="0" w:line="360" w:lineRule="auto"/>
        <w:ind w:firstLine="420"/>
        <w:rPr>
          <w:sz w:val="21"/>
          <w:szCs w:val="21"/>
        </w:rPr>
      </w:pPr>
      <w:r>
        <w:rPr>
          <w:rFonts w:hint="eastAsia"/>
          <w:sz w:val="21"/>
          <w:szCs w:val="21"/>
        </w:rPr>
        <w:t xml:space="preserve">60、C类基金份额：指在投资者认购、申购时不收取认购、申购费用，但从本类别基金资产中计提销售服务费的基金份额 </w:t>
      </w:r>
    </w:p>
    <w:p w14:paraId="21B96BB6">
      <w:pPr>
        <w:pStyle w:val="7"/>
        <w:spacing w:before="0" w:beforeAutospacing="0" w:after="0" w:afterAutospacing="0" w:line="360" w:lineRule="auto"/>
        <w:ind w:firstLine="420"/>
        <w:rPr>
          <w:sz w:val="21"/>
          <w:szCs w:val="21"/>
        </w:rPr>
      </w:pPr>
      <w:r>
        <w:rPr>
          <w:rFonts w:hint="eastAsia"/>
          <w:sz w:val="21"/>
          <w:szCs w:val="21"/>
        </w:rPr>
        <w:t xml:space="preserve">61、指定媒介：指中国证监会指定的用以进行信息披露的全国性报刊及指定互联网网站（包括基金管理人网站、基金托管人网站、中国证监会基金电子披露网站）等 </w:t>
      </w:r>
    </w:p>
    <w:p w14:paraId="4E333ECA">
      <w:pPr>
        <w:pStyle w:val="7"/>
        <w:spacing w:before="0" w:beforeAutospacing="0" w:after="0" w:afterAutospacing="0" w:line="360" w:lineRule="auto"/>
        <w:ind w:firstLine="420"/>
        <w:rPr>
          <w:sz w:val="21"/>
          <w:szCs w:val="21"/>
        </w:rPr>
      </w:pPr>
      <w:r>
        <w:rPr>
          <w:rFonts w:hint="eastAsia"/>
          <w:sz w:val="21"/>
          <w:szCs w:val="21"/>
        </w:rPr>
        <w:t xml:space="preserve">62、销售服务费：指从基金财产中计提的，用于本基金市场推广、销售以及基金份额持有人服务的费用 </w:t>
      </w:r>
    </w:p>
    <w:p w14:paraId="6DDEF7D5">
      <w:pPr>
        <w:pStyle w:val="7"/>
        <w:spacing w:before="0" w:beforeAutospacing="0" w:after="0" w:afterAutospacing="0" w:line="360" w:lineRule="auto"/>
        <w:ind w:firstLine="420"/>
        <w:rPr>
          <w:sz w:val="21"/>
          <w:szCs w:val="21"/>
        </w:rPr>
      </w:pPr>
      <w:r>
        <w:rPr>
          <w:rFonts w:hint="eastAsia"/>
          <w:sz w:val="21"/>
          <w:szCs w:val="21"/>
        </w:rPr>
        <w:t xml:space="preserve">63、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3D50819D">
      <w:pPr>
        <w:pStyle w:val="7"/>
        <w:spacing w:before="0" w:beforeAutospacing="0" w:after="0" w:afterAutospacing="0" w:line="360" w:lineRule="auto"/>
        <w:ind w:firstLine="420"/>
        <w:rPr>
          <w:sz w:val="21"/>
          <w:szCs w:val="21"/>
        </w:rPr>
      </w:pPr>
      <w:r>
        <w:rPr>
          <w:rFonts w:hint="eastAsia"/>
          <w:sz w:val="21"/>
          <w:szCs w:val="21"/>
        </w:rPr>
        <w:t xml:space="preserve">64、信用衍生品：指符合证券交易所或银行间市场相关业务规则，专门用于管理信用风险的信用衍生工具 </w:t>
      </w:r>
    </w:p>
    <w:p w14:paraId="18CFAC9A">
      <w:pPr>
        <w:pStyle w:val="7"/>
        <w:spacing w:before="0" w:beforeAutospacing="0" w:after="0" w:afterAutospacing="0" w:line="360" w:lineRule="auto"/>
        <w:ind w:firstLine="420"/>
        <w:rPr>
          <w:sz w:val="21"/>
          <w:szCs w:val="21"/>
        </w:rPr>
      </w:pPr>
      <w:r>
        <w:rPr>
          <w:rFonts w:hint="eastAsia"/>
          <w:sz w:val="21"/>
          <w:szCs w:val="21"/>
        </w:rPr>
        <w:t xml:space="preserve">65、信用保护买方：亦称信用保护购买方，指接受信用风险保护的一方 </w:t>
      </w:r>
    </w:p>
    <w:p w14:paraId="68A87625">
      <w:pPr>
        <w:pStyle w:val="7"/>
        <w:spacing w:before="0" w:beforeAutospacing="0" w:after="0" w:afterAutospacing="0" w:line="360" w:lineRule="auto"/>
        <w:ind w:firstLine="420"/>
        <w:rPr>
          <w:sz w:val="21"/>
          <w:szCs w:val="21"/>
        </w:rPr>
      </w:pPr>
      <w:r>
        <w:rPr>
          <w:rFonts w:hint="eastAsia"/>
          <w:sz w:val="21"/>
          <w:szCs w:val="21"/>
        </w:rPr>
        <w:t xml:space="preserve">66、信用保护卖方：亦称信用保护提供方，指提供信用风险保护的一方 </w:t>
      </w:r>
    </w:p>
    <w:p w14:paraId="3AE65EDB">
      <w:pPr>
        <w:pStyle w:val="7"/>
        <w:spacing w:before="0" w:beforeAutospacing="0" w:after="0" w:afterAutospacing="0" w:line="360" w:lineRule="auto"/>
        <w:ind w:firstLine="420"/>
        <w:rPr>
          <w:sz w:val="21"/>
          <w:szCs w:val="21"/>
        </w:rPr>
      </w:pPr>
      <w:r>
        <w:rPr>
          <w:rFonts w:hint="eastAsia"/>
          <w:sz w:val="21"/>
          <w:szCs w:val="21"/>
        </w:rPr>
        <w:t xml:space="preserve">67、名义本金：亦称交易名义本金，是一笔信用衍生产品交易提供信用风险保护的金额，各项支付和结算以此金额为计算基准 </w:t>
      </w:r>
    </w:p>
    <w:p w14:paraId="44A3883F">
      <w:pPr>
        <w:pStyle w:val="7"/>
        <w:spacing w:before="0" w:beforeAutospacing="0" w:after="0" w:afterAutospacing="0" w:line="360" w:lineRule="auto"/>
        <w:ind w:firstLine="420"/>
        <w:rPr>
          <w:sz w:val="21"/>
          <w:szCs w:val="21"/>
        </w:rPr>
      </w:pPr>
      <w:r>
        <w:rPr>
          <w:rFonts w:hint="eastAsia"/>
          <w:sz w:val="21"/>
          <w:szCs w:val="21"/>
        </w:rPr>
        <w:t xml:space="preserve">68、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 </w:t>
      </w:r>
    </w:p>
    <w:p w14:paraId="751C15A1">
      <w:pPr>
        <w:pStyle w:val="7"/>
        <w:spacing w:before="0" w:beforeAutospacing="0" w:after="0" w:afterAutospacing="0" w:line="360" w:lineRule="auto"/>
        <w:ind w:firstLine="420"/>
        <w:rPr>
          <w:sz w:val="21"/>
          <w:szCs w:val="21"/>
        </w:rPr>
      </w:pPr>
      <w:r>
        <w:rPr>
          <w:rFonts w:hint="eastAsia"/>
          <w:sz w:val="21"/>
          <w:szCs w:val="21"/>
        </w:rPr>
        <w:t xml:space="preserve">69、港股通：是指内地投资者委托内地证券公司，经由上海证券交易所和深圳证券交易所设立的证券交易服务公司，向香港联合交易所进行申报，买卖规定范围内的香港联合交易所上市的股票的交易机制 </w:t>
      </w:r>
    </w:p>
    <w:p w14:paraId="7D5AE036">
      <w:pPr>
        <w:pStyle w:val="7"/>
        <w:spacing w:before="0" w:beforeAutospacing="0" w:after="0" w:afterAutospacing="0" w:line="360" w:lineRule="auto"/>
        <w:ind w:firstLine="420"/>
        <w:rPr>
          <w:sz w:val="21"/>
          <w:szCs w:val="21"/>
        </w:rPr>
      </w:pPr>
      <w:bookmarkStart w:id="32" w:name="chapter_level1_4_49_section_2_end"/>
      <w:bookmarkEnd w:id="32"/>
      <w:r>
        <w:rPr>
          <w:rFonts w:hint="eastAsia"/>
          <w:sz w:val="21"/>
          <w:szCs w:val="21"/>
        </w:rPr>
        <w:t xml:space="preserve">70、不可抗力：指基金合同当事人不能预见、不能避免且不能克服的客观事件 </w:t>
      </w:r>
    </w:p>
    <w:p w14:paraId="4972F233">
      <w:pPr>
        <w:widowControl/>
        <w:jc w:val="left"/>
        <w:rPr>
          <w:rFonts w:ascii="宋体" w:hAnsi="宋体" w:eastAsia="宋体"/>
        </w:rPr>
      </w:pPr>
      <w:r>
        <w:rPr>
          <w:rFonts w:ascii="宋体" w:hAnsi="宋体" w:eastAsia="宋体"/>
        </w:rPr>
        <w:br w:type="page"/>
      </w:r>
    </w:p>
    <w:p w14:paraId="408F285D">
      <w:pPr>
        <w:pStyle w:val="2"/>
        <w:jc w:val="center"/>
        <w:rPr>
          <w:rFonts w:ascii="宋体" w:hAnsi="宋体" w:eastAsia="宋体"/>
          <w:sz w:val="30"/>
        </w:rPr>
      </w:pPr>
      <w:bookmarkStart w:id="33" w:name="_Toc239193698"/>
      <w:bookmarkStart w:id="34" w:name="chapter_level1_5_53"/>
      <w:r>
        <w:rPr>
          <w:rFonts w:hint="eastAsia" w:ascii="宋体" w:hAnsi="宋体" w:eastAsia="宋体"/>
          <w:sz w:val="30"/>
        </w:rPr>
        <w:t>第三部分  基金管理人</w:t>
      </w:r>
      <w:bookmarkEnd w:id="33"/>
      <w:bookmarkEnd w:id="34"/>
    </w:p>
    <w:p w14:paraId="516232B0">
      <w:pPr>
        <w:pStyle w:val="7"/>
        <w:spacing w:before="0" w:beforeAutospacing="0" w:after="0" w:afterAutospacing="0" w:line="360" w:lineRule="auto"/>
        <w:ind w:firstLine="420"/>
        <w:rPr>
          <w:sz w:val="21"/>
          <w:szCs w:val="21"/>
        </w:rPr>
      </w:pPr>
      <w:bookmarkStart w:id="35" w:name="chapter_level1_5_53_section_1"/>
      <w:bookmarkEnd w:id="35"/>
      <w:r>
        <w:rPr>
          <w:rStyle w:val="11"/>
          <w:rFonts w:hint="eastAsia"/>
          <w:sz w:val="21"/>
          <w:szCs w:val="21"/>
        </w:rPr>
        <w:t>一、基金管理人概况</w:t>
      </w:r>
    </w:p>
    <w:p w14:paraId="788E62EC">
      <w:pPr>
        <w:pStyle w:val="7"/>
        <w:spacing w:before="0" w:beforeAutospacing="0" w:after="0" w:afterAutospacing="0" w:line="360" w:lineRule="auto"/>
        <w:ind w:firstLine="420"/>
        <w:rPr>
          <w:sz w:val="21"/>
          <w:szCs w:val="21"/>
        </w:rPr>
      </w:pPr>
      <w:bookmarkStart w:id="36" w:name="field_0_managercompanyinfo_1_start"/>
      <w:bookmarkEnd w:id="36"/>
      <w:r>
        <w:rPr>
          <w:rFonts w:hint="eastAsia"/>
          <w:sz w:val="21"/>
          <w:szCs w:val="21"/>
        </w:rPr>
        <w:t xml:space="preserve">名称： 博时基金管理有限公司 </w:t>
      </w:r>
    </w:p>
    <w:p w14:paraId="3E01AEC5">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7C83FE6A">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072799DF">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48CD8CA1">
      <w:pPr>
        <w:pStyle w:val="7"/>
        <w:spacing w:before="0" w:beforeAutospacing="0" w:after="0" w:afterAutospacing="0" w:line="360" w:lineRule="auto"/>
        <w:ind w:firstLine="420"/>
        <w:rPr>
          <w:sz w:val="21"/>
          <w:szCs w:val="21"/>
        </w:rPr>
      </w:pPr>
      <w:r>
        <w:rPr>
          <w:rFonts w:hint="eastAsia"/>
          <w:sz w:val="21"/>
          <w:szCs w:val="21"/>
        </w:rPr>
        <w:t xml:space="preserve">成立时间： 1998年7月13日 </w:t>
      </w:r>
    </w:p>
    <w:p w14:paraId="51E8FEF1">
      <w:pPr>
        <w:pStyle w:val="7"/>
        <w:spacing w:before="0" w:beforeAutospacing="0" w:after="0" w:afterAutospacing="0" w:line="360" w:lineRule="auto"/>
        <w:ind w:firstLine="420"/>
        <w:rPr>
          <w:sz w:val="21"/>
          <w:szCs w:val="21"/>
        </w:rPr>
      </w:pPr>
      <w:r>
        <w:rPr>
          <w:rFonts w:hint="eastAsia"/>
          <w:sz w:val="21"/>
          <w:szCs w:val="21"/>
        </w:rPr>
        <w:t xml:space="preserve">注册资本： 2.5亿元人民币 </w:t>
      </w:r>
    </w:p>
    <w:p w14:paraId="0FD91D47">
      <w:pPr>
        <w:pStyle w:val="7"/>
        <w:spacing w:before="0" w:beforeAutospacing="0" w:after="0" w:afterAutospacing="0" w:line="360" w:lineRule="auto"/>
        <w:ind w:firstLine="420"/>
        <w:rPr>
          <w:sz w:val="21"/>
          <w:szCs w:val="21"/>
        </w:rPr>
      </w:pPr>
      <w:r>
        <w:rPr>
          <w:rFonts w:hint="eastAsia"/>
          <w:sz w:val="21"/>
          <w:szCs w:val="21"/>
        </w:rPr>
        <w:t xml:space="preserve">存续期间： 持续经营 </w:t>
      </w:r>
    </w:p>
    <w:p w14:paraId="3C87B9E8">
      <w:pPr>
        <w:pStyle w:val="7"/>
        <w:spacing w:before="0" w:beforeAutospacing="0" w:after="0" w:afterAutospacing="0" w:line="360" w:lineRule="auto"/>
        <w:ind w:firstLine="420"/>
        <w:rPr>
          <w:sz w:val="21"/>
          <w:szCs w:val="21"/>
        </w:rPr>
      </w:pPr>
      <w:r>
        <w:rPr>
          <w:rFonts w:hint="eastAsia"/>
          <w:sz w:val="21"/>
          <w:szCs w:val="21"/>
        </w:rPr>
        <w:t xml:space="preserve">联系人：   杜松岭 </w:t>
      </w:r>
    </w:p>
    <w:p w14:paraId="7C5E8128">
      <w:pPr>
        <w:pStyle w:val="7"/>
        <w:spacing w:before="0" w:beforeAutospacing="0" w:after="0" w:afterAutospacing="0" w:line="360" w:lineRule="auto"/>
        <w:ind w:firstLine="420"/>
        <w:rPr>
          <w:sz w:val="21"/>
          <w:szCs w:val="21"/>
        </w:rPr>
      </w:pPr>
      <w:r>
        <w:rPr>
          <w:rFonts w:hint="eastAsia"/>
          <w:sz w:val="21"/>
          <w:szCs w:val="21"/>
        </w:rPr>
        <w:t xml:space="preserve">联系电话： （0755）8316 9999 </w:t>
      </w:r>
    </w:p>
    <w:p w14:paraId="0BD621A0">
      <w:pPr>
        <w:pStyle w:val="7"/>
        <w:spacing w:before="0" w:beforeAutospacing="0" w:after="0" w:afterAutospacing="0" w:line="360" w:lineRule="auto"/>
        <w:ind w:firstLine="420"/>
        <w:rPr>
          <w:sz w:val="21"/>
          <w:szCs w:val="21"/>
        </w:rPr>
      </w:pPr>
      <w:r>
        <w:rPr>
          <w:rFonts w:hint="eastAsia"/>
          <w:sz w:val="21"/>
          <w:szCs w:val="21"/>
        </w:rPr>
        <w:t xml:space="preserve">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 </w:t>
      </w:r>
    </w:p>
    <w:p w14:paraId="58D7B71B">
      <w:pPr>
        <w:pStyle w:val="7"/>
        <w:spacing w:before="0" w:beforeAutospacing="0" w:after="0" w:afterAutospacing="0" w:line="360" w:lineRule="auto"/>
        <w:ind w:firstLine="420"/>
        <w:rPr>
          <w:sz w:val="21"/>
          <w:szCs w:val="21"/>
        </w:rPr>
      </w:pPr>
      <w:r>
        <w:rPr>
          <w:rFonts w:hint="eastAsia"/>
          <w:sz w:val="21"/>
          <w:szCs w:val="21"/>
        </w:rPr>
        <w:t xml:space="preserve">公司设立了投资决策委员会。投资决策委员会负责指导基金资产的运作、确定基本的投资策略和投资组合的原则。 </w:t>
      </w:r>
    </w:p>
    <w:p w14:paraId="674AF3B4">
      <w:pPr>
        <w:pStyle w:val="7"/>
        <w:spacing w:before="0" w:beforeAutospacing="0" w:after="0" w:afterAutospacing="0" w:line="360" w:lineRule="auto"/>
        <w:ind w:firstLine="420"/>
        <w:rPr>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bookmarkStart w:id="37" w:name="field_0_managercompanyinfo_1_end"/>
      <w:bookmarkEnd w:id="37"/>
      <w:r>
        <w:rPr>
          <w:rFonts w:hint="eastAsia"/>
          <w:sz w:val="21"/>
          <w:szCs w:val="21"/>
        </w:rPr>
        <w:t xml:space="preserve">  </w:t>
      </w:r>
    </w:p>
    <w:p w14:paraId="1FFF5198">
      <w:pPr>
        <w:pStyle w:val="7"/>
        <w:spacing w:before="0" w:beforeAutospacing="0" w:after="0" w:afterAutospacing="0" w:line="360" w:lineRule="auto"/>
        <w:ind w:firstLine="420"/>
        <w:rPr>
          <w:sz w:val="21"/>
          <w:szCs w:val="21"/>
        </w:rPr>
      </w:pPr>
      <w:r>
        <w:rPr>
          <w:rStyle w:val="11"/>
          <w:rFonts w:hint="eastAsia"/>
          <w:sz w:val="21"/>
          <w:szCs w:val="21"/>
        </w:rPr>
        <w:t>二、主要成员情况</w:t>
      </w:r>
    </w:p>
    <w:p w14:paraId="743A45C7">
      <w:pPr>
        <w:pStyle w:val="7"/>
        <w:spacing w:before="0" w:beforeAutospacing="0" w:after="0" w:afterAutospacing="0" w:line="360" w:lineRule="auto"/>
        <w:ind w:firstLine="420"/>
        <w:rPr>
          <w:sz w:val="21"/>
          <w:szCs w:val="21"/>
        </w:rPr>
      </w:pPr>
      <w:bookmarkStart w:id="38" w:name="field_0_managerpersoninfo_1_start"/>
      <w:bookmarkEnd w:id="38"/>
      <w:r>
        <w:rPr>
          <w:rFonts w:hint="eastAsia"/>
          <w:sz w:val="21"/>
          <w:szCs w:val="21"/>
        </w:rPr>
        <w:t xml:space="preserve">1、基金管理人董事会成员 </w:t>
      </w:r>
    </w:p>
    <w:p w14:paraId="45034DA3">
      <w:pPr>
        <w:pStyle w:val="7"/>
        <w:spacing w:before="0" w:beforeAutospacing="0" w:after="0" w:afterAutospacing="0" w:line="360" w:lineRule="auto"/>
        <w:ind w:firstLine="420"/>
        <w:rPr>
          <w:sz w:val="21"/>
          <w:szCs w:val="21"/>
        </w:rPr>
      </w:pPr>
      <w:r>
        <w:rPr>
          <w:rFonts w:hint="eastAsia"/>
          <w:sz w:val="21"/>
          <w:szCs w:val="21"/>
        </w:rPr>
        <w:t xml:space="preserve">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 </w:t>
      </w:r>
    </w:p>
    <w:p w14:paraId="526EA148">
      <w:pPr>
        <w:pStyle w:val="7"/>
        <w:spacing w:before="0" w:beforeAutospacing="0" w:after="0" w:afterAutospacing="0" w:line="360" w:lineRule="auto"/>
        <w:ind w:firstLine="420"/>
        <w:rPr>
          <w:sz w:val="21"/>
          <w:szCs w:val="21"/>
        </w:rPr>
      </w:pPr>
      <w:r>
        <w:rPr>
          <w:rFonts w:hint="eastAsia"/>
          <w:sz w:val="21"/>
          <w:szCs w:val="21"/>
        </w:rPr>
        <w:t xml:space="preserve">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 </w:t>
      </w:r>
    </w:p>
    <w:p w14:paraId="4C4FBFA8">
      <w:pPr>
        <w:pStyle w:val="7"/>
        <w:spacing w:before="0" w:beforeAutospacing="0" w:after="0" w:afterAutospacing="0" w:line="360" w:lineRule="auto"/>
        <w:ind w:firstLine="420"/>
        <w:rPr>
          <w:sz w:val="21"/>
          <w:szCs w:val="21"/>
        </w:rPr>
      </w:pPr>
      <w:r>
        <w:rPr>
          <w:rFonts w:hint="eastAsia"/>
          <w:sz w:val="21"/>
          <w:szCs w:val="21"/>
        </w:rPr>
        <w:t xml:space="preserve">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 </w:t>
      </w:r>
    </w:p>
    <w:p w14:paraId="520AF500">
      <w:pPr>
        <w:pStyle w:val="7"/>
        <w:spacing w:before="0" w:beforeAutospacing="0" w:after="0" w:afterAutospacing="0" w:line="360" w:lineRule="auto"/>
        <w:ind w:firstLine="420"/>
        <w:rPr>
          <w:sz w:val="21"/>
          <w:szCs w:val="21"/>
        </w:rPr>
      </w:pPr>
      <w:r>
        <w:rPr>
          <w:rFonts w:hint="eastAsia"/>
          <w:sz w:val="21"/>
          <w:szCs w:val="21"/>
        </w:rPr>
        <w:t xml:space="preserve">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 </w:t>
      </w:r>
    </w:p>
    <w:p w14:paraId="26C42BB5">
      <w:pPr>
        <w:pStyle w:val="7"/>
        <w:spacing w:before="0" w:beforeAutospacing="0" w:after="0" w:afterAutospacing="0" w:line="360" w:lineRule="auto"/>
        <w:ind w:firstLine="420"/>
        <w:rPr>
          <w:sz w:val="21"/>
          <w:szCs w:val="21"/>
        </w:rPr>
      </w:pPr>
      <w:r>
        <w:rPr>
          <w:rFonts w:hint="eastAsia"/>
          <w:sz w:val="21"/>
          <w:szCs w:val="21"/>
        </w:rPr>
        <w:t xml:space="preserve">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 </w:t>
      </w:r>
    </w:p>
    <w:p w14:paraId="32CE1D08">
      <w:pPr>
        <w:pStyle w:val="7"/>
        <w:spacing w:before="0" w:beforeAutospacing="0" w:after="0" w:afterAutospacing="0" w:line="360" w:lineRule="auto"/>
        <w:ind w:firstLine="420"/>
        <w:rPr>
          <w:sz w:val="21"/>
          <w:szCs w:val="21"/>
        </w:rPr>
      </w:pPr>
      <w:r>
        <w:rPr>
          <w:rFonts w:hint="eastAsia"/>
          <w:sz w:val="21"/>
          <w:szCs w:val="21"/>
        </w:rPr>
        <w:t xml:space="preserve">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 </w:t>
      </w:r>
    </w:p>
    <w:p w14:paraId="3DDE1AB6">
      <w:pPr>
        <w:pStyle w:val="7"/>
        <w:spacing w:before="0" w:beforeAutospacing="0" w:after="0" w:afterAutospacing="0" w:line="360" w:lineRule="auto"/>
        <w:ind w:firstLine="420"/>
        <w:rPr>
          <w:sz w:val="21"/>
          <w:szCs w:val="21"/>
        </w:rPr>
      </w:pPr>
      <w:r>
        <w:rPr>
          <w:rFonts w:hint="eastAsia"/>
          <w:sz w:val="21"/>
          <w:szCs w:val="21"/>
        </w:rPr>
        <w:t xml:space="preserve">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 </w:t>
      </w:r>
    </w:p>
    <w:p w14:paraId="5F044F4E">
      <w:pPr>
        <w:pStyle w:val="7"/>
        <w:spacing w:before="0" w:beforeAutospacing="0" w:after="0" w:afterAutospacing="0" w:line="360" w:lineRule="auto"/>
        <w:ind w:firstLine="420"/>
        <w:rPr>
          <w:sz w:val="21"/>
          <w:szCs w:val="21"/>
        </w:rPr>
      </w:pPr>
      <w:r>
        <w:rPr>
          <w:rFonts w:hint="eastAsia"/>
          <w:sz w:val="21"/>
          <w:szCs w:val="21"/>
        </w:rPr>
        <w:t xml:space="preserve">陆海天先生，法学博士。现任香港理工大学内地发展处总监、可持续技术基金会会计及金融学教授。历任香港理工大学商学院副院长、会计及金融学院副院长、纽约大学斯特恩商学院客座研究教授。香港理工大学终身教授。 </w:t>
      </w:r>
    </w:p>
    <w:p w14:paraId="10AD111A">
      <w:pPr>
        <w:pStyle w:val="7"/>
        <w:spacing w:before="0" w:beforeAutospacing="0" w:after="0" w:afterAutospacing="0" w:line="360" w:lineRule="auto"/>
        <w:ind w:firstLine="420"/>
        <w:rPr>
          <w:sz w:val="21"/>
          <w:szCs w:val="21"/>
        </w:rPr>
      </w:pPr>
      <w:r>
        <w:rPr>
          <w:rFonts w:hint="eastAsia"/>
          <w:sz w:val="21"/>
          <w:szCs w:val="21"/>
        </w:rPr>
        <w:t xml:space="preserve">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 </w:t>
      </w:r>
    </w:p>
    <w:p w14:paraId="4091F3FD">
      <w:pPr>
        <w:pStyle w:val="7"/>
        <w:spacing w:before="0" w:beforeAutospacing="0" w:after="0" w:afterAutospacing="0" w:line="360" w:lineRule="auto"/>
        <w:ind w:firstLine="420"/>
        <w:rPr>
          <w:sz w:val="21"/>
          <w:szCs w:val="21"/>
        </w:rPr>
      </w:pPr>
      <w:r>
        <w:rPr>
          <w:rFonts w:hint="eastAsia"/>
          <w:sz w:val="21"/>
          <w:szCs w:val="21"/>
        </w:rPr>
        <w:t xml:space="preserve">方芳女士，上海财经大学国民经济学专业博士、加拿大不列颠哥伦比亚大学访问学者。1985年7月至今，就职于上海财经大学。历任上海财经大学公共经济与管理学院副院长、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 </w:t>
      </w:r>
    </w:p>
    <w:p w14:paraId="772EE69B">
      <w:pPr>
        <w:pStyle w:val="7"/>
        <w:spacing w:before="0" w:beforeAutospacing="0" w:after="0" w:afterAutospacing="0" w:line="360" w:lineRule="auto"/>
        <w:ind w:firstLine="420"/>
        <w:rPr>
          <w:sz w:val="21"/>
          <w:szCs w:val="21"/>
        </w:rPr>
      </w:pPr>
      <w:r>
        <w:rPr>
          <w:rFonts w:hint="eastAsia"/>
          <w:sz w:val="21"/>
          <w:szCs w:val="21"/>
        </w:rPr>
        <w:t xml:space="preserve">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 </w:t>
      </w:r>
    </w:p>
    <w:p w14:paraId="2E1B6146">
      <w:pPr>
        <w:pStyle w:val="7"/>
        <w:spacing w:before="0" w:beforeAutospacing="0" w:after="0" w:afterAutospacing="0" w:line="360" w:lineRule="auto"/>
        <w:ind w:firstLine="420"/>
        <w:rPr>
          <w:sz w:val="21"/>
          <w:szCs w:val="21"/>
        </w:rPr>
      </w:pPr>
      <w:r>
        <w:rPr>
          <w:rFonts w:hint="eastAsia"/>
          <w:sz w:val="21"/>
          <w:szCs w:val="21"/>
        </w:rPr>
        <w:t xml:space="preserve">2、高级管理人员 </w:t>
      </w:r>
    </w:p>
    <w:p w14:paraId="03F64976">
      <w:pPr>
        <w:pStyle w:val="7"/>
        <w:spacing w:before="0" w:beforeAutospacing="0" w:after="0" w:afterAutospacing="0" w:line="360" w:lineRule="auto"/>
        <w:ind w:firstLine="420"/>
        <w:rPr>
          <w:sz w:val="21"/>
          <w:szCs w:val="21"/>
        </w:rPr>
      </w:pPr>
      <w:r>
        <w:rPr>
          <w:rFonts w:hint="eastAsia"/>
          <w:sz w:val="21"/>
          <w:szCs w:val="21"/>
        </w:rPr>
        <w:t xml:space="preserve">张东先生，简历同上。 </w:t>
      </w:r>
    </w:p>
    <w:p w14:paraId="3E694102">
      <w:pPr>
        <w:pStyle w:val="7"/>
        <w:spacing w:before="0" w:beforeAutospacing="0" w:after="0" w:afterAutospacing="0" w:line="360" w:lineRule="auto"/>
        <w:ind w:firstLine="420"/>
        <w:rPr>
          <w:sz w:val="21"/>
          <w:szCs w:val="21"/>
        </w:rPr>
      </w:pPr>
      <w:r>
        <w:rPr>
          <w:rFonts w:hint="eastAsia"/>
          <w:sz w:val="21"/>
          <w:szCs w:val="21"/>
        </w:rPr>
        <w:t xml:space="preserve">陈宇先生，简历同上。 </w:t>
      </w:r>
    </w:p>
    <w:p w14:paraId="4D835CE2">
      <w:pPr>
        <w:pStyle w:val="7"/>
        <w:spacing w:before="0" w:beforeAutospacing="0" w:after="0" w:afterAutospacing="0" w:line="360" w:lineRule="auto"/>
        <w:ind w:firstLine="420"/>
        <w:rPr>
          <w:sz w:val="21"/>
          <w:szCs w:val="21"/>
        </w:rPr>
      </w:pPr>
      <w:r>
        <w:rPr>
          <w:rFonts w:hint="eastAsia"/>
          <w:sz w:val="21"/>
          <w:szCs w:val="21"/>
        </w:rPr>
        <w:t xml:space="preserve">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 </w:t>
      </w:r>
    </w:p>
    <w:p w14:paraId="4A227064">
      <w:pPr>
        <w:pStyle w:val="7"/>
        <w:spacing w:before="0" w:beforeAutospacing="0" w:after="0" w:afterAutospacing="0" w:line="360" w:lineRule="auto"/>
        <w:ind w:firstLine="420"/>
        <w:rPr>
          <w:rFonts w:hint="eastAsia"/>
          <w:sz w:val="21"/>
          <w:szCs w:val="21"/>
        </w:rPr>
      </w:pPr>
      <w:r>
        <w:rPr>
          <w:rFonts w:hint="eastAsia"/>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w:t>
      </w:r>
      <w:bookmarkStart w:id="39" w:name="chapter_level1_5_53_section_1_end"/>
      <w:bookmarkEnd w:id="39"/>
      <w:r>
        <w:rPr>
          <w:rFonts w:hint="eastAsia"/>
          <w:sz w:val="21"/>
          <w:szCs w:val="21"/>
        </w:rPr>
        <w:t xml:space="preserve">资产管理有限公司合规总监。2024年加入博时基金管理有限公司，现任公司督察长。 </w:t>
      </w:r>
      <w:bookmarkStart w:id="40" w:name="field_0_managerpersoninfo_1_end"/>
      <w:bookmarkEnd w:id="40"/>
      <w:r>
        <w:rPr>
          <w:rFonts w:hint="eastAsia"/>
          <w:sz w:val="21"/>
          <w:szCs w:val="21"/>
        </w:rPr>
        <w:t> </w:t>
      </w:r>
    </w:p>
    <w:p w14:paraId="7438E06D">
      <w:pPr>
        <w:pStyle w:val="7"/>
        <w:spacing w:before="0" w:beforeAutospacing="0" w:after="0" w:afterAutospacing="0" w:line="360" w:lineRule="auto"/>
        <w:ind w:firstLine="420"/>
        <w:rPr>
          <w:sz w:val="21"/>
          <w:szCs w:val="21"/>
        </w:rPr>
      </w:pPr>
      <w:r>
        <w:rPr>
          <w:rFonts w:hint="eastAsia"/>
          <w:sz w:val="21"/>
          <w:szCs w:val="21"/>
          <w:highlight w:val="none"/>
          <w:lang w:eastAsia="zh-CN"/>
        </w:rPr>
        <w:t>于善辉先生，硕士，副总经理。</w:t>
      </w:r>
      <w:r>
        <w:rPr>
          <w:rFonts w:hint="eastAsia"/>
          <w:sz w:val="21"/>
          <w:szCs w:val="21"/>
          <w:highlight w:val="none"/>
        </w:rPr>
        <w:t xml:space="preserve"> </w:t>
      </w:r>
      <w:r>
        <w:rPr>
          <w:rFonts w:hint="eastAsia"/>
          <w:sz w:val="21"/>
          <w:szCs w:val="21"/>
          <w:highlight w:val="none"/>
          <w:lang w:val="en-US" w:eastAsia="zh-CN"/>
        </w:rPr>
        <w:t>2001年至2023年先后在天相投资顾问有限公司、民生加银基金管理有限公司工作。</w:t>
      </w:r>
      <w:r>
        <w:rPr>
          <w:rFonts w:hint="eastAsia"/>
          <w:sz w:val="21"/>
          <w:szCs w:val="21"/>
          <w:highlight w:val="none"/>
        </w:rPr>
        <w:t>2023年加入博时基金管理有限公司，现任公司副总经理兼公司投资决策委员会专职委员、年金投资部总经理</w:t>
      </w:r>
      <w:r>
        <w:rPr>
          <w:rFonts w:hint="eastAsia"/>
          <w:sz w:val="21"/>
          <w:szCs w:val="21"/>
          <w:highlight w:val="none"/>
          <w:lang w:eastAsia="zh-CN"/>
        </w:rPr>
        <w:t>。</w:t>
      </w:r>
      <w:r>
        <w:rPr>
          <w:rFonts w:hint="eastAsia"/>
          <w:sz w:val="21"/>
          <w:szCs w:val="21"/>
        </w:rPr>
        <w:t xml:space="preserve"> </w:t>
      </w:r>
    </w:p>
    <w:p w14:paraId="121695AD">
      <w:pPr>
        <w:pStyle w:val="7"/>
        <w:spacing w:before="0" w:beforeAutospacing="0" w:after="0" w:afterAutospacing="0" w:line="360" w:lineRule="auto"/>
        <w:ind w:firstLine="420"/>
        <w:rPr>
          <w:sz w:val="21"/>
          <w:szCs w:val="21"/>
        </w:rPr>
      </w:pPr>
      <w:bookmarkStart w:id="41" w:name="chapter_level1_5_53_section_2"/>
      <w:bookmarkEnd w:id="41"/>
      <w:r>
        <w:rPr>
          <w:rFonts w:hint="eastAsia"/>
          <w:sz w:val="21"/>
          <w:szCs w:val="21"/>
        </w:rPr>
        <w:t xml:space="preserve">3、本基金基金经理 </w:t>
      </w:r>
    </w:p>
    <w:p w14:paraId="29836E8B">
      <w:pPr>
        <w:pStyle w:val="7"/>
        <w:spacing w:before="0" w:beforeAutospacing="0" w:after="0" w:afterAutospacing="0" w:line="360" w:lineRule="auto"/>
        <w:ind w:firstLine="420"/>
        <w:rPr>
          <w:rFonts w:hint="eastAsia"/>
          <w:sz w:val="21"/>
          <w:szCs w:val="21"/>
        </w:rPr>
      </w:pPr>
      <w:bookmarkStart w:id="42" w:name="field_0_fundmanagerresume_1_start"/>
      <w:bookmarkEnd w:id="42"/>
      <w:r>
        <w:rPr>
          <w:rFonts w:hint="eastAsia"/>
          <w:sz w:val="21"/>
          <w:szCs w:val="21"/>
        </w:rPr>
        <w:t>张李陵先生，硕士。2006年起先后在招商银行、融通基金、博时基金、招银理财工作。2014年加入博时基金管理有限公司。历任投资经理、投资经理兼基金经理助理、博时招财一号大数据保本混合型证券投资基金(2016年8月1日-2017年6月27日)、博时泰安债券型证券投资基金(2016年12月27日-2018年3月8日)、博时泰和债券型证券投资基金(2016年7月13日-2018年3月9日)、博时富鑫纯债债券型证券投资基金(2017年2月10日-2018年7月16日)、博时稳定价值债券投资基金(2015年5月22日-2020年2月24日)、博时平衡配置混合型证券投资基金(2015年7月16日-2020年2月24日)、博时天颐债券型证券投资基金(2016年8月1日-2020年2月24日)、博时信用债纯债债券型证券投资基金(2015年7月16日-2020年3月11日)、博时双季享六个月持有期债券型证券投资基金(2020年10月13日-2023年4月25日)的基金经理、固定收益投资三部投资总监。2020年再次加入博时基金管理有限公司。现任资深投资总监（总经理助理级）兼固定收益投资三部总经理、混合资产投资部总经理、博时信用债纯债债券型证券投资基金(2020年7月13日—至今)、博时恒泽混合型证券投资基金(2021年2月8日—至今)、博时恒泰债券型证券投资基金(2021年4月22日—至今)、博时博盈稳健6个月持有期混合型证券投资基金(2021年8月10日—至今)、博时稳益9个月持有期混合型证券投资基金(2021年11月9日—至今)、博时富鑫纯债债券型证券投资基金(2021年11月23日—至今)、博时恒益稳健一年持有期混合型证券投资基金(2022年4月14日—至今)、博时双季乐六个月持有期债券型证券投资基金(2022年4月15日—至今)、博时恒乐债券型证券投资基金(2022年4月28日—至今)、博时稳定价值债券投资基金(2023年9月1日—至今)、博时中高等级信用债债券型证券投资基金(2023年12月13日—至今)</w:t>
      </w:r>
      <w:r>
        <w:rPr>
          <w:rFonts w:hint="eastAsia"/>
          <w:sz w:val="21"/>
          <w:szCs w:val="21"/>
          <w:lang w:eastAsia="zh-CN"/>
        </w:rPr>
        <w:t>、</w:t>
      </w:r>
      <w:r>
        <w:rPr>
          <w:rFonts w:hint="eastAsia"/>
          <w:sz w:val="21"/>
          <w:szCs w:val="21"/>
        </w:rPr>
        <w:t>博时恒裕6个月持有期混合型证券投资基金(</w:t>
      </w:r>
      <w:r>
        <w:rPr>
          <w:rFonts w:hint="eastAsia"/>
          <w:sz w:val="21"/>
          <w:szCs w:val="21"/>
          <w:lang w:val="en-US" w:eastAsia="zh-CN"/>
        </w:rPr>
        <w:t>2026年10月20日</w:t>
      </w:r>
      <w:r>
        <w:rPr>
          <w:rFonts w:hint="eastAsia"/>
          <w:sz w:val="21"/>
          <w:szCs w:val="21"/>
        </w:rPr>
        <w:t>—至今)的基金经理。</w:t>
      </w:r>
    </w:p>
    <w:p w14:paraId="7278283D">
      <w:pPr>
        <w:pStyle w:val="7"/>
        <w:spacing w:before="0" w:beforeAutospacing="0" w:after="0" w:afterAutospacing="0" w:line="360" w:lineRule="auto"/>
        <w:ind w:firstLine="420"/>
        <w:rPr>
          <w:sz w:val="21"/>
          <w:szCs w:val="21"/>
        </w:rPr>
      </w:pPr>
      <w:bookmarkStart w:id="43" w:name="field_0_fundmanagershis_1_start"/>
      <w:bookmarkEnd w:id="43"/>
      <w:r>
        <w:rPr>
          <w:rFonts w:hint="eastAsia"/>
          <w:sz w:val="21"/>
          <w:szCs w:val="21"/>
        </w:rPr>
        <w:t>本基金历任基金经理：王衍胜（2020年5月18日-2022年1月24</w:t>
      </w:r>
      <w:bookmarkStart w:id="44" w:name="chapter_level1_5_53_section_2_end"/>
      <w:bookmarkEnd w:id="44"/>
      <w:r>
        <w:rPr>
          <w:rFonts w:hint="eastAsia"/>
          <w:sz w:val="21"/>
          <w:szCs w:val="21"/>
        </w:rPr>
        <w:t>日）、王申（2020年5月18日-2024年1月18日）</w:t>
      </w:r>
      <w:r>
        <w:rPr>
          <w:rFonts w:hint="eastAsia"/>
          <w:sz w:val="21"/>
          <w:szCs w:val="21"/>
          <w:lang w:eastAsia="zh-CN"/>
        </w:rPr>
        <w:t>、李睿（</w:t>
      </w:r>
      <w:r>
        <w:rPr>
          <w:rFonts w:hint="eastAsia"/>
          <w:sz w:val="21"/>
          <w:szCs w:val="21"/>
        </w:rPr>
        <w:t>2022年11月14日—</w:t>
      </w:r>
      <w:r>
        <w:rPr>
          <w:rFonts w:hint="eastAsia"/>
          <w:sz w:val="21"/>
          <w:szCs w:val="21"/>
          <w:lang w:val="en-US" w:eastAsia="zh-CN"/>
        </w:rPr>
        <w:t>2026年10月20日</w:t>
      </w:r>
      <w:r>
        <w:rPr>
          <w:rFonts w:hint="eastAsia"/>
          <w:sz w:val="21"/>
          <w:szCs w:val="21"/>
          <w:lang w:eastAsia="zh-CN"/>
        </w:rPr>
        <w:t>）</w:t>
      </w:r>
      <w:r>
        <w:rPr>
          <w:rFonts w:hint="eastAsia"/>
          <w:sz w:val="21"/>
          <w:szCs w:val="21"/>
        </w:rPr>
        <w:t>。</w:t>
      </w:r>
      <w:bookmarkStart w:id="45" w:name="field_0_fundmanagershis_1_end"/>
      <w:bookmarkEnd w:id="45"/>
      <w:r>
        <w:rPr>
          <w:rFonts w:hint="eastAsia"/>
          <w:sz w:val="21"/>
          <w:szCs w:val="21"/>
        </w:rPr>
        <w:t xml:space="preserve">  </w:t>
      </w:r>
    </w:p>
    <w:p w14:paraId="68651976">
      <w:pPr>
        <w:pStyle w:val="7"/>
        <w:spacing w:before="0" w:beforeAutospacing="0" w:after="0" w:afterAutospacing="0" w:line="360" w:lineRule="auto"/>
        <w:ind w:firstLine="420"/>
        <w:rPr>
          <w:sz w:val="21"/>
          <w:szCs w:val="21"/>
        </w:rPr>
      </w:pPr>
      <w:bookmarkStart w:id="46" w:name="chapter_level1_5_53_section_3"/>
      <w:bookmarkEnd w:id="46"/>
      <w:bookmarkStart w:id="47" w:name="field_0_managerpersoninfo2_1_start"/>
      <w:bookmarkEnd w:id="47"/>
      <w:r>
        <w:rPr>
          <w:rFonts w:hint="eastAsia"/>
          <w:sz w:val="21"/>
          <w:szCs w:val="21"/>
        </w:rPr>
        <w:t xml:space="preserve">4、投资决策委员会成员 </w:t>
      </w:r>
    </w:p>
    <w:p w14:paraId="3F71A203">
      <w:pPr>
        <w:pStyle w:val="7"/>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3DB0478E">
      <w:pPr>
        <w:pStyle w:val="7"/>
        <w:spacing w:before="0" w:beforeAutospacing="0" w:after="0" w:afterAutospacing="0" w:line="360" w:lineRule="auto"/>
        <w:ind w:firstLine="420"/>
        <w:rPr>
          <w:rFonts w:hint="eastAsia"/>
          <w:sz w:val="21"/>
          <w:szCs w:val="21"/>
        </w:rPr>
      </w:pPr>
      <w:r>
        <w:rPr>
          <w:rFonts w:hint="eastAsia"/>
          <w:sz w:val="21"/>
          <w:szCs w:val="21"/>
        </w:rPr>
        <w:t>公司副总经理兼公司投资决策委员会专职委员、年金投资部总经理</w:t>
      </w:r>
      <w:bookmarkStart w:id="235" w:name="_GoBack"/>
      <w:r>
        <w:rPr>
          <w:rFonts w:hint="eastAsia"/>
          <w:sz w:val="21"/>
          <w:szCs w:val="21"/>
        </w:rPr>
        <w:t>于善</w:t>
      </w:r>
      <w:bookmarkEnd w:id="235"/>
      <w:r>
        <w:rPr>
          <w:rFonts w:hint="eastAsia"/>
          <w:sz w:val="21"/>
          <w:szCs w:val="21"/>
        </w:rPr>
        <w:t>辉先生。</w:t>
      </w:r>
    </w:p>
    <w:p w14:paraId="5D147D4F">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2E547452">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0F99A840">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4E480DEF">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0C12E2B9">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21DA07C5">
      <w:pPr>
        <w:pStyle w:val="7"/>
        <w:spacing w:before="0" w:beforeAutospacing="0" w:after="0" w:afterAutospacing="0" w:line="360" w:lineRule="auto"/>
        <w:ind w:firstLine="420"/>
        <w:rPr>
          <w:sz w:val="21"/>
          <w:szCs w:val="21"/>
        </w:rPr>
      </w:pPr>
      <w:r>
        <w:rPr>
          <w:rFonts w:hint="eastAsia"/>
          <w:sz w:val="21"/>
          <w:szCs w:val="21"/>
        </w:rPr>
        <w:t xml:space="preserve">宏观策略部总经理助理（主持工作）兼首席策略分析师陈显顺先生。   </w:t>
      </w:r>
    </w:p>
    <w:p w14:paraId="44038A9A">
      <w:pPr>
        <w:pStyle w:val="7"/>
        <w:spacing w:before="0" w:beforeAutospacing="0" w:after="0" w:afterAutospacing="0" w:line="360" w:lineRule="auto"/>
        <w:ind w:firstLine="420"/>
        <w:rPr>
          <w:sz w:val="21"/>
          <w:szCs w:val="21"/>
        </w:rPr>
      </w:pPr>
      <w:bookmarkStart w:id="48" w:name="chapter_level1_5_53_section_3_end"/>
      <w:bookmarkEnd w:id="48"/>
      <w:r>
        <w:rPr>
          <w:rFonts w:hint="eastAsia"/>
          <w:sz w:val="21"/>
          <w:szCs w:val="21"/>
        </w:rPr>
        <w:t xml:space="preserve">5、上述人员之间均不存在近亲属关系。  </w:t>
      </w:r>
      <w:bookmarkStart w:id="49" w:name="field_0_managerpersoninfo2_1_end"/>
      <w:bookmarkEnd w:id="49"/>
      <w:r>
        <w:rPr>
          <w:rFonts w:hint="eastAsia"/>
          <w:sz w:val="21"/>
          <w:szCs w:val="21"/>
        </w:rPr>
        <w:t xml:space="preserve">  </w:t>
      </w:r>
    </w:p>
    <w:p w14:paraId="412B35EE">
      <w:pPr>
        <w:pStyle w:val="7"/>
        <w:spacing w:before="0" w:beforeAutospacing="0" w:after="0" w:afterAutospacing="0" w:line="360" w:lineRule="auto"/>
        <w:ind w:firstLine="420"/>
        <w:rPr>
          <w:sz w:val="21"/>
          <w:szCs w:val="21"/>
        </w:rPr>
      </w:pPr>
      <w:bookmarkStart w:id="50" w:name="chapter_level1_5_53_section_4"/>
      <w:bookmarkEnd w:id="50"/>
      <w:r>
        <w:rPr>
          <w:rStyle w:val="11"/>
          <w:rFonts w:hint="eastAsia"/>
          <w:sz w:val="21"/>
          <w:szCs w:val="21"/>
        </w:rPr>
        <w:t>三、基金管理人的职责</w:t>
      </w:r>
    </w:p>
    <w:p w14:paraId="3C165812">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2E89C069">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229EEADC">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2246905D">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6AC74BA4">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33F3BDE8">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20EAB20E">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4FDDBECC">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13451103">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3F371AE6">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7F1C908D">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4587B1CA">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向监管机构、司法机构或因审计、法律等外部专业顾问提供服务而向其提供的情况除外； </w:t>
      </w:r>
    </w:p>
    <w:p w14:paraId="282B892F">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6AFAB053">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1660C750">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2A457A05">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5E1992D7">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50E18987">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3A60166F">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57E87DC3">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5DCBA0F2">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165BB059">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36143D8A">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5A69CF18">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56430DA8">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26479350">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288447B0">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6DA10104">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31EAEF37">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1F95D9A3">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0934C5C8">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34DE05A2">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6BBA73A3">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6E247BE2">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511764DA">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4BB20D81">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6E850A94">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41090C36">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6FE56C2D">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67403840">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69760F90">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7CC0F4EF">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1091272A">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02298599">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6FAFC4E9">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7E275FF5">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1EBDA37F">
      <w:pPr>
        <w:pStyle w:val="7"/>
        <w:spacing w:before="0" w:beforeAutospacing="0" w:after="0" w:afterAutospacing="0" w:line="360" w:lineRule="auto"/>
        <w:ind w:firstLine="420"/>
        <w:rPr>
          <w:sz w:val="21"/>
          <w:szCs w:val="21"/>
        </w:rPr>
      </w:pPr>
      <w:r>
        <w:rPr>
          <w:rFonts w:hint="eastAsia"/>
          <w:b/>
          <w:bCs/>
          <w:sz w:val="21"/>
          <w:szCs w:val="21"/>
        </w:rPr>
        <w:t>六、基金管理人的内部控制制度</w:t>
      </w:r>
    </w:p>
    <w:p w14:paraId="3E0015CC">
      <w:pPr>
        <w:pStyle w:val="7"/>
        <w:spacing w:before="0" w:beforeAutospacing="0" w:after="0" w:afterAutospacing="0" w:line="360" w:lineRule="auto"/>
        <w:ind w:firstLine="420"/>
        <w:rPr>
          <w:sz w:val="21"/>
          <w:szCs w:val="21"/>
        </w:rPr>
      </w:pPr>
      <w:r>
        <w:rPr>
          <w:rFonts w:hint="eastAsia"/>
          <w:sz w:val="21"/>
          <w:szCs w:val="21"/>
        </w:rPr>
        <w:t xml:space="preserve">1、风险管理的原则 </w:t>
      </w:r>
    </w:p>
    <w:p w14:paraId="76CBA5C8">
      <w:pPr>
        <w:pStyle w:val="7"/>
        <w:spacing w:before="0" w:beforeAutospacing="0" w:after="0" w:afterAutospacing="0" w:line="360" w:lineRule="auto"/>
        <w:ind w:firstLine="420"/>
        <w:rPr>
          <w:sz w:val="21"/>
          <w:szCs w:val="21"/>
        </w:rPr>
      </w:pPr>
      <w:r>
        <w:rPr>
          <w:rFonts w:hint="eastAsia"/>
          <w:sz w:val="21"/>
          <w:szCs w:val="21"/>
        </w:rPr>
        <w:t xml:space="preserve">（1）全面性原则 </w:t>
      </w:r>
    </w:p>
    <w:p w14:paraId="2F4F419C">
      <w:pPr>
        <w:pStyle w:val="7"/>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14:paraId="63830CB6">
      <w:pPr>
        <w:pStyle w:val="7"/>
        <w:spacing w:before="0" w:beforeAutospacing="0" w:after="0" w:afterAutospacing="0" w:line="360" w:lineRule="auto"/>
        <w:ind w:firstLine="420"/>
        <w:rPr>
          <w:sz w:val="21"/>
          <w:szCs w:val="21"/>
        </w:rPr>
      </w:pPr>
      <w:r>
        <w:rPr>
          <w:rFonts w:hint="eastAsia"/>
          <w:sz w:val="21"/>
          <w:szCs w:val="21"/>
        </w:rPr>
        <w:t xml:space="preserve">（2）独立性原则 </w:t>
      </w:r>
    </w:p>
    <w:p w14:paraId="506C7990">
      <w:pPr>
        <w:pStyle w:val="7"/>
        <w:spacing w:before="0" w:beforeAutospacing="0" w:after="0" w:afterAutospacing="0" w:line="360" w:lineRule="auto"/>
        <w:ind w:firstLine="420"/>
        <w:rPr>
          <w:sz w:val="21"/>
          <w:szCs w:val="21"/>
        </w:rPr>
      </w:pPr>
      <w:r>
        <w:rPr>
          <w:rFonts w:hint="eastAsia"/>
          <w:sz w:val="21"/>
          <w:szCs w:val="21"/>
        </w:rPr>
        <w:t xml:space="preserve">公司设立独立的法律合规部，法律合规部保持高度的独立性和权威性，负责对公司各部门风险控制工作进行检查。 </w:t>
      </w:r>
    </w:p>
    <w:p w14:paraId="18609845">
      <w:pPr>
        <w:pStyle w:val="7"/>
        <w:spacing w:before="0" w:beforeAutospacing="0" w:after="0" w:afterAutospacing="0" w:line="360" w:lineRule="auto"/>
        <w:ind w:firstLine="420"/>
        <w:rPr>
          <w:sz w:val="21"/>
          <w:szCs w:val="21"/>
        </w:rPr>
      </w:pPr>
      <w:r>
        <w:rPr>
          <w:rFonts w:hint="eastAsia"/>
          <w:sz w:val="21"/>
          <w:szCs w:val="21"/>
        </w:rPr>
        <w:t xml:space="preserve">（3）相互制约原则 </w:t>
      </w:r>
    </w:p>
    <w:p w14:paraId="22124CA8">
      <w:pPr>
        <w:pStyle w:val="7"/>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14:paraId="5CAD5CD1">
      <w:pPr>
        <w:pStyle w:val="7"/>
        <w:spacing w:before="0" w:beforeAutospacing="0" w:after="0" w:afterAutospacing="0" w:line="360" w:lineRule="auto"/>
        <w:ind w:firstLine="420"/>
        <w:rPr>
          <w:sz w:val="21"/>
          <w:szCs w:val="21"/>
        </w:rPr>
      </w:pPr>
      <w:r>
        <w:rPr>
          <w:rFonts w:hint="eastAsia"/>
          <w:sz w:val="21"/>
          <w:szCs w:val="21"/>
        </w:rPr>
        <w:t xml:space="preserve">（4）定性和定量相结合原则 </w:t>
      </w:r>
    </w:p>
    <w:p w14:paraId="0A8230D3">
      <w:pPr>
        <w:pStyle w:val="7"/>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14:paraId="6BAF0A66">
      <w:pPr>
        <w:pStyle w:val="7"/>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14:paraId="7BC0AAD2">
      <w:pPr>
        <w:pStyle w:val="7"/>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 </w:t>
      </w:r>
    </w:p>
    <w:p w14:paraId="1EA88657">
      <w:pPr>
        <w:pStyle w:val="7"/>
        <w:spacing w:before="0" w:beforeAutospacing="0" w:after="0" w:afterAutospacing="0" w:line="360" w:lineRule="auto"/>
        <w:ind w:firstLine="420"/>
        <w:rPr>
          <w:sz w:val="21"/>
          <w:szCs w:val="21"/>
        </w:rPr>
      </w:pPr>
      <w:r>
        <w:rPr>
          <w:rFonts w:hint="eastAsia"/>
          <w:sz w:val="21"/>
          <w:szCs w:val="21"/>
        </w:rPr>
        <w:t xml:space="preserve">（1）董事会 </w:t>
      </w:r>
    </w:p>
    <w:p w14:paraId="28A30B97">
      <w:pPr>
        <w:pStyle w:val="7"/>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14:paraId="52D9D532">
      <w:pPr>
        <w:pStyle w:val="7"/>
        <w:spacing w:before="0" w:beforeAutospacing="0" w:after="0" w:afterAutospacing="0" w:line="360" w:lineRule="auto"/>
        <w:ind w:firstLine="420"/>
        <w:rPr>
          <w:sz w:val="21"/>
          <w:szCs w:val="21"/>
        </w:rPr>
      </w:pPr>
      <w:r>
        <w:rPr>
          <w:rFonts w:hint="eastAsia"/>
          <w:sz w:val="21"/>
          <w:szCs w:val="21"/>
        </w:rPr>
        <w:t xml:space="preserve">（2）风险管理委员会 </w:t>
      </w:r>
    </w:p>
    <w:p w14:paraId="21F44115">
      <w:pPr>
        <w:pStyle w:val="7"/>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2993DA49">
      <w:pPr>
        <w:pStyle w:val="7"/>
        <w:spacing w:before="0" w:beforeAutospacing="0" w:after="0" w:afterAutospacing="0" w:line="360" w:lineRule="auto"/>
        <w:ind w:firstLine="420"/>
        <w:rPr>
          <w:sz w:val="21"/>
          <w:szCs w:val="21"/>
        </w:rPr>
      </w:pPr>
      <w:r>
        <w:rPr>
          <w:rFonts w:hint="eastAsia"/>
          <w:sz w:val="21"/>
          <w:szCs w:val="21"/>
        </w:rPr>
        <w:t xml:space="preserve">（3）督察长 </w:t>
      </w:r>
    </w:p>
    <w:p w14:paraId="79846EC3">
      <w:pPr>
        <w:pStyle w:val="7"/>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14:paraId="0852B974">
      <w:pPr>
        <w:pStyle w:val="7"/>
        <w:spacing w:before="0" w:beforeAutospacing="0" w:after="0" w:afterAutospacing="0" w:line="360" w:lineRule="auto"/>
        <w:ind w:firstLine="420"/>
        <w:rPr>
          <w:sz w:val="21"/>
          <w:szCs w:val="21"/>
        </w:rPr>
      </w:pPr>
      <w:r>
        <w:rPr>
          <w:rFonts w:hint="eastAsia"/>
          <w:sz w:val="21"/>
          <w:szCs w:val="21"/>
        </w:rPr>
        <w:t xml:space="preserve">（4）法律合规部 </w:t>
      </w:r>
    </w:p>
    <w:p w14:paraId="625B6899">
      <w:pPr>
        <w:pStyle w:val="7"/>
        <w:spacing w:before="0" w:beforeAutospacing="0" w:after="0" w:afterAutospacing="0" w:line="360" w:lineRule="auto"/>
        <w:ind w:firstLine="420"/>
        <w:rPr>
          <w:sz w:val="21"/>
          <w:szCs w:val="21"/>
        </w:rPr>
      </w:pPr>
      <w:r>
        <w:rPr>
          <w:rFonts w:hint="eastAsia"/>
          <w:sz w:val="21"/>
          <w:szCs w:val="21"/>
        </w:rPr>
        <w:t xml:space="preserve">法律合规部负责对公司风险管理政策和措施的执行情况进行检查，并为每一个部门的风险管理系统的发展提供协助，使公司在一种风险管理和控制的环境中实现业务目标。 </w:t>
      </w:r>
    </w:p>
    <w:p w14:paraId="1A8040E8">
      <w:pPr>
        <w:pStyle w:val="7"/>
        <w:spacing w:before="0" w:beforeAutospacing="0" w:after="0" w:afterAutospacing="0" w:line="360" w:lineRule="auto"/>
        <w:ind w:firstLine="420"/>
        <w:rPr>
          <w:sz w:val="21"/>
          <w:szCs w:val="21"/>
        </w:rPr>
      </w:pPr>
      <w:r>
        <w:rPr>
          <w:rFonts w:hint="eastAsia"/>
          <w:sz w:val="21"/>
          <w:szCs w:val="21"/>
        </w:rPr>
        <w:t xml:space="preserve">（5）风险管理部 </w:t>
      </w:r>
    </w:p>
    <w:p w14:paraId="757250E6">
      <w:pPr>
        <w:pStyle w:val="7"/>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14:paraId="26D54458">
      <w:pPr>
        <w:pStyle w:val="7"/>
        <w:spacing w:before="0" w:beforeAutospacing="0" w:after="0" w:afterAutospacing="0" w:line="360" w:lineRule="auto"/>
        <w:ind w:firstLine="420"/>
        <w:rPr>
          <w:sz w:val="21"/>
          <w:szCs w:val="21"/>
        </w:rPr>
      </w:pPr>
      <w:r>
        <w:rPr>
          <w:rFonts w:hint="eastAsia"/>
          <w:sz w:val="21"/>
          <w:szCs w:val="21"/>
        </w:rPr>
        <w:t xml:space="preserve">（6）业务部门 </w:t>
      </w:r>
    </w:p>
    <w:p w14:paraId="354ABAC6">
      <w:pPr>
        <w:pStyle w:val="7"/>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470CB1F4">
      <w:pPr>
        <w:pStyle w:val="7"/>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14:paraId="4BC0E67B">
      <w:pPr>
        <w:pStyle w:val="7"/>
        <w:spacing w:before="0" w:beforeAutospacing="0" w:after="0" w:afterAutospacing="0" w:line="360" w:lineRule="auto"/>
        <w:ind w:firstLine="420"/>
        <w:rPr>
          <w:sz w:val="21"/>
          <w:szCs w:val="21"/>
        </w:rPr>
      </w:pPr>
      <w:r>
        <w:rPr>
          <w:rFonts w:hint="eastAsia"/>
          <w:sz w:val="21"/>
          <w:szCs w:val="21"/>
        </w:rPr>
        <w:t xml:space="preserve">（1）建立内控结构，完善内控制度 </w:t>
      </w:r>
    </w:p>
    <w:p w14:paraId="18876CAA">
      <w:pPr>
        <w:pStyle w:val="7"/>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6EA9D2FA">
      <w:pPr>
        <w:pStyle w:val="7"/>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14:paraId="508F200E">
      <w:pPr>
        <w:pStyle w:val="7"/>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14:paraId="3458063F">
      <w:pPr>
        <w:pStyle w:val="7"/>
        <w:spacing w:before="0" w:beforeAutospacing="0" w:after="0" w:afterAutospacing="0" w:line="360" w:lineRule="auto"/>
        <w:ind w:firstLine="420"/>
        <w:rPr>
          <w:sz w:val="21"/>
          <w:szCs w:val="21"/>
        </w:rPr>
      </w:pPr>
      <w:r>
        <w:rPr>
          <w:rFonts w:hint="eastAsia"/>
          <w:sz w:val="21"/>
          <w:szCs w:val="21"/>
        </w:rPr>
        <w:t xml:space="preserve">（3）建立、健全岗位责任制 </w:t>
      </w:r>
    </w:p>
    <w:p w14:paraId="3CA3BED8">
      <w:pPr>
        <w:pStyle w:val="7"/>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14:paraId="7A475B7E">
      <w:pPr>
        <w:pStyle w:val="7"/>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14:paraId="4BB09871">
      <w:pPr>
        <w:pStyle w:val="7"/>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14:paraId="0558F17E">
      <w:pPr>
        <w:pStyle w:val="7"/>
        <w:spacing w:before="0" w:beforeAutospacing="0" w:after="0" w:afterAutospacing="0" w:line="360" w:lineRule="auto"/>
        <w:ind w:firstLine="420"/>
        <w:rPr>
          <w:sz w:val="21"/>
          <w:szCs w:val="21"/>
        </w:rPr>
      </w:pPr>
      <w:r>
        <w:rPr>
          <w:rFonts w:hint="eastAsia"/>
          <w:sz w:val="21"/>
          <w:szCs w:val="21"/>
        </w:rPr>
        <w:t xml:space="preserve">（5）建立有效的内部监控系统 </w:t>
      </w:r>
    </w:p>
    <w:p w14:paraId="411EFE4C">
      <w:pPr>
        <w:pStyle w:val="7"/>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14:paraId="53F6BFD2">
      <w:pPr>
        <w:pStyle w:val="7"/>
        <w:spacing w:before="0" w:beforeAutospacing="0" w:after="0" w:afterAutospacing="0" w:line="360" w:lineRule="auto"/>
        <w:ind w:firstLine="420"/>
        <w:rPr>
          <w:sz w:val="21"/>
          <w:szCs w:val="21"/>
        </w:rPr>
      </w:pPr>
      <w:r>
        <w:rPr>
          <w:rFonts w:hint="eastAsia"/>
          <w:sz w:val="21"/>
          <w:szCs w:val="21"/>
        </w:rPr>
        <w:t xml:space="preserve">（6）使用数量化的风险管理手段 </w:t>
      </w:r>
    </w:p>
    <w:p w14:paraId="324FBEA9">
      <w:pPr>
        <w:pStyle w:val="7"/>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14:paraId="69C6E0DD">
      <w:pPr>
        <w:pStyle w:val="7"/>
        <w:spacing w:before="0" w:beforeAutospacing="0" w:after="0" w:afterAutospacing="0" w:line="360" w:lineRule="auto"/>
        <w:ind w:firstLine="420"/>
        <w:rPr>
          <w:sz w:val="21"/>
          <w:szCs w:val="21"/>
        </w:rPr>
      </w:pPr>
      <w:r>
        <w:rPr>
          <w:rFonts w:hint="eastAsia"/>
          <w:sz w:val="21"/>
          <w:szCs w:val="21"/>
        </w:rPr>
        <w:t xml:space="preserve">（7）提供足够的培训 </w:t>
      </w:r>
    </w:p>
    <w:p w14:paraId="064793D2">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51" w:name="chapter_level1_5_53_section_4_end"/>
      <w:bookmarkEnd w:id="51"/>
      <w:r>
        <w:rPr>
          <w:rFonts w:hint="eastAsia"/>
          <w:sz w:val="21"/>
          <w:szCs w:val="21"/>
        </w:rPr>
        <w:t xml:space="preserve">控制风险。 </w:t>
      </w:r>
    </w:p>
    <w:p w14:paraId="6F517C30">
      <w:pPr>
        <w:widowControl/>
        <w:jc w:val="left"/>
        <w:rPr>
          <w:rFonts w:ascii="宋体" w:hAnsi="宋体" w:eastAsia="宋体"/>
        </w:rPr>
      </w:pPr>
      <w:r>
        <w:rPr>
          <w:rFonts w:ascii="宋体" w:hAnsi="宋体" w:eastAsia="宋体"/>
        </w:rPr>
        <w:br w:type="page"/>
      </w:r>
    </w:p>
    <w:p w14:paraId="40D4811F">
      <w:pPr>
        <w:pStyle w:val="2"/>
        <w:jc w:val="center"/>
        <w:rPr>
          <w:rFonts w:ascii="宋体" w:hAnsi="宋体" w:eastAsia="宋体"/>
          <w:sz w:val="30"/>
        </w:rPr>
      </w:pPr>
      <w:bookmarkStart w:id="52" w:name="chapter_level1_6_55"/>
      <w:bookmarkStart w:id="53" w:name="_Toc239193699"/>
      <w:r>
        <w:rPr>
          <w:rFonts w:hint="eastAsia" w:ascii="宋体" w:hAnsi="宋体" w:eastAsia="宋体"/>
          <w:sz w:val="30"/>
        </w:rPr>
        <w:t>第四部分  基金托管人</w:t>
      </w:r>
      <w:bookmarkEnd w:id="52"/>
      <w:bookmarkEnd w:id="53"/>
    </w:p>
    <w:p w14:paraId="4BAC480F">
      <w:pPr>
        <w:pStyle w:val="7"/>
        <w:spacing w:before="0" w:beforeAutospacing="0" w:after="0" w:afterAutospacing="0" w:line="360" w:lineRule="auto"/>
        <w:ind w:firstLine="420"/>
        <w:rPr>
          <w:sz w:val="21"/>
          <w:szCs w:val="21"/>
        </w:rPr>
      </w:pPr>
      <w:bookmarkStart w:id="54" w:name="chapter_level1_6_55_section_1"/>
      <w:bookmarkEnd w:id="54"/>
      <w:bookmarkStart w:id="55" w:name="field_0_trustcompanyinfo_1_start"/>
      <w:bookmarkEnd w:id="55"/>
      <w:r>
        <w:rPr>
          <w:rFonts w:hint="eastAsia"/>
          <w:sz w:val="21"/>
          <w:szCs w:val="21"/>
        </w:rPr>
        <w:t xml:space="preserve">一、基金托管人基本情况 </w:t>
      </w:r>
    </w:p>
    <w:p w14:paraId="18B5E44A">
      <w:pPr>
        <w:pStyle w:val="7"/>
        <w:spacing w:before="0" w:beforeAutospacing="0" w:after="0" w:afterAutospacing="0" w:line="360" w:lineRule="auto"/>
        <w:ind w:firstLine="420"/>
        <w:rPr>
          <w:sz w:val="21"/>
          <w:szCs w:val="21"/>
        </w:rPr>
      </w:pPr>
      <w:r>
        <w:rPr>
          <w:rFonts w:hint="eastAsia"/>
          <w:sz w:val="21"/>
          <w:szCs w:val="21"/>
        </w:rPr>
        <w:t xml:space="preserve">名称：中信银行股份有限公司（简称“中信银行”） </w:t>
      </w:r>
    </w:p>
    <w:p w14:paraId="00DAF04F">
      <w:pPr>
        <w:pStyle w:val="7"/>
        <w:spacing w:before="0" w:beforeAutospacing="0" w:after="0" w:afterAutospacing="0" w:line="360" w:lineRule="auto"/>
        <w:ind w:firstLine="420"/>
        <w:rPr>
          <w:sz w:val="21"/>
          <w:szCs w:val="21"/>
        </w:rPr>
      </w:pPr>
      <w:r>
        <w:rPr>
          <w:rFonts w:hint="eastAsia"/>
          <w:sz w:val="21"/>
          <w:szCs w:val="21"/>
        </w:rPr>
        <w:t xml:space="preserve">住所：北京市朝阳区光华路10号院1号楼6-30层、32-42层 </w:t>
      </w:r>
    </w:p>
    <w:p w14:paraId="1300339F">
      <w:pPr>
        <w:pStyle w:val="7"/>
        <w:spacing w:before="0" w:beforeAutospacing="0" w:after="0" w:afterAutospacing="0" w:line="360" w:lineRule="auto"/>
        <w:ind w:firstLine="420"/>
        <w:rPr>
          <w:sz w:val="21"/>
          <w:szCs w:val="21"/>
        </w:rPr>
      </w:pPr>
      <w:r>
        <w:rPr>
          <w:rFonts w:hint="eastAsia"/>
          <w:sz w:val="21"/>
          <w:szCs w:val="21"/>
        </w:rPr>
        <w:t xml:space="preserve">办公地址：北京市朝阳区光华路10号院1号楼6-30层、32-42层 </w:t>
      </w:r>
    </w:p>
    <w:p w14:paraId="79D1F59A">
      <w:pPr>
        <w:pStyle w:val="7"/>
        <w:spacing w:before="0" w:beforeAutospacing="0" w:after="0" w:afterAutospacing="0" w:line="360" w:lineRule="auto"/>
        <w:ind w:firstLine="420"/>
        <w:rPr>
          <w:sz w:val="21"/>
          <w:szCs w:val="21"/>
        </w:rPr>
      </w:pPr>
      <w:r>
        <w:rPr>
          <w:rFonts w:hint="eastAsia"/>
          <w:sz w:val="21"/>
          <w:szCs w:val="21"/>
        </w:rPr>
        <w:t xml:space="preserve">法定代表人：方合英 </w:t>
      </w:r>
    </w:p>
    <w:p w14:paraId="30B60C52">
      <w:pPr>
        <w:pStyle w:val="7"/>
        <w:spacing w:before="0" w:beforeAutospacing="0" w:after="0" w:afterAutospacing="0" w:line="360" w:lineRule="auto"/>
        <w:ind w:firstLine="420"/>
        <w:rPr>
          <w:sz w:val="21"/>
          <w:szCs w:val="21"/>
        </w:rPr>
      </w:pPr>
      <w:r>
        <w:rPr>
          <w:rFonts w:hint="eastAsia"/>
          <w:sz w:val="21"/>
          <w:szCs w:val="21"/>
        </w:rPr>
        <w:t xml:space="preserve">成立时间：1987年4月20日 </w:t>
      </w:r>
    </w:p>
    <w:p w14:paraId="2F67B383">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0779D7E0">
      <w:pPr>
        <w:pStyle w:val="7"/>
        <w:spacing w:before="0" w:beforeAutospacing="0" w:after="0" w:afterAutospacing="0" w:line="360" w:lineRule="auto"/>
        <w:ind w:firstLine="420"/>
        <w:rPr>
          <w:sz w:val="21"/>
          <w:szCs w:val="21"/>
        </w:rPr>
      </w:pPr>
      <w:r>
        <w:rPr>
          <w:rFonts w:hint="eastAsia"/>
          <w:sz w:val="21"/>
          <w:szCs w:val="21"/>
        </w:rPr>
        <w:t xml:space="preserve">注册资本：556.4516亿元人民币 </w:t>
      </w:r>
    </w:p>
    <w:p w14:paraId="5DA5D64D">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1BE89B33">
      <w:pPr>
        <w:pStyle w:val="7"/>
        <w:spacing w:before="0" w:beforeAutospacing="0" w:after="0" w:afterAutospacing="0" w:line="360" w:lineRule="auto"/>
        <w:ind w:firstLine="420"/>
        <w:rPr>
          <w:sz w:val="21"/>
          <w:szCs w:val="21"/>
        </w:rPr>
      </w:pPr>
      <w:r>
        <w:rPr>
          <w:rFonts w:hint="eastAsia"/>
          <w:sz w:val="21"/>
          <w:szCs w:val="21"/>
        </w:rPr>
        <w:t xml:space="preserve">批准设立文号：中华人民共和国国务院办公厅国办函[1987]14号 </w:t>
      </w:r>
    </w:p>
    <w:p w14:paraId="2E8A715D">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基金托管业务批准文号：中国证监会证监基金字[2004]125号 </w:t>
      </w:r>
    </w:p>
    <w:p w14:paraId="59D84882">
      <w:pPr>
        <w:pStyle w:val="7"/>
        <w:spacing w:before="0" w:beforeAutospacing="0" w:after="0" w:afterAutospacing="0" w:line="360" w:lineRule="auto"/>
        <w:ind w:firstLine="420"/>
        <w:rPr>
          <w:sz w:val="21"/>
          <w:szCs w:val="21"/>
        </w:rPr>
      </w:pPr>
      <w:r>
        <w:rPr>
          <w:rFonts w:hint="eastAsia"/>
          <w:sz w:val="21"/>
          <w:szCs w:val="21"/>
        </w:rPr>
        <w:t xml:space="preserve">联系人：中信银行资产托管部 </w:t>
      </w:r>
    </w:p>
    <w:p w14:paraId="0033ABF9">
      <w:pPr>
        <w:pStyle w:val="7"/>
        <w:spacing w:before="0" w:beforeAutospacing="0" w:after="0" w:afterAutospacing="0" w:line="360" w:lineRule="auto"/>
        <w:ind w:firstLine="420"/>
        <w:rPr>
          <w:sz w:val="21"/>
          <w:szCs w:val="21"/>
        </w:rPr>
      </w:pPr>
      <w:r>
        <w:rPr>
          <w:rFonts w:hint="eastAsia"/>
          <w:sz w:val="21"/>
          <w:szCs w:val="21"/>
        </w:rPr>
        <w:t xml:space="preserve">联系电话：4006800000 </w:t>
      </w:r>
    </w:p>
    <w:p w14:paraId="7C47288F">
      <w:pPr>
        <w:pStyle w:val="7"/>
        <w:spacing w:before="0" w:beforeAutospacing="0" w:after="0" w:afterAutospacing="0" w:line="360" w:lineRule="auto"/>
        <w:ind w:firstLine="420"/>
        <w:rPr>
          <w:sz w:val="21"/>
          <w:szCs w:val="21"/>
        </w:rPr>
      </w:pPr>
      <w:r>
        <w:rPr>
          <w:rFonts w:hint="eastAsia"/>
          <w:sz w:val="21"/>
          <w:szCs w:val="21"/>
        </w:rPr>
        <w:t xml:space="preserve">传真：010-85230024 </w:t>
      </w:r>
    </w:p>
    <w:p w14:paraId="4CC32C9B">
      <w:pPr>
        <w:pStyle w:val="7"/>
        <w:spacing w:before="0" w:beforeAutospacing="0" w:after="0" w:afterAutospacing="0" w:line="360" w:lineRule="auto"/>
        <w:ind w:firstLine="420"/>
        <w:rPr>
          <w:sz w:val="21"/>
          <w:szCs w:val="21"/>
        </w:rPr>
      </w:pPr>
      <w:r>
        <w:rPr>
          <w:rFonts w:hint="eastAsia"/>
          <w:sz w:val="21"/>
          <w:szCs w:val="21"/>
        </w:rPr>
        <w:t xml:space="preserve">客服电话：95558 </w:t>
      </w:r>
    </w:p>
    <w:p w14:paraId="3D7F84C2">
      <w:pPr>
        <w:pStyle w:val="7"/>
        <w:spacing w:before="0" w:beforeAutospacing="0" w:after="0" w:afterAutospacing="0" w:line="360" w:lineRule="auto"/>
        <w:ind w:firstLine="420"/>
        <w:rPr>
          <w:sz w:val="21"/>
          <w:szCs w:val="21"/>
        </w:rPr>
      </w:pPr>
      <w:r>
        <w:rPr>
          <w:rFonts w:hint="eastAsia"/>
          <w:sz w:val="21"/>
          <w:szCs w:val="21"/>
        </w:rPr>
        <w:t xml:space="preserve">网址：www.citicbank.com </w:t>
      </w:r>
    </w:p>
    <w:p w14:paraId="54E2C31E">
      <w:pPr>
        <w:pStyle w:val="7"/>
        <w:spacing w:before="0" w:beforeAutospacing="0" w:after="0" w:afterAutospacing="0" w:line="360" w:lineRule="auto"/>
        <w:ind w:firstLine="420"/>
        <w:rPr>
          <w:sz w:val="21"/>
          <w:szCs w:val="21"/>
        </w:rPr>
      </w:pPr>
      <w:r>
        <w:rPr>
          <w:rFonts w:hint="eastAsia"/>
          <w:sz w:val="21"/>
          <w:szCs w:val="21"/>
        </w:rPr>
        <w:t xml:space="preserve">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 </w:t>
      </w:r>
    </w:p>
    <w:p w14:paraId="6EE4603A">
      <w:pPr>
        <w:pStyle w:val="7"/>
        <w:spacing w:before="0" w:beforeAutospacing="0" w:after="0" w:afterAutospacing="0" w:line="360" w:lineRule="auto"/>
        <w:ind w:firstLine="420"/>
        <w:rPr>
          <w:sz w:val="21"/>
          <w:szCs w:val="21"/>
        </w:rPr>
      </w:pPr>
      <w:r>
        <w:rPr>
          <w:rFonts w:hint="eastAsia"/>
          <w:sz w:val="21"/>
          <w:szCs w:val="21"/>
        </w:rPr>
        <w:t xml:space="preserve">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交易所和香港联合交易所A+H股同步上市。 </w:t>
      </w:r>
    </w:p>
    <w:p w14:paraId="3EBFFD67">
      <w:pPr>
        <w:pStyle w:val="7"/>
        <w:spacing w:before="0" w:beforeAutospacing="0" w:after="0" w:afterAutospacing="0" w:line="360" w:lineRule="auto"/>
        <w:ind w:firstLine="420"/>
        <w:rPr>
          <w:sz w:val="21"/>
          <w:szCs w:val="21"/>
        </w:rPr>
      </w:pPr>
      <w:r>
        <w:rPr>
          <w:rFonts w:hint="eastAsia"/>
          <w:sz w:val="21"/>
          <w:szCs w:val="21"/>
        </w:rPr>
        <w:t xml:space="preserve">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 </w:t>
      </w:r>
    </w:p>
    <w:p w14:paraId="1340431A">
      <w:pPr>
        <w:pStyle w:val="7"/>
        <w:spacing w:before="0" w:beforeAutospacing="0" w:after="0" w:afterAutospacing="0" w:line="360" w:lineRule="auto"/>
        <w:ind w:firstLine="420"/>
        <w:rPr>
          <w:sz w:val="21"/>
          <w:szCs w:val="21"/>
        </w:rPr>
      </w:pPr>
      <w:r>
        <w:rPr>
          <w:rFonts w:hint="eastAsia"/>
          <w:sz w:val="21"/>
          <w:szCs w:val="21"/>
        </w:rPr>
        <w:t xml:space="preserve">截至2025年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8家附属机构。其中，中信国际金融控股有限公司子公司中信银行（国际）有限公司在香港、澳门、纽约、 洛杉矶、新加坡和中国内地设有28家营业网点、2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 </w:t>
      </w:r>
    </w:p>
    <w:p w14:paraId="77633165">
      <w:pPr>
        <w:pStyle w:val="7"/>
        <w:spacing w:before="0" w:beforeAutospacing="0" w:after="0" w:afterAutospacing="0" w:line="360" w:lineRule="auto"/>
        <w:ind w:firstLine="420"/>
        <w:rPr>
          <w:sz w:val="21"/>
          <w:szCs w:val="21"/>
        </w:rPr>
      </w:pPr>
      <w:r>
        <w:rPr>
          <w:rFonts w:hint="eastAsia"/>
          <w:sz w:val="21"/>
          <w:szCs w:val="21"/>
        </w:rPr>
        <w:t xml:space="preserve">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发布的“全球银行品牌价值500强”榜单中排名第19位，以27.2%的增幅居中国内地银行第一；一级资本在英国《银行家》杂志“世界1000家银行排名”中位列第18位。荣膺英国《银行家》杂志“2025年中国年度银行”大奖。 </w:t>
      </w:r>
    </w:p>
    <w:p w14:paraId="3E3339AE">
      <w:pPr>
        <w:pStyle w:val="7"/>
        <w:spacing w:before="0" w:beforeAutospacing="0" w:after="0" w:afterAutospacing="0" w:line="360" w:lineRule="auto"/>
        <w:ind w:firstLine="420"/>
        <w:rPr>
          <w:sz w:val="21"/>
          <w:szCs w:val="21"/>
        </w:rPr>
      </w:pPr>
      <w:r>
        <w:rPr>
          <w:rFonts w:hint="eastAsia"/>
          <w:sz w:val="21"/>
          <w:szCs w:val="21"/>
        </w:rPr>
        <w:t xml:space="preserve">二、主要人员情况 </w:t>
      </w:r>
    </w:p>
    <w:p w14:paraId="0771C144">
      <w:pPr>
        <w:pStyle w:val="7"/>
        <w:spacing w:before="0" w:beforeAutospacing="0" w:after="0" w:afterAutospacing="0" w:line="360" w:lineRule="auto"/>
        <w:ind w:firstLine="420"/>
        <w:rPr>
          <w:sz w:val="21"/>
          <w:szCs w:val="21"/>
        </w:rPr>
      </w:pPr>
      <w:r>
        <w:rPr>
          <w:rFonts w:hint="eastAsia"/>
          <w:sz w:val="21"/>
          <w:szCs w:val="21"/>
        </w:rPr>
        <w:t xml:space="preserve">吕天贵，本行党委副书记、行长、首席合规官。曾任本行信用卡中心党委委员、总裁助理、副总裁、党委书记、总裁，总行零售银行部总经理、私人银行部总经理，总行业务总监、党委委员、副行长，中信信托有限责任公司党委书记、董事长；中信百信银行股份有限公司董事、董事长，阿尔金银行董事，中国银联股份有限公司董事。此前，曾在中国银行吉林市分行工作。四川大学工商管理硕士，高级会计师。 </w:t>
      </w:r>
    </w:p>
    <w:p w14:paraId="4369FC95">
      <w:pPr>
        <w:pStyle w:val="7"/>
        <w:spacing w:before="0" w:beforeAutospacing="0" w:after="0" w:afterAutospacing="0" w:line="360" w:lineRule="auto"/>
        <w:ind w:firstLine="420"/>
        <w:rPr>
          <w:sz w:val="21"/>
          <w:szCs w:val="21"/>
        </w:rPr>
      </w:pPr>
      <w:r>
        <w:rPr>
          <w:rFonts w:hint="eastAsia"/>
          <w:sz w:val="21"/>
          <w:szCs w:val="21"/>
        </w:rPr>
        <w:t xml:space="preserve">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 </w:t>
      </w:r>
    </w:p>
    <w:p w14:paraId="25263446">
      <w:pPr>
        <w:pStyle w:val="7"/>
        <w:spacing w:before="0" w:beforeAutospacing="0" w:after="0" w:afterAutospacing="0" w:line="360" w:lineRule="auto"/>
        <w:ind w:firstLine="420"/>
        <w:rPr>
          <w:sz w:val="21"/>
          <w:szCs w:val="21"/>
        </w:rPr>
      </w:pPr>
      <w:r>
        <w:rPr>
          <w:rFonts w:hint="eastAsia"/>
          <w:sz w:val="21"/>
          <w:szCs w:val="21"/>
        </w:rPr>
        <w:t xml:space="preserve">王坚先生，中信银行资产托管部总经理，工商管理硕士。王先生1993年在中信实业银行南京分行城北支行参加工作，2008年8月任中信银行南京分行零售银行部副总经理，2010年2月任中信银行南京分行金融同业部总经理，2016年6月调入总行授信审批部，先后任总经理助理、副总经理，2023年4月任中信银行大连分行行长，2026年6月任资产托管部总经理，待获得基金从业资格并履行备案程序后正式履职。 </w:t>
      </w:r>
    </w:p>
    <w:p w14:paraId="242EEC9D">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18ED0A52">
      <w:pPr>
        <w:pStyle w:val="7"/>
        <w:spacing w:before="0" w:beforeAutospacing="0" w:after="0" w:afterAutospacing="0" w:line="360" w:lineRule="auto"/>
        <w:ind w:firstLine="420"/>
        <w:rPr>
          <w:sz w:val="21"/>
          <w:szCs w:val="21"/>
        </w:rPr>
      </w:pPr>
      <w:r>
        <w:rPr>
          <w:rFonts w:hint="eastAsia"/>
          <w:sz w:val="21"/>
          <w:szCs w:val="21"/>
        </w:rPr>
        <w:t xml:space="preserve">2004年8月18日，中信银行经中国证券监督管理委员会和中国银行业监督管理委员会批准，取得基金托管人资格。中信银行本着“诚实信用、勤勉尽责”的原则，切实履行托管人职责。 </w:t>
      </w:r>
    </w:p>
    <w:p w14:paraId="685F327D">
      <w:pPr>
        <w:pStyle w:val="7"/>
        <w:spacing w:before="0" w:beforeAutospacing="0" w:after="0" w:afterAutospacing="0" w:line="360" w:lineRule="auto"/>
        <w:ind w:firstLine="420"/>
        <w:rPr>
          <w:sz w:val="21"/>
          <w:szCs w:val="21"/>
        </w:rPr>
      </w:pPr>
      <w:r>
        <w:rPr>
          <w:rFonts w:hint="eastAsia"/>
          <w:sz w:val="21"/>
          <w:szCs w:val="21"/>
        </w:rPr>
        <w:t>截至2026年二季度末，中信银行托管447只公开募集证券投资基金，以及基金公司、证券公司资产管理产品、信托产品、企业年金、股权基金、QDII等其他托管资产，托管总</w:t>
      </w:r>
      <w:bookmarkStart w:id="56" w:name="chapter_level1_6_55_section_1_end"/>
      <w:bookmarkEnd w:id="56"/>
      <w:r>
        <w:rPr>
          <w:rFonts w:hint="eastAsia"/>
          <w:sz w:val="21"/>
          <w:szCs w:val="21"/>
        </w:rPr>
        <w:t xml:space="preserve">规模达到20.23万亿元人民币。 </w:t>
      </w:r>
      <w:bookmarkStart w:id="57" w:name="field_0_trustcompanyinfo_1_end"/>
      <w:bookmarkEnd w:id="57"/>
      <w:r>
        <w:rPr>
          <w:rFonts w:hint="eastAsia"/>
          <w:sz w:val="21"/>
          <w:szCs w:val="21"/>
        </w:rPr>
        <w:t xml:space="preserve">  </w:t>
      </w:r>
    </w:p>
    <w:p w14:paraId="1754148A">
      <w:pPr>
        <w:pStyle w:val="7"/>
        <w:spacing w:before="0" w:beforeAutospacing="0" w:after="0" w:afterAutospacing="0" w:line="360" w:lineRule="auto"/>
        <w:ind w:firstLine="420"/>
        <w:rPr>
          <w:sz w:val="21"/>
          <w:szCs w:val="21"/>
        </w:rPr>
      </w:pPr>
      <w:bookmarkStart w:id="58" w:name="chapter_level1_6_55_section_2"/>
      <w:bookmarkEnd w:id="58"/>
      <w:bookmarkStart w:id="59" w:name="field_0_trustcontrollawinfo_1_start"/>
      <w:bookmarkEnd w:id="59"/>
      <w:r>
        <w:rPr>
          <w:rFonts w:hint="eastAsia"/>
          <w:sz w:val="21"/>
          <w:szCs w:val="21"/>
        </w:rPr>
        <w:t xml:space="preserve">四、基金托管人的内部控制制度 </w:t>
      </w:r>
    </w:p>
    <w:p w14:paraId="6E13BB73">
      <w:pPr>
        <w:pStyle w:val="7"/>
        <w:spacing w:before="0" w:beforeAutospacing="0" w:after="0" w:afterAutospacing="0" w:line="360" w:lineRule="auto"/>
        <w:ind w:firstLine="420"/>
        <w:rPr>
          <w:sz w:val="21"/>
          <w:szCs w:val="21"/>
        </w:rPr>
      </w:pPr>
      <w:r>
        <w:rPr>
          <w:rFonts w:hint="eastAsia"/>
          <w:sz w:val="21"/>
          <w:szCs w:val="21"/>
        </w:rPr>
        <w:t xml:space="preserve">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 </w:t>
      </w:r>
    </w:p>
    <w:p w14:paraId="4CC032A8">
      <w:pPr>
        <w:pStyle w:val="7"/>
        <w:spacing w:before="0" w:beforeAutospacing="0" w:after="0" w:afterAutospacing="0" w:line="360" w:lineRule="auto"/>
        <w:ind w:firstLine="420"/>
        <w:rPr>
          <w:sz w:val="21"/>
          <w:szCs w:val="21"/>
        </w:rPr>
      </w:pPr>
      <w:r>
        <w:rPr>
          <w:rFonts w:hint="eastAsia"/>
          <w:sz w:val="21"/>
          <w:szCs w:val="21"/>
        </w:rPr>
        <w:t xml:space="preserve">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 </w:t>
      </w:r>
    </w:p>
    <w:p w14:paraId="26E44619">
      <w:pPr>
        <w:pStyle w:val="7"/>
        <w:spacing w:before="0" w:beforeAutospacing="0" w:after="0" w:afterAutospacing="0" w:line="360" w:lineRule="auto"/>
        <w:ind w:firstLine="420"/>
        <w:rPr>
          <w:sz w:val="21"/>
          <w:szCs w:val="21"/>
        </w:rPr>
      </w:pPr>
      <w:r>
        <w:rPr>
          <w:rFonts w:hint="eastAsia"/>
          <w:sz w:val="21"/>
          <w:szCs w:val="21"/>
        </w:rPr>
        <w:t xml:space="preserve">3、内部控制制度。中信银行严格按照《基金法》以及其他法律法规及规章的规定，以控制和防范基金托管业务风险为主线，制定了《中信银行基金托管业务管理办法》、《中信银行资产托管业务内部控制管理实施细则(3.0版，2026年)》、《中信银行公开募集证券投资基金信息披露操作规程（1.0版,2025年）》和《中信银行公开募集证券投资基金托管风险准备金管理办法（2.0版，2023年）》等一整套规章制度，涵盖证券投资基金托管业务的各个环节，保证证券投资基金托管业务合法、合规、持续、稳健发展。 </w:t>
      </w:r>
    </w:p>
    <w:p w14:paraId="621647BB">
      <w:pPr>
        <w:pStyle w:val="7"/>
        <w:spacing w:before="0" w:beforeAutospacing="0" w:after="0" w:afterAutospacing="0" w:line="360" w:lineRule="auto"/>
        <w:ind w:firstLine="420"/>
        <w:rPr>
          <w:sz w:val="21"/>
          <w:szCs w:val="21"/>
        </w:rPr>
      </w:pPr>
      <w:r>
        <w:rPr>
          <w:rFonts w:hint="eastAsia"/>
          <w:sz w:val="21"/>
          <w:szCs w:val="21"/>
        </w:rPr>
        <w:t xml:space="preserve">4、内部控制措施。建立了各项规章制度、操作流程、岗位职责、行为规范等，从制度、流程、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 </w:t>
      </w:r>
    </w:p>
    <w:p w14:paraId="2D8B640E">
      <w:pPr>
        <w:pStyle w:val="7"/>
        <w:spacing w:before="0" w:beforeAutospacing="0" w:after="0" w:afterAutospacing="0" w:line="360" w:lineRule="auto"/>
        <w:ind w:firstLine="420"/>
        <w:rPr>
          <w:sz w:val="21"/>
          <w:szCs w:val="21"/>
        </w:rPr>
      </w:pPr>
      <w:r>
        <w:rPr>
          <w:rFonts w:hint="eastAsia"/>
          <w:sz w:val="21"/>
          <w:szCs w:val="21"/>
        </w:rPr>
        <w:t xml:space="preserve">五、基金托管人对基金管理人运作基金进行监督的方法和程序 </w:t>
      </w:r>
    </w:p>
    <w:p w14:paraId="529FEB6D">
      <w:pPr>
        <w:pStyle w:val="7"/>
        <w:spacing w:before="0" w:beforeAutospacing="0" w:after="0" w:afterAutospacing="0" w:line="360" w:lineRule="auto"/>
        <w:ind w:firstLine="420"/>
        <w:rPr>
          <w:sz w:val="21"/>
          <w:szCs w:val="21"/>
        </w:rPr>
      </w:pPr>
      <w:r>
        <w:rPr>
          <w:rFonts w:hint="eastAsia"/>
          <w:sz w:val="21"/>
          <w:szCs w:val="21"/>
        </w:rPr>
        <w:t xml:space="preserve">基金托管人根据《基金法》、《运作办法》、《信息披露办法》、《商业银行托管业务监督管理办法（试行）》、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 </w:t>
      </w:r>
    </w:p>
    <w:p w14:paraId="745F3829">
      <w:pPr>
        <w:pStyle w:val="7"/>
        <w:spacing w:before="0" w:beforeAutospacing="0" w:after="0" w:afterAutospacing="0" w:line="360" w:lineRule="auto"/>
        <w:ind w:firstLine="420"/>
        <w:rPr>
          <w:sz w:val="21"/>
          <w:szCs w:val="21"/>
        </w:rPr>
      </w:pPr>
      <w:r>
        <w:rPr>
          <w:rFonts w:hint="eastAsia"/>
          <w:sz w:val="21"/>
          <w:szCs w:val="21"/>
        </w:rPr>
        <w:t>如基金托管人发现基金管理人违反《基金法》、《运作办法》、《信息披露办法》、《商业银行托管业务监督管理办法（试行）》、基金合同、托管协议和有关法律法规及规章的行为，将及时以书面形式通知基金管理人限期纠正。在限期内，基金托管人有权随时对通知事项进行复查，督促基金管理人改正。基金托管人发现基金管理人有重大违规行为或违规事项</w:t>
      </w:r>
      <w:bookmarkStart w:id="60" w:name="chapter_level1_6_55_section_2_end"/>
      <w:bookmarkEnd w:id="60"/>
      <w:r>
        <w:rPr>
          <w:rFonts w:hint="eastAsia"/>
          <w:sz w:val="21"/>
          <w:szCs w:val="21"/>
        </w:rPr>
        <w:t xml:space="preserve">未能在限期内纠正的，基金托管人将以书面形式报告中国证监会。 </w:t>
      </w:r>
      <w:bookmarkStart w:id="61" w:name="field_0_trustcontrollawinfo_1_end"/>
      <w:bookmarkEnd w:id="61"/>
      <w:r>
        <w:rPr>
          <w:rFonts w:hint="eastAsia"/>
          <w:sz w:val="21"/>
          <w:szCs w:val="21"/>
        </w:rPr>
        <w:t xml:space="preserve">  </w:t>
      </w:r>
    </w:p>
    <w:p w14:paraId="5A60F3CC">
      <w:pPr>
        <w:widowControl/>
        <w:jc w:val="left"/>
        <w:rPr>
          <w:rFonts w:ascii="宋体" w:hAnsi="宋体" w:eastAsia="宋体"/>
        </w:rPr>
      </w:pPr>
      <w:r>
        <w:rPr>
          <w:rFonts w:ascii="宋体" w:hAnsi="宋体" w:eastAsia="宋体"/>
        </w:rPr>
        <w:br w:type="page"/>
      </w:r>
    </w:p>
    <w:p w14:paraId="3A7E9767">
      <w:pPr>
        <w:pStyle w:val="2"/>
        <w:jc w:val="center"/>
        <w:rPr>
          <w:rFonts w:ascii="宋体" w:hAnsi="宋体" w:eastAsia="宋体"/>
          <w:sz w:val="30"/>
        </w:rPr>
      </w:pPr>
      <w:bookmarkStart w:id="62" w:name="_Toc239193700"/>
      <w:bookmarkStart w:id="63" w:name="chapter_level1_7_56"/>
      <w:r>
        <w:rPr>
          <w:rFonts w:hint="eastAsia" w:ascii="宋体" w:hAnsi="宋体" w:eastAsia="宋体"/>
          <w:sz w:val="30"/>
        </w:rPr>
        <w:t>第五部分  相关服务机构</w:t>
      </w:r>
      <w:bookmarkEnd w:id="62"/>
      <w:bookmarkEnd w:id="63"/>
    </w:p>
    <w:p w14:paraId="25544B0C">
      <w:pPr>
        <w:pStyle w:val="7"/>
        <w:spacing w:before="0" w:beforeAutospacing="0" w:after="0" w:afterAutospacing="0" w:line="360" w:lineRule="auto"/>
        <w:ind w:firstLine="420"/>
        <w:rPr>
          <w:sz w:val="21"/>
          <w:szCs w:val="21"/>
        </w:rPr>
      </w:pPr>
      <w:bookmarkStart w:id="64" w:name="chapter_level1_7_56_section_1"/>
      <w:bookmarkEnd w:id="64"/>
      <w:r>
        <w:rPr>
          <w:rFonts w:hint="eastAsia"/>
          <w:sz w:val="21"/>
          <w:szCs w:val="21"/>
        </w:rPr>
        <w:t xml:space="preserve">一、基金份额销售机构 </w:t>
      </w:r>
    </w:p>
    <w:p w14:paraId="08825029">
      <w:pPr>
        <w:pStyle w:val="7"/>
        <w:spacing w:before="0" w:beforeAutospacing="0" w:after="0" w:afterAutospacing="0" w:line="360" w:lineRule="auto"/>
        <w:ind w:firstLine="420"/>
        <w:rPr>
          <w:sz w:val="21"/>
          <w:szCs w:val="21"/>
        </w:rPr>
      </w:pPr>
      <w:r>
        <w:rPr>
          <w:rFonts w:hint="eastAsia"/>
          <w:sz w:val="21"/>
          <w:szCs w:val="21"/>
        </w:rPr>
        <w:t xml:space="preserve">1、直销机构 </w:t>
      </w:r>
    </w:p>
    <w:p w14:paraId="7813FF9B">
      <w:pPr>
        <w:pStyle w:val="7"/>
        <w:spacing w:before="0" w:beforeAutospacing="0" w:after="0" w:afterAutospacing="0" w:line="360" w:lineRule="auto"/>
        <w:ind w:firstLine="420"/>
        <w:rPr>
          <w:sz w:val="21"/>
          <w:szCs w:val="21"/>
        </w:rPr>
      </w:pPr>
      <w:bookmarkStart w:id="65" w:name="field_0_marketcompanyinfo_1_start"/>
      <w:bookmarkEnd w:id="65"/>
      <w:r>
        <w:rPr>
          <w:rFonts w:hint="eastAsia"/>
          <w:sz w:val="21"/>
          <w:szCs w:val="21"/>
        </w:rPr>
        <w:t xml:space="preserve">名称：博时基金管理有限公司北京直销中心 </w:t>
      </w:r>
    </w:p>
    <w:p w14:paraId="350FFCD3">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6E151D63">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5A121D21">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25F966C5">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1F22DDB4">
      <w:pPr>
        <w:pStyle w:val="7"/>
        <w:spacing w:before="0" w:beforeAutospacing="0" w:after="0" w:afterAutospacing="0" w:line="360" w:lineRule="auto"/>
        <w:ind w:firstLine="420"/>
        <w:rPr>
          <w:sz w:val="21"/>
          <w:szCs w:val="21"/>
        </w:rPr>
      </w:pPr>
      <w:r>
        <w:rPr>
          <w:rFonts w:hint="eastAsia"/>
          <w:sz w:val="21"/>
          <w:szCs w:val="21"/>
        </w:rPr>
        <w:t xml:space="preserve">博时一线通：95105568（免长途话费） </w:t>
      </w:r>
      <w:bookmarkStart w:id="66" w:name="field_0_marketcompanyinfo_1_end"/>
      <w:bookmarkEnd w:id="66"/>
      <w:r>
        <w:rPr>
          <w:rFonts w:hint="eastAsia"/>
          <w:sz w:val="21"/>
          <w:szCs w:val="21"/>
        </w:rPr>
        <w:t xml:space="preserve">  </w:t>
      </w:r>
    </w:p>
    <w:p w14:paraId="59ADBB99">
      <w:pPr>
        <w:pStyle w:val="7"/>
        <w:spacing w:before="0" w:beforeAutospacing="0" w:after="0" w:afterAutospacing="0" w:line="360" w:lineRule="auto"/>
        <w:ind w:firstLine="420"/>
        <w:rPr>
          <w:sz w:val="21"/>
          <w:szCs w:val="21"/>
        </w:rPr>
      </w:pPr>
      <w:r>
        <w:rPr>
          <w:rFonts w:hint="eastAsia"/>
          <w:sz w:val="21"/>
          <w:szCs w:val="21"/>
        </w:rPr>
        <w:t>2、基金管理人可根据有关法律法规的要求，选择其他符合要求的机构销售本基金，并</w:t>
      </w:r>
      <w:bookmarkStart w:id="67" w:name="chapter_level1_7_56_section_1_end"/>
      <w:bookmarkEnd w:id="67"/>
      <w:r>
        <w:rPr>
          <w:rFonts w:hint="eastAsia"/>
          <w:sz w:val="21"/>
          <w:szCs w:val="21"/>
        </w:rPr>
        <w:t xml:space="preserve">在基金管理人网站公示。 </w:t>
      </w:r>
    </w:p>
    <w:p w14:paraId="49A811DE">
      <w:pPr>
        <w:pStyle w:val="7"/>
        <w:spacing w:before="0" w:beforeAutospacing="0" w:after="0" w:afterAutospacing="0" w:line="360" w:lineRule="auto"/>
        <w:ind w:firstLine="420"/>
        <w:rPr>
          <w:sz w:val="21"/>
          <w:szCs w:val="21"/>
        </w:rPr>
      </w:pPr>
      <w:bookmarkStart w:id="68" w:name="chapter_level1_7_56_section_2"/>
      <w:bookmarkEnd w:id="68"/>
      <w:r>
        <w:rPr>
          <w:rFonts w:hint="eastAsia"/>
          <w:sz w:val="21"/>
          <w:szCs w:val="21"/>
        </w:rPr>
        <w:t xml:space="preserve">2、代销机构 </w:t>
      </w:r>
    </w:p>
    <w:p w14:paraId="3591FB5D">
      <w:pPr>
        <w:pStyle w:val="7"/>
        <w:spacing w:before="0" w:beforeAutospacing="0" w:after="0" w:afterAutospacing="0" w:line="360" w:lineRule="auto"/>
        <w:ind w:firstLine="420"/>
        <w:rPr>
          <w:sz w:val="21"/>
          <w:szCs w:val="21"/>
        </w:rPr>
      </w:pPr>
      <w:bookmarkStart w:id="69" w:name="field_0_allproxysaletables_1_start"/>
      <w:bookmarkEnd w:id="69"/>
      <w:r>
        <w:rPr>
          <w:rFonts w:hint="eastAsia"/>
          <w:b/>
          <w:bCs/>
          <w:sz w:val="21"/>
          <w:szCs w:val="21"/>
        </w:rPr>
        <w:t>(1)交通银行股份有限公司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EE2F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54EA9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F899672">
            <w:pPr>
              <w:rPr>
                <w:rFonts w:ascii="宋体" w:hAnsi="宋体" w:eastAsia="宋体" w:cs="宋体"/>
                <w:sz w:val="24"/>
                <w:szCs w:val="24"/>
              </w:rPr>
            </w:pPr>
            <w:r>
              <w:rPr>
                <w:rFonts w:hint="eastAsia" w:ascii="宋体" w:hAnsi="宋体" w:eastAsia="宋体"/>
              </w:rPr>
              <w:t xml:space="preserve">中国（上海）自由贸易试验区银城中路188号 </w:t>
            </w:r>
          </w:p>
        </w:tc>
      </w:tr>
      <w:tr w14:paraId="3CB71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18DED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594FA95">
            <w:pPr>
              <w:rPr>
                <w:rFonts w:ascii="宋体" w:hAnsi="宋体" w:eastAsia="宋体" w:cs="宋体"/>
                <w:sz w:val="24"/>
                <w:szCs w:val="24"/>
              </w:rPr>
            </w:pPr>
            <w:r>
              <w:rPr>
                <w:rFonts w:hint="eastAsia" w:ascii="宋体" w:hAnsi="宋体" w:eastAsia="宋体"/>
              </w:rPr>
              <w:t xml:space="preserve">中国（上海）自由贸易试验区银城中路188号 </w:t>
            </w:r>
          </w:p>
        </w:tc>
      </w:tr>
      <w:tr w14:paraId="52A15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65534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AA246CB">
            <w:pPr>
              <w:rPr>
                <w:rFonts w:ascii="宋体" w:hAnsi="宋体" w:eastAsia="宋体" w:cs="宋体"/>
                <w:sz w:val="24"/>
                <w:szCs w:val="24"/>
              </w:rPr>
            </w:pPr>
            <w:r>
              <w:rPr>
                <w:rFonts w:hint="eastAsia" w:ascii="宋体" w:hAnsi="宋体" w:eastAsia="宋体"/>
              </w:rPr>
              <w:t xml:space="preserve">任德奇 </w:t>
            </w:r>
          </w:p>
        </w:tc>
      </w:tr>
      <w:tr w14:paraId="5CCB9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F8AF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565FC99">
            <w:pPr>
              <w:rPr>
                <w:rFonts w:ascii="宋体" w:hAnsi="宋体" w:eastAsia="宋体" w:cs="宋体"/>
                <w:sz w:val="24"/>
                <w:szCs w:val="24"/>
              </w:rPr>
            </w:pPr>
            <w:r>
              <w:rPr>
                <w:rFonts w:hint="eastAsia" w:ascii="宋体" w:hAnsi="宋体" w:eastAsia="宋体"/>
              </w:rPr>
              <w:t xml:space="preserve">高天 </w:t>
            </w:r>
          </w:p>
        </w:tc>
      </w:tr>
      <w:tr w14:paraId="21BF7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914F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59F6017">
            <w:pPr>
              <w:rPr>
                <w:rFonts w:ascii="宋体" w:hAnsi="宋体" w:eastAsia="宋体" w:cs="宋体"/>
                <w:sz w:val="24"/>
                <w:szCs w:val="24"/>
              </w:rPr>
            </w:pPr>
            <w:r>
              <w:rPr>
                <w:rFonts w:hint="eastAsia" w:ascii="宋体" w:hAnsi="宋体" w:eastAsia="宋体"/>
              </w:rPr>
              <w:t xml:space="preserve">021-58781234 </w:t>
            </w:r>
          </w:p>
        </w:tc>
      </w:tr>
      <w:tr w14:paraId="1EF4C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8A537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A409F8B">
            <w:pPr>
              <w:rPr>
                <w:rFonts w:ascii="宋体" w:hAnsi="宋体" w:eastAsia="宋体" w:cs="宋体"/>
                <w:sz w:val="24"/>
                <w:szCs w:val="24"/>
              </w:rPr>
            </w:pPr>
            <w:r>
              <w:rPr>
                <w:rFonts w:hint="eastAsia" w:ascii="宋体" w:hAnsi="宋体" w:eastAsia="宋体"/>
              </w:rPr>
              <w:t xml:space="preserve">021-58408483 </w:t>
            </w:r>
          </w:p>
        </w:tc>
      </w:tr>
      <w:tr w14:paraId="73C6E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36EC9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9A8E956">
            <w:pPr>
              <w:rPr>
                <w:rFonts w:ascii="宋体" w:hAnsi="宋体" w:eastAsia="宋体" w:cs="宋体"/>
                <w:sz w:val="24"/>
                <w:szCs w:val="24"/>
              </w:rPr>
            </w:pPr>
            <w:r>
              <w:rPr>
                <w:rFonts w:hint="eastAsia" w:ascii="宋体" w:hAnsi="宋体" w:eastAsia="宋体"/>
              </w:rPr>
              <w:t xml:space="preserve">95559 </w:t>
            </w:r>
          </w:p>
        </w:tc>
      </w:tr>
      <w:tr w14:paraId="71943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06E37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7983587">
            <w:pPr>
              <w:rPr>
                <w:rFonts w:ascii="宋体" w:hAnsi="宋体" w:eastAsia="宋体" w:cs="宋体"/>
                <w:sz w:val="24"/>
                <w:szCs w:val="24"/>
              </w:rPr>
            </w:pPr>
            <w:r>
              <w:rPr>
                <w:rFonts w:hint="eastAsia" w:ascii="宋体" w:hAnsi="宋体" w:eastAsia="宋体"/>
              </w:rPr>
              <w:t xml:space="preserve">http://www.bankcomm.com/ </w:t>
            </w:r>
          </w:p>
        </w:tc>
      </w:tr>
    </w:tbl>
    <w:p w14:paraId="08FB0ACB">
      <w:pPr>
        <w:pStyle w:val="7"/>
        <w:spacing w:before="0" w:beforeAutospacing="0" w:after="0" w:afterAutospacing="0" w:line="360" w:lineRule="auto"/>
        <w:ind w:firstLine="420"/>
        <w:rPr>
          <w:sz w:val="21"/>
          <w:szCs w:val="21"/>
        </w:rPr>
      </w:pPr>
      <w:r>
        <w:rPr>
          <w:rFonts w:hint="eastAsia"/>
          <w:b/>
          <w:bCs/>
          <w:sz w:val="21"/>
          <w:szCs w:val="21"/>
        </w:rPr>
        <w:t>(2)招商银行股份有限公司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D4EF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9D5C0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4949CE6">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508F0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17589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F85CF82">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12358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9A596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7668DA3">
            <w:pPr>
              <w:rPr>
                <w:rFonts w:ascii="宋体" w:hAnsi="宋体" w:eastAsia="宋体" w:cs="宋体"/>
                <w:sz w:val="24"/>
                <w:szCs w:val="24"/>
              </w:rPr>
            </w:pPr>
            <w:r>
              <w:rPr>
                <w:rFonts w:hint="eastAsia" w:ascii="宋体" w:hAnsi="宋体" w:eastAsia="宋体"/>
              </w:rPr>
              <w:t xml:space="preserve">缪建民 </w:t>
            </w:r>
          </w:p>
        </w:tc>
      </w:tr>
      <w:tr w14:paraId="42A7C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D7687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C0D51F1">
            <w:pPr>
              <w:rPr>
                <w:rFonts w:ascii="宋体" w:hAnsi="宋体" w:eastAsia="宋体" w:cs="宋体"/>
                <w:sz w:val="24"/>
                <w:szCs w:val="24"/>
              </w:rPr>
            </w:pPr>
            <w:r>
              <w:rPr>
                <w:rFonts w:hint="eastAsia" w:ascii="宋体" w:hAnsi="宋体" w:eastAsia="宋体"/>
              </w:rPr>
              <w:t xml:space="preserve">季平伟 </w:t>
            </w:r>
          </w:p>
        </w:tc>
      </w:tr>
      <w:tr w14:paraId="0A9AC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DFD73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E30145C">
            <w:pPr>
              <w:rPr>
                <w:rFonts w:ascii="宋体" w:hAnsi="宋体" w:eastAsia="宋体" w:cs="宋体"/>
                <w:sz w:val="24"/>
                <w:szCs w:val="24"/>
              </w:rPr>
            </w:pPr>
            <w:r>
              <w:rPr>
                <w:rFonts w:hint="eastAsia" w:ascii="宋体" w:hAnsi="宋体" w:eastAsia="宋体"/>
              </w:rPr>
              <w:t xml:space="preserve">0755－83198888 </w:t>
            </w:r>
          </w:p>
        </w:tc>
      </w:tr>
      <w:tr w14:paraId="5411C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02B38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05BFB7B">
            <w:pPr>
              <w:rPr>
                <w:rFonts w:ascii="宋体" w:hAnsi="宋体" w:eastAsia="宋体" w:cs="宋体"/>
                <w:sz w:val="24"/>
                <w:szCs w:val="24"/>
              </w:rPr>
            </w:pPr>
            <w:r>
              <w:rPr>
                <w:rFonts w:hint="eastAsia" w:ascii="宋体" w:hAnsi="宋体" w:eastAsia="宋体"/>
              </w:rPr>
              <w:t xml:space="preserve">0755－83195049 </w:t>
            </w:r>
          </w:p>
        </w:tc>
      </w:tr>
      <w:tr w14:paraId="55E05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DDAD0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00EF8DD">
            <w:pPr>
              <w:rPr>
                <w:rFonts w:ascii="宋体" w:hAnsi="宋体" w:eastAsia="宋体" w:cs="宋体"/>
                <w:sz w:val="24"/>
                <w:szCs w:val="24"/>
              </w:rPr>
            </w:pPr>
            <w:r>
              <w:rPr>
                <w:rFonts w:hint="eastAsia" w:ascii="宋体" w:hAnsi="宋体" w:eastAsia="宋体"/>
              </w:rPr>
              <w:t xml:space="preserve">95555 </w:t>
            </w:r>
          </w:p>
        </w:tc>
      </w:tr>
      <w:tr w14:paraId="47152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42908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434E77B">
            <w:pPr>
              <w:rPr>
                <w:rFonts w:ascii="宋体" w:hAnsi="宋体" w:eastAsia="宋体" w:cs="宋体"/>
                <w:sz w:val="24"/>
                <w:szCs w:val="24"/>
              </w:rPr>
            </w:pPr>
            <w:r>
              <w:rPr>
                <w:rFonts w:hint="eastAsia" w:ascii="宋体" w:hAnsi="宋体" w:eastAsia="宋体"/>
              </w:rPr>
              <w:t xml:space="preserve">http://www.cmbchina.com/ </w:t>
            </w:r>
          </w:p>
        </w:tc>
      </w:tr>
    </w:tbl>
    <w:p w14:paraId="49F44BCE">
      <w:pPr>
        <w:pStyle w:val="7"/>
        <w:spacing w:before="0" w:beforeAutospacing="0" w:after="0" w:afterAutospacing="0" w:line="360" w:lineRule="auto"/>
        <w:ind w:firstLine="420"/>
        <w:rPr>
          <w:sz w:val="21"/>
          <w:szCs w:val="21"/>
        </w:rPr>
      </w:pPr>
      <w:r>
        <w:rPr>
          <w:rFonts w:hint="eastAsia"/>
          <w:b/>
          <w:bCs/>
          <w:sz w:val="21"/>
          <w:szCs w:val="21"/>
        </w:rPr>
        <w:t>(3)中信银行股份有限公司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18C74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9537C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DE2B006">
            <w:pPr>
              <w:rPr>
                <w:rFonts w:ascii="宋体" w:hAnsi="宋体" w:eastAsia="宋体" w:cs="宋体"/>
                <w:sz w:val="24"/>
                <w:szCs w:val="24"/>
              </w:rPr>
            </w:pPr>
            <w:r>
              <w:rPr>
                <w:rFonts w:hint="eastAsia" w:ascii="宋体" w:hAnsi="宋体" w:eastAsia="宋体"/>
              </w:rPr>
              <w:t xml:space="preserve">北京市东城区朝阳门北大街8号富华大厦C座 </w:t>
            </w:r>
          </w:p>
        </w:tc>
      </w:tr>
      <w:tr w14:paraId="4FC7E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9230A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FCFF5A5">
            <w:pPr>
              <w:rPr>
                <w:rFonts w:ascii="宋体" w:hAnsi="宋体" w:eastAsia="宋体" w:cs="宋体"/>
                <w:sz w:val="24"/>
                <w:szCs w:val="24"/>
              </w:rPr>
            </w:pPr>
            <w:r>
              <w:rPr>
                <w:rFonts w:hint="eastAsia" w:ascii="宋体" w:hAnsi="宋体" w:eastAsia="宋体"/>
              </w:rPr>
              <w:t xml:space="preserve">北京市东城区朝阳门北大街9号文化大厦 </w:t>
            </w:r>
          </w:p>
        </w:tc>
      </w:tr>
      <w:tr w14:paraId="105C4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71F95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EEFA77D">
            <w:pPr>
              <w:rPr>
                <w:rFonts w:ascii="宋体" w:hAnsi="宋体" w:eastAsia="宋体" w:cs="宋体"/>
                <w:sz w:val="24"/>
                <w:szCs w:val="24"/>
              </w:rPr>
            </w:pPr>
            <w:r>
              <w:rPr>
                <w:rFonts w:hint="eastAsia" w:ascii="宋体" w:hAnsi="宋体" w:eastAsia="宋体"/>
              </w:rPr>
              <w:t xml:space="preserve">方合英 </w:t>
            </w:r>
          </w:p>
        </w:tc>
      </w:tr>
      <w:tr w14:paraId="63962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02B9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C81B90E">
            <w:pPr>
              <w:rPr>
                <w:rFonts w:ascii="宋体" w:hAnsi="宋体" w:eastAsia="宋体" w:cs="宋体"/>
                <w:sz w:val="24"/>
                <w:szCs w:val="24"/>
              </w:rPr>
            </w:pPr>
            <w:r>
              <w:rPr>
                <w:rFonts w:hint="eastAsia" w:ascii="宋体" w:hAnsi="宋体" w:eastAsia="宋体"/>
              </w:rPr>
              <w:t xml:space="preserve">王晓琳 </w:t>
            </w:r>
          </w:p>
        </w:tc>
      </w:tr>
      <w:tr w14:paraId="08405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B80C7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745A1EC">
            <w:pPr>
              <w:rPr>
                <w:rFonts w:ascii="宋体" w:hAnsi="宋体" w:eastAsia="宋体" w:cs="宋体"/>
                <w:sz w:val="24"/>
                <w:szCs w:val="24"/>
              </w:rPr>
            </w:pPr>
            <w:r>
              <w:rPr>
                <w:rFonts w:hint="eastAsia" w:ascii="宋体" w:hAnsi="宋体" w:eastAsia="宋体"/>
              </w:rPr>
              <w:t xml:space="preserve">010－89937325 </w:t>
            </w:r>
          </w:p>
        </w:tc>
      </w:tr>
      <w:tr w14:paraId="5CAE5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B5B52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C5F8BFA">
            <w:pPr>
              <w:rPr>
                <w:rFonts w:ascii="宋体" w:hAnsi="宋体" w:eastAsia="宋体" w:cs="宋体"/>
                <w:sz w:val="24"/>
                <w:szCs w:val="24"/>
              </w:rPr>
            </w:pPr>
            <w:r>
              <w:rPr>
                <w:rFonts w:hint="eastAsia" w:ascii="宋体" w:hAnsi="宋体" w:eastAsia="宋体"/>
              </w:rPr>
              <w:t xml:space="preserve">95558 </w:t>
            </w:r>
          </w:p>
        </w:tc>
      </w:tr>
      <w:tr w14:paraId="5F8DD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6A58F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6E9D66F">
            <w:pPr>
              <w:rPr>
                <w:rFonts w:ascii="宋体" w:hAnsi="宋体" w:eastAsia="宋体" w:cs="宋体"/>
                <w:sz w:val="24"/>
                <w:szCs w:val="24"/>
              </w:rPr>
            </w:pPr>
            <w:r>
              <w:rPr>
                <w:rFonts w:hint="eastAsia" w:ascii="宋体" w:hAnsi="宋体" w:eastAsia="宋体"/>
              </w:rPr>
              <w:t xml:space="preserve">http://bank.ecitic.com/ </w:t>
            </w:r>
          </w:p>
        </w:tc>
      </w:tr>
    </w:tbl>
    <w:p w14:paraId="6692EEC3">
      <w:pPr>
        <w:pStyle w:val="7"/>
        <w:spacing w:before="0" w:beforeAutospacing="0" w:after="0" w:afterAutospacing="0" w:line="360" w:lineRule="auto"/>
        <w:ind w:firstLine="420"/>
        <w:rPr>
          <w:sz w:val="21"/>
          <w:szCs w:val="21"/>
        </w:rPr>
      </w:pPr>
      <w:r>
        <w:rPr>
          <w:rFonts w:hint="eastAsia"/>
          <w:b/>
          <w:bCs/>
          <w:sz w:val="21"/>
          <w:szCs w:val="21"/>
        </w:rPr>
        <w:t>(4)上海浦东发展银行股份有限公司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1A85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7DD42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04227A1">
            <w:pPr>
              <w:rPr>
                <w:rFonts w:ascii="宋体" w:hAnsi="宋体" w:eastAsia="宋体" w:cs="宋体"/>
                <w:sz w:val="24"/>
                <w:szCs w:val="24"/>
              </w:rPr>
            </w:pPr>
            <w:r>
              <w:rPr>
                <w:rFonts w:hint="eastAsia" w:ascii="宋体" w:hAnsi="宋体" w:eastAsia="宋体"/>
              </w:rPr>
              <w:t xml:space="preserve">上海市中山东一路12号 </w:t>
            </w:r>
          </w:p>
        </w:tc>
      </w:tr>
      <w:tr w14:paraId="0B971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7F431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821933A">
            <w:pPr>
              <w:rPr>
                <w:rFonts w:ascii="宋体" w:hAnsi="宋体" w:eastAsia="宋体" w:cs="宋体"/>
                <w:sz w:val="24"/>
                <w:szCs w:val="24"/>
              </w:rPr>
            </w:pPr>
            <w:r>
              <w:rPr>
                <w:rFonts w:hint="eastAsia" w:ascii="宋体" w:hAnsi="宋体" w:eastAsia="宋体"/>
              </w:rPr>
              <w:t xml:space="preserve">上海市北京东路689号东银大厦25楼 </w:t>
            </w:r>
          </w:p>
        </w:tc>
      </w:tr>
      <w:tr w14:paraId="74E98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7316F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7A107AC">
            <w:pPr>
              <w:rPr>
                <w:rFonts w:ascii="宋体" w:hAnsi="宋体" w:eastAsia="宋体" w:cs="宋体"/>
                <w:sz w:val="24"/>
                <w:szCs w:val="24"/>
              </w:rPr>
            </w:pPr>
            <w:r>
              <w:rPr>
                <w:rFonts w:hint="eastAsia" w:ascii="宋体" w:hAnsi="宋体" w:eastAsia="宋体"/>
              </w:rPr>
              <w:t xml:space="preserve">张为忠 </w:t>
            </w:r>
          </w:p>
        </w:tc>
      </w:tr>
      <w:tr w14:paraId="33632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B875D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F6B8459">
            <w:pPr>
              <w:rPr>
                <w:rFonts w:ascii="宋体" w:hAnsi="宋体" w:eastAsia="宋体" w:cs="宋体"/>
                <w:sz w:val="24"/>
                <w:szCs w:val="24"/>
              </w:rPr>
            </w:pPr>
            <w:r>
              <w:rPr>
                <w:rFonts w:hint="eastAsia" w:ascii="宋体" w:hAnsi="宋体" w:eastAsia="宋体"/>
              </w:rPr>
              <w:t xml:space="preserve">95528 </w:t>
            </w:r>
          </w:p>
        </w:tc>
      </w:tr>
      <w:tr w14:paraId="546EC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478C2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4EAC9F3">
            <w:pPr>
              <w:rPr>
                <w:rFonts w:ascii="宋体" w:hAnsi="宋体" w:eastAsia="宋体" w:cs="宋体"/>
                <w:sz w:val="24"/>
                <w:szCs w:val="24"/>
              </w:rPr>
            </w:pPr>
            <w:r>
              <w:rPr>
                <w:rFonts w:hint="eastAsia" w:ascii="宋体" w:hAnsi="宋体" w:eastAsia="宋体"/>
              </w:rPr>
              <w:t xml:space="preserve">http://www.spdb.com.cn </w:t>
            </w:r>
          </w:p>
        </w:tc>
      </w:tr>
    </w:tbl>
    <w:p w14:paraId="036F52AF">
      <w:pPr>
        <w:pStyle w:val="7"/>
        <w:spacing w:before="0" w:beforeAutospacing="0" w:after="0" w:afterAutospacing="0" w:line="360" w:lineRule="auto"/>
        <w:ind w:firstLine="420"/>
        <w:rPr>
          <w:sz w:val="21"/>
          <w:szCs w:val="21"/>
        </w:rPr>
      </w:pPr>
      <w:r>
        <w:rPr>
          <w:rFonts w:hint="eastAsia"/>
          <w:b/>
          <w:bCs/>
          <w:sz w:val="21"/>
          <w:szCs w:val="21"/>
        </w:rPr>
        <w:t>(5)中国民生银行股份有限公司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3F00A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54709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C74D879">
            <w:pPr>
              <w:rPr>
                <w:rFonts w:ascii="宋体" w:hAnsi="宋体" w:eastAsia="宋体" w:cs="宋体"/>
                <w:sz w:val="24"/>
                <w:szCs w:val="24"/>
              </w:rPr>
            </w:pPr>
            <w:r>
              <w:rPr>
                <w:rFonts w:hint="eastAsia" w:ascii="宋体" w:hAnsi="宋体" w:eastAsia="宋体"/>
              </w:rPr>
              <w:t xml:space="preserve">北京市西城区复兴门内大街2号 </w:t>
            </w:r>
          </w:p>
        </w:tc>
      </w:tr>
      <w:tr w14:paraId="7B613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A40AA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579179A">
            <w:pPr>
              <w:rPr>
                <w:rFonts w:ascii="宋体" w:hAnsi="宋体" w:eastAsia="宋体" w:cs="宋体"/>
                <w:sz w:val="24"/>
                <w:szCs w:val="24"/>
              </w:rPr>
            </w:pPr>
            <w:r>
              <w:rPr>
                <w:rFonts w:hint="eastAsia" w:ascii="宋体" w:hAnsi="宋体" w:eastAsia="宋体"/>
              </w:rPr>
              <w:t xml:space="preserve">北京市西城区复兴门内大街2号 </w:t>
            </w:r>
          </w:p>
        </w:tc>
      </w:tr>
      <w:tr w14:paraId="02702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3EBA5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35AFA3F">
            <w:pPr>
              <w:rPr>
                <w:rFonts w:ascii="宋体" w:hAnsi="宋体" w:eastAsia="宋体" w:cs="宋体"/>
                <w:sz w:val="24"/>
                <w:szCs w:val="24"/>
              </w:rPr>
            </w:pPr>
            <w:r>
              <w:rPr>
                <w:rFonts w:hint="eastAsia" w:ascii="宋体" w:hAnsi="宋体" w:eastAsia="宋体"/>
              </w:rPr>
              <w:t xml:space="preserve">高迎欣 </w:t>
            </w:r>
          </w:p>
        </w:tc>
      </w:tr>
      <w:tr w14:paraId="3F4E4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71ED7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F3EF4C1">
            <w:pPr>
              <w:rPr>
                <w:rFonts w:ascii="宋体" w:hAnsi="宋体" w:eastAsia="宋体" w:cs="宋体"/>
                <w:sz w:val="24"/>
                <w:szCs w:val="24"/>
              </w:rPr>
            </w:pPr>
            <w:r>
              <w:rPr>
                <w:rFonts w:hint="eastAsia" w:ascii="宋体" w:hAnsi="宋体" w:eastAsia="宋体"/>
              </w:rPr>
              <w:t xml:space="preserve">王继伟 </w:t>
            </w:r>
          </w:p>
        </w:tc>
      </w:tr>
      <w:tr w14:paraId="6C10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59CE7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5D70904">
            <w:pPr>
              <w:rPr>
                <w:rFonts w:ascii="宋体" w:hAnsi="宋体" w:eastAsia="宋体" w:cs="宋体"/>
                <w:sz w:val="24"/>
                <w:szCs w:val="24"/>
              </w:rPr>
            </w:pPr>
            <w:r>
              <w:rPr>
                <w:rFonts w:hint="eastAsia" w:ascii="宋体" w:hAnsi="宋体" w:eastAsia="宋体"/>
              </w:rPr>
              <w:t xml:space="preserve">010－58560666 </w:t>
            </w:r>
          </w:p>
        </w:tc>
      </w:tr>
      <w:tr w14:paraId="08299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5BE11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541BC0F">
            <w:pPr>
              <w:rPr>
                <w:rFonts w:ascii="宋体" w:hAnsi="宋体" w:eastAsia="宋体" w:cs="宋体"/>
                <w:sz w:val="24"/>
                <w:szCs w:val="24"/>
              </w:rPr>
            </w:pPr>
            <w:r>
              <w:rPr>
                <w:rFonts w:hint="eastAsia" w:ascii="宋体" w:hAnsi="宋体" w:eastAsia="宋体"/>
              </w:rPr>
              <w:t xml:space="preserve">010－57092611 </w:t>
            </w:r>
          </w:p>
        </w:tc>
      </w:tr>
      <w:tr w14:paraId="2A6A8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F5509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3DE5BEB">
            <w:pPr>
              <w:rPr>
                <w:rFonts w:ascii="宋体" w:hAnsi="宋体" w:eastAsia="宋体" w:cs="宋体"/>
                <w:sz w:val="24"/>
                <w:szCs w:val="24"/>
              </w:rPr>
            </w:pPr>
            <w:r>
              <w:rPr>
                <w:rFonts w:hint="eastAsia" w:ascii="宋体" w:hAnsi="宋体" w:eastAsia="宋体"/>
              </w:rPr>
              <w:t xml:space="preserve">95568 </w:t>
            </w:r>
          </w:p>
        </w:tc>
      </w:tr>
      <w:tr w14:paraId="61828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DDA72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EFD66EE">
            <w:pPr>
              <w:rPr>
                <w:rFonts w:ascii="宋体" w:hAnsi="宋体" w:eastAsia="宋体" w:cs="宋体"/>
                <w:sz w:val="24"/>
                <w:szCs w:val="24"/>
              </w:rPr>
            </w:pPr>
            <w:r>
              <w:rPr>
                <w:rFonts w:hint="eastAsia" w:ascii="宋体" w:hAnsi="宋体" w:eastAsia="宋体"/>
              </w:rPr>
              <w:t xml:space="preserve">http://www.cmbc.com.cn/ </w:t>
            </w:r>
          </w:p>
        </w:tc>
      </w:tr>
    </w:tbl>
    <w:p w14:paraId="0B240F68">
      <w:pPr>
        <w:pStyle w:val="7"/>
        <w:spacing w:before="0" w:beforeAutospacing="0" w:after="0" w:afterAutospacing="0" w:line="360" w:lineRule="auto"/>
        <w:ind w:firstLine="420"/>
        <w:rPr>
          <w:sz w:val="21"/>
          <w:szCs w:val="21"/>
        </w:rPr>
      </w:pPr>
      <w:r>
        <w:rPr>
          <w:rFonts w:hint="eastAsia"/>
          <w:b/>
          <w:bCs/>
          <w:sz w:val="21"/>
          <w:szCs w:val="21"/>
        </w:rPr>
        <w:t>(6)广发银行股份有限公司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26F1A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9F2F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E7EB191">
            <w:pPr>
              <w:rPr>
                <w:rFonts w:ascii="宋体" w:hAnsi="宋体" w:eastAsia="宋体" w:cs="宋体"/>
                <w:sz w:val="24"/>
                <w:szCs w:val="24"/>
              </w:rPr>
            </w:pPr>
            <w:r>
              <w:rPr>
                <w:rFonts w:hint="eastAsia" w:ascii="宋体" w:hAnsi="宋体" w:eastAsia="宋体"/>
              </w:rPr>
              <w:t xml:space="preserve">广州市越秀区东风东路713号 </w:t>
            </w:r>
          </w:p>
        </w:tc>
      </w:tr>
      <w:tr w14:paraId="48A9C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DAB53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EF6BDDE">
            <w:pPr>
              <w:rPr>
                <w:rFonts w:ascii="宋体" w:hAnsi="宋体" w:eastAsia="宋体" w:cs="宋体"/>
                <w:sz w:val="24"/>
                <w:szCs w:val="24"/>
              </w:rPr>
            </w:pPr>
            <w:r>
              <w:rPr>
                <w:rFonts w:hint="eastAsia" w:ascii="宋体" w:hAnsi="宋体" w:eastAsia="宋体"/>
              </w:rPr>
              <w:t xml:space="preserve">广州市越秀区东风东路713号 </w:t>
            </w:r>
          </w:p>
        </w:tc>
      </w:tr>
      <w:tr w14:paraId="57CC5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DB85A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AE7B649">
            <w:pPr>
              <w:rPr>
                <w:rFonts w:ascii="宋体" w:hAnsi="宋体" w:eastAsia="宋体" w:cs="宋体"/>
                <w:sz w:val="24"/>
                <w:szCs w:val="24"/>
              </w:rPr>
            </w:pPr>
            <w:r>
              <w:rPr>
                <w:rFonts w:hint="eastAsia" w:ascii="宋体" w:hAnsi="宋体" w:eastAsia="宋体"/>
              </w:rPr>
              <w:t xml:space="preserve">王凯 </w:t>
            </w:r>
          </w:p>
        </w:tc>
      </w:tr>
      <w:tr w14:paraId="3B3B0607">
        <w:tblPrEx>
          <w:tblCellMar>
            <w:top w:w="0" w:type="dxa"/>
            <w:left w:w="108" w:type="dxa"/>
            <w:bottom w:w="0" w:type="dxa"/>
            <w:right w:w="108" w:type="dxa"/>
          </w:tblCellMar>
        </w:tblPrEx>
        <w:tc>
          <w:tcPr>
            <w:tcW w:w="3000" w:type="dxa"/>
            <w:shd w:val="clear" w:color="auto" w:fill="auto"/>
          </w:tcPr>
          <w:p w14:paraId="7D61759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63D0EBC">
            <w:pPr>
              <w:rPr>
                <w:rFonts w:ascii="宋体" w:hAnsi="宋体" w:eastAsia="宋体" w:cs="宋体"/>
                <w:sz w:val="24"/>
                <w:szCs w:val="24"/>
              </w:rPr>
            </w:pPr>
            <w:r>
              <w:rPr>
                <w:rFonts w:hint="eastAsia" w:ascii="宋体" w:hAnsi="宋体" w:eastAsia="宋体"/>
              </w:rPr>
              <w:t xml:space="preserve">刘伟 </w:t>
            </w:r>
          </w:p>
        </w:tc>
      </w:tr>
      <w:tr w14:paraId="6A495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FDC90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67C1AD2">
            <w:pPr>
              <w:rPr>
                <w:rFonts w:ascii="宋体" w:hAnsi="宋体" w:eastAsia="宋体" w:cs="宋体"/>
                <w:sz w:val="24"/>
                <w:szCs w:val="24"/>
              </w:rPr>
            </w:pPr>
            <w:r>
              <w:rPr>
                <w:rFonts w:hint="eastAsia" w:ascii="宋体" w:hAnsi="宋体" w:eastAsia="宋体"/>
              </w:rPr>
              <w:t xml:space="preserve">020-38321497/020-38322566 </w:t>
            </w:r>
          </w:p>
        </w:tc>
      </w:tr>
      <w:tr w14:paraId="5348F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8967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1E878A2">
            <w:pPr>
              <w:rPr>
                <w:rFonts w:ascii="宋体" w:hAnsi="宋体" w:eastAsia="宋体" w:cs="宋体"/>
                <w:sz w:val="24"/>
                <w:szCs w:val="24"/>
              </w:rPr>
            </w:pPr>
            <w:r>
              <w:rPr>
                <w:rFonts w:hint="eastAsia" w:ascii="宋体" w:hAnsi="宋体" w:eastAsia="宋体"/>
              </w:rPr>
              <w:t xml:space="preserve">020-38321676 </w:t>
            </w:r>
          </w:p>
        </w:tc>
      </w:tr>
      <w:tr w14:paraId="5A47E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F8126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87E1D2E">
            <w:pPr>
              <w:rPr>
                <w:rFonts w:ascii="宋体" w:hAnsi="宋体" w:eastAsia="宋体" w:cs="宋体"/>
                <w:sz w:val="24"/>
                <w:szCs w:val="24"/>
              </w:rPr>
            </w:pPr>
            <w:r>
              <w:rPr>
                <w:rFonts w:hint="eastAsia" w:ascii="宋体" w:hAnsi="宋体" w:eastAsia="宋体"/>
              </w:rPr>
              <w:t xml:space="preserve">4008308003 </w:t>
            </w:r>
          </w:p>
        </w:tc>
      </w:tr>
      <w:tr w14:paraId="13EB2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5B333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69A74C0">
            <w:pPr>
              <w:rPr>
                <w:rFonts w:ascii="宋体" w:hAnsi="宋体" w:eastAsia="宋体" w:cs="宋体"/>
                <w:sz w:val="24"/>
                <w:szCs w:val="24"/>
              </w:rPr>
            </w:pPr>
            <w:r>
              <w:rPr>
                <w:rFonts w:hint="eastAsia" w:ascii="宋体" w:hAnsi="宋体" w:eastAsia="宋体"/>
              </w:rPr>
              <w:t xml:space="preserve">http://www.cgbchina.com.cn/ </w:t>
            </w:r>
          </w:p>
        </w:tc>
      </w:tr>
    </w:tbl>
    <w:p w14:paraId="40E72F44">
      <w:pPr>
        <w:pStyle w:val="7"/>
        <w:spacing w:before="0" w:beforeAutospacing="0" w:after="0" w:afterAutospacing="0" w:line="360" w:lineRule="auto"/>
        <w:ind w:firstLine="420"/>
        <w:rPr>
          <w:sz w:val="21"/>
          <w:szCs w:val="21"/>
        </w:rPr>
      </w:pPr>
      <w:r>
        <w:rPr>
          <w:rFonts w:hint="eastAsia"/>
          <w:b/>
          <w:bCs/>
          <w:sz w:val="21"/>
          <w:szCs w:val="21"/>
        </w:rPr>
        <w:t>(7)平安银行股份有限公司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E540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2D2CA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66EFBD9">
            <w:pPr>
              <w:rPr>
                <w:rFonts w:ascii="宋体" w:hAnsi="宋体" w:eastAsia="宋体" w:cs="宋体"/>
                <w:sz w:val="24"/>
                <w:szCs w:val="24"/>
              </w:rPr>
            </w:pPr>
            <w:r>
              <w:rPr>
                <w:rFonts w:hint="eastAsia" w:ascii="宋体" w:hAnsi="宋体" w:eastAsia="宋体"/>
              </w:rPr>
              <w:t xml:space="preserve">深圳市深南东路5047号 </w:t>
            </w:r>
          </w:p>
        </w:tc>
      </w:tr>
      <w:tr w14:paraId="189DD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0AA58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FCFCECC">
            <w:pPr>
              <w:rPr>
                <w:rFonts w:ascii="宋体" w:hAnsi="宋体" w:eastAsia="宋体" w:cs="宋体"/>
                <w:sz w:val="24"/>
                <w:szCs w:val="24"/>
              </w:rPr>
            </w:pPr>
            <w:r>
              <w:rPr>
                <w:rFonts w:hint="eastAsia" w:ascii="宋体" w:hAnsi="宋体" w:eastAsia="宋体"/>
              </w:rPr>
              <w:t xml:space="preserve">深圳市深南东路5047号 </w:t>
            </w:r>
          </w:p>
        </w:tc>
      </w:tr>
      <w:tr w14:paraId="34A6D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E0A02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42E8525">
            <w:pPr>
              <w:rPr>
                <w:rFonts w:ascii="宋体" w:hAnsi="宋体" w:eastAsia="宋体" w:cs="宋体"/>
                <w:sz w:val="24"/>
                <w:szCs w:val="24"/>
              </w:rPr>
            </w:pPr>
            <w:r>
              <w:rPr>
                <w:rFonts w:hint="eastAsia" w:ascii="宋体" w:hAnsi="宋体" w:eastAsia="宋体"/>
              </w:rPr>
              <w:t xml:space="preserve">谢永林 </w:t>
            </w:r>
          </w:p>
        </w:tc>
      </w:tr>
      <w:tr w14:paraId="2DE3C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48A04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1ACD99E">
            <w:pPr>
              <w:rPr>
                <w:rFonts w:ascii="宋体" w:hAnsi="宋体" w:eastAsia="宋体" w:cs="宋体"/>
                <w:sz w:val="24"/>
                <w:szCs w:val="24"/>
              </w:rPr>
            </w:pPr>
            <w:r>
              <w:rPr>
                <w:rFonts w:hint="eastAsia" w:ascii="宋体" w:hAnsi="宋体" w:eastAsia="宋体"/>
              </w:rPr>
              <w:t xml:space="preserve">施艺帆 </w:t>
            </w:r>
          </w:p>
        </w:tc>
      </w:tr>
      <w:tr w14:paraId="4839F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03C64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6E6EE79">
            <w:pPr>
              <w:rPr>
                <w:rFonts w:ascii="宋体" w:hAnsi="宋体" w:eastAsia="宋体" w:cs="宋体"/>
                <w:sz w:val="24"/>
                <w:szCs w:val="24"/>
              </w:rPr>
            </w:pPr>
            <w:r>
              <w:rPr>
                <w:rFonts w:hint="eastAsia" w:ascii="宋体" w:hAnsi="宋体" w:eastAsia="宋体"/>
              </w:rPr>
              <w:t xml:space="preserve">021-50979384 </w:t>
            </w:r>
          </w:p>
        </w:tc>
      </w:tr>
      <w:tr w14:paraId="78E7E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B1391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0C0D67B">
            <w:pPr>
              <w:rPr>
                <w:rFonts w:ascii="宋体" w:hAnsi="宋体" w:eastAsia="宋体" w:cs="宋体"/>
                <w:sz w:val="24"/>
                <w:szCs w:val="24"/>
              </w:rPr>
            </w:pPr>
            <w:r>
              <w:rPr>
                <w:rFonts w:hint="eastAsia" w:ascii="宋体" w:hAnsi="宋体" w:eastAsia="宋体"/>
              </w:rPr>
              <w:t xml:space="preserve">021-50979507 </w:t>
            </w:r>
          </w:p>
        </w:tc>
      </w:tr>
      <w:tr w14:paraId="17273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32646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21AA868">
            <w:pPr>
              <w:rPr>
                <w:rFonts w:ascii="宋体" w:hAnsi="宋体" w:eastAsia="宋体" w:cs="宋体"/>
                <w:sz w:val="24"/>
                <w:szCs w:val="24"/>
              </w:rPr>
            </w:pPr>
            <w:r>
              <w:rPr>
                <w:rFonts w:hint="eastAsia" w:ascii="宋体" w:hAnsi="宋体" w:eastAsia="宋体"/>
              </w:rPr>
              <w:t xml:space="preserve">95511-3 </w:t>
            </w:r>
          </w:p>
        </w:tc>
      </w:tr>
      <w:tr w14:paraId="35E8B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67A81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C71941F">
            <w:pPr>
              <w:rPr>
                <w:rFonts w:ascii="宋体" w:hAnsi="宋体" w:eastAsia="宋体" w:cs="宋体"/>
                <w:sz w:val="24"/>
                <w:szCs w:val="24"/>
              </w:rPr>
            </w:pPr>
            <w:r>
              <w:rPr>
                <w:rFonts w:hint="eastAsia" w:ascii="宋体" w:hAnsi="宋体" w:eastAsia="宋体"/>
              </w:rPr>
              <w:t xml:space="preserve">http://bank.pingan.com </w:t>
            </w:r>
          </w:p>
        </w:tc>
      </w:tr>
    </w:tbl>
    <w:p w14:paraId="0E307D2A">
      <w:pPr>
        <w:pStyle w:val="7"/>
        <w:spacing w:before="0" w:beforeAutospacing="0" w:after="0" w:afterAutospacing="0" w:line="360" w:lineRule="auto"/>
        <w:ind w:firstLine="420"/>
        <w:rPr>
          <w:sz w:val="21"/>
          <w:szCs w:val="21"/>
        </w:rPr>
      </w:pPr>
      <w:r>
        <w:rPr>
          <w:rFonts w:hint="eastAsia"/>
          <w:b/>
          <w:bCs/>
          <w:sz w:val="21"/>
          <w:szCs w:val="21"/>
        </w:rPr>
        <w:t>(8)宁波银行股份有限公司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B2BF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349B2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796702B">
            <w:pPr>
              <w:rPr>
                <w:rFonts w:ascii="宋体" w:hAnsi="宋体" w:eastAsia="宋体" w:cs="宋体"/>
                <w:sz w:val="24"/>
                <w:szCs w:val="24"/>
              </w:rPr>
            </w:pPr>
            <w:r>
              <w:rPr>
                <w:rFonts w:hint="eastAsia" w:ascii="宋体" w:hAnsi="宋体" w:eastAsia="宋体"/>
              </w:rPr>
              <w:t xml:space="preserve">宁波市鄞州区宁南南路700号 </w:t>
            </w:r>
          </w:p>
        </w:tc>
      </w:tr>
      <w:tr w14:paraId="2E813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357BE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B3CB3D0">
            <w:pPr>
              <w:rPr>
                <w:rFonts w:ascii="宋体" w:hAnsi="宋体" w:eastAsia="宋体" w:cs="宋体"/>
                <w:sz w:val="24"/>
                <w:szCs w:val="24"/>
              </w:rPr>
            </w:pPr>
            <w:r>
              <w:rPr>
                <w:rFonts w:hint="eastAsia" w:ascii="宋体" w:hAnsi="宋体" w:eastAsia="宋体"/>
              </w:rPr>
              <w:t xml:space="preserve">宁波市鄞州区宁南南路700号 </w:t>
            </w:r>
          </w:p>
        </w:tc>
      </w:tr>
      <w:tr w14:paraId="68AE3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375B5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064CA3C">
            <w:pPr>
              <w:rPr>
                <w:rFonts w:ascii="宋体" w:hAnsi="宋体" w:eastAsia="宋体" w:cs="宋体"/>
                <w:sz w:val="24"/>
                <w:szCs w:val="24"/>
              </w:rPr>
            </w:pPr>
            <w:r>
              <w:rPr>
                <w:rFonts w:hint="eastAsia" w:ascii="宋体" w:hAnsi="宋体" w:eastAsia="宋体"/>
              </w:rPr>
              <w:t xml:space="preserve">陆华裕 </w:t>
            </w:r>
          </w:p>
        </w:tc>
      </w:tr>
      <w:tr w14:paraId="03EFD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CAA3E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0CDF604">
            <w:pPr>
              <w:rPr>
                <w:rFonts w:ascii="宋体" w:hAnsi="宋体" w:eastAsia="宋体" w:cs="宋体"/>
                <w:sz w:val="24"/>
                <w:szCs w:val="24"/>
              </w:rPr>
            </w:pPr>
            <w:r>
              <w:rPr>
                <w:rFonts w:hint="eastAsia" w:ascii="宋体" w:hAnsi="宋体" w:eastAsia="宋体"/>
              </w:rPr>
              <w:t xml:space="preserve">胡技勋 </w:t>
            </w:r>
          </w:p>
        </w:tc>
      </w:tr>
      <w:tr w14:paraId="15261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A722E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97CEDEE">
            <w:pPr>
              <w:rPr>
                <w:rFonts w:ascii="宋体" w:hAnsi="宋体" w:eastAsia="宋体" w:cs="宋体"/>
                <w:sz w:val="24"/>
                <w:szCs w:val="24"/>
              </w:rPr>
            </w:pPr>
            <w:r>
              <w:rPr>
                <w:rFonts w:hint="eastAsia" w:ascii="宋体" w:hAnsi="宋体" w:eastAsia="宋体"/>
              </w:rPr>
              <w:t xml:space="preserve">0574-89068340 </w:t>
            </w:r>
          </w:p>
        </w:tc>
      </w:tr>
      <w:tr w14:paraId="43EA9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4C765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96440C8">
            <w:pPr>
              <w:rPr>
                <w:rFonts w:ascii="宋体" w:hAnsi="宋体" w:eastAsia="宋体" w:cs="宋体"/>
                <w:sz w:val="24"/>
                <w:szCs w:val="24"/>
              </w:rPr>
            </w:pPr>
            <w:r>
              <w:rPr>
                <w:rFonts w:hint="eastAsia" w:ascii="宋体" w:hAnsi="宋体" w:eastAsia="宋体"/>
              </w:rPr>
              <w:t xml:space="preserve">0574-87050024 </w:t>
            </w:r>
          </w:p>
        </w:tc>
      </w:tr>
      <w:tr w14:paraId="625C5C2D">
        <w:tblPrEx>
          <w:tblCellMar>
            <w:top w:w="0" w:type="dxa"/>
            <w:left w:w="108" w:type="dxa"/>
            <w:bottom w:w="0" w:type="dxa"/>
            <w:right w:w="108" w:type="dxa"/>
          </w:tblCellMar>
        </w:tblPrEx>
        <w:tc>
          <w:tcPr>
            <w:tcW w:w="3000" w:type="dxa"/>
            <w:shd w:val="clear" w:color="auto" w:fill="auto"/>
          </w:tcPr>
          <w:p w14:paraId="10126F2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B95636B">
            <w:pPr>
              <w:rPr>
                <w:rFonts w:ascii="宋体" w:hAnsi="宋体" w:eastAsia="宋体" w:cs="宋体"/>
                <w:sz w:val="24"/>
                <w:szCs w:val="24"/>
              </w:rPr>
            </w:pPr>
            <w:r>
              <w:rPr>
                <w:rFonts w:hint="eastAsia" w:ascii="宋体" w:hAnsi="宋体" w:eastAsia="宋体"/>
              </w:rPr>
              <w:t xml:space="preserve">95574 </w:t>
            </w:r>
          </w:p>
        </w:tc>
      </w:tr>
      <w:tr w14:paraId="700B1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C1DB0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217905A">
            <w:pPr>
              <w:rPr>
                <w:rFonts w:ascii="宋体" w:hAnsi="宋体" w:eastAsia="宋体" w:cs="宋体"/>
                <w:sz w:val="24"/>
                <w:szCs w:val="24"/>
              </w:rPr>
            </w:pPr>
            <w:r>
              <w:rPr>
                <w:rFonts w:hint="eastAsia" w:ascii="宋体" w:hAnsi="宋体" w:eastAsia="宋体"/>
              </w:rPr>
              <w:t xml:space="preserve">http://www.nbcb.com.cn </w:t>
            </w:r>
          </w:p>
        </w:tc>
      </w:tr>
    </w:tbl>
    <w:p w14:paraId="1C3D2C73">
      <w:pPr>
        <w:pStyle w:val="7"/>
        <w:spacing w:before="0" w:beforeAutospacing="0" w:after="0" w:afterAutospacing="0" w:line="360" w:lineRule="auto"/>
        <w:ind w:firstLine="420"/>
        <w:rPr>
          <w:sz w:val="21"/>
          <w:szCs w:val="21"/>
        </w:rPr>
      </w:pPr>
      <w:r>
        <w:rPr>
          <w:rFonts w:hint="eastAsia"/>
          <w:b/>
          <w:bCs/>
          <w:sz w:val="21"/>
          <w:szCs w:val="21"/>
        </w:rPr>
        <w:t>(9)江苏银行股份有限公司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2BB2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64BD9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B32BA46">
            <w:pPr>
              <w:rPr>
                <w:rFonts w:ascii="宋体" w:hAnsi="宋体" w:eastAsia="宋体" w:cs="宋体"/>
                <w:sz w:val="24"/>
                <w:szCs w:val="24"/>
              </w:rPr>
            </w:pPr>
            <w:r>
              <w:rPr>
                <w:rFonts w:hint="eastAsia" w:ascii="宋体" w:hAnsi="宋体" w:eastAsia="宋体"/>
              </w:rPr>
              <w:t xml:space="preserve">南京市洪武北路55号 </w:t>
            </w:r>
          </w:p>
        </w:tc>
      </w:tr>
      <w:tr w14:paraId="6A6E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C06ED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1F45C0B">
            <w:pPr>
              <w:rPr>
                <w:rFonts w:ascii="宋体" w:hAnsi="宋体" w:eastAsia="宋体" w:cs="宋体"/>
                <w:sz w:val="24"/>
                <w:szCs w:val="24"/>
              </w:rPr>
            </w:pPr>
            <w:r>
              <w:rPr>
                <w:rFonts w:hint="eastAsia" w:ascii="宋体" w:hAnsi="宋体" w:eastAsia="宋体"/>
              </w:rPr>
              <w:t xml:space="preserve">南京市中华路26号 </w:t>
            </w:r>
          </w:p>
        </w:tc>
      </w:tr>
      <w:tr w14:paraId="16738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CBB02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2F4568C">
            <w:pPr>
              <w:rPr>
                <w:rFonts w:ascii="宋体" w:hAnsi="宋体" w:eastAsia="宋体" w:cs="宋体"/>
                <w:sz w:val="24"/>
                <w:szCs w:val="24"/>
              </w:rPr>
            </w:pPr>
            <w:r>
              <w:rPr>
                <w:rFonts w:hint="eastAsia" w:ascii="宋体" w:hAnsi="宋体" w:eastAsia="宋体"/>
              </w:rPr>
              <w:t xml:space="preserve">夏平 </w:t>
            </w:r>
          </w:p>
        </w:tc>
      </w:tr>
      <w:tr w14:paraId="327C2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4B477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6A6A22F">
            <w:pPr>
              <w:rPr>
                <w:rFonts w:ascii="宋体" w:hAnsi="宋体" w:eastAsia="宋体" w:cs="宋体"/>
                <w:sz w:val="24"/>
                <w:szCs w:val="24"/>
              </w:rPr>
            </w:pPr>
            <w:r>
              <w:rPr>
                <w:rFonts w:hint="eastAsia" w:ascii="宋体" w:hAnsi="宋体" w:eastAsia="宋体"/>
              </w:rPr>
              <w:t xml:space="preserve">田春慧 </w:t>
            </w:r>
          </w:p>
        </w:tc>
      </w:tr>
      <w:tr w14:paraId="7F2F9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33A2D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FE1F75E">
            <w:pPr>
              <w:rPr>
                <w:rFonts w:ascii="宋体" w:hAnsi="宋体" w:eastAsia="宋体" w:cs="宋体"/>
                <w:sz w:val="24"/>
                <w:szCs w:val="24"/>
              </w:rPr>
            </w:pPr>
            <w:r>
              <w:rPr>
                <w:rFonts w:hint="eastAsia" w:ascii="宋体" w:hAnsi="宋体" w:eastAsia="宋体"/>
              </w:rPr>
              <w:t xml:space="preserve">025-58587018 </w:t>
            </w:r>
          </w:p>
        </w:tc>
      </w:tr>
      <w:tr w14:paraId="5EF38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A499C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2DAC42A">
            <w:pPr>
              <w:rPr>
                <w:rFonts w:ascii="宋体" w:hAnsi="宋体" w:eastAsia="宋体" w:cs="宋体"/>
                <w:sz w:val="24"/>
                <w:szCs w:val="24"/>
              </w:rPr>
            </w:pPr>
            <w:r>
              <w:rPr>
                <w:rFonts w:hint="eastAsia" w:ascii="宋体" w:hAnsi="宋体" w:eastAsia="宋体"/>
              </w:rPr>
              <w:t xml:space="preserve">025-58587038 </w:t>
            </w:r>
          </w:p>
        </w:tc>
      </w:tr>
      <w:tr w14:paraId="1106E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CBD32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EEA01A3">
            <w:pPr>
              <w:rPr>
                <w:rFonts w:ascii="宋体" w:hAnsi="宋体" w:eastAsia="宋体" w:cs="宋体"/>
                <w:sz w:val="24"/>
                <w:szCs w:val="24"/>
              </w:rPr>
            </w:pPr>
            <w:r>
              <w:rPr>
                <w:rFonts w:hint="eastAsia" w:ascii="宋体" w:hAnsi="宋体" w:eastAsia="宋体"/>
              </w:rPr>
              <w:t xml:space="preserve">95319 </w:t>
            </w:r>
          </w:p>
        </w:tc>
      </w:tr>
      <w:tr w14:paraId="114CA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B7282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FDC21D2">
            <w:pPr>
              <w:rPr>
                <w:rFonts w:ascii="宋体" w:hAnsi="宋体" w:eastAsia="宋体" w:cs="宋体"/>
                <w:sz w:val="24"/>
                <w:szCs w:val="24"/>
              </w:rPr>
            </w:pPr>
            <w:r>
              <w:rPr>
                <w:rFonts w:hint="eastAsia" w:ascii="宋体" w:hAnsi="宋体" w:eastAsia="宋体"/>
              </w:rPr>
              <w:t xml:space="preserve">http://www.jsbchina.cn </w:t>
            </w:r>
          </w:p>
        </w:tc>
      </w:tr>
    </w:tbl>
    <w:p w14:paraId="7E5587CA">
      <w:pPr>
        <w:pStyle w:val="7"/>
        <w:spacing w:before="0" w:beforeAutospacing="0" w:after="0" w:afterAutospacing="0" w:line="360" w:lineRule="auto"/>
        <w:ind w:firstLine="420"/>
        <w:rPr>
          <w:sz w:val="21"/>
          <w:szCs w:val="21"/>
        </w:rPr>
      </w:pPr>
      <w:r>
        <w:rPr>
          <w:rFonts w:hint="eastAsia"/>
          <w:b/>
          <w:bCs/>
          <w:sz w:val="21"/>
          <w:szCs w:val="21"/>
        </w:rPr>
        <w:t>(10)东莞农村商业银行股份有限公司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4490F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48BBEA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88725F6">
            <w:pPr>
              <w:rPr>
                <w:rFonts w:ascii="宋体" w:hAnsi="宋体" w:eastAsia="宋体" w:cs="宋体"/>
                <w:sz w:val="24"/>
                <w:szCs w:val="24"/>
              </w:rPr>
            </w:pPr>
            <w:r>
              <w:rPr>
                <w:rFonts w:hint="eastAsia" w:ascii="宋体" w:hAnsi="宋体" w:eastAsia="宋体"/>
              </w:rPr>
              <w:t xml:space="preserve">广东省东莞市东城区鸿福东路2号 </w:t>
            </w:r>
          </w:p>
        </w:tc>
      </w:tr>
      <w:tr w14:paraId="11CD6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CAC47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D296A52">
            <w:pPr>
              <w:rPr>
                <w:rFonts w:ascii="宋体" w:hAnsi="宋体" w:eastAsia="宋体" w:cs="宋体"/>
                <w:sz w:val="24"/>
                <w:szCs w:val="24"/>
              </w:rPr>
            </w:pPr>
            <w:r>
              <w:rPr>
                <w:rFonts w:hint="eastAsia" w:ascii="宋体" w:hAnsi="宋体" w:eastAsia="宋体"/>
              </w:rPr>
              <w:t xml:space="preserve">广东省东莞市东城区鸿福东路2号东莞农商银行大厦 </w:t>
            </w:r>
          </w:p>
        </w:tc>
      </w:tr>
      <w:tr w14:paraId="3654A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58C55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0A50FC3">
            <w:pPr>
              <w:rPr>
                <w:rFonts w:ascii="宋体" w:hAnsi="宋体" w:eastAsia="宋体" w:cs="宋体"/>
                <w:sz w:val="24"/>
                <w:szCs w:val="24"/>
              </w:rPr>
            </w:pPr>
            <w:r>
              <w:rPr>
                <w:rFonts w:hint="eastAsia" w:ascii="宋体" w:hAnsi="宋体" w:eastAsia="宋体"/>
              </w:rPr>
              <w:t xml:space="preserve">王耀球 </w:t>
            </w:r>
          </w:p>
        </w:tc>
      </w:tr>
      <w:tr w14:paraId="5A3F4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46656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B8661BE">
            <w:pPr>
              <w:rPr>
                <w:rFonts w:ascii="宋体" w:hAnsi="宋体" w:eastAsia="宋体" w:cs="宋体"/>
                <w:sz w:val="24"/>
                <w:szCs w:val="24"/>
              </w:rPr>
            </w:pPr>
            <w:r>
              <w:rPr>
                <w:rFonts w:hint="eastAsia" w:ascii="宋体" w:hAnsi="宋体" w:eastAsia="宋体"/>
              </w:rPr>
              <w:t xml:space="preserve">杨亢 </w:t>
            </w:r>
          </w:p>
        </w:tc>
      </w:tr>
      <w:tr w14:paraId="1E72D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5616A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795A9DA">
            <w:pPr>
              <w:rPr>
                <w:rFonts w:ascii="宋体" w:hAnsi="宋体" w:eastAsia="宋体" w:cs="宋体"/>
                <w:sz w:val="24"/>
                <w:szCs w:val="24"/>
              </w:rPr>
            </w:pPr>
            <w:r>
              <w:rPr>
                <w:rFonts w:hint="eastAsia" w:ascii="宋体" w:hAnsi="宋体" w:eastAsia="宋体"/>
              </w:rPr>
              <w:t xml:space="preserve">0769-22866270 </w:t>
            </w:r>
          </w:p>
        </w:tc>
      </w:tr>
      <w:tr w14:paraId="0DCF8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BCC33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EE627F0">
            <w:pPr>
              <w:rPr>
                <w:rFonts w:ascii="宋体" w:hAnsi="宋体" w:eastAsia="宋体" w:cs="宋体"/>
                <w:sz w:val="24"/>
                <w:szCs w:val="24"/>
              </w:rPr>
            </w:pPr>
            <w:r>
              <w:rPr>
                <w:rFonts w:hint="eastAsia" w:ascii="宋体" w:hAnsi="宋体" w:eastAsia="宋体"/>
              </w:rPr>
              <w:t xml:space="preserve">0769-22866282 </w:t>
            </w:r>
          </w:p>
        </w:tc>
      </w:tr>
      <w:tr w14:paraId="4A972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BBDA7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0CEF8AD">
            <w:pPr>
              <w:rPr>
                <w:rFonts w:ascii="宋体" w:hAnsi="宋体" w:eastAsia="宋体" w:cs="宋体"/>
                <w:sz w:val="24"/>
                <w:szCs w:val="24"/>
              </w:rPr>
            </w:pPr>
            <w:r>
              <w:rPr>
                <w:rFonts w:hint="eastAsia" w:ascii="宋体" w:hAnsi="宋体" w:eastAsia="宋体"/>
              </w:rPr>
              <w:t xml:space="preserve">961122 </w:t>
            </w:r>
          </w:p>
        </w:tc>
      </w:tr>
      <w:tr w14:paraId="485CE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65736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6D5CCE0">
            <w:pPr>
              <w:rPr>
                <w:rFonts w:ascii="宋体" w:hAnsi="宋体" w:eastAsia="宋体" w:cs="宋体"/>
                <w:sz w:val="24"/>
                <w:szCs w:val="24"/>
              </w:rPr>
            </w:pPr>
            <w:r>
              <w:rPr>
                <w:rFonts w:hint="eastAsia" w:ascii="宋体" w:hAnsi="宋体" w:eastAsia="宋体"/>
              </w:rPr>
              <w:t xml:space="preserve">http://www.drcbank.com/ </w:t>
            </w:r>
          </w:p>
        </w:tc>
      </w:tr>
    </w:tbl>
    <w:p w14:paraId="6B335488">
      <w:pPr>
        <w:pStyle w:val="7"/>
        <w:spacing w:before="0" w:beforeAutospacing="0" w:after="0" w:afterAutospacing="0" w:line="360" w:lineRule="auto"/>
        <w:ind w:firstLine="420"/>
        <w:rPr>
          <w:sz w:val="21"/>
          <w:szCs w:val="21"/>
        </w:rPr>
      </w:pPr>
      <w:r>
        <w:rPr>
          <w:rFonts w:hint="eastAsia"/>
          <w:b/>
          <w:bCs/>
          <w:sz w:val="21"/>
          <w:szCs w:val="21"/>
        </w:rPr>
        <w:t>(11)晋商银行股份有限公司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34FA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4D1E5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F898013">
            <w:pPr>
              <w:rPr>
                <w:rFonts w:ascii="宋体" w:hAnsi="宋体" w:eastAsia="宋体" w:cs="宋体"/>
                <w:sz w:val="24"/>
                <w:szCs w:val="24"/>
              </w:rPr>
            </w:pPr>
            <w:r>
              <w:rPr>
                <w:rFonts w:hint="eastAsia" w:ascii="宋体" w:hAnsi="宋体" w:eastAsia="宋体"/>
              </w:rPr>
              <w:t xml:space="preserve">山西省太原市万柏林区长风西街一号丽华大厦 </w:t>
            </w:r>
          </w:p>
        </w:tc>
      </w:tr>
      <w:tr w14:paraId="555FB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A9182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5F6F045">
            <w:pPr>
              <w:rPr>
                <w:rFonts w:ascii="宋体" w:hAnsi="宋体" w:eastAsia="宋体" w:cs="宋体"/>
                <w:sz w:val="24"/>
                <w:szCs w:val="24"/>
              </w:rPr>
            </w:pPr>
            <w:r>
              <w:rPr>
                <w:rFonts w:hint="eastAsia" w:ascii="宋体" w:hAnsi="宋体" w:eastAsia="宋体"/>
              </w:rPr>
              <w:t xml:space="preserve">山西省太原市万柏林区长风西街一号丽华大厦 </w:t>
            </w:r>
          </w:p>
        </w:tc>
      </w:tr>
      <w:tr w14:paraId="7E07F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B1553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CB16BDD">
            <w:pPr>
              <w:rPr>
                <w:rFonts w:ascii="宋体" w:hAnsi="宋体" w:eastAsia="宋体" w:cs="宋体"/>
                <w:sz w:val="24"/>
                <w:szCs w:val="24"/>
              </w:rPr>
            </w:pPr>
            <w:r>
              <w:rPr>
                <w:rFonts w:hint="eastAsia" w:ascii="宋体" w:hAnsi="宋体" w:eastAsia="宋体"/>
              </w:rPr>
              <w:t xml:space="preserve">阎俊生 </w:t>
            </w:r>
          </w:p>
        </w:tc>
      </w:tr>
      <w:tr w14:paraId="040CC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B460D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92439F5">
            <w:pPr>
              <w:rPr>
                <w:rFonts w:ascii="宋体" w:hAnsi="宋体" w:eastAsia="宋体" w:cs="宋体"/>
                <w:sz w:val="24"/>
                <w:szCs w:val="24"/>
              </w:rPr>
            </w:pPr>
            <w:r>
              <w:rPr>
                <w:rFonts w:hint="eastAsia" w:ascii="宋体" w:hAnsi="宋体" w:eastAsia="宋体"/>
              </w:rPr>
              <w:t xml:space="preserve">董嘉文 </w:t>
            </w:r>
          </w:p>
        </w:tc>
      </w:tr>
      <w:tr w14:paraId="26573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54A3C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FAB0895">
            <w:pPr>
              <w:rPr>
                <w:rFonts w:ascii="宋体" w:hAnsi="宋体" w:eastAsia="宋体" w:cs="宋体"/>
                <w:sz w:val="24"/>
                <w:szCs w:val="24"/>
              </w:rPr>
            </w:pPr>
            <w:r>
              <w:rPr>
                <w:rFonts w:hint="eastAsia" w:ascii="宋体" w:hAnsi="宋体" w:eastAsia="宋体"/>
              </w:rPr>
              <w:t xml:space="preserve">0351-6819926 </w:t>
            </w:r>
          </w:p>
        </w:tc>
      </w:tr>
      <w:tr w14:paraId="65A8E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7870C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0BF3004">
            <w:pPr>
              <w:rPr>
                <w:rFonts w:ascii="宋体" w:hAnsi="宋体" w:eastAsia="宋体" w:cs="宋体"/>
                <w:sz w:val="24"/>
                <w:szCs w:val="24"/>
              </w:rPr>
            </w:pPr>
            <w:r>
              <w:rPr>
                <w:rFonts w:hint="eastAsia" w:ascii="宋体" w:hAnsi="宋体" w:eastAsia="宋体"/>
              </w:rPr>
              <w:t xml:space="preserve">0351-6819926 </w:t>
            </w:r>
          </w:p>
        </w:tc>
      </w:tr>
      <w:tr w14:paraId="5FE41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ECAD0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21D35FE">
            <w:pPr>
              <w:rPr>
                <w:rFonts w:ascii="宋体" w:hAnsi="宋体" w:eastAsia="宋体" w:cs="宋体"/>
                <w:sz w:val="24"/>
                <w:szCs w:val="24"/>
              </w:rPr>
            </w:pPr>
            <w:r>
              <w:rPr>
                <w:rFonts w:hint="eastAsia" w:ascii="宋体" w:hAnsi="宋体" w:eastAsia="宋体"/>
              </w:rPr>
              <w:t xml:space="preserve">95105588 </w:t>
            </w:r>
          </w:p>
        </w:tc>
      </w:tr>
      <w:tr w14:paraId="43ECD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F1B40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2CA6C54">
            <w:pPr>
              <w:rPr>
                <w:rFonts w:ascii="宋体" w:hAnsi="宋体" w:eastAsia="宋体" w:cs="宋体"/>
                <w:sz w:val="24"/>
                <w:szCs w:val="24"/>
              </w:rPr>
            </w:pPr>
            <w:r>
              <w:rPr>
                <w:rFonts w:hint="eastAsia" w:ascii="宋体" w:hAnsi="宋体" w:eastAsia="宋体"/>
              </w:rPr>
              <w:t xml:space="preserve">http://www.jshbank.com </w:t>
            </w:r>
          </w:p>
        </w:tc>
      </w:tr>
    </w:tbl>
    <w:p w14:paraId="702FB735">
      <w:pPr>
        <w:pStyle w:val="7"/>
        <w:spacing w:before="0" w:beforeAutospacing="0" w:after="0" w:afterAutospacing="0" w:line="360" w:lineRule="auto"/>
        <w:ind w:firstLine="420"/>
        <w:rPr>
          <w:sz w:val="21"/>
          <w:szCs w:val="21"/>
        </w:rPr>
      </w:pPr>
      <w:r>
        <w:rPr>
          <w:rFonts w:hint="eastAsia"/>
          <w:b/>
          <w:bCs/>
          <w:sz w:val="21"/>
          <w:szCs w:val="21"/>
        </w:rPr>
        <w:t>(12)深圳市新兰德证券投资咨询有限公司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4C332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42976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780B8CE">
            <w:pPr>
              <w:rPr>
                <w:rFonts w:ascii="宋体" w:hAnsi="宋体" w:eastAsia="宋体" w:cs="宋体"/>
                <w:sz w:val="24"/>
                <w:szCs w:val="24"/>
              </w:rPr>
            </w:pPr>
            <w:r>
              <w:rPr>
                <w:rFonts w:hint="eastAsia" w:ascii="宋体" w:hAnsi="宋体" w:eastAsia="宋体"/>
              </w:rPr>
              <w:t xml:space="preserve">深圳市福田区梅林街道梅都社区中康路136号深圳新一代产业园2栋3703-A </w:t>
            </w:r>
          </w:p>
        </w:tc>
      </w:tr>
      <w:tr w14:paraId="5D9FB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0DDA4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8AFF5E3">
            <w:pPr>
              <w:rPr>
                <w:rFonts w:ascii="宋体" w:hAnsi="宋体" w:eastAsia="宋体" w:cs="宋体"/>
                <w:sz w:val="24"/>
                <w:szCs w:val="24"/>
              </w:rPr>
            </w:pPr>
            <w:r>
              <w:rPr>
                <w:rFonts w:hint="eastAsia" w:ascii="宋体" w:hAnsi="宋体" w:eastAsia="宋体"/>
              </w:rPr>
              <w:t xml:space="preserve">北京市西城区宣武门外大街28号富卓大厦A座6层 </w:t>
            </w:r>
          </w:p>
        </w:tc>
      </w:tr>
      <w:tr w14:paraId="21640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51064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623810B">
            <w:pPr>
              <w:rPr>
                <w:rFonts w:ascii="宋体" w:hAnsi="宋体" w:eastAsia="宋体" w:cs="宋体"/>
                <w:sz w:val="24"/>
                <w:szCs w:val="24"/>
              </w:rPr>
            </w:pPr>
            <w:r>
              <w:rPr>
                <w:rFonts w:hint="eastAsia" w:ascii="宋体" w:hAnsi="宋体" w:eastAsia="宋体"/>
              </w:rPr>
              <w:t xml:space="preserve">张斌 </w:t>
            </w:r>
          </w:p>
        </w:tc>
      </w:tr>
      <w:tr w14:paraId="1CEB2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5A6E9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6F6A7EC">
            <w:pPr>
              <w:rPr>
                <w:rFonts w:ascii="宋体" w:hAnsi="宋体" w:eastAsia="宋体" w:cs="宋体"/>
                <w:sz w:val="24"/>
                <w:szCs w:val="24"/>
              </w:rPr>
            </w:pPr>
            <w:r>
              <w:rPr>
                <w:rFonts w:hint="eastAsia" w:ascii="宋体" w:hAnsi="宋体" w:eastAsia="宋体"/>
              </w:rPr>
              <w:t xml:space="preserve">张燕 </w:t>
            </w:r>
          </w:p>
        </w:tc>
      </w:tr>
      <w:tr w14:paraId="504CE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DB630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EB019B6">
            <w:pPr>
              <w:rPr>
                <w:rFonts w:ascii="宋体" w:hAnsi="宋体" w:eastAsia="宋体" w:cs="宋体"/>
                <w:sz w:val="24"/>
                <w:szCs w:val="24"/>
              </w:rPr>
            </w:pPr>
            <w:r>
              <w:rPr>
                <w:rFonts w:hint="eastAsia" w:ascii="宋体" w:hAnsi="宋体" w:eastAsia="宋体"/>
              </w:rPr>
              <w:t xml:space="preserve">010-58325388 </w:t>
            </w:r>
          </w:p>
        </w:tc>
      </w:tr>
      <w:tr w14:paraId="79CC8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CBBAE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9586FB1">
            <w:pPr>
              <w:rPr>
                <w:rFonts w:ascii="宋体" w:hAnsi="宋体" w:eastAsia="宋体" w:cs="宋体"/>
                <w:sz w:val="24"/>
                <w:szCs w:val="24"/>
              </w:rPr>
            </w:pPr>
            <w:r>
              <w:rPr>
                <w:rFonts w:hint="eastAsia" w:ascii="宋体" w:hAnsi="宋体" w:eastAsia="宋体"/>
              </w:rPr>
              <w:t xml:space="preserve">010-58325300 </w:t>
            </w:r>
          </w:p>
        </w:tc>
      </w:tr>
      <w:tr w14:paraId="1B0D6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1E180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53078B7">
            <w:pPr>
              <w:rPr>
                <w:rFonts w:ascii="宋体" w:hAnsi="宋体" w:eastAsia="宋体" w:cs="宋体"/>
                <w:sz w:val="24"/>
                <w:szCs w:val="24"/>
              </w:rPr>
            </w:pPr>
            <w:r>
              <w:rPr>
                <w:rFonts w:hint="eastAsia" w:ascii="宋体" w:hAnsi="宋体" w:eastAsia="宋体"/>
              </w:rPr>
              <w:t xml:space="preserve">4000661199-2 </w:t>
            </w:r>
          </w:p>
        </w:tc>
      </w:tr>
      <w:tr w14:paraId="2BA87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5BEA1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7FA72BA">
            <w:pPr>
              <w:rPr>
                <w:rFonts w:ascii="宋体" w:hAnsi="宋体" w:eastAsia="宋体" w:cs="宋体"/>
                <w:sz w:val="24"/>
                <w:szCs w:val="24"/>
              </w:rPr>
            </w:pPr>
            <w:r>
              <w:rPr>
                <w:rFonts w:hint="eastAsia" w:ascii="宋体" w:hAnsi="宋体" w:eastAsia="宋体"/>
              </w:rPr>
              <w:t xml:space="preserve">www.xinlande.com.cn </w:t>
            </w:r>
          </w:p>
        </w:tc>
      </w:tr>
    </w:tbl>
    <w:p w14:paraId="3AC6D624">
      <w:pPr>
        <w:pStyle w:val="7"/>
        <w:spacing w:before="0" w:beforeAutospacing="0" w:after="0" w:afterAutospacing="0" w:line="360" w:lineRule="auto"/>
        <w:ind w:firstLine="420"/>
        <w:rPr>
          <w:sz w:val="21"/>
          <w:szCs w:val="21"/>
        </w:rPr>
      </w:pPr>
      <w:r>
        <w:rPr>
          <w:rFonts w:hint="eastAsia"/>
          <w:b/>
          <w:bCs/>
          <w:sz w:val="21"/>
          <w:szCs w:val="21"/>
        </w:rPr>
        <w:t>(13)厦门市鑫鼎盛控股有限公司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7DC55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E33BF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455964B">
            <w:pPr>
              <w:rPr>
                <w:rFonts w:ascii="宋体" w:hAnsi="宋体" w:eastAsia="宋体" w:cs="宋体"/>
                <w:sz w:val="24"/>
                <w:szCs w:val="24"/>
              </w:rPr>
            </w:pPr>
            <w:r>
              <w:rPr>
                <w:rFonts w:hint="eastAsia" w:ascii="宋体" w:hAnsi="宋体" w:eastAsia="宋体"/>
              </w:rPr>
              <w:t xml:space="preserve">厦门市思明区鹭江道2号厦门第一广场1501-1504 </w:t>
            </w:r>
          </w:p>
        </w:tc>
      </w:tr>
      <w:tr w14:paraId="35B94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3AB65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90BEE44">
            <w:pPr>
              <w:rPr>
                <w:rFonts w:ascii="宋体" w:hAnsi="宋体" w:eastAsia="宋体" w:cs="宋体"/>
                <w:sz w:val="24"/>
                <w:szCs w:val="24"/>
              </w:rPr>
            </w:pPr>
            <w:r>
              <w:rPr>
                <w:rFonts w:hint="eastAsia" w:ascii="宋体" w:hAnsi="宋体" w:eastAsia="宋体"/>
              </w:rPr>
              <w:t xml:space="preserve">厦门市思明区鹭江道2号厦门第一广场1501-1504 </w:t>
            </w:r>
          </w:p>
        </w:tc>
      </w:tr>
      <w:tr w14:paraId="44FFD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6E9AA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840AFDB">
            <w:pPr>
              <w:rPr>
                <w:rFonts w:ascii="宋体" w:hAnsi="宋体" w:eastAsia="宋体" w:cs="宋体"/>
                <w:sz w:val="24"/>
                <w:szCs w:val="24"/>
              </w:rPr>
            </w:pPr>
            <w:r>
              <w:rPr>
                <w:rFonts w:hint="eastAsia" w:ascii="宋体" w:hAnsi="宋体" w:eastAsia="宋体"/>
              </w:rPr>
              <w:t xml:space="preserve">陈洪生 </w:t>
            </w:r>
          </w:p>
        </w:tc>
      </w:tr>
      <w:tr w14:paraId="46A3C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C2773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1C867BB">
            <w:pPr>
              <w:rPr>
                <w:rFonts w:ascii="宋体" w:hAnsi="宋体" w:eastAsia="宋体" w:cs="宋体"/>
                <w:sz w:val="24"/>
                <w:szCs w:val="24"/>
              </w:rPr>
            </w:pPr>
            <w:r>
              <w:rPr>
                <w:rFonts w:hint="eastAsia" w:ascii="宋体" w:hAnsi="宋体" w:eastAsia="宋体"/>
              </w:rPr>
              <w:t xml:space="preserve">徐明静 </w:t>
            </w:r>
          </w:p>
        </w:tc>
      </w:tr>
      <w:tr w14:paraId="48020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A6857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EBE9ED8">
            <w:pPr>
              <w:rPr>
                <w:rFonts w:ascii="宋体" w:hAnsi="宋体" w:eastAsia="宋体" w:cs="宋体"/>
                <w:sz w:val="24"/>
                <w:szCs w:val="24"/>
              </w:rPr>
            </w:pPr>
            <w:r>
              <w:rPr>
                <w:rFonts w:hint="eastAsia" w:ascii="宋体" w:hAnsi="宋体" w:eastAsia="宋体"/>
              </w:rPr>
              <w:t xml:space="preserve">0592-3122716 </w:t>
            </w:r>
          </w:p>
        </w:tc>
      </w:tr>
      <w:tr w14:paraId="7A5D8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91642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5E3E74A">
            <w:pPr>
              <w:rPr>
                <w:rFonts w:ascii="宋体" w:hAnsi="宋体" w:eastAsia="宋体" w:cs="宋体"/>
                <w:sz w:val="24"/>
                <w:szCs w:val="24"/>
              </w:rPr>
            </w:pPr>
            <w:r>
              <w:rPr>
                <w:rFonts w:hint="eastAsia" w:ascii="宋体" w:hAnsi="宋体" w:eastAsia="宋体"/>
              </w:rPr>
              <w:t xml:space="preserve">0592-8060771 </w:t>
            </w:r>
          </w:p>
        </w:tc>
      </w:tr>
      <w:tr w14:paraId="455EC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786DC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480DEAA">
            <w:pPr>
              <w:rPr>
                <w:rFonts w:ascii="宋体" w:hAnsi="宋体" w:eastAsia="宋体" w:cs="宋体"/>
                <w:sz w:val="24"/>
                <w:szCs w:val="24"/>
              </w:rPr>
            </w:pPr>
            <w:r>
              <w:rPr>
                <w:rFonts w:hint="eastAsia" w:ascii="宋体" w:hAnsi="宋体" w:eastAsia="宋体"/>
              </w:rPr>
              <w:t xml:space="preserve">400-918-0808 </w:t>
            </w:r>
          </w:p>
        </w:tc>
      </w:tr>
      <w:tr w14:paraId="53AF0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CFF24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850DA56">
            <w:pPr>
              <w:rPr>
                <w:rFonts w:ascii="宋体" w:hAnsi="宋体" w:eastAsia="宋体" w:cs="宋体"/>
                <w:sz w:val="24"/>
                <w:szCs w:val="24"/>
              </w:rPr>
            </w:pPr>
            <w:r>
              <w:rPr>
                <w:rFonts w:hint="eastAsia" w:ascii="宋体" w:hAnsi="宋体" w:eastAsia="宋体"/>
              </w:rPr>
              <w:t xml:space="preserve">www.xds.com.cn </w:t>
            </w:r>
          </w:p>
        </w:tc>
      </w:tr>
    </w:tbl>
    <w:p w14:paraId="0E2AC134">
      <w:pPr>
        <w:pStyle w:val="7"/>
        <w:spacing w:before="0" w:beforeAutospacing="0" w:after="0" w:afterAutospacing="0" w:line="360" w:lineRule="auto"/>
        <w:ind w:firstLine="420"/>
        <w:rPr>
          <w:sz w:val="21"/>
          <w:szCs w:val="21"/>
        </w:rPr>
      </w:pPr>
      <w:r>
        <w:rPr>
          <w:rFonts w:hint="eastAsia"/>
          <w:b/>
          <w:bCs/>
          <w:sz w:val="21"/>
          <w:szCs w:val="21"/>
        </w:rPr>
        <w:t>(14)贵州省贵文文化基金销售有限公司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CBEB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565A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B89A721">
            <w:pPr>
              <w:rPr>
                <w:rFonts w:ascii="宋体" w:hAnsi="宋体" w:eastAsia="宋体" w:cs="宋体"/>
                <w:sz w:val="24"/>
                <w:szCs w:val="24"/>
              </w:rPr>
            </w:pPr>
            <w:r>
              <w:rPr>
                <w:rFonts w:hint="eastAsia" w:ascii="宋体" w:hAnsi="宋体" w:eastAsia="宋体"/>
              </w:rPr>
              <w:t xml:space="preserve">贵州省贵阳市南明区龙洞堡电子商务港太升国际A栋2单元5层17号 </w:t>
            </w:r>
          </w:p>
        </w:tc>
      </w:tr>
      <w:tr w14:paraId="10E2E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A9655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E5A14E5">
            <w:pPr>
              <w:rPr>
                <w:rFonts w:ascii="宋体" w:hAnsi="宋体" w:eastAsia="宋体" w:cs="宋体"/>
                <w:sz w:val="24"/>
                <w:szCs w:val="24"/>
              </w:rPr>
            </w:pPr>
            <w:r>
              <w:rPr>
                <w:rFonts w:hint="eastAsia" w:ascii="宋体" w:hAnsi="宋体" w:eastAsia="宋体"/>
              </w:rPr>
              <w:t xml:space="preserve">贵州省贵阳市龙洞堡兴业西路CCDI版权云工作基地 二楼 </w:t>
            </w:r>
          </w:p>
        </w:tc>
      </w:tr>
      <w:tr w14:paraId="270FE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2A79F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EAF168D">
            <w:pPr>
              <w:rPr>
                <w:rFonts w:ascii="宋体" w:hAnsi="宋体" w:eastAsia="宋体" w:cs="宋体"/>
                <w:sz w:val="24"/>
                <w:szCs w:val="24"/>
              </w:rPr>
            </w:pPr>
            <w:r>
              <w:rPr>
                <w:rFonts w:hint="eastAsia" w:ascii="宋体" w:hAnsi="宋体" w:eastAsia="宋体"/>
              </w:rPr>
              <w:t xml:space="preserve">陈成 </w:t>
            </w:r>
          </w:p>
        </w:tc>
      </w:tr>
      <w:tr w14:paraId="4CDA3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21805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0E74DC3">
            <w:pPr>
              <w:rPr>
                <w:rFonts w:ascii="宋体" w:hAnsi="宋体" w:eastAsia="宋体" w:cs="宋体"/>
                <w:sz w:val="24"/>
                <w:szCs w:val="24"/>
              </w:rPr>
            </w:pPr>
            <w:r>
              <w:rPr>
                <w:rFonts w:hint="eastAsia" w:ascii="宋体" w:hAnsi="宋体" w:eastAsia="宋体"/>
              </w:rPr>
              <w:t xml:space="preserve">李辰 </w:t>
            </w:r>
          </w:p>
        </w:tc>
      </w:tr>
      <w:tr w14:paraId="1DBC7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70963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F7E9B4D">
            <w:pPr>
              <w:rPr>
                <w:rFonts w:ascii="宋体" w:hAnsi="宋体" w:eastAsia="宋体" w:cs="宋体"/>
                <w:sz w:val="24"/>
                <w:szCs w:val="24"/>
              </w:rPr>
            </w:pPr>
            <w:r>
              <w:rPr>
                <w:rFonts w:hint="eastAsia" w:ascii="宋体" w:hAnsi="宋体" w:eastAsia="宋体"/>
              </w:rPr>
              <w:t xml:space="preserve">17601206766 </w:t>
            </w:r>
          </w:p>
        </w:tc>
      </w:tr>
      <w:tr w14:paraId="202DE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2D568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77CE7FB">
            <w:pPr>
              <w:rPr>
                <w:rFonts w:ascii="宋体" w:hAnsi="宋体" w:eastAsia="宋体" w:cs="宋体"/>
                <w:sz w:val="24"/>
                <w:szCs w:val="24"/>
              </w:rPr>
            </w:pPr>
            <w:r>
              <w:rPr>
                <w:rFonts w:hint="eastAsia" w:ascii="宋体" w:hAnsi="宋体" w:eastAsia="宋体"/>
              </w:rPr>
              <w:t xml:space="preserve">0851-85407888 </w:t>
            </w:r>
          </w:p>
        </w:tc>
      </w:tr>
      <w:tr w14:paraId="669A7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3FD5C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D7B978F">
            <w:pPr>
              <w:rPr>
                <w:rFonts w:ascii="宋体" w:hAnsi="宋体" w:eastAsia="宋体" w:cs="宋体"/>
                <w:sz w:val="24"/>
                <w:szCs w:val="24"/>
              </w:rPr>
            </w:pPr>
            <w:r>
              <w:rPr>
                <w:rFonts w:hint="eastAsia" w:ascii="宋体" w:hAnsi="宋体" w:eastAsia="宋体"/>
              </w:rPr>
              <w:t xml:space="preserve">https://www.gwcaifu.com/ </w:t>
            </w:r>
          </w:p>
        </w:tc>
      </w:tr>
    </w:tbl>
    <w:p w14:paraId="4BE62434">
      <w:pPr>
        <w:pStyle w:val="7"/>
        <w:spacing w:before="0" w:beforeAutospacing="0" w:after="0" w:afterAutospacing="0" w:line="360" w:lineRule="auto"/>
        <w:ind w:firstLine="420"/>
        <w:rPr>
          <w:sz w:val="21"/>
          <w:szCs w:val="21"/>
        </w:rPr>
      </w:pPr>
      <w:r>
        <w:rPr>
          <w:rFonts w:hint="eastAsia"/>
          <w:b/>
          <w:bCs/>
          <w:sz w:val="21"/>
          <w:szCs w:val="21"/>
        </w:rPr>
        <w:t>(15)腾安基金销售（深圳）有限公司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55EF6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6FF98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9808FD2">
            <w:pPr>
              <w:rPr>
                <w:rFonts w:ascii="宋体" w:hAnsi="宋体" w:eastAsia="宋体" w:cs="宋体"/>
                <w:sz w:val="24"/>
                <w:szCs w:val="24"/>
              </w:rPr>
            </w:pPr>
            <w:r>
              <w:rPr>
                <w:rFonts w:hint="eastAsia" w:ascii="宋体" w:hAnsi="宋体" w:eastAsia="宋体"/>
              </w:rPr>
              <w:t xml:space="preserve">深圳市前海深港合作区前湾一路1号A栋201室（入驻深圳市前海商务秘书有限公司） </w:t>
            </w:r>
          </w:p>
        </w:tc>
      </w:tr>
      <w:tr w14:paraId="7D809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27CD3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E4D3A74">
            <w:pPr>
              <w:rPr>
                <w:rFonts w:ascii="宋体" w:hAnsi="宋体" w:eastAsia="宋体" w:cs="宋体"/>
                <w:sz w:val="24"/>
                <w:szCs w:val="24"/>
              </w:rPr>
            </w:pPr>
            <w:r>
              <w:rPr>
                <w:rFonts w:hint="eastAsia" w:ascii="宋体" w:hAnsi="宋体" w:eastAsia="宋体"/>
              </w:rPr>
              <w:t xml:space="preserve">深圳市南山区海天二路33号腾讯滨海大厦15层 </w:t>
            </w:r>
          </w:p>
        </w:tc>
      </w:tr>
      <w:tr w14:paraId="1E76D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7103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C7355C5">
            <w:pPr>
              <w:rPr>
                <w:rFonts w:ascii="宋体" w:hAnsi="宋体" w:eastAsia="宋体" w:cs="宋体"/>
                <w:sz w:val="24"/>
                <w:szCs w:val="24"/>
              </w:rPr>
            </w:pPr>
            <w:r>
              <w:rPr>
                <w:rFonts w:hint="eastAsia" w:ascii="宋体" w:hAnsi="宋体" w:eastAsia="宋体"/>
              </w:rPr>
              <w:t xml:space="preserve">刘明军 </w:t>
            </w:r>
          </w:p>
        </w:tc>
      </w:tr>
      <w:tr w14:paraId="0B80C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9B5D8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EDB58D3">
            <w:pPr>
              <w:rPr>
                <w:rFonts w:ascii="宋体" w:hAnsi="宋体" w:eastAsia="宋体" w:cs="宋体"/>
                <w:sz w:val="24"/>
                <w:szCs w:val="24"/>
              </w:rPr>
            </w:pPr>
            <w:r>
              <w:rPr>
                <w:rFonts w:hint="eastAsia" w:ascii="宋体" w:hAnsi="宋体" w:eastAsia="宋体"/>
              </w:rPr>
              <w:t xml:space="preserve">谭广锋 </w:t>
            </w:r>
          </w:p>
        </w:tc>
      </w:tr>
      <w:tr w14:paraId="67F2C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51946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7524808">
            <w:pPr>
              <w:rPr>
                <w:rFonts w:ascii="宋体" w:hAnsi="宋体" w:eastAsia="宋体" w:cs="宋体"/>
                <w:sz w:val="24"/>
                <w:szCs w:val="24"/>
              </w:rPr>
            </w:pPr>
            <w:r>
              <w:rPr>
                <w:rFonts w:hint="eastAsia" w:ascii="宋体" w:hAnsi="宋体" w:eastAsia="宋体"/>
              </w:rPr>
              <w:t xml:space="preserve">0755-86013399 </w:t>
            </w:r>
          </w:p>
        </w:tc>
      </w:tr>
      <w:tr w14:paraId="2377C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1B998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3A54D3A">
            <w:pPr>
              <w:rPr>
                <w:rFonts w:ascii="宋体" w:hAnsi="宋体" w:eastAsia="宋体" w:cs="宋体"/>
                <w:sz w:val="24"/>
                <w:szCs w:val="24"/>
              </w:rPr>
            </w:pPr>
            <w:r>
              <w:rPr>
                <w:rFonts w:hint="eastAsia" w:ascii="宋体" w:hAnsi="宋体" w:eastAsia="宋体"/>
              </w:rPr>
              <w:t xml:space="preserve">95788 </w:t>
            </w:r>
          </w:p>
        </w:tc>
      </w:tr>
      <w:tr w14:paraId="0AA29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4ECC3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E3B2499">
            <w:pPr>
              <w:rPr>
                <w:rFonts w:ascii="宋体" w:hAnsi="宋体" w:eastAsia="宋体" w:cs="宋体"/>
                <w:sz w:val="24"/>
                <w:szCs w:val="24"/>
              </w:rPr>
            </w:pPr>
            <w:r>
              <w:rPr>
                <w:rFonts w:hint="eastAsia" w:ascii="宋体" w:hAnsi="宋体" w:eastAsia="宋体"/>
              </w:rPr>
              <w:t xml:space="preserve">https://www.txfund.com/ </w:t>
            </w:r>
          </w:p>
        </w:tc>
      </w:tr>
    </w:tbl>
    <w:p w14:paraId="23389407">
      <w:pPr>
        <w:pStyle w:val="7"/>
        <w:spacing w:before="0" w:beforeAutospacing="0" w:after="0" w:afterAutospacing="0" w:line="360" w:lineRule="auto"/>
        <w:ind w:firstLine="420"/>
        <w:rPr>
          <w:sz w:val="21"/>
          <w:szCs w:val="21"/>
        </w:rPr>
      </w:pPr>
      <w:r>
        <w:rPr>
          <w:rFonts w:hint="eastAsia"/>
          <w:b/>
          <w:bCs/>
          <w:sz w:val="21"/>
          <w:szCs w:val="21"/>
        </w:rPr>
        <w:t>(16)北京度小满基金销售有限公司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7B336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61283C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7F92DEE">
            <w:pPr>
              <w:rPr>
                <w:rFonts w:ascii="宋体" w:hAnsi="宋体" w:eastAsia="宋体" w:cs="宋体"/>
                <w:sz w:val="24"/>
                <w:szCs w:val="24"/>
              </w:rPr>
            </w:pPr>
            <w:r>
              <w:rPr>
                <w:rFonts w:hint="eastAsia" w:ascii="宋体" w:hAnsi="宋体" w:eastAsia="宋体"/>
              </w:rPr>
              <w:t xml:space="preserve">北京市海淀区西北旺东路10号院西区4号楼1层103室 </w:t>
            </w:r>
          </w:p>
        </w:tc>
      </w:tr>
      <w:tr w14:paraId="55122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39E18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67866BB">
            <w:pPr>
              <w:rPr>
                <w:rFonts w:ascii="宋体" w:hAnsi="宋体" w:eastAsia="宋体" w:cs="宋体"/>
                <w:sz w:val="24"/>
                <w:szCs w:val="24"/>
              </w:rPr>
            </w:pPr>
            <w:r>
              <w:rPr>
                <w:rFonts w:hint="eastAsia" w:ascii="宋体" w:hAnsi="宋体" w:eastAsia="宋体"/>
              </w:rPr>
              <w:t xml:space="preserve">北京市海淀区西北旺东路10号院西区4号楼 </w:t>
            </w:r>
          </w:p>
        </w:tc>
      </w:tr>
      <w:tr w14:paraId="79C2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47CD7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73B19E3">
            <w:pPr>
              <w:rPr>
                <w:rFonts w:ascii="宋体" w:hAnsi="宋体" w:eastAsia="宋体" w:cs="宋体"/>
                <w:sz w:val="24"/>
                <w:szCs w:val="24"/>
              </w:rPr>
            </w:pPr>
            <w:r>
              <w:rPr>
                <w:rFonts w:hint="eastAsia" w:ascii="宋体" w:hAnsi="宋体" w:eastAsia="宋体"/>
              </w:rPr>
              <w:t xml:space="preserve">葛新 </w:t>
            </w:r>
          </w:p>
        </w:tc>
      </w:tr>
      <w:tr w14:paraId="6DAF3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49B39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892F973">
            <w:pPr>
              <w:rPr>
                <w:rFonts w:ascii="宋体" w:hAnsi="宋体" w:eastAsia="宋体" w:cs="宋体"/>
                <w:sz w:val="24"/>
                <w:szCs w:val="24"/>
              </w:rPr>
            </w:pPr>
            <w:r>
              <w:rPr>
                <w:rFonts w:hint="eastAsia" w:ascii="宋体" w:hAnsi="宋体" w:eastAsia="宋体"/>
              </w:rPr>
              <w:t xml:space="preserve">孙博超 </w:t>
            </w:r>
          </w:p>
        </w:tc>
      </w:tr>
      <w:tr w14:paraId="2E93D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50B58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210D5C8">
            <w:pPr>
              <w:rPr>
                <w:rFonts w:ascii="宋体" w:hAnsi="宋体" w:eastAsia="宋体" w:cs="宋体"/>
                <w:sz w:val="24"/>
                <w:szCs w:val="24"/>
              </w:rPr>
            </w:pPr>
            <w:r>
              <w:rPr>
                <w:rFonts w:hint="eastAsia" w:ascii="宋体" w:hAnsi="宋体" w:eastAsia="宋体"/>
              </w:rPr>
              <w:t xml:space="preserve">010-59403028 </w:t>
            </w:r>
          </w:p>
        </w:tc>
      </w:tr>
      <w:tr w14:paraId="2DEF1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80333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BA8B67A">
            <w:pPr>
              <w:rPr>
                <w:rFonts w:ascii="宋体" w:hAnsi="宋体" w:eastAsia="宋体" w:cs="宋体"/>
                <w:sz w:val="24"/>
                <w:szCs w:val="24"/>
              </w:rPr>
            </w:pPr>
            <w:r>
              <w:rPr>
                <w:rFonts w:hint="eastAsia" w:ascii="宋体" w:hAnsi="宋体" w:eastAsia="宋体"/>
              </w:rPr>
              <w:t xml:space="preserve">010-59403027 </w:t>
            </w:r>
          </w:p>
        </w:tc>
      </w:tr>
      <w:tr w14:paraId="640EA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71307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5C3FBA1">
            <w:pPr>
              <w:rPr>
                <w:rFonts w:ascii="宋体" w:hAnsi="宋体" w:eastAsia="宋体" w:cs="宋体"/>
                <w:sz w:val="24"/>
                <w:szCs w:val="24"/>
              </w:rPr>
            </w:pPr>
            <w:r>
              <w:rPr>
                <w:rFonts w:hint="eastAsia" w:ascii="宋体" w:hAnsi="宋体" w:eastAsia="宋体"/>
              </w:rPr>
              <w:t xml:space="preserve">95055-4 </w:t>
            </w:r>
          </w:p>
        </w:tc>
      </w:tr>
      <w:tr w14:paraId="6A8FE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4985F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BE4426C">
            <w:pPr>
              <w:rPr>
                <w:rFonts w:ascii="宋体" w:hAnsi="宋体" w:eastAsia="宋体" w:cs="宋体"/>
                <w:sz w:val="24"/>
                <w:szCs w:val="24"/>
              </w:rPr>
            </w:pPr>
            <w:r>
              <w:rPr>
                <w:rFonts w:hint="eastAsia" w:ascii="宋体" w:hAnsi="宋体" w:eastAsia="宋体"/>
              </w:rPr>
              <w:t xml:space="preserve">www.duxiaomanfund.com </w:t>
            </w:r>
          </w:p>
        </w:tc>
      </w:tr>
    </w:tbl>
    <w:p w14:paraId="2AA566BC">
      <w:pPr>
        <w:pStyle w:val="7"/>
        <w:spacing w:before="0" w:beforeAutospacing="0" w:after="0" w:afterAutospacing="0" w:line="360" w:lineRule="auto"/>
        <w:ind w:firstLine="420"/>
        <w:rPr>
          <w:sz w:val="21"/>
          <w:szCs w:val="21"/>
        </w:rPr>
      </w:pPr>
      <w:r>
        <w:rPr>
          <w:rFonts w:hint="eastAsia"/>
          <w:b/>
          <w:bCs/>
          <w:sz w:val="21"/>
          <w:szCs w:val="21"/>
        </w:rPr>
        <w:t>(17)博时财富基金销售有限公司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551C2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D43EA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7F7D25C">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1C8E4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59100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9E4652D">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57B1F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94201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DF6621E">
            <w:pPr>
              <w:rPr>
                <w:rFonts w:ascii="宋体" w:hAnsi="宋体" w:eastAsia="宋体" w:cs="宋体"/>
                <w:sz w:val="24"/>
                <w:szCs w:val="24"/>
              </w:rPr>
            </w:pPr>
            <w:r>
              <w:rPr>
                <w:rFonts w:hint="eastAsia" w:ascii="宋体" w:hAnsi="宋体" w:eastAsia="宋体"/>
              </w:rPr>
              <w:t xml:space="preserve">杜松岭 </w:t>
            </w:r>
          </w:p>
        </w:tc>
      </w:tr>
      <w:tr w14:paraId="154EF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1799A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71B6D00">
            <w:pPr>
              <w:rPr>
                <w:rFonts w:ascii="宋体" w:hAnsi="宋体" w:eastAsia="宋体" w:cs="宋体"/>
                <w:sz w:val="24"/>
                <w:szCs w:val="24"/>
              </w:rPr>
            </w:pPr>
            <w:r>
              <w:rPr>
                <w:rFonts w:hint="eastAsia" w:ascii="宋体" w:hAnsi="宋体" w:eastAsia="宋体"/>
              </w:rPr>
              <w:t xml:space="preserve">崔丹 </w:t>
            </w:r>
          </w:p>
        </w:tc>
      </w:tr>
      <w:tr w14:paraId="38661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1634E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FAFA34B">
            <w:pPr>
              <w:rPr>
                <w:rFonts w:ascii="宋体" w:hAnsi="宋体" w:eastAsia="宋体" w:cs="宋体"/>
                <w:sz w:val="24"/>
                <w:szCs w:val="24"/>
              </w:rPr>
            </w:pPr>
            <w:r>
              <w:rPr>
                <w:rFonts w:hint="eastAsia" w:ascii="宋体" w:hAnsi="宋体" w:eastAsia="宋体"/>
              </w:rPr>
              <w:t xml:space="preserve">0755-83169999 </w:t>
            </w:r>
          </w:p>
        </w:tc>
      </w:tr>
      <w:tr w14:paraId="0D1C3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F5109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704C3F9">
            <w:pPr>
              <w:rPr>
                <w:rFonts w:ascii="宋体" w:hAnsi="宋体" w:eastAsia="宋体" w:cs="宋体"/>
                <w:sz w:val="24"/>
                <w:szCs w:val="24"/>
              </w:rPr>
            </w:pPr>
            <w:r>
              <w:rPr>
                <w:rFonts w:hint="eastAsia" w:ascii="宋体" w:hAnsi="宋体" w:eastAsia="宋体"/>
              </w:rPr>
              <w:t xml:space="preserve">0755-83195220 </w:t>
            </w:r>
          </w:p>
        </w:tc>
      </w:tr>
      <w:tr w14:paraId="37BD8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0264D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3683E81">
            <w:pPr>
              <w:rPr>
                <w:rFonts w:ascii="宋体" w:hAnsi="宋体" w:eastAsia="宋体" w:cs="宋体"/>
                <w:sz w:val="24"/>
                <w:szCs w:val="24"/>
              </w:rPr>
            </w:pPr>
            <w:r>
              <w:rPr>
                <w:rFonts w:hint="eastAsia" w:ascii="宋体" w:hAnsi="宋体" w:eastAsia="宋体"/>
              </w:rPr>
              <w:t xml:space="preserve">400-610-5568 </w:t>
            </w:r>
          </w:p>
        </w:tc>
      </w:tr>
      <w:tr w14:paraId="7306B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FDB16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61D8D86">
            <w:pPr>
              <w:rPr>
                <w:rFonts w:ascii="宋体" w:hAnsi="宋体" w:eastAsia="宋体" w:cs="宋体"/>
                <w:sz w:val="24"/>
                <w:szCs w:val="24"/>
              </w:rPr>
            </w:pPr>
            <w:r>
              <w:rPr>
                <w:rFonts w:hint="eastAsia" w:ascii="宋体" w:hAnsi="宋体" w:eastAsia="宋体"/>
              </w:rPr>
              <w:t xml:space="preserve">www.boserawealth.com </w:t>
            </w:r>
          </w:p>
        </w:tc>
      </w:tr>
    </w:tbl>
    <w:p w14:paraId="0CBE7C1F">
      <w:pPr>
        <w:pStyle w:val="7"/>
        <w:spacing w:before="0" w:beforeAutospacing="0" w:after="0" w:afterAutospacing="0" w:line="360" w:lineRule="auto"/>
        <w:ind w:firstLine="420"/>
        <w:rPr>
          <w:sz w:val="21"/>
          <w:szCs w:val="21"/>
        </w:rPr>
      </w:pPr>
      <w:r>
        <w:rPr>
          <w:rFonts w:hint="eastAsia"/>
          <w:b/>
          <w:bCs/>
          <w:sz w:val="21"/>
          <w:szCs w:val="21"/>
        </w:rPr>
        <w:t>(18)诺亚正行基金销售有限公司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88AD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BBD91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261750F">
            <w:pPr>
              <w:rPr>
                <w:rFonts w:ascii="宋体" w:hAnsi="宋体" w:eastAsia="宋体" w:cs="宋体"/>
                <w:sz w:val="24"/>
                <w:szCs w:val="24"/>
              </w:rPr>
            </w:pPr>
            <w:r>
              <w:rPr>
                <w:rFonts w:hint="eastAsia" w:ascii="宋体" w:hAnsi="宋体" w:eastAsia="宋体"/>
              </w:rPr>
              <w:t xml:space="preserve">上海市虹口区飞虹路360弄9号6层 </w:t>
            </w:r>
          </w:p>
        </w:tc>
      </w:tr>
      <w:tr w14:paraId="1CC1C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87316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BA51D9D">
            <w:pPr>
              <w:rPr>
                <w:rFonts w:ascii="宋体" w:hAnsi="宋体" w:eastAsia="宋体" w:cs="宋体"/>
                <w:sz w:val="24"/>
                <w:szCs w:val="24"/>
              </w:rPr>
            </w:pPr>
            <w:r>
              <w:rPr>
                <w:rFonts w:hint="eastAsia" w:ascii="宋体" w:hAnsi="宋体" w:eastAsia="宋体"/>
              </w:rPr>
              <w:t xml:space="preserve">上海市闵行区申滨南路1226号诺亚财富中心 </w:t>
            </w:r>
          </w:p>
        </w:tc>
      </w:tr>
      <w:tr w14:paraId="3C513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32CCC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0736E25">
            <w:pPr>
              <w:rPr>
                <w:rFonts w:ascii="宋体" w:hAnsi="宋体" w:eastAsia="宋体" w:cs="宋体"/>
                <w:sz w:val="24"/>
                <w:szCs w:val="24"/>
              </w:rPr>
            </w:pPr>
            <w:r>
              <w:rPr>
                <w:rFonts w:hint="eastAsia" w:ascii="宋体" w:hAnsi="宋体" w:eastAsia="宋体"/>
              </w:rPr>
              <w:t xml:space="preserve">吴卫国 </w:t>
            </w:r>
          </w:p>
        </w:tc>
      </w:tr>
      <w:tr w14:paraId="66D8E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683F8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3C0CCBB">
            <w:pPr>
              <w:rPr>
                <w:rFonts w:ascii="宋体" w:hAnsi="宋体" w:eastAsia="宋体" w:cs="宋体"/>
                <w:sz w:val="24"/>
                <w:szCs w:val="24"/>
              </w:rPr>
            </w:pPr>
            <w:r>
              <w:rPr>
                <w:rFonts w:hint="eastAsia" w:ascii="宋体" w:hAnsi="宋体" w:eastAsia="宋体"/>
              </w:rPr>
              <w:t xml:space="preserve">黄欣文 </w:t>
            </w:r>
          </w:p>
        </w:tc>
      </w:tr>
      <w:tr w14:paraId="79551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4FC80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2B2E122">
            <w:pPr>
              <w:rPr>
                <w:rFonts w:ascii="宋体" w:hAnsi="宋体" w:eastAsia="宋体" w:cs="宋体"/>
                <w:sz w:val="24"/>
                <w:szCs w:val="24"/>
              </w:rPr>
            </w:pPr>
            <w:r>
              <w:rPr>
                <w:rFonts w:hint="eastAsia" w:ascii="宋体" w:hAnsi="宋体" w:eastAsia="宋体"/>
              </w:rPr>
              <w:t xml:space="preserve">021-38602377 </w:t>
            </w:r>
          </w:p>
        </w:tc>
      </w:tr>
      <w:tr w14:paraId="0C51F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F54D3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CE5B4D6">
            <w:pPr>
              <w:rPr>
                <w:rFonts w:ascii="宋体" w:hAnsi="宋体" w:eastAsia="宋体" w:cs="宋体"/>
                <w:sz w:val="24"/>
                <w:szCs w:val="24"/>
              </w:rPr>
            </w:pPr>
            <w:r>
              <w:rPr>
                <w:rFonts w:hint="eastAsia" w:ascii="宋体" w:hAnsi="宋体" w:eastAsia="宋体"/>
              </w:rPr>
              <w:t xml:space="preserve">021-38509777 </w:t>
            </w:r>
          </w:p>
        </w:tc>
      </w:tr>
      <w:tr w14:paraId="16843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EF1FD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A4D2924">
            <w:pPr>
              <w:rPr>
                <w:rFonts w:ascii="宋体" w:hAnsi="宋体" w:eastAsia="宋体" w:cs="宋体"/>
                <w:sz w:val="24"/>
                <w:szCs w:val="24"/>
              </w:rPr>
            </w:pPr>
            <w:r>
              <w:rPr>
                <w:rFonts w:hint="eastAsia" w:ascii="宋体" w:hAnsi="宋体" w:eastAsia="宋体"/>
              </w:rPr>
              <w:t xml:space="preserve">400-821-5399 </w:t>
            </w:r>
          </w:p>
        </w:tc>
      </w:tr>
      <w:tr w14:paraId="3184A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D1A34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1FB1B27">
            <w:pPr>
              <w:rPr>
                <w:rFonts w:ascii="宋体" w:hAnsi="宋体" w:eastAsia="宋体" w:cs="宋体"/>
                <w:sz w:val="24"/>
                <w:szCs w:val="24"/>
              </w:rPr>
            </w:pPr>
            <w:r>
              <w:rPr>
                <w:rFonts w:hint="eastAsia" w:ascii="宋体" w:hAnsi="宋体" w:eastAsia="宋体"/>
              </w:rPr>
              <w:t xml:space="preserve">http://www.noah-fund.com </w:t>
            </w:r>
          </w:p>
        </w:tc>
      </w:tr>
    </w:tbl>
    <w:p w14:paraId="3820DD0C">
      <w:pPr>
        <w:pStyle w:val="7"/>
        <w:spacing w:before="0" w:beforeAutospacing="0" w:after="0" w:afterAutospacing="0" w:line="360" w:lineRule="auto"/>
        <w:ind w:firstLine="420"/>
        <w:rPr>
          <w:sz w:val="21"/>
          <w:szCs w:val="21"/>
        </w:rPr>
      </w:pPr>
      <w:r>
        <w:rPr>
          <w:rFonts w:hint="eastAsia"/>
          <w:b/>
          <w:bCs/>
          <w:sz w:val="21"/>
          <w:szCs w:val="21"/>
        </w:rPr>
        <w:t>(19)上海天天基金销售有限公司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7E9ED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96FA1A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1F15C0A">
            <w:pPr>
              <w:rPr>
                <w:rFonts w:ascii="宋体" w:hAnsi="宋体" w:eastAsia="宋体" w:cs="宋体"/>
                <w:sz w:val="24"/>
                <w:szCs w:val="24"/>
              </w:rPr>
            </w:pPr>
            <w:r>
              <w:rPr>
                <w:rFonts w:hint="eastAsia" w:ascii="宋体" w:hAnsi="宋体" w:eastAsia="宋体"/>
              </w:rPr>
              <w:t xml:space="preserve">上海市徐汇区龙田路190号2号楼2层 </w:t>
            </w:r>
          </w:p>
        </w:tc>
      </w:tr>
      <w:tr w14:paraId="7236A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C333F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AA6061B">
            <w:pPr>
              <w:rPr>
                <w:rFonts w:ascii="宋体" w:hAnsi="宋体" w:eastAsia="宋体" w:cs="宋体"/>
                <w:sz w:val="24"/>
                <w:szCs w:val="24"/>
              </w:rPr>
            </w:pPr>
            <w:r>
              <w:rPr>
                <w:rFonts w:hint="eastAsia" w:ascii="宋体" w:hAnsi="宋体" w:eastAsia="宋体"/>
              </w:rPr>
              <w:t xml:space="preserve">上海市徐汇区龙田路195号3C座9楼 </w:t>
            </w:r>
          </w:p>
        </w:tc>
      </w:tr>
      <w:tr w14:paraId="3C2F2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27BB1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5CA920C">
            <w:pPr>
              <w:rPr>
                <w:rFonts w:ascii="宋体" w:hAnsi="宋体" w:eastAsia="宋体" w:cs="宋体"/>
                <w:sz w:val="24"/>
                <w:szCs w:val="24"/>
              </w:rPr>
            </w:pPr>
            <w:r>
              <w:rPr>
                <w:rFonts w:hint="eastAsia" w:ascii="宋体" w:hAnsi="宋体" w:eastAsia="宋体"/>
              </w:rPr>
              <w:t xml:space="preserve">其实 </w:t>
            </w:r>
          </w:p>
        </w:tc>
      </w:tr>
      <w:tr w14:paraId="32248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DBE60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A5FF6BB">
            <w:pPr>
              <w:rPr>
                <w:rFonts w:ascii="宋体" w:hAnsi="宋体" w:eastAsia="宋体" w:cs="宋体"/>
                <w:sz w:val="24"/>
                <w:szCs w:val="24"/>
              </w:rPr>
            </w:pPr>
            <w:r>
              <w:rPr>
                <w:rFonts w:hint="eastAsia" w:ascii="宋体" w:hAnsi="宋体" w:eastAsia="宋体"/>
              </w:rPr>
              <w:t xml:space="preserve">潘世友 </w:t>
            </w:r>
          </w:p>
        </w:tc>
      </w:tr>
      <w:tr w14:paraId="54DCF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C12D6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760EBBD">
            <w:pPr>
              <w:rPr>
                <w:rFonts w:ascii="宋体" w:hAnsi="宋体" w:eastAsia="宋体" w:cs="宋体"/>
                <w:sz w:val="24"/>
                <w:szCs w:val="24"/>
              </w:rPr>
            </w:pPr>
            <w:r>
              <w:rPr>
                <w:rFonts w:hint="eastAsia" w:ascii="宋体" w:hAnsi="宋体" w:eastAsia="宋体"/>
              </w:rPr>
              <w:t xml:space="preserve">021-54509998 </w:t>
            </w:r>
          </w:p>
        </w:tc>
      </w:tr>
      <w:tr w14:paraId="539DE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273BE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06A71FC">
            <w:pPr>
              <w:rPr>
                <w:rFonts w:ascii="宋体" w:hAnsi="宋体" w:eastAsia="宋体" w:cs="宋体"/>
                <w:sz w:val="24"/>
                <w:szCs w:val="24"/>
              </w:rPr>
            </w:pPr>
            <w:r>
              <w:rPr>
                <w:rFonts w:hint="eastAsia" w:ascii="宋体" w:hAnsi="宋体" w:eastAsia="宋体"/>
              </w:rPr>
              <w:t xml:space="preserve">021-64385308 </w:t>
            </w:r>
          </w:p>
        </w:tc>
      </w:tr>
      <w:tr w14:paraId="11AA1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55088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36BF20D">
            <w:pPr>
              <w:rPr>
                <w:rFonts w:ascii="宋体" w:hAnsi="宋体" w:eastAsia="宋体" w:cs="宋体"/>
                <w:sz w:val="24"/>
                <w:szCs w:val="24"/>
              </w:rPr>
            </w:pPr>
            <w:r>
              <w:rPr>
                <w:rFonts w:hint="eastAsia" w:ascii="宋体" w:hAnsi="宋体" w:eastAsia="宋体"/>
              </w:rPr>
              <w:t xml:space="preserve">400-181-8188 </w:t>
            </w:r>
          </w:p>
        </w:tc>
      </w:tr>
      <w:tr w14:paraId="32599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592DA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B4C9C69">
            <w:pPr>
              <w:rPr>
                <w:rFonts w:ascii="宋体" w:hAnsi="宋体" w:eastAsia="宋体" w:cs="宋体"/>
                <w:sz w:val="24"/>
                <w:szCs w:val="24"/>
              </w:rPr>
            </w:pPr>
            <w:r>
              <w:rPr>
                <w:rFonts w:hint="eastAsia" w:ascii="宋体" w:hAnsi="宋体" w:eastAsia="宋体"/>
              </w:rPr>
              <w:t xml:space="preserve">http://www.1234567.com.cn </w:t>
            </w:r>
          </w:p>
        </w:tc>
      </w:tr>
    </w:tbl>
    <w:p w14:paraId="0C8CC44B">
      <w:pPr>
        <w:pStyle w:val="7"/>
        <w:spacing w:before="0" w:beforeAutospacing="0" w:after="0" w:afterAutospacing="0" w:line="360" w:lineRule="auto"/>
        <w:ind w:firstLine="420"/>
        <w:rPr>
          <w:sz w:val="21"/>
          <w:szCs w:val="21"/>
        </w:rPr>
      </w:pPr>
      <w:r>
        <w:rPr>
          <w:rFonts w:hint="eastAsia"/>
          <w:b/>
          <w:bCs/>
          <w:sz w:val="21"/>
          <w:szCs w:val="21"/>
        </w:rPr>
        <w:t>(20)蚂蚁（杭州）基金销售有限公司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3A884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9E530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D7AB349">
            <w:pPr>
              <w:rPr>
                <w:rFonts w:ascii="宋体" w:hAnsi="宋体" w:eastAsia="宋体" w:cs="宋体"/>
                <w:sz w:val="24"/>
                <w:szCs w:val="24"/>
              </w:rPr>
            </w:pPr>
            <w:r>
              <w:rPr>
                <w:rFonts w:hint="eastAsia" w:ascii="宋体" w:hAnsi="宋体" w:eastAsia="宋体"/>
              </w:rPr>
              <w:t xml:space="preserve">浙江省杭州市余杭区五常街道文一西路969号3幢5层599室 </w:t>
            </w:r>
          </w:p>
        </w:tc>
      </w:tr>
      <w:tr w14:paraId="136B1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11E94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8D0E22D">
            <w:pPr>
              <w:rPr>
                <w:rFonts w:ascii="宋体" w:hAnsi="宋体" w:eastAsia="宋体" w:cs="宋体"/>
                <w:sz w:val="24"/>
                <w:szCs w:val="24"/>
              </w:rPr>
            </w:pPr>
            <w:r>
              <w:rPr>
                <w:rFonts w:hint="eastAsia" w:ascii="宋体" w:hAnsi="宋体" w:eastAsia="宋体"/>
              </w:rPr>
              <w:t xml:space="preserve">浙江省杭州市西湖区西溪路556号 </w:t>
            </w:r>
          </w:p>
        </w:tc>
      </w:tr>
      <w:tr w14:paraId="3F959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DCC9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3EABC94">
            <w:pPr>
              <w:rPr>
                <w:rFonts w:ascii="宋体" w:hAnsi="宋体" w:eastAsia="宋体" w:cs="宋体"/>
                <w:sz w:val="24"/>
                <w:szCs w:val="24"/>
              </w:rPr>
            </w:pPr>
            <w:r>
              <w:rPr>
                <w:rFonts w:hint="eastAsia" w:ascii="宋体" w:hAnsi="宋体" w:eastAsia="宋体"/>
              </w:rPr>
              <w:t xml:space="preserve">王珺 </w:t>
            </w:r>
          </w:p>
        </w:tc>
      </w:tr>
      <w:tr w14:paraId="1AEEB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7094B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CA7995F">
            <w:pPr>
              <w:rPr>
                <w:rFonts w:ascii="宋体" w:hAnsi="宋体" w:eastAsia="宋体" w:cs="宋体"/>
                <w:sz w:val="24"/>
                <w:szCs w:val="24"/>
              </w:rPr>
            </w:pPr>
            <w:r>
              <w:rPr>
                <w:rFonts w:hint="eastAsia" w:ascii="宋体" w:hAnsi="宋体" w:eastAsia="宋体"/>
              </w:rPr>
              <w:t xml:space="preserve">韩爱彬 </w:t>
            </w:r>
          </w:p>
        </w:tc>
      </w:tr>
      <w:tr w14:paraId="2A54A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49727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1708E7D">
            <w:pPr>
              <w:rPr>
                <w:rFonts w:ascii="宋体" w:hAnsi="宋体" w:eastAsia="宋体" w:cs="宋体"/>
                <w:sz w:val="24"/>
                <w:szCs w:val="24"/>
              </w:rPr>
            </w:pPr>
            <w:r>
              <w:rPr>
                <w:rFonts w:hint="eastAsia" w:ascii="宋体" w:hAnsi="宋体" w:eastAsia="宋体"/>
              </w:rPr>
              <w:t xml:space="preserve">021-60897840 </w:t>
            </w:r>
          </w:p>
        </w:tc>
      </w:tr>
      <w:tr w14:paraId="547EC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D813C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04BFF70">
            <w:pPr>
              <w:rPr>
                <w:rFonts w:ascii="宋体" w:hAnsi="宋体" w:eastAsia="宋体" w:cs="宋体"/>
                <w:sz w:val="24"/>
                <w:szCs w:val="24"/>
              </w:rPr>
            </w:pPr>
            <w:r>
              <w:rPr>
                <w:rFonts w:hint="eastAsia" w:ascii="宋体" w:hAnsi="宋体" w:eastAsia="宋体"/>
              </w:rPr>
              <w:t xml:space="preserve">0571-26697013 </w:t>
            </w:r>
          </w:p>
        </w:tc>
      </w:tr>
      <w:tr w14:paraId="4BB9A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0ABCA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CB27141">
            <w:pPr>
              <w:rPr>
                <w:rFonts w:ascii="宋体" w:hAnsi="宋体" w:eastAsia="宋体" w:cs="宋体"/>
                <w:sz w:val="24"/>
                <w:szCs w:val="24"/>
              </w:rPr>
            </w:pPr>
            <w:r>
              <w:rPr>
                <w:rFonts w:hint="eastAsia" w:ascii="宋体" w:hAnsi="宋体" w:eastAsia="宋体"/>
              </w:rPr>
              <w:t xml:space="preserve">95188-8 </w:t>
            </w:r>
          </w:p>
        </w:tc>
      </w:tr>
      <w:tr w14:paraId="1C9A2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06F6E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53C7A5A">
            <w:pPr>
              <w:rPr>
                <w:rFonts w:ascii="宋体" w:hAnsi="宋体" w:eastAsia="宋体" w:cs="宋体"/>
                <w:sz w:val="24"/>
                <w:szCs w:val="24"/>
              </w:rPr>
            </w:pPr>
            <w:r>
              <w:rPr>
                <w:rFonts w:hint="eastAsia" w:ascii="宋体" w:hAnsi="宋体" w:eastAsia="宋体"/>
              </w:rPr>
              <w:t xml:space="preserve">http://www.fund123.cn </w:t>
            </w:r>
          </w:p>
        </w:tc>
      </w:tr>
    </w:tbl>
    <w:p w14:paraId="34DBE584">
      <w:pPr>
        <w:pStyle w:val="7"/>
        <w:spacing w:before="0" w:beforeAutospacing="0" w:after="0" w:afterAutospacing="0" w:line="360" w:lineRule="auto"/>
        <w:ind w:firstLine="420"/>
        <w:rPr>
          <w:sz w:val="21"/>
          <w:szCs w:val="21"/>
        </w:rPr>
      </w:pPr>
      <w:r>
        <w:rPr>
          <w:rFonts w:hint="eastAsia"/>
          <w:b/>
          <w:bCs/>
          <w:sz w:val="21"/>
          <w:szCs w:val="21"/>
        </w:rPr>
        <w:t>(21)上海长量基金销售有限公司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4FAD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9F067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B82FB34">
            <w:pPr>
              <w:rPr>
                <w:rFonts w:ascii="宋体" w:hAnsi="宋体" w:eastAsia="宋体" w:cs="宋体"/>
                <w:sz w:val="24"/>
                <w:szCs w:val="24"/>
              </w:rPr>
            </w:pPr>
            <w:r>
              <w:rPr>
                <w:rFonts w:hint="eastAsia" w:ascii="宋体" w:hAnsi="宋体" w:eastAsia="宋体"/>
              </w:rPr>
              <w:t xml:space="preserve">上海市浦东新区高翔路526号2幢220室 </w:t>
            </w:r>
          </w:p>
        </w:tc>
      </w:tr>
      <w:tr w14:paraId="05BBC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468A7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1D6DA38">
            <w:pPr>
              <w:rPr>
                <w:rFonts w:ascii="宋体" w:hAnsi="宋体" w:eastAsia="宋体" w:cs="宋体"/>
                <w:sz w:val="24"/>
                <w:szCs w:val="24"/>
              </w:rPr>
            </w:pPr>
            <w:r>
              <w:rPr>
                <w:rFonts w:hint="eastAsia" w:ascii="宋体" w:hAnsi="宋体" w:eastAsia="宋体"/>
              </w:rPr>
              <w:t xml:space="preserve">上海市浦东新区东方路1267号11层 </w:t>
            </w:r>
          </w:p>
        </w:tc>
      </w:tr>
      <w:tr w14:paraId="1B51D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F5541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85A1C30">
            <w:pPr>
              <w:rPr>
                <w:rFonts w:ascii="宋体" w:hAnsi="宋体" w:eastAsia="宋体" w:cs="宋体"/>
                <w:sz w:val="24"/>
                <w:szCs w:val="24"/>
              </w:rPr>
            </w:pPr>
            <w:r>
              <w:rPr>
                <w:rFonts w:hint="eastAsia" w:ascii="宋体" w:hAnsi="宋体" w:eastAsia="宋体"/>
              </w:rPr>
              <w:t xml:space="preserve">张跃伟 </w:t>
            </w:r>
          </w:p>
        </w:tc>
      </w:tr>
      <w:tr w14:paraId="47077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31D37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96C6CDE">
            <w:pPr>
              <w:rPr>
                <w:rFonts w:ascii="宋体" w:hAnsi="宋体" w:eastAsia="宋体" w:cs="宋体"/>
                <w:sz w:val="24"/>
                <w:szCs w:val="24"/>
              </w:rPr>
            </w:pPr>
            <w:r>
              <w:rPr>
                <w:rFonts w:hint="eastAsia" w:ascii="宋体" w:hAnsi="宋体" w:eastAsia="宋体"/>
              </w:rPr>
              <w:t xml:space="preserve">敖玲 </w:t>
            </w:r>
          </w:p>
        </w:tc>
      </w:tr>
      <w:tr w14:paraId="2174A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7ADA7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D1B4383">
            <w:pPr>
              <w:rPr>
                <w:rFonts w:ascii="宋体" w:hAnsi="宋体" w:eastAsia="宋体" w:cs="宋体"/>
                <w:sz w:val="24"/>
                <w:szCs w:val="24"/>
              </w:rPr>
            </w:pPr>
            <w:r>
              <w:rPr>
                <w:rFonts w:hint="eastAsia" w:ascii="宋体" w:hAnsi="宋体" w:eastAsia="宋体"/>
              </w:rPr>
              <w:t xml:space="preserve">021-58788678-8201 </w:t>
            </w:r>
          </w:p>
        </w:tc>
      </w:tr>
      <w:tr w14:paraId="5AA53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137A8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01E1451">
            <w:pPr>
              <w:rPr>
                <w:rFonts w:ascii="宋体" w:hAnsi="宋体" w:eastAsia="宋体" w:cs="宋体"/>
                <w:sz w:val="24"/>
                <w:szCs w:val="24"/>
              </w:rPr>
            </w:pPr>
            <w:r>
              <w:rPr>
                <w:rFonts w:hint="eastAsia" w:ascii="宋体" w:hAnsi="宋体" w:eastAsia="宋体"/>
              </w:rPr>
              <w:t xml:space="preserve">021—58787698 </w:t>
            </w:r>
          </w:p>
        </w:tc>
      </w:tr>
      <w:tr w14:paraId="1F1EC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A66B9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7F59670">
            <w:pPr>
              <w:rPr>
                <w:rFonts w:ascii="宋体" w:hAnsi="宋体" w:eastAsia="宋体" w:cs="宋体"/>
                <w:sz w:val="24"/>
                <w:szCs w:val="24"/>
              </w:rPr>
            </w:pPr>
            <w:r>
              <w:rPr>
                <w:rFonts w:hint="eastAsia" w:ascii="宋体" w:hAnsi="宋体" w:eastAsia="宋体"/>
              </w:rPr>
              <w:t xml:space="preserve">400-820-2899 </w:t>
            </w:r>
          </w:p>
        </w:tc>
      </w:tr>
      <w:tr w14:paraId="14541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253AF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C517432">
            <w:pPr>
              <w:rPr>
                <w:rFonts w:ascii="宋体" w:hAnsi="宋体" w:eastAsia="宋体" w:cs="宋体"/>
                <w:sz w:val="24"/>
                <w:szCs w:val="24"/>
              </w:rPr>
            </w:pPr>
            <w:r>
              <w:rPr>
                <w:rFonts w:hint="eastAsia" w:ascii="宋体" w:hAnsi="宋体" w:eastAsia="宋体"/>
              </w:rPr>
              <w:t xml:space="preserve">http://www.erichfund.com </w:t>
            </w:r>
          </w:p>
        </w:tc>
      </w:tr>
    </w:tbl>
    <w:p w14:paraId="74E91084">
      <w:pPr>
        <w:pStyle w:val="7"/>
        <w:spacing w:before="0" w:beforeAutospacing="0" w:after="0" w:afterAutospacing="0" w:line="360" w:lineRule="auto"/>
        <w:ind w:firstLine="420"/>
        <w:rPr>
          <w:sz w:val="21"/>
          <w:szCs w:val="21"/>
        </w:rPr>
      </w:pPr>
      <w:r>
        <w:rPr>
          <w:rFonts w:hint="eastAsia"/>
          <w:b/>
          <w:bCs/>
          <w:sz w:val="21"/>
          <w:szCs w:val="21"/>
        </w:rPr>
        <w:t>(22)浙江同花顺基金销售有限公司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209CE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CD791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7F39713">
            <w:pPr>
              <w:rPr>
                <w:rFonts w:ascii="宋体" w:hAnsi="宋体" w:eastAsia="宋体" w:cs="宋体"/>
                <w:sz w:val="24"/>
                <w:szCs w:val="24"/>
              </w:rPr>
            </w:pPr>
            <w:r>
              <w:rPr>
                <w:rFonts w:hint="eastAsia" w:ascii="宋体" w:hAnsi="宋体" w:eastAsia="宋体"/>
              </w:rPr>
              <w:t xml:space="preserve">杭州市西湖区文二西路1号元茂大厦903室 </w:t>
            </w:r>
          </w:p>
        </w:tc>
      </w:tr>
      <w:tr w14:paraId="6DA47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888EC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E3CF071">
            <w:pPr>
              <w:rPr>
                <w:rFonts w:ascii="宋体" w:hAnsi="宋体" w:eastAsia="宋体" w:cs="宋体"/>
                <w:sz w:val="24"/>
                <w:szCs w:val="24"/>
              </w:rPr>
            </w:pPr>
            <w:r>
              <w:rPr>
                <w:rFonts w:hint="eastAsia" w:ascii="宋体" w:hAnsi="宋体" w:eastAsia="宋体"/>
              </w:rPr>
              <w:t xml:space="preserve">浙江省杭州市余杭区五常街道同顺街18号同花顺大楼 </w:t>
            </w:r>
          </w:p>
        </w:tc>
      </w:tr>
      <w:tr w14:paraId="4B9AF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5D4C9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6A63BB">
            <w:pPr>
              <w:rPr>
                <w:rFonts w:ascii="宋体" w:hAnsi="宋体" w:eastAsia="宋体" w:cs="宋体"/>
                <w:sz w:val="24"/>
                <w:szCs w:val="24"/>
              </w:rPr>
            </w:pPr>
            <w:r>
              <w:rPr>
                <w:rFonts w:hint="eastAsia" w:ascii="宋体" w:hAnsi="宋体" w:eastAsia="宋体"/>
              </w:rPr>
              <w:t xml:space="preserve">凌顺平 </w:t>
            </w:r>
          </w:p>
        </w:tc>
      </w:tr>
      <w:tr w14:paraId="2FBE9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64CAF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96E6FFA">
            <w:pPr>
              <w:rPr>
                <w:rFonts w:ascii="宋体" w:hAnsi="宋体" w:eastAsia="宋体" w:cs="宋体"/>
                <w:sz w:val="24"/>
                <w:szCs w:val="24"/>
              </w:rPr>
            </w:pPr>
            <w:r>
              <w:rPr>
                <w:rFonts w:hint="eastAsia" w:ascii="宋体" w:hAnsi="宋体" w:eastAsia="宋体"/>
              </w:rPr>
              <w:t xml:space="preserve">吴杰 </w:t>
            </w:r>
          </w:p>
        </w:tc>
      </w:tr>
      <w:tr w14:paraId="2B4D8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B99FD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3206153">
            <w:pPr>
              <w:rPr>
                <w:rFonts w:ascii="宋体" w:hAnsi="宋体" w:eastAsia="宋体" w:cs="宋体"/>
                <w:sz w:val="24"/>
                <w:szCs w:val="24"/>
              </w:rPr>
            </w:pPr>
            <w:r>
              <w:rPr>
                <w:rFonts w:hint="eastAsia" w:ascii="宋体" w:hAnsi="宋体" w:eastAsia="宋体"/>
              </w:rPr>
              <w:t xml:space="preserve">0571-88911818 </w:t>
            </w:r>
          </w:p>
        </w:tc>
      </w:tr>
      <w:tr w14:paraId="2CA02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58D32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7F4356B">
            <w:pPr>
              <w:rPr>
                <w:rFonts w:ascii="宋体" w:hAnsi="宋体" w:eastAsia="宋体" w:cs="宋体"/>
                <w:sz w:val="24"/>
                <w:szCs w:val="24"/>
              </w:rPr>
            </w:pPr>
            <w:r>
              <w:rPr>
                <w:rFonts w:hint="eastAsia" w:ascii="宋体" w:hAnsi="宋体" w:eastAsia="宋体"/>
              </w:rPr>
              <w:t xml:space="preserve">0571-86800423 </w:t>
            </w:r>
          </w:p>
        </w:tc>
      </w:tr>
      <w:tr w14:paraId="68806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1333A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DC3645C">
            <w:pPr>
              <w:rPr>
                <w:rFonts w:ascii="宋体" w:hAnsi="宋体" w:eastAsia="宋体" w:cs="宋体"/>
                <w:sz w:val="24"/>
                <w:szCs w:val="24"/>
              </w:rPr>
            </w:pPr>
            <w:r>
              <w:rPr>
                <w:rFonts w:hint="eastAsia" w:ascii="宋体" w:hAnsi="宋体" w:eastAsia="宋体"/>
              </w:rPr>
              <w:t xml:space="preserve">952555 </w:t>
            </w:r>
          </w:p>
        </w:tc>
      </w:tr>
      <w:tr w14:paraId="14435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F273D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E70F3E3">
            <w:pPr>
              <w:rPr>
                <w:rFonts w:ascii="宋体" w:hAnsi="宋体" w:eastAsia="宋体" w:cs="宋体"/>
                <w:sz w:val="24"/>
                <w:szCs w:val="24"/>
              </w:rPr>
            </w:pPr>
            <w:r>
              <w:rPr>
                <w:rFonts w:hint="eastAsia" w:ascii="宋体" w:hAnsi="宋体" w:eastAsia="宋体"/>
              </w:rPr>
              <w:t xml:space="preserve">www.5ifund.com </w:t>
            </w:r>
          </w:p>
        </w:tc>
      </w:tr>
    </w:tbl>
    <w:p w14:paraId="142CBA96">
      <w:pPr>
        <w:pStyle w:val="7"/>
        <w:spacing w:before="0" w:beforeAutospacing="0" w:after="0" w:afterAutospacing="0" w:line="360" w:lineRule="auto"/>
        <w:ind w:firstLine="420"/>
        <w:rPr>
          <w:sz w:val="21"/>
          <w:szCs w:val="21"/>
        </w:rPr>
      </w:pPr>
      <w:r>
        <w:rPr>
          <w:rFonts w:hint="eastAsia"/>
          <w:b/>
          <w:bCs/>
          <w:sz w:val="21"/>
          <w:szCs w:val="21"/>
        </w:rPr>
        <w:t>(23)上海利得基金销售有限公司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7A46C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7D2DF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8794C36">
            <w:pPr>
              <w:rPr>
                <w:rFonts w:ascii="宋体" w:hAnsi="宋体" w:eastAsia="宋体" w:cs="宋体"/>
                <w:sz w:val="24"/>
                <w:szCs w:val="24"/>
              </w:rPr>
            </w:pPr>
            <w:r>
              <w:rPr>
                <w:rFonts w:hint="eastAsia" w:ascii="宋体" w:hAnsi="宋体" w:eastAsia="宋体"/>
              </w:rPr>
              <w:t xml:space="preserve">上海市宝山区蕴川路5475号1033室 </w:t>
            </w:r>
          </w:p>
        </w:tc>
      </w:tr>
      <w:tr w14:paraId="44287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BFDF3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4958442">
            <w:pPr>
              <w:rPr>
                <w:rFonts w:ascii="宋体" w:hAnsi="宋体" w:eastAsia="宋体" w:cs="宋体"/>
                <w:sz w:val="24"/>
                <w:szCs w:val="24"/>
              </w:rPr>
            </w:pPr>
            <w:r>
              <w:rPr>
                <w:rFonts w:hint="eastAsia" w:ascii="宋体" w:hAnsi="宋体" w:eastAsia="宋体"/>
              </w:rPr>
              <w:t xml:space="preserve">上海浦东新区峨山路91弄61号10号楼12楼 </w:t>
            </w:r>
          </w:p>
        </w:tc>
      </w:tr>
      <w:tr w14:paraId="42F1F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F351C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BB67908">
            <w:pPr>
              <w:rPr>
                <w:rFonts w:ascii="宋体" w:hAnsi="宋体" w:eastAsia="宋体" w:cs="宋体"/>
                <w:sz w:val="24"/>
                <w:szCs w:val="24"/>
              </w:rPr>
            </w:pPr>
            <w:r>
              <w:rPr>
                <w:rFonts w:hint="eastAsia" w:ascii="宋体" w:hAnsi="宋体" w:eastAsia="宋体"/>
              </w:rPr>
              <w:t xml:space="preserve">李兴春 </w:t>
            </w:r>
          </w:p>
        </w:tc>
      </w:tr>
      <w:tr w14:paraId="0599E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7B21C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92DD5E1">
            <w:pPr>
              <w:rPr>
                <w:rFonts w:ascii="宋体" w:hAnsi="宋体" w:eastAsia="宋体" w:cs="宋体"/>
                <w:sz w:val="24"/>
                <w:szCs w:val="24"/>
              </w:rPr>
            </w:pPr>
            <w:r>
              <w:rPr>
                <w:rFonts w:hint="eastAsia" w:ascii="宋体" w:hAnsi="宋体" w:eastAsia="宋体"/>
              </w:rPr>
              <w:t xml:space="preserve">徐鹏 </w:t>
            </w:r>
          </w:p>
        </w:tc>
      </w:tr>
      <w:tr w14:paraId="31EA5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EFBE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0CA7258">
            <w:pPr>
              <w:rPr>
                <w:rFonts w:ascii="宋体" w:hAnsi="宋体" w:eastAsia="宋体" w:cs="宋体"/>
                <w:sz w:val="24"/>
                <w:szCs w:val="24"/>
              </w:rPr>
            </w:pPr>
            <w:r>
              <w:rPr>
                <w:rFonts w:hint="eastAsia" w:ascii="宋体" w:hAnsi="宋体" w:eastAsia="宋体"/>
              </w:rPr>
              <w:t xml:space="preserve">021-50583533 </w:t>
            </w:r>
          </w:p>
        </w:tc>
      </w:tr>
      <w:tr w14:paraId="4E5EE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2E2A8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AD11133">
            <w:pPr>
              <w:rPr>
                <w:rFonts w:ascii="宋体" w:hAnsi="宋体" w:eastAsia="宋体" w:cs="宋体"/>
                <w:sz w:val="24"/>
                <w:szCs w:val="24"/>
              </w:rPr>
            </w:pPr>
            <w:r>
              <w:rPr>
                <w:rFonts w:hint="eastAsia" w:ascii="宋体" w:hAnsi="宋体" w:eastAsia="宋体"/>
              </w:rPr>
              <w:t xml:space="preserve">021-50583633 </w:t>
            </w:r>
          </w:p>
        </w:tc>
      </w:tr>
      <w:tr w14:paraId="4D119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30A90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18C0E4B">
            <w:pPr>
              <w:rPr>
                <w:rFonts w:ascii="宋体" w:hAnsi="宋体" w:eastAsia="宋体" w:cs="宋体"/>
                <w:sz w:val="24"/>
                <w:szCs w:val="24"/>
              </w:rPr>
            </w:pPr>
            <w:r>
              <w:rPr>
                <w:rFonts w:hint="eastAsia" w:ascii="宋体" w:hAnsi="宋体" w:eastAsia="宋体"/>
              </w:rPr>
              <w:t xml:space="preserve">400-921-7755 </w:t>
            </w:r>
          </w:p>
        </w:tc>
      </w:tr>
      <w:tr w14:paraId="2B254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DC495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1CAED1E">
            <w:pPr>
              <w:rPr>
                <w:rFonts w:ascii="宋体" w:hAnsi="宋体" w:eastAsia="宋体" w:cs="宋体"/>
                <w:sz w:val="24"/>
                <w:szCs w:val="24"/>
              </w:rPr>
            </w:pPr>
            <w:r>
              <w:rPr>
                <w:rFonts w:hint="eastAsia" w:ascii="宋体" w:hAnsi="宋体" w:eastAsia="宋体"/>
              </w:rPr>
              <w:t xml:space="preserve">http://a.leadfund.com.cn/ </w:t>
            </w:r>
          </w:p>
        </w:tc>
      </w:tr>
    </w:tbl>
    <w:p w14:paraId="4FCE4F15">
      <w:pPr>
        <w:pStyle w:val="7"/>
        <w:spacing w:before="0" w:beforeAutospacing="0" w:after="0" w:afterAutospacing="0" w:line="360" w:lineRule="auto"/>
        <w:ind w:firstLine="420"/>
        <w:rPr>
          <w:sz w:val="21"/>
          <w:szCs w:val="21"/>
        </w:rPr>
      </w:pPr>
      <w:r>
        <w:rPr>
          <w:rFonts w:hint="eastAsia"/>
          <w:b/>
          <w:bCs/>
          <w:sz w:val="21"/>
          <w:szCs w:val="21"/>
        </w:rPr>
        <w:t>(24)嘉实财富管理有限公司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70B2A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5E6ED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1A22F90">
            <w:pPr>
              <w:rPr>
                <w:rFonts w:ascii="宋体" w:hAnsi="宋体" w:eastAsia="宋体" w:cs="宋体"/>
                <w:sz w:val="24"/>
                <w:szCs w:val="24"/>
              </w:rPr>
            </w:pPr>
            <w:r>
              <w:rPr>
                <w:rFonts w:hint="eastAsia" w:ascii="宋体" w:hAnsi="宋体" w:eastAsia="宋体"/>
              </w:rPr>
              <w:t xml:space="preserve">上海市浦东新区世纪大道8号上海国金中心办公楼二期46层4609-10单元 </w:t>
            </w:r>
          </w:p>
        </w:tc>
      </w:tr>
      <w:tr w14:paraId="2FEB9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00434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2654B76">
            <w:pPr>
              <w:rPr>
                <w:rFonts w:ascii="宋体" w:hAnsi="宋体" w:eastAsia="宋体" w:cs="宋体"/>
                <w:sz w:val="24"/>
                <w:szCs w:val="24"/>
              </w:rPr>
            </w:pPr>
            <w:r>
              <w:rPr>
                <w:rFonts w:hint="eastAsia" w:ascii="宋体" w:hAnsi="宋体" w:eastAsia="宋体"/>
              </w:rPr>
              <w:t xml:space="preserve">北京市朝阳区建国门外大街21号北京国际俱乐部C座写字楼11层 </w:t>
            </w:r>
          </w:p>
        </w:tc>
      </w:tr>
      <w:tr w14:paraId="119AF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0AEA3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8C427BF">
            <w:pPr>
              <w:rPr>
                <w:rFonts w:ascii="宋体" w:hAnsi="宋体" w:eastAsia="宋体" w:cs="宋体"/>
                <w:sz w:val="24"/>
                <w:szCs w:val="24"/>
              </w:rPr>
            </w:pPr>
            <w:r>
              <w:rPr>
                <w:rFonts w:hint="eastAsia" w:ascii="宋体" w:hAnsi="宋体" w:eastAsia="宋体"/>
              </w:rPr>
              <w:t xml:space="preserve">赵学军 </w:t>
            </w:r>
          </w:p>
        </w:tc>
      </w:tr>
      <w:tr w14:paraId="26ADE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001DC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0CD416F">
            <w:pPr>
              <w:rPr>
                <w:rFonts w:ascii="宋体" w:hAnsi="宋体" w:eastAsia="宋体" w:cs="宋体"/>
                <w:sz w:val="24"/>
                <w:szCs w:val="24"/>
              </w:rPr>
            </w:pPr>
            <w:r>
              <w:rPr>
                <w:rFonts w:hint="eastAsia" w:ascii="宋体" w:hAnsi="宋体" w:eastAsia="宋体"/>
              </w:rPr>
              <w:t xml:space="preserve">余永键 </w:t>
            </w:r>
          </w:p>
        </w:tc>
      </w:tr>
      <w:tr w14:paraId="069DB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DEE3F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0CE04DD">
            <w:pPr>
              <w:rPr>
                <w:rFonts w:ascii="宋体" w:hAnsi="宋体" w:eastAsia="宋体" w:cs="宋体"/>
                <w:sz w:val="24"/>
                <w:szCs w:val="24"/>
              </w:rPr>
            </w:pPr>
            <w:r>
              <w:rPr>
                <w:rFonts w:hint="eastAsia" w:ascii="宋体" w:hAnsi="宋体" w:eastAsia="宋体"/>
              </w:rPr>
              <w:t xml:space="preserve">010-85097570 </w:t>
            </w:r>
          </w:p>
        </w:tc>
      </w:tr>
      <w:tr w14:paraId="25027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681A9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259EF60">
            <w:pPr>
              <w:rPr>
                <w:rFonts w:ascii="宋体" w:hAnsi="宋体" w:eastAsia="宋体" w:cs="宋体"/>
                <w:sz w:val="24"/>
                <w:szCs w:val="24"/>
              </w:rPr>
            </w:pPr>
            <w:r>
              <w:rPr>
                <w:rFonts w:hint="eastAsia" w:ascii="宋体" w:hAnsi="宋体" w:eastAsia="宋体"/>
              </w:rPr>
              <w:t xml:space="preserve">010-65215433 </w:t>
            </w:r>
          </w:p>
        </w:tc>
      </w:tr>
      <w:tr w14:paraId="093CA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C7519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0019A90">
            <w:pPr>
              <w:rPr>
                <w:rFonts w:ascii="宋体" w:hAnsi="宋体" w:eastAsia="宋体" w:cs="宋体"/>
                <w:sz w:val="24"/>
                <w:szCs w:val="24"/>
              </w:rPr>
            </w:pPr>
            <w:r>
              <w:rPr>
                <w:rFonts w:hint="eastAsia" w:ascii="宋体" w:hAnsi="宋体" w:eastAsia="宋体"/>
              </w:rPr>
              <w:t xml:space="preserve">400-021-8850 </w:t>
            </w:r>
          </w:p>
        </w:tc>
      </w:tr>
      <w:tr w14:paraId="5DB5A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B7515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F4853CC">
            <w:pPr>
              <w:rPr>
                <w:rFonts w:ascii="宋体" w:hAnsi="宋体" w:eastAsia="宋体" w:cs="宋体"/>
                <w:sz w:val="24"/>
                <w:szCs w:val="24"/>
              </w:rPr>
            </w:pPr>
            <w:r>
              <w:rPr>
                <w:rFonts w:hint="eastAsia" w:ascii="宋体" w:hAnsi="宋体" w:eastAsia="宋体"/>
              </w:rPr>
              <w:t xml:space="preserve">www.harvestwm.cn </w:t>
            </w:r>
          </w:p>
        </w:tc>
      </w:tr>
    </w:tbl>
    <w:p w14:paraId="520A3BDE">
      <w:pPr>
        <w:pStyle w:val="7"/>
        <w:spacing w:before="0" w:beforeAutospacing="0" w:after="0" w:afterAutospacing="0" w:line="360" w:lineRule="auto"/>
        <w:ind w:firstLine="420"/>
        <w:rPr>
          <w:sz w:val="21"/>
          <w:szCs w:val="21"/>
        </w:rPr>
      </w:pPr>
      <w:r>
        <w:rPr>
          <w:rFonts w:hint="eastAsia"/>
          <w:b/>
          <w:bCs/>
          <w:sz w:val="21"/>
          <w:szCs w:val="21"/>
        </w:rPr>
        <w:t>(25)华源证券股份有限公司（鑫理财）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162CD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C7B1F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38F031C">
            <w:pPr>
              <w:rPr>
                <w:rFonts w:ascii="宋体" w:hAnsi="宋体" w:eastAsia="宋体" w:cs="宋体"/>
                <w:sz w:val="24"/>
                <w:szCs w:val="24"/>
              </w:rPr>
            </w:pPr>
            <w:r>
              <w:rPr>
                <w:rFonts w:hint="eastAsia" w:ascii="宋体" w:hAnsi="宋体" w:eastAsia="宋体"/>
              </w:rPr>
              <w:t xml:space="preserve">青海省西宁市南川工业园区创业路108号 </w:t>
            </w:r>
          </w:p>
        </w:tc>
      </w:tr>
      <w:tr w14:paraId="38B58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59122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FA78C49">
            <w:pPr>
              <w:rPr>
                <w:rFonts w:ascii="宋体" w:hAnsi="宋体" w:eastAsia="宋体" w:cs="宋体"/>
                <w:sz w:val="24"/>
                <w:szCs w:val="24"/>
              </w:rPr>
            </w:pPr>
            <w:r>
              <w:rPr>
                <w:rFonts w:hint="eastAsia" w:ascii="宋体" w:hAnsi="宋体" w:eastAsia="宋体"/>
              </w:rPr>
              <w:t xml:space="preserve">湖北省武汉市江汉区万松街道青年路278号中海中心32F-34F  </w:t>
            </w:r>
          </w:p>
        </w:tc>
      </w:tr>
      <w:tr w14:paraId="6492E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F0CEB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412D552">
            <w:pPr>
              <w:rPr>
                <w:rFonts w:ascii="宋体" w:hAnsi="宋体" w:eastAsia="宋体" w:cs="宋体"/>
                <w:sz w:val="24"/>
                <w:szCs w:val="24"/>
              </w:rPr>
            </w:pPr>
            <w:r>
              <w:rPr>
                <w:rFonts w:hint="eastAsia" w:ascii="宋体" w:hAnsi="宋体" w:eastAsia="宋体"/>
              </w:rPr>
              <w:t xml:space="preserve">邓晖 </w:t>
            </w:r>
          </w:p>
        </w:tc>
      </w:tr>
      <w:tr w14:paraId="4953B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E6365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120CC28">
            <w:pPr>
              <w:rPr>
                <w:rFonts w:ascii="宋体" w:hAnsi="宋体" w:eastAsia="宋体" w:cs="宋体"/>
                <w:sz w:val="24"/>
                <w:szCs w:val="24"/>
              </w:rPr>
            </w:pPr>
            <w:r>
              <w:rPr>
                <w:rFonts w:hint="eastAsia" w:ascii="宋体" w:hAnsi="宋体" w:eastAsia="宋体"/>
              </w:rPr>
              <w:t xml:space="preserve">丛瑞丰 </w:t>
            </w:r>
          </w:p>
        </w:tc>
      </w:tr>
      <w:tr w14:paraId="7E82F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6277E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D382C9A">
            <w:pPr>
              <w:rPr>
                <w:rFonts w:ascii="宋体" w:hAnsi="宋体" w:eastAsia="宋体" w:cs="宋体"/>
                <w:sz w:val="24"/>
                <w:szCs w:val="24"/>
              </w:rPr>
            </w:pPr>
            <w:r>
              <w:rPr>
                <w:rFonts w:hint="eastAsia" w:ascii="宋体" w:hAnsi="宋体" w:eastAsia="宋体"/>
              </w:rPr>
              <w:t xml:space="preserve">15069421014 </w:t>
            </w:r>
          </w:p>
        </w:tc>
      </w:tr>
      <w:tr w14:paraId="1AA5D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AE8E7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B235392">
            <w:pPr>
              <w:rPr>
                <w:rFonts w:ascii="宋体" w:hAnsi="宋体" w:eastAsia="宋体" w:cs="宋体"/>
                <w:sz w:val="24"/>
                <w:szCs w:val="24"/>
              </w:rPr>
            </w:pPr>
            <w:r>
              <w:rPr>
                <w:rFonts w:hint="eastAsia" w:ascii="宋体" w:hAnsi="宋体" w:eastAsia="宋体"/>
              </w:rPr>
              <w:t xml:space="preserve">- </w:t>
            </w:r>
          </w:p>
        </w:tc>
      </w:tr>
      <w:tr w14:paraId="1527B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C22B7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4168378">
            <w:pPr>
              <w:rPr>
                <w:rFonts w:ascii="宋体" w:hAnsi="宋体" w:eastAsia="宋体" w:cs="宋体"/>
                <w:sz w:val="24"/>
                <w:szCs w:val="24"/>
              </w:rPr>
            </w:pPr>
            <w:r>
              <w:rPr>
                <w:rFonts w:hint="eastAsia" w:ascii="宋体" w:hAnsi="宋体" w:eastAsia="宋体"/>
              </w:rPr>
              <w:t xml:space="preserve">95305 </w:t>
            </w:r>
          </w:p>
        </w:tc>
      </w:tr>
      <w:tr w14:paraId="56A8B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8ACD2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5DBD6AF">
            <w:pPr>
              <w:rPr>
                <w:rFonts w:ascii="宋体" w:hAnsi="宋体" w:eastAsia="宋体" w:cs="宋体"/>
                <w:sz w:val="24"/>
                <w:szCs w:val="24"/>
              </w:rPr>
            </w:pPr>
            <w:r>
              <w:rPr>
                <w:rFonts w:hint="eastAsia" w:ascii="宋体" w:hAnsi="宋体" w:eastAsia="宋体"/>
              </w:rPr>
              <w:t xml:space="preserve">www.huayuanstock.com </w:t>
            </w:r>
          </w:p>
        </w:tc>
      </w:tr>
    </w:tbl>
    <w:p w14:paraId="0D4E5BBF">
      <w:pPr>
        <w:pStyle w:val="7"/>
        <w:spacing w:before="0" w:beforeAutospacing="0" w:after="0" w:afterAutospacing="0" w:line="360" w:lineRule="auto"/>
        <w:ind w:firstLine="420"/>
        <w:rPr>
          <w:sz w:val="21"/>
          <w:szCs w:val="21"/>
        </w:rPr>
      </w:pPr>
      <w:r>
        <w:rPr>
          <w:rFonts w:hint="eastAsia"/>
          <w:b/>
          <w:bCs/>
          <w:sz w:val="21"/>
          <w:szCs w:val="21"/>
        </w:rPr>
        <w:t>(26)北京汇成基金销售有限公司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27D17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975AC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25786F0">
            <w:pPr>
              <w:rPr>
                <w:rFonts w:ascii="宋体" w:hAnsi="宋体" w:eastAsia="宋体" w:cs="宋体"/>
                <w:sz w:val="24"/>
                <w:szCs w:val="24"/>
              </w:rPr>
            </w:pPr>
            <w:r>
              <w:rPr>
                <w:rFonts w:hint="eastAsia" w:ascii="宋体" w:hAnsi="宋体" w:eastAsia="宋体"/>
              </w:rPr>
              <w:t xml:space="preserve">北京市西城区宣武门外大街甲1号4层401-2 </w:t>
            </w:r>
          </w:p>
        </w:tc>
      </w:tr>
      <w:tr w14:paraId="73682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BDD61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F8FF7C8">
            <w:pPr>
              <w:rPr>
                <w:rFonts w:ascii="宋体" w:hAnsi="宋体" w:eastAsia="宋体" w:cs="宋体"/>
                <w:sz w:val="24"/>
                <w:szCs w:val="24"/>
              </w:rPr>
            </w:pPr>
            <w:r>
              <w:rPr>
                <w:rFonts w:hint="eastAsia" w:ascii="宋体" w:hAnsi="宋体" w:eastAsia="宋体"/>
              </w:rPr>
              <w:t xml:space="preserve">北京市西城区宣武门外大街甲1号4层401-2 </w:t>
            </w:r>
          </w:p>
        </w:tc>
      </w:tr>
      <w:tr w14:paraId="074A2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B1DFD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B82AC67">
            <w:pPr>
              <w:rPr>
                <w:rFonts w:ascii="宋体" w:hAnsi="宋体" w:eastAsia="宋体" w:cs="宋体"/>
                <w:sz w:val="24"/>
                <w:szCs w:val="24"/>
              </w:rPr>
            </w:pPr>
            <w:r>
              <w:rPr>
                <w:rFonts w:hint="eastAsia" w:ascii="宋体" w:hAnsi="宋体" w:eastAsia="宋体"/>
              </w:rPr>
              <w:t xml:space="preserve">王伟刚 </w:t>
            </w:r>
          </w:p>
        </w:tc>
      </w:tr>
      <w:tr w14:paraId="48DE7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B506E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076DF43">
            <w:pPr>
              <w:rPr>
                <w:rFonts w:ascii="宋体" w:hAnsi="宋体" w:eastAsia="宋体" w:cs="宋体"/>
                <w:sz w:val="24"/>
                <w:szCs w:val="24"/>
              </w:rPr>
            </w:pPr>
            <w:r>
              <w:rPr>
                <w:rFonts w:hint="eastAsia" w:ascii="宋体" w:hAnsi="宋体" w:eastAsia="宋体"/>
              </w:rPr>
              <w:t xml:space="preserve">丁向坤 </w:t>
            </w:r>
          </w:p>
        </w:tc>
      </w:tr>
      <w:tr w14:paraId="6779D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50FC1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F979767">
            <w:pPr>
              <w:rPr>
                <w:rFonts w:ascii="宋体" w:hAnsi="宋体" w:eastAsia="宋体" w:cs="宋体"/>
                <w:sz w:val="24"/>
                <w:szCs w:val="24"/>
              </w:rPr>
            </w:pPr>
            <w:r>
              <w:rPr>
                <w:rFonts w:hint="eastAsia" w:ascii="宋体" w:hAnsi="宋体" w:eastAsia="宋体"/>
              </w:rPr>
              <w:t xml:space="preserve">010-56282140 </w:t>
            </w:r>
          </w:p>
        </w:tc>
      </w:tr>
      <w:tr w14:paraId="2B0C3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F7036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094F2E8">
            <w:pPr>
              <w:rPr>
                <w:rFonts w:ascii="宋体" w:hAnsi="宋体" w:eastAsia="宋体" w:cs="宋体"/>
                <w:sz w:val="24"/>
                <w:szCs w:val="24"/>
              </w:rPr>
            </w:pPr>
            <w:r>
              <w:rPr>
                <w:rFonts w:hint="eastAsia" w:ascii="宋体" w:hAnsi="宋体" w:eastAsia="宋体"/>
              </w:rPr>
              <w:t xml:space="preserve">010-62680827 </w:t>
            </w:r>
          </w:p>
        </w:tc>
      </w:tr>
      <w:tr w14:paraId="48AE0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933F9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21F8186">
            <w:pPr>
              <w:rPr>
                <w:rFonts w:ascii="宋体" w:hAnsi="宋体" w:eastAsia="宋体" w:cs="宋体"/>
                <w:sz w:val="24"/>
                <w:szCs w:val="24"/>
              </w:rPr>
            </w:pPr>
            <w:r>
              <w:rPr>
                <w:rFonts w:hint="eastAsia" w:ascii="宋体" w:hAnsi="宋体" w:eastAsia="宋体"/>
              </w:rPr>
              <w:t xml:space="preserve">010-63158805 </w:t>
            </w:r>
          </w:p>
        </w:tc>
      </w:tr>
      <w:tr w14:paraId="708C4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DDB56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3EEE5E2">
            <w:pPr>
              <w:rPr>
                <w:rFonts w:ascii="宋体" w:hAnsi="宋体" w:eastAsia="宋体" w:cs="宋体"/>
                <w:sz w:val="24"/>
                <w:szCs w:val="24"/>
              </w:rPr>
            </w:pPr>
            <w:r>
              <w:rPr>
                <w:rFonts w:hint="eastAsia" w:ascii="宋体" w:hAnsi="宋体" w:eastAsia="宋体"/>
              </w:rPr>
              <w:t xml:space="preserve">www.hcfunds.com </w:t>
            </w:r>
          </w:p>
        </w:tc>
      </w:tr>
    </w:tbl>
    <w:p w14:paraId="30432BE2">
      <w:pPr>
        <w:pStyle w:val="7"/>
        <w:spacing w:before="0" w:beforeAutospacing="0" w:after="0" w:afterAutospacing="0" w:line="360" w:lineRule="auto"/>
        <w:ind w:firstLine="420"/>
        <w:rPr>
          <w:sz w:val="21"/>
          <w:szCs w:val="21"/>
        </w:rPr>
      </w:pPr>
      <w:r>
        <w:rPr>
          <w:rFonts w:hint="eastAsia"/>
          <w:b/>
          <w:bCs/>
          <w:sz w:val="21"/>
          <w:szCs w:val="21"/>
        </w:rPr>
        <w:t>(27)上海大智慧基金销售有限公司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72E27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A081F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EEA13AF">
            <w:pPr>
              <w:rPr>
                <w:rFonts w:ascii="宋体" w:hAnsi="宋体" w:eastAsia="宋体" w:cs="宋体"/>
                <w:sz w:val="24"/>
                <w:szCs w:val="24"/>
              </w:rPr>
            </w:pPr>
            <w:r>
              <w:rPr>
                <w:rFonts w:hint="eastAsia" w:ascii="宋体" w:hAnsi="宋体" w:eastAsia="宋体"/>
              </w:rPr>
              <w:t xml:space="preserve">中国（上海）自由贸易试验区杨高南路428号1号楼1102单元 </w:t>
            </w:r>
          </w:p>
        </w:tc>
      </w:tr>
      <w:tr w14:paraId="2B3AD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60A50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535622B">
            <w:pPr>
              <w:rPr>
                <w:rFonts w:ascii="宋体" w:hAnsi="宋体" w:eastAsia="宋体" w:cs="宋体"/>
                <w:sz w:val="24"/>
                <w:szCs w:val="24"/>
              </w:rPr>
            </w:pPr>
            <w:r>
              <w:rPr>
                <w:rFonts w:hint="eastAsia" w:ascii="宋体" w:hAnsi="宋体" w:eastAsia="宋体"/>
              </w:rPr>
              <w:t xml:space="preserve">上海市浦东新区杨高南路428号1号楼1102单元 </w:t>
            </w:r>
          </w:p>
        </w:tc>
      </w:tr>
      <w:tr w14:paraId="0BCB2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7CCB6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75D5A03">
            <w:pPr>
              <w:rPr>
                <w:rFonts w:ascii="宋体" w:hAnsi="宋体" w:eastAsia="宋体" w:cs="宋体"/>
                <w:sz w:val="24"/>
                <w:szCs w:val="24"/>
              </w:rPr>
            </w:pPr>
            <w:r>
              <w:rPr>
                <w:rFonts w:hint="eastAsia" w:ascii="宋体" w:hAnsi="宋体" w:eastAsia="宋体"/>
              </w:rPr>
              <w:t xml:space="preserve">张俊 </w:t>
            </w:r>
          </w:p>
        </w:tc>
      </w:tr>
      <w:tr w14:paraId="5473C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48E0C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A382095">
            <w:pPr>
              <w:rPr>
                <w:rFonts w:ascii="宋体" w:hAnsi="宋体" w:eastAsia="宋体" w:cs="宋体"/>
                <w:sz w:val="24"/>
                <w:szCs w:val="24"/>
              </w:rPr>
            </w:pPr>
            <w:r>
              <w:rPr>
                <w:rFonts w:hint="eastAsia" w:ascii="宋体" w:hAnsi="宋体" w:eastAsia="宋体"/>
              </w:rPr>
              <w:t xml:space="preserve">张蜓 </w:t>
            </w:r>
          </w:p>
        </w:tc>
      </w:tr>
      <w:tr w14:paraId="19628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D492E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1160A74">
            <w:pPr>
              <w:rPr>
                <w:rFonts w:ascii="宋体" w:hAnsi="宋体" w:eastAsia="宋体" w:cs="宋体"/>
                <w:sz w:val="24"/>
                <w:szCs w:val="24"/>
              </w:rPr>
            </w:pPr>
            <w:r>
              <w:rPr>
                <w:rFonts w:hint="eastAsia" w:ascii="宋体" w:hAnsi="宋体" w:eastAsia="宋体"/>
              </w:rPr>
              <w:t xml:space="preserve">021-20219988-35374 </w:t>
            </w:r>
          </w:p>
        </w:tc>
      </w:tr>
      <w:tr w14:paraId="08F90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3A10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7C3EF51">
            <w:pPr>
              <w:rPr>
                <w:rFonts w:ascii="宋体" w:hAnsi="宋体" w:eastAsia="宋体" w:cs="宋体"/>
                <w:sz w:val="24"/>
                <w:szCs w:val="24"/>
              </w:rPr>
            </w:pPr>
            <w:r>
              <w:rPr>
                <w:rFonts w:hint="eastAsia" w:ascii="宋体" w:hAnsi="宋体" w:eastAsia="宋体"/>
              </w:rPr>
              <w:t xml:space="preserve">021-20219923 </w:t>
            </w:r>
          </w:p>
        </w:tc>
      </w:tr>
      <w:tr w14:paraId="522BD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772BB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311F128">
            <w:pPr>
              <w:rPr>
                <w:rFonts w:ascii="宋体" w:hAnsi="宋体" w:eastAsia="宋体" w:cs="宋体"/>
                <w:sz w:val="24"/>
                <w:szCs w:val="24"/>
              </w:rPr>
            </w:pPr>
            <w:r>
              <w:rPr>
                <w:rFonts w:hint="eastAsia" w:ascii="宋体" w:hAnsi="宋体" w:eastAsia="宋体"/>
              </w:rPr>
              <w:t xml:space="preserve">021-20292031 </w:t>
            </w:r>
          </w:p>
        </w:tc>
      </w:tr>
      <w:tr w14:paraId="0C137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EC57C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A99D058">
            <w:pPr>
              <w:rPr>
                <w:rFonts w:ascii="宋体" w:hAnsi="宋体" w:eastAsia="宋体" w:cs="宋体"/>
                <w:sz w:val="24"/>
                <w:szCs w:val="24"/>
              </w:rPr>
            </w:pPr>
            <w:r>
              <w:rPr>
                <w:rFonts w:hint="eastAsia" w:ascii="宋体" w:hAnsi="宋体" w:eastAsia="宋体"/>
              </w:rPr>
              <w:t xml:space="preserve">wg.com.cn </w:t>
            </w:r>
          </w:p>
        </w:tc>
      </w:tr>
    </w:tbl>
    <w:p w14:paraId="14ECD4B7">
      <w:pPr>
        <w:pStyle w:val="7"/>
        <w:spacing w:before="0" w:beforeAutospacing="0" w:after="0" w:afterAutospacing="0" w:line="360" w:lineRule="auto"/>
        <w:ind w:firstLine="420"/>
        <w:rPr>
          <w:sz w:val="21"/>
          <w:szCs w:val="21"/>
        </w:rPr>
      </w:pPr>
      <w:r>
        <w:rPr>
          <w:rFonts w:hint="eastAsia"/>
          <w:b/>
          <w:bCs/>
          <w:sz w:val="21"/>
          <w:szCs w:val="21"/>
        </w:rPr>
        <w:t>(28)上海万得基金销售有限公司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3D082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88E75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658B25B">
            <w:pPr>
              <w:rPr>
                <w:rFonts w:ascii="宋体" w:hAnsi="宋体" w:eastAsia="宋体" w:cs="宋体"/>
                <w:sz w:val="24"/>
                <w:szCs w:val="24"/>
              </w:rPr>
            </w:pPr>
            <w:r>
              <w:rPr>
                <w:rFonts w:hint="eastAsia" w:ascii="宋体" w:hAnsi="宋体" w:eastAsia="宋体"/>
              </w:rPr>
              <w:t xml:space="preserve">中国（上海）自由贸易试验区福山路33号11楼B座 </w:t>
            </w:r>
          </w:p>
        </w:tc>
      </w:tr>
      <w:tr w14:paraId="35758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DB249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05733DB">
            <w:pPr>
              <w:rPr>
                <w:rFonts w:ascii="宋体" w:hAnsi="宋体" w:eastAsia="宋体" w:cs="宋体"/>
                <w:sz w:val="24"/>
                <w:szCs w:val="24"/>
              </w:rPr>
            </w:pPr>
            <w:r>
              <w:rPr>
                <w:rFonts w:hint="eastAsia" w:ascii="宋体" w:hAnsi="宋体" w:eastAsia="宋体"/>
              </w:rPr>
              <w:t xml:space="preserve">上海市浦东新区浦明路1500号万得大厦11楼 </w:t>
            </w:r>
          </w:p>
        </w:tc>
      </w:tr>
      <w:tr w14:paraId="27938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72A2F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DD0E340">
            <w:pPr>
              <w:rPr>
                <w:rFonts w:ascii="宋体" w:hAnsi="宋体" w:eastAsia="宋体" w:cs="宋体"/>
                <w:sz w:val="24"/>
                <w:szCs w:val="24"/>
              </w:rPr>
            </w:pPr>
            <w:r>
              <w:rPr>
                <w:rFonts w:hint="eastAsia" w:ascii="宋体" w:hAnsi="宋体" w:eastAsia="宋体"/>
              </w:rPr>
              <w:t xml:space="preserve">王廷富 </w:t>
            </w:r>
          </w:p>
        </w:tc>
      </w:tr>
      <w:tr w14:paraId="52BB4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B60E3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3F2AD4F">
            <w:pPr>
              <w:rPr>
                <w:rFonts w:ascii="宋体" w:hAnsi="宋体" w:eastAsia="宋体" w:cs="宋体"/>
                <w:sz w:val="24"/>
                <w:szCs w:val="24"/>
              </w:rPr>
            </w:pPr>
            <w:r>
              <w:rPr>
                <w:rFonts w:hint="eastAsia" w:ascii="宋体" w:hAnsi="宋体" w:eastAsia="宋体"/>
              </w:rPr>
              <w:t xml:space="preserve">姜吉灵 </w:t>
            </w:r>
          </w:p>
        </w:tc>
      </w:tr>
      <w:tr w14:paraId="084EA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5E4A1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6F552C7">
            <w:pPr>
              <w:rPr>
                <w:rFonts w:ascii="宋体" w:hAnsi="宋体" w:eastAsia="宋体" w:cs="宋体"/>
                <w:sz w:val="24"/>
                <w:szCs w:val="24"/>
              </w:rPr>
            </w:pPr>
            <w:r>
              <w:rPr>
                <w:rFonts w:hint="eastAsia" w:ascii="宋体" w:hAnsi="宋体" w:eastAsia="宋体"/>
              </w:rPr>
              <w:t xml:space="preserve">021-5132 7185 </w:t>
            </w:r>
          </w:p>
        </w:tc>
      </w:tr>
      <w:tr w14:paraId="5E910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7CFEA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A3902DD">
            <w:pPr>
              <w:rPr>
                <w:rFonts w:ascii="宋体" w:hAnsi="宋体" w:eastAsia="宋体" w:cs="宋体"/>
                <w:sz w:val="24"/>
                <w:szCs w:val="24"/>
              </w:rPr>
            </w:pPr>
            <w:r>
              <w:rPr>
                <w:rFonts w:hint="eastAsia" w:ascii="宋体" w:hAnsi="宋体" w:eastAsia="宋体"/>
              </w:rPr>
              <w:t xml:space="preserve">021-6888 2281 </w:t>
            </w:r>
          </w:p>
        </w:tc>
      </w:tr>
      <w:tr w14:paraId="13E21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41A68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4C254D1">
            <w:pPr>
              <w:rPr>
                <w:rFonts w:ascii="宋体" w:hAnsi="宋体" w:eastAsia="宋体" w:cs="宋体"/>
                <w:sz w:val="24"/>
                <w:szCs w:val="24"/>
              </w:rPr>
            </w:pPr>
            <w:r>
              <w:rPr>
                <w:rFonts w:hint="eastAsia" w:ascii="宋体" w:hAnsi="宋体" w:eastAsia="宋体"/>
              </w:rPr>
              <w:t xml:space="preserve">400-821-0203 </w:t>
            </w:r>
          </w:p>
        </w:tc>
      </w:tr>
      <w:tr w14:paraId="7C48E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1861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1DAA4FF">
            <w:pPr>
              <w:rPr>
                <w:rFonts w:ascii="宋体" w:hAnsi="宋体" w:eastAsia="宋体" w:cs="宋体"/>
                <w:sz w:val="24"/>
                <w:szCs w:val="24"/>
              </w:rPr>
            </w:pPr>
            <w:r>
              <w:rPr>
                <w:rFonts w:hint="eastAsia" w:ascii="宋体" w:hAnsi="宋体" w:eastAsia="宋体"/>
              </w:rPr>
              <w:t xml:space="preserve">www.520fund.com.cn </w:t>
            </w:r>
          </w:p>
        </w:tc>
      </w:tr>
    </w:tbl>
    <w:p w14:paraId="4A5F2BA8">
      <w:pPr>
        <w:pStyle w:val="7"/>
        <w:spacing w:before="0" w:beforeAutospacing="0" w:after="0" w:afterAutospacing="0" w:line="360" w:lineRule="auto"/>
        <w:ind w:firstLine="420"/>
        <w:rPr>
          <w:sz w:val="21"/>
          <w:szCs w:val="21"/>
        </w:rPr>
      </w:pPr>
      <w:r>
        <w:rPr>
          <w:rFonts w:hint="eastAsia"/>
          <w:b/>
          <w:bCs/>
          <w:sz w:val="21"/>
          <w:szCs w:val="21"/>
        </w:rPr>
        <w:t>(29)上海基煜基金销售有限公司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557F9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7C489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1BC5323">
            <w:pPr>
              <w:rPr>
                <w:rFonts w:ascii="宋体" w:hAnsi="宋体" w:eastAsia="宋体" w:cs="宋体"/>
                <w:sz w:val="24"/>
                <w:szCs w:val="24"/>
              </w:rPr>
            </w:pPr>
            <w:r>
              <w:rPr>
                <w:rFonts w:hint="eastAsia" w:ascii="宋体" w:hAnsi="宋体" w:eastAsia="宋体"/>
              </w:rPr>
              <w:t xml:space="preserve">上海市黄浦区广东路500号30层3001单元 </w:t>
            </w:r>
          </w:p>
        </w:tc>
      </w:tr>
      <w:tr w14:paraId="44050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B1605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4417D12">
            <w:pPr>
              <w:rPr>
                <w:rFonts w:ascii="宋体" w:hAnsi="宋体" w:eastAsia="宋体" w:cs="宋体"/>
                <w:sz w:val="24"/>
                <w:szCs w:val="24"/>
              </w:rPr>
            </w:pPr>
            <w:r>
              <w:rPr>
                <w:rFonts w:hint="eastAsia" w:ascii="宋体" w:hAnsi="宋体" w:eastAsia="宋体"/>
              </w:rPr>
              <w:t xml:space="preserve">上海市浦东新区银城中路488号太平金融大厦1503室 </w:t>
            </w:r>
          </w:p>
        </w:tc>
      </w:tr>
      <w:tr w14:paraId="6C1FE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A221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B196A02">
            <w:pPr>
              <w:rPr>
                <w:rFonts w:ascii="宋体" w:hAnsi="宋体" w:eastAsia="宋体" w:cs="宋体"/>
                <w:sz w:val="24"/>
                <w:szCs w:val="24"/>
              </w:rPr>
            </w:pPr>
            <w:r>
              <w:rPr>
                <w:rFonts w:hint="eastAsia" w:ascii="宋体" w:hAnsi="宋体" w:eastAsia="宋体"/>
              </w:rPr>
              <w:t xml:space="preserve">王翔  </w:t>
            </w:r>
          </w:p>
        </w:tc>
      </w:tr>
      <w:tr w14:paraId="481D8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241CC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9FDD9E6">
            <w:pPr>
              <w:rPr>
                <w:rFonts w:ascii="宋体" w:hAnsi="宋体" w:eastAsia="宋体" w:cs="宋体"/>
                <w:sz w:val="24"/>
                <w:szCs w:val="24"/>
              </w:rPr>
            </w:pPr>
            <w:r>
              <w:rPr>
                <w:rFonts w:hint="eastAsia" w:ascii="宋体" w:hAnsi="宋体" w:eastAsia="宋体"/>
              </w:rPr>
              <w:t xml:space="preserve">蓝杰 </w:t>
            </w:r>
          </w:p>
        </w:tc>
      </w:tr>
      <w:tr w14:paraId="303AC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9F032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2418742">
            <w:pPr>
              <w:rPr>
                <w:rFonts w:ascii="宋体" w:hAnsi="宋体" w:eastAsia="宋体" w:cs="宋体"/>
                <w:sz w:val="24"/>
                <w:szCs w:val="24"/>
              </w:rPr>
            </w:pPr>
            <w:r>
              <w:rPr>
                <w:rFonts w:hint="eastAsia" w:ascii="宋体" w:hAnsi="宋体" w:eastAsia="宋体"/>
              </w:rPr>
              <w:t xml:space="preserve">021-65370077 </w:t>
            </w:r>
          </w:p>
        </w:tc>
      </w:tr>
      <w:tr w14:paraId="48490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D6FB5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BF62058">
            <w:pPr>
              <w:rPr>
                <w:rFonts w:ascii="宋体" w:hAnsi="宋体" w:eastAsia="宋体" w:cs="宋体"/>
                <w:sz w:val="24"/>
                <w:szCs w:val="24"/>
              </w:rPr>
            </w:pPr>
            <w:r>
              <w:rPr>
                <w:rFonts w:hint="eastAsia" w:ascii="宋体" w:hAnsi="宋体" w:eastAsia="宋体"/>
              </w:rPr>
              <w:t xml:space="preserve">021-55085991 </w:t>
            </w:r>
          </w:p>
        </w:tc>
      </w:tr>
      <w:tr w14:paraId="31C85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66D39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7E505B1">
            <w:pPr>
              <w:rPr>
                <w:rFonts w:ascii="宋体" w:hAnsi="宋体" w:eastAsia="宋体" w:cs="宋体"/>
                <w:sz w:val="24"/>
                <w:szCs w:val="24"/>
              </w:rPr>
            </w:pPr>
            <w:r>
              <w:rPr>
                <w:rFonts w:hint="eastAsia" w:ascii="宋体" w:hAnsi="宋体" w:eastAsia="宋体"/>
              </w:rPr>
              <w:t xml:space="preserve">400-820-5369 </w:t>
            </w:r>
          </w:p>
        </w:tc>
      </w:tr>
      <w:tr w14:paraId="01963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968CE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40BC865">
            <w:pPr>
              <w:rPr>
                <w:rFonts w:ascii="宋体" w:hAnsi="宋体" w:eastAsia="宋体" w:cs="宋体"/>
                <w:sz w:val="24"/>
                <w:szCs w:val="24"/>
              </w:rPr>
            </w:pPr>
            <w:r>
              <w:rPr>
                <w:rFonts w:hint="eastAsia" w:ascii="宋体" w:hAnsi="宋体" w:eastAsia="宋体"/>
              </w:rPr>
              <w:t xml:space="preserve">www.jiyufund.com.cn </w:t>
            </w:r>
          </w:p>
        </w:tc>
      </w:tr>
    </w:tbl>
    <w:p w14:paraId="2D93B79C">
      <w:pPr>
        <w:pStyle w:val="7"/>
        <w:spacing w:before="0" w:beforeAutospacing="0" w:after="0" w:afterAutospacing="0" w:line="360" w:lineRule="auto"/>
        <w:ind w:firstLine="420"/>
        <w:rPr>
          <w:sz w:val="21"/>
          <w:szCs w:val="21"/>
        </w:rPr>
      </w:pPr>
      <w:r>
        <w:rPr>
          <w:rFonts w:hint="eastAsia"/>
          <w:b/>
          <w:bCs/>
          <w:sz w:val="21"/>
          <w:szCs w:val="21"/>
        </w:rPr>
        <w:t>(30)上海陆金所基金销售有限公司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39DDE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40345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E46ADD6">
            <w:pPr>
              <w:rPr>
                <w:rFonts w:ascii="宋体" w:hAnsi="宋体" w:eastAsia="宋体" w:cs="宋体"/>
                <w:sz w:val="24"/>
                <w:szCs w:val="24"/>
              </w:rPr>
            </w:pPr>
            <w:r>
              <w:rPr>
                <w:rFonts w:hint="eastAsia" w:ascii="宋体" w:hAnsi="宋体" w:eastAsia="宋体"/>
              </w:rPr>
              <w:t xml:space="preserve">上海市浦东新区陆家嘴环路1333号14楼09单元 </w:t>
            </w:r>
          </w:p>
        </w:tc>
      </w:tr>
      <w:tr w14:paraId="7DE90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0892D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6D1EB0F">
            <w:pPr>
              <w:rPr>
                <w:rFonts w:ascii="宋体" w:hAnsi="宋体" w:eastAsia="宋体" w:cs="宋体"/>
                <w:sz w:val="24"/>
                <w:szCs w:val="24"/>
              </w:rPr>
            </w:pPr>
            <w:r>
              <w:rPr>
                <w:rFonts w:hint="eastAsia" w:ascii="宋体" w:hAnsi="宋体" w:eastAsia="宋体"/>
              </w:rPr>
              <w:t xml:space="preserve">上海市浦东新区陆家嘴环路1333号14楼 </w:t>
            </w:r>
          </w:p>
        </w:tc>
      </w:tr>
      <w:tr w14:paraId="23F7D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D46C4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722BA26">
            <w:pPr>
              <w:rPr>
                <w:rFonts w:ascii="宋体" w:hAnsi="宋体" w:eastAsia="宋体" w:cs="宋体"/>
                <w:sz w:val="24"/>
                <w:szCs w:val="24"/>
              </w:rPr>
            </w:pPr>
            <w:r>
              <w:rPr>
                <w:rFonts w:hint="eastAsia" w:ascii="宋体" w:hAnsi="宋体" w:eastAsia="宋体"/>
              </w:rPr>
              <w:t xml:space="preserve">郭坚 </w:t>
            </w:r>
          </w:p>
        </w:tc>
      </w:tr>
      <w:tr w14:paraId="621AA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1B39F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9725E7A">
            <w:pPr>
              <w:rPr>
                <w:rFonts w:ascii="宋体" w:hAnsi="宋体" w:eastAsia="宋体" w:cs="宋体"/>
                <w:sz w:val="24"/>
                <w:szCs w:val="24"/>
              </w:rPr>
            </w:pPr>
            <w:r>
              <w:rPr>
                <w:rFonts w:hint="eastAsia" w:ascii="宋体" w:hAnsi="宋体" w:eastAsia="宋体"/>
              </w:rPr>
              <w:t xml:space="preserve">宁博宇 </w:t>
            </w:r>
          </w:p>
        </w:tc>
      </w:tr>
      <w:tr w14:paraId="69FB6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77661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ACC74E8">
            <w:pPr>
              <w:rPr>
                <w:rFonts w:ascii="宋体" w:hAnsi="宋体" w:eastAsia="宋体" w:cs="宋体"/>
                <w:sz w:val="24"/>
                <w:szCs w:val="24"/>
              </w:rPr>
            </w:pPr>
            <w:r>
              <w:rPr>
                <w:rFonts w:hint="eastAsia" w:ascii="宋体" w:hAnsi="宋体" w:eastAsia="宋体"/>
              </w:rPr>
              <w:t xml:space="preserve">021-20665952 </w:t>
            </w:r>
          </w:p>
        </w:tc>
      </w:tr>
      <w:tr w14:paraId="7CEFA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A0522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B04B248">
            <w:pPr>
              <w:rPr>
                <w:rFonts w:ascii="宋体" w:hAnsi="宋体" w:eastAsia="宋体" w:cs="宋体"/>
                <w:sz w:val="24"/>
                <w:szCs w:val="24"/>
              </w:rPr>
            </w:pPr>
            <w:r>
              <w:rPr>
                <w:rFonts w:hint="eastAsia" w:ascii="宋体" w:hAnsi="宋体" w:eastAsia="宋体"/>
              </w:rPr>
              <w:t xml:space="preserve">021-22066653 </w:t>
            </w:r>
          </w:p>
        </w:tc>
      </w:tr>
      <w:tr w14:paraId="34B8D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887D0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9FD2F4D">
            <w:pPr>
              <w:rPr>
                <w:rFonts w:ascii="宋体" w:hAnsi="宋体" w:eastAsia="宋体" w:cs="宋体"/>
                <w:sz w:val="24"/>
                <w:szCs w:val="24"/>
              </w:rPr>
            </w:pPr>
            <w:r>
              <w:rPr>
                <w:rFonts w:hint="eastAsia" w:ascii="宋体" w:hAnsi="宋体" w:eastAsia="宋体"/>
              </w:rPr>
              <w:t xml:space="preserve">400-821-9031 </w:t>
            </w:r>
          </w:p>
        </w:tc>
      </w:tr>
      <w:tr w14:paraId="07FB0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7F11C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3D7747A">
            <w:pPr>
              <w:rPr>
                <w:rFonts w:ascii="宋体" w:hAnsi="宋体" w:eastAsia="宋体" w:cs="宋体"/>
                <w:sz w:val="24"/>
                <w:szCs w:val="24"/>
              </w:rPr>
            </w:pPr>
            <w:r>
              <w:rPr>
                <w:rFonts w:hint="eastAsia" w:ascii="宋体" w:hAnsi="宋体" w:eastAsia="宋体"/>
              </w:rPr>
              <w:t xml:space="preserve">www.lufunds.com </w:t>
            </w:r>
          </w:p>
        </w:tc>
      </w:tr>
    </w:tbl>
    <w:p w14:paraId="0CEB6350">
      <w:pPr>
        <w:pStyle w:val="7"/>
        <w:spacing w:before="0" w:beforeAutospacing="0" w:after="0" w:afterAutospacing="0" w:line="360" w:lineRule="auto"/>
        <w:ind w:firstLine="420"/>
        <w:rPr>
          <w:sz w:val="21"/>
          <w:szCs w:val="21"/>
        </w:rPr>
      </w:pPr>
      <w:r>
        <w:rPr>
          <w:rFonts w:hint="eastAsia"/>
          <w:b/>
          <w:bCs/>
          <w:sz w:val="21"/>
          <w:szCs w:val="21"/>
        </w:rPr>
        <w:t>(31)珠海盈米基金销售有限公司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1129F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F96D0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FA81189">
            <w:pPr>
              <w:rPr>
                <w:rFonts w:ascii="宋体" w:hAnsi="宋体" w:eastAsia="宋体" w:cs="宋体"/>
                <w:sz w:val="24"/>
                <w:szCs w:val="24"/>
              </w:rPr>
            </w:pPr>
            <w:r>
              <w:rPr>
                <w:rFonts w:hint="eastAsia" w:ascii="宋体" w:hAnsi="宋体" w:eastAsia="宋体"/>
              </w:rPr>
              <w:t xml:space="preserve">珠海市横琴新区宝华路6号105室-3491 </w:t>
            </w:r>
          </w:p>
        </w:tc>
      </w:tr>
      <w:tr w14:paraId="64518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EB5B3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4E26F39">
            <w:pPr>
              <w:rPr>
                <w:rFonts w:ascii="宋体" w:hAnsi="宋体" w:eastAsia="宋体" w:cs="宋体"/>
                <w:sz w:val="24"/>
                <w:szCs w:val="24"/>
              </w:rPr>
            </w:pPr>
            <w:r>
              <w:rPr>
                <w:rFonts w:hint="eastAsia" w:ascii="宋体" w:hAnsi="宋体" w:eastAsia="宋体"/>
              </w:rPr>
              <w:t xml:space="preserve">广州市海珠区琶洲大道东1号保利国际广场南塔12楼B1201-1203 </w:t>
            </w:r>
          </w:p>
        </w:tc>
      </w:tr>
      <w:tr w14:paraId="47940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D9A3A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EFB968A">
            <w:pPr>
              <w:rPr>
                <w:rFonts w:ascii="宋体" w:hAnsi="宋体" w:eastAsia="宋体" w:cs="宋体"/>
                <w:sz w:val="24"/>
                <w:szCs w:val="24"/>
              </w:rPr>
            </w:pPr>
            <w:r>
              <w:rPr>
                <w:rFonts w:hint="eastAsia" w:ascii="宋体" w:hAnsi="宋体" w:eastAsia="宋体"/>
              </w:rPr>
              <w:t xml:space="preserve">肖雯 </w:t>
            </w:r>
          </w:p>
        </w:tc>
      </w:tr>
      <w:tr w14:paraId="0FFF1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9601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930FB64">
            <w:pPr>
              <w:rPr>
                <w:rFonts w:ascii="宋体" w:hAnsi="宋体" w:eastAsia="宋体" w:cs="宋体"/>
                <w:sz w:val="24"/>
                <w:szCs w:val="24"/>
              </w:rPr>
            </w:pPr>
            <w:r>
              <w:rPr>
                <w:rFonts w:hint="eastAsia" w:ascii="宋体" w:hAnsi="宋体" w:eastAsia="宋体"/>
              </w:rPr>
              <w:t xml:space="preserve">吴煜浩 </w:t>
            </w:r>
          </w:p>
        </w:tc>
      </w:tr>
      <w:tr w14:paraId="40D46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1BE5A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A0980A0">
            <w:pPr>
              <w:rPr>
                <w:rFonts w:ascii="宋体" w:hAnsi="宋体" w:eastAsia="宋体" w:cs="宋体"/>
                <w:sz w:val="24"/>
                <w:szCs w:val="24"/>
              </w:rPr>
            </w:pPr>
            <w:r>
              <w:rPr>
                <w:rFonts w:hint="eastAsia" w:ascii="宋体" w:hAnsi="宋体" w:eastAsia="宋体"/>
              </w:rPr>
              <w:t xml:space="preserve">020-89629099 </w:t>
            </w:r>
          </w:p>
        </w:tc>
      </w:tr>
      <w:tr w14:paraId="79162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C163D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A0B2B2F">
            <w:pPr>
              <w:rPr>
                <w:rFonts w:ascii="宋体" w:hAnsi="宋体" w:eastAsia="宋体" w:cs="宋体"/>
                <w:sz w:val="24"/>
                <w:szCs w:val="24"/>
              </w:rPr>
            </w:pPr>
            <w:r>
              <w:rPr>
                <w:rFonts w:hint="eastAsia" w:ascii="宋体" w:hAnsi="宋体" w:eastAsia="宋体"/>
              </w:rPr>
              <w:t xml:space="preserve">020-89629011 </w:t>
            </w:r>
          </w:p>
        </w:tc>
      </w:tr>
      <w:tr w14:paraId="75629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CC49C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715B3CF">
            <w:pPr>
              <w:rPr>
                <w:rFonts w:ascii="宋体" w:hAnsi="宋体" w:eastAsia="宋体" w:cs="宋体"/>
                <w:sz w:val="24"/>
                <w:szCs w:val="24"/>
              </w:rPr>
            </w:pPr>
            <w:r>
              <w:rPr>
                <w:rFonts w:hint="eastAsia" w:ascii="宋体" w:hAnsi="宋体" w:eastAsia="宋体"/>
              </w:rPr>
              <w:t xml:space="preserve">020-89629066 </w:t>
            </w:r>
          </w:p>
        </w:tc>
      </w:tr>
      <w:tr w14:paraId="66127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0325A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1B4EA22">
            <w:pPr>
              <w:rPr>
                <w:rFonts w:ascii="宋体" w:hAnsi="宋体" w:eastAsia="宋体" w:cs="宋体"/>
                <w:sz w:val="24"/>
                <w:szCs w:val="24"/>
              </w:rPr>
            </w:pPr>
            <w:r>
              <w:rPr>
                <w:rFonts w:hint="eastAsia" w:ascii="宋体" w:hAnsi="宋体" w:eastAsia="宋体"/>
              </w:rPr>
              <w:t xml:space="preserve">www.yingmi.cn </w:t>
            </w:r>
          </w:p>
        </w:tc>
      </w:tr>
    </w:tbl>
    <w:p w14:paraId="125555F1">
      <w:pPr>
        <w:pStyle w:val="7"/>
        <w:spacing w:before="0" w:beforeAutospacing="0" w:after="0" w:afterAutospacing="0" w:line="360" w:lineRule="auto"/>
        <w:ind w:firstLine="420"/>
        <w:rPr>
          <w:sz w:val="21"/>
          <w:szCs w:val="21"/>
        </w:rPr>
      </w:pPr>
      <w:r>
        <w:rPr>
          <w:rFonts w:hint="eastAsia"/>
          <w:b/>
          <w:bCs/>
          <w:sz w:val="21"/>
          <w:szCs w:val="21"/>
        </w:rPr>
        <w:t>(32)京东肯特瑞基金销售有限公司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11E58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7EF6E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643EE45">
            <w:pPr>
              <w:rPr>
                <w:rFonts w:ascii="宋体" w:hAnsi="宋体" w:eastAsia="宋体" w:cs="宋体"/>
                <w:sz w:val="24"/>
                <w:szCs w:val="24"/>
              </w:rPr>
            </w:pPr>
            <w:r>
              <w:rPr>
                <w:rFonts w:hint="eastAsia" w:ascii="宋体" w:hAnsi="宋体" w:eastAsia="宋体"/>
              </w:rPr>
              <w:t xml:space="preserve">北京市海淀区海淀东三街2号4层401-15 </w:t>
            </w:r>
          </w:p>
        </w:tc>
      </w:tr>
      <w:tr w14:paraId="3D6A9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F238D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85C9D29">
            <w:pPr>
              <w:rPr>
                <w:rFonts w:ascii="宋体" w:hAnsi="宋体" w:eastAsia="宋体" w:cs="宋体"/>
                <w:sz w:val="24"/>
                <w:szCs w:val="24"/>
              </w:rPr>
            </w:pPr>
            <w:r>
              <w:rPr>
                <w:rFonts w:hint="eastAsia" w:ascii="宋体" w:hAnsi="宋体" w:eastAsia="宋体"/>
              </w:rPr>
              <w:t xml:space="preserve">北京市经济开发区科创十一街18号院京东总部A座4层A428室 </w:t>
            </w:r>
          </w:p>
        </w:tc>
      </w:tr>
      <w:tr w14:paraId="7F3C2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01050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CCD5DC8">
            <w:pPr>
              <w:rPr>
                <w:rFonts w:ascii="宋体" w:hAnsi="宋体" w:eastAsia="宋体" w:cs="宋体"/>
                <w:sz w:val="24"/>
                <w:szCs w:val="24"/>
              </w:rPr>
            </w:pPr>
            <w:r>
              <w:rPr>
                <w:rFonts w:hint="eastAsia" w:ascii="宋体" w:hAnsi="宋体" w:eastAsia="宋体"/>
              </w:rPr>
              <w:t xml:space="preserve">王珊珊 </w:t>
            </w:r>
          </w:p>
        </w:tc>
      </w:tr>
      <w:tr w14:paraId="4C923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EABA5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7A5A3DA">
            <w:pPr>
              <w:rPr>
                <w:rFonts w:ascii="宋体" w:hAnsi="宋体" w:eastAsia="宋体" w:cs="宋体"/>
                <w:sz w:val="24"/>
                <w:szCs w:val="24"/>
              </w:rPr>
            </w:pPr>
            <w:r>
              <w:rPr>
                <w:rFonts w:hint="eastAsia" w:ascii="宋体" w:hAnsi="宋体" w:eastAsia="宋体"/>
              </w:rPr>
              <w:t xml:space="preserve">文雯 </w:t>
            </w:r>
          </w:p>
        </w:tc>
      </w:tr>
      <w:tr w14:paraId="47377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9CD57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7140BE9">
            <w:pPr>
              <w:rPr>
                <w:rFonts w:ascii="宋体" w:hAnsi="宋体" w:eastAsia="宋体" w:cs="宋体"/>
                <w:sz w:val="24"/>
                <w:szCs w:val="24"/>
              </w:rPr>
            </w:pPr>
            <w:r>
              <w:rPr>
                <w:rFonts w:hint="eastAsia" w:ascii="宋体" w:hAnsi="宋体" w:eastAsia="宋体"/>
              </w:rPr>
              <w:t xml:space="preserve">400-098-8511 </w:t>
            </w:r>
          </w:p>
        </w:tc>
      </w:tr>
      <w:tr w14:paraId="6C117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81F2F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DFC6494">
            <w:pPr>
              <w:rPr>
                <w:rFonts w:ascii="宋体" w:hAnsi="宋体" w:eastAsia="宋体" w:cs="宋体"/>
                <w:sz w:val="24"/>
                <w:szCs w:val="24"/>
              </w:rPr>
            </w:pPr>
            <w:r>
              <w:rPr>
                <w:rFonts w:hint="eastAsia" w:ascii="宋体" w:hAnsi="宋体" w:eastAsia="宋体"/>
              </w:rPr>
              <w:t xml:space="preserve">010-89188000 </w:t>
            </w:r>
          </w:p>
        </w:tc>
      </w:tr>
      <w:tr w14:paraId="6A7E6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CE9B6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FB7C8AB">
            <w:pPr>
              <w:rPr>
                <w:rFonts w:ascii="宋体" w:hAnsi="宋体" w:eastAsia="宋体" w:cs="宋体"/>
                <w:sz w:val="24"/>
                <w:szCs w:val="24"/>
              </w:rPr>
            </w:pPr>
            <w:r>
              <w:rPr>
                <w:rFonts w:hint="eastAsia" w:ascii="宋体" w:hAnsi="宋体" w:eastAsia="宋体"/>
              </w:rPr>
              <w:t xml:space="preserve">400-088-8816 </w:t>
            </w:r>
          </w:p>
        </w:tc>
      </w:tr>
      <w:tr w14:paraId="01291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80AC1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F9429E0">
            <w:pPr>
              <w:rPr>
                <w:rFonts w:ascii="宋体" w:hAnsi="宋体" w:eastAsia="宋体" w:cs="宋体"/>
                <w:sz w:val="24"/>
                <w:szCs w:val="24"/>
              </w:rPr>
            </w:pPr>
            <w:r>
              <w:rPr>
                <w:rFonts w:hint="eastAsia" w:ascii="宋体" w:hAnsi="宋体" w:eastAsia="宋体"/>
              </w:rPr>
              <w:t xml:space="preserve">http://jr.jd.com/ </w:t>
            </w:r>
          </w:p>
        </w:tc>
      </w:tr>
    </w:tbl>
    <w:p w14:paraId="4D709177">
      <w:pPr>
        <w:pStyle w:val="7"/>
        <w:spacing w:before="0" w:beforeAutospacing="0" w:after="0" w:afterAutospacing="0" w:line="360" w:lineRule="auto"/>
        <w:ind w:firstLine="420"/>
        <w:rPr>
          <w:sz w:val="21"/>
          <w:szCs w:val="21"/>
        </w:rPr>
      </w:pPr>
      <w:r>
        <w:rPr>
          <w:rFonts w:hint="eastAsia"/>
          <w:b/>
          <w:bCs/>
          <w:sz w:val="21"/>
          <w:szCs w:val="21"/>
        </w:rPr>
        <w:t>(33)北京雪球基金销售有限公司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5B404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547D2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A835D46">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65225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2A800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AD30CCF">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05FB6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06494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F1C97D2">
            <w:pPr>
              <w:rPr>
                <w:rFonts w:ascii="宋体" w:hAnsi="宋体" w:eastAsia="宋体" w:cs="宋体"/>
                <w:sz w:val="24"/>
                <w:szCs w:val="24"/>
              </w:rPr>
            </w:pPr>
            <w:r>
              <w:rPr>
                <w:rFonts w:hint="eastAsia" w:ascii="宋体" w:hAnsi="宋体" w:eastAsia="宋体"/>
              </w:rPr>
              <w:t xml:space="preserve">李楠 </w:t>
            </w:r>
          </w:p>
        </w:tc>
      </w:tr>
      <w:tr w14:paraId="38E5A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B31E7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4E076C6">
            <w:pPr>
              <w:rPr>
                <w:rFonts w:ascii="宋体" w:hAnsi="宋体" w:eastAsia="宋体" w:cs="宋体"/>
                <w:sz w:val="24"/>
                <w:szCs w:val="24"/>
              </w:rPr>
            </w:pPr>
            <w:r>
              <w:rPr>
                <w:rFonts w:hint="eastAsia" w:ascii="宋体" w:hAnsi="宋体" w:eastAsia="宋体"/>
              </w:rPr>
              <w:t xml:space="preserve">戚晓强 </w:t>
            </w:r>
          </w:p>
        </w:tc>
      </w:tr>
      <w:tr w14:paraId="09908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F7DB4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7EF1C01">
            <w:pPr>
              <w:rPr>
                <w:rFonts w:ascii="宋体" w:hAnsi="宋体" w:eastAsia="宋体" w:cs="宋体"/>
                <w:sz w:val="24"/>
                <w:szCs w:val="24"/>
              </w:rPr>
            </w:pPr>
            <w:r>
              <w:rPr>
                <w:rFonts w:hint="eastAsia" w:ascii="宋体" w:hAnsi="宋体" w:eastAsia="宋体"/>
              </w:rPr>
              <w:t xml:space="preserve">15810005516 </w:t>
            </w:r>
          </w:p>
        </w:tc>
      </w:tr>
      <w:tr w14:paraId="17803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65689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4E92C71">
            <w:pPr>
              <w:rPr>
                <w:rFonts w:ascii="宋体" w:hAnsi="宋体" w:eastAsia="宋体" w:cs="宋体"/>
                <w:sz w:val="24"/>
                <w:szCs w:val="24"/>
              </w:rPr>
            </w:pPr>
            <w:r>
              <w:rPr>
                <w:rFonts w:hint="eastAsia" w:ascii="宋体" w:hAnsi="宋体" w:eastAsia="宋体"/>
              </w:rPr>
              <w:t xml:space="preserve">010-85659484 </w:t>
            </w:r>
          </w:p>
        </w:tc>
      </w:tr>
      <w:tr w14:paraId="07B9F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4F570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2DDCC58">
            <w:pPr>
              <w:rPr>
                <w:rFonts w:ascii="宋体" w:hAnsi="宋体" w:eastAsia="宋体" w:cs="宋体"/>
                <w:sz w:val="24"/>
                <w:szCs w:val="24"/>
              </w:rPr>
            </w:pPr>
            <w:r>
              <w:rPr>
                <w:rFonts w:hint="eastAsia" w:ascii="宋体" w:hAnsi="宋体" w:eastAsia="宋体"/>
              </w:rPr>
              <w:t xml:space="preserve">400-061-8518 </w:t>
            </w:r>
          </w:p>
        </w:tc>
      </w:tr>
      <w:tr w14:paraId="7DC22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2453F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3F55EB5">
            <w:pPr>
              <w:rPr>
                <w:rFonts w:ascii="宋体" w:hAnsi="宋体" w:eastAsia="宋体" w:cs="宋体"/>
                <w:sz w:val="24"/>
                <w:szCs w:val="24"/>
              </w:rPr>
            </w:pPr>
            <w:r>
              <w:rPr>
                <w:rFonts w:hint="eastAsia" w:ascii="宋体" w:hAnsi="宋体" w:eastAsia="宋体"/>
              </w:rPr>
              <w:t xml:space="preserve">danjuanapp.com </w:t>
            </w:r>
          </w:p>
        </w:tc>
      </w:tr>
    </w:tbl>
    <w:p w14:paraId="0A93702A">
      <w:pPr>
        <w:pStyle w:val="7"/>
        <w:spacing w:before="0" w:beforeAutospacing="0" w:after="0" w:afterAutospacing="0" w:line="360" w:lineRule="auto"/>
        <w:ind w:firstLine="420"/>
        <w:rPr>
          <w:sz w:val="21"/>
          <w:szCs w:val="21"/>
        </w:rPr>
      </w:pPr>
      <w:r>
        <w:rPr>
          <w:rFonts w:hint="eastAsia"/>
          <w:b/>
          <w:bCs/>
          <w:sz w:val="21"/>
          <w:szCs w:val="21"/>
        </w:rPr>
        <w:t>(34)上海中欧财富基金销售有限公司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0075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08B88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997ED5E">
            <w:pPr>
              <w:rPr>
                <w:rFonts w:ascii="宋体" w:hAnsi="宋体" w:eastAsia="宋体" w:cs="宋体"/>
                <w:sz w:val="24"/>
                <w:szCs w:val="24"/>
              </w:rPr>
            </w:pPr>
            <w:r>
              <w:rPr>
                <w:rFonts w:hint="eastAsia" w:ascii="宋体" w:hAnsi="宋体" w:eastAsia="宋体"/>
              </w:rPr>
              <w:t xml:space="preserve">中国（上海）自由贸易试验区陆家嘴环路333号502室 </w:t>
            </w:r>
          </w:p>
        </w:tc>
      </w:tr>
      <w:tr w14:paraId="0A159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4547C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2557913">
            <w:pPr>
              <w:rPr>
                <w:rFonts w:ascii="宋体" w:hAnsi="宋体" w:eastAsia="宋体" w:cs="宋体"/>
                <w:sz w:val="24"/>
                <w:szCs w:val="24"/>
              </w:rPr>
            </w:pPr>
            <w:r>
              <w:rPr>
                <w:rFonts w:hint="eastAsia" w:ascii="宋体" w:hAnsi="宋体" w:eastAsia="宋体"/>
              </w:rPr>
              <w:t xml:space="preserve">上海市虹口区公平路18号8栋嘉昱大厦6层 </w:t>
            </w:r>
          </w:p>
        </w:tc>
      </w:tr>
      <w:tr w14:paraId="0BB8D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C73E4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7BAD399">
            <w:pPr>
              <w:rPr>
                <w:rFonts w:ascii="宋体" w:hAnsi="宋体" w:eastAsia="宋体" w:cs="宋体"/>
                <w:sz w:val="24"/>
                <w:szCs w:val="24"/>
              </w:rPr>
            </w:pPr>
            <w:r>
              <w:rPr>
                <w:rFonts w:hint="eastAsia" w:ascii="宋体" w:hAnsi="宋体" w:eastAsia="宋体"/>
              </w:rPr>
              <w:t xml:space="preserve">许欣 </w:t>
            </w:r>
          </w:p>
        </w:tc>
      </w:tr>
      <w:tr w14:paraId="25492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C10C7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4D2FBB5">
            <w:pPr>
              <w:rPr>
                <w:rFonts w:ascii="宋体" w:hAnsi="宋体" w:eastAsia="宋体" w:cs="宋体"/>
                <w:sz w:val="24"/>
                <w:szCs w:val="24"/>
              </w:rPr>
            </w:pPr>
            <w:r>
              <w:rPr>
                <w:rFonts w:hint="eastAsia" w:ascii="宋体" w:hAnsi="宋体" w:eastAsia="宋体"/>
              </w:rPr>
              <w:t xml:space="preserve">刘弘义 </w:t>
            </w:r>
          </w:p>
        </w:tc>
      </w:tr>
      <w:tr w14:paraId="566CB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EB1F3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C41969D">
            <w:pPr>
              <w:rPr>
                <w:rFonts w:ascii="宋体" w:hAnsi="宋体" w:eastAsia="宋体" w:cs="宋体"/>
                <w:sz w:val="24"/>
                <w:szCs w:val="24"/>
              </w:rPr>
            </w:pPr>
            <w:r>
              <w:rPr>
                <w:rFonts w:hint="eastAsia" w:ascii="宋体" w:hAnsi="宋体" w:eastAsia="宋体"/>
              </w:rPr>
              <w:t xml:space="preserve">15608193006 </w:t>
            </w:r>
          </w:p>
        </w:tc>
      </w:tr>
      <w:tr w14:paraId="7D5D7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684BF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A4F3C6E">
            <w:pPr>
              <w:rPr>
                <w:rFonts w:ascii="宋体" w:hAnsi="宋体" w:eastAsia="宋体" w:cs="宋体"/>
                <w:sz w:val="24"/>
                <w:szCs w:val="24"/>
              </w:rPr>
            </w:pPr>
            <w:r>
              <w:rPr>
                <w:rFonts w:hint="eastAsia" w:ascii="宋体" w:hAnsi="宋体" w:eastAsia="宋体"/>
              </w:rPr>
              <w:t xml:space="preserve">+86 21 35073616 </w:t>
            </w:r>
          </w:p>
        </w:tc>
      </w:tr>
      <w:tr w14:paraId="598E5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1A4FB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EF2F939">
            <w:pPr>
              <w:rPr>
                <w:rFonts w:ascii="宋体" w:hAnsi="宋体" w:eastAsia="宋体" w:cs="宋体"/>
                <w:sz w:val="24"/>
                <w:szCs w:val="24"/>
              </w:rPr>
            </w:pPr>
            <w:r>
              <w:rPr>
                <w:rFonts w:hint="eastAsia" w:ascii="宋体" w:hAnsi="宋体" w:eastAsia="宋体"/>
              </w:rPr>
              <w:t xml:space="preserve">021-68609700 </w:t>
            </w:r>
          </w:p>
        </w:tc>
      </w:tr>
      <w:tr w14:paraId="07671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96D76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3E9BB01">
            <w:pPr>
              <w:rPr>
                <w:rFonts w:ascii="宋体" w:hAnsi="宋体" w:eastAsia="宋体" w:cs="宋体"/>
                <w:sz w:val="24"/>
                <w:szCs w:val="24"/>
              </w:rPr>
            </w:pPr>
            <w:r>
              <w:rPr>
                <w:rFonts w:hint="eastAsia" w:ascii="宋体" w:hAnsi="宋体" w:eastAsia="宋体"/>
              </w:rPr>
              <w:t xml:space="preserve">https://www.zocaifu.com/ </w:t>
            </w:r>
          </w:p>
        </w:tc>
      </w:tr>
    </w:tbl>
    <w:p w14:paraId="5B2B94CF">
      <w:pPr>
        <w:pStyle w:val="7"/>
        <w:spacing w:before="0" w:beforeAutospacing="0" w:after="0" w:afterAutospacing="0" w:line="360" w:lineRule="auto"/>
        <w:ind w:firstLine="420"/>
        <w:rPr>
          <w:sz w:val="21"/>
          <w:szCs w:val="21"/>
        </w:rPr>
      </w:pPr>
      <w:r>
        <w:rPr>
          <w:rFonts w:hint="eastAsia"/>
          <w:b/>
          <w:bCs/>
          <w:sz w:val="21"/>
          <w:szCs w:val="21"/>
        </w:rPr>
        <w:t>(35)上海华夏财富投资管理有限公司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55215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6E0D3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A302886">
            <w:pPr>
              <w:rPr>
                <w:rFonts w:ascii="宋体" w:hAnsi="宋体" w:eastAsia="宋体" w:cs="宋体"/>
                <w:sz w:val="24"/>
                <w:szCs w:val="24"/>
              </w:rPr>
            </w:pPr>
            <w:r>
              <w:rPr>
                <w:rFonts w:hint="eastAsia" w:ascii="宋体" w:hAnsi="宋体" w:eastAsia="宋体"/>
              </w:rPr>
              <w:t xml:space="preserve">上海市虹口区东大名路687号1幢2楼268室 </w:t>
            </w:r>
          </w:p>
        </w:tc>
      </w:tr>
      <w:tr w14:paraId="48978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730DD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5389218">
            <w:pPr>
              <w:rPr>
                <w:rFonts w:ascii="宋体" w:hAnsi="宋体" w:eastAsia="宋体" w:cs="宋体"/>
                <w:sz w:val="24"/>
                <w:szCs w:val="24"/>
              </w:rPr>
            </w:pPr>
            <w:r>
              <w:rPr>
                <w:rFonts w:hint="eastAsia" w:ascii="宋体" w:hAnsi="宋体" w:eastAsia="宋体"/>
              </w:rPr>
              <w:t xml:space="preserve">上海市虹口区东大名路687号1幢2楼268室 </w:t>
            </w:r>
          </w:p>
        </w:tc>
      </w:tr>
      <w:tr w14:paraId="2873C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08B9E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6921404">
            <w:pPr>
              <w:rPr>
                <w:rFonts w:ascii="宋体" w:hAnsi="宋体" w:eastAsia="宋体" w:cs="宋体"/>
                <w:sz w:val="24"/>
                <w:szCs w:val="24"/>
              </w:rPr>
            </w:pPr>
            <w:r>
              <w:rPr>
                <w:rFonts w:hint="eastAsia" w:ascii="宋体" w:hAnsi="宋体" w:eastAsia="宋体"/>
              </w:rPr>
              <w:t xml:space="preserve">毛淮平 </w:t>
            </w:r>
          </w:p>
        </w:tc>
      </w:tr>
      <w:tr w14:paraId="06433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2231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1EFB941">
            <w:pPr>
              <w:rPr>
                <w:rFonts w:ascii="宋体" w:hAnsi="宋体" w:eastAsia="宋体" w:cs="宋体"/>
                <w:sz w:val="24"/>
                <w:szCs w:val="24"/>
              </w:rPr>
            </w:pPr>
            <w:r>
              <w:rPr>
                <w:rFonts w:hint="eastAsia" w:ascii="宋体" w:hAnsi="宋体" w:eastAsia="宋体"/>
              </w:rPr>
              <w:t xml:space="preserve">张静怡 </w:t>
            </w:r>
          </w:p>
        </w:tc>
      </w:tr>
      <w:tr w14:paraId="3FCA7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615DC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B52C4D9">
            <w:pPr>
              <w:rPr>
                <w:rFonts w:ascii="宋体" w:hAnsi="宋体" w:eastAsia="宋体" w:cs="宋体"/>
                <w:sz w:val="24"/>
                <w:szCs w:val="24"/>
              </w:rPr>
            </w:pPr>
            <w:r>
              <w:rPr>
                <w:rFonts w:hint="eastAsia" w:ascii="宋体" w:hAnsi="宋体" w:eastAsia="宋体"/>
              </w:rPr>
              <w:t xml:space="preserve">010-88066326 </w:t>
            </w:r>
          </w:p>
        </w:tc>
      </w:tr>
      <w:tr w14:paraId="0947A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445C7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3BFC75A">
            <w:pPr>
              <w:rPr>
                <w:rFonts w:ascii="宋体" w:hAnsi="宋体" w:eastAsia="宋体" w:cs="宋体"/>
                <w:sz w:val="24"/>
                <w:szCs w:val="24"/>
              </w:rPr>
            </w:pPr>
            <w:r>
              <w:rPr>
                <w:rFonts w:hint="eastAsia" w:ascii="宋体" w:hAnsi="宋体" w:eastAsia="宋体"/>
              </w:rPr>
              <w:t xml:space="preserve">400-817-5666 </w:t>
            </w:r>
          </w:p>
        </w:tc>
      </w:tr>
      <w:tr w14:paraId="1893D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097FD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E52991F">
            <w:pPr>
              <w:rPr>
                <w:rFonts w:ascii="宋体" w:hAnsi="宋体" w:eastAsia="宋体" w:cs="宋体"/>
                <w:sz w:val="24"/>
                <w:szCs w:val="24"/>
              </w:rPr>
            </w:pPr>
            <w:r>
              <w:rPr>
                <w:rFonts w:hint="eastAsia" w:ascii="宋体" w:hAnsi="宋体" w:eastAsia="宋体"/>
              </w:rPr>
              <w:t xml:space="preserve">https://www.amcfortune.com/ </w:t>
            </w:r>
          </w:p>
        </w:tc>
      </w:tr>
    </w:tbl>
    <w:p w14:paraId="5EF708D8">
      <w:pPr>
        <w:pStyle w:val="7"/>
        <w:spacing w:before="0" w:beforeAutospacing="0" w:after="0" w:afterAutospacing="0" w:line="360" w:lineRule="auto"/>
        <w:ind w:firstLine="420"/>
        <w:rPr>
          <w:sz w:val="21"/>
          <w:szCs w:val="21"/>
        </w:rPr>
      </w:pPr>
      <w:r>
        <w:rPr>
          <w:rFonts w:hint="eastAsia"/>
          <w:b/>
          <w:bCs/>
          <w:sz w:val="21"/>
          <w:szCs w:val="21"/>
        </w:rPr>
        <w:t>(36)中信期货有限公司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0EDA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F0F9C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BFFC277">
            <w:pPr>
              <w:rPr>
                <w:rFonts w:ascii="宋体" w:hAnsi="宋体" w:eastAsia="宋体" w:cs="宋体"/>
                <w:sz w:val="24"/>
                <w:szCs w:val="24"/>
              </w:rPr>
            </w:pPr>
            <w:r>
              <w:rPr>
                <w:rFonts w:hint="eastAsia" w:ascii="宋体" w:hAnsi="宋体" w:eastAsia="宋体"/>
              </w:rPr>
              <w:t xml:space="preserve">深圳市福田区中心三路8号卓越时代广场（二期）北座13层1301-1305室、14层 </w:t>
            </w:r>
          </w:p>
        </w:tc>
      </w:tr>
      <w:tr w14:paraId="0A5A6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77E01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B614657">
            <w:pPr>
              <w:rPr>
                <w:rFonts w:ascii="宋体" w:hAnsi="宋体" w:eastAsia="宋体" w:cs="宋体"/>
                <w:sz w:val="24"/>
                <w:szCs w:val="24"/>
              </w:rPr>
            </w:pPr>
            <w:r>
              <w:rPr>
                <w:rFonts w:hint="eastAsia" w:ascii="宋体" w:hAnsi="宋体" w:eastAsia="宋体"/>
              </w:rPr>
              <w:t xml:space="preserve">深圳市福田区中心三路8号卓越时代广场（二期）北座13层1301-1305室、14层 </w:t>
            </w:r>
          </w:p>
        </w:tc>
      </w:tr>
      <w:tr w14:paraId="32F08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82BB5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34458A4">
            <w:pPr>
              <w:rPr>
                <w:rFonts w:ascii="宋体" w:hAnsi="宋体" w:eastAsia="宋体" w:cs="宋体"/>
                <w:sz w:val="24"/>
                <w:szCs w:val="24"/>
              </w:rPr>
            </w:pPr>
            <w:r>
              <w:rPr>
                <w:rFonts w:hint="eastAsia" w:ascii="宋体" w:hAnsi="宋体" w:eastAsia="宋体"/>
              </w:rPr>
              <w:t xml:space="preserve">张皓 </w:t>
            </w:r>
          </w:p>
        </w:tc>
      </w:tr>
      <w:tr w14:paraId="057F4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82770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C85F084">
            <w:pPr>
              <w:rPr>
                <w:rFonts w:ascii="宋体" w:hAnsi="宋体" w:eastAsia="宋体" w:cs="宋体"/>
                <w:sz w:val="24"/>
                <w:szCs w:val="24"/>
              </w:rPr>
            </w:pPr>
            <w:r>
              <w:rPr>
                <w:rFonts w:hint="eastAsia" w:ascii="宋体" w:hAnsi="宋体" w:eastAsia="宋体"/>
              </w:rPr>
              <w:t xml:space="preserve">梁美娜 </w:t>
            </w:r>
          </w:p>
        </w:tc>
      </w:tr>
      <w:tr w14:paraId="12134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A8BC2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B9A3B58">
            <w:pPr>
              <w:rPr>
                <w:rFonts w:ascii="宋体" w:hAnsi="宋体" w:eastAsia="宋体" w:cs="宋体"/>
                <w:sz w:val="24"/>
                <w:szCs w:val="24"/>
              </w:rPr>
            </w:pPr>
            <w:r>
              <w:rPr>
                <w:rFonts w:hint="eastAsia" w:ascii="宋体" w:hAnsi="宋体" w:eastAsia="宋体"/>
              </w:rPr>
              <w:t xml:space="preserve">021-80365243 </w:t>
            </w:r>
          </w:p>
        </w:tc>
      </w:tr>
      <w:tr w14:paraId="34C01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C81AB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DF95737">
            <w:pPr>
              <w:rPr>
                <w:rFonts w:ascii="宋体" w:hAnsi="宋体" w:eastAsia="宋体" w:cs="宋体"/>
                <w:sz w:val="24"/>
                <w:szCs w:val="24"/>
              </w:rPr>
            </w:pPr>
            <w:r>
              <w:rPr>
                <w:rFonts w:hint="eastAsia" w:ascii="宋体" w:hAnsi="宋体" w:eastAsia="宋体"/>
              </w:rPr>
              <w:t xml:space="preserve">021-60819988 </w:t>
            </w:r>
          </w:p>
        </w:tc>
      </w:tr>
      <w:tr w14:paraId="6BF72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8B991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A497C87">
            <w:pPr>
              <w:rPr>
                <w:rFonts w:ascii="宋体" w:hAnsi="宋体" w:eastAsia="宋体" w:cs="宋体"/>
                <w:sz w:val="24"/>
                <w:szCs w:val="24"/>
              </w:rPr>
            </w:pPr>
            <w:r>
              <w:rPr>
                <w:rFonts w:hint="eastAsia" w:ascii="宋体" w:hAnsi="宋体" w:eastAsia="宋体"/>
              </w:rPr>
              <w:t xml:space="preserve">400-990-8826 </w:t>
            </w:r>
          </w:p>
        </w:tc>
      </w:tr>
      <w:tr w14:paraId="7727A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29F78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7A7E1E1">
            <w:pPr>
              <w:rPr>
                <w:rFonts w:ascii="宋体" w:hAnsi="宋体" w:eastAsia="宋体" w:cs="宋体"/>
                <w:sz w:val="24"/>
                <w:szCs w:val="24"/>
              </w:rPr>
            </w:pPr>
            <w:r>
              <w:rPr>
                <w:rFonts w:hint="eastAsia" w:ascii="宋体" w:hAnsi="宋体" w:eastAsia="宋体"/>
              </w:rPr>
              <w:t xml:space="preserve">www.citicsf.com </w:t>
            </w:r>
          </w:p>
        </w:tc>
      </w:tr>
    </w:tbl>
    <w:p w14:paraId="02D9F833">
      <w:pPr>
        <w:pStyle w:val="7"/>
        <w:spacing w:before="0" w:beforeAutospacing="0" w:after="0" w:afterAutospacing="0" w:line="360" w:lineRule="auto"/>
        <w:ind w:firstLine="420"/>
        <w:rPr>
          <w:sz w:val="21"/>
          <w:szCs w:val="21"/>
        </w:rPr>
      </w:pPr>
      <w:r>
        <w:rPr>
          <w:rFonts w:hint="eastAsia"/>
          <w:b/>
          <w:bCs/>
          <w:sz w:val="21"/>
          <w:szCs w:val="21"/>
        </w:rPr>
        <w:t>(37)苏豪弘业期货股份有限公司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29C32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E12D4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F7D5069">
            <w:pPr>
              <w:rPr>
                <w:rFonts w:ascii="宋体" w:hAnsi="宋体" w:eastAsia="宋体" w:cs="宋体"/>
                <w:sz w:val="24"/>
                <w:szCs w:val="24"/>
              </w:rPr>
            </w:pPr>
            <w:r>
              <w:rPr>
                <w:rFonts w:hint="eastAsia" w:ascii="宋体" w:hAnsi="宋体" w:eastAsia="宋体"/>
              </w:rPr>
              <w:t xml:space="preserve">南京市建邺区江东中路399号3幢 </w:t>
            </w:r>
          </w:p>
        </w:tc>
      </w:tr>
      <w:tr w14:paraId="25EDE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0AE0B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4A474FC">
            <w:pPr>
              <w:rPr>
                <w:rFonts w:ascii="宋体" w:hAnsi="宋体" w:eastAsia="宋体" w:cs="宋体"/>
                <w:sz w:val="24"/>
                <w:szCs w:val="24"/>
              </w:rPr>
            </w:pPr>
            <w:r>
              <w:rPr>
                <w:rFonts w:hint="eastAsia" w:ascii="宋体" w:hAnsi="宋体" w:eastAsia="宋体"/>
              </w:rPr>
              <w:t xml:space="preserve">南京市建邺区江东中路399号3幢 </w:t>
            </w:r>
          </w:p>
        </w:tc>
      </w:tr>
      <w:tr w14:paraId="518DF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56BAA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F83F93A">
            <w:pPr>
              <w:rPr>
                <w:rFonts w:ascii="宋体" w:hAnsi="宋体" w:eastAsia="宋体" w:cs="宋体"/>
                <w:sz w:val="24"/>
                <w:szCs w:val="24"/>
              </w:rPr>
            </w:pPr>
            <w:r>
              <w:rPr>
                <w:rFonts w:hint="eastAsia" w:ascii="宋体" w:hAnsi="宋体" w:eastAsia="宋体"/>
              </w:rPr>
              <w:t xml:space="preserve">储开荣 </w:t>
            </w:r>
          </w:p>
        </w:tc>
      </w:tr>
      <w:tr w14:paraId="2ECDB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FEC6A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1181033">
            <w:pPr>
              <w:rPr>
                <w:rFonts w:ascii="宋体" w:hAnsi="宋体" w:eastAsia="宋体" w:cs="宋体"/>
                <w:sz w:val="24"/>
                <w:szCs w:val="24"/>
              </w:rPr>
            </w:pPr>
            <w:r>
              <w:rPr>
                <w:rFonts w:hint="eastAsia" w:ascii="宋体" w:hAnsi="宋体" w:eastAsia="宋体"/>
              </w:rPr>
              <w:t xml:space="preserve">张苏怡 </w:t>
            </w:r>
          </w:p>
        </w:tc>
      </w:tr>
      <w:tr w14:paraId="22F08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D231C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693FBA7">
            <w:pPr>
              <w:rPr>
                <w:rFonts w:ascii="宋体" w:hAnsi="宋体" w:eastAsia="宋体" w:cs="宋体"/>
                <w:sz w:val="24"/>
                <w:szCs w:val="24"/>
              </w:rPr>
            </w:pPr>
            <w:r>
              <w:rPr>
                <w:rFonts w:hint="eastAsia" w:ascii="宋体" w:hAnsi="宋体" w:eastAsia="宋体"/>
              </w:rPr>
              <w:t xml:space="preserve">025-52278981 </w:t>
            </w:r>
          </w:p>
        </w:tc>
      </w:tr>
      <w:tr w14:paraId="37963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3BDFA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2CADE50">
            <w:pPr>
              <w:rPr>
                <w:rFonts w:ascii="宋体" w:hAnsi="宋体" w:eastAsia="宋体" w:cs="宋体"/>
                <w:sz w:val="24"/>
                <w:szCs w:val="24"/>
              </w:rPr>
            </w:pPr>
            <w:r>
              <w:rPr>
                <w:rFonts w:hint="eastAsia" w:ascii="宋体" w:hAnsi="宋体" w:eastAsia="宋体"/>
              </w:rPr>
              <w:t xml:space="preserve">025-52278982 </w:t>
            </w:r>
          </w:p>
        </w:tc>
      </w:tr>
      <w:tr w14:paraId="3AF2B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08475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32993A7">
            <w:pPr>
              <w:rPr>
                <w:rFonts w:ascii="宋体" w:hAnsi="宋体" w:eastAsia="宋体" w:cs="宋体"/>
                <w:sz w:val="24"/>
                <w:szCs w:val="24"/>
              </w:rPr>
            </w:pPr>
            <w:r>
              <w:rPr>
                <w:rFonts w:hint="eastAsia" w:ascii="宋体" w:hAnsi="宋体" w:eastAsia="宋体"/>
              </w:rPr>
              <w:t xml:space="preserve">400-828-1288 </w:t>
            </w:r>
          </w:p>
        </w:tc>
      </w:tr>
      <w:tr w14:paraId="6A960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1D483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341F2CA">
            <w:pPr>
              <w:rPr>
                <w:rFonts w:ascii="宋体" w:hAnsi="宋体" w:eastAsia="宋体" w:cs="宋体"/>
                <w:sz w:val="24"/>
                <w:szCs w:val="24"/>
              </w:rPr>
            </w:pPr>
            <w:r>
              <w:rPr>
                <w:rFonts w:hint="eastAsia" w:ascii="宋体" w:hAnsi="宋体" w:eastAsia="宋体"/>
              </w:rPr>
              <w:t xml:space="preserve">www.ftol.com.cn </w:t>
            </w:r>
          </w:p>
        </w:tc>
      </w:tr>
    </w:tbl>
    <w:p w14:paraId="0552B3C9">
      <w:pPr>
        <w:pStyle w:val="7"/>
        <w:spacing w:before="0" w:beforeAutospacing="0" w:after="0" w:afterAutospacing="0" w:line="360" w:lineRule="auto"/>
        <w:ind w:firstLine="420"/>
        <w:rPr>
          <w:sz w:val="21"/>
          <w:szCs w:val="21"/>
        </w:rPr>
      </w:pPr>
      <w:r>
        <w:rPr>
          <w:rFonts w:hint="eastAsia"/>
          <w:b/>
          <w:bCs/>
          <w:sz w:val="21"/>
          <w:szCs w:val="21"/>
        </w:rPr>
        <w:t>(38)国泰海通证券股份有限公司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48701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52D9F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E77BAF4">
            <w:pPr>
              <w:rPr>
                <w:rFonts w:ascii="宋体" w:hAnsi="宋体" w:eastAsia="宋体" w:cs="宋体"/>
                <w:sz w:val="24"/>
                <w:szCs w:val="24"/>
              </w:rPr>
            </w:pPr>
            <w:r>
              <w:rPr>
                <w:rFonts w:hint="eastAsia" w:ascii="宋体" w:hAnsi="宋体" w:eastAsia="宋体"/>
              </w:rPr>
              <w:t xml:space="preserve">中国（上海）自由贸易试验区商城路618号  </w:t>
            </w:r>
          </w:p>
        </w:tc>
      </w:tr>
      <w:tr w14:paraId="1150B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E91D0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69260B2">
            <w:pPr>
              <w:rPr>
                <w:rFonts w:ascii="宋体" w:hAnsi="宋体" w:eastAsia="宋体" w:cs="宋体"/>
                <w:sz w:val="24"/>
                <w:szCs w:val="24"/>
              </w:rPr>
            </w:pPr>
            <w:r>
              <w:rPr>
                <w:rFonts w:hint="eastAsia" w:ascii="宋体" w:hAnsi="宋体" w:eastAsia="宋体"/>
              </w:rPr>
              <w:t xml:space="preserve">上海市静安区南京西路768号国泰君安大厦 </w:t>
            </w:r>
          </w:p>
        </w:tc>
      </w:tr>
      <w:tr w14:paraId="17C0F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061D3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C60E4B0">
            <w:pPr>
              <w:rPr>
                <w:rFonts w:ascii="宋体" w:hAnsi="宋体" w:eastAsia="宋体" w:cs="宋体"/>
                <w:sz w:val="24"/>
                <w:szCs w:val="24"/>
              </w:rPr>
            </w:pPr>
            <w:r>
              <w:rPr>
                <w:rFonts w:hint="eastAsia" w:ascii="宋体" w:hAnsi="宋体" w:eastAsia="宋体"/>
              </w:rPr>
              <w:t xml:space="preserve">朱健 </w:t>
            </w:r>
          </w:p>
        </w:tc>
      </w:tr>
      <w:tr w14:paraId="5CA67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F4362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990AC07">
            <w:pPr>
              <w:rPr>
                <w:rFonts w:ascii="宋体" w:hAnsi="宋体" w:eastAsia="宋体" w:cs="宋体"/>
                <w:sz w:val="24"/>
                <w:szCs w:val="24"/>
              </w:rPr>
            </w:pPr>
            <w:r>
              <w:rPr>
                <w:rFonts w:hint="eastAsia" w:ascii="宋体" w:hAnsi="宋体" w:eastAsia="宋体"/>
              </w:rPr>
              <w:t xml:space="preserve">钟伟镇  </w:t>
            </w:r>
          </w:p>
        </w:tc>
      </w:tr>
      <w:tr w14:paraId="3FA76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05C33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A94E5B8">
            <w:pPr>
              <w:rPr>
                <w:rFonts w:ascii="宋体" w:hAnsi="宋体" w:eastAsia="宋体" w:cs="宋体"/>
                <w:sz w:val="24"/>
                <w:szCs w:val="24"/>
              </w:rPr>
            </w:pPr>
            <w:r>
              <w:rPr>
                <w:rFonts w:hint="eastAsia" w:ascii="宋体" w:hAnsi="宋体" w:eastAsia="宋体"/>
              </w:rPr>
              <w:t xml:space="preserve">021-38676666  </w:t>
            </w:r>
          </w:p>
        </w:tc>
      </w:tr>
      <w:tr w14:paraId="541FD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0CB08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653F07B">
            <w:pPr>
              <w:rPr>
                <w:rFonts w:ascii="宋体" w:hAnsi="宋体" w:eastAsia="宋体" w:cs="宋体"/>
                <w:sz w:val="24"/>
                <w:szCs w:val="24"/>
              </w:rPr>
            </w:pPr>
            <w:r>
              <w:rPr>
                <w:rFonts w:hint="eastAsia" w:ascii="宋体" w:hAnsi="宋体" w:eastAsia="宋体"/>
              </w:rPr>
              <w:t xml:space="preserve">021-38670666  </w:t>
            </w:r>
          </w:p>
        </w:tc>
      </w:tr>
      <w:tr w14:paraId="58E80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844B2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E8AEC18">
            <w:pPr>
              <w:rPr>
                <w:rFonts w:ascii="宋体" w:hAnsi="宋体" w:eastAsia="宋体" w:cs="宋体"/>
                <w:sz w:val="24"/>
                <w:szCs w:val="24"/>
              </w:rPr>
            </w:pPr>
            <w:r>
              <w:rPr>
                <w:rFonts w:hint="eastAsia" w:ascii="宋体" w:hAnsi="宋体" w:eastAsia="宋体"/>
              </w:rPr>
              <w:t xml:space="preserve">95521/4008888666  </w:t>
            </w:r>
          </w:p>
        </w:tc>
      </w:tr>
      <w:tr w14:paraId="3868D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0657C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6C6EB27">
            <w:pPr>
              <w:rPr>
                <w:rFonts w:ascii="宋体" w:hAnsi="宋体" w:eastAsia="宋体" w:cs="宋体"/>
                <w:sz w:val="24"/>
                <w:szCs w:val="24"/>
              </w:rPr>
            </w:pPr>
            <w:r>
              <w:rPr>
                <w:rFonts w:hint="eastAsia" w:ascii="宋体" w:hAnsi="宋体" w:eastAsia="宋体"/>
              </w:rPr>
              <w:t xml:space="preserve">https://www.gtht.com </w:t>
            </w:r>
          </w:p>
        </w:tc>
      </w:tr>
    </w:tbl>
    <w:p w14:paraId="3C7B44E0">
      <w:pPr>
        <w:pStyle w:val="7"/>
        <w:spacing w:before="0" w:beforeAutospacing="0" w:after="0" w:afterAutospacing="0" w:line="360" w:lineRule="auto"/>
        <w:ind w:firstLine="420"/>
        <w:rPr>
          <w:sz w:val="21"/>
          <w:szCs w:val="21"/>
        </w:rPr>
      </w:pPr>
      <w:r>
        <w:rPr>
          <w:rFonts w:hint="eastAsia"/>
          <w:b/>
          <w:bCs/>
          <w:sz w:val="21"/>
          <w:szCs w:val="21"/>
        </w:rPr>
        <w:t>(39)中信建投证券股份有限公司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D823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D3C48A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08ADD2B">
            <w:pPr>
              <w:rPr>
                <w:rFonts w:ascii="宋体" w:hAnsi="宋体" w:eastAsia="宋体" w:cs="宋体"/>
                <w:sz w:val="24"/>
                <w:szCs w:val="24"/>
              </w:rPr>
            </w:pPr>
            <w:r>
              <w:rPr>
                <w:rFonts w:hint="eastAsia" w:ascii="宋体" w:hAnsi="宋体" w:eastAsia="宋体"/>
              </w:rPr>
              <w:t xml:space="preserve">北京市朝阳区安立路66号4号楼 </w:t>
            </w:r>
          </w:p>
        </w:tc>
      </w:tr>
      <w:tr w14:paraId="36AB8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FE035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632D2B3">
            <w:pPr>
              <w:rPr>
                <w:rFonts w:ascii="宋体" w:hAnsi="宋体" w:eastAsia="宋体" w:cs="宋体"/>
                <w:sz w:val="24"/>
                <w:szCs w:val="24"/>
              </w:rPr>
            </w:pPr>
            <w:r>
              <w:rPr>
                <w:rFonts w:hint="eastAsia" w:ascii="宋体" w:hAnsi="宋体" w:eastAsia="宋体"/>
              </w:rPr>
              <w:t xml:space="preserve">北京市朝阳区光华路10号 </w:t>
            </w:r>
          </w:p>
        </w:tc>
      </w:tr>
      <w:tr w14:paraId="7BDF2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5B3AA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60773E0">
            <w:pPr>
              <w:rPr>
                <w:rFonts w:ascii="宋体" w:hAnsi="宋体" w:eastAsia="宋体" w:cs="宋体"/>
                <w:sz w:val="24"/>
                <w:szCs w:val="24"/>
              </w:rPr>
            </w:pPr>
            <w:r>
              <w:rPr>
                <w:rFonts w:hint="eastAsia" w:ascii="宋体" w:hAnsi="宋体" w:eastAsia="宋体"/>
              </w:rPr>
              <w:t xml:space="preserve">刘成 </w:t>
            </w:r>
          </w:p>
        </w:tc>
      </w:tr>
      <w:tr w14:paraId="2E955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22DD7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7450959">
            <w:pPr>
              <w:rPr>
                <w:rFonts w:ascii="宋体" w:hAnsi="宋体" w:eastAsia="宋体" w:cs="宋体"/>
                <w:sz w:val="24"/>
                <w:szCs w:val="24"/>
              </w:rPr>
            </w:pPr>
            <w:r>
              <w:rPr>
                <w:rFonts w:hint="eastAsia" w:ascii="宋体" w:hAnsi="宋体" w:eastAsia="宋体"/>
              </w:rPr>
              <w:t xml:space="preserve">4008888108/95587 </w:t>
            </w:r>
          </w:p>
        </w:tc>
      </w:tr>
      <w:tr w14:paraId="172F3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A273F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F002397">
            <w:pPr>
              <w:rPr>
                <w:rFonts w:ascii="宋体" w:hAnsi="宋体" w:eastAsia="宋体" w:cs="宋体"/>
                <w:sz w:val="24"/>
                <w:szCs w:val="24"/>
              </w:rPr>
            </w:pPr>
            <w:r>
              <w:rPr>
                <w:rFonts w:hint="eastAsia" w:ascii="宋体" w:hAnsi="宋体" w:eastAsia="宋体"/>
              </w:rPr>
              <w:t xml:space="preserve">http://www.csc108.com/ </w:t>
            </w:r>
          </w:p>
        </w:tc>
      </w:tr>
    </w:tbl>
    <w:p w14:paraId="797C57D2">
      <w:pPr>
        <w:pStyle w:val="7"/>
        <w:spacing w:before="0" w:beforeAutospacing="0" w:after="0" w:afterAutospacing="0" w:line="360" w:lineRule="auto"/>
        <w:ind w:firstLine="420"/>
        <w:rPr>
          <w:sz w:val="21"/>
          <w:szCs w:val="21"/>
        </w:rPr>
      </w:pPr>
      <w:r>
        <w:rPr>
          <w:rFonts w:hint="eastAsia"/>
          <w:b/>
          <w:bCs/>
          <w:sz w:val="21"/>
          <w:szCs w:val="21"/>
        </w:rPr>
        <w:t>(40)国信证券股份有限公司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78C1D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330B20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371383A">
            <w:pPr>
              <w:rPr>
                <w:rFonts w:ascii="宋体" w:hAnsi="宋体" w:eastAsia="宋体" w:cs="宋体"/>
                <w:sz w:val="24"/>
                <w:szCs w:val="24"/>
              </w:rPr>
            </w:pPr>
            <w:r>
              <w:rPr>
                <w:rFonts w:hint="eastAsia" w:ascii="宋体" w:hAnsi="宋体" w:eastAsia="宋体"/>
              </w:rPr>
              <w:t xml:space="preserve">深圳市罗湖区红岭中路1012号国信证券大厦十六层至二十六层 </w:t>
            </w:r>
          </w:p>
        </w:tc>
      </w:tr>
      <w:tr w14:paraId="74C71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A588B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BDAC88E">
            <w:pPr>
              <w:rPr>
                <w:rFonts w:ascii="宋体" w:hAnsi="宋体" w:eastAsia="宋体" w:cs="宋体"/>
                <w:sz w:val="24"/>
                <w:szCs w:val="24"/>
              </w:rPr>
            </w:pPr>
            <w:r>
              <w:rPr>
                <w:rFonts w:hint="eastAsia" w:ascii="宋体" w:hAnsi="宋体" w:eastAsia="宋体"/>
              </w:rPr>
              <w:t xml:space="preserve">深圳市福田区福华一路125号国信金融大厦37楼  </w:t>
            </w:r>
          </w:p>
        </w:tc>
      </w:tr>
      <w:tr w14:paraId="5147E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F7C0E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212374E">
            <w:pPr>
              <w:rPr>
                <w:rFonts w:ascii="宋体" w:hAnsi="宋体" w:eastAsia="宋体" w:cs="宋体"/>
                <w:sz w:val="24"/>
                <w:szCs w:val="24"/>
              </w:rPr>
            </w:pPr>
            <w:r>
              <w:rPr>
                <w:rFonts w:hint="eastAsia" w:ascii="宋体" w:hAnsi="宋体" w:eastAsia="宋体"/>
              </w:rPr>
              <w:t xml:space="preserve">张纳沙 </w:t>
            </w:r>
          </w:p>
        </w:tc>
      </w:tr>
      <w:tr w14:paraId="3728F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6A126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53AB732">
            <w:pPr>
              <w:rPr>
                <w:rFonts w:ascii="宋体" w:hAnsi="宋体" w:eastAsia="宋体" w:cs="宋体"/>
                <w:sz w:val="24"/>
                <w:szCs w:val="24"/>
              </w:rPr>
            </w:pPr>
            <w:r>
              <w:rPr>
                <w:rFonts w:hint="eastAsia" w:ascii="宋体" w:hAnsi="宋体" w:eastAsia="宋体"/>
              </w:rPr>
              <w:t xml:space="preserve">于智勇 </w:t>
            </w:r>
          </w:p>
        </w:tc>
      </w:tr>
      <w:tr w14:paraId="2386B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A73B3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7C3B5EF">
            <w:pPr>
              <w:rPr>
                <w:rFonts w:ascii="宋体" w:hAnsi="宋体" w:eastAsia="宋体" w:cs="宋体"/>
                <w:sz w:val="24"/>
                <w:szCs w:val="24"/>
              </w:rPr>
            </w:pPr>
            <w:r>
              <w:rPr>
                <w:rFonts w:hint="eastAsia" w:ascii="宋体" w:hAnsi="宋体" w:eastAsia="宋体"/>
              </w:rPr>
              <w:t xml:space="preserve">0755-81981259 </w:t>
            </w:r>
          </w:p>
        </w:tc>
      </w:tr>
      <w:tr w14:paraId="44995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669AF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1A1A8C6">
            <w:pPr>
              <w:rPr>
                <w:rFonts w:ascii="宋体" w:hAnsi="宋体" w:eastAsia="宋体" w:cs="宋体"/>
                <w:sz w:val="24"/>
                <w:szCs w:val="24"/>
              </w:rPr>
            </w:pPr>
            <w:r>
              <w:rPr>
                <w:rFonts w:hint="eastAsia" w:ascii="宋体" w:hAnsi="宋体" w:eastAsia="宋体"/>
              </w:rPr>
              <w:t xml:space="preserve">0755-82133952 </w:t>
            </w:r>
          </w:p>
        </w:tc>
      </w:tr>
      <w:tr w14:paraId="4E551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47079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D8FA2B6">
            <w:pPr>
              <w:rPr>
                <w:rFonts w:ascii="宋体" w:hAnsi="宋体" w:eastAsia="宋体" w:cs="宋体"/>
                <w:sz w:val="24"/>
                <w:szCs w:val="24"/>
              </w:rPr>
            </w:pPr>
            <w:r>
              <w:rPr>
                <w:rFonts w:hint="eastAsia" w:ascii="宋体" w:hAnsi="宋体" w:eastAsia="宋体"/>
              </w:rPr>
              <w:t xml:space="preserve">95536 </w:t>
            </w:r>
          </w:p>
        </w:tc>
      </w:tr>
      <w:tr w14:paraId="752E4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9A8AA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C03B2C1">
            <w:pPr>
              <w:rPr>
                <w:rFonts w:ascii="宋体" w:hAnsi="宋体" w:eastAsia="宋体" w:cs="宋体"/>
                <w:sz w:val="24"/>
                <w:szCs w:val="24"/>
              </w:rPr>
            </w:pPr>
            <w:r>
              <w:rPr>
                <w:rFonts w:hint="eastAsia" w:ascii="宋体" w:hAnsi="宋体" w:eastAsia="宋体"/>
              </w:rPr>
              <w:t xml:space="preserve">http://www.guosen.com.cn/ </w:t>
            </w:r>
          </w:p>
        </w:tc>
      </w:tr>
    </w:tbl>
    <w:p w14:paraId="38614619">
      <w:pPr>
        <w:pStyle w:val="7"/>
        <w:spacing w:before="0" w:beforeAutospacing="0" w:after="0" w:afterAutospacing="0" w:line="360" w:lineRule="auto"/>
        <w:ind w:firstLine="420"/>
        <w:rPr>
          <w:sz w:val="21"/>
          <w:szCs w:val="21"/>
        </w:rPr>
      </w:pPr>
      <w:r>
        <w:rPr>
          <w:rFonts w:hint="eastAsia"/>
          <w:b/>
          <w:bCs/>
          <w:sz w:val="21"/>
          <w:szCs w:val="21"/>
        </w:rPr>
        <w:t>(41)招商证券股份有限公司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CCE8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00BD0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BC1DC50">
            <w:pPr>
              <w:rPr>
                <w:rFonts w:ascii="宋体" w:hAnsi="宋体" w:eastAsia="宋体" w:cs="宋体"/>
                <w:sz w:val="24"/>
                <w:szCs w:val="24"/>
              </w:rPr>
            </w:pPr>
            <w:r>
              <w:rPr>
                <w:rFonts w:hint="eastAsia" w:ascii="宋体" w:hAnsi="宋体" w:eastAsia="宋体"/>
              </w:rPr>
              <w:t xml:space="preserve">深圳市福田区福田街道福华一路111号 </w:t>
            </w:r>
          </w:p>
        </w:tc>
      </w:tr>
      <w:tr w14:paraId="12B6C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60CB5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675F7F4">
            <w:pPr>
              <w:rPr>
                <w:rFonts w:ascii="宋体" w:hAnsi="宋体" w:eastAsia="宋体" w:cs="宋体"/>
                <w:sz w:val="24"/>
                <w:szCs w:val="24"/>
              </w:rPr>
            </w:pPr>
            <w:r>
              <w:rPr>
                <w:rFonts w:hint="eastAsia" w:ascii="宋体" w:hAnsi="宋体" w:eastAsia="宋体"/>
              </w:rPr>
              <w:t xml:space="preserve">深圳市福田区福华一路111号招商证券大厦23楼  </w:t>
            </w:r>
          </w:p>
        </w:tc>
      </w:tr>
      <w:tr w14:paraId="2BC86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02E09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A7AFE73">
            <w:pPr>
              <w:rPr>
                <w:rFonts w:ascii="宋体" w:hAnsi="宋体" w:eastAsia="宋体" w:cs="宋体"/>
                <w:sz w:val="24"/>
                <w:szCs w:val="24"/>
              </w:rPr>
            </w:pPr>
            <w:r>
              <w:rPr>
                <w:rFonts w:hint="eastAsia" w:ascii="宋体" w:hAnsi="宋体" w:eastAsia="宋体"/>
              </w:rPr>
              <w:t xml:space="preserve">朱江涛 </w:t>
            </w:r>
          </w:p>
        </w:tc>
      </w:tr>
      <w:tr w14:paraId="47D16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29359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D61A195">
            <w:pPr>
              <w:rPr>
                <w:rFonts w:ascii="宋体" w:hAnsi="宋体" w:eastAsia="宋体" w:cs="宋体"/>
                <w:sz w:val="24"/>
                <w:szCs w:val="24"/>
              </w:rPr>
            </w:pPr>
            <w:r>
              <w:rPr>
                <w:rFonts w:hint="eastAsia" w:ascii="宋体" w:hAnsi="宋体" w:eastAsia="宋体"/>
              </w:rPr>
              <w:t xml:space="preserve">95565 </w:t>
            </w:r>
          </w:p>
        </w:tc>
      </w:tr>
      <w:tr w14:paraId="373A6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E50F1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F6410A2">
            <w:pPr>
              <w:rPr>
                <w:rFonts w:ascii="宋体" w:hAnsi="宋体" w:eastAsia="宋体" w:cs="宋体"/>
                <w:sz w:val="24"/>
                <w:szCs w:val="24"/>
              </w:rPr>
            </w:pPr>
            <w:r>
              <w:rPr>
                <w:rFonts w:hint="eastAsia" w:ascii="宋体" w:hAnsi="宋体" w:eastAsia="宋体"/>
              </w:rPr>
              <w:t xml:space="preserve">http://www.cmschina.com/ </w:t>
            </w:r>
          </w:p>
        </w:tc>
      </w:tr>
    </w:tbl>
    <w:p w14:paraId="1763A163">
      <w:pPr>
        <w:pStyle w:val="7"/>
        <w:spacing w:before="0" w:beforeAutospacing="0" w:after="0" w:afterAutospacing="0" w:line="360" w:lineRule="auto"/>
        <w:ind w:firstLine="420"/>
        <w:rPr>
          <w:sz w:val="21"/>
          <w:szCs w:val="21"/>
        </w:rPr>
      </w:pPr>
      <w:r>
        <w:rPr>
          <w:rFonts w:hint="eastAsia"/>
          <w:b/>
          <w:bCs/>
          <w:sz w:val="21"/>
          <w:szCs w:val="21"/>
        </w:rPr>
        <w:t>(42)广发证券股份有限公司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628EE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66C02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B222A69">
            <w:pPr>
              <w:rPr>
                <w:rFonts w:ascii="宋体" w:hAnsi="宋体" w:eastAsia="宋体" w:cs="宋体"/>
                <w:sz w:val="24"/>
                <w:szCs w:val="24"/>
              </w:rPr>
            </w:pPr>
            <w:r>
              <w:rPr>
                <w:rFonts w:hint="eastAsia" w:ascii="宋体" w:hAnsi="宋体" w:eastAsia="宋体"/>
              </w:rPr>
              <w:t xml:space="preserve">广州市黄埔区中新广州知识城腾飞一街2号618室 </w:t>
            </w:r>
          </w:p>
        </w:tc>
      </w:tr>
      <w:tr w14:paraId="27305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D3463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4673DB1">
            <w:pPr>
              <w:rPr>
                <w:rFonts w:ascii="宋体" w:hAnsi="宋体" w:eastAsia="宋体" w:cs="宋体"/>
                <w:sz w:val="24"/>
                <w:szCs w:val="24"/>
              </w:rPr>
            </w:pPr>
            <w:r>
              <w:rPr>
                <w:rFonts w:hint="eastAsia" w:ascii="宋体" w:hAnsi="宋体" w:eastAsia="宋体"/>
              </w:rPr>
              <w:t xml:space="preserve">广州市天河区马场路26号广发证券大厦 </w:t>
            </w:r>
          </w:p>
        </w:tc>
      </w:tr>
      <w:tr w14:paraId="197AE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15EEA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DF82BB5">
            <w:pPr>
              <w:rPr>
                <w:rFonts w:ascii="宋体" w:hAnsi="宋体" w:eastAsia="宋体" w:cs="宋体"/>
                <w:sz w:val="24"/>
                <w:szCs w:val="24"/>
              </w:rPr>
            </w:pPr>
            <w:r>
              <w:rPr>
                <w:rFonts w:hint="eastAsia" w:ascii="宋体" w:hAnsi="宋体" w:eastAsia="宋体"/>
              </w:rPr>
              <w:t xml:space="preserve">林传辉 </w:t>
            </w:r>
          </w:p>
        </w:tc>
      </w:tr>
      <w:tr w14:paraId="1A8C7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11778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4984C91">
            <w:pPr>
              <w:rPr>
                <w:rFonts w:ascii="宋体" w:hAnsi="宋体" w:eastAsia="宋体" w:cs="宋体"/>
                <w:sz w:val="24"/>
                <w:szCs w:val="24"/>
              </w:rPr>
            </w:pPr>
            <w:r>
              <w:rPr>
                <w:rFonts w:hint="eastAsia" w:ascii="宋体" w:hAnsi="宋体" w:eastAsia="宋体"/>
              </w:rPr>
              <w:t xml:space="preserve">黄岚 </w:t>
            </w:r>
          </w:p>
        </w:tc>
      </w:tr>
      <w:tr w14:paraId="2B3DC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22F1D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279EB0A">
            <w:pPr>
              <w:rPr>
                <w:rFonts w:ascii="宋体" w:hAnsi="宋体" w:eastAsia="宋体" w:cs="宋体"/>
                <w:sz w:val="24"/>
                <w:szCs w:val="24"/>
              </w:rPr>
            </w:pPr>
            <w:r>
              <w:rPr>
                <w:rFonts w:hint="eastAsia" w:ascii="宋体" w:hAnsi="宋体" w:eastAsia="宋体"/>
              </w:rPr>
              <w:t xml:space="preserve">020－87555888 </w:t>
            </w:r>
          </w:p>
        </w:tc>
      </w:tr>
      <w:tr w14:paraId="5ED0F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A81DD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2AD5CAD">
            <w:pPr>
              <w:rPr>
                <w:rFonts w:ascii="宋体" w:hAnsi="宋体" w:eastAsia="宋体" w:cs="宋体"/>
                <w:sz w:val="24"/>
                <w:szCs w:val="24"/>
              </w:rPr>
            </w:pPr>
            <w:r>
              <w:rPr>
                <w:rFonts w:hint="eastAsia" w:ascii="宋体" w:hAnsi="宋体" w:eastAsia="宋体"/>
              </w:rPr>
              <w:t xml:space="preserve">020－87555305 </w:t>
            </w:r>
          </w:p>
        </w:tc>
      </w:tr>
      <w:tr w14:paraId="36819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91416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1F321D7">
            <w:pPr>
              <w:rPr>
                <w:rFonts w:ascii="宋体" w:hAnsi="宋体" w:eastAsia="宋体" w:cs="宋体"/>
                <w:sz w:val="24"/>
                <w:szCs w:val="24"/>
              </w:rPr>
            </w:pPr>
            <w:r>
              <w:rPr>
                <w:rFonts w:hint="eastAsia" w:ascii="宋体" w:hAnsi="宋体" w:eastAsia="宋体"/>
              </w:rPr>
              <w:t xml:space="preserve">95575、020-95575或致电各地营业网点  </w:t>
            </w:r>
          </w:p>
        </w:tc>
      </w:tr>
      <w:tr w14:paraId="7D9CA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E8CEA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13806EE">
            <w:pPr>
              <w:rPr>
                <w:rFonts w:ascii="宋体" w:hAnsi="宋体" w:eastAsia="宋体" w:cs="宋体"/>
                <w:sz w:val="24"/>
                <w:szCs w:val="24"/>
              </w:rPr>
            </w:pPr>
            <w:r>
              <w:rPr>
                <w:rFonts w:hint="eastAsia" w:ascii="宋体" w:hAnsi="宋体" w:eastAsia="宋体"/>
              </w:rPr>
              <w:t xml:space="preserve">http://www.gf.com.cn/ </w:t>
            </w:r>
          </w:p>
        </w:tc>
      </w:tr>
    </w:tbl>
    <w:p w14:paraId="67CD04CB">
      <w:pPr>
        <w:pStyle w:val="7"/>
        <w:spacing w:before="0" w:beforeAutospacing="0" w:after="0" w:afterAutospacing="0" w:line="360" w:lineRule="auto"/>
        <w:ind w:firstLine="420"/>
        <w:rPr>
          <w:sz w:val="21"/>
          <w:szCs w:val="21"/>
        </w:rPr>
      </w:pPr>
      <w:r>
        <w:rPr>
          <w:rFonts w:hint="eastAsia"/>
          <w:b/>
          <w:bCs/>
          <w:sz w:val="21"/>
          <w:szCs w:val="21"/>
        </w:rPr>
        <w:t>(43)中信证券股份有限公司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53127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224D10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C85A7AE">
            <w:pPr>
              <w:rPr>
                <w:rFonts w:ascii="宋体" w:hAnsi="宋体" w:eastAsia="宋体" w:cs="宋体"/>
                <w:sz w:val="24"/>
                <w:szCs w:val="24"/>
              </w:rPr>
            </w:pPr>
            <w:r>
              <w:rPr>
                <w:rFonts w:hint="eastAsia" w:ascii="宋体" w:hAnsi="宋体" w:eastAsia="宋体"/>
              </w:rPr>
              <w:t xml:space="preserve">广东省深圳市福田区中心三路8号卓越时代广场（二期）北座 </w:t>
            </w:r>
          </w:p>
        </w:tc>
      </w:tr>
      <w:tr w14:paraId="17FD9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9540B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191BA82">
            <w:pPr>
              <w:rPr>
                <w:rFonts w:ascii="宋体" w:hAnsi="宋体" w:eastAsia="宋体" w:cs="宋体"/>
                <w:sz w:val="24"/>
                <w:szCs w:val="24"/>
              </w:rPr>
            </w:pPr>
            <w:r>
              <w:rPr>
                <w:rFonts w:hint="eastAsia" w:ascii="宋体" w:hAnsi="宋体" w:eastAsia="宋体"/>
              </w:rPr>
              <w:t xml:space="preserve">北京朝阳区新源南路6号京城大厦 </w:t>
            </w:r>
          </w:p>
        </w:tc>
      </w:tr>
      <w:tr w14:paraId="44881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61F00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E944D6A">
            <w:pPr>
              <w:rPr>
                <w:rFonts w:ascii="宋体" w:hAnsi="宋体" w:eastAsia="宋体" w:cs="宋体"/>
                <w:sz w:val="24"/>
                <w:szCs w:val="24"/>
              </w:rPr>
            </w:pPr>
            <w:r>
              <w:rPr>
                <w:rFonts w:hint="eastAsia" w:ascii="宋体" w:hAnsi="宋体" w:eastAsia="宋体"/>
              </w:rPr>
              <w:t xml:space="preserve">张佑君 </w:t>
            </w:r>
          </w:p>
        </w:tc>
      </w:tr>
      <w:tr w14:paraId="39543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C10D8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A9302B2">
            <w:pPr>
              <w:rPr>
                <w:rFonts w:ascii="宋体" w:hAnsi="宋体" w:eastAsia="宋体" w:cs="宋体"/>
                <w:sz w:val="24"/>
                <w:szCs w:val="24"/>
              </w:rPr>
            </w:pPr>
            <w:r>
              <w:rPr>
                <w:rFonts w:hint="eastAsia" w:ascii="宋体" w:hAnsi="宋体" w:eastAsia="宋体"/>
              </w:rPr>
              <w:t xml:space="preserve">杜杰 </w:t>
            </w:r>
          </w:p>
        </w:tc>
      </w:tr>
      <w:tr w14:paraId="62803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A636A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C5F450F">
            <w:pPr>
              <w:rPr>
                <w:rFonts w:ascii="宋体" w:hAnsi="宋体" w:eastAsia="宋体" w:cs="宋体"/>
                <w:sz w:val="24"/>
                <w:szCs w:val="24"/>
              </w:rPr>
            </w:pPr>
            <w:r>
              <w:rPr>
                <w:rFonts w:hint="eastAsia" w:ascii="宋体" w:hAnsi="宋体" w:eastAsia="宋体"/>
              </w:rPr>
              <w:t xml:space="preserve">010-60833889  </w:t>
            </w:r>
          </w:p>
        </w:tc>
      </w:tr>
      <w:tr w14:paraId="2EC58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CD4FE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D5BA4AF">
            <w:pPr>
              <w:rPr>
                <w:rFonts w:ascii="宋体" w:hAnsi="宋体" w:eastAsia="宋体" w:cs="宋体"/>
                <w:sz w:val="24"/>
                <w:szCs w:val="24"/>
              </w:rPr>
            </w:pPr>
            <w:r>
              <w:rPr>
                <w:rFonts w:hint="eastAsia" w:ascii="宋体" w:hAnsi="宋体" w:eastAsia="宋体"/>
              </w:rPr>
              <w:t xml:space="preserve">010－84865560 </w:t>
            </w:r>
          </w:p>
        </w:tc>
      </w:tr>
      <w:tr w14:paraId="48446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0B7FE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0E0C2B1">
            <w:pPr>
              <w:rPr>
                <w:rFonts w:ascii="宋体" w:hAnsi="宋体" w:eastAsia="宋体" w:cs="宋体"/>
                <w:sz w:val="24"/>
                <w:szCs w:val="24"/>
              </w:rPr>
            </w:pPr>
            <w:r>
              <w:rPr>
                <w:rFonts w:hint="eastAsia" w:ascii="宋体" w:hAnsi="宋体" w:eastAsia="宋体"/>
              </w:rPr>
              <w:t xml:space="preserve">95548 </w:t>
            </w:r>
          </w:p>
        </w:tc>
      </w:tr>
      <w:tr w14:paraId="42E89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390A2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D5809A9">
            <w:pPr>
              <w:rPr>
                <w:rFonts w:ascii="宋体" w:hAnsi="宋体" w:eastAsia="宋体" w:cs="宋体"/>
                <w:sz w:val="24"/>
                <w:szCs w:val="24"/>
              </w:rPr>
            </w:pPr>
            <w:r>
              <w:rPr>
                <w:rFonts w:hint="eastAsia" w:ascii="宋体" w:hAnsi="宋体" w:eastAsia="宋体"/>
              </w:rPr>
              <w:t xml:space="preserve">http://www.cs.ecitic.com/ </w:t>
            </w:r>
          </w:p>
        </w:tc>
      </w:tr>
    </w:tbl>
    <w:p w14:paraId="0A65D081">
      <w:pPr>
        <w:pStyle w:val="7"/>
        <w:spacing w:before="0" w:beforeAutospacing="0" w:after="0" w:afterAutospacing="0" w:line="360" w:lineRule="auto"/>
        <w:ind w:firstLine="420"/>
        <w:rPr>
          <w:sz w:val="21"/>
          <w:szCs w:val="21"/>
        </w:rPr>
      </w:pPr>
      <w:r>
        <w:rPr>
          <w:rFonts w:hint="eastAsia"/>
          <w:b/>
          <w:bCs/>
          <w:sz w:val="21"/>
          <w:szCs w:val="21"/>
        </w:rPr>
        <w:t>(44)中国银河证券股份有限公司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6132"/>
      </w:tblGrid>
      <w:tr w14:paraId="10FFF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72D98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C6B025B">
            <w:pPr>
              <w:rPr>
                <w:rFonts w:ascii="宋体" w:hAnsi="宋体" w:eastAsia="宋体" w:cs="宋体"/>
                <w:sz w:val="24"/>
                <w:szCs w:val="24"/>
              </w:rPr>
            </w:pPr>
            <w:r>
              <w:rPr>
                <w:rFonts w:hint="eastAsia" w:ascii="宋体" w:hAnsi="宋体" w:eastAsia="宋体"/>
              </w:rPr>
              <w:t xml:space="preserve">北京市丰台区西营街8号院1号楼7至18层101 </w:t>
            </w:r>
          </w:p>
        </w:tc>
      </w:tr>
      <w:tr w14:paraId="593A1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A1483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42BE8DA">
            <w:pPr>
              <w:rPr>
                <w:rFonts w:ascii="宋体" w:hAnsi="宋体" w:eastAsia="宋体" w:cs="宋体"/>
                <w:sz w:val="24"/>
                <w:szCs w:val="24"/>
              </w:rPr>
            </w:pPr>
            <w:r>
              <w:rPr>
                <w:rFonts w:hint="eastAsia" w:ascii="宋体" w:hAnsi="宋体" w:eastAsia="宋体"/>
              </w:rPr>
              <w:t xml:space="preserve">北京市丰台区西营街8号院1号楼青海金融大厦 </w:t>
            </w:r>
          </w:p>
        </w:tc>
      </w:tr>
      <w:tr w14:paraId="1F985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E7894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AFF4410">
            <w:pPr>
              <w:rPr>
                <w:rFonts w:ascii="宋体" w:hAnsi="宋体" w:eastAsia="宋体" w:cs="宋体"/>
                <w:sz w:val="24"/>
                <w:szCs w:val="24"/>
              </w:rPr>
            </w:pPr>
            <w:r>
              <w:rPr>
                <w:rFonts w:hint="eastAsia" w:ascii="宋体" w:hAnsi="宋体" w:eastAsia="宋体"/>
              </w:rPr>
              <w:t xml:space="preserve">王晟 </w:t>
            </w:r>
          </w:p>
        </w:tc>
      </w:tr>
      <w:tr w14:paraId="14D90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36B70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18B3B05">
            <w:pPr>
              <w:rPr>
                <w:rFonts w:ascii="宋体" w:hAnsi="宋体" w:eastAsia="宋体" w:cs="宋体"/>
                <w:sz w:val="24"/>
                <w:szCs w:val="24"/>
              </w:rPr>
            </w:pPr>
            <w:r>
              <w:rPr>
                <w:rFonts w:hint="eastAsia" w:ascii="宋体" w:hAnsi="宋体" w:eastAsia="宋体"/>
              </w:rPr>
              <w:t xml:space="preserve">010-80928123 </w:t>
            </w:r>
          </w:p>
        </w:tc>
      </w:tr>
      <w:tr w14:paraId="44898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CF12A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F5BA0CE">
            <w:pPr>
              <w:rPr>
                <w:rFonts w:ascii="宋体" w:hAnsi="宋体" w:eastAsia="宋体" w:cs="宋体"/>
                <w:sz w:val="24"/>
                <w:szCs w:val="24"/>
              </w:rPr>
            </w:pPr>
            <w:r>
              <w:rPr>
                <w:rFonts w:hint="eastAsia" w:ascii="宋体" w:hAnsi="宋体" w:eastAsia="宋体"/>
              </w:rPr>
              <w:t xml:space="preserve">4008-888-888或95551 </w:t>
            </w:r>
          </w:p>
        </w:tc>
      </w:tr>
      <w:tr w14:paraId="56185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3D176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FC3C176">
            <w:pPr>
              <w:rPr>
                <w:rFonts w:ascii="宋体" w:hAnsi="宋体" w:eastAsia="宋体" w:cs="宋体"/>
                <w:sz w:val="24"/>
                <w:szCs w:val="24"/>
              </w:rPr>
            </w:pPr>
            <w:r>
              <w:rPr>
                <w:rFonts w:hint="eastAsia" w:ascii="宋体" w:hAnsi="宋体" w:eastAsia="宋体"/>
              </w:rPr>
              <w:t xml:space="preserve">http:// www.chinastock.com.cn/ </w:t>
            </w:r>
          </w:p>
        </w:tc>
      </w:tr>
    </w:tbl>
    <w:p w14:paraId="251071FB">
      <w:pPr>
        <w:pStyle w:val="7"/>
        <w:spacing w:before="0" w:beforeAutospacing="0" w:after="0" w:afterAutospacing="0" w:line="360" w:lineRule="auto"/>
        <w:ind w:firstLine="420"/>
        <w:rPr>
          <w:sz w:val="21"/>
          <w:szCs w:val="21"/>
        </w:rPr>
      </w:pPr>
      <w:r>
        <w:rPr>
          <w:rFonts w:hint="eastAsia"/>
          <w:b/>
          <w:bCs/>
          <w:sz w:val="21"/>
          <w:szCs w:val="21"/>
        </w:rPr>
        <w:t>(45)申万宏源证券有限公司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12AAC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8AEB9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BDA7CF8">
            <w:pPr>
              <w:rPr>
                <w:rFonts w:ascii="宋体" w:hAnsi="宋体" w:eastAsia="宋体" w:cs="宋体"/>
                <w:sz w:val="24"/>
                <w:szCs w:val="24"/>
              </w:rPr>
            </w:pPr>
            <w:r>
              <w:rPr>
                <w:rFonts w:hint="eastAsia" w:ascii="宋体" w:hAnsi="宋体" w:eastAsia="宋体"/>
              </w:rPr>
              <w:t xml:space="preserve">上海市徐汇区长乐路989号45层 </w:t>
            </w:r>
          </w:p>
        </w:tc>
      </w:tr>
      <w:tr w14:paraId="0ADB1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8E4C1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D55F46E">
            <w:pPr>
              <w:rPr>
                <w:rFonts w:ascii="宋体" w:hAnsi="宋体" w:eastAsia="宋体" w:cs="宋体"/>
                <w:sz w:val="24"/>
                <w:szCs w:val="24"/>
              </w:rPr>
            </w:pPr>
            <w:r>
              <w:rPr>
                <w:rFonts w:hint="eastAsia" w:ascii="宋体" w:hAnsi="宋体" w:eastAsia="宋体"/>
              </w:rPr>
              <w:t xml:space="preserve">上海市徐汇区长乐路989号世纪商贸广场45层 </w:t>
            </w:r>
          </w:p>
        </w:tc>
      </w:tr>
      <w:tr w14:paraId="32854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0EA2F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D290852">
            <w:pPr>
              <w:rPr>
                <w:rFonts w:ascii="宋体" w:hAnsi="宋体" w:eastAsia="宋体" w:cs="宋体"/>
                <w:sz w:val="24"/>
                <w:szCs w:val="24"/>
              </w:rPr>
            </w:pPr>
            <w:r>
              <w:rPr>
                <w:rFonts w:hint="eastAsia" w:ascii="宋体" w:hAnsi="宋体" w:eastAsia="宋体"/>
              </w:rPr>
              <w:t xml:space="preserve">张剑 </w:t>
            </w:r>
          </w:p>
        </w:tc>
      </w:tr>
      <w:tr w14:paraId="1B519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B6646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043EA6C">
            <w:pPr>
              <w:rPr>
                <w:rFonts w:ascii="宋体" w:hAnsi="宋体" w:eastAsia="宋体" w:cs="宋体"/>
                <w:sz w:val="24"/>
                <w:szCs w:val="24"/>
              </w:rPr>
            </w:pPr>
            <w:r>
              <w:rPr>
                <w:rFonts w:hint="eastAsia" w:ascii="宋体" w:hAnsi="宋体" w:eastAsia="宋体"/>
              </w:rPr>
              <w:t xml:space="preserve">021-33388999 </w:t>
            </w:r>
          </w:p>
        </w:tc>
      </w:tr>
      <w:tr w14:paraId="33758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FD7D2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39B426C">
            <w:pPr>
              <w:rPr>
                <w:rFonts w:ascii="宋体" w:hAnsi="宋体" w:eastAsia="宋体" w:cs="宋体"/>
                <w:sz w:val="24"/>
                <w:szCs w:val="24"/>
              </w:rPr>
            </w:pPr>
            <w:r>
              <w:rPr>
                <w:rFonts w:hint="eastAsia" w:ascii="宋体" w:hAnsi="宋体" w:eastAsia="宋体"/>
              </w:rPr>
              <w:t xml:space="preserve">021-33388224 </w:t>
            </w:r>
          </w:p>
        </w:tc>
      </w:tr>
      <w:tr w14:paraId="448B2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7F5AF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4BA7350">
            <w:pPr>
              <w:rPr>
                <w:rFonts w:ascii="宋体" w:hAnsi="宋体" w:eastAsia="宋体" w:cs="宋体"/>
                <w:sz w:val="24"/>
                <w:szCs w:val="24"/>
              </w:rPr>
            </w:pPr>
            <w:r>
              <w:rPr>
                <w:rFonts w:hint="eastAsia" w:ascii="宋体" w:hAnsi="宋体" w:eastAsia="宋体"/>
              </w:rPr>
              <w:t xml:space="preserve">95523 </w:t>
            </w:r>
          </w:p>
        </w:tc>
      </w:tr>
      <w:tr w14:paraId="78F85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460AA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767EB8C">
            <w:pPr>
              <w:rPr>
                <w:rFonts w:ascii="宋体" w:hAnsi="宋体" w:eastAsia="宋体" w:cs="宋体"/>
                <w:sz w:val="24"/>
                <w:szCs w:val="24"/>
              </w:rPr>
            </w:pPr>
            <w:r>
              <w:rPr>
                <w:rFonts w:hint="eastAsia" w:ascii="宋体" w:hAnsi="宋体" w:eastAsia="宋体"/>
              </w:rPr>
              <w:t xml:space="preserve">www.swhysc.com </w:t>
            </w:r>
          </w:p>
        </w:tc>
      </w:tr>
    </w:tbl>
    <w:p w14:paraId="592C4C5D">
      <w:pPr>
        <w:pStyle w:val="7"/>
        <w:spacing w:before="0" w:beforeAutospacing="0" w:after="0" w:afterAutospacing="0" w:line="360" w:lineRule="auto"/>
        <w:ind w:firstLine="420"/>
        <w:rPr>
          <w:sz w:val="21"/>
          <w:szCs w:val="21"/>
        </w:rPr>
      </w:pPr>
      <w:r>
        <w:rPr>
          <w:rFonts w:hint="eastAsia"/>
          <w:b/>
          <w:bCs/>
          <w:sz w:val="21"/>
          <w:szCs w:val="21"/>
        </w:rPr>
        <w:t>(46)兴业证券股份有限公司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10F0E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9DAE7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EFC310C">
            <w:pPr>
              <w:rPr>
                <w:rFonts w:ascii="宋体" w:hAnsi="宋体" w:eastAsia="宋体" w:cs="宋体"/>
                <w:sz w:val="24"/>
                <w:szCs w:val="24"/>
              </w:rPr>
            </w:pPr>
            <w:r>
              <w:rPr>
                <w:rFonts w:hint="eastAsia" w:ascii="宋体" w:hAnsi="宋体" w:eastAsia="宋体"/>
              </w:rPr>
              <w:t xml:space="preserve">福州市湖东路268号 </w:t>
            </w:r>
          </w:p>
        </w:tc>
      </w:tr>
      <w:tr w14:paraId="54F4B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51CC1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BBD6965">
            <w:pPr>
              <w:rPr>
                <w:rFonts w:ascii="宋体" w:hAnsi="宋体" w:eastAsia="宋体" w:cs="宋体"/>
                <w:sz w:val="24"/>
                <w:szCs w:val="24"/>
              </w:rPr>
            </w:pPr>
            <w:r>
              <w:rPr>
                <w:rFonts w:hint="eastAsia" w:ascii="宋体" w:hAnsi="宋体" w:eastAsia="宋体"/>
              </w:rPr>
              <w:t xml:space="preserve">上海市浦东民生路1199弄五道口广场1号楼21层 </w:t>
            </w:r>
          </w:p>
        </w:tc>
      </w:tr>
      <w:tr w14:paraId="380CA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246E5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595982D">
            <w:pPr>
              <w:rPr>
                <w:rFonts w:ascii="宋体" w:hAnsi="宋体" w:eastAsia="宋体" w:cs="宋体"/>
                <w:sz w:val="24"/>
                <w:szCs w:val="24"/>
              </w:rPr>
            </w:pPr>
            <w:r>
              <w:rPr>
                <w:rFonts w:hint="eastAsia" w:ascii="宋体" w:hAnsi="宋体" w:eastAsia="宋体"/>
              </w:rPr>
              <w:t xml:space="preserve">杨华辉 </w:t>
            </w:r>
          </w:p>
        </w:tc>
      </w:tr>
      <w:tr w14:paraId="34B4A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12774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821E283">
            <w:pPr>
              <w:rPr>
                <w:rFonts w:ascii="宋体" w:hAnsi="宋体" w:eastAsia="宋体" w:cs="宋体"/>
                <w:sz w:val="24"/>
                <w:szCs w:val="24"/>
              </w:rPr>
            </w:pPr>
            <w:r>
              <w:rPr>
                <w:rFonts w:hint="eastAsia" w:ascii="宋体" w:hAnsi="宋体" w:eastAsia="宋体"/>
              </w:rPr>
              <w:t xml:space="preserve">021-38565547 </w:t>
            </w:r>
          </w:p>
        </w:tc>
      </w:tr>
      <w:tr w14:paraId="4B398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BD5FC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83D69E6">
            <w:pPr>
              <w:rPr>
                <w:rFonts w:ascii="宋体" w:hAnsi="宋体" w:eastAsia="宋体" w:cs="宋体"/>
                <w:sz w:val="24"/>
                <w:szCs w:val="24"/>
              </w:rPr>
            </w:pPr>
            <w:r>
              <w:rPr>
                <w:rFonts w:hint="eastAsia" w:ascii="宋体" w:hAnsi="宋体" w:eastAsia="宋体"/>
              </w:rPr>
              <w:t xml:space="preserve">021－38565783 </w:t>
            </w:r>
          </w:p>
        </w:tc>
      </w:tr>
      <w:tr w14:paraId="09A88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59CD3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F11DCDE">
            <w:pPr>
              <w:rPr>
                <w:rFonts w:ascii="宋体" w:hAnsi="宋体" w:eastAsia="宋体" w:cs="宋体"/>
                <w:sz w:val="24"/>
                <w:szCs w:val="24"/>
              </w:rPr>
            </w:pPr>
            <w:r>
              <w:rPr>
                <w:rFonts w:hint="eastAsia" w:ascii="宋体" w:hAnsi="宋体" w:eastAsia="宋体"/>
              </w:rPr>
              <w:t xml:space="preserve">95562 </w:t>
            </w:r>
          </w:p>
        </w:tc>
      </w:tr>
      <w:tr w14:paraId="22111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1EABB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418D7DC">
            <w:pPr>
              <w:rPr>
                <w:rFonts w:ascii="宋体" w:hAnsi="宋体" w:eastAsia="宋体" w:cs="宋体"/>
                <w:sz w:val="24"/>
                <w:szCs w:val="24"/>
              </w:rPr>
            </w:pPr>
            <w:r>
              <w:rPr>
                <w:rFonts w:hint="eastAsia" w:ascii="宋体" w:hAnsi="宋体" w:eastAsia="宋体"/>
              </w:rPr>
              <w:t xml:space="preserve">http://www.xyzq.com.cn/ </w:t>
            </w:r>
          </w:p>
        </w:tc>
      </w:tr>
    </w:tbl>
    <w:p w14:paraId="0B481DE2">
      <w:pPr>
        <w:pStyle w:val="7"/>
        <w:spacing w:before="0" w:beforeAutospacing="0" w:after="0" w:afterAutospacing="0" w:line="360" w:lineRule="auto"/>
        <w:ind w:firstLine="420"/>
        <w:rPr>
          <w:sz w:val="21"/>
          <w:szCs w:val="21"/>
        </w:rPr>
      </w:pPr>
      <w:r>
        <w:rPr>
          <w:rFonts w:hint="eastAsia"/>
          <w:b/>
          <w:bCs/>
          <w:sz w:val="21"/>
          <w:szCs w:val="21"/>
        </w:rPr>
        <w:t>(47)长江证券股份有限公司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17932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EAF7F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0157E05">
            <w:pPr>
              <w:rPr>
                <w:rFonts w:ascii="宋体" w:hAnsi="宋体" w:eastAsia="宋体" w:cs="宋体"/>
                <w:sz w:val="24"/>
                <w:szCs w:val="24"/>
              </w:rPr>
            </w:pPr>
            <w:r>
              <w:rPr>
                <w:rFonts w:hint="eastAsia" w:ascii="宋体" w:hAnsi="宋体" w:eastAsia="宋体"/>
              </w:rPr>
              <w:t xml:space="preserve">湖北省武汉市江汉区淮海路88号 </w:t>
            </w:r>
          </w:p>
        </w:tc>
      </w:tr>
      <w:tr w14:paraId="51CFD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B2A98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BBF5526">
            <w:pPr>
              <w:rPr>
                <w:rFonts w:ascii="宋体" w:hAnsi="宋体" w:eastAsia="宋体" w:cs="宋体"/>
                <w:sz w:val="24"/>
                <w:szCs w:val="24"/>
              </w:rPr>
            </w:pPr>
            <w:r>
              <w:rPr>
                <w:rFonts w:hint="eastAsia" w:ascii="宋体" w:hAnsi="宋体" w:eastAsia="宋体"/>
              </w:rPr>
              <w:t xml:space="preserve">湖北省武汉市江汉区淮海路88号 </w:t>
            </w:r>
          </w:p>
        </w:tc>
      </w:tr>
      <w:tr w14:paraId="01F43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93FD2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4E0FC22">
            <w:pPr>
              <w:rPr>
                <w:rFonts w:ascii="宋体" w:hAnsi="宋体" w:eastAsia="宋体" w:cs="宋体"/>
                <w:sz w:val="24"/>
                <w:szCs w:val="24"/>
              </w:rPr>
            </w:pPr>
            <w:r>
              <w:rPr>
                <w:rFonts w:hint="eastAsia" w:ascii="宋体" w:hAnsi="宋体" w:eastAsia="宋体"/>
              </w:rPr>
              <w:t xml:space="preserve">刘正斌 </w:t>
            </w:r>
          </w:p>
        </w:tc>
      </w:tr>
      <w:tr w14:paraId="158D1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AD072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B7439B9">
            <w:pPr>
              <w:rPr>
                <w:rFonts w:ascii="宋体" w:hAnsi="宋体" w:eastAsia="宋体" w:cs="宋体"/>
                <w:sz w:val="24"/>
                <w:szCs w:val="24"/>
              </w:rPr>
            </w:pPr>
            <w:r>
              <w:rPr>
                <w:rFonts w:hint="eastAsia" w:ascii="宋体" w:hAnsi="宋体" w:eastAsia="宋体"/>
              </w:rPr>
              <w:t xml:space="preserve">奚博宇 </w:t>
            </w:r>
          </w:p>
        </w:tc>
      </w:tr>
      <w:tr w14:paraId="0254D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DF68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3B086CA">
            <w:pPr>
              <w:rPr>
                <w:rFonts w:ascii="宋体" w:hAnsi="宋体" w:eastAsia="宋体" w:cs="宋体"/>
                <w:sz w:val="24"/>
                <w:szCs w:val="24"/>
              </w:rPr>
            </w:pPr>
            <w:r>
              <w:rPr>
                <w:rFonts w:hint="eastAsia" w:ascii="宋体" w:hAnsi="宋体" w:eastAsia="宋体"/>
              </w:rPr>
              <w:t xml:space="preserve">027-65799999 </w:t>
            </w:r>
          </w:p>
        </w:tc>
      </w:tr>
      <w:tr w14:paraId="64612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7406D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4699832">
            <w:pPr>
              <w:rPr>
                <w:rFonts w:ascii="宋体" w:hAnsi="宋体" w:eastAsia="宋体" w:cs="宋体"/>
                <w:sz w:val="24"/>
                <w:szCs w:val="24"/>
              </w:rPr>
            </w:pPr>
            <w:r>
              <w:rPr>
                <w:rFonts w:hint="eastAsia" w:ascii="宋体" w:hAnsi="宋体" w:eastAsia="宋体"/>
              </w:rPr>
              <w:t xml:space="preserve">027-85481900 </w:t>
            </w:r>
          </w:p>
        </w:tc>
      </w:tr>
      <w:tr w14:paraId="500DA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29A40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E27AA30">
            <w:pPr>
              <w:rPr>
                <w:rFonts w:ascii="宋体" w:hAnsi="宋体" w:eastAsia="宋体" w:cs="宋体"/>
                <w:sz w:val="24"/>
                <w:szCs w:val="24"/>
              </w:rPr>
            </w:pPr>
            <w:r>
              <w:rPr>
                <w:rFonts w:hint="eastAsia" w:ascii="宋体" w:hAnsi="宋体" w:eastAsia="宋体"/>
              </w:rPr>
              <w:t xml:space="preserve">95579 </w:t>
            </w:r>
          </w:p>
        </w:tc>
      </w:tr>
      <w:tr w14:paraId="12418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03ABE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9DF9723">
            <w:pPr>
              <w:rPr>
                <w:rFonts w:ascii="宋体" w:hAnsi="宋体" w:eastAsia="宋体" w:cs="宋体"/>
                <w:sz w:val="24"/>
                <w:szCs w:val="24"/>
              </w:rPr>
            </w:pPr>
            <w:r>
              <w:rPr>
                <w:rFonts w:hint="eastAsia" w:ascii="宋体" w:hAnsi="宋体" w:eastAsia="宋体"/>
              </w:rPr>
              <w:t xml:space="preserve">http://www.95579.com/ </w:t>
            </w:r>
          </w:p>
        </w:tc>
      </w:tr>
    </w:tbl>
    <w:p w14:paraId="7BEAB118">
      <w:pPr>
        <w:pStyle w:val="7"/>
        <w:spacing w:before="0" w:beforeAutospacing="0" w:after="0" w:afterAutospacing="0" w:line="360" w:lineRule="auto"/>
        <w:ind w:firstLine="420"/>
        <w:rPr>
          <w:sz w:val="21"/>
          <w:szCs w:val="21"/>
        </w:rPr>
      </w:pPr>
      <w:r>
        <w:rPr>
          <w:rFonts w:hint="eastAsia"/>
          <w:b/>
          <w:bCs/>
          <w:sz w:val="21"/>
          <w:szCs w:val="21"/>
        </w:rPr>
        <w:t>(48)国投证券股份有限公司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1044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EC5F8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A562D7D">
            <w:pPr>
              <w:rPr>
                <w:rFonts w:ascii="宋体" w:hAnsi="宋体" w:eastAsia="宋体" w:cs="宋体"/>
                <w:sz w:val="24"/>
                <w:szCs w:val="24"/>
              </w:rPr>
            </w:pPr>
            <w:r>
              <w:rPr>
                <w:rFonts w:hint="eastAsia" w:ascii="宋体" w:hAnsi="宋体" w:eastAsia="宋体"/>
              </w:rPr>
              <w:t xml:space="preserve">深圳市福田区福田街道福华一路119号安信金融大厦 </w:t>
            </w:r>
          </w:p>
        </w:tc>
      </w:tr>
      <w:tr w14:paraId="20AD8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A3A08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1B51543">
            <w:pPr>
              <w:rPr>
                <w:rFonts w:ascii="宋体" w:hAnsi="宋体" w:eastAsia="宋体" w:cs="宋体"/>
                <w:sz w:val="24"/>
                <w:szCs w:val="24"/>
              </w:rPr>
            </w:pPr>
            <w:r>
              <w:rPr>
                <w:rFonts w:hint="eastAsia" w:ascii="宋体" w:hAnsi="宋体" w:eastAsia="宋体"/>
              </w:rPr>
              <w:t xml:space="preserve">深圳市福田区福田街道福华一路119号安信金融大厦 </w:t>
            </w:r>
          </w:p>
        </w:tc>
      </w:tr>
      <w:tr w14:paraId="3C25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4843A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9EB46BA">
            <w:pPr>
              <w:rPr>
                <w:rFonts w:ascii="宋体" w:hAnsi="宋体" w:eastAsia="宋体" w:cs="宋体"/>
                <w:sz w:val="24"/>
                <w:szCs w:val="24"/>
              </w:rPr>
            </w:pPr>
            <w:r>
              <w:rPr>
                <w:rFonts w:hint="eastAsia" w:ascii="宋体" w:hAnsi="宋体" w:eastAsia="宋体"/>
              </w:rPr>
              <w:t xml:space="preserve">王苏望 </w:t>
            </w:r>
          </w:p>
        </w:tc>
      </w:tr>
      <w:tr w14:paraId="272A0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74C7E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B7BBAD9">
            <w:pPr>
              <w:rPr>
                <w:rFonts w:ascii="宋体" w:hAnsi="宋体" w:eastAsia="宋体" w:cs="宋体"/>
                <w:sz w:val="24"/>
                <w:szCs w:val="24"/>
              </w:rPr>
            </w:pPr>
            <w:r>
              <w:rPr>
                <w:rFonts w:hint="eastAsia" w:ascii="宋体" w:hAnsi="宋体" w:eastAsia="宋体"/>
              </w:rPr>
              <w:t xml:space="preserve">0755-82558266 </w:t>
            </w:r>
          </w:p>
        </w:tc>
      </w:tr>
      <w:tr w14:paraId="25276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83B7E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C794989">
            <w:pPr>
              <w:rPr>
                <w:rFonts w:ascii="宋体" w:hAnsi="宋体" w:eastAsia="宋体" w:cs="宋体"/>
                <w:sz w:val="24"/>
                <w:szCs w:val="24"/>
              </w:rPr>
            </w:pPr>
            <w:r>
              <w:rPr>
                <w:rFonts w:hint="eastAsia" w:ascii="宋体" w:hAnsi="宋体" w:eastAsia="宋体"/>
              </w:rPr>
              <w:t xml:space="preserve">95517 </w:t>
            </w:r>
          </w:p>
        </w:tc>
      </w:tr>
      <w:tr w14:paraId="04E3C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6161C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7EABB41">
            <w:pPr>
              <w:rPr>
                <w:rFonts w:ascii="宋体" w:hAnsi="宋体" w:eastAsia="宋体" w:cs="宋体"/>
                <w:sz w:val="24"/>
                <w:szCs w:val="24"/>
              </w:rPr>
            </w:pPr>
            <w:r>
              <w:rPr>
                <w:rFonts w:hint="eastAsia" w:ascii="宋体" w:hAnsi="宋体" w:eastAsia="宋体"/>
              </w:rPr>
              <w:t xml:space="preserve">http://www.sdicsc.com.cn </w:t>
            </w:r>
          </w:p>
        </w:tc>
      </w:tr>
    </w:tbl>
    <w:p w14:paraId="56D14434">
      <w:pPr>
        <w:pStyle w:val="7"/>
        <w:spacing w:before="0" w:beforeAutospacing="0" w:after="0" w:afterAutospacing="0" w:line="360" w:lineRule="auto"/>
        <w:ind w:firstLine="420"/>
        <w:rPr>
          <w:sz w:val="21"/>
          <w:szCs w:val="21"/>
        </w:rPr>
      </w:pPr>
      <w:r>
        <w:rPr>
          <w:rFonts w:hint="eastAsia"/>
          <w:b/>
          <w:bCs/>
          <w:sz w:val="21"/>
          <w:szCs w:val="21"/>
        </w:rPr>
        <w:t>(49)西南证券股份有限公司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5A1C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BA559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C46493E">
            <w:pPr>
              <w:rPr>
                <w:rFonts w:ascii="宋体" w:hAnsi="宋体" w:eastAsia="宋体" w:cs="宋体"/>
                <w:sz w:val="24"/>
                <w:szCs w:val="24"/>
              </w:rPr>
            </w:pPr>
            <w:r>
              <w:rPr>
                <w:rFonts w:hint="eastAsia" w:ascii="宋体" w:hAnsi="宋体" w:eastAsia="宋体"/>
              </w:rPr>
              <w:t xml:space="preserve">重庆市江北区金沙门路32号 </w:t>
            </w:r>
          </w:p>
        </w:tc>
      </w:tr>
      <w:tr w14:paraId="786AC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8E373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B7831C2">
            <w:pPr>
              <w:rPr>
                <w:rFonts w:ascii="宋体" w:hAnsi="宋体" w:eastAsia="宋体" w:cs="宋体"/>
                <w:sz w:val="24"/>
                <w:szCs w:val="24"/>
              </w:rPr>
            </w:pPr>
            <w:r>
              <w:rPr>
                <w:rFonts w:hint="eastAsia" w:ascii="宋体" w:hAnsi="宋体" w:eastAsia="宋体"/>
              </w:rPr>
              <w:t xml:space="preserve">重庆市江北区金沙门路32号 </w:t>
            </w:r>
          </w:p>
        </w:tc>
      </w:tr>
      <w:tr w14:paraId="1203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72D9D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9958707">
            <w:pPr>
              <w:rPr>
                <w:rFonts w:ascii="宋体" w:hAnsi="宋体" w:eastAsia="宋体" w:cs="宋体"/>
                <w:sz w:val="24"/>
                <w:szCs w:val="24"/>
              </w:rPr>
            </w:pPr>
            <w:r>
              <w:rPr>
                <w:rFonts w:hint="eastAsia" w:ascii="宋体" w:hAnsi="宋体" w:eastAsia="宋体"/>
              </w:rPr>
              <w:t xml:space="preserve">杨雨松 </w:t>
            </w:r>
          </w:p>
        </w:tc>
      </w:tr>
      <w:tr w14:paraId="5BE44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9AD04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BFCADB1">
            <w:pPr>
              <w:rPr>
                <w:rFonts w:ascii="宋体" w:hAnsi="宋体" w:eastAsia="宋体" w:cs="宋体"/>
                <w:sz w:val="24"/>
                <w:szCs w:val="24"/>
              </w:rPr>
            </w:pPr>
            <w:r>
              <w:rPr>
                <w:rFonts w:hint="eastAsia" w:ascii="宋体" w:hAnsi="宋体" w:eastAsia="宋体"/>
              </w:rPr>
              <w:t xml:space="preserve">宋涧乔 </w:t>
            </w:r>
          </w:p>
        </w:tc>
      </w:tr>
      <w:tr w14:paraId="2833D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6EBE3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2ABF08C">
            <w:pPr>
              <w:rPr>
                <w:rFonts w:ascii="宋体" w:hAnsi="宋体" w:eastAsia="宋体" w:cs="宋体"/>
                <w:sz w:val="24"/>
                <w:szCs w:val="24"/>
              </w:rPr>
            </w:pPr>
            <w:r>
              <w:rPr>
                <w:rFonts w:hint="eastAsia" w:ascii="宋体" w:hAnsi="宋体" w:eastAsia="宋体"/>
              </w:rPr>
              <w:t xml:space="preserve">023-67747414 </w:t>
            </w:r>
          </w:p>
        </w:tc>
      </w:tr>
      <w:tr w14:paraId="5F044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10079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54129C1">
            <w:pPr>
              <w:rPr>
                <w:rFonts w:ascii="宋体" w:hAnsi="宋体" w:eastAsia="宋体" w:cs="宋体"/>
                <w:sz w:val="24"/>
                <w:szCs w:val="24"/>
              </w:rPr>
            </w:pPr>
            <w:r>
              <w:rPr>
                <w:rFonts w:hint="eastAsia" w:ascii="宋体" w:hAnsi="宋体" w:eastAsia="宋体"/>
              </w:rPr>
              <w:t xml:space="preserve">023-63786212 </w:t>
            </w:r>
          </w:p>
        </w:tc>
      </w:tr>
      <w:tr w14:paraId="0C86F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48245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86A54A5">
            <w:pPr>
              <w:rPr>
                <w:rFonts w:ascii="宋体" w:hAnsi="宋体" w:eastAsia="宋体" w:cs="宋体"/>
                <w:sz w:val="24"/>
                <w:szCs w:val="24"/>
              </w:rPr>
            </w:pPr>
            <w:r>
              <w:rPr>
                <w:rFonts w:hint="eastAsia" w:ascii="宋体" w:hAnsi="宋体" w:eastAsia="宋体"/>
              </w:rPr>
              <w:t xml:space="preserve">4008096096 </w:t>
            </w:r>
          </w:p>
        </w:tc>
      </w:tr>
      <w:tr w14:paraId="0392B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2F454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706A4E5">
            <w:pPr>
              <w:rPr>
                <w:rFonts w:ascii="宋体" w:hAnsi="宋体" w:eastAsia="宋体" w:cs="宋体"/>
                <w:sz w:val="24"/>
                <w:szCs w:val="24"/>
              </w:rPr>
            </w:pPr>
            <w:r>
              <w:rPr>
                <w:rFonts w:hint="eastAsia" w:ascii="宋体" w:hAnsi="宋体" w:eastAsia="宋体"/>
              </w:rPr>
              <w:t xml:space="preserve">http://www.swsc.com.cn </w:t>
            </w:r>
          </w:p>
        </w:tc>
      </w:tr>
    </w:tbl>
    <w:p w14:paraId="070ADF6F">
      <w:pPr>
        <w:pStyle w:val="7"/>
        <w:spacing w:before="0" w:beforeAutospacing="0" w:after="0" w:afterAutospacing="0" w:line="360" w:lineRule="auto"/>
        <w:ind w:firstLine="420"/>
        <w:rPr>
          <w:sz w:val="21"/>
          <w:szCs w:val="21"/>
        </w:rPr>
      </w:pPr>
      <w:r>
        <w:rPr>
          <w:rFonts w:hint="eastAsia"/>
          <w:b/>
          <w:bCs/>
          <w:sz w:val="21"/>
          <w:szCs w:val="21"/>
        </w:rPr>
        <w:t>(50)湘财证券股份有限公司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8A3D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DDC7B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14A4F16">
            <w:pPr>
              <w:rPr>
                <w:rFonts w:ascii="宋体" w:hAnsi="宋体" w:eastAsia="宋体" w:cs="宋体"/>
                <w:sz w:val="24"/>
                <w:szCs w:val="24"/>
              </w:rPr>
            </w:pPr>
            <w:r>
              <w:rPr>
                <w:rFonts w:hint="eastAsia" w:ascii="宋体" w:hAnsi="宋体" w:eastAsia="宋体"/>
              </w:rPr>
              <w:t xml:space="preserve">湖南省长沙市天心区湘府中路198号新南城商务中心A栋11楼 </w:t>
            </w:r>
          </w:p>
        </w:tc>
      </w:tr>
      <w:tr w14:paraId="377BF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DF631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229F101">
            <w:pPr>
              <w:rPr>
                <w:rFonts w:ascii="宋体" w:hAnsi="宋体" w:eastAsia="宋体" w:cs="宋体"/>
                <w:sz w:val="24"/>
                <w:szCs w:val="24"/>
              </w:rPr>
            </w:pPr>
            <w:r>
              <w:rPr>
                <w:rFonts w:hint="eastAsia" w:ascii="宋体" w:hAnsi="宋体" w:eastAsia="宋体"/>
              </w:rPr>
              <w:t xml:space="preserve">湖南省长沙市天心区湘府中路198号新南城商务中心A栋11楼 </w:t>
            </w:r>
          </w:p>
        </w:tc>
      </w:tr>
      <w:tr w14:paraId="055E0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3534F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4C8A2DC">
            <w:pPr>
              <w:rPr>
                <w:rFonts w:ascii="宋体" w:hAnsi="宋体" w:eastAsia="宋体" w:cs="宋体"/>
                <w:sz w:val="24"/>
                <w:szCs w:val="24"/>
              </w:rPr>
            </w:pPr>
            <w:r>
              <w:rPr>
                <w:rFonts w:hint="eastAsia" w:ascii="宋体" w:hAnsi="宋体" w:eastAsia="宋体"/>
              </w:rPr>
              <w:t xml:space="preserve">林俊波 </w:t>
            </w:r>
          </w:p>
        </w:tc>
      </w:tr>
      <w:tr w14:paraId="4F7D5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72ADD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E708337">
            <w:pPr>
              <w:rPr>
                <w:rFonts w:ascii="宋体" w:hAnsi="宋体" w:eastAsia="宋体" w:cs="宋体"/>
                <w:sz w:val="24"/>
                <w:szCs w:val="24"/>
              </w:rPr>
            </w:pPr>
            <w:r>
              <w:rPr>
                <w:rFonts w:hint="eastAsia" w:ascii="宋体" w:hAnsi="宋体" w:eastAsia="宋体"/>
              </w:rPr>
              <w:t xml:space="preserve">孙越 </w:t>
            </w:r>
          </w:p>
        </w:tc>
      </w:tr>
      <w:tr w14:paraId="3B817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EC59A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623A765">
            <w:pPr>
              <w:rPr>
                <w:rFonts w:ascii="宋体" w:hAnsi="宋体" w:eastAsia="宋体" w:cs="宋体"/>
                <w:sz w:val="24"/>
                <w:szCs w:val="24"/>
              </w:rPr>
            </w:pPr>
            <w:r>
              <w:rPr>
                <w:rFonts w:hint="eastAsia" w:ascii="宋体" w:hAnsi="宋体" w:eastAsia="宋体"/>
              </w:rPr>
              <w:t xml:space="preserve">021-38784580-8920 </w:t>
            </w:r>
          </w:p>
        </w:tc>
      </w:tr>
      <w:tr w14:paraId="7A46E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3B64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0A2EF79">
            <w:pPr>
              <w:rPr>
                <w:rFonts w:ascii="宋体" w:hAnsi="宋体" w:eastAsia="宋体" w:cs="宋体"/>
                <w:sz w:val="24"/>
                <w:szCs w:val="24"/>
              </w:rPr>
            </w:pPr>
            <w:r>
              <w:rPr>
                <w:rFonts w:hint="eastAsia" w:ascii="宋体" w:hAnsi="宋体" w:eastAsia="宋体"/>
              </w:rPr>
              <w:t xml:space="preserve">95351 </w:t>
            </w:r>
          </w:p>
        </w:tc>
      </w:tr>
      <w:tr w14:paraId="08A13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B3431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A5B23B2">
            <w:pPr>
              <w:rPr>
                <w:rFonts w:ascii="宋体" w:hAnsi="宋体" w:eastAsia="宋体" w:cs="宋体"/>
                <w:sz w:val="24"/>
                <w:szCs w:val="24"/>
              </w:rPr>
            </w:pPr>
            <w:r>
              <w:rPr>
                <w:rFonts w:hint="eastAsia" w:ascii="宋体" w:hAnsi="宋体" w:eastAsia="宋体"/>
              </w:rPr>
              <w:t xml:space="preserve">http://www.xcsc.com </w:t>
            </w:r>
          </w:p>
        </w:tc>
      </w:tr>
    </w:tbl>
    <w:p w14:paraId="09B974B5">
      <w:pPr>
        <w:pStyle w:val="7"/>
        <w:spacing w:before="0" w:beforeAutospacing="0" w:after="0" w:afterAutospacing="0" w:line="360" w:lineRule="auto"/>
        <w:ind w:firstLine="420"/>
        <w:rPr>
          <w:sz w:val="21"/>
          <w:szCs w:val="21"/>
        </w:rPr>
      </w:pPr>
      <w:r>
        <w:rPr>
          <w:rFonts w:hint="eastAsia"/>
          <w:b/>
          <w:bCs/>
          <w:sz w:val="21"/>
          <w:szCs w:val="21"/>
        </w:rPr>
        <w:t>(51)万联证券股份有限公司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007D5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A6906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44C0577">
            <w:pPr>
              <w:rPr>
                <w:rFonts w:ascii="宋体" w:hAnsi="宋体" w:eastAsia="宋体" w:cs="宋体"/>
                <w:sz w:val="24"/>
                <w:szCs w:val="24"/>
              </w:rPr>
            </w:pPr>
            <w:r>
              <w:rPr>
                <w:rFonts w:hint="eastAsia" w:ascii="宋体" w:hAnsi="宋体" w:eastAsia="宋体"/>
              </w:rPr>
              <w:t xml:space="preserve">广州市天河区珠江东路11号18、19楼全层 </w:t>
            </w:r>
          </w:p>
        </w:tc>
      </w:tr>
      <w:tr w14:paraId="4138C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DABC7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208F4AE">
            <w:pPr>
              <w:rPr>
                <w:rFonts w:ascii="宋体" w:hAnsi="宋体" w:eastAsia="宋体" w:cs="宋体"/>
                <w:sz w:val="24"/>
                <w:szCs w:val="24"/>
              </w:rPr>
            </w:pPr>
            <w:r>
              <w:rPr>
                <w:rFonts w:hint="eastAsia" w:ascii="宋体" w:hAnsi="宋体" w:eastAsia="宋体"/>
              </w:rPr>
              <w:t xml:space="preserve">广东省广州市天河区珠江东路13号高德置地广场E座12层 </w:t>
            </w:r>
          </w:p>
        </w:tc>
      </w:tr>
      <w:tr w14:paraId="55C57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B0E2B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8A6F81D">
            <w:pPr>
              <w:rPr>
                <w:rFonts w:ascii="宋体" w:hAnsi="宋体" w:eastAsia="宋体" w:cs="宋体"/>
                <w:sz w:val="24"/>
                <w:szCs w:val="24"/>
              </w:rPr>
            </w:pPr>
            <w:r>
              <w:rPr>
                <w:rFonts w:hint="eastAsia" w:ascii="宋体" w:hAnsi="宋体" w:eastAsia="宋体"/>
              </w:rPr>
              <w:t xml:space="preserve">王达 </w:t>
            </w:r>
          </w:p>
        </w:tc>
      </w:tr>
      <w:tr w14:paraId="414E4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09603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82A3EC0">
            <w:pPr>
              <w:rPr>
                <w:rFonts w:ascii="宋体" w:hAnsi="宋体" w:eastAsia="宋体" w:cs="宋体"/>
                <w:sz w:val="24"/>
                <w:szCs w:val="24"/>
              </w:rPr>
            </w:pPr>
            <w:r>
              <w:rPr>
                <w:rFonts w:hint="eastAsia" w:ascii="宋体" w:hAnsi="宋体" w:eastAsia="宋体"/>
              </w:rPr>
              <w:t xml:space="preserve">丁思 </w:t>
            </w:r>
          </w:p>
        </w:tc>
      </w:tr>
      <w:tr w14:paraId="4A02C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FFE81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ECB73AF">
            <w:pPr>
              <w:rPr>
                <w:rFonts w:ascii="宋体" w:hAnsi="宋体" w:eastAsia="宋体" w:cs="宋体"/>
                <w:sz w:val="24"/>
                <w:szCs w:val="24"/>
              </w:rPr>
            </w:pPr>
            <w:r>
              <w:rPr>
                <w:rFonts w:hint="eastAsia" w:ascii="宋体" w:hAnsi="宋体" w:eastAsia="宋体"/>
              </w:rPr>
              <w:t xml:space="preserve">020-83988334  </w:t>
            </w:r>
          </w:p>
        </w:tc>
      </w:tr>
      <w:tr w14:paraId="00904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999C5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6F4E53D">
            <w:pPr>
              <w:rPr>
                <w:rFonts w:ascii="宋体" w:hAnsi="宋体" w:eastAsia="宋体" w:cs="宋体"/>
                <w:sz w:val="24"/>
                <w:szCs w:val="24"/>
              </w:rPr>
            </w:pPr>
            <w:r>
              <w:rPr>
                <w:rFonts w:hint="eastAsia" w:ascii="宋体" w:hAnsi="宋体" w:eastAsia="宋体"/>
              </w:rPr>
              <w:t xml:space="preserve">95322 </w:t>
            </w:r>
          </w:p>
        </w:tc>
      </w:tr>
      <w:tr w14:paraId="1909B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8792F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F9A5584">
            <w:pPr>
              <w:rPr>
                <w:rFonts w:ascii="宋体" w:hAnsi="宋体" w:eastAsia="宋体" w:cs="宋体"/>
                <w:sz w:val="24"/>
                <w:szCs w:val="24"/>
              </w:rPr>
            </w:pPr>
            <w:r>
              <w:rPr>
                <w:rFonts w:hint="eastAsia" w:ascii="宋体" w:hAnsi="宋体" w:eastAsia="宋体"/>
              </w:rPr>
              <w:t xml:space="preserve">http://www.wlzq.cn </w:t>
            </w:r>
          </w:p>
        </w:tc>
      </w:tr>
    </w:tbl>
    <w:p w14:paraId="43A8198C">
      <w:pPr>
        <w:pStyle w:val="7"/>
        <w:spacing w:before="0" w:beforeAutospacing="0" w:after="0" w:afterAutospacing="0" w:line="360" w:lineRule="auto"/>
        <w:ind w:firstLine="420"/>
        <w:rPr>
          <w:sz w:val="21"/>
          <w:szCs w:val="21"/>
        </w:rPr>
      </w:pPr>
      <w:r>
        <w:rPr>
          <w:rFonts w:hint="eastAsia"/>
          <w:b/>
          <w:bCs/>
          <w:sz w:val="21"/>
          <w:szCs w:val="21"/>
        </w:rPr>
        <w:t>(52)渤海证券股份有限公司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52292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C790F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65B18A2">
            <w:pPr>
              <w:rPr>
                <w:rFonts w:ascii="宋体" w:hAnsi="宋体" w:eastAsia="宋体" w:cs="宋体"/>
                <w:sz w:val="24"/>
                <w:szCs w:val="24"/>
              </w:rPr>
            </w:pPr>
            <w:r>
              <w:rPr>
                <w:rFonts w:hint="eastAsia" w:ascii="宋体" w:hAnsi="宋体" w:eastAsia="宋体"/>
              </w:rPr>
              <w:t xml:space="preserve">天津经济技术开发区第二大街42号写字楼101室 </w:t>
            </w:r>
          </w:p>
        </w:tc>
      </w:tr>
      <w:tr w14:paraId="38AC3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A9CC3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963DF46">
            <w:pPr>
              <w:rPr>
                <w:rFonts w:ascii="宋体" w:hAnsi="宋体" w:eastAsia="宋体" w:cs="宋体"/>
                <w:sz w:val="24"/>
                <w:szCs w:val="24"/>
              </w:rPr>
            </w:pPr>
            <w:r>
              <w:rPr>
                <w:rFonts w:hint="eastAsia" w:ascii="宋体" w:hAnsi="宋体" w:eastAsia="宋体"/>
              </w:rPr>
              <w:t xml:space="preserve">天津市南开区宾水西道8号 </w:t>
            </w:r>
          </w:p>
        </w:tc>
      </w:tr>
      <w:tr w14:paraId="0C981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194FE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74FAABF">
            <w:pPr>
              <w:rPr>
                <w:rFonts w:ascii="宋体" w:hAnsi="宋体" w:eastAsia="宋体" w:cs="宋体"/>
                <w:sz w:val="24"/>
                <w:szCs w:val="24"/>
              </w:rPr>
            </w:pPr>
            <w:r>
              <w:rPr>
                <w:rFonts w:hint="eastAsia" w:ascii="宋体" w:hAnsi="宋体" w:eastAsia="宋体"/>
              </w:rPr>
              <w:t xml:space="preserve">安志勇 </w:t>
            </w:r>
          </w:p>
        </w:tc>
      </w:tr>
      <w:tr w14:paraId="36170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3B998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241A3F3">
            <w:pPr>
              <w:rPr>
                <w:rFonts w:ascii="宋体" w:hAnsi="宋体" w:eastAsia="宋体" w:cs="宋体"/>
                <w:sz w:val="24"/>
                <w:szCs w:val="24"/>
              </w:rPr>
            </w:pPr>
            <w:r>
              <w:rPr>
                <w:rFonts w:hint="eastAsia" w:ascii="宋体" w:hAnsi="宋体" w:eastAsia="宋体"/>
              </w:rPr>
              <w:t xml:space="preserve">王星 </w:t>
            </w:r>
          </w:p>
        </w:tc>
      </w:tr>
      <w:tr w14:paraId="4E6F9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F7A53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293036D">
            <w:pPr>
              <w:rPr>
                <w:rFonts w:ascii="宋体" w:hAnsi="宋体" w:eastAsia="宋体" w:cs="宋体"/>
                <w:sz w:val="24"/>
                <w:szCs w:val="24"/>
              </w:rPr>
            </w:pPr>
            <w:r>
              <w:rPr>
                <w:rFonts w:hint="eastAsia" w:ascii="宋体" w:hAnsi="宋体" w:eastAsia="宋体"/>
              </w:rPr>
              <w:t xml:space="preserve">022-23861692 </w:t>
            </w:r>
          </w:p>
        </w:tc>
      </w:tr>
      <w:tr w14:paraId="39C5C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090DE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567A538">
            <w:pPr>
              <w:rPr>
                <w:rFonts w:ascii="宋体" w:hAnsi="宋体" w:eastAsia="宋体" w:cs="宋体"/>
                <w:sz w:val="24"/>
                <w:szCs w:val="24"/>
              </w:rPr>
            </w:pPr>
            <w:r>
              <w:rPr>
                <w:rFonts w:hint="eastAsia" w:ascii="宋体" w:hAnsi="宋体" w:eastAsia="宋体"/>
              </w:rPr>
              <w:t xml:space="preserve">022－28451892 </w:t>
            </w:r>
          </w:p>
        </w:tc>
      </w:tr>
      <w:tr w14:paraId="7F7E5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DA244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FAC8F33">
            <w:pPr>
              <w:rPr>
                <w:rFonts w:ascii="宋体" w:hAnsi="宋体" w:eastAsia="宋体" w:cs="宋体"/>
                <w:sz w:val="24"/>
                <w:szCs w:val="24"/>
              </w:rPr>
            </w:pPr>
            <w:r>
              <w:rPr>
                <w:rFonts w:hint="eastAsia" w:ascii="宋体" w:hAnsi="宋体" w:eastAsia="宋体"/>
              </w:rPr>
              <w:t xml:space="preserve">956066 </w:t>
            </w:r>
          </w:p>
        </w:tc>
      </w:tr>
      <w:tr w14:paraId="6CDC1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5C67B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2A8FDBD">
            <w:pPr>
              <w:rPr>
                <w:rFonts w:ascii="宋体" w:hAnsi="宋体" w:eastAsia="宋体" w:cs="宋体"/>
                <w:sz w:val="24"/>
                <w:szCs w:val="24"/>
              </w:rPr>
            </w:pPr>
            <w:r>
              <w:rPr>
                <w:rFonts w:hint="eastAsia" w:ascii="宋体" w:hAnsi="宋体" w:eastAsia="宋体"/>
              </w:rPr>
              <w:t xml:space="preserve">https://www.bhzq.com </w:t>
            </w:r>
          </w:p>
        </w:tc>
      </w:tr>
    </w:tbl>
    <w:p w14:paraId="79066686">
      <w:pPr>
        <w:pStyle w:val="7"/>
        <w:spacing w:before="0" w:beforeAutospacing="0" w:after="0" w:afterAutospacing="0" w:line="360" w:lineRule="auto"/>
        <w:ind w:firstLine="420"/>
        <w:rPr>
          <w:sz w:val="21"/>
          <w:szCs w:val="21"/>
        </w:rPr>
      </w:pPr>
      <w:r>
        <w:rPr>
          <w:rFonts w:hint="eastAsia"/>
          <w:b/>
          <w:bCs/>
          <w:sz w:val="21"/>
          <w:szCs w:val="21"/>
        </w:rPr>
        <w:t>(53)华泰证券股份有限公司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1D5E5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68EF0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CAB8A81">
            <w:pPr>
              <w:rPr>
                <w:rFonts w:ascii="宋体" w:hAnsi="宋体" w:eastAsia="宋体" w:cs="宋体"/>
                <w:sz w:val="24"/>
                <w:szCs w:val="24"/>
              </w:rPr>
            </w:pPr>
            <w:r>
              <w:rPr>
                <w:rFonts w:hint="eastAsia" w:ascii="宋体" w:hAnsi="宋体" w:eastAsia="宋体"/>
              </w:rPr>
              <w:t xml:space="preserve">南京市江东中路228号 </w:t>
            </w:r>
          </w:p>
        </w:tc>
      </w:tr>
      <w:tr w14:paraId="3277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5C623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E1978C3">
            <w:pPr>
              <w:rPr>
                <w:rFonts w:ascii="宋体" w:hAnsi="宋体" w:eastAsia="宋体" w:cs="宋体"/>
                <w:sz w:val="24"/>
                <w:szCs w:val="24"/>
              </w:rPr>
            </w:pPr>
            <w:r>
              <w:rPr>
                <w:rFonts w:hint="eastAsia" w:ascii="宋体" w:hAnsi="宋体" w:eastAsia="宋体"/>
              </w:rPr>
              <w:t xml:space="preserve">南京市建邺区江东中路228号华泰证券广场、深圳市福田区益田路5999号基金大厦 </w:t>
            </w:r>
          </w:p>
        </w:tc>
      </w:tr>
      <w:tr w14:paraId="7D5A8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D8042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028B569">
            <w:pPr>
              <w:rPr>
                <w:rFonts w:ascii="宋体" w:hAnsi="宋体" w:eastAsia="宋体" w:cs="宋体"/>
                <w:sz w:val="24"/>
                <w:szCs w:val="24"/>
              </w:rPr>
            </w:pPr>
            <w:r>
              <w:rPr>
                <w:rFonts w:hint="eastAsia" w:ascii="宋体" w:hAnsi="宋体" w:eastAsia="宋体"/>
              </w:rPr>
              <w:t xml:space="preserve">张伟 </w:t>
            </w:r>
          </w:p>
        </w:tc>
      </w:tr>
      <w:tr w14:paraId="129BC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3836D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63AA533">
            <w:pPr>
              <w:rPr>
                <w:rFonts w:ascii="宋体" w:hAnsi="宋体" w:eastAsia="宋体" w:cs="宋体"/>
                <w:sz w:val="24"/>
                <w:szCs w:val="24"/>
              </w:rPr>
            </w:pPr>
            <w:r>
              <w:rPr>
                <w:rFonts w:hint="eastAsia" w:ascii="宋体" w:hAnsi="宋体" w:eastAsia="宋体"/>
              </w:rPr>
              <w:t xml:space="preserve">0755-22660831 </w:t>
            </w:r>
          </w:p>
        </w:tc>
      </w:tr>
      <w:tr w14:paraId="0C43C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978E5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20C6824">
            <w:pPr>
              <w:rPr>
                <w:rFonts w:ascii="宋体" w:hAnsi="宋体" w:eastAsia="宋体" w:cs="宋体"/>
                <w:sz w:val="24"/>
                <w:szCs w:val="24"/>
              </w:rPr>
            </w:pPr>
            <w:r>
              <w:rPr>
                <w:rFonts w:hint="eastAsia" w:ascii="宋体" w:hAnsi="宋体" w:eastAsia="宋体"/>
              </w:rPr>
              <w:t xml:space="preserve">95597 </w:t>
            </w:r>
          </w:p>
        </w:tc>
      </w:tr>
      <w:tr w14:paraId="49D6E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BA6E5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F5D788D">
            <w:pPr>
              <w:rPr>
                <w:rFonts w:ascii="宋体" w:hAnsi="宋体" w:eastAsia="宋体" w:cs="宋体"/>
                <w:sz w:val="24"/>
                <w:szCs w:val="24"/>
              </w:rPr>
            </w:pPr>
            <w:r>
              <w:rPr>
                <w:rFonts w:hint="eastAsia" w:ascii="宋体" w:hAnsi="宋体" w:eastAsia="宋体"/>
              </w:rPr>
              <w:t xml:space="preserve">http://www.htsc.com.cn/ </w:t>
            </w:r>
          </w:p>
        </w:tc>
      </w:tr>
    </w:tbl>
    <w:p w14:paraId="69A4389F">
      <w:pPr>
        <w:pStyle w:val="7"/>
        <w:spacing w:before="0" w:beforeAutospacing="0" w:after="0" w:afterAutospacing="0" w:line="360" w:lineRule="auto"/>
        <w:ind w:firstLine="420"/>
        <w:rPr>
          <w:sz w:val="21"/>
          <w:szCs w:val="21"/>
        </w:rPr>
      </w:pPr>
      <w:r>
        <w:rPr>
          <w:rFonts w:hint="eastAsia"/>
          <w:b/>
          <w:bCs/>
          <w:sz w:val="21"/>
          <w:szCs w:val="21"/>
        </w:rPr>
        <w:t>(54)中信证券（山东）有限责任公司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1FB59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802A1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F3EE3F5">
            <w:pPr>
              <w:rPr>
                <w:rFonts w:ascii="宋体" w:hAnsi="宋体" w:eastAsia="宋体" w:cs="宋体"/>
                <w:sz w:val="24"/>
                <w:szCs w:val="24"/>
              </w:rPr>
            </w:pPr>
            <w:r>
              <w:rPr>
                <w:rFonts w:hint="eastAsia" w:ascii="宋体" w:hAnsi="宋体" w:eastAsia="宋体"/>
              </w:rPr>
              <w:t xml:space="preserve">青岛市崂山区深圳路222号1号楼2001 </w:t>
            </w:r>
          </w:p>
        </w:tc>
      </w:tr>
      <w:tr w14:paraId="195F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1BA6F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4A31FCE">
            <w:pPr>
              <w:rPr>
                <w:rFonts w:ascii="宋体" w:hAnsi="宋体" w:eastAsia="宋体" w:cs="宋体"/>
                <w:sz w:val="24"/>
                <w:szCs w:val="24"/>
              </w:rPr>
            </w:pPr>
            <w:r>
              <w:rPr>
                <w:rFonts w:hint="eastAsia" w:ascii="宋体" w:hAnsi="宋体" w:eastAsia="宋体"/>
              </w:rPr>
              <w:t xml:space="preserve">青岛市市南区东海西路28号龙翔广场东座5层 </w:t>
            </w:r>
          </w:p>
        </w:tc>
      </w:tr>
      <w:tr w14:paraId="53AD6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78A29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0F43641">
            <w:pPr>
              <w:rPr>
                <w:rFonts w:ascii="宋体" w:hAnsi="宋体" w:eastAsia="宋体" w:cs="宋体"/>
                <w:sz w:val="24"/>
                <w:szCs w:val="24"/>
              </w:rPr>
            </w:pPr>
            <w:r>
              <w:rPr>
                <w:rFonts w:hint="eastAsia" w:ascii="宋体" w:hAnsi="宋体" w:eastAsia="宋体"/>
              </w:rPr>
              <w:t xml:space="preserve">肖海峰 </w:t>
            </w:r>
          </w:p>
        </w:tc>
      </w:tr>
      <w:tr w14:paraId="71346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B15F5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BB08410">
            <w:pPr>
              <w:rPr>
                <w:rFonts w:ascii="宋体" w:hAnsi="宋体" w:eastAsia="宋体" w:cs="宋体"/>
                <w:sz w:val="24"/>
                <w:szCs w:val="24"/>
              </w:rPr>
            </w:pPr>
            <w:r>
              <w:rPr>
                <w:rFonts w:hint="eastAsia" w:ascii="宋体" w:hAnsi="宋体" w:eastAsia="宋体"/>
              </w:rPr>
              <w:t xml:space="preserve">赵如意 </w:t>
            </w:r>
          </w:p>
        </w:tc>
      </w:tr>
      <w:tr w14:paraId="7D097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BEB8C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11AE842">
            <w:pPr>
              <w:rPr>
                <w:rFonts w:ascii="宋体" w:hAnsi="宋体" w:eastAsia="宋体" w:cs="宋体"/>
                <w:sz w:val="24"/>
                <w:szCs w:val="24"/>
              </w:rPr>
            </w:pPr>
            <w:r>
              <w:rPr>
                <w:rFonts w:hint="eastAsia" w:ascii="宋体" w:hAnsi="宋体" w:eastAsia="宋体"/>
              </w:rPr>
              <w:t xml:space="preserve">0532-85725062 </w:t>
            </w:r>
          </w:p>
        </w:tc>
      </w:tr>
      <w:tr w14:paraId="7038D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BABB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4CA8E19">
            <w:pPr>
              <w:rPr>
                <w:rFonts w:ascii="宋体" w:hAnsi="宋体" w:eastAsia="宋体" w:cs="宋体"/>
                <w:sz w:val="24"/>
                <w:szCs w:val="24"/>
              </w:rPr>
            </w:pPr>
            <w:r>
              <w:rPr>
                <w:rFonts w:hint="eastAsia" w:ascii="宋体" w:hAnsi="宋体" w:eastAsia="宋体"/>
              </w:rPr>
              <w:t xml:space="preserve">95548 </w:t>
            </w:r>
          </w:p>
        </w:tc>
      </w:tr>
      <w:tr w14:paraId="4F671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49030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A054C01">
            <w:pPr>
              <w:rPr>
                <w:rFonts w:ascii="宋体" w:hAnsi="宋体" w:eastAsia="宋体" w:cs="宋体"/>
                <w:sz w:val="24"/>
                <w:szCs w:val="24"/>
              </w:rPr>
            </w:pPr>
            <w:r>
              <w:rPr>
                <w:rFonts w:hint="eastAsia" w:ascii="宋体" w:hAnsi="宋体" w:eastAsia="宋体"/>
              </w:rPr>
              <w:t xml:space="preserve">sd.citics.com </w:t>
            </w:r>
          </w:p>
        </w:tc>
      </w:tr>
    </w:tbl>
    <w:p w14:paraId="2E121D09">
      <w:pPr>
        <w:pStyle w:val="7"/>
        <w:spacing w:before="0" w:beforeAutospacing="0" w:after="0" w:afterAutospacing="0" w:line="360" w:lineRule="auto"/>
        <w:ind w:firstLine="420"/>
        <w:rPr>
          <w:sz w:val="21"/>
          <w:szCs w:val="21"/>
        </w:rPr>
      </w:pPr>
      <w:r>
        <w:rPr>
          <w:rFonts w:hint="eastAsia"/>
          <w:b/>
          <w:bCs/>
          <w:sz w:val="21"/>
          <w:szCs w:val="21"/>
        </w:rPr>
        <w:t>(55)东兴证券股份有限公司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60CE1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3AE25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6E58C53">
            <w:pPr>
              <w:rPr>
                <w:rFonts w:ascii="宋体" w:hAnsi="宋体" w:eastAsia="宋体" w:cs="宋体"/>
                <w:sz w:val="24"/>
                <w:szCs w:val="24"/>
              </w:rPr>
            </w:pPr>
            <w:r>
              <w:rPr>
                <w:rFonts w:hint="eastAsia" w:ascii="宋体" w:hAnsi="宋体" w:eastAsia="宋体"/>
              </w:rPr>
              <w:t xml:space="preserve">北京市西城区金融大街5号（新盛大厦）12、15层 </w:t>
            </w:r>
          </w:p>
        </w:tc>
      </w:tr>
      <w:tr w14:paraId="06B58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45DEE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0E90F5E">
            <w:pPr>
              <w:rPr>
                <w:rFonts w:ascii="宋体" w:hAnsi="宋体" w:eastAsia="宋体" w:cs="宋体"/>
                <w:sz w:val="24"/>
                <w:szCs w:val="24"/>
              </w:rPr>
            </w:pPr>
            <w:r>
              <w:rPr>
                <w:rFonts w:hint="eastAsia" w:ascii="宋体" w:hAnsi="宋体" w:eastAsia="宋体"/>
              </w:rPr>
              <w:t xml:space="preserve">北京市西城区金融大街5号新盛大厦B座12-15层 </w:t>
            </w:r>
          </w:p>
        </w:tc>
      </w:tr>
      <w:tr w14:paraId="28CFD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C3861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B8E875C">
            <w:pPr>
              <w:rPr>
                <w:rFonts w:ascii="宋体" w:hAnsi="宋体" w:eastAsia="宋体" w:cs="宋体"/>
                <w:sz w:val="24"/>
                <w:szCs w:val="24"/>
              </w:rPr>
            </w:pPr>
            <w:r>
              <w:rPr>
                <w:rFonts w:hint="eastAsia" w:ascii="宋体" w:hAnsi="宋体" w:eastAsia="宋体"/>
              </w:rPr>
              <w:t xml:space="preserve">魏庆华 </w:t>
            </w:r>
          </w:p>
        </w:tc>
      </w:tr>
      <w:tr w14:paraId="18369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C9F8C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541047F">
            <w:pPr>
              <w:rPr>
                <w:rFonts w:ascii="宋体" w:hAnsi="宋体" w:eastAsia="宋体" w:cs="宋体"/>
                <w:sz w:val="24"/>
                <w:szCs w:val="24"/>
              </w:rPr>
            </w:pPr>
            <w:r>
              <w:rPr>
                <w:rFonts w:hint="eastAsia" w:ascii="宋体" w:hAnsi="宋体" w:eastAsia="宋体"/>
              </w:rPr>
              <w:t xml:space="preserve">郑旷怡 </w:t>
            </w:r>
          </w:p>
        </w:tc>
      </w:tr>
      <w:tr w14:paraId="7D16D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72466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F213D13">
            <w:pPr>
              <w:rPr>
                <w:rFonts w:ascii="宋体" w:hAnsi="宋体" w:eastAsia="宋体" w:cs="宋体"/>
                <w:sz w:val="24"/>
                <w:szCs w:val="24"/>
              </w:rPr>
            </w:pPr>
            <w:r>
              <w:rPr>
                <w:rFonts w:hint="eastAsia" w:ascii="宋体" w:hAnsi="宋体" w:eastAsia="宋体"/>
              </w:rPr>
              <w:t xml:space="preserve">010-66559039 </w:t>
            </w:r>
          </w:p>
        </w:tc>
      </w:tr>
      <w:tr w14:paraId="32DF9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704FE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FD56A89">
            <w:pPr>
              <w:rPr>
                <w:rFonts w:ascii="宋体" w:hAnsi="宋体" w:eastAsia="宋体" w:cs="宋体"/>
                <w:sz w:val="24"/>
                <w:szCs w:val="24"/>
              </w:rPr>
            </w:pPr>
            <w:r>
              <w:rPr>
                <w:rFonts w:hint="eastAsia" w:ascii="宋体" w:hAnsi="宋体" w:eastAsia="宋体"/>
              </w:rPr>
              <w:t xml:space="preserve">010-66555133 </w:t>
            </w:r>
          </w:p>
        </w:tc>
      </w:tr>
      <w:tr w14:paraId="2B0B7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31055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8E08AEA">
            <w:pPr>
              <w:rPr>
                <w:rFonts w:ascii="宋体" w:hAnsi="宋体" w:eastAsia="宋体" w:cs="宋体"/>
                <w:sz w:val="24"/>
                <w:szCs w:val="24"/>
              </w:rPr>
            </w:pPr>
            <w:r>
              <w:rPr>
                <w:rFonts w:hint="eastAsia" w:ascii="宋体" w:hAnsi="宋体" w:eastAsia="宋体"/>
              </w:rPr>
              <w:t xml:space="preserve">95309 </w:t>
            </w:r>
          </w:p>
        </w:tc>
      </w:tr>
      <w:tr w14:paraId="1EAC7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91A9E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C866BC5">
            <w:pPr>
              <w:rPr>
                <w:rFonts w:ascii="宋体" w:hAnsi="宋体" w:eastAsia="宋体" w:cs="宋体"/>
                <w:sz w:val="24"/>
                <w:szCs w:val="24"/>
              </w:rPr>
            </w:pPr>
            <w:r>
              <w:rPr>
                <w:rFonts w:hint="eastAsia" w:ascii="宋体" w:hAnsi="宋体" w:eastAsia="宋体"/>
              </w:rPr>
              <w:t xml:space="preserve">http://www.dxzq.net </w:t>
            </w:r>
          </w:p>
        </w:tc>
      </w:tr>
    </w:tbl>
    <w:p w14:paraId="129C0BBB">
      <w:pPr>
        <w:pStyle w:val="7"/>
        <w:spacing w:before="0" w:beforeAutospacing="0" w:after="0" w:afterAutospacing="0" w:line="360" w:lineRule="auto"/>
        <w:ind w:firstLine="420"/>
        <w:rPr>
          <w:sz w:val="21"/>
          <w:szCs w:val="21"/>
        </w:rPr>
      </w:pPr>
      <w:r>
        <w:rPr>
          <w:rFonts w:hint="eastAsia"/>
          <w:b/>
          <w:bCs/>
          <w:sz w:val="21"/>
          <w:szCs w:val="21"/>
        </w:rPr>
        <w:t>(56)东吴证券股份有限公司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6DF52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D11AC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7426B6F">
            <w:pPr>
              <w:rPr>
                <w:rFonts w:ascii="宋体" w:hAnsi="宋体" w:eastAsia="宋体" w:cs="宋体"/>
                <w:sz w:val="24"/>
                <w:szCs w:val="24"/>
              </w:rPr>
            </w:pPr>
            <w:r>
              <w:rPr>
                <w:rFonts w:hint="eastAsia" w:ascii="宋体" w:hAnsi="宋体" w:eastAsia="宋体"/>
              </w:rPr>
              <w:t xml:space="preserve">江苏省苏州市翠园路181号 </w:t>
            </w:r>
          </w:p>
        </w:tc>
      </w:tr>
      <w:tr w14:paraId="358F7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B11F4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DD6D1FF">
            <w:pPr>
              <w:rPr>
                <w:rFonts w:ascii="宋体" w:hAnsi="宋体" w:eastAsia="宋体" w:cs="宋体"/>
                <w:sz w:val="24"/>
                <w:szCs w:val="24"/>
              </w:rPr>
            </w:pPr>
            <w:r>
              <w:rPr>
                <w:rFonts w:hint="eastAsia" w:ascii="宋体" w:hAnsi="宋体" w:eastAsia="宋体"/>
              </w:rPr>
              <w:t xml:space="preserve">江苏省苏州市星阳街5号 </w:t>
            </w:r>
          </w:p>
        </w:tc>
      </w:tr>
      <w:tr w14:paraId="31D14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81B25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1289642">
            <w:pPr>
              <w:rPr>
                <w:rFonts w:ascii="宋体" w:hAnsi="宋体" w:eastAsia="宋体" w:cs="宋体"/>
                <w:sz w:val="24"/>
                <w:szCs w:val="24"/>
              </w:rPr>
            </w:pPr>
            <w:r>
              <w:rPr>
                <w:rFonts w:hint="eastAsia" w:ascii="宋体" w:hAnsi="宋体" w:eastAsia="宋体"/>
              </w:rPr>
              <w:t xml:space="preserve">范力 </w:t>
            </w:r>
          </w:p>
        </w:tc>
      </w:tr>
      <w:tr w14:paraId="01E6C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09C26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3B54514">
            <w:pPr>
              <w:rPr>
                <w:rFonts w:ascii="宋体" w:hAnsi="宋体" w:eastAsia="宋体" w:cs="宋体"/>
                <w:sz w:val="24"/>
                <w:szCs w:val="24"/>
              </w:rPr>
            </w:pPr>
            <w:r>
              <w:rPr>
                <w:rFonts w:hint="eastAsia" w:ascii="宋体" w:hAnsi="宋体" w:eastAsia="宋体"/>
              </w:rPr>
              <w:t xml:space="preserve">陆晓 </w:t>
            </w:r>
          </w:p>
        </w:tc>
      </w:tr>
      <w:tr w14:paraId="1D76A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83BD2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0CF5736">
            <w:pPr>
              <w:rPr>
                <w:rFonts w:ascii="宋体" w:hAnsi="宋体" w:eastAsia="宋体" w:cs="宋体"/>
                <w:sz w:val="24"/>
                <w:szCs w:val="24"/>
              </w:rPr>
            </w:pPr>
            <w:r>
              <w:rPr>
                <w:rFonts w:hint="eastAsia" w:ascii="宋体" w:hAnsi="宋体" w:eastAsia="宋体"/>
              </w:rPr>
              <w:t xml:space="preserve">0512-62938521 </w:t>
            </w:r>
          </w:p>
        </w:tc>
      </w:tr>
      <w:tr w14:paraId="07D37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C9699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71DD68F">
            <w:pPr>
              <w:rPr>
                <w:rFonts w:ascii="宋体" w:hAnsi="宋体" w:eastAsia="宋体" w:cs="宋体"/>
                <w:sz w:val="24"/>
                <w:szCs w:val="24"/>
              </w:rPr>
            </w:pPr>
            <w:r>
              <w:rPr>
                <w:rFonts w:hint="eastAsia" w:ascii="宋体" w:hAnsi="宋体" w:eastAsia="宋体"/>
              </w:rPr>
              <w:t xml:space="preserve">0512－65588021 </w:t>
            </w:r>
          </w:p>
        </w:tc>
      </w:tr>
      <w:tr w14:paraId="0DB5D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E4E8B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5ECD93C">
            <w:pPr>
              <w:rPr>
                <w:rFonts w:ascii="宋体" w:hAnsi="宋体" w:eastAsia="宋体" w:cs="宋体"/>
                <w:sz w:val="24"/>
                <w:szCs w:val="24"/>
              </w:rPr>
            </w:pPr>
            <w:r>
              <w:rPr>
                <w:rFonts w:hint="eastAsia" w:ascii="宋体" w:hAnsi="宋体" w:eastAsia="宋体"/>
              </w:rPr>
              <w:t xml:space="preserve">95330 </w:t>
            </w:r>
          </w:p>
        </w:tc>
      </w:tr>
      <w:tr w14:paraId="11258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C9621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8B9E2AF">
            <w:pPr>
              <w:rPr>
                <w:rFonts w:ascii="宋体" w:hAnsi="宋体" w:eastAsia="宋体" w:cs="宋体"/>
                <w:sz w:val="24"/>
                <w:szCs w:val="24"/>
              </w:rPr>
            </w:pPr>
            <w:r>
              <w:rPr>
                <w:rFonts w:hint="eastAsia" w:ascii="宋体" w:hAnsi="宋体" w:eastAsia="宋体"/>
              </w:rPr>
              <w:t xml:space="preserve">https://www.dwzq.com.cn </w:t>
            </w:r>
          </w:p>
        </w:tc>
      </w:tr>
    </w:tbl>
    <w:p w14:paraId="31BA0E8B">
      <w:pPr>
        <w:pStyle w:val="7"/>
        <w:spacing w:before="0" w:beforeAutospacing="0" w:after="0" w:afterAutospacing="0" w:line="360" w:lineRule="auto"/>
        <w:ind w:firstLine="420"/>
        <w:rPr>
          <w:sz w:val="21"/>
          <w:szCs w:val="21"/>
        </w:rPr>
      </w:pPr>
      <w:r>
        <w:rPr>
          <w:rFonts w:hint="eastAsia"/>
          <w:b/>
          <w:bCs/>
          <w:sz w:val="21"/>
          <w:szCs w:val="21"/>
        </w:rPr>
        <w:t>(57)光大证券股份有限公司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3AFFC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628AF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9555F28">
            <w:pPr>
              <w:rPr>
                <w:rFonts w:ascii="宋体" w:hAnsi="宋体" w:eastAsia="宋体" w:cs="宋体"/>
                <w:sz w:val="24"/>
                <w:szCs w:val="24"/>
              </w:rPr>
            </w:pPr>
            <w:r>
              <w:rPr>
                <w:rFonts w:hint="eastAsia" w:ascii="宋体" w:hAnsi="宋体" w:eastAsia="宋体"/>
              </w:rPr>
              <w:t xml:space="preserve">上海市静安区新闸路1508号 </w:t>
            </w:r>
          </w:p>
        </w:tc>
      </w:tr>
      <w:tr w14:paraId="490B6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09441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588488F">
            <w:pPr>
              <w:rPr>
                <w:rFonts w:ascii="宋体" w:hAnsi="宋体" w:eastAsia="宋体" w:cs="宋体"/>
                <w:sz w:val="24"/>
                <w:szCs w:val="24"/>
              </w:rPr>
            </w:pPr>
            <w:r>
              <w:rPr>
                <w:rFonts w:hint="eastAsia" w:ascii="宋体" w:hAnsi="宋体" w:eastAsia="宋体"/>
              </w:rPr>
              <w:t xml:space="preserve">上海市静安区新闸路1508号 </w:t>
            </w:r>
          </w:p>
        </w:tc>
      </w:tr>
      <w:tr w14:paraId="3F283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291B8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7316822">
            <w:pPr>
              <w:rPr>
                <w:rFonts w:ascii="宋体" w:hAnsi="宋体" w:eastAsia="宋体" w:cs="宋体"/>
                <w:sz w:val="24"/>
                <w:szCs w:val="24"/>
              </w:rPr>
            </w:pPr>
            <w:r>
              <w:rPr>
                <w:rFonts w:hint="eastAsia" w:ascii="宋体" w:hAnsi="宋体" w:eastAsia="宋体"/>
              </w:rPr>
              <w:t xml:space="preserve">刘秋明 </w:t>
            </w:r>
          </w:p>
        </w:tc>
      </w:tr>
      <w:tr w14:paraId="00AB1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B310C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FF471EB">
            <w:pPr>
              <w:rPr>
                <w:rFonts w:ascii="宋体" w:hAnsi="宋体" w:eastAsia="宋体" w:cs="宋体"/>
                <w:sz w:val="24"/>
                <w:szCs w:val="24"/>
              </w:rPr>
            </w:pPr>
            <w:r>
              <w:rPr>
                <w:rFonts w:hint="eastAsia" w:ascii="宋体" w:hAnsi="宋体" w:eastAsia="宋体"/>
              </w:rPr>
              <w:t xml:space="preserve">李芳芳 </w:t>
            </w:r>
          </w:p>
        </w:tc>
      </w:tr>
      <w:tr w14:paraId="18BC7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23C97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31D51E7">
            <w:pPr>
              <w:rPr>
                <w:rFonts w:ascii="宋体" w:hAnsi="宋体" w:eastAsia="宋体" w:cs="宋体"/>
                <w:sz w:val="24"/>
                <w:szCs w:val="24"/>
              </w:rPr>
            </w:pPr>
            <w:r>
              <w:rPr>
                <w:rFonts w:hint="eastAsia" w:ascii="宋体" w:hAnsi="宋体" w:eastAsia="宋体"/>
              </w:rPr>
              <w:t xml:space="preserve">021-22169089 </w:t>
            </w:r>
          </w:p>
        </w:tc>
      </w:tr>
      <w:tr w14:paraId="6ACF5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2C43F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6CC3F8E">
            <w:pPr>
              <w:rPr>
                <w:rFonts w:ascii="宋体" w:hAnsi="宋体" w:eastAsia="宋体" w:cs="宋体"/>
                <w:sz w:val="24"/>
                <w:szCs w:val="24"/>
              </w:rPr>
            </w:pPr>
            <w:r>
              <w:rPr>
                <w:rFonts w:hint="eastAsia" w:ascii="宋体" w:hAnsi="宋体" w:eastAsia="宋体"/>
              </w:rPr>
              <w:t xml:space="preserve">021－22169134 </w:t>
            </w:r>
          </w:p>
        </w:tc>
      </w:tr>
      <w:tr w14:paraId="59A2D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149B0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3CF6874">
            <w:pPr>
              <w:rPr>
                <w:rFonts w:ascii="宋体" w:hAnsi="宋体" w:eastAsia="宋体" w:cs="宋体"/>
                <w:sz w:val="24"/>
                <w:szCs w:val="24"/>
              </w:rPr>
            </w:pPr>
            <w:r>
              <w:rPr>
                <w:rFonts w:hint="eastAsia" w:ascii="宋体" w:hAnsi="宋体" w:eastAsia="宋体"/>
              </w:rPr>
              <w:t xml:space="preserve">4008888788；95525 </w:t>
            </w:r>
          </w:p>
        </w:tc>
      </w:tr>
      <w:tr w14:paraId="108FD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EB88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90BE7E4">
            <w:pPr>
              <w:rPr>
                <w:rFonts w:ascii="宋体" w:hAnsi="宋体" w:eastAsia="宋体" w:cs="宋体"/>
                <w:sz w:val="24"/>
                <w:szCs w:val="24"/>
              </w:rPr>
            </w:pPr>
            <w:r>
              <w:rPr>
                <w:rFonts w:hint="eastAsia" w:ascii="宋体" w:hAnsi="宋体" w:eastAsia="宋体"/>
              </w:rPr>
              <w:t xml:space="preserve">http://www.ebscn.com/ </w:t>
            </w:r>
          </w:p>
        </w:tc>
      </w:tr>
    </w:tbl>
    <w:p w14:paraId="3CF72187">
      <w:pPr>
        <w:pStyle w:val="7"/>
        <w:spacing w:before="0" w:beforeAutospacing="0" w:after="0" w:afterAutospacing="0" w:line="360" w:lineRule="auto"/>
        <w:ind w:firstLine="420"/>
        <w:rPr>
          <w:sz w:val="21"/>
          <w:szCs w:val="21"/>
        </w:rPr>
      </w:pPr>
      <w:r>
        <w:rPr>
          <w:rFonts w:hint="eastAsia"/>
          <w:b/>
          <w:bCs/>
          <w:sz w:val="21"/>
          <w:szCs w:val="21"/>
        </w:rPr>
        <w:t>(58)中信证券华南股份有限公司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39CE7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6242E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B51361A">
            <w:pPr>
              <w:rPr>
                <w:rFonts w:ascii="宋体" w:hAnsi="宋体" w:eastAsia="宋体" w:cs="宋体"/>
                <w:sz w:val="24"/>
                <w:szCs w:val="24"/>
              </w:rPr>
            </w:pPr>
            <w:r>
              <w:rPr>
                <w:rFonts w:hint="eastAsia" w:ascii="宋体" w:hAnsi="宋体" w:eastAsia="宋体"/>
              </w:rPr>
              <w:t xml:space="preserve">广州市天河区珠江西路5号广州国际金融中心主塔19层、20层 </w:t>
            </w:r>
          </w:p>
        </w:tc>
      </w:tr>
      <w:tr w14:paraId="7F184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F0DDE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0D77809">
            <w:pPr>
              <w:rPr>
                <w:rFonts w:ascii="宋体" w:hAnsi="宋体" w:eastAsia="宋体" w:cs="宋体"/>
                <w:sz w:val="24"/>
                <w:szCs w:val="24"/>
              </w:rPr>
            </w:pPr>
            <w:r>
              <w:rPr>
                <w:rFonts w:hint="eastAsia" w:ascii="宋体" w:hAnsi="宋体" w:eastAsia="宋体"/>
              </w:rPr>
              <w:t xml:space="preserve">广州市天河区珠江西路5号广州国际金融中心主塔19层、20层 </w:t>
            </w:r>
          </w:p>
        </w:tc>
      </w:tr>
      <w:tr w14:paraId="4FC22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64A29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001ACC8">
            <w:pPr>
              <w:rPr>
                <w:rFonts w:ascii="宋体" w:hAnsi="宋体" w:eastAsia="宋体" w:cs="宋体"/>
                <w:sz w:val="24"/>
                <w:szCs w:val="24"/>
              </w:rPr>
            </w:pPr>
            <w:r>
              <w:rPr>
                <w:rFonts w:hint="eastAsia" w:ascii="宋体" w:hAnsi="宋体" w:eastAsia="宋体"/>
              </w:rPr>
              <w:t xml:space="preserve">陈可可 </w:t>
            </w:r>
          </w:p>
        </w:tc>
      </w:tr>
      <w:tr w14:paraId="6A20C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8A177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D6A95F8">
            <w:pPr>
              <w:rPr>
                <w:rFonts w:ascii="宋体" w:hAnsi="宋体" w:eastAsia="宋体" w:cs="宋体"/>
                <w:sz w:val="24"/>
                <w:szCs w:val="24"/>
              </w:rPr>
            </w:pPr>
            <w:r>
              <w:rPr>
                <w:rFonts w:hint="eastAsia" w:ascii="宋体" w:hAnsi="宋体" w:eastAsia="宋体"/>
              </w:rPr>
              <w:t xml:space="preserve">郭杏燕 </w:t>
            </w:r>
          </w:p>
        </w:tc>
      </w:tr>
      <w:tr w14:paraId="538AA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1F9BB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636A50B">
            <w:pPr>
              <w:rPr>
                <w:rFonts w:ascii="宋体" w:hAnsi="宋体" w:eastAsia="宋体" w:cs="宋体"/>
                <w:sz w:val="24"/>
                <w:szCs w:val="24"/>
              </w:rPr>
            </w:pPr>
            <w:r>
              <w:rPr>
                <w:rFonts w:hint="eastAsia" w:ascii="宋体" w:hAnsi="宋体" w:eastAsia="宋体"/>
              </w:rPr>
              <w:t xml:space="preserve">020-88836999 </w:t>
            </w:r>
          </w:p>
        </w:tc>
      </w:tr>
      <w:tr w14:paraId="681B9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A07EF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DFB8CD5">
            <w:pPr>
              <w:rPr>
                <w:rFonts w:ascii="宋体" w:hAnsi="宋体" w:eastAsia="宋体" w:cs="宋体"/>
                <w:sz w:val="24"/>
                <w:szCs w:val="24"/>
              </w:rPr>
            </w:pPr>
            <w:r>
              <w:rPr>
                <w:rFonts w:hint="eastAsia" w:ascii="宋体" w:hAnsi="宋体" w:eastAsia="宋体"/>
              </w:rPr>
              <w:t xml:space="preserve">020-88836984 </w:t>
            </w:r>
          </w:p>
        </w:tc>
      </w:tr>
      <w:tr w14:paraId="4B690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7BB42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71BBD3A">
            <w:pPr>
              <w:rPr>
                <w:rFonts w:ascii="宋体" w:hAnsi="宋体" w:eastAsia="宋体" w:cs="宋体"/>
                <w:sz w:val="24"/>
                <w:szCs w:val="24"/>
              </w:rPr>
            </w:pPr>
            <w:r>
              <w:rPr>
                <w:rFonts w:hint="eastAsia" w:ascii="宋体" w:hAnsi="宋体" w:eastAsia="宋体"/>
              </w:rPr>
              <w:t xml:space="preserve">95548 </w:t>
            </w:r>
          </w:p>
        </w:tc>
      </w:tr>
      <w:tr w14:paraId="3EB90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3B490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4C02FAC">
            <w:pPr>
              <w:rPr>
                <w:rFonts w:ascii="宋体" w:hAnsi="宋体" w:eastAsia="宋体" w:cs="宋体"/>
                <w:sz w:val="24"/>
                <w:szCs w:val="24"/>
              </w:rPr>
            </w:pPr>
            <w:r>
              <w:rPr>
                <w:rFonts w:hint="eastAsia" w:ascii="宋体" w:hAnsi="宋体" w:eastAsia="宋体"/>
              </w:rPr>
              <w:t xml:space="preserve">http://www.gzs.com.cn </w:t>
            </w:r>
          </w:p>
        </w:tc>
      </w:tr>
    </w:tbl>
    <w:p w14:paraId="0F0AF6CD">
      <w:pPr>
        <w:pStyle w:val="7"/>
        <w:spacing w:before="0" w:beforeAutospacing="0" w:after="0" w:afterAutospacing="0" w:line="360" w:lineRule="auto"/>
        <w:ind w:firstLine="420"/>
        <w:rPr>
          <w:sz w:val="21"/>
          <w:szCs w:val="21"/>
        </w:rPr>
      </w:pPr>
      <w:r>
        <w:rPr>
          <w:rFonts w:hint="eastAsia"/>
          <w:b/>
          <w:bCs/>
          <w:sz w:val="21"/>
          <w:szCs w:val="21"/>
        </w:rPr>
        <w:t>(59)南京证券股份有限公司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6ABB7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33F8F1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2D4D2F6">
            <w:pPr>
              <w:rPr>
                <w:rFonts w:ascii="宋体" w:hAnsi="宋体" w:eastAsia="宋体" w:cs="宋体"/>
                <w:sz w:val="24"/>
                <w:szCs w:val="24"/>
              </w:rPr>
            </w:pPr>
            <w:r>
              <w:rPr>
                <w:rFonts w:hint="eastAsia" w:ascii="宋体" w:hAnsi="宋体" w:eastAsia="宋体"/>
              </w:rPr>
              <w:t xml:space="preserve">江苏省南京市玄武区大钟亭8号 </w:t>
            </w:r>
          </w:p>
        </w:tc>
      </w:tr>
      <w:tr w14:paraId="2817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1A633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DB4BED0">
            <w:pPr>
              <w:rPr>
                <w:rFonts w:ascii="宋体" w:hAnsi="宋体" w:eastAsia="宋体" w:cs="宋体"/>
                <w:sz w:val="24"/>
                <w:szCs w:val="24"/>
              </w:rPr>
            </w:pPr>
            <w:r>
              <w:rPr>
                <w:rFonts w:hint="eastAsia" w:ascii="宋体" w:hAnsi="宋体" w:eastAsia="宋体"/>
              </w:rPr>
              <w:t xml:space="preserve">江苏省南京市玄武区大钟亭8号 </w:t>
            </w:r>
          </w:p>
        </w:tc>
      </w:tr>
      <w:tr w14:paraId="7AD0D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AE14B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7AD9331">
            <w:pPr>
              <w:rPr>
                <w:rFonts w:ascii="宋体" w:hAnsi="宋体" w:eastAsia="宋体" w:cs="宋体"/>
                <w:sz w:val="24"/>
                <w:szCs w:val="24"/>
              </w:rPr>
            </w:pPr>
            <w:r>
              <w:rPr>
                <w:rFonts w:hint="eastAsia" w:ascii="宋体" w:hAnsi="宋体" w:eastAsia="宋体"/>
              </w:rPr>
              <w:t xml:space="preserve">李剑锋 </w:t>
            </w:r>
          </w:p>
        </w:tc>
      </w:tr>
      <w:tr w14:paraId="322E1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4734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D2C2F3C">
            <w:pPr>
              <w:rPr>
                <w:rFonts w:ascii="宋体" w:hAnsi="宋体" w:eastAsia="宋体" w:cs="宋体"/>
                <w:sz w:val="24"/>
                <w:szCs w:val="24"/>
              </w:rPr>
            </w:pPr>
            <w:r>
              <w:rPr>
                <w:rFonts w:hint="eastAsia" w:ascii="宋体" w:hAnsi="宋体" w:eastAsia="宋体"/>
              </w:rPr>
              <w:t xml:space="preserve">潘月 </w:t>
            </w:r>
          </w:p>
        </w:tc>
      </w:tr>
      <w:tr w14:paraId="1ECEA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73F13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3C794A0">
            <w:pPr>
              <w:rPr>
                <w:rFonts w:ascii="宋体" w:hAnsi="宋体" w:eastAsia="宋体" w:cs="宋体"/>
                <w:sz w:val="24"/>
                <w:szCs w:val="24"/>
              </w:rPr>
            </w:pPr>
            <w:r>
              <w:rPr>
                <w:rFonts w:hint="eastAsia" w:ascii="宋体" w:hAnsi="宋体" w:eastAsia="宋体"/>
              </w:rPr>
              <w:t xml:space="preserve">025－52310569 </w:t>
            </w:r>
          </w:p>
        </w:tc>
      </w:tr>
      <w:tr w14:paraId="3254F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5D67C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73D2E44">
            <w:pPr>
              <w:rPr>
                <w:rFonts w:ascii="宋体" w:hAnsi="宋体" w:eastAsia="宋体" w:cs="宋体"/>
                <w:sz w:val="24"/>
                <w:szCs w:val="24"/>
              </w:rPr>
            </w:pPr>
            <w:r>
              <w:rPr>
                <w:rFonts w:hint="eastAsia" w:ascii="宋体" w:hAnsi="宋体" w:eastAsia="宋体"/>
              </w:rPr>
              <w:t xml:space="preserve">025－52310586 </w:t>
            </w:r>
          </w:p>
        </w:tc>
      </w:tr>
      <w:tr w14:paraId="5DB1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8CF29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1A18016">
            <w:pPr>
              <w:rPr>
                <w:rFonts w:ascii="宋体" w:hAnsi="宋体" w:eastAsia="宋体" w:cs="宋体"/>
                <w:sz w:val="24"/>
                <w:szCs w:val="24"/>
              </w:rPr>
            </w:pPr>
            <w:r>
              <w:rPr>
                <w:rFonts w:hint="eastAsia" w:ascii="宋体" w:hAnsi="宋体" w:eastAsia="宋体"/>
              </w:rPr>
              <w:t xml:space="preserve">4008285888 </w:t>
            </w:r>
          </w:p>
        </w:tc>
      </w:tr>
      <w:tr w14:paraId="03B4D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C4847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EEB0899">
            <w:pPr>
              <w:rPr>
                <w:rFonts w:ascii="宋体" w:hAnsi="宋体" w:eastAsia="宋体" w:cs="宋体"/>
                <w:sz w:val="24"/>
                <w:szCs w:val="24"/>
              </w:rPr>
            </w:pPr>
            <w:r>
              <w:rPr>
                <w:rFonts w:hint="eastAsia" w:ascii="宋体" w:hAnsi="宋体" w:eastAsia="宋体"/>
              </w:rPr>
              <w:t xml:space="preserve">http://www.njzq.com.cn </w:t>
            </w:r>
          </w:p>
        </w:tc>
      </w:tr>
    </w:tbl>
    <w:p w14:paraId="1836C6A4">
      <w:pPr>
        <w:pStyle w:val="7"/>
        <w:spacing w:before="0" w:beforeAutospacing="0" w:after="0" w:afterAutospacing="0" w:line="360" w:lineRule="auto"/>
        <w:ind w:firstLine="420"/>
        <w:rPr>
          <w:sz w:val="21"/>
          <w:szCs w:val="21"/>
        </w:rPr>
      </w:pPr>
      <w:r>
        <w:rPr>
          <w:rFonts w:hint="eastAsia"/>
          <w:b/>
          <w:bCs/>
          <w:sz w:val="21"/>
          <w:szCs w:val="21"/>
        </w:rPr>
        <w:t>(60)上海证券有限责任公司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36E0F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083A2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AAF01BD">
            <w:pPr>
              <w:rPr>
                <w:rFonts w:ascii="宋体" w:hAnsi="宋体" w:eastAsia="宋体" w:cs="宋体"/>
                <w:sz w:val="24"/>
                <w:szCs w:val="24"/>
              </w:rPr>
            </w:pPr>
            <w:r>
              <w:rPr>
                <w:rFonts w:hint="eastAsia" w:ascii="宋体" w:hAnsi="宋体" w:eastAsia="宋体"/>
              </w:rPr>
              <w:t xml:space="preserve">上海市黄浦区四川中路213号7楼 </w:t>
            </w:r>
          </w:p>
        </w:tc>
      </w:tr>
      <w:tr w14:paraId="60478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E1822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979EDBE">
            <w:pPr>
              <w:rPr>
                <w:rFonts w:ascii="宋体" w:hAnsi="宋体" w:eastAsia="宋体" w:cs="宋体"/>
                <w:sz w:val="24"/>
                <w:szCs w:val="24"/>
              </w:rPr>
            </w:pPr>
            <w:r>
              <w:rPr>
                <w:rFonts w:hint="eastAsia" w:ascii="宋体" w:hAnsi="宋体" w:eastAsia="宋体"/>
              </w:rPr>
              <w:t xml:space="preserve">上海市黄浦区四川中路213号久事商务大厦7楼 </w:t>
            </w:r>
          </w:p>
        </w:tc>
      </w:tr>
      <w:tr w14:paraId="4A722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2EEA2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7C2D23F">
            <w:pPr>
              <w:rPr>
                <w:rFonts w:ascii="宋体" w:hAnsi="宋体" w:eastAsia="宋体" w:cs="宋体"/>
                <w:sz w:val="24"/>
                <w:szCs w:val="24"/>
              </w:rPr>
            </w:pPr>
            <w:r>
              <w:rPr>
                <w:rFonts w:hint="eastAsia" w:ascii="宋体" w:hAnsi="宋体" w:eastAsia="宋体"/>
              </w:rPr>
              <w:t xml:space="preserve">李俊杰 </w:t>
            </w:r>
          </w:p>
        </w:tc>
      </w:tr>
      <w:tr w14:paraId="5CEA8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A8074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56D633C">
            <w:pPr>
              <w:rPr>
                <w:rFonts w:ascii="宋体" w:hAnsi="宋体" w:eastAsia="宋体" w:cs="宋体"/>
                <w:sz w:val="24"/>
                <w:szCs w:val="24"/>
              </w:rPr>
            </w:pPr>
            <w:r>
              <w:rPr>
                <w:rFonts w:hint="eastAsia" w:ascii="宋体" w:hAnsi="宋体" w:eastAsia="宋体"/>
              </w:rPr>
              <w:t xml:space="preserve">魏熠珲 </w:t>
            </w:r>
          </w:p>
        </w:tc>
      </w:tr>
      <w:tr w14:paraId="6C631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971EC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A0A5D1A">
            <w:pPr>
              <w:rPr>
                <w:rFonts w:ascii="宋体" w:hAnsi="宋体" w:eastAsia="宋体" w:cs="宋体"/>
                <w:sz w:val="24"/>
                <w:szCs w:val="24"/>
              </w:rPr>
            </w:pPr>
            <w:r>
              <w:rPr>
                <w:rFonts w:hint="eastAsia" w:ascii="宋体" w:hAnsi="宋体" w:eastAsia="宋体"/>
              </w:rPr>
              <w:t xml:space="preserve">021-53686278 </w:t>
            </w:r>
          </w:p>
        </w:tc>
      </w:tr>
      <w:tr w14:paraId="743F2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3654C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B1C4591">
            <w:pPr>
              <w:rPr>
                <w:rFonts w:ascii="宋体" w:hAnsi="宋体" w:eastAsia="宋体" w:cs="宋体"/>
                <w:sz w:val="24"/>
                <w:szCs w:val="24"/>
              </w:rPr>
            </w:pPr>
            <w:r>
              <w:rPr>
                <w:rFonts w:hint="eastAsia" w:ascii="宋体" w:hAnsi="宋体" w:eastAsia="宋体"/>
              </w:rPr>
              <w:t xml:space="preserve">021-53686835 </w:t>
            </w:r>
          </w:p>
        </w:tc>
      </w:tr>
      <w:tr w14:paraId="77935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DDC49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6BEC5BC">
            <w:pPr>
              <w:rPr>
                <w:rFonts w:ascii="宋体" w:hAnsi="宋体" w:eastAsia="宋体" w:cs="宋体"/>
                <w:sz w:val="24"/>
                <w:szCs w:val="24"/>
              </w:rPr>
            </w:pPr>
            <w:r>
              <w:rPr>
                <w:rFonts w:hint="eastAsia" w:ascii="宋体" w:hAnsi="宋体" w:eastAsia="宋体"/>
              </w:rPr>
              <w:t xml:space="preserve">4008918918 </w:t>
            </w:r>
          </w:p>
        </w:tc>
      </w:tr>
      <w:tr w14:paraId="5BA2F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65A58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8937F76">
            <w:pPr>
              <w:rPr>
                <w:rFonts w:ascii="宋体" w:hAnsi="宋体" w:eastAsia="宋体" w:cs="宋体"/>
                <w:sz w:val="24"/>
                <w:szCs w:val="24"/>
              </w:rPr>
            </w:pPr>
            <w:r>
              <w:rPr>
                <w:rFonts w:hint="eastAsia" w:ascii="宋体" w:hAnsi="宋体" w:eastAsia="宋体"/>
              </w:rPr>
              <w:t xml:space="preserve">https://www.shzq.com/ </w:t>
            </w:r>
          </w:p>
        </w:tc>
      </w:tr>
    </w:tbl>
    <w:p w14:paraId="17BA311D">
      <w:pPr>
        <w:pStyle w:val="7"/>
        <w:spacing w:before="0" w:beforeAutospacing="0" w:after="0" w:afterAutospacing="0" w:line="360" w:lineRule="auto"/>
        <w:ind w:firstLine="420"/>
        <w:rPr>
          <w:sz w:val="21"/>
          <w:szCs w:val="21"/>
        </w:rPr>
      </w:pPr>
      <w:r>
        <w:rPr>
          <w:rFonts w:hint="eastAsia"/>
          <w:b/>
          <w:bCs/>
          <w:sz w:val="21"/>
          <w:szCs w:val="21"/>
        </w:rPr>
        <w:t>(61)大同证券有限责任公司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6AE3C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DEE7C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162299E">
            <w:pPr>
              <w:rPr>
                <w:rFonts w:ascii="宋体" w:hAnsi="宋体" w:eastAsia="宋体" w:cs="宋体"/>
                <w:sz w:val="24"/>
                <w:szCs w:val="24"/>
              </w:rPr>
            </w:pPr>
            <w:r>
              <w:rPr>
                <w:rFonts w:hint="eastAsia" w:ascii="宋体" w:hAnsi="宋体" w:eastAsia="宋体"/>
              </w:rPr>
              <w:t xml:space="preserve">山西省大同市平城区迎宾街15号桐城中央21层 </w:t>
            </w:r>
          </w:p>
        </w:tc>
      </w:tr>
      <w:tr w14:paraId="25DAE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82DCF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01B0021">
            <w:pPr>
              <w:rPr>
                <w:rFonts w:ascii="宋体" w:hAnsi="宋体" w:eastAsia="宋体" w:cs="宋体"/>
                <w:sz w:val="24"/>
                <w:szCs w:val="24"/>
              </w:rPr>
            </w:pPr>
            <w:r>
              <w:rPr>
                <w:rFonts w:hint="eastAsia" w:ascii="宋体" w:hAnsi="宋体" w:eastAsia="宋体"/>
              </w:rPr>
              <w:t xml:space="preserve">山西省太原市小店区长治路111号山西世贸中心A座F12、F13 </w:t>
            </w:r>
          </w:p>
        </w:tc>
      </w:tr>
      <w:tr w14:paraId="6DE1C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D0E6C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5AD4F1A">
            <w:pPr>
              <w:rPr>
                <w:rFonts w:ascii="宋体" w:hAnsi="宋体" w:eastAsia="宋体" w:cs="宋体"/>
                <w:sz w:val="24"/>
                <w:szCs w:val="24"/>
              </w:rPr>
            </w:pPr>
            <w:r>
              <w:rPr>
                <w:rFonts w:hint="eastAsia" w:ascii="宋体" w:hAnsi="宋体" w:eastAsia="宋体"/>
              </w:rPr>
              <w:t xml:space="preserve">董祥 </w:t>
            </w:r>
          </w:p>
        </w:tc>
      </w:tr>
      <w:tr w14:paraId="1429A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1AEA4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09EB5B7">
            <w:pPr>
              <w:rPr>
                <w:rFonts w:ascii="宋体" w:hAnsi="宋体" w:eastAsia="宋体" w:cs="宋体"/>
                <w:sz w:val="24"/>
                <w:szCs w:val="24"/>
              </w:rPr>
            </w:pPr>
            <w:r>
              <w:rPr>
                <w:rFonts w:hint="eastAsia" w:ascii="宋体" w:hAnsi="宋体" w:eastAsia="宋体"/>
              </w:rPr>
              <w:t xml:space="preserve">薛津 </w:t>
            </w:r>
          </w:p>
        </w:tc>
      </w:tr>
      <w:tr w14:paraId="51170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E1F58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1430BAF">
            <w:pPr>
              <w:rPr>
                <w:rFonts w:ascii="宋体" w:hAnsi="宋体" w:eastAsia="宋体" w:cs="宋体"/>
                <w:sz w:val="24"/>
                <w:szCs w:val="24"/>
              </w:rPr>
            </w:pPr>
            <w:r>
              <w:rPr>
                <w:rFonts w:hint="eastAsia" w:ascii="宋体" w:hAnsi="宋体" w:eastAsia="宋体"/>
              </w:rPr>
              <w:t xml:space="preserve">0351－4130322 </w:t>
            </w:r>
          </w:p>
        </w:tc>
      </w:tr>
      <w:tr w14:paraId="69C9F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3DF00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28A2AEC">
            <w:pPr>
              <w:rPr>
                <w:rFonts w:ascii="宋体" w:hAnsi="宋体" w:eastAsia="宋体" w:cs="宋体"/>
                <w:sz w:val="24"/>
                <w:szCs w:val="24"/>
              </w:rPr>
            </w:pPr>
            <w:r>
              <w:rPr>
                <w:rFonts w:hint="eastAsia" w:ascii="宋体" w:hAnsi="宋体" w:eastAsia="宋体"/>
              </w:rPr>
              <w:t xml:space="preserve">0351-7219891 </w:t>
            </w:r>
          </w:p>
        </w:tc>
      </w:tr>
      <w:tr w14:paraId="0828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6C733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D69408C">
            <w:pPr>
              <w:rPr>
                <w:rFonts w:ascii="宋体" w:hAnsi="宋体" w:eastAsia="宋体" w:cs="宋体"/>
                <w:sz w:val="24"/>
                <w:szCs w:val="24"/>
              </w:rPr>
            </w:pPr>
            <w:r>
              <w:rPr>
                <w:rFonts w:hint="eastAsia" w:ascii="宋体" w:hAnsi="宋体" w:eastAsia="宋体"/>
              </w:rPr>
              <w:t xml:space="preserve">4007121212 </w:t>
            </w:r>
          </w:p>
        </w:tc>
      </w:tr>
      <w:tr w14:paraId="62A08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93071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98A5D40">
            <w:pPr>
              <w:rPr>
                <w:rFonts w:ascii="宋体" w:hAnsi="宋体" w:eastAsia="宋体" w:cs="宋体"/>
                <w:sz w:val="24"/>
                <w:szCs w:val="24"/>
              </w:rPr>
            </w:pPr>
            <w:r>
              <w:rPr>
                <w:rFonts w:hint="eastAsia" w:ascii="宋体" w:hAnsi="宋体" w:eastAsia="宋体"/>
              </w:rPr>
              <w:t xml:space="preserve">www.dtsbc.com.cn </w:t>
            </w:r>
          </w:p>
        </w:tc>
      </w:tr>
    </w:tbl>
    <w:p w14:paraId="5893CD6F">
      <w:pPr>
        <w:pStyle w:val="7"/>
        <w:spacing w:before="0" w:beforeAutospacing="0" w:after="0" w:afterAutospacing="0" w:line="360" w:lineRule="auto"/>
        <w:ind w:firstLine="420"/>
        <w:rPr>
          <w:sz w:val="21"/>
          <w:szCs w:val="21"/>
        </w:rPr>
      </w:pPr>
      <w:r>
        <w:rPr>
          <w:rFonts w:hint="eastAsia"/>
          <w:b/>
          <w:bCs/>
          <w:sz w:val="21"/>
          <w:szCs w:val="21"/>
        </w:rPr>
        <w:t>(62)平安证券股份有限公司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1BC55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57243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DE696C3">
            <w:pPr>
              <w:rPr>
                <w:rFonts w:ascii="宋体" w:hAnsi="宋体" w:eastAsia="宋体" w:cs="宋体"/>
                <w:sz w:val="24"/>
                <w:szCs w:val="24"/>
              </w:rPr>
            </w:pPr>
            <w:r>
              <w:rPr>
                <w:rFonts w:hint="eastAsia" w:ascii="宋体" w:hAnsi="宋体" w:eastAsia="宋体"/>
              </w:rPr>
              <w:t xml:space="preserve">深圳市福田区福田街道益田路5023号平安金融中心B座第22-25层 </w:t>
            </w:r>
          </w:p>
        </w:tc>
      </w:tr>
      <w:tr w14:paraId="66602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76B90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BA4EE62">
            <w:pPr>
              <w:rPr>
                <w:rFonts w:ascii="宋体" w:hAnsi="宋体" w:eastAsia="宋体" w:cs="宋体"/>
                <w:sz w:val="24"/>
                <w:szCs w:val="24"/>
              </w:rPr>
            </w:pPr>
            <w:r>
              <w:rPr>
                <w:rFonts w:hint="eastAsia" w:ascii="宋体" w:hAnsi="宋体" w:eastAsia="宋体"/>
              </w:rPr>
              <w:t xml:space="preserve">深圳市福田区福田街道益田路5023号平安金融中心B座第22-25层 </w:t>
            </w:r>
          </w:p>
        </w:tc>
      </w:tr>
      <w:tr w14:paraId="08A08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E950F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B8A3255">
            <w:pPr>
              <w:rPr>
                <w:rFonts w:ascii="宋体" w:hAnsi="宋体" w:eastAsia="宋体" w:cs="宋体"/>
                <w:sz w:val="24"/>
                <w:szCs w:val="24"/>
              </w:rPr>
            </w:pPr>
            <w:r>
              <w:rPr>
                <w:rFonts w:hint="eastAsia" w:ascii="宋体" w:hAnsi="宋体" w:eastAsia="宋体"/>
              </w:rPr>
              <w:t xml:space="preserve">何之江 </w:t>
            </w:r>
          </w:p>
        </w:tc>
      </w:tr>
      <w:tr w14:paraId="78DB8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FFBA7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11C13BB">
            <w:pPr>
              <w:rPr>
                <w:rFonts w:ascii="宋体" w:hAnsi="宋体" w:eastAsia="宋体" w:cs="宋体"/>
                <w:sz w:val="24"/>
                <w:szCs w:val="24"/>
              </w:rPr>
            </w:pPr>
            <w:r>
              <w:rPr>
                <w:rFonts w:hint="eastAsia" w:ascii="宋体" w:hAnsi="宋体" w:eastAsia="宋体"/>
              </w:rPr>
              <w:t xml:space="preserve">王阳 </w:t>
            </w:r>
          </w:p>
        </w:tc>
      </w:tr>
      <w:tr w14:paraId="39EEE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C7B3F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6701E56">
            <w:pPr>
              <w:rPr>
                <w:rFonts w:ascii="宋体" w:hAnsi="宋体" w:eastAsia="宋体" w:cs="宋体"/>
                <w:sz w:val="24"/>
                <w:szCs w:val="24"/>
              </w:rPr>
            </w:pPr>
            <w:r>
              <w:rPr>
                <w:rFonts w:hint="eastAsia" w:ascii="宋体" w:hAnsi="宋体" w:eastAsia="宋体"/>
              </w:rPr>
              <w:t xml:space="preserve">021-38632136 </w:t>
            </w:r>
          </w:p>
        </w:tc>
      </w:tr>
      <w:tr w14:paraId="2F91E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76591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CF8FBEA">
            <w:pPr>
              <w:rPr>
                <w:rFonts w:ascii="宋体" w:hAnsi="宋体" w:eastAsia="宋体" w:cs="宋体"/>
                <w:sz w:val="24"/>
                <w:szCs w:val="24"/>
              </w:rPr>
            </w:pPr>
            <w:r>
              <w:rPr>
                <w:rFonts w:hint="eastAsia" w:ascii="宋体" w:hAnsi="宋体" w:eastAsia="宋体"/>
              </w:rPr>
              <w:t xml:space="preserve">0755－82400862 </w:t>
            </w:r>
          </w:p>
        </w:tc>
      </w:tr>
      <w:tr w14:paraId="53AF9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0AF68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AB1192E">
            <w:pPr>
              <w:rPr>
                <w:rFonts w:ascii="宋体" w:hAnsi="宋体" w:eastAsia="宋体" w:cs="宋体"/>
                <w:sz w:val="24"/>
                <w:szCs w:val="24"/>
              </w:rPr>
            </w:pPr>
            <w:r>
              <w:rPr>
                <w:rFonts w:hint="eastAsia" w:ascii="宋体" w:hAnsi="宋体" w:eastAsia="宋体"/>
              </w:rPr>
              <w:t xml:space="preserve">0755-22628888/95511-8 </w:t>
            </w:r>
          </w:p>
        </w:tc>
      </w:tr>
      <w:tr w14:paraId="5E53F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14438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3694D73">
            <w:pPr>
              <w:rPr>
                <w:rFonts w:ascii="宋体" w:hAnsi="宋体" w:eastAsia="宋体" w:cs="宋体"/>
                <w:sz w:val="24"/>
                <w:szCs w:val="24"/>
              </w:rPr>
            </w:pPr>
            <w:r>
              <w:rPr>
                <w:rFonts w:hint="eastAsia" w:ascii="宋体" w:hAnsi="宋体" w:eastAsia="宋体"/>
              </w:rPr>
              <w:t xml:space="preserve">http:www.stock.pingan.com </w:t>
            </w:r>
          </w:p>
        </w:tc>
      </w:tr>
    </w:tbl>
    <w:p w14:paraId="783EB243">
      <w:pPr>
        <w:pStyle w:val="7"/>
        <w:spacing w:before="0" w:beforeAutospacing="0" w:after="0" w:afterAutospacing="0" w:line="360" w:lineRule="auto"/>
        <w:ind w:firstLine="420"/>
        <w:rPr>
          <w:sz w:val="21"/>
          <w:szCs w:val="21"/>
        </w:rPr>
      </w:pPr>
      <w:r>
        <w:rPr>
          <w:rFonts w:hint="eastAsia"/>
          <w:b/>
          <w:bCs/>
          <w:sz w:val="21"/>
          <w:szCs w:val="21"/>
        </w:rPr>
        <w:t>(63)华安证券股份有限公司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50CF7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FEF6A1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5D2056F">
            <w:pPr>
              <w:rPr>
                <w:rFonts w:ascii="宋体" w:hAnsi="宋体" w:eastAsia="宋体" w:cs="宋体"/>
                <w:sz w:val="24"/>
                <w:szCs w:val="24"/>
              </w:rPr>
            </w:pPr>
            <w:r>
              <w:rPr>
                <w:rFonts w:hint="eastAsia" w:ascii="宋体" w:hAnsi="宋体" w:eastAsia="宋体"/>
              </w:rPr>
              <w:t xml:space="preserve">安徽省合肥市政务文化新区天鹅湖路198号 </w:t>
            </w:r>
          </w:p>
        </w:tc>
      </w:tr>
      <w:tr w14:paraId="59DD4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FCE38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60B1050">
            <w:pPr>
              <w:rPr>
                <w:rFonts w:ascii="宋体" w:hAnsi="宋体" w:eastAsia="宋体" w:cs="宋体"/>
                <w:sz w:val="24"/>
                <w:szCs w:val="24"/>
              </w:rPr>
            </w:pPr>
            <w:r>
              <w:rPr>
                <w:rFonts w:hint="eastAsia" w:ascii="宋体" w:hAnsi="宋体" w:eastAsia="宋体"/>
              </w:rPr>
              <w:t xml:space="preserve">安徽省合肥市南二环959号财智中心B1座 </w:t>
            </w:r>
          </w:p>
        </w:tc>
      </w:tr>
      <w:tr w14:paraId="25753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68CBD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B9A693B">
            <w:pPr>
              <w:rPr>
                <w:rFonts w:ascii="宋体" w:hAnsi="宋体" w:eastAsia="宋体" w:cs="宋体"/>
                <w:sz w:val="24"/>
                <w:szCs w:val="24"/>
              </w:rPr>
            </w:pPr>
            <w:r>
              <w:rPr>
                <w:rFonts w:hint="eastAsia" w:ascii="宋体" w:hAnsi="宋体" w:eastAsia="宋体"/>
              </w:rPr>
              <w:t xml:space="preserve">章宏韬 </w:t>
            </w:r>
          </w:p>
        </w:tc>
      </w:tr>
      <w:tr w14:paraId="44D45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32710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FF910E4">
            <w:pPr>
              <w:rPr>
                <w:rFonts w:ascii="宋体" w:hAnsi="宋体" w:eastAsia="宋体" w:cs="宋体"/>
                <w:sz w:val="24"/>
                <w:szCs w:val="24"/>
              </w:rPr>
            </w:pPr>
            <w:r>
              <w:rPr>
                <w:rFonts w:hint="eastAsia" w:ascii="宋体" w:hAnsi="宋体" w:eastAsia="宋体"/>
              </w:rPr>
              <w:t xml:space="preserve">孙懿 </w:t>
            </w:r>
          </w:p>
        </w:tc>
      </w:tr>
      <w:tr w14:paraId="3F225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902E5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7DFE461">
            <w:pPr>
              <w:rPr>
                <w:rFonts w:ascii="宋体" w:hAnsi="宋体" w:eastAsia="宋体" w:cs="宋体"/>
                <w:sz w:val="24"/>
                <w:szCs w:val="24"/>
              </w:rPr>
            </w:pPr>
            <w:r>
              <w:rPr>
                <w:rFonts w:hint="eastAsia" w:ascii="宋体" w:hAnsi="宋体" w:eastAsia="宋体"/>
              </w:rPr>
              <w:t xml:space="preserve">0551-65161821 </w:t>
            </w:r>
          </w:p>
        </w:tc>
      </w:tr>
      <w:tr w14:paraId="0F933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1F312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498DA23">
            <w:pPr>
              <w:rPr>
                <w:rFonts w:ascii="宋体" w:hAnsi="宋体" w:eastAsia="宋体" w:cs="宋体"/>
                <w:sz w:val="24"/>
                <w:szCs w:val="24"/>
              </w:rPr>
            </w:pPr>
            <w:r>
              <w:rPr>
                <w:rFonts w:hint="eastAsia" w:ascii="宋体" w:hAnsi="宋体" w:eastAsia="宋体"/>
              </w:rPr>
              <w:t xml:space="preserve">0551－65161672 </w:t>
            </w:r>
          </w:p>
        </w:tc>
      </w:tr>
      <w:tr w14:paraId="5A01C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AA2FF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CF520C1">
            <w:pPr>
              <w:rPr>
                <w:rFonts w:ascii="宋体" w:hAnsi="宋体" w:eastAsia="宋体" w:cs="宋体"/>
                <w:sz w:val="24"/>
                <w:szCs w:val="24"/>
              </w:rPr>
            </w:pPr>
            <w:r>
              <w:rPr>
                <w:rFonts w:hint="eastAsia" w:ascii="宋体" w:hAnsi="宋体" w:eastAsia="宋体"/>
              </w:rPr>
              <w:t xml:space="preserve">95318 </w:t>
            </w:r>
          </w:p>
        </w:tc>
      </w:tr>
      <w:tr w14:paraId="7830D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2D96D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DE74A59">
            <w:pPr>
              <w:rPr>
                <w:rFonts w:ascii="宋体" w:hAnsi="宋体" w:eastAsia="宋体" w:cs="宋体"/>
                <w:sz w:val="24"/>
                <w:szCs w:val="24"/>
              </w:rPr>
            </w:pPr>
            <w:r>
              <w:rPr>
                <w:rFonts w:hint="eastAsia" w:ascii="宋体" w:hAnsi="宋体" w:eastAsia="宋体"/>
              </w:rPr>
              <w:t xml:space="preserve">http://www.hazq.com/ </w:t>
            </w:r>
          </w:p>
        </w:tc>
      </w:tr>
    </w:tbl>
    <w:p w14:paraId="4DFB1CB5">
      <w:pPr>
        <w:pStyle w:val="7"/>
        <w:spacing w:before="0" w:beforeAutospacing="0" w:after="0" w:afterAutospacing="0" w:line="360" w:lineRule="auto"/>
        <w:ind w:firstLine="420"/>
        <w:rPr>
          <w:sz w:val="21"/>
          <w:szCs w:val="21"/>
        </w:rPr>
      </w:pPr>
      <w:r>
        <w:rPr>
          <w:rFonts w:hint="eastAsia"/>
          <w:b/>
          <w:bCs/>
          <w:sz w:val="21"/>
          <w:szCs w:val="21"/>
        </w:rPr>
        <w:t>(64)财信证券股份有限公司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6F255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A6CA6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E55DE5C">
            <w:pPr>
              <w:rPr>
                <w:rFonts w:ascii="宋体" w:hAnsi="宋体" w:eastAsia="宋体" w:cs="宋体"/>
                <w:sz w:val="24"/>
                <w:szCs w:val="24"/>
              </w:rPr>
            </w:pPr>
            <w:r>
              <w:rPr>
                <w:rFonts w:hint="eastAsia" w:ascii="宋体" w:hAnsi="宋体" w:eastAsia="宋体"/>
              </w:rPr>
              <w:t xml:space="preserve">长沙市芙蓉中路二段80号顺天国际财富中心26楼 </w:t>
            </w:r>
          </w:p>
        </w:tc>
      </w:tr>
      <w:tr w14:paraId="753B0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92137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3376E19">
            <w:pPr>
              <w:rPr>
                <w:rFonts w:ascii="宋体" w:hAnsi="宋体" w:eastAsia="宋体" w:cs="宋体"/>
                <w:sz w:val="24"/>
                <w:szCs w:val="24"/>
              </w:rPr>
            </w:pPr>
            <w:r>
              <w:rPr>
                <w:rFonts w:hint="eastAsia" w:ascii="宋体" w:hAnsi="宋体" w:eastAsia="宋体"/>
              </w:rPr>
              <w:t xml:space="preserve">湖南省长沙市岳麓区茶子山东路112号滨江金融中心T2栋（B座）21层 </w:t>
            </w:r>
          </w:p>
        </w:tc>
      </w:tr>
      <w:tr w14:paraId="51A08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6DAA1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075A17B">
            <w:pPr>
              <w:rPr>
                <w:rFonts w:ascii="宋体" w:hAnsi="宋体" w:eastAsia="宋体" w:cs="宋体"/>
                <w:sz w:val="24"/>
                <w:szCs w:val="24"/>
              </w:rPr>
            </w:pPr>
            <w:r>
              <w:rPr>
                <w:rFonts w:hint="eastAsia" w:ascii="宋体" w:hAnsi="宋体" w:eastAsia="宋体"/>
              </w:rPr>
              <w:t xml:space="preserve">蔡一兵 </w:t>
            </w:r>
          </w:p>
        </w:tc>
      </w:tr>
      <w:tr w14:paraId="72D0F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06E40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BED78B2">
            <w:pPr>
              <w:rPr>
                <w:rFonts w:ascii="宋体" w:hAnsi="宋体" w:eastAsia="宋体" w:cs="宋体"/>
                <w:sz w:val="24"/>
                <w:szCs w:val="24"/>
              </w:rPr>
            </w:pPr>
            <w:r>
              <w:rPr>
                <w:rFonts w:hint="eastAsia" w:ascii="宋体" w:hAnsi="宋体" w:eastAsia="宋体"/>
              </w:rPr>
              <w:t xml:space="preserve">郭磊 </w:t>
            </w:r>
          </w:p>
        </w:tc>
      </w:tr>
      <w:tr w14:paraId="5C780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8260D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C7C9041">
            <w:pPr>
              <w:rPr>
                <w:rFonts w:ascii="宋体" w:hAnsi="宋体" w:eastAsia="宋体" w:cs="宋体"/>
                <w:sz w:val="24"/>
                <w:szCs w:val="24"/>
              </w:rPr>
            </w:pPr>
            <w:r>
              <w:rPr>
                <w:rFonts w:hint="eastAsia" w:ascii="宋体" w:hAnsi="宋体" w:eastAsia="宋体"/>
              </w:rPr>
              <w:t xml:space="preserve">0731-84403319 </w:t>
            </w:r>
          </w:p>
        </w:tc>
      </w:tr>
      <w:tr w14:paraId="263E7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48641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920FD3A">
            <w:pPr>
              <w:rPr>
                <w:rFonts w:ascii="宋体" w:hAnsi="宋体" w:eastAsia="宋体" w:cs="宋体"/>
                <w:sz w:val="24"/>
                <w:szCs w:val="24"/>
              </w:rPr>
            </w:pPr>
            <w:r>
              <w:rPr>
                <w:rFonts w:hint="eastAsia" w:ascii="宋体" w:hAnsi="宋体" w:eastAsia="宋体"/>
              </w:rPr>
              <w:t xml:space="preserve">0731-84403439 </w:t>
            </w:r>
          </w:p>
        </w:tc>
      </w:tr>
      <w:tr w14:paraId="75314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43AE2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1A16854">
            <w:pPr>
              <w:rPr>
                <w:rFonts w:ascii="宋体" w:hAnsi="宋体" w:eastAsia="宋体" w:cs="宋体"/>
                <w:sz w:val="24"/>
                <w:szCs w:val="24"/>
              </w:rPr>
            </w:pPr>
            <w:r>
              <w:rPr>
                <w:rFonts w:hint="eastAsia" w:ascii="宋体" w:hAnsi="宋体" w:eastAsia="宋体"/>
              </w:rPr>
              <w:t xml:space="preserve">0731-84403360 </w:t>
            </w:r>
          </w:p>
        </w:tc>
      </w:tr>
      <w:tr w14:paraId="40946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35A4D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E1B12D6">
            <w:pPr>
              <w:rPr>
                <w:rFonts w:ascii="宋体" w:hAnsi="宋体" w:eastAsia="宋体" w:cs="宋体"/>
                <w:sz w:val="24"/>
                <w:szCs w:val="24"/>
              </w:rPr>
            </w:pPr>
            <w:r>
              <w:rPr>
                <w:rFonts w:hint="eastAsia" w:ascii="宋体" w:hAnsi="宋体" w:eastAsia="宋体"/>
              </w:rPr>
              <w:t xml:space="preserve">http://www.cfzq.com/ </w:t>
            </w:r>
          </w:p>
        </w:tc>
      </w:tr>
    </w:tbl>
    <w:p w14:paraId="3D65A936">
      <w:pPr>
        <w:pStyle w:val="7"/>
        <w:spacing w:before="0" w:beforeAutospacing="0" w:after="0" w:afterAutospacing="0" w:line="360" w:lineRule="auto"/>
        <w:ind w:firstLine="420"/>
        <w:rPr>
          <w:sz w:val="21"/>
          <w:szCs w:val="21"/>
        </w:rPr>
      </w:pPr>
      <w:r>
        <w:rPr>
          <w:rFonts w:hint="eastAsia"/>
          <w:b/>
          <w:bCs/>
          <w:sz w:val="21"/>
          <w:szCs w:val="21"/>
        </w:rPr>
        <w:t>(65)东莞证券股份有限公司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4C7B8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2B42E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5279329">
            <w:pPr>
              <w:rPr>
                <w:rFonts w:ascii="宋体" w:hAnsi="宋体" w:eastAsia="宋体" w:cs="宋体"/>
                <w:sz w:val="24"/>
                <w:szCs w:val="24"/>
              </w:rPr>
            </w:pPr>
            <w:r>
              <w:rPr>
                <w:rFonts w:hint="eastAsia" w:ascii="宋体" w:hAnsi="宋体" w:eastAsia="宋体"/>
              </w:rPr>
              <w:t xml:space="preserve">东莞市莞城区可园南路1号金源中心30楼 </w:t>
            </w:r>
          </w:p>
        </w:tc>
      </w:tr>
      <w:tr w14:paraId="0B86D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7A181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1B9F2AD">
            <w:pPr>
              <w:rPr>
                <w:rFonts w:ascii="宋体" w:hAnsi="宋体" w:eastAsia="宋体" w:cs="宋体"/>
                <w:sz w:val="24"/>
                <w:szCs w:val="24"/>
              </w:rPr>
            </w:pPr>
            <w:r>
              <w:rPr>
                <w:rFonts w:hint="eastAsia" w:ascii="宋体" w:hAnsi="宋体" w:eastAsia="宋体"/>
              </w:rPr>
              <w:t xml:space="preserve">东莞市莞城区可园南路1号金源中心30楼 </w:t>
            </w:r>
          </w:p>
        </w:tc>
      </w:tr>
      <w:tr w14:paraId="5B259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7C06A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8B894A4">
            <w:pPr>
              <w:rPr>
                <w:rFonts w:ascii="宋体" w:hAnsi="宋体" w:eastAsia="宋体" w:cs="宋体"/>
                <w:sz w:val="24"/>
                <w:szCs w:val="24"/>
              </w:rPr>
            </w:pPr>
            <w:r>
              <w:rPr>
                <w:rFonts w:hint="eastAsia" w:ascii="宋体" w:hAnsi="宋体" w:eastAsia="宋体"/>
              </w:rPr>
              <w:t xml:space="preserve">潘海标 </w:t>
            </w:r>
          </w:p>
        </w:tc>
      </w:tr>
      <w:tr w14:paraId="0A2FB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6EDE7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4095CF3">
            <w:pPr>
              <w:rPr>
                <w:rFonts w:ascii="宋体" w:hAnsi="宋体" w:eastAsia="宋体" w:cs="宋体"/>
                <w:sz w:val="24"/>
                <w:szCs w:val="24"/>
              </w:rPr>
            </w:pPr>
            <w:r>
              <w:rPr>
                <w:rFonts w:hint="eastAsia" w:ascii="宋体" w:hAnsi="宋体" w:eastAsia="宋体"/>
              </w:rPr>
              <w:t xml:space="preserve">叶玉琪 </w:t>
            </w:r>
          </w:p>
        </w:tc>
      </w:tr>
      <w:tr w14:paraId="55CAD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4C7D9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049E43E">
            <w:pPr>
              <w:rPr>
                <w:rFonts w:ascii="宋体" w:hAnsi="宋体" w:eastAsia="宋体" w:cs="宋体"/>
                <w:sz w:val="24"/>
                <w:szCs w:val="24"/>
              </w:rPr>
            </w:pPr>
            <w:r>
              <w:rPr>
                <w:rFonts w:hint="eastAsia" w:ascii="宋体" w:hAnsi="宋体" w:eastAsia="宋体"/>
              </w:rPr>
              <w:t xml:space="preserve">0769-22119351 </w:t>
            </w:r>
          </w:p>
        </w:tc>
      </w:tr>
      <w:tr w14:paraId="73A3B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A2EDD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8FFDC72">
            <w:pPr>
              <w:rPr>
                <w:rFonts w:ascii="宋体" w:hAnsi="宋体" w:eastAsia="宋体" w:cs="宋体"/>
                <w:sz w:val="24"/>
                <w:szCs w:val="24"/>
              </w:rPr>
            </w:pPr>
            <w:r>
              <w:rPr>
                <w:rFonts w:hint="eastAsia" w:ascii="宋体" w:hAnsi="宋体" w:eastAsia="宋体"/>
              </w:rPr>
              <w:t xml:space="preserve">0769-22115712 </w:t>
            </w:r>
          </w:p>
        </w:tc>
      </w:tr>
      <w:tr w14:paraId="07C49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32ACF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67599E8">
            <w:pPr>
              <w:rPr>
                <w:rFonts w:ascii="宋体" w:hAnsi="宋体" w:eastAsia="宋体" w:cs="宋体"/>
                <w:sz w:val="24"/>
                <w:szCs w:val="24"/>
              </w:rPr>
            </w:pPr>
            <w:r>
              <w:rPr>
                <w:rFonts w:hint="eastAsia" w:ascii="宋体" w:hAnsi="宋体" w:eastAsia="宋体"/>
              </w:rPr>
              <w:t xml:space="preserve">95328 </w:t>
            </w:r>
          </w:p>
        </w:tc>
      </w:tr>
      <w:tr w14:paraId="058E2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012E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27EF717">
            <w:pPr>
              <w:rPr>
                <w:rFonts w:ascii="宋体" w:hAnsi="宋体" w:eastAsia="宋体" w:cs="宋体"/>
                <w:sz w:val="24"/>
                <w:szCs w:val="24"/>
              </w:rPr>
            </w:pPr>
            <w:r>
              <w:rPr>
                <w:rFonts w:hint="eastAsia" w:ascii="宋体" w:hAnsi="宋体" w:eastAsia="宋体"/>
              </w:rPr>
              <w:t xml:space="preserve">http://www.dgzq.com.cn </w:t>
            </w:r>
          </w:p>
        </w:tc>
      </w:tr>
    </w:tbl>
    <w:p w14:paraId="74CA9E53">
      <w:pPr>
        <w:pStyle w:val="7"/>
        <w:spacing w:before="0" w:beforeAutospacing="0" w:after="0" w:afterAutospacing="0" w:line="360" w:lineRule="auto"/>
        <w:ind w:firstLine="420"/>
        <w:rPr>
          <w:sz w:val="21"/>
          <w:szCs w:val="21"/>
        </w:rPr>
      </w:pPr>
      <w:r>
        <w:rPr>
          <w:rFonts w:hint="eastAsia"/>
          <w:b/>
          <w:bCs/>
          <w:sz w:val="21"/>
          <w:szCs w:val="21"/>
        </w:rPr>
        <w:t>(66)国都证券股份有限公司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1BE2D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04C95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2C64657">
            <w:pPr>
              <w:rPr>
                <w:rFonts w:ascii="宋体" w:hAnsi="宋体" w:eastAsia="宋体" w:cs="宋体"/>
                <w:sz w:val="24"/>
                <w:szCs w:val="24"/>
              </w:rPr>
            </w:pPr>
            <w:r>
              <w:rPr>
                <w:rFonts w:hint="eastAsia" w:ascii="宋体" w:hAnsi="宋体" w:eastAsia="宋体"/>
              </w:rPr>
              <w:t xml:space="preserve">北京市东城区东直门南大街3号国华投资大厦9层10层 </w:t>
            </w:r>
          </w:p>
        </w:tc>
      </w:tr>
      <w:tr w14:paraId="2A815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3DAF1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D0B93E5">
            <w:pPr>
              <w:rPr>
                <w:rFonts w:ascii="宋体" w:hAnsi="宋体" w:eastAsia="宋体" w:cs="宋体"/>
                <w:sz w:val="24"/>
                <w:szCs w:val="24"/>
              </w:rPr>
            </w:pPr>
            <w:r>
              <w:rPr>
                <w:rFonts w:hint="eastAsia" w:ascii="宋体" w:hAnsi="宋体" w:eastAsia="宋体"/>
              </w:rPr>
              <w:t xml:space="preserve">北京市东城区东直门南大街3号国华投资大厦9层10层 </w:t>
            </w:r>
          </w:p>
        </w:tc>
      </w:tr>
      <w:tr w14:paraId="55AE7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C59BC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57EF43D">
            <w:pPr>
              <w:rPr>
                <w:rFonts w:ascii="宋体" w:hAnsi="宋体" w:eastAsia="宋体" w:cs="宋体"/>
                <w:sz w:val="24"/>
                <w:szCs w:val="24"/>
              </w:rPr>
            </w:pPr>
            <w:r>
              <w:rPr>
                <w:rFonts w:hint="eastAsia" w:ascii="宋体" w:hAnsi="宋体" w:eastAsia="宋体"/>
              </w:rPr>
              <w:t xml:space="preserve">翁振杰 </w:t>
            </w:r>
          </w:p>
        </w:tc>
      </w:tr>
      <w:tr w14:paraId="6D37C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A38F7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163A85F">
            <w:pPr>
              <w:rPr>
                <w:rFonts w:ascii="宋体" w:hAnsi="宋体" w:eastAsia="宋体" w:cs="宋体"/>
                <w:sz w:val="24"/>
                <w:szCs w:val="24"/>
              </w:rPr>
            </w:pPr>
            <w:r>
              <w:rPr>
                <w:rFonts w:hint="eastAsia" w:ascii="宋体" w:hAnsi="宋体" w:eastAsia="宋体"/>
              </w:rPr>
              <w:t xml:space="preserve">黄静 </w:t>
            </w:r>
          </w:p>
        </w:tc>
      </w:tr>
      <w:tr w14:paraId="5D527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6DF5B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9CEDBDD">
            <w:pPr>
              <w:rPr>
                <w:rFonts w:ascii="宋体" w:hAnsi="宋体" w:eastAsia="宋体" w:cs="宋体"/>
                <w:sz w:val="24"/>
                <w:szCs w:val="24"/>
              </w:rPr>
            </w:pPr>
            <w:r>
              <w:rPr>
                <w:rFonts w:hint="eastAsia" w:ascii="宋体" w:hAnsi="宋体" w:eastAsia="宋体"/>
              </w:rPr>
              <w:t xml:space="preserve">010-84183333 </w:t>
            </w:r>
          </w:p>
        </w:tc>
      </w:tr>
      <w:tr w14:paraId="4BB18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A84C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F3EB2AB">
            <w:pPr>
              <w:rPr>
                <w:rFonts w:ascii="宋体" w:hAnsi="宋体" w:eastAsia="宋体" w:cs="宋体"/>
                <w:sz w:val="24"/>
                <w:szCs w:val="24"/>
              </w:rPr>
            </w:pPr>
            <w:r>
              <w:rPr>
                <w:rFonts w:hint="eastAsia" w:ascii="宋体" w:hAnsi="宋体" w:eastAsia="宋体"/>
              </w:rPr>
              <w:t xml:space="preserve">010-84183311-3389 </w:t>
            </w:r>
          </w:p>
        </w:tc>
      </w:tr>
      <w:tr w14:paraId="1A5C2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6A8E1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D33B07D">
            <w:pPr>
              <w:rPr>
                <w:rFonts w:ascii="宋体" w:hAnsi="宋体" w:eastAsia="宋体" w:cs="宋体"/>
                <w:sz w:val="24"/>
                <w:szCs w:val="24"/>
              </w:rPr>
            </w:pPr>
            <w:r>
              <w:rPr>
                <w:rFonts w:hint="eastAsia" w:ascii="宋体" w:hAnsi="宋体" w:eastAsia="宋体"/>
              </w:rPr>
              <w:t xml:space="preserve">400-818-8118 </w:t>
            </w:r>
          </w:p>
        </w:tc>
      </w:tr>
      <w:tr w14:paraId="21892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F95B6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84394E2">
            <w:pPr>
              <w:rPr>
                <w:rFonts w:ascii="宋体" w:hAnsi="宋体" w:eastAsia="宋体" w:cs="宋体"/>
                <w:sz w:val="24"/>
                <w:szCs w:val="24"/>
              </w:rPr>
            </w:pPr>
            <w:r>
              <w:rPr>
                <w:rFonts w:hint="eastAsia" w:ascii="宋体" w:hAnsi="宋体" w:eastAsia="宋体"/>
              </w:rPr>
              <w:t xml:space="preserve">http://www.guodu.com </w:t>
            </w:r>
          </w:p>
        </w:tc>
      </w:tr>
    </w:tbl>
    <w:p w14:paraId="4925169A">
      <w:pPr>
        <w:pStyle w:val="7"/>
        <w:spacing w:before="0" w:beforeAutospacing="0" w:after="0" w:afterAutospacing="0" w:line="360" w:lineRule="auto"/>
        <w:ind w:firstLine="420"/>
        <w:rPr>
          <w:sz w:val="21"/>
          <w:szCs w:val="21"/>
        </w:rPr>
      </w:pPr>
      <w:r>
        <w:rPr>
          <w:rFonts w:hint="eastAsia"/>
          <w:b/>
          <w:bCs/>
          <w:sz w:val="21"/>
          <w:szCs w:val="21"/>
        </w:rPr>
        <w:t>(67)东海证券股份有限公司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4FE0F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A1A55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B05E9AB">
            <w:pPr>
              <w:rPr>
                <w:rFonts w:ascii="宋体" w:hAnsi="宋体" w:eastAsia="宋体" w:cs="宋体"/>
                <w:sz w:val="24"/>
                <w:szCs w:val="24"/>
              </w:rPr>
            </w:pPr>
            <w:r>
              <w:rPr>
                <w:rFonts w:hint="eastAsia" w:ascii="宋体" w:hAnsi="宋体" w:eastAsia="宋体"/>
              </w:rPr>
              <w:t xml:space="preserve">江苏省常州延陵西路23号投资广场18层  </w:t>
            </w:r>
          </w:p>
        </w:tc>
      </w:tr>
      <w:tr w14:paraId="21612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45A7E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95A5F79">
            <w:pPr>
              <w:rPr>
                <w:rFonts w:ascii="宋体" w:hAnsi="宋体" w:eastAsia="宋体" w:cs="宋体"/>
                <w:sz w:val="24"/>
                <w:szCs w:val="24"/>
              </w:rPr>
            </w:pPr>
            <w:r>
              <w:rPr>
                <w:rFonts w:hint="eastAsia" w:ascii="宋体" w:hAnsi="宋体" w:eastAsia="宋体"/>
              </w:rPr>
              <w:t xml:space="preserve">上海市浦东新区东方路1928号东海证券大厦  </w:t>
            </w:r>
          </w:p>
        </w:tc>
      </w:tr>
      <w:tr w14:paraId="5FC6D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AEDBB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8174972">
            <w:pPr>
              <w:rPr>
                <w:rFonts w:ascii="宋体" w:hAnsi="宋体" w:eastAsia="宋体" w:cs="宋体"/>
                <w:sz w:val="24"/>
                <w:szCs w:val="24"/>
              </w:rPr>
            </w:pPr>
            <w:r>
              <w:rPr>
                <w:rFonts w:hint="eastAsia" w:ascii="宋体" w:hAnsi="宋体" w:eastAsia="宋体"/>
              </w:rPr>
              <w:t xml:space="preserve">钱俊文 </w:t>
            </w:r>
          </w:p>
        </w:tc>
      </w:tr>
      <w:tr w14:paraId="25C08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CFA08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D796C99">
            <w:pPr>
              <w:rPr>
                <w:rFonts w:ascii="宋体" w:hAnsi="宋体" w:eastAsia="宋体" w:cs="宋体"/>
                <w:sz w:val="24"/>
                <w:szCs w:val="24"/>
              </w:rPr>
            </w:pPr>
            <w:r>
              <w:rPr>
                <w:rFonts w:hint="eastAsia" w:ascii="宋体" w:hAnsi="宋体" w:eastAsia="宋体"/>
              </w:rPr>
              <w:t xml:space="preserve">王一彦 </w:t>
            </w:r>
          </w:p>
        </w:tc>
      </w:tr>
      <w:tr w14:paraId="6231A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A93C5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9B0CB4E">
            <w:pPr>
              <w:rPr>
                <w:rFonts w:ascii="宋体" w:hAnsi="宋体" w:eastAsia="宋体" w:cs="宋体"/>
                <w:sz w:val="24"/>
                <w:szCs w:val="24"/>
              </w:rPr>
            </w:pPr>
            <w:r>
              <w:rPr>
                <w:rFonts w:hint="eastAsia" w:ascii="宋体" w:hAnsi="宋体" w:eastAsia="宋体"/>
              </w:rPr>
              <w:t xml:space="preserve">021-20333333 </w:t>
            </w:r>
          </w:p>
        </w:tc>
      </w:tr>
      <w:tr w14:paraId="19AF7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8D5B0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EB5E052">
            <w:pPr>
              <w:rPr>
                <w:rFonts w:ascii="宋体" w:hAnsi="宋体" w:eastAsia="宋体" w:cs="宋体"/>
                <w:sz w:val="24"/>
                <w:szCs w:val="24"/>
              </w:rPr>
            </w:pPr>
            <w:r>
              <w:rPr>
                <w:rFonts w:hint="eastAsia" w:ascii="宋体" w:hAnsi="宋体" w:eastAsia="宋体"/>
              </w:rPr>
              <w:t xml:space="preserve">021-50498825 </w:t>
            </w:r>
          </w:p>
        </w:tc>
      </w:tr>
      <w:tr w14:paraId="23BA3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7AD7C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09502D9">
            <w:pPr>
              <w:rPr>
                <w:rFonts w:ascii="宋体" w:hAnsi="宋体" w:eastAsia="宋体" w:cs="宋体"/>
                <w:sz w:val="24"/>
                <w:szCs w:val="24"/>
              </w:rPr>
            </w:pPr>
            <w:r>
              <w:rPr>
                <w:rFonts w:hint="eastAsia" w:ascii="宋体" w:hAnsi="宋体" w:eastAsia="宋体"/>
              </w:rPr>
              <w:t xml:space="preserve">95531; 4008888588 </w:t>
            </w:r>
          </w:p>
        </w:tc>
      </w:tr>
      <w:tr w14:paraId="5ECBF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5727C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36A0499">
            <w:pPr>
              <w:rPr>
                <w:rFonts w:ascii="宋体" w:hAnsi="宋体" w:eastAsia="宋体" w:cs="宋体"/>
                <w:sz w:val="24"/>
                <w:szCs w:val="24"/>
              </w:rPr>
            </w:pPr>
            <w:r>
              <w:rPr>
                <w:rFonts w:hint="eastAsia" w:ascii="宋体" w:hAnsi="宋体" w:eastAsia="宋体"/>
              </w:rPr>
              <w:t xml:space="preserve">http://www.longone.com.cn </w:t>
            </w:r>
          </w:p>
        </w:tc>
      </w:tr>
    </w:tbl>
    <w:p w14:paraId="66372BCC">
      <w:pPr>
        <w:pStyle w:val="7"/>
        <w:spacing w:before="0" w:beforeAutospacing="0" w:after="0" w:afterAutospacing="0" w:line="360" w:lineRule="auto"/>
        <w:ind w:firstLine="420"/>
        <w:rPr>
          <w:sz w:val="21"/>
          <w:szCs w:val="21"/>
        </w:rPr>
      </w:pPr>
      <w:r>
        <w:rPr>
          <w:rFonts w:hint="eastAsia"/>
          <w:b/>
          <w:bCs/>
          <w:sz w:val="21"/>
          <w:szCs w:val="21"/>
        </w:rPr>
        <w:t>(68)金融街证券股份有限公司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67674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61BCC3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10E5CBC">
            <w:pPr>
              <w:rPr>
                <w:rFonts w:ascii="宋体" w:hAnsi="宋体" w:eastAsia="宋体" w:cs="宋体"/>
                <w:sz w:val="24"/>
                <w:szCs w:val="24"/>
              </w:rPr>
            </w:pPr>
            <w:r>
              <w:rPr>
                <w:rFonts w:hint="eastAsia" w:ascii="宋体" w:hAnsi="宋体" w:eastAsia="宋体"/>
              </w:rPr>
              <w:t xml:space="preserve">内蒙古呼和浩特市新城区海拉尔东街满世尚都办公商业综合楼 </w:t>
            </w:r>
          </w:p>
        </w:tc>
      </w:tr>
      <w:tr w14:paraId="33241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36316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8C3D156">
            <w:pPr>
              <w:rPr>
                <w:rFonts w:ascii="宋体" w:hAnsi="宋体" w:eastAsia="宋体" w:cs="宋体"/>
                <w:sz w:val="24"/>
                <w:szCs w:val="24"/>
              </w:rPr>
            </w:pPr>
            <w:r>
              <w:rPr>
                <w:rFonts w:hint="eastAsia" w:ascii="宋体" w:hAnsi="宋体" w:eastAsia="宋体"/>
              </w:rPr>
              <w:t xml:space="preserve">祝艳辉 </w:t>
            </w:r>
          </w:p>
        </w:tc>
      </w:tr>
      <w:tr w14:paraId="104F7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82C6E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3B69031">
            <w:pPr>
              <w:rPr>
                <w:rFonts w:ascii="宋体" w:hAnsi="宋体" w:eastAsia="宋体" w:cs="宋体"/>
                <w:sz w:val="24"/>
                <w:szCs w:val="24"/>
              </w:rPr>
            </w:pPr>
            <w:r>
              <w:rPr>
                <w:rFonts w:hint="eastAsia" w:ascii="宋体" w:hAnsi="宋体" w:eastAsia="宋体"/>
              </w:rPr>
              <w:t xml:space="preserve">熊丽 </w:t>
            </w:r>
          </w:p>
        </w:tc>
      </w:tr>
      <w:tr w14:paraId="747C9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3834D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F5237FC">
            <w:pPr>
              <w:rPr>
                <w:rFonts w:ascii="宋体" w:hAnsi="宋体" w:eastAsia="宋体" w:cs="宋体"/>
                <w:sz w:val="24"/>
                <w:szCs w:val="24"/>
              </w:rPr>
            </w:pPr>
            <w:r>
              <w:rPr>
                <w:rFonts w:hint="eastAsia" w:ascii="宋体" w:hAnsi="宋体" w:eastAsia="宋体"/>
              </w:rPr>
              <w:t xml:space="preserve">0471－4972675 </w:t>
            </w:r>
          </w:p>
        </w:tc>
      </w:tr>
      <w:tr w14:paraId="3BA67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05A0E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A3C52F8">
            <w:pPr>
              <w:rPr>
                <w:rFonts w:ascii="宋体" w:hAnsi="宋体" w:eastAsia="宋体" w:cs="宋体"/>
                <w:sz w:val="24"/>
                <w:szCs w:val="24"/>
              </w:rPr>
            </w:pPr>
            <w:r>
              <w:rPr>
                <w:rFonts w:hint="eastAsia" w:ascii="宋体" w:hAnsi="宋体" w:eastAsia="宋体"/>
              </w:rPr>
              <w:t xml:space="preserve">956088 </w:t>
            </w:r>
          </w:p>
        </w:tc>
      </w:tr>
      <w:tr w14:paraId="1D2DB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575C7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8A2CC38">
            <w:pPr>
              <w:rPr>
                <w:rFonts w:ascii="宋体" w:hAnsi="宋体" w:eastAsia="宋体" w:cs="宋体"/>
                <w:sz w:val="24"/>
                <w:szCs w:val="24"/>
              </w:rPr>
            </w:pPr>
            <w:r>
              <w:rPr>
                <w:rFonts w:hint="eastAsia" w:ascii="宋体" w:hAnsi="宋体" w:eastAsia="宋体"/>
              </w:rPr>
              <w:t xml:space="preserve">http://www.cnht.com.cn/ </w:t>
            </w:r>
          </w:p>
        </w:tc>
      </w:tr>
    </w:tbl>
    <w:p w14:paraId="5D09FED3">
      <w:pPr>
        <w:pStyle w:val="7"/>
        <w:spacing w:before="0" w:beforeAutospacing="0" w:after="0" w:afterAutospacing="0" w:line="360" w:lineRule="auto"/>
        <w:ind w:firstLine="420"/>
        <w:rPr>
          <w:sz w:val="21"/>
          <w:szCs w:val="21"/>
        </w:rPr>
      </w:pPr>
      <w:r>
        <w:rPr>
          <w:rFonts w:hint="eastAsia"/>
          <w:b/>
          <w:bCs/>
          <w:sz w:val="21"/>
          <w:szCs w:val="21"/>
        </w:rPr>
        <w:t>(69)国盛证券股份有限公司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22C69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2142B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2DF0076">
            <w:pPr>
              <w:rPr>
                <w:rFonts w:ascii="宋体" w:hAnsi="宋体" w:eastAsia="宋体" w:cs="宋体"/>
                <w:sz w:val="24"/>
                <w:szCs w:val="24"/>
              </w:rPr>
            </w:pPr>
            <w:r>
              <w:rPr>
                <w:rFonts w:hint="eastAsia" w:ascii="宋体" w:hAnsi="宋体" w:eastAsia="宋体"/>
              </w:rPr>
              <w:t xml:space="preserve">江西省南昌市新建区子实路1589号 </w:t>
            </w:r>
          </w:p>
        </w:tc>
      </w:tr>
      <w:tr w14:paraId="2ED5E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2B2E9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AEDB93B">
            <w:pPr>
              <w:rPr>
                <w:rFonts w:ascii="宋体" w:hAnsi="宋体" w:eastAsia="宋体" w:cs="宋体"/>
                <w:sz w:val="24"/>
                <w:szCs w:val="24"/>
              </w:rPr>
            </w:pPr>
            <w:r>
              <w:rPr>
                <w:rFonts w:hint="eastAsia" w:ascii="宋体" w:hAnsi="宋体" w:eastAsia="宋体"/>
              </w:rPr>
              <w:t xml:space="preserve">江西省南昌市红谷滩新区凤凰中大道1115号北京银行大厦 </w:t>
            </w:r>
          </w:p>
        </w:tc>
      </w:tr>
      <w:tr w14:paraId="66747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8A10B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6A116EA">
            <w:pPr>
              <w:rPr>
                <w:rFonts w:ascii="宋体" w:hAnsi="宋体" w:eastAsia="宋体" w:cs="宋体"/>
                <w:sz w:val="24"/>
                <w:szCs w:val="24"/>
              </w:rPr>
            </w:pPr>
            <w:r>
              <w:rPr>
                <w:rFonts w:hint="eastAsia" w:ascii="宋体" w:hAnsi="宋体" w:eastAsia="宋体"/>
              </w:rPr>
              <w:t xml:space="preserve">刘朝东 </w:t>
            </w:r>
          </w:p>
        </w:tc>
      </w:tr>
      <w:tr w14:paraId="420AD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A310B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DA028C7">
            <w:pPr>
              <w:rPr>
                <w:rFonts w:ascii="宋体" w:hAnsi="宋体" w:eastAsia="宋体" w:cs="宋体"/>
                <w:sz w:val="24"/>
                <w:szCs w:val="24"/>
              </w:rPr>
            </w:pPr>
            <w:r>
              <w:rPr>
                <w:rFonts w:hint="eastAsia" w:ascii="宋体" w:hAnsi="宋体" w:eastAsia="宋体"/>
              </w:rPr>
              <w:t xml:space="preserve">占文驰 </w:t>
            </w:r>
          </w:p>
        </w:tc>
      </w:tr>
      <w:tr w14:paraId="18D3A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8A251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186C5A3">
            <w:pPr>
              <w:rPr>
                <w:rFonts w:ascii="宋体" w:hAnsi="宋体" w:eastAsia="宋体" w:cs="宋体"/>
                <w:sz w:val="24"/>
                <w:szCs w:val="24"/>
              </w:rPr>
            </w:pPr>
            <w:r>
              <w:rPr>
                <w:rFonts w:hint="eastAsia" w:ascii="宋体" w:hAnsi="宋体" w:eastAsia="宋体"/>
              </w:rPr>
              <w:t xml:space="preserve">0791－86283372 </w:t>
            </w:r>
          </w:p>
        </w:tc>
      </w:tr>
      <w:tr w14:paraId="58378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77083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F12C759">
            <w:pPr>
              <w:rPr>
                <w:rFonts w:ascii="宋体" w:hAnsi="宋体" w:eastAsia="宋体" w:cs="宋体"/>
                <w:sz w:val="24"/>
                <w:szCs w:val="24"/>
              </w:rPr>
            </w:pPr>
            <w:r>
              <w:rPr>
                <w:rFonts w:hint="eastAsia" w:ascii="宋体" w:hAnsi="宋体" w:eastAsia="宋体"/>
              </w:rPr>
              <w:t xml:space="preserve">0791－6289395 </w:t>
            </w:r>
          </w:p>
        </w:tc>
      </w:tr>
      <w:tr w14:paraId="1DFBA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3A6C9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E862810">
            <w:pPr>
              <w:rPr>
                <w:rFonts w:ascii="宋体" w:hAnsi="宋体" w:eastAsia="宋体" w:cs="宋体"/>
                <w:sz w:val="24"/>
                <w:szCs w:val="24"/>
              </w:rPr>
            </w:pPr>
            <w:r>
              <w:rPr>
                <w:rFonts w:hint="eastAsia" w:ascii="宋体" w:hAnsi="宋体" w:eastAsia="宋体"/>
              </w:rPr>
              <w:t xml:space="preserve">956080 </w:t>
            </w:r>
          </w:p>
        </w:tc>
      </w:tr>
      <w:tr w14:paraId="6D313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96502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A9869C2">
            <w:pPr>
              <w:rPr>
                <w:rFonts w:ascii="宋体" w:hAnsi="宋体" w:eastAsia="宋体" w:cs="宋体"/>
                <w:sz w:val="24"/>
                <w:szCs w:val="24"/>
              </w:rPr>
            </w:pPr>
            <w:r>
              <w:rPr>
                <w:rFonts w:hint="eastAsia" w:ascii="宋体" w:hAnsi="宋体" w:eastAsia="宋体"/>
              </w:rPr>
              <w:t xml:space="preserve">https://www.gszq.com/ </w:t>
            </w:r>
          </w:p>
        </w:tc>
      </w:tr>
    </w:tbl>
    <w:p w14:paraId="53382B64">
      <w:pPr>
        <w:pStyle w:val="7"/>
        <w:spacing w:before="0" w:beforeAutospacing="0" w:after="0" w:afterAutospacing="0" w:line="360" w:lineRule="auto"/>
        <w:ind w:firstLine="420"/>
        <w:rPr>
          <w:sz w:val="21"/>
          <w:szCs w:val="21"/>
        </w:rPr>
      </w:pPr>
      <w:r>
        <w:rPr>
          <w:rFonts w:hint="eastAsia"/>
          <w:b/>
          <w:bCs/>
          <w:sz w:val="21"/>
          <w:szCs w:val="21"/>
        </w:rPr>
        <w:t>(70)华西证券股份有限公司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6190E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EB23A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7276D9A">
            <w:pPr>
              <w:rPr>
                <w:rFonts w:ascii="宋体" w:hAnsi="宋体" w:eastAsia="宋体" w:cs="宋体"/>
                <w:sz w:val="24"/>
                <w:szCs w:val="24"/>
              </w:rPr>
            </w:pPr>
            <w:r>
              <w:rPr>
                <w:rFonts w:hint="eastAsia" w:ascii="宋体" w:hAnsi="宋体" w:eastAsia="宋体"/>
              </w:rPr>
              <w:t xml:space="preserve">四川省成都市高新区天府二街198号华西证券大厦 </w:t>
            </w:r>
          </w:p>
        </w:tc>
      </w:tr>
      <w:tr w14:paraId="40DA9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A77F0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76F96AD">
            <w:pPr>
              <w:rPr>
                <w:rFonts w:ascii="宋体" w:hAnsi="宋体" w:eastAsia="宋体" w:cs="宋体"/>
                <w:sz w:val="24"/>
                <w:szCs w:val="24"/>
              </w:rPr>
            </w:pPr>
            <w:r>
              <w:rPr>
                <w:rFonts w:hint="eastAsia" w:ascii="宋体" w:hAnsi="宋体" w:eastAsia="宋体"/>
              </w:rPr>
              <w:t xml:space="preserve">四川省成都市高新区天府二街198号华西证券大厦 </w:t>
            </w:r>
          </w:p>
        </w:tc>
      </w:tr>
      <w:tr w14:paraId="3D79F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FD642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2C1558C">
            <w:pPr>
              <w:rPr>
                <w:rFonts w:ascii="宋体" w:hAnsi="宋体" w:eastAsia="宋体" w:cs="宋体"/>
                <w:sz w:val="24"/>
                <w:szCs w:val="24"/>
              </w:rPr>
            </w:pPr>
            <w:r>
              <w:rPr>
                <w:rFonts w:hint="eastAsia" w:ascii="宋体" w:hAnsi="宋体" w:eastAsia="宋体"/>
              </w:rPr>
              <w:t xml:space="preserve">杨炯洋 </w:t>
            </w:r>
          </w:p>
        </w:tc>
      </w:tr>
      <w:tr w14:paraId="32720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6880F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ED8D858">
            <w:pPr>
              <w:rPr>
                <w:rFonts w:ascii="宋体" w:hAnsi="宋体" w:eastAsia="宋体" w:cs="宋体"/>
                <w:sz w:val="24"/>
                <w:szCs w:val="24"/>
              </w:rPr>
            </w:pPr>
            <w:r>
              <w:rPr>
                <w:rFonts w:hint="eastAsia" w:ascii="宋体" w:hAnsi="宋体" w:eastAsia="宋体"/>
              </w:rPr>
              <w:t xml:space="preserve">赵静静 </w:t>
            </w:r>
          </w:p>
        </w:tc>
      </w:tr>
      <w:tr w14:paraId="586F7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261A5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241A8E6">
            <w:pPr>
              <w:rPr>
                <w:rFonts w:ascii="宋体" w:hAnsi="宋体" w:eastAsia="宋体" w:cs="宋体"/>
                <w:sz w:val="24"/>
                <w:szCs w:val="24"/>
              </w:rPr>
            </w:pPr>
            <w:r>
              <w:rPr>
                <w:rFonts w:hint="eastAsia" w:ascii="宋体" w:hAnsi="宋体" w:eastAsia="宋体"/>
              </w:rPr>
              <w:t xml:space="preserve">010-58124967 </w:t>
            </w:r>
          </w:p>
        </w:tc>
      </w:tr>
      <w:tr w14:paraId="6EBBA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92C76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4A1A252">
            <w:pPr>
              <w:rPr>
                <w:rFonts w:ascii="宋体" w:hAnsi="宋体" w:eastAsia="宋体" w:cs="宋体"/>
                <w:sz w:val="24"/>
                <w:szCs w:val="24"/>
              </w:rPr>
            </w:pPr>
            <w:r>
              <w:rPr>
                <w:rFonts w:hint="eastAsia" w:ascii="宋体" w:hAnsi="宋体" w:eastAsia="宋体"/>
              </w:rPr>
              <w:t xml:space="preserve">028-86150040 </w:t>
            </w:r>
          </w:p>
        </w:tc>
      </w:tr>
      <w:tr w14:paraId="14423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E9BA6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0F2DC5A">
            <w:pPr>
              <w:rPr>
                <w:rFonts w:ascii="宋体" w:hAnsi="宋体" w:eastAsia="宋体" w:cs="宋体"/>
                <w:sz w:val="24"/>
                <w:szCs w:val="24"/>
              </w:rPr>
            </w:pPr>
            <w:r>
              <w:rPr>
                <w:rFonts w:hint="eastAsia" w:ascii="宋体" w:hAnsi="宋体" w:eastAsia="宋体"/>
              </w:rPr>
              <w:t xml:space="preserve">95584 </w:t>
            </w:r>
          </w:p>
        </w:tc>
      </w:tr>
      <w:tr w14:paraId="74974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2AB63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65C7627">
            <w:pPr>
              <w:rPr>
                <w:rFonts w:ascii="宋体" w:hAnsi="宋体" w:eastAsia="宋体" w:cs="宋体"/>
                <w:sz w:val="24"/>
                <w:szCs w:val="24"/>
              </w:rPr>
            </w:pPr>
            <w:r>
              <w:rPr>
                <w:rFonts w:hint="eastAsia" w:ascii="宋体" w:hAnsi="宋体" w:eastAsia="宋体"/>
              </w:rPr>
              <w:t xml:space="preserve">https://www.hx168.com.cn/ </w:t>
            </w:r>
          </w:p>
        </w:tc>
      </w:tr>
    </w:tbl>
    <w:p w14:paraId="6433E552">
      <w:pPr>
        <w:pStyle w:val="7"/>
        <w:spacing w:before="0" w:beforeAutospacing="0" w:after="0" w:afterAutospacing="0" w:line="360" w:lineRule="auto"/>
        <w:ind w:firstLine="420"/>
        <w:rPr>
          <w:sz w:val="21"/>
          <w:szCs w:val="21"/>
        </w:rPr>
      </w:pPr>
      <w:r>
        <w:rPr>
          <w:rFonts w:hint="eastAsia"/>
          <w:b/>
          <w:bCs/>
          <w:sz w:val="21"/>
          <w:szCs w:val="21"/>
        </w:rPr>
        <w:t>(71)申万宏源西部证券有限公司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5473B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A24CC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CAD9696">
            <w:pPr>
              <w:rPr>
                <w:rFonts w:ascii="宋体" w:hAnsi="宋体" w:eastAsia="宋体" w:cs="宋体"/>
                <w:sz w:val="24"/>
                <w:szCs w:val="24"/>
              </w:rPr>
            </w:pPr>
            <w:r>
              <w:rPr>
                <w:rFonts w:hint="eastAsia" w:ascii="宋体" w:hAnsi="宋体" w:eastAsia="宋体"/>
              </w:rPr>
              <w:t xml:space="preserve">新疆乌鲁木齐市高新区（新市区）北京南路358号大成国际大厦20楼2005室 </w:t>
            </w:r>
          </w:p>
        </w:tc>
      </w:tr>
      <w:tr w14:paraId="0E0CE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F0DA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2C9DB48">
            <w:pPr>
              <w:rPr>
                <w:rFonts w:ascii="宋体" w:hAnsi="宋体" w:eastAsia="宋体" w:cs="宋体"/>
                <w:sz w:val="24"/>
                <w:szCs w:val="24"/>
              </w:rPr>
            </w:pPr>
            <w:r>
              <w:rPr>
                <w:rFonts w:hint="eastAsia" w:ascii="宋体" w:hAnsi="宋体" w:eastAsia="宋体"/>
              </w:rPr>
              <w:t xml:space="preserve">新疆乌鲁木齐市高新区（新市区）北京南路358号大成国际大厦20楼2005室 </w:t>
            </w:r>
          </w:p>
        </w:tc>
      </w:tr>
      <w:tr w14:paraId="4F492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19EA1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EB4AA4B">
            <w:pPr>
              <w:rPr>
                <w:rFonts w:ascii="宋体" w:hAnsi="宋体" w:eastAsia="宋体" w:cs="宋体"/>
                <w:sz w:val="24"/>
                <w:szCs w:val="24"/>
              </w:rPr>
            </w:pPr>
            <w:r>
              <w:rPr>
                <w:rFonts w:hint="eastAsia" w:ascii="宋体" w:hAnsi="宋体" w:eastAsia="宋体"/>
              </w:rPr>
              <w:t xml:space="preserve">王献军  </w:t>
            </w:r>
          </w:p>
        </w:tc>
      </w:tr>
      <w:tr w14:paraId="2AF93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73DF1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898729C">
            <w:pPr>
              <w:rPr>
                <w:rFonts w:ascii="宋体" w:hAnsi="宋体" w:eastAsia="宋体" w:cs="宋体"/>
                <w:sz w:val="24"/>
                <w:szCs w:val="24"/>
              </w:rPr>
            </w:pPr>
            <w:r>
              <w:rPr>
                <w:rFonts w:hint="eastAsia" w:ascii="宋体" w:hAnsi="宋体" w:eastAsia="宋体"/>
              </w:rPr>
              <w:t xml:space="preserve">梁丽 </w:t>
            </w:r>
          </w:p>
        </w:tc>
      </w:tr>
      <w:tr w14:paraId="75AA9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3B2A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ACE54C7">
            <w:pPr>
              <w:rPr>
                <w:rFonts w:ascii="宋体" w:hAnsi="宋体" w:eastAsia="宋体" w:cs="宋体"/>
                <w:sz w:val="24"/>
                <w:szCs w:val="24"/>
              </w:rPr>
            </w:pPr>
            <w:r>
              <w:rPr>
                <w:rFonts w:hint="eastAsia" w:ascii="宋体" w:hAnsi="宋体" w:eastAsia="宋体"/>
              </w:rPr>
              <w:t xml:space="preserve">0991-2307105 </w:t>
            </w:r>
          </w:p>
        </w:tc>
      </w:tr>
      <w:tr w14:paraId="6909D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025C0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D5290B3">
            <w:pPr>
              <w:rPr>
                <w:rFonts w:ascii="宋体" w:hAnsi="宋体" w:eastAsia="宋体" w:cs="宋体"/>
                <w:sz w:val="24"/>
                <w:szCs w:val="24"/>
              </w:rPr>
            </w:pPr>
            <w:r>
              <w:rPr>
                <w:rFonts w:hint="eastAsia" w:ascii="宋体" w:hAnsi="宋体" w:eastAsia="宋体"/>
              </w:rPr>
              <w:t xml:space="preserve">010-88085195 </w:t>
            </w:r>
          </w:p>
        </w:tc>
      </w:tr>
      <w:tr w14:paraId="2470D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4483B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654BB93">
            <w:pPr>
              <w:rPr>
                <w:rFonts w:ascii="宋体" w:hAnsi="宋体" w:eastAsia="宋体" w:cs="宋体"/>
                <w:sz w:val="24"/>
                <w:szCs w:val="24"/>
              </w:rPr>
            </w:pPr>
            <w:r>
              <w:rPr>
                <w:rFonts w:hint="eastAsia" w:ascii="宋体" w:hAnsi="宋体" w:eastAsia="宋体"/>
              </w:rPr>
              <w:t xml:space="preserve">95523或4008895523 </w:t>
            </w:r>
          </w:p>
        </w:tc>
      </w:tr>
      <w:tr w14:paraId="61F56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A1AA0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972F3AB">
            <w:pPr>
              <w:rPr>
                <w:rFonts w:ascii="宋体" w:hAnsi="宋体" w:eastAsia="宋体" w:cs="宋体"/>
                <w:sz w:val="24"/>
                <w:szCs w:val="24"/>
              </w:rPr>
            </w:pPr>
            <w:r>
              <w:rPr>
                <w:rFonts w:hint="eastAsia" w:ascii="宋体" w:hAnsi="宋体" w:eastAsia="宋体"/>
              </w:rPr>
              <w:t xml:space="preserve">www.swhysc.com </w:t>
            </w:r>
          </w:p>
        </w:tc>
      </w:tr>
    </w:tbl>
    <w:p w14:paraId="5DF7D86B">
      <w:pPr>
        <w:pStyle w:val="7"/>
        <w:spacing w:before="0" w:beforeAutospacing="0" w:after="0" w:afterAutospacing="0" w:line="360" w:lineRule="auto"/>
        <w:ind w:firstLine="420"/>
        <w:rPr>
          <w:sz w:val="21"/>
          <w:szCs w:val="21"/>
        </w:rPr>
      </w:pPr>
      <w:r>
        <w:rPr>
          <w:rFonts w:hint="eastAsia"/>
          <w:b/>
          <w:bCs/>
          <w:sz w:val="21"/>
          <w:szCs w:val="21"/>
        </w:rPr>
        <w:t>(72)中泰证券股份有限公司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0A184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D225F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EA2FD19">
            <w:pPr>
              <w:rPr>
                <w:rFonts w:ascii="宋体" w:hAnsi="宋体" w:eastAsia="宋体" w:cs="宋体"/>
                <w:sz w:val="24"/>
                <w:szCs w:val="24"/>
              </w:rPr>
            </w:pPr>
            <w:r>
              <w:rPr>
                <w:rFonts w:hint="eastAsia" w:ascii="宋体" w:hAnsi="宋体" w:eastAsia="宋体"/>
              </w:rPr>
              <w:t xml:space="preserve">济南市市中区经七路86号 </w:t>
            </w:r>
          </w:p>
        </w:tc>
      </w:tr>
      <w:tr w14:paraId="5F87F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5D6BD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F79381E">
            <w:pPr>
              <w:rPr>
                <w:rFonts w:ascii="宋体" w:hAnsi="宋体" w:eastAsia="宋体" w:cs="宋体"/>
                <w:sz w:val="24"/>
                <w:szCs w:val="24"/>
              </w:rPr>
            </w:pPr>
            <w:r>
              <w:rPr>
                <w:rFonts w:hint="eastAsia" w:ascii="宋体" w:hAnsi="宋体" w:eastAsia="宋体"/>
              </w:rPr>
              <w:t xml:space="preserve">山东省济南市市中区经七路86号证券大厦2309 </w:t>
            </w:r>
          </w:p>
        </w:tc>
      </w:tr>
      <w:tr w14:paraId="3A69C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C91CF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31DBC69">
            <w:pPr>
              <w:rPr>
                <w:rFonts w:ascii="宋体" w:hAnsi="宋体" w:eastAsia="宋体" w:cs="宋体"/>
                <w:sz w:val="24"/>
                <w:szCs w:val="24"/>
              </w:rPr>
            </w:pPr>
            <w:r>
              <w:rPr>
                <w:rFonts w:hint="eastAsia" w:ascii="宋体" w:hAnsi="宋体" w:eastAsia="宋体"/>
              </w:rPr>
              <w:t xml:space="preserve">王洪 </w:t>
            </w:r>
          </w:p>
        </w:tc>
      </w:tr>
      <w:tr w14:paraId="12AF8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BDE58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31776BC">
            <w:pPr>
              <w:rPr>
                <w:rFonts w:ascii="宋体" w:hAnsi="宋体" w:eastAsia="宋体" w:cs="宋体"/>
                <w:sz w:val="24"/>
                <w:szCs w:val="24"/>
              </w:rPr>
            </w:pPr>
            <w:r>
              <w:rPr>
                <w:rFonts w:hint="eastAsia" w:ascii="宋体" w:hAnsi="宋体" w:eastAsia="宋体"/>
              </w:rPr>
              <w:t xml:space="preserve">张峰源 </w:t>
            </w:r>
          </w:p>
        </w:tc>
      </w:tr>
      <w:tr w14:paraId="72095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5A03D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30FED06">
            <w:pPr>
              <w:rPr>
                <w:rFonts w:ascii="宋体" w:hAnsi="宋体" w:eastAsia="宋体" w:cs="宋体"/>
                <w:sz w:val="24"/>
                <w:szCs w:val="24"/>
              </w:rPr>
            </w:pPr>
            <w:r>
              <w:rPr>
                <w:rFonts w:hint="eastAsia" w:ascii="宋体" w:hAnsi="宋体" w:eastAsia="宋体"/>
              </w:rPr>
              <w:t xml:space="preserve">021-20315719 </w:t>
            </w:r>
          </w:p>
        </w:tc>
      </w:tr>
      <w:tr w14:paraId="50211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44E15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8A9F368">
            <w:pPr>
              <w:rPr>
                <w:rFonts w:ascii="宋体" w:hAnsi="宋体" w:eastAsia="宋体" w:cs="宋体"/>
                <w:sz w:val="24"/>
                <w:szCs w:val="24"/>
              </w:rPr>
            </w:pPr>
            <w:r>
              <w:rPr>
                <w:rFonts w:hint="eastAsia" w:ascii="宋体" w:hAnsi="宋体" w:eastAsia="宋体"/>
              </w:rPr>
              <w:t xml:space="preserve">95538 </w:t>
            </w:r>
          </w:p>
        </w:tc>
      </w:tr>
      <w:tr w14:paraId="5C88B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38B96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82881E4">
            <w:pPr>
              <w:rPr>
                <w:rFonts w:ascii="宋体" w:hAnsi="宋体" w:eastAsia="宋体" w:cs="宋体"/>
                <w:sz w:val="24"/>
                <w:szCs w:val="24"/>
              </w:rPr>
            </w:pPr>
            <w:r>
              <w:rPr>
                <w:rFonts w:hint="eastAsia" w:ascii="宋体" w:hAnsi="宋体" w:eastAsia="宋体"/>
              </w:rPr>
              <w:t xml:space="preserve">www.zts.com.cn </w:t>
            </w:r>
          </w:p>
        </w:tc>
      </w:tr>
    </w:tbl>
    <w:p w14:paraId="590E20FF">
      <w:pPr>
        <w:pStyle w:val="7"/>
        <w:spacing w:before="0" w:beforeAutospacing="0" w:after="0" w:afterAutospacing="0" w:line="360" w:lineRule="auto"/>
        <w:ind w:firstLine="420"/>
        <w:rPr>
          <w:sz w:val="21"/>
          <w:szCs w:val="21"/>
        </w:rPr>
      </w:pPr>
      <w:r>
        <w:rPr>
          <w:rFonts w:hint="eastAsia"/>
          <w:b/>
          <w:bCs/>
          <w:sz w:val="21"/>
          <w:szCs w:val="21"/>
        </w:rPr>
        <w:t>(73)世纪证券有限责任公司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747BC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EE78D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849D49A">
            <w:pPr>
              <w:rPr>
                <w:rFonts w:ascii="宋体" w:hAnsi="宋体" w:eastAsia="宋体" w:cs="宋体"/>
                <w:sz w:val="24"/>
                <w:szCs w:val="24"/>
              </w:rPr>
            </w:pPr>
            <w:r>
              <w:rPr>
                <w:rFonts w:hint="eastAsia" w:ascii="宋体" w:hAnsi="宋体" w:eastAsia="宋体"/>
              </w:rPr>
              <w:t xml:space="preserve">深圳市前海深港合作区南山街道桂湾五路128号前海深港基金小镇对冲基金中心406 </w:t>
            </w:r>
          </w:p>
        </w:tc>
      </w:tr>
      <w:tr w14:paraId="6B5E7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7956F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1202CF1">
            <w:pPr>
              <w:rPr>
                <w:rFonts w:ascii="宋体" w:hAnsi="宋体" w:eastAsia="宋体" w:cs="宋体"/>
                <w:sz w:val="24"/>
                <w:szCs w:val="24"/>
              </w:rPr>
            </w:pPr>
            <w:r>
              <w:rPr>
                <w:rFonts w:hint="eastAsia" w:ascii="宋体" w:hAnsi="宋体" w:eastAsia="宋体"/>
              </w:rPr>
              <w:t xml:space="preserve">广东省深圳市福田区福田街道金田路2026号能源大厦北塔23-25楼 </w:t>
            </w:r>
          </w:p>
        </w:tc>
      </w:tr>
      <w:tr w14:paraId="2BB17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8ADC8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36D9537">
            <w:pPr>
              <w:rPr>
                <w:rFonts w:ascii="宋体" w:hAnsi="宋体" w:eastAsia="宋体" w:cs="宋体"/>
                <w:sz w:val="24"/>
                <w:szCs w:val="24"/>
              </w:rPr>
            </w:pPr>
            <w:r>
              <w:rPr>
                <w:rFonts w:hint="eastAsia" w:ascii="宋体" w:hAnsi="宋体" w:eastAsia="宋体"/>
              </w:rPr>
              <w:t xml:space="preserve">李强 </w:t>
            </w:r>
          </w:p>
        </w:tc>
      </w:tr>
      <w:tr w14:paraId="77C80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E6A34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42C10EC">
            <w:pPr>
              <w:rPr>
                <w:rFonts w:ascii="宋体" w:hAnsi="宋体" w:eastAsia="宋体" w:cs="宋体"/>
                <w:sz w:val="24"/>
                <w:szCs w:val="24"/>
              </w:rPr>
            </w:pPr>
            <w:r>
              <w:rPr>
                <w:rFonts w:hint="eastAsia" w:ascii="宋体" w:hAnsi="宋体" w:eastAsia="宋体"/>
              </w:rPr>
              <w:t xml:space="preserve">徐玲娟 </w:t>
            </w:r>
          </w:p>
        </w:tc>
      </w:tr>
      <w:tr w14:paraId="6827E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C612D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12AA14B">
            <w:pPr>
              <w:rPr>
                <w:rFonts w:ascii="宋体" w:hAnsi="宋体" w:eastAsia="宋体" w:cs="宋体"/>
                <w:sz w:val="24"/>
                <w:szCs w:val="24"/>
              </w:rPr>
            </w:pPr>
            <w:r>
              <w:rPr>
                <w:rFonts w:hint="eastAsia" w:ascii="宋体" w:hAnsi="宋体" w:eastAsia="宋体"/>
              </w:rPr>
              <w:t xml:space="preserve">0755-83199599-9135 </w:t>
            </w:r>
          </w:p>
        </w:tc>
      </w:tr>
      <w:tr w14:paraId="45F58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704C3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0993F10">
            <w:pPr>
              <w:rPr>
                <w:rFonts w:ascii="宋体" w:hAnsi="宋体" w:eastAsia="宋体" w:cs="宋体"/>
                <w:sz w:val="24"/>
                <w:szCs w:val="24"/>
              </w:rPr>
            </w:pPr>
            <w:r>
              <w:rPr>
                <w:rFonts w:hint="eastAsia" w:ascii="宋体" w:hAnsi="宋体" w:eastAsia="宋体"/>
              </w:rPr>
              <w:t xml:space="preserve">0755－83199545 </w:t>
            </w:r>
          </w:p>
        </w:tc>
      </w:tr>
      <w:tr w14:paraId="0A847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40FAE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ECB48AD">
            <w:pPr>
              <w:rPr>
                <w:rFonts w:ascii="宋体" w:hAnsi="宋体" w:eastAsia="宋体" w:cs="宋体"/>
                <w:sz w:val="24"/>
                <w:szCs w:val="24"/>
              </w:rPr>
            </w:pPr>
            <w:r>
              <w:rPr>
                <w:rFonts w:hint="eastAsia" w:ascii="宋体" w:hAnsi="宋体" w:eastAsia="宋体"/>
              </w:rPr>
              <w:t xml:space="preserve">4008323000 </w:t>
            </w:r>
          </w:p>
        </w:tc>
      </w:tr>
      <w:tr w14:paraId="39DC7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C0D6B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8CC22F3">
            <w:pPr>
              <w:rPr>
                <w:rFonts w:ascii="宋体" w:hAnsi="宋体" w:eastAsia="宋体" w:cs="宋体"/>
                <w:sz w:val="24"/>
                <w:szCs w:val="24"/>
              </w:rPr>
            </w:pPr>
            <w:r>
              <w:rPr>
                <w:rFonts w:hint="eastAsia" w:ascii="宋体" w:hAnsi="宋体" w:eastAsia="宋体"/>
              </w:rPr>
              <w:t xml:space="preserve">http://www.csco.com.cn/ </w:t>
            </w:r>
          </w:p>
        </w:tc>
      </w:tr>
    </w:tbl>
    <w:p w14:paraId="5B43AC32">
      <w:pPr>
        <w:pStyle w:val="7"/>
        <w:spacing w:before="0" w:beforeAutospacing="0" w:after="0" w:afterAutospacing="0" w:line="360" w:lineRule="auto"/>
        <w:ind w:firstLine="420"/>
        <w:rPr>
          <w:sz w:val="21"/>
          <w:szCs w:val="21"/>
        </w:rPr>
      </w:pPr>
      <w:r>
        <w:rPr>
          <w:rFonts w:hint="eastAsia"/>
          <w:b/>
          <w:bCs/>
          <w:sz w:val="21"/>
          <w:szCs w:val="21"/>
        </w:rPr>
        <w:t>(74)第一创业证券股份有限公司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6132"/>
      </w:tblGrid>
      <w:tr w14:paraId="146B4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61C35C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258CB34">
            <w:pPr>
              <w:rPr>
                <w:rFonts w:ascii="宋体" w:hAnsi="宋体" w:eastAsia="宋体" w:cs="宋体"/>
                <w:sz w:val="24"/>
                <w:szCs w:val="24"/>
              </w:rPr>
            </w:pPr>
            <w:r>
              <w:rPr>
                <w:rFonts w:hint="eastAsia" w:ascii="宋体" w:hAnsi="宋体" w:eastAsia="宋体"/>
              </w:rPr>
              <w:t xml:space="preserve">深圳市福田区福华一路115号投行大厦20楼 </w:t>
            </w:r>
          </w:p>
        </w:tc>
      </w:tr>
      <w:tr w14:paraId="541AF93B">
        <w:tblPrEx>
          <w:tblCellMar>
            <w:top w:w="0" w:type="dxa"/>
            <w:left w:w="108" w:type="dxa"/>
            <w:bottom w:w="0" w:type="dxa"/>
            <w:right w:w="108" w:type="dxa"/>
          </w:tblCellMar>
        </w:tblPrEx>
        <w:tc>
          <w:tcPr>
            <w:tcW w:w="3000" w:type="dxa"/>
            <w:shd w:val="clear" w:color="auto" w:fill="auto"/>
          </w:tcPr>
          <w:p w14:paraId="11BC47C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0EBF9CC">
            <w:pPr>
              <w:rPr>
                <w:rFonts w:ascii="宋体" w:hAnsi="宋体" w:eastAsia="宋体" w:cs="宋体"/>
                <w:sz w:val="24"/>
                <w:szCs w:val="24"/>
              </w:rPr>
            </w:pPr>
            <w:r>
              <w:rPr>
                <w:rFonts w:hint="eastAsia" w:ascii="宋体" w:hAnsi="宋体" w:eastAsia="宋体"/>
              </w:rPr>
              <w:t xml:space="preserve">深圳市福田区福华一路115号投行大厦18楼 </w:t>
            </w:r>
          </w:p>
        </w:tc>
      </w:tr>
      <w:tr w14:paraId="01B20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FB907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EB23246">
            <w:pPr>
              <w:rPr>
                <w:rFonts w:ascii="宋体" w:hAnsi="宋体" w:eastAsia="宋体" w:cs="宋体"/>
                <w:sz w:val="24"/>
                <w:szCs w:val="24"/>
              </w:rPr>
            </w:pPr>
            <w:r>
              <w:rPr>
                <w:rFonts w:hint="eastAsia" w:ascii="宋体" w:hAnsi="宋体" w:eastAsia="宋体"/>
              </w:rPr>
              <w:t xml:space="preserve">青美平措 </w:t>
            </w:r>
          </w:p>
        </w:tc>
      </w:tr>
      <w:tr w14:paraId="4C051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7A8E0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26E62EA">
            <w:pPr>
              <w:rPr>
                <w:rFonts w:ascii="宋体" w:hAnsi="宋体" w:eastAsia="宋体" w:cs="宋体"/>
                <w:sz w:val="24"/>
                <w:szCs w:val="24"/>
              </w:rPr>
            </w:pPr>
            <w:r>
              <w:rPr>
                <w:rFonts w:hint="eastAsia" w:ascii="宋体" w:hAnsi="宋体" w:eastAsia="宋体"/>
              </w:rPr>
              <w:t xml:space="preserve">单晶 </w:t>
            </w:r>
          </w:p>
        </w:tc>
      </w:tr>
      <w:tr w14:paraId="1AF08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F2505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012DAED">
            <w:pPr>
              <w:rPr>
                <w:rFonts w:ascii="宋体" w:hAnsi="宋体" w:eastAsia="宋体" w:cs="宋体"/>
                <w:sz w:val="24"/>
                <w:szCs w:val="24"/>
              </w:rPr>
            </w:pPr>
            <w:r>
              <w:rPr>
                <w:rFonts w:hint="eastAsia" w:ascii="宋体" w:hAnsi="宋体" w:eastAsia="宋体"/>
              </w:rPr>
              <w:t xml:space="preserve">0755-23838750 </w:t>
            </w:r>
          </w:p>
        </w:tc>
      </w:tr>
      <w:tr w14:paraId="187E3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7A0C4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BA6A500">
            <w:pPr>
              <w:rPr>
                <w:rFonts w:ascii="宋体" w:hAnsi="宋体" w:eastAsia="宋体" w:cs="宋体"/>
                <w:sz w:val="24"/>
                <w:szCs w:val="24"/>
              </w:rPr>
            </w:pPr>
            <w:r>
              <w:rPr>
                <w:rFonts w:hint="eastAsia" w:ascii="宋体" w:hAnsi="宋体" w:eastAsia="宋体"/>
              </w:rPr>
              <w:t xml:space="preserve">0755-25838701 </w:t>
            </w:r>
          </w:p>
        </w:tc>
      </w:tr>
      <w:tr w14:paraId="57163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07E83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2D7971C">
            <w:pPr>
              <w:rPr>
                <w:rFonts w:ascii="宋体" w:hAnsi="宋体" w:eastAsia="宋体" w:cs="宋体"/>
                <w:sz w:val="24"/>
                <w:szCs w:val="24"/>
              </w:rPr>
            </w:pPr>
            <w:r>
              <w:rPr>
                <w:rFonts w:hint="eastAsia" w:ascii="宋体" w:hAnsi="宋体" w:eastAsia="宋体"/>
              </w:rPr>
              <w:t xml:space="preserve">95358 </w:t>
            </w:r>
          </w:p>
        </w:tc>
      </w:tr>
      <w:tr w14:paraId="36DB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808B2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76ACC2E">
            <w:pPr>
              <w:rPr>
                <w:rFonts w:ascii="宋体" w:hAnsi="宋体" w:eastAsia="宋体" w:cs="宋体"/>
                <w:sz w:val="24"/>
                <w:szCs w:val="24"/>
              </w:rPr>
            </w:pPr>
            <w:r>
              <w:rPr>
                <w:rFonts w:hint="eastAsia" w:ascii="宋体" w:hAnsi="宋体" w:eastAsia="宋体"/>
              </w:rPr>
              <w:t xml:space="preserve">http://www.firstcapital.com.cn/ </w:t>
            </w:r>
          </w:p>
        </w:tc>
      </w:tr>
    </w:tbl>
    <w:p w14:paraId="15C05ECC">
      <w:pPr>
        <w:pStyle w:val="7"/>
        <w:spacing w:before="0" w:beforeAutospacing="0" w:after="0" w:afterAutospacing="0" w:line="360" w:lineRule="auto"/>
        <w:ind w:firstLine="420"/>
        <w:rPr>
          <w:sz w:val="21"/>
          <w:szCs w:val="21"/>
        </w:rPr>
      </w:pPr>
      <w:r>
        <w:rPr>
          <w:rFonts w:hint="eastAsia"/>
          <w:b/>
          <w:bCs/>
          <w:sz w:val="21"/>
          <w:szCs w:val="21"/>
        </w:rPr>
        <w:t>(75)西部证券股份有限公司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0BD63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469CA0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47DC6E4">
            <w:pPr>
              <w:rPr>
                <w:rFonts w:ascii="宋体" w:hAnsi="宋体" w:eastAsia="宋体" w:cs="宋体"/>
                <w:sz w:val="24"/>
                <w:szCs w:val="24"/>
              </w:rPr>
            </w:pPr>
            <w:r>
              <w:rPr>
                <w:rFonts w:hint="eastAsia" w:ascii="宋体" w:hAnsi="宋体" w:eastAsia="宋体"/>
              </w:rPr>
              <w:t xml:space="preserve">陕西省西安市新城区东新街319号8幢10000室  </w:t>
            </w:r>
          </w:p>
        </w:tc>
      </w:tr>
      <w:tr w14:paraId="04696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A2AED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2B8CF7D">
            <w:pPr>
              <w:rPr>
                <w:rFonts w:ascii="宋体" w:hAnsi="宋体" w:eastAsia="宋体" w:cs="宋体"/>
                <w:sz w:val="24"/>
                <w:szCs w:val="24"/>
              </w:rPr>
            </w:pPr>
            <w:r>
              <w:rPr>
                <w:rFonts w:hint="eastAsia" w:ascii="宋体" w:hAnsi="宋体" w:eastAsia="宋体"/>
              </w:rPr>
              <w:t xml:space="preserve">西安市新城区东新街319号 </w:t>
            </w:r>
          </w:p>
        </w:tc>
      </w:tr>
      <w:tr w14:paraId="154F4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68A1F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3DCB524">
            <w:pPr>
              <w:rPr>
                <w:rFonts w:ascii="宋体" w:hAnsi="宋体" w:eastAsia="宋体" w:cs="宋体"/>
                <w:sz w:val="24"/>
                <w:szCs w:val="24"/>
              </w:rPr>
            </w:pPr>
            <w:r>
              <w:rPr>
                <w:rFonts w:hint="eastAsia" w:ascii="宋体" w:hAnsi="宋体" w:eastAsia="宋体"/>
              </w:rPr>
              <w:t xml:space="preserve">徐朝晖 </w:t>
            </w:r>
          </w:p>
        </w:tc>
      </w:tr>
      <w:tr w14:paraId="0F279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9B08A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26C75FA">
            <w:pPr>
              <w:rPr>
                <w:rFonts w:ascii="宋体" w:hAnsi="宋体" w:eastAsia="宋体" w:cs="宋体"/>
                <w:sz w:val="24"/>
                <w:szCs w:val="24"/>
              </w:rPr>
            </w:pPr>
            <w:r>
              <w:rPr>
                <w:rFonts w:hint="eastAsia" w:ascii="宋体" w:hAnsi="宋体" w:eastAsia="宋体"/>
              </w:rPr>
              <w:t xml:space="preserve">张吉安 </w:t>
            </w:r>
          </w:p>
        </w:tc>
      </w:tr>
      <w:tr w14:paraId="15A8E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6C404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CA46433">
            <w:pPr>
              <w:rPr>
                <w:rFonts w:ascii="宋体" w:hAnsi="宋体" w:eastAsia="宋体" w:cs="宋体"/>
                <w:sz w:val="24"/>
                <w:szCs w:val="24"/>
              </w:rPr>
            </w:pPr>
            <w:r>
              <w:rPr>
                <w:rFonts w:hint="eastAsia" w:ascii="宋体" w:hAnsi="宋体" w:eastAsia="宋体"/>
              </w:rPr>
              <w:t xml:space="preserve">029-87211668 </w:t>
            </w:r>
          </w:p>
        </w:tc>
      </w:tr>
      <w:tr w14:paraId="22A89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CCFA0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F869A0C">
            <w:pPr>
              <w:rPr>
                <w:rFonts w:ascii="宋体" w:hAnsi="宋体" w:eastAsia="宋体" w:cs="宋体"/>
                <w:sz w:val="24"/>
                <w:szCs w:val="24"/>
              </w:rPr>
            </w:pPr>
            <w:r>
              <w:rPr>
                <w:rFonts w:hint="eastAsia" w:ascii="宋体" w:hAnsi="宋体" w:eastAsia="宋体"/>
              </w:rPr>
              <w:t xml:space="preserve">029-87406117 </w:t>
            </w:r>
          </w:p>
        </w:tc>
      </w:tr>
      <w:tr w14:paraId="5D475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B1693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62D51CF">
            <w:pPr>
              <w:rPr>
                <w:rFonts w:ascii="宋体" w:hAnsi="宋体" w:eastAsia="宋体" w:cs="宋体"/>
                <w:sz w:val="24"/>
                <w:szCs w:val="24"/>
              </w:rPr>
            </w:pPr>
            <w:r>
              <w:rPr>
                <w:rFonts w:hint="eastAsia" w:ascii="宋体" w:hAnsi="宋体" w:eastAsia="宋体"/>
              </w:rPr>
              <w:t xml:space="preserve">95582 </w:t>
            </w:r>
          </w:p>
        </w:tc>
      </w:tr>
      <w:tr w14:paraId="51AB3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A3384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38826A6">
            <w:pPr>
              <w:rPr>
                <w:rFonts w:ascii="宋体" w:hAnsi="宋体" w:eastAsia="宋体" w:cs="宋体"/>
                <w:sz w:val="24"/>
                <w:szCs w:val="24"/>
              </w:rPr>
            </w:pPr>
            <w:r>
              <w:rPr>
                <w:rFonts w:hint="eastAsia" w:ascii="宋体" w:hAnsi="宋体" w:eastAsia="宋体"/>
              </w:rPr>
              <w:t xml:space="preserve">http://www.west95582.com/ </w:t>
            </w:r>
          </w:p>
        </w:tc>
      </w:tr>
    </w:tbl>
    <w:p w14:paraId="038A84E7">
      <w:pPr>
        <w:pStyle w:val="7"/>
        <w:spacing w:before="0" w:beforeAutospacing="0" w:after="0" w:afterAutospacing="0" w:line="360" w:lineRule="auto"/>
        <w:ind w:firstLine="420"/>
        <w:rPr>
          <w:sz w:val="21"/>
          <w:szCs w:val="21"/>
        </w:rPr>
      </w:pPr>
      <w:r>
        <w:rPr>
          <w:rFonts w:hint="eastAsia"/>
          <w:b/>
          <w:bCs/>
          <w:sz w:val="21"/>
          <w:szCs w:val="21"/>
        </w:rPr>
        <w:t>(76)华龙证券股份有限公司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3F3F7C01">
        <w:tc>
          <w:tcPr>
            <w:tcW w:w="3000" w:type="dxa"/>
            <w:shd w:val="clear" w:color="auto" w:fill="auto"/>
          </w:tcPr>
          <w:p w14:paraId="0CB83F0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15C8471">
            <w:pPr>
              <w:rPr>
                <w:rFonts w:ascii="宋体" w:hAnsi="宋体" w:eastAsia="宋体" w:cs="宋体"/>
                <w:sz w:val="24"/>
                <w:szCs w:val="24"/>
              </w:rPr>
            </w:pPr>
            <w:r>
              <w:rPr>
                <w:rFonts w:hint="eastAsia" w:ascii="宋体" w:hAnsi="宋体" w:eastAsia="宋体"/>
              </w:rPr>
              <w:t xml:space="preserve">兰州市城关区东岗西路638号兰州财富中心21楼 </w:t>
            </w:r>
          </w:p>
        </w:tc>
      </w:tr>
      <w:tr w14:paraId="0CD53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71110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324E5DE">
            <w:pPr>
              <w:rPr>
                <w:rFonts w:ascii="宋体" w:hAnsi="宋体" w:eastAsia="宋体" w:cs="宋体"/>
                <w:sz w:val="24"/>
                <w:szCs w:val="24"/>
              </w:rPr>
            </w:pPr>
            <w:r>
              <w:rPr>
                <w:rFonts w:hint="eastAsia" w:ascii="宋体" w:hAnsi="宋体" w:eastAsia="宋体"/>
              </w:rPr>
              <w:t xml:space="preserve">甘肃省兰州市城关区东岗西路638号财富大厦19楼  </w:t>
            </w:r>
          </w:p>
        </w:tc>
      </w:tr>
      <w:tr w14:paraId="2FFA7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55726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525F1E2">
            <w:pPr>
              <w:rPr>
                <w:rFonts w:ascii="宋体" w:hAnsi="宋体" w:eastAsia="宋体" w:cs="宋体"/>
                <w:sz w:val="24"/>
                <w:szCs w:val="24"/>
              </w:rPr>
            </w:pPr>
            <w:r>
              <w:rPr>
                <w:rFonts w:hint="eastAsia" w:ascii="宋体" w:hAnsi="宋体" w:eastAsia="宋体"/>
              </w:rPr>
              <w:t xml:space="preserve">王锡真 </w:t>
            </w:r>
          </w:p>
        </w:tc>
      </w:tr>
      <w:tr w14:paraId="5072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3D07F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637A1CA">
            <w:pPr>
              <w:rPr>
                <w:rFonts w:ascii="宋体" w:hAnsi="宋体" w:eastAsia="宋体" w:cs="宋体"/>
                <w:sz w:val="24"/>
                <w:szCs w:val="24"/>
              </w:rPr>
            </w:pPr>
            <w:r>
              <w:rPr>
                <w:rFonts w:hint="eastAsia" w:ascii="宋体" w:hAnsi="宋体" w:eastAsia="宋体"/>
              </w:rPr>
              <w:t xml:space="preserve">0931-4890208 </w:t>
            </w:r>
          </w:p>
        </w:tc>
      </w:tr>
      <w:tr w14:paraId="2B6D3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F9594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D715664">
            <w:pPr>
              <w:rPr>
                <w:rFonts w:ascii="宋体" w:hAnsi="宋体" w:eastAsia="宋体" w:cs="宋体"/>
                <w:sz w:val="24"/>
                <w:szCs w:val="24"/>
              </w:rPr>
            </w:pPr>
            <w:r>
              <w:rPr>
                <w:rFonts w:hint="eastAsia" w:ascii="宋体" w:hAnsi="宋体" w:eastAsia="宋体"/>
              </w:rPr>
              <w:t xml:space="preserve">0931-4890628 </w:t>
            </w:r>
          </w:p>
        </w:tc>
      </w:tr>
      <w:tr w14:paraId="30B5D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35D75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0782145">
            <w:pPr>
              <w:rPr>
                <w:rFonts w:ascii="宋体" w:hAnsi="宋体" w:eastAsia="宋体" w:cs="宋体"/>
                <w:sz w:val="24"/>
                <w:szCs w:val="24"/>
              </w:rPr>
            </w:pPr>
            <w:r>
              <w:rPr>
                <w:rFonts w:hint="eastAsia" w:ascii="宋体" w:hAnsi="宋体" w:eastAsia="宋体"/>
              </w:rPr>
              <w:t xml:space="preserve">95368 </w:t>
            </w:r>
          </w:p>
        </w:tc>
      </w:tr>
      <w:tr w14:paraId="5617F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7B7EC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9B5D91E">
            <w:pPr>
              <w:rPr>
                <w:rFonts w:ascii="宋体" w:hAnsi="宋体" w:eastAsia="宋体" w:cs="宋体"/>
                <w:sz w:val="24"/>
                <w:szCs w:val="24"/>
              </w:rPr>
            </w:pPr>
            <w:r>
              <w:rPr>
                <w:rFonts w:hint="eastAsia" w:ascii="宋体" w:hAnsi="宋体" w:eastAsia="宋体"/>
              </w:rPr>
              <w:t xml:space="preserve">https://www.hlzq.com/ </w:t>
            </w:r>
          </w:p>
        </w:tc>
      </w:tr>
    </w:tbl>
    <w:p w14:paraId="66B006CC">
      <w:pPr>
        <w:pStyle w:val="7"/>
        <w:spacing w:before="0" w:beforeAutospacing="0" w:after="0" w:afterAutospacing="0" w:line="360" w:lineRule="auto"/>
        <w:ind w:firstLine="420"/>
        <w:rPr>
          <w:sz w:val="21"/>
          <w:szCs w:val="21"/>
        </w:rPr>
      </w:pPr>
      <w:r>
        <w:rPr>
          <w:rFonts w:hint="eastAsia"/>
          <w:b/>
          <w:bCs/>
          <w:sz w:val="21"/>
          <w:szCs w:val="21"/>
        </w:rPr>
        <w:t>(77)财通证券股份有限公司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1DC8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06B41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93D45CB">
            <w:pPr>
              <w:rPr>
                <w:rFonts w:ascii="宋体" w:hAnsi="宋体" w:eastAsia="宋体" w:cs="宋体"/>
                <w:sz w:val="24"/>
                <w:szCs w:val="24"/>
              </w:rPr>
            </w:pPr>
            <w:r>
              <w:rPr>
                <w:rFonts w:hint="eastAsia" w:ascii="宋体" w:hAnsi="宋体" w:eastAsia="宋体"/>
              </w:rPr>
              <w:t xml:space="preserve">杭州市解放路111号 </w:t>
            </w:r>
          </w:p>
        </w:tc>
      </w:tr>
      <w:tr w14:paraId="715FC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D50CD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BE9E169">
            <w:pPr>
              <w:rPr>
                <w:rFonts w:ascii="宋体" w:hAnsi="宋体" w:eastAsia="宋体" w:cs="宋体"/>
                <w:sz w:val="24"/>
                <w:szCs w:val="24"/>
              </w:rPr>
            </w:pPr>
            <w:r>
              <w:rPr>
                <w:rFonts w:hint="eastAsia" w:ascii="宋体" w:hAnsi="宋体" w:eastAsia="宋体"/>
              </w:rPr>
              <w:t xml:space="preserve">浙江省杭州市天目山路198号财通双冠大厦西楼1201室 </w:t>
            </w:r>
          </w:p>
        </w:tc>
      </w:tr>
      <w:tr w14:paraId="78D3E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0B333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4F0A7E1">
            <w:pPr>
              <w:rPr>
                <w:rFonts w:ascii="宋体" w:hAnsi="宋体" w:eastAsia="宋体" w:cs="宋体"/>
                <w:sz w:val="24"/>
                <w:szCs w:val="24"/>
              </w:rPr>
            </w:pPr>
            <w:r>
              <w:rPr>
                <w:rFonts w:hint="eastAsia" w:ascii="宋体" w:hAnsi="宋体" w:eastAsia="宋体"/>
              </w:rPr>
              <w:t xml:space="preserve">陆建强  </w:t>
            </w:r>
          </w:p>
        </w:tc>
      </w:tr>
      <w:tr w14:paraId="2F764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6F950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2C8E54E">
            <w:pPr>
              <w:rPr>
                <w:rFonts w:ascii="宋体" w:hAnsi="宋体" w:eastAsia="宋体" w:cs="宋体"/>
                <w:sz w:val="24"/>
                <w:szCs w:val="24"/>
              </w:rPr>
            </w:pPr>
            <w:r>
              <w:rPr>
                <w:rFonts w:hint="eastAsia" w:ascii="宋体" w:hAnsi="宋体" w:eastAsia="宋体"/>
              </w:rPr>
              <w:t xml:space="preserve">蔡还 </w:t>
            </w:r>
          </w:p>
        </w:tc>
      </w:tr>
      <w:tr w14:paraId="07CA0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665C4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84D7ED1">
            <w:pPr>
              <w:rPr>
                <w:rFonts w:ascii="宋体" w:hAnsi="宋体" w:eastAsia="宋体" w:cs="宋体"/>
                <w:sz w:val="24"/>
                <w:szCs w:val="24"/>
              </w:rPr>
            </w:pPr>
            <w:r>
              <w:rPr>
                <w:rFonts w:hint="eastAsia" w:ascii="宋体" w:hAnsi="宋体" w:eastAsia="宋体"/>
              </w:rPr>
              <w:t xml:space="preserve">0571-87789160 </w:t>
            </w:r>
          </w:p>
        </w:tc>
      </w:tr>
      <w:tr w14:paraId="55E7F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23689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EE9D882">
            <w:pPr>
              <w:rPr>
                <w:rFonts w:ascii="宋体" w:hAnsi="宋体" w:eastAsia="宋体" w:cs="宋体"/>
                <w:sz w:val="24"/>
                <w:szCs w:val="24"/>
              </w:rPr>
            </w:pPr>
            <w:r>
              <w:rPr>
                <w:rFonts w:hint="eastAsia" w:ascii="宋体" w:hAnsi="宋体" w:eastAsia="宋体"/>
              </w:rPr>
              <w:t xml:space="preserve">0571－85071387 </w:t>
            </w:r>
          </w:p>
        </w:tc>
      </w:tr>
      <w:tr w14:paraId="416ED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9B6B6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D14468E">
            <w:pPr>
              <w:rPr>
                <w:rFonts w:ascii="宋体" w:hAnsi="宋体" w:eastAsia="宋体" w:cs="宋体"/>
                <w:sz w:val="24"/>
                <w:szCs w:val="24"/>
              </w:rPr>
            </w:pPr>
            <w:r>
              <w:rPr>
                <w:rFonts w:hint="eastAsia" w:ascii="宋体" w:hAnsi="宋体" w:eastAsia="宋体"/>
              </w:rPr>
              <w:t xml:space="preserve">95336（上海地区962336） </w:t>
            </w:r>
          </w:p>
        </w:tc>
      </w:tr>
      <w:tr w14:paraId="1016B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854DB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D2942F7">
            <w:pPr>
              <w:rPr>
                <w:rFonts w:ascii="宋体" w:hAnsi="宋体" w:eastAsia="宋体" w:cs="宋体"/>
                <w:sz w:val="24"/>
                <w:szCs w:val="24"/>
              </w:rPr>
            </w:pPr>
            <w:r>
              <w:rPr>
                <w:rFonts w:hint="eastAsia" w:ascii="宋体" w:hAnsi="宋体" w:eastAsia="宋体"/>
              </w:rPr>
              <w:t xml:space="preserve">http://www.ctsec.com </w:t>
            </w:r>
          </w:p>
        </w:tc>
      </w:tr>
    </w:tbl>
    <w:p w14:paraId="3BD99CAD">
      <w:pPr>
        <w:pStyle w:val="7"/>
        <w:spacing w:before="0" w:beforeAutospacing="0" w:after="0" w:afterAutospacing="0" w:line="360" w:lineRule="auto"/>
        <w:ind w:firstLine="420"/>
        <w:rPr>
          <w:sz w:val="21"/>
          <w:szCs w:val="21"/>
        </w:rPr>
      </w:pPr>
      <w:r>
        <w:rPr>
          <w:rFonts w:hint="eastAsia"/>
          <w:b/>
          <w:bCs/>
          <w:sz w:val="21"/>
          <w:szCs w:val="21"/>
        </w:rPr>
        <w:t>(78)五矿证券有限公司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53F1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238C97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63DBC6D">
            <w:pPr>
              <w:rPr>
                <w:rFonts w:ascii="宋体" w:hAnsi="宋体" w:eastAsia="宋体" w:cs="宋体"/>
                <w:sz w:val="24"/>
                <w:szCs w:val="24"/>
              </w:rPr>
            </w:pPr>
            <w:r>
              <w:rPr>
                <w:rFonts w:hint="eastAsia" w:ascii="宋体" w:hAnsi="宋体" w:eastAsia="宋体"/>
              </w:rPr>
              <w:t xml:space="preserve">深圳市南山区粤海街道海珠社区滨海大道3165号五矿金融大厦2401 </w:t>
            </w:r>
          </w:p>
        </w:tc>
      </w:tr>
      <w:tr w14:paraId="3E799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549FA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D6D21D3">
            <w:pPr>
              <w:rPr>
                <w:rFonts w:ascii="宋体" w:hAnsi="宋体" w:eastAsia="宋体" w:cs="宋体"/>
                <w:sz w:val="24"/>
                <w:szCs w:val="24"/>
              </w:rPr>
            </w:pPr>
            <w:r>
              <w:rPr>
                <w:rFonts w:hint="eastAsia" w:ascii="宋体" w:hAnsi="宋体" w:eastAsia="宋体"/>
              </w:rPr>
              <w:t xml:space="preserve">深圳市南山区滨海大道与后海滨路交汇处滨海大道3165号五矿金融大厦（18-25层） </w:t>
            </w:r>
          </w:p>
        </w:tc>
      </w:tr>
      <w:tr w14:paraId="28CD5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FB6B2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13B133D">
            <w:pPr>
              <w:rPr>
                <w:rFonts w:ascii="宋体" w:hAnsi="宋体" w:eastAsia="宋体" w:cs="宋体"/>
                <w:sz w:val="24"/>
                <w:szCs w:val="24"/>
              </w:rPr>
            </w:pPr>
            <w:r>
              <w:rPr>
                <w:rFonts w:hint="eastAsia" w:ascii="宋体" w:hAnsi="宋体" w:eastAsia="宋体"/>
              </w:rPr>
              <w:t xml:space="preserve">黄海洲 </w:t>
            </w:r>
          </w:p>
        </w:tc>
      </w:tr>
      <w:tr w14:paraId="39C89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5B6C1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EF76C27">
            <w:pPr>
              <w:rPr>
                <w:rFonts w:ascii="宋体" w:hAnsi="宋体" w:eastAsia="宋体" w:cs="宋体"/>
                <w:sz w:val="24"/>
                <w:szCs w:val="24"/>
              </w:rPr>
            </w:pPr>
            <w:r>
              <w:rPr>
                <w:rFonts w:hint="eastAsia" w:ascii="宋体" w:hAnsi="宋体" w:eastAsia="宋体"/>
              </w:rPr>
              <w:t xml:space="preserve">赵晓棋 </w:t>
            </w:r>
          </w:p>
        </w:tc>
      </w:tr>
      <w:tr w14:paraId="49D78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BA348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2F6F1DC">
            <w:pPr>
              <w:rPr>
                <w:rFonts w:ascii="宋体" w:hAnsi="宋体" w:eastAsia="宋体" w:cs="宋体"/>
                <w:sz w:val="24"/>
                <w:szCs w:val="24"/>
              </w:rPr>
            </w:pPr>
            <w:r>
              <w:rPr>
                <w:rFonts w:hint="eastAsia" w:ascii="宋体" w:hAnsi="宋体" w:eastAsia="宋体"/>
              </w:rPr>
              <w:t xml:space="preserve">0755-23375447 </w:t>
            </w:r>
          </w:p>
        </w:tc>
      </w:tr>
      <w:tr w14:paraId="51DBD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49CA4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E88437B">
            <w:pPr>
              <w:rPr>
                <w:rFonts w:ascii="宋体" w:hAnsi="宋体" w:eastAsia="宋体" w:cs="宋体"/>
                <w:sz w:val="24"/>
                <w:szCs w:val="24"/>
              </w:rPr>
            </w:pPr>
            <w:r>
              <w:rPr>
                <w:rFonts w:hint="eastAsia" w:ascii="宋体" w:hAnsi="宋体" w:eastAsia="宋体"/>
              </w:rPr>
              <w:t xml:space="preserve">4001840028 </w:t>
            </w:r>
          </w:p>
        </w:tc>
      </w:tr>
      <w:tr w14:paraId="23ACA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068F0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3AF85BF">
            <w:pPr>
              <w:rPr>
                <w:rFonts w:ascii="宋体" w:hAnsi="宋体" w:eastAsia="宋体" w:cs="宋体"/>
                <w:sz w:val="24"/>
                <w:szCs w:val="24"/>
              </w:rPr>
            </w:pPr>
            <w:r>
              <w:rPr>
                <w:rFonts w:hint="eastAsia" w:ascii="宋体" w:hAnsi="宋体" w:eastAsia="宋体"/>
              </w:rPr>
              <w:t xml:space="preserve">http://www.wkzq.com.cn </w:t>
            </w:r>
          </w:p>
        </w:tc>
      </w:tr>
    </w:tbl>
    <w:p w14:paraId="47DCE9EC">
      <w:pPr>
        <w:pStyle w:val="7"/>
        <w:spacing w:before="0" w:beforeAutospacing="0" w:after="0" w:afterAutospacing="0" w:line="360" w:lineRule="auto"/>
        <w:ind w:firstLine="420"/>
        <w:rPr>
          <w:sz w:val="21"/>
          <w:szCs w:val="21"/>
        </w:rPr>
      </w:pPr>
      <w:r>
        <w:rPr>
          <w:rFonts w:hint="eastAsia"/>
          <w:b/>
          <w:bCs/>
          <w:sz w:val="21"/>
          <w:szCs w:val="21"/>
        </w:rPr>
        <w:t>(79)华鑫证券有限责任公司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6132"/>
      </w:tblGrid>
      <w:tr w14:paraId="21C89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444F5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B0B7A25">
            <w:pPr>
              <w:rPr>
                <w:rFonts w:ascii="宋体" w:hAnsi="宋体" w:eastAsia="宋体" w:cs="宋体"/>
                <w:sz w:val="24"/>
                <w:szCs w:val="24"/>
              </w:rPr>
            </w:pPr>
            <w:r>
              <w:rPr>
                <w:rFonts w:hint="eastAsia" w:ascii="宋体" w:hAnsi="宋体" w:eastAsia="宋体"/>
              </w:rPr>
              <w:t xml:space="preserve">深圳市福田区莲花街道福中社区深南大道2008号中国凤凰大厦1栋20C-1房 </w:t>
            </w:r>
          </w:p>
        </w:tc>
      </w:tr>
      <w:tr w14:paraId="1D709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D0A15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BCDE1C6">
            <w:pPr>
              <w:rPr>
                <w:rFonts w:ascii="宋体" w:hAnsi="宋体" w:eastAsia="宋体" w:cs="宋体"/>
                <w:sz w:val="24"/>
                <w:szCs w:val="24"/>
              </w:rPr>
            </w:pPr>
            <w:r>
              <w:rPr>
                <w:rFonts w:hint="eastAsia" w:ascii="宋体" w:hAnsi="宋体" w:eastAsia="宋体"/>
              </w:rPr>
              <w:t xml:space="preserve">上海市黄浦区福州路666号6楼 </w:t>
            </w:r>
          </w:p>
        </w:tc>
      </w:tr>
      <w:tr w14:paraId="4CB0A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C04D3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415DA50">
            <w:pPr>
              <w:rPr>
                <w:rFonts w:ascii="宋体" w:hAnsi="宋体" w:eastAsia="宋体" w:cs="宋体"/>
                <w:sz w:val="24"/>
                <w:szCs w:val="24"/>
              </w:rPr>
            </w:pPr>
            <w:r>
              <w:rPr>
                <w:rFonts w:hint="eastAsia" w:ascii="宋体" w:hAnsi="宋体" w:eastAsia="宋体"/>
              </w:rPr>
              <w:t xml:space="preserve">俞洋 </w:t>
            </w:r>
          </w:p>
        </w:tc>
      </w:tr>
      <w:tr w14:paraId="46827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263A6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53E55D8">
            <w:pPr>
              <w:rPr>
                <w:rFonts w:ascii="宋体" w:hAnsi="宋体" w:eastAsia="宋体" w:cs="宋体"/>
                <w:sz w:val="24"/>
                <w:szCs w:val="24"/>
              </w:rPr>
            </w:pPr>
            <w:r>
              <w:rPr>
                <w:rFonts w:hint="eastAsia" w:ascii="宋体" w:hAnsi="宋体" w:eastAsia="宋体"/>
              </w:rPr>
              <w:t xml:space="preserve">刘熠 </w:t>
            </w:r>
          </w:p>
        </w:tc>
      </w:tr>
      <w:tr w14:paraId="18936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70CC2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371DE51">
            <w:pPr>
              <w:rPr>
                <w:rFonts w:ascii="宋体" w:hAnsi="宋体" w:eastAsia="宋体" w:cs="宋体"/>
                <w:sz w:val="24"/>
                <w:szCs w:val="24"/>
              </w:rPr>
            </w:pPr>
            <w:r>
              <w:rPr>
                <w:rFonts w:hint="eastAsia" w:ascii="宋体" w:hAnsi="宋体" w:eastAsia="宋体"/>
              </w:rPr>
              <w:t xml:space="preserve">021-54967656 </w:t>
            </w:r>
          </w:p>
        </w:tc>
      </w:tr>
      <w:tr w14:paraId="73EDC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A5320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6752FE3">
            <w:pPr>
              <w:rPr>
                <w:rFonts w:ascii="宋体" w:hAnsi="宋体" w:eastAsia="宋体" w:cs="宋体"/>
                <w:sz w:val="24"/>
                <w:szCs w:val="24"/>
              </w:rPr>
            </w:pPr>
            <w:r>
              <w:rPr>
                <w:rFonts w:hint="eastAsia" w:ascii="宋体" w:hAnsi="宋体" w:eastAsia="宋体"/>
              </w:rPr>
              <w:t xml:space="preserve">021-64333051 </w:t>
            </w:r>
          </w:p>
        </w:tc>
      </w:tr>
      <w:tr w14:paraId="101FF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11A6B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E1B51B3">
            <w:pPr>
              <w:rPr>
                <w:rFonts w:ascii="宋体" w:hAnsi="宋体" w:eastAsia="宋体" w:cs="宋体"/>
                <w:sz w:val="24"/>
                <w:szCs w:val="24"/>
              </w:rPr>
            </w:pPr>
            <w:r>
              <w:rPr>
                <w:rFonts w:hint="eastAsia" w:ascii="宋体" w:hAnsi="宋体" w:eastAsia="宋体"/>
              </w:rPr>
              <w:t xml:space="preserve">95323,021-32109999,029-68918888 </w:t>
            </w:r>
          </w:p>
        </w:tc>
      </w:tr>
      <w:tr w14:paraId="59E11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F9CE1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18741F3">
            <w:pPr>
              <w:rPr>
                <w:rFonts w:ascii="宋体" w:hAnsi="宋体" w:eastAsia="宋体" w:cs="宋体"/>
                <w:sz w:val="24"/>
                <w:szCs w:val="24"/>
              </w:rPr>
            </w:pPr>
            <w:r>
              <w:rPr>
                <w:rFonts w:hint="eastAsia" w:ascii="宋体" w:hAnsi="宋体" w:eastAsia="宋体"/>
              </w:rPr>
              <w:t xml:space="preserve">http://www.cfsc.com.cn </w:t>
            </w:r>
          </w:p>
        </w:tc>
      </w:tr>
    </w:tbl>
    <w:p w14:paraId="202988F6">
      <w:pPr>
        <w:pStyle w:val="7"/>
        <w:spacing w:before="0" w:beforeAutospacing="0" w:after="0" w:afterAutospacing="0" w:line="360" w:lineRule="auto"/>
        <w:ind w:firstLine="420"/>
        <w:rPr>
          <w:sz w:val="21"/>
          <w:szCs w:val="21"/>
        </w:rPr>
      </w:pPr>
      <w:r>
        <w:rPr>
          <w:rFonts w:hint="eastAsia"/>
          <w:b/>
          <w:bCs/>
          <w:sz w:val="21"/>
          <w:szCs w:val="21"/>
        </w:rPr>
        <w:t>(80)中国中金财富证券有限公司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616D6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13242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A250314">
            <w:pPr>
              <w:rPr>
                <w:rFonts w:ascii="宋体" w:hAnsi="宋体" w:eastAsia="宋体" w:cs="宋体"/>
                <w:sz w:val="24"/>
                <w:szCs w:val="24"/>
              </w:rPr>
            </w:pPr>
            <w:r>
              <w:rPr>
                <w:rFonts w:hint="eastAsia" w:ascii="宋体" w:hAnsi="宋体" w:eastAsia="宋体"/>
              </w:rPr>
              <w:t xml:space="preserve">深圳市南山区粤海街道海珠社区科苑南路2666号中国华润大厦L4601-4608 </w:t>
            </w:r>
          </w:p>
        </w:tc>
      </w:tr>
      <w:tr w14:paraId="7B229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14609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A442E90">
            <w:pPr>
              <w:rPr>
                <w:rFonts w:ascii="宋体" w:hAnsi="宋体" w:eastAsia="宋体" w:cs="宋体"/>
                <w:sz w:val="24"/>
                <w:szCs w:val="24"/>
              </w:rPr>
            </w:pPr>
            <w:r>
              <w:rPr>
                <w:rFonts w:hint="eastAsia" w:ascii="宋体" w:hAnsi="宋体" w:eastAsia="宋体"/>
              </w:rPr>
              <w:t xml:space="preserve">深圳市福田区益田路与福中路交界处荣超商务中心A栋第18-21层及第04层 </w:t>
            </w:r>
          </w:p>
        </w:tc>
      </w:tr>
      <w:tr w14:paraId="18531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F165C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816E6A0">
            <w:pPr>
              <w:rPr>
                <w:rFonts w:ascii="宋体" w:hAnsi="宋体" w:eastAsia="宋体" w:cs="宋体"/>
                <w:sz w:val="24"/>
                <w:szCs w:val="24"/>
              </w:rPr>
            </w:pPr>
            <w:r>
              <w:rPr>
                <w:rFonts w:hint="eastAsia" w:ascii="宋体" w:hAnsi="宋体" w:eastAsia="宋体"/>
              </w:rPr>
              <w:t xml:space="preserve">高涛 </w:t>
            </w:r>
          </w:p>
        </w:tc>
      </w:tr>
      <w:tr w14:paraId="3859A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82866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FF94698">
            <w:pPr>
              <w:rPr>
                <w:rFonts w:ascii="宋体" w:hAnsi="宋体" w:eastAsia="宋体" w:cs="宋体"/>
                <w:sz w:val="24"/>
                <w:szCs w:val="24"/>
              </w:rPr>
            </w:pPr>
            <w:r>
              <w:rPr>
                <w:rFonts w:hint="eastAsia" w:ascii="宋体" w:hAnsi="宋体" w:eastAsia="宋体"/>
              </w:rPr>
              <w:t xml:space="preserve">万玉琳 </w:t>
            </w:r>
          </w:p>
        </w:tc>
      </w:tr>
      <w:tr w14:paraId="28BF6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41B06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9122C25">
            <w:pPr>
              <w:rPr>
                <w:rFonts w:ascii="宋体" w:hAnsi="宋体" w:eastAsia="宋体" w:cs="宋体"/>
                <w:sz w:val="24"/>
                <w:szCs w:val="24"/>
              </w:rPr>
            </w:pPr>
            <w:r>
              <w:rPr>
                <w:rFonts w:hint="eastAsia" w:ascii="宋体" w:hAnsi="宋体" w:eastAsia="宋体"/>
              </w:rPr>
              <w:t xml:space="preserve">0755-82026907 </w:t>
            </w:r>
          </w:p>
        </w:tc>
      </w:tr>
      <w:tr w14:paraId="039DF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59640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C08DE00">
            <w:pPr>
              <w:rPr>
                <w:rFonts w:ascii="宋体" w:hAnsi="宋体" w:eastAsia="宋体" w:cs="宋体"/>
                <w:sz w:val="24"/>
                <w:szCs w:val="24"/>
              </w:rPr>
            </w:pPr>
            <w:r>
              <w:rPr>
                <w:rFonts w:hint="eastAsia" w:ascii="宋体" w:hAnsi="宋体" w:eastAsia="宋体"/>
              </w:rPr>
              <w:t xml:space="preserve">0755-82026539 </w:t>
            </w:r>
          </w:p>
        </w:tc>
      </w:tr>
      <w:tr w14:paraId="27809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B85F2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F372562">
            <w:pPr>
              <w:rPr>
                <w:rFonts w:ascii="宋体" w:hAnsi="宋体" w:eastAsia="宋体" w:cs="宋体"/>
                <w:sz w:val="24"/>
                <w:szCs w:val="24"/>
              </w:rPr>
            </w:pPr>
            <w:r>
              <w:rPr>
                <w:rFonts w:hint="eastAsia" w:ascii="宋体" w:hAnsi="宋体" w:eastAsia="宋体"/>
              </w:rPr>
              <w:t xml:space="preserve">4006008008/95532 </w:t>
            </w:r>
          </w:p>
        </w:tc>
      </w:tr>
      <w:tr w14:paraId="7B780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8D8F4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0A9D134">
            <w:pPr>
              <w:rPr>
                <w:rFonts w:ascii="宋体" w:hAnsi="宋体" w:eastAsia="宋体" w:cs="宋体"/>
                <w:sz w:val="24"/>
                <w:szCs w:val="24"/>
              </w:rPr>
            </w:pPr>
            <w:r>
              <w:rPr>
                <w:rFonts w:hint="eastAsia" w:ascii="宋体" w:hAnsi="宋体" w:eastAsia="宋体"/>
              </w:rPr>
              <w:t xml:space="preserve">http://www.china-invs.cn/ </w:t>
            </w:r>
          </w:p>
        </w:tc>
      </w:tr>
    </w:tbl>
    <w:p w14:paraId="50FE00FA">
      <w:pPr>
        <w:pStyle w:val="7"/>
        <w:spacing w:before="0" w:beforeAutospacing="0" w:after="0" w:afterAutospacing="0" w:line="360" w:lineRule="auto"/>
        <w:ind w:firstLine="420"/>
        <w:rPr>
          <w:sz w:val="21"/>
          <w:szCs w:val="21"/>
        </w:rPr>
      </w:pPr>
      <w:r>
        <w:rPr>
          <w:rFonts w:hint="eastAsia"/>
          <w:b/>
          <w:bCs/>
          <w:sz w:val="21"/>
          <w:szCs w:val="21"/>
        </w:rPr>
        <w:t>(81)粤开证券股份有限公司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0F1BB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25B7C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E21FD2C">
            <w:pPr>
              <w:rPr>
                <w:rFonts w:ascii="宋体" w:hAnsi="宋体" w:eastAsia="宋体" w:cs="宋体"/>
                <w:sz w:val="24"/>
                <w:szCs w:val="24"/>
              </w:rPr>
            </w:pPr>
            <w:r>
              <w:rPr>
                <w:rFonts w:hint="eastAsia" w:ascii="宋体" w:hAnsi="宋体" w:eastAsia="宋体"/>
              </w:rPr>
              <w:t xml:space="preserve">广州市黄埔区科学大道60号开发区控股中心19、21、22、23层 </w:t>
            </w:r>
          </w:p>
        </w:tc>
      </w:tr>
      <w:tr w14:paraId="57471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D872C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63A5C5E">
            <w:pPr>
              <w:rPr>
                <w:rFonts w:ascii="宋体" w:hAnsi="宋体" w:eastAsia="宋体" w:cs="宋体"/>
                <w:sz w:val="24"/>
                <w:szCs w:val="24"/>
              </w:rPr>
            </w:pPr>
            <w:r>
              <w:rPr>
                <w:rFonts w:hint="eastAsia" w:ascii="宋体" w:hAnsi="宋体" w:eastAsia="宋体"/>
              </w:rPr>
              <w:t xml:space="preserve">广州市黄埔区科学大道60号开发区控股中心19、21、22、23层 </w:t>
            </w:r>
          </w:p>
        </w:tc>
      </w:tr>
      <w:tr w14:paraId="5A6F2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2A7AA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4414B64">
            <w:pPr>
              <w:rPr>
                <w:rFonts w:ascii="宋体" w:hAnsi="宋体" w:eastAsia="宋体" w:cs="宋体"/>
                <w:sz w:val="24"/>
                <w:szCs w:val="24"/>
              </w:rPr>
            </w:pPr>
            <w:r>
              <w:rPr>
                <w:rFonts w:hint="eastAsia" w:ascii="宋体" w:hAnsi="宋体" w:eastAsia="宋体"/>
              </w:rPr>
              <w:t xml:space="preserve">郭川舟 </w:t>
            </w:r>
          </w:p>
        </w:tc>
      </w:tr>
      <w:tr w14:paraId="22EE2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A35DC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BE48868">
            <w:pPr>
              <w:rPr>
                <w:rFonts w:ascii="宋体" w:hAnsi="宋体" w:eastAsia="宋体" w:cs="宋体"/>
                <w:sz w:val="24"/>
                <w:szCs w:val="24"/>
              </w:rPr>
            </w:pPr>
            <w:r>
              <w:rPr>
                <w:rFonts w:hint="eastAsia" w:ascii="宋体" w:hAnsi="宋体" w:eastAsia="宋体"/>
              </w:rPr>
              <w:t xml:space="preserve">彭莲 </w:t>
            </w:r>
          </w:p>
        </w:tc>
      </w:tr>
      <w:tr w14:paraId="293A5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394E8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1EEB992">
            <w:pPr>
              <w:rPr>
                <w:rFonts w:ascii="宋体" w:hAnsi="宋体" w:eastAsia="宋体" w:cs="宋体"/>
                <w:sz w:val="24"/>
                <w:szCs w:val="24"/>
              </w:rPr>
            </w:pPr>
            <w:r>
              <w:rPr>
                <w:rFonts w:hint="eastAsia" w:ascii="宋体" w:hAnsi="宋体" w:eastAsia="宋体"/>
              </w:rPr>
              <w:t xml:space="preserve">0755-83331195 </w:t>
            </w:r>
          </w:p>
        </w:tc>
      </w:tr>
      <w:tr w14:paraId="1F6FA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921F7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ED4584F">
            <w:pPr>
              <w:rPr>
                <w:rFonts w:ascii="宋体" w:hAnsi="宋体" w:eastAsia="宋体" w:cs="宋体"/>
                <w:sz w:val="24"/>
                <w:szCs w:val="24"/>
              </w:rPr>
            </w:pPr>
            <w:r>
              <w:rPr>
                <w:rFonts w:hint="eastAsia" w:ascii="宋体" w:hAnsi="宋体" w:eastAsia="宋体"/>
              </w:rPr>
              <w:t xml:space="preserve">95564 </w:t>
            </w:r>
          </w:p>
        </w:tc>
      </w:tr>
      <w:tr w14:paraId="3C7FD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39608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D963C64">
            <w:pPr>
              <w:rPr>
                <w:rFonts w:ascii="宋体" w:hAnsi="宋体" w:eastAsia="宋体" w:cs="宋体"/>
                <w:sz w:val="24"/>
                <w:szCs w:val="24"/>
              </w:rPr>
            </w:pPr>
            <w:r>
              <w:rPr>
                <w:rFonts w:hint="eastAsia" w:ascii="宋体" w:hAnsi="宋体" w:eastAsia="宋体"/>
              </w:rPr>
              <w:t xml:space="preserve">http://www.ykzq.com </w:t>
            </w:r>
          </w:p>
        </w:tc>
      </w:tr>
    </w:tbl>
    <w:p w14:paraId="28B96ACF">
      <w:pPr>
        <w:pStyle w:val="7"/>
        <w:spacing w:before="0" w:beforeAutospacing="0" w:after="0" w:afterAutospacing="0" w:line="360" w:lineRule="auto"/>
        <w:ind w:firstLine="420"/>
        <w:rPr>
          <w:sz w:val="21"/>
          <w:szCs w:val="21"/>
        </w:rPr>
      </w:pPr>
      <w:r>
        <w:rPr>
          <w:rFonts w:hint="eastAsia"/>
          <w:b/>
          <w:bCs/>
          <w:sz w:val="21"/>
          <w:szCs w:val="21"/>
        </w:rPr>
        <w:t>(82)国金证券股份有限公司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D24D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41D5D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04F8683">
            <w:pPr>
              <w:rPr>
                <w:rFonts w:ascii="宋体" w:hAnsi="宋体" w:eastAsia="宋体" w:cs="宋体"/>
                <w:sz w:val="24"/>
                <w:szCs w:val="24"/>
              </w:rPr>
            </w:pPr>
            <w:r>
              <w:rPr>
                <w:rFonts w:hint="eastAsia" w:ascii="宋体" w:hAnsi="宋体" w:eastAsia="宋体"/>
              </w:rPr>
              <w:t xml:space="preserve">四川省成都市东城根上街95号 </w:t>
            </w:r>
          </w:p>
        </w:tc>
      </w:tr>
      <w:tr w14:paraId="695F9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C9EDD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285CB9F">
            <w:pPr>
              <w:rPr>
                <w:rFonts w:ascii="宋体" w:hAnsi="宋体" w:eastAsia="宋体" w:cs="宋体"/>
                <w:sz w:val="24"/>
                <w:szCs w:val="24"/>
              </w:rPr>
            </w:pPr>
            <w:r>
              <w:rPr>
                <w:rFonts w:hint="eastAsia" w:ascii="宋体" w:hAnsi="宋体" w:eastAsia="宋体"/>
              </w:rPr>
              <w:t xml:space="preserve">四川省成都市东城根上街95号 </w:t>
            </w:r>
          </w:p>
        </w:tc>
      </w:tr>
      <w:tr w14:paraId="25426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F4CA7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579B130">
            <w:pPr>
              <w:rPr>
                <w:rFonts w:ascii="宋体" w:hAnsi="宋体" w:eastAsia="宋体" w:cs="宋体"/>
                <w:sz w:val="24"/>
                <w:szCs w:val="24"/>
              </w:rPr>
            </w:pPr>
            <w:r>
              <w:rPr>
                <w:rFonts w:hint="eastAsia" w:ascii="宋体" w:hAnsi="宋体" w:eastAsia="宋体"/>
              </w:rPr>
              <w:t xml:space="preserve">冉云 </w:t>
            </w:r>
          </w:p>
        </w:tc>
      </w:tr>
      <w:tr w14:paraId="1B6D9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85E25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5A72552">
            <w:pPr>
              <w:rPr>
                <w:rFonts w:ascii="宋体" w:hAnsi="宋体" w:eastAsia="宋体" w:cs="宋体"/>
                <w:sz w:val="24"/>
                <w:szCs w:val="24"/>
              </w:rPr>
            </w:pPr>
            <w:r>
              <w:rPr>
                <w:rFonts w:hint="eastAsia" w:ascii="宋体" w:hAnsi="宋体" w:eastAsia="宋体"/>
              </w:rPr>
              <w:t xml:space="preserve">贾鹏 </w:t>
            </w:r>
          </w:p>
        </w:tc>
      </w:tr>
      <w:tr w14:paraId="280FE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E21E2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62374D3">
            <w:pPr>
              <w:rPr>
                <w:rFonts w:ascii="宋体" w:hAnsi="宋体" w:eastAsia="宋体" w:cs="宋体"/>
                <w:sz w:val="24"/>
                <w:szCs w:val="24"/>
              </w:rPr>
            </w:pPr>
            <w:r>
              <w:rPr>
                <w:rFonts w:hint="eastAsia" w:ascii="宋体" w:hAnsi="宋体" w:eastAsia="宋体"/>
              </w:rPr>
              <w:t xml:space="preserve">028-86690057、028-86690058 </w:t>
            </w:r>
          </w:p>
        </w:tc>
      </w:tr>
      <w:tr w14:paraId="4C459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CBA82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FEF2F28">
            <w:pPr>
              <w:rPr>
                <w:rFonts w:ascii="宋体" w:hAnsi="宋体" w:eastAsia="宋体" w:cs="宋体"/>
                <w:sz w:val="24"/>
                <w:szCs w:val="24"/>
              </w:rPr>
            </w:pPr>
            <w:r>
              <w:rPr>
                <w:rFonts w:hint="eastAsia" w:ascii="宋体" w:hAnsi="宋体" w:eastAsia="宋体"/>
              </w:rPr>
              <w:t xml:space="preserve">028-86690126 </w:t>
            </w:r>
          </w:p>
        </w:tc>
      </w:tr>
      <w:tr w14:paraId="2CE9A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D1E94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E934FAB">
            <w:pPr>
              <w:rPr>
                <w:rFonts w:ascii="宋体" w:hAnsi="宋体" w:eastAsia="宋体" w:cs="宋体"/>
                <w:sz w:val="24"/>
                <w:szCs w:val="24"/>
              </w:rPr>
            </w:pPr>
            <w:r>
              <w:rPr>
                <w:rFonts w:hint="eastAsia" w:ascii="宋体" w:hAnsi="宋体" w:eastAsia="宋体"/>
              </w:rPr>
              <w:t xml:space="preserve">4006-600109/95310 </w:t>
            </w:r>
          </w:p>
        </w:tc>
      </w:tr>
      <w:tr w14:paraId="41D07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400AB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059E4FD">
            <w:pPr>
              <w:rPr>
                <w:rFonts w:ascii="宋体" w:hAnsi="宋体" w:eastAsia="宋体" w:cs="宋体"/>
                <w:sz w:val="24"/>
                <w:szCs w:val="24"/>
              </w:rPr>
            </w:pPr>
            <w:r>
              <w:rPr>
                <w:rFonts w:hint="eastAsia" w:ascii="宋体" w:hAnsi="宋体" w:eastAsia="宋体"/>
              </w:rPr>
              <w:t xml:space="preserve">http://www.gjzq.com.cn </w:t>
            </w:r>
          </w:p>
        </w:tc>
      </w:tr>
    </w:tbl>
    <w:p w14:paraId="1C85DC7C">
      <w:pPr>
        <w:pStyle w:val="7"/>
        <w:spacing w:before="0" w:beforeAutospacing="0" w:after="0" w:afterAutospacing="0" w:line="360" w:lineRule="auto"/>
        <w:ind w:firstLine="420"/>
        <w:rPr>
          <w:sz w:val="21"/>
          <w:szCs w:val="21"/>
        </w:rPr>
      </w:pPr>
      <w:r>
        <w:rPr>
          <w:rFonts w:hint="eastAsia"/>
          <w:b/>
          <w:bCs/>
          <w:sz w:val="21"/>
          <w:szCs w:val="21"/>
        </w:rPr>
        <w:t>(83)华宝证券股份有限公司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B0A5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53B79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1544E7F">
            <w:pPr>
              <w:rPr>
                <w:rFonts w:ascii="宋体" w:hAnsi="宋体" w:eastAsia="宋体" w:cs="宋体"/>
                <w:sz w:val="24"/>
                <w:szCs w:val="24"/>
              </w:rPr>
            </w:pPr>
            <w:r>
              <w:rPr>
                <w:rFonts w:hint="eastAsia" w:ascii="宋体" w:hAnsi="宋体" w:eastAsia="宋体"/>
              </w:rPr>
              <w:t xml:space="preserve">上海市浦东新区世纪大道100号上海环球金融中心57楼 </w:t>
            </w:r>
          </w:p>
        </w:tc>
      </w:tr>
      <w:tr w14:paraId="358C9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95D27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B63C5FF">
            <w:pPr>
              <w:rPr>
                <w:rFonts w:ascii="宋体" w:hAnsi="宋体" w:eastAsia="宋体" w:cs="宋体"/>
                <w:sz w:val="24"/>
                <w:szCs w:val="24"/>
              </w:rPr>
            </w:pPr>
            <w:r>
              <w:rPr>
                <w:rFonts w:hint="eastAsia" w:ascii="宋体" w:hAnsi="宋体" w:eastAsia="宋体"/>
              </w:rPr>
              <w:t xml:space="preserve">上海市浦东新区世纪大道100号上海环球金融中心57楼 </w:t>
            </w:r>
          </w:p>
        </w:tc>
      </w:tr>
      <w:tr w14:paraId="05C13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F54AD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E7AAC60">
            <w:pPr>
              <w:rPr>
                <w:rFonts w:ascii="宋体" w:hAnsi="宋体" w:eastAsia="宋体" w:cs="宋体"/>
                <w:sz w:val="24"/>
                <w:szCs w:val="24"/>
              </w:rPr>
            </w:pPr>
            <w:r>
              <w:rPr>
                <w:rFonts w:hint="eastAsia" w:ascii="宋体" w:hAnsi="宋体" w:eastAsia="宋体"/>
              </w:rPr>
              <w:t xml:space="preserve">刘加海 </w:t>
            </w:r>
          </w:p>
        </w:tc>
      </w:tr>
      <w:tr w14:paraId="1400F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2DC29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A071C79">
            <w:pPr>
              <w:rPr>
                <w:rFonts w:ascii="宋体" w:hAnsi="宋体" w:eastAsia="宋体" w:cs="宋体"/>
                <w:sz w:val="24"/>
                <w:szCs w:val="24"/>
              </w:rPr>
            </w:pPr>
            <w:r>
              <w:rPr>
                <w:rFonts w:hint="eastAsia" w:ascii="宋体" w:hAnsi="宋体" w:eastAsia="宋体"/>
              </w:rPr>
              <w:t xml:space="preserve">刘闻川 </w:t>
            </w:r>
          </w:p>
        </w:tc>
      </w:tr>
      <w:tr w14:paraId="1D483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6847E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2F426C7">
            <w:pPr>
              <w:rPr>
                <w:rFonts w:ascii="宋体" w:hAnsi="宋体" w:eastAsia="宋体" w:cs="宋体"/>
                <w:sz w:val="24"/>
                <w:szCs w:val="24"/>
              </w:rPr>
            </w:pPr>
            <w:r>
              <w:rPr>
                <w:rFonts w:hint="eastAsia" w:ascii="宋体" w:hAnsi="宋体" w:eastAsia="宋体"/>
              </w:rPr>
              <w:t xml:space="preserve">021-68777222   </w:t>
            </w:r>
          </w:p>
        </w:tc>
      </w:tr>
      <w:tr w14:paraId="2712E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CB5A1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399ABB6">
            <w:pPr>
              <w:rPr>
                <w:rFonts w:ascii="宋体" w:hAnsi="宋体" w:eastAsia="宋体" w:cs="宋体"/>
                <w:sz w:val="24"/>
                <w:szCs w:val="24"/>
              </w:rPr>
            </w:pPr>
            <w:r>
              <w:rPr>
                <w:rFonts w:hint="eastAsia" w:ascii="宋体" w:hAnsi="宋体" w:eastAsia="宋体"/>
              </w:rPr>
              <w:t xml:space="preserve">021－68777822 </w:t>
            </w:r>
          </w:p>
        </w:tc>
      </w:tr>
      <w:tr w14:paraId="1D88B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B55B7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4F36107">
            <w:pPr>
              <w:rPr>
                <w:rFonts w:ascii="宋体" w:hAnsi="宋体" w:eastAsia="宋体" w:cs="宋体"/>
                <w:sz w:val="24"/>
                <w:szCs w:val="24"/>
              </w:rPr>
            </w:pPr>
            <w:r>
              <w:rPr>
                <w:rFonts w:hint="eastAsia" w:ascii="宋体" w:hAnsi="宋体" w:eastAsia="宋体"/>
              </w:rPr>
              <w:t xml:space="preserve">4008209898;021-38929908 </w:t>
            </w:r>
          </w:p>
        </w:tc>
      </w:tr>
      <w:tr w14:paraId="3F9D8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367BE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13DB90C">
            <w:pPr>
              <w:rPr>
                <w:rFonts w:ascii="宋体" w:hAnsi="宋体" w:eastAsia="宋体" w:cs="宋体"/>
                <w:sz w:val="24"/>
                <w:szCs w:val="24"/>
              </w:rPr>
            </w:pPr>
            <w:r>
              <w:rPr>
                <w:rFonts w:hint="eastAsia" w:ascii="宋体" w:hAnsi="宋体" w:eastAsia="宋体"/>
              </w:rPr>
              <w:t xml:space="preserve">http://www.cnhbstock.com </w:t>
            </w:r>
          </w:p>
        </w:tc>
      </w:tr>
    </w:tbl>
    <w:p w14:paraId="69DE4800">
      <w:pPr>
        <w:pStyle w:val="7"/>
        <w:spacing w:before="0" w:beforeAutospacing="0" w:after="0" w:afterAutospacing="0" w:line="360" w:lineRule="auto"/>
        <w:ind w:firstLine="420"/>
        <w:rPr>
          <w:sz w:val="21"/>
          <w:szCs w:val="21"/>
        </w:rPr>
      </w:pPr>
      <w:r>
        <w:rPr>
          <w:rFonts w:hint="eastAsia"/>
          <w:b/>
          <w:bCs/>
          <w:sz w:val="21"/>
          <w:szCs w:val="21"/>
        </w:rPr>
        <w:t>(84)长城国瑞证券有限公司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64711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553CD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95417BE">
            <w:pPr>
              <w:rPr>
                <w:rFonts w:ascii="宋体" w:hAnsi="宋体" w:eastAsia="宋体" w:cs="宋体"/>
                <w:sz w:val="24"/>
                <w:szCs w:val="24"/>
              </w:rPr>
            </w:pPr>
            <w:r>
              <w:rPr>
                <w:rFonts w:hint="eastAsia" w:ascii="宋体" w:hAnsi="宋体" w:eastAsia="宋体"/>
              </w:rPr>
              <w:t xml:space="preserve">厦门市思明区深田路46号深田国际大厦20楼 </w:t>
            </w:r>
          </w:p>
        </w:tc>
      </w:tr>
      <w:tr w14:paraId="2D674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9435A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EE45E6F">
            <w:pPr>
              <w:rPr>
                <w:rFonts w:ascii="宋体" w:hAnsi="宋体" w:eastAsia="宋体" w:cs="宋体"/>
                <w:sz w:val="24"/>
                <w:szCs w:val="24"/>
              </w:rPr>
            </w:pPr>
            <w:r>
              <w:rPr>
                <w:rFonts w:hint="eastAsia" w:ascii="宋体" w:hAnsi="宋体" w:eastAsia="宋体"/>
              </w:rPr>
              <w:t xml:space="preserve">厦门市思明区深田路46号深田国际大厦20楼 </w:t>
            </w:r>
          </w:p>
        </w:tc>
      </w:tr>
      <w:tr w14:paraId="7218B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0E177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1B6C22">
            <w:pPr>
              <w:rPr>
                <w:rFonts w:ascii="宋体" w:hAnsi="宋体" w:eastAsia="宋体" w:cs="宋体"/>
                <w:sz w:val="24"/>
                <w:szCs w:val="24"/>
              </w:rPr>
            </w:pPr>
            <w:r>
              <w:rPr>
                <w:rFonts w:hint="eastAsia" w:ascii="宋体" w:hAnsi="宋体" w:eastAsia="宋体"/>
              </w:rPr>
              <w:t xml:space="preserve">李鹏 </w:t>
            </w:r>
          </w:p>
        </w:tc>
      </w:tr>
      <w:tr w14:paraId="155E0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80AFB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A94364B">
            <w:pPr>
              <w:rPr>
                <w:rFonts w:ascii="宋体" w:hAnsi="宋体" w:eastAsia="宋体" w:cs="宋体"/>
                <w:sz w:val="24"/>
                <w:szCs w:val="24"/>
              </w:rPr>
            </w:pPr>
            <w:r>
              <w:rPr>
                <w:rFonts w:hint="eastAsia" w:ascii="宋体" w:hAnsi="宋体" w:eastAsia="宋体"/>
              </w:rPr>
              <w:t xml:space="preserve">布前 </w:t>
            </w:r>
          </w:p>
        </w:tc>
      </w:tr>
      <w:tr w14:paraId="62D5A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6918D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31CF9AD">
            <w:pPr>
              <w:rPr>
                <w:rFonts w:ascii="宋体" w:hAnsi="宋体" w:eastAsia="宋体" w:cs="宋体"/>
                <w:sz w:val="24"/>
                <w:szCs w:val="24"/>
              </w:rPr>
            </w:pPr>
            <w:r>
              <w:rPr>
                <w:rFonts w:hint="eastAsia" w:ascii="宋体" w:hAnsi="宋体" w:eastAsia="宋体"/>
              </w:rPr>
              <w:t xml:space="preserve">010-68080680 </w:t>
            </w:r>
          </w:p>
        </w:tc>
      </w:tr>
      <w:tr w14:paraId="08C18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30EC8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A954E34">
            <w:pPr>
              <w:rPr>
                <w:rFonts w:ascii="宋体" w:hAnsi="宋体" w:eastAsia="宋体" w:cs="宋体"/>
                <w:sz w:val="24"/>
                <w:szCs w:val="24"/>
              </w:rPr>
            </w:pPr>
            <w:r>
              <w:rPr>
                <w:rFonts w:hint="eastAsia" w:ascii="宋体" w:hAnsi="宋体" w:eastAsia="宋体"/>
              </w:rPr>
              <w:t xml:space="preserve">0592-2079228 </w:t>
            </w:r>
          </w:p>
        </w:tc>
      </w:tr>
      <w:tr w14:paraId="60063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6978D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8BBFFDB">
            <w:pPr>
              <w:rPr>
                <w:rFonts w:ascii="宋体" w:hAnsi="宋体" w:eastAsia="宋体" w:cs="宋体"/>
                <w:sz w:val="24"/>
                <w:szCs w:val="24"/>
              </w:rPr>
            </w:pPr>
            <w:r>
              <w:rPr>
                <w:rFonts w:hint="eastAsia" w:ascii="宋体" w:hAnsi="宋体" w:eastAsia="宋体"/>
              </w:rPr>
              <w:t xml:space="preserve">0592-5163588 </w:t>
            </w:r>
          </w:p>
        </w:tc>
      </w:tr>
      <w:tr w14:paraId="5D018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0DE07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EFB32BA">
            <w:pPr>
              <w:rPr>
                <w:rFonts w:ascii="宋体" w:hAnsi="宋体" w:eastAsia="宋体" w:cs="宋体"/>
                <w:sz w:val="24"/>
                <w:szCs w:val="24"/>
              </w:rPr>
            </w:pPr>
            <w:r>
              <w:rPr>
                <w:rFonts w:hint="eastAsia" w:ascii="宋体" w:hAnsi="宋体" w:eastAsia="宋体"/>
              </w:rPr>
              <w:t xml:space="preserve">http://www.xmzq.cn </w:t>
            </w:r>
          </w:p>
        </w:tc>
      </w:tr>
    </w:tbl>
    <w:p w14:paraId="43CE890A">
      <w:pPr>
        <w:pStyle w:val="7"/>
        <w:spacing w:before="0" w:beforeAutospacing="0" w:after="0" w:afterAutospacing="0" w:line="360" w:lineRule="auto"/>
        <w:ind w:firstLine="420"/>
        <w:rPr>
          <w:sz w:val="21"/>
          <w:szCs w:val="21"/>
        </w:rPr>
      </w:pPr>
      <w:r>
        <w:rPr>
          <w:rFonts w:hint="eastAsia"/>
          <w:b/>
          <w:bCs/>
          <w:sz w:val="21"/>
          <w:szCs w:val="21"/>
        </w:rPr>
        <w:t>(85)爱建证券有限责任公司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19600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9FFA8B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88841B3">
            <w:pPr>
              <w:rPr>
                <w:rFonts w:ascii="宋体" w:hAnsi="宋体" w:eastAsia="宋体" w:cs="宋体"/>
                <w:sz w:val="24"/>
                <w:szCs w:val="24"/>
              </w:rPr>
            </w:pPr>
            <w:r>
              <w:rPr>
                <w:rFonts w:hint="eastAsia" w:ascii="宋体" w:hAnsi="宋体" w:eastAsia="宋体"/>
              </w:rPr>
              <w:t xml:space="preserve">中国（上海）自由贸易试验区世纪大道1600号1幢32楼 </w:t>
            </w:r>
          </w:p>
        </w:tc>
      </w:tr>
      <w:tr w14:paraId="7E1EC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D52B9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D619170">
            <w:pPr>
              <w:rPr>
                <w:rFonts w:ascii="宋体" w:hAnsi="宋体" w:eastAsia="宋体" w:cs="宋体"/>
                <w:sz w:val="24"/>
                <w:szCs w:val="24"/>
              </w:rPr>
            </w:pPr>
            <w:r>
              <w:rPr>
                <w:rFonts w:hint="eastAsia" w:ascii="宋体" w:hAnsi="宋体" w:eastAsia="宋体"/>
              </w:rPr>
              <w:t xml:space="preserve">上海市浦东新区世纪大道1600号32楼 </w:t>
            </w:r>
          </w:p>
        </w:tc>
      </w:tr>
      <w:tr w14:paraId="645EA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2D550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37E7E06">
            <w:pPr>
              <w:rPr>
                <w:rFonts w:ascii="宋体" w:hAnsi="宋体" w:eastAsia="宋体" w:cs="宋体"/>
                <w:sz w:val="24"/>
                <w:szCs w:val="24"/>
              </w:rPr>
            </w:pPr>
            <w:r>
              <w:rPr>
                <w:rFonts w:hint="eastAsia" w:ascii="宋体" w:hAnsi="宋体" w:eastAsia="宋体"/>
              </w:rPr>
              <w:t xml:space="preserve">祝健 </w:t>
            </w:r>
          </w:p>
        </w:tc>
      </w:tr>
      <w:tr w14:paraId="7F871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4A053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3ED0249">
            <w:pPr>
              <w:rPr>
                <w:rFonts w:ascii="宋体" w:hAnsi="宋体" w:eastAsia="宋体" w:cs="宋体"/>
                <w:sz w:val="24"/>
                <w:szCs w:val="24"/>
              </w:rPr>
            </w:pPr>
            <w:r>
              <w:rPr>
                <w:rFonts w:hint="eastAsia" w:ascii="宋体" w:hAnsi="宋体" w:eastAsia="宋体"/>
              </w:rPr>
              <w:t xml:space="preserve">姚盛盛 </w:t>
            </w:r>
          </w:p>
        </w:tc>
      </w:tr>
      <w:tr w14:paraId="2F993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5D539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E710F48">
            <w:pPr>
              <w:rPr>
                <w:rFonts w:ascii="宋体" w:hAnsi="宋体" w:eastAsia="宋体" w:cs="宋体"/>
                <w:sz w:val="24"/>
                <w:szCs w:val="24"/>
              </w:rPr>
            </w:pPr>
            <w:r>
              <w:rPr>
                <w:rFonts w:hint="eastAsia" w:ascii="宋体" w:hAnsi="宋体" w:eastAsia="宋体"/>
              </w:rPr>
              <w:t xml:space="preserve">021-32229888 </w:t>
            </w:r>
          </w:p>
        </w:tc>
      </w:tr>
      <w:tr w14:paraId="4C970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DD98D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7FC55CE">
            <w:pPr>
              <w:rPr>
                <w:rFonts w:ascii="宋体" w:hAnsi="宋体" w:eastAsia="宋体" w:cs="宋体"/>
                <w:sz w:val="24"/>
                <w:szCs w:val="24"/>
              </w:rPr>
            </w:pPr>
            <w:r>
              <w:rPr>
                <w:rFonts w:hint="eastAsia" w:ascii="宋体" w:hAnsi="宋体" w:eastAsia="宋体"/>
              </w:rPr>
              <w:t xml:space="preserve">021- 68728703 </w:t>
            </w:r>
          </w:p>
        </w:tc>
      </w:tr>
      <w:tr w14:paraId="68BFE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0F9EB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F20E11A">
            <w:pPr>
              <w:rPr>
                <w:rFonts w:ascii="宋体" w:hAnsi="宋体" w:eastAsia="宋体" w:cs="宋体"/>
                <w:sz w:val="24"/>
                <w:szCs w:val="24"/>
              </w:rPr>
            </w:pPr>
            <w:r>
              <w:rPr>
                <w:rFonts w:hint="eastAsia" w:ascii="宋体" w:hAnsi="宋体" w:eastAsia="宋体"/>
              </w:rPr>
              <w:t xml:space="preserve">4001-962-502 </w:t>
            </w:r>
          </w:p>
        </w:tc>
      </w:tr>
      <w:tr w14:paraId="4B6AC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3F143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27A2D94">
            <w:pPr>
              <w:rPr>
                <w:rFonts w:ascii="宋体" w:hAnsi="宋体" w:eastAsia="宋体" w:cs="宋体"/>
                <w:sz w:val="24"/>
                <w:szCs w:val="24"/>
              </w:rPr>
            </w:pPr>
            <w:r>
              <w:rPr>
                <w:rFonts w:hint="eastAsia" w:ascii="宋体" w:hAnsi="宋体" w:eastAsia="宋体"/>
              </w:rPr>
              <w:t xml:space="preserve">http://www.ajzq.com </w:t>
            </w:r>
          </w:p>
        </w:tc>
      </w:tr>
    </w:tbl>
    <w:p w14:paraId="3A2F46C3">
      <w:pPr>
        <w:pStyle w:val="7"/>
        <w:spacing w:before="0" w:beforeAutospacing="0" w:after="0" w:afterAutospacing="0" w:line="360" w:lineRule="auto"/>
        <w:ind w:firstLine="420"/>
        <w:rPr>
          <w:sz w:val="21"/>
          <w:szCs w:val="21"/>
        </w:rPr>
      </w:pPr>
      <w:r>
        <w:rPr>
          <w:rFonts w:hint="eastAsia"/>
          <w:b/>
          <w:bCs/>
          <w:sz w:val="21"/>
          <w:szCs w:val="21"/>
        </w:rPr>
        <w:t>(86)华创证券有限责任公司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6C34D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3AC52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FA0FD50">
            <w:pPr>
              <w:rPr>
                <w:rFonts w:ascii="宋体" w:hAnsi="宋体" w:eastAsia="宋体" w:cs="宋体"/>
                <w:sz w:val="24"/>
                <w:szCs w:val="24"/>
              </w:rPr>
            </w:pPr>
            <w:r>
              <w:rPr>
                <w:rFonts w:hint="eastAsia" w:ascii="宋体" w:hAnsi="宋体" w:eastAsia="宋体"/>
              </w:rPr>
              <w:t xml:space="preserve">贵州省贵阳市 </w:t>
            </w:r>
          </w:p>
        </w:tc>
      </w:tr>
      <w:tr w14:paraId="0E2C5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5219C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D6980DB">
            <w:pPr>
              <w:rPr>
                <w:rFonts w:ascii="宋体" w:hAnsi="宋体" w:eastAsia="宋体" w:cs="宋体"/>
                <w:sz w:val="24"/>
                <w:szCs w:val="24"/>
              </w:rPr>
            </w:pPr>
            <w:r>
              <w:rPr>
                <w:rFonts w:hint="eastAsia" w:ascii="宋体" w:hAnsi="宋体" w:eastAsia="宋体"/>
              </w:rPr>
              <w:t xml:space="preserve">贵州省贵阳市中华北路216号华创大厦 </w:t>
            </w:r>
          </w:p>
        </w:tc>
      </w:tr>
      <w:tr w14:paraId="60580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7CB6D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A182B4A">
            <w:pPr>
              <w:rPr>
                <w:rFonts w:ascii="宋体" w:hAnsi="宋体" w:eastAsia="宋体" w:cs="宋体"/>
                <w:sz w:val="24"/>
                <w:szCs w:val="24"/>
              </w:rPr>
            </w:pPr>
            <w:r>
              <w:rPr>
                <w:rFonts w:hint="eastAsia" w:ascii="宋体" w:hAnsi="宋体" w:eastAsia="宋体"/>
              </w:rPr>
              <w:t xml:space="preserve">陶永泽 </w:t>
            </w:r>
          </w:p>
        </w:tc>
      </w:tr>
      <w:tr w14:paraId="378BC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402F8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5BCD23D">
            <w:pPr>
              <w:rPr>
                <w:rFonts w:ascii="宋体" w:hAnsi="宋体" w:eastAsia="宋体" w:cs="宋体"/>
                <w:sz w:val="24"/>
                <w:szCs w:val="24"/>
              </w:rPr>
            </w:pPr>
            <w:r>
              <w:rPr>
                <w:rFonts w:hint="eastAsia" w:ascii="宋体" w:hAnsi="宋体" w:eastAsia="宋体"/>
              </w:rPr>
              <w:t xml:space="preserve">郭佳来 </w:t>
            </w:r>
          </w:p>
        </w:tc>
      </w:tr>
      <w:tr w14:paraId="2453B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AE9EE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CB8D9EE">
            <w:pPr>
              <w:rPr>
                <w:rFonts w:ascii="宋体" w:hAnsi="宋体" w:eastAsia="宋体" w:cs="宋体"/>
                <w:sz w:val="24"/>
                <w:szCs w:val="24"/>
              </w:rPr>
            </w:pPr>
            <w:r>
              <w:rPr>
                <w:rFonts w:hint="eastAsia" w:ascii="宋体" w:hAnsi="宋体" w:eastAsia="宋体"/>
              </w:rPr>
              <w:t xml:space="preserve">021-60762618 </w:t>
            </w:r>
          </w:p>
        </w:tc>
      </w:tr>
      <w:tr w14:paraId="6C12D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2A564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5FFD9B9">
            <w:pPr>
              <w:rPr>
                <w:rFonts w:ascii="宋体" w:hAnsi="宋体" w:eastAsia="宋体" w:cs="宋体"/>
                <w:sz w:val="24"/>
                <w:szCs w:val="24"/>
              </w:rPr>
            </w:pPr>
            <w:r>
              <w:rPr>
                <w:rFonts w:hint="eastAsia" w:ascii="宋体" w:hAnsi="宋体" w:eastAsia="宋体"/>
              </w:rPr>
              <w:t xml:space="preserve">021-60762700 </w:t>
            </w:r>
          </w:p>
        </w:tc>
      </w:tr>
      <w:tr w14:paraId="69611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A998C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EFF810B">
            <w:pPr>
              <w:rPr>
                <w:rFonts w:ascii="宋体" w:hAnsi="宋体" w:eastAsia="宋体" w:cs="宋体"/>
                <w:sz w:val="24"/>
                <w:szCs w:val="24"/>
              </w:rPr>
            </w:pPr>
            <w:r>
              <w:rPr>
                <w:rFonts w:hint="eastAsia" w:ascii="宋体" w:hAnsi="宋体" w:eastAsia="宋体"/>
              </w:rPr>
              <w:t xml:space="preserve">4008666689 </w:t>
            </w:r>
          </w:p>
        </w:tc>
      </w:tr>
      <w:tr w14:paraId="3D961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3DD0E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B69DF15">
            <w:pPr>
              <w:rPr>
                <w:rFonts w:ascii="宋体" w:hAnsi="宋体" w:eastAsia="宋体" w:cs="宋体"/>
                <w:sz w:val="24"/>
                <w:szCs w:val="24"/>
              </w:rPr>
            </w:pPr>
            <w:r>
              <w:rPr>
                <w:rFonts w:hint="eastAsia" w:ascii="宋体" w:hAnsi="宋体" w:eastAsia="宋体"/>
              </w:rPr>
              <w:t xml:space="preserve">http://www.hczq.com/ </w:t>
            </w:r>
          </w:p>
        </w:tc>
      </w:tr>
    </w:tbl>
    <w:p w14:paraId="4B9DD842">
      <w:pPr>
        <w:pStyle w:val="7"/>
        <w:spacing w:before="0" w:beforeAutospacing="0" w:after="0" w:afterAutospacing="0" w:line="360" w:lineRule="auto"/>
        <w:ind w:firstLine="420"/>
        <w:rPr>
          <w:sz w:val="21"/>
          <w:szCs w:val="21"/>
        </w:rPr>
      </w:pPr>
      <w:r>
        <w:rPr>
          <w:rFonts w:hint="eastAsia"/>
          <w:b/>
          <w:bCs/>
          <w:sz w:val="21"/>
          <w:szCs w:val="21"/>
        </w:rPr>
        <w:t>(87)万和证券股份有限公司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42CB7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51161D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2B42FB2">
            <w:pPr>
              <w:rPr>
                <w:rFonts w:ascii="宋体" w:hAnsi="宋体" w:eastAsia="宋体" w:cs="宋体"/>
                <w:sz w:val="24"/>
                <w:szCs w:val="24"/>
              </w:rPr>
            </w:pPr>
            <w:r>
              <w:rPr>
                <w:rFonts w:hint="eastAsia" w:ascii="宋体" w:hAnsi="宋体" w:eastAsia="宋体"/>
              </w:rPr>
              <w:t xml:space="preserve">海南省海口市南沙路49号通信广场二楼 </w:t>
            </w:r>
          </w:p>
        </w:tc>
      </w:tr>
      <w:tr w14:paraId="048F1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F9B48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4E627EA">
            <w:pPr>
              <w:rPr>
                <w:rFonts w:ascii="宋体" w:hAnsi="宋体" w:eastAsia="宋体" w:cs="宋体"/>
                <w:sz w:val="24"/>
                <w:szCs w:val="24"/>
              </w:rPr>
            </w:pPr>
            <w:r>
              <w:rPr>
                <w:rFonts w:hint="eastAsia" w:ascii="宋体" w:hAnsi="宋体" w:eastAsia="宋体"/>
              </w:rPr>
              <w:t xml:space="preserve">深圳市福田区深南大道7028号时代科技大厦20层西厅 </w:t>
            </w:r>
          </w:p>
        </w:tc>
      </w:tr>
      <w:tr w14:paraId="33F6B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C8E1A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3DF9B4E">
            <w:pPr>
              <w:rPr>
                <w:rFonts w:ascii="宋体" w:hAnsi="宋体" w:eastAsia="宋体" w:cs="宋体"/>
                <w:sz w:val="24"/>
                <w:szCs w:val="24"/>
              </w:rPr>
            </w:pPr>
            <w:r>
              <w:rPr>
                <w:rFonts w:hint="eastAsia" w:ascii="宋体" w:hAnsi="宋体" w:eastAsia="宋体"/>
              </w:rPr>
              <w:t xml:space="preserve">甘卫斌 </w:t>
            </w:r>
          </w:p>
        </w:tc>
      </w:tr>
      <w:tr w14:paraId="5AE31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1F305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B5DAACE">
            <w:pPr>
              <w:rPr>
                <w:rFonts w:ascii="宋体" w:hAnsi="宋体" w:eastAsia="宋体" w:cs="宋体"/>
                <w:sz w:val="24"/>
                <w:szCs w:val="24"/>
              </w:rPr>
            </w:pPr>
            <w:r>
              <w:rPr>
                <w:rFonts w:hint="eastAsia" w:ascii="宋体" w:hAnsi="宋体" w:eastAsia="宋体"/>
              </w:rPr>
              <w:t xml:space="preserve">张雷 </w:t>
            </w:r>
          </w:p>
        </w:tc>
      </w:tr>
      <w:tr w14:paraId="0B5EA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7E538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B3DA59B">
            <w:pPr>
              <w:rPr>
                <w:rFonts w:ascii="宋体" w:hAnsi="宋体" w:eastAsia="宋体" w:cs="宋体"/>
                <w:sz w:val="24"/>
                <w:szCs w:val="24"/>
              </w:rPr>
            </w:pPr>
            <w:r>
              <w:rPr>
                <w:rFonts w:hint="eastAsia" w:ascii="宋体" w:hAnsi="宋体" w:eastAsia="宋体"/>
              </w:rPr>
              <w:t xml:space="preserve">0755-82830333 </w:t>
            </w:r>
          </w:p>
        </w:tc>
      </w:tr>
      <w:tr w14:paraId="52BDE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87F21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939485A">
            <w:pPr>
              <w:rPr>
                <w:rFonts w:ascii="宋体" w:hAnsi="宋体" w:eastAsia="宋体" w:cs="宋体"/>
                <w:sz w:val="24"/>
                <w:szCs w:val="24"/>
              </w:rPr>
            </w:pPr>
            <w:r>
              <w:rPr>
                <w:rFonts w:hint="eastAsia" w:ascii="宋体" w:hAnsi="宋体" w:eastAsia="宋体"/>
              </w:rPr>
              <w:t xml:space="preserve">0755-25170093 </w:t>
            </w:r>
          </w:p>
        </w:tc>
      </w:tr>
      <w:tr w14:paraId="40AD7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7E75A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F2647F2">
            <w:pPr>
              <w:rPr>
                <w:rFonts w:ascii="宋体" w:hAnsi="宋体" w:eastAsia="宋体" w:cs="宋体"/>
                <w:sz w:val="24"/>
                <w:szCs w:val="24"/>
              </w:rPr>
            </w:pPr>
            <w:r>
              <w:rPr>
                <w:rFonts w:hint="eastAsia" w:ascii="宋体" w:hAnsi="宋体" w:eastAsia="宋体"/>
              </w:rPr>
              <w:t xml:space="preserve">4008-882-882 </w:t>
            </w:r>
          </w:p>
        </w:tc>
      </w:tr>
      <w:tr w14:paraId="6C308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59317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FCFE00C">
            <w:pPr>
              <w:rPr>
                <w:rFonts w:ascii="宋体" w:hAnsi="宋体" w:eastAsia="宋体" w:cs="宋体"/>
                <w:sz w:val="24"/>
                <w:szCs w:val="24"/>
              </w:rPr>
            </w:pPr>
            <w:r>
              <w:rPr>
                <w:rFonts w:hint="eastAsia" w:ascii="宋体" w:hAnsi="宋体" w:eastAsia="宋体"/>
              </w:rPr>
              <w:t xml:space="preserve">http://www.vanho.cn </w:t>
            </w:r>
          </w:p>
        </w:tc>
      </w:tr>
    </w:tbl>
    <w:p w14:paraId="21CDC7CD">
      <w:pPr>
        <w:pStyle w:val="7"/>
        <w:spacing w:before="0" w:beforeAutospacing="0" w:after="0" w:afterAutospacing="0" w:line="360" w:lineRule="auto"/>
        <w:ind w:firstLine="420"/>
        <w:rPr>
          <w:sz w:val="21"/>
          <w:szCs w:val="21"/>
        </w:rPr>
      </w:pPr>
      <w:r>
        <w:rPr>
          <w:rFonts w:hint="eastAsia"/>
          <w:b/>
          <w:bCs/>
          <w:sz w:val="21"/>
          <w:szCs w:val="21"/>
        </w:rPr>
        <w:t>(88)首创证券股份有限公司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12872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55E98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FFB323F">
            <w:pPr>
              <w:rPr>
                <w:rFonts w:ascii="宋体" w:hAnsi="宋体" w:eastAsia="宋体" w:cs="宋体"/>
                <w:sz w:val="24"/>
                <w:szCs w:val="24"/>
              </w:rPr>
            </w:pPr>
            <w:r>
              <w:rPr>
                <w:rFonts w:hint="eastAsia" w:ascii="宋体" w:hAnsi="宋体" w:eastAsia="宋体"/>
              </w:rPr>
              <w:t xml:space="preserve">北京市西城区德胜门外大街115号德胜尚城E座 </w:t>
            </w:r>
          </w:p>
        </w:tc>
      </w:tr>
      <w:tr w14:paraId="2D9DF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2FA46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49E0B30">
            <w:pPr>
              <w:rPr>
                <w:rFonts w:ascii="宋体" w:hAnsi="宋体" w:eastAsia="宋体" w:cs="宋体"/>
                <w:sz w:val="24"/>
                <w:szCs w:val="24"/>
              </w:rPr>
            </w:pPr>
            <w:r>
              <w:rPr>
                <w:rFonts w:hint="eastAsia" w:ascii="宋体" w:hAnsi="宋体" w:eastAsia="宋体"/>
              </w:rPr>
              <w:t xml:space="preserve">北京市朝阳区安定路5号院北投投资大厦A座18层 </w:t>
            </w:r>
          </w:p>
        </w:tc>
      </w:tr>
      <w:tr w14:paraId="0CB98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7B4D8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2F10ED2">
            <w:pPr>
              <w:rPr>
                <w:rFonts w:ascii="宋体" w:hAnsi="宋体" w:eastAsia="宋体" w:cs="宋体"/>
                <w:sz w:val="24"/>
                <w:szCs w:val="24"/>
              </w:rPr>
            </w:pPr>
            <w:r>
              <w:rPr>
                <w:rFonts w:hint="eastAsia" w:ascii="宋体" w:hAnsi="宋体" w:eastAsia="宋体"/>
              </w:rPr>
              <w:t xml:space="preserve">毕劲松 </w:t>
            </w:r>
          </w:p>
        </w:tc>
      </w:tr>
      <w:tr w14:paraId="70086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23CB7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E3F2368">
            <w:pPr>
              <w:rPr>
                <w:rFonts w:ascii="宋体" w:hAnsi="宋体" w:eastAsia="宋体" w:cs="宋体"/>
                <w:sz w:val="24"/>
                <w:szCs w:val="24"/>
              </w:rPr>
            </w:pPr>
            <w:r>
              <w:rPr>
                <w:rFonts w:hint="eastAsia" w:ascii="宋体" w:hAnsi="宋体" w:eastAsia="宋体"/>
              </w:rPr>
              <w:t xml:space="preserve">刘宇 </w:t>
            </w:r>
          </w:p>
        </w:tc>
      </w:tr>
      <w:tr w14:paraId="51ECD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3DE21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1FE8E7C">
            <w:pPr>
              <w:rPr>
                <w:rFonts w:ascii="宋体" w:hAnsi="宋体" w:eastAsia="宋体" w:cs="宋体"/>
                <w:sz w:val="24"/>
                <w:szCs w:val="24"/>
              </w:rPr>
            </w:pPr>
            <w:r>
              <w:rPr>
                <w:rFonts w:hint="eastAsia" w:ascii="宋体" w:hAnsi="宋体" w:eastAsia="宋体"/>
              </w:rPr>
              <w:t xml:space="preserve">010－81152418  </w:t>
            </w:r>
          </w:p>
        </w:tc>
      </w:tr>
      <w:tr w14:paraId="4FC3D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C08C1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01836CF">
            <w:pPr>
              <w:rPr>
                <w:rFonts w:ascii="宋体" w:hAnsi="宋体" w:eastAsia="宋体" w:cs="宋体"/>
                <w:sz w:val="24"/>
                <w:szCs w:val="24"/>
              </w:rPr>
            </w:pPr>
            <w:r>
              <w:rPr>
                <w:rFonts w:hint="eastAsia" w:ascii="宋体" w:hAnsi="宋体" w:eastAsia="宋体"/>
              </w:rPr>
              <w:t xml:space="preserve">010－81152982 </w:t>
            </w:r>
          </w:p>
        </w:tc>
      </w:tr>
      <w:tr w14:paraId="6A7A7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79244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E642008">
            <w:pPr>
              <w:rPr>
                <w:rFonts w:ascii="宋体" w:hAnsi="宋体" w:eastAsia="宋体" w:cs="宋体"/>
                <w:sz w:val="24"/>
                <w:szCs w:val="24"/>
              </w:rPr>
            </w:pPr>
            <w:r>
              <w:rPr>
                <w:rFonts w:hint="eastAsia" w:ascii="宋体" w:hAnsi="宋体" w:eastAsia="宋体"/>
              </w:rPr>
              <w:t xml:space="preserve">95381 </w:t>
            </w:r>
          </w:p>
        </w:tc>
      </w:tr>
      <w:tr w14:paraId="4AE2E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DC7E4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EFC60C7">
            <w:pPr>
              <w:rPr>
                <w:rFonts w:ascii="宋体" w:hAnsi="宋体" w:eastAsia="宋体" w:cs="宋体"/>
                <w:sz w:val="24"/>
                <w:szCs w:val="24"/>
              </w:rPr>
            </w:pPr>
            <w:r>
              <w:rPr>
                <w:rFonts w:hint="eastAsia" w:ascii="宋体" w:hAnsi="宋体" w:eastAsia="宋体"/>
              </w:rPr>
              <w:t xml:space="preserve">www.sczq.com.cn </w:t>
            </w:r>
          </w:p>
        </w:tc>
      </w:tr>
    </w:tbl>
    <w:p w14:paraId="088815BE">
      <w:pPr>
        <w:pStyle w:val="7"/>
        <w:spacing w:before="0" w:beforeAutospacing="0" w:after="0" w:afterAutospacing="0" w:line="360" w:lineRule="auto"/>
        <w:ind w:firstLine="420"/>
        <w:rPr>
          <w:sz w:val="21"/>
          <w:szCs w:val="21"/>
        </w:rPr>
      </w:pPr>
      <w:r>
        <w:rPr>
          <w:rFonts w:hint="eastAsia"/>
          <w:b/>
          <w:bCs/>
          <w:sz w:val="21"/>
          <w:szCs w:val="21"/>
        </w:rPr>
        <w:t>(89)开源证券股份有限公司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5159E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7EA7D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A6BACCC">
            <w:pPr>
              <w:rPr>
                <w:rFonts w:ascii="宋体" w:hAnsi="宋体" w:eastAsia="宋体" w:cs="宋体"/>
                <w:sz w:val="24"/>
                <w:szCs w:val="24"/>
              </w:rPr>
            </w:pPr>
            <w:r>
              <w:rPr>
                <w:rFonts w:hint="eastAsia" w:ascii="宋体" w:hAnsi="宋体" w:eastAsia="宋体"/>
              </w:rPr>
              <w:t xml:space="preserve">陕西省西安市高新区锦业路1号都市之门B座5层 </w:t>
            </w:r>
          </w:p>
        </w:tc>
      </w:tr>
      <w:tr w14:paraId="4C9B7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D82E2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F7AF6CC">
            <w:pPr>
              <w:rPr>
                <w:rFonts w:ascii="宋体" w:hAnsi="宋体" w:eastAsia="宋体" w:cs="宋体"/>
                <w:sz w:val="24"/>
                <w:szCs w:val="24"/>
              </w:rPr>
            </w:pPr>
            <w:r>
              <w:rPr>
                <w:rFonts w:hint="eastAsia" w:ascii="宋体" w:hAnsi="宋体" w:eastAsia="宋体"/>
              </w:rPr>
              <w:t xml:space="preserve">陕西省西安市高新区锦业路1号都市之门B座5层 </w:t>
            </w:r>
          </w:p>
        </w:tc>
      </w:tr>
      <w:tr w14:paraId="34634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BB8E6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872A030">
            <w:pPr>
              <w:rPr>
                <w:rFonts w:ascii="宋体" w:hAnsi="宋体" w:eastAsia="宋体" w:cs="宋体"/>
                <w:sz w:val="24"/>
                <w:szCs w:val="24"/>
              </w:rPr>
            </w:pPr>
            <w:r>
              <w:rPr>
                <w:rFonts w:hint="eastAsia" w:ascii="宋体" w:hAnsi="宋体" w:eastAsia="宋体"/>
              </w:rPr>
              <w:t xml:space="preserve">李刚 </w:t>
            </w:r>
          </w:p>
        </w:tc>
      </w:tr>
      <w:tr w14:paraId="6BE32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2AC8B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0B17039">
            <w:pPr>
              <w:rPr>
                <w:rFonts w:ascii="宋体" w:hAnsi="宋体" w:eastAsia="宋体" w:cs="宋体"/>
                <w:sz w:val="24"/>
                <w:szCs w:val="24"/>
              </w:rPr>
            </w:pPr>
            <w:r>
              <w:rPr>
                <w:rFonts w:hint="eastAsia" w:ascii="宋体" w:hAnsi="宋体" w:eastAsia="宋体"/>
              </w:rPr>
              <w:t xml:space="preserve">张蕊 </w:t>
            </w:r>
          </w:p>
        </w:tc>
      </w:tr>
      <w:tr w14:paraId="1AFEF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3C8BE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BF76E56">
            <w:pPr>
              <w:rPr>
                <w:rFonts w:ascii="宋体" w:hAnsi="宋体" w:eastAsia="宋体" w:cs="宋体"/>
                <w:sz w:val="24"/>
                <w:szCs w:val="24"/>
              </w:rPr>
            </w:pPr>
            <w:r>
              <w:rPr>
                <w:rFonts w:hint="eastAsia" w:ascii="宋体" w:hAnsi="宋体" w:eastAsia="宋体"/>
              </w:rPr>
              <w:t xml:space="preserve">029-88365809  </w:t>
            </w:r>
          </w:p>
        </w:tc>
      </w:tr>
      <w:tr w14:paraId="65E8C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7A9D7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8F3398B">
            <w:pPr>
              <w:rPr>
                <w:rFonts w:ascii="宋体" w:hAnsi="宋体" w:eastAsia="宋体" w:cs="宋体"/>
                <w:sz w:val="24"/>
                <w:szCs w:val="24"/>
              </w:rPr>
            </w:pPr>
            <w:r>
              <w:rPr>
                <w:rFonts w:hint="eastAsia" w:ascii="宋体" w:hAnsi="宋体" w:eastAsia="宋体"/>
              </w:rPr>
              <w:t xml:space="preserve">86-29-88365835 </w:t>
            </w:r>
          </w:p>
        </w:tc>
      </w:tr>
      <w:tr w14:paraId="24DD0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A6188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5F78B45">
            <w:pPr>
              <w:rPr>
                <w:rFonts w:ascii="宋体" w:hAnsi="宋体" w:eastAsia="宋体" w:cs="宋体"/>
                <w:sz w:val="24"/>
                <w:szCs w:val="24"/>
              </w:rPr>
            </w:pPr>
            <w:r>
              <w:rPr>
                <w:rFonts w:hint="eastAsia" w:ascii="宋体" w:hAnsi="宋体" w:eastAsia="宋体"/>
              </w:rPr>
              <w:t xml:space="preserve">95325 /400-860-8866 </w:t>
            </w:r>
          </w:p>
        </w:tc>
      </w:tr>
      <w:tr w14:paraId="343F6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0B11B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E0DBFF6">
            <w:pPr>
              <w:rPr>
                <w:rFonts w:ascii="宋体" w:hAnsi="宋体" w:eastAsia="宋体" w:cs="宋体"/>
                <w:sz w:val="24"/>
                <w:szCs w:val="24"/>
              </w:rPr>
            </w:pPr>
            <w:r>
              <w:rPr>
                <w:rFonts w:hint="eastAsia" w:ascii="宋体" w:hAnsi="宋体" w:eastAsia="宋体"/>
              </w:rPr>
              <w:t xml:space="preserve">http://www.kysec.cn/ </w:t>
            </w:r>
          </w:p>
        </w:tc>
      </w:tr>
    </w:tbl>
    <w:p w14:paraId="4A5AE4EC">
      <w:pPr>
        <w:pStyle w:val="7"/>
        <w:spacing w:before="0" w:beforeAutospacing="0" w:after="0" w:afterAutospacing="0" w:line="360" w:lineRule="auto"/>
        <w:ind w:firstLine="420"/>
        <w:rPr>
          <w:sz w:val="21"/>
          <w:szCs w:val="21"/>
        </w:rPr>
      </w:pPr>
      <w:r>
        <w:rPr>
          <w:rFonts w:hint="eastAsia"/>
          <w:b/>
          <w:bCs/>
          <w:sz w:val="21"/>
          <w:szCs w:val="21"/>
        </w:rPr>
        <w:t>(90)深圳前海微众银行股份有限公司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01A4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8FF9B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0783572">
            <w:pPr>
              <w:rPr>
                <w:rFonts w:ascii="宋体" w:hAnsi="宋体" w:eastAsia="宋体" w:cs="宋体"/>
                <w:sz w:val="24"/>
                <w:szCs w:val="24"/>
              </w:rPr>
            </w:pPr>
            <w:r>
              <w:rPr>
                <w:rFonts w:hint="eastAsia" w:ascii="宋体" w:hAnsi="宋体" w:eastAsia="宋体"/>
              </w:rPr>
              <w:t xml:space="preserve">广东省深圳市前海深港合作区前湾一路 1号A栋201室 </w:t>
            </w:r>
          </w:p>
        </w:tc>
      </w:tr>
      <w:tr w14:paraId="07CA3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DB1BF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0B1CBE2">
            <w:pPr>
              <w:rPr>
                <w:rFonts w:ascii="宋体" w:hAnsi="宋体" w:eastAsia="宋体" w:cs="宋体"/>
                <w:sz w:val="24"/>
                <w:szCs w:val="24"/>
              </w:rPr>
            </w:pPr>
            <w:r>
              <w:rPr>
                <w:rFonts w:hint="eastAsia" w:ascii="宋体" w:hAnsi="宋体" w:eastAsia="宋体"/>
              </w:rPr>
              <w:t xml:space="preserve">深圳市南山区沙河西路1819号深圳湾科技生态园7栋A座 </w:t>
            </w:r>
          </w:p>
        </w:tc>
      </w:tr>
      <w:tr w14:paraId="73B91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A2916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0BC9C00">
            <w:pPr>
              <w:rPr>
                <w:rFonts w:ascii="宋体" w:hAnsi="宋体" w:eastAsia="宋体" w:cs="宋体"/>
                <w:sz w:val="24"/>
                <w:szCs w:val="24"/>
              </w:rPr>
            </w:pPr>
            <w:r>
              <w:rPr>
                <w:rFonts w:hint="eastAsia" w:ascii="宋体" w:hAnsi="宋体" w:eastAsia="宋体"/>
              </w:rPr>
              <w:t xml:space="preserve">顾敏 </w:t>
            </w:r>
          </w:p>
        </w:tc>
      </w:tr>
      <w:tr w14:paraId="40E74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6474C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855976A">
            <w:pPr>
              <w:rPr>
                <w:rFonts w:ascii="宋体" w:hAnsi="宋体" w:eastAsia="宋体" w:cs="宋体"/>
                <w:sz w:val="24"/>
                <w:szCs w:val="24"/>
              </w:rPr>
            </w:pPr>
            <w:r>
              <w:rPr>
                <w:rFonts w:hint="eastAsia" w:ascii="宋体" w:hAnsi="宋体" w:eastAsia="宋体"/>
              </w:rPr>
              <w:t xml:space="preserve">白冰 </w:t>
            </w:r>
          </w:p>
        </w:tc>
      </w:tr>
      <w:tr w14:paraId="070C3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42B07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F6E8F06">
            <w:pPr>
              <w:rPr>
                <w:rFonts w:ascii="宋体" w:hAnsi="宋体" w:eastAsia="宋体" w:cs="宋体"/>
                <w:sz w:val="24"/>
                <w:szCs w:val="24"/>
              </w:rPr>
            </w:pPr>
            <w:r>
              <w:rPr>
                <w:rFonts w:hint="eastAsia" w:ascii="宋体" w:hAnsi="宋体" w:eastAsia="宋体"/>
              </w:rPr>
              <w:t xml:space="preserve">89959999-3306 </w:t>
            </w:r>
          </w:p>
        </w:tc>
      </w:tr>
      <w:tr w14:paraId="5F1F0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A0B81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F253474">
            <w:pPr>
              <w:rPr>
                <w:rFonts w:ascii="宋体" w:hAnsi="宋体" w:eastAsia="宋体" w:cs="宋体"/>
                <w:sz w:val="24"/>
                <w:szCs w:val="24"/>
              </w:rPr>
            </w:pPr>
            <w:r>
              <w:rPr>
                <w:rFonts w:hint="eastAsia" w:ascii="宋体" w:hAnsi="宋体" w:eastAsia="宋体"/>
              </w:rPr>
              <w:t xml:space="preserve">95384 </w:t>
            </w:r>
          </w:p>
        </w:tc>
      </w:tr>
      <w:tr w14:paraId="65B04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2AE35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5CF8630">
            <w:pPr>
              <w:rPr>
                <w:rFonts w:ascii="宋体" w:hAnsi="宋体" w:eastAsia="宋体" w:cs="宋体"/>
                <w:sz w:val="24"/>
                <w:szCs w:val="24"/>
              </w:rPr>
            </w:pPr>
            <w:r>
              <w:rPr>
                <w:rFonts w:hint="eastAsia" w:ascii="宋体" w:hAnsi="宋体" w:eastAsia="宋体"/>
              </w:rPr>
              <w:t xml:space="preserve">http://www.webank.com/ </w:t>
            </w:r>
          </w:p>
        </w:tc>
      </w:tr>
    </w:tbl>
    <w:p w14:paraId="3A14B3B0">
      <w:pPr>
        <w:pStyle w:val="7"/>
        <w:spacing w:before="0" w:beforeAutospacing="0" w:after="0" w:afterAutospacing="0" w:line="360" w:lineRule="auto"/>
        <w:ind w:firstLine="420"/>
        <w:rPr>
          <w:sz w:val="21"/>
          <w:szCs w:val="21"/>
        </w:rPr>
      </w:pPr>
      <w:r>
        <w:rPr>
          <w:rFonts w:hint="eastAsia"/>
          <w:b/>
          <w:bCs/>
          <w:sz w:val="21"/>
          <w:szCs w:val="21"/>
        </w:rPr>
        <w:t>(91)中信百信银行股份有限公司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53396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6B14F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B8455F3">
            <w:pPr>
              <w:rPr>
                <w:rFonts w:ascii="宋体" w:hAnsi="宋体" w:eastAsia="宋体" w:cs="宋体"/>
                <w:sz w:val="24"/>
                <w:szCs w:val="24"/>
              </w:rPr>
            </w:pPr>
            <w:r>
              <w:rPr>
                <w:rFonts w:hint="eastAsia" w:ascii="宋体" w:hAnsi="宋体" w:eastAsia="宋体"/>
              </w:rPr>
              <w:t xml:space="preserve">北京市朝阳区安定路5号院3号楼8层 </w:t>
            </w:r>
          </w:p>
        </w:tc>
      </w:tr>
      <w:tr w14:paraId="0432B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FD7AE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C9457E5">
            <w:pPr>
              <w:rPr>
                <w:rFonts w:ascii="宋体" w:hAnsi="宋体" w:eastAsia="宋体" w:cs="宋体"/>
                <w:sz w:val="24"/>
                <w:szCs w:val="24"/>
              </w:rPr>
            </w:pPr>
            <w:r>
              <w:rPr>
                <w:rFonts w:hint="eastAsia" w:ascii="宋体" w:hAnsi="宋体" w:eastAsia="宋体"/>
              </w:rPr>
              <w:t xml:space="preserve">北京市朝阳区安定路5号院3号楼6-11层 </w:t>
            </w:r>
          </w:p>
        </w:tc>
      </w:tr>
      <w:tr w14:paraId="21CFC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04802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6A323BA">
            <w:pPr>
              <w:rPr>
                <w:rFonts w:ascii="宋体" w:hAnsi="宋体" w:eastAsia="宋体" w:cs="宋体"/>
                <w:sz w:val="24"/>
                <w:szCs w:val="24"/>
              </w:rPr>
            </w:pPr>
            <w:r>
              <w:rPr>
                <w:rFonts w:hint="eastAsia" w:ascii="宋体" w:hAnsi="宋体" w:eastAsia="宋体"/>
              </w:rPr>
              <w:t xml:space="preserve">李如东 </w:t>
            </w:r>
          </w:p>
        </w:tc>
      </w:tr>
      <w:tr w14:paraId="7C0BF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FF519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0BB4CCC">
            <w:pPr>
              <w:rPr>
                <w:rFonts w:ascii="宋体" w:hAnsi="宋体" w:eastAsia="宋体" w:cs="宋体"/>
                <w:sz w:val="24"/>
                <w:szCs w:val="24"/>
              </w:rPr>
            </w:pPr>
            <w:r>
              <w:rPr>
                <w:rFonts w:hint="eastAsia" w:ascii="宋体" w:hAnsi="宋体" w:eastAsia="宋体"/>
              </w:rPr>
              <w:t xml:space="preserve">陈冰 </w:t>
            </w:r>
          </w:p>
        </w:tc>
      </w:tr>
      <w:tr w14:paraId="40781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B4FD5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623FFDC">
            <w:pPr>
              <w:rPr>
                <w:rFonts w:ascii="宋体" w:hAnsi="宋体" w:eastAsia="宋体" w:cs="宋体"/>
                <w:sz w:val="24"/>
                <w:szCs w:val="24"/>
              </w:rPr>
            </w:pPr>
            <w:r>
              <w:rPr>
                <w:rFonts w:hint="eastAsia" w:ascii="宋体" w:hAnsi="宋体" w:eastAsia="宋体"/>
              </w:rPr>
              <w:t xml:space="preserve">010-50925699 </w:t>
            </w:r>
          </w:p>
        </w:tc>
      </w:tr>
      <w:tr w14:paraId="2CD10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38ECE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FFC0B58">
            <w:pPr>
              <w:rPr>
                <w:rFonts w:ascii="宋体" w:hAnsi="宋体" w:eastAsia="宋体" w:cs="宋体"/>
                <w:sz w:val="24"/>
                <w:szCs w:val="24"/>
              </w:rPr>
            </w:pPr>
            <w:r>
              <w:rPr>
                <w:rFonts w:hint="eastAsia" w:ascii="宋体" w:hAnsi="宋体" w:eastAsia="宋体"/>
              </w:rPr>
              <w:t xml:space="preserve">010-50925690 </w:t>
            </w:r>
          </w:p>
        </w:tc>
      </w:tr>
      <w:tr w14:paraId="58F31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D5B0D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2389CCC">
            <w:pPr>
              <w:rPr>
                <w:rFonts w:ascii="宋体" w:hAnsi="宋体" w:eastAsia="宋体" w:cs="宋体"/>
                <w:sz w:val="24"/>
                <w:szCs w:val="24"/>
              </w:rPr>
            </w:pPr>
            <w:r>
              <w:rPr>
                <w:rFonts w:hint="eastAsia" w:ascii="宋体" w:hAnsi="宋体" w:eastAsia="宋体"/>
              </w:rPr>
              <w:t xml:space="preserve">4008180100 </w:t>
            </w:r>
          </w:p>
        </w:tc>
      </w:tr>
      <w:tr w14:paraId="13C27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AF50D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764015F">
            <w:pPr>
              <w:rPr>
                <w:rFonts w:ascii="宋体" w:hAnsi="宋体" w:eastAsia="宋体" w:cs="宋体"/>
                <w:sz w:val="24"/>
                <w:szCs w:val="24"/>
              </w:rPr>
            </w:pPr>
            <w:r>
              <w:rPr>
                <w:rFonts w:hint="eastAsia" w:ascii="宋体" w:hAnsi="宋体" w:eastAsia="宋体"/>
              </w:rPr>
              <w:t xml:space="preserve">www.aibank.com </w:t>
            </w:r>
          </w:p>
        </w:tc>
      </w:tr>
    </w:tbl>
    <w:p w14:paraId="15259F8A">
      <w:pPr>
        <w:rPr>
          <w:rFonts w:ascii="宋体" w:hAnsi="宋体" w:eastAsia="宋体"/>
          <w:sz w:val="24"/>
          <w:szCs w:val="24"/>
        </w:rPr>
      </w:pPr>
      <w:bookmarkStart w:id="70" w:name="field_0_allproxysaletables_1_end"/>
      <w:bookmarkEnd w:id="70"/>
      <w:r>
        <w:rPr>
          <w:rFonts w:ascii="宋体" w:hAnsi="宋体" w:eastAsia="宋体"/>
        </w:rPr>
        <w:t xml:space="preserve">  </w:t>
      </w:r>
    </w:p>
    <w:p w14:paraId="23A0621B">
      <w:pPr>
        <w:pStyle w:val="7"/>
        <w:spacing w:before="0" w:beforeAutospacing="0" w:after="0" w:afterAutospacing="0" w:line="360" w:lineRule="auto"/>
        <w:ind w:firstLine="420"/>
        <w:rPr>
          <w:sz w:val="21"/>
          <w:szCs w:val="21"/>
        </w:rPr>
      </w:pPr>
      <w:bookmarkStart w:id="71" w:name="chapter_level1_7_56_section_2_end"/>
      <w:bookmarkEnd w:id="71"/>
    </w:p>
    <w:p w14:paraId="6522B51B">
      <w:pPr>
        <w:pStyle w:val="7"/>
        <w:spacing w:before="0" w:beforeAutospacing="0" w:after="0" w:afterAutospacing="0" w:line="360" w:lineRule="auto"/>
        <w:ind w:firstLine="420"/>
        <w:rPr>
          <w:sz w:val="21"/>
          <w:szCs w:val="21"/>
        </w:rPr>
      </w:pPr>
      <w:bookmarkStart w:id="72" w:name="chapter_level1_7_56_section_3"/>
      <w:bookmarkEnd w:id="72"/>
      <w:r>
        <w:rPr>
          <w:rStyle w:val="11"/>
          <w:rFonts w:hint="eastAsia"/>
          <w:sz w:val="21"/>
          <w:szCs w:val="21"/>
        </w:rPr>
        <w:t>二、登记机构</w:t>
      </w:r>
    </w:p>
    <w:p w14:paraId="531B15DC">
      <w:pPr>
        <w:pStyle w:val="7"/>
        <w:spacing w:before="0" w:beforeAutospacing="0" w:after="0" w:afterAutospacing="0" w:line="360" w:lineRule="auto"/>
        <w:ind w:firstLine="420"/>
        <w:rPr>
          <w:sz w:val="21"/>
          <w:szCs w:val="21"/>
        </w:rPr>
      </w:pPr>
      <w:bookmarkStart w:id="73" w:name="field_0_registercompanyinfo_1_start"/>
      <w:bookmarkEnd w:id="73"/>
      <w:r>
        <w:rPr>
          <w:rFonts w:hint="eastAsia"/>
          <w:sz w:val="21"/>
          <w:szCs w:val="21"/>
        </w:rPr>
        <w:t xml:space="preserve">名称：博时基金管理有限公司 </w:t>
      </w:r>
    </w:p>
    <w:p w14:paraId="0DF70EBC">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271EEC15">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0CA76601">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13CDB523">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1BA968F5">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23F2A315">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74" w:name="field_0_registercompanyinfo_1_end"/>
      <w:bookmarkEnd w:id="74"/>
      <w:r>
        <w:rPr>
          <w:rFonts w:hint="eastAsia"/>
          <w:sz w:val="21"/>
          <w:szCs w:val="21"/>
        </w:rPr>
        <w:t xml:space="preserve">  </w:t>
      </w:r>
    </w:p>
    <w:p w14:paraId="10C3C647">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4C1EBDC7">
      <w:pPr>
        <w:pStyle w:val="7"/>
        <w:spacing w:before="0" w:beforeAutospacing="0" w:after="0" w:afterAutospacing="0" w:line="360" w:lineRule="auto"/>
        <w:ind w:firstLine="420"/>
        <w:rPr>
          <w:sz w:val="21"/>
          <w:szCs w:val="21"/>
        </w:rPr>
      </w:pPr>
      <w:r>
        <w:rPr>
          <w:rFonts w:hint="eastAsia"/>
          <w:sz w:val="21"/>
          <w:szCs w:val="21"/>
        </w:rPr>
        <w:t xml:space="preserve">名称：上海源泰律师事务所  </w:t>
      </w:r>
    </w:p>
    <w:p w14:paraId="6EF9B8A7">
      <w:pPr>
        <w:pStyle w:val="7"/>
        <w:spacing w:before="0" w:beforeAutospacing="0" w:after="0" w:afterAutospacing="0" w:line="360" w:lineRule="auto"/>
        <w:ind w:firstLine="420"/>
        <w:rPr>
          <w:sz w:val="21"/>
          <w:szCs w:val="21"/>
        </w:rPr>
      </w:pPr>
      <w:r>
        <w:rPr>
          <w:rFonts w:hint="eastAsia"/>
          <w:sz w:val="21"/>
          <w:szCs w:val="21"/>
        </w:rPr>
        <w:t xml:space="preserve">住所：上海市浦东南路256号华夏银行大厦1405室 </w:t>
      </w:r>
    </w:p>
    <w:p w14:paraId="57944DDB">
      <w:pPr>
        <w:pStyle w:val="7"/>
        <w:spacing w:before="0" w:beforeAutospacing="0" w:after="0" w:afterAutospacing="0" w:line="360" w:lineRule="auto"/>
        <w:ind w:firstLine="420"/>
        <w:rPr>
          <w:sz w:val="21"/>
          <w:szCs w:val="21"/>
        </w:rPr>
      </w:pPr>
      <w:r>
        <w:rPr>
          <w:rFonts w:hint="eastAsia"/>
          <w:sz w:val="21"/>
          <w:szCs w:val="21"/>
        </w:rPr>
        <w:t xml:space="preserve">办公地址：上海市浦东南路256号华夏银行大厦1405室 </w:t>
      </w:r>
    </w:p>
    <w:p w14:paraId="65F4F45F">
      <w:pPr>
        <w:pStyle w:val="7"/>
        <w:spacing w:before="0" w:beforeAutospacing="0" w:after="0" w:afterAutospacing="0" w:line="360" w:lineRule="auto"/>
        <w:ind w:firstLine="420"/>
        <w:rPr>
          <w:sz w:val="21"/>
          <w:szCs w:val="21"/>
        </w:rPr>
      </w:pPr>
      <w:r>
        <w:rPr>
          <w:rFonts w:hint="eastAsia"/>
          <w:sz w:val="21"/>
          <w:szCs w:val="21"/>
        </w:rPr>
        <w:t xml:space="preserve">负责人：廖海 </w:t>
      </w:r>
    </w:p>
    <w:p w14:paraId="1384CEF1">
      <w:pPr>
        <w:pStyle w:val="7"/>
        <w:spacing w:before="0" w:beforeAutospacing="0" w:after="0" w:afterAutospacing="0" w:line="360" w:lineRule="auto"/>
        <w:ind w:firstLine="420"/>
        <w:rPr>
          <w:sz w:val="21"/>
          <w:szCs w:val="21"/>
        </w:rPr>
      </w:pPr>
      <w:r>
        <w:rPr>
          <w:rFonts w:hint="eastAsia"/>
          <w:sz w:val="21"/>
          <w:szCs w:val="21"/>
        </w:rPr>
        <w:t xml:space="preserve">电话：021- 51150298 </w:t>
      </w:r>
    </w:p>
    <w:p w14:paraId="001BBAA9">
      <w:pPr>
        <w:pStyle w:val="7"/>
        <w:spacing w:before="0" w:beforeAutospacing="0" w:after="0" w:afterAutospacing="0" w:line="360" w:lineRule="auto"/>
        <w:ind w:firstLine="420"/>
        <w:rPr>
          <w:sz w:val="21"/>
          <w:szCs w:val="21"/>
        </w:rPr>
      </w:pPr>
      <w:r>
        <w:rPr>
          <w:rFonts w:hint="eastAsia"/>
          <w:sz w:val="21"/>
          <w:szCs w:val="21"/>
        </w:rPr>
        <w:t xml:space="preserve">传真：021- 51150398 </w:t>
      </w:r>
    </w:p>
    <w:p w14:paraId="5C6188A4">
      <w:pPr>
        <w:pStyle w:val="7"/>
        <w:spacing w:before="0" w:beforeAutospacing="0" w:after="0" w:afterAutospacing="0" w:line="360" w:lineRule="auto"/>
        <w:ind w:firstLine="420"/>
        <w:rPr>
          <w:sz w:val="21"/>
          <w:szCs w:val="21"/>
        </w:rPr>
      </w:pPr>
      <w:r>
        <w:rPr>
          <w:rFonts w:hint="eastAsia"/>
          <w:sz w:val="21"/>
          <w:szCs w:val="21"/>
        </w:rPr>
        <w:t xml:space="preserve">联系人：刘佳 </w:t>
      </w:r>
    </w:p>
    <w:p w14:paraId="2646F37D">
      <w:pPr>
        <w:pStyle w:val="7"/>
        <w:spacing w:before="0" w:beforeAutospacing="0" w:after="0" w:afterAutospacing="0" w:line="360" w:lineRule="auto"/>
        <w:ind w:firstLine="420"/>
        <w:rPr>
          <w:sz w:val="21"/>
          <w:szCs w:val="21"/>
        </w:rPr>
      </w:pPr>
      <w:r>
        <w:rPr>
          <w:rFonts w:hint="eastAsia"/>
          <w:sz w:val="21"/>
          <w:szCs w:val="21"/>
        </w:rPr>
        <w:t xml:space="preserve">经办律师：刘佳、刘翠  </w:t>
      </w:r>
    </w:p>
    <w:p w14:paraId="1C581FBD">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14:paraId="1BA747E7">
      <w:pPr>
        <w:pStyle w:val="7"/>
        <w:spacing w:before="0" w:beforeAutospacing="0" w:after="0" w:afterAutospacing="0" w:line="360" w:lineRule="auto"/>
        <w:ind w:firstLine="420"/>
        <w:rPr>
          <w:sz w:val="21"/>
          <w:szCs w:val="21"/>
        </w:rPr>
      </w:pPr>
      <w:bookmarkStart w:id="75" w:name="field_0_accountingcompanyinfo_1_start"/>
      <w:bookmarkEnd w:id="75"/>
      <w:r>
        <w:rPr>
          <w:rFonts w:hint="eastAsia"/>
          <w:sz w:val="21"/>
          <w:szCs w:val="21"/>
        </w:rPr>
        <w:t xml:space="preserve">名称：安永华明会计师事务所（特殊普通合伙） </w:t>
      </w:r>
    </w:p>
    <w:p w14:paraId="57173BEF">
      <w:pPr>
        <w:pStyle w:val="7"/>
        <w:spacing w:before="0" w:beforeAutospacing="0" w:after="0" w:afterAutospacing="0" w:line="360" w:lineRule="auto"/>
        <w:ind w:firstLine="420"/>
        <w:rPr>
          <w:sz w:val="21"/>
          <w:szCs w:val="21"/>
        </w:rPr>
      </w:pPr>
      <w:r>
        <w:rPr>
          <w:rFonts w:hint="eastAsia"/>
          <w:sz w:val="21"/>
          <w:szCs w:val="21"/>
        </w:rPr>
        <w:t xml:space="preserve">住所：北京市东城区东长安街1号东方广场安永大楼17层01-12室 </w:t>
      </w:r>
    </w:p>
    <w:p w14:paraId="3F81AE41">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79C1AC91">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14:paraId="691F1924">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14:paraId="54A0A465">
      <w:pPr>
        <w:pStyle w:val="7"/>
        <w:spacing w:before="0" w:beforeAutospacing="0" w:after="0" w:afterAutospacing="0" w:line="360" w:lineRule="auto"/>
        <w:ind w:firstLine="420"/>
        <w:rPr>
          <w:sz w:val="21"/>
          <w:szCs w:val="21"/>
        </w:rPr>
      </w:pPr>
      <w:r>
        <w:rPr>
          <w:rFonts w:hint="eastAsia"/>
          <w:sz w:val="21"/>
          <w:szCs w:val="21"/>
        </w:rPr>
        <w:t xml:space="preserve">传真电话：（010）85188298 </w:t>
      </w:r>
    </w:p>
    <w:p w14:paraId="3236CD23">
      <w:pPr>
        <w:pStyle w:val="7"/>
        <w:spacing w:before="0" w:beforeAutospacing="0" w:after="0" w:afterAutospacing="0" w:line="360" w:lineRule="auto"/>
        <w:ind w:firstLine="420"/>
        <w:rPr>
          <w:sz w:val="21"/>
          <w:szCs w:val="21"/>
        </w:rPr>
      </w:pPr>
      <w:r>
        <w:rPr>
          <w:rFonts w:hint="eastAsia"/>
          <w:sz w:val="21"/>
          <w:szCs w:val="21"/>
        </w:rPr>
        <w:t xml:space="preserve">经办注册会计师：高鹤、楼坚、王海彦 </w:t>
      </w:r>
    </w:p>
    <w:p w14:paraId="4CBAF8D2">
      <w:pPr>
        <w:pStyle w:val="7"/>
        <w:spacing w:before="0" w:beforeAutospacing="0" w:after="0" w:afterAutospacing="0" w:line="360" w:lineRule="auto"/>
        <w:ind w:firstLine="420"/>
        <w:rPr>
          <w:sz w:val="21"/>
          <w:szCs w:val="21"/>
        </w:rPr>
      </w:pPr>
      <w:bookmarkStart w:id="76" w:name="chapter_level1_7_56_section_3_end"/>
      <w:bookmarkEnd w:id="76"/>
      <w:r>
        <w:rPr>
          <w:rFonts w:hint="eastAsia"/>
          <w:sz w:val="21"/>
          <w:szCs w:val="21"/>
        </w:rPr>
        <w:t xml:space="preserve">联系人：王海彦 </w:t>
      </w:r>
      <w:bookmarkStart w:id="77" w:name="field_0_accountingcompanyinfo_1_end"/>
      <w:bookmarkEnd w:id="77"/>
      <w:r>
        <w:rPr>
          <w:rFonts w:hint="eastAsia"/>
          <w:sz w:val="21"/>
          <w:szCs w:val="21"/>
        </w:rPr>
        <w:t xml:space="preserve">  </w:t>
      </w:r>
    </w:p>
    <w:p w14:paraId="633C380F">
      <w:pPr>
        <w:widowControl/>
        <w:jc w:val="left"/>
        <w:rPr>
          <w:rFonts w:ascii="宋体" w:hAnsi="宋体" w:eastAsia="宋体"/>
        </w:rPr>
      </w:pPr>
      <w:r>
        <w:rPr>
          <w:rFonts w:ascii="宋体" w:hAnsi="宋体" w:eastAsia="宋体"/>
        </w:rPr>
        <w:br w:type="page"/>
      </w:r>
    </w:p>
    <w:p w14:paraId="05A3D497">
      <w:pPr>
        <w:pStyle w:val="2"/>
        <w:jc w:val="center"/>
        <w:rPr>
          <w:rFonts w:ascii="宋体" w:hAnsi="宋体" w:eastAsia="宋体"/>
          <w:sz w:val="30"/>
        </w:rPr>
      </w:pPr>
      <w:bookmarkStart w:id="78" w:name="chapter_level1_9_58"/>
      <w:bookmarkStart w:id="79" w:name="_Toc239193701"/>
      <w:r>
        <w:rPr>
          <w:rFonts w:hint="eastAsia" w:ascii="宋体" w:hAnsi="宋体" w:eastAsia="宋体"/>
          <w:sz w:val="30"/>
        </w:rPr>
        <w:t>第六部分 基金的募集与基金合同的生效</w:t>
      </w:r>
      <w:bookmarkEnd w:id="78"/>
      <w:bookmarkEnd w:id="79"/>
    </w:p>
    <w:p w14:paraId="0772C658">
      <w:pPr>
        <w:pStyle w:val="7"/>
        <w:spacing w:before="0" w:beforeAutospacing="0" w:after="0" w:afterAutospacing="0" w:line="360" w:lineRule="auto"/>
        <w:ind w:firstLine="420"/>
        <w:rPr>
          <w:sz w:val="21"/>
          <w:szCs w:val="21"/>
        </w:rPr>
      </w:pPr>
      <w:bookmarkStart w:id="80" w:name="chapter_level1_9_58_section_1"/>
      <w:bookmarkEnd w:id="80"/>
      <w:r>
        <w:rPr>
          <w:rFonts w:hint="eastAsia"/>
          <w:b/>
          <w:bCs/>
          <w:sz w:val="21"/>
          <w:szCs w:val="21"/>
        </w:rPr>
        <w:t>一．基金的募集</w:t>
      </w:r>
    </w:p>
    <w:p w14:paraId="36628B9F">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81" w:name="field_2343_approveddate_2"/>
      <w:r>
        <w:rPr>
          <w:sz w:val="21"/>
          <w:szCs w:val="21"/>
        </w:rPr>
        <w:t>2020年3月10日</w:t>
      </w:r>
      <w:bookmarkEnd w:id="81"/>
      <w:r>
        <w:rPr>
          <w:rFonts w:hint="eastAsia"/>
          <w:sz w:val="21"/>
          <w:szCs w:val="21"/>
        </w:rPr>
        <w:t>证监许可</w:t>
      </w:r>
      <w:bookmarkStart w:id="82" w:name="field_2343_lotnumber_2"/>
      <w:r>
        <w:rPr>
          <w:sz w:val="21"/>
          <w:szCs w:val="21"/>
        </w:rPr>
        <w:t>[2020]386</w:t>
      </w:r>
      <w:bookmarkEnd w:id="82"/>
      <w:r>
        <w:rPr>
          <w:rFonts w:hint="eastAsia"/>
          <w:sz w:val="21"/>
          <w:szCs w:val="21"/>
        </w:rPr>
        <w:t xml:space="preserve">号文准予募集注册。 </w:t>
      </w:r>
    </w:p>
    <w:p w14:paraId="2D00E7FB">
      <w:pPr>
        <w:pStyle w:val="7"/>
        <w:spacing w:before="0" w:beforeAutospacing="0" w:after="0" w:afterAutospacing="0" w:line="360" w:lineRule="auto"/>
        <w:ind w:firstLine="420"/>
        <w:rPr>
          <w:sz w:val="21"/>
          <w:szCs w:val="21"/>
        </w:rPr>
      </w:pPr>
      <w:r>
        <w:rPr>
          <w:rFonts w:hint="eastAsia"/>
          <w:sz w:val="21"/>
          <w:szCs w:val="21"/>
        </w:rPr>
        <w:t>本基金募集期自</w:t>
      </w:r>
      <w:bookmarkStart w:id="83" w:name="field_58_raisebegindate_1"/>
      <w:r>
        <w:rPr>
          <w:sz w:val="21"/>
          <w:szCs w:val="21"/>
        </w:rPr>
        <w:t>2020年5月8日</w:t>
      </w:r>
      <w:bookmarkEnd w:id="83"/>
      <w:r>
        <w:rPr>
          <w:rFonts w:hint="eastAsia"/>
          <w:sz w:val="21"/>
          <w:szCs w:val="21"/>
        </w:rPr>
        <w:t>至</w:t>
      </w:r>
      <w:bookmarkStart w:id="84" w:name="field_58_raiseenddate_1"/>
      <w:r>
        <w:rPr>
          <w:sz w:val="21"/>
          <w:szCs w:val="21"/>
        </w:rPr>
        <w:t>2020年5月13日</w:t>
      </w:r>
      <w:bookmarkEnd w:id="84"/>
      <w:r>
        <w:rPr>
          <w:rFonts w:hint="eastAsia"/>
          <w:sz w:val="21"/>
          <w:szCs w:val="21"/>
        </w:rPr>
        <w:t>期间，基金份额共募集</w:t>
      </w:r>
      <w:bookmarkStart w:id="85" w:name="field_58_raisetotal_1"/>
      <w:r>
        <w:rPr>
          <w:sz w:val="21"/>
          <w:szCs w:val="21"/>
        </w:rPr>
        <w:t>4,676,601,575.47</w:t>
      </w:r>
      <w:bookmarkEnd w:id="85"/>
      <w:r>
        <w:rPr>
          <w:rFonts w:hint="eastAsia"/>
          <w:sz w:val="21"/>
          <w:szCs w:val="21"/>
        </w:rPr>
        <w:t>份（含利息结转的份额），募集有效认购总户数为</w:t>
      </w:r>
      <w:bookmarkStart w:id="86" w:name="field_58_effectivetotal_1"/>
      <w:r>
        <w:rPr>
          <w:sz w:val="21"/>
          <w:szCs w:val="21"/>
        </w:rPr>
        <w:t>23,100</w:t>
      </w:r>
      <w:bookmarkEnd w:id="86"/>
      <w:r>
        <w:rPr>
          <w:rFonts w:hint="eastAsia"/>
          <w:sz w:val="21"/>
          <w:szCs w:val="21"/>
        </w:rPr>
        <w:t xml:space="preserve">户。 </w:t>
      </w:r>
    </w:p>
    <w:p w14:paraId="06AC455D">
      <w:pPr>
        <w:pStyle w:val="7"/>
        <w:spacing w:before="0" w:beforeAutospacing="0" w:after="0" w:afterAutospacing="0" w:line="360" w:lineRule="auto"/>
        <w:ind w:firstLine="420"/>
        <w:rPr>
          <w:sz w:val="21"/>
          <w:szCs w:val="21"/>
        </w:rPr>
      </w:pPr>
      <w:r>
        <w:rPr>
          <w:rFonts w:hint="eastAsia"/>
          <w:sz w:val="21"/>
          <w:szCs w:val="21"/>
        </w:rPr>
        <w:t>本基金的运作方式为</w:t>
      </w:r>
      <w:bookmarkStart w:id="87" w:name="field_58_operation_1"/>
      <w:r>
        <w:rPr>
          <w:rFonts w:hint="eastAsia"/>
          <w:sz w:val="21"/>
          <w:szCs w:val="21"/>
        </w:rPr>
        <w:t>契约型开放式</w:t>
      </w:r>
      <w:bookmarkEnd w:id="87"/>
      <w:r>
        <w:rPr>
          <w:rFonts w:hint="eastAsia"/>
          <w:sz w:val="21"/>
          <w:szCs w:val="21"/>
        </w:rPr>
        <w:t>，存续期间为</w:t>
      </w:r>
      <w:bookmarkStart w:id="88" w:name="field_58_duration_1"/>
      <w:r>
        <w:rPr>
          <w:rFonts w:hint="eastAsia"/>
          <w:sz w:val="21"/>
          <w:szCs w:val="21"/>
        </w:rPr>
        <w:t>不定期</w:t>
      </w:r>
      <w:bookmarkEnd w:id="88"/>
      <w:r>
        <w:rPr>
          <w:rFonts w:hint="eastAsia"/>
          <w:sz w:val="21"/>
          <w:szCs w:val="21"/>
        </w:rPr>
        <w:t xml:space="preserve">。 </w:t>
      </w:r>
    </w:p>
    <w:p w14:paraId="592E44F6">
      <w:pPr>
        <w:pStyle w:val="7"/>
        <w:spacing w:before="0" w:beforeAutospacing="0" w:after="0" w:afterAutospacing="0" w:line="360" w:lineRule="auto"/>
        <w:ind w:firstLine="420"/>
        <w:rPr>
          <w:sz w:val="21"/>
          <w:szCs w:val="21"/>
        </w:rPr>
      </w:pPr>
      <w:r>
        <w:rPr>
          <w:rFonts w:hint="eastAsia"/>
          <w:b/>
          <w:bCs/>
          <w:sz w:val="21"/>
          <w:szCs w:val="21"/>
        </w:rPr>
        <w:t>二、基金合同的生效</w:t>
      </w:r>
    </w:p>
    <w:p w14:paraId="41CAEF9B">
      <w:pPr>
        <w:pStyle w:val="7"/>
        <w:spacing w:before="0" w:beforeAutospacing="0" w:after="0" w:afterAutospacing="0" w:line="360" w:lineRule="auto"/>
        <w:ind w:firstLine="420"/>
        <w:rPr>
          <w:sz w:val="21"/>
          <w:szCs w:val="21"/>
        </w:rPr>
      </w:pPr>
      <w:bookmarkStart w:id="89" w:name="chapter_level1_9_58_section_1_end"/>
      <w:bookmarkEnd w:id="89"/>
      <w:r>
        <w:rPr>
          <w:rFonts w:hint="eastAsia"/>
          <w:sz w:val="21"/>
          <w:szCs w:val="21"/>
        </w:rPr>
        <w:t>本基金的基金合同已于</w:t>
      </w:r>
      <w:bookmarkStart w:id="90" w:name="field_0_foundday_1"/>
      <w:r>
        <w:rPr>
          <w:sz w:val="21"/>
          <w:szCs w:val="21"/>
        </w:rPr>
        <w:t>2020年5月18日</w:t>
      </w:r>
      <w:bookmarkEnd w:id="90"/>
      <w:r>
        <w:rPr>
          <w:rFonts w:hint="eastAsia"/>
          <w:sz w:val="21"/>
          <w:szCs w:val="21"/>
        </w:rPr>
        <w:t xml:space="preserve">正式生效。 </w:t>
      </w:r>
    </w:p>
    <w:p w14:paraId="50E03AF6">
      <w:pPr>
        <w:pStyle w:val="7"/>
        <w:spacing w:before="0" w:beforeAutospacing="0" w:after="0" w:afterAutospacing="0" w:line="360" w:lineRule="auto"/>
        <w:ind w:firstLine="420"/>
        <w:rPr>
          <w:sz w:val="21"/>
          <w:szCs w:val="21"/>
        </w:rPr>
      </w:pPr>
      <w:bookmarkStart w:id="91" w:name="chapter_level1_9_58_section_2"/>
      <w:bookmarkEnd w:id="91"/>
      <w:r>
        <w:rPr>
          <w:rStyle w:val="11"/>
          <w:rFonts w:hint="eastAsia"/>
          <w:sz w:val="21"/>
          <w:szCs w:val="21"/>
        </w:rPr>
        <w:t>三、基金存续期内的基金份额持有人数量和资产规模</w:t>
      </w:r>
    </w:p>
    <w:p w14:paraId="60B3A349">
      <w:pPr>
        <w:pStyle w:val="7"/>
        <w:spacing w:before="0" w:beforeAutospacing="0" w:after="0" w:afterAutospacing="0" w:line="360" w:lineRule="auto"/>
        <w:ind w:firstLine="420"/>
        <w:rPr>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开基金份额持有人大会进行表决。 </w:t>
      </w:r>
    </w:p>
    <w:p w14:paraId="0735C5E3">
      <w:pPr>
        <w:pStyle w:val="7"/>
        <w:spacing w:before="0" w:beforeAutospacing="0" w:after="0" w:afterAutospacing="0" w:line="360" w:lineRule="auto"/>
        <w:ind w:firstLine="420"/>
        <w:rPr>
          <w:sz w:val="21"/>
          <w:szCs w:val="21"/>
        </w:rPr>
      </w:pPr>
      <w:bookmarkStart w:id="92" w:name="chapter_level1_9_58_section_2_end"/>
      <w:bookmarkEnd w:id="92"/>
      <w:r>
        <w:rPr>
          <w:rFonts w:hint="eastAsia"/>
          <w:sz w:val="21"/>
          <w:szCs w:val="21"/>
        </w:rPr>
        <w:t xml:space="preserve">法律法规或中国证监会另有规定时，从其规定。 </w:t>
      </w:r>
    </w:p>
    <w:p w14:paraId="4EC83E01">
      <w:pPr>
        <w:widowControl/>
        <w:jc w:val="left"/>
        <w:rPr>
          <w:rFonts w:ascii="宋体" w:hAnsi="宋体" w:eastAsia="宋体"/>
        </w:rPr>
      </w:pPr>
      <w:r>
        <w:rPr>
          <w:rFonts w:ascii="宋体" w:hAnsi="宋体" w:eastAsia="宋体"/>
        </w:rPr>
        <w:br w:type="page"/>
      </w:r>
    </w:p>
    <w:p w14:paraId="3274E4CB">
      <w:pPr>
        <w:pStyle w:val="2"/>
        <w:jc w:val="center"/>
        <w:rPr>
          <w:rFonts w:ascii="宋体" w:hAnsi="宋体" w:eastAsia="宋体"/>
          <w:sz w:val="30"/>
        </w:rPr>
      </w:pPr>
      <w:bookmarkStart w:id="93" w:name="_Toc239193702"/>
      <w:bookmarkStart w:id="94" w:name="chapter_level1_10_59"/>
      <w:r>
        <w:rPr>
          <w:rFonts w:hint="eastAsia" w:ascii="宋体" w:hAnsi="宋体" w:eastAsia="宋体"/>
          <w:sz w:val="30"/>
        </w:rPr>
        <w:t>第七部分  基金份额的申购与赎回</w:t>
      </w:r>
      <w:bookmarkEnd w:id="93"/>
      <w:bookmarkEnd w:id="94"/>
    </w:p>
    <w:p w14:paraId="0C5786A0">
      <w:pPr>
        <w:pStyle w:val="7"/>
        <w:spacing w:before="0" w:beforeAutospacing="0" w:after="0" w:afterAutospacing="0" w:line="360" w:lineRule="auto"/>
        <w:ind w:firstLine="420"/>
        <w:rPr>
          <w:sz w:val="21"/>
          <w:szCs w:val="21"/>
        </w:rPr>
      </w:pPr>
      <w:bookmarkStart w:id="95" w:name="chapter_level1_10_59_section_1"/>
      <w:bookmarkEnd w:id="95"/>
      <w:r>
        <w:rPr>
          <w:rStyle w:val="11"/>
          <w:rFonts w:hint="eastAsia"/>
          <w:sz w:val="21"/>
          <w:szCs w:val="21"/>
        </w:rPr>
        <w:t>一、申购和赎回场所</w:t>
      </w:r>
    </w:p>
    <w:p w14:paraId="741CECF6">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列明。基金管理人可根据情况变更或增减销售机构。基金投资者应当在销售机构办理基金销售业务的营业场所或按销售机构提供的其他方式办理基金份额的申购</w:t>
      </w:r>
      <w:bookmarkStart w:id="96" w:name="chapter_level1_10_59_section_1_end"/>
      <w:bookmarkEnd w:id="96"/>
      <w:r>
        <w:rPr>
          <w:rFonts w:hint="eastAsia"/>
          <w:sz w:val="21"/>
          <w:szCs w:val="21"/>
        </w:rPr>
        <w:t xml:space="preserve">与赎回。 </w:t>
      </w:r>
    </w:p>
    <w:p w14:paraId="63490A12">
      <w:pPr>
        <w:pStyle w:val="7"/>
        <w:spacing w:before="0" w:beforeAutospacing="0" w:after="0" w:afterAutospacing="0" w:line="360" w:lineRule="auto"/>
        <w:ind w:firstLine="420"/>
        <w:rPr>
          <w:sz w:val="21"/>
          <w:szCs w:val="21"/>
        </w:rPr>
      </w:pPr>
      <w:bookmarkStart w:id="97" w:name="chapter_level1_10_59_section_2"/>
      <w:bookmarkEnd w:id="97"/>
      <w:r>
        <w:rPr>
          <w:rStyle w:val="11"/>
          <w:rFonts w:hint="eastAsia"/>
          <w:sz w:val="21"/>
          <w:szCs w:val="21"/>
        </w:rPr>
        <w:t>二、申购和赎回的开放日及时间</w:t>
      </w:r>
    </w:p>
    <w:p w14:paraId="02F0D10D">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221D7E1D">
      <w:pPr>
        <w:pStyle w:val="7"/>
        <w:spacing w:before="0" w:beforeAutospacing="0" w:after="0" w:afterAutospacing="0" w:line="360" w:lineRule="auto"/>
        <w:ind w:firstLine="420"/>
        <w:rPr>
          <w:sz w:val="21"/>
          <w:szCs w:val="21"/>
        </w:rPr>
      </w:pPr>
      <w:r>
        <w:rPr>
          <w:rFonts w:hint="eastAsia"/>
          <w:sz w:val="21"/>
          <w:szCs w:val="21"/>
        </w:rPr>
        <w:t xml:space="preserve">基金管理人在开放日办理基金份额的申购和/或赎回。投资人在开放日办理申购和/或赎回的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5E9FC272">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指定媒介上公告。 </w:t>
      </w:r>
    </w:p>
    <w:p w14:paraId="630BD367">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3E96C5A2">
      <w:pPr>
        <w:pStyle w:val="7"/>
        <w:spacing w:before="0" w:beforeAutospacing="0" w:after="0" w:afterAutospacing="0" w:line="360" w:lineRule="auto"/>
        <w:ind w:firstLine="420"/>
        <w:rPr>
          <w:sz w:val="21"/>
          <w:szCs w:val="21"/>
        </w:rPr>
      </w:pPr>
      <w:r>
        <w:rPr>
          <w:rFonts w:hint="eastAsia"/>
          <w:sz w:val="21"/>
          <w:szCs w:val="21"/>
        </w:rPr>
        <w:t xml:space="preserve">本基金已于2020年8月17日开通日常申购业务，于2020年11月18日开通日常赎回业务。  </w:t>
      </w:r>
    </w:p>
    <w:p w14:paraId="332BD793">
      <w:pPr>
        <w:pStyle w:val="7"/>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该类基金份额申购、赎回或转换的价</w:t>
      </w:r>
      <w:bookmarkStart w:id="98" w:name="chapter_level1_10_59_section_2_end"/>
      <w:bookmarkEnd w:id="98"/>
      <w:r>
        <w:rPr>
          <w:rFonts w:hint="eastAsia"/>
          <w:sz w:val="21"/>
          <w:szCs w:val="21"/>
        </w:rPr>
        <w:t xml:space="preserve">格。 </w:t>
      </w:r>
    </w:p>
    <w:p w14:paraId="77C25AE9">
      <w:pPr>
        <w:pStyle w:val="7"/>
        <w:spacing w:before="0" w:beforeAutospacing="0" w:after="0" w:afterAutospacing="0" w:line="360" w:lineRule="auto"/>
        <w:ind w:firstLine="420"/>
        <w:rPr>
          <w:sz w:val="21"/>
          <w:szCs w:val="21"/>
        </w:rPr>
      </w:pPr>
      <w:bookmarkStart w:id="99" w:name="chapter_level1_10_59_section_3"/>
      <w:bookmarkEnd w:id="99"/>
      <w:r>
        <w:rPr>
          <w:rStyle w:val="11"/>
          <w:rFonts w:hint="eastAsia"/>
          <w:sz w:val="21"/>
          <w:szCs w:val="21"/>
        </w:rPr>
        <w:t>三、申购与赎回的原则</w:t>
      </w:r>
    </w:p>
    <w:p w14:paraId="3F4EC9D8">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1、“未知价”原则，即申购、赎回价格以申请当日收市后计算的基金份额净值为基准进行计算； </w:t>
      </w:r>
    </w:p>
    <w:p w14:paraId="044EBF72">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6D6EA501">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32FD626E">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0FA552A2">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06F17A80">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基金管理人可在法律法规允许的情况下，对上述原则进行调整。基金管理人必须在新规则开始实施前依照《信息披露办法》的有关规定在指定媒介上公告。 </w:t>
      </w:r>
    </w:p>
    <w:p w14:paraId="5752DECB">
      <w:pPr>
        <w:pStyle w:val="7"/>
        <w:spacing w:before="0" w:beforeAutospacing="0" w:after="0" w:afterAutospacing="0" w:line="360" w:lineRule="auto"/>
        <w:ind w:firstLine="420"/>
        <w:rPr>
          <w:sz w:val="21"/>
          <w:szCs w:val="21"/>
        </w:rPr>
      </w:pPr>
      <w:r>
        <w:rPr>
          <w:rStyle w:val="11"/>
          <w:rFonts w:hint="eastAsia"/>
          <w:sz w:val="21"/>
          <w:szCs w:val="21"/>
        </w:rPr>
        <w:t>四、申购与赎回的数额限制</w:t>
      </w:r>
    </w:p>
    <w:p w14:paraId="06CB73F4">
      <w:pPr>
        <w:pStyle w:val="7"/>
        <w:spacing w:before="0" w:beforeAutospacing="0" w:after="0" w:afterAutospacing="0" w:line="360" w:lineRule="auto"/>
        <w:ind w:firstLine="420"/>
        <w:rPr>
          <w:sz w:val="21"/>
          <w:szCs w:val="21"/>
        </w:rPr>
      </w:pPr>
      <w:r>
        <w:rPr>
          <w:rFonts w:hint="eastAsia"/>
          <w:sz w:val="21"/>
          <w:szCs w:val="21"/>
        </w:rPr>
        <w:t>1、投资人首次申购本基金A类基金份额或C类基金份额的最低金额为</w:t>
      </w:r>
      <w:bookmarkStart w:id="100" w:name="field_0_dealerfirstpurminamount_1"/>
      <w:r>
        <w:rPr>
          <w:sz w:val="21"/>
          <w:szCs w:val="21"/>
        </w:rPr>
        <w:t>10</w:t>
      </w:r>
      <w:bookmarkEnd w:id="100"/>
      <w:r>
        <w:rPr>
          <w:rFonts w:hint="eastAsia"/>
          <w:sz w:val="21"/>
          <w:szCs w:val="21"/>
        </w:rPr>
        <w:t>元（含申购费），追加申购最低金额为</w:t>
      </w:r>
      <w:bookmarkStart w:id="101" w:name="field_0_dealerlaterpurminamount_1"/>
      <w:r>
        <w:rPr>
          <w:sz w:val="21"/>
          <w:szCs w:val="21"/>
        </w:rPr>
        <w:t>10</w:t>
      </w:r>
      <w:bookmarkEnd w:id="101"/>
      <w:r>
        <w:rPr>
          <w:rFonts w:hint="eastAsia"/>
          <w:sz w:val="21"/>
          <w:szCs w:val="21"/>
        </w:rPr>
        <w:t xml:space="preserve">元（含申购费）；详情请见当地销售机构公告； </w:t>
      </w:r>
    </w:p>
    <w:p w14:paraId="340FC2F6">
      <w:pPr>
        <w:pStyle w:val="7"/>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102" w:name="field_0_minholdshare_1"/>
      <w:r>
        <w:rPr>
          <w:sz w:val="21"/>
          <w:szCs w:val="21"/>
        </w:rPr>
        <w:t>10</w:t>
      </w:r>
      <w:bookmarkEnd w:id="102"/>
      <w:r>
        <w:rPr>
          <w:rFonts w:hint="eastAsia"/>
          <w:sz w:val="21"/>
          <w:szCs w:val="21"/>
        </w:rPr>
        <w:t>份，若某笔赎回导致单个交易账户的某一类别基金份额余额少于</w:t>
      </w:r>
      <w:bookmarkStart w:id="103" w:name="field_0_minholdshare_2"/>
      <w:r>
        <w:rPr>
          <w:sz w:val="21"/>
          <w:szCs w:val="21"/>
        </w:rPr>
        <w:t>10</w:t>
      </w:r>
      <w:bookmarkEnd w:id="103"/>
      <w:r>
        <w:rPr>
          <w:rFonts w:hint="eastAsia"/>
          <w:sz w:val="21"/>
          <w:szCs w:val="21"/>
        </w:rPr>
        <w:t xml:space="preserve">份时，该类份额余额部分基金份额必须一同赎回； </w:t>
      </w:r>
    </w:p>
    <w:p w14:paraId="12278863">
      <w:pPr>
        <w:pStyle w:val="7"/>
        <w:spacing w:before="0" w:beforeAutospacing="0" w:after="0" w:afterAutospacing="0" w:line="360" w:lineRule="auto"/>
        <w:ind w:firstLine="420"/>
        <w:rPr>
          <w:sz w:val="21"/>
          <w:szCs w:val="21"/>
        </w:rPr>
      </w:pPr>
      <w:r>
        <w:rPr>
          <w:rFonts w:hint="eastAsia"/>
          <w:sz w:val="21"/>
          <w:szCs w:val="21"/>
        </w:rPr>
        <w:t>3、投资人通过销售机构赎回基金份额时，本基金单笔某一类份额赎回申请不得低于</w:t>
      </w:r>
      <w:bookmarkStart w:id="104" w:name="field_0_minholdshare_3"/>
      <w:r>
        <w:rPr>
          <w:sz w:val="21"/>
          <w:szCs w:val="21"/>
        </w:rPr>
        <w:t>10</w:t>
      </w:r>
      <w:bookmarkEnd w:id="104"/>
      <w:r>
        <w:rPr>
          <w:rFonts w:hint="eastAsia"/>
          <w:sz w:val="21"/>
          <w:szCs w:val="21"/>
        </w:rPr>
        <w:t>份，若投资者单个交易账户持有的某类基金份额余额不足</w:t>
      </w:r>
      <w:bookmarkStart w:id="105" w:name="field_0_minholdshare_4"/>
      <w:r>
        <w:rPr>
          <w:sz w:val="21"/>
          <w:szCs w:val="21"/>
        </w:rPr>
        <w:t>10</w:t>
      </w:r>
      <w:bookmarkEnd w:id="105"/>
      <w:r>
        <w:rPr>
          <w:rFonts w:hint="eastAsia"/>
          <w:sz w:val="21"/>
          <w:szCs w:val="21"/>
        </w:rPr>
        <w:t xml:space="preserve">份，将不受此限制，但投资者在提交赎回申请时须将该类份额全部赎回。各销售机构在符合上述规定的前提下，可根据自己的情况调整单笔赎回申请限制，具体以销售机构公布的为准，投资人需遵循销售机构的相关规定。 </w:t>
      </w:r>
    </w:p>
    <w:p w14:paraId="1FE464C2">
      <w:pPr>
        <w:pStyle w:val="7"/>
        <w:spacing w:before="0" w:beforeAutospacing="0" w:after="0" w:afterAutospacing="0" w:line="360" w:lineRule="auto"/>
        <w:ind w:firstLine="420"/>
        <w:rPr>
          <w:sz w:val="21"/>
          <w:szCs w:val="21"/>
        </w:rPr>
      </w:pPr>
      <w:r>
        <w:rPr>
          <w:rFonts w:hint="eastAsia"/>
          <w:sz w:val="21"/>
          <w:szCs w:val="21"/>
        </w:rPr>
        <w:t xml:space="preserve">4、本基金目前对单个投资人累计持有份额不设上限限制，基金管理人可以规定单个投资者累计持有的基金份额数量限制，具体规定见更新的招募说明书或相关公告，但需符合法律法规、监管机构的规定和基金合同的约定； </w:t>
      </w:r>
    </w:p>
    <w:p w14:paraId="340ABC3A">
      <w:pPr>
        <w:pStyle w:val="7"/>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 </w:t>
      </w:r>
    </w:p>
    <w:p w14:paraId="6E8798E1">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基金管理人可在法律法规允许的情况下，调整上述规定申购金额和赎回份额的数量限制。基金管理人必须在调整实施前依照《信息披露办法》的有关规定在指定媒介上进行公告。 </w:t>
      </w:r>
    </w:p>
    <w:p w14:paraId="330FC9D0">
      <w:pPr>
        <w:pStyle w:val="7"/>
        <w:spacing w:before="0" w:beforeAutospacing="0" w:after="0" w:afterAutospacing="0" w:line="360" w:lineRule="auto"/>
        <w:ind w:firstLine="420"/>
        <w:rPr>
          <w:sz w:val="21"/>
          <w:szCs w:val="21"/>
        </w:rPr>
      </w:pPr>
      <w:r>
        <w:rPr>
          <w:rStyle w:val="11"/>
          <w:rFonts w:hint="eastAsia"/>
          <w:sz w:val="21"/>
          <w:szCs w:val="21"/>
        </w:rPr>
        <w:t>五、申购与赎回的程序</w:t>
      </w:r>
    </w:p>
    <w:p w14:paraId="02F6FD44">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69D866F8">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24856548">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762BA556">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4860982D">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者赎回申请生效后，基金管理人将在T＋7日(包括该日)内支付赎回款项。在发生巨额赎回或基金合同约定的其他暂停赎回或延缓支付赎回款项的情形时，款项的支付办法参照基金合同有关条款处理。 </w:t>
      </w:r>
    </w:p>
    <w:p w14:paraId="07F1A8B1">
      <w:pPr>
        <w:pStyle w:val="7"/>
        <w:spacing w:before="0" w:beforeAutospacing="0" w:after="0" w:afterAutospacing="0" w:line="360" w:lineRule="auto"/>
        <w:ind w:firstLine="420"/>
        <w:rPr>
          <w:sz w:val="21"/>
          <w:szCs w:val="21"/>
        </w:rPr>
      </w:pPr>
      <w:r>
        <w:rPr>
          <w:rFonts w:hint="eastAsia"/>
          <w:sz w:val="21"/>
          <w:szCs w:val="21"/>
        </w:rPr>
        <w:t xml:space="preserve">如遇交易所或交易市场数据传输延迟、通讯系统故障、银行数据交换系统故障、港股通交易系统或港股通资金交收规则限制或其他非基金管理人及基金托管人所能控制的因素影响了业务流程，则赎回款项划付时间相应顺延至该因素消除的最近一个工作日。 </w:t>
      </w:r>
    </w:p>
    <w:p w14:paraId="2229A767">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16AABEFC">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5AF780FB">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4A5750A3">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基金管理人可以在法律法规和基金合同允许的范围内，对上述业务办理时间进行调整，并在调整实施前依照《信息披露办法》的有关规定在指定媒介上公告。 </w:t>
      </w:r>
    </w:p>
    <w:p w14:paraId="68EDF473">
      <w:pPr>
        <w:pStyle w:val="7"/>
        <w:spacing w:before="0" w:beforeAutospacing="0" w:after="0" w:afterAutospacing="0" w:line="360" w:lineRule="auto"/>
        <w:ind w:firstLine="420"/>
        <w:rPr>
          <w:sz w:val="21"/>
          <w:szCs w:val="21"/>
        </w:rPr>
      </w:pPr>
      <w:r>
        <w:rPr>
          <w:rFonts w:hint="eastAsia"/>
          <w:sz w:val="21"/>
          <w:szCs w:val="21"/>
        </w:rPr>
        <w:t xml:space="preserve">六、申购费率、赎回费率 </w:t>
      </w:r>
    </w:p>
    <w:p w14:paraId="2469C18A">
      <w:pPr>
        <w:pStyle w:val="7"/>
        <w:spacing w:before="0" w:beforeAutospacing="0" w:after="0" w:afterAutospacing="0" w:line="360" w:lineRule="auto"/>
        <w:ind w:firstLine="420"/>
        <w:rPr>
          <w:sz w:val="21"/>
          <w:szCs w:val="21"/>
        </w:rPr>
      </w:pPr>
      <w:r>
        <w:rPr>
          <w:rFonts w:hint="eastAsia"/>
          <w:sz w:val="21"/>
          <w:szCs w:val="21"/>
        </w:rPr>
        <w:t xml:space="preserve">1、本基金A类基金份额在申购时收取基金申购费用；C类基金份额不收取申购费用。 </w:t>
      </w:r>
    </w:p>
    <w:tbl>
      <w:tblPr>
        <w:tblStyle w:val="9"/>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42"/>
        <w:gridCol w:w="2193"/>
        <w:gridCol w:w="2378"/>
      </w:tblGrid>
      <w:tr w14:paraId="48E4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522DB8">
            <w:pPr>
              <w:rPr>
                <w:rFonts w:ascii="宋体" w:hAnsi="宋体" w:eastAsia="宋体" w:cs="宋体"/>
                <w:sz w:val="24"/>
                <w:szCs w:val="24"/>
              </w:rPr>
            </w:pPr>
            <w:r>
              <w:rPr>
                <w:rFonts w:hint="eastAsia" w:ascii="宋体" w:hAnsi="宋体" w:eastAsia="宋体"/>
              </w:rPr>
              <w:t xml:space="preserve">金额（M） </w:t>
            </w:r>
          </w:p>
        </w:tc>
        <w:tc>
          <w:tcPr>
            <w:tcW w:w="0" w:type="auto"/>
            <w:shd w:val="clear" w:color="auto" w:fill="auto"/>
          </w:tcPr>
          <w:p w14:paraId="31EFE3F0">
            <w:pPr>
              <w:rPr>
                <w:rFonts w:ascii="宋体" w:hAnsi="宋体" w:eastAsia="宋体" w:cs="宋体"/>
                <w:sz w:val="24"/>
                <w:szCs w:val="24"/>
              </w:rPr>
            </w:pPr>
            <w:r>
              <w:rPr>
                <w:rFonts w:hint="eastAsia" w:ascii="宋体" w:hAnsi="宋体" w:eastAsia="宋体"/>
              </w:rPr>
              <w:t xml:space="preserve">A类基金份额申购费率 </w:t>
            </w:r>
          </w:p>
        </w:tc>
        <w:tc>
          <w:tcPr>
            <w:tcW w:w="0" w:type="auto"/>
            <w:shd w:val="clear" w:color="auto" w:fill="auto"/>
          </w:tcPr>
          <w:p w14:paraId="58D46F5F">
            <w:pPr>
              <w:rPr>
                <w:rFonts w:ascii="宋体" w:hAnsi="宋体" w:eastAsia="宋体" w:cs="宋体"/>
                <w:sz w:val="24"/>
                <w:szCs w:val="24"/>
              </w:rPr>
            </w:pPr>
            <w:r>
              <w:rPr>
                <w:rFonts w:hint="eastAsia" w:ascii="宋体" w:hAnsi="宋体" w:eastAsia="宋体"/>
              </w:rPr>
              <w:t xml:space="preserve">C类基金份额的申购费率 </w:t>
            </w:r>
          </w:p>
        </w:tc>
      </w:tr>
      <w:tr w14:paraId="58B5D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C4CC33">
            <w:pPr>
              <w:rPr>
                <w:rFonts w:ascii="宋体" w:hAnsi="宋体" w:eastAsia="宋体" w:cs="宋体"/>
                <w:sz w:val="24"/>
                <w:szCs w:val="24"/>
              </w:rPr>
            </w:pPr>
            <w:r>
              <w:rPr>
                <w:rFonts w:hint="eastAsia" w:ascii="宋体" w:hAnsi="宋体" w:eastAsia="宋体"/>
              </w:rPr>
              <w:t xml:space="preserve">M＜100万元 </w:t>
            </w:r>
          </w:p>
        </w:tc>
        <w:tc>
          <w:tcPr>
            <w:tcW w:w="0" w:type="auto"/>
            <w:shd w:val="clear" w:color="auto" w:fill="auto"/>
          </w:tcPr>
          <w:p w14:paraId="4B0961C0">
            <w:pPr>
              <w:rPr>
                <w:rFonts w:ascii="宋体" w:hAnsi="宋体" w:eastAsia="宋体" w:cs="宋体"/>
                <w:sz w:val="24"/>
                <w:szCs w:val="24"/>
              </w:rPr>
            </w:pPr>
            <w:r>
              <w:rPr>
                <w:rFonts w:hint="eastAsia" w:ascii="宋体" w:hAnsi="宋体" w:eastAsia="宋体"/>
              </w:rPr>
              <w:t xml:space="preserve">1.00% </w:t>
            </w:r>
          </w:p>
        </w:tc>
        <w:tc>
          <w:tcPr>
            <w:tcW w:w="0" w:type="auto"/>
            <w:vMerge w:val="restart"/>
            <w:shd w:val="clear" w:color="auto" w:fill="auto"/>
          </w:tcPr>
          <w:p w14:paraId="7A0FE4FD">
            <w:pPr>
              <w:rPr>
                <w:rFonts w:ascii="宋体" w:hAnsi="宋体" w:eastAsia="宋体" w:cs="宋体"/>
                <w:sz w:val="24"/>
                <w:szCs w:val="24"/>
              </w:rPr>
            </w:pPr>
            <w:r>
              <w:rPr>
                <w:rFonts w:hint="eastAsia" w:ascii="宋体" w:hAnsi="宋体" w:eastAsia="宋体"/>
              </w:rPr>
              <w:t xml:space="preserve">0% </w:t>
            </w:r>
          </w:p>
        </w:tc>
      </w:tr>
      <w:tr w14:paraId="58E6E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6970EA">
            <w:pPr>
              <w:rPr>
                <w:rFonts w:ascii="宋体" w:hAnsi="宋体" w:eastAsia="宋体" w:cs="宋体"/>
                <w:sz w:val="24"/>
                <w:szCs w:val="24"/>
              </w:rPr>
            </w:pPr>
            <w:r>
              <w:rPr>
                <w:rFonts w:hint="eastAsia" w:ascii="宋体" w:hAnsi="宋体" w:eastAsia="宋体"/>
              </w:rPr>
              <w:t xml:space="preserve">100万元≤M＜300万元 </w:t>
            </w:r>
          </w:p>
        </w:tc>
        <w:tc>
          <w:tcPr>
            <w:tcW w:w="0" w:type="auto"/>
            <w:shd w:val="clear" w:color="auto" w:fill="auto"/>
          </w:tcPr>
          <w:p w14:paraId="790DB5FA">
            <w:pPr>
              <w:rPr>
                <w:rFonts w:ascii="宋体" w:hAnsi="宋体" w:eastAsia="宋体" w:cs="宋体"/>
                <w:sz w:val="24"/>
                <w:szCs w:val="24"/>
              </w:rPr>
            </w:pPr>
            <w:r>
              <w:rPr>
                <w:rFonts w:hint="eastAsia" w:ascii="宋体" w:hAnsi="宋体" w:eastAsia="宋体"/>
              </w:rPr>
              <w:t xml:space="preserve">0.60% </w:t>
            </w:r>
          </w:p>
        </w:tc>
        <w:tc>
          <w:tcPr>
            <w:tcW w:w="0" w:type="auto"/>
            <w:vMerge w:val="continue"/>
            <w:shd w:val="clear" w:color="auto" w:fill="auto"/>
          </w:tcPr>
          <w:p w14:paraId="787BE598">
            <w:pPr>
              <w:rPr>
                <w:rFonts w:ascii="宋体" w:hAnsi="宋体" w:eastAsia="宋体" w:cs="宋体"/>
                <w:sz w:val="24"/>
                <w:szCs w:val="24"/>
              </w:rPr>
            </w:pPr>
          </w:p>
        </w:tc>
      </w:tr>
      <w:tr w14:paraId="2A94E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AAF996">
            <w:pPr>
              <w:rPr>
                <w:rFonts w:ascii="宋体" w:hAnsi="宋体" w:eastAsia="宋体" w:cs="宋体"/>
                <w:sz w:val="24"/>
                <w:szCs w:val="24"/>
              </w:rPr>
            </w:pPr>
            <w:r>
              <w:rPr>
                <w:rFonts w:hint="eastAsia" w:ascii="宋体" w:hAnsi="宋体" w:eastAsia="宋体"/>
              </w:rPr>
              <w:t xml:space="preserve">300万元≤M＜500万元 </w:t>
            </w:r>
          </w:p>
        </w:tc>
        <w:tc>
          <w:tcPr>
            <w:tcW w:w="0" w:type="auto"/>
            <w:shd w:val="clear" w:color="auto" w:fill="auto"/>
          </w:tcPr>
          <w:p w14:paraId="11623F31">
            <w:pPr>
              <w:rPr>
                <w:rFonts w:ascii="宋体" w:hAnsi="宋体" w:eastAsia="宋体" w:cs="宋体"/>
                <w:sz w:val="24"/>
                <w:szCs w:val="24"/>
              </w:rPr>
            </w:pPr>
            <w:r>
              <w:rPr>
                <w:rFonts w:hint="eastAsia" w:ascii="宋体" w:hAnsi="宋体" w:eastAsia="宋体"/>
              </w:rPr>
              <w:t xml:space="preserve">0.30% </w:t>
            </w:r>
          </w:p>
        </w:tc>
        <w:tc>
          <w:tcPr>
            <w:tcW w:w="0" w:type="auto"/>
            <w:vMerge w:val="continue"/>
            <w:shd w:val="clear" w:color="auto" w:fill="auto"/>
          </w:tcPr>
          <w:p w14:paraId="5EBD5D81">
            <w:pPr>
              <w:rPr>
                <w:rFonts w:ascii="宋体" w:hAnsi="宋体" w:eastAsia="宋体" w:cs="宋体"/>
                <w:sz w:val="24"/>
                <w:szCs w:val="24"/>
              </w:rPr>
            </w:pPr>
          </w:p>
        </w:tc>
      </w:tr>
      <w:tr w14:paraId="76481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B0CCFAB">
            <w:pPr>
              <w:rPr>
                <w:rFonts w:ascii="宋体" w:hAnsi="宋体" w:eastAsia="宋体" w:cs="宋体"/>
                <w:sz w:val="24"/>
                <w:szCs w:val="24"/>
              </w:rPr>
            </w:pPr>
            <w:r>
              <w:rPr>
                <w:rFonts w:hint="eastAsia" w:ascii="宋体" w:hAnsi="宋体" w:eastAsia="宋体"/>
              </w:rPr>
              <w:t xml:space="preserve">M≥500万元 </w:t>
            </w:r>
          </w:p>
        </w:tc>
        <w:tc>
          <w:tcPr>
            <w:tcW w:w="0" w:type="auto"/>
            <w:shd w:val="clear" w:color="auto" w:fill="auto"/>
          </w:tcPr>
          <w:p w14:paraId="242D82C6">
            <w:pPr>
              <w:rPr>
                <w:rFonts w:ascii="宋体" w:hAnsi="宋体" w:eastAsia="宋体" w:cs="宋体"/>
                <w:sz w:val="24"/>
                <w:szCs w:val="24"/>
              </w:rPr>
            </w:pPr>
            <w:r>
              <w:rPr>
                <w:rFonts w:hint="eastAsia" w:ascii="宋体" w:hAnsi="宋体" w:eastAsia="宋体"/>
              </w:rPr>
              <w:t xml:space="preserve">1000元/笔 </w:t>
            </w:r>
          </w:p>
        </w:tc>
        <w:tc>
          <w:tcPr>
            <w:tcW w:w="0" w:type="auto"/>
            <w:vMerge w:val="continue"/>
            <w:shd w:val="clear" w:color="auto" w:fill="auto"/>
          </w:tcPr>
          <w:p w14:paraId="454F3649">
            <w:pPr>
              <w:rPr>
                <w:rFonts w:ascii="宋体" w:hAnsi="宋体" w:eastAsia="宋体" w:cs="宋体"/>
                <w:sz w:val="24"/>
                <w:szCs w:val="24"/>
              </w:rPr>
            </w:pPr>
          </w:p>
        </w:tc>
      </w:tr>
    </w:tbl>
    <w:p w14:paraId="6A396694">
      <w:pPr>
        <w:pStyle w:val="7"/>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14:paraId="7581615E">
      <w:pPr>
        <w:pStyle w:val="7"/>
        <w:spacing w:before="0" w:beforeAutospacing="0" w:after="0" w:afterAutospacing="0" w:line="360" w:lineRule="auto"/>
        <w:ind w:firstLine="420"/>
        <w:rPr>
          <w:sz w:val="21"/>
          <w:szCs w:val="21"/>
        </w:rPr>
      </w:pPr>
      <w:r>
        <w:rPr>
          <w:rFonts w:hint="eastAsia"/>
          <w:sz w:val="21"/>
          <w:szCs w:val="21"/>
        </w:rPr>
        <w:t xml:space="preserve">2、本基金不收取赎回费，但每笔基金份额持有期满6个月后，基金份额持有人方可就基金份额提出赎回申请。 </w:t>
      </w:r>
    </w:p>
    <w:p w14:paraId="663D3247">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3、基金管理人可以在基金合同约定的范围内调整费率或收费方式，并最迟应于新的费率或收费方式实施日前依照《信息披露办法》的有关规定在指定媒介上公告。 </w:t>
      </w:r>
    </w:p>
    <w:p w14:paraId="07F1A610">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七、申购份额与赎回金额的计算方式</w:t>
      </w:r>
    </w:p>
    <w:p w14:paraId="7271F9A8">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14:paraId="5BF739E5">
      <w:pPr>
        <w:pStyle w:val="7"/>
        <w:spacing w:before="0" w:beforeAutospacing="0" w:after="0" w:afterAutospacing="0" w:line="360" w:lineRule="auto"/>
        <w:ind w:firstLine="420"/>
        <w:rPr>
          <w:sz w:val="21"/>
          <w:szCs w:val="21"/>
        </w:rPr>
      </w:pPr>
      <w:r>
        <w:rPr>
          <w:rFonts w:hint="eastAsia"/>
          <w:sz w:val="21"/>
          <w:szCs w:val="21"/>
        </w:rPr>
        <w:t xml:space="preserve">（1）A类基金份额 </w:t>
      </w:r>
    </w:p>
    <w:p w14:paraId="58028787">
      <w:pPr>
        <w:pStyle w:val="7"/>
        <w:spacing w:before="0" w:beforeAutospacing="0" w:after="0" w:afterAutospacing="0" w:line="360" w:lineRule="auto"/>
        <w:ind w:firstLine="420"/>
        <w:rPr>
          <w:sz w:val="21"/>
          <w:szCs w:val="21"/>
        </w:rPr>
      </w:pPr>
      <w:r>
        <w:rPr>
          <w:rFonts w:hint="eastAsia"/>
          <w:sz w:val="21"/>
          <w:szCs w:val="21"/>
        </w:rPr>
        <w:t xml:space="preserve">申购费用适用比例费率时： </w:t>
      </w:r>
    </w:p>
    <w:p w14:paraId="04BABCE4">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14DBE863">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06C09913">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3C0A06B5">
      <w:pPr>
        <w:pStyle w:val="7"/>
        <w:spacing w:before="0" w:beforeAutospacing="0" w:after="0" w:afterAutospacing="0" w:line="360" w:lineRule="auto"/>
        <w:ind w:firstLine="420"/>
        <w:rPr>
          <w:sz w:val="21"/>
          <w:szCs w:val="21"/>
        </w:rPr>
      </w:pPr>
      <w:r>
        <w:rPr>
          <w:rFonts w:hint="eastAsia"/>
          <w:sz w:val="21"/>
          <w:szCs w:val="21"/>
        </w:rPr>
        <w:t xml:space="preserve">申购费用适用固定金额时： </w:t>
      </w:r>
    </w:p>
    <w:p w14:paraId="3B7E1814">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254F47AC">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13D5CD10">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687A73EC">
      <w:pPr>
        <w:pStyle w:val="7"/>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申购份额的计算结果均按照四舍五入方法，保留到小数点后两位，由此误差产生的损失由基金财产承担，产生的收益归基金财产所有。 </w:t>
      </w:r>
    </w:p>
    <w:p w14:paraId="7D888F52">
      <w:pPr>
        <w:pStyle w:val="7"/>
        <w:spacing w:before="0" w:beforeAutospacing="0" w:after="0" w:afterAutospacing="0" w:line="360" w:lineRule="auto"/>
        <w:ind w:firstLine="420"/>
        <w:rPr>
          <w:sz w:val="21"/>
          <w:szCs w:val="21"/>
        </w:rPr>
      </w:pPr>
      <w:r>
        <w:rPr>
          <w:rFonts w:hint="eastAsia"/>
          <w:sz w:val="21"/>
          <w:szCs w:val="21"/>
        </w:rPr>
        <w:t xml:space="preserve">（2）C类基金份额 </w:t>
      </w:r>
    </w:p>
    <w:p w14:paraId="0C9F905D">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14:paraId="516390DC">
      <w:pPr>
        <w:pStyle w:val="7"/>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申购份额的计算结果均按照四舍五入方法，保留到小数点后两位，由此误差产生的损失由基金财产承担，产生的收益归基金财产所有。 </w:t>
      </w:r>
    </w:p>
    <w:p w14:paraId="68DB5392">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例1：假定T日A类基金份额净值为1.0160元，某投资人本次通过申购本基金A类基金份额10万元，对应的本次申购费率为1.00%，该投资人可得到的A类基金份额为： </w:t>
      </w:r>
    </w:p>
    <w:p w14:paraId="42AF4DA8">
      <w:pPr>
        <w:pStyle w:val="7"/>
        <w:spacing w:before="0" w:beforeAutospacing="0" w:after="0" w:afterAutospacing="0" w:line="360" w:lineRule="auto"/>
        <w:ind w:firstLine="420"/>
        <w:rPr>
          <w:sz w:val="21"/>
          <w:szCs w:val="21"/>
        </w:rPr>
      </w:pPr>
      <w:r>
        <w:rPr>
          <w:rFonts w:hint="eastAsia"/>
          <w:sz w:val="21"/>
          <w:szCs w:val="21"/>
        </w:rPr>
        <w:t xml:space="preserve">净申购金额＝100,000/ (1＋1.00%)＝99,009.90元 </w:t>
      </w:r>
    </w:p>
    <w:p w14:paraId="33F90CD8">
      <w:pPr>
        <w:pStyle w:val="7"/>
        <w:spacing w:before="0" w:beforeAutospacing="0" w:after="0" w:afterAutospacing="0" w:line="360" w:lineRule="auto"/>
        <w:ind w:firstLine="420"/>
        <w:rPr>
          <w:sz w:val="21"/>
          <w:szCs w:val="21"/>
        </w:rPr>
      </w:pPr>
      <w:r>
        <w:rPr>
          <w:rFonts w:hint="eastAsia"/>
          <w:sz w:val="21"/>
          <w:szCs w:val="21"/>
        </w:rPr>
        <w:t xml:space="preserve">申购费用＝100,000－99,009.90元＝990.10元 </w:t>
      </w:r>
    </w:p>
    <w:p w14:paraId="377F6E81">
      <w:pPr>
        <w:pStyle w:val="7"/>
        <w:spacing w:before="0" w:beforeAutospacing="0" w:after="0" w:afterAutospacing="0" w:line="360" w:lineRule="auto"/>
        <w:ind w:firstLine="420"/>
        <w:rPr>
          <w:sz w:val="21"/>
          <w:szCs w:val="21"/>
        </w:rPr>
      </w:pPr>
      <w:r>
        <w:rPr>
          <w:rFonts w:hint="eastAsia"/>
          <w:sz w:val="21"/>
          <w:szCs w:val="21"/>
        </w:rPr>
        <w:t xml:space="preserve">申购份额＝99,009.90/1.0160＝97,450.69份 </w:t>
      </w:r>
    </w:p>
    <w:p w14:paraId="451A2CAE">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即：投资者投资10万元申购本基金A类基金份额，假定申购当日A类基金份额净值为1.0160元，可得到97,450.69份A类基金份额。 </w:t>
      </w:r>
    </w:p>
    <w:p w14:paraId="2AE09676">
      <w:pPr>
        <w:pStyle w:val="7"/>
        <w:spacing w:before="0" w:beforeAutospacing="0" w:after="0" w:afterAutospacing="0" w:line="360" w:lineRule="auto"/>
        <w:ind w:firstLine="420"/>
        <w:rPr>
          <w:sz w:val="21"/>
          <w:szCs w:val="21"/>
        </w:rPr>
      </w:pPr>
      <w:r>
        <w:rPr>
          <w:rFonts w:hint="eastAsia"/>
          <w:sz w:val="21"/>
          <w:szCs w:val="21"/>
        </w:rPr>
        <w:t xml:space="preserve">例2：假设某投资者投资10万元申购本基金C类基金份额，申购当日本基金C类基金份额净值为1.0600元，则可得到的申购份额为： </w:t>
      </w:r>
    </w:p>
    <w:p w14:paraId="10674A6A">
      <w:pPr>
        <w:pStyle w:val="7"/>
        <w:spacing w:before="0" w:beforeAutospacing="0" w:after="0" w:afterAutospacing="0" w:line="360" w:lineRule="auto"/>
        <w:ind w:firstLine="420"/>
        <w:rPr>
          <w:sz w:val="21"/>
          <w:szCs w:val="21"/>
        </w:rPr>
      </w:pPr>
      <w:r>
        <w:rPr>
          <w:rFonts w:hint="eastAsia"/>
          <w:sz w:val="21"/>
          <w:szCs w:val="21"/>
        </w:rPr>
        <w:t xml:space="preserve">申购份额＝100,000/1.0600＝94,339.62份 </w:t>
      </w:r>
    </w:p>
    <w:p w14:paraId="5B73E55B">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7AF645A4">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3EDFA5FB">
      <w:pPr>
        <w:pStyle w:val="7"/>
        <w:spacing w:before="0" w:beforeAutospacing="0" w:after="0" w:afterAutospacing="0" w:line="360" w:lineRule="auto"/>
        <w:ind w:firstLine="420"/>
        <w:rPr>
          <w:sz w:val="21"/>
          <w:szCs w:val="21"/>
        </w:rPr>
      </w:pPr>
      <w:r>
        <w:rPr>
          <w:rFonts w:hint="eastAsia"/>
          <w:sz w:val="21"/>
          <w:szCs w:val="21"/>
        </w:rPr>
        <w:t xml:space="preserve">本基金的净赎回金额为赎回金额扣减赎回费用。采用“份额赎回”方式，赎回价格以T日的基金份额净值为基准进行计算，其中： </w:t>
      </w:r>
    </w:p>
    <w:p w14:paraId="344006C3">
      <w:pPr>
        <w:pStyle w:val="7"/>
        <w:spacing w:before="0" w:beforeAutospacing="0" w:after="0" w:afterAutospacing="0" w:line="360" w:lineRule="auto"/>
        <w:ind w:firstLine="420"/>
        <w:rPr>
          <w:sz w:val="21"/>
          <w:szCs w:val="21"/>
        </w:rPr>
      </w:pPr>
      <w:r>
        <w:rPr>
          <w:rFonts w:hint="eastAsia"/>
          <w:sz w:val="21"/>
          <w:szCs w:val="21"/>
        </w:rPr>
        <w:t xml:space="preserve">赎回金额＝赎回份额×T日该类基金份额的基金份额净值 </w:t>
      </w:r>
    </w:p>
    <w:p w14:paraId="66D5AC3D">
      <w:pPr>
        <w:pStyle w:val="7"/>
        <w:spacing w:before="0" w:beforeAutospacing="0" w:after="0" w:afterAutospacing="0" w:line="360" w:lineRule="auto"/>
        <w:ind w:firstLine="420"/>
        <w:rPr>
          <w:sz w:val="21"/>
          <w:szCs w:val="21"/>
        </w:rPr>
      </w:pPr>
      <w:r>
        <w:rPr>
          <w:rFonts w:hint="eastAsia"/>
          <w:sz w:val="21"/>
          <w:szCs w:val="21"/>
        </w:rPr>
        <w:t xml:space="preserve">赎回费用＝赎回份额×T日该类基金份额的基金份额净值×赎回费率 </w:t>
      </w:r>
    </w:p>
    <w:p w14:paraId="098189EA">
      <w:pPr>
        <w:pStyle w:val="7"/>
        <w:spacing w:before="0" w:beforeAutospacing="0" w:after="0" w:afterAutospacing="0" w:line="360" w:lineRule="auto"/>
        <w:ind w:firstLine="420"/>
        <w:rPr>
          <w:sz w:val="21"/>
          <w:szCs w:val="21"/>
        </w:rPr>
      </w:pPr>
      <w:r>
        <w:rPr>
          <w:rFonts w:hint="eastAsia"/>
          <w:sz w:val="21"/>
          <w:szCs w:val="21"/>
        </w:rPr>
        <w:t xml:space="preserve">净赎回金额＝赎回金额－赎回费用 </w:t>
      </w:r>
    </w:p>
    <w:p w14:paraId="3CE3E814">
      <w:pPr>
        <w:pStyle w:val="7"/>
        <w:spacing w:before="0" w:beforeAutospacing="0" w:after="0" w:afterAutospacing="0" w:line="360" w:lineRule="auto"/>
        <w:ind w:firstLine="420"/>
        <w:rPr>
          <w:sz w:val="21"/>
          <w:szCs w:val="21"/>
        </w:rPr>
      </w:pPr>
      <w:r>
        <w:rPr>
          <w:rFonts w:hint="eastAsia"/>
          <w:sz w:val="21"/>
          <w:szCs w:val="21"/>
        </w:rPr>
        <w:t xml:space="preserve">赎回金额单位为人民币元，计算结果按四舍五入方法，保留到小数点后两位，由此产生的收益或损失由基金财产享有或承担。 </w:t>
      </w:r>
    </w:p>
    <w:p w14:paraId="4CE60F5D">
      <w:pPr>
        <w:pStyle w:val="7"/>
        <w:spacing w:before="0" w:beforeAutospacing="0" w:after="0" w:afterAutospacing="0" w:line="360" w:lineRule="auto"/>
        <w:ind w:firstLine="420"/>
        <w:rPr>
          <w:sz w:val="21"/>
          <w:szCs w:val="21"/>
        </w:rPr>
      </w:pPr>
      <w:r>
        <w:rPr>
          <w:rFonts w:hint="eastAsia"/>
          <w:sz w:val="21"/>
          <w:szCs w:val="21"/>
        </w:rPr>
        <w:t xml:space="preserve">例3：假设某投资者赎回A类基金份额100,000份，持有时间为1年，则对应的赎回费率为0，假设赎回当日A类基金份额净值是1.0600元，则可得到的赎回金额为： </w:t>
      </w:r>
    </w:p>
    <w:p w14:paraId="0631C355">
      <w:pPr>
        <w:pStyle w:val="7"/>
        <w:spacing w:before="0" w:beforeAutospacing="0" w:after="0" w:afterAutospacing="0" w:line="360" w:lineRule="auto"/>
        <w:ind w:firstLine="420"/>
        <w:rPr>
          <w:sz w:val="21"/>
          <w:szCs w:val="21"/>
        </w:rPr>
      </w:pPr>
      <w:r>
        <w:rPr>
          <w:rFonts w:hint="eastAsia"/>
          <w:sz w:val="21"/>
          <w:szCs w:val="21"/>
        </w:rPr>
        <w:t xml:space="preserve">赎回金额＝100,000×1.0600=106,000.00(元) </w:t>
      </w:r>
    </w:p>
    <w:p w14:paraId="1D1FD65E">
      <w:pPr>
        <w:pStyle w:val="7"/>
        <w:spacing w:before="0" w:beforeAutospacing="0" w:after="0" w:afterAutospacing="0" w:line="360" w:lineRule="auto"/>
        <w:ind w:firstLine="420"/>
        <w:rPr>
          <w:sz w:val="21"/>
          <w:szCs w:val="21"/>
        </w:rPr>
      </w:pPr>
      <w:r>
        <w:rPr>
          <w:rFonts w:hint="eastAsia"/>
          <w:sz w:val="21"/>
          <w:szCs w:val="21"/>
        </w:rPr>
        <w:t xml:space="preserve">赎回费用＝100,000×1.0600×0＝0 (元) </w:t>
      </w:r>
    </w:p>
    <w:p w14:paraId="0E7AC05C">
      <w:pPr>
        <w:pStyle w:val="7"/>
        <w:spacing w:before="0" w:beforeAutospacing="0" w:after="0" w:afterAutospacing="0" w:line="360" w:lineRule="auto"/>
        <w:ind w:firstLine="420"/>
        <w:rPr>
          <w:sz w:val="21"/>
          <w:szCs w:val="21"/>
        </w:rPr>
      </w:pPr>
      <w:r>
        <w:rPr>
          <w:rFonts w:hint="eastAsia"/>
          <w:sz w:val="21"/>
          <w:szCs w:val="21"/>
        </w:rPr>
        <w:t xml:space="preserve">净赎回金额＝106,000.00-0＝106,000.00 (元) </w:t>
      </w:r>
    </w:p>
    <w:p w14:paraId="7FA3846F">
      <w:pPr>
        <w:pStyle w:val="7"/>
        <w:spacing w:before="0" w:beforeAutospacing="0" w:after="0" w:afterAutospacing="0" w:line="360" w:lineRule="auto"/>
        <w:ind w:firstLine="420"/>
        <w:rPr>
          <w:sz w:val="21"/>
          <w:szCs w:val="21"/>
        </w:rPr>
      </w:pPr>
      <w:r>
        <w:rPr>
          <w:rFonts w:hint="eastAsia"/>
          <w:sz w:val="21"/>
          <w:szCs w:val="21"/>
        </w:rPr>
        <w:t xml:space="preserve">即：投资者赎回本基金10万份A类基金份额，持有时间为1年，假设赎回当日A类基金份额净值是1.0600元，则其可得到的赎回金额为106,000.00元。 </w:t>
      </w:r>
    </w:p>
    <w:p w14:paraId="4C468F9F">
      <w:pPr>
        <w:pStyle w:val="7"/>
        <w:spacing w:before="0" w:beforeAutospacing="0" w:after="0" w:afterAutospacing="0" w:line="360" w:lineRule="auto"/>
        <w:ind w:firstLine="420"/>
        <w:rPr>
          <w:sz w:val="21"/>
          <w:szCs w:val="21"/>
        </w:rPr>
      </w:pPr>
      <w:r>
        <w:rPr>
          <w:rFonts w:hint="eastAsia"/>
          <w:sz w:val="21"/>
          <w:szCs w:val="21"/>
        </w:rPr>
        <w:t xml:space="preserve">例4：假设某投资者赎回C类基金份额100,000份，持有时间为1年，则对应的赎回费率为0，假设赎回当日C类基金份额净值是1.0600元，则可得到的赎回金额为： </w:t>
      </w:r>
    </w:p>
    <w:p w14:paraId="0711DD32">
      <w:pPr>
        <w:pStyle w:val="7"/>
        <w:spacing w:before="0" w:beforeAutospacing="0" w:after="0" w:afterAutospacing="0" w:line="360" w:lineRule="auto"/>
        <w:ind w:firstLine="420"/>
        <w:rPr>
          <w:sz w:val="21"/>
          <w:szCs w:val="21"/>
        </w:rPr>
      </w:pPr>
      <w:r>
        <w:rPr>
          <w:rFonts w:hint="eastAsia"/>
          <w:sz w:val="21"/>
          <w:szCs w:val="21"/>
        </w:rPr>
        <w:t xml:space="preserve">赎回金额＝100,000×1.0600＝106,000.00(元) </w:t>
      </w:r>
    </w:p>
    <w:p w14:paraId="29880E04">
      <w:pPr>
        <w:pStyle w:val="7"/>
        <w:spacing w:before="0" w:beforeAutospacing="0" w:after="0" w:afterAutospacing="0" w:line="360" w:lineRule="auto"/>
        <w:ind w:firstLine="420"/>
        <w:rPr>
          <w:sz w:val="21"/>
          <w:szCs w:val="21"/>
        </w:rPr>
      </w:pPr>
      <w:r>
        <w:rPr>
          <w:rFonts w:hint="eastAsia"/>
          <w:sz w:val="21"/>
          <w:szCs w:val="21"/>
        </w:rPr>
        <w:t xml:space="preserve">赎回费用＝100,000×1.0600×0＝0 (元) </w:t>
      </w:r>
    </w:p>
    <w:p w14:paraId="44706D6C">
      <w:pPr>
        <w:pStyle w:val="7"/>
        <w:spacing w:before="0" w:beforeAutospacing="0" w:after="0" w:afterAutospacing="0" w:line="360" w:lineRule="auto"/>
        <w:ind w:firstLine="420"/>
        <w:rPr>
          <w:sz w:val="21"/>
          <w:szCs w:val="21"/>
        </w:rPr>
      </w:pPr>
      <w:r>
        <w:rPr>
          <w:rFonts w:hint="eastAsia"/>
          <w:sz w:val="21"/>
          <w:szCs w:val="21"/>
        </w:rPr>
        <w:t xml:space="preserve">净赎回金额＝106,000.00-0＝106,000.00 (元) </w:t>
      </w:r>
    </w:p>
    <w:p w14:paraId="3F613234">
      <w:pPr>
        <w:pStyle w:val="7"/>
        <w:spacing w:before="0" w:beforeAutospacing="0" w:after="0" w:afterAutospacing="0" w:line="360" w:lineRule="auto"/>
        <w:ind w:firstLine="420"/>
        <w:rPr>
          <w:sz w:val="21"/>
          <w:szCs w:val="21"/>
        </w:rPr>
      </w:pPr>
      <w:r>
        <w:rPr>
          <w:rFonts w:hint="eastAsia"/>
          <w:sz w:val="21"/>
          <w:szCs w:val="21"/>
        </w:rPr>
        <w:t xml:space="preserve">即：投资者赎回本基金10万份C类基金份额，持有时间为1年，假设赎回当日C类基金份额净值是1.0600元，则其可得到的赎回金额为106,000.00元。 </w:t>
      </w:r>
    </w:p>
    <w:p w14:paraId="19DD1272">
      <w:pPr>
        <w:pStyle w:val="7"/>
        <w:spacing w:before="0" w:beforeAutospacing="0" w:after="0" w:afterAutospacing="0" w:line="360" w:lineRule="auto"/>
        <w:ind w:firstLine="420"/>
        <w:rPr>
          <w:sz w:val="21"/>
          <w:szCs w:val="21"/>
        </w:rPr>
      </w:pPr>
      <w:r>
        <w:rPr>
          <w:rFonts w:hint="eastAsia"/>
          <w:sz w:val="21"/>
          <w:szCs w:val="21"/>
        </w:rPr>
        <w:t xml:space="preserve">3、本基金各类基金份额净值的计算，均保留到小数点后4位，小数点后第5位四舍五入，由此产生的收益或损失由基金财产承担。T日的各类基金份额净值在当天收市后计算，并按照基金合同的约定公告。遇特殊情况，经履行适当程序，可以适当延迟计算或公告。 </w:t>
      </w:r>
    </w:p>
    <w:p w14:paraId="613A0BD0">
      <w:pPr>
        <w:pStyle w:val="7"/>
        <w:spacing w:before="0" w:beforeAutospacing="0" w:after="0" w:afterAutospacing="0" w:line="360" w:lineRule="auto"/>
        <w:ind w:firstLine="420"/>
        <w:rPr>
          <w:sz w:val="21"/>
          <w:szCs w:val="21"/>
        </w:rPr>
      </w:pPr>
      <w:r>
        <w:rPr>
          <w:rFonts w:hint="eastAsia"/>
          <w:sz w:val="21"/>
          <w:szCs w:val="21"/>
        </w:rPr>
        <w:t xml:space="preserve">4、基金管理人可以在不违反法律法规规定及基金合同约定的情形下，且对基金份额持有人利益无实质性不利影响的前提下，根据市场情况制定基金促销计划，定期或不定期地开展基金促销活动。在基金促销活动期间，按相关监管部门要求履行必要手续后，基金管理人可以适当调低基金的申购、赎回费率和销售服务费率。 </w:t>
      </w:r>
    </w:p>
    <w:p w14:paraId="686A1FB0">
      <w:pPr>
        <w:pStyle w:val="7"/>
        <w:spacing w:before="0" w:beforeAutospacing="0" w:after="0" w:afterAutospacing="0" w:line="360" w:lineRule="auto"/>
        <w:ind w:firstLine="420"/>
        <w:rPr>
          <w:sz w:val="21"/>
          <w:szCs w:val="21"/>
        </w:rPr>
      </w:pPr>
      <w:r>
        <w:rPr>
          <w:rFonts w:hint="eastAsia"/>
          <w:sz w:val="21"/>
          <w:szCs w:val="21"/>
        </w:rPr>
        <w:t xml:space="preserve">5、当本基金发生大额申购或赎回情形时，基金管理人可以采用摆动定价机制，以确保基金估值的公平性。具体处理原则与操作规范遵循相关法律法规以及监管部门、自律规则的规定。 </w:t>
      </w:r>
    </w:p>
    <w:p w14:paraId="6049E79D">
      <w:pPr>
        <w:pStyle w:val="7"/>
        <w:spacing w:before="0" w:beforeAutospacing="0" w:after="0" w:afterAutospacing="0" w:line="360" w:lineRule="auto"/>
        <w:ind w:firstLine="420"/>
        <w:rPr>
          <w:sz w:val="21"/>
          <w:szCs w:val="21"/>
        </w:rPr>
      </w:pPr>
      <w:r>
        <w:rPr>
          <w:rStyle w:val="11"/>
          <w:rFonts w:hint="eastAsia"/>
          <w:sz w:val="21"/>
          <w:szCs w:val="21"/>
        </w:rPr>
        <w:t>八、拒绝或暂停申购的情形</w:t>
      </w:r>
    </w:p>
    <w:p w14:paraId="3BA52A62">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290714F5">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19D79740">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0E1EC8CC">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09C34400">
      <w:pPr>
        <w:pStyle w:val="7"/>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4、接受某笔或某些申购申请可能会影响或损害现有基金份额持有人利益或对存量基金份额持有人利益构成潜在重大不利影响。 </w:t>
      </w:r>
    </w:p>
    <w:p w14:paraId="75634214">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7C03C116">
      <w:pPr>
        <w:pStyle w:val="7"/>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6、基金管理人、基金托管人、销售机构或登记机构的技术故障等异常情况导致基金销售系统、基金登记系统或基金会计系统无法正常运行。 </w:t>
      </w:r>
    </w:p>
    <w:p w14:paraId="2B758BBF">
      <w:pPr>
        <w:pStyle w:val="7"/>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7、当前一估值日基金资产净值50%以上的资产出现无可参考的活跃市场价格且采用估值技术仍导致公允价值存在重大不确定性时，经与基金托管人协商确认后，基金管理人应当暂停接受基金申购申请。 </w:t>
      </w:r>
    </w:p>
    <w:p w14:paraId="39F59FEB">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 </w:t>
      </w:r>
    </w:p>
    <w:p w14:paraId="29FDC669">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0D8853AA">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申购申请时，基金管理人应当根据有关规定在指定媒介上刊登暂停申购公告。如果投资人的申购申请被拒绝，被拒绝的申购款项本金将退还给投资人。在暂停申购的情况消除时，基金管理人应及时恢复申购业务的办理。 </w:t>
      </w:r>
    </w:p>
    <w:p w14:paraId="6F25FED4">
      <w:pPr>
        <w:pStyle w:val="7"/>
        <w:spacing w:before="0" w:beforeAutospacing="0" w:after="0" w:afterAutospacing="0" w:line="360" w:lineRule="auto"/>
        <w:ind w:firstLine="420"/>
        <w:rPr>
          <w:sz w:val="21"/>
          <w:szCs w:val="21"/>
        </w:rPr>
      </w:pPr>
      <w:r>
        <w:rPr>
          <w:rStyle w:val="11"/>
          <w:rFonts w:hint="eastAsia"/>
          <w:sz w:val="21"/>
          <w:szCs w:val="21"/>
        </w:rPr>
        <w:t>九、暂停赎回或延缓支付赎回款项的情形 </w:t>
      </w:r>
    </w:p>
    <w:p w14:paraId="3C07644C">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2FEF8BBB">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358D031B">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18AAB1A8">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4144060C">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249EC4C0">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14:paraId="2807B2F4">
      <w:pPr>
        <w:pStyle w:val="7"/>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14:paraId="5FB9305A">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3A7836D3">
      <w:pPr>
        <w:pStyle w:val="7"/>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0F1921E5">
      <w:pPr>
        <w:pStyle w:val="7"/>
        <w:spacing w:before="0" w:beforeAutospacing="0" w:after="0" w:afterAutospacing="0" w:line="360" w:lineRule="auto"/>
        <w:ind w:firstLine="420"/>
        <w:rPr>
          <w:sz w:val="21"/>
          <w:szCs w:val="21"/>
        </w:rPr>
      </w:pPr>
      <w:r>
        <w:rPr>
          <w:rStyle w:val="11"/>
          <w:rFonts w:hint="eastAsia"/>
          <w:sz w:val="21"/>
          <w:szCs w:val="21"/>
        </w:rPr>
        <w:t>十、巨额赎回的情形及处理方式</w:t>
      </w:r>
    </w:p>
    <w:p w14:paraId="71AC8E97">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1F64890D">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106" w:name="field_49_mintredeemscale_2"/>
      <w:r>
        <w:rPr>
          <w:sz w:val="21"/>
          <w:szCs w:val="21"/>
        </w:rPr>
        <w:t>10</w:t>
      </w:r>
      <w:bookmarkEnd w:id="106"/>
      <w:r>
        <w:rPr>
          <w:rFonts w:hint="eastAsia"/>
          <w:sz w:val="21"/>
          <w:szCs w:val="21"/>
        </w:rPr>
        <w:t xml:space="preserve">%，即认为是发生了巨额赎回。 </w:t>
      </w:r>
    </w:p>
    <w:p w14:paraId="533980F2">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14679085">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7ED1F400">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024ADF56">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bookmarkStart w:id="107" w:name="field_49_mintredeemscale_3"/>
      <w:r>
        <w:rPr>
          <w:sz w:val="21"/>
          <w:szCs w:val="21"/>
        </w:rPr>
        <w:t>10</w:t>
      </w:r>
      <w:bookmarkEnd w:id="107"/>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41CC595B">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108" w:name="field_49_mintredeemscale_4"/>
      <w:r>
        <w:rPr>
          <w:sz w:val="21"/>
          <w:szCs w:val="21"/>
        </w:rPr>
        <w:t>10</w:t>
      </w:r>
      <w:bookmarkEnd w:id="108"/>
      <w:r>
        <w:rPr>
          <w:rFonts w:hint="eastAsia"/>
          <w:sz w:val="21"/>
          <w:szCs w:val="21"/>
        </w:rPr>
        <w:t>%以上的部分，基金管理人可以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w:t>
      </w:r>
      <w:bookmarkStart w:id="109" w:name="field_49_mintredeemscale_5"/>
      <w:r>
        <w:rPr>
          <w:sz w:val="21"/>
          <w:szCs w:val="21"/>
        </w:rPr>
        <w:t>10</w:t>
      </w:r>
      <w:bookmarkEnd w:id="109"/>
      <w:r>
        <w:rPr>
          <w:rFonts w:hint="eastAsia"/>
          <w:sz w:val="21"/>
          <w:szCs w:val="21"/>
        </w:rPr>
        <w:t xml:space="preserve">％的部分，基金管理人应在评估是否有能力支付投资人的全部赎回申请后，按照全额赎回或部分延期赎回的方式与其他基金份额持有人的赎回申请一并办理。但是，如该持有人在提交赎回申请时选择取消赎回，则其当日未获受理的部分赎回申请将被撤销。 </w:t>
      </w:r>
    </w:p>
    <w:p w14:paraId="1EE22543">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指定媒介上进行公告。 </w:t>
      </w:r>
    </w:p>
    <w:p w14:paraId="4DCFE05D">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60E8737D">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当发生上述巨额赎回并延期办理时，基金管理人应当通过邮寄、传真或者招募说明书规定的其他方式在3个交易日内通知基金份额持有人，说明有关处理方法，并于两日内在指定媒介上刊登公告。 </w:t>
      </w:r>
    </w:p>
    <w:p w14:paraId="44C20F56">
      <w:pPr>
        <w:pStyle w:val="7"/>
        <w:spacing w:before="0" w:beforeAutospacing="0" w:after="0" w:afterAutospacing="0" w:line="360" w:lineRule="auto"/>
        <w:ind w:firstLine="420"/>
        <w:rPr>
          <w:sz w:val="21"/>
          <w:szCs w:val="21"/>
        </w:rPr>
      </w:pPr>
      <w:r>
        <w:rPr>
          <w:rStyle w:val="11"/>
          <w:rFonts w:hint="eastAsia"/>
          <w:sz w:val="21"/>
          <w:szCs w:val="21"/>
        </w:rPr>
        <w:t>十一、暂停申购或赎回的公告和重新开放申购或赎回的公告</w:t>
      </w:r>
    </w:p>
    <w:p w14:paraId="06BBDACA">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14:paraId="621D4CA5">
      <w:pPr>
        <w:pStyle w:val="7"/>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 </w:t>
      </w:r>
    </w:p>
    <w:p w14:paraId="68790561">
      <w:pPr>
        <w:pStyle w:val="7"/>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3、上述暂停申购或赎回情况消除的，基金管理人应于重新开放日公布最近1个工作日</w:t>
      </w:r>
      <w:bookmarkStart w:id="110" w:name="chapter_level1_10_59_section_3_end"/>
      <w:bookmarkEnd w:id="110"/>
      <w:r>
        <w:rPr>
          <w:rFonts w:hint="eastAsia"/>
          <w:sz w:val="21"/>
          <w:szCs w:val="21"/>
        </w:rPr>
        <w:t xml:space="preserve">的各类基金份额净值。 </w:t>
      </w:r>
    </w:p>
    <w:p w14:paraId="74A66171">
      <w:pPr>
        <w:pStyle w:val="7"/>
        <w:spacing w:before="0" w:beforeAutospacing="0" w:after="0" w:afterAutospacing="0" w:line="360" w:lineRule="auto"/>
        <w:ind w:firstLine="420"/>
        <w:rPr>
          <w:sz w:val="21"/>
          <w:szCs w:val="21"/>
        </w:rPr>
      </w:pPr>
      <w:bookmarkStart w:id="111" w:name="chapter_level1_10_59_section_4"/>
      <w:bookmarkEnd w:id="111"/>
      <w:r>
        <w:rPr>
          <w:rStyle w:val="11"/>
          <w:rFonts w:hint="eastAsia"/>
          <w:sz w:val="21"/>
          <w:szCs w:val="21"/>
        </w:rPr>
        <w:t>十二、基金转换</w:t>
      </w:r>
    </w:p>
    <w:p w14:paraId="31282DB6">
      <w:pPr>
        <w:pStyle w:val="7"/>
        <w:spacing w:before="0" w:beforeAutospacing="0" w:after="0" w:afterAutospacing="0" w:line="360" w:lineRule="auto"/>
        <w:ind w:firstLine="420"/>
        <w:rPr>
          <w:sz w:val="21"/>
          <w:szCs w:val="21"/>
        </w:rPr>
      </w:pPr>
      <w:r>
        <w:rPr>
          <w:rFonts w:hint="eastAsia"/>
          <w:sz w:val="21"/>
          <w:szCs w:val="21"/>
        </w:rPr>
        <w:t xml:space="preserve">1、业务开放时间 </w:t>
      </w:r>
    </w:p>
    <w:p w14:paraId="01F836EB">
      <w:pPr>
        <w:pStyle w:val="7"/>
        <w:spacing w:before="0" w:beforeAutospacing="0" w:after="0" w:afterAutospacing="0" w:line="360" w:lineRule="auto"/>
        <w:ind w:firstLine="420"/>
        <w:rPr>
          <w:sz w:val="21"/>
          <w:szCs w:val="21"/>
        </w:rPr>
      </w:pPr>
      <w:r>
        <w:rPr>
          <w:rFonts w:hint="eastAsia"/>
          <w:sz w:val="21"/>
          <w:szCs w:val="21"/>
        </w:rPr>
        <w:t xml:space="preserve">本基金已于2020年8月17日开放日常转换转入业务，于2020年11月18日开放日常转换转出业务。 </w:t>
      </w:r>
    </w:p>
    <w:p w14:paraId="14570C8F">
      <w:pPr>
        <w:pStyle w:val="7"/>
        <w:spacing w:before="0" w:beforeAutospacing="0" w:after="0" w:afterAutospacing="0" w:line="360" w:lineRule="auto"/>
        <w:ind w:firstLine="420"/>
        <w:rPr>
          <w:sz w:val="21"/>
          <w:szCs w:val="21"/>
        </w:rPr>
      </w:pPr>
      <w:r>
        <w:rPr>
          <w:rFonts w:hint="eastAsia"/>
          <w:sz w:val="21"/>
          <w:szCs w:val="21"/>
        </w:rPr>
        <w:t xml:space="preserve">2、转换转入、定期定额投资业务的办理时间 </w:t>
      </w:r>
    </w:p>
    <w:p w14:paraId="111E965B">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转换转入和定期定额投资业务，具体办理时间为上海证券交易所、深圳证券交易所的正常交易日的交易时间，但基金管理人根据法律法规、中国证监会的要求或基金合同的规定公告暂停转换和定期定额投资业务时除外。 </w:t>
      </w:r>
    </w:p>
    <w:p w14:paraId="25057E6F">
      <w:pPr>
        <w:pStyle w:val="7"/>
        <w:spacing w:before="0" w:beforeAutospacing="0" w:after="0" w:afterAutospacing="0" w:line="360" w:lineRule="auto"/>
        <w:ind w:firstLine="420"/>
        <w:rPr>
          <w:sz w:val="21"/>
          <w:szCs w:val="21"/>
        </w:rPr>
      </w:pPr>
      <w:r>
        <w:rPr>
          <w:rFonts w:hint="eastAsia"/>
          <w:sz w:val="21"/>
          <w:szCs w:val="21"/>
        </w:rPr>
        <w:t xml:space="preserve">3、日常转换业务 </w:t>
      </w:r>
    </w:p>
    <w:p w14:paraId="1B98FFA7">
      <w:pPr>
        <w:pStyle w:val="7"/>
        <w:spacing w:before="0" w:beforeAutospacing="0" w:after="0" w:afterAutospacing="0" w:line="360" w:lineRule="auto"/>
        <w:ind w:firstLine="420"/>
        <w:rPr>
          <w:sz w:val="21"/>
          <w:szCs w:val="21"/>
        </w:rPr>
      </w:pPr>
      <w:r>
        <w:rPr>
          <w:rFonts w:hint="eastAsia"/>
          <w:sz w:val="21"/>
          <w:szCs w:val="21"/>
        </w:rPr>
        <w:t xml:space="preserve">3.1转换费率 </w:t>
      </w:r>
    </w:p>
    <w:p w14:paraId="49048789">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3F335F09">
      <w:pPr>
        <w:pStyle w:val="7"/>
        <w:spacing w:before="0" w:beforeAutospacing="0" w:after="0" w:afterAutospacing="0" w:line="360" w:lineRule="auto"/>
        <w:ind w:firstLine="420"/>
        <w:rPr>
          <w:sz w:val="21"/>
          <w:szCs w:val="21"/>
        </w:rPr>
      </w:pPr>
      <w:r>
        <w:rPr>
          <w:rFonts w:hint="eastAsia"/>
          <w:sz w:val="21"/>
          <w:szCs w:val="21"/>
        </w:rPr>
        <w:t xml:space="preserve">3.2其他与转换相关的事项 </w:t>
      </w:r>
    </w:p>
    <w:p w14:paraId="19D09699">
      <w:pPr>
        <w:pStyle w:val="7"/>
        <w:spacing w:before="0" w:beforeAutospacing="0" w:after="0" w:afterAutospacing="0" w:line="360" w:lineRule="auto"/>
        <w:ind w:firstLine="420"/>
        <w:rPr>
          <w:sz w:val="21"/>
          <w:szCs w:val="21"/>
        </w:rPr>
      </w:pPr>
      <w:r>
        <w:rPr>
          <w:rFonts w:hint="eastAsia"/>
          <w:sz w:val="21"/>
          <w:szCs w:val="21"/>
        </w:rPr>
        <w:t xml:space="preserve">1）业务规则 </w:t>
      </w:r>
    </w:p>
    <w:p w14:paraId="7635D731">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56A93CA9">
      <w:pPr>
        <w:pStyle w:val="7"/>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6FD277A4">
      <w:pPr>
        <w:pStyle w:val="7"/>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6CC1F2D2">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5475FA8E">
      <w:pPr>
        <w:pStyle w:val="7"/>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10C1C0FE">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769C99AC">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14:paraId="346D7D27">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7107FFB1">
      <w:pPr>
        <w:pStyle w:val="7"/>
        <w:spacing w:before="0" w:beforeAutospacing="0" w:after="0" w:afterAutospacing="0" w:line="360" w:lineRule="auto"/>
        <w:ind w:firstLine="420"/>
        <w:rPr>
          <w:sz w:val="21"/>
          <w:szCs w:val="21"/>
        </w:rPr>
      </w:pPr>
      <w:r>
        <w:rPr>
          <w:rFonts w:hint="eastAsia"/>
          <w:sz w:val="21"/>
          <w:szCs w:val="21"/>
        </w:rPr>
        <w:t xml:space="preserve">3）重要提示 </w:t>
      </w:r>
    </w:p>
    <w:p w14:paraId="21D34284">
      <w:pPr>
        <w:pStyle w:val="7"/>
        <w:spacing w:before="0" w:beforeAutospacing="0" w:after="0" w:afterAutospacing="0" w:line="360" w:lineRule="auto"/>
        <w:ind w:firstLine="420"/>
        <w:rPr>
          <w:sz w:val="21"/>
          <w:szCs w:val="21"/>
        </w:rPr>
      </w:pPr>
      <w:r>
        <w:rPr>
          <w:rFonts w:hint="eastAsia"/>
          <w:sz w:val="21"/>
          <w:szCs w:val="21"/>
        </w:rPr>
        <w:t xml:space="preserve">①本基金转换业务适用于可以销售包括博时恒裕6个月持有期混合型证券投资基金在内的两只以上（含两只），且基金注册登记机构为同一机构的博时旗下基金的销售机构。 </w:t>
      </w:r>
    </w:p>
    <w:p w14:paraId="0D2345EE">
      <w:pPr>
        <w:pStyle w:val="7"/>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14:paraId="02C336E8">
      <w:pPr>
        <w:pStyle w:val="7"/>
        <w:spacing w:before="0" w:beforeAutospacing="0" w:after="0" w:afterAutospacing="0" w:line="360" w:lineRule="auto"/>
        <w:ind w:firstLine="420"/>
        <w:rPr>
          <w:sz w:val="21"/>
          <w:szCs w:val="21"/>
        </w:rPr>
      </w:pPr>
      <w:bookmarkStart w:id="112" w:name="chapter_level1_10_59_section_4_end"/>
      <w:bookmarkEnd w:id="112"/>
      <w:r>
        <w:rPr>
          <w:rFonts w:hint="eastAsia"/>
          <w:sz w:val="21"/>
          <w:szCs w:val="21"/>
        </w:rPr>
        <w:t xml:space="preserve">③本公司管理基金的转换业务的解释权归本公司。 </w:t>
      </w:r>
    </w:p>
    <w:p w14:paraId="03F00D8F">
      <w:pPr>
        <w:pStyle w:val="7"/>
        <w:spacing w:before="0" w:beforeAutospacing="0" w:after="0" w:afterAutospacing="0" w:line="360" w:lineRule="auto"/>
        <w:ind w:firstLine="420"/>
        <w:rPr>
          <w:sz w:val="21"/>
          <w:szCs w:val="21"/>
        </w:rPr>
      </w:pPr>
      <w:bookmarkStart w:id="113" w:name="chapter_level1_10_59_section_5"/>
      <w:bookmarkEnd w:id="113"/>
      <w:r>
        <w:rPr>
          <w:rStyle w:val="11"/>
          <w:rFonts w:hint="eastAsia"/>
          <w:sz w:val="21"/>
          <w:szCs w:val="21"/>
        </w:rPr>
        <w:t>十三、基金份额的转让</w:t>
      </w:r>
    </w:p>
    <w:p w14:paraId="5E5AFD62">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5945799F">
      <w:pPr>
        <w:pStyle w:val="7"/>
        <w:spacing w:before="0" w:beforeAutospacing="0" w:after="0" w:afterAutospacing="0" w:line="360" w:lineRule="auto"/>
        <w:ind w:firstLine="420"/>
        <w:rPr>
          <w:sz w:val="21"/>
          <w:szCs w:val="21"/>
        </w:rPr>
      </w:pPr>
      <w:r>
        <w:rPr>
          <w:rStyle w:val="11"/>
          <w:rFonts w:hint="eastAsia"/>
          <w:sz w:val="21"/>
          <w:szCs w:val="21"/>
        </w:rPr>
        <w:t>十四、基金的非交易过户</w:t>
      </w:r>
    </w:p>
    <w:p w14:paraId="01EA400C">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52C0B381">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23BAAF58">
      <w:pPr>
        <w:pStyle w:val="7"/>
        <w:spacing w:before="0" w:beforeAutospacing="0" w:after="0" w:afterAutospacing="0" w:line="360" w:lineRule="auto"/>
        <w:ind w:firstLine="420"/>
        <w:rPr>
          <w:sz w:val="21"/>
          <w:szCs w:val="21"/>
        </w:rPr>
      </w:pPr>
      <w:r>
        <w:rPr>
          <w:rStyle w:val="11"/>
          <w:rFonts w:hint="eastAsia"/>
          <w:sz w:val="21"/>
          <w:szCs w:val="21"/>
        </w:rPr>
        <w:t>十五、基金的转托管</w:t>
      </w:r>
    </w:p>
    <w:p w14:paraId="5B903498">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14" w:name="chapter_level1_10_59_section_5_end"/>
      <w:bookmarkEnd w:id="114"/>
      <w:r>
        <w:rPr>
          <w:rFonts w:hint="eastAsia"/>
          <w:sz w:val="21"/>
          <w:szCs w:val="21"/>
        </w:rPr>
        <w:t xml:space="preserve">以按照规定的标准收取转托管费。 </w:t>
      </w:r>
    </w:p>
    <w:p w14:paraId="745767D2">
      <w:pPr>
        <w:pStyle w:val="7"/>
        <w:spacing w:before="0" w:beforeAutospacing="0" w:after="0" w:afterAutospacing="0" w:line="360" w:lineRule="auto"/>
        <w:ind w:firstLine="420"/>
        <w:rPr>
          <w:sz w:val="21"/>
          <w:szCs w:val="21"/>
        </w:rPr>
      </w:pPr>
      <w:bookmarkStart w:id="115" w:name="chapter_level1_10_59_section_6"/>
      <w:bookmarkEnd w:id="115"/>
      <w:r>
        <w:rPr>
          <w:rStyle w:val="11"/>
          <w:rFonts w:hint="eastAsia"/>
          <w:sz w:val="21"/>
          <w:szCs w:val="21"/>
        </w:rPr>
        <w:t>十六、定期定额投资计划</w:t>
      </w:r>
    </w:p>
    <w:p w14:paraId="0A2A60BF">
      <w:pPr>
        <w:pStyle w:val="7"/>
        <w:spacing w:before="0" w:beforeAutospacing="0" w:after="0" w:afterAutospacing="0" w:line="360" w:lineRule="auto"/>
        <w:ind w:firstLine="420"/>
        <w:rPr>
          <w:sz w:val="21"/>
          <w:szCs w:val="21"/>
        </w:rPr>
      </w:pPr>
      <w:r>
        <w:rPr>
          <w:rFonts w:hint="eastAsia"/>
          <w:sz w:val="21"/>
          <w:szCs w:val="21"/>
        </w:rPr>
        <w:t xml:space="preserve">本基金已于2020年8月17日开放定期定额投资业务。  </w:t>
      </w:r>
    </w:p>
    <w:p w14:paraId="2AE0D50E">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14:paraId="692F3F99">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个人投资者、机构投资者、合格境外机构投资者以及法律法规或中国证监会规定允许购买证券投资基金的其他投资者。   </w:t>
      </w:r>
    </w:p>
    <w:p w14:paraId="31A9FC1C">
      <w:pPr>
        <w:pStyle w:val="7"/>
        <w:spacing w:before="0" w:beforeAutospacing="0" w:after="0" w:afterAutospacing="0" w:line="360" w:lineRule="auto"/>
        <w:ind w:firstLine="420"/>
        <w:rPr>
          <w:sz w:val="21"/>
          <w:szCs w:val="21"/>
        </w:rPr>
      </w:pPr>
      <w:r>
        <w:rPr>
          <w:rFonts w:hint="eastAsia"/>
          <w:sz w:val="21"/>
          <w:szCs w:val="21"/>
        </w:rPr>
        <w:t xml:space="preserve">（2）申购费率   </w:t>
      </w:r>
    </w:p>
    <w:p w14:paraId="3E6C92D4">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   </w:t>
      </w:r>
    </w:p>
    <w:p w14:paraId="77D232B2">
      <w:pPr>
        <w:pStyle w:val="7"/>
        <w:spacing w:before="0" w:beforeAutospacing="0" w:after="0" w:afterAutospacing="0" w:line="360" w:lineRule="auto"/>
        <w:ind w:firstLine="420"/>
        <w:rPr>
          <w:sz w:val="21"/>
          <w:szCs w:val="21"/>
        </w:rPr>
      </w:pPr>
      <w:r>
        <w:rPr>
          <w:rFonts w:hint="eastAsia"/>
          <w:sz w:val="21"/>
          <w:szCs w:val="21"/>
        </w:rPr>
        <w:t xml:space="preserve">表：本基金份额的申购费率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2"/>
        <w:gridCol w:w="2753"/>
        <w:gridCol w:w="3011"/>
      </w:tblGrid>
      <w:tr w14:paraId="0F187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0" w:type="pct"/>
            <w:shd w:val="clear" w:color="auto" w:fill="auto"/>
          </w:tcPr>
          <w:p w14:paraId="07CA7997">
            <w:pPr>
              <w:rPr>
                <w:rFonts w:ascii="宋体" w:hAnsi="宋体" w:eastAsia="宋体" w:cs="宋体"/>
                <w:sz w:val="24"/>
                <w:szCs w:val="24"/>
              </w:rPr>
            </w:pPr>
            <w:r>
              <w:rPr>
                <w:rFonts w:hint="eastAsia" w:ascii="宋体" w:hAnsi="宋体" w:eastAsia="宋体"/>
              </w:rPr>
              <w:t xml:space="preserve">金额（M）  </w:t>
            </w:r>
          </w:p>
        </w:tc>
        <w:tc>
          <w:tcPr>
            <w:tcW w:w="1600" w:type="pct"/>
            <w:shd w:val="clear" w:color="auto" w:fill="auto"/>
          </w:tcPr>
          <w:p w14:paraId="0C27B910">
            <w:pPr>
              <w:rPr>
                <w:rFonts w:ascii="宋体" w:hAnsi="宋体" w:eastAsia="宋体" w:cs="宋体"/>
                <w:sz w:val="24"/>
                <w:szCs w:val="24"/>
              </w:rPr>
            </w:pPr>
            <w:r>
              <w:rPr>
                <w:rFonts w:hint="eastAsia" w:ascii="宋体" w:hAnsi="宋体" w:eastAsia="宋体"/>
              </w:rPr>
              <w:t xml:space="preserve">A类基金份额申购费率  </w:t>
            </w:r>
          </w:p>
        </w:tc>
        <w:tc>
          <w:tcPr>
            <w:tcW w:w="1750" w:type="pct"/>
            <w:shd w:val="clear" w:color="auto" w:fill="auto"/>
          </w:tcPr>
          <w:p w14:paraId="71FEEA09">
            <w:pPr>
              <w:rPr>
                <w:rFonts w:ascii="宋体" w:hAnsi="宋体" w:eastAsia="宋体" w:cs="宋体"/>
                <w:sz w:val="24"/>
                <w:szCs w:val="24"/>
              </w:rPr>
            </w:pPr>
            <w:r>
              <w:rPr>
                <w:rFonts w:hint="eastAsia" w:ascii="宋体" w:hAnsi="宋体" w:eastAsia="宋体"/>
              </w:rPr>
              <w:t xml:space="preserve">C类基金份额的申购费率  </w:t>
            </w:r>
          </w:p>
        </w:tc>
      </w:tr>
      <w:tr w14:paraId="2B491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0" w:type="pct"/>
            <w:shd w:val="clear" w:color="auto" w:fill="auto"/>
          </w:tcPr>
          <w:p w14:paraId="1D90B36A">
            <w:pPr>
              <w:rPr>
                <w:rFonts w:ascii="宋体" w:hAnsi="宋体" w:eastAsia="宋体" w:cs="宋体"/>
                <w:sz w:val="24"/>
                <w:szCs w:val="24"/>
              </w:rPr>
            </w:pPr>
            <w:r>
              <w:rPr>
                <w:rFonts w:hint="eastAsia" w:ascii="宋体" w:hAnsi="宋体" w:eastAsia="宋体"/>
              </w:rPr>
              <w:t xml:space="preserve">M＜100万元  </w:t>
            </w:r>
          </w:p>
        </w:tc>
        <w:tc>
          <w:tcPr>
            <w:tcW w:w="1600" w:type="pct"/>
            <w:shd w:val="clear" w:color="auto" w:fill="auto"/>
          </w:tcPr>
          <w:p w14:paraId="3052956B">
            <w:pPr>
              <w:rPr>
                <w:rFonts w:ascii="宋体" w:hAnsi="宋体" w:eastAsia="宋体" w:cs="宋体"/>
                <w:sz w:val="24"/>
                <w:szCs w:val="24"/>
              </w:rPr>
            </w:pPr>
            <w:r>
              <w:rPr>
                <w:rFonts w:hint="eastAsia" w:ascii="宋体" w:hAnsi="宋体" w:eastAsia="宋体"/>
              </w:rPr>
              <w:t xml:space="preserve">1.00%  </w:t>
            </w:r>
          </w:p>
        </w:tc>
        <w:tc>
          <w:tcPr>
            <w:tcW w:w="1750" w:type="pct"/>
            <w:vMerge w:val="restart"/>
            <w:shd w:val="clear" w:color="auto" w:fill="auto"/>
          </w:tcPr>
          <w:p w14:paraId="6261920B">
            <w:pPr>
              <w:rPr>
                <w:rFonts w:ascii="宋体" w:hAnsi="宋体" w:eastAsia="宋体" w:cs="宋体"/>
                <w:sz w:val="24"/>
                <w:szCs w:val="24"/>
              </w:rPr>
            </w:pPr>
            <w:r>
              <w:rPr>
                <w:rFonts w:hint="eastAsia" w:ascii="宋体" w:hAnsi="宋体" w:eastAsia="宋体"/>
              </w:rPr>
              <w:t xml:space="preserve">0%  </w:t>
            </w:r>
          </w:p>
        </w:tc>
      </w:tr>
      <w:tr w14:paraId="5617F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0" w:type="pct"/>
            <w:shd w:val="clear" w:color="auto" w:fill="auto"/>
          </w:tcPr>
          <w:p w14:paraId="1E8BECE9">
            <w:pPr>
              <w:rPr>
                <w:rFonts w:ascii="宋体" w:hAnsi="宋体" w:eastAsia="宋体" w:cs="宋体"/>
                <w:sz w:val="24"/>
                <w:szCs w:val="24"/>
              </w:rPr>
            </w:pPr>
            <w:r>
              <w:rPr>
                <w:rFonts w:hint="eastAsia" w:ascii="宋体" w:hAnsi="宋体" w:eastAsia="宋体"/>
              </w:rPr>
              <w:t xml:space="preserve">100万元≤M＜300万元  </w:t>
            </w:r>
          </w:p>
        </w:tc>
        <w:tc>
          <w:tcPr>
            <w:tcW w:w="1600" w:type="pct"/>
            <w:shd w:val="clear" w:color="auto" w:fill="auto"/>
          </w:tcPr>
          <w:p w14:paraId="64DFA7D9">
            <w:pPr>
              <w:rPr>
                <w:rFonts w:ascii="宋体" w:hAnsi="宋体" w:eastAsia="宋体" w:cs="宋体"/>
                <w:sz w:val="24"/>
                <w:szCs w:val="24"/>
              </w:rPr>
            </w:pPr>
            <w:r>
              <w:rPr>
                <w:rFonts w:hint="eastAsia" w:ascii="宋体" w:hAnsi="宋体" w:eastAsia="宋体"/>
              </w:rPr>
              <w:t xml:space="preserve">0.60%  </w:t>
            </w:r>
          </w:p>
        </w:tc>
        <w:tc>
          <w:tcPr>
            <w:tcW w:w="0" w:type="auto"/>
            <w:vMerge w:val="continue"/>
            <w:shd w:val="clear" w:color="auto" w:fill="auto"/>
          </w:tcPr>
          <w:p w14:paraId="41243D20">
            <w:pPr>
              <w:rPr>
                <w:rFonts w:ascii="宋体" w:hAnsi="宋体" w:eastAsia="宋体" w:cs="宋体"/>
                <w:sz w:val="24"/>
                <w:szCs w:val="24"/>
              </w:rPr>
            </w:pPr>
          </w:p>
        </w:tc>
      </w:tr>
      <w:tr w14:paraId="66DD4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0" w:type="pct"/>
            <w:shd w:val="clear" w:color="auto" w:fill="auto"/>
          </w:tcPr>
          <w:p w14:paraId="640AABB7">
            <w:pPr>
              <w:rPr>
                <w:rFonts w:ascii="宋体" w:hAnsi="宋体" w:eastAsia="宋体" w:cs="宋体"/>
                <w:sz w:val="24"/>
                <w:szCs w:val="24"/>
              </w:rPr>
            </w:pPr>
            <w:r>
              <w:rPr>
                <w:rFonts w:hint="eastAsia" w:ascii="宋体" w:hAnsi="宋体" w:eastAsia="宋体"/>
              </w:rPr>
              <w:t xml:space="preserve">300万元≤M＜500万元  </w:t>
            </w:r>
          </w:p>
        </w:tc>
        <w:tc>
          <w:tcPr>
            <w:tcW w:w="1600" w:type="pct"/>
            <w:shd w:val="clear" w:color="auto" w:fill="auto"/>
          </w:tcPr>
          <w:p w14:paraId="1E397232">
            <w:pPr>
              <w:rPr>
                <w:rFonts w:ascii="宋体" w:hAnsi="宋体" w:eastAsia="宋体" w:cs="宋体"/>
                <w:sz w:val="24"/>
                <w:szCs w:val="24"/>
              </w:rPr>
            </w:pPr>
            <w:r>
              <w:rPr>
                <w:rFonts w:hint="eastAsia" w:ascii="宋体" w:hAnsi="宋体" w:eastAsia="宋体"/>
              </w:rPr>
              <w:t xml:space="preserve">0.30%  </w:t>
            </w:r>
          </w:p>
        </w:tc>
        <w:tc>
          <w:tcPr>
            <w:tcW w:w="0" w:type="auto"/>
            <w:vMerge w:val="continue"/>
            <w:shd w:val="clear" w:color="auto" w:fill="auto"/>
          </w:tcPr>
          <w:p w14:paraId="2E2124E7">
            <w:pPr>
              <w:rPr>
                <w:rFonts w:ascii="宋体" w:hAnsi="宋体" w:eastAsia="宋体" w:cs="宋体"/>
                <w:sz w:val="24"/>
                <w:szCs w:val="24"/>
              </w:rPr>
            </w:pPr>
          </w:p>
        </w:tc>
      </w:tr>
      <w:tr w14:paraId="60671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0" w:type="pct"/>
            <w:shd w:val="clear" w:color="auto" w:fill="auto"/>
          </w:tcPr>
          <w:p w14:paraId="09F187BF">
            <w:pPr>
              <w:rPr>
                <w:rFonts w:ascii="宋体" w:hAnsi="宋体" w:eastAsia="宋体" w:cs="宋体"/>
                <w:sz w:val="24"/>
                <w:szCs w:val="24"/>
              </w:rPr>
            </w:pPr>
            <w:r>
              <w:rPr>
                <w:rFonts w:hint="eastAsia" w:ascii="宋体" w:hAnsi="宋体" w:eastAsia="宋体"/>
              </w:rPr>
              <w:t xml:space="preserve">M≥500万元  </w:t>
            </w:r>
          </w:p>
        </w:tc>
        <w:tc>
          <w:tcPr>
            <w:tcW w:w="1600" w:type="pct"/>
            <w:shd w:val="clear" w:color="auto" w:fill="auto"/>
          </w:tcPr>
          <w:p w14:paraId="43386A8C">
            <w:pPr>
              <w:rPr>
                <w:rFonts w:ascii="宋体" w:hAnsi="宋体" w:eastAsia="宋体" w:cs="宋体"/>
                <w:sz w:val="24"/>
                <w:szCs w:val="24"/>
              </w:rPr>
            </w:pPr>
            <w:r>
              <w:rPr>
                <w:rFonts w:hint="eastAsia" w:ascii="宋体" w:hAnsi="宋体" w:eastAsia="宋体"/>
              </w:rPr>
              <w:t xml:space="preserve">1000元/笔  </w:t>
            </w:r>
          </w:p>
        </w:tc>
        <w:tc>
          <w:tcPr>
            <w:tcW w:w="0" w:type="auto"/>
            <w:vMerge w:val="continue"/>
            <w:shd w:val="clear" w:color="auto" w:fill="auto"/>
          </w:tcPr>
          <w:p w14:paraId="26810FEA">
            <w:pPr>
              <w:rPr>
                <w:rFonts w:ascii="宋体" w:hAnsi="宋体" w:eastAsia="宋体" w:cs="宋体"/>
                <w:sz w:val="24"/>
                <w:szCs w:val="24"/>
              </w:rPr>
            </w:pPr>
          </w:p>
        </w:tc>
      </w:tr>
    </w:tbl>
    <w:p w14:paraId="7D064207">
      <w:pPr>
        <w:pStyle w:val="7"/>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14:paraId="2F499EF9">
      <w:pPr>
        <w:pStyle w:val="7"/>
        <w:spacing w:before="0" w:beforeAutospacing="0" w:after="0" w:afterAutospacing="0" w:line="360" w:lineRule="auto"/>
        <w:ind w:firstLine="420"/>
        <w:rPr>
          <w:sz w:val="21"/>
          <w:szCs w:val="21"/>
        </w:rPr>
      </w:pPr>
      <w:r>
        <w:rPr>
          <w:rFonts w:hint="eastAsia"/>
          <w:sz w:val="21"/>
          <w:szCs w:val="21"/>
        </w:rPr>
        <w:t xml:space="preserve">来源：博时基金   </w:t>
      </w:r>
    </w:p>
    <w:p w14:paraId="19E3A913">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14:paraId="441C8CA0">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投资者须遵循各销售机构有关扣款日期的规定，定投金额A类基金份额每次不少于人民币10元（含10元），定投金额C类基金份额每次不少于人民币10元（含10元）。   </w:t>
      </w:r>
    </w:p>
    <w:p w14:paraId="7792C837">
      <w:pPr>
        <w:pStyle w:val="7"/>
        <w:spacing w:before="0" w:beforeAutospacing="0" w:after="0" w:afterAutospacing="0" w:line="360" w:lineRule="auto"/>
        <w:ind w:firstLine="420"/>
        <w:rPr>
          <w:sz w:val="21"/>
          <w:szCs w:val="21"/>
        </w:rPr>
      </w:pPr>
      <w:r>
        <w:rPr>
          <w:rFonts w:hint="eastAsia"/>
          <w:sz w:val="21"/>
          <w:szCs w:val="21"/>
        </w:rPr>
        <w:t xml:space="preserve">（4）重要提示   </w:t>
      </w:r>
    </w:p>
    <w:p w14:paraId="6D1B78EE">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07901F86">
      <w:pPr>
        <w:rPr>
          <w:rFonts w:ascii="宋体" w:hAnsi="宋体" w:eastAsia="宋体"/>
          <w:sz w:val="24"/>
          <w:szCs w:val="24"/>
        </w:rPr>
      </w:pPr>
      <w:r>
        <w:rPr>
          <w:rFonts w:ascii="宋体" w:hAnsi="宋体" w:eastAsia="宋体"/>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在</w:t>
      </w:r>
      <w:bookmarkStart w:id="116" w:name="chapter_level1_10_59_section_6_end"/>
      <w:bookmarkEnd w:id="116"/>
      <w:r>
        <w:rPr>
          <w:rFonts w:ascii="宋体" w:hAnsi="宋体" w:eastAsia="宋体"/>
        </w:rPr>
        <w:t>确认成功后直接计入投资者的基金账户。</w:t>
      </w:r>
    </w:p>
    <w:p w14:paraId="5AD12D75">
      <w:pPr>
        <w:pStyle w:val="7"/>
        <w:spacing w:before="0" w:beforeAutospacing="0" w:after="0" w:afterAutospacing="0" w:line="360" w:lineRule="auto"/>
        <w:ind w:firstLine="420"/>
        <w:rPr>
          <w:sz w:val="21"/>
          <w:szCs w:val="21"/>
        </w:rPr>
      </w:pPr>
      <w:bookmarkStart w:id="117" w:name="chapter_level1_10_59_section_7"/>
      <w:bookmarkEnd w:id="117"/>
      <w:r>
        <w:rPr>
          <w:rStyle w:val="11"/>
          <w:rFonts w:hint="eastAsia"/>
          <w:sz w:val="21"/>
          <w:szCs w:val="21"/>
        </w:rPr>
        <w:t>十七、基金份额的冻结和解冻与质押</w:t>
      </w:r>
    </w:p>
    <w:p w14:paraId="1D27E3A2">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5B9EF9E1">
      <w:pPr>
        <w:pStyle w:val="7"/>
        <w:spacing w:before="0" w:beforeAutospacing="0" w:after="0" w:afterAutospacing="0" w:line="360" w:lineRule="auto"/>
        <w:ind w:firstLine="420"/>
        <w:rPr>
          <w:sz w:val="21"/>
          <w:szCs w:val="21"/>
        </w:rPr>
      </w:pPr>
      <w:r>
        <w:rPr>
          <w:rFonts w:hint="eastAsia"/>
          <w:sz w:val="21"/>
          <w:szCs w:val="21"/>
        </w:rPr>
        <w:t>对基金份额持有人无实质不利影响，如相关法律法规允许基金管理人履行相关程序后可</w:t>
      </w:r>
      <w:bookmarkStart w:id="118" w:name="chapter_level1_10_59_section_7_end"/>
      <w:bookmarkEnd w:id="118"/>
      <w:r>
        <w:rPr>
          <w:rFonts w:hint="eastAsia"/>
          <w:sz w:val="21"/>
          <w:szCs w:val="21"/>
        </w:rPr>
        <w:t xml:space="preserve">办理基金份额的质押业务或其他基金业务，基金管理人将制定和实施相应的业务规则。 </w:t>
      </w:r>
    </w:p>
    <w:p w14:paraId="4BC31579">
      <w:pPr>
        <w:widowControl/>
        <w:jc w:val="left"/>
        <w:rPr>
          <w:rFonts w:ascii="宋体" w:hAnsi="宋体" w:eastAsia="宋体"/>
        </w:rPr>
      </w:pPr>
      <w:r>
        <w:rPr>
          <w:rFonts w:ascii="宋体" w:hAnsi="宋体" w:eastAsia="宋体"/>
        </w:rPr>
        <w:br w:type="page"/>
      </w:r>
    </w:p>
    <w:p w14:paraId="2C763405">
      <w:pPr>
        <w:pStyle w:val="2"/>
        <w:jc w:val="center"/>
        <w:rPr>
          <w:rFonts w:ascii="宋体" w:hAnsi="宋体" w:eastAsia="宋体"/>
          <w:sz w:val="30"/>
        </w:rPr>
      </w:pPr>
      <w:bookmarkStart w:id="119" w:name="chapter_level1_11_60"/>
      <w:bookmarkStart w:id="120" w:name="_Toc239193703"/>
      <w:r>
        <w:rPr>
          <w:rFonts w:hint="eastAsia" w:ascii="宋体" w:hAnsi="宋体" w:eastAsia="宋体"/>
          <w:sz w:val="30"/>
        </w:rPr>
        <w:t>第八部分  基金的投资</w:t>
      </w:r>
      <w:bookmarkEnd w:id="119"/>
      <w:bookmarkEnd w:id="120"/>
    </w:p>
    <w:p w14:paraId="1F32F818">
      <w:pPr>
        <w:pStyle w:val="7"/>
        <w:spacing w:before="0" w:beforeAutospacing="0" w:after="0" w:afterAutospacing="0" w:line="360" w:lineRule="auto"/>
        <w:ind w:firstLine="420"/>
        <w:rPr>
          <w:sz w:val="21"/>
          <w:szCs w:val="21"/>
        </w:rPr>
      </w:pPr>
      <w:bookmarkStart w:id="121" w:name="chapter_level1_11_60_section_1"/>
      <w:bookmarkEnd w:id="121"/>
      <w:r>
        <w:rPr>
          <w:rStyle w:val="11"/>
          <w:rFonts w:hint="eastAsia"/>
          <w:sz w:val="21"/>
          <w:szCs w:val="21"/>
        </w:rPr>
        <w:t>一、投资目标</w:t>
      </w:r>
    </w:p>
    <w:p w14:paraId="795FB174">
      <w:pPr>
        <w:pStyle w:val="7"/>
        <w:spacing w:before="0" w:beforeAutospacing="0" w:after="0" w:afterAutospacing="0" w:line="360" w:lineRule="auto"/>
        <w:ind w:firstLine="420"/>
        <w:rPr>
          <w:sz w:val="21"/>
          <w:szCs w:val="21"/>
        </w:rPr>
      </w:pPr>
      <w:bookmarkStart w:id="122" w:name="field_60_investmenttarget_1_start"/>
      <w:bookmarkEnd w:id="122"/>
      <w:r>
        <w:rPr>
          <w:rFonts w:hint="eastAsia"/>
          <w:sz w:val="21"/>
          <w:szCs w:val="21"/>
        </w:rPr>
        <w:t xml:space="preserve">本基金在控制风险的前提下，以获取绝对收益为核心投资目标，通过积极主动的投资管理，力争实现组合资产长期稳健的增值。  </w:t>
      </w:r>
      <w:bookmarkStart w:id="123" w:name="field_60_investmenttarget_1_end"/>
      <w:bookmarkEnd w:id="123"/>
      <w:r>
        <w:rPr>
          <w:rFonts w:hint="eastAsia"/>
          <w:sz w:val="21"/>
          <w:szCs w:val="21"/>
        </w:rPr>
        <w:t xml:space="preserve">  </w:t>
      </w:r>
    </w:p>
    <w:p w14:paraId="77C524ED">
      <w:pPr>
        <w:pStyle w:val="7"/>
        <w:spacing w:before="0" w:beforeAutospacing="0" w:after="0" w:afterAutospacing="0" w:line="360" w:lineRule="auto"/>
        <w:ind w:firstLine="420"/>
        <w:rPr>
          <w:sz w:val="21"/>
          <w:szCs w:val="21"/>
        </w:rPr>
      </w:pPr>
      <w:r>
        <w:rPr>
          <w:rStyle w:val="11"/>
          <w:rFonts w:hint="eastAsia"/>
          <w:sz w:val="21"/>
          <w:szCs w:val="21"/>
        </w:rPr>
        <w:t>二、投资范围</w:t>
      </w:r>
    </w:p>
    <w:p w14:paraId="71F97523">
      <w:pPr>
        <w:pStyle w:val="7"/>
        <w:spacing w:before="0" w:beforeAutospacing="0" w:after="0" w:afterAutospacing="0" w:line="360" w:lineRule="auto"/>
        <w:ind w:firstLine="420"/>
        <w:rPr>
          <w:sz w:val="21"/>
          <w:szCs w:val="21"/>
        </w:rPr>
      </w:pPr>
      <w:bookmarkStart w:id="124" w:name="field_60_investmentrange_1_start"/>
      <w:bookmarkEnd w:id="124"/>
      <w:r>
        <w:rPr>
          <w:rFonts w:hint="eastAsia"/>
          <w:sz w:val="21"/>
          <w:szCs w:val="21"/>
        </w:rPr>
        <w:t xml:space="preserve">本基金的投资范围为具有良好流动性的金融工具，包括国内依法发行上市的股票（包括中小板、创业板及其他经中国证监会核准或注册上市的股票、存托凭证）、内地与香港股票市场交易互联互通机制下允许投资的香港联合交易所上市的股票（以下简称“港股通标的股票”）、债券（包括国债、金融债、地方政府债、政府支持机构债券、企业债、公司债、央行票据、中期票据、短期融资券、可转换债券（含可分离交易可转换债券）、可交换债、次级债等）、资产支持证券、货币市场工具（含同业存单）、银行存款、债券回购、股指期货、股票期权、国债期货、信用衍生品以及法律法规或中国证监会允许基金投资的其他金融工具（但须符合中国证监会的相关规定）。  </w:t>
      </w:r>
    </w:p>
    <w:p w14:paraId="4319B50F">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14:paraId="051F482F">
      <w:pPr>
        <w:pStyle w:val="7"/>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1F11524B">
      <w:pPr>
        <w:pStyle w:val="7"/>
        <w:spacing w:before="0" w:beforeAutospacing="0" w:after="0" w:afterAutospacing="0" w:line="360" w:lineRule="auto"/>
        <w:ind w:firstLine="420"/>
        <w:rPr>
          <w:sz w:val="21"/>
          <w:szCs w:val="21"/>
        </w:rPr>
      </w:pPr>
      <w:r>
        <w:rPr>
          <w:rFonts w:hint="eastAsia"/>
          <w:sz w:val="21"/>
          <w:szCs w:val="21"/>
        </w:rPr>
        <w:t xml:space="preserve">本基金的投资组合比例为：本基金的股票资产（含存托凭证）占基金资产的0%-30%，港股通标的股票的投资比例为股票资产的0%-50%；投资于同业存单的比例不超过基金资产的20%；每个交易日日终在扣除股指期货合约、股票期权、国债期货合约所需缴纳的交易保证金后，现金或到期日在一年以内的政府债券不低于基金资产净值的5%。前述现金不包括结算备付金、存出保证金、应收申购款等。  </w:t>
      </w:r>
    </w:p>
    <w:p w14:paraId="7524692C">
      <w:pPr>
        <w:pStyle w:val="7"/>
        <w:spacing w:before="0" w:beforeAutospacing="0" w:after="0" w:afterAutospacing="0" w:line="360" w:lineRule="auto"/>
        <w:ind w:firstLine="420"/>
        <w:rPr>
          <w:sz w:val="21"/>
          <w:szCs w:val="21"/>
        </w:rPr>
      </w:pPr>
      <w:r>
        <w:rPr>
          <w:rFonts w:hint="eastAsia"/>
          <w:sz w:val="21"/>
          <w:szCs w:val="21"/>
        </w:rPr>
        <w:t xml:space="preserve"> 若法律法规的相关规定发生变更或监管机构允许，本基金管理人在履行适当程序后，可对上述资产配置比例进行调整。  </w:t>
      </w:r>
      <w:bookmarkStart w:id="125" w:name="field_60_investmentrange_1_end"/>
      <w:bookmarkEnd w:id="125"/>
      <w:r>
        <w:rPr>
          <w:rFonts w:hint="eastAsia"/>
          <w:sz w:val="21"/>
          <w:szCs w:val="21"/>
        </w:rPr>
        <w:t xml:space="preserve">  </w:t>
      </w:r>
    </w:p>
    <w:p w14:paraId="375806D6">
      <w:pPr>
        <w:pStyle w:val="7"/>
        <w:spacing w:before="0" w:beforeAutospacing="0" w:after="0" w:afterAutospacing="0" w:line="360" w:lineRule="auto"/>
        <w:ind w:firstLine="420"/>
        <w:rPr>
          <w:sz w:val="21"/>
          <w:szCs w:val="21"/>
        </w:rPr>
      </w:pPr>
      <w:r>
        <w:rPr>
          <w:rStyle w:val="11"/>
          <w:rFonts w:hint="eastAsia"/>
          <w:sz w:val="21"/>
          <w:szCs w:val="21"/>
        </w:rPr>
        <w:t>三、投资策略</w:t>
      </w:r>
    </w:p>
    <w:p w14:paraId="21943953">
      <w:pPr>
        <w:pStyle w:val="7"/>
        <w:spacing w:before="0" w:beforeAutospacing="0" w:after="0" w:afterAutospacing="0" w:line="360" w:lineRule="auto"/>
        <w:ind w:firstLine="420"/>
        <w:rPr>
          <w:sz w:val="21"/>
          <w:szCs w:val="21"/>
        </w:rPr>
      </w:pPr>
      <w:bookmarkStart w:id="126" w:name="field_60_investmentstrategy_1_start"/>
      <w:bookmarkEnd w:id="126"/>
      <w:r>
        <w:rPr>
          <w:rFonts w:hint="eastAsia"/>
          <w:sz w:val="21"/>
          <w:szCs w:val="21"/>
        </w:rPr>
        <w:t xml:space="preserve">（一）资产配置策略 </w:t>
      </w:r>
    </w:p>
    <w:p w14:paraId="4ADF06FC">
      <w:pPr>
        <w:pStyle w:val="7"/>
        <w:spacing w:before="0" w:beforeAutospacing="0" w:after="0" w:afterAutospacing="0" w:line="360" w:lineRule="auto"/>
        <w:ind w:firstLine="420"/>
        <w:rPr>
          <w:sz w:val="21"/>
          <w:szCs w:val="21"/>
        </w:rPr>
      </w:pPr>
      <w:r>
        <w:rPr>
          <w:rFonts w:hint="eastAsia"/>
          <w:sz w:val="21"/>
          <w:szCs w:val="21"/>
        </w:rPr>
        <w:t xml:space="preserve">本基金通过自上而下和自下而上相结合、定性分析和定量分析互相补充的方法，在股票、债券和现金等资产类之间进行相对稳定的适度配置，强调通过自上而下的宏观分析与自下而上的市场趋势分析有机结合进行前瞻性的决策。本基金资产配置不仅考虑宏观基本面的影响因素同时考虑市场情绪、同业基金仓位水平的影响，并根据市场情况作出应对措施。 </w:t>
      </w:r>
    </w:p>
    <w:p w14:paraId="1DAAC482">
      <w:pPr>
        <w:pStyle w:val="7"/>
        <w:spacing w:before="0" w:beforeAutospacing="0" w:after="0" w:afterAutospacing="0" w:line="360" w:lineRule="auto"/>
        <w:ind w:firstLine="420"/>
        <w:rPr>
          <w:sz w:val="21"/>
          <w:szCs w:val="21"/>
        </w:rPr>
      </w:pPr>
      <w:r>
        <w:rPr>
          <w:rFonts w:hint="eastAsia"/>
          <w:sz w:val="21"/>
          <w:szCs w:val="21"/>
        </w:rPr>
        <w:t xml:space="preserve">资产配置层面重在对系统性风险的规避。本基金将基于既定的投资策略，充分衡量风险收益比后作出投资决策。 </w:t>
      </w:r>
    </w:p>
    <w:p w14:paraId="022D861B">
      <w:pPr>
        <w:pStyle w:val="7"/>
        <w:spacing w:before="0" w:beforeAutospacing="0" w:after="0" w:afterAutospacing="0" w:line="360" w:lineRule="auto"/>
        <w:ind w:firstLine="420"/>
        <w:rPr>
          <w:sz w:val="21"/>
          <w:szCs w:val="21"/>
        </w:rPr>
      </w:pPr>
      <w:r>
        <w:rPr>
          <w:rFonts w:hint="eastAsia"/>
          <w:sz w:val="21"/>
          <w:szCs w:val="21"/>
        </w:rPr>
        <w:t xml:space="preserve">（二）股票投资策略 </w:t>
      </w:r>
    </w:p>
    <w:p w14:paraId="34A4290A">
      <w:pPr>
        <w:pStyle w:val="7"/>
        <w:spacing w:before="0" w:beforeAutospacing="0" w:after="0" w:afterAutospacing="0" w:line="360" w:lineRule="auto"/>
        <w:ind w:firstLine="420"/>
        <w:rPr>
          <w:sz w:val="21"/>
          <w:szCs w:val="21"/>
        </w:rPr>
      </w:pPr>
      <w:r>
        <w:rPr>
          <w:rFonts w:hint="eastAsia"/>
          <w:sz w:val="21"/>
          <w:szCs w:val="21"/>
        </w:rPr>
        <w:t xml:space="preserve">本基金将以实现绝对收益为目标，结合定量、定性分析，考察和筛选未被充分定价的、具备增长潜力的个股，建立本基金的初选股票池。 </w:t>
      </w:r>
    </w:p>
    <w:p w14:paraId="6F526574">
      <w:pPr>
        <w:pStyle w:val="7"/>
        <w:spacing w:before="0" w:beforeAutospacing="0" w:after="0" w:afterAutospacing="0" w:line="360" w:lineRule="auto"/>
        <w:ind w:firstLine="420"/>
        <w:rPr>
          <w:sz w:val="21"/>
          <w:szCs w:val="21"/>
        </w:rPr>
      </w:pPr>
      <w:r>
        <w:rPr>
          <w:rFonts w:hint="eastAsia"/>
          <w:sz w:val="21"/>
          <w:szCs w:val="21"/>
        </w:rPr>
        <w:t xml:space="preserve">在股票投资上，本基金将在符合经济发展规律、有政策驱动的、推动经济结构转型的新的增长点和产业中，以自下而上的个股选择为主，重点关注公司以及所属产业的成长性与商业模式。 </w:t>
      </w:r>
    </w:p>
    <w:p w14:paraId="62E64CFE">
      <w:pPr>
        <w:pStyle w:val="7"/>
        <w:spacing w:before="0" w:beforeAutospacing="0" w:after="0" w:afterAutospacing="0" w:line="360" w:lineRule="auto"/>
        <w:ind w:firstLine="420"/>
        <w:rPr>
          <w:sz w:val="21"/>
          <w:szCs w:val="21"/>
        </w:rPr>
      </w:pPr>
      <w:r>
        <w:rPr>
          <w:rFonts w:hint="eastAsia"/>
          <w:sz w:val="21"/>
          <w:szCs w:val="21"/>
        </w:rPr>
        <w:t xml:space="preserve">1、行业选择与配置 </w:t>
      </w:r>
    </w:p>
    <w:p w14:paraId="4D0920F7">
      <w:pPr>
        <w:pStyle w:val="7"/>
        <w:spacing w:before="0" w:beforeAutospacing="0" w:after="0" w:afterAutospacing="0" w:line="360" w:lineRule="auto"/>
        <w:ind w:firstLine="420"/>
        <w:rPr>
          <w:sz w:val="21"/>
          <w:szCs w:val="21"/>
        </w:rPr>
      </w:pPr>
      <w:r>
        <w:rPr>
          <w:rFonts w:hint="eastAsia"/>
          <w:sz w:val="21"/>
          <w:szCs w:val="21"/>
        </w:rPr>
        <w:t xml:space="preserve">行业的选择与配置方面，重点关注三个问题：经济运行所处的周期、产业运行周期、行业成长空间。顺应经济结构转型的变化，寻找推动经济增长的新的驱动力，重点关注行业所处的成长周期，行业的增速以及未来的空间。 </w:t>
      </w:r>
    </w:p>
    <w:p w14:paraId="0594DD79">
      <w:pPr>
        <w:pStyle w:val="7"/>
        <w:spacing w:before="0" w:beforeAutospacing="0" w:after="0" w:afterAutospacing="0" w:line="360" w:lineRule="auto"/>
        <w:ind w:firstLine="420"/>
        <w:rPr>
          <w:sz w:val="21"/>
          <w:szCs w:val="21"/>
        </w:rPr>
      </w:pPr>
      <w:r>
        <w:rPr>
          <w:rFonts w:hint="eastAsia"/>
          <w:sz w:val="21"/>
          <w:szCs w:val="21"/>
        </w:rPr>
        <w:t xml:space="preserve">2、竞争力分析 </w:t>
      </w:r>
    </w:p>
    <w:p w14:paraId="3E611AB6">
      <w:pPr>
        <w:pStyle w:val="7"/>
        <w:spacing w:before="0" w:beforeAutospacing="0" w:after="0" w:afterAutospacing="0" w:line="360" w:lineRule="auto"/>
        <w:ind w:firstLine="420"/>
        <w:rPr>
          <w:sz w:val="21"/>
          <w:szCs w:val="21"/>
        </w:rPr>
      </w:pPr>
      <w:r>
        <w:rPr>
          <w:rFonts w:hint="eastAsia"/>
          <w:sz w:val="21"/>
          <w:szCs w:val="21"/>
        </w:rPr>
        <w:t xml:space="preserve">就公司竞争策略，基于行业分析的结果判断策略的有效性、策略的实施支持和策略的执行成果；就核心竞争力，分析公司的现有竞争优势，并判断公司能否利用现有的资源、能力和定位取得可持续竞争优势。本基金强调通过核心竞争力判断上市公司未来盈利增长的潜力。 </w:t>
      </w:r>
    </w:p>
    <w:p w14:paraId="232533C7">
      <w:pPr>
        <w:pStyle w:val="7"/>
        <w:spacing w:before="0" w:beforeAutospacing="0" w:after="0" w:afterAutospacing="0" w:line="360" w:lineRule="auto"/>
        <w:ind w:firstLine="420"/>
        <w:rPr>
          <w:sz w:val="21"/>
          <w:szCs w:val="21"/>
        </w:rPr>
      </w:pPr>
      <w:r>
        <w:rPr>
          <w:rFonts w:hint="eastAsia"/>
          <w:sz w:val="21"/>
          <w:szCs w:val="21"/>
        </w:rPr>
        <w:t xml:space="preserve">3、管理层分析 </w:t>
      </w:r>
    </w:p>
    <w:p w14:paraId="0FDB961A">
      <w:pPr>
        <w:pStyle w:val="7"/>
        <w:spacing w:before="0" w:beforeAutospacing="0" w:after="0" w:afterAutospacing="0" w:line="360" w:lineRule="auto"/>
        <w:ind w:firstLine="420"/>
        <w:rPr>
          <w:sz w:val="21"/>
          <w:szCs w:val="21"/>
        </w:rPr>
      </w:pPr>
      <w:r>
        <w:rPr>
          <w:rFonts w:hint="eastAsia"/>
          <w:sz w:val="21"/>
          <w:szCs w:val="21"/>
        </w:rPr>
        <w:t xml:space="preserve">在国内监管体系落后、公司外部治理结构不完善的基础上，上市公司的命运对管理团队的稳定性及其能力的依赖度大大增加。由此，基金管理人在投资分析中尤其强调对管理层的经营纪录以及管理制度的考查。 </w:t>
      </w:r>
    </w:p>
    <w:p w14:paraId="331F6E4A">
      <w:pPr>
        <w:pStyle w:val="7"/>
        <w:spacing w:before="0" w:beforeAutospacing="0" w:after="0" w:afterAutospacing="0" w:line="360" w:lineRule="auto"/>
        <w:ind w:firstLine="420"/>
        <w:rPr>
          <w:sz w:val="21"/>
          <w:szCs w:val="21"/>
        </w:rPr>
      </w:pPr>
      <w:r>
        <w:rPr>
          <w:rFonts w:hint="eastAsia"/>
          <w:sz w:val="21"/>
          <w:szCs w:val="21"/>
        </w:rPr>
        <w:t xml:space="preserve">4、财务指标分析 </w:t>
      </w:r>
    </w:p>
    <w:p w14:paraId="7FAA6B5E">
      <w:pPr>
        <w:pStyle w:val="7"/>
        <w:spacing w:before="0" w:beforeAutospacing="0" w:after="0" w:afterAutospacing="0" w:line="360" w:lineRule="auto"/>
        <w:ind w:firstLine="420"/>
        <w:rPr>
          <w:sz w:val="21"/>
          <w:szCs w:val="21"/>
        </w:rPr>
      </w:pPr>
      <w:r>
        <w:rPr>
          <w:rFonts w:hint="eastAsia"/>
          <w:sz w:val="21"/>
          <w:szCs w:val="21"/>
        </w:rPr>
        <w:t xml:space="preserve">在财务预测的基础上，对公司盈利增长的持续性、回报率相对于资本成本的差异和公司的财务稳健性进行判断。 </w:t>
      </w:r>
    </w:p>
    <w:p w14:paraId="02B305AA">
      <w:pPr>
        <w:pStyle w:val="7"/>
        <w:spacing w:before="0" w:beforeAutospacing="0" w:after="0" w:afterAutospacing="0" w:line="360" w:lineRule="auto"/>
        <w:ind w:firstLine="420"/>
        <w:rPr>
          <w:sz w:val="21"/>
          <w:szCs w:val="21"/>
        </w:rPr>
      </w:pPr>
      <w:r>
        <w:rPr>
          <w:rFonts w:hint="eastAsia"/>
          <w:sz w:val="21"/>
          <w:szCs w:val="21"/>
        </w:rPr>
        <w:t xml:space="preserve">5、估值比较 </w:t>
      </w:r>
    </w:p>
    <w:p w14:paraId="1CB77019">
      <w:pPr>
        <w:pStyle w:val="7"/>
        <w:spacing w:before="0" w:beforeAutospacing="0" w:after="0" w:afterAutospacing="0" w:line="360" w:lineRule="auto"/>
        <w:ind w:firstLine="420"/>
        <w:rPr>
          <w:sz w:val="21"/>
          <w:szCs w:val="21"/>
        </w:rPr>
      </w:pPr>
      <w:r>
        <w:rPr>
          <w:rFonts w:hint="eastAsia"/>
          <w:sz w:val="21"/>
          <w:szCs w:val="21"/>
        </w:rPr>
        <w:t xml:space="preserve">通过对估值方法的选择和估值倍数的比较，选择股价相对低估的股票。就估值方法而言，基于行业的特点确定对股价最有影响力的关键估值方法；就估值倍数而言，通过业内比较、历史比较和增长性分析，确定具有上升基础的股价水平。 </w:t>
      </w:r>
    </w:p>
    <w:p w14:paraId="2CF8AA84">
      <w:pPr>
        <w:pStyle w:val="7"/>
        <w:spacing w:before="0" w:beforeAutospacing="0" w:after="0" w:afterAutospacing="0" w:line="360" w:lineRule="auto"/>
        <w:ind w:firstLine="420"/>
        <w:rPr>
          <w:sz w:val="21"/>
          <w:szCs w:val="21"/>
        </w:rPr>
      </w:pPr>
      <w:r>
        <w:rPr>
          <w:rFonts w:hint="eastAsia"/>
          <w:sz w:val="21"/>
          <w:szCs w:val="21"/>
        </w:rPr>
        <w:t xml:space="preserve">6、交易策略 </w:t>
      </w:r>
    </w:p>
    <w:p w14:paraId="7D5C42C6">
      <w:pPr>
        <w:pStyle w:val="7"/>
        <w:spacing w:before="0" w:beforeAutospacing="0" w:after="0" w:afterAutospacing="0" w:line="360" w:lineRule="auto"/>
        <w:ind w:firstLine="420"/>
        <w:rPr>
          <w:sz w:val="21"/>
          <w:szCs w:val="21"/>
        </w:rPr>
      </w:pPr>
      <w:r>
        <w:rPr>
          <w:rFonts w:hint="eastAsia"/>
          <w:sz w:val="21"/>
          <w:szCs w:val="21"/>
        </w:rPr>
        <w:t xml:space="preserve">通过详实的基础研究以及后续追踪，合理确定投资标的交易价格区间，减少交易的随机性。 </w:t>
      </w:r>
    </w:p>
    <w:p w14:paraId="5282195A">
      <w:pPr>
        <w:pStyle w:val="7"/>
        <w:spacing w:before="0" w:beforeAutospacing="0" w:after="0" w:afterAutospacing="0" w:line="360" w:lineRule="auto"/>
        <w:ind w:firstLine="420"/>
        <w:rPr>
          <w:sz w:val="21"/>
          <w:szCs w:val="21"/>
        </w:rPr>
      </w:pPr>
      <w:r>
        <w:rPr>
          <w:rFonts w:hint="eastAsia"/>
          <w:sz w:val="21"/>
          <w:szCs w:val="21"/>
        </w:rPr>
        <w:t xml:space="preserve">7、港股投资策略 </w:t>
      </w:r>
    </w:p>
    <w:p w14:paraId="4F4C8C78">
      <w:pPr>
        <w:pStyle w:val="7"/>
        <w:spacing w:before="0" w:beforeAutospacing="0" w:after="0" w:afterAutospacing="0" w:line="360" w:lineRule="auto"/>
        <w:ind w:firstLine="420"/>
        <w:rPr>
          <w:sz w:val="21"/>
          <w:szCs w:val="21"/>
        </w:rPr>
      </w:pPr>
      <w:r>
        <w:rPr>
          <w:rFonts w:hint="eastAsia"/>
          <w:sz w:val="21"/>
          <w:szCs w:val="21"/>
        </w:rPr>
        <w:t xml:space="preserve">本基金将充分挖掘内地与香港股票市场交易互联互通、资金双向流动机制下A股市场和港股市场的投资机会。具体投资策略如下： </w:t>
      </w:r>
    </w:p>
    <w:p w14:paraId="058C9A4B">
      <w:pPr>
        <w:pStyle w:val="7"/>
        <w:spacing w:before="0" w:beforeAutospacing="0" w:after="0" w:afterAutospacing="0" w:line="360" w:lineRule="auto"/>
        <w:ind w:firstLine="420"/>
        <w:rPr>
          <w:sz w:val="21"/>
          <w:szCs w:val="21"/>
        </w:rPr>
      </w:pPr>
      <w:r>
        <w:rPr>
          <w:rFonts w:hint="eastAsia"/>
          <w:sz w:val="21"/>
          <w:szCs w:val="21"/>
        </w:rPr>
        <w:t xml:space="preserve">第一，通过自主开发的针对港股的以基本面因子为主导的多因子量化模型，以港股通标的为选股池，根据市场流动性和产品规模等实际需求选择因子打分高的标的构建港股通量化优选组合。 </w:t>
      </w:r>
    </w:p>
    <w:p w14:paraId="3D5E1294">
      <w:pPr>
        <w:pStyle w:val="7"/>
        <w:spacing w:before="0" w:beforeAutospacing="0" w:after="0" w:afterAutospacing="0" w:line="360" w:lineRule="auto"/>
        <w:ind w:firstLine="420"/>
        <w:rPr>
          <w:sz w:val="21"/>
          <w:szCs w:val="21"/>
        </w:rPr>
      </w:pPr>
      <w:r>
        <w:rPr>
          <w:rFonts w:hint="eastAsia"/>
          <w:sz w:val="21"/>
          <w:szCs w:val="21"/>
        </w:rPr>
        <w:t xml:space="preserve">第二，对于两地同时上市的公司，考察其折溢价水平，寻找相对于A股有异常折价或估值和波动性相对于A股更加稳定的H股标的。 </w:t>
      </w:r>
    </w:p>
    <w:p w14:paraId="5DD921DF">
      <w:pPr>
        <w:pStyle w:val="7"/>
        <w:spacing w:before="0" w:beforeAutospacing="0" w:after="0" w:afterAutospacing="0" w:line="360" w:lineRule="auto"/>
        <w:ind w:firstLine="420"/>
        <w:rPr>
          <w:sz w:val="21"/>
          <w:szCs w:val="21"/>
        </w:rPr>
      </w:pPr>
      <w:r>
        <w:rPr>
          <w:rFonts w:hint="eastAsia"/>
          <w:sz w:val="21"/>
          <w:szCs w:val="21"/>
        </w:rPr>
        <w:t xml:space="preserve">第三，考察港股通股票的行业属性和商业模式，在A股暂时无相应标的的行业中寻找估值低且具有成长性的标的。 </w:t>
      </w:r>
    </w:p>
    <w:p w14:paraId="19BB3252">
      <w:pPr>
        <w:pStyle w:val="7"/>
        <w:spacing w:before="0" w:beforeAutospacing="0" w:after="0" w:afterAutospacing="0" w:line="360" w:lineRule="auto"/>
        <w:ind w:firstLine="420"/>
        <w:rPr>
          <w:sz w:val="21"/>
          <w:szCs w:val="21"/>
        </w:rPr>
      </w:pPr>
      <w:r>
        <w:rPr>
          <w:rFonts w:hint="eastAsia"/>
          <w:sz w:val="21"/>
          <w:szCs w:val="21"/>
        </w:rPr>
        <w:t xml:space="preserve">本基金将持续追踪A股市场和港股市场的相对估值和市场情况，适时调整组合中港股通的投资比例。 </w:t>
      </w:r>
    </w:p>
    <w:p w14:paraId="2BBF3097">
      <w:pPr>
        <w:pStyle w:val="7"/>
        <w:spacing w:before="0" w:beforeAutospacing="0" w:after="0" w:afterAutospacing="0" w:line="360" w:lineRule="auto"/>
        <w:ind w:firstLine="420"/>
        <w:rPr>
          <w:sz w:val="21"/>
          <w:szCs w:val="21"/>
        </w:rPr>
      </w:pPr>
      <w:r>
        <w:rPr>
          <w:rFonts w:hint="eastAsia"/>
          <w:sz w:val="21"/>
          <w:szCs w:val="21"/>
        </w:rPr>
        <w:t xml:space="preserve">8、存托凭证投资策略 </w:t>
      </w:r>
    </w:p>
    <w:p w14:paraId="0DA3E33F">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24C1DDDB">
      <w:pPr>
        <w:pStyle w:val="7"/>
        <w:spacing w:before="0" w:beforeAutospacing="0" w:after="0" w:afterAutospacing="0" w:line="360" w:lineRule="auto"/>
        <w:ind w:firstLine="420"/>
        <w:rPr>
          <w:sz w:val="21"/>
          <w:szCs w:val="21"/>
        </w:rPr>
      </w:pPr>
      <w:r>
        <w:rPr>
          <w:rFonts w:hint="eastAsia"/>
          <w:sz w:val="21"/>
          <w:szCs w:val="21"/>
        </w:rPr>
        <w:t xml:space="preserve">（三）债券投资策略 </w:t>
      </w:r>
    </w:p>
    <w:p w14:paraId="7F035FBD">
      <w:pPr>
        <w:pStyle w:val="7"/>
        <w:spacing w:before="0" w:beforeAutospacing="0" w:after="0" w:afterAutospacing="0" w:line="360" w:lineRule="auto"/>
        <w:ind w:firstLine="420"/>
        <w:rPr>
          <w:sz w:val="21"/>
          <w:szCs w:val="21"/>
        </w:rPr>
      </w:pPr>
      <w:r>
        <w:rPr>
          <w:rFonts w:hint="eastAsia"/>
          <w:sz w:val="21"/>
          <w:szCs w:val="21"/>
        </w:rPr>
        <w:t xml:space="preserve">本基金采用的债券投资策略包括：期限结构策略、信用策略、互换策略、息差策略、可转换债券投资策略等。 </w:t>
      </w:r>
    </w:p>
    <w:p w14:paraId="6FBF7684">
      <w:pPr>
        <w:pStyle w:val="7"/>
        <w:spacing w:before="0" w:beforeAutospacing="0" w:after="0" w:afterAutospacing="0" w:line="360" w:lineRule="auto"/>
        <w:ind w:firstLine="420"/>
        <w:rPr>
          <w:sz w:val="21"/>
          <w:szCs w:val="21"/>
        </w:rPr>
      </w:pPr>
      <w:r>
        <w:rPr>
          <w:rFonts w:hint="eastAsia"/>
          <w:sz w:val="21"/>
          <w:szCs w:val="21"/>
        </w:rPr>
        <w:t xml:space="preserve">1、期限结构策略 </w:t>
      </w:r>
    </w:p>
    <w:p w14:paraId="4EE9A162">
      <w:pPr>
        <w:pStyle w:val="7"/>
        <w:spacing w:before="0" w:beforeAutospacing="0" w:after="0" w:afterAutospacing="0" w:line="360" w:lineRule="auto"/>
        <w:ind w:firstLine="420"/>
        <w:rPr>
          <w:sz w:val="21"/>
          <w:szCs w:val="21"/>
        </w:rPr>
      </w:pPr>
      <w:r>
        <w:rPr>
          <w:rFonts w:hint="eastAsia"/>
          <w:sz w:val="21"/>
          <w:szCs w:val="21"/>
        </w:rPr>
        <w:t xml:space="preserve">通过预测收益率曲线的形状和变化趋势，对各类型债券进行久期配置。具体策略又分为跟踪收益率曲线的骑乘策略和基于收益率曲线变化的子弹策略、杠铃策略及梯式策略。 </w:t>
      </w:r>
    </w:p>
    <w:p w14:paraId="22848674">
      <w:pPr>
        <w:pStyle w:val="7"/>
        <w:spacing w:before="0" w:beforeAutospacing="0" w:after="0" w:afterAutospacing="0" w:line="360" w:lineRule="auto"/>
        <w:ind w:firstLine="420"/>
        <w:rPr>
          <w:sz w:val="21"/>
          <w:szCs w:val="21"/>
        </w:rPr>
      </w:pPr>
      <w:r>
        <w:rPr>
          <w:rFonts w:hint="eastAsia"/>
          <w:sz w:val="21"/>
          <w:szCs w:val="21"/>
        </w:rPr>
        <w:t xml:space="preserve">2、信用策略 </w:t>
      </w:r>
    </w:p>
    <w:p w14:paraId="07108130">
      <w:pPr>
        <w:pStyle w:val="7"/>
        <w:spacing w:before="0" w:beforeAutospacing="0" w:after="0" w:afterAutospacing="0" w:line="360" w:lineRule="auto"/>
        <w:ind w:firstLine="420"/>
        <w:rPr>
          <w:sz w:val="21"/>
          <w:szCs w:val="21"/>
        </w:rPr>
      </w:pPr>
      <w:r>
        <w:rPr>
          <w:rFonts w:hint="eastAsia"/>
          <w:sz w:val="21"/>
          <w:szCs w:val="21"/>
        </w:rPr>
        <w:t xml:space="preserve">信用债收益率等于基准收益率加信用利差，信用利差收益主要受两个方面的影响，一是该信用债对应信用水平的市场平均信用利差曲线走势；二是该信用债本身的信用变化。基于这两方面的因素，本基金管理人分别采用（1）基于信用利差曲线变化策略和（2）基于信用债信用变化策略。 </w:t>
      </w:r>
    </w:p>
    <w:p w14:paraId="26062677">
      <w:pPr>
        <w:pStyle w:val="7"/>
        <w:spacing w:before="0" w:beforeAutospacing="0" w:after="0" w:afterAutospacing="0" w:line="360" w:lineRule="auto"/>
        <w:ind w:firstLine="420"/>
        <w:rPr>
          <w:sz w:val="21"/>
          <w:szCs w:val="21"/>
        </w:rPr>
      </w:pPr>
      <w:r>
        <w:rPr>
          <w:rFonts w:hint="eastAsia"/>
          <w:sz w:val="21"/>
          <w:szCs w:val="21"/>
        </w:rPr>
        <w:t xml:space="preserve">3、互换策略 </w:t>
      </w:r>
    </w:p>
    <w:p w14:paraId="3154C175">
      <w:pPr>
        <w:pStyle w:val="7"/>
        <w:spacing w:before="0" w:beforeAutospacing="0" w:after="0" w:afterAutospacing="0" w:line="360" w:lineRule="auto"/>
        <w:ind w:firstLine="420"/>
        <w:rPr>
          <w:sz w:val="21"/>
          <w:szCs w:val="21"/>
        </w:rPr>
      </w:pPr>
      <w:r>
        <w:rPr>
          <w:rFonts w:hint="eastAsia"/>
          <w:sz w:val="21"/>
          <w:szCs w:val="21"/>
        </w:rPr>
        <w:t xml:space="preserve">不同券种在利息、违约风险、久期、流动性、税收和衍生条款等方面存在差别，基金管理人可以同时买入和卖出具有相近特性的两个或两个以上券种，赚取收益级差。 </w:t>
      </w:r>
    </w:p>
    <w:p w14:paraId="5F7B0E25">
      <w:pPr>
        <w:pStyle w:val="7"/>
        <w:spacing w:before="0" w:beforeAutospacing="0" w:after="0" w:afterAutospacing="0" w:line="360" w:lineRule="auto"/>
        <w:ind w:firstLine="420"/>
        <w:rPr>
          <w:sz w:val="21"/>
          <w:szCs w:val="21"/>
        </w:rPr>
      </w:pPr>
      <w:r>
        <w:rPr>
          <w:rFonts w:hint="eastAsia"/>
          <w:sz w:val="21"/>
          <w:szCs w:val="21"/>
        </w:rPr>
        <w:t xml:space="preserve">4、息差策略 </w:t>
      </w:r>
    </w:p>
    <w:p w14:paraId="73753CD7">
      <w:pPr>
        <w:pStyle w:val="7"/>
        <w:spacing w:before="0" w:beforeAutospacing="0" w:after="0" w:afterAutospacing="0" w:line="360" w:lineRule="auto"/>
        <w:ind w:firstLine="420"/>
        <w:rPr>
          <w:sz w:val="21"/>
          <w:szCs w:val="21"/>
        </w:rPr>
      </w:pPr>
      <w:r>
        <w:rPr>
          <w:rFonts w:hint="eastAsia"/>
          <w:sz w:val="21"/>
          <w:szCs w:val="21"/>
        </w:rPr>
        <w:t xml:space="preserve">通过正回购，融资买入收益率高于回购成本的债券，从而获得杠杆放大收益。 </w:t>
      </w:r>
    </w:p>
    <w:p w14:paraId="79B9AC03">
      <w:pPr>
        <w:pStyle w:val="7"/>
        <w:spacing w:before="0" w:beforeAutospacing="0" w:after="0" w:afterAutospacing="0" w:line="360" w:lineRule="auto"/>
        <w:ind w:firstLine="420"/>
        <w:rPr>
          <w:sz w:val="21"/>
          <w:szCs w:val="21"/>
        </w:rPr>
      </w:pPr>
      <w:r>
        <w:rPr>
          <w:rFonts w:hint="eastAsia"/>
          <w:sz w:val="21"/>
          <w:szCs w:val="21"/>
        </w:rPr>
        <w:t xml:space="preserve">5、可转换债券投资策略 </w:t>
      </w:r>
    </w:p>
    <w:p w14:paraId="3DFCF891">
      <w:pPr>
        <w:pStyle w:val="7"/>
        <w:spacing w:before="0" w:beforeAutospacing="0" w:after="0" w:afterAutospacing="0" w:line="360" w:lineRule="auto"/>
        <w:ind w:firstLine="420"/>
        <w:rPr>
          <w:sz w:val="21"/>
          <w:szCs w:val="21"/>
        </w:rPr>
      </w:pPr>
      <w:r>
        <w:rPr>
          <w:rFonts w:hint="eastAsia"/>
          <w:sz w:val="21"/>
          <w:szCs w:val="21"/>
        </w:rPr>
        <w:t xml:space="preserve">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获取超额收益。 </w:t>
      </w:r>
    </w:p>
    <w:p w14:paraId="6CACBA25">
      <w:pPr>
        <w:pStyle w:val="7"/>
        <w:spacing w:before="0" w:beforeAutospacing="0" w:after="0" w:afterAutospacing="0" w:line="360" w:lineRule="auto"/>
        <w:ind w:firstLine="420"/>
        <w:rPr>
          <w:sz w:val="21"/>
          <w:szCs w:val="21"/>
        </w:rPr>
      </w:pPr>
      <w:r>
        <w:rPr>
          <w:rFonts w:hint="eastAsia"/>
          <w:sz w:val="21"/>
          <w:szCs w:val="21"/>
        </w:rPr>
        <w:t xml:space="preserve">（四）衍生产品投资策略 </w:t>
      </w:r>
    </w:p>
    <w:p w14:paraId="64D4948C">
      <w:pPr>
        <w:pStyle w:val="7"/>
        <w:spacing w:before="0" w:beforeAutospacing="0" w:after="0" w:afterAutospacing="0" w:line="360" w:lineRule="auto"/>
        <w:ind w:firstLine="420"/>
        <w:rPr>
          <w:sz w:val="21"/>
          <w:szCs w:val="21"/>
        </w:rPr>
      </w:pPr>
      <w:r>
        <w:rPr>
          <w:rFonts w:hint="eastAsia"/>
          <w:sz w:val="21"/>
          <w:szCs w:val="21"/>
        </w:rPr>
        <w:t xml:space="preserve">本基金可以参与股指期货交易，但必须根据风险管理的原则，以套期保值为目的。本基金将根据对现货和期货市场的分析，采取多头或空头套期保值等策略进行套期保值操作。股指期货的具体投资策略包括：（1）对冲投资组合的系统性风险；（2）有效管理现金流量、降低建仓或调仓过程中的冲击成本等。 </w:t>
      </w:r>
    </w:p>
    <w:p w14:paraId="64AD9BC2">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本基金将根据风险管理的原则，以套期保值为目的，在风险可控的前提下，本着谨慎原则，参与国债期货的投资，以管理投资组合的系统性风险，改善组合的风险收益特性。 </w:t>
      </w:r>
    </w:p>
    <w:p w14:paraId="314C7B3C">
      <w:pPr>
        <w:pStyle w:val="7"/>
        <w:spacing w:before="0" w:beforeAutospacing="0" w:after="0" w:afterAutospacing="0" w:line="360" w:lineRule="auto"/>
        <w:ind w:firstLine="420"/>
        <w:rPr>
          <w:sz w:val="21"/>
          <w:szCs w:val="21"/>
        </w:rPr>
      </w:pPr>
      <w:r>
        <w:rPr>
          <w:rFonts w:hint="eastAsia"/>
          <w:sz w:val="21"/>
          <w:szCs w:val="21"/>
        </w:rPr>
        <w:t xml:space="preserve">股票期权为本基金辅助性投资工具。股票期权的投资原则为有利于基金资产增值、控制下跌风险、实现保值和锁定收益。 </w:t>
      </w:r>
    </w:p>
    <w:p w14:paraId="5EAA6712">
      <w:pPr>
        <w:pStyle w:val="7"/>
        <w:spacing w:before="0" w:beforeAutospacing="0" w:after="0" w:afterAutospacing="0" w:line="360" w:lineRule="auto"/>
        <w:ind w:firstLine="420"/>
        <w:rPr>
          <w:sz w:val="21"/>
          <w:szCs w:val="21"/>
        </w:rPr>
      </w:pPr>
      <w:r>
        <w:rPr>
          <w:rFonts w:hint="eastAsia"/>
          <w:sz w:val="21"/>
          <w:szCs w:val="21"/>
        </w:rPr>
        <w:t xml:space="preserve">本基金将关注国内其他金融衍生产品的推出情况，如法律法规或监管机构允许基金投资该衍生工具，本基金将制定与本基金投资目标相适应的投资策略，在充分评估衍生产品的风险和收益的基础上，谨慎地进行投资。 </w:t>
      </w:r>
    </w:p>
    <w:p w14:paraId="7C9784BB">
      <w:pPr>
        <w:pStyle w:val="7"/>
        <w:spacing w:before="0" w:beforeAutospacing="0" w:after="0" w:afterAutospacing="0" w:line="360" w:lineRule="auto"/>
        <w:ind w:firstLine="420"/>
        <w:rPr>
          <w:sz w:val="21"/>
          <w:szCs w:val="21"/>
        </w:rPr>
      </w:pPr>
      <w:r>
        <w:rPr>
          <w:rFonts w:hint="eastAsia"/>
          <w:sz w:val="21"/>
          <w:szCs w:val="21"/>
        </w:rPr>
        <w:t xml:space="preserve">（五）资产支持证券投资策略 </w:t>
      </w:r>
    </w:p>
    <w:p w14:paraId="523CBC96">
      <w:pPr>
        <w:pStyle w:val="7"/>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 </w:t>
      </w:r>
    </w:p>
    <w:p w14:paraId="1142B9F0">
      <w:pPr>
        <w:pStyle w:val="7"/>
        <w:spacing w:before="0" w:beforeAutospacing="0" w:after="0" w:afterAutospacing="0" w:line="360" w:lineRule="auto"/>
        <w:ind w:firstLine="420"/>
        <w:rPr>
          <w:sz w:val="21"/>
          <w:szCs w:val="21"/>
        </w:rPr>
      </w:pPr>
      <w:r>
        <w:rPr>
          <w:rFonts w:hint="eastAsia"/>
          <w:sz w:val="21"/>
          <w:szCs w:val="21"/>
        </w:rPr>
        <w:t xml:space="preserve">（六）流通受限证券投资策略 </w:t>
      </w:r>
    </w:p>
    <w:p w14:paraId="3F238BBC">
      <w:pPr>
        <w:pStyle w:val="7"/>
        <w:spacing w:before="0" w:beforeAutospacing="0" w:after="0" w:afterAutospacing="0" w:line="360" w:lineRule="auto"/>
        <w:ind w:firstLine="420"/>
        <w:rPr>
          <w:sz w:val="21"/>
          <w:szCs w:val="21"/>
        </w:rPr>
      </w:pPr>
      <w:r>
        <w:rPr>
          <w:rFonts w:hint="eastAsia"/>
          <w:sz w:val="21"/>
          <w:szCs w:val="21"/>
        </w:rPr>
        <w:t xml:space="preserve">本基金将根据基金管理人的净资本规模，以及本基金的投资风格和流动性特点，兼顾基金投资的安全性、流动性和收益性，合理控制基金投资流通受限证券的比例。 </w:t>
      </w:r>
    </w:p>
    <w:p w14:paraId="2236EA04">
      <w:pPr>
        <w:pStyle w:val="7"/>
        <w:spacing w:before="0" w:beforeAutospacing="0" w:after="0" w:afterAutospacing="0" w:line="360" w:lineRule="auto"/>
        <w:ind w:firstLine="420"/>
        <w:rPr>
          <w:sz w:val="21"/>
          <w:szCs w:val="21"/>
        </w:rPr>
      </w:pPr>
      <w:r>
        <w:rPr>
          <w:rFonts w:hint="eastAsia"/>
          <w:sz w:val="21"/>
          <w:szCs w:val="21"/>
        </w:rPr>
        <w:t xml:space="preserve">（七）购买信用衍生品规避个券信用风险策略 </w:t>
      </w:r>
    </w:p>
    <w:p w14:paraId="33573CC3">
      <w:pPr>
        <w:pStyle w:val="7"/>
        <w:spacing w:before="0" w:beforeAutospacing="0" w:after="0" w:afterAutospacing="0" w:line="360" w:lineRule="auto"/>
        <w:ind w:firstLine="420"/>
        <w:rPr>
          <w:sz w:val="21"/>
          <w:szCs w:val="21"/>
        </w:rPr>
      </w:pPr>
      <w:r>
        <w:rPr>
          <w:rFonts w:hint="eastAsia"/>
          <w:sz w:val="21"/>
          <w:szCs w:val="21"/>
        </w:rPr>
        <w:t xml:space="preserve">依托于公司整体的信用研究团队，当预期某只债券有较高的违约风险时，可以购买对应债券的信用衍生品来控制标的债券的信用风险冲击。 </w:t>
      </w:r>
    </w:p>
    <w:p w14:paraId="151E2DE3">
      <w:pPr>
        <w:pStyle w:val="7"/>
        <w:spacing w:before="0" w:beforeAutospacing="0" w:after="0" w:afterAutospacing="0" w:line="360" w:lineRule="auto"/>
        <w:ind w:firstLine="420"/>
        <w:rPr>
          <w:sz w:val="21"/>
          <w:szCs w:val="21"/>
        </w:rPr>
      </w:pPr>
      <w:r>
        <w:rPr>
          <w:rFonts w:hint="eastAsia"/>
          <w:sz w:val="21"/>
          <w:szCs w:val="21"/>
        </w:rPr>
        <w:t xml:space="preserve">本基金按风险管理的原则，以风险对冲为目的参与信用衍生品交易，同时会根据实际情况尽量保持信用衍生品的名义本金与对应标的债券的面值相一致。 </w:t>
      </w:r>
    </w:p>
    <w:p w14:paraId="339D7851">
      <w:pPr>
        <w:pStyle w:val="7"/>
        <w:spacing w:before="0" w:beforeAutospacing="0" w:after="0" w:afterAutospacing="0" w:line="360" w:lineRule="auto"/>
        <w:ind w:firstLine="420"/>
        <w:rPr>
          <w:sz w:val="21"/>
          <w:szCs w:val="21"/>
        </w:rPr>
      </w:pPr>
      <w:r>
        <w:rPr>
          <w:rFonts w:hint="eastAsia"/>
          <w:sz w:val="21"/>
          <w:szCs w:val="21"/>
        </w:rPr>
        <w:t xml:space="preserve">（八）为了更好地实现投资目标，在综合考虑预期风险、收益、流动性等因素的基础上，本基金可参与融资业务。 </w:t>
      </w:r>
    </w:p>
    <w:p w14:paraId="15FB282C">
      <w:pPr>
        <w:pStyle w:val="7"/>
        <w:spacing w:before="0" w:beforeAutospacing="0" w:after="0" w:afterAutospacing="0" w:line="360" w:lineRule="auto"/>
        <w:ind w:firstLine="420"/>
        <w:rPr>
          <w:sz w:val="21"/>
          <w:szCs w:val="21"/>
        </w:rPr>
      </w:pPr>
      <w:r>
        <w:rPr>
          <w:rFonts w:hint="eastAsia"/>
          <w:sz w:val="21"/>
          <w:szCs w:val="21"/>
        </w:rPr>
        <w:t>未来随着证券市场投资工具的发展和丰富，在符合有关法律法规规定的前提下，本基金</w:t>
      </w:r>
      <w:bookmarkStart w:id="127" w:name="chapter_level1_11_60_section_1_end"/>
      <w:bookmarkEnd w:id="127"/>
      <w:r>
        <w:rPr>
          <w:rFonts w:hint="eastAsia"/>
          <w:sz w:val="21"/>
          <w:szCs w:val="21"/>
        </w:rPr>
        <w:t xml:space="preserve">可相应调整和更新相关投资策略。 </w:t>
      </w:r>
      <w:bookmarkStart w:id="128" w:name="field_60_investmentstrategy_1_end"/>
      <w:bookmarkEnd w:id="128"/>
      <w:r>
        <w:rPr>
          <w:rFonts w:hint="eastAsia"/>
          <w:sz w:val="21"/>
          <w:szCs w:val="21"/>
        </w:rPr>
        <w:t xml:space="preserve">  </w:t>
      </w:r>
    </w:p>
    <w:p w14:paraId="5D46CD26">
      <w:pPr>
        <w:pStyle w:val="7"/>
        <w:spacing w:before="0" w:beforeAutospacing="0" w:after="0" w:afterAutospacing="0" w:line="360" w:lineRule="auto"/>
        <w:ind w:firstLine="420"/>
        <w:rPr>
          <w:sz w:val="21"/>
          <w:szCs w:val="21"/>
        </w:rPr>
      </w:pPr>
      <w:bookmarkStart w:id="129" w:name="chapter_level1_11_60_section_2"/>
      <w:bookmarkEnd w:id="129"/>
      <w:r>
        <w:rPr>
          <w:rStyle w:val="11"/>
          <w:rFonts w:hint="eastAsia"/>
          <w:sz w:val="21"/>
          <w:szCs w:val="21"/>
        </w:rPr>
        <w:t>四、投资限制</w:t>
      </w:r>
    </w:p>
    <w:p w14:paraId="5D0C91C1">
      <w:pPr>
        <w:pStyle w:val="7"/>
        <w:spacing w:before="0" w:beforeAutospacing="0" w:after="0" w:afterAutospacing="0" w:line="360" w:lineRule="auto"/>
        <w:ind w:firstLine="420"/>
        <w:rPr>
          <w:sz w:val="21"/>
          <w:szCs w:val="21"/>
        </w:rPr>
      </w:pPr>
      <w:r>
        <w:rPr>
          <w:rFonts w:hint="eastAsia"/>
          <w:sz w:val="21"/>
          <w:szCs w:val="21"/>
        </w:rPr>
        <w:t xml:space="preserve">1、组合限制 </w:t>
      </w:r>
    </w:p>
    <w:p w14:paraId="5D3FFF59">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64018802">
      <w:pPr>
        <w:pStyle w:val="7"/>
        <w:spacing w:before="0" w:beforeAutospacing="0" w:after="0" w:afterAutospacing="0" w:line="360" w:lineRule="auto"/>
        <w:ind w:firstLine="420"/>
        <w:rPr>
          <w:sz w:val="21"/>
          <w:szCs w:val="21"/>
        </w:rPr>
      </w:pPr>
      <w:r>
        <w:rPr>
          <w:rFonts w:hint="eastAsia"/>
          <w:sz w:val="21"/>
          <w:szCs w:val="21"/>
        </w:rPr>
        <w:t xml:space="preserve">（1）本基金的股票资产（含存托凭证）占基金资产的0%-30%，港股通标的股票的投资比例为股票资产的0-50%； </w:t>
      </w:r>
    </w:p>
    <w:p w14:paraId="67F12A67">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合约、国债期货合约、股票期权合约需缴纳的交易保证金后，保持不低于基金资产净值5％的现金或者到期日在一年以内的政府债券，其中，现金不包括结算备付金、存出保证金、应收申购款等； </w:t>
      </w:r>
    </w:p>
    <w:p w14:paraId="20CD4DEF">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（3）本基金持有一家公司发行的证券（含存托凭证），其市值（若同时持有一家公司发行的A股和H股，则为A股与H股合计市值）不超过基金资产净值的10％； </w:t>
      </w:r>
    </w:p>
    <w:p w14:paraId="68A71FAC">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（4）本基金管理人管理的全部基金持有一家公司发行的证券（含存托凭证），不超过该证券（若同时持有一家公司发行的A股和H股，则为A股与H股合计）的10％； </w:t>
      </w:r>
    </w:p>
    <w:p w14:paraId="0A923015">
      <w:pPr>
        <w:pStyle w:val="7"/>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14:paraId="2CD1A202">
      <w:pPr>
        <w:pStyle w:val="7"/>
        <w:spacing w:before="0" w:beforeAutospacing="0" w:after="0" w:afterAutospacing="0" w:line="360" w:lineRule="auto"/>
        <w:ind w:firstLine="420"/>
        <w:rPr>
          <w:sz w:val="21"/>
          <w:szCs w:val="21"/>
        </w:rPr>
      </w:pPr>
      <w:r>
        <w:rPr>
          <w:rFonts w:hint="eastAsia"/>
          <w:sz w:val="21"/>
          <w:szCs w:val="21"/>
        </w:rPr>
        <w:t xml:space="preserve">（6）本基金持有的全部资产支持证券，其市值不得超过基金资产净值的20％； </w:t>
      </w:r>
    </w:p>
    <w:p w14:paraId="5EBCFCF2">
      <w:pPr>
        <w:pStyle w:val="7"/>
        <w:spacing w:before="0" w:beforeAutospacing="0" w:after="0" w:afterAutospacing="0" w:line="360" w:lineRule="auto"/>
        <w:ind w:firstLine="420"/>
        <w:rPr>
          <w:sz w:val="21"/>
          <w:szCs w:val="21"/>
        </w:rPr>
      </w:pPr>
      <w:r>
        <w:rPr>
          <w:rFonts w:hint="eastAsia"/>
          <w:sz w:val="21"/>
          <w:szCs w:val="21"/>
        </w:rPr>
        <w:t xml:space="preserve">（7）本基金持有的同一(指同一信用级别)资产支持证券的比例，不得超过该资产支持证券规模的10％； </w:t>
      </w:r>
    </w:p>
    <w:p w14:paraId="0B7BB1BA">
      <w:pPr>
        <w:pStyle w:val="7"/>
        <w:spacing w:before="0" w:beforeAutospacing="0" w:after="0" w:afterAutospacing="0" w:line="360" w:lineRule="auto"/>
        <w:ind w:firstLine="420"/>
        <w:rPr>
          <w:sz w:val="21"/>
          <w:szCs w:val="21"/>
        </w:rPr>
      </w:pPr>
      <w:r>
        <w:rPr>
          <w:rFonts w:hint="eastAsia"/>
          <w:sz w:val="21"/>
          <w:szCs w:val="21"/>
        </w:rPr>
        <w:t xml:space="preserve">（8）本基金管理人管理的全部基金投资于同一原始权益人的各类资产支持证券，不得超过其各类资产支持证券合计规模的10％； </w:t>
      </w:r>
    </w:p>
    <w:p w14:paraId="059AEE86">
      <w:pPr>
        <w:pStyle w:val="7"/>
        <w:spacing w:before="0" w:beforeAutospacing="0" w:after="0" w:afterAutospacing="0" w:line="360" w:lineRule="auto"/>
        <w:ind w:firstLine="420"/>
        <w:rPr>
          <w:sz w:val="21"/>
          <w:szCs w:val="21"/>
        </w:rPr>
      </w:pPr>
      <w:r>
        <w:rPr>
          <w:rFonts w:hint="eastAsia"/>
          <w:sz w:val="21"/>
          <w:szCs w:val="21"/>
        </w:rPr>
        <w:t xml:space="preserve">（9）本基金投资于同业存单的比例不超过基金资产的20%； </w:t>
      </w:r>
    </w:p>
    <w:p w14:paraId="39E9B9A4">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47614F43">
      <w:pPr>
        <w:pStyle w:val="7"/>
        <w:spacing w:before="0" w:beforeAutospacing="0" w:after="0" w:afterAutospacing="0" w:line="360" w:lineRule="auto"/>
        <w:ind w:firstLine="420"/>
        <w:rPr>
          <w:sz w:val="21"/>
          <w:szCs w:val="21"/>
        </w:rPr>
      </w:pPr>
      <w:r>
        <w:rPr>
          <w:rFonts w:hint="eastAsia"/>
          <w:sz w:val="21"/>
          <w:szCs w:val="21"/>
        </w:rPr>
        <w:t xml:space="preserve">（11）基金财产参与股票发行申购，本基金所申报的金额不超过本基金的总资产，本基金所申报的股票数量不超过拟发行股票公司本次发行股票的总量； </w:t>
      </w:r>
    </w:p>
    <w:p w14:paraId="376C1CD7">
      <w:pPr>
        <w:pStyle w:val="7"/>
        <w:spacing w:before="0" w:beforeAutospacing="0" w:after="0" w:afterAutospacing="0" w:line="360" w:lineRule="auto"/>
        <w:ind w:firstLine="420"/>
        <w:rPr>
          <w:sz w:val="21"/>
          <w:szCs w:val="21"/>
        </w:rPr>
      </w:pPr>
      <w:r>
        <w:rPr>
          <w:rFonts w:hint="eastAsia"/>
          <w:sz w:val="21"/>
          <w:szCs w:val="21"/>
        </w:rPr>
        <w:t xml:space="preserve">（12）本基金进入全国银行间同业市场进行债券回购的资金余额不得超过基金资产净值的40%，进入全国银行间同业市场进行债券回购的最长期限为1年，债券回购到期后不得展期； </w:t>
      </w:r>
    </w:p>
    <w:p w14:paraId="2A78F432">
      <w:pPr>
        <w:pStyle w:val="7"/>
        <w:spacing w:before="0" w:beforeAutospacing="0" w:after="0" w:afterAutospacing="0" w:line="360" w:lineRule="auto"/>
        <w:ind w:firstLine="420"/>
        <w:rPr>
          <w:sz w:val="21"/>
          <w:szCs w:val="21"/>
        </w:rPr>
      </w:pPr>
      <w:r>
        <w:rPr>
          <w:rFonts w:hint="eastAsia"/>
          <w:sz w:val="21"/>
          <w:szCs w:val="21"/>
        </w:rPr>
        <w:t xml:space="preserve">（13）本基金参与股指期货、国债期货投资的，应遵循下列限制： </w:t>
      </w:r>
    </w:p>
    <w:p w14:paraId="37CAABE4">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07274626">
      <w:pPr>
        <w:pStyle w:val="7"/>
        <w:spacing w:before="0" w:beforeAutospacing="0" w:after="0" w:afterAutospacing="0" w:line="360" w:lineRule="auto"/>
        <w:ind w:firstLine="420"/>
        <w:rPr>
          <w:sz w:val="21"/>
          <w:szCs w:val="21"/>
        </w:rPr>
      </w:pPr>
      <w:r>
        <w:rPr>
          <w:rFonts w:hint="eastAsia"/>
          <w:sz w:val="21"/>
          <w:szCs w:val="21"/>
        </w:rPr>
        <w:t xml:space="preserve">2）每个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1C269CEE">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14:paraId="625D143F">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188573A4">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731908F5">
      <w:pPr>
        <w:pStyle w:val="7"/>
        <w:spacing w:before="0" w:beforeAutospacing="0" w:after="0" w:afterAutospacing="0" w:line="360" w:lineRule="auto"/>
        <w:ind w:firstLine="420"/>
        <w:rPr>
          <w:sz w:val="21"/>
          <w:szCs w:val="21"/>
        </w:rPr>
      </w:pPr>
      <w:r>
        <w:rPr>
          <w:rFonts w:hint="eastAsia"/>
          <w:sz w:val="21"/>
          <w:szCs w:val="21"/>
        </w:rPr>
        <w:t xml:space="preserve">6）本基金在任何交易日日终，持有的买入国债期货合约价值，不得超过基金资产净值的15%； </w:t>
      </w:r>
    </w:p>
    <w:p w14:paraId="4D7CF051">
      <w:pPr>
        <w:pStyle w:val="7"/>
        <w:spacing w:before="0" w:beforeAutospacing="0" w:after="0" w:afterAutospacing="0" w:line="360" w:lineRule="auto"/>
        <w:ind w:firstLine="420"/>
        <w:rPr>
          <w:sz w:val="21"/>
          <w:szCs w:val="21"/>
        </w:rPr>
      </w:pPr>
      <w:r>
        <w:rPr>
          <w:rFonts w:hint="eastAsia"/>
          <w:sz w:val="21"/>
          <w:szCs w:val="21"/>
        </w:rPr>
        <w:t xml:space="preserve">7）本基金在任何交易日日终，持有的卖出国债期货合约价值不得超过基金持有的债券总市值的30%； </w:t>
      </w:r>
    </w:p>
    <w:p w14:paraId="6DE86C09">
      <w:pPr>
        <w:pStyle w:val="7"/>
        <w:spacing w:before="0" w:beforeAutospacing="0" w:after="0" w:afterAutospacing="0" w:line="360" w:lineRule="auto"/>
        <w:ind w:firstLine="420"/>
        <w:rPr>
          <w:sz w:val="21"/>
          <w:szCs w:val="21"/>
        </w:rPr>
      </w:pPr>
      <w:r>
        <w:rPr>
          <w:rFonts w:hint="eastAsia"/>
          <w:sz w:val="21"/>
          <w:szCs w:val="21"/>
        </w:rPr>
        <w:t xml:space="preserve">8）本基金在任何交易日内交易（不包括平仓）的国债期货合约的成交金额不得超过上一交易日基金资产净值的30%； </w:t>
      </w:r>
    </w:p>
    <w:p w14:paraId="7F261D8A">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0BFDE4DB">
      <w:pPr>
        <w:pStyle w:val="7"/>
        <w:spacing w:before="0" w:beforeAutospacing="0" w:after="0" w:afterAutospacing="0" w:line="360" w:lineRule="auto"/>
        <w:ind w:firstLine="420"/>
        <w:rPr>
          <w:sz w:val="21"/>
          <w:szCs w:val="21"/>
        </w:rPr>
      </w:pPr>
      <w:r>
        <w:rPr>
          <w:rFonts w:hint="eastAsia"/>
          <w:sz w:val="21"/>
          <w:szCs w:val="21"/>
        </w:rPr>
        <w:t xml:space="preserve">（14）本基金参与股票期权交易的，需遵守下列规定： </w:t>
      </w:r>
    </w:p>
    <w:p w14:paraId="1042B8C8">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202019CE">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45966BA3">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3）未平仓的股票期权合约面值不得超过基金资产净值的20%。其中，合约面值按照行权价乘以合约乘数计算； </w:t>
      </w:r>
    </w:p>
    <w:p w14:paraId="23B96CEF">
      <w:pPr>
        <w:pStyle w:val="7"/>
        <w:spacing w:before="0" w:beforeAutospacing="0" w:after="0" w:afterAutospacing="0" w:line="360" w:lineRule="auto"/>
        <w:ind w:firstLine="420"/>
        <w:rPr>
          <w:sz w:val="21"/>
          <w:szCs w:val="21"/>
        </w:rPr>
      </w:pPr>
      <w:r>
        <w:rPr>
          <w:rFonts w:hint="eastAsia"/>
          <w:sz w:val="21"/>
          <w:szCs w:val="21"/>
        </w:rPr>
        <w:t xml:space="preserve">4）基金投资股票期权应符合基金合同约定的比例限制（如股票仓位、个股占比等）、投资目标和风险收益特征； </w:t>
      </w:r>
    </w:p>
    <w:p w14:paraId="7A421DB8">
      <w:pPr>
        <w:pStyle w:val="7"/>
        <w:spacing w:before="0" w:beforeAutospacing="0" w:after="0" w:afterAutospacing="0" w:line="360" w:lineRule="auto"/>
        <w:ind w:firstLine="420"/>
        <w:rPr>
          <w:sz w:val="21"/>
          <w:szCs w:val="21"/>
        </w:rPr>
      </w:pPr>
      <w:r>
        <w:rPr>
          <w:rFonts w:hint="eastAsia"/>
          <w:sz w:val="21"/>
          <w:szCs w:val="21"/>
        </w:rPr>
        <w:t xml:space="preserve">（15）本基金不持有具有信用保护卖方属性的信用衍生品，不持有合约类信用衍生品，本基金持有的信用衍生品名义本金不得超过本基金中所对应受保护债券面值的100%； </w:t>
      </w:r>
    </w:p>
    <w:p w14:paraId="5B046E5E">
      <w:pPr>
        <w:pStyle w:val="7"/>
        <w:spacing w:before="0" w:beforeAutospacing="0" w:after="0" w:afterAutospacing="0" w:line="360" w:lineRule="auto"/>
        <w:ind w:firstLine="420"/>
        <w:rPr>
          <w:sz w:val="21"/>
          <w:szCs w:val="21"/>
        </w:rPr>
      </w:pPr>
      <w:r>
        <w:rPr>
          <w:rFonts w:hint="eastAsia"/>
          <w:sz w:val="21"/>
          <w:szCs w:val="21"/>
        </w:rPr>
        <w:t xml:space="preserve">（16）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 </w:t>
      </w:r>
    </w:p>
    <w:p w14:paraId="3CC62084">
      <w:pPr>
        <w:pStyle w:val="7"/>
        <w:spacing w:before="0" w:beforeAutospacing="0" w:after="0" w:afterAutospacing="0" w:line="360" w:lineRule="auto"/>
        <w:ind w:firstLine="420"/>
        <w:rPr>
          <w:sz w:val="21"/>
          <w:szCs w:val="21"/>
        </w:rPr>
      </w:pPr>
      <w:r>
        <w:rPr>
          <w:rFonts w:hint="eastAsia"/>
          <w:sz w:val="21"/>
          <w:szCs w:val="21"/>
        </w:rPr>
        <w:t xml:space="preserve">（17）本基金资产总值不得超过基金资产净值的140%； </w:t>
      </w:r>
    </w:p>
    <w:p w14:paraId="6E8D9ECE">
      <w:pPr>
        <w:pStyle w:val="7"/>
        <w:spacing w:before="0" w:beforeAutospacing="0" w:after="0" w:afterAutospacing="0" w:line="360" w:lineRule="auto"/>
        <w:ind w:firstLine="420"/>
        <w:rPr>
          <w:sz w:val="21"/>
          <w:szCs w:val="21"/>
        </w:rPr>
      </w:pPr>
      <w:r>
        <w:rPr>
          <w:rFonts w:hint="eastAsia"/>
          <w:sz w:val="21"/>
          <w:szCs w:val="21"/>
        </w:rPr>
        <w:t xml:space="preserve">（18）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460CAABE">
      <w:pPr>
        <w:pStyle w:val="7"/>
        <w:spacing w:before="0" w:beforeAutospacing="0" w:after="0" w:afterAutospacing="0" w:line="360" w:lineRule="auto"/>
        <w:ind w:firstLine="420"/>
        <w:rPr>
          <w:sz w:val="21"/>
          <w:szCs w:val="21"/>
        </w:rPr>
      </w:pPr>
      <w:r>
        <w:rPr>
          <w:rFonts w:hint="eastAsia"/>
          <w:sz w:val="21"/>
          <w:szCs w:val="21"/>
        </w:rPr>
        <w:t xml:space="preserve">（19）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14:paraId="22CDED9D">
      <w:pPr>
        <w:pStyle w:val="7"/>
        <w:spacing w:before="0" w:beforeAutospacing="0" w:after="0" w:afterAutospacing="0" w:line="360" w:lineRule="auto"/>
        <w:ind w:firstLine="420"/>
        <w:rPr>
          <w:sz w:val="21"/>
          <w:szCs w:val="21"/>
        </w:rPr>
      </w:pPr>
      <w:r>
        <w:rPr>
          <w:rFonts w:hint="eastAsia"/>
          <w:sz w:val="21"/>
          <w:szCs w:val="21"/>
        </w:rPr>
        <w:t xml:space="preserve">（20）本基金与私募类证券资管产品及中国证监会认定的其他主体为交易对手开展逆回购交易的，可接受质押品的资质要求应当与基金合同约定的投资范围保持一致； </w:t>
      </w:r>
    </w:p>
    <w:p w14:paraId="004FEC26">
      <w:pPr>
        <w:pStyle w:val="7"/>
        <w:spacing w:before="0" w:beforeAutospacing="0" w:after="0" w:afterAutospacing="0" w:line="360" w:lineRule="auto"/>
        <w:ind w:firstLine="420"/>
        <w:rPr>
          <w:sz w:val="21"/>
          <w:szCs w:val="21"/>
        </w:rPr>
      </w:pPr>
      <w:r>
        <w:rPr>
          <w:rFonts w:hint="eastAsia"/>
          <w:sz w:val="21"/>
          <w:szCs w:val="21"/>
        </w:rPr>
        <w:t xml:space="preserve">（21）本基金参与融资的，每个交易日日终，本基金持有的融资买入股票与其他有价证券市值之和，不得超过基金资产净值的95%； </w:t>
      </w:r>
    </w:p>
    <w:p w14:paraId="64DFE4BB">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（22）法律法规及中国证监会规定的和《基金合同》约定的其他投资限制。 </w:t>
      </w:r>
    </w:p>
    <w:p w14:paraId="3607D3FB">
      <w:pPr>
        <w:pStyle w:val="7"/>
        <w:spacing w:before="0" w:beforeAutospacing="0" w:after="0" w:afterAutospacing="0" w:line="360" w:lineRule="auto"/>
        <w:ind w:firstLine="420"/>
        <w:rPr>
          <w:sz w:val="21"/>
          <w:szCs w:val="21"/>
        </w:rPr>
      </w:pPr>
      <w:r>
        <w:rPr>
          <w:rFonts w:hint="eastAsia"/>
          <w:sz w:val="21"/>
          <w:szCs w:val="21"/>
        </w:rPr>
        <w:t xml:space="preserve">除上述（2）、（10）、（16）、（19）、（20）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240F65B9">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22B438ED">
      <w:pPr>
        <w:pStyle w:val="7"/>
        <w:spacing w:before="0" w:beforeAutospacing="0" w:after="0" w:afterAutospacing="0" w:line="360" w:lineRule="auto"/>
        <w:ind w:firstLine="420"/>
        <w:rPr>
          <w:sz w:val="21"/>
          <w:szCs w:val="21"/>
        </w:rPr>
      </w:pPr>
      <w:r>
        <w:rPr>
          <w:rFonts w:hint="eastAsia"/>
          <w:sz w:val="21"/>
          <w:szCs w:val="21"/>
        </w:rPr>
        <w:t xml:space="preserve">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不需另行召开基金份额持有人大会。 </w:t>
      </w:r>
    </w:p>
    <w:p w14:paraId="2104F346">
      <w:pPr>
        <w:pStyle w:val="7"/>
        <w:spacing w:before="0" w:beforeAutospacing="0" w:after="0" w:afterAutospacing="0" w:line="360" w:lineRule="auto"/>
        <w:ind w:firstLine="420"/>
        <w:rPr>
          <w:sz w:val="21"/>
          <w:szCs w:val="21"/>
        </w:rPr>
      </w:pPr>
      <w:r>
        <w:rPr>
          <w:rFonts w:hint="eastAsia"/>
          <w:sz w:val="21"/>
          <w:szCs w:val="21"/>
        </w:rPr>
        <w:t xml:space="preserve">2、禁止行为 </w:t>
      </w:r>
    </w:p>
    <w:p w14:paraId="6DCF0EC7">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7BB1FE21">
      <w:pPr>
        <w:pStyle w:val="7"/>
        <w:spacing w:before="0" w:beforeAutospacing="0" w:after="0" w:afterAutospacing="0" w:line="360" w:lineRule="auto"/>
        <w:ind w:firstLine="420"/>
        <w:rPr>
          <w:sz w:val="21"/>
          <w:szCs w:val="21"/>
        </w:rPr>
      </w:pPr>
      <w:r>
        <w:rPr>
          <w:rFonts w:hint="eastAsia"/>
          <w:sz w:val="21"/>
          <w:szCs w:val="21"/>
        </w:rPr>
        <w:t xml:space="preserve">（1）承销证券； </w:t>
      </w:r>
    </w:p>
    <w:p w14:paraId="0D2786DD">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0C48ABF3">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324CE542">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6832B790">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139AF2C1">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77E9AC24">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6DC38EB6">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26300DDE">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法律、行政法规或监管部门取消或变更上述禁止性规定，如适用于本基金，基金管理人在履行适当程序后，则本基金投资不再受相关限制或以变更后的规定为准。 </w:t>
      </w:r>
    </w:p>
    <w:p w14:paraId="3738E790">
      <w:pPr>
        <w:pStyle w:val="7"/>
        <w:spacing w:before="0" w:beforeAutospacing="0" w:after="0" w:afterAutospacing="0" w:line="360" w:lineRule="auto"/>
        <w:ind w:firstLine="420"/>
        <w:rPr>
          <w:sz w:val="21"/>
          <w:szCs w:val="21"/>
        </w:rPr>
      </w:pPr>
      <w:bookmarkStart w:id="130" w:name="chapter_level1_11_60_section_2_end"/>
      <w:bookmarkEnd w:id="130"/>
      <w:r>
        <w:rPr>
          <w:rStyle w:val="11"/>
          <w:rFonts w:hint="eastAsia"/>
          <w:sz w:val="21"/>
          <w:szCs w:val="21"/>
        </w:rPr>
        <w:t>五、业绩比较基准</w:t>
      </w:r>
    </w:p>
    <w:p w14:paraId="1E7D17DC">
      <w:pPr>
        <w:pStyle w:val="7"/>
        <w:spacing w:before="0" w:beforeAutospacing="0" w:after="0" w:afterAutospacing="0" w:line="360" w:lineRule="auto"/>
        <w:ind w:firstLine="420"/>
        <w:rPr>
          <w:sz w:val="21"/>
          <w:szCs w:val="21"/>
        </w:rPr>
      </w:pPr>
      <w:bookmarkStart w:id="131" w:name="chapter_level1_11_60_section_3"/>
      <w:bookmarkEnd w:id="131"/>
      <w:r>
        <w:rPr>
          <w:rFonts w:hint="eastAsia"/>
          <w:sz w:val="21"/>
          <w:szCs w:val="21"/>
        </w:rPr>
        <w:t>本基金的业绩比较基准为：</w:t>
      </w:r>
      <w:bookmarkStart w:id="132" w:name="field_60_benchmark_1_start"/>
      <w:bookmarkEnd w:id="132"/>
      <w:r>
        <w:rPr>
          <w:rFonts w:hint="eastAsia"/>
          <w:sz w:val="21"/>
          <w:szCs w:val="21"/>
        </w:rPr>
        <w:t xml:space="preserve">沪深300指数收益率×15%＋恒生综合指数收益率×5%＋中债综合财富（总值）指数收益率×75%+银行活期存款利率（税后）×5%。  </w:t>
      </w:r>
      <w:bookmarkStart w:id="133" w:name="field_60_benchmark_1_end"/>
      <w:bookmarkEnd w:id="133"/>
      <w:r>
        <w:rPr>
          <w:rFonts w:hint="eastAsia"/>
          <w:sz w:val="21"/>
          <w:szCs w:val="21"/>
        </w:rPr>
        <w:t xml:space="preserve">  </w:t>
      </w:r>
    </w:p>
    <w:p w14:paraId="659BE9CF">
      <w:pPr>
        <w:pStyle w:val="7"/>
        <w:spacing w:before="0" w:beforeAutospacing="0" w:after="0" w:afterAutospacing="0" w:line="360" w:lineRule="auto"/>
        <w:ind w:firstLine="420"/>
        <w:rPr>
          <w:sz w:val="21"/>
          <w:szCs w:val="21"/>
        </w:rPr>
      </w:pPr>
      <w:r>
        <w:rPr>
          <w:rFonts w:hint="eastAsia"/>
          <w:sz w:val="21"/>
          <w:szCs w:val="21"/>
        </w:rPr>
        <w:t xml:space="preserve">沪深300指数对股票市场具有较强的代表性，适合作为本基金股票部分的业绩比较基准。恒生综合指数可以较好地代表港股市场业绩表现，适合作为本基金港股股票组合的业绩比较基准。中债综合财富（总值）指数能够反映债券市场总体走势，适合作为本基金固定收益部分的业绩比较基准。基于本基金的投资范围和投资比例限制，选用如上业绩比较基准能够真实反映本基金的风险收益特征。 </w:t>
      </w:r>
    </w:p>
    <w:p w14:paraId="244B6620">
      <w:pPr>
        <w:pStyle w:val="7"/>
        <w:spacing w:before="0" w:beforeAutospacing="0" w:after="0" w:afterAutospacing="0" w:line="360" w:lineRule="auto"/>
        <w:ind w:firstLine="420"/>
        <w:rPr>
          <w:sz w:val="21"/>
          <w:szCs w:val="21"/>
        </w:rPr>
      </w:pPr>
      <w:r>
        <w:rPr>
          <w:rFonts w:hint="eastAsia"/>
          <w:sz w:val="21"/>
          <w:szCs w:val="21"/>
        </w:rPr>
        <w:t>如果指数编制单位停止计算编制以上指数或更改指数名称、或今后法律法规发生变化、或有更适当的、更能为市场普遍接受的业绩比较基准推出，本基金管理人可以根据本基金的投资范围和投资策略，调整基金的业绩比较基准，但应在取得基金托管人同意后报中国证监</w:t>
      </w:r>
      <w:bookmarkStart w:id="134" w:name="chapter_level1_11_60_section_3_end"/>
      <w:bookmarkEnd w:id="134"/>
      <w:r>
        <w:rPr>
          <w:rFonts w:hint="eastAsia"/>
          <w:sz w:val="21"/>
          <w:szCs w:val="21"/>
        </w:rPr>
        <w:t xml:space="preserve">会备案，并及时公告，无须召开基金份额持有人大会审议。 </w:t>
      </w:r>
    </w:p>
    <w:p w14:paraId="17C5D4CD">
      <w:pPr>
        <w:pStyle w:val="7"/>
        <w:spacing w:before="0" w:beforeAutospacing="0" w:after="0" w:afterAutospacing="0" w:line="360" w:lineRule="auto"/>
        <w:ind w:firstLine="420"/>
        <w:rPr>
          <w:sz w:val="21"/>
          <w:szCs w:val="21"/>
        </w:rPr>
      </w:pPr>
      <w:bookmarkStart w:id="135" w:name="chapter_level1_11_60_section_4"/>
      <w:bookmarkEnd w:id="135"/>
      <w:r>
        <w:rPr>
          <w:rStyle w:val="11"/>
          <w:rFonts w:hint="eastAsia"/>
          <w:sz w:val="21"/>
          <w:szCs w:val="21"/>
        </w:rPr>
        <w:t>六、风险收益特征</w:t>
      </w:r>
    </w:p>
    <w:p w14:paraId="7A9FA5BA">
      <w:pPr>
        <w:pStyle w:val="7"/>
        <w:spacing w:before="0" w:beforeAutospacing="0" w:after="0" w:afterAutospacing="0" w:line="360" w:lineRule="auto"/>
        <w:ind w:firstLine="420"/>
        <w:rPr>
          <w:sz w:val="21"/>
          <w:szCs w:val="21"/>
        </w:rPr>
      </w:pPr>
      <w:bookmarkStart w:id="136" w:name="field_60_riskyield_1_start"/>
      <w:bookmarkEnd w:id="136"/>
      <w:r>
        <w:rPr>
          <w:rFonts w:hint="eastAsia"/>
          <w:sz w:val="21"/>
          <w:szCs w:val="21"/>
        </w:rPr>
        <w:t xml:space="preserve">本基金是混合型证券投资基金，其预期收益和预期风险水平高于债券型基金产品和货币市场基金，低于股票型基金，属于中等预期风险、中等预期收益的基金产品。本基金如果投资港股通标的股票，需承担汇率风险以及境外市场的风险。  </w:t>
      </w:r>
      <w:bookmarkStart w:id="137" w:name="field_60_riskyield_1_end"/>
      <w:bookmarkEnd w:id="137"/>
      <w:r>
        <w:rPr>
          <w:rFonts w:hint="eastAsia"/>
          <w:sz w:val="21"/>
          <w:szCs w:val="21"/>
        </w:rPr>
        <w:t xml:space="preserve">  </w:t>
      </w:r>
    </w:p>
    <w:p w14:paraId="3931ED61">
      <w:pPr>
        <w:pStyle w:val="7"/>
        <w:spacing w:before="0" w:beforeAutospacing="0" w:after="0" w:afterAutospacing="0" w:line="360" w:lineRule="auto"/>
        <w:ind w:firstLine="420"/>
        <w:rPr>
          <w:sz w:val="21"/>
          <w:szCs w:val="21"/>
        </w:rPr>
      </w:pPr>
      <w:r>
        <w:rPr>
          <w:rStyle w:val="11"/>
          <w:rFonts w:hint="eastAsia"/>
          <w:sz w:val="21"/>
          <w:szCs w:val="21"/>
        </w:rPr>
        <w:t>七、基金管理人代表基金行使股东或债权人权利的处理原则及方法</w:t>
      </w:r>
    </w:p>
    <w:p w14:paraId="75B4F72A">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14:paraId="048A1C4F">
      <w:pPr>
        <w:pStyle w:val="7"/>
        <w:spacing w:before="0" w:beforeAutospacing="0" w:after="0" w:afterAutospacing="0" w:line="360" w:lineRule="auto"/>
        <w:ind w:firstLine="420"/>
        <w:rPr>
          <w:sz w:val="21"/>
          <w:szCs w:val="21"/>
        </w:rPr>
      </w:pPr>
      <w:r>
        <w:rPr>
          <w:rFonts w:hint="eastAsia"/>
          <w:sz w:val="21"/>
          <w:szCs w:val="21"/>
        </w:rPr>
        <w:t xml:space="preserve">2、不谋求对上市公司的控股； </w:t>
      </w:r>
    </w:p>
    <w:p w14:paraId="66B661E1">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670D0DC9">
      <w:pPr>
        <w:pStyle w:val="7"/>
        <w:spacing w:before="0" w:beforeAutospacing="0" w:after="0" w:afterAutospacing="0" w:line="360" w:lineRule="auto"/>
        <w:ind w:firstLine="420"/>
        <w:rPr>
          <w:sz w:val="21"/>
          <w:szCs w:val="21"/>
        </w:rPr>
      </w:pPr>
      <w:r>
        <w:rPr>
          <w:rFonts w:hint="eastAsia"/>
          <w:sz w:val="21"/>
          <w:szCs w:val="21"/>
        </w:rPr>
        <w:t>4、不通过关联交易为自身、雇员、授权代理人或任何存在利害关系的第三人牟取任何</w:t>
      </w:r>
      <w:bookmarkStart w:id="138" w:name="chapter_level1_11_60_section_4_end"/>
      <w:bookmarkEnd w:id="138"/>
      <w:r>
        <w:rPr>
          <w:rFonts w:hint="eastAsia"/>
          <w:sz w:val="21"/>
          <w:szCs w:val="21"/>
        </w:rPr>
        <w:t xml:space="preserve">不当利益。 </w:t>
      </w:r>
    </w:p>
    <w:p w14:paraId="6AA55148">
      <w:pPr>
        <w:pStyle w:val="7"/>
        <w:spacing w:before="0" w:beforeAutospacing="0" w:after="0" w:afterAutospacing="0" w:line="360" w:lineRule="auto"/>
        <w:ind w:firstLine="420"/>
        <w:rPr>
          <w:sz w:val="21"/>
          <w:szCs w:val="21"/>
        </w:rPr>
      </w:pPr>
      <w:bookmarkStart w:id="139" w:name="chapter_level1_11_60_section_5_end"/>
      <w:bookmarkEnd w:id="139"/>
      <w:bookmarkStart w:id="140" w:name="chapter_level1_11_60_section_5"/>
      <w:bookmarkEnd w:id="140"/>
      <w:r>
        <w:rPr>
          <w:rStyle w:val="11"/>
          <w:rFonts w:hint="eastAsia"/>
          <w:sz w:val="21"/>
          <w:szCs w:val="21"/>
          <w:lang w:val="en-US" w:eastAsia="zh-CN"/>
        </w:rPr>
        <w:t>八</w:t>
      </w:r>
      <w:r>
        <w:rPr>
          <w:rStyle w:val="11"/>
          <w:rFonts w:hint="eastAsia"/>
          <w:sz w:val="21"/>
          <w:szCs w:val="21"/>
        </w:rPr>
        <w:t>、基金投资组合报告</w:t>
      </w:r>
    </w:p>
    <w:p w14:paraId="43387509">
      <w:pPr>
        <w:pStyle w:val="7"/>
        <w:spacing w:before="0" w:beforeAutospacing="0" w:after="0" w:afterAutospacing="0" w:line="360" w:lineRule="auto"/>
        <w:ind w:firstLine="420"/>
        <w:rPr>
          <w:sz w:val="21"/>
          <w:szCs w:val="21"/>
        </w:rPr>
      </w:pPr>
      <w:bookmarkStart w:id="141" w:name="chapter_level1_11_60_section_6"/>
      <w:bookmarkEnd w:id="141"/>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2BC00F1B">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1157A156">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42" w:name="field_2343_financeendday_2"/>
      <w:r>
        <w:rPr>
          <w:sz w:val="21"/>
          <w:szCs w:val="21"/>
        </w:rPr>
        <w:t>2026年6月30日</w:t>
      </w:r>
      <w:bookmarkEnd w:id="142"/>
      <w:r>
        <w:rPr>
          <w:rFonts w:hint="eastAsia"/>
          <w:sz w:val="21"/>
          <w:szCs w:val="21"/>
        </w:rPr>
        <w:t xml:space="preserve">，本报告中所列财务数据未经审计。 </w:t>
      </w:r>
    </w:p>
    <w:p w14:paraId="3D921B43">
      <w:pPr>
        <w:pStyle w:val="7"/>
        <w:spacing w:before="0" w:beforeAutospacing="0" w:after="0" w:afterAutospacing="0" w:line="360" w:lineRule="auto"/>
        <w:ind w:firstLine="420"/>
        <w:rPr>
          <w:sz w:val="21"/>
          <w:szCs w:val="21"/>
        </w:rPr>
      </w:pPr>
      <w:bookmarkStart w:id="143" w:name="field_0_fundportfolio_1_start"/>
      <w:bookmarkEnd w:id="143"/>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14:paraId="2422D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FC68C4">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75DB100A">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29641305">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1F6972C1">
            <w:pPr>
              <w:jc w:val="center"/>
              <w:rPr>
                <w:rFonts w:ascii="宋体" w:hAnsi="宋体" w:eastAsia="宋体" w:cs="宋体"/>
                <w:sz w:val="24"/>
                <w:szCs w:val="24"/>
              </w:rPr>
            </w:pPr>
            <w:r>
              <w:rPr>
                <w:rFonts w:hint="eastAsia" w:ascii="宋体" w:hAnsi="宋体" w:eastAsia="宋体"/>
              </w:rPr>
              <w:t>占基金总资产的比例(%)</w:t>
            </w:r>
          </w:p>
        </w:tc>
      </w:tr>
      <w:tr w14:paraId="106E1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405A5E">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D08D53F">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65D82E9E">
            <w:pPr>
              <w:jc w:val="right"/>
              <w:rPr>
                <w:rFonts w:ascii="宋体" w:hAnsi="宋体" w:eastAsia="宋体" w:cs="宋体"/>
                <w:sz w:val="24"/>
                <w:szCs w:val="24"/>
              </w:rPr>
            </w:pPr>
            <w:r>
              <w:rPr>
                <w:rFonts w:hint="eastAsia" w:ascii="宋体" w:hAnsi="宋体" w:eastAsia="宋体"/>
              </w:rPr>
              <w:t>18,173,522.81</w:t>
            </w:r>
          </w:p>
        </w:tc>
        <w:tc>
          <w:tcPr>
            <w:tcW w:w="0" w:type="auto"/>
            <w:shd w:val="clear" w:color="auto" w:fill="auto"/>
          </w:tcPr>
          <w:p w14:paraId="7EAADECA">
            <w:pPr>
              <w:jc w:val="right"/>
              <w:rPr>
                <w:rFonts w:ascii="宋体" w:hAnsi="宋体" w:eastAsia="宋体" w:cs="宋体"/>
                <w:sz w:val="24"/>
                <w:szCs w:val="24"/>
              </w:rPr>
            </w:pPr>
            <w:r>
              <w:rPr>
                <w:rFonts w:hint="eastAsia" w:ascii="宋体" w:hAnsi="宋体" w:eastAsia="宋体"/>
              </w:rPr>
              <w:t>16.52</w:t>
            </w:r>
          </w:p>
        </w:tc>
      </w:tr>
      <w:tr w14:paraId="6212D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39F2EF">
            <w:pPr>
              <w:jc w:val="center"/>
              <w:rPr>
                <w:rFonts w:ascii="宋体" w:hAnsi="宋体" w:eastAsia="宋体" w:cs="宋体"/>
                <w:sz w:val="24"/>
                <w:szCs w:val="24"/>
              </w:rPr>
            </w:pPr>
          </w:p>
        </w:tc>
        <w:tc>
          <w:tcPr>
            <w:tcW w:w="0" w:type="auto"/>
            <w:shd w:val="clear" w:color="auto" w:fill="auto"/>
          </w:tcPr>
          <w:p w14:paraId="0DAB559D">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6911B748">
            <w:pPr>
              <w:jc w:val="right"/>
              <w:rPr>
                <w:rFonts w:ascii="宋体" w:hAnsi="宋体" w:eastAsia="宋体" w:cs="宋体"/>
                <w:sz w:val="24"/>
                <w:szCs w:val="24"/>
              </w:rPr>
            </w:pPr>
            <w:r>
              <w:rPr>
                <w:rFonts w:hint="eastAsia" w:ascii="宋体" w:hAnsi="宋体" w:eastAsia="宋体"/>
              </w:rPr>
              <w:t>18,173,522.81</w:t>
            </w:r>
          </w:p>
        </w:tc>
        <w:tc>
          <w:tcPr>
            <w:tcW w:w="0" w:type="auto"/>
            <w:shd w:val="clear" w:color="auto" w:fill="auto"/>
          </w:tcPr>
          <w:p w14:paraId="0E1CC419">
            <w:pPr>
              <w:jc w:val="right"/>
              <w:rPr>
                <w:rFonts w:ascii="宋体" w:hAnsi="宋体" w:eastAsia="宋体" w:cs="宋体"/>
                <w:sz w:val="24"/>
                <w:szCs w:val="24"/>
              </w:rPr>
            </w:pPr>
            <w:r>
              <w:rPr>
                <w:rFonts w:hint="eastAsia" w:ascii="宋体" w:hAnsi="宋体" w:eastAsia="宋体"/>
              </w:rPr>
              <w:t>16.52</w:t>
            </w:r>
          </w:p>
        </w:tc>
      </w:tr>
      <w:tr w14:paraId="7CE0F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4CF89C">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57FAA73B">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0951664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C66B855">
            <w:pPr>
              <w:jc w:val="right"/>
              <w:rPr>
                <w:rFonts w:ascii="宋体" w:hAnsi="宋体" w:eastAsia="宋体" w:cs="宋体"/>
                <w:sz w:val="24"/>
                <w:szCs w:val="24"/>
              </w:rPr>
            </w:pPr>
            <w:r>
              <w:rPr>
                <w:rFonts w:hint="eastAsia" w:ascii="宋体" w:hAnsi="宋体" w:eastAsia="宋体"/>
              </w:rPr>
              <w:t>-</w:t>
            </w:r>
          </w:p>
        </w:tc>
      </w:tr>
      <w:tr w14:paraId="20702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E801C8">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57F3019">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46A9526D">
            <w:pPr>
              <w:jc w:val="right"/>
              <w:rPr>
                <w:rFonts w:ascii="宋体" w:hAnsi="宋体" w:eastAsia="宋体" w:cs="宋体"/>
                <w:sz w:val="24"/>
                <w:szCs w:val="24"/>
              </w:rPr>
            </w:pPr>
            <w:r>
              <w:rPr>
                <w:rFonts w:hint="eastAsia" w:ascii="宋体" w:hAnsi="宋体" w:eastAsia="宋体"/>
              </w:rPr>
              <w:t>61,594,288.14</w:t>
            </w:r>
          </w:p>
        </w:tc>
        <w:tc>
          <w:tcPr>
            <w:tcW w:w="0" w:type="auto"/>
            <w:shd w:val="clear" w:color="auto" w:fill="auto"/>
          </w:tcPr>
          <w:p w14:paraId="4D812C31">
            <w:pPr>
              <w:jc w:val="right"/>
              <w:rPr>
                <w:rFonts w:ascii="宋体" w:hAnsi="宋体" w:eastAsia="宋体" w:cs="宋体"/>
                <w:sz w:val="24"/>
                <w:szCs w:val="24"/>
              </w:rPr>
            </w:pPr>
            <w:r>
              <w:rPr>
                <w:rFonts w:hint="eastAsia" w:ascii="宋体" w:hAnsi="宋体" w:eastAsia="宋体"/>
              </w:rPr>
              <w:t>55.99</w:t>
            </w:r>
          </w:p>
        </w:tc>
      </w:tr>
      <w:tr w14:paraId="52115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41EEF3">
            <w:pPr>
              <w:jc w:val="center"/>
              <w:rPr>
                <w:rFonts w:ascii="宋体" w:hAnsi="宋体" w:eastAsia="宋体" w:cs="宋体"/>
                <w:sz w:val="24"/>
                <w:szCs w:val="24"/>
              </w:rPr>
            </w:pPr>
          </w:p>
        </w:tc>
        <w:tc>
          <w:tcPr>
            <w:tcW w:w="0" w:type="auto"/>
            <w:shd w:val="clear" w:color="auto" w:fill="auto"/>
          </w:tcPr>
          <w:p w14:paraId="292AA4D7">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472656BA">
            <w:pPr>
              <w:jc w:val="right"/>
              <w:rPr>
                <w:rFonts w:ascii="宋体" w:hAnsi="宋体" w:eastAsia="宋体" w:cs="宋体"/>
                <w:sz w:val="24"/>
                <w:szCs w:val="24"/>
              </w:rPr>
            </w:pPr>
            <w:r>
              <w:rPr>
                <w:rFonts w:hint="eastAsia" w:ascii="宋体" w:hAnsi="宋体" w:eastAsia="宋体"/>
              </w:rPr>
              <w:t>61,594,288.14</w:t>
            </w:r>
          </w:p>
        </w:tc>
        <w:tc>
          <w:tcPr>
            <w:tcW w:w="0" w:type="auto"/>
            <w:shd w:val="clear" w:color="auto" w:fill="auto"/>
          </w:tcPr>
          <w:p w14:paraId="61D72963">
            <w:pPr>
              <w:jc w:val="right"/>
              <w:rPr>
                <w:rFonts w:ascii="宋体" w:hAnsi="宋体" w:eastAsia="宋体" w:cs="宋体"/>
                <w:sz w:val="24"/>
                <w:szCs w:val="24"/>
              </w:rPr>
            </w:pPr>
            <w:r>
              <w:rPr>
                <w:rFonts w:hint="eastAsia" w:ascii="宋体" w:hAnsi="宋体" w:eastAsia="宋体"/>
              </w:rPr>
              <w:t>55.99</w:t>
            </w:r>
          </w:p>
        </w:tc>
      </w:tr>
      <w:tr w14:paraId="14603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6EE6C98">
            <w:pPr>
              <w:jc w:val="center"/>
              <w:rPr>
                <w:rFonts w:ascii="宋体" w:hAnsi="宋体" w:eastAsia="宋体" w:cs="宋体"/>
                <w:sz w:val="24"/>
                <w:szCs w:val="24"/>
              </w:rPr>
            </w:pPr>
          </w:p>
        </w:tc>
        <w:tc>
          <w:tcPr>
            <w:tcW w:w="0" w:type="auto"/>
            <w:shd w:val="clear" w:color="auto" w:fill="auto"/>
          </w:tcPr>
          <w:p w14:paraId="6020C1A2">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407BC21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38E9D54">
            <w:pPr>
              <w:jc w:val="right"/>
              <w:rPr>
                <w:rFonts w:ascii="宋体" w:hAnsi="宋体" w:eastAsia="宋体" w:cs="宋体"/>
                <w:sz w:val="24"/>
                <w:szCs w:val="24"/>
              </w:rPr>
            </w:pPr>
            <w:r>
              <w:rPr>
                <w:rFonts w:hint="eastAsia" w:ascii="宋体" w:hAnsi="宋体" w:eastAsia="宋体"/>
              </w:rPr>
              <w:t>-</w:t>
            </w:r>
          </w:p>
        </w:tc>
      </w:tr>
      <w:tr w14:paraId="08273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F9C335">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399A48BF">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6273BFA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2C34CD3">
            <w:pPr>
              <w:jc w:val="right"/>
              <w:rPr>
                <w:rFonts w:ascii="宋体" w:hAnsi="宋体" w:eastAsia="宋体" w:cs="宋体"/>
                <w:sz w:val="24"/>
                <w:szCs w:val="24"/>
              </w:rPr>
            </w:pPr>
            <w:r>
              <w:rPr>
                <w:rFonts w:hint="eastAsia" w:ascii="宋体" w:hAnsi="宋体" w:eastAsia="宋体"/>
              </w:rPr>
              <w:t>-</w:t>
            </w:r>
          </w:p>
        </w:tc>
      </w:tr>
      <w:tr w14:paraId="78920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08E9754">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6BD47CD">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69DCE18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71BAB9D">
            <w:pPr>
              <w:jc w:val="right"/>
              <w:rPr>
                <w:rFonts w:ascii="宋体" w:hAnsi="宋体" w:eastAsia="宋体" w:cs="宋体"/>
                <w:sz w:val="24"/>
                <w:szCs w:val="24"/>
              </w:rPr>
            </w:pPr>
            <w:r>
              <w:rPr>
                <w:rFonts w:hint="eastAsia" w:ascii="宋体" w:hAnsi="宋体" w:eastAsia="宋体"/>
              </w:rPr>
              <w:t>-</w:t>
            </w:r>
          </w:p>
        </w:tc>
      </w:tr>
      <w:tr w14:paraId="506BF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BFA8FE">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7A354182">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2F5463E0">
            <w:pPr>
              <w:jc w:val="right"/>
              <w:rPr>
                <w:rFonts w:ascii="宋体" w:hAnsi="宋体" w:eastAsia="宋体" w:cs="宋体"/>
                <w:sz w:val="24"/>
                <w:szCs w:val="24"/>
              </w:rPr>
            </w:pPr>
            <w:r>
              <w:rPr>
                <w:rFonts w:hint="eastAsia" w:ascii="宋体" w:hAnsi="宋体" w:eastAsia="宋体"/>
              </w:rPr>
              <w:t>19,000,000.00</w:t>
            </w:r>
          </w:p>
        </w:tc>
        <w:tc>
          <w:tcPr>
            <w:tcW w:w="0" w:type="auto"/>
            <w:shd w:val="clear" w:color="auto" w:fill="auto"/>
          </w:tcPr>
          <w:p w14:paraId="15D5A41F">
            <w:pPr>
              <w:jc w:val="right"/>
              <w:rPr>
                <w:rFonts w:ascii="宋体" w:hAnsi="宋体" w:eastAsia="宋体" w:cs="宋体"/>
                <w:sz w:val="24"/>
                <w:szCs w:val="24"/>
              </w:rPr>
            </w:pPr>
            <w:r>
              <w:rPr>
                <w:rFonts w:hint="eastAsia" w:ascii="宋体" w:hAnsi="宋体" w:eastAsia="宋体"/>
              </w:rPr>
              <w:t>17.27</w:t>
            </w:r>
          </w:p>
        </w:tc>
      </w:tr>
      <w:tr w14:paraId="58206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69B78B">
            <w:pPr>
              <w:jc w:val="center"/>
              <w:rPr>
                <w:rFonts w:ascii="宋体" w:hAnsi="宋体" w:eastAsia="宋体" w:cs="宋体"/>
                <w:sz w:val="24"/>
                <w:szCs w:val="24"/>
              </w:rPr>
            </w:pPr>
          </w:p>
        </w:tc>
        <w:tc>
          <w:tcPr>
            <w:tcW w:w="0" w:type="auto"/>
            <w:shd w:val="clear" w:color="auto" w:fill="auto"/>
          </w:tcPr>
          <w:p w14:paraId="42E08232">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062E1E0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9F71753">
            <w:pPr>
              <w:jc w:val="right"/>
              <w:rPr>
                <w:rFonts w:ascii="宋体" w:hAnsi="宋体" w:eastAsia="宋体" w:cs="宋体"/>
                <w:sz w:val="24"/>
                <w:szCs w:val="24"/>
              </w:rPr>
            </w:pPr>
            <w:r>
              <w:rPr>
                <w:rFonts w:hint="eastAsia" w:ascii="宋体" w:hAnsi="宋体" w:eastAsia="宋体"/>
              </w:rPr>
              <w:t>-</w:t>
            </w:r>
          </w:p>
        </w:tc>
      </w:tr>
      <w:tr w14:paraId="19A75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4703E36">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4350FB62">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0EEB7F83">
            <w:pPr>
              <w:jc w:val="right"/>
              <w:rPr>
                <w:rFonts w:ascii="宋体" w:hAnsi="宋体" w:eastAsia="宋体" w:cs="宋体"/>
                <w:sz w:val="24"/>
                <w:szCs w:val="24"/>
              </w:rPr>
            </w:pPr>
            <w:r>
              <w:rPr>
                <w:rFonts w:hint="eastAsia" w:ascii="宋体" w:hAnsi="宋体" w:eastAsia="宋体"/>
              </w:rPr>
              <w:t>9,711,607.01</w:t>
            </w:r>
          </w:p>
        </w:tc>
        <w:tc>
          <w:tcPr>
            <w:tcW w:w="0" w:type="auto"/>
            <w:shd w:val="clear" w:color="auto" w:fill="auto"/>
          </w:tcPr>
          <w:p w14:paraId="3D7DB6F5">
            <w:pPr>
              <w:jc w:val="right"/>
              <w:rPr>
                <w:rFonts w:ascii="宋体" w:hAnsi="宋体" w:eastAsia="宋体" w:cs="宋体"/>
                <w:sz w:val="24"/>
                <w:szCs w:val="24"/>
              </w:rPr>
            </w:pPr>
            <w:r>
              <w:rPr>
                <w:rFonts w:hint="eastAsia" w:ascii="宋体" w:hAnsi="宋体" w:eastAsia="宋体"/>
              </w:rPr>
              <w:t>8.83</w:t>
            </w:r>
          </w:p>
        </w:tc>
      </w:tr>
      <w:tr w14:paraId="66529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67F297">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5B3305A8">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1EED0BD1">
            <w:pPr>
              <w:jc w:val="right"/>
              <w:rPr>
                <w:rFonts w:ascii="宋体" w:hAnsi="宋体" w:eastAsia="宋体" w:cs="宋体"/>
                <w:sz w:val="24"/>
                <w:szCs w:val="24"/>
              </w:rPr>
            </w:pPr>
            <w:r>
              <w:rPr>
                <w:rFonts w:hint="eastAsia" w:ascii="宋体" w:hAnsi="宋体" w:eastAsia="宋体"/>
              </w:rPr>
              <w:t>1,533,561.33</w:t>
            </w:r>
          </w:p>
        </w:tc>
        <w:tc>
          <w:tcPr>
            <w:tcW w:w="0" w:type="auto"/>
            <w:shd w:val="clear" w:color="auto" w:fill="auto"/>
          </w:tcPr>
          <w:p w14:paraId="0F206E04">
            <w:pPr>
              <w:jc w:val="right"/>
              <w:rPr>
                <w:rFonts w:ascii="宋体" w:hAnsi="宋体" w:eastAsia="宋体" w:cs="宋体"/>
                <w:sz w:val="24"/>
                <w:szCs w:val="24"/>
              </w:rPr>
            </w:pPr>
            <w:r>
              <w:rPr>
                <w:rFonts w:hint="eastAsia" w:ascii="宋体" w:hAnsi="宋体" w:eastAsia="宋体"/>
              </w:rPr>
              <w:t>1.39</w:t>
            </w:r>
          </w:p>
        </w:tc>
      </w:tr>
      <w:tr w14:paraId="212E4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8DB756">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10410BFC">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1E15FF14">
            <w:pPr>
              <w:jc w:val="right"/>
              <w:rPr>
                <w:rFonts w:ascii="宋体" w:hAnsi="宋体" w:eastAsia="宋体" w:cs="宋体"/>
                <w:sz w:val="24"/>
                <w:szCs w:val="24"/>
              </w:rPr>
            </w:pPr>
            <w:r>
              <w:rPr>
                <w:rFonts w:hint="eastAsia" w:ascii="宋体" w:hAnsi="宋体" w:eastAsia="宋体"/>
              </w:rPr>
              <w:t>110,012,979.29</w:t>
            </w:r>
          </w:p>
        </w:tc>
        <w:tc>
          <w:tcPr>
            <w:tcW w:w="0" w:type="auto"/>
            <w:shd w:val="clear" w:color="auto" w:fill="auto"/>
          </w:tcPr>
          <w:p w14:paraId="3E493005">
            <w:pPr>
              <w:jc w:val="right"/>
              <w:rPr>
                <w:rFonts w:ascii="宋体" w:hAnsi="宋体" w:eastAsia="宋体" w:cs="宋体"/>
                <w:sz w:val="24"/>
                <w:szCs w:val="24"/>
              </w:rPr>
            </w:pPr>
            <w:r>
              <w:rPr>
                <w:rFonts w:hint="eastAsia" w:ascii="宋体" w:hAnsi="宋体" w:eastAsia="宋体"/>
              </w:rPr>
              <w:t>100.00</w:t>
            </w:r>
          </w:p>
        </w:tc>
      </w:tr>
    </w:tbl>
    <w:p w14:paraId="5DE2325F">
      <w:pPr>
        <w:pStyle w:val="7"/>
        <w:spacing w:before="0" w:beforeAutospacing="0" w:after="0" w:afterAutospacing="0" w:line="360" w:lineRule="auto"/>
        <w:ind w:firstLine="420"/>
        <w:rPr>
          <w:sz w:val="21"/>
          <w:szCs w:val="21"/>
        </w:rPr>
      </w:pPr>
      <w:r>
        <w:rPr>
          <w:rFonts w:hint="eastAsia"/>
          <w:sz w:val="21"/>
          <w:szCs w:val="21"/>
        </w:rPr>
        <w:t>注：权益投资中通过港股通机制投资香港股票金额4,897,605.81元，净值占比4.62%。</w:t>
      </w:r>
    </w:p>
    <w:p w14:paraId="3135589F">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14:paraId="0C072A25">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3509"/>
        <w:gridCol w:w="1684"/>
        <w:gridCol w:w="2693"/>
      </w:tblGrid>
      <w:tr w14:paraId="3ED67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E9FC1D">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54D865EF">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18247E24">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17B01E90">
            <w:pPr>
              <w:jc w:val="center"/>
              <w:rPr>
                <w:rFonts w:ascii="宋体" w:hAnsi="宋体" w:eastAsia="宋体" w:cs="宋体"/>
                <w:sz w:val="24"/>
                <w:szCs w:val="24"/>
              </w:rPr>
            </w:pPr>
            <w:r>
              <w:rPr>
                <w:rFonts w:hint="eastAsia" w:ascii="宋体" w:hAnsi="宋体" w:eastAsia="宋体"/>
              </w:rPr>
              <w:t>占基金资产净值比例（％）</w:t>
            </w:r>
          </w:p>
        </w:tc>
      </w:tr>
      <w:tr w14:paraId="73225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7A65B1">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74B2A02F">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65EF9CE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1BE2B60">
            <w:pPr>
              <w:jc w:val="right"/>
              <w:rPr>
                <w:rFonts w:ascii="宋体" w:hAnsi="宋体" w:eastAsia="宋体" w:cs="宋体"/>
                <w:sz w:val="24"/>
                <w:szCs w:val="24"/>
              </w:rPr>
            </w:pPr>
            <w:r>
              <w:rPr>
                <w:rFonts w:hint="eastAsia" w:ascii="宋体" w:hAnsi="宋体" w:eastAsia="宋体"/>
              </w:rPr>
              <w:t>-</w:t>
            </w:r>
          </w:p>
        </w:tc>
      </w:tr>
      <w:tr w14:paraId="0A2DC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B90027">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3C5BA012">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2CD3F058">
            <w:pPr>
              <w:jc w:val="right"/>
              <w:rPr>
                <w:rFonts w:ascii="宋体" w:hAnsi="宋体" w:eastAsia="宋体" w:cs="宋体"/>
                <w:sz w:val="24"/>
                <w:szCs w:val="24"/>
              </w:rPr>
            </w:pPr>
            <w:r>
              <w:rPr>
                <w:rFonts w:hint="eastAsia" w:ascii="宋体" w:hAnsi="宋体" w:eastAsia="宋体"/>
              </w:rPr>
              <w:t>260,850.00</w:t>
            </w:r>
          </w:p>
        </w:tc>
        <w:tc>
          <w:tcPr>
            <w:tcW w:w="0" w:type="auto"/>
            <w:shd w:val="clear" w:color="auto" w:fill="auto"/>
          </w:tcPr>
          <w:p w14:paraId="094A1648">
            <w:pPr>
              <w:jc w:val="right"/>
              <w:rPr>
                <w:rFonts w:ascii="宋体" w:hAnsi="宋体" w:eastAsia="宋体" w:cs="宋体"/>
                <w:sz w:val="24"/>
                <w:szCs w:val="24"/>
              </w:rPr>
            </w:pPr>
            <w:r>
              <w:rPr>
                <w:rFonts w:hint="eastAsia" w:ascii="宋体" w:hAnsi="宋体" w:eastAsia="宋体"/>
              </w:rPr>
              <w:t>0.25</w:t>
            </w:r>
          </w:p>
        </w:tc>
      </w:tr>
      <w:tr w14:paraId="31288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FF874E">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7B297ADF">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68D3DB48">
            <w:pPr>
              <w:jc w:val="right"/>
              <w:rPr>
                <w:rFonts w:ascii="宋体" w:hAnsi="宋体" w:eastAsia="宋体" w:cs="宋体"/>
                <w:sz w:val="24"/>
                <w:szCs w:val="24"/>
              </w:rPr>
            </w:pPr>
            <w:r>
              <w:rPr>
                <w:rFonts w:hint="eastAsia" w:ascii="宋体" w:hAnsi="宋体" w:eastAsia="宋体"/>
              </w:rPr>
              <w:t>12,290,017.00</w:t>
            </w:r>
          </w:p>
        </w:tc>
        <w:tc>
          <w:tcPr>
            <w:tcW w:w="0" w:type="auto"/>
            <w:shd w:val="clear" w:color="auto" w:fill="auto"/>
          </w:tcPr>
          <w:p w14:paraId="09E8EE44">
            <w:pPr>
              <w:jc w:val="right"/>
              <w:rPr>
                <w:rFonts w:ascii="宋体" w:hAnsi="宋体" w:eastAsia="宋体" w:cs="宋体"/>
                <w:sz w:val="24"/>
                <w:szCs w:val="24"/>
              </w:rPr>
            </w:pPr>
            <w:r>
              <w:rPr>
                <w:rFonts w:hint="eastAsia" w:ascii="宋体" w:hAnsi="宋体" w:eastAsia="宋体"/>
              </w:rPr>
              <w:t>11.59</w:t>
            </w:r>
          </w:p>
        </w:tc>
      </w:tr>
      <w:tr w14:paraId="713D2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1B5DAB">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68737793">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67BAF22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0DF9B12">
            <w:pPr>
              <w:jc w:val="right"/>
              <w:rPr>
                <w:rFonts w:ascii="宋体" w:hAnsi="宋体" w:eastAsia="宋体" w:cs="宋体"/>
                <w:sz w:val="24"/>
                <w:szCs w:val="24"/>
              </w:rPr>
            </w:pPr>
            <w:r>
              <w:rPr>
                <w:rFonts w:hint="eastAsia" w:ascii="宋体" w:hAnsi="宋体" w:eastAsia="宋体"/>
              </w:rPr>
              <w:t>-</w:t>
            </w:r>
          </w:p>
        </w:tc>
      </w:tr>
      <w:tr w14:paraId="24788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3FB538">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05BD42AC">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114698C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3AEDC49">
            <w:pPr>
              <w:jc w:val="right"/>
              <w:rPr>
                <w:rFonts w:ascii="宋体" w:hAnsi="宋体" w:eastAsia="宋体" w:cs="宋体"/>
                <w:sz w:val="24"/>
                <w:szCs w:val="24"/>
              </w:rPr>
            </w:pPr>
            <w:r>
              <w:rPr>
                <w:rFonts w:hint="eastAsia" w:ascii="宋体" w:hAnsi="宋体" w:eastAsia="宋体"/>
              </w:rPr>
              <w:t>-</w:t>
            </w:r>
          </w:p>
        </w:tc>
      </w:tr>
      <w:tr w14:paraId="3F74D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D16EA49">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61A54EC0">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179A5F7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D6C7BB0">
            <w:pPr>
              <w:jc w:val="right"/>
              <w:rPr>
                <w:rFonts w:ascii="宋体" w:hAnsi="宋体" w:eastAsia="宋体" w:cs="宋体"/>
                <w:sz w:val="24"/>
                <w:szCs w:val="24"/>
              </w:rPr>
            </w:pPr>
            <w:r>
              <w:rPr>
                <w:rFonts w:hint="eastAsia" w:ascii="宋体" w:hAnsi="宋体" w:eastAsia="宋体"/>
              </w:rPr>
              <w:t>-</w:t>
            </w:r>
          </w:p>
        </w:tc>
      </w:tr>
      <w:tr w14:paraId="637BF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5A90A1">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6CF9EF49">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7911123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C76964B">
            <w:pPr>
              <w:jc w:val="right"/>
              <w:rPr>
                <w:rFonts w:ascii="宋体" w:hAnsi="宋体" w:eastAsia="宋体" w:cs="宋体"/>
                <w:sz w:val="24"/>
                <w:szCs w:val="24"/>
              </w:rPr>
            </w:pPr>
            <w:r>
              <w:rPr>
                <w:rFonts w:hint="eastAsia" w:ascii="宋体" w:hAnsi="宋体" w:eastAsia="宋体"/>
              </w:rPr>
              <w:t>-</w:t>
            </w:r>
          </w:p>
        </w:tc>
      </w:tr>
      <w:tr w14:paraId="4353F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4E5274">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4DC698EC">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1FD73D2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BF39B1A">
            <w:pPr>
              <w:jc w:val="right"/>
              <w:rPr>
                <w:rFonts w:ascii="宋体" w:hAnsi="宋体" w:eastAsia="宋体" w:cs="宋体"/>
                <w:sz w:val="24"/>
                <w:szCs w:val="24"/>
              </w:rPr>
            </w:pPr>
            <w:r>
              <w:rPr>
                <w:rFonts w:hint="eastAsia" w:ascii="宋体" w:hAnsi="宋体" w:eastAsia="宋体"/>
              </w:rPr>
              <w:t>-</w:t>
            </w:r>
          </w:p>
        </w:tc>
      </w:tr>
      <w:tr w14:paraId="1145F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A72653">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63B69ED9">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77294E07">
            <w:pPr>
              <w:jc w:val="right"/>
              <w:rPr>
                <w:rFonts w:ascii="宋体" w:hAnsi="宋体" w:eastAsia="宋体" w:cs="宋体"/>
                <w:sz w:val="24"/>
                <w:szCs w:val="24"/>
              </w:rPr>
            </w:pPr>
            <w:r>
              <w:rPr>
                <w:rFonts w:hint="eastAsia" w:ascii="宋体" w:hAnsi="宋体" w:eastAsia="宋体"/>
              </w:rPr>
              <w:t>555,250.00</w:t>
            </w:r>
          </w:p>
        </w:tc>
        <w:tc>
          <w:tcPr>
            <w:tcW w:w="0" w:type="auto"/>
            <w:shd w:val="clear" w:color="auto" w:fill="auto"/>
          </w:tcPr>
          <w:p w14:paraId="34D200D8">
            <w:pPr>
              <w:jc w:val="right"/>
              <w:rPr>
                <w:rFonts w:ascii="宋体" w:hAnsi="宋体" w:eastAsia="宋体" w:cs="宋体"/>
                <w:sz w:val="24"/>
                <w:szCs w:val="24"/>
              </w:rPr>
            </w:pPr>
            <w:r>
              <w:rPr>
                <w:rFonts w:hint="eastAsia" w:ascii="宋体" w:hAnsi="宋体" w:eastAsia="宋体"/>
              </w:rPr>
              <w:t>0.52</w:t>
            </w:r>
          </w:p>
        </w:tc>
      </w:tr>
      <w:tr w14:paraId="2920E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50BDD7">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53BB7C4C">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041BFF0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9AA87E2">
            <w:pPr>
              <w:jc w:val="right"/>
              <w:rPr>
                <w:rFonts w:ascii="宋体" w:hAnsi="宋体" w:eastAsia="宋体" w:cs="宋体"/>
                <w:sz w:val="24"/>
                <w:szCs w:val="24"/>
              </w:rPr>
            </w:pPr>
            <w:r>
              <w:rPr>
                <w:rFonts w:hint="eastAsia" w:ascii="宋体" w:hAnsi="宋体" w:eastAsia="宋体"/>
              </w:rPr>
              <w:t>-</w:t>
            </w:r>
          </w:p>
        </w:tc>
      </w:tr>
      <w:tr w14:paraId="0F986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E9CD2A">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6C3AFF89">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4D6ABC0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84F6747">
            <w:pPr>
              <w:jc w:val="right"/>
              <w:rPr>
                <w:rFonts w:ascii="宋体" w:hAnsi="宋体" w:eastAsia="宋体" w:cs="宋体"/>
                <w:sz w:val="24"/>
                <w:szCs w:val="24"/>
              </w:rPr>
            </w:pPr>
            <w:r>
              <w:rPr>
                <w:rFonts w:hint="eastAsia" w:ascii="宋体" w:hAnsi="宋体" w:eastAsia="宋体"/>
              </w:rPr>
              <w:t>-</w:t>
            </w:r>
          </w:p>
        </w:tc>
      </w:tr>
      <w:tr w14:paraId="6A82B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025911">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7B926126">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5B155963">
            <w:pPr>
              <w:jc w:val="right"/>
              <w:rPr>
                <w:rFonts w:ascii="宋体" w:hAnsi="宋体" w:eastAsia="宋体" w:cs="宋体"/>
                <w:sz w:val="24"/>
                <w:szCs w:val="24"/>
              </w:rPr>
            </w:pPr>
            <w:r>
              <w:rPr>
                <w:rFonts w:hint="eastAsia" w:ascii="宋体" w:hAnsi="宋体" w:eastAsia="宋体"/>
              </w:rPr>
              <w:t>169,800.00</w:t>
            </w:r>
          </w:p>
        </w:tc>
        <w:tc>
          <w:tcPr>
            <w:tcW w:w="0" w:type="auto"/>
            <w:shd w:val="clear" w:color="auto" w:fill="auto"/>
          </w:tcPr>
          <w:p w14:paraId="7B8B0262">
            <w:pPr>
              <w:jc w:val="right"/>
              <w:rPr>
                <w:rFonts w:ascii="宋体" w:hAnsi="宋体" w:eastAsia="宋体" w:cs="宋体"/>
                <w:sz w:val="24"/>
                <w:szCs w:val="24"/>
              </w:rPr>
            </w:pPr>
            <w:r>
              <w:rPr>
                <w:rFonts w:hint="eastAsia" w:ascii="宋体" w:hAnsi="宋体" w:eastAsia="宋体"/>
              </w:rPr>
              <w:t>0.16</w:t>
            </w:r>
          </w:p>
        </w:tc>
      </w:tr>
      <w:tr w14:paraId="59BEF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D33572">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384A744F">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225881C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B47FD0F">
            <w:pPr>
              <w:jc w:val="right"/>
              <w:rPr>
                <w:rFonts w:ascii="宋体" w:hAnsi="宋体" w:eastAsia="宋体" w:cs="宋体"/>
                <w:sz w:val="24"/>
                <w:szCs w:val="24"/>
              </w:rPr>
            </w:pPr>
            <w:r>
              <w:rPr>
                <w:rFonts w:hint="eastAsia" w:ascii="宋体" w:hAnsi="宋体" w:eastAsia="宋体"/>
              </w:rPr>
              <w:t>-</w:t>
            </w:r>
          </w:p>
        </w:tc>
      </w:tr>
      <w:tr w14:paraId="0750A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117CA3">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56E6B698">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085204E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F1D5FD4">
            <w:pPr>
              <w:jc w:val="right"/>
              <w:rPr>
                <w:rFonts w:ascii="宋体" w:hAnsi="宋体" w:eastAsia="宋体" w:cs="宋体"/>
                <w:sz w:val="24"/>
                <w:szCs w:val="24"/>
              </w:rPr>
            </w:pPr>
            <w:r>
              <w:rPr>
                <w:rFonts w:hint="eastAsia" w:ascii="宋体" w:hAnsi="宋体" w:eastAsia="宋体"/>
              </w:rPr>
              <w:t>-</w:t>
            </w:r>
          </w:p>
        </w:tc>
      </w:tr>
      <w:tr w14:paraId="09405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587FA9">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303DB88F">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291BE70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3C713F2">
            <w:pPr>
              <w:jc w:val="right"/>
              <w:rPr>
                <w:rFonts w:ascii="宋体" w:hAnsi="宋体" w:eastAsia="宋体" w:cs="宋体"/>
                <w:sz w:val="24"/>
                <w:szCs w:val="24"/>
              </w:rPr>
            </w:pPr>
            <w:r>
              <w:rPr>
                <w:rFonts w:hint="eastAsia" w:ascii="宋体" w:hAnsi="宋体" w:eastAsia="宋体"/>
              </w:rPr>
              <w:t>-</w:t>
            </w:r>
          </w:p>
        </w:tc>
      </w:tr>
      <w:tr w14:paraId="11519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16DC3F">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73D00594">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1BE1A3A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E83BD93">
            <w:pPr>
              <w:jc w:val="right"/>
              <w:rPr>
                <w:rFonts w:ascii="宋体" w:hAnsi="宋体" w:eastAsia="宋体" w:cs="宋体"/>
                <w:sz w:val="24"/>
                <w:szCs w:val="24"/>
              </w:rPr>
            </w:pPr>
            <w:r>
              <w:rPr>
                <w:rFonts w:hint="eastAsia" w:ascii="宋体" w:hAnsi="宋体" w:eastAsia="宋体"/>
              </w:rPr>
              <w:t>-</w:t>
            </w:r>
          </w:p>
        </w:tc>
      </w:tr>
      <w:tr w14:paraId="7FC74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A29A55">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2FCFE0A1">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497A30C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30B0BB8">
            <w:pPr>
              <w:jc w:val="right"/>
              <w:rPr>
                <w:rFonts w:ascii="宋体" w:hAnsi="宋体" w:eastAsia="宋体" w:cs="宋体"/>
                <w:sz w:val="24"/>
                <w:szCs w:val="24"/>
              </w:rPr>
            </w:pPr>
            <w:r>
              <w:rPr>
                <w:rFonts w:hint="eastAsia" w:ascii="宋体" w:hAnsi="宋体" w:eastAsia="宋体"/>
              </w:rPr>
              <w:t>-</w:t>
            </w:r>
          </w:p>
        </w:tc>
      </w:tr>
      <w:tr w14:paraId="2AFFA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6093C77">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05952731">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554EA41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499457A">
            <w:pPr>
              <w:jc w:val="right"/>
              <w:rPr>
                <w:rFonts w:ascii="宋体" w:hAnsi="宋体" w:eastAsia="宋体" w:cs="宋体"/>
                <w:sz w:val="24"/>
                <w:szCs w:val="24"/>
              </w:rPr>
            </w:pPr>
            <w:r>
              <w:rPr>
                <w:rFonts w:hint="eastAsia" w:ascii="宋体" w:hAnsi="宋体" w:eastAsia="宋体"/>
              </w:rPr>
              <w:t>-</w:t>
            </w:r>
          </w:p>
        </w:tc>
      </w:tr>
      <w:tr w14:paraId="61152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E54746">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056151FC">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0E70F66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842F41F">
            <w:pPr>
              <w:jc w:val="right"/>
              <w:rPr>
                <w:rFonts w:ascii="宋体" w:hAnsi="宋体" w:eastAsia="宋体" w:cs="宋体"/>
                <w:sz w:val="24"/>
                <w:szCs w:val="24"/>
              </w:rPr>
            </w:pPr>
            <w:r>
              <w:rPr>
                <w:rFonts w:hint="eastAsia" w:ascii="宋体" w:hAnsi="宋体" w:eastAsia="宋体"/>
              </w:rPr>
              <w:t>-</w:t>
            </w:r>
          </w:p>
        </w:tc>
      </w:tr>
      <w:tr w14:paraId="2DC2D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4AB5E0">
            <w:pPr>
              <w:jc w:val="center"/>
              <w:rPr>
                <w:rFonts w:ascii="宋体" w:hAnsi="宋体" w:eastAsia="宋体" w:cs="宋体"/>
                <w:sz w:val="24"/>
                <w:szCs w:val="24"/>
              </w:rPr>
            </w:pPr>
          </w:p>
        </w:tc>
        <w:tc>
          <w:tcPr>
            <w:tcW w:w="0" w:type="auto"/>
            <w:shd w:val="clear" w:color="auto" w:fill="auto"/>
          </w:tcPr>
          <w:p w14:paraId="5BC54F0C">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67748660">
            <w:pPr>
              <w:jc w:val="right"/>
              <w:rPr>
                <w:rFonts w:ascii="宋体" w:hAnsi="宋体" w:eastAsia="宋体" w:cs="宋体"/>
                <w:sz w:val="24"/>
                <w:szCs w:val="24"/>
              </w:rPr>
            </w:pPr>
            <w:r>
              <w:rPr>
                <w:rFonts w:hint="eastAsia" w:ascii="宋体" w:hAnsi="宋体" w:eastAsia="宋体"/>
              </w:rPr>
              <w:t>13,275,917.00</w:t>
            </w:r>
          </w:p>
        </w:tc>
        <w:tc>
          <w:tcPr>
            <w:tcW w:w="0" w:type="auto"/>
            <w:shd w:val="clear" w:color="auto" w:fill="auto"/>
          </w:tcPr>
          <w:p w14:paraId="129EDF00">
            <w:pPr>
              <w:jc w:val="right"/>
              <w:rPr>
                <w:rFonts w:ascii="宋体" w:hAnsi="宋体" w:eastAsia="宋体" w:cs="宋体"/>
                <w:sz w:val="24"/>
                <w:szCs w:val="24"/>
              </w:rPr>
            </w:pPr>
            <w:r>
              <w:rPr>
                <w:rFonts w:hint="eastAsia" w:ascii="宋体" w:hAnsi="宋体" w:eastAsia="宋体"/>
              </w:rPr>
              <w:t>12.52</w:t>
            </w:r>
          </w:p>
        </w:tc>
      </w:tr>
    </w:tbl>
    <w:p w14:paraId="0864D214">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4"/>
        <w:gridCol w:w="2704"/>
        <w:gridCol w:w="3378"/>
      </w:tblGrid>
      <w:tr w14:paraId="585E7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23978A">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2AF128CA">
            <w:pPr>
              <w:jc w:val="center"/>
              <w:rPr>
                <w:rFonts w:ascii="宋体" w:hAnsi="宋体" w:eastAsia="宋体" w:cs="宋体"/>
                <w:sz w:val="24"/>
                <w:szCs w:val="24"/>
              </w:rPr>
            </w:pPr>
            <w:r>
              <w:rPr>
                <w:rFonts w:hint="eastAsia" w:ascii="宋体" w:hAnsi="宋体" w:eastAsia="宋体"/>
              </w:rPr>
              <w:t>公允价值（人民币）</w:t>
            </w:r>
          </w:p>
        </w:tc>
        <w:tc>
          <w:tcPr>
            <w:tcW w:w="0" w:type="auto"/>
            <w:shd w:val="clear" w:color="auto" w:fill="auto"/>
          </w:tcPr>
          <w:p w14:paraId="6D49F243">
            <w:pPr>
              <w:jc w:val="center"/>
              <w:rPr>
                <w:rFonts w:ascii="宋体" w:hAnsi="宋体" w:eastAsia="宋体" w:cs="宋体"/>
                <w:sz w:val="24"/>
                <w:szCs w:val="24"/>
              </w:rPr>
            </w:pPr>
            <w:r>
              <w:rPr>
                <w:rFonts w:hint="eastAsia" w:ascii="宋体" w:hAnsi="宋体" w:eastAsia="宋体"/>
              </w:rPr>
              <w:t>占基金资产净值比例（%）</w:t>
            </w:r>
          </w:p>
        </w:tc>
      </w:tr>
      <w:tr w14:paraId="2B526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54FF5D">
            <w:pPr>
              <w:rPr>
                <w:rFonts w:ascii="宋体" w:hAnsi="宋体" w:eastAsia="宋体" w:cs="宋体"/>
                <w:sz w:val="24"/>
                <w:szCs w:val="24"/>
              </w:rPr>
            </w:pPr>
            <w:r>
              <w:rPr>
                <w:rFonts w:hint="eastAsia" w:ascii="宋体" w:hAnsi="宋体" w:eastAsia="宋体"/>
              </w:rPr>
              <w:t>信息技术</w:t>
            </w:r>
          </w:p>
        </w:tc>
        <w:tc>
          <w:tcPr>
            <w:tcW w:w="0" w:type="auto"/>
            <w:shd w:val="clear" w:color="auto" w:fill="auto"/>
          </w:tcPr>
          <w:p w14:paraId="4435147F">
            <w:pPr>
              <w:jc w:val="right"/>
              <w:rPr>
                <w:rFonts w:ascii="宋体" w:hAnsi="宋体" w:eastAsia="宋体" w:cs="宋体"/>
                <w:sz w:val="24"/>
                <w:szCs w:val="24"/>
              </w:rPr>
            </w:pPr>
            <w:r>
              <w:rPr>
                <w:rFonts w:hint="eastAsia" w:ascii="宋体" w:hAnsi="宋体" w:eastAsia="宋体"/>
              </w:rPr>
              <w:t>244,236.26</w:t>
            </w:r>
          </w:p>
        </w:tc>
        <w:tc>
          <w:tcPr>
            <w:tcW w:w="0" w:type="auto"/>
            <w:shd w:val="clear" w:color="auto" w:fill="auto"/>
          </w:tcPr>
          <w:p w14:paraId="21F4EFA7">
            <w:pPr>
              <w:jc w:val="right"/>
              <w:rPr>
                <w:rFonts w:ascii="宋体" w:hAnsi="宋体" w:eastAsia="宋体" w:cs="宋体"/>
                <w:sz w:val="24"/>
                <w:szCs w:val="24"/>
              </w:rPr>
            </w:pPr>
            <w:r>
              <w:rPr>
                <w:rFonts w:hint="eastAsia" w:ascii="宋体" w:hAnsi="宋体" w:eastAsia="宋体"/>
              </w:rPr>
              <w:t>0.23</w:t>
            </w:r>
          </w:p>
        </w:tc>
      </w:tr>
      <w:tr w14:paraId="1CC1B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046BB6">
            <w:pPr>
              <w:rPr>
                <w:rFonts w:ascii="宋体" w:hAnsi="宋体" w:eastAsia="宋体" w:cs="宋体"/>
                <w:sz w:val="24"/>
                <w:szCs w:val="24"/>
              </w:rPr>
            </w:pPr>
            <w:r>
              <w:rPr>
                <w:rFonts w:hint="eastAsia" w:ascii="宋体" w:hAnsi="宋体" w:eastAsia="宋体"/>
              </w:rPr>
              <w:t>医疗保健</w:t>
            </w:r>
          </w:p>
        </w:tc>
        <w:tc>
          <w:tcPr>
            <w:tcW w:w="0" w:type="auto"/>
            <w:shd w:val="clear" w:color="auto" w:fill="auto"/>
          </w:tcPr>
          <w:p w14:paraId="0BDB8DDA">
            <w:pPr>
              <w:jc w:val="right"/>
              <w:rPr>
                <w:rFonts w:ascii="宋体" w:hAnsi="宋体" w:eastAsia="宋体" w:cs="宋体"/>
                <w:sz w:val="24"/>
                <w:szCs w:val="24"/>
              </w:rPr>
            </w:pPr>
            <w:r>
              <w:rPr>
                <w:rFonts w:hint="eastAsia" w:ascii="宋体" w:hAnsi="宋体" w:eastAsia="宋体"/>
              </w:rPr>
              <w:t>1,939,142.11</w:t>
            </w:r>
          </w:p>
        </w:tc>
        <w:tc>
          <w:tcPr>
            <w:tcW w:w="0" w:type="auto"/>
            <w:shd w:val="clear" w:color="auto" w:fill="auto"/>
          </w:tcPr>
          <w:p w14:paraId="1742DDD8">
            <w:pPr>
              <w:jc w:val="right"/>
              <w:rPr>
                <w:rFonts w:ascii="宋体" w:hAnsi="宋体" w:eastAsia="宋体" w:cs="宋体"/>
                <w:sz w:val="24"/>
                <w:szCs w:val="24"/>
              </w:rPr>
            </w:pPr>
            <w:r>
              <w:rPr>
                <w:rFonts w:hint="eastAsia" w:ascii="宋体" w:hAnsi="宋体" w:eastAsia="宋体"/>
              </w:rPr>
              <w:t>1.83</w:t>
            </w:r>
          </w:p>
        </w:tc>
      </w:tr>
      <w:tr w14:paraId="09BDC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146E7E">
            <w:pPr>
              <w:rPr>
                <w:rFonts w:ascii="宋体" w:hAnsi="宋体" w:eastAsia="宋体" w:cs="宋体"/>
                <w:sz w:val="24"/>
                <w:szCs w:val="24"/>
              </w:rPr>
            </w:pPr>
            <w:r>
              <w:rPr>
                <w:rFonts w:hint="eastAsia" w:ascii="宋体" w:hAnsi="宋体" w:eastAsia="宋体"/>
              </w:rPr>
              <w:t>原材料</w:t>
            </w:r>
          </w:p>
        </w:tc>
        <w:tc>
          <w:tcPr>
            <w:tcW w:w="0" w:type="auto"/>
            <w:shd w:val="clear" w:color="auto" w:fill="auto"/>
          </w:tcPr>
          <w:p w14:paraId="0D5DED4A">
            <w:pPr>
              <w:jc w:val="right"/>
              <w:rPr>
                <w:rFonts w:ascii="宋体" w:hAnsi="宋体" w:eastAsia="宋体" w:cs="宋体"/>
                <w:sz w:val="24"/>
                <w:szCs w:val="24"/>
              </w:rPr>
            </w:pPr>
            <w:r>
              <w:rPr>
                <w:rFonts w:hint="eastAsia" w:ascii="宋体" w:hAnsi="宋体" w:eastAsia="宋体"/>
              </w:rPr>
              <w:t>427,361.34</w:t>
            </w:r>
          </w:p>
        </w:tc>
        <w:tc>
          <w:tcPr>
            <w:tcW w:w="0" w:type="auto"/>
            <w:shd w:val="clear" w:color="auto" w:fill="auto"/>
          </w:tcPr>
          <w:p w14:paraId="391674A9">
            <w:pPr>
              <w:jc w:val="right"/>
              <w:rPr>
                <w:rFonts w:ascii="宋体" w:hAnsi="宋体" w:eastAsia="宋体" w:cs="宋体"/>
                <w:sz w:val="24"/>
                <w:szCs w:val="24"/>
              </w:rPr>
            </w:pPr>
            <w:r>
              <w:rPr>
                <w:rFonts w:hint="eastAsia" w:ascii="宋体" w:hAnsi="宋体" w:eastAsia="宋体"/>
              </w:rPr>
              <w:t>0.40</w:t>
            </w:r>
          </w:p>
        </w:tc>
      </w:tr>
      <w:tr w14:paraId="43B02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780017">
            <w:pPr>
              <w:rPr>
                <w:rFonts w:ascii="宋体" w:hAnsi="宋体" w:eastAsia="宋体" w:cs="宋体"/>
                <w:sz w:val="24"/>
                <w:szCs w:val="24"/>
              </w:rPr>
            </w:pPr>
            <w:r>
              <w:rPr>
                <w:rFonts w:hint="eastAsia" w:ascii="宋体" w:hAnsi="宋体" w:eastAsia="宋体"/>
              </w:rPr>
              <w:t>日常消费品</w:t>
            </w:r>
          </w:p>
        </w:tc>
        <w:tc>
          <w:tcPr>
            <w:tcW w:w="0" w:type="auto"/>
            <w:shd w:val="clear" w:color="auto" w:fill="auto"/>
          </w:tcPr>
          <w:p w14:paraId="20809772">
            <w:pPr>
              <w:jc w:val="right"/>
              <w:rPr>
                <w:rFonts w:ascii="宋体" w:hAnsi="宋体" w:eastAsia="宋体" w:cs="宋体"/>
                <w:sz w:val="24"/>
                <w:szCs w:val="24"/>
              </w:rPr>
            </w:pPr>
            <w:r>
              <w:rPr>
                <w:rFonts w:hint="eastAsia" w:ascii="宋体" w:hAnsi="宋体" w:eastAsia="宋体"/>
              </w:rPr>
              <w:t>742,297.57</w:t>
            </w:r>
          </w:p>
        </w:tc>
        <w:tc>
          <w:tcPr>
            <w:tcW w:w="0" w:type="auto"/>
            <w:shd w:val="clear" w:color="auto" w:fill="auto"/>
          </w:tcPr>
          <w:p w14:paraId="02423A37">
            <w:pPr>
              <w:jc w:val="right"/>
              <w:rPr>
                <w:rFonts w:ascii="宋体" w:hAnsi="宋体" w:eastAsia="宋体" w:cs="宋体"/>
                <w:sz w:val="24"/>
                <w:szCs w:val="24"/>
              </w:rPr>
            </w:pPr>
            <w:r>
              <w:rPr>
                <w:rFonts w:hint="eastAsia" w:ascii="宋体" w:hAnsi="宋体" w:eastAsia="宋体"/>
              </w:rPr>
              <w:t>0.70</w:t>
            </w:r>
          </w:p>
        </w:tc>
      </w:tr>
      <w:tr w14:paraId="6CCEA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12F6A2">
            <w:pPr>
              <w:rPr>
                <w:rFonts w:ascii="宋体" w:hAnsi="宋体" w:eastAsia="宋体" w:cs="宋体"/>
                <w:sz w:val="24"/>
                <w:szCs w:val="24"/>
              </w:rPr>
            </w:pPr>
            <w:r>
              <w:rPr>
                <w:rFonts w:hint="eastAsia" w:ascii="宋体" w:hAnsi="宋体" w:eastAsia="宋体"/>
              </w:rPr>
              <w:t>电信业务</w:t>
            </w:r>
          </w:p>
        </w:tc>
        <w:tc>
          <w:tcPr>
            <w:tcW w:w="0" w:type="auto"/>
            <w:shd w:val="clear" w:color="auto" w:fill="auto"/>
          </w:tcPr>
          <w:p w14:paraId="2E7FE358">
            <w:pPr>
              <w:jc w:val="right"/>
              <w:rPr>
                <w:rFonts w:ascii="宋体" w:hAnsi="宋体" w:eastAsia="宋体" w:cs="宋体"/>
                <w:sz w:val="24"/>
                <w:szCs w:val="24"/>
              </w:rPr>
            </w:pPr>
            <w:r>
              <w:rPr>
                <w:rFonts w:hint="eastAsia" w:ascii="宋体" w:hAnsi="宋体" w:eastAsia="宋体"/>
              </w:rPr>
              <w:t>261,311.95</w:t>
            </w:r>
          </w:p>
        </w:tc>
        <w:tc>
          <w:tcPr>
            <w:tcW w:w="0" w:type="auto"/>
            <w:shd w:val="clear" w:color="auto" w:fill="auto"/>
          </w:tcPr>
          <w:p w14:paraId="1E1C5B75">
            <w:pPr>
              <w:jc w:val="right"/>
              <w:rPr>
                <w:rFonts w:ascii="宋体" w:hAnsi="宋体" w:eastAsia="宋体" w:cs="宋体"/>
                <w:sz w:val="24"/>
                <w:szCs w:val="24"/>
              </w:rPr>
            </w:pPr>
            <w:r>
              <w:rPr>
                <w:rFonts w:hint="eastAsia" w:ascii="宋体" w:hAnsi="宋体" w:eastAsia="宋体"/>
              </w:rPr>
              <w:t>0.25</w:t>
            </w:r>
          </w:p>
        </w:tc>
      </w:tr>
      <w:tr w14:paraId="1DC5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19470B">
            <w:pPr>
              <w:rPr>
                <w:rFonts w:ascii="宋体" w:hAnsi="宋体" w:eastAsia="宋体" w:cs="宋体"/>
                <w:sz w:val="24"/>
                <w:szCs w:val="24"/>
              </w:rPr>
            </w:pPr>
            <w:r>
              <w:rPr>
                <w:rFonts w:hint="eastAsia" w:ascii="宋体" w:hAnsi="宋体" w:eastAsia="宋体"/>
              </w:rPr>
              <w:t>非日常生活消费品</w:t>
            </w:r>
          </w:p>
        </w:tc>
        <w:tc>
          <w:tcPr>
            <w:tcW w:w="0" w:type="auto"/>
            <w:shd w:val="clear" w:color="auto" w:fill="auto"/>
          </w:tcPr>
          <w:p w14:paraId="787AA2D0">
            <w:pPr>
              <w:jc w:val="right"/>
              <w:rPr>
                <w:rFonts w:ascii="宋体" w:hAnsi="宋体" w:eastAsia="宋体" w:cs="宋体"/>
                <w:sz w:val="24"/>
                <w:szCs w:val="24"/>
              </w:rPr>
            </w:pPr>
            <w:r>
              <w:rPr>
                <w:rFonts w:hint="eastAsia" w:ascii="宋体" w:hAnsi="宋体" w:eastAsia="宋体"/>
              </w:rPr>
              <w:t>1,283,256.58</w:t>
            </w:r>
          </w:p>
        </w:tc>
        <w:tc>
          <w:tcPr>
            <w:tcW w:w="0" w:type="auto"/>
            <w:shd w:val="clear" w:color="auto" w:fill="auto"/>
          </w:tcPr>
          <w:p w14:paraId="2003A7B7">
            <w:pPr>
              <w:jc w:val="right"/>
              <w:rPr>
                <w:rFonts w:ascii="宋体" w:hAnsi="宋体" w:eastAsia="宋体" w:cs="宋体"/>
                <w:sz w:val="24"/>
                <w:szCs w:val="24"/>
              </w:rPr>
            </w:pPr>
            <w:r>
              <w:rPr>
                <w:rFonts w:hint="eastAsia" w:ascii="宋体" w:hAnsi="宋体" w:eastAsia="宋体"/>
              </w:rPr>
              <w:t>1.21</w:t>
            </w:r>
          </w:p>
        </w:tc>
      </w:tr>
      <w:tr w14:paraId="7D2E7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29E019">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04DB9CF8">
            <w:pPr>
              <w:jc w:val="right"/>
              <w:rPr>
                <w:rFonts w:ascii="宋体" w:hAnsi="宋体" w:eastAsia="宋体" w:cs="宋体"/>
                <w:sz w:val="24"/>
                <w:szCs w:val="24"/>
              </w:rPr>
            </w:pPr>
            <w:r>
              <w:rPr>
                <w:rFonts w:hint="eastAsia" w:ascii="宋体" w:hAnsi="宋体" w:eastAsia="宋体"/>
              </w:rPr>
              <w:t>4,897,605.81</w:t>
            </w:r>
          </w:p>
        </w:tc>
        <w:tc>
          <w:tcPr>
            <w:tcW w:w="0" w:type="auto"/>
            <w:shd w:val="clear" w:color="auto" w:fill="auto"/>
          </w:tcPr>
          <w:p w14:paraId="49AF449F">
            <w:pPr>
              <w:jc w:val="right"/>
              <w:rPr>
                <w:rFonts w:ascii="宋体" w:hAnsi="宋体" w:eastAsia="宋体" w:cs="宋体"/>
                <w:sz w:val="24"/>
                <w:szCs w:val="24"/>
              </w:rPr>
            </w:pPr>
            <w:r>
              <w:rPr>
                <w:rFonts w:hint="eastAsia" w:ascii="宋体" w:hAnsi="宋体" w:eastAsia="宋体"/>
              </w:rPr>
              <w:t>4.62</w:t>
            </w:r>
          </w:p>
        </w:tc>
      </w:tr>
    </w:tbl>
    <w:p w14:paraId="36B9566E">
      <w:pPr>
        <w:pStyle w:val="7"/>
        <w:spacing w:before="0" w:beforeAutospacing="0" w:after="0" w:afterAutospacing="0" w:line="360" w:lineRule="auto"/>
        <w:ind w:firstLine="420"/>
        <w:rPr>
          <w:sz w:val="21"/>
          <w:szCs w:val="21"/>
        </w:rPr>
      </w:pPr>
      <w:r>
        <w:rPr>
          <w:rFonts w:hint="eastAsia"/>
          <w:sz w:val="21"/>
          <w:szCs w:val="21"/>
        </w:rPr>
        <w:t>注：以上分类采用彭博提供的国际通用行业分类标准。</w:t>
      </w:r>
    </w:p>
    <w:p w14:paraId="17EDE1D0">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1152"/>
        <w:gridCol w:w="1152"/>
        <w:gridCol w:w="1152"/>
        <w:gridCol w:w="1610"/>
        <w:gridCol w:w="2756"/>
      </w:tblGrid>
      <w:tr w14:paraId="5BE2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12671B">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2C304DE3">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2D2757EB">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701F1F6F">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1B9609CF">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50198D9A">
            <w:pPr>
              <w:jc w:val="center"/>
              <w:rPr>
                <w:rFonts w:ascii="宋体" w:hAnsi="宋体" w:eastAsia="宋体" w:cs="宋体"/>
                <w:sz w:val="24"/>
                <w:szCs w:val="24"/>
              </w:rPr>
            </w:pPr>
            <w:r>
              <w:rPr>
                <w:rFonts w:hint="eastAsia" w:ascii="宋体" w:hAnsi="宋体" w:eastAsia="宋体"/>
              </w:rPr>
              <w:t>占基金资产净值比例(％)</w:t>
            </w:r>
          </w:p>
        </w:tc>
      </w:tr>
      <w:tr w14:paraId="4EA6D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919D1CE">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054EE10A">
            <w:pPr>
              <w:jc w:val="center"/>
              <w:rPr>
                <w:rFonts w:ascii="宋体" w:hAnsi="宋体" w:eastAsia="宋体" w:cs="宋体"/>
                <w:sz w:val="24"/>
                <w:szCs w:val="24"/>
              </w:rPr>
            </w:pPr>
            <w:r>
              <w:rPr>
                <w:rFonts w:hint="eastAsia" w:ascii="宋体" w:hAnsi="宋体" w:eastAsia="宋体"/>
              </w:rPr>
              <w:t>2269</w:t>
            </w:r>
          </w:p>
        </w:tc>
        <w:tc>
          <w:tcPr>
            <w:tcW w:w="0" w:type="auto"/>
            <w:shd w:val="clear" w:color="auto" w:fill="auto"/>
          </w:tcPr>
          <w:p w14:paraId="0C391254">
            <w:pPr>
              <w:jc w:val="center"/>
              <w:rPr>
                <w:rFonts w:ascii="宋体" w:hAnsi="宋体" w:eastAsia="宋体" w:cs="宋体"/>
                <w:sz w:val="24"/>
                <w:szCs w:val="24"/>
              </w:rPr>
            </w:pPr>
            <w:r>
              <w:rPr>
                <w:rFonts w:hint="eastAsia" w:ascii="宋体" w:hAnsi="宋体" w:eastAsia="宋体"/>
              </w:rPr>
              <w:t>药明生物</w:t>
            </w:r>
          </w:p>
        </w:tc>
        <w:tc>
          <w:tcPr>
            <w:tcW w:w="0" w:type="auto"/>
            <w:shd w:val="clear" w:color="auto" w:fill="auto"/>
          </w:tcPr>
          <w:p w14:paraId="1C8E759F">
            <w:pPr>
              <w:jc w:val="right"/>
              <w:rPr>
                <w:rFonts w:ascii="宋体" w:hAnsi="宋体" w:eastAsia="宋体" w:cs="宋体"/>
                <w:sz w:val="24"/>
                <w:szCs w:val="24"/>
              </w:rPr>
            </w:pPr>
            <w:r>
              <w:rPr>
                <w:rFonts w:hint="eastAsia" w:ascii="宋体" w:hAnsi="宋体" w:eastAsia="宋体"/>
              </w:rPr>
              <w:t>24,000</w:t>
            </w:r>
          </w:p>
        </w:tc>
        <w:tc>
          <w:tcPr>
            <w:tcW w:w="0" w:type="auto"/>
            <w:shd w:val="clear" w:color="auto" w:fill="auto"/>
          </w:tcPr>
          <w:p w14:paraId="201CD431">
            <w:pPr>
              <w:jc w:val="right"/>
              <w:rPr>
                <w:rFonts w:ascii="宋体" w:hAnsi="宋体" w:eastAsia="宋体" w:cs="宋体"/>
                <w:sz w:val="24"/>
                <w:szCs w:val="24"/>
              </w:rPr>
            </w:pPr>
            <w:r>
              <w:rPr>
                <w:rFonts w:hint="eastAsia" w:ascii="宋体" w:hAnsi="宋体" w:eastAsia="宋体"/>
              </w:rPr>
              <w:t>721,243.92</w:t>
            </w:r>
          </w:p>
        </w:tc>
        <w:tc>
          <w:tcPr>
            <w:tcW w:w="0" w:type="auto"/>
            <w:shd w:val="clear" w:color="auto" w:fill="auto"/>
          </w:tcPr>
          <w:p w14:paraId="72F95185">
            <w:pPr>
              <w:jc w:val="right"/>
              <w:rPr>
                <w:rFonts w:ascii="宋体" w:hAnsi="宋体" w:eastAsia="宋体" w:cs="宋体"/>
                <w:sz w:val="24"/>
                <w:szCs w:val="24"/>
              </w:rPr>
            </w:pPr>
            <w:r>
              <w:rPr>
                <w:rFonts w:hint="eastAsia" w:ascii="宋体" w:hAnsi="宋体" w:eastAsia="宋体"/>
              </w:rPr>
              <w:t>0.68</w:t>
            </w:r>
          </w:p>
        </w:tc>
      </w:tr>
      <w:tr w14:paraId="4B0A4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16B452">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5A59EEE4">
            <w:pPr>
              <w:jc w:val="center"/>
              <w:rPr>
                <w:rFonts w:ascii="宋体" w:hAnsi="宋体" w:eastAsia="宋体" w:cs="宋体"/>
                <w:sz w:val="24"/>
                <w:szCs w:val="24"/>
              </w:rPr>
            </w:pPr>
            <w:r>
              <w:rPr>
                <w:rFonts w:hint="eastAsia" w:ascii="宋体" w:hAnsi="宋体" w:eastAsia="宋体"/>
              </w:rPr>
              <w:t>002179</w:t>
            </w:r>
          </w:p>
        </w:tc>
        <w:tc>
          <w:tcPr>
            <w:tcW w:w="0" w:type="auto"/>
            <w:shd w:val="clear" w:color="auto" w:fill="auto"/>
          </w:tcPr>
          <w:p w14:paraId="5F6B9A8D">
            <w:pPr>
              <w:jc w:val="center"/>
              <w:rPr>
                <w:rFonts w:ascii="宋体" w:hAnsi="宋体" w:eastAsia="宋体" w:cs="宋体"/>
                <w:sz w:val="24"/>
                <w:szCs w:val="24"/>
              </w:rPr>
            </w:pPr>
            <w:r>
              <w:rPr>
                <w:rFonts w:hint="eastAsia" w:ascii="宋体" w:hAnsi="宋体" w:eastAsia="宋体"/>
              </w:rPr>
              <w:t>中航光电</w:t>
            </w:r>
          </w:p>
        </w:tc>
        <w:tc>
          <w:tcPr>
            <w:tcW w:w="0" w:type="auto"/>
            <w:shd w:val="clear" w:color="auto" w:fill="auto"/>
          </w:tcPr>
          <w:p w14:paraId="28F486E9">
            <w:pPr>
              <w:jc w:val="right"/>
              <w:rPr>
                <w:rFonts w:ascii="宋体" w:hAnsi="宋体" w:eastAsia="宋体" w:cs="宋体"/>
                <w:sz w:val="24"/>
                <w:szCs w:val="24"/>
              </w:rPr>
            </w:pPr>
            <w:r>
              <w:rPr>
                <w:rFonts w:hint="eastAsia" w:ascii="宋体" w:hAnsi="宋体" w:eastAsia="宋体"/>
              </w:rPr>
              <w:t>14,200</w:t>
            </w:r>
          </w:p>
        </w:tc>
        <w:tc>
          <w:tcPr>
            <w:tcW w:w="0" w:type="auto"/>
            <w:shd w:val="clear" w:color="auto" w:fill="auto"/>
          </w:tcPr>
          <w:p w14:paraId="79B97518">
            <w:pPr>
              <w:jc w:val="right"/>
              <w:rPr>
                <w:rFonts w:ascii="宋体" w:hAnsi="宋体" w:eastAsia="宋体" w:cs="宋体"/>
                <w:sz w:val="24"/>
                <w:szCs w:val="24"/>
              </w:rPr>
            </w:pPr>
            <w:r>
              <w:rPr>
                <w:rFonts w:hint="eastAsia" w:ascii="宋体" w:hAnsi="宋体" w:eastAsia="宋体"/>
              </w:rPr>
              <w:t>656,040.00</w:t>
            </w:r>
          </w:p>
        </w:tc>
        <w:tc>
          <w:tcPr>
            <w:tcW w:w="0" w:type="auto"/>
            <w:shd w:val="clear" w:color="auto" w:fill="auto"/>
          </w:tcPr>
          <w:p w14:paraId="0A5E70CF">
            <w:pPr>
              <w:jc w:val="right"/>
              <w:rPr>
                <w:rFonts w:ascii="宋体" w:hAnsi="宋体" w:eastAsia="宋体" w:cs="宋体"/>
                <w:sz w:val="24"/>
                <w:szCs w:val="24"/>
              </w:rPr>
            </w:pPr>
            <w:r>
              <w:rPr>
                <w:rFonts w:hint="eastAsia" w:ascii="宋体" w:hAnsi="宋体" w:eastAsia="宋体"/>
              </w:rPr>
              <w:t>0.62</w:t>
            </w:r>
          </w:p>
        </w:tc>
      </w:tr>
      <w:tr w14:paraId="6CD53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83CF9B">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1D164A52">
            <w:pPr>
              <w:jc w:val="center"/>
              <w:rPr>
                <w:rFonts w:ascii="宋体" w:hAnsi="宋体" w:eastAsia="宋体" w:cs="宋体"/>
                <w:sz w:val="24"/>
                <w:szCs w:val="24"/>
              </w:rPr>
            </w:pPr>
            <w:r>
              <w:rPr>
                <w:rFonts w:hint="eastAsia" w:ascii="宋体" w:hAnsi="宋体" w:eastAsia="宋体"/>
              </w:rPr>
              <w:t>002129</w:t>
            </w:r>
          </w:p>
        </w:tc>
        <w:tc>
          <w:tcPr>
            <w:tcW w:w="0" w:type="auto"/>
            <w:shd w:val="clear" w:color="auto" w:fill="auto"/>
          </w:tcPr>
          <w:p w14:paraId="5A567766">
            <w:pPr>
              <w:jc w:val="center"/>
              <w:rPr>
                <w:rFonts w:ascii="宋体" w:hAnsi="宋体" w:eastAsia="宋体" w:cs="宋体"/>
                <w:sz w:val="24"/>
                <w:szCs w:val="24"/>
              </w:rPr>
            </w:pPr>
            <w:r>
              <w:rPr>
                <w:rFonts w:hint="eastAsia" w:ascii="宋体" w:hAnsi="宋体" w:eastAsia="宋体"/>
              </w:rPr>
              <w:t>TCL中环</w:t>
            </w:r>
          </w:p>
        </w:tc>
        <w:tc>
          <w:tcPr>
            <w:tcW w:w="0" w:type="auto"/>
            <w:shd w:val="clear" w:color="auto" w:fill="auto"/>
          </w:tcPr>
          <w:p w14:paraId="683B3B88">
            <w:pPr>
              <w:jc w:val="right"/>
              <w:rPr>
                <w:rFonts w:ascii="宋体" w:hAnsi="宋体" w:eastAsia="宋体" w:cs="宋体"/>
                <w:sz w:val="24"/>
                <w:szCs w:val="24"/>
              </w:rPr>
            </w:pPr>
            <w:r>
              <w:rPr>
                <w:rFonts w:hint="eastAsia" w:ascii="宋体" w:hAnsi="宋体" w:eastAsia="宋体"/>
              </w:rPr>
              <w:t>53,000</w:t>
            </w:r>
          </w:p>
        </w:tc>
        <w:tc>
          <w:tcPr>
            <w:tcW w:w="0" w:type="auto"/>
            <w:shd w:val="clear" w:color="auto" w:fill="auto"/>
          </w:tcPr>
          <w:p w14:paraId="491BC6CA">
            <w:pPr>
              <w:jc w:val="right"/>
              <w:rPr>
                <w:rFonts w:ascii="宋体" w:hAnsi="宋体" w:eastAsia="宋体" w:cs="宋体"/>
                <w:sz w:val="24"/>
                <w:szCs w:val="24"/>
              </w:rPr>
            </w:pPr>
            <w:r>
              <w:rPr>
                <w:rFonts w:hint="eastAsia" w:ascii="宋体" w:hAnsi="宋体" w:eastAsia="宋体"/>
              </w:rPr>
              <w:t>637,060.00</w:t>
            </w:r>
          </w:p>
        </w:tc>
        <w:tc>
          <w:tcPr>
            <w:tcW w:w="0" w:type="auto"/>
            <w:shd w:val="clear" w:color="auto" w:fill="auto"/>
          </w:tcPr>
          <w:p w14:paraId="4FB085B4">
            <w:pPr>
              <w:jc w:val="right"/>
              <w:rPr>
                <w:rFonts w:ascii="宋体" w:hAnsi="宋体" w:eastAsia="宋体" w:cs="宋体"/>
                <w:sz w:val="24"/>
                <w:szCs w:val="24"/>
              </w:rPr>
            </w:pPr>
            <w:r>
              <w:rPr>
                <w:rFonts w:hint="eastAsia" w:ascii="宋体" w:hAnsi="宋体" w:eastAsia="宋体"/>
              </w:rPr>
              <w:t>0.60</w:t>
            </w:r>
          </w:p>
        </w:tc>
      </w:tr>
      <w:tr w14:paraId="03551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07C3CA6">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1E72CEEF">
            <w:pPr>
              <w:jc w:val="center"/>
              <w:rPr>
                <w:rFonts w:ascii="宋体" w:hAnsi="宋体" w:eastAsia="宋体" w:cs="宋体"/>
                <w:sz w:val="24"/>
                <w:szCs w:val="24"/>
              </w:rPr>
            </w:pPr>
            <w:r>
              <w:rPr>
                <w:rFonts w:hint="eastAsia" w:ascii="宋体" w:hAnsi="宋体" w:eastAsia="宋体"/>
              </w:rPr>
              <w:t>000100</w:t>
            </w:r>
          </w:p>
        </w:tc>
        <w:tc>
          <w:tcPr>
            <w:tcW w:w="0" w:type="auto"/>
            <w:shd w:val="clear" w:color="auto" w:fill="auto"/>
          </w:tcPr>
          <w:p w14:paraId="6E6C280D">
            <w:pPr>
              <w:jc w:val="center"/>
              <w:rPr>
                <w:rFonts w:ascii="宋体" w:hAnsi="宋体" w:eastAsia="宋体" w:cs="宋体"/>
                <w:sz w:val="24"/>
                <w:szCs w:val="24"/>
              </w:rPr>
            </w:pPr>
            <w:r>
              <w:rPr>
                <w:rFonts w:hint="eastAsia" w:ascii="宋体" w:hAnsi="宋体" w:eastAsia="宋体"/>
              </w:rPr>
              <w:t>TCL科技</w:t>
            </w:r>
          </w:p>
        </w:tc>
        <w:tc>
          <w:tcPr>
            <w:tcW w:w="0" w:type="auto"/>
            <w:shd w:val="clear" w:color="auto" w:fill="auto"/>
          </w:tcPr>
          <w:p w14:paraId="7F649453">
            <w:pPr>
              <w:jc w:val="right"/>
              <w:rPr>
                <w:rFonts w:ascii="宋体" w:hAnsi="宋体" w:eastAsia="宋体" w:cs="宋体"/>
                <w:sz w:val="24"/>
                <w:szCs w:val="24"/>
              </w:rPr>
            </w:pPr>
            <w:r>
              <w:rPr>
                <w:rFonts w:hint="eastAsia" w:ascii="宋体" w:hAnsi="宋体" w:eastAsia="宋体"/>
              </w:rPr>
              <w:t>100,000</w:t>
            </w:r>
          </w:p>
        </w:tc>
        <w:tc>
          <w:tcPr>
            <w:tcW w:w="0" w:type="auto"/>
            <w:shd w:val="clear" w:color="auto" w:fill="auto"/>
          </w:tcPr>
          <w:p w14:paraId="2CFD3F20">
            <w:pPr>
              <w:jc w:val="right"/>
              <w:rPr>
                <w:rFonts w:ascii="宋体" w:hAnsi="宋体" w:eastAsia="宋体" w:cs="宋体"/>
                <w:sz w:val="24"/>
                <w:szCs w:val="24"/>
              </w:rPr>
            </w:pPr>
            <w:r>
              <w:rPr>
                <w:rFonts w:hint="eastAsia" w:ascii="宋体" w:hAnsi="宋体" w:eastAsia="宋体"/>
              </w:rPr>
              <w:t>582,000.00</w:t>
            </w:r>
          </w:p>
        </w:tc>
        <w:tc>
          <w:tcPr>
            <w:tcW w:w="0" w:type="auto"/>
            <w:shd w:val="clear" w:color="auto" w:fill="auto"/>
          </w:tcPr>
          <w:p w14:paraId="266953A2">
            <w:pPr>
              <w:jc w:val="right"/>
              <w:rPr>
                <w:rFonts w:ascii="宋体" w:hAnsi="宋体" w:eastAsia="宋体" w:cs="宋体"/>
                <w:sz w:val="24"/>
                <w:szCs w:val="24"/>
              </w:rPr>
            </w:pPr>
            <w:r>
              <w:rPr>
                <w:rFonts w:hint="eastAsia" w:ascii="宋体" w:hAnsi="宋体" w:eastAsia="宋体"/>
              </w:rPr>
              <w:t>0.55</w:t>
            </w:r>
          </w:p>
        </w:tc>
      </w:tr>
      <w:tr w14:paraId="13B85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476D44">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68AD3213">
            <w:pPr>
              <w:jc w:val="center"/>
              <w:rPr>
                <w:rFonts w:ascii="宋体" w:hAnsi="宋体" w:eastAsia="宋体" w:cs="宋体"/>
                <w:sz w:val="24"/>
                <w:szCs w:val="24"/>
              </w:rPr>
            </w:pPr>
            <w:r>
              <w:rPr>
                <w:rFonts w:hint="eastAsia" w:ascii="宋体" w:hAnsi="宋体" w:eastAsia="宋体"/>
              </w:rPr>
              <w:t>300751</w:t>
            </w:r>
          </w:p>
        </w:tc>
        <w:tc>
          <w:tcPr>
            <w:tcW w:w="0" w:type="auto"/>
            <w:shd w:val="clear" w:color="auto" w:fill="auto"/>
          </w:tcPr>
          <w:p w14:paraId="66ED0EF9">
            <w:pPr>
              <w:jc w:val="center"/>
              <w:rPr>
                <w:rFonts w:ascii="宋体" w:hAnsi="宋体" w:eastAsia="宋体" w:cs="宋体"/>
                <w:sz w:val="24"/>
                <w:szCs w:val="24"/>
              </w:rPr>
            </w:pPr>
            <w:r>
              <w:rPr>
                <w:rFonts w:hint="eastAsia" w:ascii="宋体" w:hAnsi="宋体" w:eastAsia="宋体"/>
              </w:rPr>
              <w:t>迈为股份</w:t>
            </w:r>
          </w:p>
        </w:tc>
        <w:tc>
          <w:tcPr>
            <w:tcW w:w="0" w:type="auto"/>
            <w:shd w:val="clear" w:color="auto" w:fill="auto"/>
          </w:tcPr>
          <w:p w14:paraId="7D2C4A54">
            <w:pPr>
              <w:jc w:val="right"/>
              <w:rPr>
                <w:rFonts w:ascii="宋体" w:hAnsi="宋体" w:eastAsia="宋体" w:cs="宋体"/>
                <w:sz w:val="24"/>
                <w:szCs w:val="24"/>
              </w:rPr>
            </w:pPr>
            <w:r>
              <w:rPr>
                <w:rFonts w:hint="eastAsia" w:ascii="宋体" w:hAnsi="宋体" w:eastAsia="宋体"/>
              </w:rPr>
              <w:t>2,000</w:t>
            </w:r>
          </w:p>
        </w:tc>
        <w:tc>
          <w:tcPr>
            <w:tcW w:w="0" w:type="auto"/>
            <w:shd w:val="clear" w:color="auto" w:fill="auto"/>
          </w:tcPr>
          <w:p w14:paraId="31B65527">
            <w:pPr>
              <w:jc w:val="right"/>
              <w:rPr>
                <w:rFonts w:ascii="宋体" w:hAnsi="宋体" w:eastAsia="宋体" w:cs="宋体"/>
                <w:sz w:val="24"/>
                <w:szCs w:val="24"/>
              </w:rPr>
            </w:pPr>
            <w:r>
              <w:rPr>
                <w:rFonts w:hint="eastAsia" w:ascii="宋体" w:hAnsi="宋体" w:eastAsia="宋体"/>
              </w:rPr>
              <w:t>564,920.00</w:t>
            </w:r>
          </w:p>
        </w:tc>
        <w:tc>
          <w:tcPr>
            <w:tcW w:w="0" w:type="auto"/>
            <w:shd w:val="clear" w:color="auto" w:fill="auto"/>
          </w:tcPr>
          <w:p w14:paraId="662BDC1E">
            <w:pPr>
              <w:jc w:val="right"/>
              <w:rPr>
                <w:rFonts w:ascii="宋体" w:hAnsi="宋体" w:eastAsia="宋体" w:cs="宋体"/>
                <w:sz w:val="24"/>
                <w:szCs w:val="24"/>
              </w:rPr>
            </w:pPr>
            <w:r>
              <w:rPr>
                <w:rFonts w:hint="eastAsia" w:ascii="宋体" w:hAnsi="宋体" w:eastAsia="宋体"/>
              </w:rPr>
              <w:t>0.53</w:t>
            </w:r>
          </w:p>
        </w:tc>
      </w:tr>
      <w:tr w14:paraId="0064F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C74CD7">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25253A9B">
            <w:pPr>
              <w:jc w:val="center"/>
              <w:rPr>
                <w:rFonts w:ascii="宋体" w:hAnsi="宋体" w:eastAsia="宋体" w:cs="宋体"/>
                <w:sz w:val="24"/>
                <w:szCs w:val="24"/>
              </w:rPr>
            </w:pPr>
            <w:r>
              <w:rPr>
                <w:rFonts w:hint="eastAsia" w:ascii="宋体" w:hAnsi="宋体" w:eastAsia="宋体"/>
              </w:rPr>
              <w:t>002078</w:t>
            </w:r>
          </w:p>
        </w:tc>
        <w:tc>
          <w:tcPr>
            <w:tcW w:w="0" w:type="auto"/>
            <w:shd w:val="clear" w:color="auto" w:fill="auto"/>
          </w:tcPr>
          <w:p w14:paraId="0DBE2501">
            <w:pPr>
              <w:jc w:val="center"/>
              <w:rPr>
                <w:rFonts w:ascii="宋体" w:hAnsi="宋体" w:eastAsia="宋体" w:cs="宋体"/>
                <w:sz w:val="24"/>
                <w:szCs w:val="24"/>
              </w:rPr>
            </w:pPr>
            <w:r>
              <w:rPr>
                <w:rFonts w:hint="eastAsia" w:ascii="宋体" w:hAnsi="宋体" w:eastAsia="宋体"/>
              </w:rPr>
              <w:t>太阳纸业</w:t>
            </w:r>
          </w:p>
        </w:tc>
        <w:tc>
          <w:tcPr>
            <w:tcW w:w="0" w:type="auto"/>
            <w:shd w:val="clear" w:color="auto" w:fill="auto"/>
          </w:tcPr>
          <w:p w14:paraId="57350D9E">
            <w:pPr>
              <w:jc w:val="right"/>
              <w:rPr>
                <w:rFonts w:ascii="宋体" w:hAnsi="宋体" w:eastAsia="宋体" w:cs="宋体"/>
                <w:sz w:val="24"/>
                <w:szCs w:val="24"/>
              </w:rPr>
            </w:pPr>
            <w:r>
              <w:rPr>
                <w:rFonts w:hint="eastAsia" w:ascii="宋体" w:hAnsi="宋体" w:eastAsia="宋体"/>
              </w:rPr>
              <w:t>43,000</w:t>
            </w:r>
          </w:p>
        </w:tc>
        <w:tc>
          <w:tcPr>
            <w:tcW w:w="0" w:type="auto"/>
            <w:shd w:val="clear" w:color="auto" w:fill="auto"/>
          </w:tcPr>
          <w:p w14:paraId="7E22E05B">
            <w:pPr>
              <w:jc w:val="right"/>
              <w:rPr>
                <w:rFonts w:ascii="宋体" w:hAnsi="宋体" w:eastAsia="宋体" w:cs="宋体"/>
                <w:sz w:val="24"/>
                <w:szCs w:val="24"/>
              </w:rPr>
            </w:pPr>
            <w:r>
              <w:rPr>
                <w:rFonts w:hint="eastAsia" w:ascii="宋体" w:hAnsi="宋体" w:eastAsia="宋体"/>
              </w:rPr>
              <w:t>537,070.00</w:t>
            </w:r>
          </w:p>
        </w:tc>
        <w:tc>
          <w:tcPr>
            <w:tcW w:w="0" w:type="auto"/>
            <w:shd w:val="clear" w:color="auto" w:fill="auto"/>
          </w:tcPr>
          <w:p w14:paraId="763B6162">
            <w:pPr>
              <w:jc w:val="right"/>
              <w:rPr>
                <w:rFonts w:ascii="宋体" w:hAnsi="宋体" w:eastAsia="宋体" w:cs="宋体"/>
                <w:sz w:val="24"/>
                <w:szCs w:val="24"/>
              </w:rPr>
            </w:pPr>
            <w:r>
              <w:rPr>
                <w:rFonts w:hint="eastAsia" w:ascii="宋体" w:hAnsi="宋体" w:eastAsia="宋体"/>
              </w:rPr>
              <w:t>0.51</w:t>
            </w:r>
          </w:p>
        </w:tc>
      </w:tr>
      <w:tr w14:paraId="1AB8E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2ABCF1">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002CE493">
            <w:pPr>
              <w:jc w:val="center"/>
              <w:rPr>
                <w:rFonts w:ascii="宋体" w:hAnsi="宋体" w:eastAsia="宋体" w:cs="宋体"/>
                <w:sz w:val="24"/>
                <w:szCs w:val="24"/>
              </w:rPr>
            </w:pPr>
            <w:r>
              <w:rPr>
                <w:rFonts w:hint="eastAsia" w:ascii="宋体" w:hAnsi="宋体" w:eastAsia="宋体"/>
              </w:rPr>
              <w:t>3606</w:t>
            </w:r>
          </w:p>
        </w:tc>
        <w:tc>
          <w:tcPr>
            <w:tcW w:w="0" w:type="auto"/>
            <w:shd w:val="clear" w:color="auto" w:fill="auto"/>
          </w:tcPr>
          <w:p w14:paraId="1EBCA3CD">
            <w:pPr>
              <w:jc w:val="center"/>
              <w:rPr>
                <w:rFonts w:ascii="宋体" w:hAnsi="宋体" w:eastAsia="宋体" w:cs="宋体"/>
                <w:sz w:val="24"/>
                <w:szCs w:val="24"/>
              </w:rPr>
            </w:pPr>
            <w:r>
              <w:rPr>
                <w:rFonts w:hint="eastAsia" w:ascii="宋体" w:hAnsi="宋体" w:eastAsia="宋体"/>
              </w:rPr>
              <w:t>福耀玻璃</w:t>
            </w:r>
          </w:p>
        </w:tc>
        <w:tc>
          <w:tcPr>
            <w:tcW w:w="0" w:type="auto"/>
            <w:shd w:val="clear" w:color="auto" w:fill="auto"/>
          </w:tcPr>
          <w:p w14:paraId="606BFACC">
            <w:pPr>
              <w:jc w:val="right"/>
              <w:rPr>
                <w:rFonts w:ascii="宋体" w:hAnsi="宋体" w:eastAsia="宋体" w:cs="宋体"/>
                <w:sz w:val="24"/>
                <w:szCs w:val="24"/>
              </w:rPr>
            </w:pPr>
            <w:r>
              <w:rPr>
                <w:rFonts w:hint="eastAsia" w:ascii="宋体" w:hAnsi="宋体" w:eastAsia="宋体"/>
              </w:rPr>
              <w:t>12,000</w:t>
            </w:r>
          </w:p>
        </w:tc>
        <w:tc>
          <w:tcPr>
            <w:tcW w:w="0" w:type="auto"/>
            <w:shd w:val="clear" w:color="auto" w:fill="auto"/>
          </w:tcPr>
          <w:p w14:paraId="0FA2222F">
            <w:pPr>
              <w:jc w:val="right"/>
              <w:rPr>
                <w:rFonts w:ascii="宋体" w:hAnsi="宋体" w:eastAsia="宋体" w:cs="宋体"/>
                <w:sz w:val="24"/>
                <w:szCs w:val="24"/>
              </w:rPr>
            </w:pPr>
            <w:r>
              <w:rPr>
                <w:rFonts w:hint="eastAsia" w:ascii="宋体" w:hAnsi="宋体" w:eastAsia="宋体"/>
              </w:rPr>
              <w:t>533,637.12</w:t>
            </w:r>
          </w:p>
        </w:tc>
        <w:tc>
          <w:tcPr>
            <w:tcW w:w="0" w:type="auto"/>
            <w:shd w:val="clear" w:color="auto" w:fill="auto"/>
          </w:tcPr>
          <w:p w14:paraId="733B3D12">
            <w:pPr>
              <w:jc w:val="right"/>
              <w:rPr>
                <w:rFonts w:ascii="宋体" w:hAnsi="宋体" w:eastAsia="宋体" w:cs="宋体"/>
                <w:sz w:val="24"/>
                <w:szCs w:val="24"/>
              </w:rPr>
            </w:pPr>
            <w:r>
              <w:rPr>
                <w:rFonts w:hint="eastAsia" w:ascii="宋体" w:hAnsi="宋体" w:eastAsia="宋体"/>
              </w:rPr>
              <w:t>0.50</w:t>
            </w:r>
          </w:p>
        </w:tc>
      </w:tr>
      <w:tr w14:paraId="6F238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9EAD48">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05017EA4">
            <w:pPr>
              <w:jc w:val="center"/>
              <w:rPr>
                <w:rFonts w:ascii="宋体" w:hAnsi="宋体" w:eastAsia="宋体" w:cs="宋体"/>
                <w:sz w:val="24"/>
                <w:szCs w:val="24"/>
              </w:rPr>
            </w:pPr>
            <w:r>
              <w:rPr>
                <w:rFonts w:hint="eastAsia" w:ascii="宋体" w:hAnsi="宋体" w:eastAsia="宋体"/>
              </w:rPr>
              <w:t>2714</w:t>
            </w:r>
          </w:p>
        </w:tc>
        <w:tc>
          <w:tcPr>
            <w:tcW w:w="0" w:type="auto"/>
            <w:shd w:val="clear" w:color="auto" w:fill="auto"/>
          </w:tcPr>
          <w:p w14:paraId="4E5665B4">
            <w:pPr>
              <w:jc w:val="center"/>
              <w:rPr>
                <w:rFonts w:ascii="宋体" w:hAnsi="宋体" w:eastAsia="宋体" w:cs="宋体"/>
                <w:sz w:val="24"/>
                <w:szCs w:val="24"/>
              </w:rPr>
            </w:pPr>
            <w:r>
              <w:rPr>
                <w:rFonts w:hint="eastAsia" w:ascii="宋体" w:hAnsi="宋体" w:eastAsia="宋体"/>
              </w:rPr>
              <w:t>牧原股份</w:t>
            </w:r>
          </w:p>
        </w:tc>
        <w:tc>
          <w:tcPr>
            <w:tcW w:w="0" w:type="auto"/>
            <w:shd w:val="clear" w:color="auto" w:fill="auto"/>
          </w:tcPr>
          <w:p w14:paraId="7499048D">
            <w:pPr>
              <w:jc w:val="right"/>
              <w:rPr>
                <w:rFonts w:ascii="宋体" w:hAnsi="宋体" w:eastAsia="宋体" w:cs="宋体"/>
                <w:sz w:val="24"/>
                <w:szCs w:val="24"/>
              </w:rPr>
            </w:pPr>
            <w:r>
              <w:rPr>
                <w:rFonts w:hint="eastAsia" w:ascii="宋体" w:hAnsi="宋体" w:eastAsia="宋体"/>
              </w:rPr>
              <w:t>20,000</w:t>
            </w:r>
          </w:p>
        </w:tc>
        <w:tc>
          <w:tcPr>
            <w:tcW w:w="0" w:type="auto"/>
            <w:shd w:val="clear" w:color="auto" w:fill="auto"/>
          </w:tcPr>
          <w:p w14:paraId="1C63C536">
            <w:pPr>
              <w:jc w:val="right"/>
              <w:rPr>
                <w:rFonts w:ascii="宋体" w:hAnsi="宋体" w:eastAsia="宋体" w:cs="宋体"/>
                <w:sz w:val="24"/>
                <w:szCs w:val="24"/>
              </w:rPr>
            </w:pPr>
            <w:r>
              <w:rPr>
                <w:rFonts w:hint="eastAsia" w:ascii="宋体" w:hAnsi="宋体" w:eastAsia="宋体"/>
              </w:rPr>
              <w:t>504,453.84</w:t>
            </w:r>
          </w:p>
        </w:tc>
        <w:tc>
          <w:tcPr>
            <w:tcW w:w="0" w:type="auto"/>
            <w:shd w:val="clear" w:color="auto" w:fill="auto"/>
          </w:tcPr>
          <w:p w14:paraId="13EDB747">
            <w:pPr>
              <w:jc w:val="right"/>
              <w:rPr>
                <w:rFonts w:ascii="宋体" w:hAnsi="宋体" w:eastAsia="宋体" w:cs="宋体"/>
                <w:sz w:val="24"/>
                <w:szCs w:val="24"/>
              </w:rPr>
            </w:pPr>
            <w:r>
              <w:rPr>
                <w:rFonts w:hint="eastAsia" w:ascii="宋体" w:hAnsi="宋体" w:eastAsia="宋体"/>
              </w:rPr>
              <w:t>0.48</w:t>
            </w:r>
          </w:p>
        </w:tc>
      </w:tr>
      <w:tr w14:paraId="3714B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8F82B1">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2E319488">
            <w:pPr>
              <w:jc w:val="center"/>
              <w:rPr>
                <w:rFonts w:ascii="宋体" w:hAnsi="宋体" w:eastAsia="宋体" w:cs="宋体"/>
                <w:sz w:val="24"/>
                <w:szCs w:val="24"/>
              </w:rPr>
            </w:pPr>
            <w:r>
              <w:rPr>
                <w:rFonts w:hint="eastAsia" w:ascii="宋体" w:hAnsi="宋体" w:eastAsia="宋体"/>
              </w:rPr>
              <w:t>3347</w:t>
            </w:r>
          </w:p>
        </w:tc>
        <w:tc>
          <w:tcPr>
            <w:tcW w:w="0" w:type="auto"/>
            <w:shd w:val="clear" w:color="auto" w:fill="auto"/>
          </w:tcPr>
          <w:p w14:paraId="0864607F">
            <w:pPr>
              <w:jc w:val="center"/>
              <w:rPr>
                <w:rFonts w:ascii="宋体" w:hAnsi="宋体" w:eastAsia="宋体" w:cs="宋体"/>
                <w:sz w:val="24"/>
                <w:szCs w:val="24"/>
              </w:rPr>
            </w:pPr>
            <w:r>
              <w:rPr>
                <w:rFonts w:hint="eastAsia" w:ascii="宋体" w:hAnsi="宋体" w:eastAsia="宋体"/>
              </w:rPr>
              <w:t>泰格医药</w:t>
            </w:r>
          </w:p>
        </w:tc>
        <w:tc>
          <w:tcPr>
            <w:tcW w:w="0" w:type="auto"/>
            <w:shd w:val="clear" w:color="auto" w:fill="auto"/>
          </w:tcPr>
          <w:p w14:paraId="42B46831">
            <w:pPr>
              <w:jc w:val="right"/>
              <w:rPr>
                <w:rFonts w:ascii="宋体" w:hAnsi="宋体" w:eastAsia="宋体" w:cs="宋体"/>
                <w:sz w:val="24"/>
                <w:szCs w:val="24"/>
              </w:rPr>
            </w:pPr>
            <w:r>
              <w:rPr>
                <w:rFonts w:hint="eastAsia" w:ascii="宋体" w:hAnsi="宋体" w:eastAsia="宋体"/>
              </w:rPr>
              <w:t>16,000</w:t>
            </w:r>
          </w:p>
        </w:tc>
        <w:tc>
          <w:tcPr>
            <w:tcW w:w="0" w:type="auto"/>
            <w:shd w:val="clear" w:color="auto" w:fill="auto"/>
          </w:tcPr>
          <w:p w14:paraId="08A8CE24">
            <w:pPr>
              <w:jc w:val="right"/>
              <w:rPr>
                <w:rFonts w:ascii="宋体" w:hAnsi="宋体" w:eastAsia="宋体" w:cs="宋体"/>
                <w:sz w:val="24"/>
                <w:szCs w:val="24"/>
              </w:rPr>
            </w:pPr>
            <w:r>
              <w:rPr>
                <w:rFonts w:hint="eastAsia" w:ascii="宋体" w:hAnsi="宋体" w:eastAsia="宋体"/>
              </w:rPr>
              <w:t>483,052.77</w:t>
            </w:r>
          </w:p>
        </w:tc>
        <w:tc>
          <w:tcPr>
            <w:tcW w:w="0" w:type="auto"/>
            <w:shd w:val="clear" w:color="auto" w:fill="auto"/>
          </w:tcPr>
          <w:p w14:paraId="6C55C8C8">
            <w:pPr>
              <w:jc w:val="right"/>
              <w:rPr>
                <w:rFonts w:ascii="宋体" w:hAnsi="宋体" w:eastAsia="宋体" w:cs="宋体"/>
                <w:sz w:val="24"/>
                <w:szCs w:val="24"/>
              </w:rPr>
            </w:pPr>
            <w:r>
              <w:rPr>
                <w:rFonts w:hint="eastAsia" w:ascii="宋体" w:hAnsi="宋体" w:eastAsia="宋体"/>
              </w:rPr>
              <w:t>0.46</w:t>
            </w:r>
          </w:p>
        </w:tc>
      </w:tr>
      <w:tr w14:paraId="76B34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68C212">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2CCE21E4">
            <w:pPr>
              <w:jc w:val="center"/>
              <w:rPr>
                <w:rFonts w:ascii="宋体" w:hAnsi="宋体" w:eastAsia="宋体" w:cs="宋体"/>
                <w:sz w:val="24"/>
                <w:szCs w:val="24"/>
              </w:rPr>
            </w:pPr>
            <w:r>
              <w:rPr>
                <w:rFonts w:hint="eastAsia" w:ascii="宋体" w:hAnsi="宋体" w:eastAsia="宋体"/>
              </w:rPr>
              <w:t>2359</w:t>
            </w:r>
          </w:p>
        </w:tc>
        <w:tc>
          <w:tcPr>
            <w:tcW w:w="0" w:type="auto"/>
            <w:shd w:val="clear" w:color="auto" w:fill="auto"/>
          </w:tcPr>
          <w:p w14:paraId="25687E16">
            <w:pPr>
              <w:jc w:val="center"/>
              <w:rPr>
                <w:rFonts w:ascii="宋体" w:hAnsi="宋体" w:eastAsia="宋体" w:cs="宋体"/>
                <w:sz w:val="24"/>
                <w:szCs w:val="24"/>
              </w:rPr>
            </w:pPr>
            <w:r>
              <w:rPr>
                <w:rFonts w:hint="eastAsia" w:ascii="宋体" w:hAnsi="宋体" w:eastAsia="宋体"/>
              </w:rPr>
              <w:t>药明康德</w:t>
            </w:r>
          </w:p>
        </w:tc>
        <w:tc>
          <w:tcPr>
            <w:tcW w:w="0" w:type="auto"/>
            <w:shd w:val="clear" w:color="auto" w:fill="auto"/>
          </w:tcPr>
          <w:p w14:paraId="440508FA">
            <w:pPr>
              <w:jc w:val="right"/>
              <w:rPr>
                <w:rFonts w:ascii="宋体" w:hAnsi="宋体" w:eastAsia="宋体" w:cs="宋体"/>
                <w:sz w:val="24"/>
                <w:szCs w:val="24"/>
              </w:rPr>
            </w:pPr>
            <w:r>
              <w:rPr>
                <w:rFonts w:hint="eastAsia" w:ascii="宋体" w:hAnsi="宋体" w:eastAsia="宋体"/>
              </w:rPr>
              <w:t>3,600</w:t>
            </w:r>
          </w:p>
        </w:tc>
        <w:tc>
          <w:tcPr>
            <w:tcW w:w="0" w:type="auto"/>
            <w:shd w:val="clear" w:color="auto" w:fill="auto"/>
          </w:tcPr>
          <w:p w14:paraId="2D22F096">
            <w:pPr>
              <w:jc w:val="right"/>
              <w:rPr>
                <w:rFonts w:ascii="宋体" w:hAnsi="宋体" w:eastAsia="宋体" w:cs="宋体"/>
                <w:sz w:val="24"/>
                <w:szCs w:val="24"/>
              </w:rPr>
            </w:pPr>
            <w:r>
              <w:rPr>
                <w:rFonts w:hint="eastAsia" w:ascii="宋体" w:hAnsi="宋体" w:eastAsia="宋体"/>
              </w:rPr>
              <w:t>480,586.09</w:t>
            </w:r>
          </w:p>
        </w:tc>
        <w:tc>
          <w:tcPr>
            <w:tcW w:w="0" w:type="auto"/>
            <w:shd w:val="clear" w:color="auto" w:fill="auto"/>
          </w:tcPr>
          <w:p w14:paraId="318949C4">
            <w:pPr>
              <w:jc w:val="right"/>
              <w:rPr>
                <w:rFonts w:ascii="宋体" w:hAnsi="宋体" w:eastAsia="宋体" w:cs="宋体"/>
                <w:sz w:val="24"/>
                <w:szCs w:val="24"/>
              </w:rPr>
            </w:pPr>
            <w:r>
              <w:rPr>
                <w:rFonts w:hint="eastAsia" w:ascii="宋体" w:hAnsi="宋体" w:eastAsia="宋体"/>
              </w:rPr>
              <w:t>0.45</w:t>
            </w:r>
          </w:p>
        </w:tc>
      </w:tr>
    </w:tbl>
    <w:p w14:paraId="1D05B216">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2619"/>
        <w:gridCol w:w="1966"/>
        <w:gridCol w:w="3141"/>
      </w:tblGrid>
      <w:tr w14:paraId="57BF8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3F720D">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208D29E">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14:paraId="30C968E3">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18C00EB7">
            <w:pPr>
              <w:jc w:val="center"/>
              <w:rPr>
                <w:rFonts w:ascii="宋体" w:hAnsi="宋体" w:eastAsia="宋体" w:cs="宋体"/>
                <w:sz w:val="24"/>
                <w:szCs w:val="24"/>
              </w:rPr>
            </w:pPr>
            <w:r>
              <w:rPr>
                <w:rFonts w:hint="eastAsia" w:ascii="宋体" w:hAnsi="宋体" w:eastAsia="宋体"/>
              </w:rPr>
              <w:t>占基金资产净值比例(％)</w:t>
            </w:r>
          </w:p>
        </w:tc>
      </w:tr>
      <w:tr w14:paraId="3477C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233F66">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634DB63F">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14:paraId="4FF540A6">
            <w:pPr>
              <w:jc w:val="right"/>
              <w:rPr>
                <w:rFonts w:ascii="宋体" w:hAnsi="宋体" w:eastAsia="宋体" w:cs="宋体"/>
                <w:sz w:val="24"/>
                <w:szCs w:val="24"/>
              </w:rPr>
            </w:pPr>
            <w:r>
              <w:rPr>
                <w:rFonts w:hint="eastAsia" w:ascii="宋体" w:hAnsi="宋体" w:eastAsia="宋体"/>
              </w:rPr>
              <w:t>61,594,288.14</w:t>
            </w:r>
          </w:p>
        </w:tc>
        <w:tc>
          <w:tcPr>
            <w:tcW w:w="0" w:type="auto"/>
            <w:shd w:val="clear" w:color="auto" w:fill="auto"/>
          </w:tcPr>
          <w:p w14:paraId="5E95CF6F">
            <w:pPr>
              <w:jc w:val="right"/>
              <w:rPr>
                <w:rFonts w:ascii="宋体" w:hAnsi="宋体" w:eastAsia="宋体" w:cs="宋体"/>
                <w:sz w:val="24"/>
                <w:szCs w:val="24"/>
              </w:rPr>
            </w:pPr>
            <w:r>
              <w:rPr>
                <w:rFonts w:hint="eastAsia" w:ascii="宋体" w:hAnsi="宋体" w:eastAsia="宋体"/>
              </w:rPr>
              <w:t>58.07</w:t>
            </w:r>
          </w:p>
        </w:tc>
      </w:tr>
      <w:tr w14:paraId="671E3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EE1A3B">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10E85FDC">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14:paraId="4FE311E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5D96B6C">
            <w:pPr>
              <w:jc w:val="right"/>
              <w:rPr>
                <w:rFonts w:ascii="宋体" w:hAnsi="宋体" w:eastAsia="宋体" w:cs="宋体"/>
                <w:sz w:val="24"/>
                <w:szCs w:val="24"/>
              </w:rPr>
            </w:pPr>
            <w:r>
              <w:rPr>
                <w:rFonts w:hint="eastAsia" w:ascii="宋体" w:hAnsi="宋体" w:eastAsia="宋体"/>
              </w:rPr>
              <w:t>-</w:t>
            </w:r>
          </w:p>
        </w:tc>
      </w:tr>
      <w:tr w14:paraId="29C85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FF9CFE">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24D55DAA">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14:paraId="1B53725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952B0F6">
            <w:pPr>
              <w:jc w:val="right"/>
              <w:rPr>
                <w:rFonts w:ascii="宋体" w:hAnsi="宋体" w:eastAsia="宋体" w:cs="宋体"/>
                <w:sz w:val="24"/>
                <w:szCs w:val="24"/>
              </w:rPr>
            </w:pPr>
            <w:r>
              <w:rPr>
                <w:rFonts w:hint="eastAsia" w:ascii="宋体" w:hAnsi="宋体" w:eastAsia="宋体"/>
              </w:rPr>
              <w:t>-</w:t>
            </w:r>
          </w:p>
        </w:tc>
      </w:tr>
      <w:tr w14:paraId="52A67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A597D9">
            <w:pPr>
              <w:jc w:val="center"/>
              <w:rPr>
                <w:rFonts w:ascii="宋体" w:hAnsi="宋体" w:eastAsia="宋体" w:cs="宋体"/>
                <w:sz w:val="24"/>
                <w:szCs w:val="24"/>
              </w:rPr>
            </w:pPr>
          </w:p>
        </w:tc>
        <w:tc>
          <w:tcPr>
            <w:tcW w:w="0" w:type="auto"/>
            <w:shd w:val="clear" w:color="auto" w:fill="auto"/>
          </w:tcPr>
          <w:p w14:paraId="4E06649C">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14:paraId="6E5EABC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FDF227E">
            <w:pPr>
              <w:jc w:val="right"/>
              <w:rPr>
                <w:rFonts w:ascii="宋体" w:hAnsi="宋体" w:eastAsia="宋体" w:cs="宋体"/>
                <w:sz w:val="24"/>
                <w:szCs w:val="24"/>
              </w:rPr>
            </w:pPr>
            <w:r>
              <w:rPr>
                <w:rFonts w:hint="eastAsia" w:ascii="宋体" w:hAnsi="宋体" w:eastAsia="宋体"/>
              </w:rPr>
              <w:t>-</w:t>
            </w:r>
          </w:p>
        </w:tc>
      </w:tr>
      <w:tr w14:paraId="4A4BA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F7D3C8">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34C21AF5">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14:paraId="45D6846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9CBFF3A">
            <w:pPr>
              <w:jc w:val="right"/>
              <w:rPr>
                <w:rFonts w:ascii="宋体" w:hAnsi="宋体" w:eastAsia="宋体" w:cs="宋体"/>
                <w:sz w:val="24"/>
                <w:szCs w:val="24"/>
              </w:rPr>
            </w:pPr>
            <w:r>
              <w:rPr>
                <w:rFonts w:hint="eastAsia" w:ascii="宋体" w:hAnsi="宋体" w:eastAsia="宋体"/>
              </w:rPr>
              <w:t>-</w:t>
            </w:r>
          </w:p>
        </w:tc>
      </w:tr>
      <w:tr w14:paraId="22F88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5F7C03">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B1371AA">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14:paraId="36D4AA2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3A90F7D">
            <w:pPr>
              <w:jc w:val="right"/>
              <w:rPr>
                <w:rFonts w:ascii="宋体" w:hAnsi="宋体" w:eastAsia="宋体" w:cs="宋体"/>
                <w:sz w:val="24"/>
                <w:szCs w:val="24"/>
              </w:rPr>
            </w:pPr>
            <w:r>
              <w:rPr>
                <w:rFonts w:hint="eastAsia" w:ascii="宋体" w:hAnsi="宋体" w:eastAsia="宋体"/>
              </w:rPr>
              <w:t>-</w:t>
            </w:r>
          </w:p>
        </w:tc>
      </w:tr>
      <w:tr w14:paraId="15F15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4DC85D">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5AEA9AAA">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14:paraId="3ED016B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7C173CE">
            <w:pPr>
              <w:jc w:val="right"/>
              <w:rPr>
                <w:rFonts w:ascii="宋体" w:hAnsi="宋体" w:eastAsia="宋体" w:cs="宋体"/>
                <w:sz w:val="24"/>
                <w:szCs w:val="24"/>
              </w:rPr>
            </w:pPr>
            <w:r>
              <w:rPr>
                <w:rFonts w:hint="eastAsia" w:ascii="宋体" w:hAnsi="宋体" w:eastAsia="宋体"/>
              </w:rPr>
              <w:t>-</w:t>
            </w:r>
          </w:p>
        </w:tc>
      </w:tr>
      <w:tr w14:paraId="05E72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EF2F9C">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1D0F8C7A">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14:paraId="4519A25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61C77CC">
            <w:pPr>
              <w:jc w:val="right"/>
              <w:rPr>
                <w:rFonts w:ascii="宋体" w:hAnsi="宋体" w:eastAsia="宋体" w:cs="宋体"/>
                <w:sz w:val="24"/>
                <w:szCs w:val="24"/>
              </w:rPr>
            </w:pPr>
            <w:r>
              <w:rPr>
                <w:rFonts w:hint="eastAsia" w:ascii="宋体" w:hAnsi="宋体" w:eastAsia="宋体"/>
              </w:rPr>
              <w:t>-</w:t>
            </w:r>
          </w:p>
        </w:tc>
      </w:tr>
      <w:tr w14:paraId="11510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EF9EC2">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77507FB6">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14:paraId="0C1AF51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D3AC0AA">
            <w:pPr>
              <w:jc w:val="right"/>
              <w:rPr>
                <w:rFonts w:ascii="宋体" w:hAnsi="宋体" w:eastAsia="宋体" w:cs="宋体"/>
                <w:sz w:val="24"/>
                <w:szCs w:val="24"/>
              </w:rPr>
            </w:pPr>
            <w:r>
              <w:rPr>
                <w:rFonts w:hint="eastAsia" w:ascii="宋体" w:hAnsi="宋体" w:eastAsia="宋体"/>
              </w:rPr>
              <w:t>-</w:t>
            </w:r>
          </w:p>
        </w:tc>
      </w:tr>
      <w:tr w14:paraId="27417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BD0AC6">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1678C15D">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344CADE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32321E9">
            <w:pPr>
              <w:jc w:val="right"/>
              <w:rPr>
                <w:rFonts w:ascii="宋体" w:hAnsi="宋体" w:eastAsia="宋体" w:cs="宋体"/>
                <w:sz w:val="24"/>
                <w:szCs w:val="24"/>
              </w:rPr>
            </w:pPr>
            <w:r>
              <w:rPr>
                <w:rFonts w:hint="eastAsia" w:ascii="宋体" w:hAnsi="宋体" w:eastAsia="宋体"/>
              </w:rPr>
              <w:t>-</w:t>
            </w:r>
          </w:p>
        </w:tc>
      </w:tr>
      <w:tr w14:paraId="511B6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6EBC732">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6D75FDD2">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78D2721D">
            <w:pPr>
              <w:jc w:val="right"/>
              <w:rPr>
                <w:rFonts w:ascii="宋体" w:hAnsi="宋体" w:eastAsia="宋体" w:cs="宋体"/>
                <w:sz w:val="24"/>
                <w:szCs w:val="24"/>
              </w:rPr>
            </w:pPr>
            <w:r>
              <w:rPr>
                <w:rFonts w:hint="eastAsia" w:ascii="宋体" w:hAnsi="宋体" w:eastAsia="宋体"/>
              </w:rPr>
              <w:t>61,594,288.14</w:t>
            </w:r>
          </w:p>
        </w:tc>
        <w:tc>
          <w:tcPr>
            <w:tcW w:w="0" w:type="auto"/>
            <w:shd w:val="clear" w:color="auto" w:fill="auto"/>
          </w:tcPr>
          <w:p w14:paraId="071D873C">
            <w:pPr>
              <w:jc w:val="right"/>
              <w:rPr>
                <w:rFonts w:ascii="宋体" w:hAnsi="宋体" w:eastAsia="宋体" w:cs="宋体"/>
                <w:sz w:val="24"/>
                <w:szCs w:val="24"/>
              </w:rPr>
            </w:pPr>
            <w:r>
              <w:rPr>
                <w:rFonts w:hint="eastAsia" w:ascii="宋体" w:hAnsi="宋体" w:eastAsia="宋体"/>
              </w:rPr>
              <w:t>58.07</w:t>
            </w:r>
          </w:p>
        </w:tc>
      </w:tr>
    </w:tbl>
    <w:p w14:paraId="3FC40F13">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2"/>
        <w:gridCol w:w="1066"/>
        <w:gridCol w:w="1172"/>
        <w:gridCol w:w="1278"/>
        <w:gridCol w:w="1596"/>
        <w:gridCol w:w="2762"/>
      </w:tblGrid>
      <w:tr w14:paraId="4ED06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D65344">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416518E4">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70160806">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6108EFAA">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14:paraId="679DB533">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35D38F21">
            <w:pPr>
              <w:jc w:val="center"/>
              <w:rPr>
                <w:rFonts w:ascii="宋体" w:hAnsi="宋体" w:eastAsia="宋体" w:cs="宋体"/>
                <w:sz w:val="24"/>
                <w:szCs w:val="24"/>
              </w:rPr>
            </w:pPr>
            <w:r>
              <w:rPr>
                <w:rFonts w:hint="eastAsia" w:ascii="宋体" w:hAnsi="宋体" w:eastAsia="宋体"/>
              </w:rPr>
              <w:t>占基金资产净值比例（％）</w:t>
            </w:r>
          </w:p>
        </w:tc>
      </w:tr>
      <w:tr w14:paraId="575AE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D77514">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5897F1E3">
            <w:pPr>
              <w:jc w:val="center"/>
              <w:rPr>
                <w:rFonts w:ascii="宋体" w:hAnsi="宋体" w:eastAsia="宋体" w:cs="宋体"/>
                <w:sz w:val="24"/>
                <w:szCs w:val="24"/>
              </w:rPr>
            </w:pPr>
            <w:r>
              <w:rPr>
                <w:rFonts w:hint="eastAsia" w:ascii="宋体" w:hAnsi="宋体" w:eastAsia="宋体"/>
              </w:rPr>
              <w:t>019742</w:t>
            </w:r>
          </w:p>
        </w:tc>
        <w:tc>
          <w:tcPr>
            <w:tcW w:w="0" w:type="auto"/>
            <w:shd w:val="clear" w:color="auto" w:fill="auto"/>
          </w:tcPr>
          <w:p w14:paraId="2F93C242">
            <w:pPr>
              <w:jc w:val="center"/>
              <w:rPr>
                <w:rFonts w:ascii="宋体" w:hAnsi="宋体" w:eastAsia="宋体" w:cs="宋体"/>
                <w:sz w:val="24"/>
                <w:szCs w:val="24"/>
              </w:rPr>
            </w:pPr>
            <w:r>
              <w:rPr>
                <w:rFonts w:hint="eastAsia" w:ascii="宋体" w:hAnsi="宋体" w:eastAsia="宋体"/>
              </w:rPr>
              <w:t>24特国01</w:t>
            </w:r>
          </w:p>
        </w:tc>
        <w:tc>
          <w:tcPr>
            <w:tcW w:w="0" w:type="auto"/>
            <w:shd w:val="clear" w:color="auto" w:fill="auto"/>
          </w:tcPr>
          <w:p w14:paraId="2AE6EA80">
            <w:pPr>
              <w:jc w:val="right"/>
              <w:rPr>
                <w:rFonts w:ascii="宋体" w:hAnsi="宋体" w:eastAsia="宋体" w:cs="宋体"/>
                <w:sz w:val="24"/>
                <w:szCs w:val="24"/>
              </w:rPr>
            </w:pPr>
            <w:r>
              <w:rPr>
                <w:rFonts w:hint="eastAsia" w:ascii="宋体" w:hAnsi="宋体" w:eastAsia="宋体"/>
              </w:rPr>
              <w:t>100,000</w:t>
            </w:r>
          </w:p>
        </w:tc>
        <w:tc>
          <w:tcPr>
            <w:tcW w:w="0" w:type="auto"/>
            <w:shd w:val="clear" w:color="auto" w:fill="auto"/>
          </w:tcPr>
          <w:p w14:paraId="08AFC376">
            <w:pPr>
              <w:jc w:val="right"/>
              <w:rPr>
                <w:rFonts w:ascii="宋体" w:hAnsi="宋体" w:eastAsia="宋体" w:cs="宋体"/>
                <w:sz w:val="24"/>
                <w:szCs w:val="24"/>
              </w:rPr>
            </w:pPr>
            <w:r>
              <w:rPr>
                <w:rFonts w:hint="eastAsia" w:ascii="宋体" w:hAnsi="宋体" w:eastAsia="宋体"/>
              </w:rPr>
              <w:t>10,683,572.60</w:t>
            </w:r>
          </w:p>
        </w:tc>
        <w:tc>
          <w:tcPr>
            <w:tcW w:w="0" w:type="auto"/>
            <w:shd w:val="clear" w:color="auto" w:fill="auto"/>
          </w:tcPr>
          <w:p w14:paraId="6AF2B745">
            <w:pPr>
              <w:jc w:val="right"/>
              <w:rPr>
                <w:rFonts w:ascii="宋体" w:hAnsi="宋体" w:eastAsia="宋体" w:cs="宋体"/>
                <w:sz w:val="24"/>
                <w:szCs w:val="24"/>
              </w:rPr>
            </w:pPr>
            <w:r>
              <w:rPr>
                <w:rFonts w:hint="eastAsia" w:ascii="宋体" w:hAnsi="宋体" w:eastAsia="宋体"/>
              </w:rPr>
              <w:t>10.07</w:t>
            </w:r>
          </w:p>
        </w:tc>
      </w:tr>
      <w:tr w14:paraId="31518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64591B">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37E9BE36">
            <w:pPr>
              <w:jc w:val="center"/>
              <w:rPr>
                <w:rFonts w:ascii="宋体" w:hAnsi="宋体" w:eastAsia="宋体" w:cs="宋体"/>
                <w:sz w:val="24"/>
                <w:szCs w:val="24"/>
              </w:rPr>
            </w:pPr>
            <w:r>
              <w:rPr>
                <w:rFonts w:hint="eastAsia" w:ascii="宋体" w:hAnsi="宋体" w:eastAsia="宋体"/>
              </w:rPr>
              <w:t>019752</w:t>
            </w:r>
          </w:p>
        </w:tc>
        <w:tc>
          <w:tcPr>
            <w:tcW w:w="0" w:type="auto"/>
            <w:shd w:val="clear" w:color="auto" w:fill="auto"/>
          </w:tcPr>
          <w:p w14:paraId="00A2F26F">
            <w:pPr>
              <w:jc w:val="center"/>
              <w:rPr>
                <w:rFonts w:ascii="宋体" w:hAnsi="宋体" w:eastAsia="宋体" w:cs="宋体"/>
                <w:sz w:val="24"/>
                <w:szCs w:val="24"/>
              </w:rPr>
            </w:pPr>
            <w:r>
              <w:rPr>
                <w:rFonts w:hint="eastAsia" w:ascii="宋体" w:hAnsi="宋体" w:eastAsia="宋体"/>
              </w:rPr>
              <w:t>24特国05</w:t>
            </w:r>
          </w:p>
        </w:tc>
        <w:tc>
          <w:tcPr>
            <w:tcW w:w="0" w:type="auto"/>
            <w:shd w:val="clear" w:color="auto" w:fill="auto"/>
          </w:tcPr>
          <w:p w14:paraId="672A7C38">
            <w:pPr>
              <w:jc w:val="right"/>
              <w:rPr>
                <w:rFonts w:ascii="宋体" w:hAnsi="宋体" w:eastAsia="宋体" w:cs="宋体"/>
                <w:sz w:val="24"/>
                <w:szCs w:val="24"/>
              </w:rPr>
            </w:pPr>
            <w:r>
              <w:rPr>
                <w:rFonts w:hint="eastAsia" w:ascii="宋体" w:hAnsi="宋体" w:eastAsia="宋体"/>
              </w:rPr>
              <w:t>100,000</w:t>
            </w:r>
          </w:p>
        </w:tc>
        <w:tc>
          <w:tcPr>
            <w:tcW w:w="0" w:type="auto"/>
            <w:shd w:val="clear" w:color="auto" w:fill="auto"/>
          </w:tcPr>
          <w:p w14:paraId="5D6B1F9D">
            <w:pPr>
              <w:jc w:val="right"/>
              <w:rPr>
                <w:rFonts w:ascii="宋体" w:hAnsi="宋体" w:eastAsia="宋体" w:cs="宋体"/>
                <w:sz w:val="24"/>
                <w:szCs w:val="24"/>
              </w:rPr>
            </w:pPr>
            <w:r>
              <w:rPr>
                <w:rFonts w:hint="eastAsia" w:ascii="宋体" w:hAnsi="宋体" w:eastAsia="宋体"/>
              </w:rPr>
              <w:t>10,381,816.44</w:t>
            </w:r>
          </w:p>
        </w:tc>
        <w:tc>
          <w:tcPr>
            <w:tcW w:w="0" w:type="auto"/>
            <w:shd w:val="clear" w:color="auto" w:fill="auto"/>
          </w:tcPr>
          <w:p w14:paraId="739AB112">
            <w:pPr>
              <w:jc w:val="right"/>
              <w:rPr>
                <w:rFonts w:ascii="宋体" w:hAnsi="宋体" w:eastAsia="宋体" w:cs="宋体"/>
                <w:sz w:val="24"/>
                <w:szCs w:val="24"/>
              </w:rPr>
            </w:pPr>
            <w:r>
              <w:rPr>
                <w:rFonts w:hint="eastAsia" w:ascii="宋体" w:hAnsi="宋体" w:eastAsia="宋体"/>
              </w:rPr>
              <w:t>9.79</w:t>
            </w:r>
          </w:p>
        </w:tc>
      </w:tr>
      <w:tr w14:paraId="3C12B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CE6E8B">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0CCA628C">
            <w:pPr>
              <w:jc w:val="center"/>
              <w:rPr>
                <w:rFonts w:ascii="宋体" w:hAnsi="宋体" w:eastAsia="宋体" w:cs="宋体"/>
                <w:sz w:val="24"/>
                <w:szCs w:val="24"/>
              </w:rPr>
            </w:pPr>
            <w:r>
              <w:rPr>
                <w:rFonts w:hint="eastAsia" w:ascii="宋体" w:hAnsi="宋体" w:eastAsia="宋体"/>
              </w:rPr>
              <w:t>019768</w:t>
            </w:r>
          </w:p>
        </w:tc>
        <w:tc>
          <w:tcPr>
            <w:tcW w:w="0" w:type="auto"/>
            <w:shd w:val="clear" w:color="auto" w:fill="auto"/>
          </w:tcPr>
          <w:p w14:paraId="32F0620A">
            <w:pPr>
              <w:jc w:val="center"/>
              <w:rPr>
                <w:rFonts w:ascii="宋体" w:hAnsi="宋体" w:eastAsia="宋体" w:cs="宋体"/>
                <w:sz w:val="24"/>
                <w:szCs w:val="24"/>
              </w:rPr>
            </w:pPr>
            <w:r>
              <w:rPr>
                <w:rFonts w:hint="eastAsia" w:ascii="宋体" w:hAnsi="宋体" w:eastAsia="宋体"/>
              </w:rPr>
              <w:t>25国债03</w:t>
            </w:r>
          </w:p>
        </w:tc>
        <w:tc>
          <w:tcPr>
            <w:tcW w:w="0" w:type="auto"/>
            <w:shd w:val="clear" w:color="auto" w:fill="auto"/>
          </w:tcPr>
          <w:p w14:paraId="4FD42346">
            <w:pPr>
              <w:jc w:val="right"/>
              <w:rPr>
                <w:rFonts w:ascii="宋体" w:hAnsi="宋体" w:eastAsia="宋体" w:cs="宋体"/>
                <w:sz w:val="24"/>
                <w:szCs w:val="24"/>
              </w:rPr>
            </w:pPr>
            <w:r>
              <w:rPr>
                <w:rFonts w:hint="eastAsia" w:ascii="宋体" w:hAnsi="宋体" w:eastAsia="宋体"/>
              </w:rPr>
              <w:t>100,000</w:t>
            </w:r>
          </w:p>
        </w:tc>
        <w:tc>
          <w:tcPr>
            <w:tcW w:w="0" w:type="auto"/>
            <w:shd w:val="clear" w:color="auto" w:fill="auto"/>
          </w:tcPr>
          <w:p w14:paraId="1612BBE7">
            <w:pPr>
              <w:jc w:val="right"/>
              <w:rPr>
                <w:rFonts w:ascii="宋体" w:hAnsi="宋体" w:eastAsia="宋体" w:cs="宋体"/>
                <w:sz w:val="24"/>
                <w:szCs w:val="24"/>
              </w:rPr>
            </w:pPr>
            <w:r>
              <w:rPr>
                <w:rFonts w:hint="eastAsia" w:ascii="宋体" w:hAnsi="宋体" w:eastAsia="宋体"/>
              </w:rPr>
              <w:t>10,092,509.59</w:t>
            </w:r>
          </w:p>
        </w:tc>
        <w:tc>
          <w:tcPr>
            <w:tcW w:w="0" w:type="auto"/>
            <w:shd w:val="clear" w:color="auto" w:fill="auto"/>
          </w:tcPr>
          <w:p w14:paraId="15AB5579">
            <w:pPr>
              <w:jc w:val="right"/>
              <w:rPr>
                <w:rFonts w:ascii="宋体" w:hAnsi="宋体" w:eastAsia="宋体" w:cs="宋体"/>
                <w:sz w:val="24"/>
                <w:szCs w:val="24"/>
              </w:rPr>
            </w:pPr>
            <w:r>
              <w:rPr>
                <w:rFonts w:hint="eastAsia" w:ascii="宋体" w:hAnsi="宋体" w:eastAsia="宋体"/>
              </w:rPr>
              <w:t>9.52</w:t>
            </w:r>
          </w:p>
        </w:tc>
      </w:tr>
      <w:tr w14:paraId="10CA4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98FE580">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4314C94C">
            <w:pPr>
              <w:jc w:val="center"/>
              <w:rPr>
                <w:rFonts w:ascii="宋体" w:hAnsi="宋体" w:eastAsia="宋体" w:cs="宋体"/>
                <w:sz w:val="24"/>
                <w:szCs w:val="24"/>
              </w:rPr>
            </w:pPr>
            <w:r>
              <w:rPr>
                <w:rFonts w:hint="eastAsia" w:ascii="宋体" w:hAnsi="宋体" w:eastAsia="宋体"/>
              </w:rPr>
              <w:t>019760</w:t>
            </w:r>
          </w:p>
        </w:tc>
        <w:tc>
          <w:tcPr>
            <w:tcW w:w="0" w:type="auto"/>
            <w:shd w:val="clear" w:color="auto" w:fill="auto"/>
          </w:tcPr>
          <w:p w14:paraId="35C53CA1">
            <w:pPr>
              <w:jc w:val="center"/>
              <w:rPr>
                <w:rFonts w:ascii="宋体" w:hAnsi="宋体" w:eastAsia="宋体" w:cs="宋体"/>
                <w:sz w:val="24"/>
                <w:szCs w:val="24"/>
              </w:rPr>
            </w:pPr>
            <w:r>
              <w:rPr>
                <w:rFonts w:hint="eastAsia" w:ascii="宋体" w:hAnsi="宋体" w:eastAsia="宋体"/>
              </w:rPr>
              <w:t>24国债23</w:t>
            </w:r>
          </w:p>
        </w:tc>
        <w:tc>
          <w:tcPr>
            <w:tcW w:w="0" w:type="auto"/>
            <w:shd w:val="clear" w:color="auto" w:fill="auto"/>
          </w:tcPr>
          <w:p w14:paraId="426EC1A3">
            <w:pPr>
              <w:jc w:val="right"/>
              <w:rPr>
                <w:rFonts w:ascii="宋体" w:hAnsi="宋体" w:eastAsia="宋体" w:cs="宋体"/>
                <w:sz w:val="24"/>
                <w:szCs w:val="24"/>
              </w:rPr>
            </w:pPr>
            <w:r>
              <w:rPr>
                <w:rFonts w:hint="eastAsia" w:ascii="宋体" w:hAnsi="宋体" w:eastAsia="宋体"/>
              </w:rPr>
              <w:t>80,000</w:t>
            </w:r>
          </w:p>
        </w:tc>
        <w:tc>
          <w:tcPr>
            <w:tcW w:w="0" w:type="auto"/>
            <w:shd w:val="clear" w:color="auto" w:fill="auto"/>
          </w:tcPr>
          <w:p w14:paraId="15C40FCB">
            <w:pPr>
              <w:jc w:val="right"/>
              <w:rPr>
                <w:rFonts w:ascii="宋体" w:hAnsi="宋体" w:eastAsia="宋体" w:cs="宋体"/>
                <w:sz w:val="24"/>
                <w:szCs w:val="24"/>
              </w:rPr>
            </w:pPr>
            <w:r>
              <w:rPr>
                <w:rFonts w:hint="eastAsia" w:ascii="宋体" w:hAnsi="宋体" w:eastAsia="宋体"/>
              </w:rPr>
              <w:t>8,274,143.56</w:t>
            </w:r>
          </w:p>
        </w:tc>
        <w:tc>
          <w:tcPr>
            <w:tcW w:w="0" w:type="auto"/>
            <w:shd w:val="clear" w:color="auto" w:fill="auto"/>
          </w:tcPr>
          <w:p w14:paraId="2B880862">
            <w:pPr>
              <w:jc w:val="right"/>
              <w:rPr>
                <w:rFonts w:ascii="宋体" w:hAnsi="宋体" w:eastAsia="宋体" w:cs="宋体"/>
                <w:sz w:val="24"/>
                <w:szCs w:val="24"/>
              </w:rPr>
            </w:pPr>
            <w:r>
              <w:rPr>
                <w:rFonts w:hint="eastAsia" w:ascii="宋体" w:hAnsi="宋体" w:eastAsia="宋体"/>
              </w:rPr>
              <w:t>7.80</w:t>
            </w:r>
          </w:p>
        </w:tc>
      </w:tr>
      <w:tr w14:paraId="14318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8BDE2E">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B90C6F4">
            <w:pPr>
              <w:jc w:val="center"/>
              <w:rPr>
                <w:rFonts w:ascii="宋体" w:hAnsi="宋体" w:eastAsia="宋体" w:cs="宋体"/>
                <w:sz w:val="24"/>
                <w:szCs w:val="24"/>
              </w:rPr>
            </w:pPr>
            <w:r>
              <w:rPr>
                <w:rFonts w:hint="eastAsia" w:ascii="宋体" w:hAnsi="宋体" w:eastAsia="宋体"/>
              </w:rPr>
              <w:t>019753</w:t>
            </w:r>
          </w:p>
        </w:tc>
        <w:tc>
          <w:tcPr>
            <w:tcW w:w="0" w:type="auto"/>
            <w:shd w:val="clear" w:color="auto" w:fill="auto"/>
          </w:tcPr>
          <w:p w14:paraId="6E58F5BE">
            <w:pPr>
              <w:jc w:val="center"/>
              <w:rPr>
                <w:rFonts w:ascii="宋体" w:hAnsi="宋体" w:eastAsia="宋体" w:cs="宋体"/>
                <w:sz w:val="24"/>
                <w:szCs w:val="24"/>
              </w:rPr>
            </w:pPr>
            <w:r>
              <w:rPr>
                <w:rFonts w:hint="eastAsia" w:ascii="宋体" w:hAnsi="宋体" w:eastAsia="宋体"/>
              </w:rPr>
              <w:t>24国债17</w:t>
            </w:r>
          </w:p>
        </w:tc>
        <w:tc>
          <w:tcPr>
            <w:tcW w:w="0" w:type="auto"/>
            <w:shd w:val="clear" w:color="auto" w:fill="auto"/>
          </w:tcPr>
          <w:p w14:paraId="40513DB0">
            <w:pPr>
              <w:jc w:val="right"/>
              <w:rPr>
                <w:rFonts w:ascii="宋体" w:hAnsi="宋体" w:eastAsia="宋体" w:cs="宋体"/>
                <w:sz w:val="24"/>
                <w:szCs w:val="24"/>
              </w:rPr>
            </w:pPr>
            <w:r>
              <w:rPr>
                <w:rFonts w:hint="eastAsia" w:ascii="宋体" w:hAnsi="宋体" w:eastAsia="宋体"/>
              </w:rPr>
              <w:t>50,000</w:t>
            </w:r>
          </w:p>
        </w:tc>
        <w:tc>
          <w:tcPr>
            <w:tcW w:w="0" w:type="auto"/>
            <w:shd w:val="clear" w:color="auto" w:fill="auto"/>
          </w:tcPr>
          <w:p w14:paraId="59797727">
            <w:pPr>
              <w:jc w:val="right"/>
              <w:rPr>
                <w:rFonts w:ascii="宋体" w:hAnsi="宋体" w:eastAsia="宋体" w:cs="宋体"/>
                <w:sz w:val="24"/>
                <w:szCs w:val="24"/>
              </w:rPr>
            </w:pPr>
            <w:r>
              <w:rPr>
                <w:rFonts w:hint="eastAsia" w:ascii="宋体" w:hAnsi="宋体" w:eastAsia="宋体"/>
              </w:rPr>
              <w:t>5,224,919.18</w:t>
            </w:r>
          </w:p>
        </w:tc>
        <w:tc>
          <w:tcPr>
            <w:tcW w:w="0" w:type="auto"/>
            <w:shd w:val="clear" w:color="auto" w:fill="auto"/>
          </w:tcPr>
          <w:p w14:paraId="2DC56EFB">
            <w:pPr>
              <w:jc w:val="right"/>
              <w:rPr>
                <w:rFonts w:ascii="宋体" w:hAnsi="宋体" w:eastAsia="宋体" w:cs="宋体"/>
                <w:sz w:val="24"/>
                <w:szCs w:val="24"/>
              </w:rPr>
            </w:pPr>
            <w:r>
              <w:rPr>
                <w:rFonts w:hint="eastAsia" w:ascii="宋体" w:hAnsi="宋体" w:eastAsia="宋体"/>
              </w:rPr>
              <w:t>4.93</w:t>
            </w:r>
          </w:p>
        </w:tc>
      </w:tr>
    </w:tbl>
    <w:p w14:paraId="0A66DE85">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14:paraId="38265A47">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663AE169">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14:paraId="65582C39">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28FBAC88">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7D96417D">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3B7F94A4">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57654D32">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4CF95EF3">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089BC3C5">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1C9FED0E">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6799E779">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439EED12">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14:paraId="67DB0E64">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64390873">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14:paraId="6309E359">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58135922">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18E0ED46">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3BD59C93">
      <w:pPr>
        <w:pStyle w:val="7"/>
        <w:spacing w:before="0" w:beforeAutospacing="0" w:after="0" w:afterAutospacing="0" w:line="360" w:lineRule="auto"/>
        <w:ind w:firstLine="420"/>
        <w:rPr>
          <w:sz w:val="21"/>
          <w:szCs w:val="21"/>
        </w:rPr>
      </w:pPr>
      <w:r>
        <w:rPr>
          <w:rFonts w:hint="eastAsia"/>
          <w:sz w:val="21"/>
          <w:szCs w:val="21"/>
        </w:rPr>
        <w:t>基金管理人未发现本基金投资的前十名证券的发行主体出现本期被监管部门立案调查，或在报告编制日前一年内受到公开谴责、处罚的情形。</w:t>
      </w:r>
    </w:p>
    <w:p w14:paraId="114ED877">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14:paraId="5DFE0098">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3780"/>
        <w:gridCol w:w="3310"/>
      </w:tblGrid>
      <w:tr w14:paraId="4D07B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4F764144">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68E24653">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44B1B4D3">
            <w:pPr>
              <w:jc w:val="center"/>
              <w:rPr>
                <w:rFonts w:ascii="宋体" w:hAnsi="宋体" w:eastAsia="宋体" w:cs="宋体"/>
                <w:sz w:val="24"/>
                <w:szCs w:val="24"/>
              </w:rPr>
            </w:pPr>
            <w:r>
              <w:rPr>
                <w:rFonts w:hint="eastAsia" w:ascii="宋体" w:hAnsi="宋体" w:eastAsia="宋体"/>
              </w:rPr>
              <w:t>金额(元)</w:t>
            </w:r>
          </w:p>
        </w:tc>
      </w:tr>
      <w:tr w14:paraId="14F2E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5CCC0B">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36E10FDF">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06FE411C">
            <w:pPr>
              <w:jc w:val="right"/>
              <w:rPr>
                <w:rFonts w:ascii="宋体" w:hAnsi="宋体" w:eastAsia="宋体" w:cs="宋体"/>
                <w:sz w:val="24"/>
                <w:szCs w:val="24"/>
              </w:rPr>
            </w:pPr>
            <w:r>
              <w:rPr>
                <w:rFonts w:hint="eastAsia" w:ascii="宋体" w:hAnsi="宋体" w:eastAsia="宋体"/>
              </w:rPr>
              <w:t>150,909.45</w:t>
            </w:r>
          </w:p>
        </w:tc>
      </w:tr>
      <w:tr w14:paraId="2E66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E0A307">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516E33CD">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112D92D3">
            <w:pPr>
              <w:jc w:val="right"/>
              <w:rPr>
                <w:rFonts w:ascii="宋体" w:hAnsi="宋体" w:eastAsia="宋体" w:cs="宋体"/>
                <w:sz w:val="24"/>
                <w:szCs w:val="24"/>
              </w:rPr>
            </w:pPr>
            <w:r>
              <w:rPr>
                <w:rFonts w:hint="eastAsia" w:ascii="宋体" w:hAnsi="宋体" w:eastAsia="宋体"/>
              </w:rPr>
              <w:t>1,360,886.07</w:t>
            </w:r>
          </w:p>
        </w:tc>
      </w:tr>
      <w:tr w14:paraId="6FCC1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4B859A">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67E6DC97">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46838316">
            <w:pPr>
              <w:jc w:val="right"/>
              <w:rPr>
                <w:rFonts w:ascii="宋体" w:hAnsi="宋体" w:eastAsia="宋体" w:cs="宋体"/>
                <w:sz w:val="24"/>
                <w:szCs w:val="24"/>
              </w:rPr>
            </w:pPr>
            <w:r>
              <w:rPr>
                <w:rFonts w:hint="eastAsia" w:ascii="宋体" w:hAnsi="宋体" w:eastAsia="宋体"/>
              </w:rPr>
              <w:t>21,397.85</w:t>
            </w:r>
          </w:p>
        </w:tc>
      </w:tr>
      <w:tr w14:paraId="7406B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FDA6B5">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62A33C26">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5F5E84FD">
            <w:pPr>
              <w:jc w:val="right"/>
              <w:rPr>
                <w:rFonts w:ascii="宋体" w:hAnsi="宋体" w:eastAsia="宋体" w:cs="宋体"/>
                <w:sz w:val="24"/>
                <w:szCs w:val="24"/>
              </w:rPr>
            </w:pPr>
            <w:r>
              <w:rPr>
                <w:rFonts w:hint="eastAsia" w:ascii="宋体" w:hAnsi="宋体" w:eastAsia="宋体"/>
              </w:rPr>
              <w:t>-</w:t>
            </w:r>
          </w:p>
        </w:tc>
      </w:tr>
      <w:tr w14:paraId="15B78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38B96F">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1B9C8B3F">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4C973BB4">
            <w:pPr>
              <w:jc w:val="right"/>
              <w:rPr>
                <w:rFonts w:ascii="宋体" w:hAnsi="宋体" w:eastAsia="宋体" w:cs="宋体"/>
                <w:sz w:val="24"/>
                <w:szCs w:val="24"/>
              </w:rPr>
            </w:pPr>
            <w:r>
              <w:rPr>
                <w:rFonts w:hint="eastAsia" w:ascii="宋体" w:hAnsi="宋体" w:eastAsia="宋体"/>
              </w:rPr>
              <w:t>367.96</w:t>
            </w:r>
          </w:p>
        </w:tc>
      </w:tr>
      <w:tr w14:paraId="50C97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6ED0AF">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33AD5F0D">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1A69538C">
            <w:pPr>
              <w:jc w:val="right"/>
              <w:rPr>
                <w:rFonts w:ascii="宋体" w:hAnsi="宋体" w:eastAsia="宋体" w:cs="宋体"/>
                <w:sz w:val="24"/>
                <w:szCs w:val="24"/>
              </w:rPr>
            </w:pPr>
            <w:r>
              <w:rPr>
                <w:rFonts w:hint="eastAsia" w:ascii="宋体" w:hAnsi="宋体" w:eastAsia="宋体"/>
              </w:rPr>
              <w:t>-</w:t>
            </w:r>
          </w:p>
        </w:tc>
      </w:tr>
      <w:tr w14:paraId="01DDF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0CCF3B">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00F6B63D">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1FB90844">
            <w:pPr>
              <w:jc w:val="right"/>
              <w:rPr>
                <w:rFonts w:ascii="宋体" w:hAnsi="宋体" w:eastAsia="宋体" w:cs="宋体"/>
                <w:sz w:val="24"/>
                <w:szCs w:val="24"/>
              </w:rPr>
            </w:pPr>
            <w:r>
              <w:rPr>
                <w:rFonts w:hint="eastAsia" w:ascii="宋体" w:hAnsi="宋体" w:eastAsia="宋体"/>
              </w:rPr>
              <w:t>-</w:t>
            </w:r>
          </w:p>
        </w:tc>
      </w:tr>
      <w:tr w14:paraId="55CAD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5BF267">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78866A85">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035F1F1E">
            <w:pPr>
              <w:jc w:val="right"/>
              <w:rPr>
                <w:rFonts w:ascii="宋体" w:hAnsi="宋体" w:eastAsia="宋体" w:cs="宋体"/>
                <w:sz w:val="24"/>
                <w:szCs w:val="24"/>
              </w:rPr>
            </w:pPr>
            <w:r>
              <w:rPr>
                <w:rFonts w:hint="eastAsia" w:ascii="宋体" w:hAnsi="宋体" w:eastAsia="宋体"/>
              </w:rPr>
              <w:t>1,533,561.33</w:t>
            </w:r>
          </w:p>
        </w:tc>
      </w:tr>
    </w:tbl>
    <w:p w14:paraId="347E9180">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14:paraId="160991B0">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4DDAFFCE">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14:paraId="6C465A60">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0C3CA5EE">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14:paraId="5F9FB160">
      <w:pPr>
        <w:pStyle w:val="7"/>
        <w:spacing w:before="0" w:beforeAutospacing="0" w:after="0" w:afterAutospacing="0" w:line="360" w:lineRule="auto"/>
        <w:ind w:firstLine="420"/>
        <w:rPr>
          <w:sz w:val="21"/>
          <w:szCs w:val="21"/>
        </w:rPr>
      </w:pPr>
      <w:bookmarkStart w:id="144" w:name="chapter_level1_11_60_section_6_end"/>
      <w:bookmarkEnd w:id="144"/>
      <w:r>
        <w:rPr>
          <w:rFonts w:hint="eastAsia"/>
          <w:sz w:val="21"/>
          <w:szCs w:val="21"/>
        </w:rPr>
        <w:t>由于四舍五入的原因，分项之和与合计项之间可能存在尾差。</w:t>
      </w:r>
      <w:bookmarkStart w:id="145" w:name="field_0_fundportfolio_1_end"/>
      <w:bookmarkEnd w:id="145"/>
      <w:r>
        <w:rPr>
          <w:rFonts w:hint="eastAsia"/>
          <w:sz w:val="21"/>
          <w:szCs w:val="21"/>
        </w:rPr>
        <w:t xml:space="preserve"> </w:t>
      </w:r>
    </w:p>
    <w:p w14:paraId="5A6FF56C">
      <w:pPr>
        <w:widowControl/>
        <w:jc w:val="left"/>
        <w:rPr>
          <w:rFonts w:ascii="宋体" w:hAnsi="宋体" w:eastAsia="宋体"/>
        </w:rPr>
      </w:pPr>
      <w:r>
        <w:rPr>
          <w:rFonts w:ascii="宋体" w:hAnsi="宋体" w:eastAsia="宋体"/>
        </w:rPr>
        <w:br w:type="page"/>
      </w:r>
    </w:p>
    <w:p w14:paraId="0F063F0C">
      <w:pPr>
        <w:pStyle w:val="2"/>
        <w:jc w:val="center"/>
        <w:rPr>
          <w:rFonts w:ascii="宋体" w:hAnsi="宋体" w:eastAsia="宋体"/>
          <w:sz w:val="30"/>
        </w:rPr>
      </w:pPr>
      <w:bookmarkStart w:id="146" w:name="_Toc239193704"/>
      <w:bookmarkStart w:id="147" w:name="chapter_level1_12_3500"/>
      <w:r>
        <w:rPr>
          <w:rFonts w:hint="eastAsia" w:ascii="宋体" w:hAnsi="宋体" w:eastAsia="宋体"/>
          <w:sz w:val="30"/>
        </w:rPr>
        <w:t>第九部分 基金的业绩</w:t>
      </w:r>
      <w:bookmarkEnd w:id="146"/>
      <w:bookmarkEnd w:id="147"/>
    </w:p>
    <w:p w14:paraId="2063FA58">
      <w:pPr>
        <w:pStyle w:val="7"/>
        <w:spacing w:before="0" w:beforeAutospacing="0" w:after="0" w:afterAutospacing="0" w:line="360" w:lineRule="auto"/>
        <w:ind w:firstLine="420"/>
        <w:rPr>
          <w:sz w:val="21"/>
          <w:szCs w:val="21"/>
        </w:rPr>
      </w:pPr>
      <w:bookmarkStart w:id="148" w:name="chapter_level1_12_3500_section_1"/>
      <w:bookmarkEnd w:id="148"/>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0AE84D8D">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6F6E393C">
      <w:pPr>
        <w:pStyle w:val="7"/>
        <w:spacing w:before="0" w:beforeAutospacing="0" w:after="0" w:afterAutospacing="0" w:line="360" w:lineRule="auto"/>
        <w:ind w:firstLine="420"/>
        <w:rPr>
          <w:sz w:val="21"/>
          <w:szCs w:val="21"/>
        </w:rPr>
      </w:pPr>
      <w:bookmarkStart w:id="149" w:name="field_0_indatatable_1_start"/>
      <w:bookmarkEnd w:id="149"/>
      <w:r>
        <w:rPr>
          <w:rFonts w:hint="eastAsia"/>
          <w:sz w:val="21"/>
          <w:szCs w:val="21"/>
        </w:rPr>
        <w:t>博时恒裕持有期混合A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71"/>
        <w:gridCol w:w="1012"/>
        <w:gridCol w:w="1137"/>
        <w:gridCol w:w="1178"/>
        <w:gridCol w:w="951"/>
        <w:gridCol w:w="846"/>
      </w:tblGrid>
      <w:tr w14:paraId="7B2B5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6E52AFC">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699087C5">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5A95F858">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3BC6F679">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4A8EED66">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4946F9B3">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03656630">
            <w:pPr>
              <w:jc w:val="center"/>
              <w:rPr>
                <w:rFonts w:ascii="宋体" w:hAnsi="宋体" w:eastAsia="宋体" w:cs="宋体"/>
                <w:sz w:val="24"/>
                <w:szCs w:val="24"/>
              </w:rPr>
            </w:pPr>
            <w:r>
              <w:rPr>
                <w:rFonts w:hint="eastAsia" w:ascii="宋体" w:hAnsi="宋体" w:eastAsia="宋体"/>
              </w:rPr>
              <w:t>②-④</w:t>
            </w:r>
          </w:p>
        </w:tc>
      </w:tr>
      <w:tr w14:paraId="13184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6410B2">
            <w:pPr>
              <w:jc w:val="center"/>
              <w:rPr>
                <w:rFonts w:ascii="宋体" w:hAnsi="宋体" w:eastAsia="宋体" w:cs="宋体"/>
                <w:sz w:val="24"/>
                <w:szCs w:val="24"/>
              </w:rPr>
            </w:pPr>
            <w:r>
              <w:rPr>
                <w:rFonts w:hint="eastAsia" w:ascii="宋体" w:hAnsi="宋体" w:eastAsia="宋体"/>
              </w:rPr>
              <w:t>2020.05.18-2020.12.31</w:t>
            </w:r>
          </w:p>
        </w:tc>
        <w:tc>
          <w:tcPr>
            <w:tcW w:w="0" w:type="auto"/>
            <w:shd w:val="clear" w:color="auto" w:fill="auto"/>
          </w:tcPr>
          <w:p w14:paraId="1D4DDD61">
            <w:pPr>
              <w:jc w:val="center"/>
              <w:rPr>
                <w:rFonts w:ascii="宋体" w:hAnsi="宋体" w:eastAsia="宋体" w:cs="宋体"/>
                <w:sz w:val="24"/>
                <w:szCs w:val="24"/>
              </w:rPr>
            </w:pPr>
            <w:r>
              <w:rPr>
                <w:rFonts w:hint="eastAsia" w:ascii="宋体" w:hAnsi="宋体" w:eastAsia="宋体"/>
              </w:rPr>
              <w:t>4.21%</w:t>
            </w:r>
          </w:p>
        </w:tc>
        <w:tc>
          <w:tcPr>
            <w:tcW w:w="0" w:type="auto"/>
            <w:shd w:val="clear" w:color="auto" w:fill="auto"/>
          </w:tcPr>
          <w:p w14:paraId="615212CB">
            <w:pPr>
              <w:jc w:val="center"/>
              <w:rPr>
                <w:rFonts w:ascii="宋体" w:hAnsi="宋体" w:eastAsia="宋体" w:cs="宋体"/>
                <w:sz w:val="24"/>
                <w:szCs w:val="24"/>
              </w:rPr>
            </w:pPr>
            <w:r>
              <w:rPr>
                <w:rFonts w:hint="eastAsia" w:ascii="宋体" w:hAnsi="宋体" w:eastAsia="宋体"/>
              </w:rPr>
              <w:t>0.14%</w:t>
            </w:r>
          </w:p>
        </w:tc>
        <w:tc>
          <w:tcPr>
            <w:tcW w:w="0" w:type="auto"/>
            <w:shd w:val="clear" w:color="auto" w:fill="auto"/>
          </w:tcPr>
          <w:p w14:paraId="65F0E482">
            <w:pPr>
              <w:jc w:val="center"/>
              <w:rPr>
                <w:rFonts w:ascii="宋体" w:hAnsi="宋体" w:eastAsia="宋体" w:cs="宋体"/>
                <w:sz w:val="24"/>
                <w:szCs w:val="24"/>
              </w:rPr>
            </w:pPr>
            <w:r>
              <w:rPr>
                <w:rFonts w:hint="eastAsia" w:ascii="宋体" w:hAnsi="宋体" w:eastAsia="宋体"/>
              </w:rPr>
              <w:t>5.50%</w:t>
            </w:r>
          </w:p>
        </w:tc>
        <w:tc>
          <w:tcPr>
            <w:tcW w:w="0" w:type="auto"/>
            <w:shd w:val="clear" w:color="auto" w:fill="auto"/>
          </w:tcPr>
          <w:p w14:paraId="5C42BBC9">
            <w:pPr>
              <w:jc w:val="center"/>
              <w:rPr>
                <w:rFonts w:ascii="宋体" w:hAnsi="宋体" w:eastAsia="宋体" w:cs="宋体"/>
                <w:sz w:val="24"/>
                <w:szCs w:val="24"/>
              </w:rPr>
            </w:pPr>
            <w:r>
              <w:rPr>
                <w:rFonts w:hint="eastAsia" w:ascii="宋体" w:hAnsi="宋体" w:eastAsia="宋体"/>
              </w:rPr>
              <w:t>0.23%</w:t>
            </w:r>
          </w:p>
        </w:tc>
        <w:tc>
          <w:tcPr>
            <w:tcW w:w="0" w:type="auto"/>
            <w:shd w:val="clear" w:color="auto" w:fill="auto"/>
          </w:tcPr>
          <w:p w14:paraId="542057B1">
            <w:pPr>
              <w:jc w:val="center"/>
              <w:rPr>
                <w:rFonts w:ascii="宋体" w:hAnsi="宋体" w:eastAsia="宋体" w:cs="宋体"/>
                <w:sz w:val="24"/>
                <w:szCs w:val="24"/>
              </w:rPr>
            </w:pPr>
            <w:r>
              <w:rPr>
                <w:rFonts w:hint="eastAsia" w:ascii="宋体" w:hAnsi="宋体" w:eastAsia="宋体"/>
              </w:rPr>
              <w:t>-1.29%</w:t>
            </w:r>
          </w:p>
        </w:tc>
        <w:tc>
          <w:tcPr>
            <w:tcW w:w="0" w:type="auto"/>
            <w:shd w:val="clear" w:color="auto" w:fill="auto"/>
          </w:tcPr>
          <w:p w14:paraId="032F9BAE">
            <w:pPr>
              <w:jc w:val="center"/>
              <w:rPr>
                <w:rFonts w:ascii="宋体" w:hAnsi="宋体" w:eastAsia="宋体" w:cs="宋体"/>
                <w:sz w:val="24"/>
                <w:szCs w:val="24"/>
              </w:rPr>
            </w:pPr>
            <w:r>
              <w:rPr>
                <w:rFonts w:hint="eastAsia" w:ascii="宋体" w:hAnsi="宋体" w:eastAsia="宋体"/>
              </w:rPr>
              <w:t>-0.09%</w:t>
            </w:r>
          </w:p>
        </w:tc>
      </w:tr>
      <w:tr w14:paraId="6F5DC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CC0B5B">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7B5D4080">
            <w:pPr>
              <w:jc w:val="center"/>
              <w:rPr>
                <w:rFonts w:ascii="宋体" w:hAnsi="宋体" w:eastAsia="宋体" w:cs="宋体"/>
                <w:sz w:val="24"/>
                <w:szCs w:val="24"/>
              </w:rPr>
            </w:pPr>
            <w:r>
              <w:rPr>
                <w:rFonts w:hint="eastAsia" w:ascii="宋体" w:hAnsi="宋体" w:eastAsia="宋体"/>
              </w:rPr>
              <w:t>-4.25%</w:t>
            </w:r>
          </w:p>
        </w:tc>
        <w:tc>
          <w:tcPr>
            <w:tcW w:w="0" w:type="auto"/>
            <w:shd w:val="clear" w:color="auto" w:fill="auto"/>
          </w:tcPr>
          <w:p w14:paraId="1CF0A024">
            <w:pPr>
              <w:jc w:val="center"/>
              <w:rPr>
                <w:rFonts w:ascii="宋体" w:hAnsi="宋体" w:eastAsia="宋体" w:cs="宋体"/>
                <w:sz w:val="24"/>
                <w:szCs w:val="24"/>
              </w:rPr>
            </w:pPr>
            <w:r>
              <w:rPr>
                <w:rFonts w:hint="eastAsia" w:ascii="宋体" w:hAnsi="宋体" w:eastAsia="宋体"/>
              </w:rPr>
              <w:t>0.48%</w:t>
            </w:r>
          </w:p>
        </w:tc>
        <w:tc>
          <w:tcPr>
            <w:tcW w:w="0" w:type="auto"/>
            <w:shd w:val="clear" w:color="auto" w:fill="auto"/>
          </w:tcPr>
          <w:p w14:paraId="6D1A6016">
            <w:pPr>
              <w:jc w:val="center"/>
              <w:rPr>
                <w:rFonts w:ascii="宋体" w:hAnsi="宋体" w:eastAsia="宋体" w:cs="宋体"/>
                <w:sz w:val="24"/>
                <w:szCs w:val="24"/>
              </w:rPr>
            </w:pPr>
            <w:r>
              <w:rPr>
                <w:rFonts w:hint="eastAsia" w:ascii="宋体" w:hAnsi="宋体" w:eastAsia="宋体"/>
              </w:rPr>
              <w:t>2.28%</w:t>
            </w:r>
          </w:p>
        </w:tc>
        <w:tc>
          <w:tcPr>
            <w:tcW w:w="0" w:type="auto"/>
            <w:shd w:val="clear" w:color="auto" w:fill="auto"/>
          </w:tcPr>
          <w:p w14:paraId="3AE99589">
            <w:pPr>
              <w:jc w:val="center"/>
              <w:rPr>
                <w:rFonts w:ascii="宋体" w:hAnsi="宋体" w:eastAsia="宋体" w:cs="宋体"/>
                <w:sz w:val="24"/>
                <w:szCs w:val="24"/>
              </w:rPr>
            </w:pPr>
            <w:r>
              <w:rPr>
                <w:rFonts w:hint="eastAsia" w:ascii="宋体" w:hAnsi="宋体" w:eastAsia="宋体"/>
              </w:rPr>
              <w:t>0.23%</w:t>
            </w:r>
          </w:p>
        </w:tc>
        <w:tc>
          <w:tcPr>
            <w:tcW w:w="0" w:type="auto"/>
            <w:shd w:val="clear" w:color="auto" w:fill="auto"/>
          </w:tcPr>
          <w:p w14:paraId="6F33C6BD">
            <w:pPr>
              <w:jc w:val="center"/>
              <w:rPr>
                <w:rFonts w:ascii="宋体" w:hAnsi="宋体" w:eastAsia="宋体" w:cs="宋体"/>
                <w:sz w:val="24"/>
                <w:szCs w:val="24"/>
              </w:rPr>
            </w:pPr>
            <w:r>
              <w:rPr>
                <w:rFonts w:hint="eastAsia" w:ascii="宋体" w:hAnsi="宋体" w:eastAsia="宋体"/>
              </w:rPr>
              <w:t>-6.53%</w:t>
            </w:r>
          </w:p>
        </w:tc>
        <w:tc>
          <w:tcPr>
            <w:tcW w:w="0" w:type="auto"/>
            <w:shd w:val="clear" w:color="auto" w:fill="auto"/>
          </w:tcPr>
          <w:p w14:paraId="4807B976">
            <w:pPr>
              <w:jc w:val="center"/>
              <w:rPr>
                <w:rFonts w:ascii="宋体" w:hAnsi="宋体" w:eastAsia="宋体" w:cs="宋体"/>
                <w:sz w:val="24"/>
                <w:szCs w:val="24"/>
              </w:rPr>
            </w:pPr>
            <w:r>
              <w:rPr>
                <w:rFonts w:hint="eastAsia" w:ascii="宋体" w:hAnsi="宋体" w:eastAsia="宋体"/>
              </w:rPr>
              <w:t>0.25%</w:t>
            </w:r>
          </w:p>
        </w:tc>
      </w:tr>
      <w:tr w14:paraId="07F01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1D7181">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6F735770">
            <w:pPr>
              <w:jc w:val="center"/>
              <w:rPr>
                <w:rFonts w:ascii="宋体" w:hAnsi="宋体" w:eastAsia="宋体" w:cs="宋体"/>
                <w:sz w:val="24"/>
                <w:szCs w:val="24"/>
              </w:rPr>
            </w:pPr>
            <w:r>
              <w:rPr>
                <w:rFonts w:hint="eastAsia" w:ascii="宋体" w:hAnsi="宋体" w:eastAsia="宋体"/>
              </w:rPr>
              <w:t>-3.86%</w:t>
            </w:r>
          </w:p>
        </w:tc>
        <w:tc>
          <w:tcPr>
            <w:tcW w:w="0" w:type="auto"/>
            <w:shd w:val="clear" w:color="auto" w:fill="auto"/>
          </w:tcPr>
          <w:p w14:paraId="702A851E">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14:paraId="31733403">
            <w:pPr>
              <w:jc w:val="center"/>
              <w:rPr>
                <w:rFonts w:ascii="宋体" w:hAnsi="宋体" w:eastAsia="宋体" w:cs="宋体"/>
                <w:sz w:val="24"/>
                <w:szCs w:val="24"/>
              </w:rPr>
            </w:pPr>
            <w:r>
              <w:rPr>
                <w:rFonts w:hint="eastAsia" w:ascii="宋体" w:hAnsi="宋体" w:eastAsia="宋体"/>
              </w:rPr>
              <w:t>-1.29%</w:t>
            </w:r>
          </w:p>
        </w:tc>
        <w:tc>
          <w:tcPr>
            <w:tcW w:w="0" w:type="auto"/>
            <w:shd w:val="clear" w:color="auto" w:fill="auto"/>
          </w:tcPr>
          <w:p w14:paraId="1A2E9C42">
            <w:pPr>
              <w:jc w:val="center"/>
              <w:rPr>
                <w:rFonts w:ascii="宋体" w:hAnsi="宋体" w:eastAsia="宋体" w:cs="宋体"/>
                <w:sz w:val="24"/>
                <w:szCs w:val="24"/>
              </w:rPr>
            </w:pPr>
            <w:r>
              <w:rPr>
                <w:rFonts w:hint="eastAsia" w:ascii="宋体" w:hAnsi="宋体" w:eastAsia="宋体"/>
              </w:rPr>
              <w:t>0.27%</w:t>
            </w:r>
          </w:p>
        </w:tc>
        <w:tc>
          <w:tcPr>
            <w:tcW w:w="0" w:type="auto"/>
            <w:shd w:val="clear" w:color="auto" w:fill="auto"/>
          </w:tcPr>
          <w:p w14:paraId="5E8249E9">
            <w:pPr>
              <w:jc w:val="center"/>
              <w:rPr>
                <w:rFonts w:ascii="宋体" w:hAnsi="宋体" w:eastAsia="宋体" w:cs="宋体"/>
                <w:sz w:val="24"/>
                <w:szCs w:val="24"/>
              </w:rPr>
            </w:pPr>
            <w:r>
              <w:rPr>
                <w:rFonts w:hint="eastAsia" w:ascii="宋体" w:hAnsi="宋体" w:eastAsia="宋体"/>
              </w:rPr>
              <w:t>-2.57%</w:t>
            </w:r>
          </w:p>
        </w:tc>
        <w:tc>
          <w:tcPr>
            <w:tcW w:w="0" w:type="auto"/>
            <w:shd w:val="clear" w:color="auto" w:fill="auto"/>
          </w:tcPr>
          <w:p w14:paraId="2AA98AE2">
            <w:pPr>
              <w:jc w:val="center"/>
              <w:rPr>
                <w:rFonts w:ascii="宋体" w:hAnsi="宋体" w:eastAsia="宋体" w:cs="宋体"/>
                <w:sz w:val="24"/>
                <w:szCs w:val="24"/>
              </w:rPr>
            </w:pPr>
            <w:r>
              <w:rPr>
                <w:rFonts w:hint="eastAsia" w:ascii="宋体" w:hAnsi="宋体" w:eastAsia="宋体"/>
              </w:rPr>
              <w:t>-0.09%</w:t>
            </w:r>
          </w:p>
        </w:tc>
      </w:tr>
      <w:tr w14:paraId="0814E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5B9713">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1D1F4EE1">
            <w:pPr>
              <w:jc w:val="center"/>
              <w:rPr>
                <w:rFonts w:ascii="宋体" w:hAnsi="宋体" w:eastAsia="宋体" w:cs="宋体"/>
                <w:sz w:val="24"/>
                <w:szCs w:val="24"/>
              </w:rPr>
            </w:pPr>
            <w:r>
              <w:rPr>
                <w:rFonts w:hint="eastAsia" w:ascii="宋体" w:hAnsi="宋体" w:eastAsia="宋体"/>
              </w:rPr>
              <w:t>-1.75%</w:t>
            </w:r>
          </w:p>
        </w:tc>
        <w:tc>
          <w:tcPr>
            <w:tcW w:w="0" w:type="auto"/>
            <w:shd w:val="clear" w:color="auto" w:fill="auto"/>
          </w:tcPr>
          <w:p w14:paraId="464BB251">
            <w:pPr>
              <w:jc w:val="center"/>
              <w:rPr>
                <w:rFonts w:ascii="宋体" w:hAnsi="宋体" w:eastAsia="宋体" w:cs="宋体"/>
                <w:sz w:val="24"/>
                <w:szCs w:val="24"/>
              </w:rPr>
            </w:pPr>
            <w:r>
              <w:rPr>
                <w:rFonts w:hint="eastAsia" w:ascii="宋体" w:hAnsi="宋体" w:eastAsia="宋体"/>
              </w:rPr>
              <w:t>0.21%</w:t>
            </w:r>
          </w:p>
        </w:tc>
        <w:tc>
          <w:tcPr>
            <w:tcW w:w="0" w:type="auto"/>
            <w:shd w:val="clear" w:color="auto" w:fill="auto"/>
          </w:tcPr>
          <w:p w14:paraId="45BEC9D2">
            <w:pPr>
              <w:jc w:val="center"/>
              <w:rPr>
                <w:rFonts w:ascii="宋体" w:hAnsi="宋体" w:eastAsia="宋体" w:cs="宋体"/>
                <w:sz w:val="24"/>
                <w:szCs w:val="24"/>
              </w:rPr>
            </w:pPr>
            <w:r>
              <w:rPr>
                <w:rFonts w:hint="eastAsia" w:ascii="宋体" w:hAnsi="宋体" w:eastAsia="宋体"/>
              </w:rPr>
              <w:t>1.25%</w:t>
            </w:r>
          </w:p>
        </w:tc>
        <w:tc>
          <w:tcPr>
            <w:tcW w:w="0" w:type="auto"/>
            <w:shd w:val="clear" w:color="auto" w:fill="auto"/>
          </w:tcPr>
          <w:p w14:paraId="71C29FD7">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14:paraId="0E2E5467">
            <w:pPr>
              <w:jc w:val="center"/>
              <w:rPr>
                <w:rFonts w:ascii="宋体" w:hAnsi="宋体" w:eastAsia="宋体" w:cs="宋体"/>
                <w:sz w:val="24"/>
                <w:szCs w:val="24"/>
              </w:rPr>
            </w:pPr>
            <w:r>
              <w:rPr>
                <w:rFonts w:hint="eastAsia" w:ascii="宋体" w:hAnsi="宋体" w:eastAsia="宋体"/>
              </w:rPr>
              <w:t>-3.00%</w:t>
            </w:r>
          </w:p>
        </w:tc>
        <w:tc>
          <w:tcPr>
            <w:tcW w:w="0" w:type="auto"/>
            <w:shd w:val="clear" w:color="auto" w:fill="auto"/>
          </w:tcPr>
          <w:p w14:paraId="75779B97">
            <w:pPr>
              <w:jc w:val="center"/>
              <w:rPr>
                <w:rFonts w:ascii="宋体" w:hAnsi="宋体" w:eastAsia="宋体" w:cs="宋体"/>
                <w:sz w:val="24"/>
                <w:szCs w:val="24"/>
              </w:rPr>
            </w:pPr>
            <w:r>
              <w:rPr>
                <w:rFonts w:hint="eastAsia" w:ascii="宋体" w:hAnsi="宋体" w:eastAsia="宋体"/>
              </w:rPr>
              <w:t>0.03%</w:t>
            </w:r>
          </w:p>
        </w:tc>
      </w:tr>
      <w:tr w14:paraId="110CB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A845AC">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13C0A822">
            <w:pPr>
              <w:jc w:val="center"/>
              <w:rPr>
                <w:rFonts w:ascii="宋体" w:hAnsi="宋体" w:eastAsia="宋体" w:cs="宋体"/>
                <w:sz w:val="24"/>
                <w:szCs w:val="24"/>
              </w:rPr>
            </w:pPr>
            <w:r>
              <w:rPr>
                <w:rFonts w:hint="eastAsia" w:ascii="宋体" w:hAnsi="宋体" w:eastAsia="宋体"/>
              </w:rPr>
              <w:t>4.11%</w:t>
            </w:r>
          </w:p>
        </w:tc>
        <w:tc>
          <w:tcPr>
            <w:tcW w:w="0" w:type="auto"/>
            <w:shd w:val="clear" w:color="auto" w:fill="auto"/>
          </w:tcPr>
          <w:p w14:paraId="555DF517">
            <w:pPr>
              <w:jc w:val="center"/>
              <w:rPr>
                <w:rFonts w:ascii="宋体" w:hAnsi="宋体" w:eastAsia="宋体" w:cs="宋体"/>
                <w:sz w:val="24"/>
                <w:szCs w:val="24"/>
              </w:rPr>
            </w:pPr>
            <w:r>
              <w:rPr>
                <w:rFonts w:hint="eastAsia" w:ascii="宋体" w:hAnsi="宋体" w:eastAsia="宋体"/>
              </w:rPr>
              <w:t>0.40%</w:t>
            </w:r>
          </w:p>
        </w:tc>
        <w:tc>
          <w:tcPr>
            <w:tcW w:w="0" w:type="auto"/>
            <w:shd w:val="clear" w:color="auto" w:fill="auto"/>
          </w:tcPr>
          <w:p w14:paraId="66143FB3">
            <w:pPr>
              <w:jc w:val="center"/>
              <w:rPr>
                <w:rFonts w:ascii="宋体" w:hAnsi="宋体" w:eastAsia="宋体" w:cs="宋体"/>
                <w:sz w:val="24"/>
                <w:szCs w:val="24"/>
              </w:rPr>
            </w:pPr>
            <w:r>
              <w:rPr>
                <w:rFonts w:hint="eastAsia" w:ascii="宋体" w:hAnsi="宋体" w:eastAsia="宋体"/>
              </w:rPr>
              <w:t>9.22%</w:t>
            </w:r>
          </w:p>
        </w:tc>
        <w:tc>
          <w:tcPr>
            <w:tcW w:w="0" w:type="auto"/>
            <w:shd w:val="clear" w:color="auto" w:fill="auto"/>
          </w:tcPr>
          <w:p w14:paraId="57C03F02">
            <w:pPr>
              <w:jc w:val="center"/>
              <w:rPr>
                <w:rFonts w:ascii="宋体" w:hAnsi="宋体" w:eastAsia="宋体" w:cs="宋体"/>
                <w:sz w:val="24"/>
                <w:szCs w:val="24"/>
              </w:rPr>
            </w:pPr>
            <w:r>
              <w:rPr>
                <w:rFonts w:hint="eastAsia" w:ascii="宋体" w:hAnsi="宋体" w:eastAsia="宋体"/>
              </w:rPr>
              <w:t>0.24%</w:t>
            </w:r>
          </w:p>
        </w:tc>
        <w:tc>
          <w:tcPr>
            <w:tcW w:w="0" w:type="auto"/>
            <w:shd w:val="clear" w:color="auto" w:fill="auto"/>
          </w:tcPr>
          <w:p w14:paraId="7B3DC4DF">
            <w:pPr>
              <w:jc w:val="center"/>
              <w:rPr>
                <w:rFonts w:ascii="宋体" w:hAnsi="宋体" w:eastAsia="宋体" w:cs="宋体"/>
                <w:sz w:val="24"/>
                <w:szCs w:val="24"/>
              </w:rPr>
            </w:pPr>
            <w:r>
              <w:rPr>
                <w:rFonts w:hint="eastAsia" w:ascii="宋体" w:hAnsi="宋体" w:eastAsia="宋体"/>
              </w:rPr>
              <w:t>-5.11%</w:t>
            </w:r>
          </w:p>
        </w:tc>
        <w:tc>
          <w:tcPr>
            <w:tcW w:w="0" w:type="auto"/>
            <w:shd w:val="clear" w:color="auto" w:fill="auto"/>
          </w:tcPr>
          <w:p w14:paraId="1FAC12EA">
            <w:pPr>
              <w:jc w:val="center"/>
              <w:rPr>
                <w:rFonts w:ascii="宋体" w:hAnsi="宋体" w:eastAsia="宋体" w:cs="宋体"/>
                <w:sz w:val="24"/>
                <w:szCs w:val="24"/>
              </w:rPr>
            </w:pPr>
            <w:r>
              <w:rPr>
                <w:rFonts w:hint="eastAsia" w:ascii="宋体" w:hAnsi="宋体" w:eastAsia="宋体"/>
              </w:rPr>
              <w:t>0.16%</w:t>
            </w:r>
          </w:p>
        </w:tc>
      </w:tr>
      <w:tr w14:paraId="36EE6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AEA861">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4912D961">
            <w:pPr>
              <w:jc w:val="center"/>
              <w:rPr>
                <w:rFonts w:ascii="宋体" w:hAnsi="宋体" w:eastAsia="宋体" w:cs="宋体"/>
                <w:sz w:val="24"/>
                <w:szCs w:val="24"/>
              </w:rPr>
            </w:pPr>
            <w:r>
              <w:rPr>
                <w:rFonts w:hint="eastAsia" w:ascii="宋体" w:hAnsi="宋体" w:eastAsia="宋体"/>
              </w:rPr>
              <w:t>0.26%</w:t>
            </w:r>
          </w:p>
        </w:tc>
        <w:tc>
          <w:tcPr>
            <w:tcW w:w="0" w:type="auto"/>
            <w:shd w:val="clear" w:color="auto" w:fill="auto"/>
          </w:tcPr>
          <w:p w14:paraId="2752BD6E">
            <w:pPr>
              <w:jc w:val="center"/>
              <w:rPr>
                <w:rFonts w:ascii="宋体" w:hAnsi="宋体" w:eastAsia="宋体" w:cs="宋体"/>
                <w:sz w:val="24"/>
                <w:szCs w:val="24"/>
              </w:rPr>
            </w:pPr>
            <w:r>
              <w:rPr>
                <w:rFonts w:hint="eastAsia" w:ascii="宋体" w:hAnsi="宋体" w:eastAsia="宋体"/>
              </w:rPr>
              <w:t>0.26%</w:t>
            </w:r>
          </w:p>
        </w:tc>
        <w:tc>
          <w:tcPr>
            <w:tcW w:w="0" w:type="auto"/>
            <w:shd w:val="clear" w:color="auto" w:fill="auto"/>
          </w:tcPr>
          <w:p w14:paraId="09CFA1A6">
            <w:pPr>
              <w:jc w:val="center"/>
              <w:rPr>
                <w:rFonts w:ascii="宋体" w:hAnsi="宋体" w:eastAsia="宋体" w:cs="宋体"/>
                <w:sz w:val="24"/>
                <w:szCs w:val="24"/>
              </w:rPr>
            </w:pPr>
            <w:r>
              <w:rPr>
                <w:rFonts w:hint="eastAsia" w:ascii="宋体" w:hAnsi="宋体" w:eastAsia="宋体"/>
              </w:rPr>
              <w:t>4.54%</w:t>
            </w:r>
          </w:p>
        </w:tc>
        <w:tc>
          <w:tcPr>
            <w:tcW w:w="0" w:type="auto"/>
            <w:shd w:val="clear" w:color="auto" w:fill="auto"/>
          </w:tcPr>
          <w:p w14:paraId="2891DA31">
            <w:pPr>
              <w:jc w:val="center"/>
              <w:rPr>
                <w:rFonts w:ascii="宋体" w:hAnsi="宋体" w:eastAsia="宋体" w:cs="宋体"/>
                <w:sz w:val="24"/>
                <w:szCs w:val="24"/>
              </w:rPr>
            </w:pPr>
            <w:r>
              <w:rPr>
                <w:rFonts w:hint="eastAsia" w:ascii="宋体" w:hAnsi="宋体" w:eastAsia="宋体"/>
              </w:rPr>
              <w:t>0.19%</w:t>
            </w:r>
          </w:p>
        </w:tc>
        <w:tc>
          <w:tcPr>
            <w:tcW w:w="0" w:type="auto"/>
            <w:shd w:val="clear" w:color="auto" w:fill="auto"/>
          </w:tcPr>
          <w:p w14:paraId="5BC9995B">
            <w:pPr>
              <w:jc w:val="center"/>
              <w:rPr>
                <w:rFonts w:ascii="宋体" w:hAnsi="宋体" w:eastAsia="宋体" w:cs="宋体"/>
                <w:sz w:val="24"/>
                <w:szCs w:val="24"/>
              </w:rPr>
            </w:pPr>
            <w:r>
              <w:rPr>
                <w:rFonts w:hint="eastAsia" w:ascii="宋体" w:hAnsi="宋体" w:eastAsia="宋体"/>
              </w:rPr>
              <w:t>-4.28%</w:t>
            </w:r>
          </w:p>
        </w:tc>
        <w:tc>
          <w:tcPr>
            <w:tcW w:w="0" w:type="auto"/>
            <w:shd w:val="clear" w:color="auto" w:fill="auto"/>
          </w:tcPr>
          <w:p w14:paraId="50DA7DD5">
            <w:pPr>
              <w:jc w:val="center"/>
              <w:rPr>
                <w:rFonts w:ascii="宋体" w:hAnsi="宋体" w:eastAsia="宋体" w:cs="宋体"/>
                <w:sz w:val="24"/>
                <w:szCs w:val="24"/>
              </w:rPr>
            </w:pPr>
            <w:r>
              <w:rPr>
                <w:rFonts w:hint="eastAsia" w:ascii="宋体" w:hAnsi="宋体" w:eastAsia="宋体"/>
              </w:rPr>
              <w:t>0.07%</w:t>
            </w:r>
          </w:p>
        </w:tc>
      </w:tr>
      <w:tr w14:paraId="73B4D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4F3BBB">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55BA2F76">
            <w:pPr>
              <w:jc w:val="center"/>
              <w:rPr>
                <w:rFonts w:ascii="宋体" w:hAnsi="宋体" w:eastAsia="宋体" w:cs="宋体"/>
                <w:sz w:val="24"/>
                <w:szCs w:val="24"/>
              </w:rPr>
            </w:pPr>
            <w:r>
              <w:rPr>
                <w:rFonts w:hint="eastAsia" w:ascii="宋体" w:hAnsi="宋体" w:eastAsia="宋体"/>
              </w:rPr>
              <w:t>-1.22%</w:t>
            </w:r>
          </w:p>
        </w:tc>
        <w:tc>
          <w:tcPr>
            <w:tcW w:w="0" w:type="auto"/>
            <w:shd w:val="clear" w:color="auto" w:fill="auto"/>
          </w:tcPr>
          <w:p w14:paraId="68688354">
            <w:pPr>
              <w:jc w:val="center"/>
              <w:rPr>
                <w:rFonts w:ascii="宋体" w:hAnsi="宋体" w:eastAsia="宋体" w:cs="宋体"/>
                <w:sz w:val="24"/>
                <w:szCs w:val="24"/>
              </w:rPr>
            </w:pPr>
            <w:r>
              <w:rPr>
                <w:rFonts w:hint="eastAsia" w:ascii="宋体" w:hAnsi="宋体" w:eastAsia="宋体"/>
              </w:rPr>
              <w:t>0.30%</w:t>
            </w:r>
          </w:p>
        </w:tc>
        <w:tc>
          <w:tcPr>
            <w:tcW w:w="0" w:type="auto"/>
            <w:shd w:val="clear" w:color="auto" w:fill="auto"/>
          </w:tcPr>
          <w:p w14:paraId="12721A65">
            <w:pPr>
              <w:jc w:val="center"/>
              <w:rPr>
                <w:rFonts w:ascii="宋体" w:hAnsi="宋体" w:eastAsia="宋体" w:cs="宋体"/>
                <w:sz w:val="24"/>
                <w:szCs w:val="24"/>
              </w:rPr>
            </w:pPr>
            <w:r>
              <w:rPr>
                <w:rFonts w:hint="eastAsia" w:ascii="宋体" w:hAnsi="宋体" w:eastAsia="宋体"/>
              </w:rPr>
              <w:t>1.90%</w:t>
            </w:r>
          </w:p>
        </w:tc>
        <w:tc>
          <w:tcPr>
            <w:tcW w:w="0" w:type="auto"/>
            <w:shd w:val="clear" w:color="auto" w:fill="auto"/>
          </w:tcPr>
          <w:p w14:paraId="0C1980CE">
            <w:pPr>
              <w:jc w:val="center"/>
              <w:rPr>
                <w:rFonts w:ascii="宋体" w:hAnsi="宋体" w:eastAsia="宋体" w:cs="宋体"/>
                <w:sz w:val="24"/>
                <w:szCs w:val="24"/>
              </w:rPr>
            </w:pPr>
            <w:r>
              <w:rPr>
                <w:rFonts w:hint="eastAsia" w:ascii="宋体" w:hAnsi="宋体" w:eastAsia="宋体"/>
              </w:rPr>
              <w:t>0.22%</w:t>
            </w:r>
          </w:p>
        </w:tc>
        <w:tc>
          <w:tcPr>
            <w:tcW w:w="0" w:type="auto"/>
            <w:shd w:val="clear" w:color="auto" w:fill="auto"/>
          </w:tcPr>
          <w:p w14:paraId="0D43F209">
            <w:pPr>
              <w:jc w:val="center"/>
              <w:rPr>
                <w:rFonts w:ascii="宋体" w:hAnsi="宋体" w:eastAsia="宋体" w:cs="宋体"/>
                <w:sz w:val="24"/>
                <w:szCs w:val="24"/>
              </w:rPr>
            </w:pPr>
            <w:r>
              <w:rPr>
                <w:rFonts w:hint="eastAsia" w:ascii="宋体" w:hAnsi="宋体" w:eastAsia="宋体"/>
              </w:rPr>
              <w:t>-3.12%</w:t>
            </w:r>
          </w:p>
        </w:tc>
        <w:tc>
          <w:tcPr>
            <w:tcW w:w="0" w:type="auto"/>
            <w:shd w:val="clear" w:color="auto" w:fill="auto"/>
          </w:tcPr>
          <w:p w14:paraId="3F4CB9F7">
            <w:pPr>
              <w:jc w:val="center"/>
              <w:rPr>
                <w:rFonts w:ascii="宋体" w:hAnsi="宋体" w:eastAsia="宋体" w:cs="宋体"/>
                <w:sz w:val="24"/>
                <w:szCs w:val="24"/>
              </w:rPr>
            </w:pPr>
            <w:r>
              <w:rPr>
                <w:rFonts w:hint="eastAsia" w:ascii="宋体" w:hAnsi="宋体" w:eastAsia="宋体"/>
              </w:rPr>
              <w:t>0.08%</w:t>
            </w:r>
          </w:p>
        </w:tc>
      </w:tr>
      <w:tr w14:paraId="3F39F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7B837F">
            <w:pPr>
              <w:jc w:val="center"/>
              <w:rPr>
                <w:rFonts w:ascii="宋体" w:hAnsi="宋体" w:eastAsia="宋体" w:cs="宋体"/>
                <w:sz w:val="24"/>
                <w:szCs w:val="24"/>
              </w:rPr>
            </w:pPr>
            <w:r>
              <w:rPr>
                <w:rFonts w:hint="eastAsia" w:ascii="宋体" w:hAnsi="宋体" w:eastAsia="宋体"/>
              </w:rPr>
              <w:t>2020.05.18-2026.06.30</w:t>
            </w:r>
          </w:p>
        </w:tc>
        <w:tc>
          <w:tcPr>
            <w:tcW w:w="0" w:type="auto"/>
            <w:shd w:val="clear" w:color="auto" w:fill="auto"/>
          </w:tcPr>
          <w:p w14:paraId="79845F56">
            <w:pPr>
              <w:jc w:val="center"/>
              <w:rPr>
                <w:rFonts w:ascii="宋体" w:hAnsi="宋体" w:eastAsia="宋体" w:cs="宋体"/>
                <w:sz w:val="24"/>
                <w:szCs w:val="24"/>
              </w:rPr>
            </w:pPr>
            <w:r>
              <w:rPr>
                <w:rFonts w:hint="eastAsia" w:ascii="宋体" w:hAnsi="宋体" w:eastAsia="宋体"/>
              </w:rPr>
              <w:t>-2.82%</w:t>
            </w:r>
          </w:p>
        </w:tc>
        <w:tc>
          <w:tcPr>
            <w:tcW w:w="0" w:type="auto"/>
            <w:shd w:val="clear" w:color="auto" w:fill="auto"/>
          </w:tcPr>
          <w:p w14:paraId="084E4106">
            <w:pPr>
              <w:jc w:val="center"/>
              <w:rPr>
                <w:rFonts w:ascii="宋体" w:hAnsi="宋体" w:eastAsia="宋体" w:cs="宋体"/>
                <w:sz w:val="24"/>
                <w:szCs w:val="24"/>
              </w:rPr>
            </w:pPr>
            <w:r>
              <w:rPr>
                <w:rFonts w:hint="eastAsia" w:ascii="宋体" w:hAnsi="宋体" w:eastAsia="宋体"/>
              </w:rPr>
              <w:t>0.31%</w:t>
            </w:r>
          </w:p>
        </w:tc>
        <w:tc>
          <w:tcPr>
            <w:tcW w:w="0" w:type="auto"/>
            <w:shd w:val="clear" w:color="auto" w:fill="auto"/>
          </w:tcPr>
          <w:p w14:paraId="35112549">
            <w:pPr>
              <w:jc w:val="center"/>
              <w:rPr>
                <w:rFonts w:ascii="宋体" w:hAnsi="宋体" w:eastAsia="宋体" w:cs="宋体"/>
                <w:sz w:val="24"/>
                <w:szCs w:val="24"/>
              </w:rPr>
            </w:pPr>
            <w:r>
              <w:rPr>
                <w:rFonts w:hint="eastAsia" w:ascii="宋体" w:hAnsi="宋体" w:eastAsia="宋体"/>
              </w:rPr>
              <w:t>24.95%</w:t>
            </w:r>
          </w:p>
        </w:tc>
        <w:tc>
          <w:tcPr>
            <w:tcW w:w="0" w:type="auto"/>
            <w:shd w:val="clear" w:color="auto" w:fill="auto"/>
          </w:tcPr>
          <w:p w14:paraId="71EDA370">
            <w:pPr>
              <w:jc w:val="center"/>
              <w:rPr>
                <w:rFonts w:ascii="宋体" w:hAnsi="宋体" w:eastAsia="宋体" w:cs="宋体"/>
                <w:sz w:val="24"/>
                <w:szCs w:val="24"/>
              </w:rPr>
            </w:pPr>
            <w:r>
              <w:rPr>
                <w:rFonts w:hint="eastAsia" w:ascii="宋体" w:hAnsi="宋体" w:eastAsia="宋体"/>
              </w:rPr>
              <w:t>0.22%</w:t>
            </w:r>
          </w:p>
        </w:tc>
        <w:tc>
          <w:tcPr>
            <w:tcW w:w="0" w:type="auto"/>
            <w:shd w:val="clear" w:color="auto" w:fill="auto"/>
          </w:tcPr>
          <w:p w14:paraId="547A85B2">
            <w:pPr>
              <w:jc w:val="center"/>
              <w:rPr>
                <w:rFonts w:ascii="宋体" w:hAnsi="宋体" w:eastAsia="宋体" w:cs="宋体"/>
                <w:sz w:val="24"/>
                <w:szCs w:val="24"/>
              </w:rPr>
            </w:pPr>
            <w:r>
              <w:rPr>
                <w:rFonts w:hint="eastAsia" w:ascii="宋体" w:hAnsi="宋体" w:eastAsia="宋体"/>
              </w:rPr>
              <w:t>-27.77%</w:t>
            </w:r>
          </w:p>
        </w:tc>
        <w:tc>
          <w:tcPr>
            <w:tcW w:w="0" w:type="auto"/>
            <w:shd w:val="clear" w:color="auto" w:fill="auto"/>
          </w:tcPr>
          <w:p w14:paraId="3E4D197D">
            <w:pPr>
              <w:jc w:val="center"/>
              <w:rPr>
                <w:rFonts w:ascii="宋体" w:hAnsi="宋体" w:eastAsia="宋体" w:cs="宋体"/>
                <w:sz w:val="24"/>
                <w:szCs w:val="24"/>
              </w:rPr>
            </w:pPr>
            <w:r>
              <w:rPr>
                <w:rFonts w:hint="eastAsia" w:ascii="宋体" w:hAnsi="宋体" w:eastAsia="宋体"/>
              </w:rPr>
              <w:t>0.09%</w:t>
            </w:r>
          </w:p>
        </w:tc>
      </w:tr>
    </w:tbl>
    <w:p w14:paraId="0DD5F483">
      <w:pPr>
        <w:pStyle w:val="7"/>
        <w:spacing w:before="0" w:beforeAutospacing="0" w:after="0" w:afterAutospacing="0" w:line="360" w:lineRule="auto"/>
        <w:ind w:firstLine="420"/>
        <w:rPr>
          <w:sz w:val="21"/>
          <w:szCs w:val="21"/>
        </w:rPr>
      </w:pPr>
      <w:r>
        <w:rPr>
          <w:rFonts w:hint="eastAsia"/>
          <w:sz w:val="21"/>
          <w:szCs w:val="21"/>
        </w:rPr>
        <w:t>博时恒裕持有期混合C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71"/>
        <w:gridCol w:w="1012"/>
        <w:gridCol w:w="1137"/>
        <w:gridCol w:w="1178"/>
        <w:gridCol w:w="951"/>
        <w:gridCol w:w="846"/>
      </w:tblGrid>
      <w:tr w14:paraId="039EF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AD07DA">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13D1F139">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7F216D61">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478AE7D6">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0DA82DA4">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64655115">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3F6D900D">
            <w:pPr>
              <w:jc w:val="center"/>
              <w:rPr>
                <w:rFonts w:ascii="宋体" w:hAnsi="宋体" w:eastAsia="宋体" w:cs="宋体"/>
                <w:sz w:val="24"/>
                <w:szCs w:val="24"/>
              </w:rPr>
            </w:pPr>
            <w:r>
              <w:rPr>
                <w:rFonts w:hint="eastAsia" w:ascii="宋体" w:hAnsi="宋体" w:eastAsia="宋体"/>
              </w:rPr>
              <w:t>②-④</w:t>
            </w:r>
          </w:p>
        </w:tc>
      </w:tr>
      <w:tr w14:paraId="245BE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ED4D45">
            <w:pPr>
              <w:jc w:val="center"/>
              <w:rPr>
                <w:rFonts w:ascii="宋体" w:hAnsi="宋体" w:eastAsia="宋体" w:cs="宋体"/>
                <w:sz w:val="24"/>
                <w:szCs w:val="24"/>
              </w:rPr>
            </w:pPr>
            <w:r>
              <w:rPr>
                <w:rFonts w:hint="eastAsia" w:ascii="宋体" w:hAnsi="宋体" w:eastAsia="宋体"/>
              </w:rPr>
              <w:t>2020.05.18-2020.12.31</w:t>
            </w:r>
          </w:p>
        </w:tc>
        <w:tc>
          <w:tcPr>
            <w:tcW w:w="0" w:type="auto"/>
            <w:shd w:val="clear" w:color="auto" w:fill="auto"/>
          </w:tcPr>
          <w:p w14:paraId="37200602">
            <w:pPr>
              <w:jc w:val="center"/>
              <w:rPr>
                <w:rFonts w:ascii="宋体" w:hAnsi="宋体" w:eastAsia="宋体" w:cs="宋体"/>
                <w:sz w:val="24"/>
                <w:szCs w:val="24"/>
              </w:rPr>
            </w:pPr>
            <w:r>
              <w:rPr>
                <w:rFonts w:hint="eastAsia" w:ascii="宋体" w:hAnsi="宋体" w:eastAsia="宋体"/>
              </w:rPr>
              <w:t>3.92%</w:t>
            </w:r>
          </w:p>
        </w:tc>
        <w:tc>
          <w:tcPr>
            <w:tcW w:w="0" w:type="auto"/>
            <w:shd w:val="clear" w:color="auto" w:fill="auto"/>
          </w:tcPr>
          <w:p w14:paraId="16F99E16">
            <w:pPr>
              <w:jc w:val="center"/>
              <w:rPr>
                <w:rFonts w:ascii="宋体" w:hAnsi="宋体" w:eastAsia="宋体" w:cs="宋体"/>
                <w:sz w:val="24"/>
                <w:szCs w:val="24"/>
              </w:rPr>
            </w:pPr>
            <w:r>
              <w:rPr>
                <w:rFonts w:hint="eastAsia" w:ascii="宋体" w:hAnsi="宋体" w:eastAsia="宋体"/>
              </w:rPr>
              <w:t>0.14%</w:t>
            </w:r>
          </w:p>
        </w:tc>
        <w:tc>
          <w:tcPr>
            <w:tcW w:w="0" w:type="auto"/>
            <w:shd w:val="clear" w:color="auto" w:fill="auto"/>
          </w:tcPr>
          <w:p w14:paraId="287D20A3">
            <w:pPr>
              <w:jc w:val="center"/>
              <w:rPr>
                <w:rFonts w:ascii="宋体" w:hAnsi="宋体" w:eastAsia="宋体" w:cs="宋体"/>
                <w:sz w:val="24"/>
                <w:szCs w:val="24"/>
              </w:rPr>
            </w:pPr>
            <w:r>
              <w:rPr>
                <w:rFonts w:hint="eastAsia" w:ascii="宋体" w:hAnsi="宋体" w:eastAsia="宋体"/>
              </w:rPr>
              <w:t>5.50%</w:t>
            </w:r>
          </w:p>
        </w:tc>
        <w:tc>
          <w:tcPr>
            <w:tcW w:w="0" w:type="auto"/>
            <w:shd w:val="clear" w:color="auto" w:fill="auto"/>
          </w:tcPr>
          <w:p w14:paraId="06258BD6">
            <w:pPr>
              <w:jc w:val="center"/>
              <w:rPr>
                <w:rFonts w:ascii="宋体" w:hAnsi="宋体" w:eastAsia="宋体" w:cs="宋体"/>
                <w:sz w:val="24"/>
                <w:szCs w:val="24"/>
              </w:rPr>
            </w:pPr>
            <w:r>
              <w:rPr>
                <w:rFonts w:hint="eastAsia" w:ascii="宋体" w:hAnsi="宋体" w:eastAsia="宋体"/>
              </w:rPr>
              <w:t>0.23%</w:t>
            </w:r>
          </w:p>
        </w:tc>
        <w:tc>
          <w:tcPr>
            <w:tcW w:w="0" w:type="auto"/>
            <w:shd w:val="clear" w:color="auto" w:fill="auto"/>
          </w:tcPr>
          <w:p w14:paraId="625656FE">
            <w:pPr>
              <w:jc w:val="center"/>
              <w:rPr>
                <w:rFonts w:ascii="宋体" w:hAnsi="宋体" w:eastAsia="宋体" w:cs="宋体"/>
                <w:sz w:val="24"/>
                <w:szCs w:val="24"/>
              </w:rPr>
            </w:pPr>
            <w:r>
              <w:rPr>
                <w:rFonts w:hint="eastAsia" w:ascii="宋体" w:hAnsi="宋体" w:eastAsia="宋体"/>
              </w:rPr>
              <w:t>-1.58%</w:t>
            </w:r>
          </w:p>
        </w:tc>
        <w:tc>
          <w:tcPr>
            <w:tcW w:w="0" w:type="auto"/>
            <w:shd w:val="clear" w:color="auto" w:fill="auto"/>
          </w:tcPr>
          <w:p w14:paraId="6811119B">
            <w:pPr>
              <w:jc w:val="center"/>
              <w:rPr>
                <w:rFonts w:ascii="宋体" w:hAnsi="宋体" w:eastAsia="宋体" w:cs="宋体"/>
                <w:sz w:val="24"/>
                <w:szCs w:val="24"/>
              </w:rPr>
            </w:pPr>
            <w:r>
              <w:rPr>
                <w:rFonts w:hint="eastAsia" w:ascii="宋体" w:hAnsi="宋体" w:eastAsia="宋体"/>
              </w:rPr>
              <w:t>-0.09%</w:t>
            </w:r>
          </w:p>
        </w:tc>
      </w:tr>
      <w:tr w14:paraId="4DE15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B06D37">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6C27A748">
            <w:pPr>
              <w:jc w:val="center"/>
              <w:rPr>
                <w:rFonts w:ascii="宋体" w:hAnsi="宋体" w:eastAsia="宋体" w:cs="宋体"/>
                <w:sz w:val="24"/>
                <w:szCs w:val="24"/>
              </w:rPr>
            </w:pPr>
            <w:r>
              <w:rPr>
                <w:rFonts w:hint="eastAsia" w:ascii="宋体" w:hAnsi="宋体" w:eastAsia="宋体"/>
              </w:rPr>
              <w:t>-4.69%</w:t>
            </w:r>
          </w:p>
        </w:tc>
        <w:tc>
          <w:tcPr>
            <w:tcW w:w="0" w:type="auto"/>
            <w:shd w:val="clear" w:color="auto" w:fill="auto"/>
          </w:tcPr>
          <w:p w14:paraId="00FF8F09">
            <w:pPr>
              <w:jc w:val="center"/>
              <w:rPr>
                <w:rFonts w:ascii="宋体" w:hAnsi="宋体" w:eastAsia="宋体" w:cs="宋体"/>
                <w:sz w:val="24"/>
                <w:szCs w:val="24"/>
              </w:rPr>
            </w:pPr>
            <w:r>
              <w:rPr>
                <w:rFonts w:hint="eastAsia" w:ascii="宋体" w:hAnsi="宋体" w:eastAsia="宋体"/>
              </w:rPr>
              <w:t>0.48%</w:t>
            </w:r>
          </w:p>
        </w:tc>
        <w:tc>
          <w:tcPr>
            <w:tcW w:w="0" w:type="auto"/>
            <w:shd w:val="clear" w:color="auto" w:fill="auto"/>
          </w:tcPr>
          <w:p w14:paraId="65DDF0B3">
            <w:pPr>
              <w:jc w:val="center"/>
              <w:rPr>
                <w:rFonts w:ascii="宋体" w:hAnsi="宋体" w:eastAsia="宋体" w:cs="宋体"/>
                <w:sz w:val="24"/>
                <w:szCs w:val="24"/>
              </w:rPr>
            </w:pPr>
            <w:r>
              <w:rPr>
                <w:rFonts w:hint="eastAsia" w:ascii="宋体" w:hAnsi="宋体" w:eastAsia="宋体"/>
              </w:rPr>
              <w:t>2.28%</w:t>
            </w:r>
          </w:p>
        </w:tc>
        <w:tc>
          <w:tcPr>
            <w:tcW w:w="0" w:type="auto"/>
            <w:shd w:val="clear" w:color="auto" w:fill="auto"/>
          </w:tcPr>
          <w:p w14:paraId="044EA168">
            <w:pPr>
              <w:jc w:val="center"/>
              <w:rPr>
                <w:rFonts w:ascii="宋体" w:hAnsi="宋体" w:eastAsia="宋体" w:cs="宋体"/>
                <w:sz w:val="24"/>
                <w:szCs w:val="24"/>
              </w:rPr>
            </w:pPr>
            <w:r>
              <w:rPr>
                <w:rFonts w:hint="eastAsia" w:ascii="宋体" w:hAnsi="宋体" w:eastAsia="宋体"/>
              </w:rPr>
              <w:t>0.23%</w:t>
            </w:r>
          </w:p>
        </w:tc>
        <w:tc>
          <w:tcPr>
            <w:tcW w:w="0" w:type="auto"/>
            <w:shd w:val="clear" w:color="auto" w:fill="auto"/>
          </w:tcPr>
          <w:p w14:paraId="1CB0061D">
            <w:pPr>
              <w:jc w:val="center"/>
              <w:rPr>
                <w:rFonts w:ascii="宋体" w:hAnsi="宋体" w:eastAsia="宋体" w:cs="宋体"/>
                <w:sz w:val="24"/>
                <w:szCs w:val="24"/>
              </w:rPr>
            </w:pPr>
            <w:r>
              <w:rPr>
                <w:rFonts w:hint="eastAsia" w:ascii="宋体" w:hAnsi="宋体" w:eastAsia="宋体"/>
              </w:rPr>
              <w:t>-6.97%</w:t>
            </w:r>
          </w:p>
        </w:tc>
        <w:tc>
          <w:tcPr>
            <w:tcW w:w="0" w:type="auto"/>
            <w:shd w:val="clear" w:color="auto" w:fill="auto"/>
          </w:tcPr>
          <w:p w14:paraId="1AF7BA1D">
            <w:pPr>
              <w:jc w:val="center"/>
              <w:rPr>
                <w:rFonts w:ascii="宋体" w:hAnsi="宋体" w:eastAsia="宋体" w:cs="宋体"/>
                <w:sz w:val="24"/>
                <w:szCs w:val="24"/>
              </w:rPr>
            </w:pPr>
            <w:r>
              <w:rPr>
                <w:rFonts w:hint="eastAsia" w:ascii="宋体" w:hAnsi="宋体" w:eastAsia="宋体"/>
              </w:rPr>
              <w:t>0.25%</w:t>
            </w:r>
          </w:p>
        </w:tc>
      </w:tr>
      <w:tr w14:paraId="2C6A6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A57B2D">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20BE264A">
            <w:pPr>
              <w:jc w:val="center"/>
              <w:rPr>
                <w:rFonts w:ascii="宋体" w:hAnsi="宋体" w:eastAsia="宋体" w:cs="宋体"/>
                <w:sz w:val="24"/>
                <w:szCs w:val="24"/>
              </w:rPr>
            </w:pPr>
            <w:r>
              <w:rPr>
                <w:rFonts w:hint="eastAsia" w:ascii="宋体" w:hAnsi="宋体" w:eastAsia="宋体"/>
              </w:rPr>
              <w:t>-4.29%</w:t>
            </w:r>
          </w:p>
        </w:tc>
        <w:tc>
          <w:tcPr>
            <w:tcW w:w="0" w:type="auto"/>
            <w:shd w:val="clear" w:color="auto" w:fill="auto"/>
          </w:tcPr>
          <w:p w14:paraId="087B099E">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14:paraId="00B4DF26">
            <w:pPr>
              <w:jc w:val="center"/>
              <w:rPr>
                <w:rFonts w:ascii="宋体" w:hAnsi="宋体" w:eastAsia="宋体" w:cs="宋体"/>
                <w:sz w:val="24"/>
                <w:szCs w:val="24"/>
              </w:rPr>
            </w:pPr>
            <w:r>
              <w:rPr>
                <w:rFonts w:hint="eastAsia" w:ascii="宋体" w:hAnsi="宋体" w:eastAsia="宋体"/>
              </w:rPr>
              <w:t>-1.29%</w:t>
            </w:r>
          </w:p>
        </w:tc>
        <w:tc>
          <w:tcPr>
            <w:tcW w:w="0" w:type="auto"/>
            <w:shd w:val="clear" w:color="auto" w:fill="auto"/>
          </w:tcPr>
          <w:p w14:paraId="75539F4C">
            <w:pPr>
              <w:jc w:val="center"/>
              <w:rPr>
                <w:rFonts w:ascii="宋体" w:hAnsi="宋体" w:eastAsia="宋体" w:cs="宋体"/>
                <w:sz w:val="24"/>
                <w:szCs w:val="24"/>
              </w:rPr>
            </w:pPr>
            <w:r>
              <w:rPr>
                <w:rFonts w:hint="eastAsia" w:ascii="宋体" w:hAnsi="宋体" w:eastAsia="宋体"/>
              </w:rPr>
              <w:t>0.27%</w:t>
            </w:r>
          </w:p>
        </w:tc>
        <w:tc>
          <w:tcPr>
            <w:tcW w:w="0" w:type="auto"/>
            <w:shd w:val="clear" w:color="auto" w:fill="auto"/>
          </w:tcPr>
          <w:p w14:paraId="5570E4F8">
            <w:pPr>
              <w:jc w:val="center"/>
              <w:rPr>
                <w:rFonts w:ascii="宋体" w:hAnsi="宋体" w:eastAsia="宋体" w:cs="宋体"/>
                <w:sz w:val="24"/>
                <w:szCs w:val="24"/>
              </w:rPr>
            </w:pPr>
            <w:r>
              <w:rPr>
                <w:rFonts w:hint="eastAsia" w:ascii="宋体" w:hAnsi="宋体" w:eastAsia="宋体"/>
              </w:rPr>
              <w:t>-3.00%</w:t>
            </w:r>
          </w:p>
        </w:tc>
        <w:tc>
          <w:tcPr>
            <w:tcW w:w="0" w:type="auto"/>
            <w:shd w:val="clear" w:color="auto" w:fill="auto"/>
          </w:tcPr>
          <w:p w14:paraId="5AF23956">
            <w:pPr>
              <w:jc w:val="center"/>
              <w:rPr>
                <w:rFonts w:ascii="宋体" w:hAnsi="宋体" w:eastAsia="宋体" w:cs="宋体"/>
                <w:sz w:val="24"/>
                <w:szCs w:val="24"/>
              </w:rPr>
            </w:pPr>
            <w:r>
              <w:rPr>
                <w:rFonts w:hint="eastAsia" w:ascii="宋体" w:hAnsi="宋体" w:eastAsia="宋体"/>
              </w:rPr>
              <w:t>-0.09%</w:t>
            </w:r>
          </w:p>
        </w:tc>
      </w:tr>
      <w:tr w14:paraId="22CB7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BBEF44">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534A1786">
            <w:pPr>
              <w:jc w:val="center"/>
              <w:rPr>
                <w:rFonts w:ascii="宋体" w:hAnsi="宋体" w:eastAsia="宋体" w:cs="宋体"/>
                <w:sz w:val="24"/>
                <w:szCs w:val="24"/>
              </w:rPr>
            </w:pPr>
            <w:r>
              <w:rPr>
                <w:rFonts w:hint="eastAsia" w:ascii="宋体" w:hAnsi="宋体" w:eastAsia="宋体"/>
              </w:rPr>
              <w:t>-2.18%</w:t>
            </w:r>
          </w:p>
        </w:tc>
        <w:tc>
          <w:tcPr>
            <w:tcW w:w="0" w:type="auto"/>
            <w:shd w:val="clear" w:color="auto" w:fill="auto"/>
          </w:tcPr>
          <w:p w14:paraId="18716CB1">
            <w:pPr>
              <w:jc w:val="center"/>
              <w:rPr>
                <w:rFonts w:ascii="宋体" w:hAnsi="宋体" w:eastAsia="宋体" w:cs="宋体"/>
                <w:sz w:val="24"/>
                <w:szCs w:val="24"/>
              </w:rPr>
            </w:pPr>
            <w:r>
              <w:rPr>
                <w:rFonts w:hint="eastAsia" w:ascii="宋体" w:hAnsi="宋体" w:eastAsia="宋体"/>
              </w:rPr>
              <w:t>0.21%</w:t>
            </w:r>
          </w:p>
        </w:tc>
        <w:tc>
          <w:tcPr>
            <w:tcW w:w="0" w:type="auto"/>
            <w:shd w:val="clear" w:color="auto" w:fill="auto"/>
          </w:tcPr>
          <w:p w14:paraId="7B195065">
            <w:pPr>
              <w:jc w:val="center"/>
              <w:rPr>
                <w:rFonts w:ascii="宋体" w:hAnsi="宋体" w:eastAsia="宋体" w:cs="宋体"/>
                <w:sz w:val="24"/>
                <w:szCs w:val="24"/>
              </w:rPr>
            </w:pPr>
            <w:r>
              <w:rPr>
                <w:rFonts w:hint="eastAsia" w:ascii="宋体" w:hAnsi="宋体" w:eastAsia="宋体"/>
              </w:rPr>
              <w:t>1.25%</w:t>
            </w:r>
          </w:p>
        </w:tc>
        <w:tc>
          <w:tcPr>
            <w:tcW w:w="0" w:type="auto"/>
            <w:shd w:val="clear" w:color="auto" w:fill="auto"/>
          </w:tcPr>
          <w:p w14:paraId="66FD5C61">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14:paraId="55951EF3">
            <w:pPr>
              <w:jc w:val="center"/>
              <w:rPr>
                <w:rFonts w:ascii="宋体" w:hAnsi="宋体" w:eastAsia="宋体" w:cs="宋体"/>
                <w:sz w:val="24"/>
                <w:szCs w:val="24"/>
              </w:rPr>
            </w:pPr>
            <w:r>
              <w:rPr>
                <w:rFonts w:hint="eastAsia" w:ascii="宋体" w:hAnsi="宋体" w:eastAsia="宋体"/>
              </w:rPr>
              <w:t>-3.43%</w:t>
            </w:r>
          </w:p>
        </w:tc>
        <w:tc>
          <w:tcPr>
            <w:tcW w:w="0" w:type="auto"/>
            <w:shd w:val="clear" w:color="auto" w:fill="auto"/>
          </w:tcPr>
          <w:p w14:paraId="04A3155C">
            <w:pPr>
              <w:jc w:val="center"/>
              <w:rPr>
                <w:rFonts w:ascii="宋体" w:hAnsi="宋体" w:eastAsia="宋体" w:cs="宋体"/>
                <w:sz w:val="24"/>
                <w:szCs w:val="24"/>
              </w:rPr>
            </w:pPr>
            <w:r>
              <w:rPr>
                <w:rFonts w:hint="eastAsia" w:ascii="宋体" w:hAnsi="宋体" w:eastAsia="宋体"/>
              </w:rPr>
              <w:t>0.03%</w:t>
            </w:r>
          </w:p>
        </w:tc>
      </w:tr>
      <w:tr w14:paraId="207C7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6D31AC">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73EA5D50">
            <w:pPr>
              <w:jc w:val="center"/>
              <w:rPr>
                <w:rFonts w:ascii="宋体" w:hAnsi="宋体" w:eastAsia="宋体" w:cs="宋体"/>
                <w:sz w:val="24"/>
                <w:szCs w:val="24"/>
              </w:rPr>
            </w:pPr>
            <w:r>
              <w:rPr>
                <w:rFonts w:hint="eastAsia" w:ascii="宋体" w:hAnsi="宋体" w:eastAsia="宋体"/>
              </w:rPr>
              <w:t>3.62%</w:t>
            </w:r>
          </w:p>
        </w:tc>
        <w:tc>
          <w:tcPr>
            <w:tcW w:w="0" w:type="auto"/>
            <w:shd w:val="clear" w:color="auto" w:fill="auto"/>
          </w:tcPr>
          <w:p w14:paraId="746D1DC4">
            <w:pPr>
              <w:jc w:val="center"/>
              <w:rPr>
                <w:rFonts w:ascii="宋体" w:hAnsi="宋体" w:eastAsia="宋体" w:cs="宋体"/>
                <w:sz w:val="24"/>
                <w:szCs w:val="24"/>
              </w:rPr>
            </w:pPr>
            <w:r>
              <w:rPr>
                <w:rFonts w:hint="eastAsia" w:ascii="宋体" w:hAnsi="宋体" w:eastAsia="宋体"/>
              </w:rPr>
              <w:t>0.40%</w:t>
            </w:r>
          </w:p>
        </w:tc>
        <w:tc>
          <w:tcPr>
            <w:tcW w:w="0" w:type="auto"/>
            <w:shd w:val="clear" w:color="auto" w:fill="auto"/>
          </w:tcPr>
          <w:p w14:paraId="65E8DA8A">
            <w:pPr>
              <w:jc w:val="center"/>
              <w:rPr>
                <w:rFonts w:ascii="宋体" w:hAnsi="宋体" w:eastAsia="宋体" w:cs="宋体"/>
                <w:sz w:val="24"/>
                <w:szCs w:val="24"/>
              </w:rPr>
            </w:pPr>
            <w:r>
              <w:rPr>
                <w:rFonts w:hint="eastAsia" w:ascii="宋体" w:hAnsi="宋体" w:eastAsia="宋体"/>
              </w:rPr>
              <w:t>9.22%</w:t>
            </w:r>
          </w:p>
        </w:tc>
        <w:tc>
          <w:tcPr>
            <w:tcW w:w="0" w:type="auto"/>
            <w:shd w:val="clear" w:color="auto" w:fill="auto"/>
          </w:tcPr>
          <w:p w14:paraId="740F4A3C">
            <w:pPr>
              <w:jc w:val="center"/>
              <w:rPr>
                <w:rFonts w:ascii="宋体" w:hAnsi="宋体" w:eastAsia="宋体" w:cs="宋体"/>
                <w:sz w:val="24"/>
                <w:szCs w:val="24"/>
              </w:rPr>
            </w:pPr>
            <w:r>
              <w:rPr>
                <w:rFonts w:hint="eastAsia" w:ascii="宋体" w:hAnsi="宋体" w:eastAsia="宋体"/>
              </w:rPr>
              <w:t>0.24%</w:t>
            </w:r>
          </w:p>
        </w:tc>
        <w:tc>
          <w:tcPr>
            <w:tcW w:w="0" w:type="auto"/>
            <w:shd w:val="clear" w:color="auto" w:fill="auto"/>
          </w:tcPr>
          <w:p w14:paraId="4B1BAD50">
            <w:pPr>
              <w:jc w:val="center"/>
              <w:rPr>
                <w:rFonts w:ascii="宋体" w:hAnsi="宋体" w:eastAsia="宋体" w:cs="宋体"/>
                <w:sz w:val="24"/>
                <w:szCs w:val="24"/>
              </w:rPr>
            </w:pPr>
            <w:r>
              <w:rPr>
                <w:rFonts w:hint="eastAsia" w:ascii="宋体" w:hAnsi="宋体" w:eastAsia="宋体"/>
              </w:rPr>
              <w:t>-5.60%</w:t>
            </w:r>
          </w:p>
        </w:tc>
        <w:tc>
          <w:tcPr>
            <w:tcW w:w="0" w:type="auto"/>
            <w:shd w:val="clear" w:color="auto" w:fill="auto"/>
          </w:tcPr>
          <w:p w14:paraId="1BD60F7B">
            <w:pPr>
              <w:jc w:val="center"/>
              <w:rPr>
                <w:rFonts w:ascii="宋体" w:hAnsi="宋体" w:eastAsia="宋体" w:cs="宋体"/>
                <w:sz w:val="24"/>
                <w:szCs w:val="24"/>
              </w:rPr>
            </w:pPr>
            <w:r>
              <w:rPr>
                <w:rFonts w:hint="eastAsia" w:ascii="宋体" w:hAnsi="宋体" w:eastAsia="宋体"/>
              </w:rPr>
              <w:t>0.16%</w:t>
            </w:r>
          </w:p>
        </w:tc>
      </w:tr>
      <w:tr w14:paraId="25DA5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064EB2">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1402B2F9">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14:paraId="5125ADEA">
            <w:pPr>
              <w:jc w:val="center"/>
              <w:rPr>
                <w:rFonts w:ascii="宋体" w:hAnsi="宋体" w:eastAsia="宋体" w:cs="宋体"/>
                <w:sz w:val="24"/>
                <w:szCs w:val="24"/>
              </w:rPr>
            </w:pPr>
            <w:r>
              <w:rPr>
                <w:rFonts w:hint="eastAsia" w:ascii="宋体" w:hAnsi="宋体" w:eastAsia="宋体"/>
              </w:rPr>
              <w:t>0.26%</w:t>
            </w:r>
          </w:p>
        </w:tc>
        <w:tc>
          <w:tcPr>
            <w:tcW w:w="0" w:type="auto"/>
            <w:shd w:val="clear" w:color="auto" w:fill="auto"/>
          </w:tcPr>
          <w:p w14:paraId="38009F33">
            <w:pPr>
              <w:jc w:val="center"/>
              <w:rPr>
                <w:rFonts w:ascii="宋体" w:hAnsi="宋体" w:eastAsia="宋体" w:cs="宋体"/>
                <w:sz w:val="24"/>
                <w:szCs w:val="24"/>
              </w:rPr>
            </w:pPr>
            <w:r>
              <w:rPr>
                <w:rFonts w:hint="eastAsia" w:ascii="宋体" w:hAnsi="宋体" w:eastAsia="宋体"/>
              </w:rPr>
              <w:t>4.54%</w:t>
            </w:r>
          </w:p>
        </w:tc>
        <w:tc>
          <w:tcPr>
            <w:tcW w:w="0" w:type="auto"/>
            <w:shd w:val="clear" w:color="auto" w:fill="auto"/>
          </w:tcPr>
          <w:p w14:paraId="4197F888">
            <w:pPr>
              <w:jc w:val="center"/>
              <w:rPr>
                <w:rFonts w:ascii="宋体" w:hAnsi="宋体" w:eastAsia="宋体" w:cs="宋体"/>
                <w:sz w:val="24"/>
                <w:szCs w:val="24"/>
              </w:rPr>
            </w:pPr>
            <w:r>
              <w:rPr>
                <w:rFonts w:hint="eastAsia" w:ascii="宋体" w:hAnsi="宋体" w:eastAsia="宋体"/>
              </w:rPr>
              <w:t>0.19%</w:t>
            </w:r>
          </w:p>
        </w:tc>
        <w:tc>
          <w:tcPr>
            <w:tcW w:w="0" w:type="auto"/>
            <w:shd w:val="clear" w:color="auto" w:fill="auto"/>
          </w:tcPr>
          <w:p w14:paraId="21E7907B">
            <w:pPr>
              <w:jc w:val="center"/>
              <w:rPr>
                <w:rFonts w:ascii="宋体" w:hAnsi="宋体" w:eastAsia="宋体" w:cs="宋体"/>
                <w:sz w:val="24"/>
                <w:szCs w:val="24"/>
              </w:rPr>
            </w:pPr>
            <w:r>
              <w:rPr>
                <w:rFonts w:hint="eastAsia" w:ascii="宋体" w:hAnsi="宋体" w:eastAsia="宋体"/>
              </w:rPr>
              <w:t>-4.72%</w:t>
            </w:r>
          </w:p>
        </w:tc>
        <w:tc>
          <w:tcPr>
            <w:tcW w:w="0" w:type="auto"/>
            <w:shd w:val="clear" w:color="auto" w:fill="auto"/>
          </w:tcPr>
          <w:p w14:paraId="14371EA7">
            <w:pPr>
              <w:jc w:val="center"/>
              <w:rPr>
                <w:rFonts w:ascii="宋体" w:hAnsi="宋体" w:eastAsia="宋体" w:cs="宋体"/>
                <w:sz w:val="24"/>
                <w:szCs w:val="24"/>
              </w:rPr>
            </w:pPr>
            <w:r>
              <w:rPr>
                <w:rFonts w:hint="eastAsia" w:ascii="宋体" w:hAnsi="宋体" w:eastAsia="宋体"/>
              </w:rPr>
              <w:t>0.07%</w:t>
            </w:r>
          </w:p>
        </w:tc>
      </w:tr>
      <w:tr w14:paraId="05A28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148A54">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0D48C21B">
            <w:pPr>
              <w:jc w:val="center"/>
              <w:rPr>
                <w:rFonts w:ascii="宋体" w:hAnsi="宋体" w:eastAsia="宋体" w:cs="宋体"/>
                <w:sz w:val="24"/>
                <w:szCs w:val="24"/>
              </w:rPr>
            </w:pPr>
            <w:r>
              <w:rPr>
                <w:rFonts w:hint="eastAsia" w:ascii="宋体" w:hAnsi="宋体" w:eastAsia="宋体"/>
              </w:rPr>
              <w:t>-1.44%</w:t>
            </w:r>
          </w:p>
        </w:tc>
        <w:tc>
          <w:tcPr>
            <w:tcW w:w="0" w:type="auto"/>
            <w:shd w:val="clear" w:color="auto" w:fill="auto"/>
          </w:tcPr>
          <w:p w14:paraId="01B59075">
            <w:pPr>
              <w:jc w:val="center"/>
              <w:rPr>
                <w:rFonts w:ascii="宋体" w:hAnsi="宋体" w:eastAsia="宋体" w:cs="宋体"/>
                <w:sz w:val="24"/>
                <w:szCs w:val="24"/>
              </w:rPr>
            </w:pPr>
            <w:r>
              <w:rPr>
                <w:rFonts w:hint="eastAsia" w:ascii="宋体" w:hAnsi="宋体" w:eastAsia="宋体"/>
              </w:rPr>
              <w:t>0.30%</w:t>
            </w:r>
          </w:p>
        </w:tc>
        <w:tc>
          <w:tcPr>
            <w:tcW w:w="0" w:type="auto"/>
            <w:shd w:val="clear" w:color="auto" w:fill="auto"/>
          </w:tcPr>
          <w:p w14:paraId="523840CB">
            <w:pPr>
              <w:jc w:val="center"/>
              <w:rPr>
                <w:rFonts w:ascii="宋体" w:hAnsi="宋体" w:eastAsia="宋体" w:cs="宋体"/>
                <w:sz w:val="24"/>
                <w:szCs w:val="24"/>
              </w:rPr>
            </w:pPr>
            <w:r>
              <w:rPr>
                <w:rFonts w:hint="eastAsia" w:ascii="宋体" w:hAnsi="宋体" w:eastAsia="宋体"/>
              </w:rPr>
              <w:t>1.90%</w:t>
            </w:r>
          </w:p>
        </w:tc>
        <w:tc>
          <w:tcPr>
            <w:tcW w:w="0" w:type="auto"/>
            <w:shd w:val="clear" w:color="auto" w:fill="auto"/>
          </w:tcPr>
          <w:p w14:paraId="3A35B65A">
            <w:pPr>
              <w:jc w:val="center"/>
              <w:rPr>
                <w:rFonts w:ascii="宋体" w:hAnsi="宋体" w:eastAsia="宋体" w:cs="宋体"/>
                <w:sz w:val="24"/>
                <w:szCs w:val="24"/>
              </w:rPr>
            </w:pPr>
            <w:r>
              <w:rPr>
                <w:rFonts w:hint="eastAsia" w:ascii="宋体" w:hAnsi="宋体" w:eastAsia="宋体"/>
              </w:rPr>
              <w:t>0.22%</w:t>
            </w:r>
          </w:p>
        </w:tc>
        <w:tc>
          <w:tcPr>
            <w:tcW w:w="0" w:type="auto"/>
            <w:shd w:val="clear" w:color="auto" w:fill="auto"/>
          </w:tcPr>
          <w:p w14:paraId="17BA1C01">
            <w:pPr>
              <w:jc w:val="center"/>
              <w:rPr>
                <w:rFonts w:ascii="宋体" w:hAnsi="宋体" w:eastAsia="宋体" w:cs="宋体"/>
                <w:sz w:val="24"/>
                <w:szCs w:val="24"/>
              </w:rPr>
            </w:pPr>
            <w:r>
              <w:rPr>
                <w:rFonts w:hint="eastAsia" w:ascii="宋体" w:hAnsi="宋体" w:eastAsia="宋体"/>
              </w:rPr>
              <w:t>-3.34%</w:t>
            </w:r>
          </w:p>
        </w:tc>
        <w:tc>
          <w:tcPr>
            <w:tcW w:w="0" w:type="auto"/>
            <w:shd w:val="clear" w:color="auto" w:fill="auto"/>
          </w:tcPr>
          <w:p w14:paraId="22FDC047">
            <w:pPr>
              <w:jc w:val="center"/>
              <w:rPr>
                <w:rFonts w:ascii="宋体" w:hAnsi="宋体" w:eastAsia="宋体" w:cs="宋体"/>
                <w:sz w:val="24"/>
                <w:szCs w:val="24"/>
              </w:rPr>
            </w:pPr>
            <w:r>
              <w:rPr>
                <w:rFonts w:hint="eastAsia" w:ascii="宋体" w:hAnsi="宋体" w:eastAsia="宋体"/>
              </w:rPr>
              <w:t>0.08%</w:t>
            </w:r>
          </w:p>
        </w:tc>
      </w:tr>
      <w:tr w14:paraId="0AD86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1E4093">
            <w:pPr>
              <w:jc w:val="center"/>
              <w:rPr>
                <w:rFonts w:ascii="宋体" w:hAnsi="宋体" w:eastAsia="宋体" w:cs="宋体"/>
                <w:sz w:val="24"/>
                <w:szCs w:val="24"/>
              </w:rPr>
            </w:pPr>
            <w:r>
              <w:rPr>
                <w:rFonts w:hint="eastAsia" w:ascii="宋体" w:hAnsi="宋体" w:eastAsia="宋体"/>
              </w:rPr>
              <w:t>2020.05.18-2026.06.30</w:t>
            </w:r>
          </w:p>
        </w:tc>
        <w:tc>
          <w:tcPr>
            <w:tcW w:w="0" w:type="auto"/>
            <w:shd w:val="clear" w:color="auto" w:fill="auto"/>
          </w:tcPr>
          <w:p w14:paraId="200453E4">
            <w:pPr>
              <w:jc w:val="center"/>
              <w:rPr>
                <w:rFonts w:ascii="宋体" w:hAnsi="宋体" w:eastAsia="宋体" w:cs="宋体"/>
                <w:sz w:val="24"/>
                <w:szCs w:val="24"/>
              </w:rPr>
            </w:pPr>
            <w:r>
              <w:rPr>
                <w:rFonts w:hint="eastAsia" w:ascii="宋体" w:hAnsi="宋体" w:eastAsia="宋体"/>
              </w:rPr>
              <w:t>-5.46%</w:t>
            </w:r>
          </w:p>
        </w:tc>
        <w:tc>
          <w:tcPr>
            <w:tcW w:w="0" w:type="auto"/>
            <w:shd w:val="clear" w:color="auto" w:fill="auto"/>
          </w:tcPr>
          <w:p w14:paraId="21B40A82">
            <w:pPr>
              <w:jc w:val="center"/>
              <w:rPr>
                <w:rFonts w:ascii="宋体" w:hAnsi="宋体" w:eastAsia="宋体" w:cs="宋体"/>
                <w:sz w:val="24"/>
                <w:szCs w:val="24"/>
              </w:rPr>
            </w:pPr>
            <w:r>
              <w:rPr>
                <w:rFonts w:hint="eastAsia" w:ascii="宋体" w:hAnsi="宋体" w:eastAsia="宋体"/>
              </w:rPr>
              <w:t>0.31%</w:t>
            </w:r>
          </w:p>
        </w:tc>
        <w:tc>
          <w:tcPr>
            <w:tcW w:w="0" w:type="auto"/>
            <w:shd w:val="clear" w:color="auto" w:fill="auto"/>
          </w:tcPr>
          <w:p w14:paraId="67C902AA">
            <w:pPr>
              <w:jc w:val="center"/>
              <w:rPr>
                <w:rFonts w:ascii="宋体" w:hAnsi="宋体" w:eastAsia="宋体" w:cs="宋体"/>
                <w:sz w:val="24"/>
                <w:szCs w:val="24"/>
              </w:rPr>
            </w:pPr>
            <w:r>
              <w:rPr>
                <w:rFonts w:hint="eastAsia" w:ascii="宋体" w:hAnsi="宋体" w:eastAsia="宋体"/>
              </w:rPr>
              <w:t>24.95%</w:t>
            </w:r>
          </w:p>
        </w:tc>
        <w:tc>
          <w:tcPr>
            <w:tcW w:w="0" w:type="auto"/>
            <w:shd w:val="clear" w:color="auto" w:fill="auto"/>
          </w:tcPr>
          <w:p w14:paraId="6738CB37">
            <w:pPr>
              <w:jc w:val="center"/>
              <w:rPr>
                <w:rFonts w:ascii="宋体" w:hAnsi="宋体" w:eastAsia="宋体" w:cs="宋体"/>
                <w:sz w:val="24"/>
                <w:szCs w:val="24"/>
              </w:rPr>
            </w:pPr>
            <w:r>
              <w:rPr>
                <w:rFonts w:hint="eastAsia" w:ascii="宋体" w:hAnsi="宋体" w:eastAsia="宋体"/>
              </w:rPr>
              <w:t>0.22%</w:t>
            </w:r>
          </w:p>
        </w:tc>
        <w:tc>
          <w:tcPr>
            <w:tcW w:w="0" w:type="auto"/>
            <w:shd w:val="clear" w:color="auto" w:fill="auto"/>
          </w:tcPr>
          <w:p w14:paraId="362C4C33">
            <w:pPr>
              <w:jc w:val="center"/>
              <w:rPr>
                <w:rFonts w:ascii="宋体" w:hAnsi="宋体" w:eastAsia="宋体" w:cs="宋体"/>
                <w:sz w:val="24"/>
                <w:szCs w:val="24"/>
              </w:rPr>
            </w:pPr>
            <w:r>
              <w:rPr>
                <w:rFonts w:hint="eastAsia" w:ascii="宋体" w:hAnsi="宋体" w:eastAsia="宋体"/>
              </w:rPr>
              <w:t>-30.41%</w:t>
            </w:r>
          </w:p>
        </w:tc>
        <w:tc>
          <w:tcPr>
            <w:tcW w:w="0" w:type="auto"/>
            <w:shd w:val="clear" w:color="auto" w:fill="auto"/>
          </w:tcPr>
          <w:p w14:paraId="04DF54DF">
            <w:pPr>
              <w:jc w:val="center"/>
              <w:rPr>
                <w:rFonts w:ascii="宋体" w:hAnsi="宋体" w:eastAsia="宋体" w:cs="宋体"/>
                <w:sz w:val="24"/>
                <w:szCs w:val="24"/>
              </w:rPr>
            </w:pPr>
            <w:r>
              <w:rPr>
                <w:rFonts w:hint="eastAsia" w:ascii="宋体" w:hAnsi="宋体" w:eastAsia="宋体"/>
              </w:rPr>
              <w:t>0.09%</w:t>
            </w:r>
          </w:p>
        </w:tc>
      </w:tr>
    </w:tbl>
    <w:p w14:paraId="563F4B56">
      <w:pPr>
        <w:pStyle w:val="7"/>
        <w:spacing w:before="0" w:beforeAutospacing="0" w:after="0" w:afterAutospacing="0" w:line="360" w:lineRule="auto"/>
        <w:ind w:firstLine="420"/>
        <w:rPr>
          <w:sz w:val="21"/>
          <w:szCs w:val="21"/>
        </w:rPr>
      </w:pPr>
      <w:bookmarkStart w:id="150" w:name="chapter_level1_12_3500_section_1_end"/>
      <w:bookmarkEnd w:id="150"/>
      <w:bookmarkStart w:id="151" w:name="field_0_indatatable_1_end"/>
      <w:bookmarkEnd w:id="151"/>
      <w:r>
        <w:rPr>
          <w:rFonts w:hint="eastAsia"/>
          <w:sz w:val="21"/>
          <w:szCs w:val="21"/>
        </w:rPr>
        <w:t xml:space="preserve">  </w:t>
      </w:r>
    </w:p>
    <w:p w14:paraId="42E9883F">
      <w:pPr>
        <w:widowControl/>
        <w:jc w:val="left"/>
        <w:rPr>
          <w:rFonts w:ascii="宋体" w:hAnsi="宋体" w:eastAsia="宋体"/>
        </w:rPr>
      </w:pPr>
      <w:r>
        <w:rPr>
          <w:rFonts w:ascii="宋体" w:hAnsi="宋体" w:eastAsia="宋体"/>
        </w:rPr>
        <w:br w:type="page"/>
      </w:r>
    </w:p>
    <w:p w14:paraId="661CF6C1">
      <w:pPr>
        <w:pStyle w:val="2"/>
        <w:jc w:val="center"/>
        <w:rPr>
          <w:rFonts w:ascii="宋体" w:hAnsi="宋体" w:eastAsia="宋体"/>
          <w:sz w:val="30"/>
        </w:rPr>
      </w:pPr>
      <w:bookmarkStart w:id="152" w:name="_Toc239193705"/>
      <w:bookmarkStart w:id="153" w:name="chapter_level1_13_62"/>
      <w:r>
        <w:rPr>
          <w:rFonts w:hint="eastAsia" w:ascii="宋体" w:hAnsi="宋体" w:eastAsia="宋体"/>
          <w:sz w:val="30"/>
        </w:rPr>
        <w:t>第十部分  基金的财产</w:t>
      </w:r>
      <w:bookmarkEnd w:id="152"/>
      <w:bookmarkEnd w:id="153"/>
    </w:p>
    <w:p w14:paraId="5ABF093B">
      <w:pPr>
        <w:pStyle w:val="7"/>
        <w:spacing w:before="0" w:beforeAutospacing="0" w:after="0" w:afterAutospacing="0" w:line="360" w:lineRule="auto"/>
        <w:ind w:firstLine="420"/>
        <w:rPr>
          <w:sz w:val="21"/>
          <w:szCs w:val="21"/>
        </w:rPr>
      </w:pPr>
      <w:bookmarkStart w:id="154" w:name="chapter_level1_13_62_section_1"/>
      <w:bookmarkEnd w:id="154"/>
      <w:r>
        <w:rPr>
          <w:rStyle w:val="11"/>
          <w:rFonts w:hint="eastAsia"/>
          <w:sz w:val="21"/>
          <w:szCs w:val="21"/>
        </w:rPr>
        <w:t>一、基金资产总值</w:t>
      </w:r>
    </w:p>
    <w:p w14:paraId="323BCCFC">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基金资产总值是指基金拥有的各类有价证券、银行存款本息、基金应收款项及其他资产的价值总和。 </w:t>
      </w:r>
    </w:p>
    <w:p w14:paraId="64061656">
      <w:pPr>
        <w:pStyle w:val="7"/>
        <w:spacing w:before="0" w:beforeAutospacing="0" w:after="0" w:afterAutospacing="0" w:line="360" w:lineRule="auto"/>
        <w:ind w:firstLine="420"/>
        <w:rPr>
          <w:sz w:val="21"/>
          <w:szCs w:val="21"/>
        </w:rPr>
      </w:pPr>
      <w:r>
        <w:rPr>
          <w:rStyle w:val="11"/>
          <w:rFonts w:hint="eastAsia"/>
          <w:sz w:val="21"/>
          <w:szCs w:val="21"/>
        </w:rPr>
        <w:t>二、基金资产净值</w:t>
      </w:r>
    </w:p>
    <w:p w14:paraId="76F46FDC">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5FD47E9A">
      <w:pPr>
        <w:pStyle w:val="7"/>
        <w:spacing w:before="0" w:beforeAutospacing="0" w:after="0" w:afterAutospacing="0" w:line="360" w:lineRule="auto"/>
        <w:ind w:firstLine="420"/>
        <w:rPr>
          <w:sz w:val="21"/>
          <w:szCs w:val="21"/>
        </w:rPr>
      </w:pPr>
      <w:r>
        <w:rPr>
          <w:rStyle w:val="11"/>
          <w:rFonts w:hint="eastAsia"/>
          <w:sz w:val="21"/>
          <w:szCs w:val="21"/>
        </w:rPr>
        <w:t>三、基金财产的账户</w:t>
      </w:r>
    </w:p>
    <w:p w14:paraId="47F7578D">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11701CEA">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14:paraId="186F58BF">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09F67A4F">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55" w:name="chapter_level1_13_62_section_1_end"/>
      <w:bookmarkEnd w:id="155"/>
      <w:r>
        <w:rPr>
          <w:rFonts w:hint="eastAsia"/>
          <w:sz w:val="21"/>
          <w:szCs w:val="21"/>
        </w:rPr>
        <w:t xml:space="preserve">得相互抵销。非因基金财产本身承担的债务，不得对基金财产强制执行。 </w:t>
      </w:r>
    </w:p>
    <w:p w14:paraId="12EF734D">
      <w:pPr>
        <w:widowControl/>
        <w:jc w:val="left"/>
        <w:rPr>
          <w:rFonts w:ascii="宋体" w:hAnsi="宋体" w:eastAsia="宋体"/>
        </w:rPr>
      </w:pPr>
      <w:r>
        <w:rPr>
          <w:rFonts w:ascii="宋体" w:hAnsi="宋体" w:eastAsia="宋体"/>
        </w:rPr>
        <w:br w:type="page"/>
      </w:r>
    </w:p>
    <w:p w14:paraId="01241F97">
      <w:pPr>
        <w:pStyle w:val="2"/>
        <w:jc w:val="center"/>
        <w:rPr>
          <w:rFonts w:ascii="宋体" w:hAnsi="宋体" w:eastAsia="宋体"/>
          <w:sz w:val="30"/>
        </w:rPr>
      </w:pPr>
      <w:bookmarkStart w:id="156" w:name="_Toc239193706"/>
      <w:bookmarkStart w:id="157" w:name="chapter_level1_14_63"/>
      <w:r>
        <w:rPr>
          <w:rFonts w:hint="eastAsia" w:ascii="宋体" w:hAnsi="宋体" w:eastAsia="宋体"/>
          <w:sz w:val="30"/>
        </w:rPr>
        <w:t>第十一部分  基金资产的估值</w:t>
      </w:r>
      <w:bookmarkEnd w:id="156"/>
      <w:bookmarkEnd w:id="157"/>
    </w:p>
    <w:p w14:paraId="3691D130">
      <w:pPr>
        <w:pStyle w:val="7"/>
        <w:spacing w:before="0" w:beforeAutospacing="0" w:after="0" w:afterAutospacing="0" w:line="360" w:lineRule="auto"/>
        <w:ind w:firstLine="420"/>
        <w:rPr>
          <w:sz w:val="21"/>
          <w:szCs w:val="21"/>
        </w:rPr>
      </w:pPr>
      <w:bookmarkStart w:id="158" w:name="chapter_level1_14_63_section_1"/>
      <w:bookmarkEnd w:id="158"/>
      <w:r>
        <w:rPr>
          <w:rStyle w:val="11"/>
          <w:rFonts w:hint="eastAsia"/>
          <w:sz w:val="21"/>
          <w:szCs w:val="21"/>
        </w:rPr>
        <w:t>一、估值日</w:t>
      </w:r>
    </w:p>
    <w:p w14:paraId="10B6D46B">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4EE2A191">
      <w:pPr>
        <w:pStyle w:val="7"/>
        <w:spacing w:before="0" w:beforeAutospacing="0" w:after="0" w:afterAutospacing="0" w:line="360" w:lineRule="auto"/>
        <w:ind w:firstLine="420"/>
        <w:rPr>
          <w:sz w:val="21"/>
          <w:szCs w:val="21"/>
        </w:rPr>
      </w:pPr>
      <w:r>
        <w:rPr>
          <w:rStyle w:val="11"/>
          <w:rFonts w:hint="eastAsia"/>
          <w:sz w:val="21"/>
          <w:szCs w:val="21"/>
        </w:rPr>
        <w:t>二、估值对象</w:t>
      </w:r>
    </w:p>
    <w:p w14:paraId="10556752">
      <w:pPr>
        <w:pStyle w:val="7"/>
        <w:spacing w:before="0" w:beforeAutospacing="0" w:after="0" w:afterAutospacing="0" w:line="360" w:lineRule="auto"/>
        <w:ind w:firstLine="420"/>
        <w:rPr>
          <w:sz w:val="21"/>
          <w:szCs w:val="21"/>
        </w:rPr>
      </w:pPr>
      <w:r>
        <w:rPr>
          <w:rFonts w:hint="eastAsia"/>
          <w:sz w:val="21"/>
          <w:szCs w:val="21"/>
        </w:rPr>
        <w:t xml:space="preserve">基金所拥有的股票、股指期货合约、国债期货合约、股票期权合约、信用衍生品、债券和银行存款本息、应收款项、其它投资等资产及负债。 </w:t>
      </w:r>
    </w:p>
    <w:p w14:paraId="530339AA">
      <w:pPr>
        <w:pStyle w:val="7"/>
        <w:spacing w:before="0" w:beforeAutospacing="0" w:after="0" w:afterAutospacing="0" w:line="360" w:lineRule="auto"/>
        <w:ind w:firstLine="420"/>
        <w:rPr>
          <w:sz w:val="21"/>
          <w:szCs w:val="21"/>
        </w:rPr>
      </w:pPr>
      <w:r>
        <w:rPr>
          <w:rStyle w:val="11"/>
          <w:rFonts w:hint="eastAsia"/>
          <w:sz w:val="21"/>
          <w:szCs w:val="21"/>
        </w:rPr>
        <w:t>三、估值原则</w:t>
      </w:r>
    </w:p>
    <w:p w14:paraId="182AD709">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1A0DC3C7">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00D3E26D">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2DEF4C7C">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1AEA23CC">
      <w:pPr>
        <w:pStyle w:val="7"/>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187EB174">
      <w:pPr>
        <w:pStyle w:val="7"/>
        <w:spacing w:before="0" w:beforeAutospacing="0" w:after="0" w:afterAutospacing="0" w:line="360" w:lineRule="auto"/>
        <w:ind w:firstLine="420"/>
        <w:rPr>
          <w:sz w:val="21"/>
          <w:szCs w:val="21"/>
        </w:rPr>
      </w:pPr>
      <w:r>
        <w:rPr>
          <w:rFonts w:hint="eastAsia"/>
          <w:sz w:val="21"/>
          <w:szCs w:val="21"/>
        </w:rPr>
        <w:t xml:space="preserve">四、估值方法 </w:t>
      </w:r>
    </w:p>
    <w:p w14:paraId="29DAFCB2">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301E5FBE">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2D67088F">
      <w:pPr>
        <w:pStyle w:val="7"/>
        <w:spacing w:before="0" w:beforeAutospacing="0" w:after="0" w:afterAutospacing="0" w:line="360" w:lineRule="auto"/>
        <w:ind w:firstLine="420"/>
        <w:rPr>
          <w:sz w:val="21"/>
          <w:szCs w:val="21"/>
        </w:rPr>
      </w:pPr>
      <w:r>
        <w:rPr>
          <w:rFonts w:hint="eastAsia"/>
          <w:sz w:val="21"/>
          <w:szCs w:val="21"/>
        </w:rPr>
        <w:t xml:space="preserve">（2）交易所市场上市交易或挂牌转让的固定收益品种（基金合同另有约定的除外），选取估值日第三方估值机构提供的相应品种对应的估值净价估值，具体估值机构由基金管理人与基金托管人共同确定； </w:t>
      </w:r>
    </w:p>
    <w:p w14:paraId="5B413289">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14:paraId="469B9DE0">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00F06493">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 </w:t>
      </w:r>
    </w:p>
    <w:p w14:paraId="49A32CB8">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5BF57DEB">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4519E22B">
      <w:pPr>
        <w:pStyle w:val="7"/>
        <w:spacing w:before="0" w:beforeAutospacing="0" w:after="0" w:afterAutospacing="0" w:line="360" w:lineRule="auto"/>
        <w:ind w:firstLine="420"/>
        <w:rPr>
          <w:sz w:val="21"/>
          <w:szCs w:val="21"/>
        </w:rPr>
      </w:pPr>
      <w:r>
        <w:rPr>
          <w:rFonts w:hint="eastAsia"/>
          <w:sz w:val="21"/>
          <w:szCs w:val="21"/>
        </w:rPr>
        <w:t xml:space="preserve">（2）首次公开发行未上市或未挂牌转让的股票、债券，采用估值技术确定公允价值，在估值技术难以可靠计量公允价值的情况下，按成本估值； </w:t>
      </w:r>
    </w:p>
    <w:p w14:paraId="0BE791E9">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6CD9E5B4">
      <w:pPr>
        <w:pStyle w:val="7"/>
        <w:spacing w:before="0" w:beforeAutospacing="0" w:after="0" w:afterAutospacing="0" w:line="360" w:lineRule="auto"/>
        <w:ind w:firstLine="420"/>
        <w:rPr>
          <w:sz w:val="21"/>
          <w:szCs w:val="21"/>
        </w:rPr>
      </w:pPr>
      <w:r>
        <w:rPr>
          <w:rFonts w:hint="eastAsia"/>
          <w:sz w:val="21"/>
          <w:szCs w:val="21"/>
        </w:rPr>
        <w:t xml:space="preserve">3、银行间的有价证券的估值 </w:t>
      </w:r>
    </w:p>
    <w:p w14:paraId="3300D8B7">
      <w:pPr>
        <w:pStyle w:val="7"/>
        <w:spacing w:before="0" w:beforeAutospacing="0" w:after="0" w:afterAutospacing="0" w:line="360" w:lineRule="auto"/>
        <w:ind w:firstLine="420"/>
        <w:rPr>
          <w:sz w:val="21"/>
          <w:szCs w:val="21"/>
        </w:rPr>
      </w:pPr>
      <w:r>
        <w:rPr>
          <w:rFonts w:hint="eastAsia"/>
          <w:sz w:val="21"/>
          <w:szCs w:val="21"/>
        </w:rPr>
        <w:t xml:space="preserve">（1）对银行间市场上不含权的固定收益品种，按照第三方估值机构提供的相应品种当日的估值净价确定公允价值； </w:t>
      </w:r>
    </w:p>
    <w:p w14:paraId="6776BC59">
      <w:pPr>
        <w:pStyle w:val="7"/>
        <w:spacing w:before="0" w:beforeAutospacing="0" w:after="0" w:afterAutospacing="0" w:line="360" w:lineRule="auto"/>
        <w:ind w:firstLine="420"/>
        <w:rPr>
          <w:sz w:val="21"/>
          <w:szCs w:val="21"/>
        </w:rPr>
      </w:pPr>
      <w:r>
        <w:rPr>
          <w:rFonts w:hint="eastAsia"/>
          <w:sz w:val="21"/>
          <w:szCs w:val="21"/>
        </w:rPr>
        <w:t xml:space="preserve">（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 </w:t>
      </w:r>
    </w:p>
    <w:p w14:paraId="45663BE5">
      <w:pPr>
        <w:pStyle w:val="7"/>
        <w:spacing w:before="0" w:beforeAutospacing="0" w:after="0" w:afterAutospacing="0" w:line="360" w:lineRule="auto"/>
        <w:ind w:firstLine="420"/>
        <w:rPr>
          <w:sz w:val="21"/>
          <w:szCs w:val="21"/>
        </w:rPr>
      </w:pPr>
      <w:r>
        <w:rPr>
          <w:rFonts w:hint="eastAsia"/>
          <w:sz w:val="21"/>
          <w:szCs w:val="21"/>
        </w:rPr>
        <w:t xml:space="preserve">（3）对银行间市场未上市，且第三方估值机构未提供估值价格的债券，在发行利率与二级市场利率不存在明显差异、未上市期间市场利率没有发生大的变动的情况下，建议按成本估值。 </w:t>
      </w:r>
    </w:p>
    <w:p w14:paraId="247AB64A">
      <w:pPr>
        <w:pStyle w:val="7"/>
        <w:spacing w:before="0" w:beforeAutospacing="0" w:after="0" w:afterAutospacing="0" w:line="360" w:lineRule="auto"/>
        <w:ind w:firstLine="420"/>
        <w:rPr>
          <w:sz w:val="21"/>
          <w:szCs w:val="21"/>
        </w:rPr>
      </w:pPr>
      <w:r>
        <w:rPr>
          <w:rFonts w:hint="eastAsia"/>
          <w:sz w:val="21"/>
          <w:szCs w:val="21"/>
        </w:rPr>
        <w:t xml:space="preserve">4、资产支持证券的估值 </w:t>
      </w:r>
    </w:p>
    <w:p w14:paraId="64983615">
      <w:pPr>
        <w:pStyle w:val="7"/>
        <w:spacing w:before="0" w:beforeAutospacing="0" w:after="0" w:afterAutospacing="0" w:line="360" w:lineRule="auto"/>
        <w:ind w:firstLine="420"/>
        <w:rPr>
          <w:sz w:val="21"/>
          <w:szCs w:val="21"/>
        </w:rPr>
      </w:pPr>
      <w:r>
        <w:rPr>
          <w:rFonts w:hint="eastAsia"/>
          <w:sz w:val="21"/>
          <w:szCs w:val="21"/>
        </w:rPr>
        <w:t xml:space="preserve">（1）交易所上市的资产支持证券，采用估值技术确定公允价值，在估值技术难以可靠计量公允价值的情况下，按成本估值。 </w:t>
      </w:r>
    </w:p>
    <w:p w14:paraId="46FE4C48">
      <w:pPr>
        <w:pStyle w:val="7"/>
        <w:spacing w:before="0" w:beforeAutospacing="0" w:after="0" w:afterAutospacing="0" w:line="360" w:lineRule="auto"/>
        <w:ind w:firstLine="420"/>
        <w:rPr>
          <w:sz w:val="21"/>
          <w:szCs w:val="21"/>
        </w:rPr>
      </w:pPr>
      <w:r>
        <w:rPr>
          <w:rFonts w:hint="eastAsia"/>
          <w:sz w:val="21"/>
          <w:szCs w:val="21"/>
        </w:rPr>
        <w:t xml:space="preserve">（2）对全国银行间市场上的资产支持证券，按照第三方估值机构提供的相应品种当日的估值净价确定公允价值。 </w:t>
      </w:r>
    </w:p>
    <w:p w14:paraId="095C0905">
      <w:pPr>
        <w:pStyle w:val="7"/>
        <w:spacing w:before="0" w:beforeAutospacing="0" w:after="0" w:afterAutospacing="0" w:line="360" w:lineRule="auto"/>
        <w:ind w:firstLine="420"/>
        <w:rPr>
          <w:sz w:val="21"/>
          <w:szCs w:val="21"/>
        </w:rPr>
      </w:pPr>
      <w:r>
        <w:rPr>
          <w:rFonts w:hint="eastAsia"/>
          <w:sz w:val="21"/>
          <w:szCs w:val="21"/>
        </w:rPr>
        <w:t xml:space="preserve">5、同一证券同时在两个或两个以上市场交易的，按证券所处的市场分别估值。 </w:t>
      </w:r>
    </w:p>
    <w:p w14:paraId="44E27720">
      <w:pPr>
        <w:pStyle w:val="7"/>
        <w:spacing w:before="0" w:beforeAutospacing="0" w:after="0" w:afterAutospacing="0" w:line="360" w:lineRule="auto"/>
        <w:ind w:firstLine="420"/>
        <w:rPr>
          <w:sz w:val="21"/>
          <w:szCs w:val="21"/>
        </w:rPr>
      </w:pPr>
      <w:r>
        <w:rPr>
          <w:rFonts w:hint="eastAsia"/>
          <w:sz w:val="21"/>
          <w:szCs w:val="21"/>
        </w:rPr>
        <w:t xml:space="preserve">6、本基金投资股指期货合约、国债期货合约，一般以估值当日结算价进行估值，估值当日无结算价的，且最近交易日后经济环境未发生重大变化的，采用最近交易日结算价估值。 </w:t>
      </w:r>
    </w:p>
    <w:p w14:paraId="32D795E8">
      <w:pPr>
        <w:pStyle w:val="7"/>
        <w:spacing w:before="0" w:beforeAutospacing="0" w:after="0" w:afterAutospacing="0" w:line="360" w:lineRule="auto"/>
        <w:ind w:firstLine="420"/>
        <w:rPr>
          <w:sz w:val="21"/>
          <w:szCs w:val="21"/>
        </w:rPr>
      </w:pPr>
      <w:r>
        <w:rPr>
          <w:rFonts w:hint="eastAsia"/>
          <w:sz w:val="21"/>
          <w:szCs w:val="21"/>
        </w:rPr>
        <w:t xml:space="preserve">7、本基金投资股票期权，根据相关法律法规以及监管部门的规定估值。 </w:t>
      </w:r>
    </w:p>
    <w:p w14:paraId="1A2EFD3D">
      <w:pPr>
        <w:pStyle w:val="7"/>
        <w:spacing w:before="0" w:beforeAutospacing="0" w:after="0" w:afterAutospacing="0" w:line="360" w:lineRule="auto"/>
        <w:ind w:firstLine="420"/>
        <w:rPr>
          <w:sz w:val="21"/>
          <w:szCs w:val="21"/>
        </w:rPr>
      </w:pPr>
      <w:r>
        <w:rPr>
          <w:rFonts w:hint="eastAsia"/>
          <w:sz w:val="21"/>
          <w:szCs w:val="21"/>
        </w:rPr>
        <w:t xml:space="preserve">8、信用衍生品按第三方估值机构提供的当日估值价格进行估值，但管理人依法应当承担的估值责任不因委托而免除，选定的第三方估值机构未提供估值价格的，依照有关法律法规及企业会计准则要求采用合理估值技术，确定公允价值。 </w:t>
      </w:r>
    </w:p>
    <w:p w14:paraId="5B78B0C3">
      <w:pPr>
        <w:pStyle w:val="7"/>
        <w:spacing w:before="0" w:beforeAutospacing="0" w:after="0" w:afterAutospacing="0" w:line="360" w:lineRule="auto"/>
        <w:ind w:firstLine="420"/>
        <w:rPr>
          <w:sz w:val="21"/>
          <w:szCs w:val="21"/>
        </w:rPr>
      </w:pPr>
      <w:r>
        <w:rPr>
          <w:rFonts w:hint="eastAsia"/>
          <w:sz w:val="21"/>
          <w:szCs w:val="21"/>
        </w:rPr>
        <w:t xml:space="preserve">9、汇率 </w:t>
      </w:r>
    </w:p>
    <w:p w14:paraId="520E3534">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3C3E5354">
      <w:pPr>
        <w:pStyle w:val="7"/>
        <w:spacing w:before="0" w:beforeAutospacing="0" w:after="0" w:afterAutospacing="0" w:line="360" w:lineRule="auto"/>
        <w:ind w:firstLine="420"/>
        <w:rPr>
          <w:sz w:val="21"/>
          <w:szCs w:val="21"/>
        </w:rPr>
      </w:pPr>
      <w:r>
        <w:rPr>
          <w:rFonts w:hint="eastAsia"/>
          <w:sz w:val="21"/>
          <w:szCs w:val="21"/>
        </w:rPr>
        <w:t xml:space="preserve">10、当发生大额申购或赎回情形时，基金管理人可以采用摆动定价机制，以确保基金估值的公平性。具体处理原则与操作规范遵循相关法律法规以及监管部门、自律规则的规定。 </w:t>
      </w:r>
    </w:p>
    <w:p w14:paraId="77D9F2D2">
      <w:pPr>
        <w:pStyle w:val="7"/>
        <w:spacing w:before="0" w:beforeAutospacing="0" w:after="0" w:afterAutospacing="0" w:line="360" w:lineRule="auto"/>
        <w:ind w:firstLine="420"/>
        <w:rPr>
          <w:sz w:val="21"/>
          <w:szCs w:val="21"/>
        </w:rPr>
      </w:pPr>
      <w:r>
        <w:rPr>
          <w:rFonts w:hint="eastAsia"/>
          <w:sz w:val="21"/>
          <w:szCs w:val="21"/>
        </w:rPr>
        <w:t xml:space="preserve">11、如有确凿证据表明按上述方法进行估值不能客观反映其公允价值的，基金管理人可根据具体情况与基金托管人商定后，按最能反映公允价值的价格估值。 </w:t>
      </w:r>
    </w:p>
    <w:p w14:paraId="28A1B629">
      <w:pPr>
        <w:pStyle w:val="7"/>
        <w:spacing w:before="0" w:beforeAutospacing="0" w:after="0" w:afterAutospacing="0" w:line="360" w:lineRule="auto"/>
        <w:ind w:firstLine="420"/>
        <w:rPr>
          <w:sz w:val="21"/>
          <w:szCs w:val="21"/>
        </w:rPr>
      </w:pPr>
      <w:r>
        <w:rPr>
          <w:rFonts w:hint="eastAsia"/>
          <w:sz w:val="21"/>
          <w:szCs w:val="21"/>
        </w:rPr>
        <w:t xml:space="preserve">12、相关法律法规以及监管部门有强制规定的，从其规定。如有新增事项，按国家最新规定估值。 </w:t>
      </w:r>
    </w:p>
    <w:p w14:paraId="570053EF">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07FE3A9C">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59" w:name="chapter_level1_14_63_section_1_end"/>
      <w:bookmarkEnd w:id="159"/>
      <w:r>
        <w:rPr>
          <w:rFonts w:hint="eastAsia"/>
          <w:sz w:val="21"/>
          <w:szCs w:val="21"/>
        </w:rPr>
        <w:t xml:space="preserve">对外予以公布。 </w:t>
      </w:r>
    </w:p>
    <w:p w14:paraId="64B9C565">
      <w:pPr>
        <w:pStyle w:val="7"/>
        <w:spacing w:before="0" w:beforeAutospacing="0" w:after="0" w:afterAutospacing="0" w:line="360" w:lineRule="auto"/>
        <w:ind w:firstLine="420"/>
        <w:rPr>
          <w:sz w:val="21"/>
          <w:szCs w:val="21"/>
        </w:rPr>
      </w:pPr>
      <w:bookmarkStart w:id="160" w:name="chapter_level1_14_63_section_2"/>
      <w:bookmarkEnd w:id="160"/>
      <w:r>
        <w:rPr>
          <w:rStyle w:val="11"/>
          <w:rFonts w:hint="eastAsia"/>
          <w:sz w:val="21"/>
          <w:szCs w:val="21"/>
        </w:rPr>
        <w:t>五、估值程序</w:t>
      </w:r>
    </w:p>
    <w:p w14:paraId="7C9D462A">
      <w:pPr>
        <w:pStyle w:val="7"/>
        <w:spacing w:before="0" w:beforeAutospacing="0" w:after="0" w:afterAutospacing="0" w:line="360" w:lineRule="auto"/>
        <w:ind w:firstLine="420"/>
        <w:rPr>
          <w:sz w:val="21"/>
          <w:szCs w:val="21"/>
        </w:rPr>
      </w:pPr>
      <w:r>
        <w:rPr>
          <w:rFonts w:hint="eastAsia"/>
          <w:sz w:val="21"/>
          <w:szCs w:val="21"/>
        </w:rPr>
        <w:t>1、基金份额净值是按照每个工作日闭市后，基金资产净值除以当日该类基金份额的余额数量计算，精确到</w:t>
      </w:r>
      <w:bookmarkStart w:id="161" w:name="field_63_netdecimalvalue_1"/>
      <w:r>
        <w:rPr>
          <w:sz w:val="21"/>
          <w:szCs w:val="21"/>
        </w:rPr>
        <w:t>0.0001</w:t>
      </w:r>
      <w:bookmarkEnd w:id="161"/>
      <w:r>
        <w:rPr>
          <w:rFonts w:hint="eastAsia"/>
          <w:sz w:val="21"/>
          <w:szCs w:val="21"/>
        </w:rPr>
        <w:t>元，小数点后第</w:t>
      </w:r>
      <w:bookmarkStart w:id="162" w:name="field_0_netdecimaladd1_1"/>
      <w:r>
        <w:rPr>
          <w:sz w:val="21"/>
          <w:szCs w:val="21"/>
        </w:rPr>
        <w:t>5</w:t>
      </w:r>
      <w:bookmarkEnd w:id="162"/>
      <w:r>
        <w:rPr>
          <w:rFonts w:hint="eastAsia"/>
          <w:sz w:val="21"/>
          <w:szCs w:val="21"/>
        </w:rPr>
        <w:t xml:space="preserve">位四舍五入。基金管理人可以设立大额赎回情形下的净值精度应急调整机制。国家另有规定的，从其规定。 </w:t>
      </w:r>
    </w:p>
    <w:p w14:paraId="5C5FCD47">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4AE72F83">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14:paraId="68A24E81">
      <w:pPr>
        <w:pStyle w:val="7"/>
        <w:spacing w:before="0" w:beforeAutospacing="0" w:after="0" w:afterAutospacing="0" w:line="360" w:lineRule="auto"/>
        <w:ind w:firstLine="420"/>
        <w:rPr>
          <w:sz w:val="21"/>
          <w:szCs w:val="21"/>
        </w:rPr>
      </w:pPr>
      <w:r>
        <w:rPr>
          <w:rStyle w:val="11"/>
          <w:rFonts w:hint="eastAsia"/>
          <w:sz w:val="21"/>
          <w:szCs w:val="21"/>
        </w:rPr>
        <w:t>六、估值错误的处理</w:t>
      </w:r>
    </w:p>
    <w:p w14:paraId="49E79A98">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63" w:name="field_63_netdecimal_1"/>
      <w:r>
        <w:rPr>
          <w:sz w:val="21"/>
          <w:szCs w:val="21"/>
        </w:rPr>
        <w:t>4</w:t>
      </w:r>
      <w:bookmarkEnd w:id="163"/>
      <w:r>
        <w:rPr>
          <w:rFonts w:hint="eastAsia"/>
          <w:sz w:val="21"/>
          <w:szCs w:val="21"/>
        </w:rPr>
        <w:t>位以内(含第</w:t>
      </w:r>
      <w:bookmarkStart w:id="164" w:name="field_63_netdecimal_2"/>
      <w:r>
        <w:rPr>
          <w:sz w:val="21"/>
          <w:szCs w:val="21"/>
        </w:rPr>
        <w:t>4</w:t>
      </w:r>
      <w:bookmarkEnd w:id="164"/>
      <w:r>
        <w:rPr>
          <w:rFonts w:hint="eastAsia"/>
          <w:sz w:val="21"/>
          <w:szCs w:val="21"/>
        </w:rPr>
        <w:t xml:space="preserve">位)发生估值错误时，视为该类基金份额净值错误。 </w:t>
      </w:r>
    </w:p>
    <w:p w14:paraId="583FB52F">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3D57558B">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48C566B2">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1F28DE05">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0AFC7FDD">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6F8AAB22">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70DBB90D">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05E62DB4">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79BC0A74">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19DAF203">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451FE540">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163F9EC6">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56E37429">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1A96CAB9">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5AE0B655">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0C9374DF">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16E1F1C9">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7BC1836D">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59F07A71">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0649F25F">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22A71128">
      <w:pPr>
        <w:pStyle w:val="7"/>
        <w:spacing w:before="0" w:beforeAutospacing="0" w:after="0" w:afterAutospacing="0" w:line="360" w:lineRule="auto"/>
        <w:ind w:firstLine="420"/>
        <w:rPr>
          <w:sz w:val="21"/>
          <w:szCs w:val="21"/>
        </w:rPr>
      </w:pPr>
      <w:r>
        <w:rPr>
          <w:rStyle w:val="11"/>
          <w:rFonts w:hint="eastAsia"/>
          <w:sz w:val="21"/>
          <w:szCs w:val="21"/>
        </w:rPr>
        <w:t>七、暂停估值的情形</w:t>
      </w:r>
    </w:p>
    <w:p w14:paraId="797140A4">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608AC2D8">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213D7723">
      <w:pPr>
        <w:pStyle w:val="7"/>
        <w:spacing w:before="0" w:beforeAutospacing="0" w:after="0" w:afterAutospacing="0" w:line="360" w:lineRule="auto"/>
        <w:ind w:firstLine="420"/>
        <w:rPr>
          <w:sz w:val="21"/>
          <w:szCs w:val="21"/>
        </w:rPr>
      </w:pPr>
      <w:r>
        <w:rPr>
          <w:rFonts w:hint="eastAsia"/>
          <w:sz w:val="21"/>
          <w:szCs w:val="21"/>
        </w:rPr>
        <w:t xml:space="preserve">3、当前一估值日基金资产净值50%以上的资产出现无可参考的活跃市场价格且采用估值技术仍导致公允价值存在重大不确定性时，经与基金托管人协商确认后，基金管理人应当暂停估值； </w:t>
      </w:r>
    </w:p>
    <w:p w14:paraId="22F4143C">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0DE55C21">
      <w:pPr>
        <w:pStyle w:val="7"/>
        <w:spacing w:before="0" w:beforeAutospacing="0" w:after="0" w:afterAutospacing="0" w:line="360" w:lineRule="auto"/>
        <w:ind w:firstLine="420"/>
        <w:rPr>
          <w:sz w:val="21"/>
          <w:szCs w:val="21"/>
        </w:rPr>
      </w:pPr>
      <w:r>
        <w:rPr>
          <w:rStyle w:val="11"/>
          <w:rFonts w:hint="eastAsia"/>
          <w:sz w:val="21"/>
          <w:szCs w:val="21"/>
        </w:rPr>
        <w:t>八、基金净值的确认</w:t>
      </w:r>
    </w:p>
    <w:p w14:paraId="5C3E1805">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2F21FB60">
      <w:pPr>
        <w:pStyle w:val="7"/>
        <w:spacing w:before="0" w:beforeAutospacing="0" w:after="0" w:afterAutospacing="0" w:line="360" w:lineRule="auto"/>
        <w:ind w:firstLine="420"/>
        <w:rPr>
          <w:sz w:val="21"/>
          <w:szCs w:val="21"/>
        </w:rPr>
      </w:pPr>
      <w:r>
        <w:rPr>
          <w:rStyle w:val="11"/>
          <w:rFonts w:hint="eastAsia"/>
          <w:sz w:val="21"/>
          <w:szCs w:val="21"/>
        </w:rPr>
        <w:t>九、特殊情况的处理</w:t>
      </w:r>
    </w:p>
    <w:p w14:paraId="43AAD0B5">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1、基金管理人或基金托管人按估值方法的第11项进行估值时，所造成的误差不作为基金资产估值错误处理。 </w:t>
      </w:r>
    </w:p>
    <w:p w14:paraId="5E8D94BC">
      <w:pPr>
        <w:pStyle w:val="7"/>
        <w:spacing w:before="0" w:beforeAutospacing="0" w:after="0" w:afterAutospacing="0" w:line="360" w:lineRule="auto"/>
        <w:ind w:firstLine="420"/>
        <w:rPr>
          <w:sz w:val="21"/>
          <w:szCs w:val="21"/>
        </w:rPr>
      </w:pPr>
      <w:r>
        <w:rPr>
          <w:rFonts w:hint="eastAsia"/>
          <w:sz w:val="21"/>
          <w:szCs w:val="21"/>
        </w:rPr>
        <w:t>2、由于有关会计制度变化或不可抗力原因，或由于证券、期货交易所或登记结算公司及存款银行等第三方机构发送的数据错误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w:t>
      </w:r>
      <w:bookmarkStart w:id="165" w:name="chapter_level1_14_63_section_2_end"/>
      <w:bookmarkEnd w:id="165"/>
      <w:r>
        <w:rPr>
          <w:rFonts w:hint="eastAsia"/>
          <w:sz w:val="21"/>
          <w:szCs w:val="21"/>
        </w:rPr>
        <w:t xml:space="preserve">管人应当积极采取必要的措施消除或减轻由此造成的影响。 </w:t>
      </w:r>
    </w:p>
    <w:p w14:paraId="61EEEB1C">
      <w:pPr>
        <w:widowControl/>
        <w:jc w:val="left"/>
        <w:rPr>
          <w:rFonts w:ascii="宋体" w:hAnsi="宋体" w:eastAsia="宋体"/>
        </w:rPr>
      </w:pPr>
      <w:r>
        <w:rPr>
          <w:rFonts w:ascii="宋体" w:hAnsi="宋体" w:eastAsia="宋体"/>
        </w:rPr>
        <w:br w:type="page"/>
      </w:r>
    </w:p>
    <w:p w14:paraId="3DCF0FE1">
      <w:pPr>
        <w:pStyle w:val="2"/>
        <w:jc w:val="center"/>
        <w:rPr>
          <w:rFonts w:ascii="宋体" w:hAnsi="宋体" w:eastAsia="宋体"/>
          <w:sz w:val="30"/>
        </w:rPr>
      </w:pPr>
      <w:bookmarkStart w:id="166" w:name="chapter_level1_15_64"/>
      <w:bookmarkStart w:id="167" w:name="_Toc239193707"/>
      <w:r>
        <w:rPr>
          <w:rFonts w:hint="eastAsia" w:ascii="宋体" w:hAnsi="宋体" w:eastAsia="宋体"/>
          <w:sz w:val="30"/>
        </w:rPr>
        <w:t>第十二部分  基金的收益与分配</w:t>
      </w:r>
      <w:bookmarkEnd w:id="166"/>
      <w:bookmarkEnd w:id="167"/>
    </w:p>
    <w:p w14:paraId="194A2B59">
      <w:pPr>
        <w:pStyle w:val="7"/>
        <w:spacing w:before="0" w:beforeAutospacing="0" w:after="0" w:afterAutospacing="0" w:line="360" w:lineRule="auto"/>
        <w:ind w:firstLine="420"/>
        <w:rPr>
          <w:sz w:val="21"/>
          <w:szCs w:val="21"/>
        </w:rPr>
      </w:pPr>
      <w:bookmarkStart w:id="168" w:name="chapter_level1_15_64_section_1"/>
      <w:bookmarkEnd w:id="168"/>
      <w:r>
        <w:rPr>
          <w:rStyle w:val="11"/>
          <w:rFonts w:hint="eastAsia"/>
          <w:sz w:val="21"/>
          <w:szCs w:val="21"/>
        </w:rPr>
        <w:t>一、基金利润的构成</w:t>
      </w:r>
    </w:p>
    <w:p w14:paraId="427A7337">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7388A6FF">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14:paraId="02832C4B">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0D9A9A1D">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227C8F8E">
      <w:pPr>
        <w:pStyle w:val="7"/>
        <w:spacing w:before="0" w:beforeAutospacing="0" w:after="0" w:afterAutospacing="0" w:line="360" w:lineRule="auto"/>
        <w:ind w:firstLine="420"/>
        <w:rPr>
          <w:sz w:val="21"/>
          <w:szCs w:val="21"/>
        </w:rPr>
      </w:pPr>
      <w:r>
        <w:rPr>
          <w:rFonts w:hint="eastAsia"/>
          <w:sz w:val="21"/>
          <w:szCs w:val="21"/>
        </w:rPr>
        <w:t xml:space="preserve">1、由于本基金A类基金份额不收取销售服务费，而C类基金份额收取销售服务费，各基金份额类别对应的可供分配利润将有所不同，本基金同一类别的每一基金份额享有同等分配权； </w:t>
      </w:r>
    </w:p>
    <w:p w14:paraId="5A9D59CB">
      <w:pPr>
        <w:pStyle w:val="7"/>
        <w:spacing w:before="0" w:beforeAutospacing="0" w:after="0" w:afterAutospacing="0" w:line="360" w:lineRule="auto"/>
        <w:ind w:firstLine="420"/>
        <w:rPr>
          <w:sz w:val="21"/>
          <w:szCs w:val="21"/>
        </w:rPr>
      </w:pPr>
      <w:r>
        <w:rPr>
          <w:rFonts w:hint="eastAsia"/>
          <w:sz w:val="21"/>
          <w:szCs w:val="21"/>
        </w:rPr>
        <w:t xml:space="preserve">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通过红利再投资所得基金份额的最短持有期起始日与该认/申购份额最短持有期起始日相同； </w:t>
      </w:r>
    </w:p>
    <w:p w14:paraId="3F72BA1A">
      <w:pPr>
        <w:pStyle w:val="7"/>
        <w:spacing w:before="0" w:beforeAutospacing="0" w:after="0" w:afterAutospacing="0" w:line="360" w:lineRule="auto"/>
        <w:ind w:firstLine="420"/>
        <w:rPr>
          <w:sz w:val="21"/>
          <w:szCs w:val="21"/>
        </w:rPr>
      </w:pPr>
      <w:r>
        <w:rPr>
          <w:rFonts w:hint="eastAsia"/>
          <w:sz w:val="21"/>
          <w:szCs w:val="21"/>
        </w:rPr>
        <w:t xml:space="preserve">3、基金收益分配后各类基金份额净值不能低于面值，即基金收益分配基准日的各类基金份额净值减去每单位该类基金份额收益分配金额后不能低于面值； </w:t>
      </w:r>
    </w:p>
    <w:p w14:paraId="5283C25A">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7CBF0739">
      <w:pPr>
        <w:pStyle w:val="7"/>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w:t>
      </w:r>
      <w:bookmarkStart w:id="169" w:name="chapter_level1_15_64_section_1_end"/>
      <w:bookmarkEnd w:id="169"/>
      <w:r>
        <w:rPr>
          <w:rFonts w:hint="eastAsia"/>
          <w:sz w:val="21"/>
          <w:szCs w:val="21"/>
        </w:rPr>
        <w:t xml:space="preserve">基金管理人可对基金收益分配原则和支付方式进行调整，不需召开基金份额持有人大会。 </w:t>
      </w:r>
    </w:p>
    <w:p w14:paraId="27B8B734">
      <w:pPr>
        <w:pStyle w:val="7"/>
        <w:spacing w:before="0" w:beforeAutospacing="0" w:after="0" w:afterAutospacing="0" w:line="360" w:lineRule="auto"/>
        <w:ind w:firstLine="420"/>
        <w:rPr>
          <w:sz w:val="21"/>
          <w:szCs w:val="21"/>
        </w:rPr>
      </w:pPr>
      <w:bookmarkStart w:id="170" w:name="chapter_level1_15_64_section_2"/>
      <w:bookmarkEnd w:id="170"/>
      <w:r>
        <w:rPr>
          <w:rStyle w:val="11"/>
          <w:rFonts w:hint="eastAsia"/>
          <w:sz w:val="21"/>
          <w:szCs w:val="21"/>
        </w:rPr>
        <w:t>四、收益分配方案</w:t>
      </w:r>
    </w:p>
    <w:p w14:paraId="2ABBAD03">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7FED9CFD">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14:paraId="59F81278">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本基金收益分配方案由基金管理人拟定，并由基金托管人复核，按规定在指定媒介公告。 </w:t>
      </w:r>
    </w:p>
    <w:p w14:paraId="4AE8AD0B">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14:paraId="0FDE5FA1">
      <w:pPr>
        <w:pStyle w:val="7"/>
        <w:spacing w:before="0" w:beforeAutospacing="0" w:after="0" w:afterAutospacing="0" w:line="360" w:lineRule="auto"/>
        <w:ind w:firstLine="420"/>
        <w:rPr>
          <w:sz w:val="21"/>
          <w:szCs w:val="21"/>
        </w:rPr>
      </w:pPr>
      <w:r>
        <w:rPr>
          <w:rFonts w:hint="eastAsia"/>
          <w:sz w:val="21"/>
          <w:szCs w:val="21"/>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w:t>
      </w:r>
      <w:bookmarkStart w:id="171" w:name="chapter_level1_15_64_section_2_end"/>
      <w:bookmarkEnd w:id="171"/>
      <w:r>
        <w:rPr>
          <w:rFonts w:hint="eastAsia"/>
          <w:sz w:val="21"/>
          <w:szCs w:val="21"/>
        </w:rPr>
        <w:t xml:space="preserve">执行。 </w:t>
      </w:r>
    </w:p>
    <w:p w14:paraId="28B677AA">
      <w:pPr>
        <w:widowControl/>
        <w:jc w:val="left"/>
        <w:rPr>
          <w:rFonts w:ascii="宋体" w:hAnsi="宋体" w:eastAsia="宋体"/>
        </w:rPr>
      </w:pPr>
      <w:r>
        <w:rPr>
          <w:rFonts w:ascii="宋体" w:hAnsi="宋体" w:eastAsia="宋体"/>
        </w:rPr>
        <w:br w:type="page"/>
      </w:r>
    </w:p>
    <w:p w14:paraId="2EB992D3">
      <w:pPr>
        <w:pStyle w:val="2"/>
        <w:jc w:val="center"/>
        <w:rPr>
          <w:rFonts w:ascii="宋体" w:hAnsi="宋体" w:eastAsia="宋体"/>
          <w:sz w:val="30"/>
        </w:rPr>
      </w:pPr>
      <w:bookmarkStart w:id="172" w:name="chapter_level1_16_65"/>
      <w:bookmarkStart w:id="173" w:name="_Toc239193708"/>
      <w:r>
        <w:rPr>
          <w:rFonts w:hint="eastAsia" w:ascii="宋体" w:hAnsi="宋体" w:eastAsia="宋体"/>
          <w:sz w:val="30"/>
        </w:rPr>
        <w:t>第十三部分  基金的费用与税收</w:t>
      </w:r>
      <w:bookmarkEnd w:id="172"/>
      <w:bookmarkEnd w:id="173"/>
    </w:p>
    <w:p w14:paraId="2C02EDA8">
      <w:pPr>
        <w:pStyle w:val="7"/>
        <w:spacing w:before="0" w:beforeAutospacing="0" w:after="0" w:afterAutospacing="0" w:line="360" w:lineRule="auto"/>
        <w:ind w:firstLine="420"/>
        <w:rPr>
          <w:sz w:val="21"/>
          <w:szCs w:val="21"/>
        </w:rPr>
      </w:pPr>
      <w:bookmarkStart w:id="174" w:name="chapter_level1_16_65_section_1"/>
      <w:bookmarkEnd w:id="174"/>
      <w:r>
        <w:rPr>
          <w:rStyle w:val="11"/>
          <w:rFonts w:hint="eastAsia"/>
          <w:sz w:val="21"/>
          <w:szCs w:val="21"/>
        </w:rPr>
        <w:t>一、基金费用的种类</w:t>
      </w:r>
    </w:p>
    <w:p w14:paraId="16DDEB73">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2D42F39D">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4ADE2616">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5E3A29E2">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4CFA6C1C">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5、《基金合同》生效后与基金相关的会计师费、律师费、诉讼费和仲裁费； </w:t>
      </w:r>
    </w:p>
    <w:p w14:paraId="676DA356">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0C9CF807">
      <w:pPr>
        <w:pStyle w:val="7"/>
        <w:spacing w:before="0" w:beforeAutospacing="0" w:after="0" w:afterAutospacing="0" w:line="360" w:lineRule="auto"/>
        <w:ind w:firstLine="420"/>
        <w:rPr>
          <w:sz w:val="21"/>
          <w:szCs w:val="21"/>
        </w:rPr>
      </w:pPr>
      <w:r>
        <w:rPr>
          <w:rFonts w:hint="eastAsia"/>
          <w:sz w:val="21"/>
          <w:szCs w:val="21"/>
        </w:rPr>
        <w:t xml:space="preserve">7、基金的证券、期货、股票期权交易费用； </w:t>
      </w:r>
    </w:p>
    <w:p w14:paraId="4DC4677D">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14:paraId="68C3D1E1">
      <w:pPr>
        <w:pStyle w:val="7"/>
        <w:spacing w:before="0" w:beforeAutospacing="0" w:after="0" w:afterAutospacing="0" w:line="360" w:lineRule="auto"/>
        <w:ind w:firstLine="420"/>
        <w:rPr>
          <w:sz w:val="21"/>
          <w:szCs w:val="21"/>
        </w:rPr>
      </w:pPr>
      <w:r>
        <w:rPr>
          <w:rFonts w:hint="eastAsia"/>
          <w:sz w:val="21"/>
          <w:szCs w:val="21"/>
        </w:rPr>
        <w:t xml:space="preserve">9、账户开户费用、账户维护费用； </w:t>
      </w:r>
    </w:p>
    <w:p w14:paraId="187EFD2B">
      <w:pPr>
        <w:pStyle w:val="7"/>
        <w:spacing w:before="0" w:beforeAutospacing="0" w:after="0" w:afterAutospacing="0" w:line="360" w:lineRule="auto"/>
        <w:ind w:firstLine="420"/>
        <w:rPr>
          <w:sz w:val="21"/>
          <w:szCs w:val="21"/>
        </w:rPr>
      </w:pPr>
      <w:r>
        <w:rPr>
          <w:rFonts w:hint="eastAsia"/>
          <w:sz w:val="21"/>
          <w:szCs w:val="21"/>
        </w:rPr>
        <w:t xml:space="preserve">10、因投资港股通标的股票而产生的各项合理费用； </w:t>
      </w:r>
    </w:p>
    <w:p w14:paraId="2D9BC19A">
      <w:pPr>
        <w:pStyle w:val="7"/>
        <w:spacing w:before="0" w:beforeAutospacing="0" w:after="0" w:afterAutospacing="0" w:line="360" w:lineRule="auto"/>
        <w:ind w:firstLine="420"/>
        <w:rPr>
          <w:sz w:val="21"/>
          <w:szCs w:val="21"/>
        </w:rPr>
      </w:pPr>
      <w:r>
        <w:rPr>
          <w:rFonts w:hint="eastAsia"/>
          <w:sz w:val="21"/>
          <w:szCs w:val="21"/>
        </w:rPr>
        <w:t xml:space="preserve">11、按照国家有关规定和《基金合同》约定，可以在基金财产中列支的其他费用。 </w:t>
      </w:r>
    </w:p>
    <w:p w14:paraId="3030166F">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14:paraId="0C0A76DD">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4B72B578">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75" w:name="field_0_managementrate_1"/>
      <w:r>
        <w:rPr>
          <w:sz w:val="21"/>
          <w:szCs w:val="21"/>
        </w:rPr>
        <w:t>0.80</w:t>
      </w:r>
      <w:bookmarkEnd w:id="175"/>
      <w:r>
        <w:rPr>
          <w:rFonts w:hint="eastAsia"/>
          <w:sz w:val="21"/>
          <w:szCs w:val="21"/>
        </w:rPr>
        <w:t xml:space="preserve">%年费率计提。管理费的计算方法如下： </w:t>
      </w:r>
    </w:p>
    <w:p w14:paraId="52CF1F2B">
      <w:pPr>
        <w:pStyle w:val="7"/>
        <w:spacing w:before="0" w:beforeAutospacing="0" w:after="0" w:afterAutospacing="0" w:line="360" w:lineRule="auto"/>
        <w:ind w:firstLine="420"/>
        <w:rPr>
          <w:sz w:val="21"/>
          <w:szCs w:val="21"/>
        </w:rPr>
      </w:pPr>
      <w:r>
        <w:rPr>
          <w:rFonts w:hint="eastAsia"/>
          <w:sz w:val="21"/>
          <w:szCs w:val="21"/>
        </w:rPr>
        <w:t>H＝E×</w:t>
      </w:r>
      <w:bookmarkStart w:id="176" w:name="field_0_managementrate_2"/>
      <w:r>
        <w:rPr>
          <w:sz w:val="21"/>
          <w:szCs w:val="21"/>
        </w:rPr>
        <w:t>0.80</w:t>
      </w:r>
      <w:bookmarkEnd w:id="176"/>
      <w:r>
        <w:rPr>
          <w:rFonts w:hint="eastAsia"/>
          <w:sz w:val="21"/>
          <w:szCs w:val="21"/>
        </w:rPr>
        <w:t xml:space="preserve">%÷当年天数 </w:t>
      </w:r>
    </w:p>
    <w:p w14:paraId="303896D0">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7E1C7DC2">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034F4C40">
      <w:pPr>
        <w:pStyle w:val="7"/>
        <w:spacing w:before="0" w:beforeAutospacing="0" w:after="0" w:afterAutospacing="0" w:line="360" w:lineRule="auto"/>
        <w:ind w:firstLine="420"/>
        <w:rPr>
          <w:sz w:val="21"/>
          <w:szCs w:val="21"/>
        </w:rPr>
      </w:pPr>
      <w:r>
        <w:rPr>
          <w:rFonts w:hint="eastAsia"/>
          <w:sz w:val="21"/>
          <w:szCs w:val="21"/>
        </w:rPr>
        <w:t xml:space="preserve">基金管理费每日计提，逐日累计至每月月末，按月支付，由基金托管人根据与基金管理人核对一致的财务数据，自动在月初3个工作日内、按照指定的账户路径进行资金支付，基金管理人无需再出具资金划拨指令。若遇法定节假日、公休假或不可抗力等，支付日期顺延。费用自动扣划后，基金管理人应进行核对，如发现数据不符，及时联系基金托管人协商解决。 </w:t>
      </w:r>
    </w:p>
    <w:p w14:paraId="3FCBF118">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73928C67">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77" w:name="field_0_trusteerate_1"/>
      <w:r>
        <w:rPr>
          <w:sz w:val="21"/>
          <w:szCs w:val="21"/>
        </w:rPr>
        <w:t>0.15</w:t>
      </w:r>
      <w:bookmarkEnd w:id="177"/>
      <w:r>
        <w:rPr>
          <w:rFonts w:hint="eastAsia"/>
          <w:sz w:val="21"/>
          <w:szCs w:val="21"/>
        </w:rPr>
        <w:t xml:space="preserve">%年费率计提。托管费的计算方法如下： </w:t>
      </w:r>
    </w:p>
    <w:p w14:paraId="7EE62231">
      <w:pPr>
        <w:pStyle w:val="7"/>
        <w:spacing w:before="0" w:beforeAutospacing="0" w:after="0" w:afterAutospacing="0" w:line="360" w:lineRule="auto"/>
        <w:ind w:firstLine="420"/>
        <w:rPr>
          <w:sz w:val="21"/>
          <w:szCs w:val="21"/>
        </w:rPr>
      </w:pPr>
      <w:r>
        <w:rPr>
          <w:rFonts w:hint="eastAsia"/>
          <w:sz w:val="21"/>
          <w:szCs w:val="21"/>
        </w:rPr>
        <w:t>H＝E×</w:t>
      </w:r>
      <w:bookmarkStart w:id="178" w:name="field_0_trusteerate_2"/>
      <w:r>
        <w:rPr>
          <w:sz w:val="21"/>
          <w:szCs w:val="21"/>
        </w:rPr>
        <w:t>0.15</w:t>
      </w:r>
      <w:bookmarkEnd w:id="178"/>
      <w:r>
        <w:rPr>
          <w:rFonts w:hint="eastAsia"/>
          <w:sz w:val="21"/>
          <w:szCs w:val="21"/>
        </w:rPr>
        <w:t xml:space="preserve">%÷当年天数 </w:t>
      </w:r>
    </w:p>
    <w:p w14:paraId="607B4589">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1BA35975">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33F137FB">
      <w:pPr>
        <w:pStyle w:val="7"/>
        <w:spacing w:before="0" w:beforeAutospacing="0" w:after="0" w:afterAutospacing="0" w:line="360" w:lineRule="auto"/>
        <w:ind w:firstLine="420"/>
        <w:rPr>
          <w:sz w:val="21"/>
          <w:szCs w:val="21"/>
        </w:rPr>
      </w:pPr>
      <w:r>
        <w:rPr>
          <w:rFonts w:hint="eastAsia"/>
          <w:sz w:val="21"/>
          <w:szCs w:val="21"/>
        </w:rPr>
        <w:t xml:space="preserve">基金托管费每日计提，逐日累计至每月月末，按月支付，由基金托管人根据与基金管理人核对一致的财务数据，自动在月初3个工作日内、按照指定的账户路径进行资金支付，基金管理人无需再出具资金划拨指令。若遇法定节假日、公休假或不可抗力等，支付日期顺延。费用自动扣划后，基金管理人应进行核对，如发现数据不符，及时联系基金托管人协商解决。 </w:t>
      </w:r>
    </w:p>
    <w:p w14:paraId="232EB3CB">
      <w:pPr>
        <w:pStyle w:val="7"/>
        <w:spacing w:before="0" w:beforeAutospacing="0" w:after="0" w:afterAutospacing="0" w:line="360" w:lineRule="auto"/>
        <w:ind w:firstLine="420"/>
        <w:rPr>
          <w:sz w:val="21"/>
          <w:szCs w:val="21"/>
        </w:rPr>
      </w:pPr>
      <w:r>
        <w:rPr>
          <w:rFonts w:hint="eastAsia"/>
          <w:sz w:val="21"/>
          <w:szCs w:val="21"/>
        </w:rPr>
        <w:t xml:space="preserve">3、C类份额的销售服务费 </w:t>
      </w:r>
    </w:p>
    <w:p w14:paraId="0DB36D9C">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本基金A类基金份额不收取销售服务费，C类基金份额的销售服务费年费率为0.45%。 </w:t>
      </w:r>
    </w:p>
    <w:p w14:paraId="2773579C">
      <w:pPr>
        <w:pStyle w:val="7"/>
        <w:spacing w:before="0" w:beforeAutospacing="0" w:after="0" w:afterAutospacing="0" w:line="360" w:lineRule="auto"/>
        <w:ind w:firstLine="420"/>
        <w:rPr>
          <w:sz w:val="21"/>
          <w:szCs w:val="21"/>
        </w:rPr>
      </w:pPr>
      <w:r>
        <w:rPr>
          <w:rFonts w:hint="eastAsia"/>
          <w:sz w:val="21"/>
          <w:szCs w:val="21"/>
        </w:rPr>
        <w:t xml:space="preserve">本基金销售服务费按前一日C类基金资产净值的0.45%年费率计提。计算方法如下： </w:t>
      </w:r>
    </w:p>
    <w:p w14:paraId="27D9645B">
      <w:pPr>
        <w:pStyle w:val="7"/>
        <w:spacing w:before="0" w:beforeAutospacing="0" w:after="0" w:afterAutospacing="0" w:line="360" w:lineRule="auto"/>
        <w:ind w:firstLine="420"/>
        <w:rPr>
          <w:sz w:val="21"/>
          <w:szCs w:val="21"/>
        </w:rPr>
      </w:pPr>
      <w:r>
        <w:rPr>
          <w:rFonts w:hint="eastAsia"/>
          <w:sz w:val="21"/>
          <w:szCs w:val="21"/>
        </w:rPr>
        <w:t xml:space="preserve">H＝E×年销售服务费率÷当年天数 </w:t>
      </w:r>
    </w:p>
    <w:p w14:paraId="63E5ABD5">
      <w:pPr>
        <w:pStyle w:val="7"/>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14:paraId="75D442E7">
      <w:pPr>
        <w:pStyle w:val="7"/>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14:paraId="35F6F6A1">
      <w:pPr>
        <w:pStyle w:val="7"/>
        <w:spacing w:before="0" w:beforeAutospacing="0" w:after="0" w:afterAutospacing="0" w:line="360" w:lineRule="auto"/>
        <w:ind w:firstLine="420"/>
        <w:rPr>
          <w:sz w:val="21"/>
          <w:szCs w:val="21"/>
        </w:rPr>
      </w:pPr>
      <w:r>
        <w:rPr>
          <w:rFonts w:hint="eastAsia"/>
          <w:sz w:val="21"/>
          <w:szCs w:val="21"/>
        </w:rPr>
        <w:t xml:space="preserve">基金销售服务费每日计提，逐日累计至每月月末，按月支付。由基金托管人根据与基金管理人核对一致的财务数据，自动在月初3个工作日内、按照指定的账户路径进行资金支付，基金管理人无需再出具资金划拨指令。若遇法定节假日、公休假或不可抗力等，支付日期顺延。费用自动扣划后，基金管理人应进行核对，如发现数据不符，及时联系基金托管人协商解决。 </w:t>
      </w:r>
    </w:p>
    <w:p w14:paraId="39AB6B59">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上述“一、基金费用的种类”中第4－11项费用，根据有关法规及相应协议规定，按费用实际支出金额列入当期费用，由基金托管人从基金财产中支付。 </w:t>
      </w:r>
    </w:p>
    <w:p w14:paraId="6BDF7B98">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14:paraId="0E8E2E03">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3BB85EDE">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2BDA1129">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24A37236">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5A6876D2">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7A0979B9">
      <w:pPr>
        <w:pStyle w:val="7"/>
        <w:spacing w:before="0" w:beforeAutospacing="0" w:after="0" w:afterAutospacing="0" w:line="360" w:lineRule="auto"/>
        <w:ind w:firstLine="420"/>
        <w:rPr>
          <w:sz w:val="21"/>
          <w:szCs w:val="21"/>
        </w:rPr>
      </w:pPr>
      <w:r>
        <w:rPr>
          <w:rStyle w:val="11"/>
          <w:rFonts w:hint="eastAsia"/>
          <w:sz w:val="21"/>
          <w:szCs w:val="21"/>
        </w:rPr>
        <w:t>四、基金税收</w:t>
      </w:r>
    </w:p>
    <w:p w14:paraId="2119ABCE">
      <w:pPr>
        <w:pStyle w:val="7"/>
        <w:spacing w:before="0" w:beforeAutospacing="0" w:after="0" w:afterAutospacing="0" w:line="360" w:lineRule="auto"/>
        <w:ind w:firstLine="420"/>
        <w:rPr>
          <w:sz w:val="21"/>
          <w:szCs w:val="21"/>
        </w:rPr>
      </w:pPr>
      <w:r>
        <w:rPr>
          <w:rFonts w:hint="eastAsia"/>
          <w:sz w:val="21"/>
          <w:szCs w:val="21"/>
        </w:rPr>
        <w:t xml:space="preserve">本基金运作过程中涉及的各纳税主体，其纳税义务按国家税收法律、法规执行。 </w:t>
      </w:r>
    </w:p>
    <w:p w14:paraId="094AC48A">
      <w:pPr>
        <w:pStyle w:val="7"/>
        <w:spacing w:before="0" w:beforeAutospacing="0" w:after="0" w:afterAutospacing="0" w:line="360" w:lineRule="auto"/>
        <w:ind w:firstLine="420"/>
        <w:rPr>
          <w:sz w:val="21"/>
          <w:szCs w:val="21"/>
        </w:rPr>
      </w:pPr>
      <w:r>
        <w:rPr>
          <w:rFonts w:hint="eastAsia"/>
          <w:sz w:val="21"/>
          <w:szCs w:val="21"/>
        </w:rPr>
        <w:t xml:space="preserve">基金财产投资的相关税收，由基金份额持有人承担，基金管理人或者其他扣缴义务人按照国家有关税收征收的规定代扣代缴。 </w:t>
      </w:r>
    </w:p>
    <w:p w14:paraId="3D511726">
      <w:pPr>
        <w:widowControl/>
        <w:jc w:val="left"/>
        <w:rPr>
          <w:rFonts w:ascii="宋体" w:hAnsi="宋体" w:eastAsia="宋体"/>
        </w:rPr>
      </w:pPr>
      <w:bookmarkStart w:id="179" w:name="chapter_level1_16_65_section_1_end"/>
      <w:bookmarkEnd w:id="179"/>
      <w:r>
        <w:rPr>
          <w:rFonts w:ascii="宋体" w:hAnsi="宋体" w:eastAsia="宋体"/>
        </w:rPr>
        <w:br w:type="page"/>
      </w:r>
    </w:p>
    <w:p w14:paraId="08DB05D1">
      <w:pPr>
        <w:pStyle w:val="2"/>
        <w:jc w:val="center"/>
        <w:rPr>
          <w:rFonts w:ascii="宋体" w:hAnsi="宋体" w:eastAsia="宋体"/>
          <w:sz w:val="30"/>
        </w:rPr>
      </w:pPr>
      <w:bookmarkStart w:id="180" w:name="chapter_level1_17_66"/>
      <w:bookmarkStart w:id="181" w:name="_Toc239193709"/>
      <w:r>
        <w:rPr>
          <w:rFonts w:hint="eastAsia" w:ascii="宋体" w:hAnsi="宋体" w:eastAsia="宋体"/>
          <w:sz w:val="30"/>
        </w:rPr>
        <w:t>第十四部分  基金的会计与审计</w:t>
      </w:r>
      <w:bookmarkEnd w:id="180"/>
      <w:bookmarkEnd w:id="181"/>
    </w:p>
    <w:p w14:paraId="0BF96484">
      <w:pPr>
        <w:pStyle w:val="7"/>
        <w:spacing w:before="0" w:beforeAutospacing="0" w:after="0" w:afterAutospacing="0" w:line="360" w:lineRule="auto"/>
        <w:ind w:firstLine="420"/>
        <w:rPr>
          <w:sz w:val="21"/>
          <w:szCs w:val="21"/>
        </w:rPr>
      </w:pPr>
      <w:bookmarkStart w:id="182" w:name="chapter_level1_17_66_section_1"/>
      <w:bookmarkEnd w:id="182"/>
      <w:r>
        <w:rPr>
          <w:rStyle w:val="11"/>
          <w:rFonts w:hint="eastAsia"/>
          <w:sz w:val="21"/>
          <w:szCs w:val="21"/>
        </w:rPr>
        <w:t>一、基金会计政策</w:t>
      </w:r>
    </w:p>
    <w:p w14:paraId="683EF1D0">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2277C981">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3AB6EED2">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2D5C7CDD">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0F5F8693">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5F2DDCD0">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42105331">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3DE43559">
      <w:pPr>
        <w:pStyle w:val="7"/>
        <w:spacing w:before="0" w:beforeAutospacing="0" w:after="0" w:afterAutospacing="0" w:line="360" w:lineRule="auto"/>
        <w:ind w:firstLine="420"/>
        <w:rPr>
          <w:sz w:val="21"/>
          <w:szCs w:val="21"/>
        </w:rPr>
      </w:pPr>
      <w:r>
        <w:rPr>
          <w:rStyle w:val="11"/>
          <w:rFonts w:hint="eastAsia"/>
          <w:sz w:val="21"/>
          <w:szCs w:val="21"/>
        </w:rPr>
        <w:t>二、基金的年度审计</w:t>
      </w:r>
    </w:p>
    <w:p w14:paraId="1323F5C2">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14:paraId="2FC78D11">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3A694D8E">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83" w:name="chapter_level1_17_66_section_1_end"/>
      <w:bookmarkEnd w:id="183"/>
      <w:r>
        <w:rPr>
          <w:rFonts w:hint="eastAsia"/>
          <w:sz w:val="21"/>
          <w:szCs w:val="21"/>
        </w:rPr>
        <w:t xml:space="preserve">务所需按规定在指定媒介公告。 </w:t>
      </w:r>
    </w:p>
    <w:p w14:paraId="0768595B">
      <w:pPr>
        <w:widowControl/>
        <w:jc w:val="left"/>
        <w:rPr>
          <w:rFonts w:ascii="宋体" w:hAnsi="宋体" w:eastAsia="宋体"/>
        </w:rPr>
      </w:pPr>
      <w:r>
        <w:rPr>
          <w:rFonts w:ascii="宋体" w:hAnsi="宋体" w:eastAsia="宋体"/>
        </w:rPr>
        <w:br w:type="page"/>
      </w:r>
    </w:p>
    <w:p w14:paraId="2E8EF7AE">
      <w:pPr>
        <w:pStyle w:val="2"/>
        <w:jc w:val="center"/>
        <w:rPr>
          <w:rFonts w:ascii="宋体" w:hAnsi="宋体" w:eastAsia="宋体"/>
          <w:sz w:val="30"/>
        </w:rPr>
      </w:pPr>
      <w:bookmarkStart w:id="184" w:name="_Toc239193710"/>
      <w:bookmarkStart w:id="185" w:name="chapter_level1_18_67"/>
      <w:r>
        <w:rPr>
          <w:rFonts w:hint="eastAsia" w:ascii="宋体" w:hAnsi="宋体" w:eastAsia="宋体"/>
          <w:sz w:val="30"/>
        </w:rPr>
        <w:t>第十五部分  基金的信息披露</w:t>
      </w:r>
      <w:bookmarkEnd w:id="184"/>
      <w:bookmarkEnd w:id="185"/>
    </w:p>
    <w:p w14:paraId="2A3EC324">
      <w:pPr>
        <w:pStyle w:val="7"/>
        <w:spacing w:before="0" w:beforeAutospacing="0" w:after="0" w:afterAutospacing="0" w:line="360" w:lineRule="auto"/>
        <w:ind w:firstLine="420"/>
        <w:rPr>
          <w:sz w:val="21"/>
          <w:szCs w:val="21"/>
        </w:rPr>
      </w:pPr>
      <w:bookmarkStart w:id="186" w:name="chapter_level1_18_67_section_1"/>
      <w:bookmarkEnd w:id="186"/>
      <w:r>
        <w:rPr>
          <w:rStyle w:val="11"/>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14:paraId="066A83EE">
      <w:pPr>
        <w:pStyle w:val="7"/>
        <w:spacing w:before="0" w:beforeAutospacing="0" w:after="0" w:afterAutospacing="0" w:line="360" w:lineRule="auto"/>
        <w:ind w:firstLine="420"/>
        <w:rPr>
          <w:sz w:val="21"/>
          <w:szCs w:val="21"/>
        </w:rPr>
      </w:pPr>
      <w:r>
        <w:rPr>
          <w:rStyle w:val="11"/>
          <w:rFonts w:hint="eastAsia"/>
          <w:sz w:val="21"/>
          <w:szCs w:val="21"/>
        </w:rPr>
        <w:t>二、信息披露义务人</w:t>
      </w:r>
    </w:p>
    <w:p w14:paraId="1640090B">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本基金信息披露义务人包括基金管理人、基金托管人、召集基金份额持有人大会的基金份额持有人等法律法规和中国证监会规定的自然人、法人和非法人组织。 </w:t>
      </w:r>
    </w:p>
    <w:p w14:paraId="2E6DD3FE">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56F0CF11">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的全国性报刊（以下简称“指定报刊”）和指定互联网网站（以下简称“指定网站”，包括基金管理人网站、基金托管人网站、中国证监会基金电子披露网站）等媒介披露，并保证基金投资者能够按照《基金合同》约定的时间和方式查阅或者复制公开披露的信息资料。 </w:t>
      </w:r>
    </w:p>
    <w:p w14:paraId="20D16234">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14:paraId="29EDC5F1">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0E92AE3C">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20B70097">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43CB393B">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23038940">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5、登载任何自然人、法人和非法人组织的祝贺性、恭维性或推荐性文字； </w:t>
      </w:r>
    </w:p>
    <w:p w14:paraId="4F888A9F">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3438CC0E">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14:paraId="69669CE3">
      <w:pPr>
        <w:pStyle w:val="7"/>
        <w:spacing w:before="0" w:beforeAutospacing="0" w:after="0" w:afterAutospacing="0" w:line="360" w:lineRule="auto"/>
        <w:ind w:firstLine="420"/>
        <w:rPr>
          <w:sz w:val="21"/>
          <w:szCs w:val="21"/>
        </w:rPr>
      </w:pPr>
      <w:bookmarkStart w:id="187" w:name="chapter_level1_18_67_section_1_end"/>
      <w:bookmarkEnd w:id="187"/>
      <w:r>
        <w:rPr>
          <w:rFonts w:hint="eastAsia"/>
          <w:sz w:val="21"/>
          <w:szCs w:val="21"/>
        </w:rPr>
        <w:t xml:space="preserve">本基金公开披露的信息采用阿拉伯数字；除特别说明外，货币单位为人民币元。 </w:t>
      </w:r>
    </w:p>
    <w:p w14:paraId="0559DF08">
      <w:pPr>
        <w:pStyle w:val="7"/>
        <w:spacing w:before="0" w:beforeAutospacing="0" w:after="0" w:afterAutospacing="0" w:line="360" w:lineRule="auto"/>
        <w:ind w:firstLine="420"/>
        <w:rPr>
          <w:sz w:val="21"/>
          <w:szCs w:val="21"/>
        </w:rPr>
      </w:pPr>
      <w:bookmarkStart w:id="188" w:name="chapter_level1_18_67_section_2"/>
      <w:bookmarkEnd w:id="188"/>
      <w:r>
        <w:rPr>
          <w:rStyle w:val="11"/>
          <w:rFonts w:hint="eastAsia"/>
          <w:sz w:val="21"/>
          <w:szCs w:val="21"/>
        </w:rPr>
        <w:t>五、公开披露的基金信息</w:t>
      </w:r>
    </w:p>
    <w:p w14:paraId="4C85601D">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0EC25E42">
      <w:pPr>
        <w:pStyle w:val="7"/>
        <w:spacing w:before="0" w:beforeAutospacing="0" w:after="0" w:afterAutospacing="0" w:line="360" w:lineRule="auto"/>
        <w:ind w:firstLine="420"/>
        <w:rPr>
          <w:sz w:val="21"/>
          <w:szCs w:val="21"/>
        </w:rPr>
      </w:pPr>
      <w:r>
        <w:rPr>
          <w:rFonts w:hint="eastAsia"/>
          <w:sz w:val="21"/>
          <w:szCs w:val="21"/>
        </w:rPr>
        <w:t xml:space="preserve">（一）基金招募说明书、基金产品资料概要、《基金合同》、基金托管协议、基金份额发售公告 </w:t>
      </w:r>
    </w:p>
    <w:p w14:paraId="148AEB76">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68954EAD">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 </w:t>
      </w:r>
    </w:p>
    <w:p w14:paraId="3E6FD4B7">
      <w:pPr>
        <w:pStyle w:val="7"/>
        <w:spacing w:before="0" w:beforeAutospacing="0" w:after="0" w:afterAutospacing="0" w:line="360" w:lineRule="auto"/>
        <w:ind w:firstLine="420"/>
        <w:rPr>
          <w:sz w:val="21"/>
          <w:szCs w:val="21"/>
        </w:rPr>
      </w:pPr>
      <w:r>
        <w:rPr>
          <w:rFonts w:hint="eastAsia"/>
          <w:sz w:val="21"/>
          <w:szCs w:val="21"/>
        </w:rPr>
        <w:t xml:space="preserve">基金产品资料概要是基金招募说明书的摘要文件，用于向投资者提供简明的基金概要信息。基金管理人应当依照法律法规和中国证监会的规定编制、披露与更新基金产品资料概要。基金合同生效后，基金招募说明书、基金产品资料概要的信息发生重大变更的，基金管理人应当在三个工作日内，更新基金招募说明书和基金产品资料概要，并登载在指定网站上，其中基金产品资料概要还应当登载在基金销售机构网站或营业网点。除此之外，基金招募说明书、基金产品资料概要其他信息发生变更的，基金管理人至少每年更新一次。 </w:t>
      </w:r>
    </w:p>
    <w:p w14:paraId="0E7B2C31">
      <w:pPr>
        <w:pStyle w:val="7"/>
        <w:spacing w:before="0" w:beforeAutospacing="0" w:after="0" w:afterAutospacing="0" w:line="360" w:lineRule="auto"/>
        <w:ind w:firstLine="420"/>
        <w:rPr>
          <w:sz w:val="21"/>
          <w:szCs w:val="21"/>
        </w:rPr>
      </w:pPr>
      <w:r>
        <w:rPr>
          <w:rFonts w:hint="eastAsia"/>
          <w:sz w:val="21"/>
          <w:szCs w:val="21"/>
        </w:rPr>
        <w:t xml:space="preserve">基金合同出现终止情形的，除基金合同另有约定外，基金管理人可以不再更新基金招募说明书和基金产品资料概要。 </w:t>
      </w:r>
    </w:p>
    <w:p w14:paraId="59B77A2D">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02CCCC07">
      <w:pPr>
        <w:pStyle w:val="7"/>
        <w:spacing w:before="0" w:beforeAutospacing="0" w:after="0" w:afterAutospacing="0" w:line="360" w:lineRule="auto"/>
        <w:ind w:firstLine="420"/>
        <w:rPr>
          <w:sz w:val="21"/>
          <w:szCs w:val="21"/>
        </w:rPr>
      </w:pPr>
      <w:r>
        <w:rPr>
          <w:rFonts w:hint="eastAsia"/>
          <w:sz w:val="21"/>
          <w:szCs w:val="21"/>
        </w:rPr>
        <w:t xml:space="preserve">基金募集申请经中国证监会注册后，基金管理人在基金份额发售的3日前，将基金份额发售公告、基金招募说明书提示性公告和基金合同提示性公告登载在指定报刊上，将基金份额发售公告、基金招募说明书、基金产品资料概要、基金合同和基金托管协议登载在指定网站上，其中基金产品资料概要还应当登载在基金销售机构网站或营业网点；基金托管人应当同时将《基金合同》、基金托管协议登载在指定网站上。 </w:t>
      </w:r>
    </w:p>
    <w:p w14:paraId="18FE239B">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14:paraId="28AFD177">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 </w:t>
      </w:r>
    </w:p>
    <w:p w14:paraId="5F8924DF">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14:paraId="33B3DD7F">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基金管理人应当在收到中国证监会确认文件的次日在指定报刊和指定网站上登载《基金合同》生效公告。 </w:t>
      </w:r>
    </w:p>
    <w:p w14:paraId="3C8C1557">
      <w:pPr>
        <w:pStyle w:val="7"/>
        <w:spacing w:before="0" w:beforeAutospacing="0" w:after="0" w:afterAutospacing="0" w:line="360" w:lineRule="auto"/>
        <w:ind w:firstLine="420"/>
        <w:rPr>
          <w:sz w:val="21"/>
          <w:szCs w:val="21"/>
        </w:rPr>
      </w:pPr>
      <w:r>
        <w:rPr>
          <w:rFonts w:hint="eastAsia"/>
          <w:sz w:val="21"/>
          <w:szCs w:val="21"/>
        </w:rPr>
        <w:t xml:space="preserve">（四）基金净值信息 </w:t>
      </w:r>
    </w:p>
    <w:p w14:paraId="76CAB2F0">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《基金合同》生效后，在开始办理基金份额申购或者赎回前，基金管理人应当至少每周在指定网站公告一次各类基金份额净值和各类基金份额累计净值。 </w:t>
      </w:r>
    </w:p>
    <w:p w14:paraId="0487C10D">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在开始办理基金份额申购或者赎回后，基金管理人应当在不晚于每个开放日的次日，通过指定网站、基金销售机构网站或者营业网点披露开放日的各类基金份额净值和各类基金份额累计净值。 </w:t>
      </w:r>
    </w:p>
    <w:p w14:paraId="3AD4EC6F">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 在指定网站公告半年度和年度最后一日各类基金份额净值和各类基金份额累计净值。 </w:t>
      </w:r>
    </w:p>
    <w:p w14:paraId="78A5B1F6">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4DC21093">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基金管理人应当在《基金合同》、招募说明书等信息披露文件上载明基金份额申购、赎回价格的计算方式及有关申购、赎回费率，并保证投资者能够在基金销售机构网站或者营业网点查阅或者复制前述信息资料。 </w:t>
      </w:r>
    </w:p>
    <w:p w14:paraId="5368309D">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（六）基金定期报告，包括基金年度报告、基金中期报告和基金季度报告（含资产组合季度报告） </w:t>
      </w:r>
    </w:p>
    <w:p w14:paraId="7681DFB7">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于指定网站上，并将年度报告提示性公告登载在指定报刊上。基金年度报告中的财务会计报告应当经过具有证券、期货相关业务资格的会计师事务所审计。 </w:t>
      </w:r>
    </w:p>
    <w:p w14:paraId="63DB18E3">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14:paraId="47C91C86">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14:paraId="1976EF8E">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25BEFFB2">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 </w:t>
      </w:r>
    </w:p>
    <w:p w14:paraId="55FC7EFF">
      <w:pPr>
        <w:pStyle w:val="7"/>
        <w:spacing w:before="0" w:beforeAutospacing="0" w:after="0" w:afterAutospacing="0" w:line="360" w:lineRule="auto"/>
        <w:ind w:firstLine="420"/>
        <w:rPr>
          <w:sz w:val="21"/>
          <w:szCs w:val="21"/>
        </w:rPr>
      </w:pPr>
      <w:r>
        <w:rPr>
          <w:rFonts w:hint="eastAsia"/>
          <w:sz w:val="21"/>
          <w:szCs w:val="21"/>
        </w:rPr>
        <w:t xml:space="preserve">基金管理人应当在基金年度报告和中期报告中披露基金组合资产情况及其流动性风险分析等。 </w:t>
      </w:r>
    </w:p>
    <w:p w14:paraId="422846E8">
      <w:pPr>
        <w:pStyle w:val="7"/>
        <w:spacing w:before="0" w:beforeAutospacing="0" w:after="0" w:afterAutospacing="0" w:line="360" w:lineRule="auto"/>
        <w:ind w:firstLine="420"/>
        <w:rPr>
          <w:sz w:val="21"/>
          <w:szCs w:val="21"/>
        </w:rPr>
      </w:pPr>
      <w:r>
        <w:rPr>
          <w:rFonts w:hint="eastAsia"/>
          <w:sz w:val="21"/>
          <w:szCs w:val="21"/>
        </w:rPr>
        <w:t xml:space="preserve">（七）临时报告 </w:t>
      </w:r>
    </w:p>
    <w:p w14:paraId="07F17528">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本基金发生重大事件，有关信息披露义务人应当按规定编制临时报告书，并登载在指定报刊和指定网站上。 </w:t>
      </w:r>
    </w:p>
    <w:p w14:paraId="411F1943">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7FAC4CBD">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4D3E4DC2">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14:paraId="0B74FEA6">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67E499E6">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 </w:t>
      </w:r>
    </w:p>
    <w:p w14:paraId="1C025196">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16815B8A">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4FB75433">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7、基金管理人变更持有百分之五以上股权的股东、变更基金管理人的实际控制人； </w:t>
      </w:r>
    </w:p>
    <w:p w14:paraId="5DE49CEB">
      <w:pPr>
        <w:pStyle w:val="7"/>
        <w:spacing w:before="0" w:beforeAutospacing="0" w:after="0" w:afterAutospacing="0" w:line="360" w:lineRule="auto"/>
        <w:ind w:firstLine="420"/>
        <w:rPr>
          <w:sz w:val="21"/>
          <w:szCs w:val="21"/>
        </w:rPr>
      </w:pPr>
      <w:r>
        <w:rPr>
          <w:rFonts w:hint="eastAsia"/>
          <w:sz w:val="21"/>
          <w:szCs w:val="21"/>
        </w:rPr>
        <w:t xml:space="preserve">8、基金募集期延长或提前结束募集； </w:t>
      </w:r>
    </w:p>
    <w:p w14:paraId="388B4D7D">
      <w:pPr>
        <w:pStyle w:val="7"/>
        <w:spacing w:before="0" w:beforeAutospacing="0" w:after="0" w:afterAutospacing="0" w:line="360" w:lineRule="auto"/>
        <w:ind w:firstLine="420"/>
        <w:rPr>
          <w:sz w:val="21"/>
          <w:szCs w:val="21"/>
        </w:rPr>
      </w:pPr>
      <w:r>
        <w:rPr>
          <w:rFonts w:hint="eastAsia"/>
          <w:sz w:val="21"/>
          <w:szCs w:val="21"/>
        </w:rPr>
        <w:t xml:space="preserve">9、基金管理人高级管理人员、基金经理和基金托管人专门基金托管部门负责人发生变动； </w:t>
      </w:r>
    </w:p>
    <w:p w14:paraId="014F7AD5">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14:paraId="05C362FB">
      <w:pPr>
        <w:pStyle w:val="7"/>
        <w:spacing w:before="0" w:beforeAutospacing="0" w:after="0" w:afterAutospacing="0" w:line="360" w:lineRule="auto"/>
        <w:ind w:firstLine="420"/>
        <w:rPr>
          <w:sz w:val="21"/>
          <w:szCs w:val="21"/>
        </w:rPr>
      </w:pPr>
      <w:r>
        <w:rPr>
          <w:rFonts w:hint="eastAsia"/>
          <w:sz w:val="21"/>
          <w:szCs w:val="21"/>
        </w:rPr>
        <w:t xml:space="preserve">11、基金管理人、基金托管人专门基金托管部门的主要业务人员在最近12个月内变动超过百分之三十； </w:t>
      </w:r>
    </w:p>
    <w:p w14:paraId="3E37BEF2">
      <w:pPr>
        <w:pStyle w:val="7"/>
        <w:spacing w:before="0" w:beforeAutospacing="0" w:after="0" w:afterAutospacing="0" w:line="360" w:lineRule="auto"/>
        <w:ind w:firstLine="420"/>
        <w:rPr>
          <w:sz w:val="21"/>
          <w:szCs w:val="21"/>
        </w:rPr>
      </w:pPr>
      <w:r>
        <w:rPr>
          <w:rFonts w:hint="eastAsia"/>
          <w:sz w:val="21"/>
          <w:szCs w:val="21"/>
        </w:rPr>
        <w:t xml:space="preserve">12、涉及基金管理业务、基金财产、基金托管业务的诉讼或仲裁； </w:t>
      </w:r>
    </w:p>
    <w:p w14:paraId="09B2EBB1">
      <w:pPr>
        <w:pStyle w:val="7"/>
        <w:spacing w:before="0" w:beforeAutospacing="0" w:after="0" w:afterAutospacing="0" w:line="360" w:lineRule="auto"/>
        <w:ind w:firstLine="420"/>
        <w:rPr>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13A719B0">
      <w:pPr>
        <w:pStyle w:val="7"/>
        <w:spacing w:before="0" w:beforeAutospacing="0" w:after="0" w:afterAutospacing="0" w:line="360" w:lineRule="auto"/>
        <w:ind w:firstLine="420"/>
        <w:rPr>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情形除外； </w:t>
      </w:r>
    </w:p>
    <w:p w14:paraId="53AF59BE">
      <w:pPr>
        <w:pStyle w:val="7"/>
        <w:spacing w:before="0" w:beforeAutospacing="0" w:after="0" w:afterAutospacing="0" w:line="360" w:lineRule="auto"/>
        <w:ind w:firstLine="420"/>
        <w:rPr>
          <w:sz w:val="21"/>
          <w:szCs w:val="21"/>
        </w:rPr>
      </w:pPr>
      <w:r>
        <w:rPr>
          <w:rFonts w:hint="eastAsia"/>
          <w:sz w:val="21"/>
          <w:szCs w:val="21"/>
        </w:rPr>
        <w:t xml:space="preserve">15、基金收益分配事项； </w:t>
      </w:r>
    </w:p>
    <w:p w14:paraId="1C466C11">
      <w:pPr>
        <w:pStyle w:val="7"/>
        <w:spacing w:before="0" w:beforeAutospacing="0" w:after="0" w:afterAutospacing="0" w:line="360" w:lineRule="auto"/>
        <w:ind w:firstLine="420"/>
        <w:rPr>
          <w:sz w:val="21"/>
          <w:szCs w:val="21"/>
        </w:rPr>
      </w:pPr>
      <w:r>
        <w:rPr>
          <w:rFonts w:hint="eastAsia"/>
          <w:sz w:val="21"/>
          <w:szCs w:val="21"/>
        </w:rPr>
        <w:t xml:space="preserve">16、管理费、托管费、销售服务费、申购费、赎回费等费用计提标准、计提方式和费率发生变更； </w:t>
      </w:r>
    </w:p>
    <w:p w14:paraId="7A8F81D2">
      <w:pPr>
        <w:pStyle w:val="7"/>
        <w:spacing w:before="0" w:beforeAutospacing="0" w:after="0" w:afterAutospacing="0" w:line="360" w:lineRule="auto"/>
        <w:ind w:firstLine="420"/>
        <w:rPr>
          <w:sz w:val="21"/>
          <w:szCs w:val="21"/>
        </w:rPr>
      </w:pPr>
      <w:r>
        <w:rPr>
          <w:rFonts w:hint="eastAsia"/>
          <w:sz w:val="21"/>
          <w:szCs w:val="21"/>
        </w:rPr>
        <w:t xml:space="preserve">17、任一类基金份额净值计价错误达该类基金份额净值百分之零点五； </w:t>
      </w:r>
    </w:p>
    <w:p w14:paraId="4DB55E75">
      <w:pPr>
        <w:pStyle w:val="7"/>
        <w:spacing w:before="0" w:beforeAutospacing="0" w:after="0" w:afterAutospacing="0" w:line="360" w:lineRule="auto"/>
        <w:ind w:firstLine="420"/>
        <w:rPr>
          <w:sz w:val="21"/>
          <w:szCs w:val="21"/>
        </w:rPr>
      </w:pPr>
      <w:r>
        <w:rPr>
          <w:rFonts w:hint="eastAsia"/>
          <w:sz w:val="21"/>
          <w:szCs w:val="21"/>
        </w:rPr>
        <w:t xml:space="preserve">18、基金改聘会计师事务所； </w:t>
      </w:r>
    </w:p>
    <w:p w14:paraId="30C70EDB">
      <w:pPr>
        <w:pStyle w:val="7"/>
        <w:spacing w:before="0" w:beforeAutospacing="0" w:after="0" w:afterAutospacing="0" w:line="360" w:lineRule="auto"/>
        <w:ind w:firstLine="420"/>
        <w:rPr>
          <w:sz w:val="21"/>
          <w:szCs w:val="21"/>
        </w:rPr>
      </w:pPr>
      <w:r>
        <w:rPr>
          <w:rFonts w:hint="eastAsia"/>
          <w:sz w:val="21"/>
          <w:szCs w:val="21"/>
        </w:rPr>
        <w:t xml:space="preserve">19、更换基金登记机构； </w:t>
      </w:r>
    </w:p>
    <w:p w14:paraId="1E700DF4">
      <w:pPr>
        <w:pStyle w:val="7"/>
        <w:spacing w:before="0" w:beforeAutospacing="0" w:after="0" w:afterAutospacing="0" w:line="360" w:lineRule="auto"/>
        <w:ind w:firstLine="420"/>
        <w:rPr>
          <w:sz w:val="21"/>
          <w:szCs w:val="21"/>
        </w:rPr>
      </w:pPr>
      <w:r>
        <w:rPr>
          <w:rFonts w:hint="eastAsia"/>
          <w:sz w:val="21"/>
          <w:szCs w:val="21"/>
        </w:rPr>
        <w:t xml:space="preserve">20、本基金开始办理申购、赎回； </w:t>
      </w:r>
    </w:p>
    <w:p w14:paraId="62916C5E">
      <w:pPr>
        <w:pStyle w:val="7"/>
        <w:spacing w:before="0" w:beforeAutospacing="0" w:after="0" w:afterAutospacing="0" w:line="360" w:lineRule="auto"/>
        <w:ind w:firstLine="420"/>
        <w:rPr>
          <w:sz w:val="21"/>
          <w:szCs w:val="21"/>
        </w:rPr>
      </w:pPr>
      <w:r>
        <w:rPr>
          <w:rFonts w:hint="eastAsia"/>
          <w:sz w:val="21"/>
          <w:szCs w:val="21"/>
        </w:rPr>
        <w:t xml:space="preserve">21、本基金发生巨额赎回并延期办理； </w:t>
      </w:r>
    </w:p>
    <w:p w14:paraId="6B87F516">
      <w:pPr>
        <w:pStyle w:val="7"/>
        <w:spacing w:before="0" w:beforeAutospacing="0" w:after="0" w:afterAutospacing="0" w:line="360" w:lineRule="auto"/>
        <w:ind w:firstLine="420"/>
        <w:rPr>
          <w:sz w:val="21"/>
          <w:szCs w:val="21"/>
        </w:rPr>
      </w:pPr>
      <w:r>
        <w:rPr>
          <w:rFonts w:hint="eastAsia"/>
          <w:sz w:val="21"/>
          <w:szCs w:val="21"/>
        </w:rPr>
        <w:t xml:space="preserve">22、本基金连续发生巨额赎回并暂停接受赎回申请或延缓支付赎回款项； </w:t>
      </w:r>
    </w:p>
    <w:p w14:paraId="0ABA87A9">
      <w:pPr>
        <w:pStyle w:val="7"/>
        <w:spacing w:before="0" w:beforeAutospacing="0" w:after="0" w:afterAutospacing="0" w:line="360" w:lineRule="auto"/>
        <w:ind w:firstLine="420"/>
        <w:rPr>
          <w:sz w:val="21"/>
          <w:szCs w:val="21"/>
        </w:rPr>
      </w:pPr>
      <w:r>
        <w:rPr>
          <w:rFonts w:hint="eastAsia"/>
          <w:sz w:val="21"/>
          <w:szCs w:val="21"/>
        </w:rPr>
        <w:t xml:space="preserve">23、本基金暂停接受申购、赎回申请或重新接受申购、赎回申请； </w:t>
      </w:r>
    </w:p>
    <w:p w14:paraId="51AEF232">
      <w:pPr>
        <w:pStyle w:val="7"/>
        <w:spacing w:before="0" w:beforeAutospacing="0" w:after="0" w:afterAutospacing="0" w:line="360" w:lineRule="auto"/>
        <w:ind w:firstLine="420"/>
        <w:rPr>
          <w:sz w:val="21"/>
          <w:szCs w:val="21"/>
        </w:rPr>
      </w:pPr>
      <w:r>
        <w:rPr>
          <w:rFonts w:hint="eastAsia"/>
          <w:sz w:val="21"/>
          <w:szCs w:val="21"/>
        </w:rPr>
        <w:t xml:space="preserve">24、发生涉及基金申购、赎回事项调整或潜在影响投资者赎回等重大事项时； </w:t>
      </w:r>
    </w:p>
    <w:p w14:paraId="3448A48E">
      <w:pPr>
        <w:pStyle w:val="7"/>
        <w:spacing w:before="0" w:beforeAutospacing="0" w:after="0" w:afterAutospacing="0" w:line="360" w:lineRule="auto"/>
        <w:ind w:firstLine="420"/>
        <w:rPr>
          <w:sz w:val="21"/>
          <w:szCs w:val="21"/>
        </w:rPr>
      </w:pPr>
      <w:r>
        <w:rPr>
          <w:rFonts w:hint="eastAsia"/>
          <w:sz w:val="21"/>
          <w:szCs w:val="21"/>
        </w:rPr>
        <w:t xml:space="preserve">25、基金管理人采用摆动定价机制进行估值； </w:t>
      </w:r>
    </w:p>
    <w:p w14:paraId="42038899">
      <w:pPr>
        <w:pStyle w:val="7"/>
        <w:spacing w:before="0" w:beforeAutospacing="0" w:after="0" w:afterAutospacing="0" w:line="360" w:lineRule="auto"/>
        <w:ind w:firstLine="420"/>
        <w:rPr>
          <w:sz w:val="21"/>
          <w:szCs w:val="21"/>
        </w:rPr>
      </w:pPr>
      <w:r>
        <w:rPr>
          <w:rFonts w:hint="eastAsia"/>
          <w:sz w:val="21"/>
          <w:szCs w:val="21"/>
        </w:rPr>
        <w:t xml:space="preserve">26、调整基金份额类别的设置； </w:t>
      </w:r>
    </w:p>
    <w:p w14:paraId="13000F65">
      <w:pPr>
        <w:pStyle w:val="7"/>
        <w:spacing w:before="0" w:beforeAutospacing="0" w:after="0" w:afterAutospacing="0" w:line="360" w:lineRule="auto"/>
        <w:ind w:firstLine="420"/>
        <w:rPr>
          <w:sz w:val="21"/>
          <w:szCs w:val="21"/>
        </w:rPr>
      </w:pPr>
      <w:r>
        <w:rPr>
          <w:rFonts w:hint="eastAsia"/>
          <w:sz w:val="21"/>
          <w:szCs w:val="21"/>
        </w:rPr>
        <w:t xml:space="preserve">27、基金推出新业务或服务； </w:t>
      </w:r>
    </w:p>
    <w:p w14:paraId="335387DC">
      <w:pPr>
        <w:pStyle w:val="7"/>
        <w:spacing w:before="0" w:beforeAutospacing="0" w:after="0" w:afterAutospacing="0" w:line="360" w:lineRule="auto"/>
        <w:ind w:firstLine="420"/>
        <w:rPr>
          <w:sz w:val="21"/>
          <w:szCs w:val="21"/>
        </w:rPr>
      </w:pPr>
      <w:r>
        <w:rPr>
          <w:rFonts w:hint="eastAsia"/>
          <w:sz w:val="21"/>
          <w:szCs w:val="21"/>
        </w:rPr>
        <w:t xml:space="preserve">28、基金信息披露义务人认为可能对基金份额持有人权益或者基金份额的价格产生重大影响的其他事项或中国证监会规定的和基金合同约定的其他事项。 </w:t>
      </w:r>
    </w:p>
    <w:p w14:paraId="1F094CFC">
      <w:pPr>
        <w:pStyle w:val="7"/>
        <w:spacing w:before="0" w:beforeAutospacing="0" w:after="0" w:afterAutospacing="0" w:line="360" w:lineRule="auto"/>
        <w:ind w:firstLine="420"/>
        <w:rPr>
          <w:sz w:val="21"/>
          <w:szCs w:val="21"/>
        </w:rPr>
      </w:pPr>
      <w:r>
        <w:rPr>
          <w:rFonts w:hint="eastAsia"/>
          <w:sz w:val="21"/>
          <w:szCs w:val="21"/>
        </w:rPr>
        <w:t xml:space="preserve">（八）澄清公告 </w:t>
      </w:r>
    </w:p>
    <w:p w14:paraId="68CEE5BE">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14:paraId="1D6EA1FD">
      <w:pPr>
        <w:pStyle w:val="7"/>
        <w:spacing w:before="0" w:beforeAutospacing="0" w:after="0" w:afterAutospacing="0" w:line="360" w:lineRule="auto"/>
        <w:ind w:firstLine="420"/>
        <w:rPr>
          <w:sz w:val="21"/>
          <w:szCs w:val="21"/>
        </w:rPr>
      </w:pPr>
      <w:r>
        <w:rPr>
          <w:rFonts w:hint="eastAsia"/>
          <w:sz w:val="21"/>
          <w:szCs w:val="21"/>
        </w:rPr>
        <w:t xml:space="preserve">（九）清算报告 </w:t>
      </w:r>
    </w:p>
    <w:p w14:paraId="0F1D3A67">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14:paraId="2D3870D7">
      <w:pPr>
        <w:pStyle w:val="7"/>
        <w:spacing w:before="0" w:beforeAutospacing="0" w:after="0" w:afterAutospacing="0" w:line="360" w:lineRule="auto"/>
        <w:ind w:firstLine="420"/>
        <w:rPr>
          <w:sz w:val="21"/>
          <w:szCs w:val="21"/>
        </w:rPr>
      </w:pPr>
      <w:r>
        <w:rPr>
          <w:rFonts w:hint="eastAsia"/>
          <w:sz w:val="21"/>
          <w:szCs w:val="21"/>
        </w:rPr>
        <w:t xml:space="preserve">（十）基金份额持有人大会决议 </w:t>
      </w:r>
    </w:p>
    <w:p w14:paraId="2CA504D1">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19FD2158">
      <w:pPr>
        <w:pStyle w:val="7"/>
        <w:spacing w:before="0" w:beforeAutospacing="0" w:after="0" w:afterAutospacing="0" w:line="360" w:lineRule="auto"/>
        <w:ind w:firstLine="420"/>
        <w:rPr>
          <w:sz w:val="21"/>
          <w:szCs w:val="21"/>
        </w:rPr>
      </w:pPr>
      <w:r>
        <w:rPr>
          <w:rFonts w:hint="eastAsia"/>
          <w:sz w:val="21"/>
          <w:szCs w:val="21"/>
        </w:rPr>
        <w:t xml:space="preserve">（十一）投资股指期货、国债期货、股票期权的信息披露 </w:t>
      </w:r>
    </w:p>
    <w:p w14:paraId="790D3A9A">
      <w:pPr>
        <w:pStyle w:val="7"/>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股指期货、国债期货、股票期权交易情况，包括投资政策、持仓情况、损益情况、风险指标等，并充分揭示股指期货、国债期货、股票期权交易对基金总体风险的影响以及是否符合既定的投资政策和投资目标等。 </w:t>
      </w:r>
    </w:p>
    <w:p w14:paraId="6B4E98F8">
      <w:pPr>
        <w:pStyle w:val="7"/>
        <w:spacing w:before="0" w:beforeAutospacing="0" w:after="0" w:afterAutospacing="0" w:line="360" w:lineRule="auto"/>
        <w:ind w:firstLine="420"/>
        <w:rPr>
          <w:sz w:val="21"/>
          <w:szCs w:val="21"/>
        </w:rPr>
      </w:pPr>
      <w:r>
        <w:rPr>
          <w:rFonts w:hint="eastAsia"/>
          <w:sz w:val="21"/>
          <w:szCs w:val="21"/>
        </w:rPr>
        <w:t xml:space="preserve">（十二）投资资产支持证券的信息披露 </w:t>
      </w:r>
    </w:p>
    <w:p w14:paraId="6FFFEADF">
      <w:pPr>
        <w:pStyle w:val="7"/>
        <w:spacing w:before="0" w:beforeAutospacing="0" w:after="0" w:afterAutospacing="0" w:line="360" w:lineRule="auto"/>
        <w:ind w:firstLine="420"/>
        <w:rPr>
          <w:sz w:val="21"/>
          <w:szCs w:val="21"/>
        </w:rPr>
      </w:pPr>
      <w:r>
        <w:rPr>
          <w:rFonts w:hint="eastAsia"/>
          <w:sz w:val="21"/>
          <w:szCs w:val="21"/>
        </w:rPr>
        <w:t xml:space="preserve">基金管理人应在基金年报及中期报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482D518D">
      <w:pPr>
        <w:pStyle w:val="7"/>
        <w:spacing w:before="0" w:beforeAutospacing="0" w:after="0" w:afterAutospacing="0" w:line="360" w:lineRule="auto"/>
        <w:ind w:firstLine="420"/>
        <w:rPr>
          <w:sz w:val="21"/>
          <w:szCs w:val="21"/>
        </w:rPr>
      </w:pPr>
      <w:r>
        <w:rPr>
          <w:rFonts w:hint="eastAsia"/>
          <w:sz w:val="21"/>
          <w:szCs w:val="21"/>
        </w:rPr>
        <w:t xml:space="preserve">（十三）投资港股通标的股票的信息披露 </w:t>
      </w:r>
    </w:p>
    <w:p w14:paraId="5DC48776">
      <w:pPr>
        <w:pStyle w:val="7"/>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 </w:t>
      </w:r>
    </w:p>
    <w:p w14:paraId="68351CC1">
      <w:pPr>
        <w:pStyle w:val="7"/>
        <w:spacing w:before="0" w:beforeAutospacing="0" w:after="0" w:afterAutospacing="0" w:line="360" w:lineRule="auto"/>
        <w:ind w:firstLine="420"/>
        <w:rPr>
          <w:sz w:val="21"/>
          <w:szCs w:val="21"/>
        </w:rPr>
      </w:pPr>
      <w:r>
        <w:rPr>
          <w:rFonts w:hint="eastAsia"/>
          <w:sz w:val="21"/>
          <w:szCs w:val="21"/>
        </w:rPr>
        <w:t xml:space="preserve">（十四）流通受限证券的信息披露 </w:t>
      </w:r>
    </w:p>
    <w:p w14:paraId="6265D1E3">
      <w:pPr>
        <w:pStyle w:val="7"/>
        <w:spacing w:before="0" w:beforeAutospacing="0" w:after="0" w:afterAutospacing="0" w:line="360" w:lineRule="auto"/>
        <w:ind w:firstLine="420"/>
        <w:rPr>
          <w:sz w:val="21"/>
          <w:szCs w:val="21"/>
        </w:rPr>
      </w:pPr>
      <w:r>
        <w:rPr>
          <w:rFonts w:hint="eastAsia"/>
          <w:sz w:val="21"/>
          <w:szCs w:val="21"/>
        </w:rPr>
        <w:t xml:space="preserve">基金管理人应在基金年报及中期报中披露其持有的流通受限证券总额、流通受限证券市值占基金净资产的比例和报告期内所有的资产支持证券明细。基金管理人应在基金季度报告中披露其持有的流通受限证券总额、流通受限证券市值占基金净资产的比例和报告期末按市值占基金净资产比例大小排序的前10名流通受限证券明细。 </w:t>
      </w:r>
    </w:p>
    <w:p w14:paraId="6900654C">
      <w:pPr>
        <w:pStyle w:val="7"/>
        <w:spacing w:before="0" w:beforeAutospacing="0" w:after="0" w:afterAutospacing="0" w:line="360" w:lineRule="auto"/>
        <w:ind w:firstLine="420"/>
        <w:rPr>
          <w:sz w:val="21"/>
          <w:szCs w:val="21"/>
        </w:rPr>
      </w:pPr>
      <w:r>
        <w:rPr>
          <w:rFonts w:hint="eastAsia"/>
          <w:sz w:val="21"/>
          <w:szCs w:val="21"/>
        </w:rPr>
        <w:t xml:space="preserve">（十五）中国证监会规定的其他信息 </w:t>
      </w:r>
    </w:p>
    <w:p w14:paraId="7B4EA8E5">
      <w:pPr>
        <w:pStyle w:val="7"/>
        <w:spacing w:before="0" w:beforeAutospacing="0" w:after="0" w:afterAutospacing="0" w:line="360" w:lineRule="auto"/>
        <w:ind w:firstLine="420"/>
        <w:rPr>
          <w:sz w:val="21"/>
          <w:szCs w:val="21"/>
        </w:rPr>
      </w:pPr>
      <w:r>
        <w:rPr>
          <w:rFonts w:hint="eastAsia"/>
          <w:sz w:val="21"/>
          <w:szCs w:val="21"/>
        </w:rPr>
        <w:t xml:space="preserve">基金管理人应当在定期报告及招募说明书（更新）等文件中详细披露信用衍生品的投资情况，包括投资策略、持仓情况等，并充分揭示投资信用衍生品对基金总体风险的影响以及是否符合既定的投资目标及策略。 </w:t>
      </w:r>
    </w:p>
    <w:p w14:paraId="2458B03A">
      <w:pPr>
        <w:pStyle w:val="7"/>
        <w:spacing w:before="0" w:beforeAutospacing="0" w:after="0" w:afterAutospacing="0" w:line="360" w:lineRule="auto"/>
        <w:ind w:firstLine="420"/>
        <w:rPr>
          <w:sz w:val="21"/>
          <w:szCs w:val="21"/>
        </w:rPr>
      </w:pPr>
      <w:r>
        <w:rPr>
          <w:rFonts w:hint="eastAsia"/>
          <w:sz w:val="21"/>
          <w:szCs w:val="21"/>
        </w:rPr>
        <w:t>本基金参与融资业务的，基金管理人应当在季度报告、中期报告、年度报告等定期报告和招募说明书（更新）等文件中披露参与融资业务交易情况，包括投资策略、业务开展情况、</w:t>
      </w:r>
      <w:bookmarkStart w:id="189" w:name="chapter_level1_18_67_section_2_end"/>
      <w:bookmarkEnd w:id="189"/>
      <w:r>
        <w:rPr>
          <w:rFonts w:hint="eastAsia"/>
          <w:sz w:val="21"/>
          <w:szCs w:val="21"/>
        </w:rPr>
        <w:t xml:space="preserve">损益情况、风险及其管理情况等。 </w:t>
      </w:r>
    </w:p>
    <w:p w14:paraId="76E02E02">
      <w:pPr>
        <w:pStyle w:val="7"/>
        <w:spacing w:before="0" w:beforeAutospacing="0" w:after="0" w:afterAutospacing="0" w:line="360" w:lineRule="auto"/>
        <w:ind w:firstLine="420"/>
        <w:rPr>
          <w:sz w:val="21"/>
          <w:szCs w:val="21"/>
        </w:rPr>
      </w:pPr>
      <w:bookmarkStart w:id="190" w:name="chapter_level1_18_67_section_3"/>
      <w:bookmarkEnd w:id="190"/>
      <w:r>
        <w:rPr>
          <w:rStyle w:val="11"/>
          <w:rFonts w:hint="eastAsia"/>
          <w:sz w:val="21"/>
          <w:szCs w:val="21"/>
        </w:rPr>
        <w:t>六、信息披露事务管理</w:t>
      </w:r>
    </w:p>
    <w:p w14:paraId="72DC92D3">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3C870A97">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14:paraId="0E0CC3A5">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14:paraId="172F7158">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基金管理人、基金托管人应当在指定报刊中选择披露信息的报刊。 </w:t>
      </w:r>
    </w:p>
    <w:p w14:paraId="0B75FA72">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14:paraId="3C65FF9D">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相关规定。前述自主披露如产生信息披露费用，该费用不得从基金财产中列支。 </w:t>
      </w:r>
    </w:p>
    <w:p w14:paraId="17AFC68C">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14:paraId="1E86C550">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4CEE3F01">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14:paraId="0FBB5BAD">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依法必须披露的信息发布后，基金管理人、基金托管人应当按照相关法律法规规定将信息置备于公司住所，以供社会公众查阅、复制。 </w:t>
      </w:r>
    </w:p>
    <w:p w14:paraId="4EB1E882">
      <w:pPr>
        <w:pStyle w:val="7"/>
        <w:spacing w:before="0" w:beforeAutospacing="0" w:after="0" w:afterAutospacing="0" w:line="360" w:lineRule="auto"/>
        <w:ind w:firstLine="420"/>
        <w:rPr>
          <w:sz w:val="21"/>
          <w:szCs w:val="21"/>
        </w:rPr>
      </w:pPr>
      <w:r>
        <w:rPr>
          <w:rStyle w:val="11"/>
          <w:rFonts w:hint="eastAsia"/>
          <w:sz w:val="21"/>
          <w:szCs w:val="21"/>
        </w:rPr>
        <w:t>八、暂停或延迟信息披露的情形</w:t>
      </w:r>
    </w:p>
    <w:p w14:paraId="335735BB">
      <w:pPr>
        <w:pStyle w:val="7"/>
        <w:spacing w:before="0" w:beforeAutospacing="0" w:after="0" w:afterAutospacing="0" w:line="360" w:lineRule="auto"/>
        <w:ind w:firstLine="420"/>
        <w:rPr>
          <w:sz w:val="21"/>
          <w:szCs w:val="21"/>
        </w:rPr>
      </w:pPr>
      <w:r>
        <w:rPr>
          <w:rFonts w:hint="eastAsia"/>
          <w:sz w:val="21"/>
          <w:szCs w:val="21"/>
        </w:rPr>
        <w:t xml:space="preserve">1、因不可抗力或其他情形致使基金管理人、基金托管人无法准确评估基金资产价值时； </w:t>
      </w:r>
    </w:p>
    <w:p w14:paraId="23E0D3C2">
      <w:pPr>
        <w:pStyle w:val="7"/>
        <w:spacing w:before="0" w:beforeAutospacing="0" w:after="0" w:afterAutospacing="0" w:line="360" w:lineRule="auto"/>
        <w:ind w:firstLine="420"/>
        <w:rPr>
          <w:sz w:val="21"/>
          <w:szCs w:val="21"/>
        </w:rPr>
      </w:pPr>
      <w:r>
        <w:rPr>
          <w:rFonts w:hint="eastAsia"/>
          <w:sz w:val="21"/>
          <w:szCs w:val="21"/>
        </w:rPr>
        <w:t xml:space="preserve">2、基金投资所涉及的证券、期货交易所或外汇市场遇法定节假日或因其他原因暂停营业时； </w:t>
      </w:r>
    </w:p>
    <w:p w14:paraId="2F4EFF49">
      <w:pPr>
        <w:pStyle w:val="7"/>
        <w:spacing w:before="0" w:beforeAutospacing="0" w:after="0" w:afterAutospacing="0" w:line="360" w:lineRule="auto"/>
        <w:ind w:firstLine="420"/>
        <w:rPr>
          <w:sz w:val="21"/>
          <w:szCs w:val="21"/>
        </w:rPr>
      </w:pPr>
      <w:r>
        <w:rPr>
          <w:rFonts w:hint="eastAsia"/>
          <w:sz w:val="21"/>
          <w:szCs w:val="21"/>
        </w:rPr>
        <w:t xml:space="preserve">3、当前一估值日基金资产净值50%以上的资产出现无可参考的活跃市场价格且采用估值技术仍导致公允价值存在重大不确定性时，经与基金托管人协商一致确认后，发生暂停估值的情形； </w:t>
      </w:r>
    </w:p>
    <w:p w14:paraId="747B450D">
      <w:pPr>
        <w:pStyle w:val="7"/>
        <w:spacing w:before="0" w:beforeAutospacing="0" w:after="0" w:afterAutospacing="0" w:line="360" w:lineRule="auto"/>
        <w:ind w:firstLine="420"/>
        <w:rPr>
          <w:sz w:val="21"/>
          <w:szCs w:val="21"/>
        </w:rPr>
      </w:pPr>
      <w:bookmarkStart w:id="191" w:name="chapter_level1_18_67_section_3_end"/>
      <w:bookmarkEnd w:id="191"/>
      <w:r>
        <w:rPr>
          <w:rFonts w:hint="eastAsia"/>
          <w:sz w:val="21"/>
          <w:szCs w:val="21"/>
        </w:rPr>
        <w:t xml:space="preserve">4、法律法规规定、中国证监会或基金合同认定的其他情形。 </w:t>
      </w:r>
    </w:p>
    <w:p w14:paraId="3CC59AC8">
      <w:pPr>
        <w:widowControl/>
        <w:jc w:val="left"/>
        <w:rPr>
          <w:rFonts w:ascii="宋体" w:hAnsi="宋体" w:eastAsia="宋体"/>
        </w:rPr>
      </w:pPr>
      <w:r>
        <w:rPr>
          <w:rFonts w:ascii="宋体" w:hAnsi="宋体" w:eastAsia="宋体"/>
        </w:rPr>
        <w:br w:type="page"/>
      </w:r>
    </w:p>
    <w:p w14:paraId="6F171397">
      <w:pPr>
        <w:pStyle w:val="2"/>
        <w:jc w:val="center"/>
        <w:rPr>
          <w:rFonts w:ascii="宋体" w:hAnsi="宋体" w:eastAsia="宋体"/>
          <w:sz w:val="30"/>
        </w:rPr>
      </w:pPr>
      <w:bookmarkStart w:id="192" w:name="chapter_level1_19_68"/>
      <w:bookmarkStart w:id="193" w:name="_Toc239193711"/>
      <w:r>
        <w:rPr>
          <w:rFonts w:hint="eastAsia" w:ascii="宋体" w:hAnsi="宋体" w:eastAsia="宋体"/>
          <w:sz w:val="30"/>
        </w:rPr>
        <w:t>第十六部分  风险揭示</w:t>
      </w:r>
      <w:bookmarkEnd w:id="192"/>
      <w:bookmarkEnd w:id="193"/>
    </w:p>
    <w:p w14:paraId="01C3ECE3">
      <w:pPr>
        <w:pStyle w:val="7"/>
        <w:spacing w:before="0" w:beforeAutospacing="0" w:after="0" w:afterAutospacing="0" w:line="360" w:lineRule="auto"/>
        <w:ind w:firstLine="420"/>
        <w:rPr>
          <w:sz w:val="21"/>
          <w:szCs w:val="21"/>
        </w:rPr>
      </w:pPr>
      <w:bookmarkStart w:id="194" w:name="chapter_level1_19_68_section_1"/>
      <w:bookmarkEnd w:id="194"/>
      <w:r>
        <w:rPr>
          <w:rStyle w:val="11"/>
          <w:rFonts w:hint="eastAsia"/>
          <w:sz w:val="21"/>
          <w:szCs w:val="21"/>
        </w:rPr>
        <w:t>一、投资于本基金的主要风险</w:t>
      </w:r>
    </w:p>
    <w:p w14:paraId="63ED1085">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76911DFC">
      <w:pPr>
        <w:pStyle w:val="7"/>
        <w:spacing w:before="0" w:beforeAutospacing="0" w:after="0" w:afterAutospacing="0" w:line="360" w:lineRule="auto"/>
        <w:ind w:firstLine="420"/>
        <w:rPr>
          <w:sz w:val="21"/>
          <w:szCs w:val="21"/>
        </w:rPr>
      </w:pPr>
      <w:r>
        <w:rPr>
          <w:rFonts w:hint="eastAsia"/>
          <w:sz w:val="21"/>
          <w:szCs w:val="21"/>
        </w:rPr>
        <w:t xml:space="preserve">1、市场风险 </w:t>
      </w:r>
    </w:p>
    <w:p w14:paraId="0EE6D6CC">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593EBB52">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5C697295">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14:paraId="3A712976">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17FFFDD7">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47998DAB">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09629573">
      <w:pPr>
        <w:pStyle w:val="7"/>
        <w:spacing w:before="0" w:beforeAutospacing="0" w:after="0" w:afterAutospacing="0" w:line="360" w:lineRule="auto"/>
        <w:ind w:firstLine="420"/>
        <w:rPr>
          <w:sz w:val="21"/>
          <w:szCs w:val="21"/>
        </w:rPr>
      </w:pPr>
      <w:r>
        <w:rPr>
          <w:rFonts w:hint="eastAsia"/>
          <w:sz w:val="21"/>
          <w:szCs w:val="21"/>
        </w:rPr>
        <w:t xml:space="preserve">2、信用风险 </w:t>
      </w:r>
    </w:p>
    <w:p w14:paraId="3F8B1F73">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78D0DDF8">
      <w:pPr>
        <w:pStyle w:val="7"/>
        <w:spacing w:before="0" w:beforeAutospacing="0" w:after="0" w:afterAutospacing="0" w:line="360" w:lineRule="auto"/>
        <w:ind w:firstLine="420"/>
        <w:rPr>
          <w:sz w:val="21"/>
          <w:szCs w:val="21"/>
        </w:rPr>
      </w:pPr>
      <w:r>
        <w:rPr>
          <w:rFonts w:hint="eastAsia"/>
          <w:sz w:val="21"/>
          <w:szCs w:val="21"/>
        </w:rPr>
        <w:t xml:space="preserve">3、流动性风险 </w:t>
      </w:r>
    </w:p>
    <w:p w14:paraId="76BF5721">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09625B98">
      <w:pPr>
        <w:pStyle w:val="7"/>
        <w:spacing w:before="0" w:beforeAutospacing="0" w:after="0" w:afterAutospacing="0" w:line="360" w:lineRule="auto"/>
        <w:ind w:firstLine="420"/>
        <w:rPr>
          <w:sz w:val="21"/>
          <w:szCs w:val="21"/>
        </w:rPr>
      </w:pPr>
      <w:r>
        <w:rPr>
          <w:rFonts w:hint="eastAsia"/>
          <w:sz w:val="21"/>
          <w:szCs w:val="21"/>
        </w:rPr>
        <w:t xml:space="preserve">（1）本基金的申购、赎回安排 </w:t>
      </w:r>
    </w:p>
    <w:p w14:paraId="73F29015">
      <w:pPr>
        <w:pStyle w:val="7"/>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4EFF6737">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6DBADBDC">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股票、债券和货币市场工具、资产支持证券、股指期货、股票期权、国债期货、信用衍生品等），同时本基金基于分散投资的原则在行业和个券方面未有高集中度的特征，综合评估在正常市场环境下本基金的流动性风险适中。 </w:t>
      </w:r>
    </w:p>
    <w:p w14:paraId="2682286D">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3319F8B2">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151711E2">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4BFA1C79">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3918EB26">
      <w:pPr>
        <w:pStyle w:val="7"/>
        <w:spacing w:before="0" w:beforeAutospacing="0" w:after="0" w:afterAutospacing="0" w:line="360" w:lineRule="auto"/>
        <w:ind w:firstLine="420"/>
        <w:rPr>
          <w:sz w:val="21"/>
          <w:szCs w:val="21"/>
        </w:rPr>
      </w:pPr>
      <w:r>
        <w:rPr>
          <w:rFonts w:hint="eastAsia"/>
          <w:sz w:val="21"/>
          <w:szCs w:val="21"/>
        </w:rPr>
        <w:t xml:space="preserve">4、操作风险 </w:t>
      </w:r>
    </w:p>
    <w:p w14:paraId="4964D5C2">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703EE693">
      <w:pPr>
        <w:pStyle w:val="7"/>
        <w:spacing w:before="0" w:beforeAutospacing="0" w:after="0" w:afterAutospacing="0" w:line="360" w:lineRule="auto"/>
        <w:ind w:firstLine="420"/>
        <w:rPr>
          <w:sz w:val="21"/>
          <w:szCs w:val="21"/>
        </w:rPr>
      </w:pPr>
      <w:r>
        <w:rPr>
          <w:rFonts w:hint="eastAsia"/>
          <w:sz w:val="21"/>
          <w:szCs w:val="21"/>
        </w:rPr>
        <w:t xml:space="preserve">5、管理风险 </w:t>
      </w:r>
    </w:p>
    <w:p w14:paraId="30126EE1">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6DD0132B">
      <w:pPr>
        <w:pStyle w:val="7"/>
        <w:spacing w:before="0" w:beforeAutospacing="0" w:after="0" w:afterAutospacing="0" w:line="360" w:lineRule="auto"/>
        <w:ind w:firstLine="420"/>
        <w:rPr>
          <w:sz w:val="21"/>
          <w:szCs w:val="21"/>
        </w:rPr>
      </w:pPr>
      <w:r>
        <w:rPr>
          <w:rFonts w:hint="eastAsia"/>
          <w:sz w:val="21"/>
          <w:szCs w:val="21"/>
        </w:rPr>
        <w:t xml:space="preserve">6、合规风险 </w:t>
      </w:r>
    </w:p>
    <w:p w14:paraId="74A8FB6A">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74C0BCB0">
      <w:pPr>
        <w:pStyle w:val="7"/>
        <w:spacing w:before="0" w:beforeAutospacing="0" w:after="0" w:afterAutospacing="0" w:line="360" w:lineRule="auto"/>
        <w:ind w:firstLine="420"/>
        <w:rPr>
          <w:sz w:val="21"/>
          <w:szCs w:val="21"/>
        </w:rPr>
      </w:pPr>
      <w:r>
        <w:rPr>
          <w:rFonts w:hint="eastAsia"/>
          <w:sz w:val="21"/>
          <w:szCs w:val="21"/>
        </w:rPr>
        <w:t xml:space="preserve">7、本基金的特有风险 </w:t>
      </w:r>
    </w:p>
    <w:p w14:paraId="536664C8">
      <w:pPr>
        <w:pStyle w:val="7"/>
        <w:spacing w:before="0" w:beforeAutospacing="0" w:after="0" w:afterAutospacing="0" w:line="360" w:lineRule="auto"/>
        <w:ind w:firstLine="420"/>
        <w:rPr>
          <w:sz w:val="21"/>
          <w:szCs w:val="21"/>
        </w:rPr>
      </w:pPr>
      <w:r>
        <w:rPr>
          <w:rFonts w:hint="eastAsia"/>
          <w:sz w:val="21"/>
          <w:szCs w:val="21"/>
        </w:rPr>
        <w:t xml:space="preserve">（1）港股通机制下，港股投资风险 </w:t>
      </w:r>
    </w:p>
    <w:p w14:paraId="37820B92">
      <w:pPr>
        <w:pStyle w:val="7"/>
        <w:spacing w:before="0" w:beforeAutospacing="0" w:after="0" w:afterAutospacing="0" w:line="360" w:lineRule="auto"/>
        <w:ind w:firstLine="420"/>
        <w:rPr>
          <w:sz w:val="21"/>
          <w:szCs w:val="21"/>
        </w:rPr>
      </w:pPr>
      <w:r>
        <w:rPr>
          <w:rFonts w:hint="eastAsia"/>
          <w:sz w:val="21"/>
          <w:szCs w:val="21"/>
        </w:rPr>
        <w:t xml:space="preserve">本基金投资范围为具有良好流动性的金融工具，包括沪/深港股票市场交易互联互通机制下允许投资的香港联合交易所上市的股票，除与其他投资于内地市场股票的基金所面临的共同风险外，本基金还面临港股通机制下因投资环境、投资者结构、投资标的构成、市场制度以及交易规则等差异所带来的特有风险，包括但不限于： </w:t>
      </w:r>
    </w:p>
    <w:p w14:paraId="42A6AD02">
      <w:pPr>
        <w:pStyle w:val="7"/>
        <w:spacing w:before="0" w:beforeAutospacing="0" w:after="0" w:afterAutospacing="0" w:line="360" w:lineRule="auto"/>
        <w:ind w:firstLine="420"/>
        <w:rPr>
          <w:sz w:val="21"/>
          <w:szCs w:val="21"/>
        </w:rPr>
      </w:pPr>
      <w:r>
        <w:rPr>
          <w:rFonts w:hint="eastAsia"/>
          <w:sz w:val="21"/>
          <w:szCs w:val="21"/>
        </w:rPr>
        <w:t xml:space="preserve">1）市场联动的风险 </w:t>
      </w:r>
    </w:p>
    <w:p w14:paraId="57A1B20D">
      <w:pPr>
        <w:pStyle w:val="7"/>
        <w:spacing w:before="0" w:beforeAutospacing="0" w:after="0" w:afterAutospacing="0" w:line="360" w:lineRule="auto"/>
        <w:ind w:firstLine="420"/>
        <w:rPr>
          <w:sz w:val="21"/>
          <w:szCs w:val="21"/>
        </w:rPr>
      </w:pPr>
      <w:r>
        <w:rPr>
          <w:rFonts w:hint="eastAsia"/>
          <w:sz w:val="21"/>
          <w:szCs w:val="21"/>
        </w:rPr>
        <w:t xml:space="preserve">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 </w:t>
      </w:r>
    </w:p>
    <w:p w14:paraId="312AE87B">
      <w:pPr>
        <w:pStyle w:val="7"/>
        <w:spacing w:before="0" w:beforeAutospacing="0" w:after="0" w:afterAutospacing="0" w:line="360" w:lineRule="auto"/>
        <w:ind w:firstLine="420"/>
        <w:rPr>
          <w:sz w:val="21"/>
          <w:szCs w:val="21"/>
        </w:rPr>
      </w:pPr>
      <w:r>
        <w:rPr>
          <w:rFonts w:hint="eastAsia"/>
          <w:sz w:val="21"/>
          <w:szCs w:val="21"/>
        </w:rPr>
        <w:t xml:space="preserve">2）股价波动的风险 </w:t>
      </w:r>
    </w:p>
    <w:p w14:paraId="5D549CA3">
      <w:pPr>
        <w:pStyle w:val="7"/>
        <w:spacing w:before="0" w:beforeAutospacing="0" w:after="0" w:afterAutospacing="0" w:line="360" w:lineRule="auto"/>
        <w:ind w:firstLine="420"/>
        <w:rPr>
          <w:sz w:val="21"/>
          <w:szCs w:val="21"/>
        </w:rPr>
      </w:pPr>
      <w:r>
        <w:rPr>
          <w:rFonts w:hint="eastAsia"/>
          <w:sz w:val="21"/>
          <w:szCs w:val="21"/>
        </w:rPr>
        <w:t xml:space="preserve">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 </w:t>
      </w:r>
    </w:p>
    <w:p w14:paraId="0B6D9BD9">
      <w:pPr>
        <w:pStyle w:val="7"/>
        <w:spacing w:before="0" w:beforeAutospacing="0" w:after="0" w:afterAutospacing="0" w:line="360" w:lineRule="auto"/>
        <w:ind w:firstLine="420"/>
        <w:rPr>
          <w:sz w:val="21"/>
          <w:szCs w:val="21"/>
        </w:rPr>
      </w:pPr>
      <w:r>
        <w:rPr>
          <w:rFonts w:hint="eastAsia"/>
          <w:sz w:val="21"/>
          <w:szCs w:val="21"/>
        </w:rPr>
        <w:t xml:space="preserve">3）汇率风险 </w:t>
      </w:r>
    </w:p>
    <w:p w14:paraId="123BDD80">
      <w:pPr>
        <w:pStyle w:val="7"/>
        <w:spacing w:before="0" w:beforeAutospacing="0" w:after="0" w:afterAutospacing="0" w:line="360" w:lineRule="auto"/>
        <w:ind w:firstLine="420"/>
        <w:rPr>
          <w:sz w:val="21"/>
          <w:szCs w:val="21"/>
        </w:rPr>
      </w:pPr>
      <w:r>
        <w:rPr>
          <w:rFonts w:hint="eastAsia"/>
          <w:sz w:val="21"/>
          <w:szCs w:val="21"/>
        </w:rPr>
        <w:t xml:space="preserve">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 </w:t>
      </w:r>
    </w:p>
    <w:p w14:paraId="287A05A3">
      <w:pPr>
        <w:pStyle w:val="7"/>
        <w:spacing w:before="0" w:beforeAutospacing="0" w:after="0" w:afterAutospacing="0" w:line="360" w:lineRule="auto"/>
        <w:ind w:firstLine="420"/>
        <w:rPr>
          <w:sz w:val="21"/>
          <w:szCs w:val="21"/>
        </w:rPr>
      </w:pPr>
      <w:r>
        <w:rPr>
          <w:rFonts w:hint="eastAsia"/>
          <w:sz w:val="21"/>
          <w:szCs w:val="21"/>
        </w:rPr>
        <w:t xml:space="preserve">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 </w:t>
      </w:r>
    </w:p>
    <w:p w14:paraId="2C43F19E">
      <w:pPr>
        <w:pStyle w:val="7"/>
        <w:spacing w:before="0" w:beforeAutospacing="0" w:after="0" w:afterAutospacing="0" w:line="360" w:lineRule="auto"/>
        <w:ind w:firstLine="420"/>
        <w:rPr>
          <w:sz w:val="21"/>
          <w:szCs w:val="21"/>
        </w:rPr>
      </w:pPr>
      <w:r>
        <w:rPr>
          <w:rFonts w:hint="eastAsia"/>
          <w:sz w:val="21"/>
          <w:szCs w:val="21"/>
        </w:rPr>
        <w:t xml:space="preserve">4）港股通额度限制 </w:t>
      </w:r>
    </w:p>
    <w:p w14:paraId="21A9B462">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现行的港股通规则，对港股通设有每日额度上限的限制；本基金可能因为港股通市场每日额度不足，而不能买入看好之投资标的进而错失投资机会的风险。 </w:t>
      </w:r>
    </w:p>
    <w:p w14:paraId="03A4D5A3">
      <w:pPr>
        <w:pStyle w:val="7"/>
        <w:spacing w:before="0" w:beforeAutospacing="0" w:after="0" w:afterAutospacing="0" w:line="360" w:lineRule="auto"/>
        <w:ind w:firstLine="420"/>
        <w:rPr>
          <w:sz w:val="21"/>
          <w:szCs w:val="21"/>
        </w:rPr>
      </w:pPr>
      <w:r>
        <w:rPr>
          <w:rFonts w:hint="eastAsia"/>
          <w:sz w:val="21"/>
          <w:szCs w:val="21"/>
        </w:rPr>
        <w:t xml:space="preserve">5）港股通可投资标的范围调整带来的风险 </w:t>
      </w:r>
    </w:p>
    <w:p w14:paraId="75374A23">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 </w:t>
      </w:r>
    </w:p>
    <w:p w14:paraId="42CA77AA">
      <w:pPr>
        <w:pStyle w:val="7"/>
        <w:spacing w:before="0" w:beforeAutospacing="0" w:after="0" w:afterAutospacing="0" w:line="360" w:lineRule="auto"/>
        <w:ind w:firstLine="420"/>
        <w:rPr>
          <w:sz w:val="21"/>
          <w:szCs w:val="21"/>
        </w:rPr>
      </w:pPr>
      <w:r>
        <w:rPr>
          <w:rFonts w:hint="eastAsia"/>
          <w:sz w:val="21"/>
          <w:szCs w:val="21"/>
        </w:rPr>
        <w:t xml:space="preserve">6）港股通交易日设定的风险 </w:t>
      </w:r>
    </w:p>
    <w:p w14:paraId="4466F0BE">
      <w:pPr>
        <w:pStyle w:val="7"/>
        <w:spacing w:before="0" w:beforeAutospacing="0" w:after="0" w:afterAutospacing="0" w:line="360" w:lineRule="auto"/>
        <w:ind w:firstLine="420"/>
        <w:rPr>
          <w:sz w:val="21"/>
          <w:szCs w:val="21"/>
        </w:rPr>
      </w:pPr>
      <w:r>
        <w:rPr>
          <w:rFonts w:hint="eastAsia"/>
          <w:sz w:val="21"/>
          <w:szCs w:val="21"/>
        </w:rPr>
        <w:t xml:space="preserve">根据现行的港股通规则，只有沪/深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 </w:t>
      </w:r>
    </w:p>
    <w:p w14:paraId="7B81D6A6">
      <w:pPr>
        <w:pStyle w:val="7"/>
        <w:spacing w:before="0" w:beforeAutospacing="0" w:after="0" w:afterAutospacing="0" w:line="360" w:lineRule="auto"/>
        <w:ind w:firstLine="420"/>
        <w:rPr>
          <w:sz w:val="21"/>
          <w:szCs w:val="21"/>
        </w:rPr>
      </w:pPr>
      <w:r>
        <w:rPr>
          <w:rFonts w:hint="eastAsia"/>
          <w:sz w:val="21"/>
          <w:szCs w:val="21"/>
        </w:rPr>
        <w:t xml:space="preserve">7）交收制度带来的基金流动性风险 </w:t>
      </w:r>
    </w:p>
    <w:p w14:paraId="509F719E">
      <w:pPr>
        <w:pStyle w:val="7"/>
        <w:spacing w:before="0" w:beforeAutospacing="0" w:after="0" w:afterAutospacing="0" w:line="360" w:lineRule="auto"/>
        <w:ind w:firstLine="420"/>
        <w:rPr>
          <w:sz w:val="21"/>
          <w:szCs w:val="21"/>
        </w:rPr>
      </w:pPr>
      <w:r>
        <w:rPr>
          <w:rFonts w:hint="eastAsia"/>
          <w:sz w:val="21"/>
          <w:szCs w:val="21"/>
        </w:rPr>
        <w:t xml:space="preserve">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 </w:t>
      </w:r>
    </w:p>
    <w:p w14:paraId="38261C4B">
      <w:pPr>
        <w:pStyle w:val="7"/>
        <w:spacing w:before="0" w:beforeAutospacing="0" w:after="0" w:afterAutospacing="0" w:line="360" w:lineRule="auto"/>
        <w:ind w:firstLine="420"/>
        <w:rPr>
          <w:sz w:val="21"/>
          <w:szCs w:val="21"/>
        </w:rPr>
      </w:pPr>
      <w:r>
        <w:rPr>
          <w:rFonts w:hint="eastAsia"/>
          <w:sz w:val="21"/>
          <w:szCs w:val="21"/>
        </w:rPr>
        <w:t xml:space="preserve">8）港股通下对公司行为的处理规则带来的风险 </w:t>
      </w:r>
    </w:p>
    <w:p w14:paraId="772B092F">
      <w:pPr>
        <w:pStyle w:val="7"/>
        <w:spacing w:before="0" w:beforeAutospacing="0" w:after="0" w:afterAutospacing="0" w:line="360" w:lineRule="auto"/>
        <w:ind w:firstLine="420"/>
        <w:rPr>
          <w:sz w:val="21"/>
          <w:szCs w:val="21"/>
        </w:rPr>
      </w:pPr>
      <w:r>
        <w:rPr>
          <w:rFonts w:hint="eastAsia"/>
          <w:sz w:val="21"/>
          <w:szCs w:val="21"/>
        </w:rPr>
        <w:t xml:space="preserve">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 </w:t>
      </w:r>
    </w:p>
    <w:p w14:paraId="7CD46732">
      <w:pPr>
        <w:pStyle w:val="7"/>
        <w:spacing w:before="0" w:beforeAutospacing="0" w:after="0" w:afterAutospacing="0" w:line="360" w:lineRule="auto"/>
        <w:ind w:firstLine="420"/>
        <w:rPr>
          <w:sz w:val="21"/>
          <w:szCs w:val="21"/>
        </w:rPr>
      </w:pPr>
      <w:r>
        <w:rPr>
          <w:rFonts w:hint="eastAsia"/>
          <w:sz w:val="21"/>
          <w:szCs w:val="21"/>
        </w:rPr>
        <w:t xml:space="preserve">本基金存在因上述规则，利益得不到最大化甚至受损的风险。 </w:t>
      </w:r>
    </w:p>
    <w:p w14:paraId="3FB9FFC4">
      <w:pPr>
        <w:pStyle w:val="7"/>
        <w:spacing w:before="0" w:beforeAutospacing="0" w:after="0" w:afterAutospacing="0" w:line="360" w:lineRule="auto"/>
        <w:ind w:firstLine="420"/>
        <w:rPr>
          <w:sz w:val="21"/>
          <w:szCs w:val="21"/>
        </w:rPr>
      </w:pPr>
      <w:r>
        <w:rPr>
          <w:rFonts w:hint="eastAsia"/>
          <w:sz w:val="21"/>
          <w:szCs w:val="21"/>
        </w:rPr>
        <w:t xml:space="preserve">9）香港联合交易所停牌、退市等制度性差异带来的风险 </w:t>
      </w:r>
    </w:p>
    <w:p w14:paraId="027AB391">
      <w:pPr>
        <w:pStyle w:val="7"/>
        <w:spacing w:before="0" w:beforeAutospacing="0" w:after="0" w:afterAutospacing="0" w:line="360" w:lineRule="auto"/>
        <w:ind w:firstLine="420"/>
        <w:rPr>
          <w:sz w:val="21"/>
          <w:szCs w:val="21"/>
        </w:rPr>
      </w:pPr>
      <w:r>
        <w:rPr>
          <w:rFonts w:hint="eastAsia"/>
          <w:sz w:val="21"/>
          <w:szCs w:val="21"/>
        </w:rPr>
        <w:t xml:space="preserve">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 </w:t>
      </w:r>
    </w:p>
    <w:p w14:paraId="0192E067">
      <w:pPr>
        <w:pStyle w:val="7"/>
        <w:spacing w:before="0" w:beforeAutospacing="0" w:after="0" w:afterAutospacing="0" w:line="360" w:lineRule="auto"/>
        <w:ind w:firstLine="420"/>
        <w:rPr>
          <w:sz w:val="21"/>
          <w:szCs w:val="21"/>
        </w:rPr>
      </w:pPr>
      <w:r>
        <w:rPr>
          <w:rFonts w:hint="eastAsia"/>
          <w:sz w:val="21"/>
          <w:szCs w:val="21"/>
        </w:rPr>
        <w:t xml:space="preserve">因该等制度性差异，本基金可能存在因所持个股遭遇非预期性的停牌甚至退市而给基金带来损失的风险。 </w:t>
      </w:r>
    </w:p>
    <w:p w14:paraId="3ED7FFDD">
      <w:pPr>
        <w:pStyle w:val="7"/>
        <w:spacing w:before="0" w:beforeAutospacing="0" w:after="0" w:afterAutospacing="0" w:line="360" w:lineRule="auto"/>
        <w:ind w:firstLine="420"/>
        <w:rPr>
          <w:sz w:val="21"/>
          <w:szCs w:val="21"/>
        </w:rPr>
      </w:pPr>
      <w:r>
        <w:rPr>
          <w:rFonts w:hint="eastAsia"/>
          <w:sz w:val="21"/>
          <w:szCs w:val="21"/>
        </w:rPr>
        <w:t xml:space="preserve">10）港股通规则变动带来的风险 </w:t>
      </w:r>
    </w:p>
    <w:p w14:paraId="69A452D4">
      <w:pPr>
        <w:pStyle w:val="7"/>
        <w:spacing w:before="0" w:beforeAutospacing="0" w:after="0" w:afterAutospacing="0" w:line="360" w:lineRule="auto"/>
        <w:ind w:firstLine="420"/>
        <w:rPr>
          <w:sz w:val="21"/>
          <w:szCs w:val="21"/>
        </w:rPr>
      </w:pPr>
      <w:r>
        <w:rPr>
          <w:rFonts w:hint="eastAsia"/>
          <w:sz w:val="21"/>
          <w:szCs w:val="21"/>
        </w:rPr>
        <w:t xml:space="preserve">本基金是在港股通机制和规则下参与香港联交所证券的投资，受港股通规则的限制和影响；本基金存在因港股通规则变动而带来基金投资受阻或所持资产组合价值发生波动的风险。 </w:t>
      </w:r>
    </w:p>
    <w:p w14:paraId="48378A00">
      <w:pPr>
        <w:pStyle w:val="7"/>
        <w:spacing w:before="0" w:beforeAutospacing="0" w:after="0" w:afterAutospacing="0" w:line="360" w:lineRule="auto"/>
        <w:ind w:firstLine="420"/>
        <w:rPr>
          <w:sz w:val="21"/>
          <w:szCs w:val="21"/>
        </w:rPr>
      </w:pPr>
      <w:r>
        <w:rPr>
          <w:rFonts w:hint="eastAsia"/>
          <w:sz w:val="21"/>
          <w:szCs w:val="21"/>
        </w:rPr>
        <w:t xml:space="preserve">11）其他可能的风险 </w:t>
      </w:r>
    </w:p>
    <w:p w14:paraId="5402C7E7">
      <w:pPr>
        <w:pStyle w:val="7"/>
        <w:spacing w:before="0" w:beforeAutospacing="0" w:after="0" w:afterAutospacing="0" w:line="360" w:lineRule="auto"/>
        <w:ind w:firstLine="420"/>
        <w:rPr>
          <w:sz w:val="21"/>
          <w:szCs w:val="21"/>
        </w:rPr>
      </w:pPr>
      <w:r>
        <w:rPr>
          <w:rFonts w:hint="eastAsia"/>
          <w:sz w:val="21"/>
          <w:szCs w:val="21"/>
        </w:rPr>
        <w:t xml:space="preserve">除上述显著风险外，本基金参与港股通投资，还可能面临的其他风险，包括但不限于： </w:t>
      </w:r>
    </w:p>
    <w:p w14:paraId="6F546C7E">
      <w:pPr>
        <w:pStyle w:val="7"/>
        <w:spacing w:before="0" w:beforeAutospacing="0" w:after="0" w:afterAutospacing="0" w:line="360" w:lineRule="auto"/>
        <w:ind w:firstLine="420"/>
        <w:rPr>
          <w:sz w:val="21"/>
          <w:szCs w:val="21"/>
        </w:rPr>
      </w:pPr>
      <w:r>
        <w:rPr>
          <w:rFonts w:hint="eastAsia"/>
          <w:sz w:val="21"/>
          <w:szCs w:val="21"/>
        </w:rPr>
        <w:t xml:space="preserve">①除因股票交易而发生的佣金、交易征费、交易费、交易系统费、印花税、过户费等税费外，在不进行交易时也可能要继续缴纳证券组合费等项费用，本基金存在因费用估算不准而导致账户透支的风险； </w:t>
      </w:r>
    </w:p>
    <w:p w14:paraId="789257AA">
      <w:pPr>
        <w:pStyle w:val="7"/>
        <w:spacing w:before="0" w:beforeAutospacing="0" w:after="0" w:afterAutospacing="0" w:line="360" w:lineRule="auto"/>
        <w:ind w:firstLine="420"/>
        <w:rPr>
          <w:sz w:val="21"/>
          <w:szCs w:val="21"/>
        </w:rPr>
      </w:pPr>
      <w:r>
        <w:rPr>
          <w:rFonts w:hint="eastAsia"/>
          <w:sz w:val="21"/>
          <w:szCs w:val="21"/>
        </w:rPr>
        <w:t xml:space="preserve">②在香港市场，部分中小市值港股成交量则相对较少，流动较为缺乏，本基金投资此类股票可能因缺乏交易对手而面临个股流动性风险； </w:t>
      </w:r>
    </w:p>
    <w:p w14:paraId="19CD1152">
      <w:pPr>
        <w:pStyle w:val="7"/>
        <w:spacing w:before="0" w:beforeAutospacing="0" w:after="0" w:afterAutospacing="0" w:line="360" w:lineRule="auto"/>
        <w:ind w:firstLine="420"/>
        <w:rPr>
          <w:sz w:val="21"/>
          <w:szCs w:val="21"/>
        </w:rPr>
      </w:pPr>
      <w:r>
        <w:rPr>
          <w:rFonts w:hint="eastAsia"/>
          <w:sz w:val="21"/>
          <w:szCs w:val="21"/>
        </w:rPr>
        <w:t xml:space="preserve">③在本基金参与港股通交易中若香港联交所与内地交易所的证券交易服务公司之间的报盘系统或者通信链路出现故障，可能导致15分钟以上不能申报和撤销申报的交易中断风险； </w:t>
      </w:r>
    </w:p>
    <w:p w14:paraId="14FEC4D4">
      <w:pPr>
        <w:pStyle w:val="7"/>
        <w:spacing w:before="0" w:beforeAutospacing="0" w:after="0" w:afterAutospacing="0" w:line="360" w:lineRule="auto"/>
        <w:ind w:firstLine="420"/>
        <w:rPr>
          <w:sz w:val="21"/>
          <w:szCs w:val="21"/>
        </w:rPr>
      </w:pPr>
      <w:r>
        <w:rPr>
          <w:rFonts w:hint="eastAsia"/>
          <w:sz w:val="21"/>
          <w:szCs w:val="21"/>
        </w:rPr>
        <w:t xml:space="preserve">④存在港股通香港结算机构因极端情况下无法交付证券和资金的结算风险；另外港股通境内结算实施分级结算原则，本基金可能面临 以下风险：（一）因结算参与人未完成与中国结算的集中交收，导致本基金应收资金或证券被暂不交付或处置；（二）结算参与人对本基金出现交收违约导致本基金未能取得应收证券或资金；（三）结算参与人向中国结算发送的有关本基金的证券划付指令有误的导致本基金权益受损；（四）其他因结算参与人未遵守相关业务规则导致本基金利益受到损害的情况。 </w:t>
      </w:r>
    </w:p>
    <w:p w14:paraId="2E167159">
      <w:pPr>
        <w:pStyle w:val="7"/>
        <w:spacing w:before="0" w:beforeAutospacing="0" w:after="0" w:afterAutospacing="0" w:line="360" w:lineRule="auto"/>
        <w:ind w:firstLine="420"/>
        <w:rPr>
          <w:sz w:val="21"/>
          <w:szCs w:val="21"/>
        </w:rPr>
      </w:pPr>
      <w:r>
        <w:rPr>
          <w:rFonts w:hint="eastAsia"/>
          <w:sz w:val="21"/>
          <w:szCs w:val="21"/>
        </w:rPr>
        <w:t xml:space="preserve">本基金可根据投资策略需要或不同配置地市场环境的变化，选择将部分基金资产投资于港股或选择不将基金资产投资于港股，基金资产并非必然投资港股。 </w:t>
      </w:r>
    </w:p>
    <w:p w14:paraId="57D97D3C">
      <w:pPr>
        <w:pStyle w:val="7"/>
        <w:spacing w:before="0" w:beforeAutospacing="0" w:after="0" w:afterAutospacing="0" w:line="360" w:lineRule="auto"/>
        <w:ind w:firstLine="420"/>
        <w:rPr>
          <w:sz w:val="21"/>
          <w:szCs w:val="21"/>
        </w:rPr>
      </w:pPr>
      <w:r>
        <w:rPr>
          <w:rFonts w:hint="eastAsia"/>
          <w:sz w:val="21"/>
          <w:szCs w:val="21"/>
        </w:rPr>
        <w:t xml:space="preserve">（2）股指期货、国债期货、股票期权等金融衍生品投资风险 </w:t>
      </w:r>
    </w:p>
    <w:p w14:paraId="5A508150">
      <w:pPr>
        <w:pStyle w:val="7"/>
        <w:spacing w:before="0" w:beforeAutospacing="0" w:after="0" w:afterAutospacing="0" w:line="360" w:lineRule="auto"/>
        <w:ind w:firstLine="420"/>
        <w:rPr>
          <w:sz w:val="21"/>
          <w:szCs w:val="21"/>
        </w:rPr>
      </w:pPr>
      <w:r>
        <w:rPr>
          <w:rFonts w:hint="eastAsia"/>
          <w:sz w:val="21"/>
          <w:szCs w:val="21"/>
        </w:rPr>
        <w:t xml:space="preserve">金融衍生品是一种金融合约，其价值取决于一种或多种基础资产或指数，其评价主要源自于对挂钩资产的价格与价格波动的预期。投资于衍生品需承受市场风险、信用风险、流动性风险、操作风险和法律风险等。由于衍生品通常具有杠杆效应，价格波动比标的工具更为剧烈，有时候比投资标的资产要承担更高的风险。并且由于衍生品定价相当复杂，不适当的估值有可能使基金资产面临损失风险。 </w:t>
      </w:r>
    </w:p>
    <w:p w14:paraId="0FA728C6">
      <w:pPr>
        <w:pStyle w:val="7"/>
        <w:spacing w:before="0" w:beforeAutospacing="0" w:after="0" w:afterAutospacing="0" w:line="360" w:lineRule="auto"/>
        <w:ind w:firstLine="420"/>
        <w:rPr>
          <w:sz w:val="21"/>
          <w:szCs w:val="21"/>
        </w:rPr>
      </w:pPr>
      <w:r>
        <w:rPr>
          <w:rFonts w:hint="eastAsia"/>
          <w:sz w:val="21"/>
          <w:szCs w:val="21"/>
        </w:rPr>
        <w:t xml:space="preserve">本基金将股指期货纳入到投资范围中，股指期货采用保证金交易制度，由于保证金交易具有杠杆性，当出现不利行情时，微小的变动就可能会使投资人权益遭受较大损失。同时，股指期货采用每日无负债结算制度，如果没有在规定的时间内补足保证金，按规定将被强制平仓，可能给基金净值带来重大损失。 </w:t>
      </w:r>
    </w:p>
    <w:p w14:paraId="4905BE8A">
      <w:pPr>
        <w:pStyle w:val="7"/>
        <w:spacing w:before="0" w:beforeAutospacing="0" w:after="0" w:afterAutospacing="0" w:line="360" w:lineRule="auto"/>
        <w:ind w:firstLine="420"/>
        <w:rPr>
          <w:sz w:val="21"/>
          <w:szCs w:val="21"/>
        </w:rPr>
      </w:pPr>
      <w:r>
        <w:rPr>
          <w:rFonts w:hint="eastAsia"/>
          <w:sz w:val="21"/>
          <w:szCs w:val="21"/>
        </w:rPr>
        <w:t xml:space="preserve">本基金投资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797692D1">
      <w:pPr>
        <w:pStyle w:val="7"/>
        <w:spacing w:before="0" w:beforeAutospacing="0" w:after="0" w:afterAutospacing="0" w:line="360" w:lineRule="auto"/>
        <w:ind w:firstLine="420"/>
        <w:rPr>
          <w:sz w:val="21"/>
          <w:szCs w:val="21"/>
        </w:rPr>
      </w:pPr>
      <w:r>
        <w:rPr>
          <w:rFonts w:hint="eastAsia"/>
          <w:sz w:val="21"/>
          <w:szCs w:val="21"/>
        </w:rPr>
        <w:t xml:space="preserve">本基金参与股票期权交易以套期保值为主要目的，投资股票期权的主要风险包括价格波动风险、市场流动性风险、强制平仓风险、合约到期风险、行权失败风险、交易违约风险等。影响期权价格的因素较多，有时会出现价格较大波动，而且期权有到期日，不同的期权合约又有不同的到期日，若到期日当天没有做好行权准备，期权合约就会作废，不再有任何价值。此外，行权失败和交收违约也是股票期权交易可能出现的风险，期权义务方无法在较首日备齐足额资金或证券用于交收履约，会被判为交收违约并受罚，相应地，行权投资者就会面临行权失败而失去交易机会。 </w:t>
      </w:r>
    </w:p>
    <w:p w14:paraId="5E4673CC">
      <w:pPr>
        <w:pStyle w:val="7"/>
        <w:spacing w:before="0" w:beforeAutospacing="0" w:after="0" w:afterAutospacing="0" w:line="360" w:lineRule="auto"/>
        <w:ind w:firstLine="420"/>
        <w:rPr>
          <w:sz w:val="21"/>
          <w:szCs w:val="21"/>
        </w:rPr>
      </w:pPr>
      <w:r>
        <w:rPr>
          <w:rFonts w:hint="eastAsia"/>
          <w:sz w:val="21"/>
          <w:szCs w:val="21"/>
        </w:rPr>
        <w:t xml:space="preserve">（3）基金投资资产支持证券的风险 </w:t>
      </w:r>
    </w:p>
    <w:p w14:paraId="3131CFE7">
      <w:pPr>
        <w:pStyle w:val="7"/>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4B4C2057">
      <w:pPr>
        <w:pStyle w:val="7"/>
        <w:spacing w:before="0" w:beforeAutospacing="0" w:after="0" w:afterAutospacing="0" w:line="360" w:lineRule="auto"/>
        <w:ind w:firstLine="420"/>
        <w:rPr>
          <w:sz w:val="21"/>
          <w:szCs w:val="21"/>
        </w:rPr>
      </w:pPr>
      <w:r>
        <w:rPr>
          <w:rFonts w:hint="eastAsia"/>
          <w:sz w:val="21"/>
          <w:szCs w:val="21"/>
        </w:rPr>
        <w:t xml:space="preserve">（4）基金投资信用衍生品的风险 </w:t>
      </w:r>
    </w:p>
    <w:p w14:paraId="2906ED1E">
      <w:pPr>
        <w:pStyle w:val="7"/>
        <w:spacing w:before="0" w:beforeAutospacing="0" w:after="0" w:afterAutospacing="0" w:line="360" w:lineRule="auto"/>
        <w:ind w:firstLine="420"/>
        <w:rPr>
          <w:sz w:val="21"/>
          <w:szCs w:val="21"/>
        </w:rPr>
      </w:pPr>
      <w:r>
        <w:rPr>
          <w:rFonts w:hint="eastAsia"/>
          <w:sz w:val="21"/>
          <w:szCs w:val="21"/>
        </w:rPr>
        <w:t xml:space="preserve">本基金可以投资于信用衍生品，由于信用衍生品市场价值随着市场因素的变化而变化，当信用衍生品价值为正时面临交易对手违约的风险。信用衍生品主要场外市场交易，产品自身的流动性不高，此时倘若市场中发生交易对手违约或者信用评级被降级等信用事件，将会降低产品的流动性，使得产品的流动性溢价提高。信用衍生品本身高杠杆的特点，有时即为微小的失误可能带来风险的急剧放大，信用衍生品在估值、风险对冲方面存在模型风险。 </w:t>
      </w:r>
    </w:p>
    <w:p w14:paraId="721AD8F7">
      <w:pPr>
        <w:pStyle w:val="7"/>
        <w:spacing w:before="0" w:beforeAutospacing="0" w:after="0" w:afterAutospacing="0" w:line="360" w:lineRule="auto"/>
        <w:ind w:firstLine="420"/>
        <w:rPr>
          <w:sz w:val="21"/>
          <w:szCs w:val="21"/>
        </w:rPr>
      </w:pPr>
      <w:r>
        <w:rPr>
          <w:rFonts w:hint="eastAsia"/>
          <w:sz w:val="21"/>
          <w:szCs w:val="21"/>
        </w:rPr>
        <w:t xml:space="preserve">（5）投资于存托凭证的风险 </w:t>
      </w:r>
    </w:p>
    <w:p w14:paraId="1FE85A80">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1044925C">
      <w:pPr>
        <w:pStyle w:val="7"/>
        <w:spacing w:before="0" w:beforeAutospacing="0" w:after="0" w:afterAutospacing="0" w:line="360" w:lineRule="auto"/>
        <w:ind w:firstLine="420"/>
        <w:rPr>
          <w:sz w:val="21"/>
          <w:szCs w:val="21"/>
        </w:rPr>
      </w:pPr>
      <w:r>
        <w:rPr>
          <w:rStyle w:val="11"/>
          <w:rFonts w:hint="eastAsia"/>
          <w:sz w:val="21"/>
          <w:szCs w:val="21"/>
        </w:rPr>
        <w:t>二、声明</w:t>
      </w:r>
    </w:p>
    <w:p w14:paraId="3C2B1CD7">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7F8E79C5">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2、除基金管理人直接办理本基金的销售外，本基金还通过基金销售机构销售，基金管</w:t>
      </w:r>
      <w:bookmarkStart w:id="195" w:name="chapter_level1_19_68_section_1_end"/>
      <w:bookmarkEnd w:id="195"/>
      <w:r>
        <w:rPr>
          <w:rFonts w:hint="eastAsia"/>
          <w:sz w:val="21"/>
          <w:szCs w:val="21"/>
        </w:rPr>
        <w:t xml:space="preserve">理人与基金销售机构都不能保证其收益或本金安全。 </w:t>
      </w:r>
    </w:p>
    <w:p w14:paraId="6D7FDE4E">
      <w:pPr>
        <w:widowControl/>
        <w:jc w:val="left"/>
        <w:rPr>
          <w:rFonts w:ascii="宋体" w:hAnsi="宋体" w:eastAsia="宋体"/>
        </w:rPr>
      </w:pPr>
      <w:r>
        <w:rPr>
          <w:rFonts w:ascii="宋体" w:hAnsi="宋体" w:eastAsia="宋体"/>
        </w:rPr>
        <w:br w:type="page"/>
      </w:r>
    </w:p>
    <w:p w14:paraId="63C9A73D">
      <w:pPr>
        <w:pStyle w:val="2"/>
        <w:jc w:val="center"/>
        <w:rPr>
          <w:rFonts w:ascii="宋体" w:hAnsi="宋体" w:eastAsia="宋体"/>
          <w:sz w:val="30"/>
        </w:rPr>
      </w:pPr>
      <w:bookmarkStart w:id="196" w:name="chapter_level1_20_69"/>
      <w:bookmarkStart w:id="197" w:name="_Toc239193712"/>
      <w:r>
        <w:rPr>
          <w:rFonts w:hint="eastAsia" w:ascii="宋体" w:hAnsi="宋体" w:eastAsia="宋体"/>
          <w:sz w:val="30"/>
        </w:rPr>
        <w:t>第十七部分  基金合同的变更、终止与基金财产的清算</w:t>
      </w:r>
      <w:bookmarkEnd w:id="196"/>
      <w:bookmarkEnd w:id="197"/>
    </w:p>
    <w:p w14:paraId="560E9B82">
      <w:pPr>
        <w:pStyle w:val="7"/>
        <w:spacing w:before="0" w:beforeAutospacing="0" w:after="0" w:afterAutospacing="0" w:line="360" w:lineRule="auto"/>
        <w:ind w:firstLine="420"/>
        <w:rPr>
          <w:sz w:val="21"/>
          <w:szCs w:val="21"/>
        </w:rPr>
      </w:pPr>
      <w:bookmarkStart w:id="198" w:name="chapter_level1_20_69_section_1"/>
      <w:bookmarkEnd w:id="198"/>
      <w:r>
        <w:rPr>
          <w:rStyle w:val="11"/>
          <w:rFonts w:hint="eastAsia"/>
          <w:sz w:val="21"/>
          <w:szCs w:val="21"/>
        </w:rPr>
        <w:t>一、《基金合同》的变更</w:t>
      </w:r>
    </w:p>
    <w:p w14:paraId="467FE269">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1D357396">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2、关于《基金合同》变更的基金份额持有人大会决议自生效后方可执行，自决议生效后按规定在指定媒介公告。 </w:t>
      </w:r>
    </w:p>
    <w:p w14:paraId="1E208913">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2A986507">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783CB9D0">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58A81D9A">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27AAEE34">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699E4D4E">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792BA1A1">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4B789D70">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2B888812">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61C8B9D3">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399E5839">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1827C3EF">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4C04F7EB">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14:paraId="652A2978">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0D141F82">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17D29FF5">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7AAADA0D">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2BAA0E43">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6BBB73E5">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6505AD6C">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1AF6BC80">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39978AD6">
      <w:pPr>
        <w:pStyle w:val="7"/>
        <w:spacing w:before="0" w:beforeAutospacing="0" w:after="0" w:afterAutospacing="0" w:line="360" w:lineRule="auto"/>
        <w:ind w:firstLine="420"/>
        <w:rPr>
          <w:sz w:val="21"/>
          <w:szCs w:val="21"/>
        </w:rPr>
      </w:pPr>
      <w:r>
        <w:rPr>
          <w:rStyle w:val="11"/>
          <w:rFonts w:hint="eastAsia"/>
          <w:sz w:val="21"/>
          <w:szCs w:val="21"/>
        </w:rPr>
        <w:t>四、清算费用</w:t>
      </w:r>
    </w:p>
    <w:p w14:paraId="7E81F34D">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5F84D867">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013035D0">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4BBABF22">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4028CAF8">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6BDE146E">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7ED20ADF">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398DF857">
      <w:pPr>
        <w:pStyle w:val="7"/>
        <w:spacing w:before="0" w:beforeAutospacing="0" w:after="0" w:afterAutospacing="0" w:line="360" w:lineRule="auto"/>
        <w:ind w:firstLine="420"/>
        <w:rPr>
          <w:sz w:val="21"/>
          <w:szCs w:val="21"/>
        </w:rPr>
      </w:pPr>
      <w:r>
        <w:rPr>
          <w:rStyle w:val="11"/>
          <w:rFonts w:hint="eastAsia"/>
          <w:sz w:val="21"/>
          <w:szCs w:val="21"/>
        </w:rPr>
        <w:t>八、基金合并</w:t>
      </w:r>
    </w:p>
    <w:p w14:paraId="2D17C04F">
      <w:pPr>
        <w:pStyle w:val="7"/>
        <w:spacing w:before="0" w:beforeAutospacing="0" w:after="0" w:afterAutospacing="0" w:line="360" w:lineRule="auto"/>
        <w:ind w:firstLine="420"/>
        <w:rPr>
          <w:sz w:val="21"/>
          <w:szCs w:val="21"/>
        </w:rPr>
      </w:pPr>
      <w:bookmarkStart w:id="199" w:name="chapter_level1_20_69_section_1_end"/>
      <w:bookmarkEnd w:id="199"/>
      <w:r>
        <w:rPr>
          <w:rFonts w:hint="eastAsia"/>
          <w:sz w:val="21"/>
          <w:szCs w:val="21"/>
        </w:rPr>
        <w:t xml:space="preserve">本基金与其他基金的合并应当按照法律法规规定的程序进行。 </w:t>
      </w:r>
    </w:p>
    <w:p w14:paraId="58A01224">
      <w:pPr>
        <w:widowControl/>
        <w:jc w:val="left"/>
        <w:rPr>
          <w:rFonts w:ascii="宋体" w:hAnsi="宋体" w:eastAsia="宋体"/>
        </w:rPr>
      </w:pPr>
      <w:r>
        <w:rPr>
          <w:rFonts w:ascii="宋体" w:hAnsi="宋体" w:eastAsia="宋体"/>
        </w:rPr>
        <w:br w:type="page"/>
      </w:r>
    </w:p>
    <w:p w14:paraId="48CAC5B4">
      <w:pPr>
        <w:pStyle w:val="2"/>
        <w:jc w:val="center"/>
        <w:rPr>
          <w:rFonts w:ascii="宋体" w:hAnsi="宋体" w:eastAsia="宋体"/>
          <w:sz w:val="30"/>
        </w:rPr>
      </w:pPr>
      <w:bookmarkStart w:id="200" w:name="chapter_level1_21_71"/>
      <w:bookmarkStart w:id="201" w:name="_Toc239193713"/>
      <w:r>
        <w:rPr>
          <w:rFonts w:hint="eastAsia" w:ascii="宋体" w:hAnsi="宋体" w:eastAsia="宋体"/>
          <w:sz w:val="30"/>
        </w:rPr>
        <w:t>第十八部分  基金合同的内容摘要</w:t>
      </w:r>
      <w:bookmarkEnd w:id="200"/>
      <w:bookmarkEnd w:id="201"/>
    </w:p>
    <w:p w14:paraId="4ADC6DD7">
      <w:pPr>
        <w:pStyle w:val="7"/>
        <w:spacing w:before="0" w:beforeAutospacing="0" w:after="0" w:afterAutospacing="0" w:line="360" w:lineRule="auto"/>
        <w:ind w:firstLine="420"/>
        <w:rPr>
          <w:sz w:val="21"/>
          <w:szCs w:val="21"/>
        </w:rPr>
      </w:pPr>
      <w:bookmarkStart w:id="202" w:name="chapter_level1_21_71_section_1"/>
      <w:bookmarkEnd w:id="202"/>
      <w:r>
        <w:rPr>
          <w:rStyle w:val="11"/>
          <w:rFonts w:hint="eastAsia"/>
          <w:sz w:val="21"/>
          <w:szCs w:val="21"/>
        </w:rPr>
        <w:t>一、基金管理人、基金托管人及基金份额持有人的权利与义务</w:t>
      </w:r>
    </w:p>
    <w:p w14:paraId="7CD6AD14">
      <w:pPr>
        <w:pStyle w:val="7"/>
        <w:spacing w:before="0" w:beforeAutospacing="0" w:after="0" w:afterAutospacing="0" w:line="360" w:lineRule="auto"/>
        <w:ind w:firstLine="420"/>
        <w:rPr>
          <w:sz w:val="21"/>
          <w:szCs w:val="21"/>
        </w:rPr>
      </w:pPr>
      <w:r>
        <w:rPr>
          <w:rFonts w:hint="eastAsia"/>
          <w:sz w:val="21"/>
          <w:szCs w:val="21"/>
        </w:rPr>
        <w:t xml:space="preserve">（一） 基金管理人的权利与义务 </w:t>
      </w:r>
    </w:p>
    <w:p w14:paraId="6149E03C">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2CB88481">
      <w:pPr>
        <w:pStyle w:val="7"/>
        <w:spacing w:before="0" w:beforeAutospacing="0" w:after="0" w:afterAutospacing="0" w:line="360" w:lineRule="auto"/>
        <w:ind w:firstLine="420"/>
        <w:rPr>
          <w:sz w:val="21"/>
          <w:szCs w:val="21"/>
        </w:rPr>
      </w:pPr>
      <w:r>
        <w:rPr>
          <w:rFonts w:hint="eastAsia"/>
          <w:sz w:val="21"/>
          <w:szCs w:val="21"/>
        </w:rPr>
        <w:t xml:space="preserve">（1）依法募集资金； </w:t>
      </w:r>
    </w:p>
    <w:p w14:paraId="411A482C">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568A2C39">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5AB91F32">
      <w:pPr>
        <w:pStyle w:val="7"/>
        <w:spacing w:before="0" w:beforeAutospacing="0" w:after="0" w:afterAutospacing="0" w:line="360" w:lineRule="auto"/>
        <w:ind w:firstLine="420"/>
        <w:rPr>
          <w:sz w:val="21"/>
          <w:szCs w:val="21"/>
        </w:rPr>
      </w:pPr>
      <w:r>
        <w:rPr>
          <w:rFonts w:hint="eastAsia"/>
          <w:sz w:val="21"/>
          <w:szCs w:val="21"/>
        </w:rPr>
        <w:t xml:space="preserve">（4）销售基金份额； </w:t>
      </w:r>
    </w:p>
    <w:p w14:paraId="4F0891A3">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5A8340F7">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2E287729">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2636E8E8">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23F175D5">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65E3E7B3">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3F11A55A">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49477BCA">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1B985DAA">
      <w:pPr>
        <w:pStyle w:val="7"/>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 </w:t>
      </w:r>
    </w:p>
    <w:p w14:paraId="28DBAD09">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6B61B1B4">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（15）选择、更换律师事务所、会计师事务所、证券、期货经纪商或其他为基金提供服务的外部机构； </w:t>
      </w:r>
    </w:p>
    <w:p w14:paraId="6BFA719F">
      <w:pPr>
        <w:pStyle w:val="7"/>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（16）在符合有关法律、法规的前提下，制订和调整有关基金认购、申购、赎回、转换、定期定额投资和非交易过户等业务规则； </w:t>
      </w:r>
    </w:p>
    <w:p w14:paraId="042E39BF">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 </w:t>
      </w:r>
    </w:p>
    <w:p w14:paraId="257E72ED">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1EBD67C6">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466A2A25">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58EEC823">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33823D44">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7C272C07">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529E9B91">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01B7131D">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05911E97">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38605DCC">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0024376A">
      <w:pPr>
        <w:pStyle w:val="7"/>
        <w:spacing w:before="0" w:beforeAutospacing="0" w:after="0" w:afterAutospacing="0" w:line="360" w:lineRule="auto"/>
        <w:ind w:firstLine="420"/>
        <w:rPr>
          <w:sz w:val="21"/>
          <w:szCs w:val="21"/>
        </w:rPr>
      </w:pPr>
      <w:r>
        <w:rPr>
          <w:rFonts w:hint="eastAsia"/>
          <w:sz w:val="21"/>
          <w:szCs w:val="21"/>
        </w:rPr>
        <w:t xml:space="preserve">（10）编制季度、中期和年度基金报告； </w:t>
      </w:r>
    </w:p>
    <w:p w14:paraId="08DF9B0C">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48EC4568">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3FEA5260">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719BA5DA">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00E843F4">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7184D164">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6C2406B0">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552719E7">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0BC2D2C5">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4F4CA27A">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0EFDC517">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5A398458">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31C9DA1B">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24）基金管理人在募集期间未能达到基金的备案条件，《基金合同》不能生效，基金管理人承担全部募集费用，将已募集资金并加计银行同期活期存款利息在基金募集期结束后30日内退还基金认购人； </w:t>
      </w:r>
    </w:p>
    <w:p w14:paraId="7136111B">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34D4AA01">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4F47F85D">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2786515C">
      <w:pPr>
        <w:pStyle w:val="7"/>
        <w:spacing w:before="0" w:beforeAutospacing="0" w:after="0" w:afterAutospacing="0" w:line="360" w:lineRule="auto"/>
        <w:ind w:firstLine="420"/>
        <w:rPr>
          <w:sz w:val="21"/>
          <w:szCs w:val="21"/>
        </w:rPr>
      </w:pPr>
      <w:r>
        <w:rPr>
          <w:rFonts w:hint="eastAsia"/>
          <w:sz w:val="21"/>
          <w:szCs w:val="21"/>
        </w:rPr>
        <w:t xml:space="preserve">（二） 基金托管人的权利与义务 </w:t>
      </w:r>
    </w:p>
    <w:p w14:paraId="65298D09">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1DDB3B2C">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7011AA9F">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06EA2374">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274CF2C8">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（4）根据相关市场规则，为基金开设资金账户、证券账户等投资所需账户，为基金办理证券、期货交易资金清算； </w:t>
      </w:r>
    </w:p>
    <w:p w14:paraId="5ECB4673">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6C0E76BF">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63CA6BAF">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20A979AA">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1431C9BB">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69831079">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78231FE1">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499B49CA">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1F559642">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41CCB0F2">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388A54ED">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14:paraId="6B539E31">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45D69D10">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68BC4857">
      <w:pPr>
        <w:pStyle w:val="7"/>
        <w:spacing w:before="0" w:beforeAutospacing="0" w:after="0" w:afterAutospacing="0" w:line="360" w:lineRule="auto"/>
        <w:ind w:firstLine="420"/>
        <w:rPr>
          <w:sz w:val="21"/>
          <w:szCs w:val="21"/>
        </w:rPr>
      </w:pPr>
      <w:r>
        <w:rPr>
          <w:rFonts w:hint="eastAsia"/>
          <w:sz w:val="21"/>
          <w:szCs w:val="21"/>
        </w:rPr>
        <w:t xml:space="preserve">（10）对基金财务会计报告、季度、中期和年度基金报告出具意见，说明基金管理人在各重要方面的运作是否严格按照《基金合同》的规定进行；如果基金管理人有未执行《基金合同》规定的行为，还应当说明基金托管人是否采取了适当的措施； </w:t>
      </w:r>
    </w:p>
    <w:p w14:paraId="794277FE">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14:paraId="01E57409">
      <w:pPr>
        <w:pStyle w:val="7"/>
        <w:spacing w:before="0" w:beforeAutospacing="0" w:after="0" w:afterAutospacing="0" w:line="360" w:lineRule="auto"/>
        <w:ind w:firstLine="420"/>
        <w:rPr>
          <w:sz w:val="21"/>
          <w:szCs w:val="21"/>
        </w:rPr>
      </w:pPr>
      <w:r>
        <w:rPr>
          <w:rFonts w:hint="eastAsia"/>
          <w:sz w:val="21"/>
          <w:szCs w:val="21"/>
        </w:rPr>
        <w:t xml:space="preserve">（12）保存基金份额持有人名册； </w:t>
      </w:r>
    </w:p>
    <w:p w14:paraId="2A1C4001">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6D134851">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70993D51">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2728C2D9">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33B61DD5">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4DFE0AA0">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1A877003">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3ECC5431">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1EE8F794">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11781E2E">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4C9D839B">
      <w:pPr>
        <w:pStyle w:val="7"/>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14:paraId="4B228034">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005448D7">
      <w:pPr>
        <w:pStyle w:val="7"/>
        <w:spacing w:before="0" w:beforeAutospacing="0" w:after="0" w:afterAutospacing="0" w:line="360" w:lineRule="auto"/>
        <w:ind w:firstLine="420"/>
        <w:rPr>
          <w:sz w:val="21"/>
          <w:szCs w:val="21"/>
        </w:rPr>
      </w:pPr>
      <w:r>
        <w:rPr>
          <w:rFonts w:hint="eastAsia"/>
          <w:sz w:val="21"/>
          <w:szCs w:val="21"/>
        </w:rPr>
        <w:t xml:space="preserve">同一类别每份基金份额具有同等的合法权益。 </w:t>
      </w:r>
    </w:p>
    <w:p w14:paraId="3B3E6CA4">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048C3A42">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57FACF74">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7CFC6E60">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3F3B2097">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2C089B12">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7057D3F3">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034B3E11">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423882EE">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5DC86405">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70B44EDF">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6A4BF437">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52FA8D04">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796D7D70">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6C264050">
      <w:pPr>
        <w:pStyle w:val="7"/>
        <w:spacing w:before="0" w:beforeAutospacing="0" w:after="0" w:afterAutospacing="0" w:line="360" w:lineRule="auto"/>
        <w:ind w:firstLine="420"/>
        <w:rPr>
          <w:sz w:val="21"/>
          <w:szCs w:val="21"/>
        </w:rPr>
      </w:pPr>
      <w:r>
        <w:rPr>
          <w:rFonts w:hint="eastAsia"/>
          <w:sz w:val="21"/>
          <w:szCs w:val="21"/>
        </w:rPr>
        <w:t xml:space="preserve">（4）交纳基金认购、申购款项及法律法规和《基金合同》所规定的费用； </w:t>
      </w:r>
    </w:p>
    <w:p w14:paraId="0149770B">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6891A1B0">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238A9290">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7957529B">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2814AAA4">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63266A5A">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14:paraId="376918E8">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基金份额持有人大会由基金份额持有人组成，基金份额持有人的合法授权代表有权代表基金份额持有人出席会议并表决。基金份额持有人持有的同一类别每一基金份额拥有平等的投票权。 </w:t>
      </w:r>
    </w:p>
    <w:p w14:paraId="1C4C2100">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44070FF3">
      <w:pPr>
        <w:pStyle w:val="7"/>
        <w:spacing w:before="0" w:beforeAutospacing="0" w:after="0" w:afterAutospacing="0" w:line="360" w:lineRule="auto"/>
        <w:ind w:firstLine="420"/>
        <w:rPr>
          <w:sz w:val="21"/>
          <w:szCs w:val="21"/>
        </w:rPr>
      </w:pPr>
      <w:r>
        <w:rPr>
          <w:rFonts w:hint="eastAsia"/>
          <w:sz w:val="21"/>
          <w:szCs w:val="21"/>
        </w:rPr>
        <w:t xml:space="preserve">（一）召开事由 </w:t>
      </w:r>
    </w:p>
    <w:p w14:paraId="33B4347C">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0D1FADA2">
      <w:pPr>
        <w:pStyle w:val="7"/>
        <w:spacing w:before="0" w:beforeAutospacing="0" w:after="0" w:afterAutospacing="0" w:line="360" w:lineRule="auto"/>
        <w:ind w:firstLine="420"/>
        <w:rPr>
          <w:sz w:val="21"/>
          <w:szCs w:val="21"/>
        </w:rPr>
      </w:pPr>
      <w:r>
        <w:rPr>
          <w:rFonts w:hint="eastAsia"/>
          <w:sz w:val="21"/>
          <w:szCs w:val="21"/>
        </w:rPr>
        <w:t xml:space="preserve">（1）终止《基金合同》； </w:t>
      </w:r>
    </w:p>
    <w:p w14:paraId="0F547159">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14:paraId="0C970565">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14:paraId="5208B0FE">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14:paraId="2476C32D">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 </w:t>
      </w:r>
    </w:p>
    <w:p w14:paraId="6B74B52A">
      <w:pPr>
        <w:pStyle w:val="7"/>
        <w:spacing w:before="0" w:beforeAutospacing="0" w:after="0" w:afterAutospacing="0" w:line="360" w:lineRule="auto"/>
        <w:ind w:firstLine="420"/>
        <w:rPr>
          <w:sz w:val="21"/>
          <w:szCs w:val="21"/>
        </w:rPr>
      </w:pPr>
      <w:r>
        <w:rPr>
          <w:rFonts w:hint="eastAsia"/>
          <w:sz w:val="21"/>
          <w:szCs w:val="21"/>
        </w:rPr>
        <w:t xml:space="preserve">（6）变更基金类别； </w:t>
      </w:r>
    </w:p>
    <w:p w14:paraId="22681094">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684CA4FC">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4D4D63F9">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7E885BC9">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72D2C452">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3B2619C5">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64FE76D5">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787AE475">
      <w:pPr>
        <w:pStyle w:val="7"/>
        <w:spacing w:before="0" w:beforeAutospacing="0" w:after="0" w:afterAutospacing="0" w:line="360" w:lineRule="auto"/>
        <w:ind w:firstLine="420"/>
        <w:rPr>
          <w:sz w:val="21"/>
          <w:szCs w:val="21"/>
        </w:rPr>
      </w:pPr>
      <w:r>
        <w:rPr>
          <w:rFonts w:hint="eastAsia"/>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14:paraId="49812FF5">
      <w:pPr>
        <w:pStyle w:val="7"/>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14:paraId="255A64B0">
      <w:pPr>
        <w:pStyle w:val="7"/>
        <w:spacing w:before="0" w:beforeAutospacing="0" w:after="0" w:afterAutospacing="0" w:line="360" w:lineRule="auto"/>
        <w:ind w:firstLine="420"/>
        <w:rPr>
          <w:sz w:val="21"/>
          <w:szCs w:val="21"/>
        </w:rPr>
      </w:pPr>
      <w:r>
        <w:rPr>
          <w:rFonts w:hint="eastAsia"/>
          <w:sz w:val="21"/>
          <w:szCs w:val="21"/>
        </w:rPr>
        <w:t xml:space="preserve">（2）调整本基金的申购费率、调低赎回费率、调低销售服务费率或变更收费方式，调整基金份额类别设置、对基金份额分类办法及规则进行调整； </w:t>
      </w:r>
    </w:p>
    <w:p w14:paraId="1322E38D">
      <w:pPr>
        <w:pStyle w:val="7"/>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14:paraId="6EEFB809">
      <w:pPr>
        <w:pStyle w:val="7"/>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14:paraId="4FEB3487">
      <w:pPr>
        <w:pStyle w:val="7"/>
        <w:spacing w:before="0" w:beforeAutospacing="0" w:after="0" w:afterAutospacing="0" w:line="360" w:lineRule="auto"/>
        <w:ind w:firstLine="420"/>
        <w:rPr>
          <w:sz w:val="21"/>
          <w:szCs w:val="21"/>
        </w:rPr>
      </w:pPr>
      <w:r>
        <w:rPr>
          <w:rFonts w:hint="eastAsia"/>
          <w:sz w:val="21"/>
          <w:szCs w:val="21"/>
        </w:rPr>
        <w:t xml:space="preserve">（5）基金管理人、登记机构、基金销售机构调整有关认购、申购、赎回、转换、基金交易、非交易过户、转托管等业务规则； </w:t>
      </w:r>
    </w:p>
    <w:p w14:paraId="7C37FBCA">
      <w:pPr>
        <w:pStyle w:val="7"/>
        <w:spacing w:before="0" w:beforeAutospacing="0" w:after="0" w:afterAutospacing="0" w:line="360" w:lineRule="auto"/>
        <w:ind w:firstLine="420"/>
        <w:rPr>
          <w:sz w:val="21"/>
          <w:szCs w:val="21"/>
        </w:rPr>
      </w:pPr>
      <w:r>
        <w:rPr>
          <w:rFonts w:hint="eastAsia"/>
          <w:sz w:val="21"/>
          <w:szCs w:val="21"/>
        </w:rPr>
        <w:t xml:space="preserve">（6）履行相关程序后，基金推出新业务或服务； </w:t>
      </w:r>
    </w:p>
    <w:p w14:paraId="2A5989E9">
      <w:pPr>
        <w:pStyle w:val="7"/>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14:paraId="1969B47C">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3ED6359C">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3399557C">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0C9676F9">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7CED7376">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2121AE9B">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5A285ACD">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567FC069">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44C84D3A">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1、召开基金份额持有人大会，召集人应于会议召开前30日，在指定媒介公告。基金份额持有人大会通知应至少载明以下内容： </w:t>
      </w:r>
    </w:p>
    <w:p w14:paraId="059985BC">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38DD3734">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6ECA59D4">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2B71F8E6">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285D9EC4">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4982A768">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6F80E425">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2319E4BA">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5FF14681">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7D89A5A0">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014CB9B1">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14:paraId="00600454">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10F5FBA0">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601F0A5A">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4B31F7E2">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止日以前送达至召集人指定的地址。通讯开会应以书面方式或大会公告载明的其他方式进行表决。 </w:t>
      </w:r>
    </w:p>
    <w:p w14:paraId="08908204">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6F182CC9">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5187B91A">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41A42EFF">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29C8FE25">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0995FD08">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 </w:t>
      </w:r>
    </w:p>
    <w:p w14:paraId="3A065E10">
      <w:pPr>
        <w:pStyle w:val="7"/>
        <w:spacing w:before="0" w:beforeAutospacing="0" w:after="0" w:afterAutospacing="0" w:line="360" w:lineRule="auto"/>
        <w:ind w:firstLine="420"/>
        <w:rPr>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359BECE7">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14:paraId="696B399D">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1E9FB43E">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350E0E28">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10C077FA">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3E5E359E">
      <w:pPr>
        <w:pStyle w:val="7"/>
        <w:spacing w:before="0" w:beforeAutospacing="0" w:after="0" w:afterAutospacing="0" w:line="360" w:lineRule="auto"/>
        <w:ind w:firstLine="420"/>
        <w:rPr>
          <w:sz w:val="21"/>
          <w:szCs w:val="21"/>
        </w:rPr>
      </w:pPr>
      <w:r>
        <w:rPr>
          <w:rFonts w:hint="eastAsia"/>
          <w:sz w:val="21"/>
          <w:szCs w:val="21"/>
        </w:rPr>
        <w:t xml:space="preserve">2、议事程序 </w:t>
      </w:r>
    </w:p>
    <w:p w14:paraId="1B70262B">
      <w:pPr>
        <w:pStyle w:val="7"/>
        <w:spacing w:before="0" w:beforeAutospacing="0" w:after="0" w:afterAutospacing="0" w:line="360" w:lineRule="auto"/>
        <w:ind w:firstLine="420"/>
        <w:rPr>
          <w:sz w:val="21"/>
          <w:szCs w:val="21"/>
        </w:rPr>
      </w:pPr>
      <w:r>
        <w:rPr>
          <w:rFonts w:hint="eastAsia"/>
          <w:sz w:val="21"/>
          <w:szCs w:val="21"/>
        </w:rPr>
        <w:t xml:space="preserve">（1）现场开会 </w:t>
      </w:r>
    </w:p>
    <w:p w14:paraId="3975D32C">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38485C2D">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27AAEC5C">
      <w:pPr>
        <w:pStyle w:val="7"/>
        <w:spacing w:before="0" w:beforeAutospacing="0" w:after="0" w:afterAutospacing="0" w:line="360" w:lineRule="auto"/>
        <w:ind w:firstLine="420"/>
        <w:rPr>
          <w:sz w:val="21"/>
          <w:szCs w:val="21"/>
        </w:rPr>
      </w:pPr>
      <w:r>
        <w:rPr>
          <w:rFonts w:hint="eastAsia"/>
          <w:sz w:val="21"/>
          <w:szCs w:val="21"/>
        </w:rPr>
        <w:t xml:space="preserve">（2）通讯开会 </w:t>
      </w:r>
    </w:p>
    <w:p w14:paraId="79AD2DBC">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5213E03D">
      <w:pPr>
        <w:pStyle w:val="7"/>
        <w:spacing w:before="0" w:beforeAutospacing="0" w:after="0" w:afterAutospacing="0" w:line="360" w:lineRule="auto"/>
        <w:ind w:firstLine="420"/>
        <w:rPr>
          <w:sz w:val="21"/>
          <w:szCs w:val="21"/>
        </w:rPr>
      </w:pPr>
      <w:r>
        <w:rPr>
          <w:rFonts w:hint="eastAsia"/>
          <w:sz w:val="21"/>
          <w:szCs w:val="21"/>
        </w:rPr>
        <w:t xml:space="preserve">（六）表决 </w:t>
      </w:r>
    </w:p>
    <w:p w14:paraId="3D01C5A0">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78E5D3B5">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7E296BF6">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26CE6F56">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 </w:t>
      </w:r>
    </w:p>
    <w:p w14:paraId="17CA3ECD">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1426C7E5">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5A8A7B35">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532E6ED7">
      <w:pPr>
        <w:pStyle w:val="7"/>
        <w:spacing w:before="0" w:beforeAutospacing="0" w:after="0" w:afterAutospacing="0" w:line="360" w:lineRule="auto"/>
        <w:ind w:firstLine="420"/>
        <w:rPr>
          <w:sz w:val="21"/>
          <w:szCs w:val="21"/>
        </w:rPr>
      </w:pPr>
      <w:r>
        <w:rPr>
          <w:rFonts w:hint="eastAsia"/>
          <w:sz w:val="21"/>
          <w:szCs w:val="21"/>
        </w:rPr>
        <w:t xml:space="preserve">（七）计票 </w:t>
      </w:r>
    </w:p>
    <w:p w14:paraId="4A2DB3E0">
      <w:pPr>
        <w:pStyle w:val="7"/>
        <w:spacing w:before="0" w:beforeAutospacing="0" w:after="0" w:afterAutospacing="0" w:line="360" w:lineRule="auto"/>
        <w:ind w:firstLine="420"/>
        <w:rPr>
          <w:sz w:val="21"/>
          <w:szCs w:val="21"/>
        </w:rPr>
      </w:pPr>
      <w:r>
        <w:rPr>
          <w:rFonts w:hint="eastAsia"/>
          <w:sz w:val="21"/>
          <w:szCs w:val="21"/>
        </w:rPr>
        <w:t xml:space="preserve">1、现场开会 </w:t>
      </w:r>
    </w:p>
    <w:p w14:paraId="3DE9BE10">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13A444B1">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0A94CE2D">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3550B149">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2D0C4A6E">
      <w:pPr>
        <w:pStyle w:val="7"/>
        <w:spacing w:before="0" w:beforeAutospacing="0" w:after="0" w:afterAutospacing="0" w:line="360" w:lineRule="auto"/>
        <w:ind w:firstLine="420"/>
        <w:rPr>
          <w:sz w:val="21"/>
          <w:szCs w:val="21"/>
        </w:rPr>
      </w:pPr>
      <w:r>
        <w:rPr>
          <w:rFonts w:hint="eastAsia"/>
          <w:sz w:val="21"/>
          <w:szCs w:val="21"/>
        </w:rPr>
        <w:t xml:space="preserve">2、通讯开会 </w:t>
      </w:r>
    </w:p>
    <w:p w14:paraId="44B774EC">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1725464B">
      <w:pPr>
        <w:pStyle w:val="7"/>
        <w:spacing w:before="0" w:beforeAutospacing="0" w:after="0" w:afterAutospacing="0" w:line="360" w:lineRule="auto"/>
        <w:ind w:firstLine="420"/>
        <w:rPr>
          <w:sz w:val="21"/>
          <w:szCs w:val="21"/>
        </w:rPr>
      </w:pPr>
      <w:r>
        <w:rPr>
          <w:rFonts w:hint="eastAsia"/>
          <w:sz w:val="21"/>
          <w:szCs w:val="21"/>
        </w:rPr>
        <w:t xml:space="preserve">（八）生效与公告 </w:t>
      </w:r>
    </w:p>
    <w:p w14:paraId="6ED04DAE">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614FF72A">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274C159F">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14:paraId="06405649">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527EC257">
      <w:pPr>
        <w:pStyle w:val="7"/>
        <w:spacing w:before="0" w:beforeAutospacing="0" w:after="0" w:afterAutospacing="0" w:line="360" w:lineRule="auto"/>
        <w:ind w:firstLine="420"/>
        <w:rPr>
          <w:sz w:val="21"/>
          <w:szCs w:val="21"/>
        </w:rPr>
      </w:pPr>
      <w:r>
        <w:rPr>
          <w:rFonts w:hint="eastAsia"/>
          <w:sz w:val="21"/>
          <w:szCs w:val="21"/>
        </w:rPr>
        <w:t xml:space="preserve">（九）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 </w:t>
      </w:r>
    </w:p>
    <w:p w14:paraId="554CC3A3">
      <w:pPr>
        <w:pStyle w:val="7"/>
        <w:spacing w:before="0" w:beforeAutospacing="0" w:after="0" w:afterAutospacing="0" w:line="360" w:lineRule="auto"/>
        <w:ind w:firstLine="420"/>
        <w:rPr>
          <w:sz w:val="21"/>
          <w:szCs w:val="21"/>
        </w:rPr>
      </w:pPr>
      <w:r>
        <w:rPr>
          <w:rStyle w:val="11"/>
          <w:rFonts w:hint="eastAsia"/>
          <w:sz w:val="21"/>
          <w:szCs w:val="21"/>
        </w:rPr>
        <w:t>三、基金合同解除和终止的事由、程序以及基金财产清算方式</w:t>
      </w:r>
    </w:p>
    <w:p w14:paraId="37142244">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14:paraId="60E499FF">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13FF11FC">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2、关于《基金合同》变更的基金份额持有人大会决议自生效后方可执行，自决议生效后按规定在指定媒介公告。 </w:t>
      </w:r>
    </w:p>
    <w:p w14:paraId="6A5316BF">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212E5BB1">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3CF7B398">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2FF02323">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281F16E8">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75342C47">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570EED74">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70274724">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15FEF2ED">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35362221">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351D964C">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6D93BD75">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51F3DD34">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14:paraId="51C235B8">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1998E52B">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591B6AE8">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0573BCDB">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3CC04585">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5948F1FF">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12C96657">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79D9F027">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6EE214EB">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7A266110">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2F3C7629">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58662070">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3FD3F1B8">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59AF0DFA">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4C8CAB14">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40DB1FA4">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44FBF41B">
      <w:pPr>
        <w:pStyle w:val="7"/>
        <w:spacing w:before="0" w:beforeAutospacing="0" w:after="0" w:afterAutospacing="0" w:line="360" w:lineRule="auto"/>
        <w:ind w:firstLine="420"/>
        <w:rPr>
          <w:sz w:val="21"/>
          <w:szCs w:val="21"/>
        </w:rPr>
      </w:pPr>
      <w:r>
        <w:rPr>
          <w:rFonts w:hint="eastAsia"/>
          <w:sz w:val="21"/>
          <w:szCs w:val="21"/>
        </w:rPr>
        <w:t xml:space="preserve">（八）基金合并 </w:t>
      </w:r>
    </w:p>
    <w:p w14:paraId="2152F05C">
      <w:pPr>
        <w:pStyle w:val="7"/>
        <w:spacing w:before="0" w:beforeAutospacing="0" w:after="0" w:afterAutospacing="0" w:line="360" w:lineRule="auto"/>
        <w:ind w:firstLine="420"/>
        <w:rPr>
          <w:sz w:val="21"/>
          <w:szCs w:val="21"/>
        </w:rPr>
      </w:pPr>
      <w:r>
        <w:rPr>
          <w:rFonts w:hint="eastAsia"/>
          <w:sz w:val="21"/>
          <w:szCs w:val="21"/>
        </w:rPr>
        <w:t xml:space="preserve">本基金与其他基金的合并应当按照法律法规规定的程序进行。 </w:t>
      </w:r>
    </w:p>
    <w:p w14:paraId="630B329B">
      <w:pPr>
        <w:pStyle w:val="7"/>
        <w:spacing w:before="0" w:beforeAutospacing="0" w:after="0" w:afterAutospacing="0" w:line="360" w:lineRule="auto"/>
        <w:ind w:firstLine="420"/>
        <w:rPr>
          <w:sz w:val="21"/>
          <w:szCs w:val="21"/>
        </w:rPr>
      </w:pPr>
      <w:r>
        <w:rPr>
          <w:rStyle w:val="11"/>
          <w:rFonts w:hint="eastAsia"/>
          <w:sz w:val="21"/>
          <w:szCs w:val="21"/>
        </w:rPr>
        <w:t>四、争议解决方式</w:t>
      </w:r>
    </w:p>
    <w:p w14:paraId="6C1C995C">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双方当事人均有约束力。除非仲裁裁决另有规定，仲裁费用、律师费用由败诉方承担。 </w:t>
      </w:r>
    </w:p>
    <w:p w14:paraId="4EE21D92">
      <w:pPr>
        <w:pStyle w:val="7"/>
        <w:spacing w:before="0" w:beforeAutospacing="0" w:after="0" w:afterAutospacing="0" w:line="360" w:lineRule="auto"/>
        <w:ind w:firstLine="420"/>
        <w:rPr>
          <w:sz w:val="21"/>
          <w:szCs w:val="21"/>
        </w:rPr>
      </w:pPr>
      <w:r>
        <w:rPr>
          <w:rFonts w:hint="eastAsia"/>
          <w:sz w:val="21"/>
          <w:szCs w:val="21"/>
        </w:rPr>
        <w:t xml:space="preserve">争议处理期间，基金管理人、基金托管人应恪守基金管理人和基金托管人的职责，各自继续忠实、勤勉、尽责地履行基金合同和基金托管协议规定的义务，维护基金份额持有人的合法权益。 </w:t>
      </w:r>
    </w:p>
    <w:p w14:paraId="1E07035C">
      <w:pPr>
        <w:pStyle w:val="7"/>
        <w:spacing w:before="0" w:beforeAutospacing="0" w:after="0" w:afterAutospacing="0" w:line="360" w:lineRule="auto"/>
        <w:ind w:firstLine="420"/>
        <w:rPr>
          <w:sz w:val="21"/>
          <w:szCs w:val="21"/>
        </w:rPr>
      </w:pPr>
      <w:r>
        <w:rPr>
          <w:rFonts w:hint="eastAsia"/>
          <w:sz w:val="21"/>
          <w:szCs w:val="21"/>
        </w:rPr>
        <w:t xml:space="preserve">《基金合同》受中国法律（为本基金合同之目的，在此不包括香港、澳门特别行政区和台湾地区法律）管辖。 </w:t>
      </w:r>
    </w:p>
    <w:p w14:paraId="57A62679">
      <w:pPr>
        <w:pStyle w:val="7"/>
        <w:spacing w:before="0" w:beforeAutospacing="0" w:after="0" w:afterAutospacing="0" w:line="360" w:lineRule="auto"/>
        <w:ind w:firstLine="420"/>
        <w:rPr>
          <w:sz w:val="21"/>
          <w:szCs w:val="21"/>
        </w:rPr>
      </w:pPr>
      <w:r>
        <w:rPr>
          <w:rStyle w:val="11"/>
          <w:rFonts w:hint="eastAsia"/>
          <w:sz w:val="21"/>
          <w:szCs w:val="21"/>
        </w:rPr>
        <w:t>五、基金合同存放地和投资人取得基金合同的方式   </w:t>
      </w:r>
    </w:p>
    <w:p w14:paraId="634DD3FD">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203" w:name="chapter_level1_21_71_section_1_end"/>
      <w:bookmarkEnd w:id="203"/>
      <w:r>
        <w:rPr>
          <w:rFonts w:hint="eastAsia"/>
          <w:sz w:val="21"/>
          <w:szCs w:val="21"/>
        </w:rPr>
        <w:t xml:space="preserve">和营业场所查阅。 </w:t>
      </w:r>
    </w:p>
    <w:p w14:paraId="08BBDB81">
      <w:pPr>
        <w:widowControl/>
        <w:jc w:val="left"/>
        <w:rPr>
          <w:rFonts w:ascii="宋体" w:hAnsi="宋体" w:eastAsia="宋体"/>
        </w:rPr>
      </w:pPr>
      <w:r>
        <w:rPr>
          <w:rFonts w:ascii="宋体" w:hAnsi="宋体" w:eastAsia="宋体"/>
        </w:rPr>
        <w:br w:type="page"/>
      </w:r>
    </w:p>
    <w:p w14:paraId="7452A10A">
      <w:pPr>
        <w:pStyle w:val="2"/>
        <w:jc w:val="center"/>
        <w:rPr>
          <w:rFonts w:ascii="宋体" w:hAnsi="宋体" w:eastAsia="宋体"/>
          <w:sz w:val="30"/>
        </w:rPr>
      </w:pPr>
      <w:bookmarkStart w:id="204" w:name="_Toc239193714"/>
      <w:bookmarkStart w:id="205" w:name="chapter_level1_22_72"/>
      <w:r>
        <w:rPr>
          <w:rFonts w:hint="eastAsia" w:ascii="宋体" w:hAnsi="宋体" w:eastAsia="宋体"/>
          <w:sz w:val="30"/>
        </w:rPr>
        <w:t>第十九部分  基金托管协议的内容摘要</w:t>
      </w:r>
      <w:bookmarkEnd w:id="204"/>
      <w:bookmarkEnd w:id="205"/>
    </w:p>
    <w:p w14:paraId="17FE98DC">
      <w:pPr>
        <w:pStyle w:val="7"/>
        <w:spacing w:before="0" w:beforeAutospacing="0" w:after="0" w:afterAutospacing="0" w:line="360" w:lineRule="auto"/>
        <w:ind w:firstLine="420"/>
        <w:rPr>
          <w:sz w:val="21"/>
          <w:szCs w:val="21"/>
        </w:rPr>
      </w:pPr>
      <w:bookmarkStart w:id="206" w:name="chapter_level1_22_72_section_1"/>
      <w:bookmarkEnd w:id="206"/>
      <w:r>
        <w:rPr>
          <w:rStyle w:val="11"/>
          <w:rFonts w:hint="eastAsia"/>
          <w:sz w:val="21"/>
          <w:szCs w:val="21"/>
        </w:rPr>
        <w:t>一、托管协议当事人</w:t>
      </w:r>
    </w:p>
    <w:p w14:paraId="3C884243">
      <w:pPr>
        <w:pStyle w:val="7"/>
        <w:spacing w:before="0" w:beforeAutospacing="0" w:after="0" w:afterAutospacing="0" w:line="360" w:lineRule="auto"/>
        <w:ind w:firstLine="420"/>
        <w:rPr>
          <w:sz w:val="21"/>
          <w:szCs w:val="21"/>
        </w:rPr>
      </w:pPr>
      <w:r>
        <w:rPr>
          <w:rFonts w:hint="eastAsia"/>
          <w:sz w:val="21"/>
          <w:szCs w:val="21"/>
        </w:rPr>
        <w:t xml:space="preserve">（一）基金管理人 </w:t>
      </w:r>
    </w:p>
    <w:p w14:paraId="5C5E4C5D">
      <w:pPr>
        <w:pStyle w:val="7"/>
        <w:spacing w:before="0" w:beforeAutospacing="0" w:after="0" w:afterAutospacing="0" w:line="360" w:lineRule="auto"/>
        <w:ind w:firstLine="420"/>
        <w:rPr>
          <w:sz w:val="21"/>
          <w:szCs w:val="21"/>
        </w:rPr>
      </w:pPr>
      <w:r>
        <w:rPr>
          <w:rFonts w:hint="eastAsia"/>
          <w:sz w:val="21"/>
          <w:szCs w:val="21"/>
        </w:rPr>
        <w:t>名称：</w:t>
      </w:r>
      <w:bookmarkStart w:id="207" w:name="field_0_managerorgfullname_6"/>
      <w:r>
        <w:rPr>
          <w:rFonts w:hint="eastAsia"/>
          <w:sz w:val="21"/>
          <w:szCs w:val="21"/>
        </w:rPr>
        <w:t>博时基金管理有限公司</w:t>
      </w:r>
      <w:bookmarkEnd w:id="207"/>
      <w:r>
        <w:rPr>
          <w:rFonts w:hint="eastAsia"/>
          <w:sz w:val="21"/>
          <w:szCs w:val="21"/>
        </w:rPr>
        <w:t xml:space="preserve">  </w:t>
      </w:r>
    </w:p>
    <w:p w14:paraId="7F1FDC0F">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445DD582">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53815A33">
      <w:pPr>
        <w:pStyle w:val="7"/>
        <w:spacing w:before="0" w:beforeAutospacing="0" w:after="0" w:afterAutospacing="0" w:line="360" w:lineRule="auto"/>
        <w:ind w:firstLine="420"/>
        <w:rPr>
          <w:sz w:val="21"/>
          <w:szCs w:val="21"/>
        </w:rPr>
      </w:pPr>
      <w:r>
        <w:rPr>
          <w:rFonts w:hint="eastAsia"/>
          <w:sz w:val="21"/>
          <w:szCs w:val="21"/>
        </w:rPr>
        <w:t xml:space="preserve">成立时间：1998年7月13日 </w:t>
      </w:r>
    </w:p>
    <w:p w14:paraId="348E073D">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088F94C9">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14:paraId="0855BFA8">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14:paraId="0DD0E4FA">
      <w:pPr>
        <w:pStyle w:val="7"/>
        <w:spacing w:before="0" w:beforeAutospacing="0" w:after="0" w:afterAutospacing="0" w:line="360" w:lineRule="auto"/>
        <w:ind w:firstLine="420"/>
        <w:rPr>
          <w:sz w:val="21"/>
          <w:szCs w:val="21"/>
        </w:rPr>
      </w:pPr>
      <w:r>
        <w:rPr>
          <w:rFonts w:hint="eastAsia"/>
          <w:sz w:val="21"/>
          <w:szCs w:val="21"/>
        </w:rPr>
        <w:t xml:space="preserve">经营范围：持续经营 </w:t>
      </w:r>
    </w:p>
    <w:p w14:paraId="4D23B19C">
      <w:pPr>
        <w:pStyle w:val="7"/>
        <w:spacing w:before="0" w:beforeAutospacing="0" w:after="0" w:afterAutospacing="0" w:line="360" w:lineRule="auto"/>
        <w:ind w:firstLine="420"/>
        <w:rPr>
          <w:sz w:val="21"/>
          <w:szCs w:val="21"/>
        </w:rPr>
      </w:pPr>
      <w:r>
        <w:rPr>
          <w:rFonts w:hint="eastAsia"/>
          <w:sz w:val="21"/>
          <w:szCs w:val="21"/>
        </w:rPr>
        <w:t xml:space="preserve">存续期间：0755-83169999 </w:t>
      </w:r>
    </w:p>
    <w:p w14:paraId="5989F341">
      <w:pPr>
        <w:pStyle w:val="7"/>
        <w:spacing w:before="0" w:beforeAutospacing="0" w:after="0" w:afterAutospacing="0" w:line="360" w:lineRule="auto"/>
        <w:ind w:firstLine="420"/>
        <w:rPr>
          <w:sz w:val="21"/>
          <w:szCs w:val="21"/>
        </w:rPr>
      </w:pPr>
      <w:r>
        <w:rPr>
          <w:rFonts w:hint="eastAsia"/>
          <w:sz w:val="21"/>
          <w:szCs w:val="21"/>
        </w:rPr>
        <w:t xml:space="preserve">（二）基金托管人 </w:t>
      </w:r>
    </w:p>
    <w:p w14:paraId="0F38A722">
      <w:pPr>
        <w:pStyle w:val="7"/>
        <w:spacing w:before="0" w:beforeAutospacing="0" w:after="0" w:afterAutospacing="0" w:line="360" w:lineRule="auto"/>
        <w:ind w:firstLine="420"/>
        <w:rPr>
          <w:sz w:val="21"/>
          <w:szCs w:val="21"/>
        </w:rPr>
      </w:pPr>
      <w:r>
        <w:rPr>
          <w:rFonts w:hint="eastAsia"/>
          <w:sz w:val="21"/>
          <w:szCs w:val="21"/>
        </w:rPr>
        <w:t>名称：</w:t>
      </w:r>
      <w:bookmarkStart w:id="208" w:name="field_0_trustorgfullname_2"/>
      <w:r>
        <w:rPr>
          <w:rFonts w:hint="eastAsia"/>
          <w:sz w:val="21"/>
          <w:szCs w:val="21"/>
        </w:rPr>
        <w:t>中信银行股份有限公司</w:t>
      </w:r>
      <w:bookmarkEnd w:id="208"/>
      <w:r>
        <w:rPr>
          <w:rFonts w:hint="eastAsia"/>
          <w:sz w:val="21"/>
          <w:szCs w:val="21"/>
        </w:rPr>
        <w:t xml:space="preserve">  </w:t>
      </w:r>
    </w:p>
    <w:p w14:paraId="1C641092">
      <w:pPr>
        <w:pStyle w:val="7"/>
        <w:spacing w:before="0" w:beforeAutospacing="0" w:after="0" w:afterAutospacing="0" w:line="360" w:lineRule="auto"/>
        <w:ind w:firstLine="420"/>
        <w:rPr>
          <w:sz w:val="21"/>
          <w:szCs w:val="21"/>
        </w:rPr>
      </w:pPr>
      <w:r>
        <w:rPr>
          <w:rFonts w:hint="eastAsia"/>
          <w:sz w:val="21"/>
          <w:szCs w:val="21"/>
        </w:rPr>
        <w:t xml:space="preserve">住所：北京市东城区朝阳门北大街9号 </w:t>
      </w:r>
    </w:p>
    <w:p w14:paraId="102291F7">
      <w:pPr>
        <w:pStyle w:val="7"/>
        <w:spacing w:before="0" w:beforeAutospacing="0" w:after="0" w:afterAutospacing="0" w:line="360" w:lineRule="auto"/>
        <w:ind w:firstLine="420"/>
        <w:rPr>
          <w:sz w:val="21"/>
          <w:szCs w:val="21"/>
        </w:rPr>
      </w:pPr>
      <w:r>
        <w:rPr>
          <w:rFonts w:hint="eastAsia"/>
          <w:sz w:val="21"/>
          <w:szCs w:val="21"/>
        </w:rPr>
        <w:t xml:space="preserve">法定代表人：方合英 </w:t>
      </w:r>
    </w:p>
    <w:p w14:paraId="6004FAF3">
      <w:pPr>
        <w:pStyle w:val="7"/>
        <w:spacing w:before="0" w:beforeAutospacing="0" w:after="0" w:afterAutospacing="0" w:line="360" w:lineRule="auto"/>
        <w:ind w:firstLine="420"/>
        <w:rPr>
          <w:sz w:val="21"/>
          <w:szCs w:val="21"/>
        </w:rPr>
      </w:pPr>
      <w:r>
        <w:rPr>
          <w:rFonts w:hint="eastAsia"/>
          <w:sz w:val="21"/>
          <w:szCs w:val="21"/>
        </w:rPr>
        <w:t xml:space="preserve">成立时间：1987年4月20日 </w:t>
      </w:r>
    </w:p>
    <w:p w14:paraId="0957645A">
      <w:pPr>
        <w:pStyle w:val="7"/>
        <w:spacing w:before="0" w:beforeAutospacing="0" w:after="0" w:afterAutospacing="0" w:line="360" w:lineRule="auto"/>
        <w:ind w:firstLine="420"/>
        <w:rPr>
          <w:sz w:val="21"/>
          <w:szCs w:val="21"/>
        </w:rPr>
      </w:pPr>
      <w:r>
        <w:rPr>
          <w:rFonts w:hint="eastAsia"/>
          <w:sz w:val="21"/>
          <w:szCs w:val="21"/>
        </w:rPr>
        <w:t xml:space="preserve">批准设立文号：国办函[1987]14号 </w:t>
      </w:r>
    </w:p>
    <w:p w14:paraId="7DE80E93">
      <w:pPr>
        <w:pStyle w:val="7"/>
        <w:spacing w:before="0" w:beforeAutospacing="0" w:after="0" w:afterAutospacing="0" w:line="360" w:lineRule="auto"/>
        <w:ind w:firstLine="420"/>
        <w:rPr>
          <w:sz w:val="21"/>
          <w:szCs w:val="21"/>
        </w:rPr>
      </w:pPr>
      <w:r>
        <w:rPr>
          <w:rFonts w:hint="eastAsia"/>
          <w:sz w:val="21"/>
          <w:szCs w:val="21"/>
        </w:rPr>
        <w:t xml:space="preserve">基金托管业务批准文号：证监基金字[2004]125号 </w:t>
      </w:r>
    </w:p>
    <w:p w14:paraId="00195F03">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12DA4EB9">
      <w:pPr>
        <w:pStyle w:val="7"/>
        <w:spacing w:before="0" w:beforeAutospacing="0" w:after="0" w:afterAutospacing="0" w:line="360" w:lineRule="auto"/>
        <w:ind w:firstLine="420"/>
        <w:rPr>
          <w:sz w:val="21"/>
          <w:szCs w:val="21"/>
        </w:rPr>
      </w:pPr>
      <w:r>
        <w:rPr>
          <w:rFonts w:hint="eastAsia"/>
          <w:sz w:val="21"/>
          <w:szCs w:val="21"/>
        </w:rPr>
        <w:t xml:space="preserve">注册资本：4893479.6573万元 </w:t>
      </w:r>
    </w:p>
    <w:p w14:paraId="5C83FB0A">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7FB706CB">
      <w:pPr>
        <w:pStyle w:val="7"/>
        <w:spacing w:before="0" w:beforeAutospacing="0" w:after="0" w:afterAutospacing="0" w:line="360" w:lineRule="auto"/>
        <w:ind w:firstLine="420"/>
        <w:rPr>
          <w:sz w:val="21"/>
          <w:szCs w:val="21"/>
        </w:rPr>
      </w:pPr>
      <w:r>
        <w:rPr>
          <w:rFonts w:hint="eastAsia"/>
          <w:sz w:val="21"/>
          <w:szCs w:val="21"/>
        </w:rPr>
        <w:t xml:space="preserve">经营范围：保险兼业代理业务（有效期至2020年09月09日）；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 </w:t>
      </w:r>
    </w:p>
    <w:p w14:paraId="288801B1">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23579A77">
      <w:pPr>
        <w:pStyle w:val="7"/>
        <w:spacing w:before="0" w:beforeAutospacing="0" w:after="0" w:afterAutospacing="0" w:line="360" w:lineRule="auto"/>
        <w:ind w:firstLine="420"/>
        <w:rPr>
          <w:sz w:val="21"/>
          <w:szCs w:val="21"/>
        </w:rPr>
      </w:pPr>
      <w:r>
        <w:rPr>
          <w:rFonts w:hint="eastAsia"/>
          <w:sz w:val="21"/>
          <w:szCs w:val="21"/>
        </w:rPr>
        <w:t xml:space="preserve">（一）基金托管人对基金管理人的投资行为行使监督权 </w:t>
      </w:r>
    </w:p>
    <w:p w14:paraId="4D00E75E">
      <w:pPr>
        <w:pStyle w:val="7"/>
        <w:spacing w:before="0" w:beforeAutospacing="0" w:after="0" w:afterAutospacing="0" w:line="360" w:lineRule="auto"/>
        <w:ind w:firstLine="420"/>
        <w:rPr>
          <w:sz w:val="21"/>
          <w:szCs w:val="21"/>
        </w:rPr>
      </w:pPr>
      <w:r>
        <w:rPr>
          <w:rFonts w:hint="eastAsia"/>
          <w:sz w:val="21"/>
          <w:szCs w:val="21"/>
        </w:rPr>
        <w:t xml:space="preserve">1.1基金托管人根据有关法律法规的规定和基金合同的约定，对下述基金投资范围、投资对象进行监督。本基金将投资于以下金融工具： </w:t>
      </w:r>
    </w:p>
    <w:p w14:paraId="4EE37E2E">
      <w:pPr>
        <w:pStyle w:val="7"/>
        <w:spacing w:before="0" w:beforeAutospacing="0" w:after="0" w:afterAutospacing="0" w:line="360" w:lineRule="auto"/>
        <w:ind w:firstLine="420"/>
        <w:rPr>
          <w:sz w:val="21"/>
          <w:szCs w:val="21"/>
        </w:rPr>
      </w:pPr>
      <w:r>
        <w:rPr>
          <w:rFonts w:hint="eastAsia"/>
          <w:sz w:val="21"/>
          <w:szCs w:val="21"/>
        </w:rPr>
        <w:t xml:space="preserve">本基金的投资范围为具有良好流动性的金融工具，包括国内依法发行上市的股票（包括中小板、创业板及其他经中国证监会核准或注册上市的股票、存托凭证）、内地与香港股票市场交易互联互通机制下允许投资的香港联合交易所上市的股票（以下简称“港股通标的股票”）、债券（包括国债、金融债、地方政府债、政府支持机构债券、企业债、公司债、央行票据、中期票据、短期融资券、可转换债券（含可分离交易可转换债券）、可交换债、次级债等）、资产支持证券、货币市场工具（含同业存单）、银行存款、债券回购、股指期货、股票期权、国债期货、信用衍生品以及法律法规或中国证监会允许基金投资的其他金融工具（但须符合中国证监会的相关规定）。 </w:t>
      </w:r>
    </w:p>
    <w:p w14:paraId="0BAB0F38">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14:paraId="4227BA0D">
      <w:pPr>
        <w:pStyle w:val="7"/>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27D2B60A">
      <w:pPr>
        <w:pStyle w:val="7"/>
        <w:spacing w:before="0" w:beforeAutospacing="0" w:after="0" w:afterAutospacing="0" w:line="360" w:lineRule="auto"/>
        <w:ind w:firstLine="420"/>
        <w:rPr>
          <w:sz w:val="21"/>
          <w:szCs w:val="21"/>
        </w:rPr>
      </w:pPr>
      <w:r>
        <w:rPr>
          <w:rFonts w:hint="eastAsia"/>
          <w:sz w:val="21"/>
          <w:szCs w:val="21"/>
        </w:rPr>
        <w:t xml:space="preserve">本基金的投资组合比例为：本基金的股票资产（含存托凭证）占基金资产的0%-30%，港股通标的股票的投资比例为股票资产的0%-50%；投资于同业存单的比例不超过基金资产的20%；每个交易日日终在扣除股指期货合约、股票期权、国债期货合约所需缴纳的交易保证金后，现金或到期日在一年以内的政府债券不低于基金资产净值的5%。前述现金不包括结算备付金、存出保证金、应收申购款等。 </w:t>
      </w:r>
    </w:p>
    <w:p w14:paraId="533C4DBF">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3E248AD7">
      <w:pPr>
        <w:pStyle w:val="7"/>
        <w:spacing w:before="0" w:beforeAutospacing="0" w:after="0" w:afterAutospacing="0" w:line="360" w:lineRule="auto"/>
        <w:ind w:firstLine="420"/>
        <w:rPr>
          <w:sz w:val="21"/>
          <w:szCs w:val="21"/>
        </w:rPr>
      </w:pPr>
      <w:r>
        <w:rPr>
          <w:rFonts w:hint="eastAsia"/>
          <w:sz w:val="21"/>
          <w:szCs w:val="21"/>
        </w:rPr>
        <w:t xml:space="preserve">1.2基金托管人根据有关法律法规的规定及基金合同的约定对下述基金投融资比例进行监督：    </w:t>
      </w:r>
    </w:p>
    <w:p w14:paraId="667AC71D">
      <w:pPr>
        <w:pStyle w:val="7"/>
        <w:spacing w:before="0" w:beforeAutospacing="0" w:after="0" w:afterAutospacing="0" w:line="360" w:lineRule="auto"/>
        <w:ind w:firstLine="420"/>
        <w:rPr>
          <w:sz w:val="21"/>
          <w:szCs w:val="21"/>
        </w:rPr>
      </w:pPr>
      <w:r>
        <w:rPr>
          <w:rFonts w:hint="eastAsia"/>
          <w:sz w:val="21"/>
          <w:szCs w:val="21"/>
        </w:rPr>
        <w:t xml:space="preserve">（1）本基金的股票资产（含存托凭证）占基金资产的0%-30%，港股通标的股票的投资比例为股票资产的0-50%； </w:t>
      </w:r>
    </w:p>
    <w:p w14:paraId="72F5EC53">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合约、国债期货合约、股票期权合约需缴纳的交易保证金后，保持不低于基金资产净值5％的现金或者到期日在一年以内的政府债券，其中，现金不包括结算备付金、存出保证金、应收申购款等； </w:t>
      </w:r>
    </w:p>
    <w:p w14:paraId="49785BE3">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（3）本基金持有一家公司发行的证券（含存托凭证），其市值（若同时持有一家公司发行的A股和H股，则为A股与H股合计市值）不超过基金资产净值的10％； </w:t>
      </w:r>
    </w:p>
    <w:p w14:paraId="3BED1E1F">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（4）本基金管理人管理的全部基金持有一家公司发行的证券（含存托凭证），不超过该证券（若同时持有一家公司发行的A股和H股，则为A股与H股合计）的10％； </w:t>
      </w:r>
    </w:p>
    <w:p w14:paraId="3023E8E5">
      <w:pPr>
        <w:pStyle w:val="7"/>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14:paraId="56D34C71">
      <w:pPr>
        <w:pStyle w:val="7"/>
        <w:spacing w:before="0" w:beforeAutospacing="0" w:after="0" w:afterAutospacing="0" w:line="360" w:lineRule="auto"/>
        <w:ind w:firstLine="420"/>
        <w:rPr>
          <w:sz w:val="21"/>
          <w:szCs w:val="21"/>
        </w:rPr>
      </w:pPr>
      <w:r>
        <w:rPr>
          <w:rFonts w:hint="eastAsia"/>
          <w:sz w:val="21"/>
          <w:szCs w:val="21"/>
        </w:rPr>
        <w:t xml:space="preserve">（6）本基金持有的全部资产支持证券，其市值不得超过基金资产净值的 20％； </w:t>
      </w:r>
    </w:p>
    <w:p w14:paraId="7A8C646D">
      <w:pPr>
        <w:pStyle w:val="7"/>
        <w:spacing w:before="0" w:beforeAutospacing="0" w:after="0" w:afterAutospacing="0" w:line="360" w:lineRule="auto"/>
        <w:ind w:firstLine="420"/>
        <w:rPr>
          <w:sz w:val="21"/>
          <w:szCs w:val="21"/>
        </w:rPr>
      </w:pPr>
      <w:r>
        <w:rPr>
          <w:rFonts w:hint="eastAsia"/>
          <w:sz w:val="21"/>
          <w:szCs w:val="21"/>
        </w:rPr>
        <w:t xml:space="preserve">（7）本基金持有的同一(指同一信用级别)资产支持证券的比例，不得超过该资产支持证券规模的10％； </w:t>
      </w:r>
    </w:p>
    <w:p w14:paraId="0F05D175">
      <w:pPr>
        <w:pStyle w:val="7"/>
        <w:spacing w:before="0" w:beforeAutospacing="0" w:after="0" w:afterAutospacing="0" w:line="360" w:lineRule="auto"/>
        <w:ind w:firstLine="420"/>
        <w:rPr>
          <w:sz w:val="21"/>
          <w:szCs w:val="21"/>
        </w:rPr>
      </w:pPr>
      <w:r>
        <w:rPr>
          <w:rFonts w:hint="eastAsia"/>
          <w:sz w:val="21"/>
          <w:szCs w:val="21"/>
        </w:rPr>
        <w:t xml:space="preserve">（8）本基金管理人管理的全部基金投资于同一原始权益人的各类资产支持证券，不得超过其各类资产支持证券合计规模的10％； </w:t>
      </w:r>
    </w:p>
    <w:p w14:paraId="43015B2A">
      <w:pPr>
        <w:pStyle w:val="7"/>
        <w:spacing w:before="0" w:beforeAutospacing="0" w:after="0" w:afterAutospacing="0" w:line="360" w:lineRule="auto"/>
        <w:ind w:firstLine="420"/>
        <w:rPr>
          <w:sz w:val="21"/>
          <w:szCs w:val="21"/>
        </w:rPr>
      </w:pPr>
      <w:r>
        <w:rPr>
          <w:rFonts w:hint="eastAsia"/>
          <w:sz w:val="21"/>
          <w:szCs w:val="21"/>
        </w:rPr>
        <w:t xml:space="preserve">（9）本基金投资于同业存单的比例不超过基金资产的20%； </w:t>
      </w:r>
    </w:p>
    <w:p w14:paraId="416FC4F5">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0D38D634">
      <w:pPr>
        <w:pStyle w:val="7"/>
        <w:spacing w:before="0" w:beforeAutospacing="0" w:after="0" w:afterAutospacing="0" w:line="360" w:lineRule="auto"/>
        <w:ind w:firstLine="420"/>
        <w:rPr>
          <w:sz w:val="21"/>
          <w:szCs w:val="21"/>
        </w:rPr>
      </w:pPr>
      <w:r>
        <w:rPr>
          <w:rFonts w:hint="eastAsia"/>
          <w:sz w:val="21"/>
          <w:szCs w:val="21"/>
        </w:rPr>
        <w:t xml:space="preserve">（11）基金财产参与股票发行申购，本基金所申报的金额不超过本基金的总资产，本基金所申报的股票数量不超过拟发行股票公司本次发行股票的总量； </w:t>
      </w:r>
    </w:p>
    <w:p w14:paraId="6B6E6D3F">
      <w:pPr>
        <w:pStyle w:val="7"/>
        <w:spacing w:before="0" w:beforeAutospacing="0" w:after="0" w:afterAutospacing="0" w:line="360" w:lineRule="auto"/>
        <w:ind w:firstLine="420"/>
        <w:rPr>
          <w:sz w:val="21"/>
          <w:szCs w:val="21"/>
        </w:rPr>
      </w:pPr>
      <w:r>
        <w:rPr>
          <w:rFonts w:hint="eastAsia"/>
          <w:sz w:val="21"/>
          <w:szCs w:val="21"/>
        </w:rPr>
        <w:t xml:space="preserve">（12）本基金进入全国银行间同业市场进行债券回购的资金余额不得超过基金资产净值的40%，进入全国银行间同业市场进行债券回购的最长期限为1年，债券回购到期后不得展期； </w:t>
      </w:r>
    </w:p>
    <w:p w14:paraId="09490C60">
      <w:pPr>
        <w:pStyle w:val="7"/>
        <w:spacing w:before="0" w:beforeAutospacing="0" w:after="0" w:afterAutospacing="0" w:line="360" w:lineRule="auto"/>
        <w:ind w:firstLine="420"/>
        <w:rPr>
          <w:sz w:val="21"/>
          <w:szCs w:val="21"/>
        </w:rPr>
      </w:pPr>
      <w:r>
        <w:rPr>
          <w:rFonts w:hint="eastAsia"/>
          <w:sz w:val="21"/>
          <w:szCs w:val="21"/>
        </w:rPr>
        <w:t xml:space="preserve">（13）本基金参与股指期货、国债期货投资的，应遵循下列限制： </w:t>
      </w:r>
    </w:p>
    <w:p w14:paraId="6F6C36D7">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2F1CC06A">
      <w:pPr>
        <w:pStyle w:val="7"/>
        <w:spacing w:before="0" w:beforeAutospacing="0" w:after="0" w:afterAutospacing="0" w:line="360" w:lineRule="auto"/>
        <w:ind w:firstLine="420"/>
        <w:rPr>
          <w:sz w:val="21"/>
          <w:szCs w:val="21"/>
        </w:rPr>
      </w:pPr>
      <w:r>
        <w:rPr>
          <w:rFonts w:hint="eastAsia"/>
          <w:sz w:val="21"/>
          <w:szCs w:val="21"/>
        </w:rPr>
        <w:t xml:space="preserve">2）每个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3FEC8C9D">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14:paraId="3DEBE7D1">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3FBB3453">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35EFCBD5">
      <w:pPr>
        <w:pStyle w:val="7"/>
        <w:spacing w:before="0" w:beforeAutospacing="0" w:after="0" w:afterAutospacing="0" w:line="360" w:lineRule="auto"/>
        <w:ind w:firstLine="420"/>
        <w:rPr>
          <w:sz w:val="21"/>
          <w:szCs w:val="21"/>
        </w:rPr>
      </w:pPr>
      <w:r>
        <w:rPr>
          <w:rFonts w:hint="eastAsia"/>
          <w:sz w:val="21"/>
          <w:szCs w:val="21"/>
        </w:rPr>
        <w:t xml:space="preserve">6）本基金在任何交易日日终，持有的买入国债期货合约价值，不得超过基金资产净值的15%； </w:t>
      </w:r>
    </w:p>
    <w:p w14:paraId="62722B72">
      <w:pPr>
        <w:pStyle w:val="7"/>
        <w:spacing w:before="0" w:beforeAutospacing="0" w:after="0" w:afterAutospacing="0" w:line="360" w:lineRule="auto"/>
        <w:ind w:firstLine="420"/>
        <w:rPr>
          <w:sz w:val="21"/>
          <w:szCs w:val="21"/>
        </w:rPr>
      </w:pPr>
      <w:r>
        <w:rPr>
          <w:rFonts w:hint="eastAsia"/>
          <w:sz w:val="21"/>
          <w:szCs w:val="21"/>
        </w:rPr>
        <w:t xml:space="preserve">7）本基金在任何交易日日终，持有的卖出国债期货合约价值不得超过基金持有的债券总市值的30%； </w:t>
      </w:r>
    </w:p>
    <w:p w14:paraId="3137C250">
      <w:pPr>
        <w:pStyle w:val="7"/>
        <w:spacing w:before="0" w:beforeAutospacing="0" w:after="0" w:afterAutospacing="0" w:line="360" w:lineRule="auto"/>
        <w:ind w:firstLine="420"/>
        <w:rPr>
          <w:sz w:val="21"/>
          <w:szCs w:val="21"/>
        </w:rPr>
      </w:pPr>
      <w:r>
        <w:rPr>
          <w:rFonts w:hint="eastAsia"/>
          <w:sz w:val="21"/>
          <w:szCs w:val="21"/>
        </w:rPr>
        <w:t xml:space="preserve">8）本基金在任何交易日内交易（不包括平仓）的国债期货合约的成交金额不得超过上一交易日基金资产净值的30%； </w:t>
      </w:r>
    </w:p>
    <w:p w14:paraId="5C4B2D91">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33EEBFA0">
      <w:pPr>
        <w:pStyle w:val="7"/>
        <w:spacing w:before="0" w:beforeAutospacing="0" w:after="0" w:afterAutospacing="0" w:line="360" w:lineRule="auto"/>
        <w:ind w:firstLine="420"/>
        <w:rPr>
          <w:sz w:val="21"/>
          <w:szCs w:val="21"/>
        </w:rPr>
      </w:pPr>
      <w:r>
        <w:rPr>
          <w:rFonts w:hint="eastAsia"/>
          <w:sz w:val="21"/>
          <w:szCs w:val="21"/>
        </w:rPr>
        <w:t xml:space="preserve">（14）本基金参与股票期权交易的，需遵守下列规定： </w:t>
      </w:r>
    </w:p>
    <w:p w14:paraId="7A455395">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4BD6A528">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5967C975">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 20%。其中，合约面值按照行权价乘以合约乘数计算； </w:t>
      </w:r>
    </w:p>
    <w:p w14:paraId="44857619">
      <w:pPr>
        <w:pStyle w:val="7"/>
        <w:spacing w:before="0" w:beforeAutospacing="0" w:after="0" w:afterAutospacing="0" w:line="360" w:lineRule="auto"/>
        <w:ind w:firstLine="420"/>
        <w:rPr>
          <w:sz w:val="21"/>
          <w:szCs w:val="21"/>
        </w:rPr>
      </w:pPr>
      <w:r>
        <w:rPr>
          <w:rFonts w:hint="eastAsia"/>
          <w:sz w:val="21"/>
          <w:szCs w:val="21"/>
        </w:rPr>
        <w:t xml:space="preserve">4）基金投资股票期权应符合基金合同约定的比例限制（如股票仓位、个股占比等）、投资目标和风险收益特征； </w:t>
      </w:r>
    </w:p>
    <w:p w14:paraId="3DCACC47">
      <w:pPr>
        <w:pStyle w:val="7"/>
        <w:spacing w:before="0" w:beforeAutospacing="0" w:after="0" w:afterAutospacing="0" w:line="360" w:lineRule="auto"/>
        <w:ind w:firstLine="420"/>
        <w:rPr>
          <w:sz w:val="21"/>
          <w:szCs w:val="21"/>
        </w:rPr>
      </w:pPr>
      <w:r>
        <w:rPr>
          <w:rFonts w:hint="eastAsia"/>
          <w:sz w:val="21"/>
          <w:szCs w:val="21"/>
        </w:rPr>
        <w:t xml:space="preserve">（15）本基金不持有具有信用保护卖方属性的信用衍生品，不持有合约类信用衍生品，本基金持有的信用衍生品名义本金不得超过本基金中所对应受保护债券面值的100%； </w:t>
      </w:r>
    </w:p>
    <w:p w14:paraId="59DD5D9A">
      <w:pPr>
        <w:pStyle w:val="7"/>
        <w:spacing w:before="0" w:beforeAutospacing="0" w:after="0" w:afterAutospacing="0" w:line="360" w:lineRule="auto"/>
        <w:ind w:firstLine="420"/>
        <w:rPr>
          <w:sz w:val="21"/>
          <w:szCs w:val="21"/>
        </w:rPr>
      </w:pPr>
      <w:r>
        <w:rPr>
          <w:rFonts w:hint="eastAsia"/>
          <w:sz w:val="21"/>
          <w:szCs w:val="21"/>
        </w:rPr>
        <w:t xml:space="preserve">（16）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 </w:t>
      </w:r>
    </w:p>
    <w:p w14:paraId="61F78552">
      <w:pPr>
        <w:pStyle w:val="7"/>
        <w:spacing w:before="0" w:beforeAutospacing="0" w:after="0" w:afterAutospacing="0" w:line="360" w:lineRule="auto"/>
        <w:ind w:firstLine="420"/>
        <w:rPr>
          <w:sz w:val="21"/>
          <w:szCs w:val="21"/>
        </w:rPr>
      </w:pPr>
      <w:r>
        <w:rPr>
          <w:rFonts w:hint="eastAsia"/>
          <w:sz w:val="21"/>
          <w:szCs w:val="21"/>
        </w:rPr>
        <w:t xml:space="preserve">（17）本基金资产总值不得超过基金资产净值的140%； </w:t>
      </w:r>
    </w:p>
    <w:p w14:paraId="14B60445">
      <w:pPr>
        <w:pStyle w:val="7"/>
        <w:spacing w:before="0" w:beforeAutospacing="0" w:after="0" w:afterAutospacing="0" w:line="360" w:lineRule="auto"/>
        <w:ind w:firstLine="420"/>
        <w:rPr>
          <w:sz w:val="21"/>
          <w:szCs w:val="21"/>
        </w:rPr>
      </w:pPr>
      <w:r>
        <w:rPr>
          <w:rFonts w:hint="eastAsia"/>
          <w:sz w:val="21"/>
          <w:szCs w:val="21"/>
        </w:rPr>
        <w:t xml:space="preserve">（18）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392B5773">
      <w:pPr>
        <w:pStyle w:val="7"/>
        <w:spacing w:before="0" w:beforeAutospacing="0" w:after="0" w:afterAutospacing="0" w:line="360" w:lineRule="auto"/>
        <w:ind w:firstLine="420"/>
        <w:rPr>
          <w:sz w:val="21"/>
          <w:szCs w:val="21"/>
        </w:rPr>
      </w:pPr>
      <w:r>
        <w:rPr>
          <w:rFonts w:hint="eastAsia"/>
          <w:sz w:val="21"/>
          <w:szCs w:val="21"/>
        </w:rPr>
        <w:t xml:space="preserve">（19）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14:paraId="2F1F43BE">
      <w:pPr>
        <w:pStyle w:val="7"/>
        <w:spacing w:before="0" w:beforeAutospacing="0" w:after="0" w:afterAutospacing="0" w:line="360" w:lineRule="auto"/>
        <w:ind w:firstLine="420"/>
        <w:rPr>
          <w:sz w:val="21"/>
          <w:szCs w:val="21"/>
        </w:rPr>
      </w:pPr>
      <w:r>
        <w:rPr>
          <w:rFonts w:hint="eastAsia"/>
          <w:sz w:val="21"/>
          <w:szCs w:val="21"/>
        </w:rPr>
        <w:t xml:space="preserve">（20）本基金与私募类证券资管产品及中国证监会认定的其他主体为交易对手开展逆回购交易的，可接受质押品的资质要求应当与基金合同约定的投资范围保持一致； </w:t>
      </w:r>
    </w:p>
    <w:p w14:paraId="25FAC820">
      <w:pPr>
        <w:pStyle w:val="7"/>
        <w:spacing w:before="0" w:beforeAutospacing="0" w:after="0" w:afterAutospacing="0" w:line="360" w:lineRule="auto"/>
        <w:ind w:firstLine="420"/>
        <w:rPr>
          <w:sz w:val="21"/>
          <w:szCs w:val="21"/>
        </w:rPr>
      </w:pPr>
      <w:r>
        <w:rPr>
          <w:rFonts w:hint="eastAsia"/>
          <w:sz w:val="21"/>
          <w:szCs w:val="21"/>
        </w:rPr>
        <w:t xml:space="preserve">（21）本基金参与融资的，每个交易日日终，本基金持有的融资买入股票与其他有价证券市值之和，不得超过基金资产净值的95%； </w:t>
      </w:r>
    </w:p>
    <w:p w14:paraId="58A4D72E">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（22）法律法规及中国证监会规定的和《基金合同》约定的其他投资限制。 </w:t>
      </w:r>
    </w:p>
    <w:p w14:paraId="0EEA111E">
      <w:pPr>
        <w:pStyle w:val="7"/>
        <w:spacing w:before="0" w:beforeAutospacing="0" w:after="0" w:afterAutospacing="0" w:line="360" w:lineRule="auto"/>
        <w:ind w:firstLine="420"/>
        <w:rPr>
          <w:sz w:val="21"/>
          <w:szCs w:val="21"/>
        </w:rPr>
      </w:pPr>
      <w:r>
        <w:rPr>
          <w:rFonts w:hint="eastAsia"/>
          <w:sz w:val="21"/>
          <w:szCs w:val="21"/>
        </w:rPr>
        <w:t xml:space="preserve">除上述（2）、（10）、（16）、（19）、（20）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5334E576">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20504358">
      <w:pPr>
        <w:pStyle w:val="7"/>
        <w:spacing w:before="0" w:beforeAutospacing="0" w:after="0" w:afterAutospacing="0" w:line="360" w:lineRule="auto"/>
        <w:ind w:firstLine="420"/>
        <w:rPr>
          <w:sz w:val="21"/>
          <w:szCs w:val="21"/>
        </w:rPr>
      </w:pPr>
      <w:r>
        <w:rPr>
          <w:rFonts w:hint="eastAsia"/>
          <w:sz w:val="21"/>
          <w:szCs w:val="21"/>
        </w:rPr>
        <w:t xml:space="preserve">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不需另行召开基金份额持有人大会。 </w:t>
      </w:r>
    </w:p>
    <w:p w14:paraId="3185AAEF">
      <w:pPr>
        <w:pStyle w:val="7"/>
        <w:spacing w:before="0" w:beforeAutospacing="0" w:after="0" w:afterAutospacing="0" w:line="360" w:lineRule="auto"/>
        <w:ind w:firstLine="420"/>
        <w:rPr>
          <w:sz w:val="21"/>
          <w:szCs w:val="21"/>
        </w:rPr>
      </w:pPr>
      <w:r>
        <w:rPr>
          <w:rFonts w:hint="eastAsia"/>
          <w:sz w:val="21"/>
          <w:szCs w:val="21"/>
        </w:rPr>
        <w:t xml:space="preserve">1.3基金托管人根据有关法律法规的规定及基金合同的约定对下述基金投资禁止行为进行监督： </w:t>
      </w:r>
    </w:p>
    <w:p w14:paraId="0EB8D586">
      <w:pPr>
        <w:pStyle w:val="7"/>
        <w:spacing w:before="0" w:beforeAutospacing="0" w:after="0" w:afterAutospacing="0" w:line="360" w:lineRule="auto"/>
        <w:ind w:firstLine="420"/>
        <w:rPr>
          <w:sz w:val="21"/>
          <w:szCs w:val="21"/>
        </w:rPr>
      </w:pPr>
      <w:r>
        <w:rPr>
          <w:rFonts w:hint="eastAsia"/>
          <w:sz w:val="21"/>
          <w:szCs w:val="21"/>
        </w:rPr>
        <w:t xml:space="preserve">根据法律法规的规定及基金合同的约定，本基金禁止从事下列行为： </w:t>
      </w:r>
    </w:p>
    <w:p w14:paraId="6DAFC729">
      <w:pPr>
        <w:pStyle w:val="7"/>
        <w:spacing w:before="0" w:beforeAutospacing="0" w:after="0" w:afterAutospacing="0" w:line="360" w:lineRule="auto"/>
        <w:ind w:firstLine="420"/>
        <w:rPr>
          <w:sz w:val="21"/>
          <w:szCs w:val="21"/>
        </w:rPr>
      </w:pPr>
      <w:r>
        <w:rPr>
          <w:rFonts w:hint="eastAsia"/>
          <w:sz w:val="21"/>
          <w:szCs w:val="21"/>
        </w:rPr>
        <w:t xml:space="preserve">（1）承销证券； </w:t>
      </w:r>
    </w:p>
    <w:p w14:paraId="1340C490">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1D0506F2">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03CA3267">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0D155D92">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34883F12">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1E223020">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66AAB827">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03BB2424">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法律、行政法规或监管部门取消或变更上述禁止性规定，如适用于本基金，基金管理人在履行适当程序后，则本基金投资不再受相关限制或以变更后的规定为准。 </w:t>
      </w:r>
    </w:p>
    <w:p w14:paraId="66835570">
      <w:pPr>
        <w:pStyle w:val="7"/>
        <w:spacing w:before="0" w:beforeAutospacing="0" w:after="0" w:afterAutospacing="0" w:line="360" w:lineRule="auto"/>
        <w:ind w:firstLine="420"/>
        <w:rPr>
          <w:sz w:val="21"/>
          <w:szCs w:val="21"/>
        </w:rPr>
      </w:pPr>
      <w:r>
        <w:rPr>
          <w:rFonts w:hint="eastAsia"/>
          <w:sz w:val="21"/>
          <w:szCs w:val="21"/>
        </w:rPr>
        <w:t xml:space="preserve">1.4基金托管人依据有关法律法规的规定和基金合同的约定对于基金关联投资限制进行监督： </w:t>
      </w:r>
    </w:p>
    <w:p w14:paraId="5A90BFEF">
      <w:pPr>
        <w:pStyle w:val="7"/>
        <w:spacing w:before="0" w:beforeAutospacing="0" w:after="0" w:afterAutospacing="0" w:line="360" w:lineRule="auto"/>
        <w:ind w:firstLine="420"/>
        <w:rPr>
          <w:sz w:val="21"/>
          <w:szCs w:val="21"/>
        </w:rPr>
      </w:pPr>
      <w:r>
        <w:rPr>
          <w:rFonts w:hint="eastAsia"/>
          <w:sz w:val="21"/>
          <w:szCs w:val="21"/>
        </w:rPr>
        <w:t xml:space="preserve">根据法律法规有关从事关联交易的规定，基金管理人和基金托管人应事先相互提供与本机构有控股关系的股东或与本机构有其他重大利害关系的公司名单及其更新，加盖公章并书面提交，并确保所提供名单的真实性、完整性、全面性。名单变更后基金管理人应及时发送基金托管人，基金托管人于2个工作日内进行回函确认已知名单的变更。名单变更时间以基金管理人收到基金托管人回函确认的时间为准。如果基金托管人在运作中严格遵循了监督流程，基金管理人仍违规进行交易，并造成基金资产损失的，由基金管理人承担责任，基金托管人不承担任何损失和责任。 </w:t>
      </w:r>
    </w:p>
    <w:p w14:paraId="247DBFFA">
      <w:pPr>
        <w:pStyle w:val="7"/>
        <w:spacing w:before="0" w:beforeAutospacing="0" w:after="0" w:afterAutospacing="0" w:line="360" w:lineRule="auto"/>
        <w:ind w:firstLine="420"/>
        <w:rPr>
          <w:sz w:val="21"/>
          <w:szCs w:val="21"/>
        </w:rPr>
      </w:pPr>
      <w:r>
        <w:rPr>
          <w:rFonts w:hint="eastAsia"/>
          <w:sz w:val="21"/>
          <w:szCs w:val="21"/>
        </w:rPr>
        <w:t xml:space="preserve">若基金托管人发现基金管理人与关联方进行法律法规禁止基金从事的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 </w:t>
      </w:r>
    </w:p>
    <w:p w14:paraId="6C6A57D4">
      <w:pPr>
        <w:pStyle w:val="7"/>
        <w:spacing w:before="0" w:beforeAutospacing="0" w:after="0" w:afterAutospacing="0" w:line="360" w:lineRule="auto"/>
        <w:ind w:firstLine="420"/>
        <w:rPr>
          <w:sz w:val="21"/>
          <w:szCs w:val="21"/>
        </w:rPr>
      </w:pPr>
      <w:r>
        <w:rPr>
          <w:rFonts w:hint="eastAsia"/>
          <w:sz w:val="21"/>
          <w:szCs w:val="21"/>
        </w:rPr>
        <w:t xml:space="preserve">1.5基金托管人依据有关法律法规的规定和基金合同的约定对基金管理人参与银行间债券市场进行监督： </w:t>
      </w:r>
    </w:p>
    <w:p w14:paraId="07BE5BCF">
      <w:pPr>
        <w:pStyle w:val="7"/>
        <w:spacing w:before="0" w:beforeAutospacing="0" w:after="0" w:afterAutospacing="0" w:line="360" w:lineRule="auto"/>
        <w:ind w:firstLine="420"/>
        <w:rPr>
          <w:sz w:val="21"/>
          <w:szCs w:val="21"/>
        </w:rPr>
      </w:pPr>
      <w:r>
        <w:rPr>
          <w:rFonts w:hint="eastAsia"/>
          <w:sz w:val="21"/>
          <w:szCs w:val="21"/>
        </w:rPr>
        <w:t xml:space="preserve">（1）基金托管人依据有关法律法规的规定和基金合同的约定对于基金管理人参与银行间债券市场交易时面临的交易对手资信风险进行监督。 </w:t>
      </w:r>
    </w:p>
    <w:p w14:paraId="4633F9C8">
      <w:pPr>
        <w:pStyle w:val="7"/>
        <w:spacing w:before="0" w:beforeAutospacing="0" w:after="0" w:afterAutospacing="0" w:line="360" w:lineRule="auto"/>
        <w:ind w:firstLine="420"/>
        <w:rPr>
          <w:sz w:val="21"/>
          <w:szCs w:val="21"/>
        </w:rPr>
      </w:pPr>
      <w:r>
        <w:rPr>
          <w:rFonts w:hint="eastAsia"/>
          <w:sz w:val="21"/>
          <w:szCs w:val="21"/>
        </w:rPr>
        <w:t xml:space="preserve">基金管理人应在基金投资运作之前向基金托管人提供符合法律法规及行业标准的银行间债券市场交易对手的名单，并按照审慎的风险控制原则在该名单中约定各交易对手所适用的交易结算方式。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 </w:t>
      </w:r>
    </w:p>
    <w:p w14:paraId="6A843453">
      <w:pPr>
        <w:pStyle w:val="7"/>
        <w:spacing w:before="0" w:beforeAutospacing="0" w:after="0" w:afterAutospacing="0" w:line="360" w:lineRule="auto"/>
        <w:ind w:firstLine="420"/>
        <w:rPr>
          <w:sz w:val="21"/>
          <w:szCs w:val="21"/>
        </w:rPr>
      </w:pPr>
      <w:r>
        <w:rPr>
          <w:rFonts w:hint="eastAsia"/>
          <w:sz w:val="21"/>
          <w:szCs w:val="21"/>
        </w:rPr>
        <w:t xml:space="preserve">如果基金托管人发现基金管理人与不在名单内的银行间债券市场交易对手进行交易，应及时提醒基金管理人撤销交易，经提醒后基金管理人仍执行交易并造成基金资产损失的，基金托管人不承担责任。 </w:t>
      </w:r>
    </w:p>
    <w:p w14:paraId="42B92D21">
      <w:pPr>
        <w:pStyle w:val="7"/>
        <w:spacing w:before="0" w:beforeAutospacing="0" w:after="0" w:afterAutospacing="0" w:line="360" w:lineRule="auto"/>
        <w:ind w:firstLine="420"/>
        <w:rPr>
          <w:sz w:val="21"/>
          <w:szCs w:val="21"/>
        </w:rPr>
      </w:pPr>
      <w:r>
        <w:rPr>
          <w:rFonts w:hint="eastAsia"/>
          <w:sz w:val="21"/>
          <w:szCs w:val="21"/>
        </w:rPr>
        <w:t xml:space="preserve">（2）基金托管人对于基金管理人参与银行间债券市场交易的交易方式的控制 </w:t>
      </w:r>
    </w:p>
    <w:p w14:paraId="49F248DA">
      <w:pPr>
        <w:pStyle w:val="7"/>
        <w:spacing w:before="0" w:beforeAutospacing="0" w:after="0" w:afterAutospacing="0" w:line="360" w:lineRule="auto"/>
        <w:ind w:firstLine="420"/>
        <w:rPr>
          <w:sz w:val="21"/>
          <w:szCs w:val="21"/>
        </w:rPr>
      </w:pPr>
      <w:r>
        <w:rPr>
          <w:rFonts w:hint="eastAsia"/>
          <w:sz w:val="21"/>
          <w:szCs w:val="21"/>
        </w:rPr>
        <w:t xml:space="preserve">基金管理人在银行间债券市场进行现券买卖和回购交易时，需按交易对手名单中约定的该交易对手所适用的交易结算方式进行交易。如果基金托管人发现基金管理人没有按照事先约定的有利于信用风险控制的交易方式进行交易时，基金托管人应及时提醒基金管理人与交易对手重新确定交易方式，经提醒后仍未改正并造成基金资产损失的，基金托管人不承担责任。 </w:t>
      </w:r>
    </w:p>
    <w:p w14:paraId="4C342F64">
      <w:pPr>
        <w:pStyle w:val="7"/>
        <w:spacing w:before="0" w:beforeAutospacing="0" w:after="0" w:afterAutospacing="0" w:line="360" w:lineRule="auto"/>
        <w:ind w:firstLine="420"/>
        <w:rPr>
          <w:sz w:val="21"/>
          <w:szCs w:val="21"/>
        </w:rPr>
      </w:pPr>
      <w:r>
        <w:rPr>
          <w:rFonts w:hint="eastAsia"/>
          <w:sz w:val="21"/>
          <w:szCs w:val="21"/>
        </w:rPr>
        <w:t xml:space="preserve">（3）基金管理人有责任控制交易对手的资信风险， </w:t>
      </w:r>
    </w:p>
    <w:p w14:paraId="45BB055D">
      <w:pPr>
        <w:pStyle w:val="7"/>
        <w:spacing w:before="0" w:beforeAutospacing="0" w:after="0" w:afterAutospacing="0" w:line="360" w:lineRule="auto"/>
        <w:ind w:firstLine="420"/>
        <w:rPr>
          <w:sz w:val="21"/>
          <w:szCs w:val="21"/>
        </w:rPr>
      </w:pPr>
      <w:r>
        <w:rPr>
          <w:rFonts w:hint="eastAsia"/>
          <w:sz w:val="21"/>
          <w:szCs w:val="21"/>
        </w:rPr>
        <w:t xml:space="preserve">按银行间债券市场的交易规则进行交易，并负责解决因交易对手不履行合同而造成的纠纷。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 </w:t>
      </w:r>
    </w:p>
    <w:p w14:paraId="317A256D">
      <w:pPr>
        <w:pStyle w:val="7"/>
        <w:spacing w:before="0" w:beforeAutospacing="0" w:after="0" w:afterAutospacing="0" w:line="360" w:lineRule="auto"/>
        <w:ind w:firstLine="420"/>
        <w:rPr>
          <w:sz w:val="21"/>
          <w:szCs w:val="21"/>
        </w:rPr>
      </w:pPr>
      <w:r>
        <w:rPr>
          <w:rFonts w:hint="eastAsia"/>
          <w:sz w:val="21"/>
          <w:szCs w:val="21"/>
        </w:rPr>
        <w:t xml:space="preserve">1.6基金托管人对基金投资流通受限证券的监督： </w:t>
      </w:r>
    </w:p>
    <w:p w14:paraId="2104B88E">
      <w:pPr>
        <w:pStyle w:val="7"/>
        <w:spacing w:before="0" w:beforeAutospacing="0" w:after="0" w:afterAutospacing="0" w:line="360" w:lineRule="auto"/>
        <w:ind w:firstLine="420"/>
        <w:rPr>
          <w:sz w:val="21"/>
          <w:szCs w:val="21"/>
        </w:rPr>
      </w:pPr>
      <w:r>
        <w:rPr>
          <w:rFonts w:hint="eastAsia"/>
          <w:sz w:val="21"/>
          <w:szCs w:val="21"/>
        </w:rPr>
        <w:t xml:space="preserve">（1）基金投资流通受限证券，应遵守有关法律法规规定。流通受限证券指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 </w:t>
      </w:r>
    </w:p>
    <w:p w14:paraId="5D5130BE">
      <w:pPr>
        <w:pStyle w:val="7"/>
        <w:spacing w:before="0" w:beforeAutospacing="0" w:after="0" w:afterAutospacing="0" w:line="360" w:lineRule="auto"/>
        <w:ind w:firstLine="420"/>
        <w:rPr>
          <w:sz w:val="21"/>
          <w:szCs w:val="21"/>
        </w:rPr>
      </w:pPr>
      <w:r>
        <w:rPr>
          <w:rFonts w:hint="eastAsia"/>
          <w:sz w:val="21"/>
          <w:szCs w:val="21"/>
        </w:rPr>
        <w:t xml:space="preserve">（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 </w:t>
      </w:r>
    </w:p>
    <w:p w14:paraId="1EDF75F9">
      <w:pPr>
        <w:pStyle w:val="7"/>
        <w:spacing w:before="0" w:beforeAutospacing="0" w:after="0" w:afterAutospacing="0" w:line="360" w:lineRule="auto"/>
        <w:ind w:firstLine="420"/>
        <w:rPr>
          <w:sz w:val="21"/>
          <w:szCs w:val="21"/>
        </w:rPr>
      </w:pPr>
      <w:r>
        <w:rPr>
          <w:rFonts w:hint="eastAsia"/>
          <w:sz w:val="21"/>
          <w:szCs w:val="21"/>
        </w:rPr>
        <w:t xml:space="preserve">基金管理人应至少于首次执行投资指令之前2个工作日将上述资料书面发至基金托管人，保证基金托管人有足够的时间进行审核。基金托管人应在收到上述资料后2个工作日内，以书面或其他双方认可的方式确认收到上述资料。 </w:t>
      </w:r>
    </w:p>
    <w:p w14:paraId="060D7A44">
      <w:pPr>
        <w:pStyle w:val="7"/>
        <w:spacing w:before="0" w:beforeAutospacing="0" w:after="0" w:afterAutospacing="0" w:line="360" w:lineRule="auto"/>
        <w:ind w:firstLine="420"/>
        <w:rPr>
          <w:sz w:val="21"/>
          <w:szCs w:val="21"/>
        </w:rPr>
      </w:pPr>
      <w:r>
        <w:rPr>
          <w:rFonts w:hint="eastAsia"/>
          <w:sz w:val="21"/>
          <w:szCs w:val="21"/>
        </w:rPr>
        <w:t xml:space="preserve">（3）基金投资流通受限证券前，基金管理人应向基金托管人提供符合法律法规要求的有关必要书面信息。基金管理人应保证上述信息的真实、完整，并应至少于拟执行投资指令前将上述信息书面发至基金托管人。 </w:t>
      </w:r>
    </w:p>
    <w:p w14:paraId="4010738B">
      <w:pPr>
        <w:pStyle w:val="7"/>
        <w:spacing w:before="0" w:beforeAutospacing="0" w:after="0" w:afterAutospacing="0" w:line="360" w:lineRule="auto"/>
        <w:ind w:firstLine="420"/>
        <w:rPr>
          <w:sz w:val="21"/>
          <w:szCs w:val="21"/>
        </w:rPr>
      </w:pPr>
      <w:r>
        <w:rPr>
          <w:rFonts w:hint="eastAsia"/>
          <w:sz w:val="21"/>
          <w:szCs w:val="21"/>
        </w:rPr>
        <w:t xml:space="preserve">（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因拒绝执行该指令造成基金财产损失的，基金托管人不承担任何责任，并有权报告中国证监会。 </w:t>
      </w:r>
    </w:p>
    <w:p w14:paraId="140610EE">
      <w:pPr>
        <w:pStyle w:val="7"/>
        <w:spacing w:before="0" w:beforeAutospacing="0" w:after="0" w:afterAutospacing="0" w:line="360" w:lineRule="auto"/>
        <w:ind w:firstLine="420"/>
        <w:rPr>
          <w:sz w:val="21"/>
          <w:szCs w:val="21"/>
        </w:rPr>
      </w:pPr>
      <w:r>
        <w:rPr>
          <w:rFonts w:hint="eastAsia"/>
          <w:sz w:val="21"/>
          <w:szCs w:val="21"/>
        </w:rPr>
        <w:t xml:space="preserve">如基金管理人和基金托管人无法达成一致，应及时上报中国证监会请求解决。如果基金托管人切实履行监督职责，则不承担任何责任。如果基金托管人没有切实履行监督职责，导致基金出现风险，基金托管人应承担相应责任。 </w:t>
      </w:r>
    </w:p>
    <w:p w14:paraId="6AE23D56">
      <w:pPr>
        <w:pStyle w:val="7"/>
        <w:spacing w:before="0" w:beforeAutospacing="0" w:after="0" w:afterAutospacing="0" w:line="360" w:lineRule="auto"/>
        <w:ind w:firstLine="420"/>
        <w:rPr>
          <w:sz w:val="21"/>
          <w:szCs w:val="21"/>
        </w:rPr>
      </w:pPr>
      <w:r>
        <w:rPr>
          <w:rFonts w:hint="eastAsia"/>
          <w:sz w:val="21"/>
          <w:szCs w:val="21"/>
        </w:rPr>
        <w:t xml:space="preserve">1.7基金托管人对基金投资中期票据的监督： </w:t>
      </w:r>
    </w:p>
    <w:p w14:paraId="70BC29FD">
      <w:pPr>
        <w:pStyle w:val="7"/>
        <w:spacing w:before="0" w:beforeAutospacing="0" w:after="0" w:afterAutospacing="0" w:line="360" w:lineRule="auto"/>
        <w:ind w:firstLine="420"/>
        <w:rPr>
          <w:sz w:val="21"/>
          <w:szCs w:val="21"/>
        </w:rPr>
      </w:pPr>
      <w:r>
        <w:rPr>
          <w:rFonts w:hint="eastAsia"/>
          <w:sz w:val="21"/>
          <w:szCs w:val="21"/>
        </w:rPr>
        <w:t xml:space="preserve">（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 </w:t>
      </w:r>
    </w:p>
    <w:p w14:paraId="00560D09">
      <w:pPr>
        <w:pStyle w:val="7"/>
        <w:spacing w:before="0" w:beforeAutospacing="0" w:after="0" w:afterAutospacing="0" w:line="360" w:lineRule="auto"/>
        <w:ind w:firstLine="420"/>
        <w:rPr>
          <w:sz w:val="21"/>
          <w:szCs w:val="21"/>
        </w:rPr>
      </w:pPr>
      <w:r>
        <w:rPr>
          <w:rFonts w:hint="eastAsia"/>
          <w:sz w:val="21"/>
          <w:szCs w:val="21"/>
        </w:rPr>
        <w:t xml:space="preserve">（2）如未来有关监管部门发布的法律法规对证券投资基金投资中期票据另有规定的，从其约定。 </w:t>
      </w:r>
    </w:p>
    <w:p w14:paraId="522E3FF4">
      <w:pPr>
        <w:pStyle w:val="7"/>
        <w:spacing w:before="0" w:beforeAutospacing="0" w:after="0" w:afterAutospacing="0" w:line="360" w:lineRule="auto"/>
        <w:ind w:firstLine="420"/>
        <w:rPr>
          <w:sz w:val="21"/>
          <w:szCs w:val="21"/>
        </w:rPr>
      </w:pPr>
      <w:r>
        <w:rPr>
          <w:rFonts w:hint="eastAsia"/>
          <w:sz w:val="21"/>
          <w:szCs w:val="21"/>
        </w:rPr>
        <w:t xml:space="preserve">（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应报告中国证监会。基金托管人不承担由此造成的任何损失和责任。 </w:t>
      </w:r>
    </w:p>
    <w:p w14:paraId="52888FA1">
      <w:pPr>
        <w:pStyle w:val="7"/>
        <w:spacing w:before="0" w:beforeAutospacing="0" w:after="0" w:afterAutospacing="0" w:line="360" w:lineRule="auto"/>
        <w:ind w:firstLine="420"/>
        <w:rPr>
          <w:sz w:val="21"/>
          <w:szCs w:val="21"/>
        </w:rPr>
      </w:pPr>
      <w:r>
        <w:rPr>
          <w:rFonts w:hint="eastAsia"/>
          <w:sz w:val="21"/>
          <w:szCs w:val="21"/>
        </w:rPr>
        <w:t xml:space="preserve">1.8基金托管人根据有关法律法规的规定及基金合同的约定，对基金管理人选择存款银行进行监督： </w:t>
      </w:r>
    </w:p>
    <w:p w14:paraId="475B0731">
      <w:pPr>
        <w:pStyle w:val="7"/>
        <w:spacing w:before="0" w:beforeAutospacing="0" w:after="0" w:afterAutospacing="0" w:line="360" w:lineRule="auto"/>
        <w:ind w:firstLine="420"/>
        <w:rPr>
          <w:sz w:val="21"/>
          <w:szCs w:val="21"/>
        </w:rPr>
      </w:pPr>
      <w:r>
        <w:rPr>
          <w:rFonts w:hint="eastAsia"/>
          <w:sz w:val="21"/>
          <w:szCs w:val="21"/>
        </w:rPr>
        <w:t xml:space="preserve">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 </w:t>
      </w:r>
    </w:p>
    <w:p w14:paraId="21925C80">
      <w:pPr>
        <w:pStyle w:val="7"/>
        <w:spacing w:before="0" w:beforeAutospacing="0" w:after="0" w:afterAutospacing="0" w:line="360" w:lineRule="auto"/>
        <w:ind w:firstLine="420"/>
        <w:rPr>
          <w:sz w:val="21"/>
          <w:szCs w:val="21"/>
        </w:rPr>
      </w:pPr>
      <w:r>
        <w:rPr>
          <w:rFonts w:hint="eastAsia"/>
          <w:sz w:val="21"/>
          <w:szCs w:val="21"/>
        </w:rPr>
        <w:t xml:space="preserve">本基金投资银行存款应符合如下规定： </w:t>
      </w:r>
    </w:p>
    <w:p w14:paraId="14CE27E9">
      <w:pPr>
        <w:pStyle w:val="7"/>
        <w:spacing w:before="0" w:beforeAutospacing="0" w:after="0" w:afterAutospacing="0" w:line="360" w:lineRule="auto"/>
        <w:ind w:firstLine="420"/>
        <w:rPr>
          <w:sz w:val="21"/>
          <w:szCs w:val="21"/>
        </w:rPr>
      </w:pPr>
      <w:r>
        <w:rPr>
          <w:rFonts w:hint="eastAsia"/>
          <w:sz w:val="21"/>
          <w:szCs w:val="21"/>
        </w:rPr>
        <w:t xml:space="preserve">（1）基金管理人、基金托管人应当与存款银行建立定期对账机制，确保基金银行存款业务账目及核算的真实、准确。 </w:t>
      </w:r>
    </w:p>
    <w:p w14:paraId="198FADF3">
      <w:pPr>
        <w:pStyle w:val="7"/>
        <w:spacing w:before="0" w:beforeAutospacing="0" w:after="0" w:afterAutospacing="0" w:line="360" w:lineRule="auto"/>
        <w:ind w:firstLine="420"/>
        <w:rPr>
          <w:sz w:val="21"/>
          <w:szCs w:val="21"/>
        </w:rPr>
      </w:pPr>
      <w:r>
        <w:rPr>
          <w:rFonts w:hint="eastAsia"/>
          <w:sz w:val="21"/>
          <w:szCs w:val="21"/>
        </w:rPr>
        <w:t xml:space="preserve">（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 </w:t>
      </w:r>
    </w:p>
    <w:p w14:paraId="31B92EFF">
      <w:pPr>
        <w:pStyle w:val="7"/>
        <w:spacing w:before="0" w:beforeAutospacing="0" w:after="0" w:afterAutospacing="0" w:line="360" w:lineRule="auto"/>
        <w:ind w:firstLine="420"/>
        <w:rPr>
          <w:sz w:val="21"/>
          <w:szCs w:val="21"/>
        </w:rPr>
      </w:pPr>
      <w:r>
        <w:rPr>
          <w:rFonts w:hint="eastAsia"/>
          <w:sz w:val="21"/>
          <w:szCs w:val="21"/>
        </w:rPr>
        <w:t xml:space="preserve">（3）基金托管人应加强对基金银行存款业务的监督与核查，严格审查、复核相关协议、账户资料、投资指令、存款证实书等有关文件，切实履行托管职责。 </w:t>
      </w:r>
    </w:p>
    <w:p w14:paraId="181278F0">
      <w:pPr>
        <w:pStyle w:val="7"/>
        <w:spacing w:before="0" w:beforeAutospacing="0" w:after="0" w:afterAutospacing="0" w:line="360" w:lineRule="auto"/>
        <w:ind w:firstLine="420"/>
        <w:rPr>
          <w:sz w:val="21"/>
          <w:szCs w:val="21"/>
        </w:rPr>
      </w:pPr>
      <w:r>
        <w:rPr>
          <w:rFonts w:hint="eastAsia"/>
          <w:sz w:val="21"/>
          <w:szCs w:val="21"/>
        </w:rPr>
        <w:t xml:space="preserve">（4）基金管理人与基金托管人在开展基金存款业务时，应严格遵守《基金法》、《运作办法》等有关法律法规，以及国家有关账户管理、利率管理、支付结算等的各项规定。 </w:t>
      </w:r>
    </w:p>
    <w:p w14:paraId="28A36112">
      <w:pPr>
        <w:pStyle w:val="7"/>
        <w:spacing w:before="0" w:beforeAutospacing="0" w:after="0" w:afterAutospacing="0" w:line="360" w:lineRule="auto"/>
        <w:ind w:firstLine="420"/>
        <w:rPr>
          <w:sz w:val="21"/>
          <w:szCs w:val="21"/>
        </w:rPr>
      </w:pPr>
      <w:r>
        <w:rPr>
          <w:rFonts w:hint="eastAsia"/>
          <w:sz w:val="21"/>
          <w:szCs w:val="21"/>
        </w:rPr>
        <w:t xml:space="preserve">（二）基金托管人对基金管理人业务进行监督和核查的有关措施： </w:t>
      </w:r>
    </w:p>
    <w:p w14:paraId="7CEEE583">
      <w:pPr>
        <w:pStyle w:val="7"/>
        <w:spacing w:before="0" w:beforeAutospacing="0" w:after="0" w:afterAutospacing="0" w:line="360" w:lineRule="auto"/>
        <w:ind w:firstLine="420"/>
        <w:rPr>
          <w:sz w:val="21"/>
          <w:szCs w:val="21"/>
        </w:rPr>
      </w:pPr>
      <w:r>
        <w:rPr>
          <w:rFonts w:hint="eastAsia"/>
          <w:sz w:val="21"/>
          <w:szCs w:val="21"/>
        </w:rPr>
        <w:t xml:space="preserve">2.1基金托管人应根据有关法律法规的规定及基金合同的约定，对基金资产净值计算、基金份额净值计算、应收资金到账、基金费用开支及收入确定、基金收益分配、相关信息披露、基金宣传推介材料中登载基金业绩表现数据等进行监督和核查。 </w:t>
      </w:r>
    </w:p>
    <w:p w14:paraId="71DA280F">
      <w:pPr>
        <w:pStyle w:val="7"/>
        <w:spacing w:before="0" w:beforeAutospacing="0" w:after="0" w:afterAutospacing="0" w:line="360" w:lineRule="auto"/>
        <w:ind w:firstLine="420"/>
        <w:rPr>
          <w:sz w:val="21"/>
          <w:szCs w:val="21"/>
        </w:rPr>
      </w:pPr>
      <w:r>
        <w:rPr>
          <w:rFonts w:hint="eastAsia"/>
          <w:sz w:val="21"/>
          <w:szCs w:val="21"/>
        </w:rPr>
        <w:t xml:space="preserve">2.2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就基金托管人的合理疑义进行解释或举证。 </w:t>
      </w:r>
    </w:p>
    <w:p w14:paraId="3A853048">
      <w:pPr>
        <w:pStyle w:val="7"/>
        <w:spacing w:before="0" w:beforeAutospacing="0" w:after="0" w:afterAutospacing="0" w:line="360" w:lineRule="auto"/>
        <w:ind w:firstLine="420"/>
        <w:rPr>
          <w:sz w:val="21"/>
          <w:szCs w:val="21"/>
        </w:rPr>
      </w:pPr>
      <w:r>
        <w:rPr>
          <w:rFonts w:hint="eastAsia"/>
          <w:sz w:val="21"/>
          <w:szCs w:val="21"/>
        </w:rPr>
        <w:t xml:space="preserve">2.3在限期内，基金托管人有权随时对通知事项进行复查，督促基金管理人改正。基金管理人对基金托管人通知的违规事项未能在限期内纠正的，基金托管人应报告中国证监会。 </w:t>
      </w:r>
    </w:p>
    <w:p w14:paraId="4F40CFA7">
      <w:pPr>
        <w:pStyle w:val="7"/>
        <w:spacing w:before="0" w:beforeAutospacing="0" w:after="0" w:afterAutospacing="0" w:line="360" w:lineRule="auto"/>
        <w:ind w:firstLine="420"/>
        <w:rPr>
          <w:sz w:val="21"/>
          <w:szCs w:val="21"/>
        </w:rPr>
      </w:pPr>
      <w:r>
        <w:rPr>
          <w:rFonts w:hint="eastAsia"/>
          <w:sz w:val="21"/>
          <w:szCs w:val="21"/>
        </w:rPr>
        <w:t xml:space="preserve">2.4基金托管人发现基金管理人的投资指令违反关法律法规规定或者违反基金合同约定的，应当拒绝执行，立即通知基金管理人。 </w:t>
      </w:r>
    </w:p>
    <w:p w14:paraId="76491D57">
      <w:pPr>
        <w:pStyle w:val="7"/>
        <w:spacing w:before="0" w:beforeAutospacing="0" w:after="0" w:afterAutospacing="0" w:line="360" w:lineRule="auto"/>
        <w:ind w:firstLine="420"/>
        <w:rPr>
          <w:sz w:val="21"/>
          <w:szCs w:val="21"/>
        </w:rPr>
      </w:pPr>
      <w:r>
        <w:rPr>
          <w:rFonts w:hint="eastAsia"/>
          <w:sz w:val="21"/>
          <w:szCs w:val="21"/>
        </w:rPr>
        <w:t xml:space="preserve">2.5基金托管人发现基金管理人依据交易程序已经生效的投资指令违反法律、行政法规和其他有关规定，或者违反基金合同约定的，应当立即通知基金管理人，并及时向中国证监会报告，基金管理人应依法承担相应责任。 </w:t>
      </w:r>
    </w:p>
    <w:p w14:paraId="0F0371CA">
      <w:pPr>
        <w:pStyle w:val="7"/>
        <w:spacing w:before="0" w:beforeAutospacing="0" w:after="0" w:afterAutospacing="0" w:line="360" w:lineRule="auto"/>
        <w:ind w:firstLine="420"/>
        <w:rPr>
          <w:sz w:val="21"/>
          <w:szCs w:val="21"/>
        </w:rPr>
      </w:pPr>
      <w:r>
        <w:rPr>
          <w:rFonts w:hint="eastAsia"/>
          <w:sz w:val="21"/>
          <w:szCs w:val="21"/>
        </w:rPr>
        <w:t xml:space="preserve">2.6基金管理人应积极配合和协助基金托管人的监督和核查，必须在规定时间内答复基金托管人并改正，就基金托管人的合理疑义进行解释或举证，对基金托管人按照法规要求需向中国证监会报送基金监督报告的，基金管理人应积极配合提供相关数据资料和制度等。 </w:t>
      </w:r>
    </w:p>
    <w:p w14:paraId="55230CDA">
      <w:pPr>
        <w:pStyle w:val="7"/>
        <w:spacing w:before="0" w:beforeAutospacing="0" w:after="0" w:afterAutospacing="0" w:line="360" w:lineRule="auto"/>
        <w:ind w:firstLine="420"/>
        <w:rPr>
          <w:sz w:val="21"/>
          <w:szCs w:val="21"/>
        </w:rPr>
      </w:pPr>
      <w:r>
        <w:rPr>
          <w:rFonts w:hint="eastAsia"/>
          <w:sz w:val="21"/>
          <w:szCs w:val="21"/>
        </w:rPr>
        <w:t xml:space="preserve">2.7基金托管人发现基金管理人有重大违规行为，应立即报告中国证监会，同时通知基金管理人限期纠正。 </w:t>
      </w:r>
    </w:p>
    <w:p w14:paraId="7CABC669">
      <w:pPr>
        <w:pStyle w:val="7"/>
        <w:spacing w:before="0" w:beforeAutospacing="0" w:after="0" w:afterAutospacing="0" w:line="360" w:lineRule="auto"/>
        <w:ind w:firstLine="420"/>
        <w:rPr>
          <w:sz w:val="21"/>
          <w:szCs w:val="21"/>
        </w:rPr>
      </w:pPr>
      <w:r>
        <w:rPr>
          <w:rFonts w:hint="eastAsia"/>
          <w:sz w:val="21"/>
          <w:szCs w:val="21"/>
        </w:rPr>
        <w:t xml:space="preserve">2.8基金管理人无正当理由，拒绝、阻挠基金托管人根据本协议规定行使监督权，或采取拖延、欺诈等手段妨碍基金托管人进行有效监督，情节严重或经基金托管人提出警告仍不改正的，基金托管人应报告中国证监会。 </w:t>
      </w:r>
    </w:p>
    <w:p w14:paraId="3EDF688D">
      <w:pPr>
        <w:pStyle w:val="7"/>
        <w:spacing w:before="0" w:beforeAutospacing="0" w:after="0" w:afterAutospacing="0" w:line="360" w:lineRule="auto"/>
        <w:ind w:firstLine="420"/>
        <w:rPr>
          <w:sz w:val="21"/>
          <w:szCs w:val="21"/>
        </w:rPr>
      </w:pPr>
      <w:r>
        <w:rPr>
          <w:rFonts w:hint="eastAsia"/>
          <w:sz w:val="21"/>
          <w:szCs w:val="21"/>
        </w:rPr>
        <w:t xml:space="preserve">2.9基金管理人应遵守中华人民共和国反洗钱法律法规，不参与涉嫌洗钱、恐怖融资、扩散融资等违法犯罪活动；主动配合基金托管人客户身份识别与尽职调查，提供真实、准确、完整客户资料，遵守基金托管人反洗钱与反恐怖融资相关管理规定。对具备合理理由怀疑涉嫌洗钱、恐怖融资的客户，基金托管人将按照中国人民银行反洗钱监管规定采取必要管控措施。 </w:t>
      </w:r>
    </w:p>
    <w:p w14:paraId="04B9315A">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14:paraId="4526B5F9">
      <w:pPr>
        <w:pStyle w:val="7"/>
        <w:spacing w:before="0" w:beforeAutospacing="0" w:after="0" w:afterAutospacing="0" w:line="360" w:lineRule="auto"/>
        <w:ind w:firstLine="420"/>
        <w:rPr>
          <w:sz w:val="21"/>
          <w:szCs w:val="21"/>
        </w:rPr>
      </w:pPr>
      <w:r>
        <w:rPr>
          <w:rFonts w:hint="eastAsia"/>
          <w:sz w:val="21"/>
          <w:szCs w:val="21"/>
        </w:rPr>
        <w:t xml:space="preserve">基金管理人对基金托管人履行托管职责情况进行核查，核查事项包括但不限于基金托管人安全保管基金财产、开设基金财产的资金账户和证券账户等投资所需的其他账户、复核基金管理人计算的基金资产净值和基金份额净值、根据基金管理人指令办理清算交收、相关信息披露和监督基金投资运作等行为。 </w:t>
      </w:r>
    </w:p>
    <w:p w14:paraId="10CCDE24">
      <w:pPr>
        <w:pStyle w:val="7"/>
        <w:spacing w:before="0" w:beforeAutospacing="0" w:after="0" w:afterAutospacing="0" w:line="360" w:lineRule="auto"/>
        <w:ind w:firstLine="420"/>
        <w:rPr>
          <w:sz w:val="21"/>
          <w:szCs w:val="21"/>
        </w:rPr>
      </w:pPr>
      <w:r>
        <w:rPr>
          <w:rFonts w:hint="eastAsia"/>
          <w:sz w:val="21"/>
          <w:szCs w:val="21"/>
        </w:rPr>
        <w:t xml:space="preserve">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因此所遭受的损失。 </w:t>
      </w:r>
    </w:p>
    <w:p w14:paraId="69208EEF">
      <w:pPr>
        <w:pStyle w:val="7"/>
        <w:spacing w:before="0" w:beforeAutospacing="0" w:after="0" w:afterAutospacing="0" w:line="360" w:lineRule="auto"/>
        <w:ind w:firstLine="420"/>
        <w:rPr>
          <w:sz w:val="21"/>
          <w:szCs w:val="21"/>
        </w:rPr>
      </w:pPr>
      <w:r>
        <w:rPr>
          <w:rFonts w:hint="eastAsia"/>
          <w:sz w:val="21"/>
          <w:szCs w:val="21"/>
        </w:rPr>
        <w:t xml:space="preserve">基金管理人发现基金托管人有重大违规行为，应立即报告中国证监会和银行业监督管理机构，同时通知基金托管人限期纠正。 </w:t>
      </w:r>
    </w:p>
    <w:p w14:paraId="49D3EF9F">
      <w:pPr>
        <w:pStyle w:val="7"/>
        <w:spacing w:before="0" w:beforeAutospacing="0" w:after="0" w:afterAutospacing="0" w:line="360" w:lineRule="auto"/>
        <w:ind w:firstLine="420"/>
        <w:rPr>
          <w:sz w:val="21"/>
          <w:szCs w:val="21"/>
        </w:rPr>
      </w:pPr>
      <w:r>
        <w:rPr>
          <w:rFonts w:hint="eastAsia"/>
          <w:sz w:val="21"/>
          <w:szCs w:val="21"/>
        </w:rPr>
        <w:t xml:space="preserve">基金托管人应积极配合基金管理人的核查行为，包括但不限于：提交相关资料以供基金管理人核查托管财产的完整性和真实性，在规定时间内答复基金管理人并改正。 </w:t>
      </w:r>
    </w:p>
    <w:p w14:paraId="438DFCBE">
      <w:pPr>
        <w:pStyle w:val="7"/>
        <w:spacing w:before="0" w:beforeAutospacing="0" w:after="0" w:afterAutospacing="0" w:line="360" w:lineRule="auto"/>
        <w:ind w:firstLine="420"/>
        <w:rPr>
          <w:sz w:val="21"/>
          <w:szCs w:val="21"/>
        </w:rPr>
      </w:pPr>
      <w:r>
        <w:rPr>
          <w:rFonts w:hint="eastAsia"/>
          <w:sz w:val="21"/>
          <w:szCs w:val="21"/>
        </w:rPr>
        <w:t xml:space="preserve">基金托管人无正当理由，拒绝、阻挠基金管理人根据本协议规定行使监督权，或采取拖延、欺诈等手段妨碍基金管理人进行有效监督，情节严重或经基金管理人提出警告仍不改正的，基金管理人应报告中国证监会。 </w:t>
      </w:r>
    </w:p>
    <w:p w14:paraId="126FA036">
      <w:pPr>
        <w:pStyle w:val="7"/>
        <w:spacing w:before="0" w:beforeAutospacing="0" w:after="0" w:afterAutospacing="0" w:line="360" w:lineRule="auto"/>
        <w:ind w:firstLine="420"/>
        <w:rPr>
          <w:sz w:val="21"/>
          <w:szCs w:val="21"/>
        </w:rPr>
      </w:pPr>
      <w:r>
        <w:rPr>
          <w:rStyle w:val="11"/>
          <w:rFonts w:hint="eastAsia"/>
          <w:sz w:val="21"/>
          <w:szCs w:val="21"/>
        </w:rPr>
        <w:t>四、基金财产的保管</w:t>
      </w:r>
    </w:p>
    <w:p w14:paraId="173D2005">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14:paraId="46EDFB99">
      <w:pPr>
        <w:pStyle w:val="7"/>
        <w:spacing w:before="0" w:beforeAutospacing="0" w:after="0" w:afterAutospacing="0" w:line="360" w:lineRule="auto"/>
        <w:ind w:firstLine="420"/>
        <w:rPr>
          <w:sz w:val="21"/>
          <w:szCs w:val="21"/>
        </w:rPr>
      </w:pPr>
      <w:r>
        <w:rPr>
          <w:rFonts w:hint="eastAsia"/>
          <w:sz w:val="21"/>
          <w:szCs w:val="21"/>
        </w:rPr>
        <w:t xml:space="preserve">1.1基金财产应独立于基金管理人、基金托管人的固有财产。  </w:t>
      </w:r>
    </w:p>
    <w:p w14:paraId="2F723D1B">
      <w:pPr>
        <w:pStyle w:val="7"/>
        <w:spacing w:before="0" w:beforeAutospacing="0" w:after="0" w:afterAutospacing="0" w:line="360" w:lineRule="auto"/>
        <w:ind w:firstLine="420"/>
        <w:rPr>
          <w:sz w:val="21"/>
          <w:szCs w:val="21"/>
        </w:rPr>
      </w:pPr>
      <w:r>
        <w:rPr>
          <w:rFonts w:hint="eastAsia"/>
          <w:sz w:val="21"/>
          <w:szCs w:val="21"/>
        </w:rPr>
        <w:t xml:space="preserve">1.2基金托管人应安全保管基金财产。除依据法律法规规定、基金合同和本托管协议约定及基金管理人的正当指令外，不得自行运用、处分、分配基金的任何财产。 </w:t>
      </w:r>
    </w:p>
    <w:p w14:paraId="29EBBAD9">
      <w:pPr>
        <w:pStyle w:val="7"/>
        <w:spacing w:before="0" w:beforeAutospacing="0" w:after="0" w:afterAutospacing="0" w:line="360" w:lineRule="auto"/>
        <w:ind w:firstLine="420"/>
        <w:rPr>
          <w:sz w:val="21"/>
          <w:szCs w:val="21"/>
        </w:rPr>
      </w:pPr>
      <w:r>
        <w:rPr>
          <w:rFonts w:hint="eastAsia"/>
          <w:sz w:val="21"/>
          <w:szCs w:val="21"/>
        </w:rPr>
        <w:t xml:space="preserve">1.3基金托管人按照规定开设基金财产的资金账户和证券账户等投资所需的其他账户。 </w:t>
      </w:r>
    </w:p>
    <w:p w14:paraId="253AD7B6">
      <w:pPr>
        <w:pStyle w:val="7"/>
        <w:spacing w:before="0" w:beforeAutospacing="0" w:after="0" w:afterAutospacing="0" w:line="360" w:lineRule="auto"/>
        <w:ind w:firstLine="420"/>
        <w:rPr>
          <w:sz w:val="21"/>
          <w:szCs w:val="21"/>
        </w:rPr>
      </w:pPr>
      <w:r>
        <w:rPr>
          <w:rFonts w:hint="eastAsia"/>
          <w:sz w:val="21"/>
          <w:szCs w:val="21"/>
        </w:rPr>
        <w:t xml:space="preserve">1.4基金托管人对所托管的不同基金财产分别设置账户，与基金托管人的其他业务和其他基金的托管业务实行严格的分账管理，确保基金财产的完整与独立。 </w:t>
      </w:r>
    </w:p>
    <w:p w14:paraId="0F1CF742">
      <w:pPr>
        <w:pStyle w:val="7"/>
        <w:spacing w:before="0" w:beforeAutospacing="0" w:after="0" w:afterAutospacing="0" w:line="360" w:lineRule="auto"/>
        <w:ind w:firstLine="420"/>
        <w:rPr>
          <w:sz w:val="21"/>
          <w:szCs w:val="21"/>
        </w:rPr>
      </w:pPr>
      <w:r>
        <w:rPr>
          <w:rFonts w:hint="eastAsia"/>
          <w:sz w:val="21"/>
          <w:szCs w:val="21"/>
        </w:rPr>
        <w:t xml:space="preserve">1.5基金托管人根据基金管理人的指令，按照基金合同和本协议的约定保管基金财产，如有特殊情况双方可另行协商解决。 </w:t>
      </w:r>
    </w:p>
    <w:p w14:paraId="6D8A7741">
      <w:pPr>
        <w:pStyle w:val="7"/>
        <w:spacing w:before="0" w:beforeAutospacing="0" w:after="0" w:afterAutospacing="0" w:line="360" w:lineRule="auto"/>
        <w:ind w:firstLine="420"/>
        <w:rPr>
          <w:sz w:val="21"/>
          <w:szCs w:val="21"/>
        </w:rPr>
      </w:pPr>
      <w:r>
        <w:rPr>
          <w:rFonts w:hint="eastAsia"/>
          <w:sz w:val="21"/>
          <w:szCs w:val="21"/>
        </w:rPr>
        <w:t xml:space="preserve">1.6除依据法律法规和基金合同的规定外，基金托管人不得委托第三人托管基金资产。 </w:t>
      </w:r>
    </w:p>
    <w:p w14:paraId="0F129D8F">
      <w:pPr>
        <w:pStyle w:val="7"/>
        <w:spacing w:before="0" w:beforeAutospacing="0" w:after="0" w:afterAutospacing="0" w:line="360" w:lineRule="auto"/>
        <w:ind w:firstLine="420"/>
        <w:rPr>
          <w:sz w:val="21"/>
          <w:szCs w:val="21"/>
        </w:rPr>
      </w:pPr>
      <w:r>
        <w:rPr>
          <w:rFonts w:hint="eastAsia"/>
          <w:sz w:val="21"/>
          <w:szCs w:val="21"/>
        </w:rPr>
        <w:t xml:space="preserve">（二）募集资金的验资 </w:t>
      </w:r>
    </w:p>
    <w:p w14:paraId="75D94A29">
      <w:pPr>
        <w:pStyle w:val="7"/>
        <w:spacing w:before="0" w:beforeAutospacing="0" w:after="0" w:afterAutospacing="0" w:line="360" w:lineRule="auto"/>
        <w:ind w:firstLine="420"/>
        <w:rPr>
          <w:sz w:val="21"/>
          <w:szCs w:val="21"/>
        </w:rPr>
      </w:pPr>
      <w:r>
        <w:rPr>
          <w:rFonts w:hint="eastAsia"/>
          <w:sz w:val="21"/>
          <w:szCs w:val="21"/>
        </w:rPr>
        <w:t xml:space="preserve">2.1基金募集期间募集的资金应存于基金管理人在基金托管人的营业机构或在其他银行开立的“基金募集专户”，该账户由基金管理人委托的注册登记机构开立并管理。  </w:t>
      </w:r>
    </w:p>
    <w:p w14:paraId="036D4D2F">
      <w:pPr>
        <w:pStyle w:val="7"/>
        <w:spacing w:before="0" w:beforeAutospacing="0" w:after="0" w:afterAutospacing="0" w:line="360" w:lineRule="auto"/>
        <w:ind w:firstLine="420"/>
        <w:rPr>
          <w:sz w:val="21"/>
          <w:szCs w:val="21"/>
        </w:rPr>
      </w:pPr>
      <w:r>
        <w:rPr>
          <w:rFonts w:hint="eastAsia"/>
          <w:sz w:val="21"/>
          <w:szCs w:val="21"/>
        </w:rPr>
        <w:t xml:space="preserve">2.2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 </w:t>
      </w:r>
    </w:p>
    <w:p w14:paraId="3B78A18E">
      <w:pPr>
        <w:pStyle w:val="7"/>
        <w:spacing w:before="0" w:beforeAutospacing="0" w:after="0" w:afterAutospacing="0" w:line="360" w:lineRule="auto"/>
        <w:ind w:firstLine="420"/>
        <w:rPr>
          <w:sz w:val="21"/>
          <w:szCs w:val="21"/>
        </w:rPr>
      </w:pPr>
      <w:r>
        <w:rPr>
          <w:rFonts w:hint="eastAsia"/>
          <w:sz w:val="21"/>
          <w:szCs w:val="21"/>
        </w:rPr>
        <w:t xml:space="preserve">2.3若基金募集期限届满，未能达到基金备案条件，由基金管理人按规定办理退款事宜，基金托管人应提供充分协助。 </w:t>
      </w:r>
    </w:p>
    <w:p w14:paraId="0D0DE0C0">
      <w:pPr>
        <w:pStyle w:val="7"/>
        <w:spacing w:before="0" w:beforeAutospacing="0" w:after="0" w:afterAutospacing="0" w:line="360" w:lineRule="auto"/>
        <w:ind w:firstLine="420"/>
        <w:rPr>
          <w:sz w:val="21"/>
          <w:szCs w:val="21"/>
        </w:rPr>
      </w:pPr>
      <w:r>
        <w:rPr>
          <w:rFonts w:hint="eastAsia"/>
          <w:sz w:val="21"/>
          <w:szCs w:val="21"/>
        </w:rPr>
        <w:t xml:space="preserve">（三）基金的银行账户的开立和管理 </w:t>
      </w:r>
    </w:p>
    <w:p w14:paraId="6AFDDEEF">
      <w:pPr>
        <w:pStyle w:val="7"/>
        <w:spacing w:before="0" w:beforeAutospacing="0" w:after="0" w:afterAutospacing="0" w:line="360" w:lineRule="auto"/>
        <w:ind w:firstLine="420"/>
        <w:rPr>
          <w:sz w:val="21"/>
          <w:szCs w:val="21"/>
        </w:rPr>
      </w:pPr>
      <w:r>
        <w:rPr>
          <w:rFonts w:hint="eastAsia"/>
          <w:sz w:val="21"/>
          <w:szCs w:val="21"/>
        </w:rPr>
        <w:t xml:space="preserve">3.1基金托管人以本基金的名义在其营业机构开立基金的银行账户，并根据基金管理人合法合规的指令办理资金收付。本基金的银行预留印鉴由基金托管人刻制、保管和使用。 </w:t>
      </w:r>
    </w:p>
    <w:p w14:paraId="7AB0EAF2">
      <w:pPr>
        <w:pStyle w:val="7"/>
        <w:spacing w:before="0" w:beforeAutospacing="0" w:after="0" w:afterAutospacing="0" w:line="360" w:lineRule="auto"/>
        <w:ind w:firstLine="420"/>
        <w:rPr>
          <w:sz w:val="21"/>
          <w:szCs w:val="21"/>
        </w:rPr>
      </w:pPr>
      <w:r>
        <w:rPr>
          <w:rFonts w:hint="eastAsia"/>
          <w:sz w:val="21"/>
          <w:szCs w:val="21"/>
        </w:rPr>
        <w:t xml:space="preserve">3.2基金银行账户的开立和使用，限于满足开展本基金业务的需要。基金托管人和基金管理人不得假借本基金的名义开立任何其他银行账户；亦不得使用基金的任何账户进行本基金业务以外的活动。 </w:t>
      </w:r>
    </w:p>
    <w:p w14:paraId="7348E2B2">
      <w:pPr>
        <w:pStyle w:val="7"/>
        <w:spacing w:before="0" w:beforeAutospacing="0" w:after="0" w:afterAutospacing="0" w:line="360" w:lineRule="auto"/>
        <w:ind w:firstLine="420"/>
        <w:rPr>
          <w:sz w:val="21"/>
          <w:szCs w:val="21"/>
        </w:rPr>
      </w:pPr>
      <w:r>
        <w:rPr>
          <w:rFonts w:hint="eastAsia"/>
          <w:sz w:val="21"/>
          <w:szCs w:val="21"/>
        </w:rPr>
        <w:t xml:space="preserve">3.3基金银行账户的开立和管理应符合有关法律法规以及银行业监督管理机构的有关规定。 </w:t>
      </w:r>
    </w:p>
    <w:p w14:paraId="77E7279E">
      <w:pPr>
        <w:pStyle w:val="7"/>
        <w:spacing w:before="0" w:beforeAutospacing="0" w:after="0" w:afterAutospacing="0" w:line="360" w:lineRule="auto"/>
        <w:ind w:firstLine="420"/>
        <w:rPr>
          <w:sz w:val="21"/>
          <w:szCs w:val="21"/>
        </w:rPr>
      </w:pPr>
      <w:r>
        <w:rPr>
          <w:rFonts w:hint="eastAsia"/>
          <w:sz w:val="21"/>
          <w:szCs w:val="21"/>
        </w:rPr>
        <w:t xml:space="preserve">（四）基金证券账户与证券交易资金账户的开设和管理 </w:t>
      </w:r>
    </w:p>
    <w:p w14:paraId="689D7577">
      <w:pPr>
        <w:pStyle w:val="7"/>
        <w:spacing w:before="0" w:beforeAutospacing="0" w:after="0" w:afterAutospacing="0" w:line="360" w:lineRule="auto"/>
        <w:ind w:firstLine="420"/>
        <w:rPr>
          <w:sz w:val="21"/>
          <w:szCs w:val="21"/>
        </w:rPr>
      </w:pPr>
      <w:r>
        <w:rPr>
          <w:rFonts w:hint="eastAsia"/>
          <w:sz w:val="21"/>
          <w:szCs w:val="21"/>
        </w:rPr>
        <w:t xml:space="preserve">4.1基金托管人以基金托管人和本基金联名的方式在中国证券登记结算有限责任公司上海分公司/深圳分公司开设证券账户。 </w:t>
      </w:r>
    </w:p>
    <w:p w14:paraId="71E42BA8">
      <w:pPr>
        <w:pStyle w:val="7"/>
        <w:spacing w:before="0" w:beforeAutospacing="0" w:after="0" w:afterAutospacing="0" w:line="360" w:lineRule="auto"/>
        <w:ind w:firstLine="420"/>
        <w:rPr>
          <w:sz w:val="21"/>
          <w:szCs w:val="21"/>
        </w:rPr>
      </w:pPr>
      <w:r>
        <w:rPr>
          <w:rFonts w:hint="eastAsia"/>
          <w:sz w:val="21"/>
          <w:szCs w:val="21"/>
        </w:rPr>
        <w:t xml:space="preserve">4.2基金托管人以基金托管人的名义在中国证券登记结算有限责任公司上海分公司/深圳分公司开立基金证券交易资金账户，用于证券清算。 </w:t>
      </w:r>
    </w:p>
    <w:p w14:paraId="4B522B66">
      <w:pPr>
        <w:pStyle w:val="7"/>
        <w:spacing w:before="0" w:beforeAutospacing="0" w:after="0" w:afterAutospacing="0" w:line="360" w:lineRule="auto"/>
        <w:ind w:firstLine="420"/>
        <w:rPr>
          <w:sz w:val="21"/>
          <w:szCs w:val="21"/>
        </w:rPr>
      </w:pPr>
      <w:r>
        <w:rPr>
          <w:rFonts w:hint="eastAsia"/>
          <w:sz w:val="21"/>
          <w:szCs w:val="21"/>
        </w:rPr>
        <w:t xml:space="preserve">4.3基金证券账户的开立和使用，限于满足开展本基金业务的需要。基金托管人和基金管理人不得出借和未经对方同意擅自转让基金的任何证券账户；亦不得使用基金的任何账户进行本基金业务以外的活动。 </w:t>
      </w:r>
    </w:p>
    <w:p w14:paraId="421BD49B">
      <w:pPr>
        <w:pStyle w:val="7"/>
        <w:spacing w:before="0" w:beforeAutospacing="0" w:after="0" w:afterAutospacing="0" w:line="360" w:lineRule="auto"/>
        <w:ind w:firstLine="420"/>
        <w:rPr>
          <w:sz w:val="21"/>
          <w:szCs w:val="21"/>
        </w:rPr>
      </w:pPr>
      <w:r>
        <w:rPr>
          <w:rFonts w:hint="eastAsia"/>
          <w:sz w:val="21"/>
          <w:szCs w:val="21"/>
        </w:rPr>
        <w:t xml:space="preserve">（五）债券托管账户的开立和管理 </w:t>
      </w:r>
    </w:p>
    <w:p w14:paraId="550AE2F5">
      <w:pPr>
        <w:pStyle w:val="7"/>
        <w:spacing w:before="0" w:beforeAutospacing="0" w:after="0" w:afterAutospacing="0" w:line="360" w:lineRule="auto"/>
        <w:ind w:firstLine="420"/>
        <w:rPr>
          <w:sz w:val="21"/>
          <w:szCs w:val="21"/>
        </w:rPr>
      </w:pPr>
      <w:r>
        <w:rPr>
          <w:rFonts w:hint="eastAsia"/>
          <w:sz w:val="21"/>
          <w:szCs w:val="21"/>
        </w:rPr>
        <w:t xml:space="preserve">5.1基金合同生效后，基金管理人负责以基金的名义申请并取得进入全国银行间同业拆借市场的交易资格，并代表基金进行交易；基金托管人负责以基金的名义在中央国债登记结算有限责任公司和银行间市场清算所股份有限公司开设银行间债券市场债券托管账户，并由基金托管人负责基金的债券的后台匹配及资金的清算。 </w:t>
      </w:r>
    </w:p>
    <w:p w14:paraId="033534FC">
      <w:pPr>
        <w:pStyle w:val="7"/>
        <w:spacing w:before="0" w:beforeAutospacing="0" w:after="0" w:afterAutospacing="0" w:line="360" w:lineRule="auto"/>
        <w:ind w:firstLine="420"/>
        <w:rPr>
          <w:sz w:val="21"/>
          <w:szCs w:val="21"/>
        </w:rPr>
      </w:pPr>
      <w:r>
        <w:rPr>
          <w:rFonts w:hint="eastAsia"/>
          <w:sz w:val="21"/>
          <w:szCs w:val="21"/>
        </w:rPr>
        <w:t xml:space="preserve">5.2基金管理人和基金托管人应一起负责为基金对外签订全国银行间国债市场回购主协议，正本由基金托管人保管，基金管理人保存副本。 </w:t>
      </w:r>
    </w:p>
    <w:p w14:paraId="5853C295">
      <w:pPr>
        <w:pStyle w:val="7"/>
        <w:spacing w:before="0" w:beforeAutospacing="0" w:after="0" w:afterAutospacing="0" w:line="360" w:lineRule="auto"/>
        <w:ind w:firstLine="420"/>
        <w:rPr>
          <w:sz w:val="21"/>
          <w:szCs w:val="21"/>
        </w:rPr>
      </w:pPr>
      <w:r>
        <w:rPr>
          <w:rFonts w:hint="eastAsia"/>
          <w:sz w:val="21"/>
          <w:szCs w:val="21"/>
        </w:rPr>
        <w:t xml:space="preserve">（六）其他账户的开设和管理 </w:t>
      </w:r>
    </w:p>
    <w:p w14:paraId="71A793FD">
      <w:pPr>
        <w:pStyle w:val="7"/>
        <w:spacing w:before="0" w:beforeAutospacing="0" w:after="0" w:afterAutospacing="0" w:line="360" w:lineRule="auto"/>
        <w:ind w:firstLine="420"/>
        <w:rPr>
          <w:sz w:val="21"/>
          <w:szCs w:val="21"/>
        </w:rPr>
      </w:pPr>
      <w:r>
        <w:rPr>
          <w:rFonts w:hint="eastAsia"/>
          <w:sz w:val="21"/>
          <w:szCs w:val="21"/>
        </w:rPr>
        <w:t xml:space="preserve">在本托管协议生效之后，本基金被允许从事符合法律法规规定和基金合同约定的其他投资品种的投资业务时，如果涉及相关账户的开设和使用，由基金管理人协助托管人根据有关法律法规的规定和基金合同的约定，开立有关账户。该账户按有关规则使用并管理。 </w:t>
      </w:r>
    </w:p>
    <w:p w14:paraId="135FCCD6">
      <w:pPr>
        <w:pStyle w:val="7"/>
        <w:spacing w:before="0" w:beforeAutospacing="0" w:after="0" w:afterAutospacing="0" w:line="360" w:lineRule="auto"/>
        <w:ind w:firstLine="420"/>
        <w:rPr>
          <w:sz w:val="21"/>
          <w:szCs w:val="21"/>
        </w:rPr>
      </w:pPr>
      <w:r>
        <w:rPr>
          <w:rFonts w:hint="eastAsia"/>
          <w:sz w:val="21"/>
          <w:szCs w:val="21"/>
        </w:rPr>
        <w:t xml:space="preserve">（七）基金财产投资的有关实物证券、银行定期存款存单等有价凭证的保管 </w:t>
      </w:r>
    </w:p>
    <w:p w14:paraId="55CEBEBF">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由基金托管人存放于基金托管人的保管库；其中实物证券也可存入中央国债登记结算有限责任公司、中国证券登记结算有限责任公司上海分公司/深圳分公司、银行间市场清算所股份有限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 </w:t>
      </w:r>
    </w:p>
    <w:p w14:paraId="41D21AFF">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14:paraId="119888A3">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有关的重大合同的原件分别应由基金托管人、基金管理人保管。基金管理人在代表基金签署与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法律法规或监管规则另有规定的，从其规定。对于无法取得二份以上的正本的，基金管理人应向基金托管人提供加盖授权业务章的合同传真件，未经双方协商或未在合同约定范围内，合同原件不得转移，由基金管理人保管。 </w:t>
      </w:r>
    </w:p>
    <w:p w14:paraId="7597636D">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14:paraId="744193D0">
      <w:pPr>
        <w:pStyle w:val="7"/>
        <w:spacing w:before="0" w:beforeAutospacing="0" w:after="0" w:afterAutospacing="0" w:line="360" w:lineRule="auto"/>
        <w:ind w:firstLine="420"/>
        <w:rPr>
          <w:sz w:val="21"/>
          <w:szCs w:val="21"/>
        </w:rPr>
      </w:pPr>
      <w:r>
        <w:rPr>
          <w:rFonts w:hint="eastAsia"/>
          <w:sz w:val="21"/>
          <w:szCs w:val="21"/>
        </w:rPr>
        <w:t xml:space="preserve">（一）基金资产净值的计算 </w:t>
      </w:r>
    </w:p>
    <w:p w14:paraId="5E009C60">
      <w:pPr>
        <w:pStyle w:val="7"/>
        <w:spacing w:before="0" w:beforeAutospacing="0" w:after="0" w:afterAutospacing="0" w:line="360" w:lineRule="auto"/>
        <w:ind w:firstLine="420"/>
        <w:rPr>
          <w:sz w:val="21"/>
          <w:szCs w:val="21"/>
        </w:rPr>
      </w:pPr>
      <w:r>
        <w:rPr>
          <w:rFonts w:hint="eastAsia"/>
          <w:sz w:val="21"/>
          <w:szCs w:val="21"/>
        </w:rPr>
        <w:t xml:space="preserve">1、基金资产净值的计算、复核的时间和程序 </w:t>
      </w:r>
    </w:p>
    <w:p w14:paraId="43214FF2">
      <w:pPr>
        <w:pStyle w:val="7"/>
        <w:spacing w:before="0" w:beforeAutospacing="0" w:after="0" w:afterAutospacing="0" w:line="360" w:lineRule="auto"/>
        <w:ind w:firstLine="420"/>
        <w:rPr>
          <w:sz w:val="21"/>
          <w:szCs w:val="21"/>
        </w:rPr>
      </w:pPr>
      <w:r>
        <w:rPr>
          <w:rFonts w:hint="eastAsia"/>
          <w:sz w:val="21"/>
          <w:szCs w:val="21"/>
        </w:rPr>
        <w:t xml:space="preserve">1.1基金资产净值是指基金资产总值减去负债后的净资产值。基金份额净值是指计算日基金资产净值除以该计算日该类基金份额总份额后的数值。基金份额净值的计算保留到小数点后4位，小数点后第5位四舍五入，由此产生的误差计入基金财产。基金管理人可以设立大额赎回情形下的净值精度应急调整机制。国家另有规定或基金合同另有约定的，从其规定。 </w:t>
      </w:r>
    </w:p>
    <w:p w14:paraId="04505554">
      <w:pPr>
        <w:pStyle w:val="7"/>
        <w:spacing w:before="0" w:beforeAutospacing="0" w:after="0" w:afterAutospacing="0" w:line="360" w:lineRule="auto"/>
        <w:ind w:firstLine="420"/>
        <w:rPr>
          <w:sz w:val="21"/>
          <w:szCs w:val="21"/>
        </w:rPr>
      </w:pPr>
      <w:r>
        <w:rPr>
          <w:rFonts w:hint="eastAsia"/>
          <w:sz w:val="21"/>
          <w:szCs w:val="21"/>
        </w:rPr>
        <w:t xml:space="preserve">1.2基金管理人应每工作日对基金资产估值，但基金管理人根据法律法规或基金合同的规定暂停估值时除外。估值原则应符合基金合同、《证券投资基金会计核算业务指引》及其他法律、法规的规定。基金资产净值和基金份额净值由基金管理人负责计算，基金托管人复核。基金管理人应于每个工作日交易结束后计算当日的基金份额净值并以双方认可的方式发送给基金托管人。基金托管人对净值计算结果复核后以双方认可的方式发送给基金管理人，由基金管理人对基金净值予以公布。 </w:t>
      </w:r>
    </w:p>
    <w:p w14:paraId="326D798E">
      <w:pPr>
        <w:pStyle w:val="7"/>
        <w:spacing w:before="0" w:beforeAutospacing="0" w:after="0" w:afterAutospacing="0" w:line="360" w:lineRule="auto"/>
        <w:ind w:firstLine="420"/>
        <w:rPr>
          <w:sz w:val="21"/>
          <w:szCs w:val="21"/>
        </w:rPr>
      </w:pPr>
      <w:r>
        <w:rPr>
          <w:rFonts w:hint="eastAsia"/>
          <w:sz w:val="21"/>
          <w:szCs w:val="21"/>
        </w:rPr>
        <w:t xml:space="preserve">1.3根据《基金法》，基金管理人计算并公告基金净值，基金托管人复核、审查基金管理人计算的基金净值。因此，本基金的会计责任方是基金管理人，就与本基金有关的会计问题，如经相关各方在平等基础上充分讨论后，仍无法达成一致的意见，按照基金管理人对基金净值的计算结果对外予以公布。 </w:t>
      </w:r>
    </w:p>
    <w:p w14:paraId="00CDF8E0">
      <w:pPr>
        <w:pStyle w:val="7"/>
        <w:spacing w:before="0" w:beforeAutospacing="0" w:after="0" w:afterAutospacing="0" w:line="360" w:lineRule="auto"/>
        <w:ind w:firstLine="420"/>
        <w:rPr>
          <w:sz w:val="21"/>
          <w:szCs w:val="21"/>
        </w:rPr>
      </w:pPr>
      <w:r>
        <w:rPr>
          <w:rFonts w:hint="eastAsia"/>
          <w:sz w:val="21"/>
          <w:szCs w:val="21"/>
        </w:rPr>
        <w:t xml:space="preserve">（二）基金资产估值方法 </w:t>
      </w:r>
    </w:p>
    <w:p w14:paraId="0C27AA17">
      <w:pPr>
        <w:pStyle w:val="7"/>
        <w:spacing w:before="0" w:beforeAutospacing="0" w:after="0" w:afterAutospacing="0" w:line="360" w:lineRule="auto"/>
        <w:ind w:firstLine="420"/>
        <w:rPr>
          <w:sz w:val="21"/>
          <w:szCs w:val="21"/>
        </w:rPr>
      </w:pPr>
      <w:r>
        <w:rPr>
          <w:rFonts w:hint="eastAsia"/>
          <w:sz w:val="21"/>
          <w:szCs w:val="21"/>
        </w:rPr>
        <w:t xml:space="preserve">1、估值对象 </w:t>
      </w:r>
    </w:p>
    <w:p w14:paraId="0BBD29F2">
      <w:pPr>
        <w:pStyle w:val="7"/>
        <w:spacing w:before="0" w:beforeAutospacing="0" w:after="0" w:afterAutospacing="0" w:line="360" w:lineRule="auto"/>
        <w:ind w:firstLine="420"/>
        <w:rPr>
          <w:sz w:val="21"/>
          <w:szCs w:val="21"/>
        </w:rPr>
      </w:pPr>
      <w:r>
        <w:rPr>
          <w:rFonts w:hint="eastAsia"/>
          <w:sz w:val="21"/>
          <w:szCs w:val="21"/>
        </w:rPr>
        <w:t xml:space="preserve">基金所拥有的股票、股指期货合约、国债期货合约、股票期权合约、信用衍生品、债券和银行存款本息、应收款项、其它投资等资产及负债。 </w:t>
      </w:r>
    </w:p>
    <w:p w14:paraId="74A8F575">
      <w:pPr>
        <w:pStyle w:val="7"/>
        <w:spacing w:before="0" w:beforeAutospacing="0" w:after="0" w:afterAutospacing="0" w:line="360" w:lineRule="auto"/>
        <w:ind w:firstLine="420"/>
        <w:rPr>
          <w:sz w:val="21"/>
          <w:szCs w:val="21"/>
        </w:rPr>
      </w:pPr>
      <w:r>
        <w:rPr>
          <w:rFonts w:hint="eastAsia"/>
          <w:sz w:val="21"/>
          <w:szCs w:val="21"/>
        </w:rPr>
        <w:t xml:space="preserve">2、估值方法 </w:t>
      </w:r>
    </w:p>
    <w:p w14:paraId="114F3610">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603A83F9">
      <w:pPr>
        <w:pStyle w:val="7"/>
        <w:spacing w:before="0" w:beforeAutospacing="0" w:after="0" w:afterAutospacing="0" w:line="360" w:lineRule="auto"/>
        <w:ind w:firstLine="420"/>
        <w:rPr>
          <w:sz w:val="21"/>
          <w:szCs w:val="21"/>
        </w:rPr>
      </w:pPr>
      <w:r>
        <w:rPr>
          <w:rFonts w:hint="eastAsia"/>
          <w:sz w:val="21"/>
          <w:szCs w:val="21"/>
        </w:rPr>
        <w:t xml:space="preserve">①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4C5AC0C1">
      <w:pPr>
        <w:pStyle w:val="7"/>
        <w:spacing w:before="0" w:beforeAutospacing="0" w:after="0" w:afterAutospacing="0" w:line="360" w:lineRule="auto"/>
        <w:ind w:firstLine="420"/>
        <w:rPr>
          <w:sz w:val="21"/>
          <w:szCs w:val="21"/>
        </w:rPr>
      </w:pPr>
      <w:r>
        <w:rPr>
          <w:rFonts w:hint="eastAsia"/>
          <w:sz w:val="21"/>
          <w:szCs w:val="21"/>
        </w:rPr>
        <w:t xml:space="preserve">②交易所市场上市交易或挂牌转让的固定收益品种（基金合同另有约定的除外），选取估值日第三方估值机构提供的相应品种对应的估值净价估值，具体估值机构由基金管理人与基金托管人共同确定； </w:t>
      </w:r>
    </w:p>
    <w:p w14:paraId="4CB0331D">
      <w:pPr>
        <w:pStyle w:val="7"/>
        <w:spacing w:before="0" w:beforeAutospacing="0" w:after="0" w:afterAutospacing="0" w:line="360" w:lineRule="auto"/>
        <w:ind w:firstLine="420"/>
        <w:rPr>
          <w:sz w:val="21"/>
          <w:szCs w:val="21"/>
        </w:rPr>
      </w:pPr>
      <w:r>
        <w:rPr>
          <w:rFonts w:hint="eastAsia"/>
          <w:sz w:val="21"/>
          <w:szCs w:val="21"/>
        </w:rPr>
        <w:t xml:space="preserve">③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14:paraId="7A949DC2">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7CF98840">
      <w:pPr>
        <w:pStyle w:val="7"/>
        <w:spacing w:before="0" w:beforeAutospacing="0" w:after="0" w:afterAutospacing="0" w:line="360" w:lineRule="auto"/>
        <w:ind w:firstLine="420"/>
        <w:rPr>
          <w:sz w:val="21"/>
          <w:szCs w:val="21"/>
        </w:rPr>
      </w:pPr>
      <w:r>
        <w:rPr>
          <w:rFonts w:hint="eastAsia"/>
          <w:sz w:val="21"/>
          <w:szCs w:val="21"/>
        </w:rPr>
        <w:t xml:space="preserve">④交易所上市不存在活跃市场的有价证券，采用估值技术确定公允价值。 </w:t>
      </w:r>
    </w:p>
    <w:p w14:paraId="78EB302E">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38C779D4">
      <w:pPr>
        <w:pStyle w:val="7"/>
        <w:spacing w:before="0" w:beforeAutospacing="0" w:after="0" w:afterAutospacing="0" w:line="360" w:lineRule="auto"/>
        <w:ind w:firstLine="420"/>
        <w:rPr>
          <w:sz w:val="21"/>
          <w:szCs w:val="21"/>
        </w:rPr>
      </w:pPr>
      <w:r>
        <w:rPr>
          <w:rFonts w:hint="eastAsia"/>
          <w:sz w:val="21"/>
          <w:szCs w:val="21"/>
        </w:rPr>
        <w:t xml:space="preserve">①送股、转增股、配股和公开增发的新股，按估值日在证券交易所挂牌的同一股票的估值方法估值；该日无交易的，以最近一日的市价（收盘价）估值； </w:t>
      </w:r>
    </w:p>
    <w:p w14:paraId="3BCB6823">
      <w:pPr>
        <w:pStyle w:val="7"/>
        <w:spacing w:before="0" w:beforeAutospacing="0" w:after="0" w:afterAutospacing="0" w:line="360" w:lineRule="auto"/>
        <w:ind w:firstLine="420"/>
        <w:rPr>
          <w:sz w:val="21"/>
          <w:szCs w:val="21"/>
        </w:rPr>
      </w:pPr>
      <w:r>
        <w:rPr>
          <w:rFonts w:hint="eastAsia"/>
          <w:sz w:val="21"/>
          <w:szCs w:val="21"/>
        </w:rPr>
        <w:t xml:space="preserve">②首次公开发行未上市或未挂牌转让的股票、债券，采用估值技术确定公允价值，在估值技术难以可靠计量公允价值的情况下，按成本估值； </w:t>
      </w:r>
    </w:p>
    <w:p w14:paraId="63168739">
      <w:pPr>
        <w:pStyle w:val="7"/>
        <w:spacing w:before="0" w:beforeAutospacing="0" w:after="0" w:afterAutospacing="0" w:line="360" w:lineRule="auto"/>
        <w:ind w:firstLine="420"/>
        <w:rPr>
          <w:sz w:val="21"/>
          <w:szCs w:val="21"/>
        </w:rPr>
      </w:pPr>
      <w:r>
        <w:rPr>
          <w:rFonts w:hint="eastAsia"/>
          <w:sz w:val="21"/>
          <w:szCs w:val="21"/>
        </w:rPr>
        <w:t xml:space="preserve">③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677D5A97">
      <w:pPr>
        <w:pStyle w:val="7"/>
        <w:spacing w:before="0" w:beforeAutospacing="0" w:after="0" w:afterAutospacing="0" w:line="360" w:lineRule="auto"/>
        <w:ind w:firstLine="420"/>
        <w:rPr>
          <w:sz w:val="21"/>
          <w:szCs w:val="21"/>
        </w:rPr>
      </w:pPr>
      <w:r>
        <w:rPr>
          <w:rFonts w:hint="eastAsia"/>
          <w:sz w:val="21"/>
          <w:szCs w:val="21"/>
        </w:rPr>
        <w:t xml:space="preserve">（3）银行间的有价证券的估值 </w:t>
      </w:r>
    </w:p>
    <w:p w14:paraId="5E861C9C">
      <w:pPr>
        <w:pStyle w:val="7"/>
        <w:spacing w:before="0" w:beforeAutospacing="0" w:after="0" w:afterAutospacing="0" w:line="360" w:lineRule="auto"/>
        <w:ind w:firstLine="420"/>
        <w:rPr>
          <w:sz w:val="21"/>
          <w:szCs w:val="21"/>
        </w:rPr>
      </w:pPr>
      <w:r>
        <w:rPr>
          <w:rFonts w:hint="eastAsia"/>
          <w:sz w:val="21"/>
          <w:szCs w:val="21"/>
        </w:rPr>
        <w:t xml:space="preserve">①对银行间市场上不含权的固定收益品种，按照第三方估值机构提供的相应品种当日的估值净价确定公允价值； </w:t>
      </w:r>
    </w:p>
    <w:p w14:paraId="2F15C244">
      <w:pPr>
        <w:pStyle w:val="7"/>
        <w:spacing w:before="0" w:beforeAutospacing="0" w:after="0" w:afterAutospacing="0" w:line="360" w:lineRule="auto"/>
        <w:ind w:firstLine="420"/>
        <w:rPr>
          <w:sz w:val="21"/>
          <w:szCs w:val="21"/>
        </w:rPr>
      </w:pPr>
      <w:r>
        <w:rPr>
          <w:rFonts w:hint="eastAsia"/>
          <w:sz w:val="21"/>
          <w:szCs w:val="21"/>
        </w:rPr>
        <w:t xml:space="preserve">②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 </w:t>
      </w:r>
    </w:p>
    <w:p w14:paraId="48F18BB4">
      <w:pPr>
        <w:pStyle w:val="7"/>
        <w:spacing w:before="0" w:beforeAutospacing="0" w:after="0" w:afterAutospacing="0" w:line="360" w:lineRule="auto"/>
        <w:ind w:firstLine="420"/>
        <w:rPr>
          <w:sz w:val="21"/>
          <w:szCs w:val="21"/>
        </w:rPr>
      </w:pPr>
      <w:r>
        <w:rPr>
          <w:rFonts w:hint="eastAsia"/>
          <w:sz w:val="21"/>
          <w:szCs w:val="21"/>
        </w:rPr>
        <w:t xml:space="preserve">③对银行间市场未上市，且第三方估值机构未提供估值价格的债券，在发行利率与二级市场利率不存在明显差异、未上市期间市场利率没有发生大的变动的情况下，建议按成本估值。 </w:t>
      </w:r>
    </w:p>
    <w:p w14:paraId="6218DB30">
      <w:pPr>
        <w:pStyle w:val="7"/>
        <w:spacing w:before="0" w:beforeAutospacing="0" w:after="0" w:afterAutospacing="0" w:line="360" w:lineRule="auto"/>
        <w:ind w:firstLine="420"/>
        <w:rPr>
          <w:sz w:val="21"/>
          <w:szCs w:val="21"/>
        </w:rPr>
      </w:pPr>
      <w:r>
        <w:rPr>
          <w:rFonts w:hint="eastAsia"/>
          <w:sz w:val="21"/>
          <w:szCs w:val="21"/>
        </w:rPr>
        <w:t xml:space="preserve">（4）资产支持证券的估值 </w:t>
      </w:r>
    </w:p>
    <w:p w14:paraId="2889B4B6">
      <w:pPr>
        <w:pStyle w:val="7"/>
        <w:spacing w:before="0" w:beforeAutospacing="0" w:after="0" w:afterAutospacing="0" w:line="360" w:lineRule="auto"/>
        <w:ind w:firstLine="420"/>
        <w:rPr>
          <w:sz w:val="21"/>
          <w:szCs w:val="21"/>
        </w:rPr>
      </w:pPr>
      <w:r>
        <w:rPr>
          <w:rFonts w:hint="eastAsia"/>
          <w:sz w:val="21"/>
          <w:szCs w:val="21"/>
        </w:rPr>
        <w:t xml:space="preserve">①交易所上市的资产支持证券，采用估值技术确定公允价值，在估值技术难以可靠计量公允价值的情况下，按成本估值。 </w:t>
      </w:r>
    </w:p>
    <w:p w14:paraId="39D0ECE8">
      <w:pPr>
        <w:pStyle w:val="7"/>
        <w:spacing w:before="0" w:beforeAutospacing="0" w:after="0" w:afterAutospacing="0" w:line="360" w:lineRule="auto"/>
        <w:ind w:firstLine="420"/>
        <w:rPr>
          <w:sz w:val="21"/>
          <w:szCs w:val="21"/>
        </w:rPr>
      </w:pPr>
      <w:r>
        <w:rPr>
          <w:rFonts w:hint="eastAsia"/>
          <w:sz w:val="21"/>
          <w:szCs w:val="21"/>
        </w:rPr>
        <w:t xml:space="preserve">②对全国银行间市场上的资产支持证券，按照第三方估值机构提供的相应品种当日的估值净价确定公允价值。 </w:t>
      </w:r>
    </w:p>
    <w:p w14:paraId="3EB24337">
      <w:pPr>
        <w:pStyle w:val="7"/>
        <w:spacing w:before="0" w:beforeAutospacing="0" w:after="0" w:afterAutospacing="0" w:line="360" w:lineRule="auto"/>
        <w:ind w:firstLine="420"/>
        <w:rPr>
          <w:sz w:val="21"/>
          <w:szCs w:val="21"/>
        </w:rPr>
      </w:pPr>
      <w:r>
        <w:rPr>
          <w:rFonts w:hint="eastAsia"/>
          <w:sz w:val="21"/>
          <w:szCs w:val="21"/>
        </w:rPr>
        <w:t xml:space="preserve">（5）同一证券同时在两个或两个以上市场交易的，按证券所处的市场分别估值。 </w:t>
      </w:r>
    </w:p>
    <w:p w14:paraId="20E1FF5E">
      <w:pPr>
        <w:pStyle w:val="7"/>
        <w:spacing w:before="0" w:beforeAutospacing="0" w:after="0" w:afterAutospacing="0" w:line="360" w:lineRule="auto"/>
        <w:ind w:firstLine="420"/>
        <w:rPr>
          <w:sz w:val="21"/>
          <w:szCs w:val="21"/>
        </w:rPr>
      </w:pPr>
      <w:r>
        <w:rPr>
          <w:rFonts w:hint="eastAsia"/>
          <w:sz w:val="21"/>
          <w:szCs w:val="21"/>
        </w:rPr>
        <w:t xml:space="preserve">（6）本基金投资股指期货合约、国债期货合约，一般以估值当日结算价进行估值，估值当日无结算价的，且最近交易日后经济环境未发生重大变化的，采用最近交易日结算价估值。 </w:t>
      </w:r>
    </w:p>
    <w:p w14:paraId="6F84B2D1">
      <w:pPr>
        <w:pStyle w:val="7"/>
        <w:spacing w:before="0" w:beforeAutospacing="0" w:after="0" w:afterAutospacing="0" w:line="360" w:lineRule="auto"/>
        <w:ind w:firstLine="420"/>
        <w:rPr>
          <w:sz w:val="21"/>
          <w:szCs w:val="21"/>
        </w:rPr>
      </w:pPr>
      <w:r>
        <w:rPr>
          <w:rFonts w:hint="eastAsia"/>
          <w:sz w:val="21"/>
          <w:szCs w:val="21"/>
        </w:rPr>
        <w:t xml:space="preserve">（7）本基金投资股票期权，根据相关法律法规以及监管部门的规定估值。 </w:t>
      </w:r>
    </w:p>
    <w:p w14:paraId="2870C195">
      <w:pPr>
        <w:pStyle w:val="7"/>
        <w:spacing w:before="0" w:beforeAutospacing="0" w:after="0" w:afterAutospacing="0" w:line="360" w:lineRule="auto"/>
        <w:ind w:firstLine="420"/>
        <w:rPr>
          <w:sz w:val="21"/>
          <w:szCs w:val="21"/>
        </w:rPr>
      </w:pPr>
      <w:r>
        <w:rPr>
          <w:rFonts w:hint="eastAsia"/>
          <w:sz w:val="21"/>
          <w:szCs w:val="21"/>
        </w:rPr>
        <w:t xml:space="preserve">（8）信用衍生品按第三方估值机构提供的当日估值价格进行估值，但管理人依法应当承担的估值责任不因委托而免除，选定的第三方估值机构未提供估值价格的，依照有关法律法规及企业会计准则要求采用合理估值技术，确定公允价值。 </w:t>
      </w:r>
    </w:p>
    <w:p w14:paraId="1458ED73">
      <w:pPr>
        <w:pStyle w:val="7"/>
        <w:spacing w:before="0" w:beforeAutospacing="0" w:after="0" w:afterAutospacing="0" w:line="360" w:lineRule="auto"/>
        <w:ind w:firstLine="420"/>
        <w:rPr>
          <w:sz w:val="21"/>
          <w:szCs w:val="21"/>
        </w:rPr>
      </w:pPr>
      <w:r>
        <w:rPr>
          <w:rFonts w:hint="eastAsia"/>
          <w:sz w:val="21"/>
          <w:szCs w:val="21"/>
        </w:rPr>
        <w:t xml:space="preserve">（9）汇率 </w:t>
      </w:r>
    </w:p>
    <w:p w14:paraId="0E69FB2A">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6FB796A3">
      <w:pPr>
        <w:pStyle w:val="7"/>
        <w:spacing w:before="0" w:beforeAutospacing="0" w:after="0" w:afterAutospacing="0" w:line="360" w:lineRule="auto"/>
        <w:ind w:firstLine="420"/>
        <w:rPr>
          <w:sz w:val="21"/>
          <w:szCs w:val="21"/>
        </w:rPr>
      </w:pPr>
      <w:r>
        <w:rPr>
          <w:rFonts w:hint="eastAsia"/>
          <w:sz w:val="21"/>
          <w:szCs w:val="21"/>
        </w:rPr>
        <w:t xml:space="preserve">（10）当发生大额申购或赎回情形时，基金管理人可以采用摆动定价机制，以确保基金估值的公平性。具体处理原则与操作规范遵循相关法律法规以及监管部门、自律规则的规定。 </w:t>
      </w:r>
    </w:p>
    <w:p w14:paraId="5E4EAA0A">
      <w:pPr>
        <w:pStyle w:val="7"/>
        <w:spacing w:before="0" w:beforeAutospacing="0" w:after="0" w:afterAutospacing="0" w:line="360" w:lineRule="auto"/>
        <w:ind w:firstLine="420"/>
        <w:rPr>
          <w:sz w:val="21"/>
          <w:szCs w:val="21"/>
        </w:rPr>
      </w:pPr>
      <w:r>
        <w:rPr>
          <w:rFonts w:hint="eastAsia"/>
          <w:sz w:val="21"/>
          <w:szCs w:val="21"/>
        </w:rPr>
        <w:t xml:space="preserve">（11）如有确凿证据表明按上述方法进行估值不能客观反映其公允价值的，基金管理人可根据具体情况与基金托管人商定后，按最能反映公允价值的价格估值。 </w:t>
      </w:r>
    </w:p>
    <w:p w14:paraId="407BE74A">
      <w:pPr>
        <w:pStyle w:val="7"/>
        <w:spacing w:before="0" w:beforeAutospacing="0" w:after="0" w:afterAutospacing="0" w:line="360" w:lineRule="auto"/>
        <w:ind w:firstLine="420"/>
        <w:rPr>
          <w:sz w:val="21"/>
          <w:szCs w:val="21"/>
        </w:rPr>
      </w:pPr>
      <w:r>
        <w:rPr>
          <w:rFonts w:hint="eastAsia"/>
          <w:sz w:val="21"/>
          <w:szCs w:val="21"/>
        </w:rPr>
        <w:t xml:space="preserve">（12）相关法律法规以及监管部门有强制规定的，从其规定。如有新增事项，按国家最新规定估值。 </w:t>
      </w:r>
    </w:p>
    <w:p w14:paraId="1432AC5F">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4B5F29B1">
      <w:pPr>
        <w:pStyle w:val="7"/>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22619DE7">
      <w:pPr>
        <w:pStyle w:val="7"/>
        <w:spacing w:before="0" w:beforeAutospacing="0" w:after="0" w:afterAutospacing="0" w:line="360" w:lineRule="auto"/>
        <w:ind w:firstLine="420"/>
        <w:rPr>
          <w:sz w:val="21"/>
          <w:szCs w:val="21"/>
        </w:rPr>
      </w:pPr>
      <w:r>
        <w:rPr>
          <w:rFonts w:hint="eastAsia"/>
          <w:sz w:val="21"/>
          <w:szCs w:val="21"/>
        </w:rPr>
        <w:t xml:space="preserve">（三）估值差错处理 </w:t>
      </w:r>
    </w:p>
    <w:p w14:paraId="423C716A">
      <w:pPr>
        <w:pStyle w:val="7"/>
        <w:spacing w:before="0" w:beforeAutospacing="0" w:after="0" w:afterAutospacing="0" w:line="360" w:lineRule="auto"/>
        <w:ind w:firstLine="420"/>
        <w:rPr>
          <w:sz w:val="21"/>
          <w:szCs w:val="21"/>
        </w:rPr>
      </w:pPr>
      <w:r>
        <w:rPr>
          <w:rFonts w:hint="eastAsia"/>
          <w:sz w:val="21"/>
          <w:szCs w:val="21"/>
        </w:rPr>
        <w:t xml:space="preserve">3.1因基金估值错误给投资人造成损失的应先由基金管理人承担，基金管理人对不应由其承担的责任，有权向过错人追偿。 </w:t>
      </w:r>
    </w:p>
    <w:p w14:paraId="10DB9551">
      <w:pPr>
        <w:pStyle w:val="7"/>
        <w:spacing w:before="0" w:beforeAutospacing="0" w:after="0" w:afterAutospacing="0" w:line="360" w:lineRule="auto"/>
        <w:ind w:firstLine="420"/>
        <w:rPr>
          <w:sz w:val="21"/>
          <w:szCs w:val="21"/>
        </w:rPr>
      </w:pPr>
      <w:r>
        <w:rPr>
          <w:rFonts w:hint="eastAsia"/>
          <w:sz w:val="21"/>
          <w:szCs w:val="21"/>
        </w:rPr>
        <w:t xml:space="preserve">3.2当基金管理人计算的基金净值已由基金托管人复核确认后公告的，由此造成的投资人或基金的损失，应根据法律法规的规定对投资人或基金支付赔偿金，就实际向投资人或基金支付的赔偿金额，由基金管理人与基金托管人按照管理费率和托管费率的比例各自承担相应的责任。 </w:t>
      </w:r>
    </w:p>
    <w:p w14:paraId="683E5B6E">
      <w:pPr>
        <w:pStyle w:val="7"/>
        <w:spacing w:before="0" w:beforeAutospacing="0" w:after="0" w:afterAutospacing="0" w:line="360" w:lineRule="auto"/>
        <w:ind w:firstLine="420"/>
        <w:rPr>
          <w:sz w:val="21"/>
          <w:szCs w:val="21"/>
        </w:rPr>
      </w:pPr>
      <w:r>
        <w:rPr>
          <w:rFonts w:hint="eastAsia"/>
          <w:sz w:val="21"/>
          <w:szCs w:val="21"/>
        </w:rPr>
        <w:t xml:space="preserve">3.3由于一方当事人提供的信息错误，另一方当事人在采取了必要合理的措施后仍不能发现该错误，进而导致基金资产净值、基金份额净值计算错误造成投资人或基金的损失，以及由此造成以后交易日基金资产净值、基金份额净值计算顺延错误而引起的投资人或基金的损失，由提供错误信息的当事人一方负责赔偿。 </w:t>
      </w:r>
    </w:p>
    <w:p w14:paraId="0A9CF9A7">
      <w:pPr>
        <w:pStyle w:val="7"/>
        <w:spacing w:before="0" w:beforeAutospacing="0" w:after="0" w:afterAutospacing="0" w:line="360" w:lineRule="auto"/>
        <w:ind w:firstLine="420"/>
        <w:rPr>
          <w:sz w:val="21"/>
          <w:szCs w:val="21"/>
        </w:rPr>
      </w:pPr>
      <w:r>
        <w:rPr>
          <w:rFonts w:hint="eastAsia"/>
          <w:sz w:val="21"/>
          <w:szCs w:val="21"/>
        </w:rPr>
        <w:t xml:space="preserve">3.4由于有关会计制度变化或不可抗力，或证券/期货交易所、登记机构及存款银行等第三方机构发送的数据错误等非基金管理人与基金托管人原因，基金管理人和基金托管人虽然已经采取必要、适当、合理的措施进行检查，但未能发现错误的，由此造成的基金资产估值错误，基金管理人和基金托管人免除赔偿责任。但基金管理人、基金托管人应当积极采取必要的措施减轻或消除由此造成的影响。 </w:t>
      </w:r>
    </w:p>
    <w:p w14:paraId="43D9E867">
      <w:pPr>
        <w:pStyle w:val="7"/>
        <w:spacing w:before="0" w:beforeAutospacing="0" w:after="0" w:afterAutospacing="0" w:line="360" w:lineRule="auto"/>
        <w:ind w:firstLine="420"/>
        <w:rPr>
          <w:sz w:val="21"/>
          <w:szCs w:val="21"/>
        </w:rPr>
      </w:pPr>
      <w:r>
        <w:rPr>
          <w:rFonts w:hint="eastAsia"/>
          <w:sz w:val="21"/>
          <w:szCs w:val="21"/>
        </w:rPr>
        <w:t xml:space="preserve">3.5当基金管理人计算的基金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 </w:t>
      </w:r>
    </w:p>
    <w:p w14:paraId="09538F7F">
      <w:pPr>
        <w:pStyle w:val="7"/>
        <w:spacing w:before="0" w:beforeAutospacing="0" w:after="0" w:afterAutospacing="0" w:line="360" w:lineRule="auto"/>
        <w:ind w:firstLine="420"/>
        <w:rPr>
          <w:sz w:val="21"/>
          <w:szCs w:val="21"/>
        </w:rPr>
      </w:pPr>
      <w:r>
        <w:rPr>
          <w:rFonts w:hint="eastAsia"/>
          <w:sz w:val="21"/>
          <w:szCs w:val="21"/>
        </w:rPr>
        <w:t xml:space="preserve">（四）基金账册的建立 </w:t>
      </w:r>
    </w:p>
    <w:p w14:paraId="1244B527">
      <w:pPr>
        <w:pStyle w:val="7"/>
        <w:spacing w:before="0" w:beforeAutospacing="0" w:after="0" w:afterAutospacing="0" w:line="360" w:lineRule="auto"/>
        <w:ind w:firstLine="420"/>
        <w:rPr>
          <w:sz w:val="21"/>
          <w:szCs w:val="21"/>
        </w:rPr>
      </w:pPr>
      <w:r>
        <w:rPr>
          <w:rFonts w:hint="eastAsia"/>
          <w:sz w:val="21"/>
          <w:szCs w:val="21"/>
        </w:rPr>
        <w:t xml:space="preserve">4.1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 </w:t>
      </w:r>
    </w:p>
    <w:p w14:paraId="7FC1F8A3">
      <w:pPr>
        <w:pStyle w:val="7"/>
        <w:spacing w:before="0" w:beforeAutospacing="0" w:after="0" w:afterAutospacing="0" w:line="360" w:lineRule="auto"/>
        <w:ind w:firstLine="420"/>
        <w:rPr>
          <w:sz w:val="21"/>
          <w:szCs w:val="21"/>
        </w:rPr>
      </w:pPr>
      <w:r>
        <w:rPr>
          <w:rFonts w:hint="eastAsia"/>
          <w:sz w:val="21"/>
          <w:szCs w:val="21"/>
        </w:rPr>
        <w:t xml:space="preserve">4.2经对账发现相关各方的账目存在不符的，基金管理人和基金托管人必须及时查明原因并纠正，保证相关各方平行登录的账册记录完全相符。若当日核对不符，暂时无法查找到错账的原因而影响到基金净值的计算和公告的，以基金管理人的账册为准。 </w:t>
      </w:r>
    </w:p>
    <w:p w14:paraId="045B88BA">
      <w:pPr>
        <w:pStyle w:val="7"/>
        <w:spacing w:before="0" w:beforeAutospacing="0" w:after="0" w:afterAutospacing="0" w:line="360" w:lineRule="auto"/>
        <w:ind w:firstLine="420"/>
        <w:rPr>
          <w:sz w:val="21"/>
          <w:szCs w:val="21"/>
        </w:rPr>
      </w:pPr>
      <w:r>
        <w:rPr>
          <w:rFonts w:hint="eastAsia"/>
          <w:sz w:val="21"/>
          <w:szCs w:val="21"/>
        </w:rPr>
        <w:t xml:space="preserve">（五）基金定期报告的编制和复核 </w:t>
      </w:r>
    </w:p>
    <w:p w14:paraId="6DE4F63F">
      <w:pPr>
        <w:pStyle w:val="7"/>
        <w:spacing w:before="0" w:beforeAutospacing="0" w:after="0" w:afterAutospacing="0" w:line="360" w:lineRule="auto"/>
        <w:ind w:firstLine="420"/>
        <w:rPr>
          <w:sz w:val="21"/>
          <w:szCs w:val="21"/>
        </w:rPr>
      </w:pPr>
      <w:r>
        <w:rPr>
          <w:rFonts w:hint="eastAsia"/>
          <w:sz w:val="21"/>
          <w:szCs w:val="21"/>
        </w:rPr>
        <w:t xml:space="preserve">5.1基金财务报表由基金管理人和基金托管人每月分别独立编制。月度报表的编制，应于每月终了后5个工作日内完成。 </w:t>
      </w:r>
    </w:p>
    <w:p w14:paraId="6020D209">
      <w:pPr>
        <w:pStyle w:val="7"/>
        <w:spacing w:before="0" w:beforeAutospacing="0" w:after="0" w:afterAutospacing="0" w:line="360" w:lineRule="auto"/>
        <w:ind w:firstLine="420"/>
        <w:rPr>
          <w:sz w:val="21"/>
          <w:szCs w:val="21"/>
        </w:rPr>
      </w:pPr>
      <w:r>
        <w:rPr>
          <w:rFonts w:hint="eastAsia"/>
          <w:sz w:val="21"/>
          <w:szCs w:val="21"/>
        </w:rPr>
        <w:t xml:space="preserve">5.2基金管理人应当在每年结束之日起三个月内，编制完成基金年度报告，将年度报告登载于指定网站上，并将年度报告提示性公告登载在指定报刊上。基金年度报告中的财务会计报告应当经过具有证券、期货相关业务资格的会计师事务所审计。基金管理人应当在上半年结束之日起两个月内，编制完成基金中期报告，将中期报告登载在指定网站上，并将中期报告提示性公告登载在指定报刊上。基金管理人应当在季度结束之日起15个工作日内，编制完成基金季度报告，将季度报告登载在指定网站上，并将季度报告提示性公告登载在指定报刊上。《基金合同》生效不足2个月的，基金管理人可以不编制当期季度报告、中期报告或者年度报告。 </w:t>
      </w:r>
    </w:p>
    <w:p w14:paraId="2D73E02E">
      <w:pPr>
        <w:pStyle w:val="7"/>
        <w:spacing w:before="0" w:beforeAutospacing="0" w:after="0" w:afterAutospacing="0" w:line="360" w:lineRule="auto"/>
        <w:ind w:firstLine="420"/>
        <w:rPr>
          <w:sz w:val="21"/>
          <w:szCs w:val="21"/>
        </w:rPr>
      </w:pPr>
      <w:r>
        <w:rPr>
          <w:rFonts w:hint="eastAsia"/>
          <w:sz w:val="21"/>
          <w:szCs w:val="21"/>
        </w:rPr>
        <w:t xml:space="preserve">5.3《基金合同》生效后，基金招募说明书、基金产品资料概要的信息发生重大变更的，基金管理人应当在三个工作日内，更新基金招募说明书、基金产品资料概要，并登载在指定网站上，并将基金产品资料概要登载在基金销售机构网站或营业网点。基金招募说明书、基金产品资料概要其他信息发生变更的，基金管理人至少每年更新一次。 </w:t>
      </w:r>
    </w:p>
    <w:p w14:paraId="03A94374">
      <w:pPr>
        <w:pStyle w:val="7"/>
        <w:spacing w:before="0" w:beforeAutospacing="0" w:after="0" w:afterAutospacing="0" w:line="360" w:lineRule="auto"/>
        <w:ind w:firstLine="420"/>
        <w:rPr>
          <w:sz w:val="21"/>
          <w:szCs w:val="21"/>
        </w:rPr>
      </w:pPr>
      <w:r>
        <w:rPr>
          <w:rFonts w:hint="eastAsia"/>
          <w:sz w:val="21"/>
          <w:szCs w:val="21"/>
        </w:rPr>
        <w:t xml:space="preserve">5.4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 </w:t>
      </w:r>
    </w:p>
    <w:p w14:paraId="621D41B1">
      <w:pPr>
        <w:pStyle w:val="7"/>
        <w:spacing w:before="0" w:beforeAutospacing="0" w:after="0" w:afterAutospacing="0" w:line="360" w:lineRule="auto"/>
        <w:ind w:firstLine="420"/>
        <w:rPr>
          <w:sz w:val="21"/>
          <w:szCs w:val="21"/>
        </w:rPr>
      </w:pPr>
      <w:r>
        <w:rPr>
          <w:rFonts w:hint="eastAsia"/>
          <w:sz w:val="21"/>
          <w:szCs w:val="21"/>
        </w:rPr>
        <w:t xml:space="preserve">5.5核对无误后，基金托管人在基金管理人提供的报告上加盖业务印鉴或者出具加盖托管业务部门公章的复核意见书，相关各方各自留存一份。 </w:t>
      </w:r>
    </w:p>
    <w:p w14:paraId="0E04BEFD">
      <w:pPr>
        <w:pStyle w:val="7"/>
        <w:spacing w:before="0" w:beforeAutospacing="0" w:after="0" w:afterAutospacing="0" w:line="360" w:lineRule="auto"/>
        <w:ind w:firstLine="420"/>
        <w:rPr>
          <w:sz w:val="21"/>
          <w:szCs w:val="21"/>
        </w:rPr>
      </w:pPr>
      <w:r>
        <w:rPr>
          <w:rFonts w:hint="eastAsia"/>
          <w:sz w:val="21"/>
          <w:szCs w:val="21"/>
        </w:rPr>
        <w:t xml:space="preserve">5.6基金托管人在对财务会计报告、季度、中期报告或年度报告复核完毕后，需盖章确认或出具相应的复核确认书，以备有权机构对相关文件审核时提示。 </w:t>
      </w:r>
    </w:p>
    <w:p w14:paraId="5A1E5791">
      <w:pPr>
        <w:pStyle w:val="7"/>
        <w:spacing w:before="0" w:beforeAutospacing="0" w:after="0" w:afterAutospacing="0" w:line="360" w:lineRule="auto"/>
        <w:ind w:firstLine="420"/>
        <w:rPr>
          <w:sz w:val="21"/>
          <w:szCs w:val="21"/>
        </w:rPr>
      </w:pPr>
      <w:r>
        <w:rPr>
          <w:rFonts w:hint="eastAsia"/>
          <w:sz w:val="21"/>
          <w:szCs w:val="21"/>
        </w:rPr>
        <w:t xml:space="preserve">（六）暂停估值的情形 </w:t>
      </w:r>
    </w:p>
    <w:p w14:paraId="1D15DBD9">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063EAE36">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2B8B233F">
      <w:pPr>
        <w:pStyle w:val="7"/>
        <w:spacing w:before="0" w:beforeAutospacing="0" w:after="0" w:afterAutospacing="0" w:line="360" w:lineRule="auto"/>
        <w:ind w:firstLine="420"/>
        <w:rPr>
          <w:sz w:val="21"/>
          <w:szCs w:val="21"/>
        </w:rPr>
      </w:pPr>
      <w:r>
        <w:rPr>
          <w:rFonts w:hint="eastAsia"/>
          <w:sz w:val="21"/>
          <w:szCs w:val="21"/>
        </w:rPr>
        <w:t xml:space="preserve">（3）当前一估值日基金资产净值50%以上的资产出现无可参考的活跃市场价格且采用估值技术仍导致公允价值存在重大不确定性时，经与基金托管人协商确认后，基金管理人应当暂停估值； </w:t>
      </w:r>
    </w:p>
    <w:p w14:paraId="7A19AB04">
      <w:pPr>
        <w:pStyle w:val="7"/>
        <w:spacing w:before="0" w:beforeAutospacing="0" w:after="0" w:afterAutospacing="0" w:line="360" w:lineRule="auto"/>
        <w:ind w:firstLine="420"/>
        <w:rPr>
          <w:sz w:val="21"/>
          <w:szCs w:val="21"/>
        </w:rPr>
      </w:pPr>
      <w:r>
        <w:rPr>
          <w:rFonts w:hint="eastAsia"/>
          <w:sz w:val="21"/>
          <w:szCs w:val="21"/>
        </w:rPr>
        <w:t xml:space="preserve">（4）法律法规、中国证监会和基金合同认定的其他情形。 </w:t>
      </w:r>
    </w:p>
    <w:p w14:paraId="3A08DE49">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594BDFE1">
      <w:pPr>
        <w:pStyle w:val="7"/>
        <w:spacing w:before="0" w:beforeAutospacing="0" w:after="0" w:afterAutospacing="0" w:line="360" w:lineRule="auto"/>
        <w:ind w:firstLine="420"/>
        <w:rPr>
          <w:sz w:val="21"/>
          <w:szCs w:val="21"/>
        </w:rPr>
      </w:pPr>
      <w:r>
        <w:rPr>
          <w:rFonts w:hint="eastAsia"/>
          <w:sz w:val="21"/>
          <w:szCs w:val="21"/>
        </w:rPr>
        <w:t xml:space="preserve">基金管理人和基金托管人须分别妥善保管的基金份额持有人名册，基金份额持有人名册的内容必须包括基金份额持有人的名称和持有的基金份额。 </w:t>
      </w:r>
    </w:p>
    <w:p w14:paraId="6C263909">
      <w:pPr>
        <w:pStyle w:val="7"/>
        <w:spacing w:before="0" w:beforeAutospacing="0" w:after="0" w:afterAutospacing="0" w:line="360" w:lineRule="auto"/>
        <w:ind w:firstLine="420"/>
        <w:rPr>
          <w:sz w:val="21"/>
          <w:szCs w:val="21"/>
        </w:rPr>
      </w:pPr>
      <w:r>
        <w:rPr>
          <w:rFonts w:hint="eastAsia"/>
          <w:sz w:val="21"/>
          <w:szCs w:val="21"/>
        </w:rPr>
        <w:t xml:space="preserve">基金份额持有人名册由基金的基金登记机构根据基金管理人的指令编制和保管，基金管理人和基金托管人应按照目前相关规则分别保管基金份额持有人名册。保管方式可以采用电子或文档的形式。保管期限为15年，法律法规或监管规则另有规定的，从其规定。 </w:t>
      </w:r>
    </w:p>
    <w:p w14:paraId="1E1F7D95">
      <w:pPr>
        <w:pStyle w:val="7"/>
        <w:spacing w:before="0" w:beforeAutospacing="0" w:after="0" w:afterAutospacing="0" w:line="360" w:lineRule="auto"/>
        <w:ind w:firstLine="420"/>
        <w:rPr>
          <w:sz w:val="21"/>
          <w:szCs w:val="21"/>
        </w:rPr>
      </w:pPr>
      <w:r>
        <w:rPr>
          <w:rFonts w:hint="eastAsia"/>
          <w:sz w:val="21"/>
          <w:szCs w:val="21"/>
        </w:rPr>
        <w:t xml:space="preserve">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法律法规或监管规则另有规定的，从其规定。 </w:t>
      </w:r>
    </w:p>
    <w:p w14:paraId="2755167D">
      <w:pPr>
        <w:pStyle w:val="7"/>
        <w:spacing w:before="0" w:beforeAutospacing="0" w:after="0" w:afterAutospacing="0" w:line="360" w:lineRule="auto"/>
        <w:ind w:firstLine="420"/>
        <w:rPr>
          <w:sz w:val="21"/>
          <w:szCs w:val="21"/>
        </w:rPr>
      </w:pPr>
      <w:r>
        <w:rPr>
          <w:rFonts w:hint="eastAsia"/>
          <w:sz w:val="21"/>
          <w:szCs w:val="21"/>
        </w:rPr>
        <w:t xml:space="preserve">若基金管理人或基金托管人由于自身原因无法妥善保管基金份额持有人名册，应按有关法规规定各自承担相应的责任。 </w:t>
      </w:r>
    </w:p>
    <w:p w14:paraId="63C645C6">
      <w:pPr>
        <w:pStyle w:val="7"/>
        <w:spacing w:before="0" w:beforeAutospacing="0" w:after="0" w:afterAutospacing="0" w:line="360" w:lineRule="auto"/>
        <w:ind w:firstLine="420"/>
        <w:rPr>
          <w:sz w:val="21"/>
          <w:szCs w:val="21"/>
        </w:rPr>
      </w:pPr>
      <w:r>
        <w:rPr>
          <w:rStyle w:val="11"/>
          <w:rFonts w:hint="eastAsia"/>
          <w:sz w:val="21"/>
          <w:szCs w:val="21"/>
        </w:rPr>
        <w:t>七、争议解决方式</w:t>
      </w:r>
    </w:p>
    <w:p w14:paraId="7AFAF393">
      <w:pPr>
        <w:pStyle w:val="7"/>
        <w:spacing w:before="0" w:beforeAutospacing="0" w:after="0" w:afterAutospacing="0" w:line="360" w:lineRule="auto"/>
        <w:ind w:firstLine="420"/>
        <w:rPr>
          <w:sz w:val="21"/>
          <w:szCs w:val="21"/>
        </w:rPr>
      </w:pPr>
      <w:r>
        <w:rPr>
          <w:rFonts w:hint="eastAsia"/>
          <w:sz w:val="21"/>
          <w:szCs w:val="21"/>
        </w:rPr>
        <w:t xml:space="preserve">本协议及本协议项下各方的权利和义务适用中华人民共和国法律（为本协议之目的，不包括香港、澳门和台湾法律），并按照中华人民共和国法律解释。 </w:t>
      </w:r>
    </w:p>
    <w:p w14:paraId="62E63DF7">
      <w:pPr>
        <w:pStyle w:val="7"/>
        <w:spacing w:before="0" w:beforeAutospacing="0" w:after="0" w:afterAutospacing="0" w:line="360" w:lineRule="auto"/>
        <w:ind w:firstLine="420"/>
        <w:rPr>
          <w:sz w:val="21"/>
          <w:szCs w:val="21"/>
        </w:rPr>
      </w:pPr>
      <w:r>
        <w:rPr>
          <w:rFonts w:hint="eastAsia"/>
          <w:sz w:val="21"/>
          <w:szCs w:val="21"/>
        </w:rPr>
        <w:t xml:space="preserve">凡因本协议产生的及与本协议有关的争议，甲乙双方均应协商解决；协商不成的，双方均同意采取以下方式解决： </w:t>
      </w:r>
    </w:p>
    <w:p w14:paraId="2A39006B">
      <w:pPr>
        <w:pStyle w:val="7"/>
        <w:spacing w:before="0" w:beforeAutospacing="0" w:after="0" w:afterAutospacing="0" w:line="360" w:lineRule="auto"/>
        <w:ind w:firstLine="420"/>
        <w:rPr>
          <w:sz w:val="21"/>
          <w:szCs w:val="21"/>
        </w:rPr>
      </w:pPr>
      <w:r>
        <w:rPr>
          <w:rFonts w:hint="eastAsia"/>
          <w:sz w:val="21"/>
          <w:szCs w:val="21"/>
        </w:rPr>
        <w:t xml:space="preserve">将争议提交深圳国际仲裁院（深圳仲裁委员会），按照深圳国际仲裁院（深圳仲裁委员会）届时有效的仲裁规则进行仲裁。仲裁地点为深圳市。仲裁裁决是终局的，对双方当事人均有约束力。除非仲裁裁决另有规定，仲裁费用、律师费用由败诉方承担。 </w:t>
      </w:r>
    </w:p>
    <w:p w14:paraId="53A5B92C">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争议处理期间，双方当事人应恪守基金管理人和基金托管人职责，继续忠实、勤勉、尽责地履行基金合同和托管协议规定的义务，维护基金份额持有人的合法权益。 </w:t>
      </w:r>
    </w:p>
    <w:p w14:paraId="584FBE84">
      <w:pPr>
        <w:pStyle w:val="7"/>
        <w:spacing w:before="0" w:beforeAutospacing="0" w:after="0" w:afterAutospacing="0" w:line="360" w:lineRule="auto"/>
        <w:ind w:firstLine="420"/>
        <w:rPr>
          <w:sz w:val="21"/>
          <w:szCs w:val="21"/>
        </w:rPr>
      </w:pPr>
      <w:r>
        <w:rPr>
          <w:rFonts w:hint="eastAsia"/>
          <w:sz w:val="21"/>
          <w:szCs w:val="21"/>
        </w:rPr>
        <w:t xml:space="preserve">八、托管协议的变更、终止与基金财产的清算 </w:t>
      </w:r>
    </w:p>
    <w:p w14:paraId="22B199E7">
      <w:pPr>
        <w:pStyle w:val="7"/>
        <w:spacing w:before="0" w:beforeAutospacing="0" w:after="0" w:afterAutospacing="0" w:line="360" w:lineRule="auto"/>
        <w:ind w:firstLine="420"/>
        <w:rPr>
          <w:sz w:val="21"/>
          <w:szCs w:val="21"/>
        </w:rPr>
      </w:pPr>
      <w:r>
        <w:rPr>
          <w:rFonts w:hint="eastAsia"/>
          <w:sz w:val="21"/>
          <w:szCs w:val="21"/>
        </w:rPr>
        <w:t xml:space="preserve">（一）托管协议的变更与终止 </w:t>
      </w:r>
    </w:p>
    <w:p w14:paraId="4D4229DA">
      <w:pPr>
        <w:pStyle w:val="7"/>
        <w:spacing w:before="0" w:beforeAutospacing="0" w:after="0" w:afterAutospacing="0" w:line="360" w:lineRule="auto"/>
        <w:ind w:firstLine="420"/>
        <w:rPr>
          <w:sz w:val="21"/>
          <w:szCs w:val="21"/>
        </w:rPr>
      </w:pPr>
      <w:r>
        <w:rPr>
          <w:rFonts w:hint="eastAsia"/>
          <w:sz w:val="21"/>
          <w:szCs w:val="21"/>
        </w:rPr>
        <w:t xml:space="preserve">1、托管协议的变更程序 </w:t>
      </w:r>
    </w:p>
    <w:p w14:paraId="22BDD49C">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本协议双方当事人经协商一致，可以对协议的内容进行变更。变更后的托管协议，其内容不得与基金合同的规定有任何冲突。本托管协议的变更报中国证监会注册或备案。 </w:t>
      </w:r>
    </w:p>
    <w:p w14:paraId="6B12535D">
      <w:pPr>
        <w:pStyle w:val="7"/>
        <w:spacing w:before="0" w:beforeAutospacing="0" w:after="0" w:afterAutospacing="0" w:line="360" w:lineRule="auto"/>
        <w:ind w:firstLine="420"/>
        <w:rPr>
          <w:sz w:val="21"/>
          <w:szCs w:val="21"/>
        </w:rPr>
      </w:pPr>
      <w:r>
        <w:rPr>
          <w:rFonts w:hint="eastAsia"/>
          <w:sz w:val="21"/>
          <w:szCs w:val="21"/>
        </w:rPr>
        <w:t xml:space="preserve">2、基金托管协议终止的情形 </w:t>
      </w:r>
    </w:p>
    <w:p w14:paraId="4122AB6D">
      <w:pPr>
        <w:pStyle w:val="7"/>
        <w:spacing w:before="0" w:beforeAutospacing="0" w:after="0" w:afterAutospacing="0" w:line="360" w:lineRule="auto"/>
        <w:ind w:firstLine="420"/>
        <w:rPr>
          <w:sz w:val="21"/>
          <w:szCs w:val="21"/>
        </w:rPr>
      </w:pPr>
      <w:r>
        <w:rPr>
          <w:rFonts w:hint="eastAsia"/>
          <w:sz w:val="21"/>
          <w:szCs w:val="21"/>
        </w:rPr>
        <w:t xml:space="preserve">发生以下情况，本托管协议终止： </w:t>
      </w:r>
    </w:p>
    <w:p w14:paraId="3D2EF324">
      <w:pPr>
        <w:pStyle w:val="7"/>
        <w:spacing w:before="0" w:beforeAutospacing="0" w:after="0" w:afterAutospacing="0" w:line="360" w:lineRule="auto"/>
        <w:ind w:firstLine="420"/>
        <w:rPr>
          <w:sz w:val="21"/>
          <w:szCs w:val="21"/>
        </w:rPr>
      </w:pPr>
      <w:r>
        <w:rPr>
          <w:rFonts w:hint="eastAsia"/>
          <w:sz w:val="21"/>
          <w:szCs w:val="21"/>
        </w:rPr>
        <w:t xml:space="preserve">（1）基金合同终止； </w:t>
      </w:r>
    </w:p>
    <w:p w14:paraId="1B2ACF86">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14:paraId="609FA6F8">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14:paraId="1C484B19">
      <w:pPr>
        <w:pStyle w:val="7"/>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14:paraId="32410D3F">
      <w:pPr>
        <w:pStyle w:val="7"/>
        <w:spacing w:before="0" w:beforeAutospacing="0" w:after="0" w:afterAutospacing="0" w:line="360" w:lineRule="auto"/>
        <w:ind w:firstLine="420"/>
        <w:rPr>
          <w:sz w:val="21"/>
          <w:szCs w:val="21"/>
        </w:rPr>
      </w:pPr>
      <w:r>
        <w:rPr>
          <w:rFonts w:hint="eastAsia"/>
          <w:sz w:val="21"/>
          <w:szCs w:val="21"/>
        </w:rPr>
        <w:t xml:space="preserve">（二）基金财产的清算 </w:t>
      </w:r>
    </w:p>
    <w:p w14:paraId="47E2AD03">
      <w:pPr>
        <w:pStyle w:val="7"/>
        <w:spacing w:before="0" w:beforeAutospacing="0" w:after="0" w:afterAutospacing="0" w:line="360" w:lineRule="auto"/>
        <w:ind w:firstLine="420"/>
        <w:rPr>
          <w:sz w:val="21"/>
          <w:szCs w:val="21"/>
        </w:rPr>
      </w:pPr>
      <w:r>
        <w:rPr>
          <w:rFonts w:hint="eastAsia"/>
          <w:sz w:val="21"/>
          <w:szCs w:val="21"/>
        </w:rPr>
        <w:t xml:space="preserve">2.1基金财产清算小组： </w:t>
      </w:r>
    </w:p>
    <w:p w14:paraId="1849911C">
      <w:pPr>
        <w:pStyle w:val="7"/>
        <w:spacing w:before="0" w:beforeAutospacing="0" w:after="0" w:afterAutospacing="0" w:line="360" w:lineRule="auto"/>
        <w:ind w:firstLine="420"/>
        <w:rPr>
          <w:sz w:val="21"/>
          <w:szCs w:val="21"/>
        </w:rPr>
      </w:pPr>
      <w:r>
        <w:rPr>
          <w:rFonts w:hint="eastAsia"/>
          <w:sz w:val="21"/>
          <w:szCs w:val="21"/>
        </w:rPr>
        <w:t xml:space="preserve">（1）自出现基金合同终止事由之日起30个工作日内成立基金财产清算小组，基金管理人组织基金财产清算小组并在中国证监会的监督下进行基金清算。 </w:t>
      </w:r>
    </w:p>
    <w:p w14:paraId="6CE46D12">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7695EE32">
      <w:pPr>
        <w:pStyle w:val="7"/>
        <w:spacing w:before="0" w:beforeAutospacing="0" w:after="0" w:afterAutospacing="0" w:line="360" w:lineRule="auto"/>
        <w:ind w:firstLine="420"/>
        <w:rPr>
          <w:sz w:val="21"/>
          <w:szCs w:val="21"/>
        </w:rPr>
      </w:pPr>
      <w:r>
        <w:rPr>
          <w:rFonts w:hint="eastAsia"/>
          <w:sz w:val="21"/>
          <w:szCs w:val="21"/>
        </w:rPr>
        <w:t xml:space="preserve">（3）基金财产清算小组成员由基金管理人、基金托管人、具有从事证券、期货相关业务资格的注册会计师、律师以及中国证监会指定的人员组成。基金财产清算小组可以聘用必要的工作人员。 </w:t>
      </w:r>
    </w:p>
    <w:p w14:paraId="203A6D38">
      <w:pPr>
        <w:pStyle w:val="7"/>
        <w:spacing w:before="0" w:beforeAutospacing="0" w:after="0" w:afterAutospacing="0" w:line="360" w:lineRule="auto"/>
        <w:ind w:firstLine="420"/>
        <w:rPr>
          <w:sz w:val="21"/>
          <w:szCs w:val="21"/>
        </w:rPr>
      </w:pPr>
      <w:r>
        <w:rPr>
          <w:rFonts w:hint="eastAsia"/>
          <w:sz w:val="21"/>
          <w:szCs w:val="21"/>
        </w:rPr>
        <w:t xml:space="preserve">（4）在基金财产清算过程中，基金管理人和基金托管人应各自履行职责，继续忠实、勤勉、尽责地履行基金合同和本托管协议规定的义务，维护基金份额持有人的合法权益。 </w:t>
      </w:r>
    </w:p>
    <w:p w14:paraId="564E454E">
      <w:pPr>
        <w:pStyle w:val="7"/>
        <w:spacing w:before="0" w:beforeAutospacing="0" w:after="0" w:afterAutospacing="0" w:line="360" w:lineRule="auto"/>
        <w:ind w:firstLine="420"/>
        <w:rPr>
          <w:sz w:val="21"/>
          <w:szCs w:val="21"/>
        </w:rPr>
      </w:pPr>
      <w:r>
        <w:rPr>
          <w:rFonts w:hint="eastAsia"/>
          <w:sz w:val="21"/>
          <w:szCs w:val="21"/>
        </w:rPr>
        <w:t xml:space="preserve">（5）基金财产清算小组负责基金财产的保管、清理、估价、变现和分配。基金财产清算小组可以依法进行必要的民事活动。 </w:t>
      </w:r>
    </w:p>
    <w:p w14:paraId="5BD075BC">
      <w:pPr>
        <w:pStyle w:val="7"/>
        <w:spacing w:before="0" w:beforeAutospacing="0" w:after="0" w:afterAutospacing="0" w:line="360" w:lineRule="auto"/>
        <w:ind w:firstLine="420"/>
        <w:rPr>
          <w:sz w:val="21"/>
          <w:szCs w:val="21"/>
        </w:rPr>
      </w:pPr>
      <w:r>
        <w:rPr>
          <w:rFonts w:hint="eastAsia"/>
          <w:sz w:val="21"/>
          <w:szCs w:val="21"/>
        </w:rPr>
        <w:t xml:space="preserve">2.2基金财产清算程序 </w:t>
      </w:r>
    </w:p>
    <w:p w14:paraId="6A65C13E">
      <w:pPr>
        <w:pStyle w:val="7"/>
        <w:spacing w:before="0" w:beforeAutospacing="0" w:after="0" w:afterAutospacing="0" w:line="360" w:lineRule="auto"/>
        <w:ind w:firstLine="420"/>
        <w:rPr>
          <w:sz w:val="21"/>
          <w:szCs w:val="21"/>
        </w:rPr>
      </w:pPr>
      <w:r>
        <w:rPr>
          <w:rFonts w:hint="eastAsia"/>
          <w:sz w:val="21"/>
          <w:szCs w:val="21"/>
        </w:rPr>
        <w:t xml:space="preserve">基金合同终止，应当按法律法规和基金合同的有关规定对基金财产进行清算。基金财产清算程序主要包括： </w:t>
      </w:r>
    </w:p>
    <w:p w14:paraId="3854FE59">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（1）基金合同终止情形出现时，由基金财产清算小组统一接管基金财产； </w:t>
      </w:r>
    </w:p>
    <w:p w14:paraId="0522E061">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4628824E">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481FE3DB">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591AF8AF">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5430D730">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3555B740">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6E7584FE">
      <w:pPr>
        <w:pStyle w:val="7"/>
        <w:spacing w:before="0" w:beforeAutospacing="0" w:after="0" w:afterAutospacing="0" w:line="360" w:lineRule="auto"/>
        <w:ind w:firstLine="420"/>
        <w:rPr>
          <w:sz w:val="21"/>
          <w:szCs w:val="21"/>
        </w:rPr>
      </w:pPr>
      <w:r>
        <w:rPr>
          <w:rFonts w:hint="eastAsia"/>
          <w:sz w:val="21"/>
          <w:szCs w:val="21"/>
        </w:rPr>
        <w:t xml:space="preserve">基金财产清算的期限为6个月，但因本基金所持证券的流动性受到限制而不能及时变现的，清算期限可相应顺延。 </w:t>
      </w:r>
    </w:p>
    <w:p w14:paraId="749AD72C">
      <w:pPr>
        <w:pStyle w:val="7"/>
        <w:spacing w:before="0" w:beforeAutospacing="0" w:after="0" w:afterAutospacing="0" w:line="360" w:lineRule="auto"/>
        <w:ind w:firstLine="420"/>
        <w:rPr>
          <w:sz w:val="21"/>
          <w:szCs w:val="21"/>
        </w:rPr>
      </w:pPr>
      <w:r>
        <w:rPr>
          <w:rFonts w:hint="eastAsia"/>
          <w:sz w:val="21"/>
          <w:szCs w:val="21"/>
        </w:rPr>
        <w:t xml:space="preserve">6、清算费用 </w:t>
      </w:r>
    </w:p>
    <w:p w14:paraId="70E9F8AA">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425E940D">
      <w:pPr>
        <w:pStyle w:val="7"/>
        <w:spacing w:before="0" w:beforeAutospacing="0" w:after="0" w:afterAutospacing="0" w:line="360" w:lineRule="auto"/>
        <w:ind w:firstLine="420"/>
        <w:rPr>
          <w:sz w:val="21"/>
          <w:szCs w:val="21"/>
        </w:rPr>
      </w:pPr>
      <w:r>
        <w:rPr>
          <w:rFonts w:hint="eastAsia"/>
          <w:sz w:val="21"/>
          <w:szCs w:val="21"/>
        </w:rPr>
        <w:t xml:space="preserve">7、基金财产按下列顺序清偿： </w:t>
      </w:r>
    </w:p>
    <w:p w14:paraId="092AD413">
      <w:pPr>
        <w:pStyle w:val="7"/>
        <w:spacing w:before="0" w:beforeAutospacing="0" w:after="0" w:afterAutospacing="0" w:line="360" w:lineRule="auto"/>
        <w:ind w:firstLine="420"/>
        <w:rPr>
          <w:sz w:val="21"/>
          <w:szCs w:val="21"/>
        </w:rPr>
      </w:pPr>
      <w:r>
        <w:rPr>
          <w:rFonts w:hint="eastAsia"/>
          <w:sz w:val="21"/>
          <w:szCs w:val="21"/>
        </w:rPr>
        <w:t xml:space="preserve">（1）支付清算费用； </w:t>
      </w:r>
    </w:p>
    <w:p w14:paraId="079005B4">
      <w:pPr>
        <w:pStyle w:val="7"/>
        <w:spacing w:before="0" w:beforeAutospacing="0" w:after="0" w:afterAutospacing="0" w:line="360" w:lineRule="auto"/>
        <w:ind w:firstLine="420"/>
        <w:rPr>
          <w:sz w:val="21"/>
          <w:szCs w:val="21"/>
        </w:rPr>
      </w:pPr>
      <w:r>
        <w:rPr>
          <w:rFonts w:hint="eastAsia"/>
          <w:sz w:val="21"/>
          <w:szCs w:val="21"/>
        </w:rPr>
        <w:t xml:space="preserve">（2）交纳所欠税款； </w:t>
      </w:r>
    </w:p>
    <w:p w14:paraId="7538DCD5">
      <w:pPr>
        <w:pStyle w:val="7"/>
        <w:spacing w:before="0" w:beforeAutospacing="0" w:after="0" w:afterAutospacing="0" w:line="360" w:lineRule="auto"/>
        <w:ind w:firstLine="420"/>
        <w:rPr>
          <w:sz w:val="21"/>
          <w:szCs w:val="21"/>
        </w:rPr>
      </w:pPr>
      <w:r>
        <w:rPr>
          <w:rFonts w:hint="eastAsia"/>
          <w:sz w:val="21"/>
          <w:szCs w:val="21"/>
        </w:rPr>
        <w:t xml:space="preserve">（3）清偿基金债务； </w:t>
      </w:r>
    </w:p>
    <w:p w14:paraId="65E664F1">
      <w:pPr>
        <w:pStyle w:val="7"/>
        <w:spacing w:before="0" w:beforeAutospacing="0" w:after="0" w:afterAutospacing="0" w:line="360" w:lineRule="auto"/>
        <w:ind w:firstLine="420"/>
        <w:rPr>
          <w:sz w:val="21"/>
          <w:szCs w:val="21"/>
        </w:rPr>
      </w:pPr>
      <w:r>
        <w:rPr>
          <w:rFonts w:hint="eastAsia"/>
          <w:sz w:val="21"/>
          <w:szCs w:val="21"/>
        </w:rPr>
        <w:t xml:space="preserve">（4）按各类基金份额在基金合同终止事由发生时各自基金份额资产净值的比例确定剩余财产在各类基金份额中的分配比例，并在各类基金份额可分配的剩余财产范围内各份额类别内基金份额持有人持有的基金份额比例进行分配。 </w:t>
      </w:r>
    </w:p>
    <w:p w14:paraId="32C0B769">
      <w:pPr>
        <w:pStyle w:val="7"/>
        <w:spacing w:before="0" w:beforeAutospacing="0" w:after="0" w:afterAutospacing="0" w:line="360" w:lineRule="auto"/>
        <w:ind w:firstLine="420"/>
        <w:rPr>
          <w:sz w:val="21"/>
          <w:szCs w:val="21"/>
        </w:rPr>
      </w:pPr>
      <w:r>
        <w:rPr>
          <w:rFonts w:hint="eastAsia"/>
          <w:sz w:val="21"/>
          <w:szCs w:val="21"/>
        </w:rPr>
        <w:t xml:space="preserve">基金财产未按前款（1）－（3）项规定清偿前，不分配给基金份额持有人。 </w:t>
      </w:r>
    </w:p>
    <w:p w14:paraId="3B6E873B">
      <w:pPr>
        <w:pStyle w:val="7"/>
        <w:spacing w:before="0" w:beforeAutospacing="0" w:after="0" w:afterAutospacing="0" w:line="360" w:lineRule="auto"/>
        <w:ind w:firstLine="420"/>
        <w:rPr>
          <w:sz w:val="21"/>
          <w:szCs w:val="21"/>
        </w:rPr>
      </w:pPr>
      <w:r>
        <w:rPr>
          <w:rFonts w:hint="eastAsia"/>
          <w:sz w:val="21"/>
          <w:szCs w:val="21"/>
        </w:rPr>
        <w:t xml:space="preserve">（三）基金财产清算的公告 </w:t>
      </w:r>
    </w:p>
    <w:p w14:paraId="4FD80A98">
      <w:pPr>
        <w:pStyle w:val="7"/>
        <w:spacing w:before="0" w:beforeAutospacing="0" w:after="0" w:afterAutospacing="0" w:line="360" w:lineRule="auto"/>
        <w:ind w:firstLine="420"/>
        <w:rPr>
          <w:sz w:val="21"/>
          <w:szCs w:val="21"/>
        </w:rPr>
      </w:pPr>
      <w:r>
        <w:rPr>
          <w:rFonts w:hint="eastAsia"/>
          <w:sz w:val="21"/>
          <w:szCs w:val="21"/>
        </w:rPr>
        <w:t xml:space="preserve">基金财产清算公告于基金财产清算报告报中国证监会备案后5个工作日内由基金财产清算小组公告；清算过程中的有关重大事项须及时公告；基金财产清算报告经具有证券、期货相关业务资格的会计师事务所审计，律师事务所出具法律意见书后，由基金财产清算小组报中国证监会备案并公告。 </w:t>
      </w:r>
    </w:p>
    <w:p w14:paraId="36D75C43">
      <w:pPr>
        <w:pStyle w:val="7"/>
        <w:spacing w:before="0" w:beforeAutospacing="0" w:after="0" w:afterAutospacing="0" w:line="360" w:lineRule="auto"/>
        <w:ind w:firstLine="420"/>
        <w:rPr>
          <w:sz w:val="21"/>
          <w:szCs w:val="21"/>
        </w:rPr>
      </w:pPr>
      <w:r>
        <w:rPr>
          <w:rFonts w:hint="eastAsia"/>
          <w:sz w:val="21"/>
          <w:szCs w:val="21"/>
        </w:rPr>
        <w:t xml:space="preserve">（四）基金财产清算账册及文件的保存 </w:t>
      </w:r>
    </w:p>
    <w:p w14:paraId="743D44BD">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2786A889">
      <w:pPr>
        <w:widowControl/>
        <w:jc w:val="left"/>
        <w:rPr>
          <w:rFonts w:ascii="宋体" w:hAnsi="宋体" w:eastAsia="宋体"/>
        </w:rPr>
      </w:pPr>
      <w:bookmarkStart w:id="209" w:name="chapter_level1_22_72_section_1_end"/>
      <w:bookmarkEnd w:id="209"/>
      <w:r>
        <w:rPr>
          <w:rFonts w:ascii="宋体" w:hAnsi="宋体" w:eastAsia="宋体"/>
        </w:rPr>
        <w:br w:type="page"/>
      </w:r>
    </w:p>
    <w:p w14:paraId="20FCAF2C">
      <w:pPr>
        <w:pStyle w:val="2"/>
        <w:jc w:val="center"/>
        <w:rPr>
          <w:rFonts w:ascii="宋体" w:hAnsi="宋体" w:eastAsia="宋体"/>
          <w:sz w:val="30"/>
        </w:rPr>
      </w:pPr>
      <w:bookmarkStart w:id="210" w:name="chapter_level1_23_75"/>
      <w:bookmarkStart w:id="211" w:name="_Toc239193715"/>
      <w:r>
        <w:rPr>
          <w:rFonts w:hint="eastAsia" w:ascii="宋体" w:hAnsi="宋体" w:eastAsia="宋体"/>
          <w:sz w:val="30"/>
        </w:rPr>
        <w:t>第二十部分  对基金份额持有人的服务</w:t>
      </w:r>
      <w:bookmarkEnd w:id="210"/>
      <w:bookmarkEnd w:id="211"/>
    </w:p>
    <w:p w14:paraId="287862E5">
      <w:pPr>
        <w:pStyle w:val="7"/>
        <w:spacing w:before="0" w:beforeAutospacing="0" w:after="0" w:afterAutospacing="0" w:line="360" w:lineRule="auto"/>
        <w:ind w:firstLine="420"/>
        <w:rPr>
          <w:sz w:val="21"/>
          <w:szCs w:val="21"/>
        </w:rPr>
      </w:pPr>
      <w:bookmarkStart w:id="212" w:name="chapter_level1_23_75_section_1"/>
      <w:bookmarkEnd w:id="212"/>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63304B59">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3D450294">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7A2D7918">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1659CD96">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5C7CE540">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0FC839DD">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14:paraId="693E68B6">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5204FCE1">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2D6232C9">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331154F3">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1A8EF1EA">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47679383">
      <w:pPr>
        <w:pStyle w:val="7"/>
        <w:spacing w:before="0" w:beforeAutospacing="0" w:after="0" w:afterAutospacing="0" w:line="360" w:lineRule="auto"/>
        <w:ind w:firstLine="420"/>
        <w:rPr>
          <w:sz w:val="21"/>
          <w:szCs w:val="21"/>
        </w:rPr>
      </w:pPr>
      <w:r>
        <w:rPr>
          <w:rFonts w:hint="eastAsia"/>
          <w:sz w:val="21"/>
          <w:szCs w:val="21"/>
        </w:rPr>
        <w:t xml:space="preserve">2、查询服务 </w:t>
      </w:r>
    </w:p>
    <w:p w14:paraId="3E194675">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3F1D0365">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5E2363C6">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5604340C">
      <w:pPr>
        <w:pStyle w:val="7"/>
        <w:spacing w:before="0" w:beforeAutospacing="0" w:after="0" w:afterAutospacing="0" w:line="360" w:lineRule="auto"/>
        <w:ind w:firstLine="420"/>
        <w:rPr>
          <w:sz w:val="21"/>
          <w:szCs w:val="21"/>
        </w:rPr>
      </w:pPr>
      <w:r>
        <w:rPr>
          <w:rFonts w:hint="eastAsia"/>
          <w:sz w:val="21"/>
          <w:szCs w:val="21"/>
        </w:rPr>
        <w:t xml:space="preserve">4、在线客服 </w:t>
      </w:r>
    </w:p>
    <w:p w14:paraId="11EE54A3">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75CA3A21">
      <w:pPr>
        <w:pStyle w:val="7"/>
        <w:spacing w:before="0" w:beforeAutospacing="0" w:after="0" w:afterAutospacing="0" w:line="360" w:lineRule="auto"/>
        <w:ind w:firstLine="420"/>
        <w:rPr>
          <w:sz w:val="21"/>
          <w:szCs w:val="21"/>
        </w:rPr>
      </w:pPr>
      <w:r>
        <w:rPr>
          <w:rStyle w:val="11"/>
          <w:rFonts w:hint="eastAsia"/>
          <w:sz w:val="21"/>
          <w:szCs w:val="21"/>
        </w:rPr>
        <w:t>三、短信服务</w:t>
      </w:r>
    </w:p>
    <w:p w14:paraId="51D3E5BF">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15EDD635">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32B8C0EB">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0247B095">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64B373B1">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009BE8EB">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30B6C656">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2CE31CA1">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5EC53C43">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01EE75D3">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16D028CF">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2DBEF6DE">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111512B7">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7883E5D9">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053001C6">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14:paraId="6526F622">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2193B38B">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76D1EFF0">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13" w:name="chapter_level1_23_75_section_1_end"/>
      <w:bookmarkEnd w:id="213"/>
      <w:r>
        <w:rPr>
          <w:rStyle w:val="11"/>
          <w:rFonts w:hint="eastAsia"/>
          <w:sz w:val="21"/>
          <w:szCs w:val="21"/>
        </w:rPr>
        <w:t>理人。请确保投资前，您/贵机构已经全面理解了本招募说明书。</w:t>
      </w:r>
    </w:p>
    <w:p w14:paraId="58A6F7C3">
      <w:pPr>
        <w:widowControl/>
        <w:jc w:val="left"/>
        <w:rPr>
          <w:rFonts w:ascii="宋体" w:hAnsi="宋体" w:eastAsia="宋体"/>
        </w:rPr>
      </w:pPr>
      <w:r>
        <w:rPr>
          <w:rFonts w:ascii="宋体" w:hAnsi="宋体" w:eastAsia="宋体"/>
        </w:rPr>
        <w:br w:type="page"/>
      </w:r>
    </w:p>
    <w:p w14:paraId="4FD56E11">
      <w:pPr>
        <w:pStyle w:val="2"/>
        <w:jc w:val="center"/>
        <w:rPr>
          <w:rFonts w:ascii="宋体" w:hAnsi="宋体" w:eastAsia="宋体"/>
          <w:sz w:val="30"/>
        </w:rPr>
      </w:pPr>
      <w:bookmarkStart w:id="214" w:name="_Toc239193716"/>
      <w:bookmarkStart w:id="215" w:name="chapter_level1_24_3499"/>
      <w:r>
        <w:rPr>
          <w:rFonts w:hint="eastAsia" w:ascii="宋体" w:hAnsi="宋体" w:eastAsia="宋体"/>
          <w:sz w:val="30"/>
        </w:rPr>
        <w:t>第二十一部分 其他应披露的事项</w:t>
      </w:r>
      <w:bookmarkEnd w:id="214"/>
      <w:bookmarkEnd w:id="215"/>
    </w:p>
    <w:p w14:paraId="0931987F">
      <w:pPr>
        <w:pStyle w:val="7"/>
        <w:spacing w:before="0" w:beforeAutospacing="0" w:after="0" w:afterAutospacing="0" w:line="360" w:lineRule="auto"/>
        <w:ind w:firstLine="420"/>
        <w:rPr>
          <w:sz w:val="21"/>
          <w:szCs w:val="21"/>
        </w:rPr>
      </w:pPr>
      <w:bookmarkStart w:id="216" w:name="chapter_level1_24_3499_section_1"/>
      <w:bookmarkEnd w:id="216"/>
      <w:bookmarkStart w:id="217" w:name="field_0_bsrevealinfo_1_start"/>
      <w:bookmarkEnd w:id="217"/>
      <w:r>
        <w:rPr>
          <w:rFonts w:hint="eastAsia"/>
          <w:sz w:val="21"/>
          <w:szCs w:val="21"/>
        </w:rPr>
        <w:t>（一）、2026年8月31日，我公司公告了《博时恒裕6个月持有期混合型证券投资基金2026年中期报告》；</w:t>
      </w:r>
    </w:p>
    <w:p w14:paraId="2AECC4B6">
      <w:pPr>
        <w:pStyle w:val="7"/>
        <w:spacing w:before="0" w:beforeAutospacing="0" w:after="0" w:afterAutospacing="0" w:line="360" w:lineRule="auto"/>
        <w:ind w:firstLine="420"/>
        <w:rPr>
          <w:sz w:val="21"/>
          <w:szCs w:val="21"/>
        </w:rPr>
      </w:pPr>
      <w:r>
        <w:rPr>
          <w:rFonts w:hint="eastAsia"/>
          <w:sz w:val="21"/>
          <w:szCs w:val="21"/>
        </w:rPr>
        <w:t>（二）、2026年7月21日，我公司公告了《博时基金管理有限公司关于运用公司固有资金投资旗下混合基金的公告》、《博时恒裕6个月持有期混合型证券投资基金2026年第2季度报告》；</w:t>
      </w:r>
    </w:p>
    <w:p w14:paraId="3244E1B4">
      <w:pPr>
        <w:pStyle w:val="7"/>
        <w:spacing w:before="0" w:beforeAutospacing="0" w:after="0" w:afterAutospacing="0" w:line="360" w:lineRule="auto"/>
        <w:ind w:firstLine="420"/>
        <w:rPr>
          <w:sz w:val="21"/>
          <w:szCs w:val="21"/>
        </w:rPr>
      </w:pPr>
      <w:r>
        <w:rPr>
          <w:rFonts w:hint="eastAsia"/>
          <w:sz w:val="21"/>
          <w:szCs w:val="21"/>
        </w:rPr>
        <w:t>（三）、2026年7月20日，我公司公告了《博时基金管理有限公司关于运用公司固有资金投资旗下权益类公募基金的公告》；</w:t>
      </w:r>
    </w:p>
    <w:p w14:paraId="37C0E6D9">
      <w:pPr>
        <w:pStyle w:val="7"/>
        <w:spacing w:before="0" w:beforeAutospacing="0" w:after="0" w:afterAutospacing="0" w:line="360" w:lineRule="auto"/>
        <w:ind w:firstLine="420"/>
        <w:rPr>
          <w:sz w:val="21"/>
          <w:szCs w:val="21"/>
        </w:rPr>
      </w:pPr>
      <w:r>
        <w:rPr>
          <w:rFonts w:hint="eastAsia"/>
          <w:sz w:val="21"/>
          <w:szCs w:val="21"/>
        </w:rPr>
        <w:t>（四）、2026年7月14日，我公司公告了《博时基金管理有限公司关于旗下基金持有的长期停牌股票调整估值方法的公告》；</w:t>
      </w:r>
    </w:p>
    <w:p w14:paraId="04F56D81">
      <w:pPr>
        <w:pStyle w:val="7"/>
        <w:spacing w:before="0" w:beforeAutospacing="0" w:after="0" w:afterAutospacing="0" w:line="360" w:lineRule="auto"/>
        <w:ind w:firstLine="420"/>
        <w:rPr>
          <w:sz w:val="21"/>
          <w:szCs w:val="21"/>
        </w:rPr>
      </w:pPr>
      <w:r>
        <w:rPr>
          <w:rFonts w:hint="eastAsia"/>
          <w:sz w:val="21"/>
          <w:szCs w:val="21"/>
        </w:rPr>
        <w:t>（五）、2026年6月26日，我公司公告了《博时恒裕6个月持有期混合型证券投资基金（博时恒裕持有期混合A）基金产品资料概要更新》、《博时恒裕6个月持有期混合型证券投资基金（博时恒裕持有期混合C）基金产品资料概要更新》；</w:t>
      </w:r>
    </w:p>
    <w:p w14:paraId="3EAF1950">
      <w:pPr>
        <w:pStyle w:val="7"/>
        <w:spacing w:before="0" w:beforeAutospacing="0" w:after="0" w:afterAutospacing="0" w:line="360" w:lineRule="auto"/>
        <w:ind w:firstLine="420"/>
        <w:rPr>
          <w:sz w:val="21"/>
          <w:szCs w:val="21"/>
        </w:rPr>
      </w:pPr>
      <w:r>
        <w:rPr>
          <w:rFonts w:hint="eastAsia"/>
          <w:sz w:val="21"/>
          <w:szCs w:val="21"/>
        </w:rPr>
        <w:t>（六）、2026年5月29日，我公司公告了《博时基金管理有限公司关于终止中证金牛（北京）基金销售有限公司办理旗下基金销售业务的公告》；</w:t>
      </w:r>
    </w:p>
    <w:p w14:paraId="61330084">
      <w:pPr>
        <w:pStyle w:val="7"/>
        <w:spacing w:before="0" w:beforeAutospacing="0" w:after="0" w:afterAutospacing="0" w:line="360" w:lineRule="auto"/>
        <w:ind w:firstLine="420"/>
        <w:rPr>
          <w:sz w:val="21"/>
          <w:szCs w:val="21"/>
        </w:rPr>
      </w:pPr>
      <w:r>
        <w:rPr>
          <w:rFonts w:hint="eastAsia"/>
          <w:sz w:val="21"/>
          <w:szCs w:val="21"/>
        </w:rPr>
        <w:t>（七）、2026年4月30日，我公司公告了《2025年度博时基金以股东身份（通过公募基金持股）参与股东大会投票信息披露》；</w:t>
      </w:r>
    </w:p>
    <w:p w14:paraId="1CFB7150">
      <w:pPr>
        <w:pStyle w:val="7"/>
        <w:spacing w:before="0" w:beforeAutospacing="0" w:after="0" w:afterAutospacing="0" w:line="360" w:lineRule="auto"/>
        <w:ind w:firstLine="420"/>
        <w:rPr>
          <w:sz w:val="21"/>
          <w:szCs w:val="21"/>
        </w:rPr>
      </w:pPr>
      <w:r>
        <w:rPr>
          <w:rFonts w:hint="eastAsia"/>
          <w:sz w:val="21"/>
          <w:szCs w:val="21"/>
        </w:rPr>
        <w:t>（八）、2026年4月22日，我公司公告了《博时恒裕6个月持有期混合型证券投资基金2026年第1季度报告》；</w:t>
      </w:r>
    </w:p>
    <w:p w14:paraId="7F53599A">
      <w:pPr>
        <w:pStyle w:val="7"/>
        <w:spacing w:before="0" w:beforeAutospacing="0" w:after="0" w:afterAutospacing="0" w:line="360" w:lineRule="auto"/>
        <w:ind w:firstLine="420"/>
        <w:rPr>
          <w:sz w:val="21"/>
          <w:szCs w:val="21"/>
        </w:rPr>
      </w:pPr>
      <w:r>
        <w:rPr>
          <w:rFonts w:hint="eastAsia"/>
          <w:sz w:val="21"/>
          <w:szCs w:val="21"/>
        </w:rPr>
        <w:t>（九）、2026年3月31日，我公司公告了《博时基金管理有限公司旗下公募基金通过证券公司证券交易及佣金支付情况（2025年度）》、《博时恒裕6个月持有期混合型证券投资基金2025年年度报告》；</w:t>
      </w:r>
    </w:p>
    <w:p w14:paraId="2F28C762">
      <w:pPr>
        <w:pStyle w:val="7"/>
        <w:spacing w:before="0" w:beforeAutospacing="0" w:after="0" w:afterAutospacing="0" w:line="360" w:lineRule="auto"/>
        <w:ind w:firstLine="420"/>
        <w:rPr>
          <w:sz w:val="21"/>
          <w:szCs w:val="21"/>
        </w:rPr>
      </w:pPr>
      <w:r>
        <w:rPr>
          <w:rFonts w:hint="eastAsia"/>
          <w:sz w:val="21"/>
          <w:szCs w:val="21"/>
        </w:rPr>
        <w:t>（十）、2026年2月26日，我公司公告了《博时基金管理有限公司关于旗下基金持有的长期停牌股票调整估值方法的公告》；</w:t>
      </w:r>
    </w:p>
    <w:p w14:paraId="1DBC786C">
      <w:pPr>
        <w:pStyle w:val="7"/>
        <w:spacing w:before="0" w:beforeAutospacing="0" w:after="0" w:afterAutospacing="0" w:line="360" w:lineRule="auto"/>
        <w:ind w:firstLine="420"/>
        <w:rPr>
          <w:sz w:val="21"/>
          <w:szCs w:val="21"/>
        </w:rPr>
      </w:pPr>
      <w:r>
        <w:rPr>
          <w:rFonts w:hint="eastAsia"/>
          <w:sz w:val="21"/>
          <w:szCs w:val="21"/>
        </w:rPr>
        <w:t>（十一）、2026年2月14日，我公司公告了《博时基金管理有限公司关于高级管理人员变更的公告》；</w:t>
      </w:r>
    </w:p>
    <w:p w14:paraId="08ECF147">
      <w:pPr>
        <w:pStyle w:val="7"/>
        <w:spacing w:before="0" w:beforeAutospacing="0" w:after="0" w:afterAutospacing="0" w:line="360" w:lineRule="auto"/>
        <w:ind w:firstLine="420"/>
        <w:rPr>
          <w:sz w:val="21"/>
          <w:szCs w:val="21"/>
        </w:rPr>
      </w:pPr>
      <w:r>
        <w:rPr>
          <w:rFonts w:hint="eastAsia"/>
          <w:sz w:val="21"/>
          <w:szCs w:val="21"/>
        </w:rPr>
        <w:t>（十二）、2026年1月24日，我公司公告了《博时基金管理有限公司关于旗下基金持有的长期停牌股票调整估值方法的公告-20260124》；</w:t>
      </w:r>
    </w:p>
    <w:p w14:paraId="6486DACE">
      <w:pPr>
        <w:pStyle w:val="7"/>
        <w:spacing w:before="0" w:beforeAutospacing="0" w:after="0" w:afterAutospacing="0" w:line="360" w:lineRule="auto"/>
        <w:ind w:firstLine="420"/>
        <w:rPr>
          <w:sz w:val="21"/>
          <w:szCs w:val="21"/>
        </w:rPr>
      </w:pPr>
      <w:r>
        <w:rPr>
          <w:rFonts w:hint="eastAsia"/>
          <w:sz w:val="21"/>
          <w:szCs w:val="21"/>
        </w:rPr>
        <w:t>（十三）、2026年1月22日，我公司公告了《博时恒裕6个月持有期混合型证券投资基金2025年第4季度报告》；</w:t>
      </w:r>
    </w:p>
    <w:p w14:paraId="7388F93C">
      <w:pPr>
        <w:pStyle w:val="7"/>
        <w:spacing w:before="0" w:beforeAutospacing="0" w:after="0" w:afterAutospacing="0" w:line="360" w:lineRule="auto"/>
        <w:ind w:firstLine="420"/>
        <w:rPr>
          <w:sz w:val="21"/>
          <w:szCs w:val="21"/>
        </w:rPr>
      </w:pPr>
      <w:r>
        <w:rPr>
          <w:rFonts w:hint="eastAsia"/>
          <w:sz w:val="21"/>
          <w:szCs w:val="21"/>
        </w:rPr>
        <w:t>（十四）、2025年12月31日，我公司公告了《博时基金管理有限公司关于暂停使用富友支付提供的快捷支付通道办理直销网上交易部分业务的公告》；</w:t>
      </w:r>
    </w:p>
    <w:p w14:paraId="40C32089">
      <w:pPr>
        <w:pStyle w:val="7"/>
        <w:spacing w:before="0" w:beforeAutospacing="0" w:after="0" w:afterAutospacing="0" w:line="360" w:lineRule="auto"/>
        <w:ind w:firstLine="420"/>
        <w:rPr>
          <w:sz w:val="21"/>
          <w:szCs w:val="21"/>
        </w:rPr>
      </w:pPr>
      <w:r>
        <w:rPr>
          <w:rFonts w:hint="eastAsia"/>
          <w:sz w:val="21"/>
          <w:szCs w:val="21"/>
        </w:rPr>
        <w:t>（十五）、2025年12月6日，我公司公告了《博时基金管理有限公司关于终止北京微动利基金销售有限公司办理旗下基金相关销售业务的公告》；</w:t>
      </w:r>
    </w:p>
    <w:p w14:paraId="70603624">
      <w:pPr>
        <w:pStyle w:val="7"/>
        <w:spacing w:before="0" w:beforeAutospacing="0" w:after="0" w:afterAutospacing="0" w:line="360" w:lineRule="auto"/>
        <w:ind w:firstLine="420"/>
        <w:rPr>
          <w:sz w:val="21"/>
          <w:szCs w:val="21"/>
        </w:rPr>
      </w:pPr>
      <w:r>
        <w:rPr>
          <w:rFonts w:hint="eastAsia"/>
          <w:sz w:val="21"/>
          <w:szCs w:val="21"/>
        </w:rPr>
        <w:t>（十六）、2025年11月12日，我公司公告了《博时基金管理有限公司关于高级管理人员变更的公告》；</w:t>
      </w:r>
    </w:p>
    <w:p w14:paraId="559D6928">
      <w:pPr>
        <w:pStyle w:val="7"/>
        <w:spacing w:before="0" w:beforeAutospacing="0" w:after="0" w:afterAutospacing="0" w:line="360" w:lineRule="auto"/>
        <w:ind w:firstLine="420"/>
        <w:rPr>
          <w:sz w:val="21"/>
          <w:szCs w:val="21"/>
        </w:rPr>
      </w:pPr>
      <w:r>
        <w:rPr>
          <w:rFonts w:hint="eastAsia"/>
          <w:sz w:val="21"/>
          <w:szCs w:val="21"/>
        </w:rPr>
        <w:t>（十七）、2025年10月28日，我公司公告了《博时恒裕6个月持有期混合型证券投资基金2025年第3季度报告》；</w:t>
      </w:r>
    </w:p>
    <w:p w14:paraId="4EFE2A1E">
      <w:pPr>
        <w:pStyle w:val="7"/>
        <w:spacing w:before="0" w:beforeAutospacing="0" w:after="0" w:afterAutospacing="0" w:line="360" w:lineRule="auto"/>
        <w:ind w:firstLine="420"/>
        <w:rPr>
          <w:sz w:val="21"/>
          <w:szCs w:val="21"/>
        </w:rPr>
      </w:pPr>
      <w:r>
        <w:rPr>
          <w:rFonts w:hint="eastAsia"/>
          <w:sz w:val="21"/>
          <w:szCs w:val="21"/>
        </w:rPr>
        <w:t>（十八）、2025年10月16日，我公司公告了《博时基金管理有限公司关于高级管理人员变更的公告》；</w:t>
      </w:r>
    </w:p>
    <w:p w14:paraId="69202DEE">
      <w:pPr>
        <w:pStyle w:val="7"/>
        <w:spacing w:before="0" w:beforeAutospacing="0" w:after="0" w:afterAutospacing="0" w:line="360" w:lineRule="auto"/>
        <w:ind w:firstLine="420"/>
        <w:rPr>
          <w:sz w:val="21"/>
          <w:szCs w:val="21"/>
        </w:rPr>
      </w:pPr>
      <w:r>
        <w:rPr>
          <w:rFonts w:hint="eastAsia"/>
          <w:sz w:val="21"/>
          <w:szCs w:val="21"/>
        </w:rPr>
        <w:t>（十九）、2025年9月30日，我公司公告了《博时恒裕6个月持有期混合型证券投资基金更新招募说明书》；</w:t>
      </w:r>
    </w:p>
    <w:p w14:paraId="615C7C00">
      <w:pPr>
        <w:pStyle w:val="7"/>
        <w:spacing w:before="0" w:beforeAutospacing="0" w:after="0" w:afterAutospacing="0" w:line="360" w:lineRule="auto"/>
        <w:ind w:firstLine="420"/>
        <w:rPr>
          <w:sz w:val="21"/>
          <w:szCs w:val="21"/>
        </w:rPr>
      </w:pPr>
      <w:r>
        <w:rPr>
          <w:rFonts w:hint="eastAsia"/>
          <w:sz w:val="21"/>
          <w:szCs w:val="21"/>
        </w:rPr>
        <w:t>（二十）、2025年9月4日，我公司公告了《博时基金管理有限公司关于旗下基金持</w:t>
      </w:r>
      <w:bookmarkStart w:id="218" w:name="chapter_level1_24_3499_section_1_end"/>
      <w:bookmarkEnd w:id="218"/>
      <w:r>
        <w:rPr>
          <w:rFonts w:hint="eastAsia"/>
          <w:sz w:val="21"/>
          <w:szCs w:val="21"/>
        </w:rPr>
        <w:t>有的长期停牌股票调整估值方法的公告》。</w:t>
      </w:r>
      <w:bookmarkStart w:id="219" w:name="field_0_bsrevealinfo_1_end"/>
      <w:bookmarkEnd w:id="219"/>
      <w:r>
        <w:rPr>
          <w:rFonts w:hint="eastAsia"/>
          <w:sz w:val="21"/>
          <w:szCs w:val="21"/>
        </w:rPr>
        <w:t xml:space="preserve">  </w:t>
      </w:r>
    </w:p>
    <w:p w14:paraId="4C7B8B81">
      <w:pPr>
        <w:widowControl/>
        <w:jc w:val="left"/>
        <w:rPr>
          <w:rFonts w:ascii="宋体" w:hAnsi="宋体" w:eastAsia="宋体"/>
        </w:rPr>
      </w:pPr>
      <w:r>
        <w:rPr>
          <w:rFonts w:ascii="宋体" w:hAnsi="宋体" w:eastAsia="宋体"/>
        </w:rPr>
        <w:br w:type="page"/>
      </w:r>
    </w:p>
    <w:p w14:paraId="6A97CC93">
      <w:pPr>
        <w:pStyle w:val="2"/>
        <w:jc w:val="center"/>
        <w:rPr>
          <w:rFonts w:ascii="宋体" w:hAnsi="宋体" w:eastAsia="宋体"/>
          <w:sz w:val="30"/>
        </w:rPr>
      </w:pPr>
      <w:bookmarkStart w:id="220" w:name="chapter_level1_25_77"/>
      <w:bookmarkStart w:id="221" w:name="_Toc239193717"/>
      <w:r>
        <w:rPr>
          <w:rFonts w:hint="eastAsia" w:ascii="宋体" w:hAnsi="宋体" w:eastAsia="宋体"/>
          <w:sz w:val="30"/>
        </w:rPr>
        <w:t>第二十二部分  招募说明书存放及查阅方式</w:t>
      </w:r>
      <w:bookmarkEnd w:id="220"/>
      <w:bookmarkEnd w:id="221"/>
    </w:p>
    <w:p w14:paraId="2BF7B9E8">
      <w:pPr>
        <w:pStyle w:val="7"/>
        <w:spacing w:before="0" w:beforeAutospacing="0" w:after="0" w:afterAutospacing="0" w:line="360" w:lineRule="auto"/>
        <w:ind w:firstLine="420"/>
        <w:rPr>
          <w:sz w:val="21"/>
          <w:szCs w:val="21"/>
        </w:rPr>
      </w:pPr>
      <w:bookmarkStart w:id="222" w:name="chapter_level1_25_77_section_1"/>
      <w:bookmarkEnd w:id="222"/>
      <w:r>
        <w:rPr>
          <w:rFonts w:hint="eastAsia"/>
          <w:sz w:val="21"/>
          <w:szCs w:val="21"/>
        </w:rPr>
        <w:t xml:space="preserve">招募说明书公布后，应当分别置备于基金管理人、基金托管人的住所，投资人可在办公时间查阅；投资人在支付工本费后，可在合理时间内取得上述文件复制件或复印件。对投资人按此种方式所获得的文件及其复印件，基金管理人保证文本的内容与所公告的内容完全一致。 </w:t>
      </w:r>
    </w:p>
    <w:p w14:paraId="056DAA31">
      <w:pPr>
        <w:pStyle w:val="7"/>
        <w:spacing w:before="0" w:beforeAutospacing="0" w:after="0" w:afterAutospacing="0" w:line="360" w:lineRule="auto"/>
        <w:ind w:firstLine="420"/>
        <w:rPr>
          <w:sz w:val="21"/>
          <w:szCs w:val="21"/>
        </w:rPr>
      </w:pPr>
      <w:bookmarkStart w:id="223" w:name="chapter_level1_25_77_section_1_end"/>
      <w:bookmarkEnd w:id="223"/>
      <w:r>
        <w:rPr>
          <w:rFonts w:hint="eastAsia"/>
          <w:sz w:val="21"/>
          <w:szCs w:val="21"/>
        </w:rPr>
        <w:t xml:space="preserve">投资人还可以直接登录基金管理人的网站（www.bosera.com）查阅和下载招募说明书。 </w:t>
      </w:r>
    </w:p>
    <w:p w14:paraId="37EBD0A1">
      <w:pPr>
        <w:widowControl/>
        <w:jc w:val="left"/>
        <w:rPr>
          <w:rFonts w:ascii="宋体" w:hAnsi="宋体" w:eastAsia="宋体"/>
        </w:rPr>
      </w:pPr>
      <w:r>
        <w:rPr>
          <w:rFonts w:ascii="宋体" w:hAnsi="宋体" w:eastAsia="宋体"/>
        </w:rPr>
        <w:br w:type="page"/>
      </w:r>
    </w:p>
    <w:p w14:paraId="61A9F33E">
      <w:pPr>
        <w:pStyle w:val="2"/>
        <w:jc w:val="center"/>
        <w:rPr>
          <w:rFonts w:ascii="宋体" w:hAnsi="宋体" w:eastAsia="宋体"/>
          <w:sz w:val="30"/>
        </w:rPr>
      </w:pPr>
      <w:bookmarkStart w:id="224" w:name="chapter_level1_26_332"/>
      <w:bookmarkStart w:id="225" w:name="_Toc239193718"/>
      <w:r>
        <w:rPr>
          <w:rFonts w:hint="eastAsia" w:ascii="宋体" w:hAnsi="宋体" w:eastAsia="宋体"/>
          <w:sz w:val="30"/>
        </w:rPr>
        <w:t>第二十三部分  备查文件</w:t>
      </w:r>
      <w:bookmarkEnd w:id="224"/>
      <w:bookmarkEnd w:id="225"/>
    </w:p>
    <w:p w14:paraId="05985184">
      <w:pPr>
        <w:pStyle w:val="7"/>
        <w:spacing w:before="0" w:beforeAutospacing="0" w:after="0" w:afterAutospacing="0" w:line="360" w:lineRule="auto"/>
        <w:ind w:firstLine="420"/>
        <w:rPr>
          <w:sz w:val="21"/>
          <w:szCs w:val="21"/>
        </w:rPr>
      </w:pPr>
      <w:bookmarkStart w:id="226" w:name="chapter_level1_26_332_section_1"/>
      <w:bookmarkEnd w:id="226"/>
      <w:r>
        <w:rPr>
          <w:rFonts w:hint="eastAsia"/>
          <w:sz w:val="21"/>
          <w:szCs w:val="21"/>
        </w:rPr>
        <w:t xml:space="preserve">以下备查文件存放在基金管理人的办公场所，在办公时间可供免费查阅。  </w:t>
      </w:r>
    </w:p>
    <w:p w14:paraId="12EC39AD">
      <w:pPr>
        <w:pStyle w:val="7"/>
        <w:spacing w:before="0" w:beforeAutospacing="0" w:after="0" w:afterAutospacing="0" w:line="360" w:lineRule="auto"/>
        <w:ind w:firstLine="420"/>
        <w:rPr>
          <w:sz w:val="21"/>
          <w:szCs w:val="21"/>
        </w:rPr>
      </w:pPr>
      <w:r>
        <w:rPr>
          <w:rFonts w:hint="eastAsia"/>
          <w:sz w:val="21"/>
          <w:szCs w:val="21"/>
        </w:rPr>
        <w:t>（一）中国证监会准予</w:t>
      </w:r>
      <w:bookmarkStart w:id="227" w:name="field_0_productfullname_12"/>
      <w:r>
        <w:rPr>
          <w:rFonts w:hint="eastAsia"/>
          <w:sz w:val="21"/>
          <w:szCs w:val="21"/>
        </w:rPr>
        <w:t>博时恒裕</w:t>
      </w:r>
      <w:r>
        <w:rPr>
          <w:sz w:val="21"/>
          <w:szCs w:val="21"/>
        </w:rPr>
        <w:t>6个月持有期混合型证券投资基金</w:t>
      </w:r>
      <w:bookmarkEnd w:id="227"/>
      <w:r>
        <w:rPr>
          <w:rFonts w:hint="eastAsia"/>
          <w:sz w:val="21"/>
          <w:szCs w:val="21"/>
        </w:rPr>
        <w:t xml:space="preserve">注册的文件 </w:t>
      </w:r>
    </w:p>
    <w:p w14:paraId="365C4A69">
      <w:pPr>
        <w:pStyle w:val="7"/>
        <w:spacing w:before="0" w:beforeAutospacing="0" w:after="0" w:afterAutospacing="0" w:line="360" w:lineRule="auto"/>
        <w:ind w:firstLine="420"/>
        <w:rPr>
          <w:sz w:val="21"/>
          <w:szCs w:val="21"/>
        </w:rPr>
      </w:pPr>
      <w:r>
        <w:rPr>
          <w:rFonts w:hint="eastAsia"/>
          <w:sz w:val="21"/>
          <w:szCs w:val="21"/>
        </w:rPr>
        <w:t>（二）《</w:t>
      </w:r>
      <w:bookmarkStart w:id="228" w:name="field_0_productfullname_13"/>
      <w:r>
        <w:rPr>
          <w:rFonts w:hint="eastAsia"/>
          <w:sz w:val="21"/>
          <w:szCs w:val="21"/>
        </w:rPr>
        <w:t>博时恒裕</w:t>
      </w:r>
      <w:r>
        <w:rPr>
          <w:sz w:val="21"/>
          <w:szCs w:val="21"/>
        </w:rPr>
        <w:t>6个月持有期混合型证券投资基金</w:t>
      </w:r>
      <w:bookmarkEnd w:id="228"/>
      <w:r>
        <w:rPr>
          <w:rFonts w:hint="eastAsia"/>
          <w:sz w:val="21"/>
          <w:szCs w:val="21"/>
        </w:rPr>
        <w:t xml:space="preserve">基金合同》 </w:t>
      </w:r>
    </w:p>
    <w:p w14:paraId="08261C86">
      <w:pPr>
        <w:pStyle w:val="7"/>
        <w:spacing w:before="0" w:beforeAutospacing="0" w:after="0" w:afterAutospacing="0" w:line="360" w:lineRule="auto"/>
        <w:ind w:firstLine="420"/>
        <w:rPr>
          <w:sz w:val="21"/>
          <w:szCs w:val="21"/>
        </w:rPr>
      </w:pPr>
      <w:r>
        <w:rPr>
          <w:rFonts w:hint="eastAsia"/>
          <w:sz w:val="21"/>
          <w:szCs w:val="21"/>
        </w:rPr>
        <w:t>（三）《</w:t>
      </w:r>
      <w:bookmarkStart w:id="229" w:name="field_0_productfullname_14"/>
      <w:r>
        <w:rPr>
          <w:rFonts w:hint="eastAsia"/>
          <w:sz w:val="21"/>
          <w:szCs w:val="21"/>
        </w:rPr>
        <w:t>博时恒裕</w:t>
      </w:r>
      <w:r>
        <w:rPr>
          <w:sz w:val="21"/>
          <w:szCs w:val="21"/>
        </w:rPr>
        <w:t>6个月持有期混合型证券投资基金</w:t>
      </w:r>
      <w:bookmarkEnd w:id="229"/>
      <w:r>
        <w:rPr>
          <w:rFonts w:hint="eastAsia"/>
          <w:sz w:val="21"/>
          <w:szCs w:val="21"/>
        </w:rPr>
        <w:t xml:space="preserve">托管协议》 </w:t>
      </w:r>
    </w:p>
    <w:p w14:paraId="1961D4CA">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5A5B32F1">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5F4C6A41">
      <w:pPr>
        <w:pStyle w:val="7"/>
        <w:spacing w:before="0" w:beforeAutospacing="0" w:after="0" w:afterAutospacing="0" w:line="360" w:lineRule="auto"/>
        <w:ind w:firstLine="420"/>
        <w:rPr>
          <w:sz w:val="21"/>
          <w:szCs w:val="21"/>
        </w:rPr>
      </w:pPr>
      <w:r>
        <w:rPr>
          <w:rFonts w:hint="eastAsia"/>
          <w:sz w:val="21"/>
          <w:szCs w:val="21"/>
        </w:rPr>
        <w:t>（六）关于申请募集注册</w:t>
      </w:r>
      <w:bookmarkStart w:id="230" w:name="field_0_productfullname_15"/>
      <w:r>
        <w:rPr>
          <w:rFonts w:hint="eastAsia"/>
          <w:sz w:val="21"/>
          <w:szCs w:val="21"/>
        </w:rPr>
        <w:t>博时恒裕</w:t>
      </w:r>
      <w:r>
        <w:rPr>
          <w:sz w:val="21"/>
          <w:szCs w:val="21"/>
        </w:rPr>
        <w:t>6个月持有期混合型证券投资基金</w:t>
      </w:r>
      <w:bookmarkEnd w:id="230"/>
      <w:r>
        <w:rPr>
          <w:rFonts w:hint="eastAsia"/>
          <w:sz w:val="21"/>
          <w:szCs w:val="21"/>
        </w:rPr>
        <w:t xml:space="preserve">之法律意见书 </w:t>
      </w:r>
    </w:p>
    <w:p w14:paraId="7C245730">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07A1B489">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14:paraId="57A0507E">
      <w:pPr>
        <w:pStyle w:val="7"/>
        <w:spacing w:before="0" w:beforeAutospacing="0" w:after="0" w:afterAutospacing="0" w:line="360" w:lineRule="auto"/>
        <w:ind w:firstLine="420"/>
        <w:rPr>
          <w:sz w:val="21"/>
          <w:szCs w:val="21"/>
        </w:rPr>
      </w:pPr>
    </w:p>
    <w:p w14:paraId="3B45731A">
      <w:pPr>
        <w:pStyle w:val="7"/>
        <w:spacing w:before="0" w:beforeAutospacing="0" w:after="0" w:afterAutospacing="0" w:line="360" w:lineRule="auto"/>
        <w:ind w:firstLine="420"/>
        <w:rPr>
          <w:sz w:val="21"/>
          <w:szCs w:val="21"/>
        </w:rPr>
      </w:pPr>
    </w:p>
    <w:p w14:paraId="64E444EA">
      <w:pPr>
        <w:pStyle w:val="7"/>
        <w:spacing w:before="0" w:beforeAutospacing="0" w:after="0" w:afterAutospacing="0" w:line="360" w:lineRule="auto"/>
        <w:ind w:firstLine="420"/>
        <w:rPr>
          <w:sz w:val="21"/>
          <w:szCs w:val="21"/>
        </w:rPr>
      </w:pPr>
    </w:p>
    <w:p w14:paraId="54AF32A7">
      <w:pPr>
        <w:pStyle w:val="7"/>
        <w:spacing w:before="0" w:beforeAutospacing="0" w:after="0" w:afterAutospacing="0" w:line="360" w:lineRule="auto"/>
        <w:ind w:firstLine="420"/>
        <w:jc w:val="right"/>
        <w:rPr>
          <w:sz w:val="21"/>
          <w:szCs w:val="21"/>
        </w:rPr>
      </w:pPr>
      <w:bookmarkStart w:id="231" w:name="field_0_managerorgfullname_7"/>
      <w:r>
        <w:rPr>
          <w:rFonts w:hint="eastAsia"/>
          <w:sz w:val="21"/>
          <w:szCs w:val="21"/>
        </w:rPr>
        <w:t>博时基金管理有限公司</w:t>
      </w:r>
      <w:bookmarkEnd w:id="231"/>
      <w:r>
        <w:rPr>
          <w:rFonts w:hint="eastAsia"/>
          <w:sz w:val="21"/>
          <w:szCs w:val="21"/>
        </w:rPr>
        <w:t xml:space="preserve">  </w:t>
      </w:r>
    </w:p>
    <w:p w14:paraId="12E5C433">
      <w:pPr>
        <w:pStyle w:val="7"/>
        <w:spacing w:before="0" w:beforeAutospacing="0" w:after="0" w:afterAutospacing="0" w:line="360" w:lineRule="auto"/>
        <w:ind w:firstLine="420"/>
        <w:jc w:val="right"/>
        <w:rPr>
          <w:sz w:val="21"/>
          <w:szCs w:val="21"/>
        </w:rPr>
      </w:pPr>
      <w:bookmarkStart w:id="232" w:name="chapter_level1_26_332_section_1_end"/>
      <w:bookmarkEnd w:id="232"/>
      <w:bookmarkStart w:id="233" w:name="field_0_commitmenttime_1"/>
      <w:r>
        <w:rPr>
          <w:sz w:val="21"/>
          <w:szCs w:val="21"/>
        </w:rPr>
        <w:t>2026年</w:t>
      </w:r>
      <w:r>
        <w:rPr>
          <w:rFonts w:hint="eastAsia"/>
          <w:sz w:val="21"/>
          <w:szCs w:val="21"/>
          <w:lang w:val="en-US" w:eastAsia="zh-CN"/>
        </w:rPr>
        <w:t>10</w:t>
      </w:r>
      <w:r>
        <w:rPr>
          <w:sz w:val="21"/>
          <w:szCs w:val="21"/>
        </w:rPr>
        <w:t>月</w:t>
      </w:r>
      <w:r>
        <w:rPr>
          <w:rFonts w:hint="eastAsia"/>
          <w:sz w:val="21"/>
          <w:szCs w:val="21"/>
          <w:lang w:val="en-US" w:eastAsia="zh-CN"/>
        </w:rPr>
        <w:t>2</w:t>
      </w:r>
      <w:r>
        <w:rPr>
          <w:sz w:val="21"/>
          <w:szCs w:val="21"/>
        </w:rPr>
        <w:t>0日</w:t>
      </w:r>
      <w:bookmarkEnd w:id="233"/>
      <w:r>
        <w:rPr>
          <w:rFonts w:hint="eastAsia"/>
          <w:sz w:val="21"/>
          <w:szCs w:val="21"/>
        </w:rPr>
        <w:t xml:space="preserve">  </w:t>
      </w:r>
    </w:p>
    <w:p w14:paraId="3E997751">
      <w:pPr>
        <w:rPr>
          <w:rFonts w:ascii="宋体" w:hAnsi="宋体" w:eastAsia="宋体"/>
        </w:rPr>
      </w:pPr>
      <w:bookmarkStart w:id="234" w:name="end"/>
      <w:bookmarkEnd w:id="234"/>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2F258">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145</w:t>
    </w:r>
    <w:r>
      <w:fldChar w:fldCharType="end"/>
    </w:r>
    <w:r>
      <w:rPr>
        <w:rFonts w:hint="eastAsia"/>
      </w:rPr>
      <w:t>页 共</w:t>
    </w:r>
    <w:r>
      <w:fldChar w:fldCharType="begin"/>
    </w:r>
    <w:r>
      <w:instrText xml:space="preserve"> NumPages \* MERGEFORMAT </w:instrText>
    </w:r>
    <w:r>
      <w:fldChar w:fldCharType="separate"/>
    </w:r>
    <w:r>
      <w:t>145</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FB887">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5B8B3D7D">
    <w:pPr>
      <w:pStyle w:val="5"/>
      <w:jc w:val="right"/>
    </w:pPr>
    <w:r>
      <w:rPr>
        <w:rFonts w:hint="eastAsia"/>
      </w:rPr>
      <w:t>博时恒裕6个月持有期混合型证券投资基金更新招募说明书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01E"/>
    <w:rsid w:val="00A1601E"/>
    <w:rsid w:val="00BB18AE"/>
    <w:rsid w:val="00DD537B"/>
    <w:rsid w:val="0A0D181E"/>
    <w:rsid w:val="180350B2"/>
    <w:rsid w:val="45A86CF5"/>
    <w:rsid w:val="4FAB036A"/>
    <w:rsid w:val="5507030F"/>
    <w:rsid w:val="5E3B4A34"/>
    <w:rsid w:val="78EE06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autoRedefine/>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145</Pages>
  <Words>17408</Words>
  <Characters>99232</Characters>
  <Lines>826</Lines>
  <Paragraphs>232</Paragraphs>
  <TotalTime>1</TotalTime>
  <ScaleCrop>false</ScaleCrop>
  <LinksUpToDate>false</LinksUpToDate>
  <CharactersWithSpaces>116408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2026-09-01T14:21:00Z</dcterms:created>
  <dc:creator>BSKMadminDev</dc:creator>
  <cp:lastModifiedBy>huangzw</cp:lastModifiedBy>
  <dcterms:modified xsi:type="dcterms:W3CDTF">2026-10-19T09:20:47Z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E8EE9DC663B34907B14A71F12D36A067_13</vt:lpwstr>
  </property>
</Properties>
</file>