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spacing w:line="800" w:lineRule="exact"/>
        <w:jc w:val="center"/>
        <w:rPr>
          <w:rFonts w:ascii="宋体" w:hAnsi="宋体" w:eastAsia="宋体"/>
          <w:b/>
          <w:sz w:val="52"/>
        </w:rPr>
      </w:pPr>
      <w:r>
        <w:rPr>
          <w:rFonts w:hint="eastAsia" w:ascii="宋体" w:hAnsi="宋体" w:eastAsia="宋体"/>
          <w:b/>
          <w:sz w:val="52"/>
        </w:rPr>
        <w:t>博时国证大盘成长交易型开放式指数证券投资基金</w:t>
      </w:r>
    </w:p>
    <w:p>
      <w:pPr>
        <w:widowControl/>
        <w:spacing w:line="800" w:lineRule="exact"/>
        <w:jc w:val="center"/>
        <w:rPr>
          <w:rFonts w:ascii="宋体" w:hAnsi="宋体" w:eastAsia="宋体"/>
          <w:b/>
          <w:sz w:val="52"/>
        </w:rPr>
      </w:pPr>
      <w:r>
        <w:rPr>
          <w:rFonts w:hint="eastAsia" w:ascii="宋体" w:hAnsi="宋体" w:eastAsia="宋体"/>
          <w:b/>
          <w:sz w:val="52"/>
        </w:rPr>
        <w:t>更新招募说明书</w:t>
      </w: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国泰海通证券股份有限公司</w:t>
      </w:r>
      <w:r>
        <w:rPr>
          <w:rFonts w:ascii="宋体" w:hAnsi="宋体" w:eastAsia="宋体"/>
          <w:b/>
          <w:sz w:val="30"/>
        </w:rPr>
        <w:br w:type="page"/>
      </w:r>
    </w:p>
    <w:p>
      <w:pPr>
        <w:pStyle w:val="2"/>
        <w:jc w:val="center"/>
        <w:rPr>
          <w:rFonts w:ascii="宋体" w:hAnsi="宋体" w:eastAsia="宋体"/>
          <w:sz w:val="30"/>
        </w:rPr>
      </w:pPr>
      <w:bookmarkStart w:id="0" w:name="_Toc213857336"/>
      <w:r>
        <w:rPr>
          <w:rFonts w:hint="eastAsia" w:ascii="宋体" w:hAnsi="宋体" w:eastAsia="宋体"/>
          <w:sz w:val="30"/>
        </w:rPr>
        <w:t>【重要提示】</w:t>
      </w:r>
      <w:bookmarkEnd w:id="0"/>
    </w:p>
    <w:p>
      <w:pPr>
        <w:pStyle w:val="7"/>
        <w:spacing w:before="0" w:beforeAutospacing="0" w:after="0" w:afterAutospacing="0" w:line="360" w:lineRule="auto"/>
        <w:ind w:firstLine="420"/>
        <w:rPr>
          <w:sz w:val="21"/>
          <w:szCs w:val="21"/>
        </w:rPr>
      </w:pPr>
      <w:r>
        <w:rPr>
          <w:rFonts w:hint="eastAsia"/>
          <w:sz w:val="21"/>
          <w:szCs w:val="21"/>
        </w:rPr>
        <w:t>博时巨潮大盘成长交易型开放式指数证券投资基金根据2025年1月2日中国证券监督管理委员会《关于准予博时巨潮大盘成长交易型开放式指数证券投资基金注册的批复》证监许可[2025]28号准予注册，进行募集。2025年1月17日深圳证券信息有限公司将巨潮大盘成长指数更名为国证大盘成长指数，经与基金托管人协商一致，博时巨潮大盘成长交易型开放式指数证券投资基金更名为</w:t>
      </w:r>
      <w:bookmarkStart w:id="1" w:name="field_0_productfullname_1"/>
      <w:r>
        <w:rPr>
          <w:rFonts w:hint="eastAsia"/>
          <w:sz w:val="21"/>
          <w:szCs w:val="21"/>
        </w:rPr>
        <w:t>博时国证大盘成长交易型开放式指数证券投资基金</w:t>
      </w:r>
      <w:bookmarkEnd w:id="1"/>
      <w:r>
        <w:rPr>
          <w:rFonts w:hint="eastAsia"/>
          <w:sz w:val="21"/>
          <w:szCs w:val="21"/>
        </w:rPr>
        <w:t xml:space="preserve">(以下简称“本基金”)。 </w:t>
      </w:r>
    </w:p>
    <w:p>
      <w:pPr>
        <w:pStyle w:val="7"/>
        <w:spacing w:before="0" w:beforeAutospacing="0" w:after="0" w:afterAutospacing="0" w:line="360" w:lineRule="auto"/>
        <w:ind w:firstLine="420"/>
        <w:rPr>
          <w:sz w:val="21"/>
          <w:szCs w:val="21"/>
        </w:rPr>
      </w:pPr>
      <w:r>
        <w:rPr>
          <w:rFonts w:hint="eastAsia"/>
          <w:sz w:val="21"/>
          <w:szCs w:val="21"/>
        </w:rPr>
        <w:t xml:space="preserve">本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 </w:t>
      </w:r>
    </w:p>
    <w:p>
      <w:pPr>
        <w:pStyle w:val="7"/>
        <w:spacing w:before="0" w:beforeAutospacing="0" w:after="0" w:afterAutospacing="0" w:line="360" w:lineRule="auto"/>
        <w:ind w:firstLine="420"/>
        <w:rPr>
          <w:sz w:val="21"/>
          <w:szCs w:val="21"/>
        </w:rPr>
      </w:pPr>
      <w:r>
        <w:rPr>
          <w:rFonts w:hint="eastAsia"/>
          <w:sz w:val="21"/>
          <w:szCs w:val="21"/>
        </w:rPr>
        <w:t xml:space="preserve">本基金的标的指数为国证大盘成长指数，编制方案如下： </w:t>
      </w:r>
    </w:p>
    <w:p>
      <w:pPr>
        <w:pStyle w:val="7"/>
        <w:spacing w:before="0" w:beforeAutospacing="0" w:after="0" w:afterAutospacing="0" w:line="360" w:lineRule="auto"/>
        <w:ind w:firstLine="420"/>
        <w:rPr>
          <w:sz w:val="21"/>
          <w:szCs w:val="21"/>
        </w:rPr>
      </w:pPr>
      <w:r>
        <w:rPr>
          <w:rFonts w:hint="eastAsia"/>
          <w:sz w:val="21"/>
          <w:szCs w:val="21"/>
        </w:rPr>
        <w:t xml:space="preserve">（1）选样原则 </w:t>
      </w:r>
    </w:p>
    <w:p>
      <w:pPr>
        <w:pStyle w:val="7"/>
        <w:spacing w:before="0" w:beforeAutospacing="0" w:after="0" w:afterAutospacing="0" w:line="360" w:lineRule="auto"/>
        <w:ind w:firstLine="420"/>
        <w:rPr>
          <w:sz w:val="21"/>
          <w:szCs w:val="21"/>
        </w:rPr>
      </w:pPr>
      <w:r>
        <w:rPr>
          <w:rFonts w:hint="eastAsia"/>
          <w:sz w:val="21"/>
          <w:szCs w:val="21"/>
        </w:rPr>
        <w:t xml:space="preserve">国证大盘成长指数以国证大盘指数样本为样本空间。 </w:t>
      </w:r>
    </w:p>
    <w:p>
      <w:pPr>
        <w:pStyle w:val="7"/>
        <w:spacing w:before="0" w:beforeAutospacing="0" w:after="0" w:afterAutospacing="0" w:line="360" w:lineRule="auto"/>
        <w:ind w:firstLine="420"/>
        <w:rPr>
          <w:sz w:val="21"/>
          <w:szCs w:val="21"/>
        </w:rPr>
      </w:pPr>
      <w:r>
        <w:rPr>
          <w:rFonts w:hint="eastAsia"/>
          <w:sz w:val="21"/>
          <w:szCs w:val="21"/>
        </w:rPr>
        <w:t xml:space="preserve">（2）选样方法 </w:t>
      </w:r>
    </w:p>
    <w:p>
      <w:pPr>
        <w:pStyle w:val="7"/>
        <w:spacing w:before="0" w:beforeAutospacing="0" w:after="0" w:afterAutospacing="0" w:line="360" w:lineRule="auto"/>
        <w:ind w:firstLine="420"/>
        <w:rPr>
          <w:sz w:val="21"/>
          <w:szCs w:val="21"/>
        </w:rPr>
      </w:pPr>
      <w:r>
        <w:rPr>
          <w:rFonts w:hint="eastAsia"/>
          <w:sz w:val="21"/>
          <w:szCs w:val="21"/>
        </w:rPr>
        <w:t xml:space="preserve">1）计算因子得分 </w:t>
      </w:r>
    </w:p>
    <w:p>
      <w:pPr>
        <w:pStyle w:val="7"/>
        <w:spacing w:before="0" w:beforeAutospacing="0" w:after="0" w:afterAutospacing="0" w:line="360" w:lineRule="auto"/>
        <w:ind w:firstLine="420"/>
        <w:rPr>
          <w:sz w:val="21"/>
          <w:szCs w:val="21"/>
        </w:rPr>
      </w:pPr>
      <w:r>
        <w:rPr>
          <w:rFonts w:hint="eastAsia"/>
          <w:sz w:val="21"/>
          <w:szCs w:val="21"/>
        </w:rPr>
        <w:t xml:space="preserve">国证大盘成长指数的因子得分计算如下： </w:t>
      </w:r>
    </w:p>
    <w:p>
      <w:pPr>
        <w:pStyle w:val="7"/>
        <w:spacing w:before="0" w:beforeAutospacing="0" w:after="0" w:afterAutospacing="0" w:line="360" w:lineRule="auto"/>
        <w:ind w:firstLine="420"/>
        <w:rPr>
          <w:sz w:val="21"/>
          <w:szCs w:val="21"/>
        </w:rPr>
      </w:pPr>
      <w:r>
        <w:rPr>
          <w:rFonts w:hint="eastAsia"/>
          <w:sz w:val="21"/>
          <w:szCs w:val="21"/>
        </w:rPr>
        <w:drawing>
          <wp:inline distT="0" distB="0" distL="0" distR="0">
            <wp:extent cx="1647825" cy="542925"/>
            <wp:effectExtent l="0" t="0" r="0" b="9525"/>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6"/>
                    <a:stretch>
                      <a:fillRect/>
                    </a:stretch>
                  </pic:blipFill>
                  <pic:spPr>
                    <a:xfrm>
                      <a:off x="0" y="0"/>
                      <a:ext cx="1648055" cy="543001"/>
                    </a:xfrm>
                    <a:prstGeom prst="rect">
                      <a:avLst/>
                    </a:prstGeom>
                  </pic:spPr>
                </pic:pic>
              </a:graphicData>
            </a:graphic>
          </wp:inline>
        </w:drawing>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Z</w:t>
      </w:r>
      <w:r>
        <w:rPr>
          <w:rFonts w:hint="eastAsia"/>
          <w:sz w:val="21"/>
          <w:szCs w:val="21"/>
          <w:vertAlign w:val="subscript"/>
        </w:rPr>
        <w:t>R</w:t>
      </w:r>
      <w:r>
        <w:rPr>
          <w:rFonts w:hint="eastAsia"/>
          <w:sz w:val="21"/>
          <w:szCs w:val="21"/>
        </w:rPr>
        <w:t>、Z</w:t>
      </w:r>
      <w:r>
        <w:rPr>
          <w:rFonts w:hint="eastAsia"/>
          <w:sz w:val="21"/>
          <w:szCs w:val="21"/>
          <w:vertAlign w:val="subscript"/>
        </w:rPr>
        <w:t>P</w:t>
      </w:r>
      <w:r>
        <w:rPr>
          <w:rFonts w:hint="eastAsia"/>
          <w:sz w:val="21"/>
          <w:szCs w:val="21"/>
        </w:rPr>
        <w:t>、Z</w:t>
      </w:r>
      <w:r>
        <w:rPr>
          <w:rFonts w:hint="eastAsia"/>
          <w:sz w:val="21"/>
          <w:szCs w:val="21"/>
          <w:vertAlign w:val="subscript"/>
        </w:rPr>
        <w:t>ROE</w:t>
      </w:r>
      <w:r>
        <w:rPr>
          <w:rFonts w:hint="eastAsia"/>
          <w:sz w:val="21"/>
          <w:szCs w:val="21"/>
        </w:rPr>
        <w:t xml:space="preserve">分别表示最近3年平均主营业务增长率、最近3年平均净利润增长率和净资产收益率等指标在样本空间内的标准化 Z 值。其中，计算增长率变量 Z 值时，先对原始指标数据做上下 10%的缩尾处理，以减少极值对标准化结果的影响 </w:t>
      </w:r>
    </w:p>
    <w:p>
      <w:pPr>
        <w:pStyle w:val="7"/>
        <w:spacing w:before="0" w:beforeAutospacing="0" w:after="0" w:afterAutospacing="0" w:line="360" w:lineRule="auto"/>
        <w:ind w:firstLine="420"/>
        <w:rPr>
          <w:sz w:val="21"/>
          <w:szCs w:val="21"/>
        </w:rPr>
      </w:pPr>
      <w:r>
        <w:rPr>
          <w:rFonts w:hint="eastAsia"/>
          <w:sz w:val="21"/>
          <w:szCs w:val="21"/>
        </w:rPr>
        <w:t xml:space="preserve">2）指数选样 </w:t>
      </w:r>
    </w:p>
    <w:p>
      <w:pPr>
        <w:pStyle w:val="7"/>
        <w:spacing w:before="0" w:beforeAutospacing="0" w:after="0" w:afterAutospacing="0" w:line="360" w:lineRule="auto"/>
        <w:ind w:firstLine="420"/>
        <w:rPr>
          <w:sz w:val="21"/>
          <w:szCs w:val="21"/>
        </w:rPr>
      </w:pPr>
      <w:r>
        <w:rPr>
          <w:rFonts w:hint="eastAsia"/>
          <w:sz w:val="21"/>
          <w:szCs w:val="21"/>
        </w:rPr>
        <w:t xml:space="preserve">对样本空间按照因子得分从高到低排序，选取排名靠前的 66 只证券作为指数样本。 </w:t>
      </w:r>
    </w:p>
    <w:p>
      <w:pPr>
        <w:pStyle w:val="7"/>
        <w:spacing w:before="0" w:beforeAutospacing="0" w:after="0" w:afterAutospacing="0" w:line="360" w:lineRule="auto"/>
        <w:ind w:firstLine="420"/>
        <w:rPr>
          <w:sz w:val="21"/>
          <w:szCs w:val="21"/>
        </w:rPr>
      </w:pPr>
      <w:r>
        <w:rPr>
          <w:rFonts w:hint="eastAsia"/>
          <w:sz w:val="21"/>
          <w:szCs w:val="21"/>
        </w:rPr>
        <w:t xml:space="preserve">（3）指数计算 </w:t>
      </w:r>
    </w:p>
    <w:p>
      <w:pPr>
        <w:pStyle w:val="7"/>
        <w:spacing w:before="0" w:beforeAutospacing="0" w:after="0" w:afterAutospacing="0" w:line="360" w:lineRule="auto"/>
        <w:ind w:firstLine="420"/>
        <w:rPr>
          <w:sz w:val="21"/>
          <w:szCs w:val="21"/>
        </w:rPr>
      </w:pPr>
      <w:r>
        <w:rPr>
          <w:rFonts w:hint="eastAsia"/>
          <w:sz w:val="21"/>
          <w:szCs w:val="21"/>
        </w:rPr>
        <w:t xml:space="preserve">指数采用派氏加权法，依据下列公式逐日连锁实时计算： </w:t>
      </w:r>
    </w:p>
    <w:p>
      <w:pPr>
        <w:pStyle w:val="7"/>
        <w:spacing w:before="0" w:beforeAutospacing="0" w:after="0" w:afterAutospacing="0" w:line="360" w:lineRule="auto"/>
        <w:ind w:firstLine="420"/>
        <w:rPr>
          <w:sz w:val="21"/>
          <w:szCs w:val="21"/>
        </w:rPr>
      </w:pPr>
      <w:r>
        <w:rPr>
          <w:rFonts w:hint="eastAsia"/>
          <w:sz w:val="21"/>
          <w:szCs w:val="21"/>
        </w:rPr>
        <w:drawing>
          <wp:inline distT="0" distB="0" distL="0" distR="0">
            <wp:extent cx="3042285" cy="253365"/>
            <wp:effectExtent l="0" t="0" r="5715"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7"/>
                    <a:stretch>
                      <a:fillRect/>
                    </a:stretch>
                  </pic:blipFill>
                  <pic:spPr>
                    <a:xfrm>
                      <a:off x="0" y="0"/>
                      <a:ext cx="3042605" cy="253550"/>
                    </a:xfrm>
                    <a:prstGeom prst="rect">
                      <a:avLst/>
                    </a:prstGeom>
                  </pic:spPr>
                </pic:pic>
              </a:graphicData>
            </a:graphic>
          </wp:inline>
        </w:drawing>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其中，样本权数调整方法参见指数计算与维护细则。 </w:t>
      </w:r>
    </w:p>
    <w:p>
      <w:pPr>
        <w:pStyle w:val="7"/>
        <w:spacing w:before="0" w:beforeAutospacing="0" w:after="0" w:afterAutospacing="0" w:line="360" w:lineRule="auto"/>
        <w:ind w:firstLine="420"/>
        <w:rPr>
          <w:sz w:val="21"/>
          <w:szCs w:val="21"/>
        </w:rPr>
      </w:pPr>
      <w:r>
        <w:rPr>
          <w:rFonts w:hint="eastAsia"/>
          <w:sz w:val="21"/>
          <w:szCs w:val="21"/>
        </w:rPr>
        <w:t xml:space="preserve">有关标的指数具体编制方案及成份股信息详见深圳证券信息有限公司网站，网址：http://www.cnindex.com.cn/。 </w:t>
      </w:r>
    </w:p>
    <w:p>
      <w:pPr>
        <w:pStyle w:val="7"/>
        <w:spacing w:before="0" w:beforeAutospacing="0" w:after="0" w:afterAutospacing="0" w:line="360" w:lineRule="auto"/>
        <w:ind w:firstLine="420"/>
        <w:rPr>
          <w:sz w:val="21"/>
          <w:szCs w:val="21"/>
        </w:rPr>
      </w:pPr>
      <w:r>
        <w:rPr>
          <w:rFonts w:hint="eastAsia"/>
          <w:sz w:val="21"/>
          <w:szCs w:val="21"/>
        </w:rPr>
        <w:t xml:space="preserve">证券投资基金是一种长期投资工具，其主要功能是分散投资，降低投资单一证券所带来的个别风险。证券投资基金不同于银行储蓄和债券等能够提供固定收益预期的金融工具，投资人购买基金，既可能按其持有份额分享基金投资所产生的收益，也可能承担基金投资所带来的损失。本基金属于股票型基金，其预期收益及预期风险水平高于混合型基金、债券型基金与货币市场基金。本基金为被动式投资的股票型指数基金，跟踪国证大盘成长指数，其风险收益特征与标的指数所表征的市场组合的风险收益特征相似。 </w:t>
      </w:r>
    </w:p>
    <w:p>
      <w:pPr>
        <w:pStyle w:val="7"/>
        <w:spacing w:before="0" w:beforeAutospacing="0" w:after="0" w:afterAutospacing="0" w:line="360" w:lineRule="auto"/>
        <w:ind w:firstLine="420"/>
        <w:rPr>
          <w:sz w:val="21"/>
          <w:szCs w:val="21"/>
        </w:rPr>
      </w:pPr>
      <w:r>
        <w:rPr>
          <w:rFonts w:hint="eastAsia"/>
          <w:sz w:val="21"/>
          <w:szCs w:val="21"/>
        </w:rPr>
        <w:t xml:space="preserve">因折算、分红等行为导致基金份额净值变化，不会改变基金的风险收益特征，不会降低基金投资风险或提高基金投资收益。本基金以1元初始面值开展基金募集或因折算、分红等行为导致基金份额净值调整至1元初始面值或1元附近，在市场波动等因素的影响下，基金投资仍有可能出现亏损或基金净值仍有可能低于初始面值。 </w:t>
      </w:r>
    </w:p>
    <w:p>
      <w:pPr>
        <w:pStyle w:val="7"/>
        <w:spacing w:before="0" w:beforeAutospacing="0" w:after="0" w:afterAutospacing="0" w:line="360" w:lineRule="auto"/>
        <w:ind w:firstLine="420"/>
        <w:rPr>
          <w:sz w:val="21"/>
          <w:szCs w:val="21"/>
        </w:rPr>
      </w:pPr>
      <w:r>
        <w:rPr>
          <w:rFonts w:hint="eastAsia"/>
          <w:sz w:val="21"/>
          <w:szCs w:val="21"/>
        </w:rPr>
        <w:t xml:space="preserve">本基金投资于证券市场，基金净值会因为证券市场波动等因素产生波动，投资人在投资本基金前，需充分了解本基金的产品特性，充分考虑自身的风险承受能力，理性判断市场，对投资本基金的意愿、时机、数量等投资行为作出独立决策，并承担基金投资中出现的各类风险，包括管理和操作风险、技术风险、本基金特有风险及其他风险等。特有风险包括：标的指数回报与股票市场平均回报偏离的风险、标的指数波动的风险、基金投资组合回报与标的指数回报偏离的风险、流动性风险、标的指数变更的风险、指数编制机构停止服务的风险、跟踪误差控制未达约定目标的风险、成份股停牌的风险、成份股退市的风险、基金份额二级市场交易价格折溢价的风险、基金份额参考净值决策和基金份额参考净值计算错误的风险、退市风险、投资人申购失败的风险、投资人赎回失败的风险、上海证券交易所上市的成份股可以现金替代方式的风险、赎回对价的变现风险、第三方机构服务的风险、参与股指期货、国债期货和股票期权的投资风险、资产支持证券（ABS）的风险、融资业务的主要风险、转融通证券出借的主要风险、投资于存托凭证的风险等，详见本招募说明书“风险揭示”章节。 </w:t>
      </w:r>
    </w:p>
    <w:p>
      <w:pPr>
        <w:pStyle w:val="7"/>
        <w:spacing w:before="0" w:beforeAutospacing="0" w:after="0" w:afterAutospacing="0" w:line="360" w:lineRule="auto"/>
        <w:ind w:firstLine="420"/>
        <w:rPr>
          <w:sz w:val="21"/>
          <w:szCs w:val="21"/>
        </w:rPr>
      </w:pPr>
      <w:r>
        <w:rPr>
          <w:rFonts w:hint="eastAsia"/>
          <w:sz w:val="21"/>
          <w:szCs w:val="21"/>
        </w:rPr>
        <w:t xml:space="preserve">本基金因特殊情况（比如流动性不足等）导致本基金无法有效复制和跟踪标的指数时，为更好地实现基金的投资目标，本基金可能会少量投资于依法发行上市的非成份股（包括创业板及其他经中国证监会核准或注册上市的股票和存托凭证）。 </w:t>
      </w:r>
    </w:p>
    <w:p>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pPr>
        <w:pStyle w:val="7"/>
        <w:spacing w:before="0" w:beforeAutospacing="0" w:after="0" w:afterAutospacing="0" w:line="360" w:lineRule="auto"/>
        <w:ind w:firstLine="420"/>
        <w:rPr>
          <w:sz w:val="21"/>
          <w:szCs w:val="21"/>
        </w:rPr>
      </w:pPr>
      <w:r>
        <w:rPr>
          <w:rFonts w:hint="eastAsia"/>
          <w:sz w:val="21"/>
          <w:szCs w:val="21"/>
        </w:rPr>
        <w:t xml:space="preserve">投资有风险，投资者认购（或申购）基金时应仔细阅读本基金的招募说明书、基金合同及基金产品资料概要，了解本基金的风险收益特征，并根据自身的投资目的、投资期限、投资经验、资产状况等判断基金是否和投资人的风险承受能力相适应。 </w:t>
      </w:r>
    </w:p>
    <w:p>
      <w:pPr>
        <w:pStyle w:val="7"/>
        <w:spacing w:before="0" w:beforeAutospacing="0" w:after="0" w:afterAutospacing="0" w:line="360" w:lineRule="auto"/>
        <w:ind w:firstLine="420"/>
        <w:rPr>
          <w:sz w:val="21"/>
          <w:szCs w:val="21"/>
        </w:rPr>
      </w:pPr>
      <w:r>
        <w:rPr>
          <w:rFonts w:hint="eastAsia"/>
          <w:sz w:val="21"/>
          <w:szCs w:val="21"/>
        </w:rPr>
        <w:t xml:space="preserve">基金管理人承诺以恪尽职守、诚实信用、谨慎勤勉的原则管理和运用基金资产，但不保证本基金一定盈利，也不保证最低收益。当投资人赎回时，所得会高于或低于投资人先前所支付的金额。本基金的过往业绩及其净值高低并不预示其未来业绩表现。基金管理人所管理的其他基金的业绩并不构成对本基金业绩表现的保证。基金管理人提醒投资人基金投资的“买者自负”原则，在做出投资决策后，基金运营状况与基金净值变化引致的投资风险，由投资人自行负担。 </w:t>
      </w:r>
    </w:p>
    <w:p>
      <w:pPr>
        <w:pStyle w:val="7"/>
        <w:spacing w:before="0" w:beforeAutospacing="0" w:after="0" w:afterAutospacing="0" w:line="360" w:lineRule="auto"/>
        <w:ind w:firstLine="420"/>
        <w:rPr>
          <w:sz w:val="21"/>
          <w:szCs w:val="21"/>
        </w:rPr>
      </w:pPr>
      <w:r>
        <w:rPr>
          <w:rFonts w:hint="eastAsia"/>
          <w:sz w:val="21"/>
          <w:szCs w:val="21"/>
        </w:rPr>
        <w:t xml:space="preserve">投资人应当通过申购、赎回代理券商办理基金申购、赎回业务，申购、赎回代理券商名单详见本基金《招募说明书》以及相关公告。 </w:t>
      </w:r>
    </w:p>
    <w:p>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2" w:name="field_2343_infoendday_1"/>
      <w:r>
        <w:rPr>
          <w:sz w:val="21"/>
          <w:szCs w:val="21"/>
        </w:rPr>
        <w:t>2025年11月10日</w:t>
      </w:r>
      <w:bookmarkEnd w:id="2"/>
      <w:r>
        <w:rPr>
          <w:rFonts w:hint="eastAsia"/>
          <w:sz w:val="21"/>
          <w:szCs w:val="21"/>
        </w:rPr>
        <w:t>，有关财务数据和净值表现截止日为</w:t>
      </w:r>
      <w:bookmarkStart w:id="3" w:name="field_2343_financeendday_1"/>
      <w:r>
        <w:rPr>
          <w:sz w:val="21"/>
          <w:szCs w:val="21"/>
        </w:rPr>
        <w:t>2025年9月30日</w:t>
      </w:r>
      <w:bookmarkEnd w:id="3"/>
      <w:r>
        <w:rPr>
          <w:rFonts w:hint="eastAsia"/>
          <w:sz w:val="21"/>
          <w:szCs w:val="21"/>
        </w:rPr>
        <w:t xml:space="preserve">（财务数据未经审计）。 </w:t>
      </w:r>
      <w:r>
        <w:rPr>
          <w:sz w:val="30"/>
        </w:rPr>
        <w:br w:type="page"/>
      </w:r>
    </w:p>
    <w:p>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pPr>
        <w:pStyle w:val="6"/>
        <w:tabs>
          <w:tab w:val="right" w:leader="dot" w:pos="8290"/>
        </w:tabs>
        <w:spacing w:line="360" w:lineRule="auto"/>
        <w:rPr>
          <w:rFonts w:ascii="宋体" w:hAnsi="宋体" w:eastAsia="宋体"/>
        </w:rPr>
      </w:pPr>
      <w:r>
        <w:fldChar w:fldCharType="begin"/>
      </w:r>
      <w:r>
        <w:instrText xml:space="preserve"> HYPERLINK \l "_Toc213857336"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_Toc213857336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"_Toc213857337"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_Toc213857337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"_Toc213857338"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_Toc213857338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"_Toc213857365"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_Toc213857365 \h </w:instrText>
      </w:r>
      <w:r>
        <w:rPr>
          <w:rFonts w:ascii="宋体" w:hAnsi="宋体" w:eastAsia="宋体"/>
        </w:rPr>
        <w:fldChar w:fldCharType="separate"/>
      </w:r>
      <w:r>
        <w:rPr>
          <w:rFonts w:ascii="宋体" w:hAnsi="宋体" w:eastAsia="宋体"/>
        </w:rPr>
        <w:t>13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"_Toc213857366"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_Toc213857366 \h </w:instrText>
      </w:r>
      <w:r>
        <w:rPr>
          <w:rFonts w:ascii="宋体" w:hAnsi="宋体" w:eastAsia="宋体"/>
        </w:rPr>
        <w:fldChar w:fldCharType="separate"/>
      </w:r>
      <w:r>
        <w:rPr>
          <w:rFonts w:ascii="宋体" w:hAnsi="宋体" w:eastAsia="宋体"/>
        </w:rPr>
        <w:t>23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"_Toc213857367"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_Toc213857367 \h </w:instrText>
      </w:r>
      <w:r>
        <w:rPr>
          <w:rFonts w:ascii="宋体" w:hAnsi="宋体" w:eastAsia="宋体"/>
        </w:rPr>
        <w:fldChar w:fldCharType="separate"/>
      </w:r>
      <w:r>
        <w:rPr>
          <w:rFonts w:ascii="宋体" w:hAnsi="宋体" w:eastAsia="宋体"/>
        </w:rPr>
        <w:t>26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"_Toc213857368"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_Toc213857368 \h </w:instrText>
      </w:r>
      <w:r>
        <w:rPr>
          <w:rFonts w:ascii="宋体" w:hAnsi="宋体" w:eastAsia="宋体"/>
        </w:rPr>
        <w:fldChar w:fldCharType="separate"/>
      </w:r>
      <w:r>
        <w:rPr>
          <w:rFonts w:ascii="宋体" w:hAnsi="宋体" w:eastAsia="宋体"/>
        </w:rPr>
        <w:t>38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"_Toc213857369"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基金的份额折算与变更登记</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_Toc213857369 \h </w:instrText>
      </w:r>
      <w:r>
        <w:rPr>
          <w:rFonts w:ascii="宋体" w:hAnsi="宋体" w:eastAsia="宋体"/>
        </w:rPr>
        <w:fldChar w:fldCharType="separate"/>
      </w:r>
      <w:r>
        <w:rPr>
          <w:rFonts w:ascii="宋体" w:hAnsi="宋体" w:eastAsia="宋体"/>
        </w:rPr>
        <w:t>39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"_Toc213857370"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基金份额的上市交易</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_Toc213857370 \h </w:instrText>
      </w:r>
      <w:r>
        <w:rPr>
          <w:rFonts w:ascii="宋体" w:hAnsi="宋体" w:eastAsia="宋体"/>
        </w:rPr>
        <w:fldChar w:fldCharType="separate"/>
      </w:r>
      <w:r>
        <w:rPr>
          <w:rFonts w:ascii="宋体" w:hAnsi="宋体" w:eastAsia="宋体"/>
        </w:rPr>
        <w:t>40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"_Toc213857371"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_Toc213857371 \h </w:instrText>
      </w:r>
      <w:r>
        <w:rPr>
          <w:rFonts w:ascii="宋体" w:hAnsi="宋体" w:eastAsia="宋体"/>
        </w:rPr>
        <w:fldChar w:fldCharType="separate"/>
      </w:r>
      <w:r>
        <w:rPr>
          <w:rFonts w:ascii="宋体" w:hAnsi="宋体" w:eastAsia="宋体"/>
        </w:rPr>
        <w:t>42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"_Toc213857372"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_Toc213857372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"_Toc213857373"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_Toc213857373 \h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"_Toc213857374"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_Toc213857374 \h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"_Toc213857375"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_Toc213857375 \h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"_Toc213857376"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_Toc213857376 \h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"_Toc213857377"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_Toc213857377 \h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"_Toc213857378"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_Toc213857378 \h </w:instrText>
      </w:r>
      <w:r>
        <w:rPr>
          <w:rFonts w:ascii="宋体" w:hAnsi="宋体" w:eastAsia="宋体"/>
        </w:rPr>
        <w:fldChar w:fldCharType="separate"/>
      </w:r>
      <w:r>
        <w:rPr>
          <w:rFonts w:ascii="宋体" w:hAnsi="宋体" w:eastAsia="宋体"/>
        </w:rPr>
        <w:t>86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"_Toc213857379"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基金的信息披露</w:t>
      </w:r>
      <w:bookmarkStart w:id="208" w:name="_GoBack"/>
      <w:bookmarkEnd w:id="208"/>
      <w:r>
        <w:rPr>
          <w:rFonts w:ascii="宋体" w:hAnsi="宋体" w:eastAsia="宋体"/>
        </w:rPr>
        <w:tab/>
      </w:r>
      <w:r>
        <w:rPr>
          <w:rFonts w:ascii="宋体" w:hAnsi="宋体" w:eastAsia="宋体"/>
        </w:rPr>
        <w:fldChar w:fldCharType="begin"/>
      </w:r>
      <w:r>
        <w:rPr>
          <w:rFonts w:ascii="宋体" w:hAnsi="宋体" w:eastAsia="宋体"/>
        </w:rPr>
        <w:instrText xml:space="preserve"> PAGEREF _Toc213857379 \h </w:instrText>
      </w:r>
      <w:r>
        <w:rPr>
          <w:rFonts w:ascii="宋体" w:hAnsi="宋体" w:eastAsia="宋体"/>
        </w:rPr>
        <w:fldChar w:fldCharType="separate"/>
      </w:r>
      <w:r>
        <w:rPr>
          <w:rFonts w:ascii="宋体" w:hAnsi="宋体" w:eastAsia="宋体"/>
        </w:rPr>
        <w:t>87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"_Toc213857380"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_Toc213857380 \h </w:instrText>
      </w:r>
      <w:r>
        <w:rPr>
          <w:rFonts w:ascii="宋体" w:hAnsi="宋体" w:eastAsia="宋体"/>
        </w:rPr>
        <w:fldChar w:fldCharType="separate"/>
      </w:r>
      <w:r>
        <w:rPr>
          <w:rFonts w:ascii="宋体" w:hAnsi="宋体" w:eastAsia="宋体"/>
        </w:rPr>
        <w:t>94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"_Toc213857381"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_Toc213857381 \h </w:instrText>
      </w:r>
      <w:r>
        <w:rPr>
          <w:rFonts w:ascii="宋体" w:hAnsi="宋体" w:eastAsia="宋体"/>
        </w:rPr>
        <w:fldChar w:fldCharType="separate"/>
      </w:r>
      <w:r>
        <w:rPr>
          <w:rFonts w:ascii="宋体" w:hAnsi="宋体" w:eastAsia="宋体"/>
        </w:rPr>
        <w:t>102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"_Toc213857382"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_Toc213857382 \h </w:instrText>
      </w:r>
      <w:r>
        <w:rPr>
          <w:rFonts w:ascii="宋体" w:hAnsi="宋体" w:eastAsia="宋体"/>
        </w:rPr>
        <w:fldChar w:fldCharType="separate"/>
      </w:r>
      <w:r>
        <w:rPr>
          <w:rFonts w:ascii="宋体" w:hAnsi="宋体" w:eastAsia="宋体"/>
        </w:rPr>
        <w:t>104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"_Toc213857383"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_Toc213857383 \h </w:instrText>
      </w:r>
      <w:r>
        <w:rPr>
          <w:rFonts w:ascii="宋体" w:hAnsi="宋体" w:eastAsia="宋体"/>
        </w:rPr>
        <w:fldChar w:fldCharType="separate"/>
      </w:r>
      <w:r>
        <w:rPr>
          <w:rFonts w:ascii="宋体" w:hAnsi="宋体" w:eastAsia="宋体"/>
        </w:rPr>
        <w:t>120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"_Toc213857384"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_Toc213857384 \h </w:instrText>
      </w:r>
      <w:r>
        <w:rPr>
          <w:rFonts w:ascii="宋体" w:hAnsi="宋体" w:eastAsia="宋体"/>
        </w:rPr>
        <w:fldChar w:fldCharType="separate"/>
      </w:r>
      <w:r>
        <w:rPr>
          <w:rFonts w:ascii="宋体" w:hAnsi="宋体" w:eastAsia="宋体"/>
        </w:rPr>
        <w:t>137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"_Toc213857385"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_Toc213857385 \h </w:instrText>
      </w:r>
      <w:r>
        <w:rPr>
          <w:rFonts w:ascii="宋体" w:hAnsi="宋体" w:eastAsia="宋体"/>
        </w:rPr>
        <w:fldChar w:fldCharType="separate"/>
      </w:r>
      <w:r>
        <w:rPr>
          <w:rFonts w:ascii="宋体" w:hAnsi="宋体" w:eastAsia="宋体"/>
        </w:rPr>
        <w:t>138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"_Toc213857386"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_Toc213857386 \h </w:instrText>
      </w:r>
      <w:r>
        <w:rPr>
          <w:rFonts w:ascii="宋体" w:hAnsi="宋体" w:eastAsia="宋体"/>
        </w:rPr>
        <w:fldChar w:fldCharType="separate"/>
      </w:r>
      <w:r>
        <w:rPr>
          <w:rFonts w:ascii="宋体" w:hAnsi="宋体" w:eastAsia="宋体"/>
        </w:rPr>
        <w:t>140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"_Toc213857387" </w:instrText>
      </w:r>
      <w:r>
        <w:fldChar w:fldCharType="separate"/>
      </w:r>
      <w:r>
        <w:rPr>
          <w:rStyle w:val="12"/>
          <w:rFonts w:hint="eastAsia" w:ascii="宋体" w:hAnsi="宋体" w:eastAsia="宋体"/>
          <w:u w:val="none"/>
        </w:rPr>
        <w:t>第二十五部分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_Toc213857387 \h </w:instrText>
      </w:r>
      <w:r>
        <w:rPr>
          <w:rFonts w:ascii="宋体" w:hAnsi="宋体" w:eastAsia="宋体"/>
        </w:rPr>
        <w:fldChar w:fldCharType="separate"/>
      </w:r>
      <w:r>
        <w:rPr>
          <w:rFonts w:ascii="宋体" w:hAnsi="宋体" w:eastAsia="宋体"/>
        </w:rPr>
        <w:t>141</w:t>
      </w:r>
      <w:r>
        <w:rPr>
          <w:rFonts w:ascii="宋体" w:hAnsi="宋体" w:eastAsia="宋体"/>
        </w:rPr>
        <w:fldChar w:fldCharType="end"/>
      </w:r>
      <w:r>
        <w:rPr>
          <w:rFonts w:ascii="宋体" w:hAnsi="宋体" w:eastAsia="宋体"/>
        </w:rPr>
        <w:fldChar w:fldCharType="end"/>
      </w:r>
    </w:p>
    <w:p>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pPr>
        <w:pStyle w:val="2"/>
        <w:jc w:val="center"/>
        <w:rPr>
          <w:rFonts w:ascii="宋体" w:hAnsi="宋体" w:eastAsia="宋体"/>
          <w:sz w:val="30"/>
        </w:rPr>
      </w:pPr>
      <w:bookmarkStart w:id="4" w:name="_Toc213857337"/>
      <w:bookmarkStart w:id="5" w:name="chapter_level1_3_2344"/>
      <w:r>
        <w:rPr>
          <w:rFonts w:hint="eastAsia" w:ascii="宋体" w:hAnsi="宋体" w:eastAsia="宋体"/>
          <w:sz w:val="30"/>
        </w:rPr>
        <w:t>第一部分  绪言</w:t>
      </w:r>
      <w:bookmarkEnd w:id="4"/>
      <w:bookmarkEnd w:id="5"/>
    </w:p>
    <w:p>
      <w:pPr>
        <w:pStyle w:val="7"/>
        <w:spacing w:before="0" w:beforeAutospacing="0" w:after="0" w:afterAutospacing="0" w:line="360" w:lineRule="auto"/>
        <w:ind w:firstLine="420"/>
        <w:rPr>
          <w:sz w:val="21"/>
          <w:szCs w:val="21"/>
        </w:rPr>
      </w:pPr>
      <w:bookmarkStart w:id="6" w:name="chapter_level1_3_2344_section_1"/>
      <w:bookmarkEnd w:id="6"/>
      <w:r>
        <w:rPr>
          <w:rFonts w:hint="eastAsia"/>
          <w:sz w:val="21"/>
          <w:szCs w:val="21"/>
        </w:rPr>
        <w:t>《</w:t>
      </w:r>
      <w:bookmarkStart w:id="7" w:name="field_0_productfullname_2"/>
      <w:r>
        <w:rPr>
          <w:rFonts w:hint="eastAsia"/>
          <w:sz w:val="21"/>
          <w:szCs w:val="21"/>
        </w:rPr>
        <w:t>博时国证大盘成长交易型开放式指数证券投资基金</w:t>
      </w:r>
      <w:bookmarkEnd w:id="7"/>
      <w:r>
        <w:rPr>
          <w:rFonts w:hint="eastAsia"/>
          <w:sz w:val="21"/>
          <w:szCs w:val="21"/>
        </w:rPr>
        <w:t>招募说明书》（以下简称“招募说明书”或“本招募说明书”）依照《中华人民共和国证券法》(以下简称“《证券法》”)、《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以及《</w:t>
      </w:r>
      <w:bookmarkStart w:id="8" w:name="field_0_productfullname_3"/>
      <w:r>
        <w:rPr>
          <w:rFonts w:hint="eastAsia"/>
          <w:sz w:val="21"/>
          <w:szCs w:val="21"/>
        </w:rPr>
        <w:t>博时国证大盘成长交易型开放式指数证券投资基金</w:t>
      </w:r>
      <w:bookmarkEnd w:id="8"/>
      <w:r>
        <w:rPr>
          <w:rFonts w:hint="eastAsia"/>
          <w:sz w:val="21"/>
          <w:szCs w:val="21"/>
        </w:rPr>
        <w:t xml:space="preserve">基金合同》（以下简称“基金合同”）编写。 </w:t>
      </w:r>
    </w:p>
    <w:p>
      <w:pPr>
        <w:pStyle w:val="7"/>
        <w:spacing w:before="0" w:beforeAutospacing="0" w:after="0" w:afterAutospacing="0" w:line="360" w:lineRule="auto"/>
        <w:ind w:firstLine="420"/>
        <w:rPr>
          <w:sz w:val="21"/>
          <w:szCs w:val="21"/>
        </w:rPr>
      </w:pPr>
      <w:r>
        <w:rPr>
          <w:rFonts w:hint="eastAsia"/>
          <w:sz w:val="21"/>
          <w:szCs w:val="21"/>
        </w:rPr>
        <w:t>本招募说明书阐述了</w:t>
      </w:r>
      <w:bookmarkStart w:id="9" w:name="field_0_productfullname_4"/>
      <w:r>
        <w:rPr>
          <w:rFonts w:hint="eastAsia"/>
          <w:sz w:val="21"/>
          <w:szCs w:val="21"/>
        </w:rPr>
        <w:t>博时国证大盘成长交易型开放式指数证券投资基金</w:t>
      </w:r>
      <w:bookmarkEnd w:id="9"/>
      <w:r>
        <w:rPr>
          <w:rFonts w:hint="eastAsia"/>
          <w:sz w:val="21"/>
          <w:szCs w:val="21"/>
        </w:rPr>
        <w:t xml:space="preserve">的投资目标、策略、风险、费率等与投资人投资决策有关的必要事项，投资人在作出投资决策前应仔细阅读本招募说明书。 </w:t>
      </w:r>
    </w:p>
    <w:p>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pPr>
        <w:pStyle w:val="7"/>
        <w:spacing w:before="0" w:beforeAutospacing="0" w:after="0" w:afterAutospacing="0" w:line="360" w:lineRule="auto"/>
        <w:ind w:firstLine="420"/>
        <w:rPr>
          <w:sz w:val="21"/>
          <w:szCs w:val="21"/>
        </w:rPr>
      </w:pPr>
      <w:bookmarkStart w:id="10" w:name="field_0_productfullname_5"/>
      <w:r>
        <w:rPr>
          <w:rFonts w:hint="eastAsia"/>
          <w:sz w:val="21"/>
          <w:szCs w:val="21"/>
        </w:rPr>
        <w:t>博时国证大盘成长交易型开放式指数证券投资基金</w:t>
      </w:r>
      <w:bookmarkEnd w:id="10"/>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w:t>
      </w:r>
      <w:bookmarkStart w:id="11" w:name="chapter_level1_3_2344_section_1_end"/>
      <w:bookmarkEnd w:id="11"/>
      <w:r>
        <w:rPr>
          <w:rFonts w:hint="eastAsia"/>
          <w:sz w:val="21"/>
          <w:szCs w:val="21"/>
        </w:rPr>
        <w:t xml:space="preserve">金合同。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2" w:name="_Toc213857338"/>
      <w:bookmarkStart w:id="13" w:name="chapter_level1_4_49"/>
      <w:r>
        <w:rPr>
          <w:rFonts w:hint="eastAsia" w:ascii="宋体" w:hAnsi="宋体" w:eastAsia="宋体"/>
          <w:sz w:val="30"/>
        </w:rPr>
        <w:t>第二部分  释义</w:t>
      </w:r>
      <w:bookmarkEnd w:id="12"/>
      <w:bookmarkEnd w:id="13"/>
    </w:p>
    <w:p>
      <w:pPr>
        <w:pStyle w:val="7"/>
        <w:spacing w:before="0" w:beforeAutospacing="0" w:after="0" w:afterAutospacing="0" w:line="360" w:lineRule="auto"/>
        <w:ind w:firstLine="420"/>
        <w:rPr>
          <w:sz w:val="21"/>
          <w:szCs w:val="21"/>
        </w:rPr>
      </w:pPr>
      <w:bookmarkStart w:id="14" w:name="chapter_level1_4_49_section_1"/>
      <w:bookmarkEnd w:id="14"/>
      <w:r>
        <w:rPr>
          <w:rFonts w:hint="eastAsia"/>
          <w:sz w:val="21"/>
          <w:szCs w:val="21"/>
        </w:rPr>
        <w:t xml:space="preserve">在本招募说明书中，除非文意另有所指，下列词语或简称具有如下含义： </w:t>
      </w:r>
    </w:p>
    <w:p>
      <w:pPr>
        <w:pStyle w:val="7"/>
        <w:spacing w:before="0" w:beforeAutospacing="0" w:after="0" w:afterAutospacing="0" w:line="360" w:lineRule="auto"/>
        <w:ind w:firstLine="420"/>
        <w:rPr>
          <w:sz w:val="21"/>
          <w:szCs w:val="21"/>
        </w:rPr>
      </w:pPr>
      <w:r>
        <w:rPr>
          <w:rFonts w:hint="eastAsia"/>
          <w:sz w:val="21"/>
          <w:szCs w:val="21"/>
        </w:rPr>
        <w:t>1.基金或本基金：指</w:t>
      </w:r>
      <w:bookmarkStart w:id="15" w:name="field_0_productfullname_6"/>
      <w:r>
        <w:rPr>
          <w:rFonts w:hint="eastAsia"/>
          <w:sz w:val="21"/>
          <w:szCs w:val="21"/>
        </w:rPr>
        <w:t>博时国证大盘成长交易型开放式指数证券投资基金</w:t>
      </w:r>
      <w:bookmarkEnd w:id="15"/>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2.基金管理人：指博时基金管理有限公司 </w:t>
      </w:r>
    </w:p>
    <w:p>
      <w:pPr>
        <w:pStyle w:val="7"/>
        <w:spacing w:before="0" w:beforeAutospacing="0" w:after="0" w:afterAutospacing="0" w:line="360" w:lineRule="auto"/>
        <w:ind w:firstLine="420"/>
        <w:rPr>
          <w:sz w:val="21"/>
          <w:szCs w:val="21"/>
        </w:rPr>
      </w:pPr>
      <w:r>
        <w:rPr>
          <w:rFonts w:hint="eastAsia"/>
          <w:sz w:val="21"/>
          <w:szCs w:val="21"/>
        </w:rPr>
        <w:t>3.基金托管人：指</w:t>
      </w:r>
      <w:bookmarkStart w:id="16" w:name="field_0_trustorgfullname_1"/>
      <w:r>
        <w:rPr>
          <w:rFonts w:hint="eastAsia"/>
          <w:sz w:val="21"/>
          <w:szCs w:val="21"/>
        </w:rPr>
        <w:t>国泰海通证券股份有限公司</w:t>
      </w:r>
      <w:bookmarkEnd w:id="16"/>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4.基金合同：指《</w:t>
      </w:r>
      <w:bookmarkStart w:id="17" w:name="field_0_productfullname_7"/>
      <w:r>
        <w:rPr>
          <w:rFonts w:hint="eastAsia"/>
          <w:sz w:val="21"/>
          <w:szCs w:val="21"/>
        </w:rPr>
        <w:t>博时国证大盘成长交易型开放式指数证券投资基金</w:t>
      </w:r>
      <w:bookmarkEnd w:id="17"/>
      <w:r>
        <w:rPr>
          <w:rFonts w:hint="eastAsia"/>
          <w:sz w:val="21"/>
          <w:szCs w:val="21"/>
        </w:rPr>
        <w:t xml:space="preserve">基金合同》及对基金合同的任何有效修订和补充 </w:t>
      </w:r>
    </w:p>
    <w:p>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18" w:name="field_0_productfullname_8"/>
      <w:r>
        <w:rPr>
          <w:rFonts w:hint="eastAsia"/>
          <w:sz w:val="21"/>
          <w:szCs w:val="21"/>
        </w:rPr>
        <w:t>博时国证大盘成长交易型开放式指数证券投资基金</w:t>
      </w:r>
      <w:bookmarkEnd w:id="18"/>
      <w:r>
        <w:rPr>
          <w:rFonts w:hint="eastAsia"/>
          <w:sz w:val="21"/>
          <w:szCs w:val="21"/>
        </w:rPr>
        <w:t xml:space="preserve">托管协议》及对该托管协议的任何有效修订和补充 </w:t>
      </w:r>
    </w:p>
    <w:p>
      <w:pPr>
        <w:pStyle w:val="7"/>
        <w:spacing w:before="0" w:beforeAutospacing="0" w:after="0" w:afterAutospacing="0" w:line="360" w:lineRule="auto"/>
        <w:ind w:firstLine="420"/>
        <w:rPr>
          <w:sz w:val="21"/>
          <w:szCs w:val="21"/>
        </w:rPr>
      </w:pPr>
      <w:r>
        <w:rPr>
          <w:rFonts w:hint="eastAsia"/>
          <w:sz w:val="21"/>
          <w:szCs w:val="21"/>
        </w:rPr>
        <w:t>6.招募说明书或者本招募说明书：指《</w:t>
      </w:r>
      <w:bookmarkStart w:id="19" w:name="field_0_productfullname_9"/>
      <w:r>
        <w:rPr>
          <w:rFonts w:hint="eastAsia"/>
          <w:sz w:val="21"/>
          <w:szCs w:val="21"/>
        </w:rPr>
        <w:t>博时国证大盘成长交易型开放式指数证券投资基金</w:t>
      </w:r>
      <w:bookmarkEnd w:id="19"/>
      <w:r>
        <w:rPr>
          <w:rFonts w:hint="eastAsia"/>
          <w:sz w:val="21"/>
          <w:szCs w:val="21"/>
        </w:rPr>
        <w:t xml:space="preserve">招募说明书》及其更新 </w:t>
      </w:r>
    </w:p>
    <w:p>
      <w:pPr>
        <w:pStyle w:val="7"/>
        <w:spacing w:before="0" w:beforeAutospacing="0" w:after="0" w:afterAutospacing="0" w:line="360" w:lineRule="auto"/>
        <w:ind w:firstLine="420"/>
        <w:rPr>
          <w:sz w:val="21"/>
          <w:szCs w:val="21"/>
        </w:rPr>
      </w:pPr>
      <w:r>
        <w:rPr>
          <w:rFonts w:hint="eastAsia"/>
          <w:sz w:val="21"/>
          <w:szCs w:val="21"/>
        </w:rPr>
        <w:t>7.基金产品资料概要：指《</w:t>
      </w:r>
      <w:bookmarkStart w:id="20" w:name="field_0_productfullname_10"/>
      <w:r>
        <w:rPr>
          <w:rFonts w:hint="eastAsia"/>
          <w:sz w:val="21"/>
          <w:szCs w:val="21"/>
        </w:rPr>
        <w:t>博时国证大盘成长交易型开放式指数证券投资基金</w:t>
      </w:r>
      <w:bookmarkEnd w:id="20"/>
      <w:r>
        <w:rPr>
          <w:rFonts w:hint="eastAsia"/>
          <w:sz w:val="21"/>
          <w:szCs w:val="21"/>
        </w:rPr>
        <w:t xml:space="preserve">基金产品资料概要》及其更新 </w:t>
      </w:r>
    </w:p>
    <w:p>
      <w:pPr>
        <w:pStyle w:val="7"/>
        <w:spacing w:before="0" w:beforeAutospacing="0" w:after="0" w:afterAutospacing="0" w:line="360" w:lineRule="auto"/>
        <w:ind w:firstLine="420"/>
        <w:rPr>
          <w:sz w:val="21"/>
          <w:szCs w:val="21"/>
        </w:rPr>
      </w:pPr>
      <w:r>
        <w:rPr>
          <w:rFonts w:hint="eastAsia"/>
          <w:sz w:val="21"/>
          <w:szCs w:val="21"/>
        </w:rPr>
        <w:t>8.基金份额发售公告：指《</w:t>
      </w:r>
      <w:bookmarkStart w:id="21" w:name="field_0_productfullname_11"/>
      <w:r>
        <w:rPr>
          <w:rFonts w:hint="eastAsia"/>
          <w:sz w:val="21"/>
          <w:szCs w:val="21"/>
        </w:rPr>
        <w:t>博时国证大盘成长交易型开放式指数证券投资基金</w:t>
      </w:r>
      <w:bookmarkEnd w:id="21"/>
      <w:r>
        <w:rPr>
          <w:rFonts w:hint="eastAsia"/>
          <w:sz w:val="21"/>
          <w:szCs w:val="21"/>
        </w:rPr>
        <w:t xml:space="preserve">基金份额发售公告》 </w:t>
      </w:r>
    </w:p>
    <w:p>
      <w:pPr>
        <w:pStyle w:val="7"/>
        <w:spacing w:before="0" w:beforeAutospacing="0" w:after="0" w:afterAutospacing="0" w:line="360" w:lineRule="auto"/>
        <w:ind w:firstLine="420"/>
        <w:rPr>
          <w:sz w:val="21"/>
          <w:szCs w:val="21"/>
        </w:rPr>
      </w:pPr>
      <w:r>
        <w:rPr>
          <w:rFonts w:hint="eastAsia"/>
          <w:sz w:val="21"/>
          <w:szCs w:val="21"/>
        </w:rPr>
        <w:t>9.上市交易公告书：指《</w:t>
      </w:r>
      <w:bookmarkStart w:id="22" w:name="field_0_productfullname_12"/>
      <w:r>
        <w:rPr>
          <w:rFonts w:hint="eastAsia"/>
          <w:sz w:val="21"/>
          <w:szCs w:val="21"/>
        </w:rPr>
        <w:t>博时国证大盘成长交易型开放式指数证券投资基金</w:t>
      </w:r>
      <w:bookmarkEnd w:id="22"/>
      <w:r>
        <w:rPr>
          <w:rFonts w:hint="eastAsia"/>
          <w:sz w:val="21"/>
          <w:szCs w:val="21"/>
        </w:rPr>
        <w:t xml:space="preserve">上市交易公告书》 </w:t>
      </w:r>
    </w:p>
    <w:p>
      <w:pPr>
        <w:pStyle w:val="7"/>
        <w:spacing w:before="0" w:beforeAutospacing="0" w:after="0" w:afterAutospacing="0" w:line="360" w:lineRule="auto"/>
        <w:ind w:firstLine="420"/>
        <w:rPr>
          <w:sz w:val="21"/>
          <w:szCs w:val="21"/>
        </w:rPr>
      </w:pPr>
      <w:r>
        <w:rPr>
          <w:rFonts w:hint="eastAsia"/>
          <w:sz w:val="21"/>
          <w:szCs w:val="21"/>
        </w:rPr>
        <w:t xml:space="preserve">10.法律法规：指中国现行有效并公布实施的法律、行政法规、规范性文件、司法解释、行政规章以及其他对基金合同当事人有约束力的决定、决议、通知等 </w:t>
      </w:r>
    </w:p>
    <w:p>
      <w:pPr>
        <w:pStyle w:val="7"/>
        <w:spacing w:before="0" w:beforeAutospacing="0" w:after="0" w:afterAutospacing="0" w:line="360" w:lineRule="auto"/>
        <w:ind w:firstLine="420"/>
        <w:rPr>
          <w:sz w:val="21"/>
          <w:szCs w:val="21"/>
        </w:rPr>
      </w:pPr>
      <w:r>
        <w:rPr>
          <w:rFonts w:hint="eastAsia"/>
          <w:sz w:val="21"/>
          <w:szCs w:val="21"/>
        </w:rPr>
        <w:t xml:space="preserve">11.《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12.《销售办法》：指中国证监会2020年8月28日颁布、同年10月1日实施的《公开募集证券投资基金销售机构监督管理办法》及颁布机关对其不时做出的修订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13.《信息披露办法》：指中国证监会2019年7月26日颁布、同年9月1日实施，并经2020年3月20日中国证监会《关于修改部分证券期货规章的决定》修改的《公开募集证券投资基金信息披露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14.《运作办法》：指中国证监会2014年7月7日颁布、同年8月8日实施的《公开募集证券投资基金运作管理办法》及颁布机关对其不时做出的修订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15.《流动性风险管理规定》：指中国证监会2017年8月31日颁布、同年10月1日实施的《公开募集开放式证券投资基金流动性风险管理规定》及颁布机关对其不时做出的修订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16.《指数基金指引》：指中国证监会2021年1月22日颁布、同年2月1日实施的《公开募集证券投资基金运作指引第3号——指数基金指引》及颁布机关对其不时做出的修订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17.业务规则：指深圳证券交易所、登记机构等相关机构发布的其他相关规则及其不时做出的修订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18.中国证监会：指中国证券监督管理委员会 </w:t>
      </w:r>
    </w:p>
    <w:p>
      <w:pPr>
        <w:pStyle w:val="7"/>
        <w:spacing w:before="0" w:beforeAutospacing="0" w:after="0" w:afterAutospacing="0" w:line="360" w:lineRule="auto"/>
        <w:ind w:firstLine="420"/>
        <w:rPr>
          <w:sz w:val="21"/>
          <w:szCs w:val="21"/>
        </w:rPr>
      </w:pPr>
      <w:r>
        <w:rPr>
          <w:rFonts w:hint="eastAsia"/>
          <w:sz w:val="21"/>
          <w:szCs w:val="21"/>
        </w:rPr>
        <w:t xml:space="preserve">19.基金合同当事人：指受基金合同约束，根据基金合同享有权利并承担义务的法律主体，包括基金管理人、基金托管人和基金份额持有人 </w:t>
      </w:r>
    </w:p>
    <w:p>
      <w:pPr>
        <w:pStyle w:val="7"/>
        <w:spacing w:before="0" w:beforeAutospacing="0" w:after="0" w:afterAutospacing="0" w:line="360" w:lineRule="auto"/>
        <w:ind w:firstLine="420"/>
        <w:rPr>
          <w:sz w:val="21"/>
          <w:szCs w:val="21"/>
        </w:rPr>
      </w:pPr>
      <w:r>
        <w:rPr>
          <w:rFonts w:hint="eastAsia"/>
          <w:sz w:val="21"/>
          <w:szCs w:val="21"/>
        </w:rPr>
        <w:t xml:space="preserve">20.个人投资者：指依据有关法律法规规定可投资于证券投资基金的自然人 </w:t>
      </w:r>
    </w:p>
    <w:p>
      <w:pPr>
        <w:pStyle w:val="7"/>
        <w:spacing w:before="0" w:beforeAutospacing="0" w:after="0" w:afterAutospacing="0" w:line="360" w:lineRule="auto"/>
        <w:ind w:firstLine="420"/>
        <w:rPr>
          <w:sz w:val="21"/>
          <w:szCs w:val="21"/>
        </w:rPr>
      </w:pPr>
      <w:r>
        <w:rPr>
          <w:rFonts w:hint="eastAsia"/>
          <w:sz w:val="21"/>
          <w:szCs w:val="21"/>
        </w:rPr>
        <w:t xml:space="preserve">21.机构投资者：指依法可以投资证券投资基金的、在中华人民共和国境内合法登记并存续或经有关政府部门批准设立并存续的企业法人、事业法人、社会团体或其他组织 </w:t>
      </w:r>
    </w:p>
    <w:p>
      <w:pPr>
        <w:pStyle w:val="7"/>
        <w:spacing w:before="0" w:beforeAutospacing="0" w:after="0" w:afterAutospacing="0" w:line="360" w:lineRule="auto"/>
        <w:ind w:firstLine="420"/>
        <w:rPr>
          <w:sz w:val="21"/>
          <w:szCs w:val="21"/>
        </w:rPr>
      </w:pPr>
      <w:r>
        <w:rPr>
          <w:rFonts w:hint="eastAsia"/>
          <w:sz w:val="21"/>
          <w:szCs w:val="21"/>
        </w:rPr>
        <w:t xml:space="preserve">22.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 </w:t>
      </w:r>
    </w:p>
    <w:p>
      <w:pPr>
        <w:pStyle w:val="7"/>
        <w:spacing w:before="0" w:beforeAutospacing="0" w:after="0" w:afterAutospacing="0" w:line="360" w:lineRule="auto"/>
        <w:ind w:firstLine="420"/>
        <w:rPr>
          <w:sz w:val="21"/>
          <w:szCs w:val="21"/>
        </w:rPr>
      </w:pPr>
      <w:r>
        <w:rPr>
          <w:rFonts w:hint="eastAsia"/>
          <w:sz w:val="21"/>
          <w:szCs w:val="21"/>
        </w:rPr>
        <w:t xml:space="preserve">23.投资人、投资者：指个人投资者、机构投资者、合格境外投资者以及法律法规或中国证监会允许购买证券投资基金的其他投资人的合称 </w:t>
      </w:r>
    </w:p>
    <w:p>
      <w:pPr>
        <w:pStyle w:val="7"/>
        <w:spacing w:before="0" w:beforeAutospacing="0" w:after="0" w:afterAutospacing="0" w:line="360" w:lineRule="auto"/>
        <w:ind w:firstLine="420"/>
        <w:rPr>
          <w:sz w:val="21"/>
          <w:szCs w:val="21"/>
        </w:rPr>
      </w:pPr>
      <w:r>
        <w:rPr>
          <w:rFonts w:hint="eastAsia"/>
          <w:sz w:val="21"/>
          <w:szCs w:val="21"/>
        </w:rPr>
        <w:t xml:space="preserve">24.基金份额持有人：指依基金合同和招募说明书合法取得基金份额的投资人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25.发售代理机构：指符合《销售办法》和中国证监会规定的其他条件，由基金管理人指定的代理本基金发售业务的机构 </w:t>
      </w:r>
    </w:p>
    <w:p>
      <w:pPr>
        <w:pStyle w:val="7"/>
        <w:spacing w:before="0" w:beforeAutospacing="0" w:after="0" w:afterAutospacing="0" w:line="360" w:lineRule="auto"/>
        <w:ind w:firstLine="420"/>
        <w:rPr>
          <w:sz w:val="21"/>
          <w:szCs w:val="21"/>
        </w:rPr>
      </w:pPr>
      <w:r>
        <w:rPr>
          <w:rFonts w:hint="eastAsia"/>
          <w:sz w:val="21"/>
          <w:szCs w:val="21"/>
        </w:rPr>
        <w:t xml:space="preserve">26.申购、赎回代理券商：指基金管理人指定的，在基金合同生效后代理办理本基金申购、赎回业务的证券公司，又称为代办证券公司 </w:t>
      </w:r>
    </w:p>
    <w:p>
      <w:pPr>
        <w:pStyle w:val="7"/>
        <w:spacing w:before="0" w:beforeAutospacing="0" w:after="0" w:afterAutospacing="0" w:line="360" w:lineRule="auto"/>
        <w:ind w:firstLine="420"/>
        <w:rPr>
          <w:sz w:val="21"/>
          <w:szCs w:val="21"/>
        </w:rPr>
      </w:pPr>
      <w:r>
        <w:rPr>
          <w:rFonts w:hint="eastAsia"/>
          <w:sz w:val="21"/>
          <w:szCs w:val="21"/>
        </w:rPr>
        <w:t xml:space="preserve">27.直销机构：指博时基金管理有限公司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28.代销机构：指符合《销售办法》和中国证监会规定的其他条件，取得基金销售业务资格并与基金管理人签订了基金销售服务协议，办理基金销售业务的机构，包括发售代理机构和申购、赎回代理券商（即代办证券公司） </w:t>
      </w:r>
    </w:p>
    <w:p>
      <w:pPr>
        <w:pStyle w:val="7"/>
        <w:spacing w:before="0" w:beforeAutospacing="0" w:after="0" w:afterAutospacing="0" w:line="360" w:lineRule="auto"/>
        <w:ind w:firstLine="420"/>
        <w:rPr>
          <w:sz w:val="21"/>
          <w:szCs w:val="21"/>
        </w:rPr>
      </w:pPr>
      <w:r>
        <w:rPr>
          <w:rFonts w:hint="eastAsia"/>
          <w:sz w:val="21"/>
          <w:szCs w:val="21"/>
        </w:rPr>
        <w:t xml:space="preserve">29.销售机构：指直销机构与代销机构 </w:t>
      </w:r>
    </w:p>
    <w:p>
      <w:pPr>
        <w:pStyle w:val="7"/>
        <w:spacing w:before="0" w:beforeAutospacing="0" w:after="0" w:afterAutospacing="0" w:line="360" w:lineRule="auto"/>
        <w:ind w:firstLine="420"/>
        <w:rPr>
          <w:sz w:val="21"/>
          <w:szCs w:val="21"/>
        </w:rPr>
      </w:pPr>
      <w:r>
        <w:rPr>
          <w:rFonts w:hint="eastAsia"/>
          <w:sz w:val="21"/>
          <w:szCs w:val="21"/>
        </w:rPr>
        <w:t xml:space="preserve">30.登记机构：指办理登记业务的机构。本基金的登记机构为中国证券登记结算有限责任公司 </w:t>
      </w:r>
    </w:p>
    <w:p>
      <w:pPr>
        <w:pStyle w:val="7"/>
        <w:spacing w:before="0" w:beforeAutospacing="0" w:after="0" w:afterAutospacing="0" w:line="360" w:lineRule="auto"/>
        <w:ind w:firstLine="420"/>
        <w:rPr>
          <w:sz w:val="21"/>
          <w:szCs w:val="21"/>
        </w:rPr>
      </w:pPr>
      <w:r>
        <w:rPr>
          <w:rFonts w:hint="eastAsia"/>
          <w:sz w:val="21"/>
          <w:szCs w:val="21"/>
        </w:rPr>
        <w:t xml:space="preserve">31.登记业务：指《中国证券登记结算有限责任公司关于交易所交易型开放式证券投资基金登记结算业务实施细则》及其不时修订以及相关业务规则所定义的基金份额的登记、存管、结算及相关业务 </w:t>
      </w:r>
    </w:p>
    <w:p>
      <w:pPr>
        <w:pStyle w:val="7"/>
        <w:spacing w:before="0" w:beforeAutospacing="0" w:after="0" w:afterAutospacing="0" w:line="360" w:lineRule="auto"/>
        <w:ind w:firstLine="420"/>
        <w:rPr>
          <w:sz w:val="21"/>
          <w:szCs w:val="21"/>
        </w:rPr>
      </w:pPr>
      <w:r>
        <w:rPr>
          <w:rFonts w:hint="eastAsia"/>
          <w:sz w:val="21"/>
          <w:szCs w:val="21"/>
        </w:rPr>
        <w:t xml:space="preserve">32.深圳证券账户：指深圳证券交易所人民币普通股票账户（即A股账户）或深圳证券交易所基金账户 </w:t>
      </w:r>
    </w:p>
    <w:p>
      <w:pPr>
        <w:pStyle w:val="7"/>
        <w:spacing w:before="0" w:beforeAutospacing="0" w:after="0" w:afterAutospacing="0" w:line="360" w:lineRule="auto"/>
        <w:ind w:firstLine="420"/>
        <w:rPr>
          <w:sz w:val="21"/>
          <w:szCs w:val="21"/>
        </w:rPr>
      </w:pPr>
      <w:r>
        <w:rPr>
          <w:rFonts w:hint="eastAsia"/>
          <w:sz w:val="21"/>
          <w:szCs w:val="21"/>
        </w:rPr>
        <w:t xml:space="preserve">33.基金合同生效日：指基金募集达到法律法规规定及基金合同规定的条件，基金管理人向中国证监会办理基金备案手续完毕，并获得中国证监会书面确认的日期 </w:t>
      </w:r>
    </w:p>
    <w:p>
      <w:pPr>
        <w:pStyle w:val="7"/>
        <w:spacing w:before="0" w:beforeAutospacing="0" w:after="0" w:afterAutospacing="0" w:line="360" w:lineRule="auto"/>
        <w:ind w:firstLine="420"/>
        <w:rPr>
          <w:sz w:val="21"/>
          <w:szCs w:val="21"/>
        </w:rPr>
      </w:pPr>
      <w:r>
        <w:rPr>
          <w:rFonts w:hint="eastAsia"/>
          <w:sz w:val="21"/>
          <w:szCs w:val="21"/>
        </w:rPr>
        <w:t xml:space="preserve">34.基金合同终止日：指基金合同规定的基金合同终止事由出现后，基金财产清算完毕，清算结果报中国证监会备案并予以公告的日期 </w:t>
      </w:r>
    </w:p>
    <w:p>
      <w:pPr>
        <w:pStyle w:val="7"/>
        <w:spacing w:before="0" w:beforeAutospacing="0" w:after="0" w:afterAutospacing="0" w:line="360" w:lineRule="auto"/>
        <w:ind w:firstLine="420"/>
        <w:rPr>
          <w:sz w:val="21"/>
          <w:szCs w:val="21"/>
        </w:rPr>
      </w:pPr>
      <w:r>
        <w:rPr>
          <w:rFonts w:hint="eastAsia"/>
          <w:sz w:val="21"/>
          <w:szCs w:val="21"/>
        </w:rPr>
        <w:t xml:space="preserve">35.基金募集期：指自基金份额发售之日起至发售结束之日止的期间，最长不得超过3个月 </w:t>
      </w:r>
    </w:p>
    <w:p>
      <w:pPr>
        <w:pStyle w:val="7"/>
        <w:spacing w:before="0" w:beforeAutospacing="0" w:after="0" w:afterAutospacing="0" w:line="360" w:lineRule="auto"/>
        <w:ind w:firstLine="420"/>
        <w:rPr>
          <w:sz w:val="21"/>
          <w:szCs w:val="21"/>
        </w:rPr>
      </w:pPr>
      <w:r>
        <w:rPr>
          <w:rFonts w:hint="eastAsia"/>
          <w:sz w:val="21"/>
          <w:szCs w:val="21"/>
        </w:rPr>
        <w:t xml:space="preserve">36.存续期：指基金合同生效至终止之间的不定期期限 </w:t>
      </w:r>
    </w:p>
    <w:p>
      <w:pPr>
        <w:pStyle w:val="7"/>
        <w:spacing w:before="0" w:beforeAutospacing="0" w:after="0" w:afterAutospacing="0" w:line="360" w:lineRule="auto"/>
        <w:ind w:firstLine="420"/>
        <w:rPr>
          <w:sz w:val="21"/>
          <w:szCs w:val="21"/>
        </w:rPr>
      </w:pPr>
      <w:r>
        <w:rPr>
          <w:rFonts w:hint="eastAsia"/>
          <w:sz w:val="21"/>
          <w:szCs w:val="21"/>
        </w:rPr>
        <w:t xml:space="preserve">37.工作日：指上海证券交易所、深圳证券交易所的正常交易日 </w:t>
      </w:r>
    </w:p>
    <w:p>
      <w:pPr>
        <w:pStyle w:val="7"/>
        <w:spacing w:before="0" w:beforeAutospacing="0" w:after="0" w:afterAutospacing="0" w:line="360" w:lineRule="auto"/>
        <w:ind w:firstLine="420"/>
        <w:rPr>
          <w:sz w:val="21"/>
          <w:szCs w:val="21"/>
        </w:rPr>
      </w:pPr>
      <w:r>
        <w:rPr>
          <w:rFonts w:hint="eastAsia"/>
          <w:sz w:val="21"/>
          <w:szCs w:val="21"/>
        </w:rPr>
        <w:t xml:space="preserve">38.T日：指销售机构在规定时间受理投资人申购、赎回或其他业务申请的开放日 </w:t>
      </w:r>
    </w:p>
    <w:p>
      <w:pPr>
        <w:pStyle w:val="7"/>
        <w:spacing w:before="0" w:beforeAutospacing="0" w:after="0" w:afterAutospacing="0" w:line="360" w:lineRule="auto"/>
        <w:ind w:firstLine="420"/>
        <w:rPr>
          <w:sz w:val="21"/>
          <w:szCs w:val="21"/>
        </w:rPr>
      </w:pPr>
      <w:r>
        <w:rPr>
          <w:rFonts w:hint="eastAsia"/>
          <w:sz w:val="21"/>
          <w:szCs w:val="21"/>
        </w:rPr>
        <w:t xml:space="preserve">39.T+n日：指自T日起第n个工作日（不包含T日） </w:t>
      </w:r>
    </w:p>
    <w:p>
      <w:pPr>
        <w:pStyle w:val="7"/>
        <w:spacing w:before="0" w:beforeAutospacing="0" w:after="0" w:afterAutospacing="0" w:line="360" w:lineRule="auto"/>
        <w:ind w:firstLine="420"/>
        <w:rPr>
          <w:sz w:val="21"/>
          <w:szCs w:val="21"/>
        </w:rPr>
      </w:pPr>
      <w:r>
        <w:rPr>
          <w:rFonts w:hint="eastAsia"/>
          <w:sz w:val="21"/>
          <w:szCs w:val="21"/>
        </w:rPr>
        <w:t xml:space="preserve">40.开放日：指为投资人办理基金份额申购、赎回或其他业务的工作日 </w:t>
      </w:r>
    </w:p>
    <w:p>
      <w:pPr>
        <w:pStyle w:val="7"/>
        <w:spacing w:before="0" w:beforeAutospacing="0" w:after="0" w:afterAutospacing="0" w:line="360" w:lineRule="auto"/>
        <w:ind w:firstLine="420"/>
        <w:rPr>
          <w:sz w:val="21"/>
          <w:szCs w:val="21"/>
        </w:rPr>
      </w:pPr>
      <w:r>
        <w:rPr>
          <w:rFonts w:hint="eastAsia"/>
          <w:sz w:val="21"/>
          <w:szCs w:val="21"/>
        </w:rPr>
        <w:t xml:space="preserve">41.开放时间：指开放日基金接受申购、赎回或其他交易的时间段 </w:t>
      </w:r>
    </w:p>
    <w:p>
      <w:pPr>
        <w:pStyle w:val="7"/>
        <w:spacing w:before="0" w:beforeAutospacing="0" w:after="0" w:afterAutospacing="0" w:line="360" w:lineRule="auto"/>
        <w:ind w:firstLine="420"/>
        <w:rPr>
          <w:sz w:val="21"/>
          <w:szCs w:val="21"/>
        </w:rPr>
      </w:pPr>
      <w:r>
        <w:rPr>
          <w:rFonts w:hint="eastAsia"/>
          <w:sz w:val="21"/>
          <w:szCs w:val="21"/>
        </w:rPr>
        <w:t xml:space="preserve">42.认购：指在基金募集期内，投资人根据基金合同和招募说明书的规定申请购买基金份额的行为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43.申购：指基金合同生效后，投资人根据基金合同和招募说明书的规定，以申购赎回清单规定的申购对价申请购买基金份额的行为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44.赎回：指基金合同生效后，基金份额持有人按基金合同和招募说明书规定的条件要求将本基金份额兑换为申购赎回清单规定的赎回对价的行为 </w:t>
      </w:r>
    </w:p>
    <w:p>
      <w:pPr>
        <w:pStyle w:val="7"/>
        <w:spacing w:before="0" w:beforeAutospacing="0" w:after="0" w:afterAutospacing="0" w:line="360" w:lineRule="auto"/>
        <w:ind w:firstLine="420"/>
        <w:rPr>
          <w:sz w:val="21"/>
          <w:szCs w:val="21"/>
        </w:rPr>
      </w:pPr>
      <w:r>
        <w:rPr>
          <w:rFonts w:hint="eastAsia"/>
          <w:sz w:val="21"/>
          <w:szCs w:val="21"/>
        </w:rPr>
        <w:t xml:space="preserve">45.申购赎回清单：指由基金管理人编制的用以公告申购对价、赎回对价等信息的文件 </w:t>
      </w:r>
    </w:p>
    <w:p>
      <w:pPr>
        <w:pStyle w:val="7"/>
        <w:spacing w:before="0" w:beforeAutospacing="0" w:after="0" w:afterAutospacing="0" w:line="360" w:lineRule="auto"/>
        <w:ind w:firstLine="420"/>
        <w:rPr>
          <w:sz w:val="21"/>
          <w:szCs w:val="21"/>
        </w:rPr>
      </w:pPr>
      <w:r>
        <w:rPr>
          <w:rFonts w:hint="eastAsia"/>
          <w:sz w:val="21"/>
          <w:szCs w:val="21"/>
        </w:rPr>
        <w:t xml:space="preserve">46.申购对价：指投资人申购基金份额时，按基金合同和招募说明书规定应交付的组合证券、现金替代、现金差额和/或其他对价 </w:t>
      </w:r>
    </w:p>
    <w:p>
      <w:pPr>
        <w:pStyle w:val="7"/>
        <w:spacing w:before="0" w:beforeAutospacing="0" w:after="0" w:afterAutospacing="0" w:line="360" w:lineRule="auto"/>
        <w:ind w:firstLine="420"/>
        <w:rPr>
          <w:sz w:val="21"/>
          <w:szCs w:val="21"/>
        </w:rPr>
      </w:pPr>
      <w:r>
        <w:rPr>
          <w:rFonts w:hint="eastAsia"/>
          <w:sz w:val="21"/>
          <w:szCs w:val="21"/>
        </w:rPr>
        <w:t xml:space="preserve">47.赎回对价：指投资人赎回基金份额时，基金管理人按基金合同和招募说明书规定应交付给赎回人的组合证券、现金替代、现金差额和/或其他对价 </w:t>
      </w:r>
    </w:p>
    <w:p>
      <w:pPr>
        <w:pStyle w:val="7"/>
        <w:spacing w:before="0" w:beforeAutospacing="0" w:after="0" w:afterAutospacing="0" w:line="360" w:lineRule="auto"/>
        <w:ind w:firstLine="420"/>
        <w:rPr>
          <w:sz w:val="21"/>
          <w:szCs w:val="21"/>
        </w:rPr>
      </w:pPr>
      <w:r>
        <w:rPr>
          <w:rFonts w:hint="eastAsia"/>
          <w:sz w:val="21"/>
          <w:szCs w:val="21"/>
        </w:rPr>
        <w:t xml:space="preserve">48.组合证券：指本基金标的指数所包含的全部或部分证券 </w:t>
      </w:r>
    </w:p>
    <w:p>
      <w:pPr>
        <w:pStyle w:val="7"/>
        <w:spacing w:before="0" w:beforeAutospacing="0" w:after="0" w:afterAutospacing="0" w:line="360" w:lineRule="auto"/>
        <w:ind w:firstLine="420"/>
        <w:rPr>
          <w:sz w:val="21"/>
          <w:szCs w:val="21"/>
        </w:rPr>
      </w:pPr>
      <w:r>
        <w:rPr>
          <w:rFonts w:hint="eastAsia"/>
          <w:sz w:val="21"/>
          <w:szCs w:val="21"/>
        </w:rPr>
        <w:t xml:space="preserve">49.标的指数：指深圳证券信息有限公司编制并发布的国证大盘成长指数及其未来可能发生的变更 </w:t>
      </w:r>
    </w:p>
    <w:p>
      <w:pPr>
        <w:pStyle w:val="7"/>
        <w:spacing w:before="0" w:beforeAutospacing="0" w:after="0" w:afterAutospacing="0" w:line="360" w:lineRule="auto"/>
        <w:ind w:firstLine="420"/>
        <w:rPr>
          <w:sz w:val="21"/>
          <w:szCs w:val="21"/>
        </w:rPr>
      </w:pPr>
      <w:r>
        <w:rPr>
          <w:rFonts w:hint="eastAsia"/>
          <w:sz w:val="21"/>
          <w:szCs w:val="21"/>
        </w:rPr>
        <w:t xml:space="preserve">50.现金替代：指申购、赎回过程中，投资人按基金合同和招募说明书的规定，用于替代组合证券中部分证券的一定数量的现金 </w:t>
      </w:r>
    </w:p>
    <w:p>
      <w:pPr>
        <w:pStyle w:val="7"/>
        <w:spacing w:before="0" w:beforeAutospacing="0" w:after="0" w:afterAutospacing="0" w:line="360" w:lineRule="auto"/>
        <w:ind w:firstLine="420"/>
        <w:rPr>
          <w:sz w:val="21"/>
          <w:szCs w:val="21"/>
        </w:rPr>
      </w:pPr>
      <w:r>
        <w:rPr>
          <w:rFonts w:hint="eastAsia"/>
          <w:sz w:val="21"/>
          <w:szCs w:val="21"/>
        </w:rPr>
        <w:t xml:space="preserve">51.现金替代退补款：指投资人支付的现金替代与基金购入被替代成份证券的成本及相关费用的差额。若现金替代大于本基金购入被替代成份证券的成本及相关费用，则本基金需向投资人退还差额，若现金替代小于本基金购入被替代成份证券的成本及相关费用，则投资人需向本基金补缴差额 </w:t>
      </w:r>
    </w:p>
    <w:p>
      <w:pPr>
        <w:pStyle w:val="7"/>
        <w:spacing w:before="0" w:beforeAutospacing="0" w:after="0" w:afterAutospacing="0" w:line="360" w:lineRule="auto"/>
        <w:ind w:firstLine="420"/>
        <w:rPr>
          <w:sz w:val="21"/>
          <w:szCs w:val="21"/>
        </w:rPr>
      </w:pPr>
      <w:r>
        <w:rPr>
          <w:rFonts w:hint="eastAsia"/>
          <w:sz w:val="21"/>
          <w:szCs w:val="21"/>
        </w:rPr>
        <w:t xml:space="preserve">52.现金差额：指最小申购、赎回单位的资产净值与按当日收盘价计算的最小申购、赎回单位中的组合证券市值和现金替代之差；投资人申购、赎回时应支付或应获得的现金差额根据最小申购、赎回单位对应的现金差额、申购或赎回的基金份额数计算 </w:t>
      </w:r>
    </w:p>
    <w:p>
      <w:pPr>
        <w:pStyle w:val="7"/>
        <w:spacing w:before="0" w:beforeAutospacing="0" w:after="0" w:afterAutospacing="0" w:line="360" w:lineRule="auto"/>
        <w:ind w:firstLine="420"/>
        <w:rPr>
          <w:sz w:val="21"/>
          <w:szCs w:val="21"/>
        </w:rPr>
      </w:pPr>
      <w:r>
        <w:rPr>
          <w:rFonts w:hint="eastAsia"/>
          <w:sz w:val="21"/>
          <w:szCs w:val="21"/>
        </w:rPr>
        <w:t xml:space="preserve">53.最小申购、赎回单位：指本基金申购、赎回份额的最低数量，投资人申购、赎回的基金份额应为最小申购、赎回单位的整数倍 </w:t>
      </w:r>
    </w:p>
    <w:p>
      <w:pPr>
        <w:pStyle w:val="7"/>
        <w:spacing w:before="0" w:beforeAutospacing="0" w:after="0" w:afterAutospacing="0" w:line="360" w:lineRule="auto"/>
        <w:ind w:firstLine="420"/>
        <w:rPr>
          <w:sz w:val="21"/>
          <w:szCs w:val="21"/>
        </w:rPr>
      </w:pPr>
      <w:r>
        <w:rPr>
          <w:rFonts w:hint="eastAsia"/>
          <w:sz w:val="21"/>
          <w:szCs w:val="21"/>
        </w:rPr>
        <w:t xml:space="preserve">54.基金份额参考净值：指基金管理人或基金管理人委托其他机构在相关证券交易所交易时间内根据申购赎回清单和组合证券内各只证券的实时成交数据计算并发布的基金份额参考净值，简称IOPV </w:t>
      </w:r>
    </w:p>
    <w:p>
      <w:pPr>
        <w:pStyle w:val="7"/>
        <w:spacing w:before="0" w:beforeAutospacing="0" w:after="0" w:afterAutospacing="0" w:line="360" w:lineRule="auto"/>
        <w:ind w:firstLine="420"/>
        <w:rPr>
          <w:sz w:val="21"/>
          <w:szCs w:val="21"/>
        </w:rPr>
      </w:pPr>
      <w:r>
        <w:rPr>
          <w:rFonts w:hint="eastAsia"/>
          <w:sz w:val="21"/>
          <w:szCs w:val="21"/>
        </w:rPr>
        <w:t xml:space="preserve">55.预估现金差额：指为便于计算基金份额参考净值及申购、赎回代理券商预先冻结申请申购、赎回的投资人的相应资金，由基金管理人计算并公布的现金差额的预估值 </w:t>
      </w:r>
    </w:p>
    <w:p>
      <w:pPr>
        <w:pStyle w:val="7"/>
        <w:spacing w:before="0" w:beforeAutospacing="0" w:after="0" w:afterAutospacing="0" w:line="360" w:lineRule="auto"/>
        <w:ind w:firstLine="420"/>
        <w:rPr>
          <w:sz w:val="21"/>
          <w:szCs w:val="21"/>
        </w:rPr>
      </w:pPr>
      <w:r>
        <w:rPr>
          <w:rFonts w:hint="eastAsia"/>
          <w:sz w:val="21"/>
          <w:szCs w:val="21"/>
        </w:rPr>
        <w:t xml:space="preserve">56.元：指人民币元 </w:t>
      </w:r>
    </w:p>
    <w:p>
      <w:pPr>
        <w:pStyle w:val="7"/>
        <w:spacing w:before="0" w:beforeAutospacing="0" w:after="0" w:afterAutospacing="0" w:line="360" w:lineRule="auto"/>
        <w:ind w:firstLine="420"/>
        <w:rPr>
          <w:sz w:val="21"/>
          <w:szCs w:val="21"/>
        </w:rPr>
      </w:pPr>
      <w:r>
        <w:rPr>
          <w:rFonts w:hint="eastAsia"/>
          <w:sz w:val="21"/>
          <w:szCs w:val="21"/>
        </w:rPr>
        <w:t xml:space="preserve">57.基金收益：指基金投资所得红利、股息、债券利息、买卖证券价差、银行存款利息、已实现的其他合法收入及因运用基金财产带来的成本和费用的节约 </w:t>
      </w:r>
    </w:p>
    <w:p>
      <w:pPr>
        <w:pStyle w:val="7"/>
        <w:spacing w:before="0" w:beforeAutospacing="0" w:after="0" w:afterAutospacing="0" w:line="360" w:lineRule="auto"/>
        <w:ind w:firstLine="420"/>
        <w:rPr>
          <w:sz w:val="21"/>
          <w:szCs w:val="21"/>
        </w:rPr>
      </w:pPr>
      <w:r>
        <w:rPr>
          <w:rFonts w:hint="eastAsia"/>
          <w:sz w:val="21"/>
          <w:szCs w:val="21"/>
        </w:rPr>
        <w:t xml:space="preserve">58.基金份额折算：指基金管理人根据基金合同规定将投资人的基金份额进行变更登记的行为 </w:t>
      </w:r>
    </w:p>
    <w:p>
      <w:pPr>
        <w:pStyle w:val="7"/>
        <w:spacing w:before="0" w:beforeAutospacing="0" w:after="0" w:afterAutospacing="0" w:line="360" w:lineRule="auto"/>
        <w:ind w:firstLine="420"/>
        <w:rPr>
          <w:sz w:val="21"/>
          <w:szCs w:val="21"/>
        </w:rPr>
      </w:pPr>
      <w:r>
        <w:rPr>
          <w:rFonts w:hint="eastAsia"/>
          <w:sz w:val="21"/>
          <w:szCs w:val="21"/>
        </w:rPr>
        <w:t xml:space="preserve">59.收益评价日：指基金管理人计算本基金份额净值增长率与标的指数同期增长率差额之日 </w:t>
      </w:r>
    </w:p>
    <w:p>
      <w:pPr>
        <w:pStyle w:val="7"/>
        <w:spacing w:before="0" w:beforeAutospacing="0" w:after="0" w:afterAutospacing="0" w:line="360" w:lineRule="auto"/>
        <w:ind w:firstLine="420"/>
        <w:rPr>
          <w:sz w:val="21"/>
          <w:szCs w:val="21"/>
        </w:rPr>
      </w:pPr>
      <w:r>
        <w:rPr>
          <w:rFonts w:hint="eastAsia"/>
          <w:sz w:val="21"/>
          <w:szCs w:val="21"/>
        </w:rPr>
        <w:t xml:space="preserve">60.基金份额净值增长率：指收益评价日基金份额净值与基金上市前一日基金份额净值之比减去1乘以100%（期间发生基金份额折算、拆分或合并，则以基金份额折算日、经拆分或合并调整后的基金份额折算日为初始日重新计算） </w:t>
      </w:r>
    </w:p>
    <w:p>
      <w:pPr>
        <w:pStyle w:val="7"/>
        <w:spacing w:before="0" w:beforeAutospacing="0" w:after="0" w:afterAutospacing="0" w:line="360" w:lineRule="auto"/>
        <w:ind w:firstLine="420"/>
        <w:rPr>
          <w:sz w:val="21"/>
          <w:szCs w:val="21"/>
        </w:rPr>
      </w:pPr>
      <w:r>
        <w:rPr>
          <w:rFonts w:hint="eastAsia"/>
          <w:sz w:val="21"/>
          <w:szCs w:val="21"/>
        </w:rPr>
        <w:t xml:space="preserve">61.标的指数同期增长率：指收益评价日标的指数收盘价与基金上市前一日标的指数收盘价之比减去1乘以100%（期间发生基金份额折算、拆分或合并，则以基金份额折算日、经拆分或合并调整后的基金份额折算日为初始日重新计算） </w:t>
      </w:r>
    </w:p>
    <w:p>
      <w:pPr>
        <w:pStyle w:val="7"/>
        <w:spacing w:before="0" w:beforeAutospacing="0" w:after="0" w:afterAutospacing="0" w:line="360" w:lineRule="auto"/>
        <w:ind w:firstLine="420"/>
        <w:rPr>
          <w:sz w:val="21"/>
          <w:szCs w:val="21"/>
        </w:rPr>
      </w:pPr>
      <w:r>
        <w:rPr>
          <w:rFonts w:hint="eastAsia"/>
          <w:sz w:val="21"/>
          <w:szCs w:val="21"/>
        </w:rPr>
        <w:t xml:space="preserve">62.基金资产总值：指基金拥有的各类有价证券、银行存款本息、基金应收款项及其他资产的价值总和 </w:t>
      </w:r>
    </w:p>
    <w:p>
      <w:pPr>
        <w:pStyle w:val="7"/>
        <w:spacing w:before="0" w:beforeAutospacing="0" w:after="0" w:afterAutospacing="0" w:line="360" w:lineRule="auto"/>
        <w:ind w:firstLine="420"/>
        <w:rPr>
          <w:sz w:val="21"/>
          <w:szCs w:val="21"/>
        </w:rPr>
      </w:pPr>
      <w:r>
        <w:rPr>
          <w:rFonts w:hint="eastAsia"/>
          <w:sz w:val="21"/>
          <w:szCs w:val="21"/>
        </w:rPr>
        <w:t xml:space="preserve">63.基金资产净值：指基金资产总值减去基金负债后的价值 </w:t>
      </w:r>
    </w:p>
    <w:p>
      <w:pPr>
        <w:pStyle w:val="7"/>
        <w:spacing w:before="0" w:beforeAutospacing="0" w:after="0" w:afterAutospacing="0" w:line="360" w:lineRule="auto"/>
        <w:ind w:firstLine="420"/>
        <w:rPr>
          <w:sz w:val="21"/>
          <w:szCs w:val="21"/>
        </w:rPr>
      </w:pPr>
      <w:r>
        <w:rPr>
          <w:rFonts w:hint="eastAsia"/>
          <w:sz w:val="21"/>
          <w:szCs w:val="21"/>
        </w:rPr>
        <w:t xml:space="preserve">64.基金份额净值：指计算日基金资产净值除以计算日基金份额总数 </w:t>
      </w:r>
    </w:p>
    <w:p>
      <w:pPr>
        <w:pStyle w:val="7"/>
        <w:spacing w:before="0" w:beforeAutospacing="0" w:after="0" w:afterAutospacing="0" w:line="360" w:lineRule="auto"/>
        <w:ind w:firstLine="420"/>
        <w:rPr>
          <w:sz w:val="21"/>
          <w:szCs w:val="21"/>
        </w:rPr>
      </w:pPr>
      <w:r>
        <w:rPr>
          <w:rFonts w:hint="eastAsia"/>
          <w:sz w:val="21"/>
          <w:szCs w:val="21"/>
        </w:rPr>
        <w:t xml:space="preserve">65.基金资产估值：指计算评估基金资产和负债的价值，以确定基金资产净值和基金份额净值的过程 </w:t>
      </w:r>
    </w:p>
    <w:p>
      <w:pPr>
        <w:pStyle w:val="7"/>
        <w:spacing w:before="0" w:beforeAutospacing="0" w:after="0" w:afterAutospacing="0" w:line="360" w:lineRule="auto"/>
        <w:ind w:firstLine="420"/>
        <w:rPr>
          <w:sz w:val="21"/>
          <w:szCs w:val="21"/>
        </w:rPr>
      </w:pPr>
      <w:r>
        <w:rPr>
          <w:rFonts w:hint="eastAsia"/>
          <w:sz w:val="21"/>
          <w:szCs w:val="21"/>
        </w:rPr>
        <w:t xml:space="preserve">66.规定媒介：指符合中国证监会规定条件的用以进行信息披露的全国性报刊及《信息披露办法》规定的互联网网站（包括基金管理人网站、基金托管人网站、中国证监会基金电子披露网站）等媒介 </w:t>
      </w:r>
    </w:p>
    <w:p>
      <w:pPr>
        <w:pStyle w:val="7"/>
        <w:spacing w:before="0" w:beforeAutospacing="0" w:after="0" w:afterAutospacing="0" w:line="360" w:lineRule="auto"/>
        <w:ind w:firstLine="420"/>
        <w:rPr>
          <w:sz w:val="21"/>
          <w:szCs w:val="21"/>
        </w:rPr>
      </w:pPr>
      <w:r>
        <w:rPr>
          <w:rFonts w:hint="eastAsia"/>
          <w:sz w:val="21"/>
          <w:szCs w:val="21"/>
        </w:rPr>
        <w:t xml:space="preserve">67.ETF：指《深圳证券交易所证券投资基金交易和申购赎回实施细则》定义的“交易型开放式基金” </w:t>
      </w:r>
    </w:p>
    <w:p>
      <w:pPr>
        <w:pStyle w:val="7"/>
        <w:spacing w:before="0" w:beforeAutospacing="0" w:after="0" w:afterAutospacing="0" w:line="360" w:lineRule="auto"/>
        <w:ind w:firstLine="420"/>
        <w:rPr>
          <w:sz w:val="21"/>
          <w:szCs w:val="21"/>
        </w:rPr>
      </w:pPr>
      <w:r>
        <w:rPr>
          <w:rFonts w:hint="eastAsia"/>
          <w:sz w:val="21"/>
          <w:szCs w:val="21"/>
        </w:rPr>
        <w:t xml:space="preserve">68.联接基金：指将绝大部分基金财产投资于跟踪同一标的指数的基金（即目标ETF），紧密跟踪标的指数表现，追求跟踪偏离度和跟踪误差最小化，获得与指数收益相似的回报，采用开放式运作方式的基金 </w:t>
      </w:r>
    </w:p>
    <w:p>
      <w:pPr>
        <w:pStyle w:val="7"/>
        <w:spacing w:before="0" w:beforeAutospacing="0" w:after="0" w:afterAutospacing="0" w:line="360" w:lineRule="auto"/>
        <w:ind w:firstLine="420"/>
        <w:rPr>
          <w:sz w:val="21"/>
          <w:szCs w:val="21"/>
        </w:rPr>
      </w:pPr>
      <w:r>
        <w:rPr>
          <w:rFonts w:hint="eastAsia"/>
          <w:sz w:val="21"/>
          <w:szCs w:val="21"/>
        </w:rPr>
        <w:t xml:space="preserve">69.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pPr>
        <w:pStyle w:val="7"/>
        <w:spacing w:before="0" w:beforeAutospacing="0" w:after="0" w:afterAutospacing="0" w:line="360" w:lineRule="auto"/>
        <w:ind w:firstLine="420"/>
        <w:rPr>
          <w:sz w:val="21"/>
          <w:szCs w:val="21"/>
        </w:rPr>
      </w:pPr>
      <w:r>
        <w:rPr>
          <w:rFonts w:hint="eastAsia"/>
          <w:sz w:val="21"/>
          <w:szCs w:val="21"/>
        </w:rPr>
        <w:t xml:space="preserve">70.转融通证券出借业务：指基金以一定的费率通过证券交易所综合业务平台向中国证券金融股份有限公司（以下简称证券金融公司）出借证券，证券金融公司到期归还所借证券及相应权益补偿并支付费用的业务 </w:t>
      </w:r>
    </w:p>
    <w:p>
      <w:pPr>
        <w:pStyle w:val="7"/>
        <w:spacing w:before="0" w:beforeAutospacing="0" w:after="0" w:afterAutospacing="0" w:line="360" w:lineRule="auto"/>
        <w:ind w:firstLine="420"/>
        <w:rPr>
          <w:sz w:val="21"/>
          <w:szCs w:val="21"/>
        </w:rPr>
      </w:pPr>
      <w:r>
        <w:rPr>
          <w:rFonts w:hint="eastAsia"/>
          <w:sz w:val="21"/>
          <w:szCs w:val="21"/>
        </w:rPr>
        <w:t xml:space="preserve">71.特定投资者：指《中国证券登记结算有限责任公司深圳分公司交易型开放式基金登记结算业务指南》规定的不通过代办证券公司经纪交易单元，而通过基金管理人直销申报跨市场股票ETF场外组合证券申购赎回申请的保险产品、全国社保基金、证券投资基金、证券集合资产管理计划等特殊机构及产品投资者 </w:t>
      </w:r>
    </w:p>
    <w:p>
      <w:pPr>
        <w:pStyle w:val="7"/>
        <w:spacing w:before="0" w:beforeAutospacing="0" w:after="0" w:afterAutospacing="0" w:line="360" w:lineRule="auto"/>
        <w:ind w:firstLine="420"/>
        <w:rPr>
          <w:sz w:val="21"/>
          <w:szCs w:val="21"/>
        </w:rPr>
      </w:pPr>
      <w:r>
        <w:rPr>
          <w:rFonts w:hint="eastAsia"/>
          <w:sz w:val="21"/>
          <w:szCs w:val="21"/>
        </w:rPr>
        <w:t xml:space="preserve">72.中国法律：指中华人民共和国法律，就基金合同而言，不包括香港特别行政区、澳门特别行政区和台湾地区法律 </w:t>
      </w:r>
    </w:p>
    <w:p>
      <w:pPr>
        <w:pStyle w:val="7"/>
        <w:spacing w:before="0" w:beforeAutospacing="0" w:after="0" w:afterAutospacing="0" w:line="360" w:lineRule="auto"/>
        <w:ind w:firstLine="420"/>
        <w:rPr>
          <w:sz w:val="21"/>
          <w:szCs w:val="21"/>
        </w:rPr>
      </w:pPr>
      <w:bookmarkStart w:id="23" w:name="chapter_level1_4_49_section_1_end"/>
      <w:bookmarkEnd w:id="23"/>
      <w:r>
        <w:rPr>
          <w:rFonts w:hint="eastAsia"/>
          <w:sz w:val="21"/>
          <w:szCs w:val="21"/>
        </w:rPr>
        <w:t xml:space="preserve">73.不可抗力：指基金合同当事人不能预见、不能避免且不能克服的客观事件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4" w:name="chapter_level1_5_53"/>
      <w:bookmarkStart w:id="25" w:name="_Toc213857365"/>
      <w:r>
        <w:rPr>
          <w:rFonts w:hint="eastAsia" w:ascii="宋体" w:hAnsi="宋体" w:eastAsia="宋体"/>
          <w:sz w:val="30"/>
        </w:rPr>
        <w:t>第三部分  基金管理人</w:t>
      </w:r>
      <w:bookmarkEnd w:id="24"/>
      <w:bookmarkEnd w:id="25"/>
    </w:p>
    <w:p>
      <w:pPr>
        <w:pStyle w:val="7"/>
        <w:spacing w:before="0" w:beforeAutospacing="0" w:after="0" w:afterAutospacing="0" w:line="360" w:lineRule="auto"/>
        <w:ind w:firstLine="420"/>
        <w:rPr>
          <w:sz w:val="21"/>
          <w:szCs w:val="21"/>
        </w:rPr>
      </w:pPr>
      <w:bookmarkStart w:id="26" w:name="chapter_level1_5_53_section_1"/>
      <w:bookmarkEnd w:id="26"/>
      <w:r>
        <w:rPr>
          <w:rStyle w:val="11"/>
          <w:rFonts w:hint="eastAsia"/>
          <w:sz w:val="21"/>
          <w:szCs w:val="21"/>
        </w:rPr>
        <w:t>一、基金管理人概况</w:t>
      </w:r>
    </w:p>
    <w:p>
      <w:pPr>
        <w:pStyle w:val="7"/>
        <w:spacing w:before="0" w:beforeAutospacing="0" w:after="0" w:afterAutospacing="0" w:line="360" w:lineRule="auto"/>
        <w:ind w:firstLine="420"/>
        <w:rPr>
          <w:sz w:val="21"/>
          <w:szCs w:val="21"/>
        </w:rPr>
      </w:pPr>
      <w:bookmarkStart w:id="27" w:name="field_0_managercompanyinfo_1_start"/>
      <w:bookmarkEnd w:id="27"/>
      <w:r>
        <w:rPr>
          <w:rFonts w:hint="eastAsia"/>
          <w:sz w:val="21"/>
          <w:szCs w:val="21"/>
        </w:rPr>
        <w:t xml:space="preserve">名称： 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法定代表人：江向阳 </w:t>
      </w:r>
    </w:p>
    <w:p>
      <w:pPr>
        <w:pStyle w:val="7"/>
        <w:spacing w:before="0" w:beforeAutospacing="0" w:after="0" w:afterAutospacing="0" w:line="360" w:lineRule="auto"/>
        <w:ind w:firstLine="420"/>
        <w:rPr>
          <w:sz w:val="21"/>
          <w:szCs w:val="21"/>
        </w:rPr>
      </w:pPr>
      <w:r>
        <w:rPr>
          <w:rFonts w:hint="eastAsia"/>
          <w:sz w:val="21"/>
          <w:szCs w:val="21"/>
        </w:rPr>
        <w:t xml:space="preserve">成立时间： 1998年7月13日 </w:t>
      </w:r>
    </w:p>
    <w:p>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 持续经营 </w:t>
      </w:r>
    </w:p>
    <w:p>
      <w:pPr>
        <w:pStyle w:val="7"/>
        <w:spacing w:before="0" w:beforeAutospacing="0" w:after="0" w:afterAutospacing="0" w:line="360" w:lineRule="auto"/>
        <w:ind w:firstLine="420"/>
        <w:rPr>
          <w:sz w:val="21"/>
          <w:szCs w:val="21"/>
        </w:rPr>
      </w:pPr>
      <w:r>
        <w:rPr>
          <w:rFonts w:hint="eastAsia"/>
          <w:sz w:val="21"/>
          <w:szCs w:val="21"/>
        </w:rPr>
        <w:t xml:space="preserve">联系人：   王济帆 </w:t>
      </w:r>
    </w:p>
    <w:p>
      <w:pPr>
        <w:pStyle w:val="7"/>
        <w:spacing w:before="0" w:beforeAutospacing="0" w:after="0" w:afterAutospacing="0" w:line="360" w:lineRule="auto"/>
        <w:ind w:firstLine="420"/>
        <w:rPr>
          <w:sz w:val="21"/>
          <w:szCs w:val="21"/>
        </w:rPr>
      </w:pPr>
      <w:r>
        <w:rPr>
          <w:rFonts w:hint="eastAsia"/>
          <w:sz w:val="21"/>
          <w:szCs w:val="21"/>
        </w:rPr>
        <w:t xml:space="preserve">联系电话： （0755）8316 9999 </w:t>
      </w:r>
    </w:p>
    <w:p>
      <w:pPr>
        <w:pStyle w:val="7"/>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pPr>
        <w:pStyle w:val="7"/>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pPr>
        <w:pStyle w:val="7"/>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28" w:name="field_0_managercompanyinfo_1_end"/>
      <w:bookmarkEnd w:id="28"/>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二、主要成员情况</w:t>
      </w:r>
    </w:p>
    <w:p>
      <w:pPr>
        <w:pStyle w:val="7"/>
        <w:spacing w:before="0" w:beforeAutospacing="0" w:after="0" w:afterAutospacing="0" w:line="360" w:lineRule="auto"/>
        <w:ind w:firstLine="420"/>
        <w:rPr>
          <w:sz w:val="21"/>
          <w:szCs w:val="21"/>
        </w:rPr>
      </w:pPr>
      <w:bookmarkStart w:id="29" w:name="field_0_managerpersoninfo_1_start"/>
      <w:bookmarkEnd w:id="29"/>
      <w:r>
        <w:rPr>
          <w:rFonts w:hint="eastAsia"/>
          <w:sz w:val="21"/>
          <w:szCs w:val="21"/>
        </w:rPr>
        <w:t xml:space="preserve">1、基金管理人董事会成员 </w:t>
      </w:r>
    </w:p>
    <w:p>
      <w:pPr>
        <w:pStyle w:val="7"/>
        <w:spacing w:before="0" w:beforeAutospacing="0" w:after="0" w:afterAutospacing="0" w:line="360" w:lineRule="auto"/>
        <w:ind w:firstLine="420"/>
        <w:rPr>
          <w:sz w:val="21"/>
          <w:szCs w:val="21"/>
        </w:rPr>
      </w:pPr>
      <w:r>
        <w:rPr>
          <w:rFonts w:hint="eastAsia"/>
          <w:sz w:val="21"/>
          <w:szCs w:val="21"/>
        </w:rPr>
        <w:t xml:space="preserve">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 </w:t>
      </w:r>
    </w:p>
    <w:p>
      <w:pPr>
        <w:pStyle w:val="7"/>
        <w:spacing w:before="0" w:beforeAutospacing="0" w:after="0" w:afterAutospacing="0" w:line="360" w:lineRule="auto"/>
        <w:ind w:firstLine="420"/>
        <w:rPr>
          <w:sz w:val="21"/>
          <w:szCs w:val="21"/>
        </w:rPr>
      </w:pPr>
      <w:r>
        <w:rPr>
          <w:rFonts w:hint="eastAsia"/>
          <w:sz w:val="21"/>
          <w:szCs w:val="21"/>
        </w:rPr>
        <w:t xml:space="preserve">罗立女士，毕业于中央财经大学经济学院，获经济学硕士学位，美国注册管理会计师，香港证券及投资学会高级从业资格，高级经济师。现任招商局集团财务部（产权部）部长，招商局国际财务有限公司总经理。历任中国外运长航集团财务部资金主管、中外运长航财务有限公司（现更名为招商局集团财务有限公司）结算部总经理、总经理助理、党委委员、招商局集团财务部（产权部）总经理助理、招商局国际财务有限公司副总经理。 </w:t>
      </w:r>
    </w:p>
    <w:p>
      <w:pPr>
        <w:pStyle w:val="7"/>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pPr>
        <w:pStyle w:val="7"/>
        <w:spacing w:before="0" w:beforeAutospacing="0" w:after="0" w:afterAutospacing="0" w:line="360" w:lineRule="auto"/>
        <w:ind w:firstLine="420"/>
        <w:rPr>
          <w:sz w:val="21"/>
          <w:szCs w:val="21"/>
        </w:rPr>
      </w:pPr>
      <w:r>
        <w:rPr>
          <w:rFonts w:hint="eastAsia"/>
          <w:sz w:val="21"/>
          <w:szCs w:val="21"/>
        </w:rPr>
        <w:t xml:space="preserve">江向阳先生，博士。中共党员，南开大学国际金融博士，清华大学金融媒体EMBA。1986-1990年就读于北京师范大学信息与情报学系，获学士学位；1994-1997年就读于中国政法大学研究生院，获法学硕士学位；2003-2006年，就读于南开大学国际经济研究所，获国际金融博士学位。1997年8月至2014年12月就职于中国证监会，历任办公厅、党办副主任兼新闻办（网信办）主任；中国证监会办公厅副巡视员；中国证监会深圳专员办处长、副专员；中国证监会期货监管部副处长、处长。2015年1月至7月，任招商局金融集团副总经理、博时基金管理有限公司党委副书记。2015年7月至2020年10月任博时基金管理有限公司总经理。自2020年1月9日至2020年4月15日代为履行博时基金董事长职务。自2023年11月10日至2024年5月24日代为履行博时基金管理有限公司总经理职务。自2020年4月1日至2025年9月15日任博时基金管理有限公司党委书记。自2020年4月15日至2025年10月15日，任博时基金管理有限公司董事长。 </w:t>
      </w:r>
    </w:p>
    <w:p>
      <w:pPr>
        <w:pStyle w:val="7"/>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pPr>
        <w:pStyle w:val="7"/>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pPr>
        <w:pStyle w:val="7"/>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pPr>
        <w:pStyle w:val="7"/>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pPr>
        <w:pStyle w:val="7"/>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pPr>
        <w:pStyle w:val="7"/>
        <w:spacing w:before="0" w:beforeAutospacing="0" w:after="0" w:afterAutospacing="0" w:line="360" w:lineRule="auto"/>
        <w:ind w:firstLine="420"/>
        <w:rPr>
          <w:sz w:val="21"/>
          <w:szCs w:val="21"/>
        </w:rPr>
      </w:pPr>
      <w:r>
        <w:rPr>
          <w:rFonts w:hint="eastAsia"/>
          <w:sz w:val="21"/>
          <w:szCs w:val="21"/>
        </w:rPr>
        <w:t xml:space="preserve">2、基金管理人监事会成员 </w:t>
      </w:r>
    </w:p>
    <w:p>
      <w:pPr>
        <w:pStyle w:val="7"/>
        <w:spacing w:before="0" w:beforeAutospacing="0" w:after="0" w:afterAutospacing="0" w:line="360" w:lineRule="auto"/>
        <w:ind w:firstLine="420"/>
        <w:rPr>
          <w:sz w:val="21"/>
          <w:szCs w:val="21"/>
        </w:rPr>
      </w:pPr>
      <w:r>
        <w:rPr>
          <w:rFonts w:hint="eastAsia"/>
          <w:sz w:val="21"/>
          <w:szCs w:val="21"/>
        </w:rPr>
        <w:t xml:space="preserve">胡艳君女士，经济师。本科毕业于中南财经政法大学财税系，取得学士学位；后取得中国财政科学研究院硕士学位。现任招商局集团有限公司财务部（产权部）副部长。历任招商局集团财务部总监，曾就职国家财政部。 </w:t>
      </w:r>
    </w:p>
    <w:p>
      <w:pPr>
        <w:pStyle w:val="7"/>
        <w:spacing w:before="0" w:beforeAutospacing="0" w:after="0" w:afterAutospacing="0" w:line="360" w:lineRule="auto"/>
        <w:ind w:firstLine="420"/>
        <w:rPr>
          <w:sz w:val="21"/>
          <w:szCs w:val="21"/>
        </w:rPr>
      </w:pPr>
      <w:r>
        <w:rPr>
          <w:rFonts w:hint="eastAsia"/>
          <w:sz w:val="21"/>
          <w:szCs w:val="21"/>
        </w:rPr>
        <w:t xml:space="preserve">蒋伟先生，硕士。2011年3月至2017年5月就职于中国长城资产管理公司，分别任办公室外事处一级业务员、业务副主管、业务主管。2017年5月至2020年7月就职于香港长城罗斯基金管理有限公司任行政总监/执行董事。2020年7月至2024年7月历任中国长城资产管理股份有限公司资产经营三部、资产经营六部副高级经理、一级业务主管。2024年7月至今任中国长城资产管理股份有限公司资产经营六部高级经理。 </w:t>
      </w:r>
    </w:p>
    <w:p>
      <w:pPr>
        <w:pStyle w:val="7"/>
        <w:spacing w:before="0" w:beforeAutospacing="0" w:after="0" w:afterAutospacing="0" w:line="360" w:lineRule="auto"/>
        <w:ind w:firstLine="420"/>
        <w:rPr>
          <w:sz w:val="21"/>
          <w:szCs w:val="21"/>
        </w:rPr>
      </w:pPr>
      <w:r>
        <w:rPr>
          <w:rFonts w:hint="eastAsia"/>
          <w:sz w:val="21"/>
          <w:szCs w:val="21"/>
        </w:rPr>
        <w:t xml:space="preserve">冯春宝先生，硕士。2006年至2009年于天津港生活服务中心国际物流分公司任综合管理员；2009年至2017年就职于天津港（集团）有限公司，历任办公室公文文书、招商部综合科综合管理员、副科长；招商一部综合科副科长、科长；2017年至2023年就职于天津港经济技术合作有限公司，历任股权管理部部长、投资管理部部长、投资运营部经理、党委副书记、副总经理；2023年至今就职于天津津港产业发展有限公司，曾任党委副书记，现任天津津港产业发展有限公司副总经理，天津港（集团）有限公司多元经营管理中心主任（兼）。 </w:t>
      </w:r>
    </w:p>
    <w:p>
      <w:pPr>
        <w:pStyle w:val="7"/>
        <w:spacing w:before="0" w:beforeAutospacing="0" w:after="0" w:afterAutospacing="0" w:line="360" w:lineRule="auto"/>
        <w:ind w:firstLine="420"/>
        <w:rPr>
          <w:sz w:val="21"/>
          <w:szCs w:val="21"/>
        </w:rPr>
      </w:pPr>
      <w:r>
        <w:rPr>
          <w:rFonts w:hint="eastAsia"/>
          <w:sz w:val="21"/>
          <w:szCs w:val="21"/>
        </w:rPr>
        <w:t xml:space="preserve">车宏原先生，工学硕士。1985年至1989年在四川大学计算机系学习，获得学士学位。1989年至1992年在清华大学计算机系学习，获得硕士学位。1992年至1995年深圳市天元金融电子有限公司任技术部负责人，1995年至2000年在中国农业银行总行南方软件开发中心担任副总工程师，2001年至2003年在太极华清信息系统有限公司担任副总经理，2003年至2014年在景顺长城基金管理有限公司担任信息技术总监，2014年至2015年任中财国信（深圳）有限公司总经理，2015年11月加入博时基金管理有限公司，任信息技术部总经理。2022年3月16日起任董事总经理兼信息技术部总经理。2023年8月15日起任董事总经理兼信息技术部总经理、人工智能实验室主任。2024年4月2日起任首席数字官（总经理助理级）兼人工智能实验室主任。 </w:t>
      </w:r>
    </w:p>
    <w:p>
      <w:pPr>
        <w:pStyle w:val="7"/>
        <w:spacing w:before="0" w:beforeAutospacing="0" w:after="0" w:afterAutospacing="0" w:line="360" w:lineRule="auto"/>
        <w:ind w:firstLine="420"/>
        <w:rPr>
          <w:sz w:val="21"/>
          <w:szCs w:val="21"/>
        </w:rPr>
      </w:pPr>
      <w:r>
        <w:rPr>
          <w:rFonts w:hint="eastAsia"/>
          <w:sz w:val="21"/>
          <w:szCs w:val="21"/>
        </w:rPr>
        <w:t xml:space="preserve">严斌先生，硕士。1997年7月起先后在华侨城集团公司、博时基金管理有限公司工作。现任博时基金管理有限公司提质增效办主任。自2015年5月起，任博时基金管理有限公司监事。 </w:t>
      </w:r>
    </w:p>
    <w:p>
      <w:pPr>
        <w:pStyle w:val="7"/>
        <w:spacing w:before="0" w:beforeAutospacing="0" w:after="0" w:afterAutospacing="0" w:line="360" w:lineRule="auto"/>
        <w:ind w:firstLine="420"/>
        <w:rPr>
          <w:sz w:val="21"/>
          <w:szCs w:val="21"/>
        </w:rPr>
      </w:pPr>
      <w:r>
        <w:rPr>
          <w:rFonts w:hint="eastAsia"/>
          <w:sz w:val="21"/>
          <w:szCs w:val="21"/>
        </w:rPr>
        <w:t xml:space="preserve">何京京先生，硕士研究生，2004年8月至2006年3月在北京城建七建设工程有限公司工作，任会计、审计。2006年3月20日加入博时基金管理有限公司，任基金运作部基金清算会计。2013年7月1日起任基金运作部高级清算会计。2014年10月20日起任基金运作部TA资金清算组主管。2015年11月30日起任基金运作部副总经理兼TA资金清算组主管。2018年9月14日起任登记清算部总经理。2024年3月7日起任审计部总经理。 </w:t>
      </w:r>
    </w:p>
    <w:p>
      <w:pPr>
        <w:pStyle w:val="7"/>
        <w:spacing w:before="0" w:beforeAutospacing="0" w:after="0" w:afterAutospacing="0" w:line="360" w:lineRule="auto"/>
        <w:ind w:firstLine="420"/>
        <w:rPr>
          <w:sz w:val="21"/>
          <w:szCs w:val="21"/>
        </w:rPr>
      </w:pPr>
      <w:r>
        <w:rPr>
          <w:rFonts w:hint="eastAsia"/>
          <w:sz w:val="21"/>
          <w:szCs w:val="21"/>
        </w:rPr>
        <w:t xml:space="preserve">3、高级管理人员 </w:t>
      </w:r>
    </w:p>
    <w:p>
      <w:pPr>
        <w:pStyle w:val="7"/>
        <w:spacing w:before="0" w:beforeAutospacing="0" w:after="0" w:afterAutospacing="0" w:line="360" w:lineRule="auto"/>
        <w:ind w:firstLine="420"/>
        <w:rPr>
          <w:sz w:val="21"/>
          <w:szCs w:val="21"/>
        </w:rPr>
      </w:pPr>
      <w:r>
        <w:rPr>
          <w:rFonts w:hint="eastAsia"/>
          <w:sz w:val="21"/>
          <w:szCs w:val="21"/>
        </w:rPr>
        <w:t xml:space="preserve">张东先生，简历同上。 </w:t>
      </w:r>
    </w:p>
    <w:p>
      <w:pPr>
        <w:pStyle w:val="7"/>
        <w:spacing w:before="0" w:beforeAutospacing="0" w:after="0" w:afterAutospacing="0" w:line="360" w:lineRule="auto"/>
        <w:ind w:firstLine="420"/>
        <w:rPr>
          <w:sz w:val="21"/>
          <w:szCs w:val="21"/>
        </w:rPr>
      </w:pPr>
      <w:r>
        <w:rPr>
          <w:rFonts w:hint="eastAsia"/>
          <w:sz w:val="21"/>
          <w:szCs w:val="21"/>
        </w:rPr>
        <w:t xml:space="preserve">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 </w:t>
      </w:r>
    </w:p>
    <w:p>
      <w:pPr>
        <w:pStyle w:val="7"/>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财富基金销售有限公司董事。 </w:t>
      </w:r>
    </w:p>
    <w:p>
      <w:pPr>
        <w:pStyle w:val="7"/>
        <w:spacing w:before="0" w:beforeAutospacing="0" w:after="0" w:afterAutospacing="0" w:line="360" w:lineRule="auto"/>
        <w:ind w:firstLine="420"/>
        <w:rPr>
          <w:sz w:val="21"/>
          <w:szCs w:val="21"/>
        </w:rPr>
      </w:pPr>
      <w:r>
        <w:rPr>
          <w:rFonts w:hint="eastAsia"/>
          <w:sz w:val="21"/>
          <w:szCs w:val="21"/>
        </w:rPr>
        <w:t xml:space="preserve">王德英先生，硕士，副总经理。1995年起先后在北京清华计算机公司任开发部经理、清华紫光股份公司CAD与信息事业部任总工程师。2000年加入博时基金管理有限公司，历任行政管理部副经理，电脑部副经理、信息技术部总经理。现任公司副总经理、首席信息官，主管IT、指数与量化投资、养老金等工作，兼任博时财富基金销售有限公司董事长和博时资本管理有限公司董事长。 </w:t>
      </w:r>
    </w:p>
    <w:p>
      <w:pPr>
        <w:pStyle w:val="7"/>
        <w:spacing w:before="0" w:beforeAutospacing="0" w:after="0" w:afterAutospacing="0" w:line="360" w:lineRule="auto"/>
        <w:ind w:firstLine="420"/>
        <w:rPr>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w:t>
      </w:r>
      <w:bookmarkStart w:id="30" w:name="chapter_level1_5_53_section_1_end"/>
      <w:bookmarkEnd w:id="30"/>
      <w:r>
        <w:rPr>
          <w:rFonts w:hint="eastAsia"/>
          <w:sz w:val="21"/>
          <w:szCs w:val="21"/>
        </w:rPr>
        <w:t xml:space="preserve">资产管理有限公司合规总监。2024年加入博时基金管理有限公司，现任公司督察长。 </w:t>
      </w:r>
      <w:bookmarkStart w:id="31" w:name="field_0_managerpersoninfo_1_end"/>
      <w:bookmarkEnd w:id="31"/>
      <w:r>
        <w:rPr>
          <w:rFonts w:hint="eastAsia"/>
          <w:sz w:val="21"/>
          <w:szCs w:val="21"/>
        </w:rPr>
        <w:t xml:space="preserve">  </w:t>
      </w:r>
    </w:p>
    <w:p>
      <w:pPr>
        <w:pStyle w:val="7"/>
        <w:spacing w:before="0" w:beforeAutospacing="0" w:after="0" w:afterAutospacing="0" w:line="360" w:lineRule="auto"/>
        <w:ind w:firstLine="420"/>
        <w:rPr>
          <w:sz w:val="21"/>
          <w:szCs w:val="21"/>
        </w:rPr>
      </w:pPr>
      <w:bookmarkStart w:id="32" w:name="chapter_level1_5_53_section_2"/>
      <w:bookmarkEnd w:id="32"/>
      <w:r>
        <w:rPr>
          <w:rFonts w:hint="eastAsia"/>
          <w:sz w:val="21"/>
          <w:szCs w:val="21"/>
        </w:rPr>
        <w:t xml:space="preserve">4、本基金基金经理 </w:t>
      </w:r>
    </w:p>
    <w:p>
      <w:pPr>
        <w:pStyle w:val="7"/>
        <w:spacing w:before="0" w:beforeAutospacing="0" w:after="0" w:afterAutospacing="0" w:line="360" w:lineRule="auto"/>
        <w:ind w:firstLine="420"/>
        <w:rPr>
          <w:sz w:val="21"/>
          <w:szCs w:val="21"/>
        </w:rPr>
      </w:pPr>
      <w:bookmarkStart w:id="33" w:name="field_0_fundmanagerresume_1_start"/>
      <w:bookmarkEnd w:id="33"/>
      <w:r>
        <w:rPr>
          <w:rFonts w:hint="eastAsia"/>
          <w:sz w:val="21"/>
          <w:szCs w:val="21"/>
        </w:rPr>
        <w:t>刘玉强先生，硕士。2015年从北京大学硕士研究生毕业后加入博时基金管理有限公司。曾任研究员、基金经理助理。现任博时专精特新主题混合型证券投资基金(2023年2月1日—至今)、博时上证科创板综合交易型开放式指数证券投资基金(2025年2月26日—至今)、博时上证科创板综合交易型开放式指数证券投资基金联接基金(2025年4月8日—至今)、博时上证科创板综合价格指数增强型证券投资基金(2025年4月29日—至今)、博时国证大盘成长交易型开放式指数证券投资基金(2025年6月18日—至今)、博时上证综合指数增强型证券投资基金(2025年7月17日—至今)、博时量化多策</w:t>
      </w:r>
      <w:bookmarkStart w:id="34" w:name="chapter_level1_5_53_section_2_end"/>
      <w:bookmarkEnd w:id="34"/>
      <w:r>
        <w:rPr>
          <w:rFonts w:hint="eastAsia"/>
          <w:sz w:val="21"/>
          <w:szCs w:val="21"/>
        </w:rPr>
        <w:t>略股票型证券投资基金(2025年11月3日—至今)的基金经理。</w:t>
      </w:r>
      <w:bookmarkStart w:id="35" w:name="field_0_fundmanagerresume_1_end"/>
      <w:bookmarkEnd w:id="35"/>
      <w:r>
        <w:rPr>
          <w:rFonts w:hint="eastAsia"/>
          <w:sz w:val="21"/>
          <w:szCs w:val="21"/>
        </w:rPr>
        <w:t xml:space="preserve">  </w:t>
      </w:r>
    </w:p>
    <w:p>
      <w:pPr>
        <w:pStyle w:val="7"/>
        <w:spacing w:before="0" w:beforeAutospacing="0" w:after="0" w:afterAutospacing="0" w:line="360" w:lineRule="auto"/>
        <w:ind w:firstLine="420"/>
        <w:rPr>
          <w:sz w:val="21"/>
          <w:szCs w:val="21"/>
        </w:rPr>
      </w:pPr>
      <w:bookmarkStart w:id="36" w:name="field_0_managerpersoninfo2_1_start"/>
      <w:bookmarkEnd w:id="36"/>
      <w:bookmarkStart w:id="37" w:name="chapter_level1_5_53_section_3"/>
      <w:bookmarkEnd w:id="37"/>
      <w:r>
        <w:rPr>
          <w:rFonts w:hint="eastAsia"/>
          <w:sz w:val="21"/>
          <w:szCs w:val="21"/>
        </w:rPr>
        <w:t xml:space="preserve">5、投资决策委员会成员 </w:t>
      </w:r>
    </w:p>
    <w:p>
      <w:pPr>
        <w:pStyle w:val="7"/>
        <w:spacing w:before="0" w:beforeAutospacing="0" w:after="0" w:afterAutospacing="0" w:line="360" w:lineRule="auto"/>
        <w:ind w:firstLine="420"/>
        <w:rPr>
          <w:sz w:val="21"/>
          <w:szCs w:val="21"/>
        </w:rPr>
      </w:pPr>
      <w:r>
        <w:rPr>
          <w:rFonts w:hint="eastAsia"/>
          <w:sz w:val="21"/>
          <w:szCs w:val="21"/>
        </w:rPr>
        <w:t xml:space="preserve">公司投资决策委员会专职委员兼年金投资部总经理于善辉先生。 </w:t>
      </w:r>
    </w:p>
    <w:p>
      <w:pPr>
        <w:pStyle w:val="7"/>
        <w:spacing w:before="0" w:beforeAutospacing="0" w:after="0" w:afterAutospacing="0" w:line="360" w:lineRule="auto"/>
        <w:ind w:firstLine="420"/>
        <w:rPr>
          <w:sz w:val="21"/>
          <w:szCs w:val="21"/>
        </w:rPr>
      </w:pPr>
      <w:r>
        <w:rPr>
          <w:rFonts w:hint="eastAsia"/>
          <w:sz w:val="21"/>
          <w:szCs w:val="21"/>
        </w:rPr>
        <w:t xml:space="preserve">公司首席资产配置官黄健斌先生。 </w:t>
      </w:r>
    </w:p>
    <w:p>
      <w:pPr>
        <w:pStyle w:val="7"/>
        <w:spacing w:before="0" w:beforeAutospacing="0" w:after="0" w:afterAutospacing="0" w:line="360" w:lineRule="auto"/>
        <w:ind w:firstLine="420"/>
        <w:rPr>
          <w:sz w:val="21"/>
          <w:szCs w:val="21"/>
        </w:rPr>
      </w:pPr>
      <w:r>
        <w:rPr>
          <w:rFonts w:hint="eastAsia"/>
          <w:sz w:val="21"/>
          <w:szCs w:val="21"/>
        </w:rPr>
        <w:t xml:space="preserve">首席基金经理过钧先生。 </w:t>
      </w:r>
    </w:p>
    <w:p>
      <w:pPr>
        <w:pStyle w:val="7"/>
        <w:spacing w:before="0" w:beforeAutospacing="0" w:after="0" w:afterAutospacing="0" w:line="360" w:lineRule="auto"/>
        <w:ind w:firstLine="420"/>
        <w:rPr>
          <w:sz w:val="21"/>
          <w:szCs w:val="21"/>
        </w:rPr>
      </w:pPr>
      <w:r>
        <w:rPr>
          <w:rFonts w:hint="eastAsia"/>
          <w:sz w:val="21"/>
          <w:szCs w:val="21"/>
        </w:rPr>
        <w:t xml:space="preserve">首席投资官兼权益投研一体化总监、权益投资四部总经理、境外投资部总经理曾鹏先生。 </w:t>
      </w:r>
    </w:p>
    <w:p>
      <w:pPr>
        <w:pStyle w:val="7"/>
        <w:spacing w:before="0" w:beforeAutospacing="0" w:after="0" w:afterAutospacing="0" w:line="360" w:lineRule="auto"/>
        <w:ind w:firstLine="420"/>
        <w:rPr>
          <w:sz w:val="21"/>
          <w:szCs w:val="21"/>
        </w:rPr>
      </w:pPr>
      <w:r>
        <w:rPr>
          <w:rFonts w:hint="eastAsia"/>
          <w:sz w:val="21"/>
          <w:szCs w:val="21"/>
        </w:rPr>
        <w:t xml:space="preserve">董事总经理兼权益投资三部总经理、权益投资三部投资总监蔡滨先生。 </w:t>
      </w:r>
    </w:p>
    <w:p>
      <w:pPr>
        <w:pStyle w:val="7"/>
        <w:spacing w:before="0" w:beforeAutospacing="0" w:after="0" w:afterAutospacing="0" w:line="360" w:lineRule="auto"/>
        <w:ind w:firstLine="420"/>
        <w:rPr>
          <w:sz w:val="21"/>
          <w:szCs w:val="21"/>
        </w:rPr>
      </w:pPr>
      <w:r>
        <w:rPr>
          <w:rFonts w:hint="eastAsia"/>
          <w:sz w:val="21"/>
          <w:szCs w:val="21"/>
        </w:rPr>
        <w:t xml:space="preserve">行业研究部总经理魏立先生。 </w:t>
      </w:r>
    </w:p>
    <w:p>
      <w:pPr>
        <w:pStyle w:val="7"/>
        <w:spacing w:before="0" w:beforeAutospacing="0" w:after="0" w:afterAutospacing="0" w:line="360" w:lineRule="auto"/>
        <w:ind w:firstLine="420"/>
        <w:rPr>
          <w:sz w:val="21"/>
          <w:szCs w:val="21"/>
        </w:rPr>
      </w:pPr>
      <w:r>
        <w:rPr>
          <w:rFonts w:hint="eastAsia"/>
          <w:sz w:val="21"/>
          <w:szCs w:val="21"/>
        </w:rPr>
        <w:t xml:space="preserve">宏观策略部总经理兼行业研究部研究总监金晟哲先生。 </w:t>
      </w:r>
    </w:p>
    <w:p>
      <w:pPr>
        <w:pStyle w:val="7"/>
        <w:spacing w:before="0" w:beforeAutospacing="0" w:after="0" w:afterAutospacing="0" w:line="360" w:lineRule="auto"/>
        <w:ind w:firstLine="420"/>
        <w:rPr>
          <w:sz w:val="21"/>
          <w:szCs w:val="21"/>
        </w:rPr>
      </w:pPr>
      <w:r>
        <w:rPr>
          <w:rFonts w:hint="eastAsia"/>
          <w:sz w:val="21"/>
          <w:szCs w:val="21"/>
        </w:rPr>
        <w:t xml:space="preserve">指数与量化投资部总经理兼指数与量化投资部投资总监赵云阳先生。   </w:t>
      </w:r>
    </w:p>
    <w:p>
      <w:pPr>
        <w:pStyle w:val="7"/>
        <w:spacing w:before="0" w:beforeAutospacing="0" w:after="0" w:afterAutospacing="0" w:line="360" w:lineRule="auto"/>
        <w:ind w:firstLine="420"/>
        <w:rPr>
          <w:sz w:val="21"/>
          <w:szCs w:val="21"/>
        </w:rPr>
      </w:pPr>
      <w:bookmarkStart w:id="38" w:name="chapter_level1_5_53_section_3_end"/>
      <w:bookmarkEnd w:id="38"/>
      <w:r>
        <w:rPr>
          <w:rFonts w:hint="eastAsia"/>
          <w:sz w:val="21"/>
          <w:szCs w:val="21"/>
        </w:rPr>
        <w:t xml:space="preserve">6、上述人员之间均不存在近亲属关系。 </w:t>
      </w:r>
      <w:bookmarkStart w:id="39" w:name="field_0_managerpersoninfo2_1_end"/>
      <w:bookmarkEnd w:id="39"/>
      <w:r>
        <w:rPr>
          <w:rFonts w:hint="eastAsia"/>
          <w:sz w:val="21"/>
          <w:szCs w:val="21"/>
        </w:rPr>
        <w:t xml:space="preserve">  </w:t>
      </w:r>
    </w:p>
    <w:p>
      <w:pPr>
        <w:pStyle w:val="7"/>
        <w:spacing w:before="0" w:beforeAutospacing="0" w:after="0" w:afterAutospacing="0" w:line="360" w:lineRule="auto"/>
        <w:ind w:firstLine="420"/>
        <w:rPr>
          <w:sz w:val="21"/>
          <w:szCs w:val="21"/>
        </w:rPr>
      </w:pPr>
      <w:bookmarkStart w:id="40" w:name="chapter_level1_5_53_section_4"/>
      <w:bookmarkEnd w:id="40"/>
      <w:r>
        <w:rPr>
          <w:rStyle w:val="11"/>
          <w:rFonts w:hint="eastAsia"/>
          <w:sz w:val="21"/>
          <w:szCs w:val="21"/>
        </w:rPr>
        <w:t>三、基金管理人的职责</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8、采取适当合理的措施使计算基金份额认购价格、申购对价、赎回对价的方法符合《基金合同》等法律文件的规定，按有关规定计算并公告基金净值信息，确定基金份额申购、赎回对价，编制申购赎回清单；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法律、法规另有规定的以及审计需要的除外；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14、按规定受理申购与赎回申请，及时、足额支付赎回对价；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16、按规定保存基金财产管理业务活动的会计账册、报表、记录和其他相关资料，保存期限不低于法定最低期限；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在募集期间未能达到基金的备案条件，基金合同不能生效，基金管理人承担全部募集费用，将已募集资金并加计银行同期活期存款利息在基金募集期结束后30日内退还基金认购人，对于基金募集期间网下股票认购所冻结的股票，发售代理机构应予以解冻；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1、基金管理人承诺不从事违反《证券法》的行为，并承诺建立健全内部控制制度，采取有效措施，防止违反《证券法》行为的发生； </w:t>
      </w:r>
    </w:p>
    <w:p>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（3）利用基金财产或者职务之便为基金份额持有人以外的人牟取利益； </w:t>
      </w:r>
    </w:p>
    <w:p>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pPr>
        <w:pStyle w:val="7"/>
        <w:spacing w:before="0" w:beforeAutospacing="0" w:after="0" w:afterAutospacing="0" w:line="360" w:lineRule="auto"/>
        <w:ind w:firstLine="420"/>
        <w:rPr>
          <w:sz w:val="21"/>
          <w:szCs w:val="21"/>
        </w:rPr>
      </w:pPr>
      <w:r>
        <w:rPr>
          <w:rStyle w:val="11"/>
          <w:rFonts w:hint="eastAsia"/>
          <w:sz w:val="21"/>
          <w:szCs w:val="21"/>
        </w:rPr>
        <w:t>五、基金经理承诺</w:t>
      </w:r>
    </w:p>
    <w:p>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2、不利用职务之便为自己、受雇人或任何第三者谋取利益； </w:t>
      </w:r>
    </w:p>
    <w:p>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pPr>
        <w:pStyle w:val="7"/>
        <w:spacing w:before="0" w:beforeAutospacing="0" w:after="0" w:afterAutospacing="0" w:line="360" w:lineRule="auto"/>
        <w:ind w:firstLine="420"/>
        <w:rPr>
          <w:sz w:val="21"/>
          <w:szCs w:val="21"/>
        </w:rPr>
      </w:pPr>
      <w:r>
        <w:rPr>
          <w:rFonts w:hint="eastAsia"/>
          <w:b/>
          <w:bCs/>
          <w:sz w:val="21"/>
          <w:szCs w:val="21"/>
        </w:rPr>
        <w:t>六、基金管理人的内部控制制度</w:t>
      </w:r>
    </w:p>
    <w:p>
      <w:pPr>
        <w:pStyle w:val="7"/>
        <w:spacing w:before="0" w:beforeAutospacing="0" w:after="0" w:afterAutospacing="0" w:line="360" w:lineRule="auto"/>
        <w:ind w:firstLine="420"/>
        <w:rPr>
          <w:sz w:val="21"/>
          <w:szCs w:val="21"/>
        </w:rPr>
      </w:pPr>
      <w:r>
        <w:rPr>
          <w:rFonts w:hint="eastAsia"/>
          <w:sz w:val="21"/>
          <w:szCs w:val="21"/>
        </w:rPr>
        <w:t xml:space="preserve">1、风险管理的原则 </w:t>
      </w:r>
    </w:p>
    <w:p>
      <w:pPr>
        <w:pStyle w:val="7"/>
        <w:spacing w:before="0" w:beforeAutospacing="0" w:after="0" w:afterAutospacing="0" w:line="360" w:lineRule="auto"/>
        <w:ind w:firstLine="420"/>
        <w:rPr>
          <w:sz w:val="21"/>
          <w:szCs w:val="21"/>
        </w:rPr>
      </w:pPr>
      <w:r>
        <w:rPr>
          <w:rFonts w:hint="eastAsia"/>
          <w:sz w:val="21"/>
          <w:szCs w:val="21"/>
        </w:rPr>
        <w:t xml:space="preserve">（1）全面性原则 </w:t>
      </w:r>
    </w:p>
    <w:p>
      <w:pPr>
        <w:pStyle w:val="7"/>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pPr>
        <w:pStyle w:val="7"/>
        <w:spacing w:before="0" w:beforeAutospacing="0" w:after="0" w:afterAutospacing="0" w:line="360" w:lineRule="auto"/>
        <w:ind w:firstLine="420"/>
        <w:rPr>
          <w:sz w:val="21"/>
          <w:szCs w:val="21"/>
        </w:rPr>
      </w:pPr>
      <w:r>
        <w:rPr>
          <w:rFonts w:hint="eastAsia"/>
          <w:sz w:val="21"/>
          <w:szCs w:val="21"/>
        </w:rPr>
        <w:t xml:space="preserve">（2）独立性原则 </w:t>
      </w:r>
    </w:p>
    <w:p>
      <w:pPr>
        <w:pStyle w:val="7"/>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公司设立独立的法律合规部，法律合规部保持高度的独立性和权威性，负责对公司各部门风险控制工作进行监督和检查。 </w:t>
      </w:r>
    </w:p>
    <w:p>
      <w:pPr>
        <w:pStyle w:val="7"/>
        <w:spacing w:before="0" w:beforeAutospacing="0" w:after="0" w:afterAutospacing="0" w:line="360" w:lineRule="auto"/>
        <w:ind w:firstLine="420"/>
        <w:rPr>
          <w:sz w:val="21"/>
          <w:szCs w:val="21"/>
        </w:rPr>
      </w:pPr>
      <w:r>
        <w:rPr>
          <w:rFonts w:hint="eastAsia"/>
          <w:sz w:val="21"/>
          <w:szCs w:val="21"/>
        </w:rPr>
        <w:t xml:space="preserve">（3）相互制约原则 </w:t>
      </w:r>
    </w:p>
    <w:p>
      <w:pPr>
        <w:pStyle w:val="7"/>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pPr>
        <w:pStyle w:val="7"/>
        <w:spacing w:before="0" w:beforeAutospacing="0" w:after="0" w:afterAutospacing="0" w:line="360" w:lineRule="auto"/>
        <w:ind w:firstLine="420"/>
        <w:rPr>
          <w:sz w:val="21"/>
          <w:szCs w:val="21"/>
        </w:rPr>
      </w:pPr>
      <w:r>
        <w:rPr>
          <w:rFonts w:hint="eastAsia"/>
          <w:sz w:val="21"/>
          <w:szCs w:val="21"/>
        </w:rPr>
        <w:t xml:space="preserve">（4）定性和定量相结合原则 </w:t>
      </w:r>
    </w:p>
    <w:p>
      <w:pPr>
        <w:pStyle w:val="7"/>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pPr>
        <w:pStyle w:val="7"/>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pPr>
        <w:pStyle w:val="7"/>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监督和检查公司的风险管理措施的执行。具体而言，包括如下组成部分： </w:t>
      </w:r>
    </w:p>
    <w:p>
      <w:pPr>
        <w:pStyle w:val="7"/>
        <w:spacing w:before="0" w:beforeAutospacing="0" w:after="0" w:afterAutospacing="0" w:line="360" w:lineRule="auto"/>
        <w:ind w:firstLine="420"/>
        <w:rPr>
          <w:sz w:val="21"/>
          <w:szCs w:val="21"/>
        </w:rPr>
      </w:pPr>
      <w:r>
        <w:rPr>
          <w:rFonts w:hint="eastAsia"/>
          <w:sz w:val="21"/>
          <w:szCs w:val="21"/>
        </w:rPr>
        <w:t xml:space="preserve">（1）董事会 </w:t>
      </w:r>
    </w:p>
    <w:p>
      <w:pPr>
        <w:pStyle w:val="7"/>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pPr>
        <w:pStyle w:val="7"/>
        <w:spacing w:before="0" w:beforeAutospacing="0" w:after="0" w:afterAutospacing="0" w:line="360" w:lineRule="auto"/>
        <w:ind w:firstLine="420"/>
        <w:rPr>
          <w:sz w:val="21"/>
          <w:szCs w:val="21"/>
        </w:rPr>
      </w:pPr>
      <w:r>
        <w:rPr>
          <w:rFonts w:hint="eastAsia"/>
          <w:sz w:val="21"/>
          <w:szCs w:val="21"/>
        </w:rPr>
        <w:t xml:space="preserve">（2）风险管理委员会 </w:t>
      </w:r>
    </w:p>
    <w:p>
      <w:pPr>
        <w:pStyle w:val="7"/>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pPr>
        <w:pStyle w:val="7"/>
        <w:spacing w:before="0" w:beforeAutospacing="0" w:after="0" w:afterAutospacing="0" w:line="360" w:lineRule="auto"/>
        <w:ind w:firstLine="420"/>
        <w:rPr>
          <w:sz w:val="21"/>
          <w:szCs w:val="21"/>
        </w:rPr>
      </w:pPr>
      <w:r>
        <w:rPr>
          <w:rFonts w:hint="eastAsia"/>
          <w:sz w:val="21"/>
          <w:szCs w:val="21"/>
        </w:rPr>
        <w:t xml:space="preserve">（3）督察长 </w:t>
      </w:r>
    </w:p>
    <w:p>
      <w:pPr>
        <w:pStyle w:val="7"/>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pPr>
        <w:pStyle w:val="7"/>
        <w:spacing w:before="0" w:beforeAutospacing="0" w:after="0" w:afterAutospacing="0" w:line="360" w:lineRule="auto"/>
        <w:ind w:firstLine="420"/>
        <w:rPr>
          <w:sz w:val="21"/>
          <w:szCs w:val="21"/>
        </w:rPr>
      </w:pPr>
      <w:r>
        <w:rPr>
          <w:rFonts w:hint="eastAsia"/>
          <w:sz w:val="21"/>
          <w:szCs w:val="21"/>
        </w:rPr>
        <w:t xml:space="preserve">（4）法律合规部 </w:t>
      </w:r>
    </w:p>
    <w:p>
      <w:pPr>
        <w:pStyle w:val="7"/>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法律合规部负责对公司风险管理政策和措施的执行情况进行监督和检查，并为每一个部门的风险管理系统的发展提供协助，使公司在一种风险管理和控制的环境中实现业务目标。 </w:t>
      </w:r>
    </w:p>
    <w:p>
      <w:pPr>
        <w:pStyle w:val="7"/>
        <w:spacing w:before="0" w:beforeAutospacing="0" w:after="0" w:afterAutospacing="0" w:line="360" w:lineRule="auto"/>
        <w:ind w:firstLine="420"/>
        <w:rPr>
          <w:sz w:val="21"/>
          <w:szCs w:val="21"/>
        </w:rPr>
      </w:pPr>
      <w:r>
        <w:rPr>
          <w:rFonts w:hint="eastAsia"/>
          <w:sz w:val="21"/>
          <w:szCs w:val="21"/>
        </w:rPr>
        <w:t xml:space="preserve">（5）风险管理部 </w:t>
      </w:r>
    </w:p>
    <w:p>
      <w:pPr>
        <w:pStyle w:val="7"/>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pPr>
        <w:pStyle w:val="7"/>
        <w:spacing w:before="0" w:beforeAutospacing="0" w:after="0" w:afterAutospacing="0" w:line="360" w:lineRule="auto"/>
        <w:ind w:firstLine="420"/>
        <w:rPr>
          <w:sz w:val="21"/>
          <w:szCs w:val="21"/>
        </w:rPr>
      </w:pPr>
      <w:r>
        <w:rPr>
          <w:rFonts w:hint="eastAsia"/>
          <w:sz w:val="21"/>
          <w:szCs w:val="21"/>
        </w:rPr>
        <w:t xml:space="preserve">（6）业务部门 </w:t>
      </w:r>
    </w:p>
    <w:p>
      <w:pPr>
        <w:pStyle w:val="7"/>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pPr>
        <w:pStyle w:val="7"/>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pPr>
        <w:pStyle w:val="7"/>
        <w:spacing w:before="0" w:beforeAutospacing="0" w:after="0" w:afterAutospacing="0" w:line="360" w:lineRule="auto"/>
        <w:ind w:firstLine="420"/>
        <w:rPr>
          <w:sz w:val="21"/>
          <w:szCs w:val="21"/>
        </w:rPr>
      </w:pPr>
      <w:r>
        <w:rPr>
          <w:rFonts w:hint="eastAsia"/>
          <w:sz w:val="21"/>
          <w:szCs w:val="21"/>
        </w:rPr>
        <w:t xml:space="preserve">（1）建立内控结构，完善内控制度 </w:t>
      </w:r>
    </w:p>
    <w:p>
      <w:pPr>
        <w:pStyle w:val="7"/>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pPr>
        <w:pStyle w:val="7"/>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pPr>
        <w:pStyle w:val="7"/>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pPr>
        <w:pStyle w:val="7"/>
        <w:spacing w:before="0" w:beforeAutospacing="0" w:after="0" w:afterAutospacing="0" w:line="360" w:lineRule="auto"/>
        <w:ind w:firstLine="420"/>
        <w:rPr>
          <w:sz w:val="21"/>
          <w:szCs w:val="21"/>
        </w:rPr>
      </w:pPr>
      <w:r>
        <w:rPr>
          <w:rFonts w:hint="eastAsia"/>
          <w:sz w:val="21"/>
          <w:szCs w:val="21"/>
        </w:rPr>
        <w:t xml:space="preserve">（3）建立、健全岗位责任制 </w:t>
      </w:r>
    </w:p>
    <w:p>
      <w:pPr>
        <w:pStyle w:val="7"/>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pPr>
        <w:pStyle w:val="7"/>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pPr>
        <w:pStyle w:val="7"/>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pPr>
        <w:pStyle w:val="7"/>
        <w:spacing w:before="0" w:beforeAutospacing="0" w:after="0" w:afterAutospacing="0" w:line="360" w:lineRule="auto"/>
        <w:ind w:firstLine="420"/>
        <w:rPr>
          <w:sz w:val="21"/>
          <w:szCs w:val="21"/>
        </w:rPr>
      </w:pPr>
      <w:r>
        <w:rPr>
          <w:rFonts w:hint="eastAsia"/>
          <w:sz w:val="21"/>
          <w:szCs w:val="21"/>
        </w:rPr>
        <w:t xml:space="preserve">（5）建立有效的内部监控系统 </w:t>
      </w:r>
    </w:p>
    <w:p>
      <w:pPr>
        <w:pStyle w:val="7"/>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pPr>
        <w:pStyle w:val="7"/>
        <w:spacing w:before="0" w:beforeAutospacing="0" w:after="0" w:afterAutospacing="0" w:line="360" w:lineRule="auto"/>
        <w:ind w:firstLine="420"/>
        <w:rPr>
          <w:sz w:val="21"/>
          <w:szCs w:val="21"/>
        </w:rPr>
      </w:pPr>
      <w:r>
        <w:rPr>
          <w:rFonts w:hint="eastAsia"/>
          <w:sz w:val="21"/>
          <w:szCs w:val="21"/>
        </w:rPr>
        <w:t xml:space="preserve">（6）使用数量化的风险管理手段 </w:t>
      </w:r>
    </w:p>
    <w:p>
      <w:pPr>
        <w:pStyle w:val="7"/>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pPr>
        <w:pStyle w:val="7"/>
        <w:spacing w:before="0" w:beforeAutospacing="0" w:after="0" w:afterAutospacing="0" w:line="360" w:lineRule="auto"/>
        <w:ind w:firstLine="420"/>
        <w:rPr>
          <w:sz w:val="21"/>
          <w:szCs w:val="21"/>
        </w:rPr>
      </w:pPr>
      <w:r>
        <w:rPr>
          <w:rFonts w:hint="eastAsia"/>
          <w:sz w:val="21"/>
          <w:szCs w:val="21"/>
        </w:rPr>
        <w:t xml:space="preserve">（7）提供足够的培训 </w:t>
      </w:r>
    </w:p>
    <w:p>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41" w:name="chapter_level1_5_53_section_4_end"/>
      <w:bookmarkEnd w:id="41"/>
      <w:r>
        <w:rPr>
          <w:rFonts w:hint="eastAsia"/>
          <w:sz w:val="21"/>
          <w:szCs w:val="21"/>
        </w:rPr>
        <w:t xml:space="preserve">控制风险。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42" w:name="chapter_level1_6_55"/>
      <w:bookmarkStart w:id="43" w:name="_Toc213857366"/>
      <w:r>
        <w:rPr>
          <w:rFonts w:hint="eastAsia" w:ascii="宋体" w:hAnsi="宋体" w:eastAsia="宋体"/>
          <w:sz w:val="30"/>
        </w:rPr>
        <w:t>第四部分  基金托管人</w:t>
      </w:r>
      <w:bookmarkEnd w:id="42"/>
      <w:bookmarkEnd w:id="43"/>
    </w:p>
    <w:p>
      <w:pPr>
        <w:pStyle w:val="7"/>
        <w:spacing w:before="0" w:beforeAutospacing="0" w:after="0" w:afterAutospacing="0" w:line="360" w:lineRule="auto"/>
        <w:ind w:firstLine="420"/>
        <w:rPr>
          <w:sz w:val="21"/>
          <w:szCs w:val="21"/>
        </w:rPr>
      </w:pPr>
      <w:bookmarkStart w:id="44" w:name="field_0_trustcompanyinfo_1_start"/>
      <w:bookmarkEnd w:id="44"/>
      <w:bookmarkStart w:id="45" w:name="chapter_level1_6_55_section_1"/>
      <w:bookmarkEnd w:id="45"/>
      <w:r>
        <w:rPr>
          <w:rFonts w:hint="eastAsia"/>
          <w:sz w:val="21"/>
          <w:szCs w:val="21"/>
        </w:rPr>
        <w:t xml:space="preserve">一、基金托管人简况 </w:t>
      </w:r>
    </w:p>
    <w:p>
      <w:pPr>
        <w:pStyle w:val="7"/>
        <w:spacing w:before="0" w:beforeAutospacing="0" w:after="0" w:afterAutospacing="0" w:line="360" w:lineRule="auto"/>
        <w:ind w:firstLine="420"/>
        <w:rPr>
          <w:sz w:val="21"/>
          <w:szCs w:val="21"/>
        </w:rPr>
      </w:pPr>
      <w:r>
        <w:rPr>
          <w:rFonts w:hint="eastAsia"/>
          <w:sz w:val="21"/>
          <w:szCs w:val="21"/>
        </w:rPr>
        <w:t xml:space="preserve">名称：国泰海通证券股份有限公司（简称“国泰海通证券”） </w:t>
      </w:r>
    </w:p>
    <w:p>
      <w:pPr>
        <w:pStyle w:val="7"/>
        <w:spacing w:before="0" w:beforeAutospacing="0" w:after="0" w:afterAutospacing="0" w:line="360" w:lineRule="auto"/>
        <w:ind w:firstLine="420"/>
        <w:rPr>
          <w:sz w:val="21"/>
          <w:szCs w:val="21"/>
        </w:rPr>
      </w:pPr>
      <w:r>
        <w:rPr>
          <w:rFonts w:hint="eastAsia"/>
          <w:sz w:val="21"/>
          <w:szCs w:val="21"/>
        </w:rPr>
        <w:t xml:space="preserve">住所：中国（上海）自由贸易试验区商城路618号 </w:t>
      </w:r>
    </w:p>
    <w:p>
      <w:pPr>
        <w:pStyle w:val="7"/>
        <w:spacing w:before="0" w:beforeAutospacing="0" w:after="0" w:afterAutospacing="0" w:line="360" w:lineRule="auto"/>
        <w:ind w:firstLine="420"/>
        <w:rPr>
          <w:sz w:val="21"/>
          <w:szCs w:val="21"/>
        </w:rPr>
      </w:pPr>
      <w:r>
        <w:rPr>
          <w:rFonts w:hint="eastAsia"/>
          <w:sz w:val="21"/>
          <w:szCs w:val="21"/>
        </w:rPr>
        <w:t xml:space="preserve">法定代表人：朱健 </w:t>
      </w:r>
    </w:p>
    <w:p>
      <w:pPr>
        <w:pStyle w:val="7"/>
        <w:spacing w:before="0" w:beforeAutospacing="0" w:after="0" w:afterAutospacing="0" w:line="360" w:lineRule="auto"/>
        <w:ind w:firstLine="420"/>
        <w:rPr>
          <w:sz w:val="21"/>
          <w:szCs w:val="21"/>
        </w:rPr>
      </w:pPr>
      <w:r>
        <w:rPr>
          <w:rFonts w:hint="eastAsia"/>
          <w:sz w:val="21"/>
          <w:szCs w:val="21"/>
        </w:rPr>
        <w:t xml:space="preserve">成立时间：1999年8月18日 </w:t>
      </w:r>
    </w:p>
    <w:p>
      <w:pPr>
        <w:pStyle w:val="7"/>
        <w:spacing w:before="0" w:beforeAutospacing="0" w:after="0" w:afterAutospacing="0" w:line="360" w:lineRule="auto"/>
        <w:ind w:firstLine="420"/>
        <w:rPr>
          <w:sz w:val="21"/>
          <w:szCs w:val="21"/>
        </w:rPr>
      </w:pPr>
      <w:r>
        <w:rPr>
          <w:rFonts w:hint="eastAsia"/>
          <w:sz w:val="21"/>
          <w:szCs w:val="21"/>
        </w:rPr>
        <w:t xml:space="preserve">批准设立机关：中国证监会 </w:t>
      </w:r>
    </w:p>
    <w:p>
      <w:pPr>
        <w:pStyle w:val="7"/>
        <w:spacing w:before="0" w:beforeAutospacing="0" w:after="0" w:afterAutospacing="0" w:line="360" w:lineRule="auto"/>
        <w:ind w:firstLine="420"/>
        <w:rPr>
          <w:sz w:val="21"/>
          <w:szCs w:val="21"/>
        </w:rPr>
      </w:pPr>
      <w:r>
        <w:rPr>
          <w:rFonts w:hint="eastAsia"/>
          <w:sz w:val="21"/>
          <w:szCs w:val="21"/>
        </w:rPr>
        <w:t xml:space="preserve">批准设立文号：证监机构字[1999]77号 </w:t>
      </w:r>
    </w:p>
    <w:p>
      <w:pPr>
        <w:pStyle w:val="7"/>
        <w:spacing w:before="0" w:beforeAutospacing="0" w:after="0" w:afterAutospacing="0" w:line="360" w:lineRule="auto"/>
        <w:ind w:firstLine="420"/>
        <w:rPr>
          <w:sz w:val="21"/>
          <w:szCs w:val="21"/>
        </w:rPr>
      </w:pPr>
      <w:r>
        <w:rPr>
          <w:rFonts w:hint="eastAsia"/>
          <w:sz w:val="21"/>
          <w:szCs w:val="21"/>
        </w:rPr>
        <w:t xml:space="preserve">组织形式：其他股份有限公司（上市） </w:t>
      </w:r>
    </w:p>
    <w:p>
      <w:pPr>
        <w:pStyle w:val="7"/>
        <w:spacing w:before="0" w:beforeAutospacing="0" w:after="0" w:afterAutospacing="0" w:line="360" w:lineRule="auto"/>
        <w:ind w:firstLine="420"/>
        <w:rPr>
          <w:sz w:val="21"/>
          <w:szCs w:val="21"/>
        </w:rPr>
      </w:pPr>
      <w:r>
        <w:rPr>
          <w:rFonts w:hint="eastAsia"/>
          <w:sz w:val="21"/>
          <w:szCs w:val="21"/>
        </w:rPr>
        <w:t xml:space="preserve">注册资本：人民币 17,629,708,696 元整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基金托管资格批文及文号：证监许可[2014]511号 </w:t>
      </w:r>
    </w:p>
    <w:p>
      <w:pPr>
        <w:pStyle w:val="7"/>
        <w:spacing w:before="0" w:beforeAutospacing="0" w:after="0" w:afterAutospacing="0" w:line="360" w:lineRule="auto"/>
        <w:ind w:firstLine="420"/>
        <w:rPr>
          <w:sz w:val="21"/>
          <w:szCs w:val="21"/>
        </w:rPr>
      </w:pPr>
      <w:r>
        <w:rPr>
          <w:rFonts w:hint="eastAsia"/>
          <w:sz w:val="21"/>
          <w:szCs w:val="21"/>
        </w:rPr>
        <w:t xml:space="preserve">联系人：丛艳 </w:t>
      </w:r>
    </w:p>
    <w:p>
      <w:pPr>
        <w:pStyle w:val="7"/>
        <w:spacing w:before="0" w:beforeAutospacing="0" w:after="0" w:afterAutospacing="0" w:line="360" w:lineRule="auto"/>
        <w:ind w:firstLine="420"/>
        <w:rPr>
          <w:sz w:val="21"/>
          <w:szCs w:val="21"/>
        </w:rPr>
      </w:pPr>
      <w:r>
        <w:rPr>
          <w:rFonts w:hint="eastAsia"/>
          <w:sz w:val="21"/>
          <w:szCs w:val="21"/>
        </w:rPr>
        <w:t xml:space="preserve">通讯地址：上海市静安区新闸路669号博华广场19楼 </w:t>
      </w:r>
    </w:p>
    <w:p>
      <w:pPr>
        <w:pStyle w:val="7"/>
        <w:spacing w:before="0" w:beforeAutospacing="0" w:after="0" w:afterAutospacing="0" w:line="360" w:lineRule="auto"/>
        <w:ind w:firstLine="420"/>
        <w:rPr>
          <w:sz w:val="21"/>
          <w:szCs w:val="21"/>
        </w:rPr>
      </w:pPr>
      <w:r>
        <w:rPr>
          <w:rFonts w:hint="eastAsia"/>
          <w:sz w:val="21"/>
          <w:szCs w:val="21"/>
        </w:rPr>
        <w:t>联系电话：021-38</w:t>
      </w:r>
      <w:r>
        <w:rPr>
          <w:rFonts w:hint="eastAsia"/>
          <w:sz w:val="21"/>
          <w:szCs w:val="21"/>
          <w:lang w:val="en-US" w:eastAsia="zh-CN"/>
        </w:rPr>
        <w:t>917599</w:t>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1.拟任基金托管人简介 </w:t>
      </w:r>
    </w:p>
    <w:p>
      <w:pPr>
        <w:pStyle w:val="7"/>
        <w:spacing w:before="0" w:beforeAutospacing="0" w:after="0" w:afterAutospacing="0" w:line="360" w:lineRule="auto"/>
        <w:ind w:firstLine="420"/>
        <w:rPr>
          <w:sz w:val="21"/>
          <w:szCs w:val="21"/>
        </w:rPr>
      </w:pPr>
      <w:r>
        <w:rPr>
          <w:rFonts w:hint="eastAsia"/>
          <w:sz w:val="21"/>
          <w:szCs w:val="21"/>
        </w:rPr>
        <w:t xml:space="preserve">本集团是中国证券行业长期、持续、全面领先的综合金融服务商。本集团跨越了中国资本市场发展的全部历程和多个周期，历经风雨，锐意进取，始终屹立在资本市场的最前列，资本规模、盈利水平、业务实力和风险管理能力一直位居行业领先水平。截至2024年12月31日，公司直接拥有6家境内子公司和1家境外子公司，并在境内设有37家证券分公司和346家证券营业部。 </w:t>
      </w:r>
    </w:p>
    <w:p>
      <w:pPr>
        <w:pStyle w:val="7"/>
        <w:spacing w:before="0" w:beforeAutospacing="0" w:after="0" w:afterAutospacing="0" w:line="360" w:lineRule="auto"/>
        <w:ind w:firstLine="420"/>
        <w:rPr>
          <w:sz w:val="21"/>
          <w:szCs w:val="21"/>
        </w:rPr>
      </w:pPr>
      <w:r>
        <w:rPr>
          <w:rFonts w:hint="eastAsia"/>
          <w:sz w:val="21"/>
          <w:szCs w:val="21"/>
        </w:rPr>
        <w:t xml:space="preserve">2.主要人员情况 </w:t>
      </w:r>
    </w:p>
    <w:p>
      <w:pPr>
        <w:pStyle w:val="7"/>
        <w:spacing w:before="0" w:beforeAutospacing="0" w:after="0" w:afterAutospacing="0" w:line="360" w:lineRule="auto"/>
        <w:ind w:firstLine="420"/>
        <w:rPr>
          <w:sz w:val="21"/>
          <w:szCs w:val="21"/>
        </w:rPr>
      </w:pPr>
      <w:r>
        <w:rPr>
          <w:rFonts w:hint="eastAsia"/>
          <w:sz w:val="21"/>
          <w:szCs w:val="21"/>
        </w:rPr>
        <w:t xml:space="preserve">国泰海通证券设资产托管部，下设市场管理组、产品管理组、投资绩效分析组、托管中心、非公募运营服务中心、公募运营服务中心、国际运营组、客户服务组、数据运行组、系统运行组、合规风控组、规划管理组、人力资源组13个职能组及大湾区业务部，在北京、上海、深圳设有办公场所，共有员工200余人。部门团队人员平均从业年限5年以上，估值、风控等核心岗位人员具备10年以上大型托管行、基金公司相关工作经验。 </w:t>
      </w:r>
    </w:p>
    <w:p>
      <w:pPr>
        <w:pStyle w:val="7"/>
        <w:spacing w:before="0" w:beforeAutospacing="0" w:after="0" w:afterAutospacing="0" w:line="360" w:lineRule="auto"/>
        <w:ind w:firstLine="420"/>
        <w:rPr>
          <w:sz w:val="21"/>
          <w:szCs w:val="21"/>
        </w:rPr>
      </w:pPr>
      <w:r>
        <w:rPr>
          <w:rFonts w:hint="eastAsia"/>
          <w:sz w:val="21"/>
          <w:szCs w:val="21"/>
        </w:rPr>
        <w:t xml:space="preserve">3.基金托管业务经营情况 </w:t>
      </w:r>
    </w:p>
    <w:p>
      <w:pPr>
        <w:pStyle w:val="7"/>
        <w:spacing w:before="0" w:beforeAutospacing="0" w:after="0" w:afterAutospacing="0" w:line="360" w:lineRule="auto"/>
        <w:ind w:firstLine="420"/>
        <w:rPr>
          <w:sz w:val="21"/>
          <w:szCs w:val="21"/>
        </w:rPr>
      </w:pPr>
      <w:r>
        <w:rPr>
          <w:rFonts w:hint="eastAsia"/>
          <w:sz w:val="21"/>
          <w:szCs w:val="21"/>
        </w:rPr>
        <w:t>国泰海通证券已取得证券投资基金托管资格，可为各类公开募集基金、非公开募集基金提供托管服务。国泰海通证券坚守“诚信专业、质量为本”的服务宗旨，通过组建经验丰富的专业团队、搭建安全高效的业务系统，为基金份额持有人提供值得信赖的托管服务。国泰海通证券获得证券投资基金托管资格以来，广泛开展了公募基金、基金专户、券商资管计划、私募基金等基金托管业务，与易方达、华泰柏瑞、嘉实、华夏、建信、天弘、富国、华安等多家基金公司及其子公司建立了托管合作关系。截至2024年12月31日，托管与基金服务业务规模逾30,000亿元，其中，托管公募基金规模逾2,000亿元，继续排名证券行业第1位,托管公募基金逾70只，产品类型涉及货币市场基金、债券型证券投资基金、指数型证券投资基金、混合型证券投资基金等，专业的服务和可靠的运营获得了管理人的一致认</w:t>
      </w:r>
      <w:bookmarkStart w:id="46" w:name="chapter_level1_6_55_section_1_end"/>
      <w:bookmarkEnd w:id="46"/>
      <w:r>
        <w:rPr>
          <w:rFonts w:hint="eastAsia"/>
          <w:sz w:val="21"/>
          <w:szCs w:val="21"/>
        </w:rPr>
        <w:t xml:space="preserve">可。 </w:t>
      </w:r>
      <w:bookmarkStart w:id="47" w:name="field_0_trustcompanyinfo_1_end"/>
      <w:bookmarkEnd w:id="47"/>
      <w:r>
        <w:rPr>
          <w:rFonts w:hint="eastAsia"/>
          <w:sz w:val="21"/>
          <w:szCs w:val="21"/>
        </w:rPr>
        <w:t xml:space="preserve">  </w:t>
      </w:r>
    </w:p>
    <w:p>
      <w:pPr>
        <w:pStyle w:val="7"/>
        <w:spacing w:before="0" w:beforeAutospacing="0" w:after="0" w:afterAutospacing="0" w:line="360" w:lineRule="auto"/>
        <w:ind w:firstLine="420"/>
        <w:rPr>
          <w:sz w:val="21"/>
          <w:szCs w:val="21"/>
        </w:rPr>
      </w:pPr>
      <w:bookmarkStart w:id="48" w:name="field_0_trustcontrollawinfo_1_start"/>
      <w:bookmarkEnd w:id="48"/>
      <w:bookmarkStart w:id="49" w:name="chapter_level1_6_55_section_2"/>
      <w:bookmarkEnd w:id="49"/>
      <w:r>
        <w:rPr>
          <w:rFonts w:hint="eastAsia"/>
          <w:sz w:val="21"/>
          <w:szCs w:val="21"/>
        </w:rPr>
        <w:t xml:space="preserve">二、基金托管人的内部控制制度 </w:t>
      </w:r>
    </w:p>
    <w:p>
      <w:pPr>
        <w:pStyle w:val="7"/>
        <w:spacing w:before="0" w:beforeAutospacing="0" w:after="0" w:afterAutospacing="0" w:line="360" w:lineRule="auto"/>
        <w:ind w:firstLine="420"/>
        <w:rPr>
          <w:sz w:val="21"/>
          <w:szCs w:val="21"/>
        </w:rPr>
      </w:pPr>
      <w:r>
        <w:rPr>
          <w:rFonts w:hint="eastAsia"/>
          <w:sz w:val="21"/>
          <w:szCs w:val="21"/>
        </w:rPr>
        <w:t xml:space="preserve">1、内部控制目标 </w:t>
      </w:r>
    </w:p>
    <w:p>
      <w:pPr>
        <w:pStyle w:val="7"/>
        <w:spacing w:before="0" w:beforeAutospacing="0" w:after="0" w:afterAutospacing="0" w:line="360" w:lineRule="auto"/>
        <w:ind w:firstLine="420"/>
        <w:rPr>
          <w:sz w:val="21"/>
          <w:szCs w:val="21"/>
        </w:rPr>
      </w:pPr>
      <w:r>
        <w:rPr>
          <w:rFonts w:hint="eastAsia"/>
          <w:sz w:val="21"/>
          <w:szCs w:val="21"/>
        </w:rPr>
        <w:t xml:space="preserve">严格遵守国家法律法规相关规定，保障业务合法合规、资产托管部规章制度健全与有效执行。通过对托管业务风险进行识别、评估与管理，确保托管业务稳健运行，保护基金份额持有人及相关当事人合法权益。 </w:t>
      </w:r>
    </w:p>
    <w:p>
      <w:pPr>
        <w:pStyle w:val="7"/>
        <w:spacing w:before="0" w:beforeAutospacing="0" w:after="0" w:afterAutospacing="0" w:line="360" w:lineRule="auto"/>
        <w:ind w:firstLine="420"/>
        <w:rPr>
          <w:sz w:val="21"/>
          <w:szCs w:val="21"/>
        </w:rPr>
      </w:pPr>
      <w:r>
        <w:rPr>
          <w:rFonts w:hint="eastAsia"/>
          <w:sz w:val="21"/>
          <w:szCs w:val="21"/>
        </w:rPr>
        <w:t xml:space="preserve">2、内部控制组织结构 </w:t>
      </w:r>
    </w:p>
    <w:p>
      <w:pPr>
        <w:pStyle w:val="7"/>
        <w:spacing w:before="0" w:beforeAutospacing="0" w:after="0" w:afterAutospacing="0" w:line="360" w:lineRule="auto"/>
        <w:ind w:firstLine="420"/>
        <w:rPr>
          <w:sz w:val="21"/>
          <w:szCs w:val="21"/>
        </w:rPr>
      </w:pPr>
      <w:r>
        <w:rPr>
          <w:rFonts w:hint="eastAsia"/>
          <w:sz w:val="21"/>
          <w:szCs w:val="21"/>
        </w:rPr>
        <w:t xml:space="preserve">（1）公司董事会是公司风险管理的最高决策机构，对公司全面风险管理负有最终责任。公司董事会下设风险控制委员会，负责审议风险管理的总体目标、基本政策，评估重大决策的风险和重大风险的解决方案。 </w:t>
      </w:r>
    </w:p>
    <w:p>
      <w:pPr>
        <w:pStyle w:val="7"/>
        <w:spacing w:before="0" w:beforeAutospacing="0" w:after="0" w:afterAutospacing="0" w:line="360" w:lineRule="auto"/>
        <w:ind w:firstLine="420"/>
        <w:rPr>
          <w:sz w:val="21"/>
          <w:szCs w:val="21"/>
        </w:rPr>
      </w:pPr>
      <w:r>
        <w:rPr>
          <w:rFonts w:hint="eastAsia"/>
          <w:sz w:val="21"/>
          <w:szCs w:val="21"/>
        </w:rPr>
        <w:t xml:space="preserve">（2）公司经营管理层对公司全面风险管理承担主要责任。公司经营层设立合规与风险管理委员会，对公司经营风险实行统筹管理，对风险管理重大事项进行审议与决策。 </w:t>
      </w:r>
    </w:p>
    <w:p>
      <w:pPr>
        <w:pStyle w:val="7"/>
        <w:spacing w:before="0" w:beforeAutospacing="0" w:after="0" w:afterAutospacing="0" w:line="360" w:lineRule="auto"/>
        <w:ind w:firstLine="420"/>
        <w:rPr>
          <w:sz w:val="21"/>
          <w:szCs w:val="21"/>
        </w:rPr>
      </w:pPr>
      <w:r>
        <w:rPr>
          <w:rFonts w:hint="eastAsia"/>
          <w:sz w:val="21"/>
          <w:szCs w:val="21"/>
        </w:rPr>
        <w:t xml:space="preserve">（3）履行风险管理职责的部门包括风险管理部、法律合规部、集团稽核审计中心等专职履行风险管理职责的部门，以及计划财务部、信息技术部、营运中心等其他履行风险管理职责的部门。 </w:t>
      </w:r>
    </w:p>
    <w:p>
      <w:pPr>
        <w:pStyle w:val="7"/>
        <w:spacing w:before="0" w:beforeAutospacing="0" w:after="0" w:afterAutospacing="0" w:line="360" w:lineRule="auto"/>
        <w:ind w:firstLine="420"/>
        <w:rPr>
          <w:sz w:val="21"/>
          <w:szCs w:val="21"/>
        </w:rPr>
      </w:pPr>
      <w:r>
        <w:rPr>
          <w:rFonts w:hint="eastAsia"/>
          <w:sz w:val="21"/>
          <w:szCs w:val="21"/>
        </w:rPr>
        <w:t xml:space="preserve">（4）资产托管部设置合规风控组，负责牵头制定本部门风险管理规章制度，分析报告部门整体风险管理状况，评估检查风险管理执行情况并提出改进建议，抓住关键风险，协助业务运营岗位进行专项化解，监督风险薄弱环节的整改情况。同时部门设置风险评估及处置小组，由资产托管部负责人及各小组负责人组成，负责对重大风险事项进行评估、确定风险事件的处理意见、突发事件应急管理等事项。 </w:t>
      </w:r>
    </w:p>
    <w:p>
      <w:pPr>
        <w:pStyle w:val="7"/>
        <w:spacing w:before="0" w:beforeAutospacing="0" w:after="0" w:afterAutospacing="0" w:line="360" w:lineRule="auto"/>
        <w:ind w:firstLine="420"/>
        <w:rPr>
          <w:sz w:val="21"/>
          <w:szCs w:val="21"/>
        </w:rPr>
      </w:pPr>
      <w:r>
        <w:rPr>
          <w:rFonts w:hint="eastAsia"/>
          <w:sz w:val="21"/>
          <w:szCs w:val="21"/>
        </w:rPr>
        <w:t xml:space="preserve">3、内部控制制度及措施 </w:t>
      </w:r>
    </w:p>
    <w:p>
      <w:pPr>
        <w:pStyle w:val="7"/>
        <w:spacing w:before="0" w:beforeAutospacing="0" w:after="0" w:afterAutospacing="0" w:line="360" w:lineRule="auto"/>
        <w:ind w:firstLine="420"/>
        <w:rPr>
          <w:sz w:val="21"/>
          <w:szCs w:val="21"/>
        </w:rPr>
      </w:pPr>
      <w:r>
        <w:rPr>
          <w:rFonts w:hint="eastAsia"/>
          <w:sz w:val="21"/>
          <w:szCs w:val="21"/>
        </w:rPr>
        <w:t xml:space="preserve">根据《中华人民共和国证券投资基金法》、《公开募集证券投资基金运作管理办法》、《证券投资基金托管业务管理办法》等法律法规，基金托管人制定了一整套严密、高效的证券投资基金托管规章制度，确保基金托管业务运行的规范、安全、高效，包括《国泰海通证券股份有限公司资产托管业务管理办法》、《国泰海通证券资产托管部内部控制与风险管理办法》、《国泰海通证券资产托管部稽核监控管理办法》、《国泰海通证券资产托管部突发事件与危机处理规程》、《国泰海通证券资产托管部保密管理办法》、《国泰海通证券资产托管部资产保管规程》、《国泰海通证券资产托管部档案管理办法》等，并根据监管要求和基金托管业务的发展不断加以完善。 </w:t>
      </w:r>
    </w:p>
    <w:p>
      <w:pPr>
        <w:pStyle w:val="7"/>
        <w:spacing w:before="0" w:beforeAutospacing="0" w:after="0" w:afterAutospacing="0" w:line="360" w:lineRule="auto"/>
        <w:ind w:firstLine="420"/>
        <w:rPr>
          <w:sz w:val="21"/>
          <w:szCs w:val="21"/>
        </w:rPr>
      </w:pPr>
      <w:r>
        <w:rPr>
          <w:rFonts w:hint="eastAsia"/>
          <w:sz w:val="21"/>
          <w:szCs w:val="21"/>
        </w:rPr>
        <w:t xml:space="preserve">基金托管人通过基金托管业务各环节风险的事前提示、事中控制和事后稽核的动态管理过程来实施内部风险控制；安全保管基金财产，确保基金财产完整与独立；实行办公场所多重门禁管理，并配备录音和录像监控系统；配备独立的托管业务技术系统并进行防火墙设置；岗位设置权责分明，通过岗位设置和适当授权等措施有效实施相互制衡；关键业务环节设置经办复核机制，建立严格有效的操作制约体系；深入进行职业道德教育，树立风险管理是首要核心竞争力的理念，培养部门全体员工的风险防范和保密意识；配备专门的稽核监控岗对基金托管业务运行进行检查、评价，以保障基金托管业务内部控制的有效性。 </w:t>
      </w:r>
    </w:p>
    <w:p>
      <w:pPr>
        <w:pStyle w:val="7"/>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pPr>
        <w:pStyle w:val="7"/>
        <w:spacing w:before="0" w:beforeAutospacing="0" w:after="0" w:afterAutospacing="0" w:line="360" w:lineRule="auto"/>
        <w:ind w:firstLine="420"/>
        <w:rPr>
          <w:sz w:val="21"/>
          <w:szCs w:val="21"/>
        </w:rPr>
      </w:pPr>
      <w:r>
        <w:rPr>
          <w:rFonts w:hint="eastAsia"/>
          <w:sz w:val="21"/>
          <w:szCs w:val="21"/>
        </w:rPr>
        <w:t xml:space="preserve">1、监督方法 </w:t>
      </w:r>
    </w:p>
    <w:p>
      <w:pPr>
        <w:pStyle w:val="7"/>
        <w:spacing w:before="0" w:beforeAutospacing="0" w:after="0" w:afterAutospacing="0" w:line="360" w:lineRule="auto"/>
        <w:ind w:firstLine="420"/>
        <w:rPr>
          <w:sz w:val="21"/>
          <w:szCs w:val="21"/>
        </w:rPr>
      </w:pPr>
      <w:r>
        <w:rPr>
          <w:rFonts w:hint="eastAsia"/>
          <w:sz w:val="21"/>
          <w:szCs w:val="21"/>
        </w:rPr>
        <w:t xml:space="preserve">基金托管人根据法律法规的规定及基金合同、托管协议的约定，对投资范围、投资比例、投资限制等进行严格监督，及时提示管理人违规风险，并按要求向证监会报告。在日常为基金投资运作所提供的基金清算和核算服务环节中，对基金管理人发送的投资指令、基金管理人对基金资产的核算、基金资产净值的计算、对各基金费用的提取与开支情况、基金的申购资金的到账与赎回资金的划付、基金收益分配等行为的合法性、合规性进行监督和核查。 </w:t>
      </w:r>
    </w:p>
    <w:p>
      <w:pPr>
        <w:pStyle w:val="7"/>
        <w:spacing w:before="0" w:beforeAutospacing="0" w:after="0" w:afterAutospacing="0" w:line="360" w:lineRule="auto"/>
        <w:ind w:firstLine="420"/>
        <w:rPr>
          <w:sz w:val="21"/>
          <w:szCs w:val="21"/>
        </w:rPr>
      </w:pPr>
      <w:r>
        <w:rPr>
          <w:rFonts w:hint="eastAsia"/>
          <w:sz w:val="21"/>
          <w:szCs w:val="21"/>
        </w:rPr>
        <w:t xml:space="preserve">2、监督程序 </w:t>
      </w:r>
    </w:p>
    <w:p>
      <w:pPr>
        <w:pStyle w:val="7"/>
        <w:spacing w:before="0" w:beforeAutospacing="0" w:after="0" w:afterAutospacing="0" w:line="360" w:lineRule="auto"/>
        <w:ind w:firstLine="420"/>
        <w:rPr>
          <w:sz w:val="21"/>
          <w:szCs w:val="21"/>
        </w:rPr>
      </w:pPr>
      <w:r>
        <w:rPr>
          <w:rFonts w:hint="eastAsia"/>
          <w:sz w:val="21"/>
          <w:szCs w:val="21"/>
        </w:rPr>
        <w:t>基金托管人发现基金管理人有违反法律法规规定及基金合同、托管协议约定的，应当及时通知基金管理人予以纠正，基金管理人收到通知后及时核对确认并进行调整。基金托管人有权随时对通知事项进行复查，督促基金管理人改正。基金管理人对基金托管人通知的违规</w:t>
      </w:r>
      <w:bookmarkStart w:id="50" w:name="chapter_level1_6_55_section_2_end"/>
      <w:bookmarkEnd w:id="50"/>
      <w:r>
        <w:rPr>
          <w:rFonts w:hint="eastAsia"/>
          <w:sz w:val="21"/>
          <w:szCs w:val="21"/>
        </w:rPr>
        <w:t xml:space="preserve">事项未能在限期内纠正的，基金托管人应根据要求及时报告中国证监会。 </w:t>
      </w:r>
      <w:bookmarkStart w:id="51" w:name="field_0_trustcontrollawinfo_1_end"/>
      <w:bookmarkEnd w:id="51"/>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52" w:name="_Toc213857367"/>
      <w:bookmarkStart w:id="53" w:name="chapter_level1_7_56"/>
      <w:r>
        <w:rPr>
          <w:rFonts w:hint="eastAsia" w:ascii="宋体" w:hAnsi="宋体" w:eastAsia="宋体"/>
          <w:sz w:val="30"/>
        </w:rPr>
        <w:t>第五部分  相关服务机构</w:t>
      </w:r>
      <w:bookmarkEnd w:id="52"/>
      <w:bookmarkEnd w:id="53"/>
    </w:p>
    <w:p>
      <w:pPr>
        <w:pStyle w:val="7"/>
        <w:spacing w:before="0" w:beforeAutospacing="0" w:after="0" w:afterAutospacing="0" w:line="360" w:lineRule="auto"/>
        <w:ind w:firstLine="420"/>
        <w:rPr>
          <w:sz w:val="21"/>
          <w:szCs w:val="21"/>
        </w:rPr>
      </w:pPr>
      <w:bookmarkStart w:id="54" w:name="chapter_level1_7_56_section_1_end"/>
      <w:bookmarkEnd w:id="54"/>
      <w:bookmarkStart w:id="55" w:name="chapter_level1_7_56_section_1"/>
      <w:bookmarkEnd w:id="55"/>
      <w:r>
        <w:rPr>
          <w:rStyle w:val="11"/>
          <w:rFonts w:hint="eastAsia"/>
          <w:sz w:val="21"/>
          <w:szCs w:val="21"/>
        </w:rPr>
        <w:t>一、基金份额销售机构</w:t>
      </w:r>
    </w:p>
    <w:p>
      <w:pPr>
        <w:pStyle w:val="7"/>
        <w:spacing w:before="0" w:beforeAutospacing="0" w:after="0" w:afterAutospacing="0" w:line="360" w:lineRule="auto"/>
        <w:ind w:firstLine="420"/>
        <w:rPr>
          <w:sz w:val="21"/>
          <w:szCs w:val="21"/>
        </w:rPr>
      </w:pPr>
      <w:bookmarkStart w:id="56" w:name="chapter_level1_7_56_section_2"/>
      <w:bookmarkEnd w:id="56"/>
      <w:r>
        <w:rPr>
          <w:rFonts w:hint="eastAsia"/>
          <w:sz w:val="21"/>
          <w:szCs w:val="21"/>
        </w:rPr>
        <w:t xml:space="preserve">1、申赎代办券商 </w:t>
      </w:r>
    </w:p>
    <w:p>
      <w:pPr>
        <w:pStyle w:val="7"/>
        <w:spacing w:before="0" w:beforeAutospacing="0" w:after="0" w:afterAutospacing="0" w:line="360" w:lineRule="auto"/>
        <w:ind w:firstLine="420"/>
        <w:rPr>
          <w:sz w:val="21"/>
          <w:szCs w:val="21"/>
        </w:rPr>
      </w:pPr>
      <w:bookmarkStart w:id="57" w:name="field_0_allproxysaletables_1_start"/>
      <w:bookmarkEnd w:id="57"/>
      <w:r>
        <w:rPr>
          <w:rFonts w:hint="eastAsia"/>
          <w:b/>
          <w:bCs/>
          <w:sz w:val="21"/>
          <w:szCs w:val="21"/>
        </w:rPr>
        <w:t>(1)国泰海通证券股份有限公司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中国（上海）自由贸易试验区商城路618号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上海市静安区南京西路768号国泰君安大厦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朱健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钟伟镇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021-38676666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021-38670666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95521/4008888666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https://www.gtht.com </w:t>
            </w:r>
          </w:p>
        </w:tc>
      </w:tr>
    </w:tbl>
    <w:p>
      <w:pPr>
        <w:pStyle w:val="7"/>
        <w:spacing w:before="0" w:beforeAutospacing="0" w:after="0" w:afterAutospacing="0" w:line="360" w:lineRule="auto"/>
        <w:ind w:firstLine="420"/>
        <w:rPr>
          <w:sz w:val="21"/>
          <w:szCs w:val="21"/>
        </w:rPr>
      </w:pPr>
      <w:r>
        <w:rPr>
          <w:rFonts w:hint="eastAsia"/>
          <w:b/>
          <w:bCs/>
          <w:sz w:val="21"/>
          <w:szCs w:val="21"/>
        </w:rPr>
        <w:t>(2)中信建投证券股份有限公司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北京市朝阳区安立路66号4号楼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北京市朝阳区光华路10号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陈海静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010-65608231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010－65182261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4008888108/95587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http://www.csc108.com/ </w:t>
            </w:r>
          </w:p>
        </w:tc>
      </w:tr>
    </w:tbl>
    <w:p>
      <w:pPr>
        <w:pStyle w:val="7"/>
        <w:spacing w:before="0" w:beforeAutospacing="0" w:after="0" w:afterAutospacing="0" w:line="360" w:lineRule="auto"/>
        <w:ind w:firstLine="420"/>
        <w:rPr>
          <w:sz w:val="21"/>
          <w:szCs w:val="21"/>
        </w:rPr>
      </w:pPr>
      <w:r>
        <w:rPr>
          <w:rFonts w:hint="eastAsia"/>
          <w:b/>
          <w:bCs/>
          <w:sz w:val="21"/>
          <w:szCs w:val="21"/>
        </w:rPr>
        <w:t>(3)国信证券股份有限公司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深圳市罗湖区红岭中路1012号国信证券大厦十六层至二十六层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深圳市福田区福华一路125号国信金融大厦37楼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张纳沙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于智勇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0755-81981259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0755-82133952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http://www.guosen.com.cn/ </w:t>
            </w:r>
          </w:p>
        </w:tc>
      </w:tr>
    </w:tbl>
    <w:p>
      <w:pPr>
        <w:pStyle w:val="7"/>
        <w:spacing w:before="0" w:beforeAutospacing="0" w:after="0" w:afterAutospacing="0" w:line="360" w:lineRule="auto"/>
        <w:ind w:firstLine="420"/>
        <w:rPr>
          <w:sz w:val="21"/>
          <w:szCs w:val="21"/>
        </w:rPr>
      </w:pPr>
      <w:r>
        <w:rPr>
          <w:rFonts w:hint="eastAsia"/>
          <w:b/>
          <w:bCs/>
          <w:sz w:val="21"/>
          <w:szCs w:val="21"/>
        </w:rPr>
        <w:t>(4)招商证券股份有限公司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深圳市福田区福田街道福华一路111号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深圳市福田区福华一路111号招商证券大厦23楼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霍达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业清扬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0755-83081954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0755-83734343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http://www.cmschina.com/ </w:t>
            </w:r>
          </w:p>
        </w:tc>
      </w:tr>
    </w:tbl>
    <w:p>
      <w:pPr>
        <w:pStyle w:val="7"/>
        <w:spacing w:before="0" w:beforeAutospacing="0" w:after="0" w:afterAutospacing="0" w:line="360" w:lineRule="auto"/>
        <w:ind w:firstLine="420"/>
        <w:rPr>
          <w:sz w:val="21"/>
          <w:szCs w:val="21"/>
        </w:rPr>
      </w:pPr>
      <w:r>
        <w:rPr>
          <w:rFonts w:hint="eastAsia"/>
          <w:b/>
          <w:bCs/>
          <w:sz w:val="21"/>
          <w:szCs w:val="21"/>
        </w:rPr>
        <w:t>(5)广发证券股份有限公司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广州市黄埔区中新广州知识城腾飞一街2号618室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广州市天河区马场路26号广发证券大厦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林传辉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020－87555888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020－87555305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95575、020-95575或致电各地营业网点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http://www.gf.com.cn/ </w:t>
            </w:r>
          </w:p>
        </w:tc>
      </w:tr>
    </w:tbl>
    <w:p>
      <w:pPr>
        <w:pStyle w:val="7"/>
        <w:spacing w:before="0" w:beforeAutospacing="0" w:after="0" w:afterAutospacing="0" w:line="360" w:lineRule="auto"/>
        <w:ind w:firstLine="420"/>
        <w:rPr>
          <w:sz w:val="21"/>
          <w:szCs w:val="21"/>
        </w:rPr>
      </w:pPr>
      <w:r>
        <w:rPr>
          <w:rFonts w:hint="eastAsia"/>
          <w:b/>
          <w:bCs/>
          <w:sz w:val="21"/>
          <w:szCs w:val="21"/>
        </w:rPr>
        <w:t>(6)中信证券股份有限公司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广东省深圳市福田区中心三路8号卓越时代广场（二期）北座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北京朝阳区新源南路6号京城大厦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张佑君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杜杰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010-60833889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010－84865560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http://www.cs.ecitic.com/ </w:t>
            </w:r>
          </w:p>
        </w:tc>
      </w:tr>
    </w:tbl>
    <w:p>
      <w:pPr>
        <w:pStyle w:val="7"/>
        <w:spacing w:before="0" w:beforeAutospacing="0" w:after="0" w:afterAutospacing="0" w:line="360" w:lineRule="auto"/>
        <w:ind w:firstLine="420"/>
        <w:rPr>
          <w:sz w:val="21"/>
          <w:szCs w:val="21"/>
        </w:rPr>
      </w:pPr>
      <w:r>
        <w:rPr>
          <w:rFonts w:hint="eastAsia"/>
          <w:b/>
          <w:bCs/>
          <w:sz w:val="21"/>
          <w:szCs w:val="21"/>
        </w:rPr>
        <w:t>(7)中国银河证券股份有限公司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北京市丰台区西营街8号院1号楼7至18层101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北京市丰台区西营街8号院1号楼青海金融大厦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010-80928123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4008-888-888或95551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 www.chinastock.com.cn/ </w:t>
            </w:r>
          </w:p>
        </w:tc>
      </w:tr>
    </w:tbl>
    <w:p>
      <w:pPr>
        <w:pStyle w:val="7"/>
        <w:spacing w:before="0" w:beforeAutospacing="0" w:after="0" w:afterAutospacing="0" w:line="360" w:lineRule="auto"/>
        <w:ind w:firstLine="420"/>
        <w:rPr>
          <w:sz w:val="21"/>
          <w:szCs w:val="21"/>
        </w:rPr>
      </w:pPr>
      <w:r>
        <w:rPr>
          <w:rFonts w:hint="eastAsia"/>
          <w:b/>
          <w:bCs/>
          <w:sz w:val="21"/>
          <w:szCs w:val="21"/>
        </w:rPr>
        <w:t>(8)申万宏源证券有限公司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上海市徐汇区长乐路989号45层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上海市徐汇区长乐路989号世纪商贸广场45层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021-33388999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021-33388224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www.swhysc.com </w:t>
            </w:r>
          </w:p>
        </w:tc>
      </w:tr>
    </w:tbl>
    <w:p>
      <w:pPr>
        <w:pStyle w:val="7"/>
        <w:spacing w:before="0" w:beforeAutospacing="0" w:after="0" w:afterAutospacing="0" w:line="360" w:lineRule="auto"/>
        <w:ind w:firstLine="420"/>
        <w:rPr>
          <w:sz w:val="21"/>
          <w:szCs w:val="21"/>
        </w:rPr>
      </w:pPr>
      <w:r>
        <w:rPr>
          <w:rFonts w:hint="eastAsia"/>
          <w:b/>
          <w:bCs/>
          <w:sz w:val="21"/>
          <w:szCs w:val="21"/>
        </w:rPr>
        <w:t>(9)兴业证券股份有限公司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福州市湖东路268号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上海市浦东民生路1199弄五道口广场1号楼21层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杨华辉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021-38565547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021－38565783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http://www.xyzq.com.cn/ </w:t>
            </w:r>
          </w:p>
        </w:tc>
      </w:tr>
    </w:tbl>
    <w:p>
      <w:pPr>
        <w:pStyle w:val="7"/>
        <w:spacing w:before="0" w:beforeAutospacing="0" w:after="0" w:afterAutospacing="0" w:line="360" w:lineRule="auto"/>
        <w:ind w:firstLine="420"/>
        <w:rPr>
          <w:sz w:val="21"/>
          <w:szCs w:val="21"/>
        </w:rPr>
      </w:pPr>
      <w:r>
        <w:rPr>
          <w:rFonts w:hint="eastAsia"/>
          <w:b/>
          <w:bCs/>
          <w:sz w:val="21"/>
          <w:szCs w:val="21"/>
        </w:rPr>
        <w:t>(10)国投证券股份有限公司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深圳市福田区福田街道福华一路119号安信金融大厦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深圳市福田区福田街道福华一路119号安信金融大厦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王苏望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0755-82558266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http://www.sdicsc.com.cn </w:t>
            </w:r>
          </w:p>
        </w:tc>
      </w:tr>
    </w:tbl>
    <w:p>
      <w:pPr>
        <w:pStyle w:val="7"/>
        <w:spacing w:before="0" w:beforeAutospacing="0" w:after="0" w:afterAutospacing="0" w:line="360" w:lineRule="auto"/>
        <w:ind w:firstLine="420"/>
        <w:rPr>
          <w:sz w:val="21"/>
          <w:szCs w:val="21"/>
        </w:rPr>
      </w:pPr>
      <w:r>
        <w:rPr>
          <w:rFonts w:hint="eastAsia"/>
          <w:b/>
          <w:bCs/>
          <w:sz w:val="21"/>
          <w:szCs w:val="21"/>
        </w:rPr>
        <w:t>(11)西南证券股份有限公司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杨雨松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宋涧乔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023-67747414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023-63786212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4008096096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http://www.swsc.com.cn </w:t>
            </w:r>
          </w:p>
        </w:tc>
      </w:tr>
    </w:tbl>
    <w:p>
      <w:pPr>
        <w:pStyle w:val="7"/>
        <w:spacing w:before="0" w:beforeAutospacing="0" w:after="0" w:afterAutospacing="0" w:line="360" w:lineRule="auto"/>
        <w:ind w:firstLine="420"/>
        <w:rPr>
          <w:sz w:val="21"/>
          <w:szCs w:val="21"/>
        </w:rPr>
      </w:pPr>
      <w:r>
        <w:rPr>
          <w:rFonts w:hint="eastAsia"/>
          <w:b/>
          <w:bCs/>
          <w:sz w:val="21"/>
          <w:szCs w:val="21"/>
        </w:rPr>
        <w:t>(12)湘财证券股份有限公司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湖南省长沙市天心区湘府中路198号新南城商务中心A栋11楼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湖南省长沙市天心区湘府中路198号新南城商务中心A栋11楼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林俊波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021-38784580-8920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http://www.xcsc.com </w:t>
            </w:r>
          </w:p>
        </w:tc>
      </w:tr>
    </w:tbl>
    <w:p>
      <w:pPr>
        <w:pStyle w:val="7"/>
        <w:spacing w:before="0" w:beforeAutospacing="0" w:after="0" w:afterAutospacing="0" w:line="360" w:lineRule="auto"/>
        <w:ind w:firstLine="420"/>
        <w:rPr>
          <w:sz w:val="21"/>
          <w:szCs w:val="21"/>
        </w:rPr>
      </w:pPr>
      <w:r>
        <w:rPr>
          <w:rFonts w:hint="eastAsia"/>
          <w:b/>
          <w:bCs/>
          <w:sz w:val="21"/>
          <w:szCs w:val="21"/>
        </w:rPr>
        <w:t>(13)万联证券股份有限公司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广州市天河区珠江东路11号18、19楼全层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广东省广州市天河区珠江东路13号高德置地广场E座12层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丁思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020-83988334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http://www.wlzq.cn </w:t>
            </w:r>
          </w:p>
        </w:tc>
      </w:tr>
    </w:tbl>
    <w:p>
      <w:pPr>
        <w:pStyle w:val="7"/>
        <w:spacing w:before="0" w:beforeAutospacing="0" w:after="0" w:afterAutospacing="0" w:line="360" w:lineRule="auto"/>
        <w:ind w:firstLine="420"/>
        <w:rPr>
          <w:sz w:val="21"/>
          <w:szCs w:val="21"/>
        </w:rPr>
      </w:pPr>
      <w:r>
        <w:rPr>
          <w:rFonts w:hint="eastAsia"/>
          <w:b/>
          <w:bCs/>
          <w:sz w:val="21"/>
          <w:szCs w:val="21"/>
        </w:rPr>
        <w:t>(14)华泰证券股份有限公司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南京市江东中路228号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南京市建邺区江东中路228号华泰证券广场、深圳市福田区益田路5999号基金大厦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0755-22660831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http://www.htsc.com.cn/ </w:t>
            </w:r>
          </w:p>
        </w:tc>
      </w:tr>
    </w:tbl>
    <w:p>
      <w:pPr>
        <w:pStyle w:val="7"/>
        <w:spacing w:before="0" w:beforeAutospacing="0" w:after="0" w:afterAutospacing="0" w:line="360" w:lineRule="auto"/>
        <w:ind w:firstLine="420"/>
        <w:rPr>
          <w:sz w:val="21"/>
          <w:szCs w:val="21"/>
        </w:rPr>
      </w:pPr>
      <w:r>
        <w:rPr>
          <w:rFonts w:hint="eastAsia"/>
          <w:b/>
          <w:bCs/>
          <w:sz w:val="21"/>
          <w:szCs w:val="21"/>
        </w:rPr>
        <w:t>(15)中信证券（山东）有限责任公司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青岛市崂山区深圳路222号1号楼2001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青岛市市南区东海西路28号龙翔广场东座5层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肖海峰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赵如意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0532-85725062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sd.citics.com </w:t>
            </w:r>
          </w:p>
        </w:tc>
      </w:tr>
    </w:tbl>
    <w:p>
      <w:pPr>
        <w:pStyle w:val="7"/>
        <w:spacing w:before="0" w:beforeAutospacing="0" w:after="0" w:afterAutospacing="0" w:line="360" w:lineRule="auto"/>
        <w:ind w:firstLine="420"/>
        <w:rPr>
          <w:sz w:val="21"/>
          <w:szCs w:val="21"/>
        </w:rPr>
      </w:pPr>
      <w:r>
        <w:rPr>
          <w:rFonts w:hint="eastAsia"/>
          <w:b/>
          <w:bCs/>
          <w:sz w:val="21"/>
          <w:szCs w:val="21"/>
        </w:rPr>
        <w:t>(16)东兴证券股份有限公司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北京市西城区金融大街5号（新盛大厦）12、15层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北京市西城区金融大街5号新盛大厦B座12-15层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魏庆华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郑旷怡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010-66559039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010-66555133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http://www.dxzq.net </w:t>
            </w:r>
          </w:p>
        </w:tc>
      </w:tr>
    </w:tbl>
    <w:p>
      <w:pPr>
        <w:pStyle w:val="7"/>
        <w:spacing w:before="0" w:beforeAutospacing="0" w:after="0" w:afterAutospacing="0" w:line="360" w:lineRule="auto"/>
        <w:ind w:firstLine="420"/>
        <w:rPr>
          <w:sz w:val="21"/>
          <w:szCs w:val="21"/>
        </w:rPr>
      </w:pPr>
      <w:r>
        <w:rPr>
          <w:rFonts w:hint="eastAsia"/>
          <w:b/>
          <w:bCs/>
          <w:sz w:val="21"/>
          <w:szCs w:val="21"/>
        </w:rPr>
        <w:t>(17)东吴证券股份有限公司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江苏省苏州市翠园路181号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江苏省苏州市星阳街5号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范力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陆晓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0512-62938521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0512－65588021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https://www.dwzq.com.cn </w:t>
            </w:r>
          </w:p>
        </w:tc>
      </w:tr>
    </w:tbl>
    <w:p>
      <w:pPr>
        <w:pStyle w:val="7"/>
        <w:spacing w:before="0" w:beforeAutospacing="0" w:after="0" w:afterAutospacing="0" w:line="360" w:lineRule="auto"/>
        <w:ind w:firstLine="420"/>
        <w:rPr>
          <w:sz w:val="21"/>
          <w:szCs w:val="21"/>
        </w:rPr>
      </w:pPr>
      <w:r>
        <w:rPr>
          <w:rFonts w:hint="eastAsia"/>
          <w:b/>
          <w:bCs/>
          <w:sz w:val="21"/>
          <w:szCs w:val="21"/>
        </w:rPr>
        <w:t>(18)方正证券股份有限公司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湖南长沙芙蓉中路2段华侨国际大厦22-24层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湖南长沙芙蓉中路2段华侨国际大厦22-24层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施华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胡创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010-56437060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0731-85832214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http://www.foundersc.com </w:t>
            </w:r>
          </w:p>
        </w:tc>
      </w:tr>
    </w:tbl>
    <w:p>
      <w:pPr>
        <w:pStyle w:val="7"/>
        <w:spacing w:before="0" w:beforeAutospacing="0" w:after="0" w:afterAutospacing="0" w:line="360" w:lineRule="auto"/>
        <w:ind w:firstLine="420"/>
        <w:rPr>
          <w:sz w:val="21"/>
          <w:szCs w:val="21"/>
        </w:rPr>
      </w:pPr>
      <w:r>
        <w:rPr>
          <w:rFonts w:hint="eastAsia"/>
          <w:b/>
          <w:bCs/>
          <w:sz w:val="21"/>
          <w:szCs w:val="21"/>
        </w:rPr>
        <w:t>(19)长城证券股份有限公司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深圳市深南大道6008号特区报业大厦16、17层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深圳市深南大道6008号特区报业大厦14、16、17层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丁益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沈晓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0755-83464734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0755－83515567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4006666888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http://www.cgws.com </w:t>
            </w:r>
          </w:p>
        </w:tc>
      </w:tr>
    </w:tbl>
    <w:p>
      <w:pPr>
        <w:pStyle w:val="7"/>
        <w:spacing w:before="0" w:beforeAutospacing="0" w:after="0" w:afterAutospacing="0" w:line="360" w:lineRule="auto"/>
        <w:ind w:firstLine="420"/>
        <w:rPr>
          <w:sz w:val="21"/>
          <w:szCs w:val="21"/>
        </w:rPr>
      </w:pPr>
      <w:r>
        <w:rPr>
          <w:rFonts w:hint="eastAsia"/>
          <w:b/>
          <w:bCs/>
          <w:sz w:val="21"/>
          <w:szCs w:val="21"/>
        </w:rPr>
        <w:t>(20)光大证券股份有限公司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上海市静安区新闸路1508号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上海市静安区新闸路1508号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刘秋明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李芳芳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021-22169089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021－22169134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4008888788；95525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http://www.ebscn.com/ </w:t>
            </w:r>
          </w:p>
        </w:tc>
      </w:tr>
    </w:tbl>
    <w:p>
      <w:pPr>
        <w:pStyle w:val="7"/>
        <w:spacing w:before="0" w:beforeAutospacing="0" w:after="0" w:afterAutospacing="0" w:line="360" w:lineRule="auto"/>
        <w:ind w:firstLine="420"/>
        <w:rPr>
          <w:sz w:val="21"/>
          <w:szCs w:val="21"/>
        </w:rPr>
      </w:pPr>
      <w:r>
        <w:rPr>
          <w:rFonts w:hint="eastAsia"/>
          <w:b/>
          <w:bCs/>
          <w:sz w:val="21"/>
          <w:szCs w:val="21"/>
        </w:rPr>
        <w:t>(21)中信证券华南股份有限公司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陈可可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郭杏燕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020-88836999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020-88836984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http://www.gzs.com.cn </w:t>
            </w:r>
          </w:p>
        </w:tc>
      </w:tr>
    </w:tbl>
    <w:p>
      <w:pPr>
        <w:pStyle w:val="7"/>
        <w:spacing w:before="0" w:beforeAutospacing="0" w:after="0" w:afterAutospacing="0" w:line="360" w:lineRule="auto"/>
        <w:ind w:firstLine="420"/>
        <w:rPr>
          <w:sz w:val="21"/>
          <w:szCs w:val="21"/>
        </w:rPr>
      </w:pPr>
      <w:r>
        <w:rPr>
          <w:rFonts w:hint="eastAsia"/>
          <w:b/>
          <w:bCs/>
          <w:sz w:val="21"/>
          <w:szCs w:val="21"/>
        </w:rPr>
        <w:t>(22)东北证券股份有限公司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长春市生态大街6666号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长春市生态大街6666号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李福春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安岩岩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0431-85096517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0431-85096795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http://www.nesc.cn </w:t>
            </w:r>
          </w:p>
        </w:tc>
      </w:tr>
    </w:tbl>
    <w:p>
      <w:pPr>
        <w:pStyle w:val="7"/>
        <w:spacing w:before="0" w:beforeAutospacing="0" w:after="0" w:afterAutospacing="0" w:line="360" w:lineRule="auto"/>
        <w:ind w:firstLine="420"/>
        <w:rPr>
          <w:sz w:val="21"/>
          <w:szCs w:val="21"/>
        </w:rPr>
      </w:pPr>
      <w:r>
        <w:rPr>
          <w:rFonts w:hint="eastAsia"/>
          <w:b/>
          <w:bCs/>
          <w:sz w:val="21"/>
          <w:szCs w:val="21"/>
        </w:rPr>
        <w:t>(23)浙商证券股份有限公司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浙江省杭州市江干区五星路201号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浙江省杭州市江干区四季青街道五星路201号浙商证券5楼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吴承根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沈高亮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0571-87902239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0571－87901913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95345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http://www.stocke.com.cn/ </w:t>
            </w:r>
          </w:p>
        </w:tc>
      </w:tr>
    </w:tbl>
    <w:p>
      <w:pPr>
        <w:pStyle w:val="7"/>
        <w:spacing w:before="0" w:beforeAutospacing="0" w:after="0" w:afterAutospacing="0" w:line="360" w:lineRule="auto"/>
        <w:ind w:firstLine="420"/>
        <w:rPr>
          <w:sz w:val="21"/>
          <w:szCs w:val="21"/>
        </w:rPr>
      </w:pPr>
      <w:r>
        <w:rPr>
          <w:rFonts w:hint="eastAsia"/>
          <w:b/>
          <w:bCs/>
          <w:sz w:val="21"/>
          <w:szCs w:val="21"/>
        </w:rPr>
        <w:t>(24)平安证券股份有限公司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何之江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021-38632136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0755－82400862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0755-22628888/95511-8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http:www.stock.pingan.com </w:t>
            </w:r>
          </w:p>
        </w:tc>
      </w:tr>
    </w:tbl>
    <w:p>
      <w:pPr>
        <w:pStyle w:val="7"/>
        <w:spacing w:before="0" w:beforeAutospacing="0" w:after="0" w:afterAutospacing="0" w:line="360" w:lineRule="auto"/>
        <w:ind w:firstLine="420"/>
        <w:rPr>
          <w:sz w:val="21"/>
          <w:szCs w:val="21"/>
        </w:rPr>
      </w:pPr>
      <w:r>
        <w:rPr>
          <w:rFonts w:hint="eastAsia"/>
          <w:b/>
          <w:bCs/>
          <w:sz w:val="21"/>
          <w:szCs w:val="21"/>
        </w:rPr>
        <w:t>(25)华安证券股份有限公司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安徽省合肥市政务文化新区天鹅湖路198号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安徽省合肥市南二环959号财智中心B1座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章宏韬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0551-65161821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0551－65161672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http://www.hazq.com/ </w:t>
            </w:r>
          </w:p>
        </w:tc>
      </w:tr>
    </w:tbl>
    <w:p>
      <w:pPr>
        <w:pStyle w:val="7"/>
        <w:spacing w:before="0" w:beforeAutospacing="0" w:after="0" w:afterAutospacing="0" w:line="360" w:lineRule="auto"/>
        <w:ind w:firstLine="420"/>
        <w:rPr>
          <w:sz w:val="21"/>
          <w:szCs w:val="21"/>
        </w:rPr>
      </w:pPr>
      <w:r>
        <w:rPr>
          <w:rFonts w:hint="eastAsia"/>
          <w:b/>
          <w:bCs/>
          <w:sz w:val="21"/>
          <w:szCs w:val="21"/>
        </w:rPr>
        <w:t>(26)东莞证券股份有限公司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东莞市莞城区可园南路1号金源中心30楼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东莞市莞城区可园南路1号金源中心30楼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陈照星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叶玉琪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0769-22119351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0769-22115712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http://www.dgzq.com.cn </w:t>
            </w:r>
          </w:p>
        </w:tc>
      </w:tr>
    </w:tbl>
    <w:p>
      <w:pPr>
        <w:pStyle w:val="7"/>
        <w:spacing w:before="0" w:beforeAutospacing="0" w:after="0" w:afterAutospacing="0" w:line="360" w:lineRule="auto"/>
        <w:ind w:firstLine="420"/>
        <w:rPr>
          <w:sz w:val="21"/>
          <w:szCs w:val="21"/>
        </w:rPr>
      </w:pPr>
      <w:r>
        <w:rPr>
          <w:rFonts w:hint="eastAsia"/>
          <w:b/>
          <w:bCs/>
          <w:sz w:val="21"/>
          <w:szCs w:val="21"/>
        </w:rPr>
        <w:t>(27)东海证券股份有限公司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江苏省常州延陵西路23号投资广场18层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上海市浦东新区东方路1928号东海证券大厦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钱俊文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王一彦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021-20333333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021-50498825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95531; 4008888588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http://www.longone.com.cn </w:t>
            </w:r>
          </w:p>
        </w:tc>
      </w:tr>
    </w:tbl>
    <w:p>
      <w:pPr>
        <w:pStyle w:val="7"/>
        <w:spacing w:before="0" w:beforeAutospacing="0" w:after="0" w:afterAutospacing="0" w:line="360" w:lineRule="auto"/>
        <w:ind w:firstLine="420"/>
        <w:rPr>
          <w:sz w:val="21"/>
          <w:szCs w:val="21"/>
        </w:rPr>
      </w:pPr>
      <w:r>
        <w:rPr>
          <w:rFonts w:hint="eastAsia"/>
          <w:b/>
          <w:bCs/>
          <w:sz w:val="21"/>
          <w:szCs w:val="21"/>
        </w:rPr>
        <w:t>(28)国盛证券有限责任公司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江西省南昌市新建区子实路1589号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江西省南昌市红谷滩新区凤凰中大道1115号北京银行大厦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刘朝东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占文驰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0791－86283372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0791－6289395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https://www.gszq.com/ </w:t>
            </w:r>
          </w:p>
        </w:tc>
      </w:tr>
    </w:tbl>
    <w:p>
      <w:pPr>
        <w:pStyle w:val="7"/>
        <w:spacing w:before="0" w:beforeAutospacing="0" w:after="0" w:afterAutospacing="0" w:line="360" w:lineRule="auto"/>
        <w:ind w:firstLine="420"/>
        <w:rPr>
          <w:sz w:val="21"/>
          <w:szCs w:val="21"/>
        </w:rPr>
      </w:pPr>
      <w:r>
        <w:rPr>
          <w:rFonts w:hint="eastAsia"/>
          <w:b/>
          <w:bCs/>
          <w:sz w:val="21"/>
          <w:szCs w:val="21"/>
        </w:rPr>
        <w:t>(29)华西证券股份有限公司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杨炯洋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赵静静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010-58124967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028-86150040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https://www.hx168.com.cn/ </w:t>
            </w:r>
          </w:p>
        </w:tc>
      </w:tr>
    </w:tbl>
    <w:p>
      <w:pPr>
        <w:pStyle w:val="7"/>
        <w:spacing w:before="0" w:beforeAutospacing="0" w:after="0" w:afterAutospacing="0" w:line="360" w:lineRule="auto"/>
        <w:ind w:firstLine="420"/>
        <w:rPr>
          <w:sz w:val="21"/>
          <w:szCs w:val="21"/>
        </w:rPr>
      </w:pPr>
      <w:r>
        <w:rPr>
          <w:rFonts w:hint="eastAsia"/>
          <w:b/>
          <w:bCs/>
          <w:sz w:val="21"/>
          <w:szCs w:val="21"/>
        </w:rPr>
        <w:t>(30)申万宏源西部证券有限公司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新疆乌鲁木齐市高新区（新市区）北京南路358号大成国际大厦20楼2005室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新疆乌鲁木齐市高新区（新市区）北京南路358号大成国际大厦20楼2005室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王献军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梁丽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0991-2307105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010-88085195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95523或4008895523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www.swhysc.com </w:t>
            </w:r>
          </w:p>
        </w:tc>
      </w:tr>
    </w:tbl>
    <w:p>
      <w:pPr>
        <w:pStyle w:val="7"/>
        <w:spacing w:before="0" w:beforeAutospacing="0" w:after="0" w:afterAutospacing="0" w:line="360" w:lineRule="auto"/>
        <w:ind w:firstLine="420"/>
        <w:rPr>
          <w:sz w:val="21"/>
          <w:szCs w:val="21"/>
        </w:rPr>
      </w:pPr>
      <w:r>
        <w:rPr>
          <w:rFonts w:hint="eastAsia"/>
          <w:b/>
          <w:bCs/>
          <w:sz w:val="21"/>
          <w:szCs w:val="21"/>
        </w:rPr>
        <w:t>(31)中泰证券股份有限公司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济南市市中区经七路86号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山东省济南市市中区经七路86号证券大厦2309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张峰源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021-20315719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www.zts.com.cn </w:t>
            </w:r>
          </w:p>
        </w:tc>
      </w:tr>
    </w:tbl>
    <w:p>
      <w:pPr>
        <w:pStyle w:val="7"/>
        <w:spacing w:before="0" w:beforeAutospacing="0" w:after="0" w:afterAutospacing="0" w:line="360" w:lineRule="auto"/>
        <w:ind w:firstLine="420"/>
        <w:rPr>
          <w:sz w:val="21"/>
          <w:szCs w:val="21"/>
        </w:rPr>
      </w:pPr>
      <w:r>
        <w:rPr>
          <w:rFonts w:hint="eastAsia"/>
          <w:b/>
          <w:bCs/>
          <w:sz w:val="21"/>
          <w:szCs w:val="21"/>
        </w:rPr>
        <w:t>(32)西部证券股份有限公司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陕西省西安市新城区东新街319号8幢10000室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西安市新城区东新街319号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徐朝晖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张吉安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029-87211668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029-87406117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http://www.west95582.com/ </w:t>
            </w:r>
          </w:p>
        </w:tc>
      </w:tr>
    </w:tbl>
    <w:p>
      <w:pPr>
        <w:pStyle w:val="7"/>
        <w:spacing w:before="0" w:beforeAutospacing="0" w:after="0" w:afterAutospacing="0" w:line="360" w:lineRule="auto"/>
        <w:ind w:firstLine="420"/>
        <w:rPr>
          <w:sz w:val="21"/>
          <w:szCs w:val="21"/>
        </w:rPr>
      </w:pPr>
      <w:r>
        <w:rPr>
          <w:rFonts w:hint="eastAsia"/>
          <w:b/>
          <w:bCs/>
          <w:sz w:val="21"/>
          <w:szCs w:val="21"/>
        </w:rPr>
        <w:t>(33)中国国际金融股份有限公司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中国北京建国门外大街1号 国贸大厦2座28层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中国北京建国门外大街1号 国贸大厦2座28层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沈如军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任敏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010－65051166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010－65051156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010-65051166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http://www.cicc.com.cn/ </w:t>
            </w:r>
          </w:p>
        </w:tc>
      </w:tr>
    </w:tbl>
    <w:p>
      <w:pPr>
        <w:pStyle w:val="7"/>
        <w:spacing w:before="0" w:beforeAutospacing="0" w:after="0" w:afterAutospacing="0" w:line="360" w:lineRule="auto"/>
        <w:ind w:firstLine="420"/>
        <w:rPr>
          <w:sz w:val="21"/>
          <w:szCs w:val="21"/>
        </w:rPr>
      </w:pPr>
      <w:r>
        <w:rPr>
          <w:rFonts w:hint="eastAsia"/>
          <w:b/>
          <w:bCs/>
          <w:sz w:val="21"/>
          <w:szCs w:val="21"/>
        </w:rPr>
        <w:t>(34)中国中金财富证券有限公司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深圳市南山区粤海街道海珠社区科苑南路2666号中国华润大厦L4601-4608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深圳市福田区益田路与福中路交界处荣超商务中心A栋第18-21层及第04层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高涛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万玉琳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0755-82026907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0755-82026539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4006008008/95532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http://www.china-invs.cn/ </w:t>
            </w:r>
          </w:p>
        </w:tc>
      </w:tr>
    </w:tbl>
    <w:p>
      <w:pPr>
        <w:pStyle w:val="7"/>
        <w:spacing w:before="0" w:beforeAutospacing="0" w:after="0" w:afterAutospacing="0" w:line="360" w:lineRule="auto"/>
        <w:ind w:firstLine="420"/>
        <w:rPr>
          <w:sz w:val="21"/>
          <w:szCs w:val="21"/>
        </w:rPr>
      </w:pPr>
      <w:r>
        <w:rPr>
          <w:rFonts w:hint="eastAsia"/>
          <w:b/>
          <w:bCs/>
          <w:sz w:val="21"/>
          <w:szCs w:val="21"/>
        </w:rPr>
        <w:t>(35)东方财富证券股份有限公司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西藏自治区拉萨市柳梧新区国际总部城10栋楼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上海市徐汇区宛平南路88号金座东方财富大厦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戴彦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付佳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021-23586603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021-23586860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95357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http://www.18.cn </w:t>
            </w:r>
          </w:p>
        </w:tc>
      </w:tr>
    </w:tbl>
    <w:p>
      <w:pPr>
        <w:pStyle w:val="7"/>
        <w:spacing w:before="0" w:beforeAutospacing="0" w:after="0" w:afterAutospacing="0" w:line="360" w:lineRule="auto"/>
        <w:ind w:firstLine="420"/>
        <w:rPr>
          <w:sz w:val="21"/>
          <w:szCs w:val="21"/>
        </w:rPr>
      </w:pPr>
      <w:r>
        <w:rPr>
          <w:rFonts w:hint="eastAsia"/>
          <w:b/>
          <w:bCs/>
          <w:sz w:val="21"/>
          <w:szCs w:val="21"/>
        </w:rPr>
        <w:t>(36)粤开证券股份有限公司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广州市黄埔区科学大道60号开发区控股中心19、21、22、23层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广州市黄埔区科学大道60号开发区控股中心19、21、22、23层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郭川舟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彭莲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0755-83331195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http://www.ykzq.com </w:t>
            </w:r>
          </w:p>
        </w:tc>
      </w:tr>
    </w:tbl>
    <w:p>
      <w:pPr>
        <w:pStyle w:val="7"/>
        <w:spacing w:before="0" w:beforeAutospacing="0" w:after="0" w:afterAutospacing="0" w:line="360" w:lineRule="auto"/>
        <w:ind w:firstLine="420"/>
        <w:rPr>
          <w:sz w:val="21"/>
          <w:szCs w:val="21"/>
        </w:rPr>
      </w:pPr>
      <w:r>
        <w:rPr>
          <w:rFonts w:hint="eastAsia"/>
          <w:b/>
          <w:bCs/>
          <w:sz w:val="21"/>
          <w:szCs w:val="21"/>
        </w:rPr>
        <w:t>(37)江海证券有限公司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黑龙江省哈尔滨市香坊区赣水路56号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黑龙江省哈尔滨市香坊区赣水路56号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孙名扬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王金娇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0451-87765732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0451－82287211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http://www.jhzq.com.cn </w:t>
            </w:r>
          </w:p>
        </w:tc>
      </w:tr>
    </w:tbl>
    <w:p>
      <w:pPr>
        <w:pStyle w:val="7"/>
        <w:spacing w:before="0" w:beforeAutospacing="0" w:after="0" w:afterAutospacing="0" w:line="360" w:lineRule="auto"/>
        <w:ind w:firstLine="420"/>
        <w:rPr>
          <w:sz w:val="21"/>
          <w:szCs w:val="21"/>
        </w:rPr>
      </w:pPr>
      <w:r>
        <w:rPr>
          <w:rFonts w:hint="eastAsia"/>
          <w:b/>
          <w:bCs/>
          <w:sz w:val="21"/>
          <w:szCs w:val="21"/>
        </w:rPr>
        <w:t>(38)国金证券股份有限公司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冉云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贾鹏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028-86690057、028-86690058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028-86690126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4006-600109/95310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http://www.gjzq.com.cn </w:t>
            </w:r>
          </w:p>
        </w:tc>
      </w:tr>
    </w:tbl>
    <w:p>
      <w:pPr>
        <w:pStyle w:val="7"/>
        <w:spacing w:before="0" w:beforeAutospacing="0" w:after="0" w:afterAutospacing="0" w:line="360" w:lineRule="auto"/>
        <w:ind w:firstLine="420"/>
        <w:rPr>
          <w:sz w:val="21"/>
          <w:szCs w:val="21"/>
        </w:rPr>
      </w:pPr>
      <w:r>
        <w:rPr>
          <w:rFonts w:hint="eastAsia"/>
          <w:b/>
          <w:bCs/>
          <w:sz w:val="21"/>
          <w:szCs w:val="21"/>
        </w:rPr>
        <w:t>(39)华宝证券股份有限公司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刘加海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刘闻川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021-68777222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021－68777822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4008209898;021-38929908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http://www.cnhbstock.com </w:t>
            </w:r>
          </w:p>
        </w:tc>
      </w:tr>
    </w:tbl>
    <w:p>
      <w:pPr>
        <w:pStyle w:val="7"/>
        <w:spacing w:before="0" w:beforeAutospacing="0" w:after="0" w:afterAutospacing="0" w:line="360" w:lineRule="auto"/>
        <w:ind w:firstLine="420"/>
        <w:rPr>
          <w:sz w:val="21"/>
          <w:szCs w:val="21"/>
        </w:rPr>
      </w:pPr>
      <w:r>
        <w:rPr>
          <w:rFonts w:hint="eastAsia"/>
          <w:b/>
          <w:bCs/>
          <w:sz w:val="21"/>
          <w:szCs w:val="21"/>
        </w:rPr>
        <w:t>(40)国新证券股份有限公司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北京市西城区车公庄大街4号2幢1层A2112室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北京市朝阳区朝阳门北大街18号中国人保寿险大厦12层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张海文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孙燕波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010-85556048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95390 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http://www.crsec.com.cn </w:t>
            </w:r>
          </w:p>
        </w:tc>
      </w:tr>
    </w:tbl>
    <w:p>
      <w:pPr>
        <w:pStyle w:val="7"/>
        <w:spacing w:before="0" w:beforeAutospacing="0" w:after="0" w:afterAutospacing="0" w:line="360" w:lineRule="auto"/>
        <w:ind w:firstLine="420"/>
        <w:rPr>
          <w:sz w:val="21"/>
          <w:szCs w:val="21"/>
        </w:rPr>
      </w:pPr>
      <w:r>
        <w:rPr>
          <w:rFonts w:hint="eastAsia"/>
          <w:b/>
          <w:bCs/>
          <w:sz w:val="21"/>
          <w:szCs w:val="21"/>
        </w:rPr>
        <w:t>(41)财达证券股份有限公司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河北省石家庄市桥西区自强路35号庄家金融大厦23至26层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河北省石家庄市桥西区自强路35号庄家金融大厦23至26层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翟建强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刘亚静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0311-66006393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0311-66006249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4006128888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http://www.S10000.com </w:t>
            </w:r>
          </w:p>
        </w:tc>
      </w:tr>
    </w:tbl>
    <w:p>
      <w:pPr>
        <w:pStyle w:val="7"/>
        <w:spacing w:before="0" w:beforeAutospacing="0" w:after="0" w:afterAutospacing="0" w:line="360" w:lineRule="auto"/>
        <w:ind w:firstLine="420"/>
        <w:rPr>
          <w:sz w:val="21"/>
          <w:szCs w:val="21"/>
        </w:rPr>
      </w:pPr>
      <w:r>
        <w:rPr>
          <w:rFonts w:hint="eastAsia"/>
          <w:b/>
          <w:bCs/>
          <w:sz w:val="21"/>
          <w:szCs w:val="21"/>
        </w:rPr>
        <w:t>(42)华创证券有限责任公司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贵州省贵阳市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贵州省贵阳市中华北路216号华创大厦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陶永泽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郭佳来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021-60762618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021-60762700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4008666689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http://www.hczq.com/ </w:t>
            </w:r>
          </w:p>
        </w:tc>
      </w:tr>
    </w:tbl>
    <w:p>
      <w:pPr>
        <w:pStyle w:val="7"/>
        <w:spacing w:before="0" w:beforeAutospacing="0" w:after="0" w:afterAutospacing="0" w:line="360" w:lineRule="auto"/>
        <w:ind w:firstLine="420"/>
        <w:rPr>
          <w:sz w:val="21"/>
          <w:szCs w:val="21"/>
        </w:rPr>
      </w:pPr>
      <w:r>
        <w:rPr>
          <w:rFonts w:hint="eastAsia"/>
          <w:b/>
          <w:bCs/>
          <w:sz w:val="21"/>
          <w:szCs w:val="21"/>
        </w:rPr>
        <w:t>(43)万和证券股份有限公司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海南省海口市南沙路49号通信广场二楼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深圳市福田区深南大道7028号时代科技大厦20层西厅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甘卫斌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0755-82830333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0755-25170093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4008-882-882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http://www.vanho.cn </w:t>
            </w:r>
          </w:p>
        </w:tc>
      </w:tr>
    </w:tbl>
    <w:p>
      <w:pPr>
        <w:pStyle w:val="7"/>
        <w:spacing w:before="0" w:beforeAutospacing="0" w:after="0" w:afterAutospacing="0" w:line="360" w:lineRule="auto"/>
        <w:ind w:firstLine="420"/>
        <w:rPr>
          <w:sz w:val="21"/>
          <w:szCs w:val="21"/>
        </w:rPr>
      </w:pPr>
      <w:r>
        <w:rPr>
          <w:rFonts w:hint="eastAsia"/>
          <w:b/>
          <w:bCs/>
          <w:sz w:val="21"/>
          <w:szCs w:val="21"/>
        </w:rPr>
        <w:t>(44)联储证券股份有限公司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深圳市福田区华强北路圣廷苑酒店B座26楼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深圳市福田区华强北路圣廷苑酒店B座26楼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吕春卫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张婉婷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010-86499765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0755-82075835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4006206868/010-56177851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http://www.lczq.com/ </w:t>
            </w:r>
          </w:p>
        </w:tc>
      </w:tr>
    </w:tbl>
    <w:p>
      <w:pPr>
        <w:rPr>
          <w:rFonts w:ascii="宋体" w:hAnsi="宋体" w:eastAsia="宋体"/>
          <w:sz w:val="24"/>
          <w:szCs w:val="24"/>
        </w:rPr>
      </w:pPr>
      <w:bookmarkStart w:id="58" w:name="field_0_allproxysaletables_1_end"/>
      <w:bookmarkEnd w:id="58"/>
      <w:r>
        <w:rPr>
          <w:rFonts w:ascii="宋体" w:hAnsi="宋体" w:eastAsia="宋体"/>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2．二级市场交易代理券商    </w:t>
      </w:r>
    </w:p>
    <w:p>
      <w:pPr>
        <w:pStyle w:val="7"/>
        <w:spacing w:before="0" w:beforeAutospacing="0" w:after="0" w:afterAutospacing="0" w:line="360" w:lineRule="auto"/>
        <w:ind w:firstLine="420"/>
        <w:rPr>
          <w:sz w:val="21"/>
          <w:szCs w:val="21"/>
        </w:rPr>
      </w:pPr>
      <w:r>
        <w:rPr>
          <w:rFonts w:hint="eastAsia"/>
          <w:sz w:val="21"/>
          <w:szCs w:val="21"/>
        </w:rPr>
        <w:t xml:space="preserve">包括具有经纪业务资格及深圳证券交易所会员资格的所有证券公司。    </w:t>
      </w:r>
    </w:p>
    <w:p>
      <w:pPr>
        <w:pStyle w:val="7"/>
        <w:spacing w:before="0" w:beforeAutospacing="0" w:after="0" w:afterAutospacing="0" w:line="360" w:lineRule="auto"/>
        <w:ind w:firstLine="420"/>
        <w:rPr>
          <w:sz w:val="21"/>
          <w:szCs w:val="21"/>
        </w:rPr>
      </w:pPr>
      <w:r>
        <w:rPr>
          <w:rFonts w:hint="eastAsia"/>
          <w:sz w:val="21"/>
          <w:szCs w:val="21"/>
        </w:rPr>
        <w:t>3．基金管理人可根据有关法律法规，选择其他符合要求的机构代理发售本基金，并及</w:t>
      </w:r>
      <w:bookmarkStart w:id="59" w:name="chapter_level1_7_56_section_2_end"/>
      <w:bookmarkEnd w:id="59"/>
      <w:r>
        <w:rPr>
          <w:rFonts w:hint="eastAsia"/>
          <w:sz w:val="21"/>
          <w:szCs w:val="21"/>
        </w:rPr>
        <w:t xml:space="preserve">时公告。 </w:t>
      </w:r>
    </w:p>
    <w:p>
      <w:pPr>
        <w:pStyle w:val="7"/>
        <w:spacing w:before="0" w:beforeAutospacing="0" w:after="0" w:afterAutospacing="0" w:line="360" w:lineRule="auto"/>
        <w:ind w:firstLine="420"/>
        <w:rPr>
          <w:sz w:val="21"/>
          <w:szCs w:val="21"/>
        </w:rPr>
      </w:pPr>
      <w:bookmarkStart w:id="60" w:name="chapter_level1_7_56_section_3"/>
      <w:bookmarkEnd w:id="60"/>
      <w:r>
        <w:rPr>
          <w:rStyle w:val="11"/>
          <w:rFonts w:hint="eastAsia"/>
          <w:sz w:val="21"/>
          <w:szCs w:val="21"/>
        </w:rPr>
        <w:t>二、登记机构</w:t>
      </w:r>
    </w:p>
    <w:p>
      <w:pPr>
        <w:pStyle w:val="7"/>
        <w:spacing w:before="0" w:beforeAutospacing="0" w:after="0" w:afterAutospacing="0" w:line="360" w:lineRule="auto"/>
        <w:ind w:firstLine="420"/>
        <w:rPr>
          <w:sz w:val="21"/>
          <w:szCs w:val="21"/>
        </w:rPr>
      </w:pPr>
      <w:bookmarkStart w:id="61" w:name="field_0_registercompanyinfo_1_start"/>
      <w:bookmarkEnd w:id="61"/>
      <w:r>
        <w:rPr>
          <w:rFonts w:hint="eastAsia"/>
          <w:sz w:val="21"/>
          <w:szCs w:val="21"/>
        </w:rPr>
        <w:t xml:space="preserve">名称：中国证券登记结算有限责任公司  </w:t>
      </w:r>
    </w:p>
    <w:p>
      <w:pPr>
        <w:pStyle w:val="7"/>
        <w:spacing w:before="0" w:beforeAutospacing="0" w:after="0" w:afterAutospacing="0" w:line="360" w:lineRule="auto"/>
        <w:ind w:firstLine="420"/>
        <w:rPr>
          <w:sz w:val="21"/>
          <w:szCs w:val="21"/>
        </w:rPr>
      </w:pPr>
      <w:r>
        <w:rPr>
          <w:rFonts w:hint="eastAsia"/>
          <w:sz w:val="21"/>
          <w:szCs w:val="21"/>
        </w:rPr>
        <w:t xml:space="preserve">注册地址：北京市西城区太平桥大街17号 </w:t>
      </w:r>
    </w:p>
    <w:p>
      <w:pPr>
        <w:pStyle w:val="7"/>
        <w:spacing w:before="0" w:beforeAutospacing="0" w:after="0" w:afterAutospacing="0" w:line="360" w:lineRule="auto"/>
        <w:ind w:firstLine="420"/>
        <w:rPr>
          <w:sz w:val="21"/>
          <w:szCs w:val="21"/>
        </w:rPr>
      </w:pPr>
      <w:r>
        <w:rPr>
          <w:rFonts w:hint="eastAsia"/>
          <w:sz w:val="21"/>
          <w:szCs w:val="21"/>
        </w:rPr>
        <w:t xml:space="preserve">办公地址：北京市西城区太平桥大街17号 </w:t>
      </w:r>
    </w:p>
    <w:p>
      <w:pPr>
        <w:pStyle w:val="7"/>
        <w:spacing w:before="0" w:beforeAutospacing="0" w:after="0" w:afterAutospacing="0" w:line="360" w:lineRule="auto"/>
        <w:ind w:firstLine="420"/>
        <w:rPr>
          <w:sz w:val="21"/>
          <w:szCs w:val="21"/>
        </w:rPr>
      </w:pPr>
      <w:r>
        <w:rPr>
          <w:rFonts w:hint="eastAsia"/>
          <w:sz w:val="21"/>
          <w:szCs w:val="21"/>
        </w:rPr>
        <w:t xml:space="preserve">法定代表人：于文强 </w:t>
      </w:r>
    </w:p>
    <w:p>
      <w:pPr>
        <w:pStyle w:val="7"/>
        <w:spacing w:before="0" w:beforeAutospacing="0" w:after="0" w:afterAutospacing="0" w:line="360" w:lineRule="auto"/>
        <w:ind w:firstLine="420"/>
        <w:rPr>
          <w:sz w:val="21"/>
          <w:szCs w:val="21"/>
        </w:rPr>
      </w:pPr>
      <w:r>
        <w:rPr>
          <w:rFonts w:hint="eastAsia"/>
          <w:sz w:val="21"/>
          <w:szCs w:val="21"/>
        </w:rPr>
        <w:t xml:space="preserve">电  话：0755-25946013 </w:t>
      </w:r>
    </w:p>
    <w:p>
      <w:pPr>
        <w:pStyle w:val="7"/>
        <w:spacing w:before="0" w:beforeAutospacing="0" w:after="0" w:afterAutospacing="0" w:line="360" w:lineRule="auto"/>
        <w:ind w:firstLine="420"/>
        <w:rPr>
          <w:sz w:val="21"/>
          <w:szCs w:val="21"/>
        </w:rPr>
      </w:pPr>
      <w:r>
        <w:rPr>
          <w:rFonts w:hint="eastAsia"/>
          <w:sz w:val="21"/>
          <w:szCs w:val="21"/>
        </w:rPr>
        <w:t xml:space="preserve">传  真：0755-25987122 </w:t>
      </w:r>
    </w:p>
    <w:p>
      <w:pPr>
        <w:pStyle w:val="7"/>
        <w:spacing w:before="0" w:beforeAutospacing="0" w:after="0" w:afterAutospacing="0" w:line="360" w:lineRule="auto"/>
        <w:ind w:firstLine="420"/>
        <w:rPr>
          <w:sz w:val="21"/>
          <w:szCs w:val="21"/>
        </w:rPr>
      </w:pPr>
      <w:r>
        <w:rPr>
          <w:rFonts w:hint="eastAsia"/>
          <w:sz w:val="21"/>
          <w:szCs w:val="21"/>
        </w:rPr>
        <w:t xml:space="preserve">联系人：严峰 </w:t>
      </w:r>
      <w:bookmarkStart w:id="62" w:name="field_0_registercompanyinfo_1_end"/>
      <w:bookmarkEnd w:id="62"/>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pPr>
        <w:pStyle w:val="7"/>
        <w:spacing w:before="0" w:beforeAutospacing="0" w:after="0" w:afterAutospacing="0" w:line="360" w:lineRule="auto"/>
        <w:ind w:firstLine="420"/>
        <w:rPr>
          <w:sz w:val="21"/>
          <w:szCs w:val="21"/>
        </w:rPr>
      </w:pPr>
      <w:r>
        <w:rPr>
          <w:rFonts w:hint="eastAsia"/>
          <w:sz w:val="21"/>
          <w:szCs w:val="21"/>
        </w:rPr>
        <w:t xml:space="preserve">负责人：韩炯 </w:t>
      </w:r>
    </w:p>
    <w:p>
      <w:pPr>
        <w:pStyle w:val="7"/>
        <w:spacing w:before="0" w:beforeAutospacing="0" w:after="0" w:afterAutospacing="0" w:line="360" w:lineRule="auto"/>
        <w:ind w:firstLine="420"/>
        <w:rPr>
          <w:sz w:val="21"/>
          <w:szCs w:val="21"/>
        </w:rPr>
      </w:pPr>
      <w:r>
        <w:rPr>
          <w:rFonts w:hint="eastAsia"/>
          <w:sz w:val="21"/>
          <w:szCs w:val="21"/>
        </w:rPr>
        <w:t xml:space="preserve">电话：021-31358666 </w:t>
      </w:r>
    </w:p>
    <w:p>
      <w:pPr>
        <w:pStyle w:val="7"/>
        <w:spacing w:before="0" w:beforeAutospacing="0" w:after="0" w:afterAutospacing="0" w:line="360" w:lineRule="auto"/>
        <w:ind w:firstLine="420"/>
        <w:rPr>
          <w:sz w:val="21"/>
          <w:szCs w:val="21"/>
        </w:rPr>
      </w:pPr>
      <w:r>
        <w:rPr>
          <w:rFonts w:hint="eastAsia"/>
          <w:sz w:val="21"/>
          <w:szCs w:val="21"/>
        </w:rPr>
        <w:t xml:space="preserve">传真：021-31358600 </w:t>
      </w:r>
    </w:p>
    <w:p>
      <w:pPr>
        <w:pStyle w:val="7"/>
        <w:spacing w:before="0" w:beforeAutospacing="0" w:after="0" w:afterAutospacing="0" w:line="360" w:lineRule="auto"/>
        <w:ind w:firstLine="420"/>
        <w:rPr>
          <w:sz w:val="21"/>
          <w:szCs w:val="21"/>
        </w:rPr>
      </w:pPr>
      <w:r>
        <w:rPr>
          <w:rFonts w:hint="eastAsia"/>
          <w:sz w:val="21"/>
          <w:szCs w:val="21"/>
        </w:rPr>
        <w:t xml:space="preserve">联系人：陆奇 </w:t>
      </w:r>
    </w:p>
    <w:p>
      <w:pPr>
        <w:pStyle w:val="7"/>
        <w:spacing w:before="0" w:beforeAutospacing="0" w:after="0" w:afterAutospacing="0" w:line="360" w:lineRule="auto"/>
        <w:ind w:firstLine="420"/>
        <w:rPr>
          <w:sz w:val="21"/>
          <w:szCs w:val="21"/>
        </w:rPr>
      </w:pPr>
      <w:r>
        <w:rPr>
          <w:rFonts w:hint="eastAsia"/>
          <w:sz w:val="21"/>
          <w:szCs w:val="21"/>
        </w:rPr>
        <w:t xml:space="preserve">经办律师：安冬、陆奇 </w:t>
      </w:r>
    </w:p>
    <w:p>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pPr>
        <w:pStyle w:val="7"/>
        <w:spacing w:before="0" w:beforeAutospacing="0" w:after="0" w:afterAutospacing="0" w:line="360" w:lineRule="auto"/>
        <w:ind w:firstLine="420"/>
        <w:rPr>
          <w:sz w:val="21"/>
          <w:szCs w:val="21"/>
        </w:rPr>
      </w:pPr>
      <w:r>
        <w:rPr>
          <w:rFonts w:hint="eastAsia"/>
          <w:sz w:val="21"/>
          <w:szCs w:val="21"/>
        </w:rPr>
        <w:t>本基金的法定验资机构为</w:t>
      </w:r>
      <w:bookmarkStart w:id="63" w:name="field_0_verifyaccountorgfullname_1"/>
      <w:r>
        <w:rPr>
          <w:rFonts w:hint="eastAsia"/>
          <w:sz w:val="21"/>
          <w:szCs w:val="21"/>
        </w:rPr>
        <w:t>安永华明会计师事务所（特殊普通合伙）</w:t>
      </w:r>
      <w:bookmarkEnd w:id="63"/>
      <w:r>
        <w:rPr>
          <w:rFonts w:hint="eastAsia"/>
          <w:sz w:val="21"/>
          <w:szCs w:val="21"/>
        </w:rPr>
        <w:t xml:space="preserve">  </w:t>
      </w:r>
    </w:p>
    <w:p>
      <w:pPr>
        <w:pStyle w:val="7"/>
        <w:spacing w:before="0" w:beforeAutospacing="0" w:after="0" w:afterAutospacing="0" w:line="360" w:lineRule="auto"/>
        <w:ind w:firstLine="420"/>
        <w:rPr>
          <w:sz w:val="21"/>
          <w:szCs w:val="21"/>
        </w:rPr>
      </w:pPr>
      <w:bookmarkStart w:id="64" w:name="field_0_verifyaccountcompanyinfo_1_start"/>
      <w:bookmarkEnd w:id="64"/>
      <w:r>
        <w:rPr>
          <w:rFonts w:hint="eastAsia"/>
          <w:sz w:val="21"/>
          <w:szCs w:val="21"/>
        </w:rPr>
        <w:t xml:space="preserve">名称：安永华明会计师事务所（特殊普通合伙）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pPr>
        <w:pStyle w:val="7"/>
        <w:spacing w:before="0" w:beforeAutospacing="0" w:after="0" w:afterAutospacing="0" w:line="360" w:lineRule="auto"/>
        <w:ind w:firstLine="420"/>
        <w:rPr>
          <w:sz w:val="21"/>
          <w:szCs w:val="21"/>
        </w:rPr>
      </w:pPr>
      <w:r>
        <w:rPr>
          <w:rFonts w:hint="eastAsia"/>
          <w:sz w:val="21"/>
          <w:szCs w:val="21"/>
        </w:rPr>
        <w:t xml:space="preserve">传真：（010）85188298  </w:t>
      </w:r>
    </w:p>
    <w:p>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pPr>
        <w:pStyle w:val="7"/>
        <w:spacing w:before="0" w:beforeAutospacing="0" w:after="0" w:afterAutospacing="0" w:line="360" w:lineRule="auto"/>
        <w:ind w:firstLine="420"/>
        <w:rPr>
          <w:sz w:val="21"/>
          <w:szCs w:val="21"/>
        </w:rPr>
      </w:pPr>
      <w:r>
        <w:rPr>
          <w:rFonts w:hint="eastAsia"/>
          <w:sz w:val="21"/>
          <w:szCs w:val="21"/>
        </w:rPr>
        <w:t xml:space="preserve">联系人：朱燕 </w:t>
      </w:r>
      <w:bookmarkStart w:id="65" w:name="field_0_verifyaccountcompanyinfo_1_end"/>
      <w:bookmarkEnd w:id="65"/>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本基金的年度财务报表及其他规定事项的审计机构为</w:t>
      </w:r>
      <w:bookmarkStart w:id="66" w:name="field_0_accountingorgfullname_1"/>
      <w:r>
        <w:rPr>
          <w:rFonts w:hint="eastAsia"/>
          <w:sz w:val="21"/>
          <w:szCs w:val="21"/>
        </w:rPr>
        <w:t>安永华明会计师事务所（特殊普通合伙）</w:t>
      </w:r>
      <w:bookmarkEnd w:id="66"/>
      <w:r>
        <w:rPr>
          <w:rFonts w:hint="eastAsia"/>
          <w:sz w:val="21"/>
          <w:szCs w:val="21"/>
        </w:rPr>
        <w:t xml:space="preserve">  </w:t>
      </w:r>
    </w:p>
    <w:p>
      <w:pPr>
        <w:pStyle w:val="7"/>
        <w:spacing w:before="0" w:beforeAutospacing="0" w:after="0" w:afterAutospacing="0" w:line="360" w:lineRule="auto"/>
        <w:ind w:firstLine="420"/>
        <w:rPr>
          <w:sz w:val="21"/>
          <w:szCs w:val="21"/>
        </w:rPr>
      </w:pPr>
      <w:bookmarkStart w:id="67" w:name="field_0_accountingcompanyinfo_1_start"/>
      <w:bookmarkEnd w:id="67"/>
      <w:r>
        <w:rPr>
          <w:rFonts w:hint="eastAsia"/>
          <w:sz w:val="21"/>
          <w:szCs w:val="21"/>
        </w:rPr>
        <w:t xml:space="preserve">名称：安永华明会计师事务所（特殊普通合伙）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pPr>
        <w:pStyle w:val="7"/>
        <w:spacing w:before="0" w:beforeAutospacing="0" w:after="0" w:afterAutospacing="0" w:line="360" w:lineRule="auto"/>
        <w:ind w:firstLine="420"/>
        <w:rPr>
          <w:sz w:val="21"/>
          <w:szCs w:val="21"/>
        </w:rPr>
      </w:pPr>
      <w:r>
        <w:rPr>
          <w:rFonts w:hint="eastAsia"/>
          <w:sz w:val="21"/>
          <w:szCs w:val="21"/>
        </w:rPr>
        <w:t xml:space="preserve">传真：（010）85188298  </w:t>
      </w:r>
    </w:p>
    <w:p>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pPr>
        <w:pStyle w:val="7"/>
        <w:spacing w:before="0" w:beforeAutospacing="0" w:after="0" w:afterAutospacing="0" w:line="360" w:lineRule="auto"/>
        <w:ind w:firstLine="420"/>
        <w:rPr>
          <w:sz w:val="21"/>
          <w:szCs w:val="21"/>
        </w:rPr>
      </w:pPr>
      <w:bookmarkStart w:id="68" w:name="chapter_level1_7_56_section_3_end"/>
      <w:bookmarkEnd w:id="68"/>
      <w:r>
        <w:rPr>
          <w:rFonts w:hint="eastAsia"/>
          <w:sz w:val="21"/>
          <w:szCs w:val="21"/>
        </w:rPr>
        <w:t xml:space="preserve">联系人：朱燕 </w:t>
      </w:r>
      <w:bookmarkStart w:id="69" w:name="field_0_accountingcompanyinfo_1_end"/>
      <w:bookmarkEnd w:id="69"/>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70" w:name="chapter_level1_9_58"/>
      <w:bookmarkStart w:id="71" w:name="_Toc213857368"/>
      <w:r>
        <w:rPr>
          <w:rFonts w:hint="eastAsia" w:ascii="宋体" w:hAnsi="宋体" w:eastAsia="宋体"/>
          <w:sz w:val="30"/>
        </w:rPr>
        <w:t>第六部分 基金的募集与基金合同的生效</w:t>
      </w:r>
      <w:bookmarkEnd w:id="70"/>
      <w:bookmarkEnd w:id="71"/>
    </w:p>
    <w:p>
      <w:pPr>
        <w:pStyle w:val="7"/>
        <w:spacing w:before="0" w:beforeAutospacing="0" w:after="0" w:afterAutospacing="0" w:line="360" w:lineRule="auto"/>
        <w:ind w:firstLine="420"/>
        <w:rPr>
          <w:sz w:val="21"/>
          <w:szCs w:val="21"/>
        </w:rPr>
      </w:pPr>
      <w:bookmarkStart w:id="72" w:name="chapter_level1_9_58_section_1"/>
      <w:bookmarkEnd w:id="72"/>
      <w:r>
        <w:rPr>
          <w:rFonts w:hint="eastAsia"/>
          <w:b/>
          <w:bCs/>
          <w:sz w:val="21"/>
          <w:szCs w:val="21"/>
        </w:rPr>
        <w:t>一</w:t>
      </w:r>
      <w:r>
        <w:rPr>
          <w:rFonts w:hint="eastAsia"/>
          <w:b/>
          <w:bCs/>
          <w:sz w:val="21"/>
          <w:szCs w:val="21"/>
          <w:lang w:eastAsia="zh-CN"/>
        </w:rPr>
        <w:t>、</w:t>
      </w:r>
      <w:r>
        <w:rPr>
          <w:rFonts w:hint="eastAsia"/>
          <w:b/>
          <w:bCs/>
          <w:sz w:val="21"/>
          <w:szCs w:val="21"/>
        </w:rPr>
        <w:t>基金的募集</w:t>
      </w:r>
    </w:p>
    <w:p>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3" w:name="field_2343_approveddate_1"/>
      <w:r>
        <w:rPr>
          <w:sz w:val="21"/>
          <w:szCs w:val="21"/>
        </w:rPr>
        <w:t>2025年1月2日</w:t>
      </w:r>
      <w:bookmarkEnd w:id="73"/>
      <w:r>
        <w:rPr>
          <w:rFonts w:hint="eastAsia"/>
          <w:sz w:val="21"/>
          <w:szCs w:val="21"/>
        </w:rPr>
        <w:t>证监许可</w:t>
      </w:r>
      <w:bookmarkStart w:id="74" w:name="field_2343_lotnumber_1"/>
      <w:r>
        <w:rPr>
          <w:sz w:val="21"/>
          <w:szCs w:val="21"/>
        </w:rPr>
        <w:t>[2025]28</w:t>
      </w:r>
      <w:bookmarkEnd w:id="74"/>
      <w:r>
        <w:rPr>
          <w:rFonts w:hint="eastAsia"/>
          <w:sz w:val="21"/>
          <w:szCs w:val="21"/>
        </w:rPr>
        <w:t xml:space="preserve">号文准予募集注册。 </w:t>
      </w:r>
    </w:p>
    <w:p>
      <w:pPr>
        <w:pStyle w:val="7"/>
        <w:spacing w:before="0" w:beforeAutospacing="0" w:after="0" w:afterAutospacing="0" w:line="360" w:lineRule="auto"/>
        <w:ind w:firstLine="420"/>
        <w:rPr>
          <w:sz w:val="21"/>
          <w:szCs w:val="21"/>
        </w:rPr>
      </w:pPr>
      <w:r>
        <w:rPr>
          <w:rFonts w:hint="eastAsia"/>
          <w:sz w:val="21"/>
          <w:szCs w:val="21"/>
        </w:rPr>
        <w:t>本基金募集期自</w:t>
      </w:r>
      <w:bookmarkStart w:id="75" w:name="field_58_raisebegindate_1"/>
      <w:r>
        <w:rPr>
          <w:sz w:val="21"/>
          <w:szCs w:val="21"/>
        </w:rPr>
        <w:t>2025年6月3日</w:t>
      </w:r>
      <w:bookmarkEnd w:id="75"/>
      <w:r>
        <w:rPr>
          <w:rFonts w:hint="eastAsia"/>
          <w:sz w:val="21"/>
          <w:szCs w:val="21"/>
        </w:rPr>
        <w:t>至</w:t>
      </w:r>
      <w:bookmarkStart w:id="76" w:name="field_58_raiseenddate_1"/>
      <w:r>
        <w:rPr>
          <w:sz w:val="21"/>
          <w:szCs w:val="21"/>
        </w:rPr>
        <w:t>2025年6月13日</w:t>
      </w:r>
      <w:bookmarkEnd w:id="76"/>
      <w:r>
        <w:rPr>
          <w:rFonts w:hint="eastAsia"/>
          <w:sz w:val="21"/>
          <w:szCs w:val="21"/>
        </w:rPr>
        <w:t>期间，基金份额共募集</w:t>
      </w:r>
      <w:bookmarkStart w:id="77" w:name="field_58_raisetotal_1"/>
      <w:r>
        <w:rPr>
          <w:sz w:val="21"/>
          <w:szCs w:val="21"/>
        </w:rPr>
        <w:t>308,791,913.00</w:t>
      </w:r>
      <w:bookmarkEnd w:id="77"/>
      <w:r>
        <w:rPr>
          <w:rFonts w:hint="eastAsia"/>
          <w:sz w:val="21"/>
          <w:szCs w:val="21"/>
        </w:rPr>
        <w:t>份（含利息结转的份额），募集有效认购总户数为</w:t>
      </w:r>
      <w:bookmarkStart w:id="78" w:name="field_58_effectivetotal_1"/>
      <w:r>
        <w:rPr>
          <w:sz w:val="21"/>
          <w:szCs w:val="21"/>
        </w:rPr>
        <w:t>1,128</w:t>
      </w:r>
      <w:bookmarkEnd w:id="78"/>
      <w:r>
        <w:rPr>
          <w:rFonts w:hint="eastAsia"/>
          <w:sz w:val="21"/>
          <w:szCs w:val="21"/>
        </w:rPr>
        <w:t xml:space="preserve">户。 </w:t>
      </w:r>
    </w:p>
    <w:p>
      <w:pPr>
        <w:pStyle w:val="7"/>
        <w:spacing w:before="0" w:beforeAutospacing="0" w:after="0" w:afterAutospacing="0" w:line="360" w:lineRule="auto"/>
        <w:ind w:firstLine="420"/>
        <w:rPr>
          <w:sz w:val="21"/>
          <w:szCs w:val="21"/>
        </w:rPr>
      </w:pPr>
      <w:r>
        <w:rPr>
          <w:rFonts w:hint="eastAsia"/>
          <w:sz w:val="21"/>
          <w:szCs w:val="21"/>
        </w:rPr>
        <w:t>本基金的运作方式为</w:t>
      </w:r>
      <w:bookmarkStart w:id="79" w:name="field_58_operation_1"/>
      <w:r>
        <w:rPr>
          <w:rFonts w:hint="eastAsia"/>
          <w:sz w:val="21"/>
          <w:szCs w:val="21"/>
        </w:rPr>
        <w:t>交易型开放式</w:t>
      </w:r>
      <w:bookmarkEnd w:id="79"/>
      <w:r>
        <w:rPr>
          <w:rFonts w:hint="eastAsia"/>
          <w:sz w:val="21"/>
          <w:szCs w:val="21"/>
        </w:rPr>
        <w:t>，存续期间为</w:t>
      </w:r>
      <w:bookmarkStart w:id="80" w:name="field_58_duration_1"/>
      <w:r>
        <w:rPr>
          <w:rFonts w:hint="eastAsia"/>
          <w:sz w:val="21"/>
          <w:szCs w:val="21"/>
        </w:rPr>
        <w:t>不定期</w:t>
      </w:r>
      <w:bookmarkEnd w:id="80"/>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b/>
          <w:bCs/>
          <w:sz w:val="21"/>
          <w:szCs w:val="21"/>
        </w:rPr>
        <w:t>二、基金合同的生效</w:t>
      </w:r>
    </w:p>
    <w:p>
      <w:pPr>
        <w:pStyle w:val="7"/>
        <w:spacing w:before="0" w:beforeAutospacing="0" w:after="0" w:afterAutospacing="0" w:line="360" w:lineRule="auto"/>
        <w:ind w:firstLine="420"/>
        <w:rPr>
          <w:sz w:val="21"/>
          <w:szCs w:val="21"/>
        </w:rPr>
      </w:pPr>
      <w:bookmarkStart w:id="81" w:name="chapter_level1_9_58_section_1_end"/>
      <w:bookmarkEnd w:id="81"/>
      <w:r>
        <w:rPr>
          <w:rFonts w:hint="eastAsia"/>
          <w:sz w:val="21"/>
          <w:szCs w:val="21"/>
        </w:rPr>
        <w:t>本基金的基金合同已于</w:t>
      </w:r>
      <w:bookmarkStart w:id="82" w:name="field_0_foundday_1"/>
      <w:r>
        <w:rPr>
          <w:sz w:val="21"/>
          <w:szCs w:val="21"/>
        </w:rPr>
        <w:t>2025年6月18日</w:t>
      </w:r>
      <w:bookmarkEnd w:id="82"/>
      <w:r>
        <w:rPr>
          <w:rFonts w:hint="eastAsia"/>
          <w:sz w:val="21"/>
          <w:szCs w:val="21"/>
        </w:rPr>
        <w:t xml:space="preserve">正式生效。 </w:t>
      </w:r>
    </w:p>
    <w:p>
      <w:pPr>
        <w:pStyle w:val="7"/>
        <w:spacing w:before="0" w:beforeAutospacing="0" w:after="0" w:afterAutospacing="0" w:line="360" w:lineRule="auto"/>
        <w:ind w:firstLine="420"/>
        <w:rPr>
          <w:sz w:val="21"/>
          <w:szCs w:val="21"/>
        </w:rPr>
      </w:pPr>
      <w:bookmarkStart w:id="83" w:name="chapter_level1_9_58_section_2"/>
      <w:bookmarkEnd w:id="83"/>
      <w:r>
        <w:rPr>
          <w:rStyle w:val="11"/>
          <w:rFonts w:hint="eastAsia"/>
          <w:sz w:val="21"/>
          <w:szCs w:val="21"/>
        </w:rPr>
        <w:t>三、基金存续期内的基金份额持有人数量和资产规模</w:t>
      </w:r>
    </w:p>
    <w:p>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 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进行表决。 </w:t>
      </w:r>
    </w:p>
    <w:p>
      <w:pPr>
        <w:pStyle w:val="7"/>
        <w:spacing w:before="0" w:beforeAutospacing="0" w:after="0" w:afterAutospacing="0" w:line="360" w:lineRule="auto"/>
        <w:ind w:firstLine="420"/>
        <w:rPr>
          <w:sz w:val="21"/>
          <w:szCs w:val="21"/>
        </w:rPr>
      </w:pPr>
      <w:bookmarkStart w:id="84" w:name="chapter_level1_9_58_section_2_end"/>
      <w:bookmarkEnd w:id="84"/>
      <w:r>
        <w:rPr>
          <w:rFonts w:hint="eastAsia"/>
          <w:sz w:val="21"/>
          <w:szCs w:val="21"/>
        </w:rPr>
        <w:t xml:space="preserve">法律法规或中国证监会另有规定时，从其规定。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85" w:name="_Toc213857369"/>
      <w:bookmarkStart w:id="86" w:name="chapter_level1_10_88974"/>
      <w:r>
        <w:rPr>
          <w:rFonts w:hint="eastAsia" w:ascii="宋体" w:hAnsi="宋体" w:eastAsia="宋体"/>
          <w:sz w:val="30"/>
        </w:rPr>
        <w:t>第七部分  基金的份额折算与变更登记</w:t>
      </w:r>
      <w:bookmarkEnd w:id="85"/>
      <w:bookmarkEnd w:id="86"/>
    </w:p>
    <w:p>
      <w:pPr>
        <w:pStyle w:val="7"/>
        <w:spacing w:before="0" w:beforeAutospacing="0" w:after="0" w:afterAutospacing="0" w:line="360" w:lineRule="auto"/>
        <w:ind w:firstLine="420"/>
        <w:rPr>
          <w:sz w:val="21"/>
          <w:szCs w:val="21"/>
        </w:rPr>
      </w:pPr>
      <w:bookmarkStart w:id="87" w:name="chapter_level1_10_88974_section_1"/>
      <w:bookmarkEnd w:id="87"/>
      <w:r>
        <w:rPr>
          <w:rFonts w:hint="eastAsia"/>
          <w:sz w:val="21"/>
          <w:szCs w:val="21"/>
        </w:rPr>
        <w:t xml:space="preserve">基金合同生效后，本基金可以进行份额折算。 </w:t>
      </w:r>
    </w:p>
    <w:p>
      <w:pPr>
        <w:pStyle w:val="7"/>
        <w:spacing w:before="0" w:beforeAutospacing="0" w:after="0" w:afterAutospacing="0" w:line="360" w:lineRule="auto"/>
        <w:ind w:firstLine="420"/>
        <w:rPr>
          <w:sz w:val="21"/>
          <w:szCs w:val="21"/>
        </w:rPr>
      </w:pPr>
      <w:r>
        <w:rPr>
          <w:rStyle w:val="11"/>
          <w:rFonts w:hint="eastAsia"/>
          <w:sz w:val="21"/>
          <w:szCs w:val="21"/>
        </w:rPr>
        <w:t>一、基金份额折算的时间</w:t>
      </w:r>
    </w:p>
    <w:p>
      <w:pPr>
        <w:pStyle w:val="7"/>
        <w:spacing w:before="0" w:beforeAutospacing="0" w:after="0" w:afterAutospacing="0" w:line="360" w:lineRule="auto"/>
        <w:ind w:firstLine="420"/>
        <w:rPr>
          <w:sz w:val="21"/>
          <w:szCs w:val="21"/>
        </w:rPr>
      </w:pPr>
      <w:r>
        <w:rPr>
          <w:rFonts w:hint="eastAsia"/>
          <w:sz w:val="21"/>
          <w:szCs w:val="21"/>
        </w:rPr>
        <w:t xml:space="preserve">基金管理人应事先确定基金份额折算日，并依照《信息披露办法》的有关规定进行公告。 </w:t>
      </w:r>
    </w:p>
    <w:p>
      <w:pPr>
        <w:pStyle w:val="7"/>
        <w:spacing w:before="0" w:beforeAutospacing="0" w:after="0" w:afterAutospacing="0" w:line="360" w:lineRule="auto"/>
        <w:ind w:firstLine="420"/>
        <w:rPr>
          <w:sz w:val="21"/>
          <w:szCs w:val="21"/>
        </w:rPr>
      </w:pPr>
      <w:r>
        <w:rPr>
          <w:rStyle w:val="11"/>
          <w:rFonts w:hint="eastAsia"/>
          <w:sz w:val="21"/>
          <w:szCs w:val="21"/>
        </w:rPr>
        <w:t>二、基金份额折算的原则</w:t>
      </w:r>
    </w:p>
    <w:p>
      <w:pPr>
        <w:pStyle w:val="7"/>
        <w:spacing w:before="0" w:beforeAutospacing="0" w:after="0" w:afterAutospacing="0" w:line="360" w:lineRule="auto"/>
        <w:ind w:firstLine="420"/>
        <w:rPr>
          <w:sz w:val="21"/>
          <w:szCs w:val="21"/>
        </w:rPr>
      </w:pPr>
      <w:r>
        <w:rPr>
          <w:rFonts w:hint="eastAsia"/>
          <w:sz w:val="21"/>
          <w:szCs w:val="21"/>
        </w:rPr>
        <w:t xml:space="preserve">基金份额折算由基金管理人向登记机构申请办理，并由登记机构进行基金份额的变更登记。基金份额折算的比例和具体安排见基金管理人届时发布的相关公告。 </w:t>
      </w:r>
    </w:p>
    <w:p>
      <w:pPr>
        <w:pStyle w:val="7"/>
        <w:spacing w:before="0" w:beforeAutospacing="0" w:after="0" w:afterAutospacing="0" w:line="360" w:lineRule="auto"/>
        <w:ind w:firstLine="420"/>
        <w:rPr>
          <w:sz w:val="21"/>
          <w:szCs w:val="21"/>
        </w:rPr>
      </w:pPr>
      <w:r>
        <w:rPr>
          <w:rFonts w:hint="eastAsia"/>
          <w:sz w:val="21"/>
          <w:szCs w:val="21"/>
        </w:rPr>
        <w:t xml:space="preserve">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因尾数处理而产生的损益不视为实质性影响），无需召开基金份额持有人大会审议。基金份额折算后，基金份额持有人将按照折算后的基金份额享有权利并承担义务。 </w:t>
      </w:r>
    </w:p>
    <w:p>
      <w:pPr>
        <w:pStyle w:val="7"/>
        <w:spacing w:before="0" w:beforeAutospacing="0" w:after="0" w:afterAutospacing="0" w:line="360" w:lineRule="auto"/>
        <w:ind w:firstLine="420"/>
        <w:rPr>
          <w:sz w:val="21"/>
          <w:szCs w:val="21"/>
        </w:rPr>
      </w:pPr>
      <w:r>
        <w:rPr>
          <w:rFonts w:hint="eastAsia"/>
          <w:sz w:val="21"/>
          <w:szCs w:val="21"/>
        </w:rPr>
        <w:t xml:space="preserve">如果基金份额折算过程中发生不可抗力等特殊情形，基金管理人可延迟办理基金份额折算。 </w:t>
      </w:r>
    </w:p>
    <w:p>
      <w:pPr>
        <w:pStyle w:val="7"/>
        <w:spacing w:before="0" w:beforeAutospacing="0" w:after="0" w:afterAutospacing="0" w:line="360" w:lineRule="auto"/>
        <w:ind w:firstLine="420"/>
        <w:rPr>
          <w:sz w:val="21"/>
          <w:szCs w:val="21"/>
        </w:rPr>
      </w:pPr>
      <w:r>
        <w:rPr>
          <w:rStyle w:val="11"/>
          <w:rFonts w:hint="eastAsia"/>
          <w:sz w:val="21"/>
          <w:szCs w:val="21"/>
        </w:rPr>
        <w:t>三、基金份额折算的方法</w:t>
      </w:r>
    </w:p>
    <w:p>
      <w:pPr>
        <w:pStyle w:val="7"/>
        <w:spacing w:before="0" w:beforeAutospacing="0" w:after="0" w:afterAutospacing="0" w:line="360" w:lineRule="auto"/>
        <w:ind w:firstLine="420"/>
        <w:rPr>
          <w:sz w:val="21"/>
          <w:szCs w:val="21"/>
        </w:rPr>
      </w:pPr>
      <w:bookmarkStart w:id="88" w:name="chapter_level1_10_88974_section_1_end"/>
      <w:bookmarkEnd w:id="88"/>
      <w:r>
        <w:rPr>
          <w:rFonts w:hint="eastAsia"/>
          <w:sz w:val="21"/>
          <w:szCs w:val="21"/>
        </w:rPr>
        <w:t xml:space="preserve">基金份额折算的具体方法在份额折算公告中列示。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89" w:name="chapter_level1_11_88975"/>
      <w:bookmarkStart w:id="90" w:name="_Toc213857370"/>
      <w:r>
        <w:rPr>
          <w:rFonts w:hint="eastAsia" w:ascii="宋体" w:hAnsi="宋体" w:eastAsia="宋体"/>
          <w:sz w:val="30"/>
        </w:rPr>
        <w:t>第八部分  基金份额的上市交易</w:t>
      </w:r>
      <w:bookmarkEnd w:id="89"/>
      <w:bookmarkEnd w:id="90"/>
    </w:p>
    <w:p>
      <w:pPr>
        <w:pStyle w:val="7"/>
        <w:spacing w:before="0" w:beforeAutospacing="0" w:after="0" w:afterAutospacing="0" w:line="360" w:lineRule="auto"/>
        <w:ind w:firstLine="420"/>
        <w:rPr>
          <w:sz w:val="21"/>
          <w:szCs w:val="21"/>
        </w:rPr>
      </w:pPr>
      <w:bookmarkStart w:id="91" w:name="chapter_level1_11_88975_section_1"/>
      <w:bookmarkEnd w:id="91"/>
      <w:r>
        <w:rPr>
          <w:rStyle w:val="11"/>
          <w:rFonts w:hint="eastAsia"/>
          <w:sz w:val="21"/>
          <w:szCs w:val="21"/>
        </w:rPr>
        <w:t>一、基金上市</w:t>
      </w:r>
    </w:p>
    <w:p>
      <w:pPr>
        <w:pStyle w:val="7"/>
        <w:spacing w:before="0" w:beforeAutospacing="0" w:after="0" w:afterAutospacing="0" w:line="360" w:lineRule="auto"/>
        <w:ind w:firstLine="420"/>
        <w:rPr>
          <w:sz w:val="21"/>
          <w:szCs w:val="21"/>
        </w:rPr>
      </w:pPr>
      <w:r>
        <w:rPr>
          <w:rFonts w:hint="eastAsia"/>
          <w:sz w:val="21"/>
          <w:szCs w:val="21"/>
        </w:rPr>
        <w:t>本基金于2025年6月30日起在</w:t>
      </w:r>
      <w:r>
        <w:rPr>
          <w:rFonts w:hint="eastAsia"/>
          <w:sz w:val="21"/>
          <w:szCs w:val="21"/>
          <w:lang w:val="en-US" w:eastAsia="zh-CN"/>
        </w:rPr>
        <w:t>深圳</w:t>
      </w:r>
      <w:r>
        <w:rPr>
          <w:rFonts w:hint="eastAsia"/>
          <w:sz w:val="21"/>
          <w:szCs w:val="21"/>
        </w:rPr>
        <w:t xml:space="preserve">证券交易所上市交易。  </w:t>
      </w:r>
    </w:p>
    <w:p>
      <w:pPr>
        <w:pStyle w:val="7"/>
        <w:spacing w:before="0" w:beforeAutospacing="0" w:after="0" w:afterAutospacing="0" w:line="360" w:lineRule="auto"/>
        <w:ind w:firstLine="420"/>
        <w:rPr>
          <w:sz w:val="21"/>
          <w:szCs w:val="21"/>
        </w:rPr>
      </w:pPr>
      <w:r>
        <w:rPr>
          <w:rStyle w:val="11"/>
          <w:rFonts w:hint="eastAsia"/>
          <w:sz w:val="21"/>
          <w:szCs w:val="21"/>
        </w:rPr>
        <w:t>二、基金份额的上市交易</w:t>
      </w:r>
    </w:p>
    <w:p>
      <w:pPr>
        <w:pStyle w:val="7"/>
        <w:spacing w:before="0" w:beforeAutospacing="0" w:after="0" w:afterAutospacing="0" w:line="360" w:lineRule="auto"/>
        <w:ind w:firstLine="420"/>
        <w:rPr>
          <w:sz w:val="21"/>
          <w:szCs w:val="21"/>
        </w:rPr>
      </w:pPr>
      <w:r>
        <w:rPr>
          <w:rFonts w:hint="eastAsia"/>
          <w:sz w:val="21"/>
          <w:szCs w:val="21"/>
        </w:rPr>
        <w:t xml:space="preserve">基金份额在深圳证券交易所的上市交易应遵照《深圳证券交易所交易规则》、《深圳证券交易所证券投资基金上市规则》、《深圳证券交易所证券投资基金交易和申购赎回实施细则》等有关规定。 </w:t>
      </w:r>
    </w:p>
    <w:p>
      <w:pPr>
        <w:pStyle w:val="7"/>
        <w:spacing w:before="0" w:beforeAutospacing="0" w:after="0" w:afterAutospacing="0" w:line="360" w:lineRule="auto"/>
        <w:ind w:firstLine="420"/>
        <w:rPr>
          <w:sz w:val="21"/>
          <w:szCs w:val="21"/>
        </w:rPr>
      </w:pPr>
      <w:r>
        <w:rPr>
          <w:rStyle w:val="11"/>
          <w:rFonts w:hint="eastAsia"/>
          <w:sz w:val="21"/>
          <w:szCs w:val="21"/>
        </w:rPr>
        <w:t>三、停复牌、暂停上市、恢复上市或终止上市的情形和处理方式</w:t>
      </w:r>
    </w:p>
    <w:p>
      <w:pPr>
        <w:pStyle w:val="7"/>
        <w:spacing w:before="0" w:beforeAutospacing="0" w:after="0" w:afterAutospacing="0" w:line="360" w:lineRule="auto"/>
        <w:ind w:firstLine="420"/>
        <w:rPr>
          <w:sz w:val="21"/>
          <w:szCs w:val="21"/>
        </w:rPr>
      </w:pPr>
      <w:r>
        <w:rPr>
          <w:rFonts w:hint="eastAsia"/>
          <w:sz w:val="21"/>
          <w:szCs w:val="21"/>
        </w:rPr>
        <w:t xml:space="preserve">本基金份额在深圳证券交易所上市后，如遇停复牌、暂停上市、恢复上市或终止上市的情形，按照《深圳证券交易所证券投资基金上市规则》的相关规定执行。 </w:t>
      </w:r>
    </w:p>
    <w:p>
      <w:pPr>
        <w:pStyle w:val="7"/>
        <w:spacing w:before="0" w:beforeAutospacing="0" w:after="0" w:afterAutospacing="0" w:line="360" w:lineRule="auto"/>
        <w:ind w:firstLine="420"/>
        <w:rPr>
          <w:sz w:val="21"/>
          <w:szCs w:val="21"/>
        </w:rPr>
      </w:pPr>
      <w:r>
        <w:rPr>
          <w:rFonts w:hint="eastAsia"/>
          <w:sz w:val="21"/>
          <w:szCs w:val="21"/>
        </w:rPr>
        <w:t xml:space="preserve">若本基金发生深圳证券交易所相关规定所规定的因不再具备上市条件而应当终止上市的情形时，经基金管理人和基金托管人协商一致，本基金将转型为非上市的开放式指数基金，无需召开基金份额持有人大会，具体处理方法见基金管理人相关公告。 </w:t>
      </w:r>
    </w:p>
    <w:p>
      <w:pPr>
        <w:pStyle w:val="7"/>
        <w:spacing w:before="0" w:beforeAutospacing="0" w:after="0" w:afterAutospacing="0" w:line="360" w:lineRule="auto"/>
        <w:ind w:firstLine="420"/>
        <w:rPr>
          <w:sz w:val="21"/>
          <w:szCs w:val="21"/>
        </w:rPr>
      </w:pPr>
      <w:r>
        <w:rPr>
          <w:rStyle w:val="11"/>
          <w:rFonts w:hint="eastAsia"/>
          <w:sz w:val="21"/>
          <w:szCs w:val="21"/>
        </w:rPr>
        <w:t>四、基金份额参考净值的计算与公告</w:t>
      </w:r>
    </w:p>
    <w:p>
      <w:pPr>
        <w:pStyle w:val="7"/>
        <w:spacing w:before="0" w:beforeAutospacing="0" w:after="0" w:afterAutospacing="0" w:line="360" w:lineRule="auto"/>
        <w:ind w:firstLine="420"/>
        <w:rPr>
          <w:sz w:val="21"/>
          <w:szCs w:val="21"/>
        </w:rPr>
      </w:pPr>
      <w:r>
        <w:rPr>
          <w:rFonts w:hint="eastAsia"/>
          <w:sz w:val="21"/>
          <w:szCs w:val="21"/>
        </w:rPr>
        <w:t xml:space="preserve">基金管理人在每一个交易日开市前向深圳证券交易所提供当日的申购赎回清单。本基金基金份额参考净值（IOPV）由基金管理人或基金管理人委托的机构计算，并交由深圳证券交易所发布，供投资者交易、申购、赎回基金份额时参考。 </w:t>
      </w:r>
    </w:p>
    <w:p>
      <w:pPr>
        <w:pStyle w:val="7"/>
        <w:spacing w:before="0" w:beforeAutospacing="0" w:after="0" w:afterAutospacing="0" w:line="360" w:lineRule="auto"/>
        <w:ind w:firstLine="420"/>
        <w:rPr>
          <w:sz w:val="21"/>
          <w:szCs w:val="21"/>
        </w:rPr>
      </w:pPr>
      <w:r>
        <w:rPr>
          <w:rFonts w:hint="eastAsia"/>
          <w:sz w:val="21"/>
          <w:szCs w:val="21"/>
        </w:rPr>
        <w:t xml:space="preserve">（1）基金份额参考净值的计算公式： </w:t>
      </w:r>
    </w:p>
    <w:p>
      <w:pPr>
        <w:pStyle w:val="7"/>
        <w:spacing w:before="0" w:beforeAutospacing="0" w:after="0" w:afterAutospacing="0" w:line="360" w:lineRule="auto"/>
        <w:ind w:firstLine="420"/>
        <w:rPr>
          <w:sz w:val="21"/>
          <w:szCs w:val="21"/>
        </w:rPr>
      </w:pPr>
      <w:r>
        <w:rPr>
          <w:rFonts w:hint="eastAsia"/>
          <w:sz w:val="21"/>
          <w:szCs w:val="21"/>
        </w:rPr>
        <w:t xml:space="preserve">基金份额参考净值＝（申购赎回清单中必须用现金替代的固定替代金额总额＋申购赎回清单中可以用现金替代的所有成份证券的数量与其最新成交价乘积之和＋申购赎回清单中禁止用现金替代的所有成份证券的数量与其最新成交价乘积之和＋申购赎回清单中的预估现金差额）／最小申购、赎回单位所对应的基金份额 </w:t>
      </w:r>
    </w:p>
    <w:p>
      <w:pPr>
        <w:pStyle w:val="7"/>
        <w:spacing w:before="0" w:beforeAutospacing="0" w:after="0" w:afterAutospacing="0" w:line="360" w:lineRule="auto"/>
        <w:ind w:firstLine="420"/>
        <w:rPr>
          <w:sz w:val="21"/>
          <w:szCs w:val="21"/>
        </w:rPr>
      </w:pPr>
      <w:r>
        <w:rPr>
          <w:rFonts w:hint="eastAsia"/>
          <w:sz w:val="21"/>
          <w:szCs w:val="21"/>
        </w:rPr>
        <w:t xml:space="preserve">（2）基金份额参考净值的计算以四舍五入的方法保留小数点后3位，若基金管理人或者基金管理人委托的其他机构调整有关基金份额参考净值保留位数，本基金将进行相应调整。 </w:t>
      </w:r>
    </w:p>
    <w:p>
      <w:pPr>
        <w:pStyle w:val="7"/>
        <w:spacing w:before="0" w:beforeAutospacing="0" w:after="0" w:afterAutospacing="0" w:line="360" w:lineRule="auto"/>
        <w:ind w:firstLine="420"/>
        <w:rPr>
          <w:sz w:val="21"/>
          <w:szCs w:val="21"/>
        </w:rPr>
      </w:pPr>
      <w:r>
        <w:rPr>
          <w:rFonts w:hint="eastAsia"/>
          <w:sz w:val="21"/>
          <w:szCs w:val="21"/>
        </w:rPr>
        <w:t xml:space="preserve">（3）基金管理人可以调整基金份额参考净值的计算公式，并予以公告。如深圳证券交易所对基金份额参考净值的计算方法另有规定的，从其规定。 </w:t>
      </w:r>
    </w:p>
    <w:p>
      <w:pPr>
        <w:pStyle w:val="7"/>
        <w:spacing w:before="0" w:beforeAutospacing="0" w:after="0" w:afterAutospacing="0" w:line="360" w:lineRule="auto"/>
        <w:ind w:firstLine="420"/>
        <w:rPr>
          <w:sz w:val="21"/>
          <w:szCs w:val="21"/>
        </w:rPr>
      </w:pPr>
      <w:r>
        <w:rPr>
          <w:rStyle w:val="11"/>
          <w:rFonts w:hint="eastAsia"/>
          <w:sz w:val="21"/>
          <w:szCs w:val="21"/>
        </w:rPr>
        <w:t>五、其他</w:t>
      </w:r>
    </w:p>
    <w:p>
      <w:pPr>
        <w:pStyle w:val="7"/>
        <w:spacing w:before="0" w:beforeAutospacing="0" w:after="0" w:afterAutospacing="0" w:line="360" w:lineRule="auto"/>
        <w:ind w:firstLine="420"/>
        <w:rPr>
          <w:sz w:val="21"/>
          <w:szCs w:val="21"/>
        </w:rPr>
      </w:pPr>
      <w:r>
        <w:rPr>
          <w:rFonts w:hint="eastAsia"/>
          <w:sz w:val="21"/>
          <w:szCs w:val="21"/>
        </w:rPr>
        <w:t xml:space="preserve">若深圳证券交易所、中国证券登记结算有限责任公司增加了基金上市交易的新功能，本基金管理人可以在履行适当的程序后增加相应功能。 </w:t>
      </w:r>
    </w:p>
    <w:p>
      <w:pPr>
        <w:pStyle w:val="7"/>
        <w:spacing w:before="0" w:beforeAutospacing="0" w:after="0" w:afterAutospacing="0" w:line="360" w:lineRule="auto"/>
        <w:ind w:firstLine="420"/>
        <w:rPr>
          <w:sz w:val="21"/>
          <w:szCs w:val="21"/>
        </w:rPr>
      </w:pPr>
      <w:r>
        <w:rPr>
          <w:rFonts w:hint="eastAsia"/>
          <w:sz w:val="21"/>
          <w:szCs w:val="21"/>
        </w:rPr>
        <w:t xml:space="preserve">相关法律法规、中国证监会、登记机构或深圳证券交易所对基金上市交易的规则等相关规定内容进行调整的，本基金按照新规定执行，若由此需要对基金合同进行修订的，无需召开基金份额持有人大会。 </w:t>
      </w:r>
    </w:p>
    <w:p>
      <w:pPr>
        <w:pStyle w:val="7"/>
        <w:spacing w:before="0" w:beforeAutospacing="0" w:after="0" w:afterAutospacing="0" w:line="360" w:lineRule="auto"/>
        <w:ind w:firstLine="420"/>
        <w:rPr>
          <w:sz w:val="21"/>
          <w:szCs w:val="21"/>
        </w:rPr>
      </w:pPr>
      <w:r>
        <w:rPr>
          <w:rFonts w:hint="eastAsia"/>
          <w:sz w:val="21"/>
          <w:szCs w:val="21"/>
        </w:rPr>
        <w:t>在不违反法律法规且对基金份额持有人利益无实质不利影响的前提下，基金管理人在履行适当的程序后，本基金可以申请在包括境外交易所在内的其他证券交易所上市交易，而无</w:t>
      </w:r>
      <w:bookmarkStart w:id="92" w:name="chapter_level1_11_88975_section_1_end"/>
      <w:bookmarkEnd w:id="92"/>
      <w:r>
        <w:rPr>
          <w:rFonts w:hint="eastAsia"/>
          <w:sz w:val="21"/>
          <w:szCs w:val="21"/>
        </w:rPr>
        <w:t xml:space="preserve">需召开基金份额持有人大会。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93" w:name="chapter_level1_12_59"/>
      <w:bookmarkStart w:id="94" w:name="_Toc213857371"/>
      <w:r>
        <w:rPr>
          <w:rFonts w:hint="eastAsia" w:ascii="宋体" w:hAnsi="宋体" w:eastAsia="宋体"/>
          <w:sz w:val="30"/>
        </w:rPr>
        <w:t>第九部分  基金份额的申购与赎回</w:t>
      </w:r>
      <w:bookmarkEnd w:id="93"/>
      <w:bookmarkEnd w:id="94"/>
    </w:p>
    <w:p>
      <w:pPr>
        <w:pStyle w:val="7"/>
        <w:spacing w:before="0" w:beforeAutospacing="0" w:after="0" w:afterAutospacing="0" w:line="360" w:lineRule="auto"/>
        <w:ind w:firstLine="420"/>
        <w:rPr>
          <w:sz w:val="21"/>
          <w:szCs w:val="21"/>
        </w:rPr>
      </w:pPr>
      <w:bookmarkStart w:id="95" w:name="chapter_level1_12_59_section_1"/>
      <w:bookmarkEnd w:id="95"/>
      <w:r>
        <w:rPr>
          <w:rStyle w:val="11"/>
          <w:rFonts w:hint="eastAsia"/>
          <w:sz w:val="21"/>
          <w:szCs w:val="21"/>
        </w:rPr>
        <w:t>一、申购和赎回场所</w:t>
      </w:r>
    </w:p>
    <w:p>
      <w:pPr>
        <w:pStyle w:val="7"/>
        <w:spacing w:before="0" w:beforeAutospacing="0" w:after="0" w:afterAutospacing="0" w:line="360" w:lineRule="auto"/>
        <w:ind w:firstLine="420"/>
        <w:rPr>
          <w:sz w:val="21"/>
          <w:szCs w:val="21"/>
        </w:rPr>
      </w:pPr>
      <w:r>
        <w:rPr>
          <w:rFonts w:hint="eastAsia"/>
          <w:sz w:val="21"/>
          <w:szCs w:val="21"/>
        </w:rPr>
        <w:t xml:space="preserve">本基金投资人应当通过申购、赎回代理券商办理基金申购、赎回业务的营业场所或按申购、赎回代理券商提供的其他方式办理本基金的申购和赎回。 </w:t>
      </w:r>
    </w:p>
    <w:p>
      <w:pPr>
        <w:pStyle w:val="7"/>
        <w:spacing w:before="0" w:beforeAutospacing="0" w:after="0" w:afterAutospacing="0" w:line="360" w:lineRule="auto"/>
        <w:ind w:firstLine="420"/>
        <w:rPr>
          <w:sz w:val="21"/>
          <w:szCs w:val="21"/>
        </w:rPr>
      </w:pPr>
      <w:r>
        <w:rPr>
          <w:rFonts w:hint="eastAsia"/>
          <w:sz w:val="21"/>
          <w:szCs w:val="21"/>
        </w:rPr>
        <w:t xml:space="preserve">基金管理人在开始申购、赎回业务前公告申购、赎回代理券商的名单，并可依据实际情况变更申购、赎回代理券商并在基金管理人网站公示。基金管理人在确定、变更申购、赎回代理券商名单时，均应在公告之前报请深圳证券交易所认可。 </w:t>
      </w:r>
    </w:p>
    <w:p>
      <w:pPr>
        <w:pStyle w:val="7"/>
        <w:spacing w:before="0" w:beforeAutospacing="0" w:after="0" w:afterAutospacing="0" w:line="360" w:lineRule="auto"/>
        <w:ind w:firstLine="420"/>
        <w:rPr>
          <w:sz w:val="21"/>
          <w:szCs w:val="21"/>
        </w:rPr>
      </w:pPr>
      <w:r>
        <w:rPr>
          <w:rFonts w:hint="eastAsia"/>
          <w:sz w:val="21"/>
          <w:szCs w:val="21"/>
        </w:rPr>
        <w:t>在法律法规、基金合同及未来条件允许的情况下，基金管理人直销机构可以开通申购赎</w:t>
      </w:r>
      <w:bookmarkStart w:id="96" w:name="chapter_level1_12_59_section_1_end"/>
      <w:bookmarkEnd w:id="96"/>
      <w:r>
        <w:rPr>
          <w:rFonts w:hint="eastAsia"/>
          <w:sz w:val="21"/>
          <w:szCs w:val="21"/>
        </w:rPr>
        <w:t xml:space="preserve">回业务，具体业务的办理时间及办理方式基金管理人将另行公告。 </w:t>
      </w:r>
    </w:p>
    <w:p>
      <w:pPr>
        <w:pStyle w:val="7"/>
        <w:spacing w:before="0" w:beforeAutospacing="0" w:after="0" w:afterAutospacing="0" w:line="360" w:lineRule="auto"/>
        <w:ind w:firstLine="420"/>
        <w:rPr>
          <w:sz w:val="21"/>
          <w:szCs w:val="21"/>
        </w:rPr>
      </w:pPr>
      <w:bookmarkStart w:id="97" w:name="chapter_level1_12_59_section_2"/>
      <w:bookmarkEnd w:id="97"/>
      <w:r>
        <w:rPr>
          <w:rStyle w:val="11"/>
          <w:rFonts w:hint="eastAsia"/>
          <w:sz w:val="21"/>
          <w:szCs w:val="21"/>
        </w:rPr>
        <w:t>二、申购与赎回的开放日及时间</w:t>
      </w:r>
    </w:p>
    <w:p>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 </w:t>
      </w:r>
    </w:p>
    <w:p>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pPr>
        <w:pStyle w:val="7"/>
        <w:spacing w:before="0" w:beforeAutospacing="0" w:after="0" w:afterAutospacing="0" w:line="360" w:lineRule="auto"/>
        <w:ind w:firstLine="420"/>
        <w:rPr>
          <w:sz w:val="21"/>
          <w:szCs w:val="21"/>
        </w:rPr>
      </w:pPr>
      <w:bookmarkStart w:id="98" w:name="chapter_level1_12_59_section_2_end"/>
      <w:bookmarkEnd w:id="98"/>
      <w:r>
        <w:rPr>
          <w:rFonts w:hint="eastAsia"/>
          <w:sz w:val="21"/>
          <w:szCs w:val="21"/>
        </w:rPr>
        <w:t xml:space="preserve">本基金已于2025年6月30日开放日常申购、赎回业务。  </w:t>
      </w:r>
    </w:p>
    <w:p>
      <w:pPr>
        <w:pStyle w:val="7"/>
        <w:spacing w:before="0" w:beforeAutospacing="0" w:after="0" w:afterAutospacing="0" w:line="360" w:lineRule="auto"/>
        <w:ind w:firstLine="420"/>
        <w:rPr>
          <w:sz w:val="21"/>
          <w:szCs w:val="21"/>
        </w:rPr>
      </w:pPr>
      <w:bookmarkStart w:id="99" w:name="chapter_level1_12_59_section_3"/>
      <w:bookmarkEnd w:id="99"/>
      <w:r>
        <w:rPr>
          <w:rStyle w:val="11"/>
          <w:rFonts w:hint="eastAsia"/>
          <w:sz w:val="21"/>
          <w:szCs w:val="21"/>
        </w:rPr>
        <w:t>三、申购与赎回的原则</w:t>
      </w:r>
    </w:p>
    <w:p>
      <w:pPr>
        <w:pStyle w:val="7"/>
        <w:spacing w:before="0" w:beforeAutospacing="0" w:after="0" w:afterAutospacing="0" w:line="360" w:lineRule="auto"/>
        <w:ind w:firstLine="420"/>
        <w:rPr>
          <w:sz w:val="21"/>
          <w:szCs w:val="21"/>
        </w:rPr>
      </w:pPr>
      <w:r>
        <w:rPr>
          <w:rFonts w:hint="eastAsia"/>
          <w:sz w:val="21"/>
          <w:szCs w:val="21"/>
        </w:rPr>
        <w:t xml:space="preserve">1、“份额申购、份额赎回”原则，即申购、赎回均以份额申请； </w:t>
      </w:r>
    </w:p>
    <w:p>
      <w:pPr>
        <w:pStyle w:val="7"/>
        <w:spacing w:before="0" w:beforeAutospacing="0" w:after="0" w:afterAutospacing="0" w:line="360" w:lineRule="auto"/>
        <w:ind w:firstLine="420"/>
        <w:rPr>
          <w:sz w:val="21"/>
          <w:szCs w:val="21"/>
        </w:rPr>
      </w:pPr>
      <w:r>
        <w:rPr>
          <w:rFonts w:hint="eastAsia"/>
          <w:sz w:val="21"/>
          <w:szCs w:val="21"/>
        </w:rPr>
        <w:t xml:space="preserve">2、本基金的申购对价、赎回对价包括组合证券、现金替代、现金差额和/或其他对价； </w:t>
      </w:r>
    </w:p>
    <w:p>
      <w:pPr>
        <w:pStyle w:val="7"/>
        <w:spacing w:before="0" w:beforeAutospacing="0" w:after="0" w:afterAutospacing="0" w:line="360" w:lineRule="auto"/>
        <w:ind w:firstLine="420"/>
        <w:rPr>
          <w:sz w:val="21"/>
          <w:szCs w:val="21"/>
        </w:rPr>
      </w:pPr>
      <w:r>
        <w:rPr>
          <w:rFonts w:hint="eastAsia"/>
          <w:sz w:val="21"/>
          <w:szCs w:val="21"/>
        </w:rPr>
        <w:t xml:space="preserve">3、申购、赎回申请提交后不得撤销； </w:t>
      </w:r>
    </w:p>
    <w:p>
      <w:pPr>
        <w:pStyle w:val="7"/>
        <w:spacing w:before="0" w:beforeAutospacing="0" w:after="0" w:afterAutospacing="0" w:line="360" w:lineRule="auto"/>
        <w:ind w:firstLine="420"/>
        <w:rPr>
          <w:sz w:val="21"/>
          <w:szCs w:val="21"/>
        </w:rPr>
      </w:pPr>
      <w:r>
        <w:rPr>
          <w:rFonts w:hint="eastAsia"/>
          <w:sz w:val="21"/>
          <w:szCs w:val="21"/>
        </w:rPr>
        <w:t xml:space="preserve">4、申购、赎回应遵守业务规则及其他相关规定； </w:t>
      </w:r>
    </w:p>
    <w:p>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pPr>
        <w:pStyle w:val="7"/>
        <w:spacing w:before="0" w:beforeAutospacing="0" w:after="0" w:afterAutospacing="0" w:line="360" w:lineRule="auto"/>
        <w:ind w:firstLine="420"/>
        <w:rPr>
          <w:sz w:val="21"/>
          <w:szCs w:val="21"/>
        </w:rPr>
      </w:pPr>
      <w:r>
        <w:rPr>
          <w:rFonts w:hint="eastAsia"/>
          <w:sz w:val="21"/>
          <w:szCs w:val="21"/>
        </w:rPr>
        <w:t xml:space="preserve">基金管理人可在不违反法律法规规定的情况下，对上述原则进行调整。基金管理人必须在新原则开始实施前依照《信息披露办法》的有关规定在规定媒介上公告。 </w:t>
      </w:r>
    </w:p>
    <w:p>
      <w:pPr>
        <w:pStyle w:val="7"/>
        <w:spacing w:before="0" w:beforeAutospacing="0" w:after="0" w:afterAutospacing="0" w:line="360" w:lineRule="auto"/>
        <w:ind w:firstLine="420"/>
        <w:rPr>
          <w:sz w:val="21"/>
          <w:szCs w:val="21"/>
        </w:rPr>
      </w:pPr>
      <w:r>
        <w:rPr>
          <w:rStyle w:val="11"/>
          <w:rFonts w:hint="eastAsia"/>
          <w:sz w:val="21"/>
          <w:szCs w:val="21"/>
        </w:rPr>
        <w:t>四、申购与赎回的程序</w:t>
      </w:r>
    </w:p>
    <w:p>
      <w:pPr>
        <w:pStyle w:val="7"/>
        <w:spacing w:before="0" w:beforeAutospacing="0" w:after="0" w:afterAutospacing="0" w:line="360" w:lineRule="auto"/>
        <w:ind w:firstLine="420"/>
        <w:rPr>
          <w:sz w:val="21"/>
          <w:szCs w:val="21"/>
        </w:rPr>
      </w:pPr>
      <w:r>
        <w:rPr>
          <w:rFonts w:hint="eastAsia"/>
          <w:sz w:val="21"/>
          <w:szCs w:val="21"/>
        </w:rPr>
        <w:t xml:space="preserve">本基金按照深圳证券交易所及中国证券登记结算有限责任公司的相关规定进行申购、赎回，具体业务的办理时间请参见相关公告。本基金支持通过深圳证券交易所及/或通过登记机构的两种模式进行申购、赎回，两种模式分别适用不同的程序。本基金办理相关业务的时间及规定请参见相关公告。 </w:t>
      </w:r>
    </w:p>
    <w:p>
      <w:pPr>
        <w:pStyle w:val="7"/>
        <w:spacing w:before="0" w:beforeAutospacing="0" w:after="0" w:afterAutospacing="0" w:line="360" w:lineRule="auto"/>
        <w:ind w:firstLine="420"/>
        <w:rPr>
          <w:sz w:val="21"/>
          <w:szCs w:val="21"/>
        </w:rPr>
      </w:pPr>
      <w:r>
        <w:rPr>
          <w:rFonts w:hint="eastAsia"/>
          <w:sz w:val="21"/>
          <w:szCs w:val="21"/>
        </w:rPr>
        <w:t xml:space="preserve">（一）通过深圳证券交易所申购赎回 </w:t>
      </w:r>
    </w:p>
    <w:p>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7"/>
        <w:spacing w:before="0" w:beforeAutospacing="0" w:after="0" w:afterAutospacing="0" w:line="360" w:lineRule="auto"/>
        <w:ind w:firstLine="420"/>
        <w:rPr>
          <w:sz w:val="21"/>
          <w:szCs w:val="21"/>
        </w:rPr>
      </w:pPr>
      <w:r>
        <w:rPr>
          <w:rFonts w:hint="eastAsia"/>
          <w:sz w:val="21"/>
          <w:szCs w:val="21"/>
        </w:rPr>
        <w:t xml:space="preserve">投资人必须根据申购、赎回代理券商或基金管理人规定的程序，在开放日的具体业务办理时间内提出申购或赎回的申请。 </w:t>
      </w:r>
    </w:p>
    <w:p>
      <w:pPr>
        <w:pStyle w:val="7"/>
        <w:spacing w:before="0" w:beforeAutospacing="0" w:after="0" w:afterAutospacing="0" w:line="360" w:lineRule="auto"/>
        <w:ind w:firstLine="420"/>
        <w:rPr>
          <w:sz w:val="21"/>
          <w:szCs w:val="21"/>
        </w:rPr>
      </w:pPr>
      <w:r>
        <w:rPr>
          <w:rFonts w:hint="eastAsia"/>
          <w:sz w:val="21"/>
          <w:szCs w:val="21"/>
        </w:rPr>
        <w:t xml:space="preserve">投资人交付申购对价，申购成立；登记机构确认申请时，申购生效。投资人在提交赎回申请时有足够的基金份额余额和现金，则赎回申请成立，登记机构确认赎回时，赎回生效。投资人在提交申购申请时须按申购赎回清单的规定备足申购对价，投资人在提交赎回申请时须持有足够的基金份额余额和现金，否则所提交的申购、赎回申请不成立。 </w:t>
      </w:r>
    </w:p>
    <w:p>
      <w:pPr>
        <w:pStyle w:val="7"/>
        <w:spacing w:before="0" w:beforeAutospacing="0" w:after="0" w:afterAutospacing="0" w:line="360" w:lineRule="auto"/>
        <w:ind w:firstLine="420"/>
        <w:rPr>
          <w:sz w:val="21"/>
          <w:szCs w:val="21"/>
        </w:rPr>
      </w:pPr>
      <w:r>
        <w:rPr>
          <w:rFonts w:hint="eastAsia"/>
          <w:sz w:val="21"/>
          <w:szCs w:val="21"/>
        </w:rPr>
        <w:t xml:space="preserve">2、申购和赎回申请的确认 </w:t>
      </w:r>
    </w:p>
    <w:p>
      <w:pPr>
        <w:pStyle w:val="7"/>
        <w:spacing w:before="0" w:beforeAutospacing="0" w:after="0" w:afterAutospacing="0" w:line="360" w:lineRule="auto"/>
        <w:ind w:firstLine="420"/>
        <w:rPr>
          <w:sz w:val="21"/>
          <w:szCs w:val="21"/>
        </w:rPr>
      </w:pPr>
      <w:r>
        <w:rPr>
          <w:rFonts w:hint="eastAsia"/>
          <w:sz w:val="21"/>
          <w:szCs w:val="21"/>
        </w:rPr>
        <w:t xml:space="preserve">基金投资人申购、赎回申请在受理当日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 </w:t>
      </w:r>
    </w:p>
    <w:p>
      <w:pPr>
        <w:pStyle w:val="7"/>
        <w:spacing w:before="0" w:beforeAutospacing="0" w:after="0" w:afterAutospacing="0" w:line="360" w:lineRule="auto"/>
        <w:ind w:firstLine="420"/>
        <w:rPr>
          <w:sz w:val="21"/>
          <w:szCs w:val="21"/>
        </w:rPr>
      </w:pPr>
      <w:r>
        <w:rPr>
          <w:rFonts w:hint="eastAsia"/>
          <w:sz w:val="21"/>
          <w:szCs w:val="21"/>
        </w:rPr>
        <w:t xml:space="preserve">申购、赎回代理券商对申购、赎回申请的受理并不代表该申请一定成功，而仅代表申购、赎回代理券商确实接收到该申请。申购、赎回的确认以登记机构的确认结果为准。对于申购、赎回申请的确认情况，投资人应及时查询并妥善行使合法权利。 </w:t>
      </w:r>
    </w:p>
    <w:p>
      <w:pPr>
        <w:pStyle w:val="7"/>
        <w:spacing w:before="0" w:beforeAutospacing="0" w:after="0" w:afterAutospacing="0" w:line="360" w:lineRule="auto"/>
        <w:ind w:firstLine="420"/>
        <w:rPr>
          <w:sz w:val="21"/>
          <w:szCs w:val="21"/>
        </w:rPr>
      </w:pPr>
      <w:r>
        <w:rPr>
          <w:rFonts w:hint="eastAsia"/>
          <w:sz w:val="21"/>
          <w:szCs w:val="21"/>
        </w:rPr>
        <w:t xml:space="preserve">在目前规则下，基金投资人申购的基金份额当日可竞价卖出，次一交易日可赎回；投资人赎回获得的股票当日可竞价卖出，次一交易日可以用于申购ETF份额。基金投资人申购的基金份额和赎回获得的股票次一交易日可通过大宗交易卖出。 </w:t>
      </w:r>
    </w:p>
    <w:p>
      <w:pPr>
        <w:pStyle w:val="7"/>
        <w:spacing w:before="0" w:beforeAutospacing="0" w:after="0" w:afterAutospacing="0" w:line="360" w:lineRule="auto"/>
        <w:ind w:firstLine="420"/>
        <w:rPr>
          <w:sz w:val="21"/>
          <w:szCs w:val="21"/>
        </w:rPr>
      </w:pPr>
      <w:r>
        <w:rPr>
          <w:rFonts w:hint="eastAsia"/>
          <w:sz w:val="21"/>
          <w:szCs w:val="21"/>
        </w:rPr>
        <w:t xml:space="preserve">本基金获批后，若深圳证券交易所和中国证券登记结算有限责任公司针对跨市场交易型开放式指数证券投资基金推出新的清算交收与登记模式并引入新的申购、赎回方式，在履行适当程序后，本基金管理人将根据新的业务规则新增或调整申购和赎回申请的确认方式，届时将发布公告予以披露并对本基金的招募说明书予以更新，无需召开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3、申购和赎回的清算交收与登记 </w:t>
      </w:r>
    </w:p>
    <w:p>
      <w:pPr>
        <w:pStyle w:val="7"/>
        <w:spacing w:before="0" w:beforeAutospacing="0" w:after="0" w:afterAutospacing="0" w:line="360" w:lineRule="auto"/>
        <w:ind w:firstLine="420"/>
        <w:rPr>
          <w:sz w:val="21"/>
          <w:szCs w:val="21"/>
        </w:rPr>
      </w:pPr>
      <w:r>
        <w:rPr>
          <w:rFonts w:hint="eastAsia"/>
          <w:sz w:val="21"/>
          <w:szCs w:val="21"/>
        </w:rPr>
        <w:t xml:space="preserve">本基金申购赎回过程中涉及的组合证券和基金份额、现金替代、现金差额、现金替代退补款及其他对价的清算交收适用中国证券登记结算有限责任公司及相关证券交易所最新的相关规则。 </w:t>
      </w:r>
    </w:p>
    <w:p>
      <w:pPr>
        <w:pStyle w:val="7"/>
        <w:spacing w:before="0" w:beforeAutospacing="0" w:after="0" w:afterAutospacing="0" w:line="360" w:lineRule="auto"/>
        <w:ind w:firstLine="420"/>
        <w:rPr>
          <w:sz w:val="21"/>
          <w:szCs w:val="21"/>
        </w:rPr>
      </w:pPr>
      <w:r>
        <w:rPr>
          <w:rFonts w:hint="eastAsia"/>
          <w:sz w:val="21"/>
          <w:szCs w:val="21"/>
        </w:rPr>
        <w:t xml:space="preserve">对于本基金的申购业务采用多边净额结算的方式，即对本基金申购对应的份额、深市组合证券及其现金替代、沪市组合证券的现金替代采用多边净额结算；对于本基金的赎回业务采用多边净额结算的方式，即对本基金赎回对应的份额、深市组合证券及其现金替代、沪市组合证券的现金替代采用多边净额结算；本基金上述申购赎回业务涉及的现金差额和现金替代退补款采用代收代付。 </w:t>
      </w:r>
    </w:p>
    <w:p>
      <w:pPr>
        <w:pStyle w:val="7"/>
        <w:spacing w:before="0" w:beforeAutospacing="0" w:after="0" w:afterAutospacing="0" w:line="360" w:lineRule="auto"/>
        <w:ind w:firstLine="420"/>
        <w:rPr>
          <w:sz w:val="21"/>
          <w:szCs w:val="21"/>
        </w:rPr>
      </w:pPr>
      <w:r>
        <w:rPr>
          <w:rFonts w:hint="eastAsia"/>
          <w:sz w:val="21"/>
          <w:szCs w:val="21"/>
        </w:rPr>
        <w:t xml:space="preserve">投资者T日申购成功后，登记机构在T日收市后为投资者办理深圳证券交易所上市的成份股交收与基金份额的交收登记以及现金替代的清算；在T+2日内办理现金替代的交收以及现金差额的清算交收；并将结果发送给申购赎回代理券商、基金管理人和基金托管人。 </w:t>
      </w:r>
    </w:p>
    <w:p>
      <w:pPr>
        <w:pStyle w:val="7"/>
        <w:spacing w:before="0" w:beforeAutospacing="0" w:after="0" w:afterAutospacing="0" w:line="360" w:lineRule="auto"/>
        <w:ind w:firstLine="420"/>
        <w:rPr>
          <w:sz w:val="21"/>
          <w:szCs w:val="21"/>
        </w:rPr>
      </w:pPr>
      <w:r>
        <w:rPr>
          <w:rFonts w:hint="eastAsia"/>
          <w:sz w:val="21"/>
          <w:szCs w:val="21"/>
        </w:rPr>
        <w:t xml:space="preserve">投资者T日赎回成功后，登记机构在T日收市后办理深圳证券交易所上市的成份股交收与基金份额的注销以及现金替代的清算；在T+2日内办理现金替代的交收以及现金差额的清算交收；并将结果发送给申购赎回代理券商、基金管理人和基金托管人。 </w:t>
      </w:r>
    </w:p>
    <w:p>
      <w:pPr>
        <w:pStyle w:val="7"/>
        <w:spacing w:before="0" w:beforeAutospacing="0" w:after="0" w:afterAutospacing="0" w:line="360" w:lineRule="auto"/>
        <w:ind w:firstLine="420"/>
        <w:rPr>
          <w:sz w:val="21"/>
          <w:szCs w:val="21"/>
        </w:rPr>
      </w:pPr>
      <w:r>
        <w:rPr>
          <w:rFonts w:hint="eastAsia"/>
          <w:sz w:val="21"/>
          <w:szCs w:val="21"/>
        </w:rPr>
        <w:t xml:space="preserve">如果登记机构、基金管理人、申购赎回代理券商之间在清算交收时发现不能正常履约的情形，则依据相关业务规则的有关规定和其他相关约定进行处理。如相关业务规则发生变化，则按最新规定办理。 </w:t>
      </w:r>
    </w:p>
    <w:p>
      <w:pPr>
        <w:pStyle w:val="7"/>
        <w:spacing w:before="0" w:beforeAutospacing="0" w:after="0" w:afterAutospacing="0" w:line="360" w:lineRule="auto"/>
        <w:ind w:firstLine="420"/>
        <w:rPr>
          <w:sz w:val="21"/>
          <w:szCs w:val="21"/>
        </w:rPr>
      </w:pPr>
      <w:r>
        <w:rPr>
          <w:rFonts w:hint="eastAsia"/>
          <w:sz w:val="21"/>
          <w:szCs w:val="21"/>
        </w:rPr>
        <w:t xml:space="preserve">投资者应按照基金合同的约定和申购、赎回代理券商的规定按时足额支付应付的现金差额和现金替代退补款。因投资者原因导致现金差额或现金替代退补款未能按时足额交收的，基金管理人有权为基金的利益向该投资者追偿，并要求其承担由此导致的其他基金份额持有人或基金资产的损失。 </w:t>
      </w:r>
    </w:p>
    <w:p>
      <w:pPr>
        <w:pStyle w:val="7"/>
        <w:spacing w:before="0" w:beforeAutospacing="0" w:after="0" w:afterAutospacing="0" w:line="360" w:lineRule="auto"/>
        <w:ind w:firstLine="420"/>
        <w:rPr>
          <w:sz w:val="21"/>
          <w:szCs w:val="21"/>
        </w:rPr>
      </w:pPr>
      <w:r>
        <w:rPr>
          <w:rFonts w:hint="eastAsia"/>
          <w:sz w:val="21"/>
          <w:szCs w:val="21"/>
        </w:rPr>
        <w:t xml:space="preserve">本基金获批后，若深圳证券交易所和中国证券登记结算有限责任公司针对跨市场交易型开放式指数证券投资基金推出新的清算交收与登记模式并引入新的申购、赎回方式，在履行适当程序后，本基金管理人有权调整本基金的清算交收与登记模式及申购、赎回方式，或新增本基金的清算交收与登记模式并引入新的申购、赎回方式，详见“十、基金清算交收与登记模式的调整或新增”。 </w:t>
      </w:r>
    </w:p>
    <w:p>
      <w:pPr>
        <w:pStyle w:val="7"/>
        <w:spacing w:before="0" w:beforeAutospacing="0" w:after="0" w:afterAutospacing="0" w:line="360" w:lineRule="auto"/>
        <w:ind w:firstLine="420"/>
        <w:rPr>
          <w:sz w:val="21"/>
          <w:szCs w:val="21"/>
        </w:rPr>
      </w:pPr>
      <w:r>
        <w:rPr>
          <w:rFonts w:hint="eastAsia"/>
          <w:sz w:val="21"/>
          <w:szCs w:val="21"/>
        </w:rPr>
        <w:t xml:space="preserve">（二）通过登记机构申购赎回 </w:t>
      </w:r>
    </w:p>
    <w:p>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7"/>
        <w:spacing w:before="0" w:beforeAutospacing="0" w:after="0" w:afterAutospacing="0" w:line="360" w:lineRule="auto"/>
        <w:ind w:firstLine="420"/>
        <w:rPr>
          <w:sz w:val="21"/>
          <w:szCs w:val="21"/>
        </w:rPr>
      </w:pPr>
      <w:r>
        <w:rPr>
          <w:rFonts w:hint="eastAsia"/>
          <w:sz w:val="21"/>
          <w:szCs w:val="21"/>
        </w:rPr>
        <w:t xml:space="preserve">投资人必须根据申购、赎回代理券商或基金管理人规定的程序，在开放日的具体业务办理时间内提出申购或赎回的申请。 </w:t>
      </w:r>
    </w:p>
    <w:p>
      <w:pPr>
        <w:pStyle w:val="7"/>
        <w:spacing w:before="0" w:beforeAutospacing="0" w:after="0" w:afterAutospacing="0" w:line="360" w:lineRule="auto"/>
        <w:ind w:firstLine="420"/>
        <w:rPr>
          <w:sz w:val="21"/>
          <w:szCs w:val="21"/>
        </w:rPr>
      </w:pPr>
      <w:r>
        <w:rPr>
          <w:rFonts w:hint="eastAsia"/>
          <w:sz w:val="21"/>
          <w:szCs w:val="21"/>
        </w:rPr>
        <w:t xml:space="preserve">投资人交付申购对价，申购成立；登记机构确认申请时，申购生效。投资人在提交赎回申请时有足够的基金份额和现金，则赎回申请成立，登记机构确认赎回时，赎回生效。投资人在提交申购申请时须按申购赎回清单的规定备足申购对价，投资人在提交赎回申请时须持有足够的基金份额余额和现金，否则所提交的申购、赎回申请不成立。 </w:t>
      </w:r>
    </w:p>
    <w:p>
      <w:pPr>
        <w:pStyle w:val="7"/>
        <w:spacing w:before="0" w:beforeAutospacing="0" w:after="0" w:afterAutospacing="0" w:line="360" w:lineRule="auto"/>
        <w:ind w:firstLine="420"/>
        <w:rPr>
          <w:sz w:val="21"/>
          <w:szCs w:val="21"/>
        </w:rPr>
      </w:pPr>
      <w:r>
        <w:rPr>
          <w:rFonts w:hint="eastAsia"/>
          <w:sz w:val="21"/>
          <w:szCs w:val="21"/>
        </w:rPr>
        <w:t xml:space="preserve">2、申购和赎回申请的确认 </w:t>
      </w:r>
    </w:p>
    <w:p>
      <w:pPr>
        <w:pStyle w:val="7"/>
        <w:spacing w:before="0" w:beforeAutospacing="0" w:after="0" w:afterAutospacing="0" w:line="360" w:lineRule="auto"/>
        <w:ind w:firstLine="420"/>
        <w:rPr>
          <w:sz w:val="21"/>
          <w:szCs w:val="21"/>
        </w:rPr>
      </w:pPr>
      <w:r>
        <w:rPr>
          <w:rFonts w:hint="eastAsia"/>
          <w:sz w:val="21"/>
          <w:szCs w:val="21"/>
        </w:rPr>
        <w:t xml:space="preserve">基金投资人申购、赎回申请在T+1日内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 </w:t>
      </w:r>
    </w:p>
    <w:p>
      <w:pPr>
        <w:pStyle w:val="7"/>
        <w:spacing w:before="0" w:beforeAutospacing="0" w:after="0" w:afterAutospacing="0" w:line="360" w:lineRule="auto"/>
        <w:ind w:firstLine="420"/>
        <w:rPr>
          <w:sz w:val="21"/>
          <w:szCs w:val="21"/>
        </w:rPr>
      </w:pPr>
      <w:r>
        <w:rPr>
          <w:rFonts w:hint="eastAsia"/>
          <w:sz w:val="21"/>
          <w:szCs w:val="21"/>
        </w:rPr>
        <w:t xml:space="preserve">申购、赎回代理券商对申购、赎回申请的受理并不代表该申请一定成功，而仅代表申购、赎回代理券商确实接收到该申请。申购、赎回的确认以登记机构的确认结果为准。对于申购、赎回申请的确认情况，投资人应及时查询并妥善行使合法权利。 </w:t>
      </w:r>
    </w:p>
    <w:p>
      <w:pPr>
        <w:pStyle w:val="7"/>
        <w:spacing w:before="0" w:beforeAutospacing="0" w:after="0" w:afterAutospacing="0" w:line="360" w:lineRule="auto"/>
        <w:ind w:firstLine="420"/>
        <w:rPr>
          <w:sz w:val="21"/>
          <w:szCs w:val="21"/>
        </w:rPr>
      </w:pPr>
      <w:r>
        <w:rPr>
          <w:rFonts w:hint="eastAsia"/>
          <w:sz w:val="21"/>
          <w:szCs w:val="21"/>
        </w:rPr>
        <w:t xml:space="preserve">本基金获批后，若深圳证券交易所和中国证券登记结算有限责任公司针对跨市场交易型开放式指数证券投资基金推出新的清算交收与登记模式并引入新的申购、赎回方式，在履行适当程序后，本基金管理人将根据新的业务规则新增或调整申购和赎回申请的确认方式，届时将发布公告予以披露并对本基金的基金合同和招募说明书予以更新，无需召开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3、申购和赎回的清算交收与登记 </w:t>
      </w:r>
    </w:p>
    <w:p>
      <w:pPr>
        <w:pStyle w:val="7"/>
        <w:spacing w:before="0" w:beforeAutospacing="0" w:after="0" w:afterAutospacing="0" w:line="360" w:lineRule="auto"/>
        <w:ind w:firstLine="420"/>
        <w:rPr>
          <w:sz w:val="21"/>
          <w:szCs w:val="21"/>
        </w:rPr>
      </w:pPr>
      <w:r>
        <w:rPr>
          <w:rFonts w:hint="eastAsia"/>
          <w:sz w:val="21"/>
          <w:szCs w:val="21"/>
        </w:rPr>
        <w:t xml:space="preserve">本基金申购赎回过程中涉及的组合证券和基金份额交收适用中国证券登记结算有限责任公司及相关证券交易所最新的相关规则。本基金获批后，若深圳证券交易所和中国证券登记结算有限责任公司针对跨市场交易型开放式指数证券投资基金推出新的清算交收与登记模式并引入新的申购、赎回方式，在履行适当程序后，本基金管理人有权调整本基金的清算交收与登记模式及申购、赎回方式，或新增本基金的清算交收与登记模式并引入新的申购、赎回方式，详见“十、基金清算交收与登记模式的调整或新增”。 </w:t>
      </w:r>
    </w:p>
    <w:p>
      <w:pPr>
        <w:pStyle w:val="7"/>
        <w:spacing w:before="0" w:beforeAutospacing="0" w:after="0" w:afterAutospacing="0" w:line="360" w:lineRule="auto"/>
        <w:ind w:firstLine="420"/>
        <w:rPr>
          <w:sz w:val="21"/>
          <w:szCs w:val="21"/>
        </w:rPr>
      </w:pPr>
      <w:r>
        <w:rPr>
          <w:rFonts w:hint="eastAsia"/>
          <w:sz w:val="21"/>
          <w:szCs w:val="21"/>
        </w:rPr>
        <w:t xml:space="preserve">T+1日，登记机构根据基金管理人对申购、赎回申请的确认信息，为投资者办理组合证券、申赎基金份额的清算交收，并将结果发送给相关证券交易所、申购赎回代理券商、基金管理人和基金托管人。通常情况下，投资者T日申购所得的基金份额、赎回所得的组合证券在T+2日可用。现金替代和现金差额由基金管理人与申购赎回代理券商于T+2日内进行清算交收，登记机构可以依据相关规则对此提供代收代付服务并完成交收。对于确认失败的申请，登记机构将对冻结的组合证券和基金份额予以解冻，申购赎回代理券商将对冻结的资金予以解冻。 </w:t>
      </w:r>
    </w:p>
    <w:p>
      <w:pPr>
        <w:pStyle w:val="7"/>
        <w:spacing w:before="0" w:beforeAutospacing="0" w:after="0" w:afterAutospacing="0" w:line="360" w:lineRule="auto"/>
        <w:ind w:firstLine="420"/>
        <w:rPr>
          <w:sz w:val="21"/>
          <w:szCs w:val="21"/>
        </w:rPr>
      </w:pPr>
      <w:r>
        <w:rPr>
          <w:rFonts w:hint="eastAsia"/>
          <w:sz w:val="21"/>
          <w:szCs w:val="21"/>
        </w:rPr>
        <w:t xml:space="preserve">如果登记机构在清算交收时发生清算交收参与方不能正常履约的情形，则依据业务规则的有关规定进行处理。 </w:t>
      </w:r>
    </w:p>
    <w:p>
      <w:pPr>
        <w:pStyle w:val="7"/>
        <w:spacing w:before="0" w:beforeAutospacing="0" w:after="0" w:afterAutospacing="0" w:line="360" w:lineRule="auto"/>
        <w:ind w:firstLine="420"/>
        <w:rPr>
          <w:sz w:val="21"/>
          <w:szCs w:val="21"/>
        </w:rPr>
      </w:pPr>
      <w:r>
        <w:rPr>
          <w:rFonts w:hint="eastAsia"/>
          <w:sz w:val="21"/>
          <w:szCs w:val="21"/>
        </w:rPr>
        <w:t xml:space="preserve">投资者应按照基金合同的约定和申购、赎回代理券商的规定按时足额支付应付的现金差额和现金替代退补款。因投资者原因导致现金差额或现金替代退补款未能按时足额交收的，基金管理人有权为基金的利益向该投资者追偿，并要求其承担由此导致的其他基金份额持有人或基金资产的损失。 </w:t>
      </w:r>
    </w:p>
    <w:p>
      <w:pPr>
        <w:pStyle w:val="7"/>
        <w:spacing w:before="0" w:beforeAutospacing="0" w:after="0" w:afterAutospacing="0" w:line="360" w:lineRule="auto"/>
        <w:ind w:firstLine="420"/>
        <w:rPr>
          <w:sz w:val="21"/>
          <w:szCs w:val="21"/>
        </w:rPr>
      </w:pPr>
      <w:r>
        <w:rPr>
          <w:rFonts w:hint="eastAsia"/>
          <w:sz w:val="21"/>
          <w:szCs w:val="21"/>
        </w:rPr>
        <w:t xml:space="preserve">若投资人用以申购的部分或全部组合证券或者用以赎回的部分或全部基金份额因被国家有关机关冻结或强制执行导致不足额的，基金管理人有权指示申购赎回代理券商及登记机构依法进行相应处置；如该情况导致其他基金份额持有人或基金资产遭受损失的，基金管理人有权代表其他基金份额持有人或基金资产要求该投资者进行赔偿。 </w:t>
      </w:r>
    </w:p>
    <w:p>
      <w:pPr>
        <w:pStyle w:val="7"/>
        <w:spacing w:before="0" w:beforeAutospacing="0" w:after="0" w:afterAutospacing="0" w:line="360" w:lineRule="auto"/>
        <w:ind w:firstLine="420"/>
        <w:rPr>
          <w:sz w:val="21"/>
          <w:szCs w:val="21"/>
        </w:rPr>
      </w:pPr>
      <w:r>
        <w:rPr>
          <w:rStyle w:val="11"/>
          <w:rFonts w:hint="eastAsia"/>
          <w:sz w:val="21"/>
          <w:szCs w:val="21"/>
        </w:rPr>
        <w:t>五、申购与赎回的数额限制</w:t>
      </w:r>
    </w:p>
    <w:p>
      <w:pPr>
        <w:pStyle w:val="7"/>
        <w:spacing w:before="0" w:beforeAutospacing="0" w:after="0" w:afterAutospacing="0" w:line="360" w:lineRule="auto"/>
        <w:ind w:firstLine="420"/>
        <w:rPr>
          <w:sz w:val="21"/>
          <w:szCs w:val="21"/>
        </w:rPr>
      </w:pPr>
      <w:r>
        <w:rPr>
          <w:rFonts w:hint="eastAsia"/>
          <w:sz w:val="21"/>
          <w:szCs w:val="21"/>
        </w:rPr>
        <w:t xml:space="preserve">1、投资者申购、赎回的基金份额需为最小申购、赎回单位的整数倍。 </w:t>
      </w:r>
    </w:p>
    <w:p>
      <w:pPr>
        <w:pStyle w:val="7"/>
        <w:spacing w:before="0" w:beforeAutospacing="0" w:after="0" w:afterAutospacing="0" w:line="360" w:lineRule="auto"/>
        <w:ind w:firstLine="420"/>
        <w:rPr>
          <w:sz w:val="21"/>
          <w:szCs w:val="21"/>
        </w:rPr>
      </w:pPr>
      <w:r>
        <w:rPr>
          <w:rFonts w:hint="eastAsia"/>
          <w:sz w:val="21"/>
          <w:szCs w:val="21"/>
        </w:rPr>
        <w:t xml:space="preserve">本基金的最小申购、赎回单位为100万份。基金管理人可根据基金运作情况、市场变化以及投资者需求等因素对基金的最小申购赎回单位进行调整，并在调整实施前依照《信息披露办法》的有关规定在规定媒介公告。 </w:t>
      </w:r>
    </w:p>
    <w:p>
      <w:pPr>
        <w:pStyle w:val="7"/>
        <w:spacing w:before="0" w:beforeAutospacing="0" w:after="0" w:afterAutospacing="0" w:line="360" w:lineRule="auto"/>
        <w:ind w:firstLine="420"/>
        <w:rPr>
          <w:sz w:val="21"/>
          <w:szCs w:val="21"/>
        </w:rPr>
      </w:pPr>
      <w:r>
        <w:rPr>
          <w:rFonts w:hint="eastAsia"/>
          <w:sz w:val="21"/>
          <w:szCs w:val="21"/>
        </w:rPr>
        <w:t xml:space="preserve">2、除非证券交易所另有规定，本基金场内申购赎回暂不设置当日申购、赎回份额上限、交易账户最低基金份额余额、单个投资人累计持有的基金份额上限。具体规定详见申购赎回清单。 </w:t>
      </w:r>
    </w:p>
    <w:p>
      <w:pPr>
        <w:pStyle w:val="7"/>
        <w:spacing w:before="0" w:beforeAutospacing="0" w:after="0" w:afterAutospacing="0" w:line="360" w:lineRule="auto"/>
        <w:ind w:firstLine="420"/>
        <w:rPr>
          <w:sz w:val="21"/>
          <w:szCs w:val="21"/>
        </w:rPr>
      </w:pPr>
      <w:r>
        <w:rPr>
          <w:rFonts w:hint="eastAsia"/>
          <w:sz w:val="21"/>
          <w:szCs w:val="21"/>
        </w:rPr>
        <w:t xml:space="preserve">3、当接受申购申请对存量基金份额持有人利益构成潜在重大不利影响时，基金管理人应当采取设定单一投资者申购份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pPr>
        <w:pStyle w:val="7"/>
        <w:spacing w:before="0" w:beforeAutospacing="0" w:after="0" w:afterAutospacing="0" w:line="360" w:lineRule="auto"/>
        <w:ind w:firstLine="420"/>
        <w:rPr>
          <w:sz w:val="21"/>
          <w:szCs w:val="21"/>
        </w:rPr>
      </w:pPr>
      <w:r>
        <w:rPr>
          <w:rFonts w:hint="eastAsia"/>
          <w:sz w:val="21"/>
          <w:szCs w:val="21"/>
        </w:rPr>
        <w:t xml:space="preserve">4、基金管理人可根据市场情况，在不违反法律法规规定的情况下，调整上述规定数量或比例等限制。基金管理人必须在调整实施前依照《信息披露办法》的有关规定在规定媒介上公告（其中上述第2、3、4条可由基金管理人于前一交易日设定并在当日基金申购赎回清单上公布，而不必在规定媒介上公告也无需报中国证监会备案）。 </w:t>
      </w:r>
    </w:p>
    <w:p>
      <w:pPr>
        <w:pStyle w:val="7"/>
        <w:spacing w:before="0" w:beforeAutospacing="0" w:after="0" w:afterAutospacing="0" w:line="360" w:lineRule="auto"/>
        <w:ind w:firstLine="420"/>
        <w:rPr>
          <w:sz w:val="21"/>
          <w:szCs w:val="21"/>
        </w:rPr>
      </w:pPr>
      <w:r>
        <w:rPr>
          <w:rStyle w:val="11"/>
          <w:rFonts w:hint="eastAsia"/>
          <w:sz w:val="21"/>
          <w:szCs w:val="21"/>
        </w:rPr>
        <w:t>六、申购与赎回的对价和费用</w:t>
      </w:r>
    </w:p>
    <w:p>
      <w:pPr>
        <w:pStyle w:val="7"/>
        <w:spacing w:before="0" w:beforeAutospacing="0" w:after="0" w:afterAutospacing="0" w:line="360" w:lineRule="auto"/>
        <w:ind w:firstLine="420"/>
        <w:rPr>
          <w:sz w:val="21"/>
          <w:szCs w:val="21"/>
        </w:rPr>
      </w:pPr>
      <w:r>
        <w:rPr>
          <w:rFonts w:hint="eastAsia"/>
          <w:sz w:val="21"/>
          <w:szCs w:val="21"/>
        </w:rPr>
        <w:t xml:space="preserve">1、申购对价、赎回对价根据申购赎回清单和投资者申购、赎回的基金份额数额确定。申购对价是指投资人申购基金份额时应交付的组合证券、现金替代、现金差额和/或其他对价。赎回对价是指投资人赎回基金份额时，基金管理人应交付给投资人的组合证券、现金替代、现金差额和/或其他对价。 </w:t>
      </w:r>
    </w:p>
    <w:p>
      <w:pPr>
        <w:pStyle w:val="7"/>
        <w:spacing w:before="0" w:beforeAutospacing="0" w:after="0" w:afterAutospacing="0" w:line="360" w:lineRule="auto"/>
        <w:ind w:firstLine="420"/>
        <w:rPr>
          <w:sz w:val="21"/>
          <w:szCs w:val="21"/>
        </w:rPr>
      </w:pPr>
      <w:r>
        <w:rPr>
          <w:rFonts w:hint="eastAsia"/>
          <w:sz w:val="21"/>
          <w:szCs w:val="21"/>
        </w:rPr>
        <w:t xml:space="preserve">2、申购赎回清单由基金管理人编制。T日的申购赎回清单在当日深圳证券交易所开市前公告。如遇特殊情况，可以适当延迟计算或公告。申购赎回清单的内容与格式详见下文“七、申购赎回清单的内容与格式”或相关公告。 </w:t>
      </w:r>
    </w:p>
    <w:p>
      <w:pPr>
        <w:pStyle w:val="7"/>
        <w:spacing w:before="0" w:beforeAutospacing="0" w:after="0" w:afterAutospacing="0" w:line="360" w:lineRule="auto"/>
        <w:ind w:firstLine="420"/>
        <w:rPr>
          <w:sz w:val="21"/>
          <w:szCs w:val="21"/>
        </w:rPr>
      </w:pPr>
      <w:r>
        <w:rPr>
          <w:rFonts w:hint="eastAsia"/>
          <w:sz w:val="21"/>
          <w:szCs w:val="21"/>
        </w:rPr>
        <w:t xml:space="preserve">3、投资者在申购或赎回本基金时，申购赎回代理券商可按照不超过0.5%的标准收取佣金，其中包含证券交易所、登记机构等收取的相关费用。 </w:t>
      </w:r>
    </w:p>
    <w:p>
      <w:pPr>
        <w:pStyle w:val="7"/>
        <w:spacing w:before="0" w:beforeAutospacing="0" w:after="0" w:afterAutospacing="0" w:line="360" w:lineRule="auto"/>
        <w:ind w:firstLine="420"/>
        <w:rPr>
          <w:sz w:val="21"/>
          <w:szCs w:val="21"/>
        </w:rPr>
      </w:pPr>
      <w:r>
        <w:rPr>
          <w:rFonts w:hint="eastAsia"/>
          <w:sz w:val="21"/>
          <w:szCs w:val="21"/>
        </w:rPr>
        <w:t>4、本基金份额净值的计算，保留到小数点后</w:t>
      </w:r>
      <w:bookmarkStart w:id="100" w:name="field_63_netdecimal_1"/>
      <w:r>
        <w:rPr>
          <w:sz w:val="21"/>
          <w:szCs w:val="21"/>
        </w:rPr>
        <w:t>4</w:t>
      </w:r>
      <w:bookmarkEnd w:id="100"/>
      <w:r>
        <w:rPr>
          <w:rFonts w:hint="eastAsia"/>
          <w:sz w:val="21"/>
          <w:szCs w:val="21"/>
        </w:rPr>
        <w:t>位，小数点后第</w:t>
      </w:r>
      <w:bookmarkStart w:id="101" w:name="field_0_netdecimaladd1_1"/>
      <w:r>
        <w:rPr>
          <w:sz w:val="21"/>
          <w:szCs w:val="21"/>
        </w:rPr>
        <w:t>5</w:t>
      </w:r>
      <w:bookmarkEnd w:id="101"/>
      <w:r>
        <w:rPr>
          <w:rFonts w:hint="eastAsia"/>
          <w:sz w:val="21"/>
          <w:szCs w:val="21"/>
        </w:rPr>
        <w:t xml:space="preserve">位四舍五入，由此产生的收益或损失由基金财产承担。T日的基金份额净值在当天收市后计算，并在T+1日内公告。遇特殊情况，经履行适当程序，可以适当延迟计算或公告。 </w:t>
      </w:r>
    </w:p>
    <w:p>
      <w:pPr>
        <w:pStyle w:val="7"/>
        <w:spacing w:before="0" w:beforeAutospacing="0" w:after="0" w:afterAutospacing="0" w:line="360" w:lineRule="auto"/>
        <w:ind w:firstLine="420"/>
        <w:rPr>
          <w:sz w:val="21"/>
          <w:szCs w:val="21"/>
        </w:rPr>
      </w:pPr>
      <w:r>
        <w:rPr>
          <w:rFonts w:hint="eastAsia"/>
          <w:sz w:val="21"/>
          <w:szCs w:val="21"/>
        </w:rPr>
        <w:t xml:space="preserve">5、基金管理人可以在不违反相关法律法规的情况下对基金份额净值、申购赎回清单计算和公告时间进行调整并提前公告。 </w:t>
      </w:r>
    </w:p>
    <w:p>
      <w:pPr>
        <w:pStyle w:val="7"/>
        <w:spacing w:before="0" w:beforeAutospacing="0" w:after="0" w:afterAutospacing="0" w:line="360" w:lineRule="auto"/>
        <w:ind w:firstLine="420"/>
        <w:rPr>
          <w:sz w:val="21"/>
          <w:szCs w:val="21"/>
        </w:rPr>
      </w:pPr>
      <w:r>
        <w:rPr>
          <w:rStyle w:val="11"/>
          <w:rFonts w:hint="eastAsia"/>
          <w:sz w:val="21"/>
          <w:szCs w:val="21"/>
        </w:rPr>
        <w:t>七、申购赎回清单的内容与格式</w:t>
      </w:r>
    </w:p>
    <w:p>
      <w:pPr>
        <w:pStyle w:val="7"/>
        <w:spacing w:before="0" w:beforeAutospacing="0" w:after="0" w:afterAutospacing="0" w:line="360" w:lineRule="auto"/>
        <w:ind w:firstLine="420"/>
        <w:rPr>
          <w:sz w:val="21"/>
          <w:szCs w:val="21"/>
        </w:rPr>
      </w:pPr>
      <w:r>
        <w:rPr>
          <w:rFonts w:hint="eastAsia"/>
          <w:sz w:val="21"/>
          <w:szCs w:val="21"/>
        </w:rPr>
        <w:t xml:space="preserve">（一）通过深圳证券交易所申购赎回 </w:t>
      </w:r>
    </w:p>
    <w:p>
      <w:pPr>
        <w:pStyle w:val="7"/>
        <w:spacing w:before="0" w:beforeAutospacing="0" w:after="0" w:afterAutospacing="0" w:line="360" w:lineRule="auto"/>
        <w:ind w:firstLine="420"/>
        <w:rPr>
          <w:sz w:val="21"/>
          <w:szCs w:val="21"/>
        </w:rPr>
      </w:pPr>
      <w:r>
        <w:rPr>
          <w:rFonts w:hint="eastAsia"/>
          <w:sz w:val="21"/>
          <w:szCs w:val="21"/>
        </w:rPr>
        <w:t xml:space="preserve">1、申购赎回清单的内容 </w:t>
      </w:r>
    </w:p>
    <w:p>
      <w:pPr>
        <w:pStyle w:val="7"/>
        <w:spacing w:before="0" w:beforeAutospacing="0" w:after="0" w:afterAutospacing="0" w:line="360" w:lineRule="auto"/>
        <w:ind w:firstLine="420"/>
        <w:rPr>
          <w:sz w:val="21"/>
          <w:szCs w:val="21"/>
        </w:rPr>
      </w:pPr>
      <w:r>
        <w:rPr>
          <w:rFonts w:hint="eastAsia"/>
          <w:sz w:val="21"/>
          <w:szCs w:val="21"/>
        </w:rPr>
        <w:t xml:space="preserve">T日申购赎回清单公告内容包括最小申购、赎回单位所对应的组合证券内各成份证券数据、现金替代、T日预估现金部分、T-1日的现金差额、基金份额净值及其他相关内容。 </w:t>
      </w:r>
    </w:p>
    <w:p>
      <w:pPr>
        <w:pStyle w:val="7"/>
        <w:spacing w:before="0" w:beforeAutospacing="0" w:after="0" w:afterAutospacing="0" w:line="360" w:lineRule="auto"/>
        <w:ind w:firstLine="420"/>
        <w:rPr>
          <w:sz w:val="21"/>
          <w:szCs w:val="21"/>
        </w:rPr>
      </w:pPr>
      <w:r>
        <w:rPr>
          <w:rFonts w:hint="eastAsia"/>
          <w:sz w:val="21"/>
          <w:szCs w:val="21"/>
        </w:rPr>
        <w:t xml:space="preserve">2、组合证券相关内容 </w:t>
      </w:r>
    </w:p>
    <w:p>
      <w:pPr>
        <w:pStyle w:val="7"/>
        <w:spacing w:before="0" w:beforeAutospacing="0" w:after="0" w:afterAutospacing="0" w:line="360" w:lineRule="auto"/>
        <w:ind w:firstLine="420"/>
        <w:rPr>
          <w:sz w:val="21"/>
          <w:szCs w:val="21"/>
        </w:rPr>
      </w:pPr>
      <w:r>
        <w:rPr>
          <w:rFonts w:hint="eastAsia"/>
          <w:sz w:val="21"/>
          <w:szCs w:val="21"/>
        </w:rPr>
        <w:t xml:space="preserve">组合证券是指本基金标的指数所包含的全部或部分证券。申购赎回清单将公告最小申购赎回单位所对应的各成份证券名称、证券代码及数量。 </w:t>
      </w:r>
    </w:p>
    <w:p>
      <w:pPr>
        <w:pStyle w:val="7"/>
        <w:spacing w:before="0" w:beforeAutospacing="0" w:after="0" w:afterAutospacing="0" w:line="360" w:lineRule="auto"/>
        <w:ind w:firstLine="420"/>
        <w:rPr>
          <w:sz w:val="21"/>
          <w:szCs w:val="21"/>
        </w:rPr>
      </w:pPr>
      <w:r>
        <w:rPr>
          <w:rFonts w:hint="eastAsia"/>
          <w:sz w:val="21"/>
          <w:szCs w:val="21"/>
        </w:rPr>
        <w:t xml:space="preserve">3、现金替代相关内容 </w:t>
      </w:r>
    </w:p>
    <w:p>
      <w:pPr>
        <w:pStyle w:val="7"/>
        <w:spacing w:before="0" w:beforeAutospacing="0" w:after="0" w:afterAutospacing="0" w:line="360" w:lineRule="auto"/>
        <w:ind w:firstLine="420"/>
        <w:rPr>
          <w:sz w:val="21"/>
          <w:szCs w:val="21"/>
        </w:rPr>
      </w:pPr>
      <w:r>
        <w:rPr>
          <w:rFonts w:hint="eastAsia"/>
          <w:sz w:val="21"/>
          <w:szCs w:val="21"/>
        </w:rPr>
        <w:t xml:space="preserve">现金替代是指申购、赎回过程中，投资人按基金合同和招募说明书规定的原则，用于替代组合证券中部分证券的一定数量的现金。 </w:t>
      </w:r>
    </w:p>
    <w:p>
      <w:pPr>
        <w:pStyle w:val="7"/>
        <w:spacing w:before="0" w:beforeAutospacing="0" w:after="0" w:afterAutospacing="0" w:line="360" w:lineRule="auto"/>
        <w:ind w:firstLine="420"/>
        <w:rPr>
          <w:sz w:val="21"/>
          <w:szCs w:val="21"/>
        </w:rPr>
      </w:pPr>
      <w:r>
        <w:rPr>
          <w:rFonts w:hint="eastAsia"/>
          <w:sz w:val="21"/>
          <w:szCs w:val="21"/>
        </w:rPr>
        <w:t xml:space="preserve">现金替代分为3种类型：禁止现金替代（标志为“禁止”）、可以现金替代（标志为“允许”）和必须现金替代（标志为“必须”）。 </w:t>
      </w:r>
    </w:p>
    <w:p>
      <w:pPr>
        <w:pStyle w:val="7"/>
        <w:spacing w:before="0" w:beforeAutospacing="0" w:after="0" w:afterAutospacing="0" w:line="360" w:lineRule="auto"/>
        <w:ind w:firstLine="420"/>
        <w:rPr>
          <w:sz w:val="21"/>
          <w:szCs w:val="21"/>
        </w:rPr>
      </w:pPr>
      <w:r>
        <w:rPr>
          <w:rFonts w:hint="eastAsia"/>
          <w:sz w:val="21"/>
          <w:szCs w:val="21"/>
        </w:rPr>
        <w:t xml:space="preserve">对于深市成份证券，现金替代的标志可以设为：“禁止”、“允许”和“必须”。 </w:t>
      </w:r>
    </w:p>
    <w:p>
      <w:pPr>
        <w:pStyle w:val="7"/>
        <w:spacing w:before="0" w:beforeAutospacing="0" w:after="0" w:afterAutospacing="0" w:line="360" w:lineRule="auto"/>
        <w:ind w:firstLine="420"/>
        <w:rPr>
          <w:sz w:val="21"/>
          <w:szCs w:val="21"/>
        </w:rPr>
      </w:pPr>
      <w:r>
        <w:rPr>
          <w:rFonts w:hint="eastAsia"/>
          <w:sz w:val="21"/>
          <w:szCs w:val="21"/>
        </w:rPr>
        <w:t xml:space="preserve">对于沪市成份证券，现金替代的标志可以设为：“允许”和“必须”。 </w:t>
      </w:r>
    </w:p>
    <w:p>
      <w:pPr>
        <w:pStyle w:val="7"/>
        <w:spacing w:before="0" w:beforeAutospacing="0" w:after="0" w:afterAutospacing="0" w:line="360" w:lineRule="auto"/>
        <w:ind w:firstLine="420"/>
        <w:rPr>
          <w:sz w:val="21"/>
          <w:szCs w:val="21"/>
        </w:rPr>
      </w:pPr>
      <w:r>
        <w:rPr>
          <w:rFonts w:hint="eastAsia"/>
          <w:sz w:val="21"/>
          <w:szCs w:val="21"/>
        </w:rPr>
        <w:t xml:space="preserve">禁止现金替代适用于深圳证券交易所上市的成份股，是指在申购、赎回基金份额时，该成份证券不允许使用现金作为替代。 </w:t>
      </w:r>
    </w:p>
    <w:p>
      <w:pPr>
        <w:pStyle w:val="7"/>
        <w:spacing w:before="0" w:beforeAutospacing="0" w:after="0" w:afterAutospacing="0" w:line="360" w:lineRule="auto"/>
        <w:ind w:firstLine="420"/>
        <w:rPr>
          <w:sz w:val="21"/>
          <w:szCs w:val="21"/>
        </w:rPr>
      </w:pPr>
      <w:r>
        <w:rPr>
          <w:rFonts w:hint="eastAsia"/>
          <w:sz w:val="21"/>
          <w:szCs w:val="21"/>
        </w:rPr>
        <w:t xml:space="preserve">对于标志为可以现金替代的深圳证券交易所上市的成份股，申购基金份额时，允许使用现金作为全部或部分该成份证券的替代，但在赎回基金份额时，该成份证券不允许使用现金作为替代。 </w:t>
      </w:r>
    </w:p>
    <w:p>
      <w:pPr>
        <w:pStyle w:val="7"/>
        <w:spacing w:before="0" w:beforeAutospacing="0" w:after="0" w:afterAutospacing="0" w:line="360" w:lineRule="auto"/>
        <w:ind w:firstLine="420"/>
        <w:rPr>
          <w:sz w:val="21"/>
          <w:szCs w:val="21"/>
        </w:rPr>
      </w:pPr>
      <w:r>
        <w:rPr>
          <w:rFonts w:hint="eastAsia"/>
          <w:sz w:val="21"/>
          <w:szCs w:val="21"/>
        </w:rPr>
        <w:t xml:space="preserve">对于标志为可以现金替代的上海证券交易所上市的成份股，申购赎回基金份额时，均使用现金作为替代。 </w:t>
      </w:r>
    </w:p>
    <w:p>
      <w:pPr>
        <w:pStyle w:val="7"/>
        <w:spacing w:before="0" w:beforeAutospacing="0" w:after="0" w:afterAutospacing="0" w:line="360" w:lineRule="auto"/>
        <w:ind w:firstLine="420"/>
        <w:rPr>
          <w:sz w:val="21"/>
          <w:szCs w:val="21"/>
        </w:rPr>
      </w:pPr>
      <w:r>
        <w:rPr>
          <w:rFonts w:hint="eastAsia"/>
          <w:sz w:val="21"/>
          <w:szCs w:val="21"/>
        </w:rPr>
        <w:t xml:space="preserve">必须现金替代适用于所有成份股，是指在申购、赎回基金份额时，该成份证券必须使用现金作为替代。 </w:t>
      </w:r>
    </w:p>
    <w:p>
      <w:pPr>
        <w:pStyle w:val="7"/>
        <w:spacing w:before="0" w:beforeAutospacing="0" w:after="0" w:afterAutospacing="0" w:line="360" w:lineRule="auto"/>
        <w:ind w:firstLine="420"/>
        <w:rPr>
          <w:sz w:val="21"/>
          <w:szCs w:val="21"/>
        </w:rPr>
      </w:pPr>
      <w:r>
        <w:rPr>
          <w:rFonts w:hint="eastAsia"/>
          <w:sz w:val="21"/>
          <w:szCs w:val="21"/>
        </w:rPr>
        <w:t xml:space="preserve">（1）关于深圳证券交易所成份证券可以现金替代的情形 </w:t>
      </w:r>
    </w:p>
    <w:p>
      <w:pPr>
        <w:pStyle w:val="7"/>
        <w:spacing w:before="0" w:beforeAutospacing="0" w:after="0" w:afterAutospacing="0" w:line="360" w:lineRule="auto"/>
        <w:ind w:firstLine="420"/>
        <w:rPr>
          <w:sz w:val="21"/>
          <w:szCs w:val="21"/>
        </w:rPr>
      </w:pPr>
      <w:r>
        <w:rPr>
          <w:rFonts w:hint="eastAsia"/>
          <w:sz w:val="21"/>
          <w:szCs w:val="21"/>
        </w:rPr>
        <w:t xml:space="preserve">1）适用情形：一般由于证券停牌等原因导致投资人无法在申购时买入证券或基金管理人认为可以适用的其他情形。 </w:t>
      </w:r>
    </w:p>
    <w:p>
      <w:pPr>
        <w:pStyle w:val="7"/>
        <w:spacing w:before="0" w:beforeAutospacing="0" w:after="0" w:afterAutospacing="0" w:line="360" w:lineRule="auto"/>
        <w:ind w:firstLine="420"/>
        <w:rPr>
          <w:sz w:val="21"/>
          <w:szCs w:val="21"/>
        </w:rPr>
      </w:pPr>
      <w:r>
        <w:rPr>
          <w:rFonts w:hint="eastAsia"/>
          <w:sz w:val="21"/>
          <w:szCs w:val="21"/>
        </w:rPr>
        <w:t xml:space="preserve">2）替代金额： </w:t>
      </w:r>
    </w:p>
    <w:p>
      <w:pPr>
        <w:pStyle w:val="7"/>
        <w:spacing w:before="0" w:beforeAutospacing="0" w:after="0" w:afterAutospacing="0" w:line="360" w:lineRule="auto"/>
        <w:ind w:firstLine="420"/>
        <w:rPr>
          <w:sz w:val="21"/>
          <w:szCs w:val="21"/>
        </w:rPr>
      </w:pPr>
      <w:r>
        <w:rPr>
          <w:rFonts w:hint="eastAsia"/>
          <w:sz w:val="21"/>
          <w:szCs w:val="21"/>
        </w:rPr>
        <w:t xml:space="preserve">替代金额＝替代证券数量×该证券参考价格×（1＋现金替代保证金率） </w:t>
      </w:r>
    </w:p>
    <w:p>
      <w:pPr>
        <w:pStyle w:val="7"/>
        <w:spacing w:before="0" w:beforeAutospacing="0" w:after="0" w:afterAutospacing="0" w:line="360" w:lineRule="auto"/>
        <w:ind w:firstLine="420"/>
        <w:rPr>
          <w:sz w:val="21"/>
          <w:szCs w:val="21"/>
        </w:rPr>
      </w:pPr>
      <w:r>
        <w:rPr>
          <w:rFonts w:hint="eastAsia"/>
          <w:sz w:val="21"/>
          <w:szCs w:val="21"/>
        </w:rPr>
        <w:t xml:space="preserve">其中，“该证券参考价格”目前为该证券经除权除息调整的 T-1 日收盘价。如果深圳证券交易所参考价格确定原则发生变化，以深圳证券交易所通知规定的参考价格为准。申购现金替代溢价比例、赎回现金替代折价比例也分别称申购现金替代保证金率、赎回现金替代保证金率。 </w:t>
      </w:r>
    </w:p>
    <w:p>
      <w:pPr>
        <w:pStyle w:val="7"/>
        <w:spacing w:before="0" w:beforeAutospacing="0" w:after="0" w:afterAutospacing="0" w:line="360" w:lineRule="auto"/>
        <w:ind w:firstLine="420"/>
        <w:rPr>
          <w:sz w:val="21"/>
          <w:szCs w:val="21"/>
        </w:rPr>
      </w:pPr>
      <w:r>
        <w:rPr>
          <w:rFonts w:hint="eastAsia"/>
          <w:sz w:val="21"/>
          <w:szCs w:val="21"/>
        </w:rPr>
        <w:t xml:space="preserve">收取现金替代溢价的原因是，对于使用现金替代的证券，基金管理人需在该部分证券恢复交易后买入，而实际买入价格加上相关交易费用后与申购时的参考价格可能有所差异。为便于操作，基金管理人在申购赎回清单中预先确定现金替代溢价比例，并据此收取替代金额。如果预先收取的金额高于基金买入该部分证券的实际成本，则基金管理人将退还多收取的差额；如果预先收取的金额低于基金买入该部分证券的实际成本，则基金管理人将向投资人收取欠缺的差额。 </w:t>
      </w:r>
    </w:p>
    <w:p>
      <w:pPr>
        <w:pStyle w:val="7"/>
        <w:spacing w:before="0" w:beforeAutospacing="0" w:after="0" w:afterAutospacing="0" w:line="360" w:lineRule="auto"/>
        <w:ind w:firstLine="420"/>
        <w:rPr>
          <w:sz w:val="21"/>
          <w:szCs w:val="21"/>
        </w:rPr>
      </w:pPr>
      <w:r>
        <w:rPr>
          <w:rFonts w:hint="eastAsia"/>
          <w:sz w:val="21"/>
          <w:szCs w:val="21"/>
        </w:rPr>
        <w:t xml:space="preserve">3）替代金额的处理程序如下： </w:t>
      </w:r>
    </w:p>
    <w:p>
      <w:pPr>
        <w:pStyle w:val="7"/>
        <w:spacing w:before="0" w:beforeAutospacing="0" w:after="0" w:afterAutospacing="0" w:line="360" w:lineRule="auto"/>
        <w:ind w:firstLine="420"/>
        <w:rPr>
          <w:sz w:val="21"/>
          <w:szCs w:val="21"/>
        </w:rPr>
      </w:pPr>
      <w:r>
        <w:rPr>
          <w:rFonts w:hint="eastAsia"/>
          <w:sz w:val="21"/>
          <w:szCs w:val="21"/>
        </w:rPr>
        <w:t xml:space="preserve">T日，基金管理人在申购赎回清单中公布现金替代溢价比例，并据此在T+1日收取替代金额。 </w:t>
      </w:r>
    </w:p>
    <w:p>
      <w:pPr>
        <w:pStyle w:val="7"/>
        <w:spacing w:before="0" w:beforeAutospacing="0" w:after="0" w:afterAutospacing="0" w:line="360" w:lineRule="auto"/>
        <w:ind w:firstLine="420"/>
        <w:rPr>
          <w:sz w:val="21"/>
          <w:szCs w:val="21"/>
        </w:rPr>
      </w:pPr>
      <w:r>
        <w:rPr>
          <w:rFonts w:hint="eastAsia"/>
          <w:sz w:val="21"/>
          <w:szCs w:val="21"/>
        </w:rPr>
        <w:t xml:space="preserve">在T日后被替代的部分证券有正常交易的2个交易日（即T＋2日）内，基金管理人将以收到的替代金额买入被替代的部分证券。 </w:t>
      </w:r>
    </w:p>
    <w:p>
      <w:pPr>
        <w:pStyle w:val="7"/>
        <w:spacing w:before="0" w:beforeAutospacing="0" w:after="0" w:afterAutospacing="0" w:line="360" w:lineRule="auto"/>
        <w:ind w:firstLine="420"/>
        <w:rPr>
          <w:sz w:val="21"/>
          <w:szCs w:val="21"/>
        </w:rPr>
      </w:pPr>
      <w:r>
        <w:rPr>
          <w:rFonts w:hint="eastAsia"/>
          <w:sz w:val="21"/>
          <w:szCs w:val="21"/>
        </w:rPr>
        <w:t xml:space="preserve">T＋2日日终，若基金管理人已购入全部被替代的证券，则以替代金额与被替代证券的实际买入成本（包括买入价格和交易费用）的差额，确定基金应退还投资人或投资人应补交的款项；若基金管理人未能购入全部被替代的证券，则以替代金额与所购入的部分被替代证券的实际买入成本加上按照T＋2日收盘价计算的未购入部分被替代证券价值的差额，确定基金应退还投资人或投资人应补交的款项。 </w:t>
      </w:r>
    </w:p>
    <w:p>
      <w:pPr>
        <w:pStyle w:val="7"/>
        <w:spacing w:before="0" w:beforeAutospacing="0" w:after="0" w:afterAutospacing="0" w:line="360" w:lineRule="auto"/>
        <w:ind w:firstLine="420"/>
        <w:rPr>
          <w:sz w:val="21"/>
          <w:szCs w:val="21"/>
        </w:rPr>
      </w:pPr>
      <w:r>
        <w:rPr>
          <w:rFonts w:hint="eastAsia"/>
          <w:sz w:val="21"/>
          <w:szCs w:val="21"/>
        </w:rPr>
        <w:t xml:space="preserve">特殊情况：若自T日起，深圳证券交易所正常交易日已达20日而该部分证券的正常交易日低于2日，且该部分证券最近交易日后未发生影响公允价值计量的重大事件的，则以替代金额与所购入的部分被替代证券的实际购入成本加上按照最近一次收盘价计算的未购入的部分被替代证券价值的差额，确定基金应退还投资人或投资人应补交的款项。 </w:t>
      </w:r>
    </w:p>
    <w:p>
      <w:pPr>
        <w:pStyle w:val="7"/>
        <w:spacing w:before="0" w:beforeAutospacing="0" w:after="0" w:afterAutospacing="0" w:line="360" w:lineRule="auto"/>
        <w:ind w:firstLine="420"/>
        <w:rPr>
          <w:sz w:val="21"/>
          <w:szCs w:val="21"/>
        </w:rPr>
      </w:pPr>
      <w:r>
        <w:rPr>
          <w:rFonts w:hint="eastAsia"/>
          <w:sz w:val="21"/>
          <w:szCs w:val="21"/>
        </w:rPr>
        <w:t xml:space="preserve">如遇证券长期停牌、流动性不足等可能导致收盘价或最后成交价不公允的特殊情况，可参照证券的估值价格，对结算价格进行调整，如果基金管理人认为该证券复牌后的价格可能存在较大波动，且可能对基金资产净值产生较大影响，为了更好的维护持有人利益，该证券对应的现金替代款的清算交收可在其复牌后按照实际交易成本办理。在此期间若该证券发生除息、送股（转增）、配股等重要权益变动，则进行相应调整。 </w:t>
      </w:r>
    </w:p>
    <w:p>
      <w:pPr>
        <w:pStyle w:val="7"/>
        <w:spacing w:before="0" w:beforeAutospacing="0" w:after="0" w:afterAutospacing="0" w:line="360" w:lineRule="auto"/>
        <w:ind w:firstLine="420"/>
        <w:rPr>
          <w:sz w:val="21"/>
          <w:szCs w:val="21"/>
        </w:rPr>
      </w:pPr>
      <w:r>
        <w:rPr>
          <w:rFonts w:hint="eastAsia"/>
          <w:sz w:val="21"/>
          <w:szCs w:val="21"/>
        </w:rPr>
        <w:t xml:space="preserve">T＋2日后的第1个市场交易日（在特殊情况下则为确定基金应退还投资人或投资人应补交的款项后的第1个市场交易日），基金管理人将应退款和应补款的明细及汇总数据发送给相关申购赎回代理券商和基金托管人，相关款项的清算交收，将于此后3个工作日内完成。 </w:t>
      </w:r>
    </w:p>
    <w:p>
      <w:pPr>
        <w:pStyle w:val="7"/>
        <w:spacing w:before="0" w:beforeAutospacing="0" w:after="0" w:afterAutospacing="0" w:line="360" w:lineRule="auto"/>
        <w:ind w:firstLine="420"/>
        <w:rPr>
          <w:sz w:val="21"/>
          <w:szCs w:val="21"/>
        </w:rPr>
      </w:pPr>
      <w:r>
        <w:rPr>
          <w:rFonts w:hint="eastAsia"/>
          <w:sz w:val="21"/>
          <w:szCs w:val="21"/>
        </w:rPr>
        <w:t xml:space="preserve">4）替代限制：为有效控制基金的跟踪偏离度和跟踪误差，基金管理人可规定投资人使用可以现金替代的比例合计不得超过申购基金份额资产净值的一定比例。现金替代比例的计算公式为： </w:t>
      </w:r>
    </w:p>
    <w:p>
      <w:pPr>
        <w:pStyle w:val="7"/>
        <w:spacing w:before="0" w:beforeAutospacing="0" w:after="0" w:afterAutospacing="0" w:line="360" w:lineRule="auto"/>
        <w:ind w:firstLine="420"/>
        <w:rPr>
          <w:sz w:val="21"/>
          <w:szCs w:val="21"/>
        </w:rPr>
      </w:pPr>
      <w:r>
        <w:rPr>
          <w:rFonts w:hint="eastAsia"/>
          <w:sz w:val="21"/>
          <w:szCs w:val="21"/>
        </w:rPr>
        <w:t>现金替代比例（%）=</w:t>
      </w:r>
      <w:r>
        <w:rPr>
          <w:rFonts w:hint="eastAsia"/>
          <w:sz w:val="21"/>
          <w:szCs w:val="21"/>
        </w:rPr>
        <w:drawing>
          <wp:inline distT="0" distB="0" distL="0" distR="0">
            <wp:extent cx="2666365" cy="608965"/>
            <wp:effectExtent l="0" t="0" r="635" b="635"/>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8"/>
                    <a:stretch>
                      <a:fillRect/>
                    </a:stretch>
                  </pic:blipFill>
                  <pic:spPr>
                    <a:xfrm>
                      <a:off x="0" y="0"/>
                      <a:ext cx="2666667" cy="609524"/>
                    </a:xfrm>
                    <a:prstGeom prst="rect">
                      <a:avLst/>
                    </a:prstGeom>
                  </pic:spPr>
                </pic:pic>
              </a:graphicData>
            </a:graphic>
          </wp:inline>
        </w:drawing>
      </w:r>
      <w:r>
        <w:rPr>
          <w:rFonts w:hint="eastAsia"/>
          <w:sz w:val="21"/>
          <w:szCs w:val="21"/>
        </w:rPr>
        <w:t xml:space="preserve"> ×100% </w:t>
      </w:r>
    </w:p>
    <w:p>
      <w:pPr>
        <w:pStyle w:val="7"/>
        <w:spacing w:before="0" w:beforeAutospacing="0" w:after="0" w:afterAutospacing="0" w:line="360" w:lineRule="auto"/>
        <w:ind w:firstLine="420"/>
        <w:rPr>
          <w:sz w:val="21"/>
          <w:szCs w:val="21"/>
        </w:rPr>
      </w:pPr>
      <w:r>
        <w:rPr>
          <w:rFonts w:hint="eastAsia"/>
          <w:sz w:val="21"/>
          <w:szCs w:val="21"/>
        </w:rPr>
        <w:t xml:space="preserve">其中，“该证券参考价格”的确定原则与可以现金替代情况下“替代金额”计算公式中的“该证券参考价格”相同。“基金份额参考净值”目前为本基金前一交易日除权除息后的收盘价。 </w:t>
      </w:r>
    </w:p>
    <w:p>
      <w:pPr>
        <w:pStyle w:val="7"/>
        <w:spacing w:before="0" w:beforeAutospacing="0" w:after="0" w:afterAutospacing="0" w:line="360" w:lineRule="auto"/>
        <w:ind w:firstLine="420"/>
        <w:rPr>
          <w:sz w:val="21"/>
          <w:szCs w:val="21"/>
        </w:rPr>
      </w:pPr>
      <w:r>
        <w:rPr>
          <w:rFonts w:hint="eastAsia"/>
          <w:sz w:val="21"/>
          <w:szCs w:val="21"/>
        </w:rPr>
        <w:t xml:space="preserve">如果深圳证券交易所对上述计算方式另有规定的，以深圳证券交易所最新规定为准。 </w:t>
      </w:r>
    </w:p>
    <w:p>
      <w:pPr>
        <w:pStyle w:val="7"/>
        <w:spacing w:before="0" w:beforeAutospacing="0" w:after="0" w:afterAutospacing="0" w:line="360" w:lineRule="auto"/>
        <w:ind w:firstLine="420"/>
        <w:rPr>
          <w:sz w:val="21"/>
          <w:szCs w:val="21"/>
        </w:rPr>
      </w:pPr>
      <w:r>
        <w:rPr>
          <w:rFonts w:hint="eastAsia"/>
          <w:sz w:val="21"/>
          <w:szCs w:val="21"/>
        </w:rPr>
        <w:t xml:space="preserve">（2）关于上海证券交易所成份证券可以现金替代的情形 </w:t>
      </w:r>
    </w:p>
    <w:p>
      <w:pPr>
        <w:pStyle w:val="7"/>
        <w:spacing w:before="0" w:beforeAutospacing="0" w:after="0" w:afterAutospacing="0" w:line="360" w:lineRule="auto"/>
        <w:ind w:firstLine="420"/>
        <w:rPr>
          <w:sz w:val="21"/>
          <w:szCs w:val="21"/>
        </w:rPr>
      </w:pPr>
      <w:r>
        <w:rPr>
          <w:rFonts w:hint="eastAsia"/>
          <w:sz w:val="21"/>
          <w:szCs w:val="21"/>
        </w:rPr>
        <w:t xml:space="preserve">1）适用情形：适用于本基金成份股中上海证券交易所上市的股票。 </w:t>
      </w:r>
    </w:p>
    <w:p>
      <w:pPr>
        <w:pStyle w:val="7"/>
        <w:spacing w:before="0" w:beforeAutospacing="0" w:after="0" w:afterAutospacing="0" w:line="360" w:lineRule="auto"/>
        <w:ind w:firstLine="420"/>
        <w:rPr>
          <w:sz w:val="21"/>
          <w:szCs w:val="21"/>
        </w:rPr>
      </w:pPr>
      <w:r>
        <w:rPr>
          <w:rFonts w:hint="eastAsia"/>
          <w:sz w:val="21"/>
          <w:szCs w:val="21"/>
        </w:rPr>
        <w:t xml:space="preserve">2）替代金额： </w:t>
      </w:r>
    </w:p>
    <w:p>
      <w:pPr>
        <w:pStyle w:val="7"/>
        <w:spacing w:before="0" w:beforeAutospacing="0" w:after="0" w:afterAutospacing="0" w:line="360" w:lineRule="auto"/>
        <w:ind w:firstLine="420"/>
        <w:rPr>
          <w:sz w:val="21"/>
          <w:szCs w:val="21"/>
        </w:rPr>
      </w:pPr>
      <w:r>
        <w:rPr>
          <w:rFonts w:hint="eastAsia"/>
          <w:sz w:val="21"/>
          <w:szCs w:val="21"/>
        </w:rPr>
        <w:t xml:space="preserve">申购的替代金额＝替代证券数量×该证券调整后T日开盘参考价×（1+申购现金替代保证金率）。 </w:t>
      </w:r>
    </w:p>
    <w:p>
      <w:pPr>
        <w:pStyle w:val="7"/>
        <w:spacing w:before="0" w:beforeAutospacing="0" w:after="0" w:afterAutospacing="0" w:line="360" w:lineRule="auto"/>
        <w:ind w:firstLine="420"/>
        <w:rPr>
          <w:sz w:val="21"/>
          <w:szCs w:val="21"/>
        </w:rPr>
      </w:pPr>
      <w:r>
        <w:rPr>
          <w:rFonts w:hint="eastAsia"/>
          <w:sz w:val="21"/>
          <w:szCs w:val="21"/>
        </w:rPr>
        <w:t xml:space="preserve">赎回的替代金额＝替代证券数量×该证券调整后T日开盘参考价×（1-赎回现金替代保证金率）。 </w:t>
      </w:r>
    </w:p>
    <w:p>
      <w:pPr>
        <w:pStyle w:val="7"/>
        <w:spacing w:before="0" w:beforeAutospacing="0" w:after="0" w:afterAutospacing="0" w:line="360" w:lineRule="auto"/>
        <w:ind w:firstLine="420"/>
        <w:rPr>
          <w:sz w:val="21"/>
          <w:szCs w:val="21"/>
        </w:rPr>
      </w:pPr>
      <w:r>
        <w:rPr>
          <w:rFonts w:hint="eastAsia"/>
          <w:sz w:val="21"/>
          <w:szCs w:val="21"/>
        </w:rPr>
        <w:t xml:space="preserve">申购时收取申购现金替代溢价的原因是，对于使用现金替代的证券，基金管理人将买入该证券，实际买入价格加上相关交易费用后与该证券调整后T日开盘参考价可能有所差异。为便于操作，基金管理人在申购赎回清单中预先确定申购现金替代溢价比例，并据此收取替代金额。如果预先收取的金额高于基金购入该部分证券的实际成本（包括买入价格与交易费用），则基金管理人将退还多收取的差额；如果预先收取的金额低于基金购入该部分证券的实际成本（包括买入价格与交易费用），则基金管理人将向投资者收取欠缺的差额。 </w:t>
      </w:r>
    </w:p>
    <w:p>
      <w:pPr>
        <w:pStyle w:val="7"/>
        <w:spacing w:before="0" w:beforeAutospacing="0" w:after="0" w:afterAutospacing="0" w:line="360" w:lineRule="auto"/>
        <w:ind w:firstLine="420"/>
        <w:rPr>
          <w:sz w:val="21"/>
          <w:szCs w:val="21"/>
        </w:rPr>
      </w:pPr>
      <w:r>
        <w:rPr>
          <w:rFonts w:hint="eastAsia"/>
          <w:sz w:val="21"/>
          <w:szCs w:val="21"/>
        </w:rPr>
        <w:t xml:space="preserve">赎回时扣除赎回现金替代折价的原因是，对于使用现金替代的证券，基金管理人将卖出该证券，实际卖出价格扣除相关交易费用后与该证券调整后T日开盘参考价可能有所差异。为便于操作，基金管理人在申购赎回清单中预先确定赎回现金替代折价比例，并据此支付替代金额。如果预先支付的金额低于基金卖出该部分证券的实际收入（包括买入价格与交易费用），则基金管理人将退还少支付的差额；如果预先支付的金额高于基金卖出该部分证券的实际收入（包括买入价格与交易费用），则基金管理人将向投资者收取多支付的差额。 </w:t>
      </w:r>
    </w:p>
    <w:p>
      <w:pPr>
        <w:pStyle w:val="7"/>
        <w:spacing w:before="0" w:beforeAutospacing="0" w:after="0" w:afterAutospacing="0" w:line="360" w:lineRule="auto"/>
        <w:ind w:firstLine="420"/>
        <w:rPr>
          <w:sz w:val="21"/>
          <w:szCs w:val="21"/>
        </w:rPr>
      </w:pPr>
      <w:r>
        <w:rPr>
          <w:rFonts w:hint="eastAsia"/>
          <w:sz w:val="21"/>
          <w:szCs w:val="21"/>
        </w:rPr>
        <w:t xml:space="preserve">基金管理人将自T日起在收到申购交易确认后按照“时间优先、实时申报”的原则依次买入申购被替代的部分证券，在收到赎回交易确认后按照“时间优先、实时申报”的原则依次卖出赎回被替代的部分证券。T日未完成的交易，基金管理人在T日后被替代的成份证券有正常交易的2个交易日（简称为T+2日）内完成上述交易。 </w:t>
      </w:r>
    </w:p>
    <w:p>
      <w:pPr>
        <w:pStyle w:val="7"/>
        <w:spacing w:before="0" w:beforeAutospacing="0" w:after="0" w:afterAutospacing="0" w:line="360" w:lineRule="auto"/>
        <w:ind w:firstLine="420"/>
        <w:rPr>
          <w:sz w:val="21"/>
          <w:szCs w:val="21"/>
        </w:rPr>
      </w:pPr>
      <w:r>
        <w:rPr>
          <w:rFonts w:hint="eastAsia"/>
          <w:sz w:val="21"/>
          <w:szCs w:val="21"/>
        </w:rPr>
        <w:t xml:space="preserve">时间优先的原则为：申购赎回方向相同的，先确认成交者优先于后确认成交者。先后顺序按照深圳证券交易所确认申购赎回的时间确定。 </w:t>
      </w:r>
    </w:p>
    <w:p>
      <w:pPr>
        <w:pStyle w:val="7"/>
        <w:spacing w:before="0" w:beforeAutospacing="0" w:after="0" w:afterAutospacing="0" w:line="360" w:lineRule="auto"/>
        <w:ind w:firstLine="420"/>
        <w:rPr>
          <w:sz w:val="21"/>
          <w:szCs w:val="21"/>
        </w:rPr>
      </w:pPr>
      <w:r>
        <w:rPr>
          <w:rFonts w:hint="eastAsia"/>
          <w:sz w:val="21"/>
          <w:szCs w:val="21"/>
        </w:rPr>
        <w:t xml:space="preserve">实时申报的原则为：基金管理人在上海证券交易所连续竞价期间，根据收到的深圳证券交易所申购赎回确认记录，在技术系统允许的情况下实时向上海证券交易所申报被替代证券的交易指令。 </w:t>
      </w:r>
    </w:p>
    <w:p>
      <w:pPr>
        <w:pStyle w:val="7"/>
        <w:spacing w:before="0" w:beforeAutospacing="0" w:after="0" w:afterAutospacing="0" w:line="360" w:lineRule="auto"/>
        <w:ind w:firstLine="420"/>
        <w:rPr>
          <w:sz w:val="21"/>
          <w:szCs w:val="21"/>
        </w:rPr>
      </w:pPr>
      <w:r>
        <w:rPr>
          <w:rFonts w:hint="eastAsia"/>
          <w:sz w:val="21"/>
          <w:szCs w:val="21"/>
        </w:rPr>
        <w:t xml:space="preserve">T日基金管理人按照“时间优先”的原则依次与申购投资者确定基金应退还投资者或投资者应补交的款项，即按照申购时间顺序，以替代金额与被替代证券的依次实际购入成本（包括买入价格与交易费用）的差额，确定基金应退还申购投资者或申购投资者应补交的款项；按照“时间优先”的原则依次与赎回投资者确定基金应退还投资者或投资者应补交的款项，即按照赎回时间顺序，以替代金额与被替代证券的依次实际卖出收入（卖出价格扣除交易费用）的差额，确定基金应退还赎回投资者或赎回投资者应补交的款项。 </w:t>
      </w:r>
    </w:p>
    <w:p>
      <w:pPr>
        <w:pStyle w:val="7"/>
        <w:spacing w:before="0" w:beforeAutospacing="0" w:after="0" w:afterAutospacing="0" w:line="360" w:lineRule="auto"/>
        <w:ind w:firstLine="420"/>
        <w:rPr>
          <w:sz w:val="21"/>
          <w:szCs w:val="21"/>
        </w:rPr>
      </w:pPr>
      <w:r>
        <w:rPr>
          <w:rFonts w:hint="eastAsia"/>
          <w:sz w:val="21"/>
          <w:szCs w:val="21"/>
        </w:rPr>
        <w:t xml:space="preserve">对于T日因停牌或流动性不足等原因未购入和未卖出的被替代的部分证券，T日后基金管理人可以继续进行被替代证券的买入和卖出，按照前述原则确定基金应退还投资者或投资者应补交的款项。 </w:t>
      </w:r>
    </w:p>
    <w:p>
      <w:pPr>
        <w:pStyle w:val="7"/>
        <w:spacing w:before="0" w:beforeAutospacing="0" w:after="0" w:afterAutospacing="0" w:line="360" w:lineRule="auto"/>
        <w:ind w:firstLine="420"/>
        <w:rPr>
          <w:sz w:val="21"/>
          <w:szCs w:val="21"/>
        </w:rPr>
      </w:pPr>
      <w:r>
        <w:rPr>
          <w:rFonts w:hint="eastAsia"/>
          <w:sz w:val="21"/>
          <w:szCs w:val="21"/>
        </w:rPr>
        <w:t xml:space="preserve">T+2日日终，若已购入全部被替代的证券，则以替代金额与被替代证券的实际购入成本（包括买入价格与交易费用）的差额，确定基金应退还申购投资者或申购投资者应补交的款项；若未能购入全部被替代的证券，则以替代金额与所购入的部分被替代证券实际购入成本（包括买入价格与交易费用）加上按照T+2日收盘价计算的未购入的部分被替代证券价值的差额，确定基金应退还申购投资者或申购投资者应补交的款项。 </w:t>
      </w:r>
    </w:p>
    <w:p>
      <w:pPr>
        <w:pStyle w:val="7"/>
        <w:spacing w:before="0" w:beforeAutospacing="0" w:after="0" w:afterAutospacing="0" w:line="360" w:lineRule="auto"/>
        <w:ind w:firstLine="420"/>
        <w:rPr>
          <w:sz w:val="21"/>
          <w:szCs w:val="21"/>
        </w:rPr>
      </w:pPr>
      <w:r>
        <w:rPr>
          <w:rFonts w:hint="eastAsia"/>
          <w:sz w:val="21"/>
          <w:szCs w:val="21"/>
        </w:rPr>
        <w:t xml:space="preserve">T+2日日终，若已卖出全部被替代的证券，则以替代金额与被替代证券的实际卖出收入（卖出价格扣除交易费用）的差额，确定基金应退还赎回投资者或赎回投资者应补交的款项；若未能卖出全部被替代的证券，以替代金额与所卖出的部分被替代证券实际卖出收入（卖出价格扣除交易费用）加上按照T+2日收盘价计算的未卖出的部分被替代证券价值的差额，确定基金应退还赎回投资者或赎回投资者应补交的款项。 </w:t>
      </w:r>
    </w:p>
    <w:p>
      <w:pPr>
        <w:pStyle w:val="7"/>
        <w:spacing w:before="0" w:beforeAutospacing="0" w:after="0" w:afterAutospacing="0" w:line="360" w:lineRule="auto"/>
        <w:ind w:firstLine="420"/>
        <w:rPr>
          <w:sz w:val="21"/>
          <w:szCs w:val="21"/>
        </w:rPr>
      </w:pPr>
      <w:r>
        <w:rPr>
          <w:rFonts w:hint="eastAsia"/>
          <w:sz w:val="21"/>
          <w:szCs w:val="21"/>
        </w:rPr>
        <w:t xml:space="preserve">特例情况：若自T日起，上海证券交易所正常交易日已达到20日而该证券正常交易日低于2日，且该部分证券最近交易日后未发生影响公允价值计量的重大事件的，则以替代金额与所购入的部分被替代证券实际购入成本（包括买入价格与交易费用）加上按照最近一次收盘价计算的未购入的部分被替代证券价值的差额，确定基金应退还申购投资者或申购投资者应补交的款项，以替代金额与所卖出的部分被替代证券实际卖出收入（卖出价格扣除交易费用）加上按照最近一次收盘价计算的未卖出的部分被替代证券价值的差额，确定基金应退还赎回投资者或赎回投资者应补交的款项。 </w:t>
      </w:r>
    </w:p>
    <w:p>
      <w:pPr>
        <w:pStyle w:val="7"/>
        <w:spacing w:before="0" w:beforeAutospacing="0" w:after="0" w:afterAutospacing="0" w:line="360" w:lineRule="auto"/>
        <w:ind w:firstLine="420"/>
        <w:rPr>
          <w:sz w:val="21"/>
          <w:szCs w:val="21"/>
        </w:rPr>
      </w:pPr>
      <w:r>
        <w:rPr>
          <w:rFonts w:hint="eastAsia"/>
          <w:sz w:val="21"/>
          <w:szCs w:val="21"/>
        </w:rPr>
        <w:t xml:space="preserve">如遇证券长期停牌、流动性不足等可能导致收盘价或最后成交价不公允的特殊情况，可参照证券的估值价格，对结算价格进行调整，如果基金管理人认为该证券复牌后的价格可能存在较大波动，且可能对基金资产净值产生较大影响，为了更好的维护持有人利益，该证券对应的现金替代款的清算交收可在其复牌后按照实际交易成本办理。在此期间若该证券发生除息、送股（转增）、配股等重要权益变动，则进行相应调整。 </w:t>
      </w:r>
    </w:p>
    <w:p>
      <w:pPr>
        <w:pStyle w:val="7"/>
        <w:spacing w:before="0" w:beforeAutospacing="0" w:after="0" w:afterAutospacing="0" w:line="360" w:lineRule="auto"/>
        <w:ind w:firstLine="420"/>
        <w:rPr>
          <w:sz w:val="21"/>
          <w:szCs w:val="21"/>
        </w:rPr>
      </w:pPr>
      <w:r>
        <w:rPr>
          <w:rFonts w:hint="eastAsia"/>
          <w:sz w:val="21"/>
          <w:szCs w:val="21"/>
        </w:rPr>
        <w:t xml:space="preserve">T+2日后第1个工作日（在特殊情况下则为确定基金应退还投资人或投资人应补交的款项后的第1个市场交易日），基金管理人将应退款和补款的明细及汇总数据通过中国证券登记结算有限责任公司发送给相关申购赎回代理券商和基金托管人，相关款项的清算交收将于此后3个工作日内完成。 </w:t>
      </w:r>
    </w:p>
    <w:p>
      <w:pPr>
        <w:pStyle w:val="7"/>
        <w:spacing w:before="0" w:beforeAutospacing="0" w:after="0" w:afterAutospacing="0" w:line="360" w:lineRule="auto"/>
        <w:ind w:firstLine="420"/>
        <w:rPr>
          <w:sz w:val="21"/>
          <w:szCs w:val="21"/>
        </w:rPr>
      </w:pPr>
      <w:r>
        <w:rPr>
          <w:rFonts w:hint="eastAsia"/>
          <w:sz w:val="21"/>
          <w:szCs w:val="21"/>
        </w:rPr>
        <w:t xml:space="preserve">（3）必须现金替代 </w:t>
      </w:r>
    </w:p>
    <w:p>
      <w:pPr>
        <w:pStyle w:val="7"/>
        <w:spacing w:before="0" w:beforeAutospacing="0" w:after="0" w:afterAutospacing="0" w:line="360" w:lineRule="auto"/>
        <w:ind w:firstLine="420"/>
        <w:rPr>
          <w:sz w:val="21"/>
          <w:szCs w:val="21"/>
        </w:rPr>
      </w:pPr>
      <w:r>
        <w:rPr>
          <w:rFonts w:hint="eastAsia"/>
          <w:sz w:val="21"/>
          <w:szCs w:val="21"/>
        </w:rPr>
        <w:t xml:space="preserve">1）适用情形：一般适用于标的指数调整将被剔除的成份证券以及处于停牌的股票，或因法律法规限制投资的成份证券，或出于保护基金持有人利益等原因基金管理人认为有必要实行必须现金替代的成份证券。 </w:t>
      </w:r>
    </w:p>
    <w:p>
      <w:pPr>
        <w:pStyle w:val="7"/>
        <w:spacing w:before="0" w:beforeAutospacing="0" w:after="0" w:afterAutospacing="0" w:line="360" w:lineRule="auto"/>
        <w:ind w:firstLine="420"/>
        <w:rPr>
          <w:sz w:val="21"/>
          <w:szCs w:val="21"/>
        </w:rPr>
      </w:pPr>
      <w:r>
        <w:rPr>
          <w:rFonts w:hint="eastAsia"/>
          <w:sz w:val="21"/>
          <w:szCs w:val="21"/>
        </w:rPr>
        <w:t xml:space="preserve">2）替代金额：对于必须现金替代的证券，基金管理人将在申购赎回清单中公告替代的一定数量的现金，即“固定替代金额”。固定替代金额的计算方法为申购赎回清单中该证券的数量乘以其T日预估开盘价。 </w:t>
      </w:r>
    </w:p>
    <w:p>
      <w:pPr>
        <w:pStyle w:val="7"/>
        <w:spacing w:before="0" w:beforeAutospacing="0" w:after="0" w:afterAutospacing="0" w:line="360" w:lineRule="auto"/>
        <w:ind w:firstLine="420"/>
        <w:rPr>
          <w:sz w:val="21"/>
          <w:szCs w:val="21"/>
        </w:rPr>
      </w:pPr>
      <w:r>
        <w:rPr>
          <w:rFonts w:hint="eastAsia"/>
          <w:sz w:val="21"/>
          <w:szCs w:val="21"/>
        </w:rPr>
        <w:t xml:space="preserve">4、预估现金差额 </w:t>
      </w:r>
    </w:p>
    <w:p>
      <w:pPr>
        <w:pStyle w:val="7"/>
        <w:spacing w:before="0" w:beforeAutospacing="0" w:after="0" w:afterAutospacing="0" w:line="360" w:lineRule="auto"/>
        <w:ind w:firstLine="420"/>
        <w:rPr>
          <w:sz w:val="21"/>
          <w:szCs w:val="21"/>
        </w:rPr>
      </w:pPr>
      <w:r>
        <w:rPr>
          <w:rFonts w:hint="eastAsia"/>
          <w:sz w:val="21"/>
          <w:szCs w:val="21"/>
        </w:rPr>
        <w:t xml:space="preserve">预估现金差额指为便于计算基金份额参考净值及申购、赎回代理券商预先冻结申请申购、赎回的投资人的相应资金，由基金管理人计算并公布的现金差额的预估值。 </w:t>
      </w:r>
    </w:p>
    <w:p>
      <w:pPr>
        <w:pStyle w:val="7"/>
        <w:spacing w:before="0" w:beforeAutospacing="0" w:after="0" w:afterAutospacing="0" w:line="360" w:lineRule="auto"/>
        <w:ind w:firstLine="420"/>
        <w:rPr>
          <w:sz w:val="21"/>
          <w:szCs w:val="21"/>
        </w:rPr>
      </w:pPr>
      <w:r>
        <w:rPr>
          <w:rFonts w:hint="eastAsia"/>
          <w:sz w:val="21"/>
          <w:szCs w:val="21"/>
        </w:rPr>
        <w:t xml:space="preserve">T日预估现金差额在T日申购赎回清单中公告，其计算公式为： </w:t>
      </w:r>
    </w:p>
    <w:p>
      <w:pPr>
        <w:pStyle w:val="7"/>
        <w:spacing w:before="0" w:beforeAutospacing="0" w:after="0" w:afterAutospacing="0" w:line="360" w:lineRule="auto"/>
        <w:ind w:firstLine="420"/>
        <w:rPr>
          <w:sz w:val="21"/>
          <w:szCs w:val="21"/>
        </w:rPr>
      </w:pPr>
      <w:r>
        <w:rPr>
          <w:rFonts w:hint="eastAsia"/>
          <w:sz w:val="21"/>
          <w:szCs w:val="21"/>
        </w:rPr>
        <w:t xml:space="preserve">T日预估现金差额＝T—1日最小申购、赎回单位的基金资产净值－（申购赎回清单中必须现金替代的固定替代金额总额+申购赎回清单中可以现金替代的所有成份证券的数量与该证券调整后T日开盘参考价乘积之和＋申购赎回清单中禁止现金替代的所有成份证券的数量与该证券调整后T日开盘参考价乘积之和） </w:t>
      </w:r>
    </w:p>
    <w:p>
      <w:pPr>
        <w:pStyle w:val="7"/>
        <w:spacing w:before="0" w:beforeAutospacing="0" w:after="0" w:afterAutospacing="0" w:line="360" w:lineRule="auto"/>
        <w:ind w:firstLine="420"/>
        <w:rPr>
          <w:sz w:val="21"/>
          <w:szCs w:val="21"/>
        </w:rPr>
      </w:pPr>
      <w:r>
        <w:rPr>
          <w:rFonts w:hint="eastAsia"/>
          <w:sz w:val="21"/>
          <w:szCs w:val="21"/>
        </w:rPr>
        <w:t xml:space="preserve">其中，“该证券调整后T日开盘参考价”主要根据深圳证券信息有限公司提供的标的指数成份证券的调整后开盘参考价确定。另外，若T日为基金分红除息日，则计算公式中的“T－1日最小申购、赎回单位的基金资产净值”需要扣减相应的收益分配数额。 </w:t>
      </w:r>
    </w:p>
    <w:p>
      <w:pPr>
        <w:pStyle w:val="7"/>
        <w:spacing w:before="0" w:beforeAutospacing="0" w:after="0" w:afterAutospacing="0" w:line="360" w:lineRule="auto"/>
        <w:ind w:firstLine="420"/>
        <w:rPr>
          <w:sz w:val="21"/>
          <w:szCs w:val="21"/>
        </w:rPr>
      </w:pPr>
      <w:r>
        <w:rPr>
          <w:rFonts w:hint="eastAsia"/>
          <w:sz w:val="21"/>
          <w:szCs w:val="21"/>
        </w:rPr>
        <w:t xml:space="preserve">预估现金差额的数值可能为正、为负或为零。 </w:t>
      </w:r>
    </w:p>
    <w:p>
      <w:pPr>
        <w:pStyle w:val="7"/>
        <w:spacing w:before="0" w:beforeAutospacing="0" w:after="0" w:afterAutospacing="0" w:line="360" w:lineRule="auto"/>
        <w:ind w:firstLine="420"/>
        <w:rPr>
          <w:sz w:val="21"/>
          <w:szCs w:val="21"/>
        </w:rPr>
      </w:pPr>
      <w:r>
        <w:rPr>
          <w:rFonts w:hint="eastAsia"/>
          <w:sz w:val="21"/>
          <w:szCs w:val="21"/>
        </w:rPr>
        <w:t xml:space="preserve">5、现金差额 </w:t>
      </w:r>
    </w:p>
    <w:p>
      <w:pPr>
        <w:pStyle w:val="7"/>
        <w:spacing w:before="0" w:beforeAutospacing="0" w:after="0" w:afterAutospacing="0" w:line="360" w:lineRule="auto"/>
        <w:ind w:firstLine="420"/>
        <w:rPr>
          <w:sz w:val="21"/>
          <w:szCs w:val="21"/>
        </w:rPr>
      </w:pPr>
      <w:r>
        <w:rPr>
          <w:rFonts w:hint="eastAsia"/>
          <w:sz w:val="21"/>
          <w:szCs w:val="21"/>
        </w:rPr>
        <w:t xml:space="preserve">现金差额指最小申购、赎回单位的资产净值与按当日收盘价计算的最小申购、赎回单位中的组合证券市值和现金替代之差。 </w:t>
      </w:r>
    </w:p>
    <w:p>
      <w:pPr>
        <w:pStyle w:val="7"/>
        <w:spacing w:before="0" w:beforeAutospacing="0" w:after="0" w:afterAutospacing="0" w:line="360" w:lineRule="auto"/>
        <w:ind w:firstLine="420"/>
        <w:rPr>
          <w:sz w:val="21"/>
          <w:szCs w:val="21"/>
        </w:rPr>
      </w:pPr>
      <w:r>
        <w:rPr>
          <w:rFonts w:hint="eastAsia"/>
          <w:sz w:val="21"/>
          <w:szCs w:val="21"/>
        </w:rPr>
        <w:t xml:space="preserve">T日现金差额在T＋1日的申购赎回清单中公告，其计算公式为： </w:t>
      </w:r>
    </w:p>
    <w:p>
      <w:pPr>
        <w:pStyle w:val="7"/>
        <w:spacing w:before="0" w:beforeAutospacing="0" w:after="0" w:afterAutospacing="0" w:line="360" w:lineRule="auto"/>
        <w:ind w:firstLine="420"/>
        <w:rPr>
          <w:sz w:val="21"/>
          <w:szCs w:val="21"/>
        </w:rPr>
      </w:pPr>
      <w:r>
        <w:rPr>
          <w:rFonts w:hint="eastAsia"/>
          <w:sz w:val="21"/>
          <w:szCs w:val="21"/>
        </w:rPr>
        <w:t xml:space="preserve">T日现金差额＝T日最小申购、赎回单位的基金资产净值－（申购赎回清单中必须现金替代的固定替代金额总额＋申购赎回清单中可以现金替代的所有成份证券的数量与该证券T日收盘价乘积之和＋申购赎回清单中禁止现金替代的所有成份证券的数量与该证券T日收盘价乘积之和） </w:t>
      </w:r>
    </w:p>
    <w:p>
      <w:pPr>
        <w:pStyle w:val="7"/>
        <w:spacing w:before="0" w:beforeAutospacing="0" w:after="0" w:afterAutospacing="0" w:line="360" w:lineRule="auto"/>
        <w:ind w:firstLine="420"/>
        <w:rPr>
          <w:sz w:val="21"/>
          <w:szCs w:val="21"/>
        </w:rPr>
      </w:pPr>
      <w:r>
        <w:rPr>
          <w:rFonts w:hint="eastAsia"/>
          <w:sz w:val="21"/>
          <w:szCs w:val="21"/>
        </w:rPr>
        <w:t xml:space="preserve">T日投资人申购、赎回的基金份额，需按T＋1日公告的T日现金差额进行资金的清算交收。现金差额的数值可能为正、为负或为零。 </w:t>
      </w:r>
    </w:p>
    <w:p>
      <w:pPr>
        <w:pStyle w:val="7"/>
        <w:spacing w:before="0" w:beforeAutospacing="0" w:after="0" w:afterAutospacing="0" w:line="360" w:lineRule="auto"/>
        <w:ind w:firstLine="420"/>
        <w:rPr>
          <w:sz w:val="21"/>
          <w:szCs w:val="21"/>
        </w:rPr>
      </w:pPr>
      <w:r>
        <w:rPr>
          <w:rFonts w:hint="eastAsia"/>
          <w:sz w:val="21"/>
          <w:szCs w:val="21"/>
        </w:rPr>
        <w:t xml:space="preserve">在投资人申购时，如现金差额为正数，则投资人应根据其申购的基金份额支付相应的现金，如现金差额为负数，则投资人将根据其申购的基金份额获得相应的现金；在投资人赎回时，如现金差额为正数，则投资人将根据其赎回的基金份额获得相应的现金，如现金差额为负数，则投资人应根据其赎回的基金份额支付相应的现金。 </w:t>
      </w:r>
    </w:p>
    <w:p>
      <w:pPr>
        <w:pStyle w:val="7"/>
        <w:spacing w:before="0" w:beforeAutospacing="0" w:after="0" w:afterAutospacing="0" w:line="360" w:lineRule="auto"/>
        <w:ind w:firstLine="420"/>
        <w:rPr>
          <w:sz w:val="21"/>
          <w:szCs w:val="21"/>
        </w:rPr>
      </w:pPr>
      <w:r>
        <w:rPr>
          <w:rFonts w:hint="eastAsia"/>
          <w:sz w:val="21"/>
          <w:szCs w:val="21"/>
        </w:rPr>
        <w:t xml:space="preserve">6、申购赎回清单的格式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8"/>
        <w:gridCol w:w="738"/>
        <w:gridCol w:w="738"/>
        <w:gridCol w:w="946"/>
        <w:gridCol w:w="681"/>
        <w:gridCol w:w="681"/>
        <w:gridCol w:w="1362"/>
        <w:gridCol w:w="946"/>
        <w:gridCol w:w="947"/>
        <w:gridCol w:w="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10"/>
            <w:shd w:val="clear" w:color="auto" w:fill="auto"/>
          </w:tcPr>
          <w:p>
            <w:pPr>
              <w:jc w:val="center"/>
              <w:rPr>
                <w:rFonts w:ascii="宋体" w:hAnsi="宋体" w:eastAsia="宋体" w:cs="宋体"/>
                <w:sz w:val="24"/>
                <w:szCs w:val="24"/>
              </w:rPr>
            </w:pPr>
            <w:r>
              <w:rPr>
                <w:rFonts w:hint="eastAsia" w:ascii="宋体" w:hAnsi="宋体" w:eastAsia="宋体"/>
              </w:rPr>
              <w:t xml:space="preserve">基本信息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最新公告日期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202X年 月   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基金名称 </w:t>
            </w:r>
          </w:p>
        </w:tc>
        <w:tc>
          <w:tcPr>
            <w:tcW w:w="0" w:type="auto"/>
            <w:gridSpan w:val="5"/>
            <w:shd w:val="clear" w:color="auto" w:fill="auto"/>
          </w:tcPr>
          <w:p>
            <w:pPr>
              <w:jc w:val="center"/>
              <w:rPr>
                <w:rFonts w:ascii="宋体" w:hAnsi="宋体" w:eastAsia="宋体" w:cs="宋体"/>
                <w:sz w:val="24"/>
                <w:szCs w:val="24"/>
              </w:rPr>
            </w:pPr>
            <w:bookmarkStart w:id="102" w:name="field_0_productfullname_13"/>
            <w:r>
              <w:rPr>
                <w:rFonts w:hint="eastAsia" w:ascii="宋体" w:hAnsi="宋体" w:eastAsia="宋体"/>
              </w:rPr>
              <w:t>博时国证大盘成长交易型开放式指数证券投资基金</w:t>
            </w:r>
            <w:bookmarkEnd w:id="102"/>
            <w:r>
              <w:rPr>
                <w:rFonts w:hint="eastAsia" w:ascii="宋体" w:hAnsi="宋体" w:eastAsia="宋体"/>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基金管理公司名称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博时基金管理有限公司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基金代码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XXXXXX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目标指数代码：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399372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基金类型：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跨市场ETF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gridSpan w:val="10"/>
            <w:shd w:val="clear" w:color="auto" w:fill="auto"/>
          </w:tcPr>
          <w:p>
            <w:pPr>
              <w:jc w:val="center"/>
              <w:rPr>
                <w:rFonts w:ascii="宋体" w:hAnsi="宋体" w:eastAsia="宋体" w:cs="宋体"/>
                <w:sz w:val="24"/>
                <w:szCs w:val="24"/>
              </w:rPr>
            </w:pPr>
            <w:r>
              <w:rPr>
                <w:rFonts w:hint="eastAsia" w:ascii="宋体" w:hAnsi="宋体" w:eastAsia="宋体"/>
              </w:rPr>
              <w:t xml:space="preserve">T－1日信息内容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现金差额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XXXX.XX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最小申购赎回单位资产净值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XXXX.XX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基金份额净值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X.XXXX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10"/>
            <w:shd w:val="clear" w:color="auto" w:fill="auto"/>
          </w:tcPr>
          <w:p>
            <w:pPr>
              <w:jc w:val="center"/>
              <w:rPr>
                <w:rFonts w:ascii="宋体" w:hAnsi="宋体" w:eastAsia="宋体" w:cs="宋体"/>
                <w:sz w:val="24"/>
                <w:szCs w:val="24"/>
              </w:rPr>
            </w:pPr>
            <w:r>
              <w:rPr>
                <w:rFonts w:hint="eastAsia" w:ascii="宋体" w:hAnsi="宋体" w:eastAsia="宋体"/>
              </w:rPr>
              <w:t xml:space="preserve">T日信息内容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预估现金差额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XXXX.XX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可以现金替代比例上限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是否需要公布IOPV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最小申购、赎回单位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XXXXXX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最小申购赎回单位现金红利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本市场申购赎回组合证券只数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全部申购赎回组合证券只数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是否开放申购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允许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是否开放赎回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允许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当天净申购的基金份额上限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不设上限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当天净赎回的基金份额上限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不设上限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单个证券账户当天净申购的基金份额上限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不设上限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单个证券账户当天净赎回的基金份额上限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不设上限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当天累计可申购的基金份额上限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不设上限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当天累计可赎回的基金份额上限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不设上限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单个证券账户当天累计可申购的基金份额上限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不设上限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单个证券账户当天累计可赎回的基金份额上限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不设上限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gridSpan w:val="10"/>
            <w:shd w:val="clear" w:color="auto" w:fill="auto"/>
          </w:tcPr>
          <w:p>
            <w:pPr>
              <w:jc w:val="center"/>
              <w:rPr>
                <w:rFonts w:ascii="宋体" w:hAnsi="宋体" w:eastAsia="宋体" w:cs="宋体"/>
                <w:sz w:val="24"/>
                <w:szCs w:val="24"/>
              </w:rPr>
            </w:pPr>
            <w:r>
              <w:rPr>
                <w:rFonts w:hint="eastAsia" w:ascii="宋体" w:hAnsi="宋体" w:eastAsia="宋体"/>
              </w:rPr>
              <w:t xml:space="preserve">组合信息内容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证券代码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证券简称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股份数量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现金替代标志 </w:t>
            </w:r>
          </w:p>
        </w:tc>
        <w:tc>
          <w:tcPr>
            <w:tcW w:w="0" w:type="auto"/>
            <w:gridSpan w:val="2"/>
            <w:shd w:val="clear" w:color="auto" w:fill="auto"/>
          </w:tcPr>
          <w:p>
            <w:pPr>
              <w:jc w:val="center"/>
              <w:rPr>
                <w:rFonts w:ascii="宋体" w:hAnsi="宋体" w:eastAsia="宋体" w:cs="宋体"/>
                <w:sz w:val="24"/>
                <w:szCs w:val="24"/>
              </w:rPr>
            </w:pPr>
            <w:r>
              <w:rPr>
                <w:rFonts w:hint="eastAsia" w:ascii="宋体" w:hAnsi="宋体" w:eastAsia="宋体"/>
              </w:rPr>
              <w:t xml:space="preserve">申购现金替代保证金率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赎回现金替代保证金率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申购替代金额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赎回替代金额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挂牌市场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p>
        </w:tc>
        <w:tc>
          <w:tcPr>
            <w:tcW w:w="0" w:type="auto"/>
            <w:gridSpan w:val="2"/>
            <w:shd w:val="clear" w:color="auto" w:fill="auto"/>
          </w:tcPr>
          <w:p>
            <w:pP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若深圳证券交易所或中国证券登记结算有限责任公司对申购赎回清单的格式进行调整，基金管理人将视情况对相关格式进行相应的调整，并依照《信息披露办法》的有关规定在规定媒介上公告。 </w:t>
      </w:r>
    </w:p>
    <w:p>
      <w:pPr>
        <w:pStyle w:val="7"/>
        <w:spacing w:before="0" w:beforeAutospacing="0" w:after="0" w:afterAutospacing="0" w:line="360" w:lineRule="auto"/>
        <w:ind w:firstLine="420"/>
        <w:rPr>
          <w:sz w:val="21"/>
          <w:szCs w:val="21"/>
        </w:rPr>
      </w:pPr>
      <w:r>
        <w:rPr>
          <w:rFonts w:hint="eastAsia"/>
          <w:sz w:val="21"/>
          <w:szCs w:val="21"/>
        </w:rPr>
        <w:t xml:space="preserve">（二）通过登记机构申购赎回 </w:t>
      </w:r>
    </w:p>
    <w:p>
      <w:pPr>
        <w:pStyle w:val="7"/>
        <w:spacing w:before="0" w:beforeAutospacing="0" w:after="0" w:afterAutospacing="0" w:line="360" w:lineRule="auto"/>
        <w:ind w:firstLine="420"/>
        <w:rPr>
          <w:sz w:val="21"/>
          <w:szCs w:val="21"/>
        </w:rPr>
      </w:pPr>
      <w:r>
        <w:rPr>
          <w:rFonts w:hint="eastAsia"/>
          <w:sz w:val="21"/>
          <w:szCs w:val="21"/>
        </w:rPr>
        <w:t xml:space="preserve">1、申购赎回清单的内容 </w:t>
      </w:r>
    </w:p>
    <w:p>
      <w:pPr>
        <w:pStyle w:val="7"/>
        <w:spacing w:before="0" w:beforeAutospacing="0" w:after="0" w:afterAutospacing="0" w:line="360" w:lineRule="auto"/>
        <w:ind w:firstLine="420"/>
        <w:rPr>
          <w:sz w:val="21"/>
          <w:szCs w:val="21"/>
        </w:rPr>
      </w:pPr>
      <w:r>
        <w:rPr>
          <w:rFonts w:hint="eastAsia"/>
          <w:sz w:val="21"/>
          <w:szCs w:val="21"/>
        </w:rPr>
        <w:t xml:space="preserve">T日申购赎回清单公告内容包括最小申购、赎回单位所对应的组合证券内各成份证券数据、现金替代、T日预估现金部分、T-1日的现金差额、基金份额净值及其他相关内容。 </w:t>
      </w:r>
    </w:p>
    <w:p>
      <w:pPr>
        <w:pStyle w:val="7"/>
        <w:spacing w:before="0" w:beforeAutospacing="0" w:after="0" w:afterAutospacing="0" w:line="360" w:lineRule="auto"/>
        <w:ind w:firstLine="420"/>
        <w:rPr>
          <w:sz w:val="21"/>
          <w:szCs w:val="21"/>
        </w:rPr>
      </w:pPr>
      <w:r>
        <w:rPr>
          <w:rFonts w:hint="eastAsia"/>
          <w:sz w:val="21"/>
          <w:szCs w:val="21"/>
        </w:rPr>
        <w:t xml:space="preserve">2、组合证券相关内容 </w:t>
      </w:r>
    </w:p>
    <w:p>
      <w:pPr>
        <w:pStyle w:val="7"/>
        <w:spacing w:before="0" w:beforeAutospacing="0" w:after="0" w:afterAutospacing="0" w:line="360" w:lineRule="auto"/>
        <w:ind w:firstLine="420"/>
        <w:rPr>
          <w:sz w:val="21"/>
          <w:szCs w:val="21"/>
        </w:rPr>
      </w:pPr>
      <w:r>
        <w:rPr>
          <w:rFonts w:hint="eastAsia"/>
          <w:sz w:val="21"/>
          <w:szCs w:val="21"/>
        </w:rPr>
        <w:t xml:space="preserve">组合证券是指本基金标的指数所包含的全部或部分证券。申购赎回清单将公告最小申购赎回单位所对应的各成份证券名称、证券代码及数量。 </w:t>
      </w:r>
    </w:p>
    <w:p>
      <w:pPr>
        <w:pStyle w:val="7"/>
        <w:spacing w:before="0" w:beforeAutospacing="0" w:after="0" w:afterAutospacing="0" w:line="360" w:lineRule="auto"/>
        <w:ind w:firstLine="420"/>
        <w:rPr>
          <w:sz w:val="21"/>
          <w:szCs w:val="21"/>
        </w:rPr>
      </w:pPr>
      <w:r>
        <w:rPr>
          <w:rFonts w:hint="eastAsia"/>
          <w:sz w:val="21"/>
          <w:szCs w:val="21"/>
        </w:rPr>
        <w:t xml:space="preserve">3、现金替代相关内容 </w:t>
      </w:r>
    </w:p>
    <w:p>
      <w:pPr>
        <w:pStyle w:val="7"/>
        <w:spacing w:before="0" w:beforeAutospacing="0" w:after="0" w:afterAutospacing="0" w:line="360" w:lineRule="auto"/>
        <w:ind w:firstLine="420"/>
        <w:rPr>
          <w:sz w:val="21"/>
          <w:szCs w:val="21"/>
        </w:rPr>
      </w:pPr>
      <w:r>
        <w:rPr>
          <w:rFonts w:hint="eastAsia"/>
          <w:sz w:val="21"/>
          <w:szCs w:val="21"/>
        </w:rPr>
        <w:t xml:space="preserve">现金替代是指申购、赎回过程中，投资人按基金合同和招募说明书规定的原则，用于替代组合证券中部分证券的一定数量的现金。 </w:t>
      </w:r>
    </w:p>
    <w:p>
      <w:pPr>
        <w:pStyle w:val="7"/>
        <w:spacing w:before="0" w:beforeAutospacing="0" w:after="0" w:afterAutospacing="0" w:line="360" w:lineRule="auto"/>
        <w:ind w:firstLine="420"/>
        <w:rPr>
          <w:sz w:val="21"/>
          <w:szCs w:val="21"/>
        </w:rPr>
      </w:pPr>
      <w:r>
        <w:rPr>
          <w:rFonts w:hint="eastAsia"/>
          <w:sz w:val="21"/>
          <w:szCs w:val="21"/>
        </w:rPr>
        <w:t xml:space="preserve">现金替代分为3种类型：禁止现金替代（标志为“禁止”）、可以现金替代（标志为“允许”）和必须现金替代（标志为“必须”）。 </w:t>
      </w:r>
    </w:p>
    <w:p>
      <w:pPr>
        <w:pStyle w:val="7"/>
        <w:spacing w:before="0" w:beforeAutospacing="0" w:after="0" w:afterAutospacing="0" w:line="360" w:lineRule="auto"/>
        <w:ind w:firstLine="420"/>
        <w:rPr>
          <w:sz w:val="21"/>
          <w:szCs w:val="21"/>
        </w:rPr>
      </w:pPr>
      <w:r>
        <w:rPr>
          <w:rFonts w:hint="eastAsia"/>
          <w:sz w:val="21"/>
          <w:szCs w:val="21"/>
        </w:rPr>
        <w:t xml:space="preserve">禁止现金替代，是指在申购、赎回基金份额时，该成份证券不允许使用现金作为替代。 </w:t>
      </w:r>
    </w:p>
    <w:p>
      <w:pPr>
        <w:pStyle w:val="7"/>
        <w:spacing w:before="0" w:beforeAutospacing="0" w:after="0" w:afterAutospacing="0" w:line="360" w:lineRule="auto"/>
        <w:ind w:firstLine="420"/>
        <w:rPr>
          <w:sz w:val="21"/>
          <w:szCs w:val="21"/>
        </w:rPr>
      </w:pPr>
      <w:r>
        <w:rPr>
          <w:rFonts w:hint="eastAsia"/>
          <w:sz w:val="21"/>
          <w:szCs w:val="21"/>
        </w:rPr>
        <w:t xml:space="preserve">可以现金替代是指在申购基金份额时，允许使用现金作为全部或部分该成份证券的替代，但在赎回基金份额时，该成份证券不允许使用现金作为替代。 </w:t>
      </w:r>
    </w:p>
    <w:p>
      <w:pPr>
        <w:pStyle w:val="7"/>
        <w:spacing w:before="0" w:beforeAutospacing="0" w:after="0" w:afterAutospacing="0" w:line="360" w:lineRule="auto"/>
        <w:ind w:firstLine="420"/>
        <w:rPr>
          <w:sz w:val="21"/>
          <w:szCs w:val="21"/>
        </w:rPr>
      </w:pPr>
      <w:r>
        <w:rPr>
          <w:rFonts w:hint="eastAsia"/>
          <w:sz w:val="21"/>
          <w:szCs w:val="21"/>
        </w:rPr>
        <w:t xml:space="preserve">必须现金替代适用于所有成份股，是指在申购、赎回基金份额时，该成份证券必须使用现金作为替代。 </w:t>
      </w:r>
    </w:p>
    <w:p>
      <w:pPr>
        <w:pStyle w:val="7"/>
        <w:spacing w:before="0" w:beforeAutospacing="0" w:after="0" w:afterAutospacing="0" w:line="360" w:lineRule="auto"/>
        <w:ind w:firstLine="420"/>
        <w:rPr>
          <w:sz w:val="21"/>
          <w:szCs w:val="21"/>
        </w:rPr>
      </w:pPr>
      <w:r>
        <w:rPr>
          <w:rFonts w:hint="eastAsia"/>
          <w:sz w:val="21"/>
          <w:szCs w:val="21"/>
        </w:rPr>
        <w:t xml:space="preserve">（1）关于可以现金替代 </w:t>
      </w:r>
    </w:p>
    <w:p>
      <w:pPr>
        <w:pStyle w:val="7"/>
        <w:spacing w:before="0" w:beforeAutospacing="0" w:after="0" w:afterAutospacing="0" w:line="360" w:lineRule="auto"/>
        <w:ind w:firstLine="420"/>
        <w:rPr>
          <w:sz w:val="21"/>
          <w:szCs w:val="21"/>
        </w:rPr>
      </w:pPr>
      <w:r>
        <w:rPr>
          <w:rFonts w:hint="eastAsia"/>
          <w:sz w:val="21"/>
          <w:szCs w:val="21"/>
        </w:rPr>
        <w:t xml:space="preserve">1）适用情形：出于证券停牌等原因导致投资人无法在申购时买入证券或基金管理人认为可以适用的其他情形。 </w:t>
      </w:r>
    </w:p>
    <w:p>
      <w:pPr>
        <w:pStyle w:val="7"/>
        <w:spacing w:before="0" w:beforeAutospacing="0" w:after="0" w:afterAutospacing="0" w:line="360" w:lineRule="auto"/>
        <w:ind w:firstLine="420"/>
        <w:rPr>
          <w:sz w:val="21"/>
          <w:szCs w:val="21"/>
        </w:rPr>
      </w:pPr>
      <w:r>
        <w:rPr>
          <w:rFonts w:hint="eastAsia"/>
          <w:sz w:val="21"/>
          <w:szCs w:val="21"/>
        </w:rPr>
        <w:t xml:space="preserve">2）替代金额：对于可以现金替代的证券，替代金额的计算公式为： </w:t>
      </w:r>
    </w:p>
    <w:p>
      <w:pPr>
        <w:pStyle w:val="7"/>
        <w:spacing w:before="0" w:beforeAutospacing="0" w:after="0" w:afterAutospacing="0" w:line="360" w:lineRule="auto"/>
        <w:ind w:firstLine="420"/>
        <w:rPr>
          <w:sz w:val="21"/>
          <w:szCs w:val="21"/>
        </w:rPr>
      </w:pPr>
      <w:r>
        <w:rPr>
          <w:rFonts w:hint="eastAsia"/>
          <w:sz w:val="21"/>
          <w:szCs w:val="21"/>
        </w:rPr>
        <w:t xml:space="preserve">替代金额＝替代证券数量×该证券经除权调整的T-1日收盘价×（1＋现金替代溢价比例） </w:t>
      </w:r>
    </w:p>
    <w:p>
      <w:pPr>
        <w:pStyle w:val="7"/>
        <w:spacing w:before="0" w:beforeAutospacing="0" w:after="0" w:afterAutospacing="0" w:line="360" w:lineRule="auto"/>
        <w:ind w:firstLine="420"/>
        <w:rPr>
          <w:sz w:val="21"/>
          <w:szCs w:val="21"/>
        </w:rPr>
      </w:pPr>
      <w:r>
        <w:rPr>
          <w:rFonts w:hint="eastAsia"/>
          <w:sz w:val="21"/>
          <w:szCs w:val="21"/>
        </w:rPr>
        <w:t xml:space="preserve">收取现金替代溢价的原因是，对于使用现金替代的证券，基金管理人需在该部分证券恢复交易后买入，而实际买入价格加上相关交易费用后与申购时的参考价格可能有所差异。为便于操作，基金管理人在申购赎回清单中预先确定现金替代溢价比例，并据此收取替代金额。如果预先收取的金额高于基金买入该部分证券的实际成本，则基金管理人将退还多收取的差额；如果预先收取的金额低于基金买入该部分证券的实际成本，则基金管理人将向投资人收取欠缺的差额。 </w:t>
      </w:r>
    </w:p>
    <w:p>
      <w:pPr>
        <w:pStyle w:val="7"/>
        <w:spacing w:before="0" w:beforeAutospacing="0" w:after="0" w:afterAutospacing="0" w:line="360" w:lineRule="auto"/>
        <w:ind w:firstLine="420"/>
        <w:rPr>
          <w:sz w:val="21"/>
          <w:szCs w:val="21"/>
        </w:rPr>
      </w:pPr>
      <w:r>
        <w:rPr>
          <w:rFonts w:hint="eastAsia"/>
          <w:sz w:val="21"/>
          <w:szCs w:val="21"/>
        </w:rPr>
        <w:t xml:space="preserve">3）替代金额的处理程序如下： </w:t>
      </w:r>
    </w:p>
    <w:p>
      <w:pPr>
        <w:pStyle w:val="7"/>
        <w:spacing w:before="0" w:beforeAutospacing="0" w:after="0" w:afterAutospacing="0" w:line="360" w:lineRule="auto"/>
        <w:ind w:firstLine="420"/>
        <w:rPr>
          <w:sz w:val="21"/>
          <w:szCs w:val="21"/>
        </w:rPr>
      </w:pPr>
      <w:r>
        <w:rPr>
          <w:rFonts w:hint="eastAsia"/>
          <w:sz w:val="21"/>
          <w:szCs w:val="21"/>
        </w:rPr>
        <w:t xml:space="preserve">T日，基金管理人在申购赎回清单中公布现金替代溢价比例，并据此在T+2日收取替代金额。在T+1日后被替代的成份证券有正常交易的2个交易日（简称为T+3日）内，基金管理人有权在T+2日至T+3日内任意时刻以收到的替代金额代投资者买入小于等于被替代证券数量的任意数量的被替代证券，实际买入被替代证券的价格可能处于T+3日内较高的位置或处于最高价格，基金管理人对此不承担责任。基金管理人有权根据基金投资的需要自主决定不买入部分被替代证券，或者不进行任何买入证券的操作，基金管理人可能不买入被替代证券的情形包括但不限于市场流动性不足、技术系统无法实现以及基金管理人认为不应买入的其他情形。 </w:t>
      </w:r>
    </w:p>
    <w:p>
      <w:pPr>
        <w:pStyle w:val="7"/>
        <w:spacing w:before="0" w:beforeAutospacing="0" w:after="0" w:afterAutospacing="0" w:line="360" w:lineRule="auto"/>
        <w:ind w:firstLine="420"/>
        <w:rPr>
          <w:sz w:val="21"/>
          <w:szCs w:val="21"/>
        </w:rPr>
      </w:pPr>
      <w:r>
        <w:rPr>
          <w:rFonts w:hint="eastAsia"/>
          <w:sz w:val="21"/>
          <w:szCs w:val="21"/>
        </w:rPr>
        <w:t xml:space="preserve">T＋3日日终，若基金管理人已购入全部被替代的证券，则以替代金额与被替代证券的实际买入成本（包括买入价格和交易费用）的差额，确定基金应退还投资人或投资人应补交的款项；若基金管理人未能购入全部被替代的证券，则以替代金额与所购入的部分被替代证券的实际买入成本加上按照T＋3日收盘价计算的未购入部分被替代证券价值的差额，确定基金应退还投资人或投资人应补交的款项。 </w:t>
      </w:r>
    </w:p>
    <w:p>
      <w:pPr>
        <w:pStyle w:val="7"/>
        <w:spacing w:before="0" w:beforeAutospacing="0" w:after="0" w:afterAutospacing="0" w:line="360" w:lineRule="auto"/>
        <w:ind w:firstLine="420"/>
        <w:rPr>
          <w:sz w:val="21"/>
          <w:szCs w:val="21"/>
        </w:rPr>
      </w:pPr>
      <w:r>
        <w:rPr>
          <w:rFonts w:hint="eastAsia"/>
          <w:sz w:val="21"/>
          <w:szCs w:val="21"/>
        </w:rPr>
        <w:t xml:space="preserve">特殊情况：若自T+1日起，深圳证券交易所正常交易日已达20日而该部分证券的正常交易日低于2日，且该部分证券最近交易日后未发生影响公允价值计量的重大事件的，则以替代金额与所购入的部分被替代证券的实际购入成本加上按照最近一次收盘价计算的未购入的部分被替代证券价值的差额，确定基金应退还投资人或投资人应补交的款项。 </w:t>
      </w:r>
    </w:p>
    <w:p>
      <w:pPr>
        <w:pStyle w:val="7"/>
        <w:spacing w:before="0" w:beforeAutospacing="0" w:after="0" w:afterAutospacing="0" w:line="360" w:lineRule="auto"/>
        <w:ind w:firstLine="420"/>
        <w:rPr>
          <w:sz w:val="21"/>
          <w:szCs w:val="21"/>
        </w:rPr>
      </w:pPr>
      <w:r>
        <w:rPr>
          <w:rFonts w:hint="eastAsia"/>
          <w:sz w:val="21"/>
          <w:szCs w:val="21"/>
        </w:rPr>
        <w:t xml:space="preserve">如遇证券长期停牌、流动性不足等可能导致收盘价或最后成交价不公允的特殊情况，可参照证券的估值价格，对结算价格进行调整，如果基金管理人认为该证券复牌后的价格可能存在较大波动，且可能对基金资产净值产生较大影响，为了更好的维护持有人利益，该证券对应的现金替代款的清算交收可在其复牌后按照实际交易成本办理。在此期间若该证券发生除息、送股（转增）、配股等重要权益变动，则进行相应调整。 </w:t>
      </w:r>
    </w:p>
    <w:p>
      <w:pPr>
        <w:pStyle w:val="7"/>
        <w:spacing w:before="0" w:beforeAutospacing="0" w:after="0" w:afterAutospacing="0" w:line="360" w:lineRule="auto"/>
        <w:ind w:firstLine="420"/>
        <w:rPr>
          <w:sz w:val="21"/>
          <w:szCs w:val="21"/>
        </w:rPr>
      </w:pPr>
      <w:r>
        <w:rPr>
          <w:rFonts w:hint="eastAsia"/>
          <w:sz w:val="21"/>
          <w:szCs w:val="21"/>
        </w:rPr>
        <w:t xml:space="preserve">T＋3日后的第1个工作日（在特殊情况下则为确定基金应退还投资人或投资人应补交的款项后的第1个市场交易日），基金管理人将应退款和应补款的明细及汇总数据通过登记机构发送给相关申购赎回代理券商和基金托管人，相关款项的清算交收，将于此后3个工作日内完成，登记机构对此提供代收代付服务。 </w:t>
      </w:r>
    </w:p>
    <w:p>
      <w:pPr>
        <w:pStyle w:val="7"/>
        <w:spacing w:before="0" w:beforeAutospacing="0" w:after="0" w:afterAutospacing="0" w:line="360" w:lineRule="auto"/>
        <w:ind w:firstLine="420"/>
        <w:rPr>
          <w:sz w:val="21"/>
          <w:szCs w:val="21"/>
        </w:rPr>
      </w:pPr>
      <w:r>
        <w:rPr>
          <w:rFonts w:hint="eastAsia"/>
          <w:sz w:val="21"/>
          <w:szCs w:val="21"/>
        </w:rPr>
        <w:t xml:space="preserve">4）替代限制：为有效控制基金的跟踪偏离度和跟踪误差，基金管理人可规定投资人使用可以现金替代的比例合计不得超过申购基金份额资产净值的一定比例。现金替代比例的计算公式为： </w:t>
      </w:r>
    </w:p>
    <w:p>
      <w:pPr>
        <w:pStyle w:val="7"/>
        <w:spacing w:before="0" w:beforeAutospacing="0" w:after="0" w:afterAutospacing="0" w:line="360" w:lineRule="auto"/>
        <w:ind w:firstLine="420"/>
        <w:rPr>
          <w:sz w:val="21"/>
          <w:szCs w:val="21"/>
        </w:rPr>
      </w:pPr>
      <w:r>
        <w:rPr>
          <w:rFonts w:hint="eastAsia"/>
          <w:sz w:val="21"/>
          <w:szCs w:val="21"/>
        </w:rPr>
        <w:t>现金替代比例（%）=</w:t>
      </w:r>
      <w:r>
        <w:rPr>
          <w:rFonts w:hint="eastAsia"/>
          <w:sz w:val="21"/>
          <w:szCs w:val="21"/>
        </w:rPr>
        <w:drawing>
          <wp:inline distT="0" distB="0" distL="0" distR="0">
            <wp:extent cx="4181475" cy="62865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9"/>
                    <a:stretch>
                      <a:fillRect/>
                    </a:stretch>
                  </pic:blipFill>
                  <pic:spPr>
                    <a:xfrm>
                      <a:off x="0" y="0"/>
                      <a:ext cx="4182059" cy="628738"/>
                    </a:xfrm>
                    <a:prstGeom prst="rect">
                      <a:avLst/>
                    </a:prstGeom>
                  </pic:spPr>
                </pic:pic>
              </a:graphicData>
            </a:graphic>
          </wp:inline>
        </w:drawing>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（2）关于必须现金替代 </w:t>
      </w:r>
    </w:p>
    <w:p>
      <w:pPr>
        <w:pStyle w:val="7"/>
        <w:spacing w:before="0" w:beforeAutospacing="0" w:after="0" w:afterAutospacing="0" w:line="360" w:lineRule="auto"/>
        <w:ind w:firstLine="420"/>
        <w:rPr>
          <w:sz w:val="21"/>
          <w:szCs w:val="21"/>
        </w:rPr>
      </w:pPr>
      <w:r>
        <w:rPr>
          <w:rFonts w:hint="eastAsia"/>
          <w:sz w:val="21"/>
          <w:szCs w:val="21"/>
        </w:rPr>
        <w:t xml:space="preserve">1）适用情形：必须现金替代的证券一般是由于标的指数调整将被剔除的成份证券以及处于停牌的股票，或出于保护基金持有人利益等目的基金管理人认为有必要实行必须现金替代的成份证券。 </w:t>
      </w:r>
    </w:p>
    <w:p>
      <w:pPr>
        <w:pStyle w:val="7"/>
        <w:spacing w:before="0" w:beforeAutospacing="0" w:after="0" w:afterAutospacing="0" w:line="360" w:lineRule="auto"/>
        <w:ind w:firstLine="420"/>
        <w:rPr>
          <w:sz w:val="21"/>
          <w:szCs w:val="21"/>
        </w:rPr>
      </w:pPr>
      <w:r>
        <w:rPr>
          <w:rFonts w:hint="eastAsia"/>
          <w:sz w:val="21"/>
          <w:szCs w:val="21"/>
        </w:rPr>
        <w:t xml:space="preserve">2）替代金额：对于必须现金替代的证券，基金管理人将在申购赎回清单中公告替代的一定数量的现金，即“固定替代金额”。固定替代金额的计算方法为申购赎回清单中该证券的数量乘以其T日预估开盘价。 </w:t>
      </w:r>
    </w:p>
    <w:p>
      <w:pPr>
        <w:pStyle w:val="7"/>
        <w:spacing w:before="0" w:beforeAutospacing="0" w:after="0" w:afterAutospacing="0" w:line="360" w:lineRule="auto"/>
        <w:ind w:firstLine="420"/>
        <w:rPr>
          <w:sz w:val="21"/>
          <w:szCs w:val="21"/>
        </w:rPr>
      </w:pPr>
      <w:r>
        <w:rPr>
          <w:rFonts w:hint="eastAsia"/>
          <w:sz w:val="21"/>
          <w:szCs w:val="21"/>
        </w:rPr>
        <w:t xml:space="preserve">4、预估现金部分相关内容 </w:t>
      </w:r>
    </w:p>
    <w:p>
      <w:pPr>
        <w:pStyle w:val="7"/>
        <w:spacing w:before="0" w:beforeAutospacing="0" w:after="0" w:afterAutospacing="0" w:line="360" w:lineRule="auto"/>
        <w:ind w:firstLine="420"/>
        <w:rPr>
          <w:sz w:val="21"/>
          <w:szCs w:val="21"/>
        </w:rPr>
      </w:pPr>
      <w:r>
        <w:rPr>
          <w:rFonts w:hint="eastAsia"/>
          <w:sz w:val="21"/>
          <w:szCs w:val="21"/>
        </w:rPr>
        <w:t xml:space="preserve">预估现金部分是指，为便于计算基金份额参考净值，申购赎回代理券商预先冻结申请申购、赎回的投资人的相应资金，由基金管理人计算的现金数额。 </w:t>
      </w:r>
    </w:p>
    <w:p>
      <w:pPr>
        <w:pStyle w:val="7"/>
        <w:spacing w:before="0" w:beforeAutospacing="0" w:after="0" w:afterAutospacing="0" w:line="360" w:lineRule="auto"/>
        <w:ind w:firstLine="420"/>
        <w:rPr>
          <w:sz w:val="21"/>
          <w:szCs w:val="21"/>
        </w:rPr>
      </w:pPr>
      <w:r>
        <w:rPr>
          <w:rFonts w:hint="eastAsia"/>
          <w:sz w:val="21"/>
          <w:szCs w:val="21"/>
        </w:rPr>
        <w:t xml:space="preserve">T日申购赎回清单中公告T日预估现金部分，其计算公式为： </w:t>
      </w:r>
    </w:p>
    <w:p>
      <w:pPr>
        <w:pStyle w:val="7"/>
        <w:spacing w:before="0" w:beforeAutospacing="0" w:after="0" w:afterAutospacing="0" w:line="360" w:lineRule="auto"/>
        <w:ind w:firstLine="420"/>
        <w:rPr>
          <w:sz w:val="21"/>
          <w:szCs w:val="21"/>
        </w:rPr>
      </w:pPr>
      <w:r>
        <w:rPr>
          <w:rFonts w:hint="eastAsia"/>
          <w:sz w:val="21"/>
          <w:szCs w:val="21"/>
        </w:rPr>
        <w:t xml:space="preserve">T日预估现金部分＝T—1日最小申购赎回单位的基金资产净值－（申购赎回清单中必须用现金替代的固定替代金额总额＋申购赎回清单中可以用现金替代成份证券的数量与该证券调整后T日开盘参考价相乘之和＋申购赎回清单中禁止用现金替代的所有成份证券的数量与该证券调整后T日开盘参考价乘积之和） </w:t>
      </w:r>
    </w:p>
    <w:p>
      <w:pPr>
        <w:pStyle w:val="7"/>
        <w:spacing w:before="0" w:beforeAutospacing="0" w:after="0" w:afterAutospacing="0" w:line="360" w:lineRule="auto"/>
        <w:ind w:firstLine="420"/>
        <w:rPr>
          <w:sz w:val="21"/>
          <w:szCs w:val="21"/>
        </w:rPr>
      </w:pPr>
      <w:r>
        <w:rPr>
          <w:rFonts w:hint="eastAsia"/>
          <w:sz w:val="21"/>
          <w:szCs w:val="21"/>
        </w:rPr>
        <w:t xml:space="preserve">其中，该证券调整后T日开盘参考价主要根据深圳证券信息有限公司提供的标的指数成份证券的调整后开盘参考价确定。另外，若T日为基金分红除息日，则计算公式中的“T－1日最小申购赎回单位的基金资产净值”需要扣减相应的收益分配数额。 </w:t>
      </w:r>
    </w:p>
    <w:p>
      <w:pPr>
        <w:pStyle w:val="7"/>
        <w:spacing w:before="0" w:beforeAutospacing="0" w:after="0" w:afterAutospacing="0" w:line="360" w:lineRule="auto"/>
        <w:ind w:firstLine="420"/>
        <w:rPr>
          <w:sz w:val="21"/>
          <w:szCs w:val="21"/>
        </w:rPr>
      </w:pPr>
      <w:r>
        <w:rPr>
          <w:rFonts w:hint="eastAsia"/>
          <w:sz w:val="21"/>
          <w:szCs w:val="21"/>
        </w:rPr>
        <w:t xml:space="preserve">预估现金部分的数值可能为正、为负或为零。 </w:t>
      </w:r>
    </w:p>
    <w:p>
      <w:pPr>
        <w:pStyle w:val="7"/>
        <w:spacing w:before="0" w:beforeAutospacing="0" w:after="0" w:afterAutospacing="0" w:line="360" w:lineRule="auto"/>
        <w:ind w:firstLine="420"/>
        <w:rPr>
          <w:sz w:val="21"/>
          <w:szCs w:val="21"/>
        </w:rPr>
      </w:pPr>
      <w:r>
        <w:rPr>
          <w:rFonts w:hint="eastAsia"/>
          <w:sz w:val="21"/>
          <w:szCs w:val="21"/>
        </w:rPr>
        <w:t xml:space="preserve">5、现金差额相关内容 </w:t>
      </w:r>
    </w:p>
    <w:p>
      <w:pPr>
        <w:pStyle w:val="7"/>
        <w:spacing w:before="0" w:beforeAutospacing="0" w:after="0" w:afterAutospacing="0" w:line="360" w:lineRule="auto"/>
        <w:ind w:firstLine="420"/>
        <w:rPr>
          <w:sz w:val="21"/>
          <w:szCs w:val="21"/>
        </w:rPr>
      </w:pPr>
      <w:r>
        <w:rPr>
          <w:rFonts w:hint="eastAsia"/>
          <w:sz w:val="21"/>
          <w:szCs w:val="21"/>
        </w:rPr>
        <w:t xml:space="preserve">T日现金差额在T＋1日的申购赎回清单中公告，其计算公式为： </w:t>
      </w:r>
    </w:p>
    <w:p>
      <w:pPr>
        <w:pStyle w:val="7"/>
        <w:spacing w:before="0" w:beforeAutospacing="0" w:after="0" w:afterAutospacing="0" w:line="360" w:lineRule="auto"/>
        <w:ind w:firstLine="420"/>
        <w:rPr>
          <w:sz w:val="21"/>
          <w:szCs w:val="21"/>
        </w:rPr>
      </w:pPr>
      <w:r>
        <w:rPr>
          <w:rFonts w:hint="eastAsia"/>
          <w:sz w:val="21"/>
          <w:szCs w:val="21"/>
        </w:rPr>
        <w:t xml:space="preserve">T日现金差额＝T日最小申购赎回单位的基金资产净值－（申购赎回清单中必须用现金替代的固定替代金额总额＋申购赎回清单中可以用现金替代的所有成份证券的数量与其T日收盘价乘积之和＋申购赎回清单中禁止用现金替代的所有成份证券的数量与其T日收盘价乘积之和） </w:t>
      </w:r>
    </w:p>
    <w:p>
      <w:pPr>
        <w:pStyle w:val="7"/>
        <w:spacing w:before="0" w:beforeAutospacing="0" w:after="0" w:afterAutospacing="0" w:line="360" w:lineRule="auto"/>
        <w:ind w:firstLine="420"/>
        <w:rPr>
          <w:sz w:val="21"/>
          <w:szCs w:val="21"/>
        </w:rPr>
      </w:pPr>
      <w:r>
        <w:rPr>
          <w:rFonts w:hint="eastAsia"/>
          <w:sz w:val="21"/>
          <w:szCs w:val="21"/>
        </w:rPr>
        <w:t xml:space="preserve">T日投资人申购、赎回基金份额时，需按T＋1日公告的T日现金差额进行资金的清算交收。现金差额的数值可能为正、为负或为零。在投资人申购时，如现金差额为正数，则投资人应根据其申购的基金份额支付相应的现金，如现金差额为负数，则投资人将根据其申购的基金份额获得相应的现金；在投资人赎回时，如现金差额为正数，则投资人将根据其赎回的基金份额获得相应的现金，如现金差额为负数，则投资人应根据其赎回的基金份额支付相应的现金。 </w:t>
      </w:r>
    </w:p>
    <w:p>
      <w:pPr>
        <w:pStyle w:val="7"/>
        <w:spacing w:before="0" w:beforeAutospacing="0" w:after="0" w:afterAutospacing="0" w:line="360" w:lineRule="auto"/>
        <w:ind w:firstLine="420"/>
        <w:rPr>
          <w:sz w:val="21"/>
          <w:szCs w:val="21"/>
        </w:rPr>
      </w:pPr>
      <w:r>
        <w:rPr>
          <w:rFonts w:hint="eastAsia"/>
          <w:sz w:val="21"/>
          <w:szCs w:val="21"/>
        </w:rPr>
        <w:t xml:space="preserve">6、申购赎回清单的格式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1"/>
        <w:gridCol w:w="731"/>
        <w:gridCol w:w="731"/>
        <w:gridCol w:w="935"/>
        <w:gridCol w:w="671"/>
        <w:gridCol w:w="671"/>
        <w:gridCol w:w="1377"/>
        <w:gridCol w:w="959"/>
        <w:gridCol w:w="959"/>
        <w:gridCol w:w="7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10"/>
            <w:shd w:val="clear" w:color="auto" w:fill="auto"/>
          </w:tcPr>
          <w:p>
            <w:pPr>
              <w:jc w:val="center"/>
              <w:rPr>
                <w:rFonts w:ascii="宋体" w:hAnsi="宋体" w:eastAsia="宋体" w:cs="宋体"/>
                <w:sz w:val="24"/>
                <w:szCs w:val="24"/>
              </w:rPr>
            </w:pPr>
            <w:r>
              <w:rPr>
                <w:rFonts w:hint="eastAsia" w:ascii="宋体" w:hAnsi="宋体" w:eastAsia="宋体"/>
              </w:rPr>
              <w:t xml:space="preserve">基本信息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最新公告日期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202X 年 月 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基金名称 </w:t>
            </w:r>
          </w:p>
        </w:tc>
        <w:tc>
          <w:tcPr>
            <w:tcW w:w="0" w:type="auto"/>
            <w:gridSpan w:val="5"/>
            <w:shd w:val="clear" w:color="auto" w:fill="auto"/>
          </w:tcPr>
          <w:p>
            <w:pPr>
              <w:jc w:val="center"/>
              <w:rPr>
                <w:rFonts w:ascii="宋体" w:hAnsi="宋体" w:eastAsia="宋体" w:cs="宋体"/>
                <w:sz w:val="24"/>
                <w:szCs w:val="24"/>
              </w:rPr>
            </w:pPr>
            <w:bookmarkStart w:id="103" w:name="field_0_productfullname_14"/>
            <w:r>
              <w:rPr>
                <w:rFonts w:hint="eastAsia" w:ascii="宋体" w:hAnsi="宋体" w:eastAsia="宋体"/>
              </w:rPr>
              <w:t>博时国证大盘成长交易型开放式指数证券投资基金</w:t>
            </w:r>
            <w:bookmarkEnd w:id="103"/>
            <w:r>
              <w:rPr>
                <w:rFonts w:hint="eastAsia" w:ascii="宋体" w:hAnsi="宋体" w:eastAsia="宋体"/>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基金管理公司名称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博时基金管理有限公司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基金代码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XXXXXX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目标指数代码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399372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基金类型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跨市场ETF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10"/>
            <w:shd w:val="clear" w:color="auto" w:fill="auto"/>
          </w:tcPr>
          <w:p>
            <w:pPr>
              <w:jc w:val="center"/>
              <w:rPr>
                <w:rFonts w:ascii="宋体" w:hAnsi="宋体" w:eastAsia="宋体" w:cs="宋体"/>
                <w:sz w:val="24"/>
                <w:szCs w:val="24"/>
              </w:rPr>
            </w:pPr>
            <w:r>
              <w:rPr>
                <w:rFonts w:hint="eastAsia" w:ascii="宋体" w:hAnsi="宋体" w:eastAsia="宋体"/>
              </w:rPr>
              <w:t xml:space="preserve">T－1日信息内容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现金差额（单位：元）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XXXX.XX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最小申购赎回单位资产净值（单位：元）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XXXX.XX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基金份额净值（单位：元）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X.XXXX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10"/>
            <w:shd w:val="clear" w:color="auto" w:fill="auto"/>
          </w:tcPr>
          <w:p>
            <w:pPr>
              <w:jc w:val="center"/>
              <w:rPr>
                <w:rFonts w:ascii="宋体" w:hAnsi="宋体" w:eastAsia="宋体" w:cs="宋体"/>
                <w:sz w:val="24"/>
                <w:szCs w:val="24"/>
              </w:rPr>
            </w:pPr>
            <w:r>
              <w:rPr>
                <w:rFonts w:hint="eastAsia" w:ascii="宋体" w:hAnsi="宋体" w:eastAsia="宋体"/>
              </w:rPr>
              <w:t xml:space="preserve">T日信息内容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预估现金差额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XXXX.XX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可以现金替代比例上限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是否需要公布IOPV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最小申购赎回单位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最小申购赎回单位现金红利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本市场申购赎回组合证券只数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全部申购赎回组合证券只数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是否开放申购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允许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是否开放赎回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允许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当天净申购的基金份额上限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不设上限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当天净赎回的基金份额上限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不设上限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单个证券账户当天净申购的基金份额上限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不设上限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单个证券账户当天净赎回的基金份额上限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不设上限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当天累计可申购的基金份额上限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不设上限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当天累计可赎回的基金份额上限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不设上限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单个证券账户当天累计可申购的基金份额上限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不设上限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单个证券账户当天累计可赎回的基金份额上限 </w:t>
            </w:r>
          </w:p>
        </w:tc>
        <w:tc>
          <w:tcPr>
            <w:tcW w:w="0" w:type="auto"/>
            <w:gridSpan w:val="5"/>
            <w:shd w:val="clear" w:color="auto" w:fill="auto"/>
          </w:tcPr>
          <w:p>
            <w:pPr>
              <w:jc w:val="center"/>
              <w:rPr>
                <w:rFonts w:ascii="宋体" w:hAnsi="宋体" w:eastAsia="宋体" w:cs="宋体"/>
                <w:sz w:val="24"/>
                <w:szCs w:val="24"/>
              </w:rPr>
            </w:pPr>
            <w:r>
              <w:rPr>
                <w:rFonts w:hint="eastAsia" w:ascii="宋体" w:hAnsi="宋体" w:eastAsia="宋体"/>
              </w:rPr>
              <w:t xml:space="preserve">不设上限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10"/>
            <w:shd w:val="clear" w:color="auto" w:fill="auto"/>
          </w:tcPr>
          <w:p>
            <w:pPr>
              <w:jc w:val="center"/>
              <w:rPr>
                <w:rFonts w:ascii="宋体" w:hAnsi="宋体" w:eastAsia="宋体" w:cs="宋体"/>
                <w:sz w:val="24"/>
                <w:szCs w:val="24"/>
              </w:rPr>
            </w:pPr>
            <w:r>
              <w:rPr>
                <w:rFonts w:hint="eastAsia" w:ascii="宋体" w:hAnsi="宋体" w:eastAsia="宋体"/>
              </w:rPr>
              <w:t xml:space="preserve">组合信息内容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证券代码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证券简称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股份数量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现金替代标志 </w:t>
            </w:r>
          </w:p>
        </w:tc>
        <w:tc>
          <w:tcPr>
            <w:tcW w:w="0" w:type="auto"/>
            <w:gridSpan w:val="2"/>
            <w:shd w:val="clear" w:color="auto" w:fill="auto"/>
          </w:tcPr>
          <w:p>
            <w:pPr>
              <w:jc w:val="center"/>
              <w:rPr>
                <w:rFonts w:ascii="宋体" w:hAnsi="宋体" w:eastAsia="宋体" w:cs="宋体"/>
                <w:sz w:val="24"/>
                <w:szCs w:val="24"/>
              </w:rPr>
            </w:pPr>
            <w:r>
              <w:rPr>
                <w:rFonts w:hint="eastAsia" w:ascii="宋体" w:hAnsi="宋体" w:eastAsia="宋体"/>
              </w:rPr>
              <w:t xml:space="preserve">申购现金替代保证金率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赎回现金替代保证金率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申购替代金额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赎回替代金额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挂牌市场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jc w:val="center"/>
              <w:rPr>
                <w:rFonts w:ascii="宋体" w:hAnsi="宋体" w:eastAsia="宋体" w:cs="宋体"/>
                <w:sz w:val="24"/>
                <w:szCs w:val="24"/>
              </w:rPr>
            </w:pPr>
          </w:p>
        </w:tc>
        <w:tc>
          <w:tcPr>
            <w:tcW w:w="0" w:type="auto"/>
            <w:gridSpan w:val="2"/>
            <w:shd w:val="clear" w:color="auto" w:fill="auto"/>
          </w:tcPr>
          <w:p>
            <w:pPr>
              <w:jc w:val="center"/>
              <w:rPr>
                <w:rFonts w:ascii="宋体" w:hAnsi="宋体" w:eastAsia="宋体" w:cs="宋体"/>
                <w:sz w:val="24"/>
                <w:szCs w:val="24"/>
              </w:rPr>
            </w:pPr>
          </w:p>
        </w:tc>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jc w:val="cente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若深圳证券交易所或中国证券登记结算有限责任公司对申购赎回清单的格式进行调整，基金管理人将视情况对相关格式进行相应的调整，并依照《信息披露办法》的有关规定在规定媒介上公告。 </w:t>
      </w:r>
    </w:p>
    <w:p>
      <w:pPr>
        <w:pStyle w:val="7"/>
        <w:spacing w:before="0" w:beforeAutospacing="0" w:after="0" w:afterAutospacing="0" w:line="360" w:lineRule="auto"/>
        <w:ind w:firstLine="420"/>
        <w:rPr>
          <w:sz w:val="21"/>
          <w:szCs w:val="21"/>
        </w:rPr>
      </w:pPr>
      <w:r>
        <w:rPr>
          <w:rStyle w:val="11"/>
          <w:rFonts w:hint="eastAsia"/>
          <w:sz w:val="21"/>
          <w:szCs w:val="21"/>
        </w:rPr>
        <w:t>八、拒绝或暂停申购的情形及处理方式</w:t>
      </w:r>
    </w:p>
    <w:p>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1、因不可抗力导致基金无法正常运作、基金管理人无法受理或办理基金份额持有人的申购申请； </w:t>
      </w:r>
    </w:p>
    <w:p>
      <w:pPr>
        <w:pStyle w:val="7"/>
        <w:spacing w:before="0" w:beforeAutospacing="0" w:after="0" w:afterAutospacing="0" w:line="360" w:lineRule="auto"/>
        <w:ind w:firstLine="420"/>
        <w:rPr>
          <w:sz w:val="21"/>
          <w:szCs w:val="21"/>
        </w:rPr>
      </w:pPr>
      <w:r>
        <w:rPr>
          <w:rFonts w:hint="eastAsia"/>
          <w:sz w:val="21"/>
          <w:szCs w:val="21"/>
        </w:rPr>
        <w:t xml:space="preserve">2、证券/期货交易所交易时间非正常停市，导致基金管理人无法计算当日基金资产净值或无法进行证券交易； </w:t>
      </w:r>
    </w:p>
    <w:p>
      <w:pPr>
        <w:pStyle w:val="7"/>
        <w:spacing w:before="0" w:beforeAutospacing="0" w:after="0" w:afterAutospacing="0" w:line="360" w:lineRule="auto"/>
        <w:ind w:firstLine="420"/>
        <w:rPr>
          <w:sz w:val="21"/>
          <w:szCs w:val="21"/>
        </w:rPr>
      </w:pPr>
      <w:r>
        <w:rPr>
          <w:rFonts w:hint="eastAsia"/>
          <w:sz w:val="21"/>
          <w:szCs w:val="21"/>
        </w:rPr>
        <w:t xml:space="preserve">3、发生基金合同规定的暂停基金资产估值情况时； </w:t>
      </w:r>
    </w:p>
    <w:p>
      <w:pPr>
        <w:pStyle w:val="7"/>
        <w:spacing w:before="0" w:beforeAutospacing="0" w:after="0" w:afterAutospacing="0" w:line="360" w:lineRule="auto"/>
        <w:ind w:firstLine="420"/>
        <w:rPr>
          <w:sz w:val="21"/>
          <w:szCs w:val="21"/>
        </w:rPr>
      </w:pPr>
      <w:r>
        <w:rPr>
          <w:rFonts w:hint="eastAsia"/>
          <w:sz w:val="21"/>
          <w:szCs w:val="21"/>
        </w:rPr>
        <w:t xml:space="preserve">4、基金管理人开市前因异常情况无法公布申购赎回清单、基金份额净值或者IOPV计算错误、申购赎回清单编制错误； </w:t>
      </w:r>
    </w:p>
    <w:p>
      <w:pPr>
        <w:pStyle w:val="7"/>
        <w:spacing w:before="0" w:beforeAutospacing="0" w:after="0" w:afterAutospacing="0" w:line="360" w:lineRule="auto"/>
        <w:ind w:firstLine="420"/>
        <w:rPr>
          <w:sz w:val="21"/>
          <w:szCs w:val="21"/>
        </w:rPr>
      </w:pPr>
      <w:r>
        <w:rPr>
          <w:rFonts w:hint="eastAsia"/>
          <w:sz w:val="21"/>
          <w:szCs w:val="21"/>
        </w:rPr>
        <w:t xml:space="preserve">5、接受某笔或某些申购申请可能会影响或损害现有基金份额持有人利益时； </w:t>
      </w:r>
    </w:p>
    <w:p>
      <w:pPr>
        <w:pStyle w:val="7"/>
        <w:spacing w:before="0" w:beforeAutospacing="0" w:after="0" w:afterAutospacing="0" w:line="360" w:lineRule="auto"/>
        <w:ind w:firstLine="420"/>
        <w:rPr>
          <w:sz w:val="21"/>
          <w:szCs w:val="21"/>
        </w:rPr>
      </w:pPr>
      <w:r>
        <w:rPr>
          <w:rFonts w:hint="eastAsia"/>
          <w:sz w:val="21"/>
          <w:szCs w:val="21"/>
        </w:rPr>
        <w:t xml:space="preserve">6、相关证券/期货交易所、申购赎回代理券商、登记机构等因异常情况无法办理申购；或者指数编制单位、相关证券/期货交易所等因异常情况使申购赎回清单无法编制或编制不当。上述异常情况指基金管理人无法预见并不可控制的情形，包括但不限于系统故障、网络故障、通讯故障、电力故障、数据错误等； </w:t>
      </w:r>
    </w:p>
    <w:p>
      <w:pPr>
        <w:pStyle w:val="7"/>
        <w:spacing w:before="0" w:beforeAutospacing="0" w:after="0" w:afterAutospacing="0" w:line="360" w:lineRule="auto"/>
        <w:ind w:firstLine="420"/>
        <w:rPr>
          <w:sz w:val="21"/>
          <w:szCs w:val="21"/>
        </w:rPr>
      </w:pPr>
      <w:r>
        <w:rPr>
          <w:rFonts w:hint="eastAsia"/>
          <w:sz w:val="21"/>
          <w:szCs w:val="21"/>
        </w:rPr>
        <w:t xml:space="preserve">7、申请超过基金管理人设定的基金总规模、单日净申购比例上限、单一投资者单日或单笔申购份额上限的； </w:t>
      </w:r>
    </w:p>
    <w:p>
      <w:pPr>
        <w:pStyle w:val="7"/>
        <w:spacing w:before="0" w:beforeAutospacing="0" w:after="0" w:afterAutospacing="0" w:line="360" w:lineRule="auto"/>
        <w:ind w:firstLine="420"/>
        <w:rPr>
          <w:sz w:val="21"/>
          <w:szCs w:val="21"/>
        </w:rPr>
      </w:pPr>
      <w:r>
        <w:rPr>
          <w:rFonts w:hint="eastAsia"/>
          <w:sz w:val="21"/>
          <w:szCs w:val="21"/>
        </w:rPr>
        <w:t xml:space="preserve">8、当前一估值日基金资产净值50%以上的资产出现无可参考的活跃市场价格且采用估值技术仍导致公允价值存在重大不确定性时，经与基金托管人协商确认后，基金管理人应当暂停接受基金申购申请； </w:t>
      </w:r>
    </w:p>
    <w:p>
      <w:pPr>
        <w:pStyle w:val="7"/>
        <w:spacing w:before="0" w:beforeAutospacing="0" w:after="0" w:afterAutospacing="0" w:line="360" w:lineRule="auto"/>
        <w:ind w:firstLine="420"/>
        <w:rPr>
          <w:sz w:val="21"/>
          <w:szCs w:val="21"/>
        </w:rPr>
      </w:pPr>
      <w:r>
        <w:rPr>
          <w:rFonts w:hint="eastAsia"/>
          <w:sz w:val="21"/>
          <w:szCs w:val="21"/>
        </w:rPr>
        <w:t xml:space="preserve">9、基金资产规模过大，使基金管理人无法找到合适的投资品种，或其他可能对基金业绩产生负面影响，或发生其他损害现有基金份额持有人利益的情形；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10、法律法规、深圳证券交易所规定或中国证监会认定的其他情形。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第1、2、3、4、6、8、9、10项暂停申购情形之一且基金管理人决定暂停接受投资人申购申请时，基金管理人应当根据有关规定在规定媒介上刊登暂停申购公告。如果投资人的申购申请全部或部分被拒绝，被拒绝的申购对价将退还给投资人。在暂停申购的情况消除时，基金管理人应及时恢复申购业务的办理。 </w:t>
      </w:r>
    </w:p>
    <w:p>
      <w:pPr>
        <w:pStyle w:val="7"/>
        <w:spacing w:before="0" w:beforeAutospacing="0" w:after="0" w:afterAutospacing="0" w:line="360" w:lineRule="auto"/>
        <w:ind w:firstLine="420"/>
        <w:rPr>
          <w:sz w:val="21"/>
          <w:szCs w:val="21"/>
        </w:rPr>
      </w:pPr>
      <w:r>
        <w:rPr>
          <w:rFonts w:hint="eastAsia"/>
          <w:sz w:val="21"/>
          <w:szCs w:val="21"/>
        </w:rPr>
        <w:t xml:space="preserve">在发生暂停申购或赎回的情形之一时，本基金的申购和赎回可能同时暂停。 </w:t>
      </w:r>
    </w:p>
    <w:p>
      <w:pPr>
        <w:pStyle w:val="7"/>
        <w:spacing w:before="0" w:beforeAutospacing="0" w:after="0" w:afterAutospacing="0" w:line="360" w:lineRule="auto"/>
        <w:ind w:firstLine="420"/>
        <w:rPr>
          <w:sz w:val="21"/>
          <w:szCs w:val="21"/>
        </w:rPr>
      </w:pPr>
      <w:r>
        <w:rPr>
          <w:rStyle w:val="11"/>
          <w:rFonts w:hint="eastAsia"/>
          <w:sz w:val="21"/>
          <w:szCs w:val="21"/>
        </w:rPr>
        <w:t>九、暂停赎回或延缓支付赎回对价的情形及处理方式</w:t>
      </w:r>
    </w:p>
    <w:p>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发生下列情形时，基金管理人可暂停接受投资人的赎回申请或延缓支付赎回对价：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1、因不可抗力导致基金管理人无法受理或办理基金份额持有人的赎回申请； </w:t>
      </w:r>
    </w:p>
    <w:p>
      <w:pPr>
        <w:pStyle w:val="7"/>
        <w:spacing w:before="0" w:beforeAutospacing="0" w:after="0" w:afterAutospacing="0" w:line="360" w:lineRule="auto"/>
        <w:ind w:firstLine="420"/>
        <w:rPr>
          <w:sz w:val="21"/>
          <w:szCs w:val="21"/>
        </w:rPr>
      </w:pPr>
      <w:r>
        <w:rPr>
          <w:rFonts w:hint="eastAsia"/>
          <w:sz w:val="21"/>
          <w:szCs w:val="21"/>
        </w:rPr>
        <w:t xml:space="preserve">2、证券/期货交易所交易时间非正常停市，导致基金管理人无法计算当日基金资产净值或无法进行证券交易； </w:t>
      </w:r>
    </w:p>
    <w:p>
      <w:pPr>
        <w:pStyle w:val="7"/>
        <w:spacing w:before="0" w:beforeAutospacing="0" w:after="0" w:afterAutospacing="0" w:line="360" w:lineRule="auto"/>
        <w:ind w:firstLine="420"/>
        <w:rPr>
          <w:sz w:val="21"/>
          <w:szCs w:val="21"/>
        </w:rPr>
      </w:pPr>
      <w:r>
        <w:rPr>
          <w:rFonts w:hint="eastAsia"/>
          <w:sz w:val="21"/>
          <w:szCs w:val="21"/>
        </w:rPr>
        <w:t xml:space="preserve">3、发生基金合同规定的暂停基金资产估值情况时； </w:t>
      </w:r>
    </w:p>
    <w:p>
      <w:pPr>
        <w:pStyle w:val="7"/>
        <w:spacing w:before="0" w:beforeAutospacing="0" w:after="0" w:afterAutospacing="0" w:line="360" w:lineRule="auto"/>
        <w:ind w:firstLine="420"/>
        <w:rPr>
          <w:sz w:val="21"/>
          <w:szCs w:val="21"/>
        </w:rPr>
      </w:pPr>
      <w:r>
        <w:rPr>
          <w:rFonts w:hint="eastAsia"/>
          <w:sz w:val="21"/>
          <w:szCs w:val="21"/>
        </w:rPr>
        <w:t xml:space="preserve">4、基金管理人开市前因异常情况无法公布申购赎回清单、基金份额净值或者IOPV计算错误、申购赎回清单编制错误； </w:t>
      </w:r>
    </w:p>
    <w:p>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5、发生继续接受赎回申请将损害现有基金份额持有人利益的情形时，基金管理人可暂停接受投资人的赎回申请； </w:t>
      </w:r>
    </w:p>
    <w:p>
      <w:pPr>
        <w:pStyle w:val="7"/>
        <w:spacing w:before="0" w:beforeAutospacing="0" w:after="0" w:afterAutospacing="0" w:line="360" w:lineRule="auto"/>
        <w:ind w:firstLine="420"/>
        <w:rPr>
          <w:sz w:val="21"/>
          <w:szCs w:val="21"/>
        </w:rPr>
      </w:pPr>
      <w:r>
        <w:rPr>
          <w:rFonts w:hint="eastAsia"/>
          <w:sz w:val="21"/>
          <w:szCs w:val="21"/>
        </w:rPr>
        <w:t xml:space="preserve">6、本基金当日总赎回份额达到基金管理人所设定的上限，基金管理人可拒绝赎回申请； </w:t>
      </w:r>
    </w:p>
    <w:p>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延缓支付赎回对价或暂停接受基金赎回申请； </w:t>
      </w:r>
    </w:p>
    <w:p>
      <w:pPr>
        <w:pStyle w:val="7"/>
        <w:spacing w:before="0" w:beforeAutospacing="0" w:after="0" w:afterAutospacing="0" w:line="360" w:lineRule="auto"/>
        <w:ind w:firstLine="420"/>
        <w:rPr>
          <w:sz w:val="21"/>
          <w:szCs w:val="21"/>
        </w:rPr>
      </w:pPr>
      <w:r>
        <w:rPr>
          <w:rFonts w:hint="eastAsia"/>
          <w:sz w:val="21"/>
          <w:szCs w:val="21"/>
        </w:rPr>
        <w:t xml:space="preserve">8、相关证券/期货交易所、申购赎回代理券商、登记机构等因异常情况无法办理赎回；或者指数编制单位、相关证券/期货交易所等因异常情况使申购赎回清单无法编制或编制不当。上述异常情况指基金管理人无法预见并不可控制的情形，包括但不限于系统故障、网络故障、通讯故障、电力故障、数据错误等； </w:t>
      </w:r>
    </w:p>
    <w:p>
      <w:pPr>
        <w:pStyle w:val="7"/>
        <w:spacing w:before="0" w:beforeAutospacing="0" w:after="0" w:afterAutospacing="0" w:line="360" w:lineRule="auto"/>
        <w:ind w:firstLine="420"/>
        <w:rPr>
          <w:sz w:val="21"/>
          <w:szCs w:val="21"/>
        </w:rPr>
      </w:pPr>
      <w:r>
        <w:rPr>
          <w:rFonts w:hint="eastAsia"/>
          <w:sz w:val="21"/>
          <w:szCs w:val="21"/>
        </w:rPr>
        <w:t xml:space="preserve">9、法律法规、深圳证券交易所规定或中国证监会认定的其他情形。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情形之一且基金管理人决定暂停赎回或延缓支付赎回对价时，基金管理人应按规定报中国证监会备案。已接受的赎回申请，基金管理人应足额支付，基金份额持有人在申请赎回时可事先选择将当日可能未获受理部分予以撤销，如暂时不能足额支付，未支付部分可延期支付。在暂停赎回的情况消除时，基金管理人应及时恢复赎回业务的办理并公告。 </w:t>
      </w:r>
    </w:p>
    <w:p>
      <w:pPr>
        <w:pStyle w:val="7"/>
        <w:spacing w:before="0" w:beforeAutospacing="0" w:after="0" w:afterAutospacing="0" w:line="360" w:lineRule="auto"/>
        <w:ind w:firstLine="420"/>
        <w:rPr>
          <w:sz w:val="21"/>
          <w:szCs w:val="21"/>
        </w:rPr>
      </w:pPr>
      <w:r>
        <w:rPr>
          <w:rFonts w:hint="eastAsia"/>
          <w:sz w:val="21"/>
          <w:szCs w:val="21"/>
        </w:rPr>
        <w:t xml:space="preserve">在发生暂停申购或赎回的情形之一时，本基金的申购和赎回可能同时暂停。 </w:t>
      </w:r>
    </w:p>
    <w:p>
      <w:pPr>
        <w:pStyle w:val="7"/>
        <w:spacing w:before="0" w:beforeAutospacing="0" w:after="0" w:afterAutospacing="0" w:line="360" w:lineRule="auto"/>
        <w:ind w:firstLine="420"/>
        <w:rPr>
          <w:sz w:val="21"/>
          <w:szCs w:val="21"/>
        </w:rPr>
      </w:pPr>
      <w:r>
        <w:rPr>
          <w:rStyle w:val="11"/>
          <w:rFonts w:hint="eastAsia"/>
          <w:sz w:val="21"/>
          <w:szCs w:val="21"/>
        </w:rPr>
        <w:t>十、基金清算交收与登记模式的调整或新增</w:t>
      </w:r>
    </w:p>
    <w:p>
      <w:pPr>
        <w:pStyle w:val="7"/>
        <w:spacing w:before="0" w:beforeAutospacing="0" w:after="0" w:afterAutospacing="0" w:line="360" w:lineRule="auto"/>
        <w:ind w:firstLine="420"/>
        <w:rPr>
          <w:sz w:val="21"/>
          <w:szCs w:val="21"/>
        </w:rPr>
      </w:pPr>
      <w:r>
        <w:rPr>
          <w:rFonts w:hint="eastAsia"/>
          <w:sz w:val="21"/>
          <w:szCs w:val="21"/>
        </w:rPr>
        <w:t xml:space="preserve">本基金获批后，若深圳证券交易所和中国证券登记结算有限责任公司针对跨市场交易型开放式指数证券投资基金推出新的清算交收与登记模式并引入新的申购、赎回方式，在履行适当程序后，本基金管理人有权调整本基金的清算交收与登记模式及申购、赎回方式，或新增本基金的清算交收与登记模式并引入新的申购、赎回方式，届时将发布公告予以披露并对本基金的招募说明书予以更新，无需召开持有人大会审议。 </w:t>
      </w:r>
    </w:p>
    <w:p>
      <w:pPr>
        <w:pStyle w:val="7"/>
        <w:spacing w:before="0" w:beforeAutospacing="0" w:after="0" w:afterAutospacing="0" w:line="360" w:lineRule="auto"/>
        <w:ind w:firstLine="420"/>
        <w:rPr>
          <w:sz w:val="21"/>
          <w:szCs w:val="21"/>
        </w:rPr>
      </w:pPr>
      <w:r>
        <w:rPr>
          <w:rStyle w:val="11"/>
          <w:rFonts w:hint="eastAsia"/>
          <w:sz w:val="21"/>
          <w:szCs w:val="21"/>
        </w:rPr>
        <w:t>十一、基金份额拆分与合并 </w:t>
      </w:r>
    </w:p>
    <w:p>
      <w:pPr>
        <w:pStyle w:val="7"/>
        <w:spacing w:before="0" w:beforeAutospacing="0" w:after="0" w:afterAutospacing="0" w:line="360" w:lineRule="auto"/>
        <w:ind w:firstLine="420"/>
        <w:rPr>
          <w:sz w:val="21"/>
          <w:szCs w:val="21"/>
        </w:rPr>
      </w:pPr>
      <w:r>
        <w:rPr>
          <w:rFonts w:hint="eastAsia"/>
          <w:sz w:val="21"/>
          <w:szCs w:val="21"/>
        </w:rPr>
        <w:t xml:space="preserve">基金成立后，在法律法规规定的范围内，在履行适当程序后，本基金可实施基金份额拆分或合并。 </w:t>
      </w:r>
    </w:p>
    <w:p>
      <w:pPr>
        <w:pStyle w:val="7"/>
        <w:spacing w:before="0" w:beforeAutospacing="0" w:after="0" w:afterAutospacing="0" w:line="360" w:lineRule="auto"/>
        <w:ind w:firstLine="420"/>
        <w:rPr>
          <w:sz w:val="21"/>
          <w:szCs w:val="21"/>
        </w:rPr>
      </w:pPr>
      <w:r>
        <w:rPr>
          <w:rFonts w:hint="eastAsia"/>
          <w:sz w:val="21"/>
          <w:szCs w:val="21"/>
        </w:rPr>
        <w:t xml:space="preserve">基金份额拆分或合并是在保持现有基金份额持有人资产总值不变的前提下，改变基金份额净值和持有基金份额的对应关系，是重新列示基金资产的一种方式。基金份额拆分或合并对基金份额持有人的权益无实质性影响。 </w:t>
      </w:r>
    </w:p>
    <w:p>
      <w:pPr>
        <w:pStyle w:val="7"/>
        <w:spacing w:before="0" w:beforeAutospacing="0" w:after="0" w:afterAutospacing="0" w:line="360" w:lineRule="auto"/>
        <w:ind w:firstLine="420"/>
        <w:rPr>
          <w:sz w:val="21"/>
          <w:szCs w:val="21"/>
        </w:rPr>
      </w:pPr>
      <w:r>
        <w:rPr>
          <w:rStyle w:val="11"/>
          <w:rFonts w:hint="eastAsia"/>
          <w:sz w:val="21"/>
          <w:szCs w:val="21"/>
        </w:rPr>
        <w:t>十二、基金份额的转让</w:t>
      </w:r>
    </w:p>
    <w:p>
      <w:pPr>
        <w:pStyle w:val="7"/>
        <w:spacing w:before="0" w:beforeAutospacing="0" w:after="0" w:afterAutospacing="0" w:line="360" w:lineRule="auto"/>
        <w:ind w:firstLine="420"/>
        <w:rPr>
          <w:sz w:val="21"/>
          <w:szCs w:val="21"/>
        </w:rPr>
      </w:pPr>
      <w:r>
        <w:rPr>
          <w:rFonts w:hint="eastAsia"/>
          <w:sz w:val="21"/>
          <w:szCs w:val="21"/>
        </w:rPr>
        <w:t>在法律法规允许且条件具备的情况下，如对存量基金份额持有人利益无实质性不利影响，基金管理人经履行相关程序后可受理基金份额持有人通过中国证监会认可的证券交易所以外的交易场所或者交易方式进行份额转让的申请并由登记机构办理基金份额的过户登记。基金管理人拟受理基金份额转让业务的，将提前公告，基金份额持有人应根据基金管理人公告</w:t>
      </w:r>
      <w:bookmarkStart w:id="104" w:name="chapter_level1_12_59_section_3_end"/>
      <w:bookmarkEnd w:id="104"/>
      <w:r>
        <w:rPr>
          <w:rFonts w:hint="eastAsia"/>
          <w:sz w:val="21"/>
          <w:szCs w:val="21"/>
        </w:rPr>
        <w:t xml:space="preserve">的业务规则办理基金份额转让业务。 </w:t>
      </w:r>
    </w:p>
    <w:p>
      <w:pPr>
        <w:pStyle w:val="7"/>
        <w:spacing w:before="0" w:beforeAutospacing="0" w:after="0" w:afterAutospacing="0" w:line="360" w:lineRule="auto"/>
        <w:ind w:firstLine="420"/>
        <w:rPr>
          <w:sz w:val="21"/>
          <w:szCs w:val="21"/>
        </w:rPr>
      </w:pPr>
      <w:bookmarkStart w:id="105" w:name="chapter_level1_12_59_section_4"/>
      <w:bookmarkEnd w:id="105"/>
      <w:r>
        <w:rPr>
          <w:rStyle w:val="11"/>
          <w:rFonts w:hint="eastAsia"/>
          <w:sz w:val="21"/>
          <w:szCs w:val="21"/>
        </w:rPr>
        <w:t>十三、基金份额的非交易过户、冻结、解冻等其他业务</w:t>
      </w:r>
    </w:p>
    <w:p>
      <w:pPr>
        <w:pStyle w:val="7"/>
        <w:spacing w:before="0" w:beforeAutospacing="0" w:after="0" w:afterAutospacing="0" w:line="360" w:lineRule="auto"/>
        <w:ind w:firstLine="420"/>
        <w:rPr>
          <w:sz w:val="21"/>
          <w:szCs w:val="21"/>
        </w:rPr>
      </w:pPr>
      <w:r>
        <w:rPr>
          <w:rFonts w:hint="eastAsia"/>
          <w:sz w:val="21"/>
          <w:szCs w:val="21"/>
        </w:rPr>
        <w:t xml:space="preserve">基金份额的登记机构可依据其业务规则，受理基金的非交易过户、冻结与解冻等业务，并收取一定的手续费用。 </w:t>
      </w:r>
    </w:p>
    <w:p>
      <w:pPr>
        <w:pStyle w:val="7"/>
        <w:spacing w:before="0" w:beforeAutospacing="0" w:after="0" w:afterAutospacing="0" w:line="360" w:lineRule="auto"/>
        <w:ind w:firstLine="420"/>
        <w:rPr>
          <w:sz w:val="21"/>
          <w:szCs w:val="21"/>
        </w:rPr>
      </w:pPr>
      <w:r>
        <w:rPr>
          <w:rFonts w:hint="eastAsia"/>
          <w:sz w:val="21"/>
          <w:szCs w:val="21"/>
        </w:rPr>
        <w:t>基金份额被冻结的，被冻结部分产生的权益一并冻结，被冻结部分份额仍然参与收益分</w:t>
      </w:r>
      <w:bookmarkStart w:id="106" w:name="chapter_level1_12_59_section_4_end"/>
      <w:bookmarkEnd w:id="106"/>
      <w:r>
        <w:rPr>
          <w:rFonts w:hint="eastAsia"/>
          <w:sz w:val="21"/>
          <w:szCs w:val="21"/>
        </w:rPr>
        <w:t xml:space="preserve">配。法律法规或监管机构另有规定的除外。 </w:t>
      </w:r>
    </w:p>
    <w:p>
      <w:pPr>
        <w:pStyle w:val="7"/>
        <w:spacing w:before="0" w:beforeAutospacing="0" w:after="0" w:afterAutospacing="0" w:line="360" w:lineRule="auto"/>
        <w:ind w:firstLine="420"/>
        <w:rPr>
          <w:sz w:val="21"/>
          <w:szCs w:val="21"/>
        </w:rPr>
      </w:pPr>
      <w:bookmarkStart w:id="107" w:name="chapter_level1_12_59_section_5"/>
      <w:bookmarkEnd w:id="107"/>
      <w:r>
        <w:rPr>
          <w:rStyle w:val="11"/>
          <w:rFonts w:hint="eastAsia"/>
          <w:sz w:val="21"/>
          <w:szCs w:val="21"/>
        </w:rPr>
        <w:t>十四、联接基金的特殊申购</w:t>
      </w:r>
    </w:p>
    <w:p>
      <w:pPr>
        <w:pStyle w:val="7"/>
        <w:spacing w:before="0" w:beforeAutospacing="0" w:after="0" w:afterAutospacing="0" w:line="360" w:lineRule="auto"/>
        <w:ind w:firstLine="420"/>
        <w:rPr>
          <w:sz w:val="21"/>
          <w:szCs w:val="21"/>
        </w:rPr>
      </w:pPr>
      <w:r>
        <w:rPr>
          <w:rFonts w:hint="eastAsia"/>
          <w:sz w:val="21"/>
          <w:szCs w:val="21"/>
        </w:rPr>
        <w:t xml:space="preserve">若基金管理人推出以本基金为目标ETF的联接基金，本基金可根据实际情况需要向本基金的联接基金开通特殊申购，不收取申购费用。具体见基金管理人相关公告。 </w:t>
      </w:r>
    </w:p>
    <w:p>
      <w:pPr>
        <w:pStyle w:val="7"/>
        <w:spacing w:before="0" w:beforeAutospacing="0" w:after="0" w:afterAutospacing="0" w:line="360" w:lineRule="auto"/>
        <w:ind w:firstLine="420"/>
        <w:rPr>
          <w:sz w:val="21"/>
          <w:szCs w:val="21"/>
        </w:rPr>
      </w:pPr>
      <w:r>
        <w:rPr>
          <w:rStyle w:val="11"/>
          <w:rFonts w:hint="eastAsia"/>
          <w:sz w:val="21"/>
          <w:szCs w:val="21"/>
        </w:rPr>
        <w:t>十五、基金份额折算</w:t>
      </w:r>
    </w:p>
    <w:p>
      <w:pPr>
        <w:pStyle w:val="7"/>
        <w:spacing w:before="0" w:beforeAutospacing="0" w:after="0" w:afterAutospacing="0" w:line="360" w:lineRule="auto"/>
        <w:ind w:firstLine="420"/>
        <w:rPr>
          <w:sz w:val="21"/>
          <w:szCs w:val="21"/>
        </w:rPr>
      </w:pPr>
      <w:r>
        <w:rPr>
          <w:rFonts w:hint="eastAsia"/>
          <w:sz w:val="21"/>
          <w:szCs w:val="21"/>
        </w:rPr>
        <w:t xml:space="preserve">为提高交易便利或根据需要（如变更标的指数），基金管理人可向登记机构申请办理基金份额折算与变更登记。基金份额折算后，基金的基金份额总额与基金份额持有人持有的基金份额数额将发生调整，但调整后的基金份额持有人持有的基金份额占基金份额总额的比例不发生变化。基金份额折算对基金份额持有人的权益无实质性影响。基金份额折算后，基金份额持有人将按照折算后的基金份额享有权利并承担义务。基金管理人应就其具体事宜进行必要公告，并提前通知基金托管人。 </w:t>
      </w:r>
    </w:p>
    <w:p>
      <w:pPr>
        <w:pStyle w:val="7"/>
        <w:spacing w:before="0" w:beforeAutospacing="0" w:after="0" w:afterAutospacing="0" w:line="360" w:lineRule="auto"/>
        <w:ind w:firstLine="420"/>
        <w:rPr>
          <w:sz w:val="21"/>
          <w:szCs w:val="21"/>
        </w:rPr>
      </w:pPr>
      <w:r>
        <w:rPr>
          <w:rStyle w:val="11"/>
          <w:rFonts w:hint="eastAsia"/>
          <w:sz w:val="21"/>
          <w:szCs w:val="21"/>
        </w:rPr>
        <w:t>十六、其他</w:t>
      </w:r>
    </w:p>
    <w:p>
      <w:pPr>
        <w:pStyle w:val="7"/>
        <w:spacing w:before="0" w:beforeAutospacing="0" w:after="0" w:afterAutospacing="0" w:line="360" w:lineRule="auto"/>
        <w:ind w:firstLine="420"/>
        <w:rPr>
          <w:sz w:val="21"/>
          <w:szCs w:val="21"/>
        </w:rPr>
      </w:pPr>
      <w:r>
        <w:rPr>
          <w:rFonts w:hint="eastAsia"/>
          <w:sz w:val="21"/>
          <w:szCs w:val="21"/>
        </w:rPr>
        <w:t xml:space="preserve">1、在不违反法律法规且对基金份额持有人利益无实质性不利影响的情况下，经履行相关程序后，基金管理人可开放集合申购。基金管理人有权制定集合申购业务的相关规则。 </w:t>
      </w:r>
    </w:p>
    <w:p>
      <w:pPr>
        <w:pStyle w:val="7"/>
        <w:spacing w:before="0" w:beforeAutospacing="0" w:after="0" w:afterAutospacing="0" w:line="360" w:lineRule="auto"/>
        <w:ind w:firstLine="420"/>
        <w:rPr>
          <w:sz w:val="21"/>
          <w:szCs w:val="21"/>
        </w:rPr>
      </w:pPr>
      <w:r>
        <w:rPr>
          <w:rFonts w:hint="eastAsia"/>
          <w:sz w:val="21"/>
          <w:szCs w:val="21"/>
        </w:rPr>
        <w:t xml:space="preserve">在条件允许时，基金管理人也可采取其他合理的申购方式，并于新的申购方式开始执行前予以公告。 </w:t>
      </w:r>
    </w:p>
    <w:p>
      <w:pPr>
        <w:pStyle w:val="7"/>
        <w:spacing w:before="0" w:beforeAutospacing="0" w:after="0" w:afterAutospacing="0" w:line="360" w:lineRule="auto"/>
        <w:ind w:firstLine="420"/>
        <w:rPr>
          <w:sz w:val="21"/>
          <w:szCs w:val="21"/>
        </w:rPr>
      </w:pPr>
      <w:r>
        <w:rPr>
          <w:rFonts w:hint="eastAsia"/>
          <w:sz w:val="21"/>
          <w:szCs w:val="21"/>
        </w:rPr>
        <w:t xml:space="preserve">2、基金管理人指定的代理机构可依据法律法规和基金合同的规定开展其他服务，双方需签订书面委托代理协议。 </w:t>
      </w:r>
    </w:p>
    <w:p>
      <w:pPr>
        <w:pStyle w:val="7"/>
        <w:spacing w:before="0" w:beforeAutospacing="0" w:after="0" w:afterAutospacing="0" w:line="360" w:lineRule="auto"/>
        <w:ind w:firstLine="420"/>
        <w:rPr>
          <w:sz w:val="21"/>
          <w:szCs w:val="21"/>
        </w:rPr>
      </w:pPr>
      <w:r>
        <w:rPr>
          <w:rFonts w:hint="eastAsia"/>
          <w:sz w:val="21"/>
          <w:szCs w:val="21"/>
        </w:rPr>
        <w:t>3、对于符合《中国证券登记结算有限责任公司深圳分公司交易型开放式基金登记结算业务指南》要求的特定投资者，基金管理人可在不违反法律法规且对基金份额持有人利益无</w:t>
      </w:r>
      <w:bookmarkStart w:id="108" w:name="chapter_level1_12_59_section_5_end"/>
      <w:bookmarkEnd w:id="108"/>
      <w:r>
        <w:rPr>
          <w:rFonts w:hint="eastAsia"/>
          <w:sz w:val="21"/>
          <w:szCs w:val="21"/>
        </w:rPr>
        <w:t xml:space="preserve">实质性不利影响的情况下，安排专门的申购方式。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09" w:name="chapter_level1_13_60"/>
      <w:bookmarkStart w:id="110" w:name="_Toc213857372"/>
      <w:r>
        <w:rPr>
          <w:rFonts w:hint="eastAsia" w:ascii="宋体" w:hAnsi="宋体" w:eastAsia="宋体"/>
          <w:sz w:val="30"/>
        </w:rPr>
        <w:t>第十部分  基金的投资</w:t>
      </w:r>
      <w:bookmarkEnd w:id="109"/>
      <w:bookmarkEnd w:id="110"/>
    </w:p>
    <w:p>
      <w:pPr>
        <w:pStyle w:val="7"/>
        <w:spacing w:before="0" w:beforeAutospacing="0" w:after="0" w:afterAutospacing="0" w:line="360" w:lineRule="auto"/>
        <w:ind w:firstLine="420"/>
        <w:rPr>
          <w:sz w:val="21"/>
          <w:szCs w:val="21"/>
        </w:rPr>
      </w:pPr>
      <w:bookmarkStart w:id="111" w:name="chapter_level1_13_60_section_1"/>
      <w:bookmarkEnd w:id="111"/>
      <w:r>
        <w:rPr>
          <w:rStyle w:val="11"/>
          <w:rFonts w:hint="eastAsia"/>
          <w:sz w:val="21"/>
          <w:szCs w:val="21"/>
        </w:rPr>
        <w:t>一、投资目标</w:t>
      </w:r>
    </w:p>
    <w:p>
      <w:pPr>
        <w:pStyle w:val="7"/>
        <w:spacing w:before="0" w:beforeAutospacing="0" w:after="0" w:afterAutospacing="0" w:line="360" w:lineRule="auto"/>
        <w:ind w:firstLine="420"/>
        <w:rPr>
          <w:sz w:val="21"/>
          <w:szCs w:val="21"/>
        </w:rPr>
      </w:pPr>
      <w:bookmarkStart w:id="112" w:name="field_60_investmenttarget_1_start"/>
      <w:bookmarkEnd w:id="112"/>
      <w:r>
        <w:rPr>
          <w:rFonts w:hint="eastAsia"/>
          <w:sz w:val="21"/>
          <w:szCs w:val="21"/>
        </w:rPr>
        <w:t xml:space="preserve">紧密跟踪标的指数，追求跟踪偏离度和跟踪误差的最小化。 </w:t>
      </w:r>
      <w:bookmarkStart w:id="113" w:name="field_60_investmenttarget_1_end"/>
      <w:bookmarkEnd w:id="113"/>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二、投资范围</w:t>
      </w:r>
    </w:p>
    <w:p>
      <w:pPr>
        <w:pStyle w:val="7"/>
        <w:spacing w:before="0" w:beforeAutospacing="0" w:after="0" w:afterAutospacing="0" w:line="360" w:lineRule="auto"/>
        <w:ind w:firstLine="420"/>
        <w:rPr>
          <w:sz w:val="21"/>
          <w:szCs w:val="21"/>
        </w:rPr>
      </w:pPr>
      <w:bookmarkStart w:id="114" w:name="field_60_investmentrange_1_start"/>
      <w:bookmarkEnd w:id="114"/>
      <w:r>
        <w:rPr>
          <w:rFonts w:hint="eastAsia"/>
          <w:sz w:val="21"/>
          <w:szCs w:val="21"/>
        </w:rPr>
        <w:t xml:space="preserve">本基金主要投资于标的指数成份股和备选成份股(含存托凭证)。  </w:t>
      </w:r>
    </w:p>
    <w:p>
      <w:pPr>
        <w:pStyle w:val="7"/>
        <w:spacing w:before="0" w:beforeAutospacing="0" w:after="0" w:afterAutospacing="0" w:line="360" w:lineRule="auto"/>
        <w:ind w:firstLine="420"/>
        <w:rPr>
          <w:sz w:val="21"/>
          <w:szCs w:val="21"/>
        </w:rPr>
      </w:pPr>
      <w:r>
        <w:rPr>
          <w:rFonts w:hint="eastAsia"/>
          <w:sz w:val="21"/>
          <w:szCs w:val="21"/>
        </w:rPr>
        <w:t xml:space="preserve">为更好地实现基金的投资目标，本基金可能会少量投资于依法发行上市的非成份股（包括创业板及其他经中国证监会核准或注册上市的股票和存托凭证）、债券（包括国债、金融债、地方政府债、政府支持机构债券、政府支持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本基金可根据法律法规的规定参与融资和转融通证券出借业务。未来在法律法规允许的前提下，本基金可根据相关法律法规规定参与融券业务。 </w:t>
      </w:r>
    </w:p>
    <w:p>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pPr>
        <w:pStyle w:val="7"/>
        <w:spacing w:before="0" w:beforeAutospacing="0" w:after="0" w:afterAutospacing="0" w:line="360" w:lineRule="auto"/>
        <w:ind w:firstLine="420"/>
        <w:rPr>
          <w:sz w:val="21"/>
          <w:szCs w:val="21"/>
        </w:rPr>
      </w:pPr>
      <w:r>
        <w:rPr>
          <w:rFonts w:hint="eastAsia"/>
          <w:sz w:val="21"/>
          <w:szCs w:val="21"/>
        </w:rPr>
        <w:t xml:space="preserve">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  </w:t>
      </w:r>
    </w:p>
    <w:p>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115" w:name="field_60_investmentrange_1_end"/>
      <w:bookmarkEnd w:id="115"/>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三、投资策略</w:t>
      </w:r>
    </w:p>
    <w:p>
      <w:pPr>
        <w:pStyle w:val="7"/>
        <w:spacing w:before="0" w:beforeAutospacing="0" w:after="0" w:afterAutospacing="0" w:line="360" w:lineRule="auto"/>
        <w:ind w:firstLine="420"/>
        <w:rPr>
          <w:sz w:val="21"/>
          <w:szCs w:val="21"/>
        </w:rPr>
      </w:pPr>
      <w:bookmarkStart w:id="116" w:name="field_60_investmentstrategy_1_start"/>
      <w:bookmarkEnd w:id="116"/>
      <w:r>
        <w:rPr>
          <w:rFonts w:hint="eastAsia"/>
          <w:sz w:val="21"/>
          <w:szCs w:val="21"/>
        </w:rPr>
        <w:t xml:space="preserve">1、组合复制策略 </w:t>
      </w:r>
    </w:p>
    <w:p>
      <w:pPr>
        <w:pStyle w:val="7"/>
        <w:spacing w:before="0" w:beforeAutospacing="0" w:after="0" w:afterAutospacing="0" w:line="360" w:lineRule="auto"/>
        <w:ind w:firstLine="420"/>
        <w:rPr>
          <w:sz w:val="21"/>
          <w:szCs w:val="21"/>
        </w:rPr>
      </w:pPr>
      <w:r>
        <w:rPr>
          <w:rFonts w:hint="eastAsia"/>
          <w:sz w:val="21"/>
          <w:szCs w:val="21"/>
        </w:rPr>
        <w:t xml:space="preserve">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  </w:t>
      </w:r>
    </w:p>
    <w:p>
      <w:pPr>
        <w:pStyle w:val="7"/>
        <w:spacing w:before="0" w:beforeAutospacing="0" w:after="0" w:afterAutospacing="0" w:line="360" w:lineRule="auto"/>
        <w:ind w:firstLine="420"/>
        <w:rPr>
          <w:sz w:val="21"/>
          <w:szCs w:val="21"/>
        </w:rPr>
      </w:pPr>
      <w:r>
        <w:rPr>
          <w:rFonts w:hint="eastAsia"/>
          <w:sz w:val="21"/>
          <w:szCs w:val="21"/>
        </w:rPr>
        <w:t xml:space="preserve">如果标的指数成份股发生明显负面事件面临退市或违约风险，且指数编制机构暂未作出调整的，基金管理人应当按照基金份额持有人利益优先原则，履行内部决策程序后及时对相关成份股进行调整。 </w:t>
      </w:r>
    </w:p>
    <w:p>
      <w:pPr>
        <w:pStyle w:val="7"/>
        <w:spacing w:before="0" w:beforeAutospacing="0" w:after="0" w:afterAutospacing="0" w:line="360" w:lineRule="auto"/>
        <w:ind w:firstLine="420"/>
        <w:rPr>
          <w:sz w:val="21"/>
          <w:szCs w:val="21"/>
        </w:rPr>
      </w:pPr>
      <w:r>
        <w:rPr>
          <w:rFonts w:hint="eastAsia"/>
          <w:sz w:val="21"/>
          <w:szCs w:val="21"/>
        </w:rPr>
        <w:t xml:space="preserve">在正常情况下，本基金力争控制投资组合的净值增长率与业绩比较基准之间的预期日均跟踪偏离度的绝对值小于0.2%，预期年化跟踪误差不超过2%。如因标的指数编制规则调整等其他原因，导致基金日均跟踪偏离度和跟踪误差变大，基金管理人应采取合理措施，避免日均跟踪偏离度和跟踪误差的进一步扩大。  </w:t>
      </w:r>
    </w:p>
    <w:p>
      <w:pPr>
        <w:pStyle w:val="7"/>
        <w:spacing w:before="0" w:beforeAutospacing="0" w:after="0" w:afterAutospacing="0" w:line="360" w:lineRule="auto"/>
        <w:ind w:firstLine="420"/>
        <w:rPr>
          <w:sz w:val="21"/>
          <w:szCs w:val="21"/>
        </w:rPr>
      </w:pPr>
      <w:r>
        <w:rPr>
          <w:rFonts w:hint="eastAsia"/>
          <w:sz w:val="21"/>
          <w:szCs w:val="21"/>
        </w:rPr>
        <w:t xml:space="preserve">当指数编制方法变更、成份股发生变更、成份股权重由于自由流通量调整而发生变化、成份股派发现金股息、配股及增发、股票长期停牌、市场流动性不足等情况发生时，基金管理人将对投资组合进行优化，尽量降低跟踪误差。 </w:t>
      </w:r>
    </w:p>
    <w:p>
      <w:pPr>
        <w:pStyle w:val="7"/>
        <w:spacing w:before="0" w:beforeAutospacing="0" w:after="0" w:afterAutospacing="0" w:line="360" w:lineRule="auto"/>
        <w:ind w:firstLine="420"/>
        <w:rPr>
          <w:sz w:val="21"/>
          <w:szCs w:val="21"/>
        </w:rPr>
      </w:pPr>
      <w:r>
        <w:rPr>
          <w:rFonts w:hint="eastAsia"/>
          <w:sz w:val="21"/>
          <w:szCs w:val="21"/>
        </w:rPr>
        <w:t xml:space="preserve">2、债券（除可转换债券、可交换债券）投资策略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本基金债券投资组合将着重考虑基金的流动性管理及策略性投资的需要进行配置。债券投资的目的是保证基金资产流动性，有效利用基金资产，提高基金资产的投资收益。 </w:t>
      </w:r>
    </w:p>
    <w:p>
      <w:pPr>
        <w:pStyle w:val="7"/>
        <w:spacing w:before="0" w:beforeAutospacing="0" w:after="0" w:afterAutospacing="0" w:line="360" w:lineRule="auto"/>
        <w:ind w:firstLine="420"/>
        <w:rPr>
          <w:sz w:val="21"/>
          <w:szCs w:val="21"/>
        </w:rPr>
      </w:pPr>
      <w:r>
        <w:rPr>
          <w:rFonts w:hint="eastAsia"/>
          <w:sz w:val="21"/>
          <w:szCs w:val="21"/>
        </w:rPr>
        <w:t xml:space="preserve">3、资产支持证券投资策略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 </w:t>
      </w:r>
    </w:p>
    <w:p>
      <w:pPr>
        <w:pStyle w:val="7"/>
        <w:spacing w:before="0" w:beforeAutospacing="0" w:after="0" w:afterAutospacing="0" w:line="360" w:lineRule="auto"/>
        <w:ind w:firstLine="420"/>
        <w:rPr>
          <w:sz w:val="21"/>
          <w:szCs w:val="21"/>
        </w:rPr>
      </w:pPr>
      <w:r>
        <w:rPr>
          <w:rFonts w:hint="eastAsia"/>
          <w:sz w:val="21"/>
          <w:szCs w:val="21"/>
        </w:rPr>
        <w:t xml:space="preserve">4、可转换债券、可交换债券投资策略 </w:t>
      </w:r>
    </w:p>
    <w:p>
      <w:pPr>
        <w:pStyle w:val="7"/>
        <w:spacing w:before="0" w:beforeAutospacing="0" w:after="0" w:afterAutospacing="0" w:line="360" w:lineRule="auto"/>
        <w:ind w:firstLine="420"/>
        <w:rPr>
          <w:sz w:val="21"/>
          <w:szCs w:val="21"/>
        </w:rPr>
      </w:pPr>
      <w:r>
        <w:rPr>
          <w:rFonts w:hint="eastAsia"/>
          <w:sz w:val="21"/>
          <w:szCs w:val="21"/>
        </w:rPr>
        <w:t xml:space="preserve">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 </w:t>
      </w:r>
    </w:p>
    <w:p>
      <w:pPr>
        <w:pStyle w:val="7"/>
        <w:spacing w:before="0" w:beforeAutospacing="0" w:after="0" w:afterAutospacing="0" w:line="360" w:lineRule="auto"/>
        <w:ind w:firstLine="420"/>
        <w:rPr>
          <w:sz w:val="21"/>
          <w:szCs w:val="21"/>
        </w:rPr>
      </w:pPr>
      <w:r>
        <w:rPr>
          <w:rFonts w:hint="eastAsia"/>
          <w:sz w:val="21"/>
          <w:szCs w:val="21"/>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pPr>
        <w:pStyle w:val="7"/>
        <w:spacing w:before="0" w:beforeAutospacing="0" w:after="0" w:afterAutospacing="0" w:line="360" w:lineRule="auto"/>
        <w:ind w:firstLine="420"/>
        <w:rPr>
          <w:sz w:val="21"/>
          <w:szCs w:val="21"/>
        </w:rPr>
      </w:pPr>
      <w:r>
        <w:rPr>
          <w:rFonts w:hint="eastAsia"/>
          <w:sz w:val="21"/>
          <w:szCs w:val="21"/>
        </w:rPr>
        <w:t xml:space="preserve">5、金融衍生品投资策略 </w:t>
      </w:r>
    </w:p>
    <w:p>
      <w:pPr>
        <w:pStyle w:val="7"/>
        <w:spacing w:before="0" w:beforeAutospacing="0" w:after="0" w:afterAutospacing="0" w:line="360" w:lineRule="auto"/>
        <w:ind w:firstLine="420"/>
        <w:rPr>
          <w:sz w:val="21"/>
          <w:szCs w:val="21"/>
        </w:rPr>
      </w:pPr>
      <w:r>
        <w:rPr>
          <w:rFonts w:hint="eastAsia"/>
          <w:sz w:val="21"/>
          <w:szCs w:val="21"/>
        </w:rPr>
        <w:t xml:space="preserve">（1）股指期货交易策略  </w:t>
      </w:r>
    </w:p>
    <w:p>
      <w:pPr>
        <w:pStyle w:val="7"/>
        <w:spacing w:before="0" w:beforeAutospacing="0" w:after="0" w:afterAutospacing="0" w:line="360" w:lineRule="auto"/>
        <w:ind w:firstLine="420"/>
        <w:rPr>
          <w:sz w:val="21"/>
          <w:szCs w:val="21"/>
        </w:rPr>
      </w:pPr>
      <w:r>
        <w:rPr>
          <w:rFonts w:hint="eastAsia"/>
          <w:sz w:val="21"/>
          <w:szCs w:val="21"/>
        </w:rPr>
        <w:t xml:space="preserve">本基金将在风险可控的前提下，根据风险管理原则，以套期保值为目的，适度参与股指期货交易。本基金将根据对现货和期货市场的分析，充分考虑股指期货的风险收益特征进行股指期货交易，以改善交易组合的交易效果。 </w:t>
      </w:r>
    </w:p>
    <w:p>
      <w:pPr>
        <w:pStyle w:val="7"/>
        <w:spacing w:before="0" w:beforeAutospacing="0" w:after="0" w:afterAutospacing="0" w:line="360" w:lineRule="auto"/>
        <w:ind w:firstLine="420"/>
        <w:rPr>
          <w:sz w:val="21"/>
          <w:szCs w:val="21"/>
        </w:rPr>
      </w:pPr>
      <w:r>
        <w:rPr>
          <w:rFonts w:hint="eastAsia"/>
          <w:sz w:val="21"/>
          <w:szCs w:val="21"/>
        </w:rPr>
        <w:t xml:space="preserve">（2）股票期权投资策略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pPr>
        <w:pStyle w:val="7"/>
        <w:spacing w:before="0" w:beforeAutospacing="0" w:after="0" w:afterAutospacing="0" w:line="360" w:lineRule="auto"/>
        <w:ind w:firstLine="420"/>
        <w:rPr>
          <w:sz w:val="21"/>
          <w:szCs w:val="21"/>
        </w:rPr>
      </w:pPr>
      <w:r>
        <w:rPr>
          <w:rFonts w:hint="eastAsia"/>
          <w:sz w:val="21"/>
          <w:szCs w:val="21"/>
        </w:rPr>
        <w:t xml:space="preserve">（3）国债期货交易策略  </w:t>
      </w:r>
    </w:p>
    <w:p>
      <w:pPr>
        <w:pStyle w:val="7"/>
        <w:spacing w:before="0" w:beforeAutospacing="0" w:after="0" w:afterAutospacing="0" w:line="360" w:lineRule="auto"/>
        <w:ind w:firstLine="420"/>
        <w:rPr>
          <w:sz w:val="21"/>
          <w:szCs w:val="21"/>
        </w:rPr>
      </w:pPr>
      <w:r>
        <w:rPr>
          <w:rFonts w:hint="eastAsia"/>
          <w:sz w:val="21"/>
          <w:szCs w:val="21"/>
        </w:rPr>
        <w:t xml:space="preserve">本基金参与国债期货交易，以套期保值为目的，将根据风险管理的原则，充分考虑国债期货的流动性和风险收益特征，在风险可控的前提下，适度参与国债期货交易。 </w:t>
      </w:r>
    </w:p>
    <w:p>
      <w:pPr>
        <w:pStyle w:val="7"/>
        <w:spacing w:before="0" w:beforeAutospacing="0" w:after="0" w:afterAutospacing="0" w:line="360" w:lineRule="auto"/>
        <w:ind w:firstLine="420"/>
        <w:rPr>
          <w:sz w:val="21"/>
          <w:szCs w:val="21"/>
        </w:rPr>
      </w:pPr>
      <w:r>
        <w:rPr>
          <w:rFonts w:hint="eastAsia"/>
          <w:sz w:val="21"/>
          <w:szCs w:val="21"/>
        </w:rPr>
        <w:t xml:space="preserve">6、融资和转融通证券出借业务投资策略 </w:t>
      </w:r>
    </w:p>
    <w:p>
      <w:pPr>
        <w:pStyle w:val="7"/>
        <w:spacing w:before="0" w:beforeAutospacing="0" w:after="0" w:afterAutospacing="0" w:line="360" w:lineRule="auto"/>
        <w:ind w:firstLine="420"/>
        <w:rPr>
          <w:sz w:val="21"/>
          <w:szCs w:val="21"/>
        </w:rPr>
      </w:pPr>
      <w:r>
        <w:rPr>
          <w:rFonts w:hint="eastAsia"/>
          <w:sz w:val="21"/>
          <w:szCs w:val="21"/>
        </w:rPr>
        <w:t>本基金将在充分考虑风险和收益特征的基础上，审慎参与融资和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w:t>
      </w:r>
    </w:p>
    <w:p>
      <w:pPr>
        <w:pStyle w:val="7"/>
        <w:spacing w:before="0" w:beforeAutospacing="0" w:after="0" w:afterAutospacing="0" w:line="360" w:lineRule="auto"/>
        <w:ind w:firstLine="420"/>
        <w:rPr>
          <w:sz w:val="21"/>
          <w:szCs w:val="21"/>
        </w:rPr>
      </w:pPr>
      <w:r>
        <w:rPr>
          <w:rFonts w:hint="eastAsia"/>
          <w:sz w:val="21"/>
          <w:szCs w:val="21"/>
        </w:rPr>
        <w:t xml:space="preserve">7、存托凭证投资策略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pPr>
        <w:pStyle w:val="7"/>
        <w:spacing w:before="0" w:beforeAutospacing="0" w:after="0" w:afterAutospacing="0" w:line="360" w:lineRule="auto"/>
        <w:ind w:firstLine="420"/>
        <w:rPr>
          <w:sz w:val="21"/>
          <w:szCs w:val="21"/>
        </w:rPr>
      </w:pPr>
      <w:r>
        <w:rPr>
          <w:rFonts w:hint="eastAsia"/>
          <w:sz w:val="21"/>
          <w:szCs w:val="21"/>
        </w:rPr>
        <w:t xml:space="preserve">未来，随着投资工具的发展和丰富，本基金可在不改变投资目标的前提下，在履行适当程序后，相应调整和更新相关投资策略，并在招募说明书更新中公告。 </w:t>
      </w:r>
      <w:bookmarkStart w:id="117" w:name="field_60_investmentstrategy_1_end"/>
      <w:bookmarkEnd w:id="117"/>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四、投资组合管理 </w:t>
      </w:r>
    </w:p>
    <w:p>
      <w:pPr>
        <w:pStyle w:val="7"/>
        <w:spacing w:before="0" w:beforeAutospacing="0" w:after="0" w:afterAutospacing="0" w:line="360" w:lineRule="auto"/>
        <w:ind w:firstLine="420"/>
        <w:rPr>
          <w:sz w:val="21"/>
          <w:szCs w:val="21"/>
        </w:rPr>
      </w:pPr>
      <w:r>
        <w:rPr>
          <w:rFonts w:hint="eastAsia"/>
          <w:sz w:val="21"/>
          <w:szCs w:val="21"/>
        </w:rPr>
        <w:t xml:space="preserve">1、投资组合的构建 </w:t>
      </w:r>
    </w:p>
    <w:p>
      <w:pPr>
        <w:pStyle w:val="7"/>
        <w:spacing w:before="0" w:beforeAutospacing="0" w:after="0" w:afterAutospacing="0" w:line="360" w:lineRule="auto"/>
        <w:ind w:firstLine="420"/>
        <w:rPr>
          <w:sz w:val="21"/>
          <w:szCs w:val="21"/>
        </w:rPr>
      </w:pPr>
      <w:r>
        <w:rPr>
          <w:rFonts w:hint="eastAsia"/>
          <w:sz w:val="21"/>
          <w:szCs w:val="21"/>
        </w:rPr>
        <w:t xml:space="preserve">基金管理人构建基金投资组合的过程主要分为三个步骤：确定目标组合、制定建仓策略，以及逐步调整组合。 </w:t>
      </w:r>
    </w:p>
    <w:p>
      <w:pPr>
        <w:pStyle w:val="7"/>
        <w:spacing w:before="0" w:beforeAutospacing="0" w:after="0" w:afterAutospacing="0" w:line="360" w:lineRule="auto"/>
        <w:ind w:firstLine="420"/>
        <w:rPr>
          <w:sz w:val="21"/>
          <w:szCs w:val="21"/>
        </w:rPr>
      </w:pPr>
      <w:r>
        <w:rPr>
          <w:rFonts w:hint="eastAsia"/>
          <w:sz w:val="21"/>
          <w:szCs w:val="21"/>
        </w:rPr>
        <w:t xml:space="preserve">（1）确定目标组合。基金管理人主要采取完全复制法，即按照标的指数的成份股组成及其权重构建基金股票投资组合。 </w:t>
      </w:r>
    </w:p>
    <w:p>
      <w:pPr>
        <w:pStyle w:val="7"/>
        <w:spacing w:before="0" w:beforeAutospacing="0" w:after="0" w:afterAutospacing="0" w:line="360" w:lineRule="auto"/>
        <w:ind w:firstLine="420"/>
        <w:rPr>
          <w:sz w:val="21"/>
          <w:szCs w:val="21"/>
        </w:rPr>
      </w:pPr>
      <w:r>
        <w:rPr>
          <w:rFonts w:hint="eastAsia"/>
          <w:sz w:val="21"/>
          <w:szCs w:val="21"/>
        </w:rPr>
        <w:t xml:space="preserve">（2）制定建仓策略。基金经理依据对标的指数成份股的流动性和交易成本等因素所做的分析，制定合理的建仓策略。 </w:t>
      </w:r>
    </w:p>
    <w:p>
      <w:pPr>
        <w:pStyle w:val="7"/>
        <w:spacing w:before="0" w:beforeAutospacing="0" w:after="0" w:afterAutospacing="0" w:line="360" w:lineRule="auto"/>
        <w:ind w:firstLine="420"/>
        <w:rPr>
          <w:sz w:val="21"/>
          <w:szCs w:val="21"/>
        </w:rPr>
      </w:pPr>
      <w:r>
        <w:rPr>
          <w:rFonts w:hint="eastAsia"/>
          <w:sz w:val="21"/>
          <w:szCs w:val="21"/>
        </w:rPr>
        <w:t xml:space="preserve">（3）逐步调整组合。基金经理在规定时间内，采取适当的手段和措施，对实际投资组合进行动态调整，直至达到紧密跟踪标的指数的目标。 </w:t>
      </w:r>
    </w:p>
    <w:p>
      <w:pPr>
        <w:pStyle w:val="7"/>
        <w:spacing w:before="0" w:beforeAutospacing="0" w:after="0" w:afterAutospacing="0" w:line="360" w:lineRule="auto"/>
        <w:ind w:firstLine="420"/>
        <w:rPr>
          <w:sz w:val="21"/>
          <w:szCs w:val="21"/>
        </w:rPr>
      </w:pPr>
      <w:r>
        <w:rPr>
          <w:rFonts w:hint="eastAsia"/>
          <w:sz w:val="21"/>
          <w:szCs w:val="21"/>
        </w:rPr>
        <w:t xml:space="preserve">本基金跟踪标的指数成份股和备选成份股（含存托凭证）的资产比例不低于基金资产净值的90%，且不低于非现金基金资产的80%。本基金将在基金合同生效之日起6个月内达到这一投资比例。此后，如因标的指数成份股调整、基金申购赎回带来现金等因素导致基金不符合这一投资比例的，基金管理人将在10个交易日内进行调整。 </w:t>
      </w:r>
    </w:p>
    <w:p>
      <w:pPr>
        <w:pStyle w:val="7"/>
        <w:spacing w:before="0" w:beforeAutospacing="0" w:after="0" w:afterAutospacing="0" w:line="360" w:lineRule="auto"/>
        <w:ind w:firstLine="420"/>
        <w:rPr>
          <w:sz w:val="21"/>
          <w:szCs w:val="21"/>
        </w:rPr>
      </w:pPr>
      <w:r>
        <w:rPr>
          <w:rFonts w:hint="eastAsia"/>
          <w:sz w:val="21"/>
          <w:szCs w:val="21"/>
        </w:rPr>
        <w:t xml:space="preserve">2、投资组合的日常管理 </w:t>
      </w:r>
    </w:p>
    <w:p>
      <w:pPr>
        <w:pStyle w:val="7"/>
        <w:spacing w:before="0" w:beforeAutospacing="0" w:after="0" w:afterAutospacing="0" w:line="360" w:lineRule="auto"/>
        <w:ind w:firstLine="420"/>
        <w:rPr>
          <w:sz w:val="21"/>
          <w:szCs w:val="21"/>
        </w:rPr>
      </w:pPr>
      <w:r>
        <w:rPr>
          <w:rFonts w:hint="eastAsia"/>
          <w:sz w:val="21"/>
          <w:szCs w:val="21"/>
        </w:rPr>
        <w:t xml:space="preserve">本基金投资组合的日常管理内容主要包括以下几个方面： </w:t>
      </w:r>
    </w:p>
    <w:p>
      <w:pPr>
        <w:pStyle w:val="7"/>
        <w:spacing w:before="0" w:beforeAutospacing="0" w:after="0" w:afterAutospacing="0" w:line="360" w:lineRule="auto"/>
        <w:ind w:firstLine="420"/>
        <w:rPr>
          <w:sz w:val="21"/>
          <w:szCs w:val="21"/>
        </w:rPr>
      </w:pPr>
      <w:r>
        <w:rPr>
          <w:rFonts w:hint="eastAsia"/>
          <w:sz w:val="21"/>
          <w:szCs w:val="21"/>
        </w:rPr>
        <w:t xml:space="preserve">（1）标的指数成份股公司行为信息的跟踪与分析。跟踪分析标的指数成份股公司行为等信息，如股本变化、分红、停牌、复牌，以及成份股公司其他重大信息，分析这些信息对指数的影响，进而分析是否需要对投资组合进行调整，为投资决策提供依据。 </w:t>
      </w:r>
    </w:p>
    <w:p>
      <w:pPr>
        <w:pStyle w:val="7"/>
        <w:spacing w:before="0" w:beforeAutospacing="0" w:after="0" w:afterAutospacing="0" w:line="360" w:lineRule="auto"/>
        <w:ind w:firstLine="420"/>
        <w:rPr>
          <w:sz w:val="21"/>
          <w:szCs w:val="21"/>
        </w:rPr>
      </w:pPr>
      <w:r>
        <w:rPr>
          <w:rFonts w:hint="eastAsia"/>
          <w:sz w:val="21"/>
          <w:szCs w:val="21"/>
        </w:rPr>
        <w:t xml:space="preserve">（2）标的指数的跟踪与分析。跟踪分析标的指数的调整等变化，确定标的指数的变化是否与预期相一致，分析是否存在差异及差异产生的原因，为投资决策提供依据。 </w:t>
      </w:r>
    </w:p>
    <w:p>
      <w:pPr>
        <w:pStyle w:val="7"/>
        <w:spacing w:before="0" w:beforeAutospacing="0" w:after="0" w:afterAutospacing="0" w:line="360" w:lineRule="auto"/>
        <w:ind w:firstLine="420"/>
        <w:rPr>
          <w:sz w:val="21"/>
          <w:szCs w:val="21"/>
        </w:rPr>
      </w:pPr>
      <w:r>
        <w:rPr>
          <w:rFonts w:hint="eastAsia"/>
          <w:sz w:val="21"/>
          <w:szCs w:val="21"/>
        </w:rPr>
        <w:t xml:space="preserve">（3）每日申购赎回情况的跟踪与分析。跟踪分析每日基金申购赎回信息，分析这些信息对投资组合的影响。 </w:t>
      </w:r>
    </w:p>
    <w:p>
      <w:pPr>
        <w:pStyle w:val="7"/>
        <w:spacing w:before="0" w:beforeAutospacing="0" w:after="0" w:afterAutospacing="0" w:line="360" w:lineRule="auto"/>
        <w:ind w:firstLine="420"/>
        <w:rPr>
          <w:sz w:val="21"/>
          <w:szCs w:val="21"/>
        </w:rPr>
      </w:pPr>
      <w:r>
        <w:rPr>
          <w:rFonts w:hint="eastAsia"/>
          <w:sz w:val="21"/>
          <w:szCs w:val="21"/>
        </w:rPr>
        <w:t xml:space="preserve">（4）投资组合持有证券、现金头寸及流动性分析。基金经理跟踪分析每日基金实际投资组合与目标组合的差异及差异产生的原因，并对拟调整的成份股的流动性进行分析。 </w:t>
      </w:r>
    </w:p>
    <w:p>
      <w:pPr>
        <w:pStyle w:val="7"/>
        <w:spacing w:before="0" w:beforeAutospacing="0" w:after="0" w:afterAutospacing="0" w:line="360" w:lineRule="auto"/>
        <w:ind w:firstLine="420"/>
        <w:rPr>
          <w:sz w:val="21"/>
          <w:szCs w:val="21"/>
        </w:rPr>
      </w:pPr>
      <w:r>
        <w:rPr>
          <w:rFonts w:hint="eastAsia"/>
          <w:sz w:val="21"/>
          <w:szCs w:val="21"/>
        </w:rPr>
        <w:t xml:space="preserve">（5）投资组合调整。使用数量化投资分析模型，寻找出将实际投资组合调整为所追求的目标组合的最优方案，确定组合交易计划；如标的指数成份股调整、成份股公司发生兼并、收购和重组等重大事件，由基金经理召集会议，决定基金的操作策略；进一步调整投资组合，达到所追求的目标组合的持仓结构。 </w:t>
      </w:r>
    </w:p>
    <w:p>
      <w:pPr>
        <w:pStyle w:val="7"/>
        <w:spacing w:before="0" w:beforeAutospacing="0" w:after="0" w:afterAutospacing="0" w:line="360" w:lineRule="auto"/>
        <w:ind w:firstLine="420"/>
        <w:rPr>
          <w:sz w:val="21"/>
          <w:szCs w:val="21"/>
        </w:rPr>
      </w:pPr>
      <w:r>
        <w:rPr>
          <w:rFonts w:hint="eastAsia"/>
          <w:sz w:val="21"/>
          <w:szCs w:val="21"/>
        </w:rPr>
        <w:t xml:space="preserve">（6）当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 </w:t>
      </w:r>
    </w:p>
    <w:p>
      <w:pPr>
        <w:pStyle w:val="7"/>
        <w:spacing w:before="0" w:beforeAutospacing="0" w:after="0" w:afterAutospacing="0" w:line="360" w:lineRule="auto"/>
        <w:ind w:firstLine="420"/>
        <w:rPr>
          <w:sz w:val="21"/>
          <w:szCs w:val="21"/>
        </w:rPr>
      </w:pPr>
      <w:r>
        <w:rPr>
          <w:rFonts w:hint="eastAsia"/>
          <w:sz w:val="21"/>
          <w:szCs w:val="21"/>
        </w:rPr>
        <w:t xml:space="preserve">（7）基金每日申购赎回清单的制作。基金经理以T－1日标的指数成份股的构成或者实际持仓股票的构成及相应权重为基础，并考虑T日将发生的上市公司变动等情况，制作T日基金申购赎回清单并予以公告。 </w:t>
      </w:r>
    </w:p>
    <w:p>
      <w:pPr>
        <w:pStyle w:val="7"/>
        <w:spacing w:before="0" w:beforeAutospacing="0" w:after="0" w:afterAutospacing="0" w:line="360" w:lineRule="auto"/>
        <w:ind w:firstLine="420"/>
        <w:rPr>
          <w:sz w:val="21"/>
          <w:szCs w:val="21"/>
        </w:rPr>
      </w:pPr>
      <w:r>
        <w:rPr>
          <w:rStyle w:val="11"/>
          <w:rFonts w:hint="eastAsia"/>
          <w:sz w:val="21"/>
          <w:szCs w:val="21"/>
        </w:rPr>
        <w:t>五、投资组合限制</w:t>
      </w:r>
    </w:p>
    <w:p>
      <w:pPr>
        <w:pStyle w:val="7"/>
        <w:spacing w:before="0" w:beforeAutospacing="0" w:after="0" w:afterAutospacing="0" w:line="360" w:lineRule="auto"/>
        <w:ind w:firstLine="420"/>
        <w:rPr>
          <w:sz w:val="21"/>
          <w:szCs w:val="21"/>
        </w:rPr>
      </w:pPr>
      <w:r>
        <w:rPr>
          <w:rFonts w:hint="eastAsia"/>
          <w:sz w:val="21"/>
          <w:szCs w:val="21"/>
        </w:rPr>
        <w:t xml:space="preserve">1、组合限制 </w:t>
      </w:r>
    </w:p>
    <w:p>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pPr>
        <w:pStyle w:val="7"/>
        <w:spacing w:before="0" w:beforeAutospacing="0" w:after="0" w:afterAutospacing="0" w:line="360" w:lineRule="auto"/>
        <w:ind w:firstLine="420"/>
        <w:rPr>
          <w:sz w:val="21"/>
          <w:szCs w:val="21"/>
        </w:rPr>
      </w:pPr>
      <w:r>
        <w:rPr>
          <w:rFonts w:hint="eastAsia"/>
          <w:sz w:val="21"/>
          <w:szCs w:val="21"/>
        </w:rPr>
        <w:t xml:space="preserve">（1）本基金投资于标的指数成份股和备选成份股（含存托凭证）的资产比例不低于基金资产净值的90%，且不低于非现金基金资产的80%； </w:t>
      </w:r>
    </w:p>
    <w:p>
      <w:pPr>
        <w:pStyle w:val="7"/>
        <w:spacing w:before="0" w:beforeAutospacing="0" w:after="0" w:afterAutospacing="0" w:line="360" w:lineRule="auto"/>
        <w:ind w:firstLine="420"/>
        <w:rPr>
          <w:sz w:val="21"/>
          <w:szCs w:val="21"/>
        </w:rPr>
      </w:pPr>
      <w:r>
        <w:rPr>
          <w:rFonts w:hint="eastAsia"/>
          <w:sz w:val="21"/>
          <w:szCs w:val="21"/>
        </w:rPr>
        <w:t xml:space="preserve">（2）本基金每个交易日日终在扣除股指期货、股票期权和国债期货合约需缴纳的交易保证金后，应当保持不低于交易保证金一倍的现金，其中现金不包括结算备付金、存出保证金和应收申购款等；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（3）本基金参与股指期货和国债期货交易，需遵守下列投资比例限制： </w:t>
      </w:r>
    </w:p>
    <w:p>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1）本基金在任何交易日日终，持有的买入股指期货合约价值，不得超过基金资产净值的10%；在任何交易日日终，持有的买入国债期货合约价值，不得超过基金资产净值的15%； </w:t>
      </w:r>
    </w:p>
    <w:p>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 </w:t>
      </w:r>
    </w:p>
    <w:p>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3）本基金在任何交易日日终，持有的卖出股指期货合约价值不得超过基金持有的股票总市值的20%；在任何交易日日终，持有的卖出国债期货合约价值不得超过基金持有的债券总市值的30%； </w:t>
      </w:r>
    </w:p>
    <w:p>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在任何交易日内交易（不包括平仓）的国债期货合约的成交金额不得超过上一交易日基金资产净值的30%； </w:t>
      </w:r>
    </w:p>
    <w:p>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 </w:t>
      </w:r>
    </w:p>
    <w:p>
      <w:pPr>
        <w:pStyle w:val="7"/>
        <w:spacing w:before="0" w:beforeAutospacing="0" w:after="0" w:afterAutospacing="0" w:line="360" w:lineRule="auto"/>
        <w:ind w:firstLine="420"/>
        <w:rPr>
          <w:sz w:val="21"/>
          <w:szCs w:val="21"/>
        </w:rPr>
      </w:pPr>
      <w:r>
        <w:rPr>
          <w:rFonts w:hint="eastAsia"/>
          <w:sz w:val="21"/>
          <w:szCs w:val="21"/>
        </w:rPr>
        <w:t xml:space="preserve">（4）本基金投资于同一原始权益人的各类资产支持证券的比例，不得超过基金资产净值的10％；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（5）本基金持有的全部资产支持证券，其市值不得超过基金资产净值的20％；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（6）本基金持有的同一(指同一信用级别)资产支持证券的比例，不得超过该资产支持证券规模的10％；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（7）本基金管理人管理的全部基金投资于同一原始权益人的各类资产支持证券，不得超过其各类资产支持证券合计规模的10％；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（8）本基金应投资于信用级别评级为BBB以上(含BBB)的资产支持证券。基金持有资产支持证券期间，如果其信用等级下降、不再符合投资标准，应在评级报告发布之日起3个月内予以全部卖出；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（9）基金财产参与股票发行申购，本基金所申报的金额不超过本基金的总资产，本基金所申报的股票数量不超过拟发行股票公司本次发行股票的总量； </w:t>
      </w:r>
    </w:p>
    <w:p>
      <w:pPr>
        <w:pStyle w:val="7"/>
        <w:spacing w:before="0" w:beforeAutospacing="0" w:after="0" w:afterAutospacing="0" w:line="360" w:lineRule="auto"/>
        <w:ind w:firstLine="420"/>
        <w:rPr>
          <w:sz w:val="21"/>
          <w:szCs w:val="21"/>
        </w:rPr>
      </w:pPr>
      <w:r>
        <w:rPr>
          <w:rFonts w:hint="eastAsia"/>
          <w:sz w:val="21"/>
          <w:szCs w:val="21"/>
        </w:rPr>
        <w:t xml:space="preserve">（10）本基金参与融资的，在任何交易日日终，本基金持有的融资买入股票与其他有价证券市值之和，不得超过基金资产净值的95%； </w:t>
      </w:r>
    </w:p>
    <w:p>
      <w:pPr>
        <w:pStyle w:val="7"/>
        <w:spacing w:before="0" w:beforeAutospacing="0" w:after="0" w:afterAutospacing="0" w:line="360" w:lineRule="auto"/>
        <w:ind w:firstLine="420"/>
        <w:rPr>
          <w:sz w:val="21"/>
          <w:szCs w:val="21"/>
        </w:rPr>
      </w:pPr>
      <w:r>
        <w:rPr>
          <w:rFonts w:hint="eastAsia"/>
          <w:sz w:val="21"/>
          <w:szCs w:val="21"/>
        </w:rPr>
        <w:t xml:space="preserve">（11）本基金参与转融通证券出借业务，需遵守下列投资限制： </w:t>
      </w:r>
    </w:p>
    <w:p>
      <w:pPr>
        <w:pStyle w:val="7"/>
        <w:spacing w:before="0" w:beforeAutospacing="0" w:after="0" w:afterAutospacing="0" w:line="360" w:lineRule="auto"/>
        <w:ind w:firstLine="420"/>
        <w:rPr>
          <w:sz w:val="21"/>
          <w:szCs w:val="21"/>
        </w:rPr>
      </w:pPr>
      <w:r>
        <w:rPr>
          <w:rFonts w:hint="eastAsia"/>
          <w:sz w:val="21"/>
          <w:szCs w:val="21"/>
        </w:rPr>
        <w:t xml:space="preserve">1）出借证券资产不得超过基金资产净值的30%，出借期限在10个交易日以上的出借证券应纳入《流动性风险管理规定》所述流动性受限证券的范围； </w:t>
      </w:r>
    </w:p>
    <w:p>
      <w:pPr>
        <w:pStyle w:val="7"/>
        <w:spacing w:before="0" w:beforeAutospacing="0" w:after="0" w:afterAutospacing="0" w:line="360" w:lineRule="auto"/>
        <w:ind w:firstLine="420"/>
        <w:rPr>
          <w:sz w:val="21"/>
          <w:szCs w:val="21"/>
        </w:rPr>
      </w:pPr>
      <w:r>
        <w:rPr>
          <w:rFonts w:hint="eastAsia"/>
          <w:sz w:val="21"/>
          <w:szCs w:val="21"/>
        </w:rPr>
        <w:t xml:space="preserve">2）参与出借业务的单只证券不得超过本基金持有该证券总量的30%； </w:t>
      </w:r>
    </w:p>
    <w:p>
      <w:pPr>
        <w:pStyle w:val="7"/>
        <w:spacing w:before="0" w:beforeAutospacing="0" w:after="0" w:afterAutospacing="0" w:line="360" w:lineRule="auto"/>
        <w:ind w:firstLine="420"/>
        <w:rPr>
          <w:sz w:val="21"/>
          <w:szCs w:val="21"/>
        </w:rPr>
      </w:pPr>
      <w:r>
        <w:rPr>
          <w:rFonts w:hint="eastAsia"/>
          <w:sz w:val="21"/>
          <w:szCs w:val="21"/>
        </w:rPr>
        <w:t xml:space="preserve">3）最近6个月内日均基金资产净值不得低于2亿元； </w:t>
      </w:r>
    </w:p>
    <w:p>
      <w:pPr>
        <w:pStyle w:val="7"/>
        <w:spacing w:before="0" w:beforeAutospacing="0" w:after="0" w:afterAutospacing="0" w:line="360" w:lineRule="auto"/>
        <w:ind w:firstLine="420"/>
        <w:rPr>
          <w:sz w:val="21"/>
          <w:szCs w:val="21"/>
        </w:rPr>
      </w:pPr>
      <w:r>
        <w:rPr>
          <w:rFonts w:hint="eastAsia"/>
          <w:sz w:val="21"/>
          <w:szCs w:val="21"/>
        </w:rPr>
        <w:t xml:space="preserve">4）证券出借的平均剩余期限不得超过30天，平均剩余期限按照市值加权平均计算； </w:t>
      </w:r>
    </w:p>
    <w:p>
      <w:pPr>
        <w:pStyle w:val="7"/>
        <w:spacing w:before="0" w:beforeAutospacing="0" w:after="0" w:afterAutospacing="0" w:line="360" w:lineRule="auto"/>
        <w:ind w:firstLine="420"/>
        <w:rPr>
          <w:sz w:val="21"/>
          <w:szCs w:val="21"/>
        </w:rPr>
      </w:pPr>
      <w:r>
        <w:rPr>
          <w:rFonts w:hint="eastAsia"/>
          <w:sz w:val="21"/>
          <w:szCs w:val="21"/>
        </w:rPr>
        <w:t xml:space="preserve">因证券、期货市场波动、证券发行人合并、基金规模变动等基金管理人之外的因素致使基金投资不符合上述规定的，基金管理人不得新增出借业务； </w:t>
      </w:r>
    </w:p>
    <w:p>
      <w:pPr>
        <w:pStyle w:val="7"/>
        <w:spacing w:before="0" w:beforeAutospacing="0" w:after="0" w:afterAutospacing="0" w:line="360" w:lineRule="auto"/>
        <w:ind w:firstLine="420"/>
        <w:rPr>
          <w:sz w:val="21"/>
          <w:szCs w:val="21"/>
        </w:rPr>
      </w:pPr>
      <w:r>
        <w:rPr>
          <w:rFonts w:hint="eastAsia"/>
          <w:sz w:val="21"/>
          <w:szCs w:val="21"/>
        </w:rPr>
        <w:t xml:space="preserve">（12）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pPr>
        <w:pStyle w:val="7"/>
        <w:spacing w:before="0" w:beforeAutospacing="0" w:after="0" w:afterAutospacing="0" w:line="360" w:lineRule="auto"/>
        <w:ind w:firstLine="420"/>
        <w:rPr>
          <w:sz w:val="21"/>
          <w:szCs w:val="21"/>
        </w:rPr>
      </w:pPr>
      <w:r>
        <w:rPr>
          <w:rFonts w:hint="eastAsia"/>
          <w:sz w:val="21"/>
          <w:szCs w:val="21"/>
        </w:rPr>
        <w:t xml:space="preserve">（13）本基金主动投资于流动性受限资产的市值合计不得超过基金资产净值的15%；因证券/期货市场波动、上市公司股票停牌、基金规模变动等基金管理人之外的因素致使基金不符合该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（15）本基金资产总值不得超过基金资产净值的140%；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（16）本基金投资存托凭证的比例限制依照境内上市交易的股票执行； </w:t>
      </w:r>
    </w:p>
    <w:p>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上述（2）、（8）、（11）、（13）、（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 </w:t>
      </w:r>
    </w:p>
    <w:p>
      <w:pPr>
        <w:pStyle w:val="7"/>
        <w:spacing w:before="0" w:beforeAutospacing="0" w:after="0" w:afterAutospacing="0" w:line="360" w:lineRule="auto"/>
        <w:ind w:firstLine="420"/>
        <w:rPr>
          <w:sz w:val="21"/>
          <w:szCs w:val="21"/>
        </w:rPr>
      </w:pPr>
      <w:r>
        <w:rPr>
          <w:rFonts w:hint="eastAsia"/>
          <w:sz w:val="21"/>
          <w:szCs w:val="21"/>
        </w:rPr>
        <w:t xml:space="preserve">2、禁止行为 </w:t>
      </w:r>
    </w:p>
    <w:p>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法律、行政法规或监管部门取消或调整上述限制，如适用于本基金，基金管理人在履行适当程序后，则本基金投资不再受相关限制或按照调整后的规定执行。 </w:t>
      </w:r>
    </w:p>
    <w:p>
      <w:pPr>
        <w:pStyle w:val="7"/>
        <w:spacing w:before="0" w:beforeAutospacing="0" w:after="0" w:afterAutospacing="0" w:line="360" w:lineRule="auto"/>
        <w:ind w:firstLine="420"/>
        <w:rPr>
          <w:sz w:val="21"/>
          <w:szCs w:val="21"/>
        </w:rPr>
      </w:pPr>
      <w:r>
        <w:rPr>
          <w:rStyle w:val="11"/>
          <w:rFonts w:hint="eastAsia"/>
          <w:sz w:val="21"/>
          <w:szCs w:val="21"/>
        </w:rPr>
        <w:t>六、标的指数与业绩比较基准</w:t>
      </w:r>
    </w:p>
    <w:p>
      <w:pPr>
        <w:pStyle w:val="7"/>
        <w:spacing w:before="0" w:beforeAutospacing="0" w:after="0" w:afterAutospacing="0" w:line="360" w:lineRule="auto"/>
        <w:ind w:firstLine="420"/>
        <w:rPr>
          <w:sz w:val="21"/>
          <w:szCs w:val="21"/>
        </w:rPr>
      </w:pPr>
      <w:r>
        <w:rPr>
          <w:rFonts w:hint="eastAsia"/>
          <w:sz w:val="21"/>
          <w:szCs w:val="21"/>
        </w:rPr>
        <w:t xml:space="preserve">本基金的标的指数：国证大盘成长指数。 </w:t>
      </w:r>
    </w:p>
    <w:p>
      <w:pPr>
        <w:pStyle w:val="7"/>
        <w:spacing w:before="0" w:beforeAutospacing="0" w:after="0" w:afterAutospacing="0" w:line="360" w:lineRule="auto"/>
        <w:ind w:firstLine="420"/>
        <w:rPr>
          <w:sz w:val="21"/>
          <w:szCs w:val="21"/>
        </w:rPr>
      </w:pPr>
      <w:r>
        <w:rPr>
          <w:rFonts w:hint="eastAsia"/>
          <w:sz w:val="21"/>
          <w:szCs w:val="21"/>
        </w:rPr>
        <w:t xml:space="preserve">本基金的业绩比较基准为标的指数收益率，即国证大盘成长指数收益率。 </w:t>
      </w:r>
    </w:p>
    <w:p>
      <w:pPr>
        <w:pStyle w:val="7"/>
        <w:spacing w:before="0" w:beforeAutospacing="0" w:after="0" w:afterAutospacing="0" w:line="360" w:lineRule="auto"/>
        <w:ind w:firstLine="420"/>
        <w:rPr>
          <w:sz w:val="21"/>
          <w:szCs w:val="21"/>
        </w:rPr>
      </w:pPr>
      <w:r>
        <w:rPr>
          <w:rFonts w:hint="eastAsia"/>
          <w:sz w:val="21"/>
          <w:szCs w:val="21"/>
        </w:rPr>
        <w:t xml:space="preserve">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 </w:t>
      </w:r>
    </w:p>
    <w:p>
      <w:pPr>
        <w:pStyle w:val="7"/>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 </w:t>
      </w:r>
    </w:p>
    <w:p>
      <w:pPr>
        <w:pStyle w:val="7"/>
        <w:spacing w:before="0" w:beforeAutospacing="0" w:after="0" w:afterAutospacing="0" w:line="360" w:lineRule="auto"/>
        <w:ind w:firstLine="420"/>
        <w:rPr>
          <w:sz w:val="21"/>
          <w:szCs w:val="21"/>
        </w:rPr>
      </w:pPr>
      <w:r>
        <w:rPr>
          <w:rFonts w:hint="eastAsia"/>
          <w:sz w:val="21"/>
          <w:szCs w:val="21"/>
        </w:rPr>
        <w:t xml:space="preserve">若标的指数、业绩比较基准变更对基金投资无实质性影响（包括但不限于编制机构变更、指数更名等），则无需召开基金份额持有人大会，可经基金管理人和基金托管人协商一致后变更标的指数、基金名称和业绩比较基准，并及时公告。 </w:t>
      </w:r>
    </w:p>
    <w:p>
      <w:pPr>
        <w:pStyle w:val="7"/>
        <w:spacing w:before="0" w:beforeAutospacing="0" w:after="0" w:afterAutospacing="0" w:line="360" w:lineRule="auto"/>
        <w:ind w:firstLine="420"/>
        <w:rPr>
          <w:sz w:val="21"/>
          <w:szCs w:val="21"/>
        </w:rPr>
      </w:pPr>
      <w:r>
        <w:rPr>
          <w:rStyle w:val="11"/>
          <w:rFonts w:hint="eastAsia"/>
          <w:sz w:val="21"/>
          <w:szCs w:val="21"/>
        </w:rPr>
        <w:t>七、风险收益特征</w:t>
      </w:r>
    </w:p>
    <w:p>
      <w:pPr>
        <w:pStyle w:val="7"/>
        <w:spacing w:before="0" w:beforeAutospacing="0" w:after="0" w:afterAutospacing="0" w:line="360" w:lineRule="auto"/>
        <w:ind w:firstLine="420"/>
        <w:rPr>
          <w:sz w:val="21"/>
          <w:szCs w:val="21"/>
        </w:rPr>
      </w:pPr>
      <w:bookmarkStart w:id="118" w:name="field_60_riskyield_1_start"/>
      <w:bookmarkEnd w:id="118"/>
      <w:r>
        <w:rPr>
          <w:rFonts w:hint="eastAsia"/>
          <w:sz w:val="21"/>
          <w:szCs w:val="21"/>
        </w:rPr>
        <w:t xml:space="preserve">本基金属于股票型基金，其预期收益及预期风险水平高于混合型基金、债券型基金与货币市场基金。  </w:t>
      </w:r>
    </w:p>
    <w:p>
      <w:pPr>
        <w:pStyle w:val="7"/>
        <w:spacing w:before="0" w:beforeAutospacing="0" w:after="0" w:afterAutospacing="0" w:line="360" w:lineRule="auto"/>
        <w:ind w:firstLine="420"/>
        <w:rPr>
          <w:sz w:val="21"/>
          <w:szCs w:val="21"/>
        </w:rPr>
      </w:pPr>
      <w:r>
        <w:rPr>
          <w:rFonts w:hint="eastAsia"/>
          <w:sz w:val="21"/>
          <w:szCs w:val="21"/>
        </w:rPr>
        <w:t xml:space="preserve">本基金为被动式投资的股票型指数基金，跟踪国证大盘成长指数，其风险收益特征与标的指数所表征的市场组合的风险收益特征相似。 </w:t>
      </w:r>
      <w:bookmarkStart w:id="119" w:name="field_60_riskyield_1_end"/>
      <w:bookmarkEnd w:id="119"/>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八、基金管理人代表基金行使股东或债权人权利的处理原则及方法</w:t>
      </w:r>
    </w:p>
    <w:p>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pPr>
        <w:pStyle w:val="7"/>
        <w:spacing w:before="0" w:beforeAutospacing="0" w:after="0" w:afterAutospacing="0" w:line="360" w:lineRule="auto"/>
        <w:ind w:firstLine="420"/>
        <w:rPr>
          <w:sz w:val="21"/>
          <w:szCs w:val="21"/>
        </w:rPr>
      </w:pPr>
      <w:r>
        <w:rPr>
          <w:rFonts w:hint="eastAsia"/>
          <w:sz w:val="21"/>
          <w:szCs w:val="21"/>
        </w:rPr>
        <w:t>4、不通过关联交易为自身、雇员、授权代理人或任何存在利害关系的第三人牟取任何</w:t>
      </w:r>
      <w:bookmarkStart w:id="120" w:name="chapter_level1_13_60_section_1_end"/>
      <w:bookmarkEnd w:id="120"/>
      <w:r>
        <w:rPr>
          <w:rFonts w:hint="eastAsia"/>
          <w:sz w:val="21"/>
          <w:szCs w:val="21"/>
        </w:rPr>
        <w:t xml:space="preserve">不当利益。 </w:t>
      </w:r>
    </w:p>
    <w:p>
      <w:pPr>
        <w:pStyle w:val="7"/>
        <w:spacing w:before="0" w:beforeAutospacing="0" w:after="0" w:afterAutospacing="0" w:line="360" w:lineRule="auto"/>
        <w:ind w:firstLine="420"/>
        <w:rPr>
          <w:sz w:val="21"/>
          <w:szCs w:val="21"/>
        </w:rPr>
      </w:pPr>
      <w:bookmarkStart w:id="121" w:name="chapter_level1_13_60_section_2"/>
      <w:bookmarkEnd w:id="121"/>
      <w:r>
        <w:rPr>
          <w:rStyle w:val="11"/>
          <w:rFonts w:hint="eastAsia"/>
          <w:sz w:val="21"/>
          <w:szCs w:val="21"/>
        </w:rPr>
        <w:t>九、基金投资组合报告</w:t>
      </w:r>
    </w:p>
    <w:p>
      <w:pPr>
        <w:pStyle w:val="7"/>
        <w:spacing w:before="0" w:beforeAutospacing="0" w:after="0" w:afterAutospacing="0" w:line="360" w:lineRule="auto"/>
        <w:ind w:firstLine="420"/>
        <w:rPr>
          <w:sz w:val="21"/>
          <w:szCs w:val="21"/>
        </w:rPr>
      </w:pPr>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22" w:name="field_2343_financeendday_2"/>
      <w:r>
        <w:rPr>
          <w:sz w:val="21"/>
          <w:szCs w:val="21"/>
        </w:rPr>
        <w:t>2025年9月30日</w:t>
      </w:r>
      <w:bookmarkEnd w:id="122"/>
      <w:r>
        <w:rPr>
          <w:rFonts w:hint="eastAsia"/>
          <w:sz w:val="21"/>
          <w:szCs w:val="21"/>
        </w:rPr>
        <w:t xml:space="preserve">，本报告中所列财务数据未经审计。 </w:t>
      </w:r>
    </w:p>
    <w:p>
      <w:pPr>
        <w:pStyle w:val="7"/>
        <w:spacing w:before="0" w:beforeAutospacing="0" w:after="0" w:afterAutospacing="0" w:line="360" w:lineRule="auto"/>
        <w:ind w:firstLine="420"/>
        <w:rPr>
          <w:sz w:val="21"/>
          <w:szCs w:val="21"/>
        </w:rPr>
      </w:pPr>
      <w:bookmarkStart w:id="123" w:name="field_0_fundportfolio_1_start"/>
      <w:bookmarkEnd w:id="123"/>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3827"/>
        <w:gridCol w:w="1598"/>
        <w:gridCol w:w="2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占基金总资产的比例(%)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15,541,646.79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96.68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15,541,646.79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96.68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492,395.35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41,751.52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16,075,793.66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w:t>
            </w:r>
          </w:p>
        </w:tc>
      </w:tr>
    </w:tbl>
    <w:p>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3509"/>
        <w:gridCol w:w="1684"/>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408,134.00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1,528,709.00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12,171,953.79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76.17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267,185.00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428,697.00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136,728.00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79,508.00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425,714.00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pPr>
              <w:rPr>
                <w:rFonts w:ascii="宋体" w:hAnsi="宋体" w:eastAsia="宋体" w:cs="宋体"/>
                <w:sz w:val="24"/>
                <w:szCs w:val="24"/>
              </w:rPr>
            </w:pPr>
            <w:r>
              <w:rPr>
                <w:rFonts w:hint="eastAsia" w:ascii="宋体" w:hAnsi="宋体" w:eastAsia="宋体"/>
              </w:rPr>
              <w:t>教育</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95,018.00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pPr>
              <w:rPr>
                <w:rFonts w:ascii="宋体" w:hAnsi="宋体" w:eastAsia="宋体" w:cs="宋体"/>
                <w:sz w:val="24"/>
                <w:szCs w:val="24"/>
              </w:rPr>
            </w:pPr>
            <w:r>
              <w:rPr>
                <w:rFonts w:hint="eastAsia" w:ascii="宋体" w:hAnsi="宋体" w:eastAsia="宋体"/>
              </w:rPr>
              <w:t>综合</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15,541,646.79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97.26</w:t>
            </w:r>
          </w:p>
        </w:tc>
      </w:tr>
    </w:tbl>
    <w:p>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152"/>
        <w:gridCol w:w="1152"/>
        <w:gridCol w:w="1152"/>
        <w:gridCol w:w="1610"/>
        <w:gridCol w:w="2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300750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宁德时代</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4,560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1,833,120.00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600519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贵州茅台</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1,443,990.00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601899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紫金矿业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26,650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784,576.00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300308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中际旭创</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605,520.00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300502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新易盛</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585,232.00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002475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立讯精密</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8,300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536,927.00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002594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比亚迪</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491,445.00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688981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中芯国际</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3,471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486,391.23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603259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药明康德</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425,714.00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300274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阳光电源</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421,148.00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2.64</w:t>
            </w:r>
          </w:p>
        </w:tc>
      </w:tr>
    </w:tbl>
    <w:p>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本基金本报告期末未持有债券。</w:t>
      </w:r>
    </w:p>
    <w:p>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本基金本报告期末未持有债券。</w:t>
      </w:r>
    </w:p>
    <w:p>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本基金本报告期末未持有权证。</w:t>
      </w:r>
    </w:p>
    <w:p>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pPr>
        <w:pStyle w:val="7"/>
        <w:spacing w:before="0" w:beforeAutospacing="0" w:after="0" w:afterAutospacing="0" w:line="360" w:lineRule="auto"/>
        <w:ind w:firstLine="420"/>
        <w:rPr>
          <w:sz w:val="21"/>
          <w:szCs w:val="21"/>
        </w:rPr>
      </w:pPr>
      <w:r>
        <w:rPr>
          <w:rFonts w:hint="eastAsia"/>
          <w:sz w:val="21"/>
          <w:szCs w:val="21"/>
        </w:rPr>
        <w:t>本基金投资的前十名证券的发行主体中，紫金矿业集团股份有限公司在报告编制前一年受到上杭县住房和城乡建设局的处罚。本基金对上述证券的投资决策程序符合相关法规及公司制度的要求。</w:t>
      </w:r>
    </w:p>
    <w:p>
      <w:pPr>
        <w:pStyle w:val="7"/>
        <w:spacing w:before="0" w:beforeAutospacing="0" w:after="0" w:afterAutospacing="0" w:line="360" w:lineRule="auto"/>
        <w:ind w:firstLine="420"/>
        <w:rPr>
          <w:sz w:val="21"/>
          <w:szCs w:val="21"/>
        </w:rPr>
      </w:pPr>
      <w:r>
        <w:rPr>
          <w:rFonts w:hint="eastAsia"/>
          <w:sz w:val="21"/>
          <w:szCs w:val="21"/>
        </w:rPr>
        <w:t>除上述主体外，基金管理人未发现本基金投资的前十名证券发行主体出现本期被监管部门立案调查，或在报告编制日前一年受到公开谴责、处罚的情形。</w:t>
      </w:r>
    </w:p>
    <w:p>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4122"/>
        <w:gridCol w:w="28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41,751.52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41,751.52</w:t>
            </w:r>
          </w:p>
        </w:tc>
      </w:tr>
    </w:tbl>
    <w:p>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pPr>
        <w:pStyle w:val="7"/>
        <w:spacing w:before="0" w:beforeAutospacing="0" w:after="0" w:afterAutospacing="0" w:line="360" w:lineRule="auto"/>
        <w:ind w:firstLine="420"/>
        <w:rPr>
          <w:sz w:val="21"/>
          <w:szCs w:val="21"/>
        </w:rPr>
      </w:pPr>
      <w:bookmarkStart w:id="124" w:name="chapter_level1_13_60_section_2_end"/>
      <w:bookmarkEnd w:id="124"/>
      <w:r>
        <w:rPr>
          <w:rFonts w:hint="eastAsia"/>
          <w:sz w:val="21"/>
          <w:szCs w:val="21"/>
        </w:rPr>
        <w:t>由于四舍五入的原因，分项之和与合计项之间可能存在尾差。</w:t>
      </w:r>
      <w:bookmarkStart w:id="125" w:name="field_0_fundportfolio_1_end"/>
      <w:bookmarkEnd w:id="125"/>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26" w:name="chapter_level1_14_3500"/>
      <w:bookmarkStart w:id="127" w:name="_Toc213857373"/>
      <w:r>
        <w:rPr>
          <w:rFonts w:hint="eastAsia" w:ascii="宋体" w:hAnsi="宋体" w:eastAsia="宋体"/>
          <w:sz w:val="30"/>
        </w:rPr>
        <w:t>第十一部分 基金的业绩</w:t>
      </w:r>
      <w:bookmarkEnd w:id="126"/>
      <w:bookmarkEnd w:id="127"/>
    </w:p>
    <w:p>
      <w:pPr>
        <w:pStyle w:val="7"/>
        <w:spacing w:before="0" w:beforeAutospacing="0" w:after="0" w:afterAutospacing="0" w:line="360" w:lineRule="auto"/>
        <w:ind w:firstLine="420"/>
        <w:rPr>
          <w:sz w:val="21"/>
          <w:szCs w:val="21"/>
        </w:rPr>
      </w:pPr>
      <w:bookmarkStart w:id="128" w:name="chapter_level1_14_3500_section_1"/>
      <w:bookmarkEnd w:id="128"/>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pPr>
        <w:pStyle w:val="7"/>
        <w:spacing w:before="0" w:beforeAutospacing="0" w:after="0" w:afterAutospacing="0" w:line="360" w:lineRule="auto"/>
        <w:ind w:firstLine="420"/>
        <w:rPr>
          <w:sz w:val="21"/>
          <w:szCs w:val="21"/>
        </w:rPr>
      </w:pPr>
      <w:bookmarkStart w:id="129" w:name="field_0_indatatable_1_start"/>
      <w:bookmarkEnd w:id="129"/>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2025.06.18-2025.09.30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35.52%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37.71%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-2.19%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bl>
    <w:p>
      <w:pPr>
        <w:pStyle w:val="7"/>
        <w:spacing w:before="0" w:beforeAutospacing="0" w:after="0" w:afterAutospacing="0" w:line="360" w:lineRule="auto"/>
        <w:ind w:firstLine="420"/>
        <w:rPr>
          <w:sz w:val="21"/>
          <w:szCs w:val="21"/>
        </w:rPr>
      </w:pPr>
      <w:bookmarkStart w:id="130" w:name="field_0_indatatable_1_end"/>
      <w:bookmarkEnd w:id="130"/>
      <w:bookmarkStart w:id="131" w:name="chapter_level1_14_3500_section_1_end"/>
      <w:bookmarkEnd w:id="131"/>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2" w:name="_Toc213857374"/>
      <w:bookmarkStart w:id="133" w:name="chapter_level1_15_62"/>
      <w:r>
        <w:rPr>
          <w:rFonts w:hint="eastAsia" w:ascii="宋体" w:hAnsi="宋体" w:eastAsia="宋体"/>
          <w:sz w:val="30"/>
        </w:rPr>
        <w:t>第十二部分  基金的财产</w:t>
      </w:r>
      <w:bookmarkEnd w:id="132"/>
      <w:bookmarkEnd w:id="133"/>
    </w:p>
    <w:p>
      <w:pPr>
        <w:pStyle w:val="7"/>
        <w:spacing w:before="0" w:beforeAutospacing="0" w:after="0" w:afterAutospacing="0" w:line="360" w:lineRule="auto"/>
        <w:ind w:firstLine="420"/>
        <w:rPr>
          <w:sz w:val="21"/>
          <w:szCs w:val="21"/>
        </w:rPr>
      </w:pPr>
      <w:bookmarkStart w:id="134" w:name="chapter_level1_15_62_section_1"/>
      <w:bookmarkEnd w:id="134"/>
      <w:r>
        <w:rPr>
          <w:rStyle w:val="11"/>
          <w:rFonts w:hint="eastAsia"/>
          <w:sz w:val="21"/>
          <w:szCs w:val="21"/>
        </w:rPr>
        <w:t>一、基金资产总值</w:t>
      </w:r>
    </w:p>
    <w:p>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基金资产总值是指基金拥有的各类有价证券、银行存款本息、基金应收款项及其他资产的价值总和。 </w:t>
      </w:r>
    </w:p>
    <w:p>
      <w:pPr>
        <w:pStyle w:val="7"/>
        <w:spacing w:before="0" w:beforeAutospacing="0" w:after="0" w:afterAutospacing="0" w:line="360" w:lineRule="auto"/>
        <w:ind w:firstLine="420"/>
        <w:rPr>
          <w:sz w:val="21"/>
          <w:szCs w:val="21"/>
        </w:rPr>
      </w:pPr>
      <w:r>
        <w:rPr>
          <w:rStyle w:val="11"/>
          <w:rFonts w:hint="eastAsia"/>
          <w:sz w:val="21"/>
          <w:szCs w:val="21"/>
        </w:rPr>
        <w:t>二、基金资产净值</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pPr>
        <w:pStyle w:val="7"/>
        <w:spacing w:before="0" w:beforeAutospacing="0" w:after="0" w:afterAutospacing="0" w:line="360" w:lineRule="auto"/>
        <w:ind w:firstLine="420"/>
        <w:rPr>
          <w:sz w:val="21"/>
          <w:szCs w:val="21"/>
        </w:rPr>
      </w:pPr>
      <w:r>
        <w:rPr>
          <w:rStyle w:val="11"/>
          <w:rFonts w:hint="eastAsia"/>
          <w:sz w:val="21"/>
          <w:szCs w:val="21"/>
        </w:rPr>
        <w:t>三、基金财产的账户</w:t>
      </w:r>
    </w:p>
    <w:p>
      <w:pPr>
        <w:pStyle w:val="7"/>
        <w:spacing w:before="0" w:beforeAutospacing="0" w:after="0" w:afterAutospacing="0" w:line="360" w:lineRule="auto"/>
        <w:ind w:firstLine="420"/>
        <w:rPr>
          <w:sz w:val="21"/>
          <w:szCs w:val="21"/>
        </w:rPr>
      </w:pPr>
      <w:r>
        <w:rPr>
          <w:rFonts w:hint="eastAsia"/>
          <w:sz w:val="21"/>
          <w:szCs w:val="21"/>
        </w:rPr>
        <w:t xml:space="preserve">基金托管人或基金管理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35" w:name="chapter_level1_15_62_section_1_end"/>
      <w:bookmarkEnd w:id="135"/>
      <w:r>
        <w:rPr>
          <w:rFonts w:hint="eastAsia"/>
          <w:sz w:val="21"/>
          <w:szCs w:val="21"/>
        </w:rPr>
        <w:t xml:space="preserve">得相互抵销。非因基金财产本身承担的债务，不得对基金财产强制执行。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6" w:name="chapter_level1_16_63"/>
      <w:bookmarkStart w:id="137" w:name="_Toc213857375"/>
      <w:r>
        <w:rPr>
          <w:rFonts w:hint="eastAsia" w:ascii="宋体" w:hAnsi="宋体" w:eastAsia="宋体"/>
          <w:sz w:val="30"/>
        </w:rPr>
        <w:t>第十三部分  基金资产的估值</w:t>
      </w:r>
      <w:bookmarkEnd w:id="136"/>
      <w:bookmarkEnd w:id="137"/>
    </w:p>
    <w:p>
      <w:pPr>
        <w:pStyle w:val="7"/>
        <w:spacing w:before="0" w:beforeAutospacing="0" w:after="0" w:afterAutospacing="0" w:line="360" w:lineRule="auto"/>
        <w:ind w:firstLine="420"/>
        <w:rPr>
          <w:sz w:val="21"/>
          <w:szCs w:val="21"/>
        </w:rPr>
      </w:pPr>
      <w:bookmarkStart w:id="138" w:name="chapter_level1_16_63_section_1"/>
      <w:bookmarkEnd w:id="138"/>
      <w:r>
        <w:rPr>
          <w:rStyle w:val="11"/>
          <w:rFonts w:hint="eastAsia"/>
          <w:sz w:val="21"/>
          <w:szCs w:val="21"/>
        </w:rPr>
        <w:t>一、估值日</w:t>
      </w:r>
    </w:p>
    <w:p>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本基金的估值日为本基金相关的证券、期货交易场所的交易日以及国家法律法规规定需要对外披露基金净值的非交易日。 </w:t>
      </w:r>
    </w:p>
    <w:p>
      <w:pPr>
        <w:pStyle w:val="7"/>
        <w:spacing w:before="0" w:beforeAutospacing="0" w:after="0" w:afterAutospacing="0" w:line="360" w:lineRule="auto"/>
        <w:ind w:firstLine="420"/>
        <w:rPr>
          <w:sz w:val="21"/>
          <w:szCs w:val="21"/>
        </w:rPr>
      </w:pPr>
      <w:r>
        <w:rPr>
          <w:rStyle w:val="11"/>
          <w:rFonts w:hint="eastAsia"/>
          <w:sz w:val="21"/>
          <w:szCs w:val="21"/>
        </w:rPr>
        <w:t>二、估值对象</w:t>
      </w:r>
    </w:p>
    <w:p>
      <w:pPr>
        <w:pStyle w:val="7"/>
        <w:spacing w:before="0" w:beforeAutospacing="0" w:after="0" w:afterAutospacing="0" w:line="360" w:lineRule="auto"/>
        <w:ind w:firstLine="420"/>
        <w:rPr>
          <w:sz w:val="21"/>
          <w:szCs w:val="21"/>
        </w:rPr>
      </w:pPr>
      <w:r>
        <w:rPr>
          <w:rFonts w:hint="eastAsia"/>
          <w:sz w:val="21"/>
          <w:szCs w:val="21"/>
        </w:rPr>
        <w:t xml:space="preserve">基金所拥有的股票（含存托凭证）、债券、股指期货合约、国债期货合约、股票期权合约和银行存款本息、应收款项、资产支持证券、其它投资等资产及负债。 </w:t>
      </w:r>
    </w:p>
    <w:p>
      <w:pPr>
        <w:pStyle w:val="7"/>
        <w:spacing w:before="0" w:beforeAutospacing="0" w:after="0" w:afterAutospacing="0" w:line="360" w:lineRule="auto"/>
        <w:ind w:firstLine="420"/>
        <w:rPr>
          <w:sz w:val="21"/>
          <w:szCs w:val="21"/>
        </w:rPr>
      </w:pPr>
      <w:r>
        <w:rPr>
          <w:rStyle w:val="11"/>
          <w:rFonts w:hint="eastAsia"/>
          <w:sz w:val="21"/>
          <w:szCs w:val="21"/>
        </w:rPr>
        <w:t>三、估值原则</w:t>
      </w:r>
    </w:p>
    <w:p>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pPr>
        <w:pStyle w:val="7"/>
        <w:spacing w:before="0" w:beforeAutospacing="0" w:after="0" w:afterAutospacing="0" w:line="360" w:lineRule="auto"/>
        <w:ind w:firstLine="420"/>
        <w:rPr>
          <w:sz w:val="21"/>
          <w:szCs w:val="21"/>
        </w:rPr>
      </w:pPr>
      <w:r>
        <w:rPr>
          <w:rStyle w:val="11"/>
          <w:rFonts w:hint="eastAsia"/>
          <w:sz w:val="21"/>
          <w:szCs w:val="21"/>
        </w:rPr>
        <w:t>四、估值方法</w:t>
      </w:r>
    </w:p>
    <w:p>
      <w:pPr>
        <w:pStyle w:val="7"/>
        <w:spacing w:before="0" w:beforeAutospacing="0" w:after="0" w:afterAutospacing="0" w:line="360" w:lineRule="auto"/>
        <w:ind w:firstLine="420"/>
        <w:rPr>
          <w:sz w:val="21"/>
          <w:szCs w:val="21"/>
        </w:rPr>
      </w:pPr>
      <w:r>
        <w:rPr>
          <w:rFonts w:hint="eastAsia"/>
          <w:sz w:val="21"/>
          <w:szCs w:val="21"/>
        </w:rPr>
        <w:t xml:space="preserve">1、交易所上市或挂牌转让的有价证券（包括股票等，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2、对于已上市或已挂牌转让的不含权固定收益品种，选取估值日第三方估值基准服务机构提供的相应品种当日的估值全价进行估值。 </w:t>
      </w:r>
    </w:p>
    <w:p>
      <w:pPr>
        <w:pStyle w:val="7"/>
        <w:spacing w:before="0" w:beforeAutospacing="0" w:after="0" w:afterAutospacing="0" w:line="360" w:lineRule="auto"/>
        <w:ind w:firstLine="420"/>
        <w:rPr>
          <w:sz w:val="21"/>
          <w:szCs w:val="21"/>
        </w:rPr>
      </w:pPr>
      <w:r>
        <w:rPr>
          <w:rFonts w:hint="eastAsia"/>
          <w:sz w:val="21"/>
          <w:szCs w:val="21"/>
        </w:rPr>
        <w:t xml:space="preserve">3、对于已上市或已挂牌转让的含权固定收益品种，选取估值日第三方估值基准服务机构提供的相应品种当日的唯一估值全价或推荐估值全价进行估值。 </w:t>
      </w:r>
    </w:p>
    <w:p>
      <w:pPr>
        <w:pStyle w:val="7"/>
        <w:spacing w:before="0" w:beforeAutospacing="0" w:after="0" w:afterAutospacing="0" w:line="360" w:lineRule="auto"/>
        <w:ind w:firstLine="420"/>
        <w:rPr>
          <w:sz w:val="21"/>
          <w:szCs w:val="21"/>
        </w:rPr>
      </w:pPr>
      <w:r>
        <w:rPr>
          <w:rFonts w:hint="eastAsia"/>
          <w:sz w:val="21"/>
          <w:szCs w:val="21"/>
        </w:rPr>
        <w:t xml:space="preserve">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 </w:t>
      </w:r>
    </w:p>
    <w:p>
      <w:pPr>
        <w:pStyle w:val="7"/>
        <w:spacing w:before="0" w:beforeAutospacing="0" w:after="0" w:afterAutospacing="0" w:line="360" w:lineRule="auto"/>
        <w:ind w:firstLine="420"/>
        <w:rPr>
          <w:sz w:val="21"/>
          <w:szCs w:val="21"/>
        </w:rPr>
      </w:pPr>
      <w:r>
        <w:rPr>
          <w:rFonts w:hint="eastAsia"/>
          <w:sz w:val="21"/>
          <w:szCs w:val="21"/>
        </w:rPr>
        <w:t xml:space="preserve">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 </w:t>
      </w:r>
    </w:p>
    <w:p>
      <w:pPr>
        <w:pStyle w:val="7"/>
        <w:spacing w:before="0" w:beforeAutospacing="0" w:after="0" w:afterAutospacing="0" w:line="360" w:lineRule="auto"/>
        <w:ind w:firstLine="420"/>
        <w:rPr>
          <w:sz w:val="21"/>
          <w:szCs w:val="21"/>
        </w:rPr>
      </w:pPr>
      <w:r>
        <w:rPr>
          <w:rFonts w:hint="eastAsia"/>
          <w:sz w:val="21"/>
          <w:szCs w:val="21"/>
        </w:rPr>
        <w:t xml:space="preserve">5、对于未上市或未挂牌转让且不存在活跃市场的固定收益品种，应采用在当前情况下适用并且有足够可利用数据和其他信息支持的估值技术确定其公允价值。 </w:t>
      </w:r>
    </w:p>
    <w:p>
      <w:pPr>
        <w:pStyle w:val="7"/>
        <w:spacing w:before="0" w:beforeAutospacing="0" w:after="0" w:afterAutospacing="0" w:line="360" w:lineRule="auto"/>
        <w:ind w:firstLine="420"/>
        <w:rPr>
          <w:sz w:val="21"/>
          <w:szCs w:val="21"/>
        </w:rPr>
      </w:pPr>
      <w:r>
        <w:rPr>
          <w:rFonts w:hint="eastAsia"/>
          <w:sz w:val="21"/>
          <w:szCs w:val="21"/>
        </w:rPr>
        <w:t xml:space="preserve">6、处于未上市期间的股票应区分如下情况处理： </w:t>
      </w:r>
    </w:p>
    <w:p>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pPr>
        <w:pStyle w:val="7"/>
        <w:spacing w:before="0" w:beforeAutospacing="0" w:after="0" w:afterAutospacing="0" w:line="360" w:lineRule="auto"/>
        <w:ind w:firstLine="420"/>
        <w:rPr>
          <w:sz w:val="21"/>
          <w:szCs w:val="21"/>
        </w:rPr>
      </w:pPr>
      <w:r>
        <w:rPr>
          <w:rFonts w:hint="eastAsia"/>
          <w:sz w:val="21"/>
          <w:szCs w:val="21"/>
        </w:rPr>
        <w:t xml:space="preserve">7、本基金投资存托凭证的估值核算，依照境内上市交易的股票执行。 </w:t>
      </w:r>
    </w:p>
    <w:p>
      <w:pPr>
        <w:pStyle w:val="7"/>
        <w:spacing w:before="0" w:beforeAutospacing="0" w:after="0" w:afterAutospacing="0" w:line="360" w:lineRule="auto"/>
        <w:ind w:firstLine="420"/>
        <w:rPr>
          <w:sz w:val="21"/>
          <w:szCs w:val="21"/>
        </w:rPr>
      </w:pPr>
      <w:r>
        <w:rPr>
          <w:rFonts w:hint="eastAsia"/>
          <w:sz w:val="21"/>
          <w:szCs w:val="21"/>
        </w:rPr>
        <w:t xml:space="preserve">8、同一证券同时在两个或两个以上市场交易的，按证券所处的市场分别估值。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9、本基金投资股指期货、国债期货合约，一般以估值当日结算价确定公允价值，估值当日无结算价的，且最近交易日后未发生影响公允价值计量的重大事件的，采用最近交易日结算价估值。 </w:t>
      </w:r>
    </w:p>
    <w:p>
      <w:pPr>
        <w:pStyle w:val="7"/>
        <w:spacing w:before="0" w:beforeAutospacing="0" w:after="0" w:afterAutospacing="0" w:line="360" w:lineRule="auto"/>
        <w:ind w:firstLine="420"/>
        <w:rPr>
          <w:sz w:val="21"/>
          <w:szCs w:val="21"/>
        </w:rPr>
      </w:pPr>
      <w:r>
        <w:rPr>
          <w:rFonts w:hint="eastAsia"/>
          <w:sz w:val="21"/>
          <w:szCs w:val="21"/>
        </w:rPr>
        <w:t xml:space="preserve">10、本基金投资股票期权，根据相关法律法规以及监管部门的规定估值。 </w:t>
      </w:r>
    </w:p>
    <w:p>
      <w:pPr>
        <w:pStyle w:val="7"/>
        <w:spacing w:before="0" w:beforeAutospacing="0" w:after="0" w:afterAutospacing="0" w:line="360" w:lineRule="auto"/>
        <w:ind w:firstLine="420"/>
        <w:rPr>
          <w:sz w:val="21"/>
          <w:szCs w:val="21"/>
        </w:rPr>
      </w:pPr>
      <w:r>
        <w:rPr>
          <w:rFonts w:hint="eastAsia"/>
          <w:sz w:val="21"/>
          <w:szCs w:val="21"/>
        </w:rPr>
        <w:t xml:space="preserve">11、本基金参与融资及转融通证券出借业务的，应参照法律法规及行业协会的相关规定进行估值。 </w:t>
      </w:r>
    </w:p>
    <w:p>
      <w:pPr>
        <w:pStyle w:val="7"/>
        <w:spacing w:before="0" w:beforeAutospacing="0" w:after="0" w:afterAutospacing="0" w:line="360" w:lineRule="auto"/>
        <w:ind w:firstLine="420"/>
        <w:rPr>
          <w:sz w:val="21"/>
          <w:szCs w:val="21"/>
        </w:rPr>
      </w:pPr>
      <w:r>
        <w:rPr>
          <w:rFonts w:hint="eastAsia"/>
          <w:sz w:val="21"/>
          <w:szCs w:val="21"/>
        </w:rPr>
        <w:t xml:space="preserve">12、如有确凿证据表明按上述方法进行估值不能客观反映其公允价值的，基金管理人可根据具体情况与基金托管人商定后，按最能反映公允价值的方法估值。 </w:t>
      </w:r>
    </w:p>
    <w:p>
      <w:pPr>
        <w:pStyle w:val="7"/>
        <w:spacing w:before="0" w:beforeAutospacing="0" w:after="0" w:afterAutospacing="0" w:line="360" w:lineRule="auto"/>
        <w:ind w:firstLine="420"/>
        <w:rPr>
          <w:sz w:val="21"/>
          <w:szCs w:val="21"/>
        </w:rPr>
      </w:pPr>
      <w:r>
        <w:rPr>
          <w:rFonts w:hint="eastAsia"/>
          <w:sz w:val="21"/>
          <w:szCs w:val="21"/>
        </w:rPr>
        <w:t xml:space="preserve">13、相关法律法规以及监管部门有强制规定的，从其规定。如有新增事项，按国家最新规定估值。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39" w:name="chapter_level1_16_63_section_1_end"/>
      <w:bookmarkEnd w:id="139"/>
      <w:r>
        <w:rPr>
          <w:rFonts w:hint="eastAsia"/>
          <w:sz w:val="21"/>
          <w:szCs w:val="21"/>
        </w:rPr>
        <w:t xml:space="preserve">对外予以公布。 </w:t>
      </w:r>
    </w:p>
    <w:p>
      <w:pPr>
        <w:pStyle w:val="7"/>
        <w:spacing w:before="0" w:beforeAutospacing="0" w:after="0" w:afterAutospacing="0" w:line="360" w:lineRule="auto"/>
        <w:ind w:firstLine="420"/>
        <w:rPr>
          <w:sz w:val="21"/>
          <w:szCs w:val="21"/>
        </w:rPr>
      </w:pPr>
      <w:bookmarkStart w:id="140" w:name="chapter_level1_16_63_section_2"/>
      <w:bookmarkEnd w:id="140"/>
      <w:r>
        <w:rPr>
          <w:rStyle w:val="11"/>
          <w:rFonts w:hint="eastAsia"/>
          <w:sz w:val="21"/>
          <w:szCs w:val="21"/>
        </w:rPr>
        <w:t>五、估值程序</w:t>
      </w:r>
    </w:p>
    <w:p>
      <w:pPr>
        <w:pStyle w:val="7"/>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1、基金份额净值是按照每个工作日闭市后，基金资产净值除以当日基金份额的余额数量计算，精确到</w:t>
      </w:r>
      <w:bookmarkStart w:id="141" w:name="field_63_netdecimalvalue_1"/>
      <w:r>
        <w:rPr>
          <w:sz w:val="21"/>
          <w:szCs w:val="21"/>
        </w:rPr>
        <w:t>0.0001</w:t>
      </w:r>
      <w:bookmarkEnd w:id="141"/>
      <w:r>
        <w:rPr>
          <w:rFonts w:hint="eastAsia"/>
          <w:sz w:val="21"/>
          <w:szCs w:val="21"/>
        </w:rPr>
        <w:t>元，小数点后第</w:t>
      </w:r>
      <w:bookmarkStart w:id="142" w:name="field_0_netdecimaladd1_2"/>
      <w:r>
        <w:rPr>
          <w:sz w:val="21"/>
          <w:szCs w:val="21"/>
        </w:rPr>
        <w:t>5</w:t>
      </w:r>
      <w:bookmarkEnd w:id="142"/>
      <w:r>
        <w:rPr>
          <w:rFonts w:hint="eastAsia"/>
          <w:sz w:val="21"/>
          <w:szCs w:val="21"/>
        </w:rPr>
        <w:t xml:space="preserve">位四舍五入，由此产生的误差计入基金财产。基金管理人可以设立大额赎回情形下的净值精度应急调整机制。国家另有规定的，从其规定。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基金管理人于每个工作日计算基金资产净值及基金份额净值，并按规定公告。 </w:t>
      </w:r>
    </w:p>
    <w:p>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 </w:t>
      </w:r>
    </w:p>
    <w:p>
      <w:pPr>
        <w:pStyle w:val="7"/>
        <w:spacing w:before="0" w:beforeAutospacing="0" w:after="0" w:afterAutospacing="0" w:line="360" w:lineRule="auto"/>
        <w:ind w:firstLine="420"/>
        <w:rPr>
          <w:sz w:val="21"/>
          <w:szCs w:val="21"/>
        </w:rPr>
      </w:pPr>
      <w:r>
        <w:rPr>
          <w:rStyle w:val="11"/>
          <w:rFonts w:hint="eastAsia"/>
          <w:sz w:val="21"/>
          <w:szCs w:val="21"/>
        </w:rPr>
        <w:t>六、估值错误的处理</w:t>
      </w:r>
    </w:p>
    <w:p>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基金管理人和基金托管人将采取必要、适当、合理的措施确保基金资产估值的准确性、及时性。当基金份额净值小数点后</w:t>
      </w:r>
      <w:bookmarkStart w:id="143" w:name="field_63_netdecimal_2"/>
      <w:r>
        <w:rPr>
          <w:sz w:val="21"/>
          <w:szCs w:val="21"/>
        </w:rPr>
        <w:t>4</w:t>
      </w:r>
      <w:bookmarkEnd w:id="143"/>
      <w:r>
        <w:rPr>
          <w:rFonts w:hint="eastAsia"/>
          <w:sz w:val="21"/>
          <w:szCs w:val="21"/>
        </w:rPr>
        <w:t>位以内(含第</w:t>
      </w:r>
      <w:bookmarkStart w:id="144" w:name="field_63_netdecimal_3"/>
      <w:r>
        <w:rPr>
          <w:sz w:val="21"/>
          <w:szCs w:val="21"/>
        </w:rPr>
        <w:t>4</w:t>
      </w:r>
      <w:bookmarkEnd w:id="144"/>
      <w:r>
        <w:rPr>
          <w:rFonts w:hint="eastAsia"/>
          <w:sz w:val="21"/>
          <w:szCs w:val="21"/>
        </w:rPr>
        <w:t xml:space="preserve">位)发生估值错误时，视为基金份额净值错误。 </w:t>
      </w:r>
    </w:p>
    <w:p>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pPr>
        <w:pStyle w:val="7"/>
        <w:spacing w:before="0" w:beforeAutospacing="0" w:after="0" w:afterAutospacing="0" w:line="360" w:lineRule="auto"/>
        <w:ind w:firstLine="420"/>
        <w:rPr>
          <w:sz w:val="21"/>
          <w:szCs w:val="21"/>
        </w:rPr>
      </w:pPr>
      <w:r>
        <w:rPr>
          <w:rFonts w:hint="eastAsia"/>
          <w:sz w:val="21"/>
          <w:szCs w:val="21"/>
        </w:rPr>
        <w:t xml:space="preserve">1、估值错误类型 </w:t>
      </w:r>
    </w:p>
    <w:p>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pPr>
        <w:pStyle w:val="7"/>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（3）前述内容如法律法规或者监管部门另有规定的，从其规定。如果行业另有通行做法，基金管理人和基金托管人应本着平等和保护基金份额持有人利益的原则进行协商。 </w:t>
      </w:r>
    </w:p>
    <w:p>
      <w:pPr>
        <w:pStyle w:val="7"/>
        <w:spacing w:before="0" w:beforeAutospacing="0" w:after="0" w:afterAutospacing="0" w:line="360" w:lineRule="auto"/>
        <w:ind w:firstLine="420"/>
        <w:rPr>
          <w:sz w:val="21"/>
          <w:szCs w:val="21"/>
        </w:rPr>
      </w:pPr>
      <w:r>
        <w:rPr>
          <w:rStyle w:val="11"/>
          <w:rFonts w:hint="eastAsia"/>
          <w:sz w:val="21"/>
          <w:szCs w:val="21"/>
        </w:rPr>
        <w:t>七、暂停估值的情形</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2、因不可抗力或者其他情形致使基金管理人、基金托管人无法准确评估基金资产价值时；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3、当前一估值日基金资产净值50%以上的资产出现无可参考的活跃市场价格且采用估值技术仍导致公允价值存在重大不确定性时，经与基金托管人协商确认后，基金管理人应当暂停估值； </w:t>
      </w:r>
    </w:p>
    <w:p>
      <w:pPr>
        <w:pStyle w:val="7"/>
        <w:spacing w:before="0" w:beforeAutospacing="0" w:after="0" w:afterAutospacing="0" w:line="360" w:lineRule="auto"/>
        <w:ind w:firstLine="420"/>
        <w:rPr>
          <w:sz w:val="21"/>
          <w:szCs w:val="21"/>
        </w:rPr>
      </w:pPr>
      <w:r>
        <w:rPr>
          <w:rFonts w:hint="eastAsia"/>
          <w:sz w:val="21"/>
          <w:szCs w:val="21"/>
        </w:rPr>
        <w:t xml:space="preserve">4、法律法规、中国证监会和基金合同认定的其它情形。 </w:t>
      </w:r>
    </w:p>
    <w:p>
      <w:pPr>
        <w:pStyle w:val="7"/>
        <w:spacing w:before="0" w:beforeAutospacing="0" w:after="0" w:afterAutospacing="0" w:line="360" w:lineRule="auto"/>
        <w:ind w:firstLine="420"/>
        <w:rPr>
          <w:sz w:val="21"/>
          <w:szCs w:val="21"/>
        </w:rPr>
      </w:pPr>
      <w:r>
        <w:rPr>
          <w:rStyle w:val="11"/>
          <w:rFonts w:hint="eastAsia"/>
          <w:sz w:val="21"/>
          <w:szCs w:val="21"/>
        </w:rPr>
        <w:t>八、基金净值的确认</w:t>
      </w:r>
    </w:p>
    <w:p>
      <w:pPr>
        <w:pStyle w:val="7"/>
        <w:spacing w:before="0" w:beforeAutospacing="0" w:after="0" w:afterAutospacing="0" w:line="360" w:lineRule="auto"/>
        <w:ind w:firstLine="420"/>
        <w:rPr>
          <w:sz w:val="21"/>
          <w:szCs w:val="21"/>
        </w:rPr>
      </w:pPr>
      <w:r>
        <w:rPr>
          <w:rFonts w:hint="eastAsia"/>
          <w:sz w:val="21"/>
          <w:szCs w:val="21"/>
        </w:rPr>
        <w:t xml:space="preserve">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对基金净值信息按约定予以公布。 </w:t>
      </w:r>
    </w:p>
    <w:p>
      <w:pPr>
        <w:pStyle w:val="7"/>
        <w:spacing w:before="0" w:beforeAutospacing="0" w:after="0" w:afterAutospacing="0" w:line="360" w:lineRule="auto"/>
        <w:ind w:firstLine="420"/>
        <w:rPr>
          <w:sz w:val="21"/>
          <w:szCs w:val="21"/>
        </w:rPr>
      </w:pPr>
      <w:r>
        <w:rPr>
          <w:rStyle w:val="11"/>
          <w:rFonts w:hint="eastAsia"/>
          <w:sz w:val="21"/>
          <w:szCs w:val="21"/>
        </w:rPr>
        <w:t>九、特殊情况的处理</w:t>
      </w:r>
    </w:p>
    <w:p>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1、基金管理人或基金托管人按估值方法的第12项进行估值时，所造成的误差不作为基金资产估值错误处理。 </w:t>
      </w:r>
    </w:p>
    <w:p>
      <w:pPr>
        <w:pStyle w:val="7"/>
        <w:spacing w:before="0" w:beforeAutospacing="0" w:after="0" w:afterAutospacing="0" w:line="360" w:lineRule="auto"/>
        <w:ind w:firstLine="420"/>
        <w:rPr>
          <w:sz w:val="21"/>
          <w:szCs w:val="21"/>
        </w:rPr>
      </w:pPr>
      <w:r>
        <w:rPr>
          <w:rFonts w:hint="eastAsia"/>
          <w:sz w:val="21"/>
          <w:szCs w:val="21"/>
        </w:rPr>
        <w:t>2、由于不可抗力原因，或证券/期货交易所、指数编制机构及登记结算公司等机构发送的数据错误、遗漏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w:t>
      </w:r>
      <w:bookmarkStart w:id="145" w:name="chapter_level1_16_63_section_2_end"/>
      <w:bookmarkEnd w:id="145"/>
      <w:r>
        <w:rPr>
          <w:rFonts w:hint="eastAsia"/>
          <w:sz w:val="21"/>
          <w:szCs w:val="21"/>
        </w:rPr>
        <w:t xml:space="preserve">的影响。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6" w:name="chapter_level1_17_64"/>
      <w:bookmarkStart w:id="147" w:name="_Toc213857376"/>
      <w:r>
        <w:rPr>
          <w:rFonts w:hint="eastAsia" w:ascii="宋体" w:hAnsi="宋体" w:eastAsia="宋体"/>
          <w:sz w:val="30"/>
        </w:rPr>
        <w:t>第十四部分  基金的收益与分配</w:t>
      </w:r>
      <w:bookmarkEnd w:id="146"/>
      <w:bookmarkEnd w:id="147"/>
    </w:p>
    <w:p>
      <w:pPr>
        <w:pStyle w:val="7"/>
        <w:spacing w:before="0" w:beforeAutospacing="0" w:after="0" w:afterAutospacing="0" w:line="360" w:lineRule="auto"/>
        <w:ind w:firstLine="420"/>
        <w:rPr>
          <w:sz w:val="21"/>
          <w:szCs w:val="21"/>
        </w:rPr>
      </w:pPr>
      <w:bookmarkStart w:id="148" w:name="chapter_level1_17_64_section_1"/>
      <w:bookmarkEnd w:id="148"/>
      <w:r>
        <w:rPr>
          <w:rStyle w:val="11"/>
          <w:rFonts w:hint="eastAsia"/>
          <w:sz w:val="21"/>
          <w:szCs w:val="21"/>
        </w:rPr>
        <w:t>一、基金收益分配原则</w:t>
      </w:r>
    </w:p>
    <w:p>
      <w:pPr>
        <w:pStyle w:val="7"/>
        <w:spacing w:before="0" w:beforeAutospacing="0" w:after="0" w:afterAutospacing="0" w:line="360" w:lineRule="auto"/>
        <w:ind w:firstLine="420"/>
        <w:rPr>
          <w:sz w:val="21"/>
          <w:szCs w:val="21"/>
        </w:rPr>
      </w:pPr>
      <w:r>
        <w:rPr>
          <w:rFonts w:hint="eastAsia"/>
          <w:sz w:val="21"/>
          <w:szCs w:val="21"/>
        </w:rPr>
        <w:t xml:space="preserve">1、本基金基金份额的收益分配方式采用现金分红； </w:t>
      </w:r>
    </w:p>
    <w:p>
      <w:pPr>
        <w:pStyle w:val="7"/>
        <w:spacing w:before="0" w:beforeAutospacing="0" w:after="0" w:afterAutospacing="0" w:line="360" w:lineRule="auto"/>
        <w:ind w:firstLine="420"/>
        <w:rPr>
          <w:sz w:val="21"/>
          <w:szCs w:val="21"/>
        </w:rPr>
      </w:pPr>
      <w:r>
        <w:rPr>
          <w:rFonts w:hint="eastAsia"/>
          <w:sz w:val="21"/>
          <w:szCs w:val="21"/>
        </w:rPr>
        <w:t xml:space="preserve">2、当收益评价日核定的基金份额净值增长率超过标的指数同期增长率达到0.01%以上时，可进行收益分配； </w:t>
      </w:r>
    </w:p>
    <w:p>
      <w:pPr>
        <w:pStyle w:val="7"/>
        <w:spacing w:before="0" w:beforeAutospacing="0" w:after="0" w:afterAutospacing="0" w:line="360" w:lineRule="auto"/>
        <w:ind w:firstLine="420"/>
        <w:rPr>
          <w:sz w:val="21"/>
          <w:szCs w:val="21"/>
        </w:rPr>
      </w:pPr>
      <w:r>
        <w:rPr>
          <w:rFonts w:hint="eastAsia"/>
          <w:sz w:val="21"/>
          <w:szCs w:val="21"/>
        </w:rPr>
        <w:t xml:space="preserve">3、本基金以使收益分配后基金份额净值增长率尽可能贴近标的指数同期增长率为原则进行收益分配。基于本基金的性质和特点，本基金收益分配不须以弥补亏损为前提，收益分配后有可能使除息后的基金份额净值低于面值； </w:t>
      </w:r>
    </w:p>
    <w:p>
      <w:pPr>
        <w:pStyle w:val="7"/>
        <w:spacing w:before="0" w:beforeAutospacing="0" w:after="0" w:afterAutospacing="0" w:line="360" w:lineRule="auto"/>
        <w:ind w:firstLine="420"/>
        <w:rPr>
          <w:sz w:val="21"/>
          <w:szCs w:val="21"/>
        </w:rPr>
      </w:pPr>
      <w:r>
        <w:rPr>
          <w:rFonts w:hint="eastAsia"/>
          <w:sz w:val="21"/>
          <w:szCs w:val="21"/>
        </w:rPr>
        <w:t xml:space="preserve">4、若《基金合同》生效不满3个月可不进行收益分配； </w:t>
      </w:r>
    </w:p>
    <w:p>
      <w:pPr>
        <w:pStyle w:val="7"/>
        <w:spacing w:before="0" w:beforeAutospacing="0" w:after="0" w:afterAutospacing="0" w:line="360" w:lineRule="auto"/>
        <w:ind w:firstLine="420"/>
        <w:rPr>
          <w:sz w:val="21"/>
          <w:szCs w:val="21"/>
        </w:rPr>
      </w:pPr>
      <w:r>
        <w:rPr>
          <w:rFonts w:hint="eastAsia"/>
          <w:sz w:val="21"/>
          <w:szCs w:val="21"/>
        </w:rPr>
        <w:t xml:space="preserve">5、每一基金份额享有同等分配权； </w:t>
      </w:r>
    </w:p>
    <w:p>
      <w:pPr>
        <w:pStyle w:val="7"/>
        <w:spacing w:before="0" w:beforeAutospacing="0" w:after="0" w:afterAutospacing="0" w:line="360" w:lineRule="auto"/>
        <w:ind w:firstLine="420"/>
        <w:rPr>
          <w:sz w:val="21"/>
          <w:szCs w:val="21"/>
        </w:rPr>
      </w:pPr>
      <w:r>
        <w:rPr>
          <w:rFonts w:hint="eastAsia"/>
          <w:sz w:val="21"/>
          <w:szCs w:val="21"/>
        </w:rPr>
        <w:t xml:space="preserve">6、法律法规或监管机关、证券交易所、登记机构另有规定的，从其规定。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在不违反法律法规且对基金份额持有人利益无实质性不利影响的前提下，基金管理人经与基金托管人协商一致后可对基金收益分配原则进行调整，并及时公告。 </w:t>
      </w:r>
    </w:p>
    <w:p>
      <w:pPr>
        <w:pStyle w:val="7"/>
        <w:spacing w:before="0" w:beforeAutospacing="0" w:after="0" w:afterAutospacing="0" w:line="360" w:lineRule="auto"/>
        <w:ind w:firstLine="420"/>
        <w:rPr>
          <w:sz w:val="21"/>
          <w:szCs w:val="21"/>
        </w:rPr>
      </w:pPr>
      <w:r>
        <w:rPr>
          <w:rStyle w:val="11"/>
          <w:rFonts w:hint="eastAsia"/>
          <w:sz w:val="21"/>
          <w:szCs w:val="21"/>
        </w:rPr>
        <w:t>二、基金收益分配比例及金额的确定原则</w:t>
      </w:r>
    </w:p>
    <w:p>
      <w:pPr>
        <w:pStyle w:val="7"/>
        <w:spacing w:before="0" w:beforeAutospacing="0" w:after="0" w:afterAutospacing="0" w:line="360" w:lineRule="auto"/>
        <w:ind w:firstLine="420"/>
        <w:rPr>
          <w:sz w:val="21"/>
          <w:szCs w:val="21"/>
        </w:rPr>
      </w:pPr>
      <w:r>
        <w:rPr>
          <w:rFonts w:hint="eastAsia"/>
          <w:sz w:val="21"/>
          <w:szCs w:val="21"/>
        </w:rPr>
        <w:t xml:space="preserve">1、在收益评价日，基金管理人计算基金份额净值增长率、标的指数同期增长率。 </w:t>
      </w:r>
    </w:p>
    <w:p>
      <w:pPr>
        <w:pStyle w:val="7"/>
        <w:spacing w:before="0" w:beforeAutospacing="0" w:after="0" w:afterAutospacing="0" w:line="360" w:lineRule="auto"/>
        <w:ind w:firstLine="420"/>
        <w:rPr>
          <w:sz w:val="21"/>
          <w:szCs w:val="21"/>
        </w:rPr>
      </w:pPr>
      <w:r>
        <w:rPr>
          <w:rFonts w:hint="eastAsia"/>
          <w:sz w:val="21"/>
          <w:szCs w:val="21"/>
        </w:rPr>
        <w:t xml:space="preserve">基金收益评价日本基金相对标的指数的超额收益率＝基金份额净值增长率－标的指数同期增长率。 </w:t>
      </w:r>
    </w:p>
    <w:p>
      <w:pPr>
        <w:pStyle w:val="7"/>
        <w:spacing w:before="0" w:beforeAutospacing="0" w:after="0" w:afterAutospacing="0" w:line="360" w:lineRule="auto"/>
        <w:ind w:firstLine="420"/>
        <w:rPr>
          <w:sz w:val="21"/>
          <w:szCs w:val="21"/>
        </w:rPr>
      </w:pPr>
      <w:r>
        <w:rPr>
          <w:rFonts w:hint="eastAsia"/>
          <w:sz w:val="21"/>
          <w:szCs w:val="21"/>
        </w:rPr>
        <w:t xml:space="preserve">基金份额净值增长率为收益评价日基金份额净值与基金上市前一交易日基金份额净值之比减去1乘以100%；标的指数同期增长率为收益评价日标的指数收盘价与基金上市前一交易日标的指数收盘价之比减去1乘以100%。 </w:t>
      </w:r>
    </w:p>
    <w:p>
      <w:pPr>
        <w:pStyle w:val="7"/>
        <w:spacing w:before="0" w:beforeAutospacing="0" w:after="0" w:afterAutospacing="0" w:line="360" w:lineRule="auto"/>
        <w:ind w:firstLine="420"/>
        <w:rPr>
          <w:sz w:val="21"/>
          <w:szCs w:val="21"/>
        </w:rPr>
      </w:pPr>
      <w:r>
        <w:rPr>
          <w:rFonts w:hint="eastAsia"/>
          <w:sz w:val="21"/>
          <w:szCs w:val="21"/>
        </w:rPr>
        <w:t xml:space="preserve">期间如发生基金份额折算、拆分或合并，则以基金份额折算日、经拆分或合并调整后的基金份额折算日为初始日重新计算上述指标。 </w:t>
      </w:r>
    </w:p>
    <w:p>
      <w:pPr>
        <w:pStyle w:val="7"/>
        <w:spacing w:before="0" w:beforeAutospacing="0" w:after="0" w:afterAutospacing="0" w:line="360" w:lineRule="auto"/>
        <w:ind w:firstLine="420"/>
        <w:rPr>
          <w:sz w:val="21"/>
          <w:szCs w:val="21"/>
        </w:rPr>
      </w:pPr>
      <w:r>
        <w:rPr>
          <w:rFonts w:hint="eastAsia"/>
          <w:sz w:val="21"/>
          <w:szCs w:val="21"/>
        </w:rPr>
        <w:t xml:space="preserve">收益评价日日期以基金管理人相关公告为准。 </w:t>
      </w:r>
    </w:p>
    <w:p>
      <w:pPr>
        <w:pStyle w:val="7"/>
        <w:spacing w:before="0" w:beforeAutospacing="0" w:after="0" w:afterAutospacing="0" w:line="360" w:lineRule="auto"/>
        <w:ind w:firstLine="420"/>
        <w:rPr>
          <w:sz w:val="21"/>
          <w:szCs w:val="21"/>
        </w:rPr>
      </w:pPr>
      <w:r>
        <w:rPr>
          <w:rFonts w:hint="eastAsia"/>
          <w:sz w:val="21"/>
          <w:szCs w:val="21"/>
        </w:rPr>
        <w:t xml:space="preserve">2、根据前述收益分配原则计算截至基金收益评价日本基金的份额可分配收益，并确定收益分配比例。 </w:t>
      </w:r>
    </w:p>
    <w:p>
      <w:pPr>
        <w:pStyle w:val="7"/>
        <w:spacing w:before="0" w:beforeAutospacing="0" w:after="0" w:afterAutospacing="0" w:line="360" w:lineRule="auto"/>
        <w:ind w:firstLine="420"/>
        <w:rPr>
          <w:sz w:val="21"/>
          <w:szCs w:val="21"/>
        </w:rPr>
      </w:pPr>
      <w:r>
        <w:rPr>
          <w:rFonts w:hint="eastAsia"/>
          <w:sz w:val="21"/>
          <w:szCs w:val="21"/>
        </w:rPr>
        <w:t xml:space="preserve">3、根据前述可分配利润及收益分配比例计算收益分配金额。 </w:t>
      </w:r>
    </w:p>
    <w:p>
      <w:pPr>
        <w:pStyle w:val="7"/>
        <w:spacing w:before="0" w:beforeAutospacing="0" w:after="0" w:afterAutospacing="0" w:line="360" w:lineRule="auto"/>
        <w:ind w:firstLine="420"/>
        <w:rPr>
          <w:sz w:val="21"/>
          <w:szCs w:val="21"/>
        </w:rPr>
      </w:pPr>
      <w:r>
        <w:rPr>
          <w:rStyle w:val="11"/>
          <w:rFonts w:hint="eastAsia"/>
          <w:sz w:val="21"/>
          <w:szCs w:val="21"/>
        </w:rPr>
        <w:t>三、收益分配方案</w:t>
      </w:r>
    </w:p>
    <w:p>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基金收益分配方案中应载明基金收益分配对象、分配时间、分配数额及比例、分配方式等内容。 </w:t>
      </w:r>
    </w:p>
    <w:p>
      <w:pPr>
        <w:pStyle w:val="7"/>
        <w:spacing w:before="0" w:beforeAutospacing="0" w:after="0" w:afterAutospacing="0" w:line="360" w:lineRule="auto"/>
        <w:ind w:firstLine="420"/>
        <w:rPr>
          <w:sz w:val="21"/>
          <w:szCs w:val="21"/>
        </w:rPr>
      </w:pPr>
      <w:r>
        <w:rPr>
          <w:rStyle w:val="11"/>
          <w:rFonts w:hint="eastAsia"/>
          <w:sz w:val="21"/>
          <w:szCs w:val="21"/>
        </w:rPr>
        <w:t>四、收益分配方案的确定、公告与实施</w:t>
      </w:r>
    </w:p>
    <w:p>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本基金收益分配方案由基金管理人拟定，并由基金托管人复核，依照《信息披露办法》的有关规定在规定媒介公告。 </w:t>
      </w:r>
    </w:p>
    <w:p>
      <w:pPr>
        <w:pStyle w:val="7"/>
        <w:spacing w:before="0" w:beforeAutospacing="0" w:after="0" w:afterAutospacing="0" w:line="360" w:lineRule="auto"/>
        <w:ind w:firstLine="420"/>
        <w:rPr>
          <w:sz w:val="21"/>
          <w:szCs w:val="21"/>
        </w:rPr>
      </w:pPr>
      <w:r>
        <w:rPr>
          <w:rStyle w:val="11"/>
          <w:rFonts w:hint="eastAsia"/>
          <w:sz w:val="21"/>
          <w:szCs w:val="21"/>
        </w:rPr>
        <w:t>五、基金收益分配中发生的费用</w:t>
      </w:r>
    </w:p>
    <w:p>
      <w:pPr>
        <w:pStyle w:val="7"/>
        <w:spacing w:before="0" w:beforeAutospacing="0" w:after="0" w:afterAutospacing="0" w:line="360" w:lineRule="auto"/>
        <w:ind w:firstLine="420"/>
        <w:rPr>
          <w:sz w:val="21"/>
          <w:szCs w:val="21"/>
        </w:rPr>
      </w:pPr>
      <w:bookmarkStart w:id="149" w:name="chapter_level1_17_64_section_1_end"/>
      <w:bookmarkEnd w:id="149"/>
      <w:r>
        <w:rPr>
          <w:rFonts w:hint="eastAsia"/>
          <w:sz w:val="21"/>
          <w:szCs w:val="21"/>
        </w:rPr>
        <w:t xml:space="preserve">基金收益分配时所发生的银行转账或其他手续费用由投资者自行承担。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0" w:name="chapter_level1_18_65"/>
      <w:bookmarkStart w:id="151" w:name="_Toc213857377"/>
      <w:r>
        <w:rPr>
          <w:rFonts w:hint="eastAsia" w:ascii="宋体" w:hAnsi="宋体" w:eastAsia="宋体"/>
          <w:sz w:val="30"/>
        </w:rPr>
        <w:t>第十五部分  基金的费用与税收</w:t>
      </w:r>
      <w:bookmarkEnd w:id="150"/>
      <w:bookmarkEnd w:id="151"/>
    </w:p>
    <w:p>
      <w:pPr>
        <w:pStyle w:val="7"/>
        <w:spacing w:before="0" w:beforeAutospacing="0" w:after="0" w:afterAutospacing="0" w:line="360" w:lineRule="auto"/>
        <w:ind w:firstLine="420"/>
        <w:rPr>
          <w:sz w:val="21"/>
          <w:szCs w:val="21"/>
        </w:rPr>
      </w:pPr>
      <w:bookmarkStart w:id="152" w:name="chapter_level1_18_65_section_1"/>
      <w:bookmarkEnd w:id="152"/>
      <w:r>
        <w:rPr>
          <w:rStyle w:val="11"/>
          <w:rFonts w:hint="eastAsia"/>
          <w:sz w:val="21"/>
          <w:szCs w:val="21"/>
        </w:rPr>
        <w:t>一、基金费用的种类</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 xml:space="preserve">3、基金的证券、期货、期权交易费用； </w:t>
      </w:r>
    </w:p>
    <w:p>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4、《基金合同》生效后与基金相关的信息披露费用，但法律法规、中国证监会另有规定的除外；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5、《基金合同》生效后与基金相关的公证费、会计师费、审计费、律师费、仲裁费和诉讼费； </w:t>
      </w:r>
    </w:p>
    <w:p>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pPr>
        <w:pStyle w:val="7"/>
        <w:spacing w:before="0" w:beforeAutospacing="0" w:after="0" w:afterAutospacing="0" w:line="360" w:lineRule="auto"/>
        <w:ind w:firstLine="420"/>
        <w:rPr>
          <w:sz w:val="21"/>
          <w:szCs w:val="21"/>
        </w:rPr>
      </w:pPr>
      <w:r>
        <w:rPr>
          <w:rFonts w:hint="eastAsia"/>
          <w:sz w:val="21"/>
          <w:szCs w:val="21"/>
        </w:rPr>
        <w:t xml:space="preserve">7、基金银行汇划费用、账户开户及维护费用、场内注册登记费用、IOPV计算与发布费用、收益分配中发生的费用（银行转账或其他手续费用除外）； </w:t>
      </w:r>
    </w:p>
    <w:p>
      <w:pPr>
        <w:pStyle w:val="7"/>
        <w:spacing w:before="0" w:beforeAutospacing="0" w:after="0" w:afterAutospacing="0" w:line="360" w:lineRule="auto"/>
        <w:ind w:firstLine="420"/>
        <w:rPr>
          <w:sz w:val="21"/>
          <w:szCs w:val="21"/>
        </w:rPr>
      </w:pPr>
      <w:r>
        <w:rPr>
          <w:rFonts w:hint="eastAsia"/>
          <w:sz w:val="21"/>
          <w:szCs w:val="21"/>
        </w:rPr>
        <w:t xml:space="preserve">8、基金上市费及年费； </w:t>
      </w:r>
    </w:p>
    <w:p>
      <w:pPr>
        <w:pStyle w:val="7"/>
        <w:spacing w:before="0" w:beforeAutospacing="0" w:after="0" w:afterAutospacing="0" w:line="360" w:lineRule="auto"/>
        <w:ind w:firstLine="420"/>
        <w:rPr>
          <w:sz w:val="21"/>
          <w:szCs w:val="21"/>
        </w:rPr>
      </w:pPr>
      <w:r>
        <w:rPr>
          <w:rFonts w:hint="eastAsia"/>
          <w:sz w:val="21"/>
          <w:szCs w:val="21"/>
        </w:rPr>
        <w:t xml:space="preserve">9、按照国家有关规定和《基金合同》约定，可以在基金财产中列支的其他费用。 </w:t>
      </w:r>
    </w:p>
    <w:p>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53" w:name="field_0_managementrate_1"/>
      <w:r>
        <w:rPr>
          <w:sz w:val="21"/>
          <w:szCs w:val="21"/>
        </w:rPr>
        <w:t>0.50</w:t>
      </w:r>
      <w:bookmarkEnd w:id="153"/>
      <w:r>
        <w:rPr>
          <w:rFonts w:hint="eastAsia"/>
          <w:sz w:val="21"/>
          <w:szCs w:val="21"/>
        </w:rPr>
        <w:t xml:space="preserve">%年费率计提。管理费的计算方法如下：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54" w:name="field_0_managementrate_2"/>
      <w:r>
        <w:rPr>
          <w:sz w:val="21"/>
          <w:szCs w:val="21"/>
        </w:rPr>
        <w:t>0.50</w:t>
      </w:r>
      <w:bookmarkEnd w:id="154"/>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管理费每日计提，按月支付。基金管理人与基金托管人双方核对无误后，基金托管人按照与基金管理人协商一致的方式于次月首日起5个工作日内从基金财产中一次性支付给基金管理人。若遇法定节假日、公休假或不可抗力等致使无法按时支付的，支付日期顺延。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55" w:name="field_0_trusteerate_1"/>
      <w:r>
        <w:rPr>
          <w:sz w:val="21"/>
          <w:szCs w:val="21"/>
        </w:rPr>
        <w:t>0.10</w:t>
      </w:r>
      <w:bookmarkEnd w:id="155"/>
      <w:r>
        <w:rPr>
          <w:rFonts w:hint="eastAsia"/>
          <w:sz w:val="21"/>
          <w:szCs w:val="21"/>
        </w:rPr>
        <w:t xml:space="preserve">%年费率计提。托管费的计算方法如下：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56" w:name="field_0_trusteerate_2"/>
      <w:r>
        <w:rPr>
          <w:sz w:val="21"/>
          <w:szCs w:val="21"/>
        </w:rPr>
        <w:t>0.10</w:t>
      </w:r>
      <w:bookmarkEnd w:id="156"/>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托管费每日计提，按月支付。基金管理人与基金托管人双方核对无误后，基金托管人按照与基金管理人协商一致的方式于次月首日起5个工作日内从基金财产中一次性支取。若遇法定节假日、公休假或不可抗力等致使无法按时支付的，支付日期顺延。 </w:t>
      </w:r>
    </w:p>
    <w:p>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上述“一、基金费用的种类”中第3－9项费用，根据有关法规及相应协议规定，按费用实际支出金额列入当期费用，由基金托管人从基金财产中支付。 </w:t>
      </w:r>
    </w:p>
    <w:p>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pPr>
        <w:pStyle w:val="7"/>
        <w:spacing w:before="0" w:beforeAutospacing="0" w:after="0" w:afterAutospacing="0" w:line="360" w:lineRule="auto"/>
        <w:ind w:firstLine="420"/>
        <w:rPr>
          <w:sz w:val="21"/>
          <w:szCs w:val="21"/>
        </w:rPr>
      </w:pPr>
      <w:r>
        <w:rPr>
          <w:rFonts w:hint="eastAsia"/>
          <w:sz w:val="21"/>
          <w:szCs w:val="21"/>
        </w:rPr>
        <w:t xml:space="preserve">4、指数许可使用费； </w:t>
      </w:r>
    </w:p>
    <w:p>
      <w:pPr>
        <w:pStyle w:val="7"/>
        <w:spacing w:before="0" w:beforeAutospacing="0" w:after="0" w:afterAutospacing="0" w:line="360" w:lineRule="auto"/>
        <w:ind w:firstLine="420"/>
        <w:rPr>
          <w:sz w:val="21"/>
          <w:szCs w:val="21"/>
        </w:rPr>
      </w:pPr>
      <w:r>
        <w:rPr>
          <w:rFonts w:hint="eastAsia"/>
          <w:sz w:val="21"/>
          <w:szCs w:val="21"/>
        </w:rPr>
        <w:t xml:space="preserve">5、其他根据相关法律法规及中国证监会的有关规定不得列入基金费用的项目。 </w:t>
      </w:r>
    </w:p>
    <w:p>
      <w:pPr>
        <w:pStyle w:val="7"/>
        <w:spacing w:before="0" w:beforeAutospacing="0" w:after="0" w:afterAutospacing="0" w:line="360" w:lineRule="auto"/>
        <w:ind w:firstLine="420"/>
        <w:rPr>
          <w:sz w:val="21"/>
          <w:szCs w:val="21"/>
        </w:rPr>
      </w:pPr>
      <w:r>
        <w:rPr>
          <w:rStyle w:val="11"/>
          <w:rFonts w:hint="eastAsia"/>
          <w:sz w:val="21"/>
          <w:szCs w:val="21"/>
        </w:rPr>
        <w:t>四、基金税收</w:t>
      </w:r>
    </w:p>
    <w:p>
      <w:pPr>
        <w:pStyle w:val="7"/>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57" w:name="chapter_level1_18_65_section_1_end"/>
      <w:bookmarkEnd w:id="157"/>
      <w:r>
        <w:rPr>
          <w:rFonts w:hint="eastAsia"/>
          <w:sz w:val="21"/>
          <w:szCs w:val="21"/>
        </w:rPr>
        <w:t xml:space="preserve">税收征收的规定代扣代缴。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8" w:name="_Toc213857378"/>
      <w:bookmarkStart w:id="159" w:name="chapter_level1_19_66"/>
      <w:r>
        <w:rPr>
          <w:rFonts w:hint="eastAsia" w:ascii="宋体" w:hAnsi="宋体" w:eastAsia="宋体"/>
          <w:sz w:val="30"/>
        </w:rPr>
        <w:t>第十六部分  基金的会计与审计</w:t>
      </w:r>
      <w:bookmarkEnd w:id="158"/>
      <w:bookmarkEnd w:id="159"/>
    </w:p>
    <w:p>
      <w:pPr>
        <w:pStyle w:val="7"/>
        <w:spacing w:before="0" w:beforeAutospacing="0" w:after="0" w:afterAutospacing="0" w:line="360" w:lineRule="auto"/>
        <w:ind w:firstLine="420"/>
        <w:rPr>
          <w:sz w:val="21"/>
          <w:szCs w:val="21"/>
        </w:rPr>
      </w:pPr>
      <w:bookmarkStart w:id="160" w:name="chapter_level1_19_66_section_1"/>
      <w:bookmarkEnd w:id="160"/>
      <w:r>
        <w:rPr>
          <w:rStyle w:val="11"/>
          <w:rFonts w:hint="eastAsia"/>
          <w:sz w:val="21"/>
          <w:szCs w:val="21"/>
        </w:rPr>
        <w:t>一、基金的会计政策</w:t>
      </w:r>
    </w:p>
    <w:p>
      <w:pPr>
        <w:pStyle w:val="7"/>
        <w:spacing w:before="0" w:beforeAutospacing="0" w:after="0" w:afterAutospacing="0" w:line="360" w:lineRule="auto"/>
        <w:ind w:firstLine="420"/>
        <w:rPr>
          <w:sz w:val="21"/>
          <w:szCs w:val="21"/>
        </w:rPr>
      </w:pPr>
      <w:r>
        <w:rPr>
          <w:rFonts w:hint="eastAsia"/>
          <w:sz w:val="21"/>
          <w:szCs w:val="21"/>
        </w:rPr>
        <w:t>1、基金管理人为本基金的基金会计责任方；</w:t>
      </w:r>
    </w:p>
    <w:p>
      <w:pPr>
        <w:pStyle w:val="7"/>
        <w:spacing w:before="0" w:beforeAutospacing="0" w:after="0" w:afterAutospacing="0" w:line="360" w:lineRule="auto"/>
        <w:ind w:firstLine="420"/>
        <w:rPr>
          <w:sz w:val="21"/>
          <w:szCs w:val="21"/>
        </w:rPr>
      </w:pPr>
      <w:r>
        <w:rPr>
          <w:rFonts w:hint="eastAsia"/>
          <w:sz w:val="21"/>
          <w:szCs w:val="21"/>
        </w:rPr>
        <w:t>2、基金的会计年度为公历年度的1月1日至12月31日；基金首次募集的会计年度按如下原则：如果《基金合同》生效少于2个月，可以并入下一个会计年度披露；</w:t>
      </w:r>
    </w:p>
    <w:p>
      <w:pPr>
        <w:pStyle w:val="7"/>
        <w:spacing w:before="0" w:beforeAutospacing="0" w:after="0" w:afterAutospacing="0" w:line="360" w:lineRule="auto"/>
        <w:ind w:firstLine="420"/>
        <w:rPr>
          <w:sz w:val="21"/>
          <w:szCs w:val="21"/>
        </w:rPr>
      </w:pPr>
      <w:r>
        <w:rPr>
          <w:rFonts w:hint="eastAsia"/>
          <w:sz w:val="21"/>
          <w:szCs w:val="21"/>
        </w:rPr>
        <w:t>3、基金核算以人民币为记账本位币，以人民币元为记账单位；</w:t>
      </w:r>
    </w:p>
    <w:p>
      <w:pPr>
        <w:pStyle w:val="7"/>
        <w:spacing w:before="0" w:beforeAutospacing="0" w:after="0" w:afterAutospacing="0" w:line="360" w:lineRule="auto"/>
        <w:ind w:firstLine="420"/>
        <w:rPr>
          <w:sz w:val="21"/>
          <w:szCs w:val="21"/>
        </w:rPr>
      </w:pPr>
      <w:r>
        <w:rPr>
          <w:rFonts w:hint="eastAsia"/>
          <w:sz w:val="21"/>
          <w:szCs w:val="21"/>
        </w:rPr>
        <w:t>4、会计制度执行国家有关会计制度；</w:t>
      </w:r>
    </w:p>
    <w:p>
      <w:pPr>
        <w:pStyle w:val="7"/>
        <w:spacing w:before="0" w:beforeAutospacing="0" w:after="0" w:afterAutospacing="0" w:line="360" w:lineRule="auto"/>
        <w:ind w:firstLine="420"/>
        <w:rPr>
          <w:sz w:val="21"/>
          <w:szCs w:val="21"/>
        </w:rPr>
      </w:pPr>
      <w:r>
        <w:rPr>
          <w:rFonts w:hint="eastAsia"/>
          <w:sz w:val="21"/>
          <w:szCs w:val="21"/>
        </w:rPr>
        <w:t>5、本基金独立建账、独立核算；</w:t>
      </w:r>
    </w:p>
    <w:p>
      <w:pPr>
        <w:pStyle w:val="7"/>
        <w:spacing w:before="0" w:beforeAutospacing="0" w:after="0" w:afterAutospacing="0" w:line="360" w:lineRule="auto"/>
        <w:ind w:firstLine="420"/>
        <w:rPr>
          <w:sz w:val="21"/>
          <w:szCs w:val="21"/>
        </w:rPr>
      </w:pPr>
      <w:r>
        <w:rPr>
          <w:rFonts w:hint="eastAsia"/>
          <w:sz w:val="21"/>
          <w:szCs w:val="21"/>
        </w:rPr>
        <w:t>6、基金管理人及基金托管人各自保留完整的会计账目、凭证并进行日常的会计核算，按照有关规定编制基金会计报表；</w:t>
      </w:r>
    </w:p>
    <w:p>
      <w:pPr>
        <w:pStyle w:val="7"/>
        <w:spacing w:before="0" w:beforeAutospacing="0" w:after="0" w:afterAutospacing="0" w:line="360" w:lineRule="auto"/>
        <w:ind w:firstLine="420"/>
        <w:rPr>
          <w:sz w:val="21"/>
          <w:szCs w:val="21"/>
        </w:rPr>
      </w:pPr>
      <w:r>
        <w:rPr>
          <w:rFonts w:hint="eastAsia"/>
          <w:sz w:val="21"/>
          <w:szCs w:val="21"/>
        </w:rPr>
        <w:t>7、基金托管人每月与基金管理人就基金的会计核算、报表编制等进行核对并以书面方式确认。</w:t>
      </w:r>
    </w:p>
    <w:p>
      <w:pPr>
        <w:pStyle w:val="7"/>
        <w:spacing w:before="0" w:beforeAutospacing="0" w:after="0" w:afterAutospacing="0" w:line="360" w:lineRule="auto"/>
        <w:ind w:firstLine="420"/>
        <w:rPr>
          <w:sz w:val="21"/>
          <w:szCs w:val="21"/>
        </w:rPr>
      </w:pPr>
      <w:r>
        <w:rPr>
          <w:rStyle w:val="11"/>
          <w:rFonts w:hint="eastAsia"/>
          <w:sz w:val="21"/>
          <w:szCs w:val="21"/>
        </w:rPr>
        <w:t>二、基金的年度审计</w:t>
      </w:r>
    </w:p>
    <w:p>
      <w:pPr>
        <w:pStyle w:val="7"/>
        <w:spacing w:before="0" w:beforeAutospacing="0" w:after="0" w:afterAutospacing="0" w:line="360" w:lineRule="auto"/>
        <w:ind w:firstLine="420"/>
        <w:rPr>
          <w:sz w:val="21"/>
          <w:szCs w:val="21"/>
        </w:rPr>
      </w:pPr>
      <w:r>
        <w:rPr>
          <w:rFonts w:hint="eastAsia"/>
          <w:sz w:val="21"/>
          <w:szCs w:val="21"/>
        </w:rPr>
        <w:t>1、基金管理人聘请与基金管理人、基金托管人相互独立的符合《证券法》规定的会计师事务所及其注册会计师对本基金的年度财务报表进行审计。</w:t>
      </w:r>
    </w:p>
    <w:p>
      <w:pPr>
        <w:pStyle w:val="7"/>
        <w:spacing w:before="0" w:beforeAutospacing="0" w:after="0" w:afterAutospacing="0" w:line="360" w:lineRule="auto"/>
        <w:ind w:firstLine="420"/>
        <w:rPr>
          <w:sz w:val="21"/>
          <w:szCs w:val="21"/>
        </w:rPr>
      </w:pPr>
      <w:r>
        <w:rPr>
          <w:rFonts w:hint="eastAsia"/>
          <w:sz w:val="21"/>
          <w:szCs w:val="21"/>
        </w:rPr>
        <w:t>2、会计师事务所更换经办注册会计师，应事先征得基金管理人同意。</w:t>
      </w:r>
    </w:p>
    <w:p>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61" w:name="chapter_level1_19_66_section_1_end"/>
      <w:bookmarkEnd w:id="161"/>
      <w:r>
        <w:rPr>
          <w:rFonts w:hint="eastAsia"/>
          <w:sz w:val="21"/>
          <w:szCs w:val="21"/>
        </w:rPr>
        <w:t>务所需按照《信息披露办法》的有关规定在规定媒介公告。</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2" w:name="_Toc213857379"/>
      <w:bookmarkStart w:id="163" w:name="chapter_level1_20_67"/>
      <w:r>
        <w:rPr>
          <w:rFonts w:hint="eastAsia" w:ascii="宋体" w:hAnsi="宋体" w:eastAsia="宋体"/>
          <w:sz w:val="30"/>
        </w:rPr>
        <w:t>第十七部分  基金的信息披露</w:t>
      </w:r>
      <w:bookmarkEnd w:id="162"/>
      <w:bookmarkEnd w:id="163"/>
    </w:p>
    <w:p>
      <w:pPr>
        <w:pStyle w:val="7"/>
        <w:spacing w:before="0" w:beforeAutospacing="0" w:after="0" w:afterAutospacing="0" w:line="360" w:lineRule="auto"/>
        <w:ind w:firstLine="420"/>
        <w:rPr>
          <w:sz w:val="21"/>
          <w:szCs w:val="21"/>
        </w:rPr>
      </w:pPr>
      <w:bookmarkStart w:id="164" w:name="chapter_level1_20_67_section_1"/>
      <w:bookmarkEnd w:id="164"/>
      <w:r>
        <w:rPr>
          <w:rFonts w:hint="eastAsia"/>
          <w:sz w:val="21"/>
          <w:szCs w:val="21"/>
        </w:rPr>
        <w:t xml:space="preserve">一、本基金的信息披露应符合《基金法》、《运作办法》、《信息披露办法》、《流动性风险管理规定》、《基金合同》及其他有关规定。相关法律法规关于信息披露的披露方式、登载媒介、报备方式等规定发生变化时，本基金从其最新规定。 </w:t>
      </w:r>
    </w:p>
    <w:p>
      <w:pPr>
        <w:pStyle w:val="7"/>
        <w:spacing w:before="0" w:beforeAutospacing="0" w:after="0" w:afterAutospacing="0" w:line="360" w:lineRule="auto"/>
        <w:ind w:firstLine="420"/>
        <w:rPr>
          <w:sz w:val="21"/>
          <w:szCs w:val="21"/>
        </w:rPr>
      </w:pPr>
      <w:r>
        <w:rPr>
          <w:rFonts w:hint="eastAsia"/>
          <w:sz w:val="21"/>
          <w:szCs w:val="21"/>
        </w:rPr>
        <w:t xml:space="preserve">二、信息披露义务人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符合中国证监会规定条件的全国性报刊（以下简称“规定报刊”）和《信息披露办法》规定的互联网网站（以下简称“规定网站”）等媒介披露，并保证基金投资者能够按照《基金合同》约定的时间和方式查阅或者复制公开披露的信息资料。 </w:t>
      </w:r>
    </w:p>
    <w:p>
      <w:pPr>
        <w:pStyle w:val="7"/>
        <w:spacing w:before="0" w:beforeAutospacing="0" w:after="0" w:afterAutospacing="0" w:line="360" w:lineRule="auto"/>
        <w:ind w:firstLine="420"/>
        <w:rPr>
          <w:sz w:val="21"/>
          <w:szCs w:val="21"/>
        </w:rPr>
      </w:pPr>
      <w:r>
        <w:rPr>
          <w:rFonts w:hint="eastAsia"/>
          <w:sz w:val="21"/>
          <w:szCs w:val="21"/>
        </w:rPr>
        <w:t xml:space="preserve">三、本基金信息披露义务人承诺公开披露的基金信息，不得有下列行为： </w:t>
      </w:r>
    </w:p>
    <w:p>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pPr>
        <w:pStyle w:val="7"/>
        <w:spacing w:before="0" w:beforeAutospacing="0" w:after="0" w:afterAutospacing="0" w:line="360" w:lineRule="auto"/>
        <w:ind w:firstLine="420"/>
        <w:rPr>
          <w:sz w:val="21"/>
          <w:szCs w:val="21"/>
        </w:rPr>
      </w:pPr>
      <w:r>
        <w:rPr>
          <w:rFonts w:hint="eastAsia"/>
          <w:sz w:val="21"/>
          <w:szCs w:val="21"/>
        </w:rPr>
        <w:t xml:space="preserve">四、本基金公开披露的信息应采用中文文本。如同时采用外文文本的，基金信息披露义务人应保证不同文本的内容一致。不同文本之间发生歧义的，以中文文本为准。 </w:t>
      </w:r>
    </w:p>
    <w:p>
      <w:pPr>
        <w:pStyle w:val="7"/>
        <w:spacing w:before="0" w:beforeAutospacing="0" w:after="0" w:afterAutospacing="0" w:line="360" w:lineRule="auto"/>
        <w:ind w:firstLine="420"/>
        <w:rPr>
          <w:sz w:val="21"/>
          <w:szCs w:val="21"/>
        </w:rPr>
      </w:pPr>
      <w:r>
        <w:rPr>
          <w:rFonts w:hint="eastAsia"/>
          <w:sz w:val="21"/>
          <w:szCs w:val="21"/>
        </w:rPr>
        <w:t xml:space="preserve">本基金公开披露的信息采用阿拉伯数字；除特别说明外，货币单位为人民币元。 </w:t>
      </w:r>
    </w:p>
    <w:p>
      <w:pPr>
        <w:pStyle w:val="7"/>
        <w:spacing w:before="0" w:beforeAutospacing="0" w:after="0" w:afterAutospacing="0" w:line="360" w:lineRule="auto"/>
        <w:ind w:firstLine="420"/>
        <w:rPr>
          <w:sz w:val="21"/>
          <w:szCs w:val="21"/>
        </w:rPr>
      </w:pPr>
      <w:r>
        <w:rPr>
          <w:rFonts w:hint="eastAsia"/>
          <w:sz w:val="21"/>
          <w:szCs w:val="21"/>
        </w:rPr>
        <w:t xml:space="preserve">五、公开披露的基金信息 </w:t>
      </w:r>
    </w:p>
    <w:p>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 </w:t>
      </w:r>
    </w:p>
    <w:p>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 </w:t>
      </w:r>
    </w:p>
    <w:p>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基金管理人应当在收到中国证监会确认文件的次日在规定媒介上登载《基金合同》生效公告。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（四）基金开始申购、赎回公告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基金管理人应于申购开始日、赎回开始日前按规定在规定报刊及网站上公告。 </w:t>
      </w:r>
    </w:p>
    <w:p>
      <w:pPr>
        <w:pStyle w:val="7"/>
        <w:spacing w:before="0" w:beforeAutospacing="0" w:after="0" w:afterAutospacing="0" w:line="360" w:lineRule="auto"/>
        <w:ind w:firstLine="420"/>
        <w:rPr>
          <w:sz w:val="21"/>
          <w:szCs w:val="21"/>
        </w:rPr>
      </w:pPr>
      <w:r>
        <w:rPr>
          <w:rFonts w:hint="eastAsia"/>
          <w:sz w:val="21"/>
          <w:szCs w:val="21"/>
        </w:rPr>
        <w:t xml:space="preserve">（五）基金份额上市交易公告书 </w:t>
      </w:r>
    </w:p>
    <w:p>
      <w:pPr>
        <w:pStyle w:val="7"/>
        <w:spacing w:before="0" w:beforeAutospacing="0" w:after="0" w:afterAutospacing="0" w:line="360" w:lineRule="auto"/>
        <w:ind w:firstLine="420"/>
        <w:rPr>
          <w:sz w:val="21"/>
          <w:szCs w:val="21"/>
        </w:rPr>
      </w:pPr>
      <w:r>
        <w:rPr>
          <w:rFonts w:hint="eastAsia"/>
          <w:sz w:val="21"/>
          <w:szCs w:val="21"/>
        </w:rPr>
        <w:t xml:space="preserve">基金份额获准在证券交易所上市交易的，基金管理人应当在基金份额上市交易三个工作日前，将基金份额上市交易公告书登载在规定网站上，并将上市交易公告书提示性公告登载在规定报刊上。 </w:t>
      </w:r>
    </w:p>
    <w:p>
      <w:pPr>
        <w:pStyle w:val="7"/>
        <w:spacing w:before="0" w:beforeAutospacing="0" w:after="0" w:afterAutospacing="0" w:line="360" w:lineRule="auto"/>
        <w:ind w:firstLine="420"/>
        <w:rPr>
          <w:sz w:val="21"/>
          <w:szCs w:val="21"/>
        </w:rPr>
      </w:pPr>
      <w:r>
        <w:rPr>
          <w:rFonts w:hint="eastAsia"/>
          <w:sz w:val="21"/>
          <w:szCs w:val="21"/>
        </w:rPr>
        <w:t xml:space="preserve">（六）基金份额折算日和折算结果公告 </w:t>
      </w:r>
    </w:p>
    <w:p>
      <w:pPr>
        <w:pStyle w:val="7"/>
        <w:spacing w:before="0" w:beforeAutospacing="0" w:after="0" w:afterAutospacing="0" w:line="360" w:lineRule="auto"/>
        <w:ind w:firstLine="420"/>
        <w:rPr>
          <w:sz w:val="21"/>
          <w:szCs w:val="21"/>
        </w:rPr>
      </w:pPr>
      <w:r>
        <w:rPr>
          <w:rFonts w:hint="eastAsia"/>
          <w:sz w:val="21"/>
          <w:szCs w:val="21"/>
        </w:rPr>
        <w:t xml:space="preserve">基金管理人确定基金份额折算日，并依照《信息披露办法》的有关规定将基金份额折算日公告登载于规定媒介上。 </w:t>
      </w:r>
    </w:p>
    <w:p>
      <w:pPr>
        <w:pStyle w:val="7"/>
        <w:spacing w:before="0" w:beforeAutospacing="0" w:after="0" w:afterAutospacing="0" w:line="360" w:lineRule="auto"/>
        <w:ind w:firstLine="420"/>
        <w:rPr>
          <w:sz w:val="21"/>
          <w:szCs w:val="21"/>
        </w:rPr>
      </w:pPr>
      <w:r>
        <w:rPr>
          <w:rFonts w:hint="eastAsia"/>
          <w:sz w:val="21"/>
          <w:szCs w:val="21"/>
        </w:rPr>
        <w:t xml:space="preserve">基金份额进行折算并由登记机构完成基金份额的变更登记后，基金管理人将基金份额折算结果公告登载于规定媒介上。 </w:t>
      </w:r>
    </w:p>
    <w:p>
      <w:pPr>
        <w:pStyle w:val="7"/>
        <w:spacing w:before="0" w:beforeAutospacing="0" w:after="0" w:afterAutospacing="0" w:line="360" w:lineRule="auto"/>
        <w:ind w:firstLine="420"/>
        <w:rPr>
          <w:sz w:val="21"/>
          <w:szCs w:val="21"/>
        </w:rPr>
      </w:pPr>
      <w:r>
        <w:rPr>
          <w:rFonts w:hint="eastAsia"/>
          <w:sz w:val="21"/>
          <w:szCs w:val="21"/>
        </w:rPr>
        <w:t xml:space="preserve">（七）基金净值信息 </w:t>
      </w:r>
    </w:p>
    <w:p>
      <w:pPr>
        <w:pStyle w:val="7"/>
        <w:spacing w:before="0" w:beforeAutospacing="0" w:after="0" w:afterAutospacing="0" w:line="360" w:lineRule="auto"/>
        <w:ind w:firstLine="420"/>
        <w:rPr>
          <w:sz w:val="21"/>
          <w:szCs w:val="21"/>
        </w:rPr>
      </w:pPr>
      <w:r>
        <w:rPr>
          <w:rFonts w:hint="eastAsia"/>
          <w:sz w:val="21"/>
          <w:szCs w:val="21"/>
        </w:rPr>
        <w:t xml:space="preserve">《基金合同》生效后，在基金份额上市交易或者开始办理基金份额申购或者赎回前，基金管理人应当至少每周在规定网站披露一次基金份额净值和基金份额累计净值。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在基金份额上市交易或者开始办理基金份额申购或者赎回后，基金管理人应当在不晚于每个开放日的次日，通过规定网站、基金销售机构网站或者营业网点披露开放日的基金份额净值和基金份额累计净值。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基金管理人应当在不晚于半年度和年度最后一日的次日，在规定网站披露半年度和年度最后一日的基金份额净值和基金份额累计净值。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（八）申购赎回清单 </w:t>
      </w:r>
    </w:p>
    <w:p>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在开始办理基金份额申购或者赎回之后，基金管理人应当在每个开放日，通过规定网站、基金份额申购、赎回代理券商以及其他媒介公告当日的申购赎回清单。 </w:t>
      </w:r>
    </w:p>
    <w:p>
      <w:pPr>
        <w:pStyle w:val="7"/>
        <w:spacing w:before="0" w:beforeAutospacing="0" w:after="0" w:afterAutospacing="0" w:line="360" w:lineRule="auto"/>
        <w:ind w:firstLine="420"/>
        <w:rPr>
          <w:sz w:val="21"/>
          <w:szCs w:val="21"/>
        </w:rPr>
      </w:pPr>
      <w:r>
        <w:rPr>
          <w:rFonts w:hint="eastAsia"/>
          <w:sz w:val="21"/>
          <w:szCs w:val="21"/>
        </w:rPr>
        <w:t xml:space="preserve">（九）基金定期报告，包括基金年度报告、基金中期报告和基金季度报告（含资产组合季度报告）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规定网站上，并将年度报告提示性公告登载在规定报刊上。基金年度报告中的财务会计报告应当经过符合《证券法》规定的会计师事务所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基金管理人应当在上半年结束之日起两个月内，编制完成基金中期报告，将中期报告登载在规定网站上，并将中期报告提示性公告登载在规定报刊上。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pPr>
        <w:pStyle w:val="7"/>
        <w:spacing w:before="0" w:beforeAutospacing="0" w:after="0" w:afterAutospacing="0" w:line="360" w:lineRule="auto"/>
        <w:ind w:firstLine="420"/>
        <w:rPr>
          <w:sz w:val="21"/>
          <w:szCs w:val="21"/>
        </w:rPr>
      </w:pPr>
      <w:r>
        <w:rPr>
          <w:rFonts w:hint="eastAsia"/>
          <w:sz w:val="21"/>
          <w:szCs w:val="21"/>
        </w:rPr>
        <w:t xml:space="preserve">基金合同生效不足2个月的，本基金管理人可以不编制当期季度报告、中期报告或者年度报告。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pPr>
        <w:pStyle w:val="7"/>
        <w:spacing w:before="0" w:beforeAutospacing="0" w:after="0" w:afterAutospacing="0" w:line="360" w:lineRule="auto"/>
        <w:ind w:firstLine="420"/>
        <w:rPr>
          <w:sz w:val="21"/>
          <w:szCs w:val="21"/>
        </w:rPr>
      </w:pPr>
      <w:r>
        <w:rPr>
          <w:rFonts w:hint="eastAsia"/>
          <w:sz w:val="21"/>
          <w:szCs w:val="21"/>
        </w:rPr>
        <w:t xml:space="preserve">（十）临时报告 </w:t>
      </w:r>
    </w:p>
    <w:p>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本基金发生重大事件，有关信息披露义务人应当依照《信息披露办法》编制临时报告书，并登载在规定报刊和规定网站上。 </w:t>
      </w:r>
    </w:p>
    <w:p>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7、基金管理人变更持有百分之五以上股权的股东、变更基金管理人的实际控制人； </w:t>
      </w:r>
    </w:p>
    <w:p>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10、基金管理人的董事在最近12个月内变更超过百分之五十；基金管理人、基金托管人专门基金托管部门的主要业务人员在最近12个月内变动超过百分之三十； </w:t>
      </w:r>
    </w:p>
    <w:p>
      <w:pPr>
        <w:pStyle w:val="7"/>
        <w:spacing w:before="0" w:beforeAutospacing="0" w:after="0" w:afterAutospacing="0" w:line="360" w:lineRule="auto"/>
        <w:ind w:firstLine="420"/>
        <w:rPr>
          <w:sz w:val="21"/>
          <w:szCs w:val="21"/>
        </w:rPr>
      </w:pPr>
      <w:r>
        <w:rPr>
          <w:rFonts w:hint="eastAsia"/>
          <w:sz w:val="21"/>
          <w:szCs w:val="21"/>
        </w:rPr>
        <w:t xml:space="preserve">11、涉及基金财产、基金管理业务、基金托管业务的诉讼或仲裁； </w:t>
      </w:r>
    </w:p>
    <w:p>
      <w:pPr>
        <w:pStyle w:val="7"/>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pPr>
        <w:pStyle w:val="7"/>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但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14、基金收益分配事项； </w:t>
      </w:r>
    </w:p>
    <w:p>
      <w:pPr>
        <w:pStyle w:val="7"/>
        <w:spacing w:before="0" w:beforeAutospacing="0" w:after="0" w:afterAutospacing="0" w:line="360" w:lineRule="auto"/>
        <w:ind w:firstLine="420"/>
        <w:rPr>
          <w:sz w:val="21"/>
          <w:szCs w:val="21"/>
        </w:rPr>
      </w:pPr>
      <w:r>
        <w:rPr>
          <w:rFonts w:hint="eastAsia"/>
          <w:sz w:val="21"/>
          <w:szCs w:val="21"/>
        </w:rPr>
        <w:t xml:space="preserve">15、管理费、托管费、申购费、赎回费等费用计提标准、计提方式和费率发生变更； </w:t>
      </w:r>
    </w:p>
    <w:p>
      <w:pPr>
        <w:pStyle w:val="7"/>
        <w:spacing w:before="0" w:beforeAutospacing="0" w:after="0" w:afterAutospacing="0" w:line="360" w:lineRule="auto"/>
        <w:ind w:firstLine="420"/>
        <w:rPr>
          <w:sz w:val="21"/>
          <w:szCs w:val="21"/>
        </w:rPr>
      </w:pPr>
      <w:r>
        <w:rPr>
          <w:rFonts w:hint="eastAsia"/>
          <w:sz w:val="21"/>
          <w:szCs w:val="21"/>
        </w:rPr>
        <w:t xml:space="preserve">16、基金份额净值计价错误达基金份额净值0.5%； </w:t>
      </w:r>
    </w:p>
    <w:p>
      <w:pPr>
        <w:pStyle w:val="7"/>
        <w:spacing w:before="0" w:beforeAutospacing="0" w:after="0" w:afterAutospacing="0" w:line="360" w:lineRule="auto"/>
        <w:ind w:firstLine="420"/>
        <w:rPr>
          <w:sz w:val="21"/>
          <w:szCs w:val="21"/>
        </w:rPr>
      </w:pPr>
      <w:r>
        <w:rPr>
          <w:rFonts w:hint="eastAsia"/>
          <w:sz w:val="21"/>
          <w:szCs w:val="21"/>
        </w:rPr>
        <w:t xml:space="preserve">17、本基金开始办理申购、赎回； </w:t>
      </w:r>
    </w:p>
    <w:p>
      <w:pPr>
        <w:pStyle w:val="7"/>
        <w:spacing w:before="0" w:beforeAutospacing="0" w:after="0" w:afterAutospacing="0" w:line="360" w:lineRule="auto"/>
        <w:ind w:firstLine="420"/>
        <w:rPr>
          <w:sz w:val="21"/>
          <w:szCs w:val="21"/>
        </w:rPr>
      </w:pPr>
      <w:r>
        <w:rPr>
          <w:rFonts w:hint="eastAsia"/>
          <w:sz w:val="21"/>
          <w:szCs w:val="21"/>
        </w:rPr>
        <w:t xml:space="preserve">18、本基金暂停接受申购、赎回申请或重新接受申购、赎回申请； </w:t>
      </w:r>
    </w:p>
    <w:p>
      <w:pPr>
        <w:pStyle w:val="7"/>
        <w:spacing w:before="0" w:beforeAutospacing="0" w:after="0" w:afterAutospacing="0" w:line="360" w:lineRule="auto"/>
        <w:ind w:firstLine="420"/>
        <w:rPr>
          <w:sz w:val="21"/>
          <w:szCs w:val="21"/>
        </w:rPr>
      </w:pPr>
      <w:r>
        <w:rPr>
          <w:rFonts w:hint="eastAsia"/>
          <w:sz w:val="21"/>
          <w:szCs w:val="21"/>
        </w:rPr>
        <w:t xml:space="preserve">19、本基金变更标的指数； </w:t>
      </w:r>
    </w:p>
    <w:p>
      <w:pPr>
        <w:pStyle w:val="7"/>
        <w:spacing w:before="0" w:beforeAutospacing="0" w:after="0" w:afterAutospacing="0" w:line="360" w:lineRule="auto"/>
        <w:ind w:firstLine="420"/>
        <w:rPr>
          <w:sz w:val="21"/>
          <w:szCs w:val="21"/>
        </w:rPr>
      </w:pPr>
      <w:r>
        <w:rPr>
          <w:rFonts w:hint="eastAsia"/>
          <w:sz w:val="21"/>
          <w:szCs w:val="21"/>
        </w:rPr>
        <w:t xml:space="preserve">20、基金份额停复牌、暂停上市、恢复上市或终止上市交易； </w:t>
      </w:r>
    </w:p>
    <w:p>
      <w:pPr>
        <w:pStyle w:val="7"/>
        <w:spacing w:before="0" w:beforeAutospacing="0" w:after="0" w:afterAutospacing="0" w:line="360" w:lineRule="auto"/>
        <w:ind w:firstLine="420"/>
        <w:rPr>
          <w:sz w:val="21"/>
          <w:szCs w:val="21"/>
        </w:rPr>
      </w:pPr>
      <w:r>
        <w:rPr>
          <w:rFonts w:hint="eastAsia"/>
          <w:sz w:val="21"/>
          <w:szCs w:val="21"/>
        </w:rPr>
        <w:t xml:space="preserve">21、调整基金份额类别的设置； </w:t>
      </w:r>
    </w:p>
    <w:p>
      <w:pPr>
        <w:pStyle w:val="7"/>
        <w:spacing w:before="0" w:beforeAutospacing="0" w:after="0" w:afterAutospacing="0" w:line="360" w:lineRule="auto"/>
        <w:ind w:firstLine="420"/>
        <w:rPr>
          <w:sz w:val="21"/>
          <w:szCs w:val="21"/>
        </w:rPr>
      </w:pPr>
      <w:r>
        <w:rPr>
          <w:rFonts w:hint="eastAsia"/>
          <w:sz w:val="21"/>
          <w:szCs w:val="21"/>
        </w:rPr>
        <w:t xml:space="preserve">22、基金推出新业务或服务； </w:t>
      </w:r>
    </w:p>
    <w:p>
      <w:pPr>
        <w:pStyle w:val="7"/>
        <w:spacing w:before="0" w:beforeAutospacing="0" w:after="0" w:afterAutospacing="0" w:line="360" w:lineRule="auto"/>
        <w:ind w:firstLine="420"/>
        <w:rPr>
          <w:sz w:val="21"/>
          <w:szCs w:val="21"/>
        </w:rPr>
      </w:pPr>
      <w:r>
        <w:rPr>
          <w:rFonts w:hint="eastAsia"/>
          <w:sz w:val="21"/>
          <w:szCs w:val="21"/>
        </w:rPr>
        <w:t xml:space="preserve">23、发生涉及本基金申购、赎回事项调整或潜在影响投资者赎回等重大事项时； </w:t>
      </w:r>
    </w:p>
    <w:p>
      <w:pPr>
        <w:pStyle w:val="7"/>
        <w:spacing w:before="0" w:beforeAutospacing="0" w:after="0" w:afterAutospacing="0" w:line="360" w:lineRule="auto"/>
        <w:ind w:firstLine="420"/>
        <w:rPr>
          <w:sz w:val="21"/>
          <w:szCs w:val="21"/>
        </w:rPr>
      </w:pPr>
      <w:r>
        <w:rPr>
          <w:rFonts w:hint="eastAsia"/>
          <w:sz w:val="21"/>
          <w:szCs w:val="21"/>
        </w:rPr>
        <w:t xml:space="preserve">24、基金信息披露义务人认为可能对基金份额持有人权益或者基金份额的价格产生重大影响的其他事项、中国证监会或基金合同规定的其他事项。 </w:t>
      </w:r>
    </w:p>
    <w:p>
      <w:pPr>
        <w:pStyle w:val="7"/>
        <w:spacing w:before="0" w:beforeAutospacing="0" w:after="0" w:afterAutospacing="0" w:line="360" w:lineRule="auto"/>
        <w:ind w:firstLine="420"/>
        <w:rPr>
          <w:sz w:val="21"/>
          <w:szCs w:val="21"/>
        </w:rPr>
      </w:pPr>
      <w:r>
        <w:rPr>
          <w:rFonts w:hint="eastAsia"/>
          <w:sz w:val="21"/>
          <w:szCs w:val="21"/>
        </w:rPr>
        <w:t xml:space="preserve">（十一）澄清公告 </w:t>
      </w:r>
    </w:p>
    <w:p>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基金上市交易的证券交易所。 </w:t>
      </w:r>
    </w:p>
    <w:p>
      <w:pPr>
        <w:pStyle w:val="7"/>
        <w:spacing w:before="0" w:beforeAutospacing="0" w:after="0" w:afterAutospacing="0" w:line="360" w:lineRule="auto"/>
        <w:ind w:firstLine="420"/>
        <w:rPr>
          <w:sz w:val="21"/>
          <w:szCs w:val="21"/>
        </w:rPr>
      </w:pPr>
      <w:r>
        <w:rPr>
          <w:rFonts w:hint="eastAsia"/>
          <w:sz w:val="21"/>
          <w:szCs w:val="21"/>
        </w:rPr>
        <w:t xml:space="preserve">（十二）清算报告 </w:t>
      </w:r>
    </w:p>
    <w:p>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清算报告应当经过符合《证券法》规定的会计师事务所审计，并由律师事务所出具法律意见书。清算组应当将清算报告登载在规定网站上，并将清算报告提示性公告登载在规定报刊上。 </w:t>
      </w:r>
    </w:p>
    <w:p>
      <w:pPr>
        <w:pStyle w:val="7"/>
        <w:spacing w:before="0" w:beforeAutospacing="0" w:after="0" w:afterAutospacing="0" w:line="360" w:lineRule="auto"/>
        <w:ind w:firstLine="420"/>
        <w:rPr>
          <w:sz w:val="21"/>
          <w:szCs w:val="21"/>
        </w:rPr>
      </w:pPr>
      <w:r>
        <w:rPr>
          <w:rFonts w:hint="eastAsia"/>
          <w:sz w:val="21"/>
          <w:szCs w:val="21"/>
        </w:rPr>
        <w:t xml:space="preserve">（十三）基金份额持有人大会决议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pPr>
        <w:pStyle w:val="7"/>
        <w:spacing w:before="0" w:beforeAutospacing="0" w:after="0" w:afterAutospacing="0" w:line="360" w:lineRule="auto"/>
        <w:ind w:firstLine="420"/>
        <w:rPr>
          <w:sz w:val="21"/>
          <w:szCs w:val="21"/>
        </w:rPr>
      </w:pPr>
      <w:r>
        <w:rPr>
          <w:rFonts w:hint="eastAsia"/>
          <w:sz w:val="21"/>
          <w:szCs w:val="21"/>
        </w:rPr>
        <w:t xml:space="preserve">（十四）基金投资资产支持证券的信息披露 </w:t>
      </w:r>
    </w:p>
    <w:p>
      <w:pPr>
        <w:pStyle w:val="7"/>
        <w:spacing w:before="0" w:beforeAutospacing="0" w:after="0" w:afterAutospacing="0" w:line="360" w:lineRule="auto"/>
        <w:ind w:firstLine="420"/>
        <w:rPr>
          <w:sz w:val="21"/>
          <w:szCs w:val="21"/>
        </w:rPr>
      </w:pPr>
      <w:r>
        <w:rPr>
          <w:rFonts w:hint="eastAsia"/>
          <w:sz w:val="21"/>
          <w:szCs w:val="21"/>
        </w:rPr>
        <w:t xml:space="preserve">本基金投资资产支持证券的，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pPr>
        <w:pStyle w:val="7"/>
        <w:spacing w:before="0" w:beforeAutospacing="0" w:after="0" w:afterAutospacing="0" w:line="360" w:lineRule="auto"/>
        <w:ind w:firstLine="420"/>
        <w:rPr>
          <w:sz w:val="21"/>
          <w:szCs w:val="21"/>
        </w:rPr>
      </w:pPr>
      <w:r>
        <w:rPr>
          <w:rFonts w:hint="eastAsia"/>
          <w:sz w:val="21"/>
          <w:szCs w:val="21"/>
        </w:rPr>
        <w:t xml:space="preserve">（十五）基金参与股票期权交易的信息披露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票期权交易情况，包括交易政策、持仓情况、损益情况、风险指标、估值方法等，并充分揭示股票期权交易对基金总体风险的影响以及是否符合既定的投资政策和投资目标等。 </w:t>
      </w:r>
    </w:p>
    <w:p>
      <w:pPr>
        <w:pStyle w:val="7"/>
        <w:spacing w:before="0" w:beforeAutospacing="0" w:after="0" w:afterAutospacing="0" w:line="360" w:lineRule="auto"/>
        <w:ind w:firstLine="420"/>
        <w:rPr>
          <w:sz w:val="21"/>
          <w:szCs w:val="21"/>
        </w:rPr>
      </w:pPr>
      <w:r>
        <w:rPr>
          <w:rFonts w:hint="eastAsia"/>
          <w:sz w:val="21"/>
          <w:szCs w:val="21"/>
        </w:rPr>
        <w:t xml:space="preserve">（十六）基金参与股指期货、国债期货交易的信息披露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国债期货交易情况，包括交易政策、持仓情况、损益情况、风险指标等，并充分揭示股指期货、国债期货交易对基金总体风险的影响以及是否符合既定的交易政策和交易目标等。 </w:t>
      </w:r>
    </w:p>
    <w:p>
      <w:pPr>
        <w:pStyle w:val="7"/>
        <w:spacing w:before="0" w:beforeAutospacing="0" w:after="0" w:afterAutospacing="0" w:line="360" w:lineRule="auto"/>
        <w:ind w:firstLine="420"/>
        <w:rPr>
          <w:sz w:val="21"/>
          <w:szCs w:val="21"/>
        </w:rPr>
      </w:pPr>
      <w:r>
        <w:rPr>
          <w:rFonts w:hint="eastAsia"/>
          <w:sz w:val="21"/>
          <w:szCs w:val="21"/>
        </w:rPr>
        <w:t xml:space="preserve">（十七）基金参与融资和转融通证券出借业务的信息披露 </w:t>
      </w:r>
    </w:p>
    <w:p>
      <w:pPr>
        <w:pStyle w:val="7"/>
        <w:spacing w:before="0" w:beforeAutospacing="0" w:after="0" w:afterAutospacing="0" w:line="360" w:lineRule="auto"/>
        <w:ind w:firstLine="420"/>
        <w:rPr>
          <w:sz w:val="21"/>
          <w:szCs w:val="21"/>
        </w:rPr>
      </w:pPr>
      <w:r>
        <w:rPr>
          <w:rFonts w:hint="eastAsia"/>
          <w:sz w:val="21"/>
          <w:szCs w:val="21"/>
        </w:rPr>
        <w:t xml:space="preserve">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并就转融通证券出借业务在报告期内发生的重大关联交易事项做详细说明。 </w:t>
      </w:r>
    </w:p>
    <w:p>
      <w:pPr>
        <w:pStyle w:val="7"/>
        <w:spacing w:before="0" w:beforeAutospacing="0" w:after="0" w:afterAutospacing="0" w:line="360" w:lineRule="auto"/>
        <w:ind w:firstLine="420"/>
        <w:rPr>
          <w:sz w:val="21"/>
          <w:szCs w:val="21"/>
        </w:rPr>
      </w:pPr>
      <w:r>
        <w:rPr>
          <w:rFonts w:hint="eastAsia"/>
          <w:sz w:val="21"/>
          <w:szCs w:val="21"/>
        </w:rPr>
        <w:t xml:space="preserve">（十八）中国证监会规定的其他信息 </w:t>
      </w:r>
    </w:p>
    <w:p>
      <w:pPr>
        <w:pStyle w:val="7"/>
        <w:spacing w:before="0" w:beforeAutospacing="0" w:after="0" w:afterAutospacing="0" w:line="360" w:lineRule="auto"/>
        <w:ind w:firstLine="420"/>
        <w:rPr>
          <w:sz w:val="21"/>
          <w:szCs w:val="21"/>
        </w:rPr>
      </w:pPr>
      <w:r>
        <w:rPr>
          <w:rFonts w:hint="eastAsia"/>
          <w:sz w:val="21"/>
          <w:szCs w:val="21"/>
        </w:rPr>
        <w:t xml:space="preserve">六、信息披露事务管理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基金信息披露义务人公开披露基金信息，应当符合中国证监会相关基金信息披露内容与格式准则等法规以及证券交易所的自律管理规则的规定。 </w:t>
      </w:r>
    </w:p>
    <w:p>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基金份额净值、申购对价、赎回对价、基金定期报告、更新的招募说明书、基金产品资料概要、基金清算报告等公开披露的相关基金信息进行复核、审查，并向基金管理人进行书面或电子确认。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基金管理人、基金托管人应当在规定媒介中选择一家披露信息的媒介。基金管理人、基金托管人应当向中国证监会基金电子披露网站报送拟披露的基金信息，并保证相关报送信息的真实、准确、完整、及时。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规定媒介上披露信息外，还可以根据需要在其他公共媒介披露信息，但是其他公共媒介不得早于规定媒介和基金上市交易的证券交易所网站披露信息，并且在不同媒介上披露同一信息的内容应当一致。 </w:t>
      </w:r>
    </w:p>
    <w:p>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pPr>
        <w:pStyle w:val="7"/>
        <w:spacing w:before="0" w:beforeAutospacing="0" w:after="0" w:afterAutospacing="0" w:line="360" w:lineRule="auto"/>
        <w:ind w:firstLine="420"/>
        <w:rPr>
          <w:sz w:val="21"/>
          <w:szCs w:val="21"/>
        </w:rPr>
      </w:pPr>
      <w:r>
        <w:rPr>
          <w:rFonts w:hint="eastAsia"/>
          <w:sz w:val="21"/>
          <w:szCs w:val="21"/>
        </w:rPr>
        <w:t xml:space="preserve">七、信息披露文件的存放与查阅 </w:t>
      </w:r>
    </w:p>
    <w:p>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依法必须披露的信息发布后，基金管理人、基金托管人应当按照相关法律法规规定将信息置备于各自住所和基金上市交易的证券交易所，供社会公众查阅、复制。 </w:t>
      </w:r>
    </w:p>
    <w:p>
      <w:pPr>
        <w:pStyle w:val="7"/>
        <w:spacing w:before="0" w:beforeAutospacing="0" w:after="0" w:afterAutospacing="0" w:line="360" w:lineRule="auto"/>
        <w:ind w:firstLine="420"/>
        <w:rPr>
          <w:sz w:val="21"/>
          <w:szCs w:val="21"/>
        </w:rPr>
      </w:pPr>
      <w:r>
        <w:rPr>
          <w:rFonts w:hint="eastAsia"/>
          <w:sz w:val="21"/>
          <w:szCs w:val="21"/>
        </w:rPr>
        <w:t xml:space="preserve">八、暂停或延迟披露基金相关信息的情形 </w:t>
      </w:r>
    </w:p>
    <w:p>
      <w:pPr>
        <w:pStyle w:val="7"/>
        <w:spacing w:before="0" w:beforeAutospacing="0" w:after="0" w:afterAutospacing="0" w:line="360" w:lineRule="auto"/>
        <w:ind w:firstLine="420"/>
        <w:rPr>
          <w:sz w:val="21"/>
          <w:szCs w:val="21"/>
        </w:rPr>
      </w:pPr>
      <w:r>
        <w:rPr>
          <w:rFonts w:hint="eastAsia"/>
          <w:sz w:val="21"/>
          <w:szCs w:val="21"/>
        </w:rPr>
        <w:t xml:space="preserve">当出现下述情况时，基金管理人和基金托管人可暂停或延迟披露基金相关信息： </w:t>
      </w:r>
    </w:p>
    <w:p>
      <w:pPr>
        <w:pStyle w:val="7"/>
        <w:spacing w:before="0" w:beforeAutospacing="0" w:after="0" w:afterAutospacing="0" w:line="360" w:lineRule="auto"/>
        <w:ind w:firstLine="420"/>
        <w:rPr>
          <w:sz w:val="21"/>
          <w:szCs w:val="21"/>
        </w:rPr>
      </w:pPr>
      <w:r>
        <w:rPr>
          <w:rFonts w:hint="eastAsia"/>
          <w:sz w:val="21"/>
          <w:szCs w:val="21"/>
        </w:rPr>
        <w:t xml:space="preserve">1、不可抗力； </w:t>
      </w:r>
    </w:p>
    <w:p>
      <w:pPr>
        <w:pStyle w:val="7"/>
        <w:spacing w:before="0" w:beforeAutospacing="0" w:after="0" w:afterAutospacing="0" w:line="360" w:lineRule="auto"/>
        <w:ind w:firstLine="420"/>
        <w:rPr>
          <w:sz w:val="21"/>
          <w:szCs w:val="21"/>
        </w:rPr>
      </w:pPr>
      <w:r>
        <w:rPr>
          <w:rFonts w:hint="eastAsia"/>
          <w:sz w:val="21"/>
          <w:szCs w:val="21"/>
        </w:rPr>
        <w:t xml:space="preserve">2、发生暂停基金估值的情形时； </w:t>
      </w:r>
    </w:p>
    <w:p>
      <w:pPr>
        <w:pStyle w:val="7"/>
        <w:spacing w:before="0" w:beforeAutospacing="0" w:after="0" w:afterAutospacing="0" w:line="360" w:lineRule="auto"/>
        <w:ind w:firstLine="420"/>
        <w:rPr>
          <w:sz w:val="21"/>
          <w:szCs w:val="21"/>
        </w:rPr>
      </w:pPr>
      <w:bookmarkStart w:id="165" w:name="chapter_level1_20_67_section_1_end"/>
      <w:bookmarkEnd w:id="165"/>
      <w:r>
        <w:rPr>
          <w:rFonts w:hint="eastAsia"/>
          <w:sz w:val="21"/>
          <w:szCs w:val="21"/>
        </w:rPr>
        <w:t xml:space="preserve">3、法律法规规定、中国证监会和基金合同认定的其它情形。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6" w:name="chapter_level1_22_68"/>
      <w:bookmarkStart w:id="167" w:name="_Toc213857380"/>
      <w:r>
        <w:rPr>
          <w:rFonts w:hint="eastAsia" w:ascii="宋体" w:hAnsi="宋体" w:eastAsia="宋体"/>
          <w:sz w:val="30"/>
        </w:rPr>
        <w:t>第十八部分  风险揭示</w:t>
      </w:r>
      <w:bookmarkEnd w:id="166"/>
      <w:bookmarkEnd w:id="167"/>
    </w:p>
    <w:p>
      <w:pPr>
        <w:pStyle w:val="7"/>
        <w:spacing w:before="0" w:beforeAutospacing="0" w:after="0" w:afterAutospacing="0" w:line="360" w:lineRule="auto"/>
        <w:ind w:firstLine="420"/>
        <w:rPr>
          <w:sz w:val="21"/>
          <w:szCs w:val="21"/>
        </w:rPr>
      </w:pPr>
      <w:bookmarkStart w:id="168" w:name="chapter_level1_22_68_section_1"/>
      <w:bookmarkEnd w:id="168"/>
      <w:r>
        <w:rPr>
          <w:rFonts w:hint="eastAsia"/>
          <w:sz w:val="21"/>
          <w:szCs w:val="21"/>
        </w:rPr>
        <w:t>本基金管理人在总结、借鉴基金管理人旗下已有开放式基金（包括ETF基金）风险管理成熟经验的基础上，针对本基金的特点，确立科学的风险管理理念，建立相应的风险管理体系，对本基金整个投资过程进行有效的风险监控，为基金份额持有人谋取标的指数所表征的市场平均水平的投资收益。</w:t>
      </w:r>
    </w:p>
    <w:p>
      <w:pPr>
        <w:pStyle w:val="7"/>
        <w:spacing w:before="0" w:beforeAutospacing="0" w:after="0" w:afterAutospacing="0" w:line="360" w:lineRule="auto"/>
        <w:ind w:firstLine="420"/>
        <w:rPr>
          <w:sz w:val="21"/>
          <w:szCs w:val="21"/>
        </w:rPr>
      </w:pPr>
      <w:r>
        <w:rPr>
          <w:rFonts w:hint="eastAsia"/>
          <w:sz w:val="21"/>
          <w:szCs w:val="21"/>
        </w:rPr>
        <w:t>投资于本基金的主要风险包括以下几个方面：</w:t>
      </w:r>
    </w:p>
    <w:p>
      <w:pPr>
        <w:pStyle w:val="7"/>
        <w:spacing w:before="0" w:beforeAutospacing="0" w:after="0" w:afterAutospacing="0" w:line="360" w:lineRule="auto"/>
        <w:ind w:firstLine="420"/>
        <w:rPr>
          <w:sz w:val="21"/>
          <w:szCs w:val="21"/>
        </w:rPr>
      </w:pPr>
      <w:r>
        <w:rPr>
          <w:rStyle w:val="11"/>
          <w:rFonts w:hint="eastAsia"/>
          <w:sz w:val="21"/>
          <w:szCs w:val="21"/>
        </w:rPr>
        <w:t>一、标的指数回报与股票市场平均回报偏离的风险 </w:t>
      </w:r>
    </w:p>
    <w:p>
      <w:pPr>
        <w:pStyle w:val="7"/>
        <w:spacing w:before="0" w:beforeAutospacing="0" w:after="0" w:afterAutospacing="0" w:line="360" w:lineRule="auto"/>
        <w:ind w:firstLine="420"/>
        <w:rPr>
          <w:sz w:val="21"/>
          <w:szCs w:val="21"/>
        </w:rPr>
      </w:pPr>
      <w:r>
        <w:rPr>
          <w:rFonts w:hint="eastAsia"/>
          <w:sz w:val="21"/>
          <w:szCs w:val="21"/>
        </w:rPr>
        <w:t>标的指数并不能完全代表整个股票市场。标的指数成份股的平均回报率与整个股票市场的平均回报率可能存在偏离。 </w:t>
      </w:r>
    </w:p>
    <w:p>
      <w:pPr>
        <w:pStyle w:val="7"/>
        <w:spacing w:before="0" w:beforeAutospacing="0" w:after="0" w:afterAutospacing="0" w:line="360" w:lineRule="auto"/>
        <w:ind w:firstLine="420"/>
        <w:rPr>
          <w:sz w:val="21"/>
          <w:szCs w:val="21"/>
        </w:rPr>
      </w:pPr>
      <w:r>
        <w:rPr>
          <w:rStyle w:val="11"/>
          <w:rFonts w:hint="eastAsia"/>
          <w:sz w:val="21"/>
          <w:szCs w:val="21"/>
        </w:rPr>
        <w:t>二、标的指数波动的风险 </w:t>
      </w:r>
    </w:p>
    <w:p>
      <w:pPr>
        <w:pStyle w:val="7"/>
        <w:spacing w:before="0" w:beforeAutospacing="0" w:after="0" w:afterAutospacing="0" w:line="360" w:lineRule="auto"/>
        <w:ind w:firstLine="420"/>
        <w:rPr>
          <w:sz w:val="21"/>
          <w:szCs w:val="21"/>
        </w:rPr>
      </w:pPr>
      <w:r>
        <w:rPr>
          <w:rFonts w:hint="eastAsia"/>
          <w:sz w:val="21"/>
          <w:szCs w:val="21"/>
        </w:rPr>
        <w:t>标的指数成份股的价格可能受到政治因素、经济因素、上市公司经营状况、投资人心理和交易制度等各种因素的影响而波动，导致指数波动，从而使基金收益水平发生变化，产生风险。 </w:t>
      </w:r>
    </w:p>
    <w:p>
      <w:pPr>
        <w:pStyle w:val="7"/>
        <w:spacing w:before="0" w:beforeAutospacing="0" w:after="0" w:afterAutospacing="0" w:line="360" w:lineRule="auto"/>
        <w:ind w:firstLine="420"/>
        <w:rPr>
          <w:sz w:val="21"/>
          <w:szCs w:val="21"/>
        </w:rPr>
      </w:pPr>
      <w:r>
        <w:rPr>
          <w:rStyle w:val="11"/>
          <w:rFonts w:hint="eastAsia"/>
          <w:sz w:val="21"/>
          <w:szCs w:val="21"/>
        </w:rPr>
        <w:t>三、基金投资组合回报与标的指数回报偏离的风险 </w:t>
      </w:r>
    </w:p>
    <w:p>
      <w:pPr>
        <w:pStyle w:val="7"/>
        <w:spacing w:before="0" w:beforeAutospacing="0" w:after="0" w:afterAutospacing="0" w:line="360" w:lineRule="auto"/>
        <w:ind w:firstLine="420"/>
        <w:rPr>
          <w:sz w:val="21"/>
          <w:szCs w:val="21"/>
        </w:rPr>
      </w:pPr>
      <w:r>
        <w:rPr>
          <w:rFonts w:hint="eastAsia"/>
          <w:sz w:val="21"/>
          <w:szCs w:val="21"/>
        </w:rPr>
        <w:t>以下因素可能使基金投资组合的收益率与标的指数的收益率发生偏离： </w:t>
      </w:r>
    </w:p>
    <w:p>
      <w:pPr>
        <w:pStyle w:val="7"/>
        <w:spacing w:before="0" w:beforeAutospacing="0" w:after="0" w:afterAutospacing="0" w:line="360" w:lineRule="auto"/>
        <w:ind w:firstLine="420"/>
        <w:rPr>
          <w:sz w:val="21"/>
          <w:szCs w:val="21"/>
        </w:rPr>
      </w:pPr>
      <w:r>
        <w:rPr>
          <w:rFonts w:hint="eastAsia"/>
          <w:sz w:val="21"/>
          <w:szCs w:val="21"/>
        </w:rPr>
        <w:t>1、由于标的指数调整成份股或变更编制方法，使本基金在相应的组合调整中产生跟踪偏离度与跟踪误差。 </w:t>
      </w:r>
    </w:p>
    <w:p>
      <w:pPr>
        <w:pStyle w:val="7"/>
        <w:spacing w:before="0" w:beforeAutospacing="0" w:after="0" w:afterAutospacing="0" w:line="360" w:lineRule="auto"/>
        <w:ind w:firstLine="420"/>
        <w:rPr>
          <w:sz w:val="21"/>
          <w:szCs w:val="21"/>
        </w:rPr>
      </w:pPr>
      <w:r>
        <w:rPr>
          <w:rFonts w:hint="eastAsia"/>
          <w:sz w:val="21"/>
          <w:szCs w:val="21"/>
        </w:rPr>
        <w:t>2、由于标的指数成份股发生送配股、增发等行为导致成份股在标的指数中的权重发生变化，使本基金在相应的组合调整中产生跟踪偏离度和跟踪误差。 </w:t>
      </w:r>
    </w:p>
    <w:p>
      <w:pPr>
        <w:pStyle w:val="7"/>
        <w:spacing w:before="0" w:beforeAutospacing="0" w:after="0" w:afterAutospacing="0" w:line="360" w:lineRule="auto"/>
        <w:ind w:firstLine="420"/>
        <w:rPr>
          <w:sz w:val="21"/>
          <w:szCs w:val="21"/>
        </w:rPr>
      </w:pPr>
      <w:r>
        <w:rPr>
          <w:rFonts w:hint="eastAsia"/>
          <w:sz w:val="21"/>
          <w:szCs w:val="21"/>
        </w:rPr>
        <w:t>3、成份股派发现金红利、成份股增发、送配等所获收益可能导致基金收益率偏离标的指数收益率，从而产生跟踪偏离度。 </w:t>
      </w:r>
    </w:p>
    <w:p>
      <w:pPr>
        <w:pStyle w:val="7"/>
        <w:spacing w:before="0" w:beforeAutospacing="0" w:after="0" w:afterAutospacing="0" w:line="360" w:lineRule="auto"/>
        <w:ind w:firstLine="420"/>
        <w:rPr>
          <w:sz w:val="21"/>
          <w:szCs w:val="21"/>
        </w:rPr>
      </w:pPr>
      <w:r>
        <w:rPr>
          <w:rFonts w:hint="eastAsia"/>
          <w:sz w:val="21"/>
          <w:szCs w:val="21"/>
        </w:rPr>
        <w:t>4、由于成份股停牌、摘牌或流动性差等原因使本基金无法及时调整投资组合或承担冲击成本而产生跟踪偏离度和跟踪误差。 </w:t>
      </w:r>
    </w:p>
    <w:p>
      <w:pPr>
        <w:pStyle w:val="7"/>
        <w:spacing w:before="0" w:beforeAutospacing="0" w:after="0" w:afterAutospacing="0" w:line="360" w:lineRule="auto"/>
        <w:ind w:firstLine="420"/>
        <w:rPr>
          <w:sz w:val="21"/>
          <w:szCs w:val="21"/>
        </w:rPr>
      </w:pPr>
      <w:r>
        <w:rPr>
          <w:rFonts w:hint="eastAsia"/>
          <w:sz w:val="21"/>
          <w:szCs w:val="21"/>
        </w:rPr>
        <w:t>5、由于基金投资过程中的证券交易成本，以及基金管理费和托管费等费用的存在，使基金投资组合与标的指数产生跟踪偏离度与跟踪误差。 </w:t>
      </w:r>
    </w:p>
    <w:p>
      <w:pPr>
        <w:pStyle w:val="7"/>
        <w:spacing w:before="0" w:beforeAutospacing="0" w:after="0" w:afterAutospacing="0" w:line="360" w:lineRule="auto"/>
        <w:ind w:firstLine="420"/>
        <w:rPr>
          <w:sz w:val="21"/>
          <w:szCs w:val="21"/>
        </w:rPr>
      </w:pPr>
      <w:r>
        <w:rPr>
          <w:rFonts w:hint="eastAsia"/>
          <w:sz w:val="21"/>
          <w:szCs w:val="21"/>
        </w:rPr>
        <w:t>6、在本基金指数化投资过程中，基金管理人的管理能力，例如跟踪指数的水平、技术手段、买入卖出的时机选择等，都会对本基金的收益产生影响，从而影响本基金对标的指数的跟踪程度。 </w:t>
      </w:r>
    </w:p>
    <w:p>
      <w:pPr>
        <w:pStyle w:val="7"/>
        <w:spacing w:before="0" w:beforeAutospacing="0" w:after="0" w:afterAutospacing="0" w:line="360" w:lineRule="auto"/>
        <w:ind w:firstLine="420"/>
        <w:rPr>
          <w:sz w:val="21"/>
          <w:szCs w:val="21"/>
        </w:rPr>
      </w:pPr>
      <w:r>
        <w:rPr>
          <w:rFonts w:hint="eastAsia"/>
          <w:sz w:val="21"/>
          <w:szCs w:val="21"/>
        </w:rPr>
        <w:t>7、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 </w:t>
      </w:r>
    </w:p>
    <w:p>
      <w:pPr>
        <w:pStyle w:val="7"/>
        <w:spacing w:before="0" w:beforeAutospacing="0" w:after="0" w:afterAutospacing="0" w:line="360" w:lineRule="auto"/>
        <w:ind w:firstLine="420"/>
        <w:rPr>
          <w:sz w:val="21"/>
          <w:szCs w:val="21"/>
        </w:rPr>
      </w:pPr>
      <w:r>
        <w:rPr>
          <w:rStyle w:val="11"/>
          <w:rFonts w:hint="eastAsia"/>
          <w:sz w:val="21"/>
          <w:szCs w:val="21"/>
        </w:rPr>
        <w:t>四、流动性风险</w:t>
      </w:r>
    </w:p>
    <w:p>
      <w:pPr>
        <w:pStyle w:val="7"/>
        <w:spacing w:before="0" w:beforeAutospacing="0" w:after="0" w:afterAutospacing="0" w:line="360" w:lineRule="auto"/>
        <w:ind w:firstLine="420"/>
        <w:rPr>
          <w:sz w:val="21"/>
          <w:szCs w:val="21"/>
        </w:rPr>
      </w:pPr>
      <w:r>
        <w:rPr>
          <w:rFonts w:hint="eastAsia"/>
          <w:sz w:val="21"/>
          <w:szCs w:val="21"/>
        </w:rPr>
        <w:t>1、本基金交易方式带来的流动性风险</w:t>
      </w:r>
    </w:p>
    <w:p>
      <w:pPr>
        <w:pStyle w:val="7"/>
        <w:spacing w:before="0" w:beforeAutospacing="0" w:after="0" w:afterAutospacing="0" w:line="360" w:lineRule="auto"/>
        <w:ind w:firstLine="420"/>
        <w:rPr>
          <w:sz w:val="21"/>
          <w:szCs w:val="21"/>
        </w:rPr>
      </w:pPr>
      <w:r>
        <w:rPr>
          <w:rFonts w:hint="eastAsia"/>
          <w:sz w:val="21"/>
          <w:szCs w:val="21"/>
        </w:rPr>
        <w:t>①本基金最小申购、赎回单位设置较高，中小投资者只能在二级市场上按交易价格卖出基金份额。</w:t>
      </w:r>
    </w:p>
    <w:p>
      <w:pPr>
        <w:pStyle w:val="7"/>
        <w:spacing w:before="0" w:beforeAutospacing="0" w:after="0" w:afterAutospacing="0" w:line="360" w:lineRule="auto"/>
        <w:ind w:firstLine="420"/>
        <w:rPr>
          <w:sz w:val="21"/>
          <w:szCs w:val="21"/>
        </w:rPr>
      </w:pPr>
      <w:r>
        <w:rPr>
          <w:rFonts w:hint="eastAsia"/>
          <w:sz w:val="21"/>
          <w:szCs w:val="21"/>
        </w:rPr>
        <w:t>②基金将在深圳证券交易所上市交易，但不保证市场交易一定活跃；基金的交易可能因各种原因被暂停，当基金不再符合相关上市条件时，基金的上市也可能被终止。</w:t>
      </w:r>
    </w:p>
    <w:p>
      <w:pPr>
        <w:pStyle w:val="7"/>
        <w:spacing w:before="0" w:beforeAutospacing="0" w:after="0" w:afterAutospacing="0" w:line="360" w:lineRule="auto"/>
        <w:ind w:firstLine="420"/>
        <w:rPr>
          <w:sz w:val="21"/>
          <w:szCs w:val="21"/>
        </w:rPr>
      </w:pPr>
      <w:r>
        <w:rPr>
          <w:rFonts w:hint="eastAsia"/>
          <w:sz w:val="21"/>
          <w:szCs w:val="21"/>
        </w:rPr>
        <w:t>③尽管由于投资者可以进行申购、赎回，基金一般不会持续出现大幅折溢价情况。但是，基金的二级市场交易价格受市场供求的影响，可能高于（称为溢价）或低于（称为折价）基金份额净值。</w:t>
      </w:r>
    </w:p>
    <w:p>
      <w:pPr>
        <w:pStyle w:val="7"/>
        <w:spacing w:before="0" w:beforeAutospacing="0" w:after="0" w:afterAutospacing="0" w:line="360" w:lineRule="auto"/>
        <w:ind w:firstLine="420"/>
        <w:rPr>
          <w:sz w:val="21"/>
          <w:szCs w:val="21"/>
        </w:rPr>
      </w:pPr>
      <w:r>
        <w:rPr>
          <w:rFonts w:hint="eastAsia"/>
          <w:sz w:val="21"/>
          <w:szCs w:val="21"/>
        </w:rPr>
        <w:t>2、拟投资市场、行业及资产的流动性风险评估</w:t>
      </w:r>
    </w:p>
    <w:p>
      <w:pPr>
        <w:pStyle w:val="7"/>
        <w:spacing w:before="0" w:beforeAutospacing="0" w:after="0" w:afterAutospacing="0" w:line="360" w:lineRule="auto"/>
        <w:ind w:firstLine="420"/>
        <w:rPr>
          <w:sz w:val="21"/>
          <w:szCs w:val="21"/>
        </w:rPr>
      </w:pPr>
      <w:r>
        <w:rPr>
          <w:rFonts w:hint="eastAsia"/>
          <w:sz w:val="21"/>
          <w:szCs w:val="21"/>
        </w:rPr>
        <w:t>本基金投资对象是具有良好流动性的金融工具，包括国内依法发行上市的股票（包括创业板及其他经中国证监会核准或注册上市的股票和存托凭证）、股指期货、国债期货、股票期权、债券、货币市场工具、债券回购、资产支持证券等。投资交易均在依法设立的正规市场中进行，所投市场和资产方面的整体流动性较高。同时，本基金通过投资限制对各类资产的投资比例、期限、评级、杠杆和集中度进行了控制，并严格控制了主动投资于流动性受限资产的比例上限，整体持仓资产的流动性风险较低。</w:t>
      </w:r>
    </w:p>
    <w:p>
      <w:pPr>
        <w:pStyle w:val="7"/>
        <w:spacing w:before="0" w:beforeAutospacing="0" w:after="0" w:afterAutospacing="0" w:line="360" w:lineRule="auto"/>
        <w:ind w:firstLine="420"/>
        <w:rPr>
          <w:sz w:val="21"/>
          <w:szCs w:val="21"/>
        </w:rPr>
      </w:pPr>
      <w:r>
        <w:rPr>
          <w:rFonts w:hint="eastAsia"/>
          <w:sz w:val="21"/>
          <w:szCs w:val="21"/>
        </w:rPr>
        <w:t>3、实施备用的流动性风险管理工具的情形、程序及对投资者的潜在影响</w:t>
      </w:r>
    </w:p>
    <w:p>
      <w:pPr>
        <w:pStyle w:val="7"/>
        <w:spacing w:before="0" w:beforeAutospacing="0" w:after="0" w:afterAutospacing="0" w:line="360" w:lineRule="auto"/>
        <w:ind w:firstLine="420"/>
        <w:rPr>
          <w:sz w:val="21"/>
          <w:szCs w:val="21"/>
        </w:rPr>
      </w:pPr>
      <w:r>
        <w:rPr>
          <w:rFonts w:hint="eastAsia"/>
          <w:sz w:val="21"/>
          <w:szCs w:val="21"/>
        </w:rPr>
        <w:t>本基金备用流动性风险管理工具包括但不限于暂停接受赎回申请、延缓支付赎回对价、暂停基金估值以及证监会认定的其他措施。</w:t>
      </w:r>
    </w:p>
    <w:p>
      <w:pPr>
        <w:pStyle w:val="7"/>
        <w:spacing w:before="0" w:beforeAutospacing="0" w:after="0" w:afterAutospacing="0" w:line="360" w:lineRule="auto"/>
        <w:ind w:firstLine="420"/>
        <w:rPr>
          <w:sz w:val="21"/>
          <w:szCs w:val="21"/>
        </w:rPr>
      </w:pPr>
      <w:r>
        <w:rPr>
          <w:rFonts w:hint="eastAsia"/>
          <w:sz w:val="21"/>
          <w:szCs w:val="21"/>
        </w:rPr>
        <w:t>暂停接受赎回申请、延缓支付赎回对价等工具的情形、程序见招募说明书“基金份额的申购与赎回”部分之“暂停赎回或延缓支付赎回对价的情形及处理方式”的相关规定。若本基金暂停赎回申请，投资者在暂停赎回期间将无法赎回其持有的基金份额。若本基金延缓支付赎回对价，赎回对价支付时间将后延，可能对投资者的资金安排带来不利影响。</w:t>
      </w:r>
    </w:p>
    <w:p>
      <w:pPr>
        <w:pStyle w:val="7"/>
        <w:spacing w:before="0" w:beforeAutospacing="0" w:after="0" w:afterAutospacing="0" w:line="360" w:lineRule="auto"/>
        <w:ind w:firstLine="420"/>
        <w:rPr>
          <w:sz w:val="21"/>
          <w:szCs w:val="21"/>
        </w:rPr>
      </w:pPr>
      <w:r>
        <w:rPr>
          <w:rFonts w:hint="eastAsia"/>
          <w:sz w:val="21"/>
          <w:szCs w:val="21"/>
        </w:rPr>
        <w:t>暂停基金估值的情形、程序见招募说明书“基金资产的估值”部分之“暂停估值的情形”的相关规定。若本基金暂停基金估值，一方面投资者将无法知晓本基金的基金份额净值，另一方面基金将暂停接受申购赎回申请或延缓支付赎回对价，将导致投资者无法申购或赎回本基金，或赎回对价支付时间将后延，可能对投资者的资金安排带来不利影响。</w:t>
      </w:r>
    </w:p>
    <w:p>
      <w:pPr>
        <w:pStyle w:val="7"/>
        <w:spacing w:before="0" w:beforeAutospacing="0" w:after="0" w:afterAutospacing="0" w:line="360" w:lineRule="auto"/>
        <w:ind w:firstLine="420"/>
        <w:rPr>
          <w:sz w:val="21"/>
          <w:szCs w:val="21"/>
        </w:rPr>
      </w:pPr>
      <w:r>
        <w:rPr>
          <w:rStyle w:val="11"/>
          <w:rFonts w:hint="eastAsia"/>
          <w:sz w:val="21"/>
          <w:szCs w:val="21"/>
        </w:rPr>
        <w:t>五、标的指数变更的风险</w:t>
      </w:r>
    </w:p>
    <w:p>
      <w:pPr>
        <w:pStyle w:val="7"/>
        <w:spacing w:before="0" w:beforeAutospacing="0" w:after="0" w:afterAutospacing="0" w:line="360" w:lineRule="auto"/>
        <w:ind w:firstLine="420"/>
        <w:rPr>
          <w:sz w:val="21"/>
          <w:szCs w:val="21"/>
        </w:rPr>
      </w:pPr>
      <w:r>
        <w:rPr>
          <w:rFonts w:hint="eastAsia"/>
          <w:sz w:val="21"/>
          <w:szCs w:val="21"/>
        </w:rPr>
        <w:t>尽管可能性很小，但根据基金合同规定，如出现变更标的指数的情形，本基金将变更标的指数。基于原标的指数的投资政策将会改变，投资组合将随之调整，基金的收益风险特征将与新的标的指数保持一致，投资人须承担此项调整带来的风险与成本。 </w:t>
      </w:r>
    </w:p>
    <w:p>
      <w:pPr>
        <w:pStyle w:val="7"/>
        <w:spacing w:before="0" w:beforeAutospacing="0" w:after="0" w:afterAutospacing="0" w:line="360" w:lineRule="auto"/>
        <w:ind w:firstLine="420"/>
        <w:rPr>
          <w:sz w:val="21"/>
          <w:szCs w:val="21"/>
        </w:rPr>
      </w:pPr>
      <w:r>
        <w:rPr>
          <w:rStyle w:val="11"/>
          <w:rFonts w:hint="eastAsia"/>
          <w:sz w:val="21"/>
          <w:szCs w:val="21"/>
        </w:rPr>
        <w:t>六、指数编制机构停止服务的风险</w:t>
      </w:r>
    </w:p>
    <w:p>
      <w:pPr>
        <w:pStyle w:val="7"/>
        <w:spacing w:before="0" w:beforeAutospacing="0" w:after="0" w:afterAutospacing="0" w:line="360" w:lineRule="auto"/>
        <w:ind w:firstLine="420"/>
        <w:rPr>
          <w:sz w:val="21"/>
          <w:szCs w:val="21"/>
        </w:rPr>
      </w:pPr>
      <w:r>
        <w:rPr>
          <w:rFonts w:hint="eastAsia"/>
          <w:sz w:val="21"/>
          <w:szCs w:val="21"/>
        </w:rPr>
        <w:t>本基金的标的指数由指数编制机构发布并管理和维护，未来指数编制机构可能由于各种原因停止对指数的管理和维护，本基金将根据基金合同的约定自该情形发生之日起十个工作日向中国证监会报告并提出解决方案，如更换基金标的指数、转换运作方式、与其他基金合并或者终止基金合同等，并在6个月内召集基金份额持有人大会进行表决。因此，投资人将面临更换基金标的指数、转换运作方式、与其他基金合并或者终止基金合同等风险。</w:t>
      </w:r>
    </w:p>
    <w:p>
      <w:pPr>
        <w:pStyle w:val="7"/>
        <w:spacing w:before="0" w:beforeAutospacing="0" w:after="0" w:afterAutospacing="0" w:line="360" w:lineRule="auto"/>
        <w:ind w:firstLine="420"/>
        <w:rPr>
          <w:sz w:val="21"/>
          <w:szCs w:val="21"/>
        </w:rPr>
      </w:pPr>
      <w:r>
        <w:rPr>
          <w:rFonts w:hint="eastAsia"/>
          <w:sz w:val="21"/>
          <w:szCs w:val="21"/>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pPr>
        <w:pStyle w:val="7"/>
        <w:spacing w:before="0" w:beforeAutospacing="0" w:after="0" w:afterAutospacing="0" w:line="360" w:lineRule="auto"/>
        <w:ind w:firstLine="420"/>
        <w:rPr>
          <w:b/>
          <w:bCs/>
          <w:sz w:val="21"/>
          <w:szCs w:val="21"/>
        </w:rPr>
      </w:pPr>
      <w:r>
        <w:rPr>
          <w:rFonts w:hint="eastAsia"/>
          <w:b/>
          <w:bCs/>
          <w:sz w:val="21"/>
          <w:szCs w:val="21"/>
        </w:rPr>
        <w:t>七、跟踪误差控制未达约定目标的风险</w:t>
      </w:r>
    </w:p>
    <w:p>
      <w:pPr>
        <w:pStyle w:val="7"/>
        <w:spacing w:before="0" w:beforeAutospacing="0" w:after="0" w:afterAutospacing="0" w:line="360" w:lineRule="auto"/>
        <w:ind w:firstLine="420"/>
        <w:rPr>
          <w:sz w:val="21"/>
          <w:szCs w:val="21"/>
        </w:rPr>
      </w:pPr>
      <w:r>
        <w:rPr>
          <w:rFonts w:hint="eastAsia"/>
          <w:sz w:val="21"/>
          <w:szCs w:val="21"/>
        </w:rPr>
        <w:t>本基金力争控制投资组合的净值增长率与业绩比较基准之间的预期日均跟踪偏离度的绝对值小于0.2%，预期年化跟踪误差不超过2%，但因标的指数编制规则调整或其他因素可能导致跟踪误差超过上述范围，本基金净值表现与指数价格走势可能发生较大偏离。</w:t>
      </w:r>
    </w:p>
    <w:p>
      <w:pPr>
        <w:pStyle w:val="7"/>
        <w:spacing w:before="0" w:beforeAutospacing="0" w:after="0" w:afterAutospacing="0" w:line="360" w:lineRule="auto"/>
        <w:ind w:firstLine="420"/>
        <w:rPr>
          <w:b/>
          <w:bCs/>
          <w:sz w:val="21"/>
          <w:szCs w:val="21"/>
        </w:rPr>
      </w:pPr>
      <w:r>
        <w:rPr>
          <w:rFonts w:hint="eastAsia"/>
          <w:b/>
          <w:bCs/>
          <w:sz w:val="21"/>
          <w:szCs w:val="21"/>
        </w:rPr>
        <w:t>八、成份股停牌的风险</w:t>
      </w:r>
    </w:p>
    <w:p>
      <w:pPr>
        <w:pStyle w:val="7"/>
        <w:spacing w:before="0" w:beforeAutospacing="0" w:after="0" w:afterAutospacing="0" w:line="360" w:lineRule="auto"/>
        <w:ind w:firstLine="420"/>
        <w:rPr>
          <w:sz w:val="21"/>
          <w:szCs w:val="21"/>
        </w:rPr>
      </w:pPr>
      <w:r>
        <w:rPr>
          <w:rFonts w:hint="eastAsia"/>
          <w:sz w:val="21"/>
          <w:szCs w:val="21"/>
        </w:rPr>
        <w:t>标的指数成份股可能因各种原因临时或长期停牌，发生成份股停牌时可能面临如下风险：</w:t>
      </w:r>
    </w:p>
    <w:p>
      <w:pPr>
        <w:pStyle w:val="7"/>
        <w:spacing w:before="0" w:beforeAutospacing="0" w:after="0" w:afterAutospacing="0" w:line="360" w:lineRule="auto"/>
        <w:ind w:firstLine="420"/>
        <w:rPr>
          <w:sz w:val="21"/>
          <w:szCs w:val="21"/>
        </w:rPr>
      </w:pPr>
      <w:r>
        <w:rPr>
          <w:rFonts w:hint="eastAsia"/>
          <w:sz w:val="21"/>
          <w:szCs w:val="21"/>
        </w:rPr>
        <w:t>1、基金可能因无法及时调整投资组合而导致跟踪偏离度和跟踪误差扩大。</w:t>
      </w:r>
    </w:p>
    <w:p>
      <w:pPr>
        <w:pStyle w:val="7"/>
        <w:spacing w:before="0" w:beforeAutospacing="0" w:after="0" w:afterAutospacing="0" w:line="360" w:lineRule="auto"/>
        <w:ind w:firstLine="420"/>
        <w:rPr>
          <w:sz w:val="21"/>
          <w:szCs w:val="21"/>
        </w:rPr>
      </w:pPr>
      <w:r>
        <w:rPr>
          <w:rFonts w:hint="eastAsia"/>
          <w:sz w:val="21"/>
          <w:szCs w:val="21"/>
        </w:rPr>
        <w:t>2、停牌成份股可能因其权重占比、市场复牌预期、现金替代标识等因素影响本基金二级市场价格的折溢价水平。</w:t>
      </w:r>
    </w:p>
    <w:p>
      <w:pPr>
        <w:pStyle w:val="7"/>
        <w:spacing w:before="0" w:beforeAutospacing="0" w:after="0" w:afterAutospacing="0" w:line="360" w:lineRule="auto"/>
        <w:ind w:firstLine="420"/>
        <w:rPr>
          <w:sz w:val="21"/>
          <w:szCs w:val="21"/>
        </w:rPr>
      </w:pPr>
      <w:r>
        <w:rPr>
          <w:rFonts w:hint="eastAsia"/>
          <w:sz w:val="21"/>
          <w:szCs w:val="21"/>
        </w:rPr>
        <w:t>3、若成份股停牌时间较长，在约定时间内仍未能及时买入或卖出的，则该部分款项将按照约定方式进行结算（具体见招募说明书“基金份额的申购与赎回”之“申购赎回清单的内容与格式”相关约定），由此可能影响投资者的投资损益并使基金产生跟踪偏离度和跟踪误差。</w:t>
      </w:r>
    </w:p>
    <w:p>
      <w:pPr>
        <w:pStyle w:val="7"/>
        <w:spacing w:before="0" w:beforeAutospacing="0" w:after="0" w:afterAutospacing="0" w:line="360" w:lineRule="auto"/>
        <w:ind w:firstLine="420"/>
        <w:rPr>
          <w:sz w:val="21"/>
          <w:szCs w:val="21"/>
        </w:rPr>
      </w:pPr>
      <w:r>
        <w:rPr>
          <w:rFonts w:hint="eastAsia"/>
          <w:sz w:val="21"/>
          <w:szCs w:val="21"/>
        </w:rPr>
        <w:t>4、在极端情况下，标的指数成份股可能大面积停牌，基金可能无法及时卖出成份股以获取足额的符合要求的赎回对价，由此基金管理人可能在申购赎回清单中设置较低的赎回份额上限或者采取暂停赎回的措施，投资者将面临无法赎回全部或部分基金份额的风险。</w:t>
      </w:r>
    </w:p>
    <w:p>
      <w:pPr>
        <w:pStyle w:val="7"/>
        <w:spacing w:before="0" w:beforeAutospacing="0" w:after="0" w:afterAutospacing="0" w:line="360" w:lineRule="auto"/>
        <w:ind w:firstLine="420"/>
        <w:rPr>
          <w:b/>
          <w:bCs/>
          <w:sz w:val="21"/>
          <w:szCs w:val="21"/>
        </w:rPr>
      </w:pPr>
      <w:r>
        <w:rPr>
          <w:rFonts w:hint="eastAsia"/>
          <w:b/>
          <w:bCs/>
          <w:sz w:val="21"/>
          <w:szCs w:val="21"/>
        </w:rPr>
        <w:t>九、成份股退市的风险</w:t>
      </w:r>
    </w:p>
    <w:p>
      <w:pPr>
        <w:pStyle w:val="7"/>
        <w:spacing w:before="0" w:beforeAutospacing="0" w:after="0" w:afterAutospacing="0" w:line="360" w:lineRule="auto"/>
        <w:ind w:firstLine="420"/>
        <w:rPr>
          <w:sz w:val="21"/>
          <w:szCs w:val="21"/>
        </w:rPr>
      </w:pPr>
      <w:r>
        <w:rPr>
          <w:rFonts w:hint="eastAsia"/>
          <w:sz w:val="21"/>
          <w:szCs w:val="21"/>
        </w:rPr>
        <w:t>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w:t>
      </w:r>
    </w:p>
    <w:p>
      <w:pPr>
        <w:pStyle w:val="7"/>
        <w:spacing w:before="0" w:beforeAutospacing="0" w:after="0" w:afterAutospacing="0" w:line="360" w:lineRule="auto"/>
        <w:ind w:firstLine="420"/>
        <w:rPr>
          <w:sz w:val="21"/>
          <w:szCs w:val="21"/>
        </w:rPr>
      </w:pPr>
      <w:r>
        <w:rPr>
          <w:rStyle w:val="11"/>
          <w:rFonts w:hint="eastAsia"/>
          <w:sz w:val="21"/>
          <w:szCs w:val="21"/>
        </w:rPr>
        <w:t>十、基金份额二级市场交易价格折溢价的风险</w:t>
      </w:r>
    </w:p>
    <w:p>
      <w:pPr>
        <w:pStyle w:val="7"/>
        <w:spacing w:before="0" w:beforeAutospacing="0" w:after="0" w:afterAutospacing="0" w:line="360" w:lineRule="auto"/>
        <w:ind w:firstLine="420"/>
        <w:rPr>
          <w:sz w:val="21"/>
          <w:szCs w:val="21"/>
        </w:rPr>
      </w:pPr>
      <w:r>
        <w:rPr>
          <w:rFonts w:hint="eastAsia"/>
          <w:sz w:val="21"/>
          <w:szCs w:val="21"/>
        </w:rPr>
        <w:t>基金份额在证券交易所的交易价格受诸多因素影响，可能存在不同于基金份额净值的情形，即存在价格折溢价的风险。 </w:t>
      </w:r>
    </w:p>
    <w:p>
      <w:pPr>
        <w:pStyle w:val="7"/>
        <w:spacing w:before="0" w:beforeAutospacing="0" w:after="0" w:afterAutospacing="0" w:line="360" w:lineRule="auto"/>
        <w:ind w:firstLine="420"/>
        <w:rPr>
          <w:sz w:val="21"/>
          <w:szCs w:val="21"/>
        </w:rPr>
      </w:pPr>
      <w:r>
        <w:rPr>
          <w:rStyle w:val="11"/>
          <w:rFonts w:hint="eastAsia"/>
          <w:sz w:val="21"/>
          <w:szCs w:val="21"/>
        </w:rPr>
        <w:t>十一、基金份额参考净值决策和基金份额参考净值计算错误的风险 </w:t>
      </w:r>
    </w:p>
    <w:p>
      <w:pPr>
        <w:pStyle w:val="7"/>
        <w:spacing w:before="0" w:beforeAutospacing="0" w:after="0" w:afterAutospacing="0" w:line="360" w:lineRule="auto"/>
        <w:ind w:firstLine="420"/>
        <w:rPr>
          <w:sz w:val="21"/>
          <w:szCs w:val="21"/>
        </w:rPr>
      </w:pPr>
      <w:r>
        <w:rPr>
          <w:rFonts w:hint="eastAsia"/>
          <w:sz w:val="21"/>
          <w:szCs w:val="21"/>
        </w:rPr>
        <w:t>本基金基金份额参考净值（IOPV）由基金管理人或基金管理人委托的机构计算，并交由深圳证券交易所对外发布，仅供投资人交易、申购、赎回基金份额时参考。基金份额参考净值与实时的基金份额净值可能存在差异，基金份额参考净值计算可能出现错误，投资人若参考基金份额参考净值进行投资决策可能导致损失，需投资人自行承担。 </w:t>
      </w:r>
    </w:p>
    <w:p>
      <w:pPr>
        <w:pStyle w:val="7"/>
        <w:spacing w:before="0" w:beforeAutospacing="0" w:after="0" w:afterAutospacing="0" w:line="360" w:lineRule="auto"/>
        <w:ind w:firstLine="420"/>
        <w:rPr>
          <w:sz w:val="21"/>
          <w:szCs w:val="21"/>
        </w:rPr>
      </w:pPr>
      <w:r>
        <w:rPr>
          <w:rStyle w:val="11"/>
          <w:rFonts w:hint="eastAsia"/>
          <w:sz w:val="21"/>
          <w:szCs w:val="21"/>
        </w:rPr>
        <w:t>十二、退市风险 </w:t>
      </w:r>
    </w:p>
    <w:p>
      <w:pPr>
        <w:pStyle w:val="7"/>
        <w:spacing w:before="0" w:beforeAutospacing="0" w:after="0" w:afterAutospacing="0" w:line="360" w:lineRule="auto"/>
        <w:ind w:firstLine="420"/>
        <w:rPr>
          <w:sz w:val="21"/>
          <w:szCs w:val="21"/>
        </w:rPr>
      </w:pPr>
      <w:r>
        <w:rPr>
          <w:rFonts w:hint="eastAsia"/>
          <w:sz w:val="21"/>
          <w:szCs w:val="21"/>
        </w:rPr>
        <w:t>因本基金不再符合证券交易所上市条件被终止上市，或被基金份额持有人大会决议提前终止上市等原因，导致基金份额不能继续进行二级市场交易的风险。 </w:t>
      </w:r>
    </w:p>
    <w:p>
      <w:pPr>
        <w:pStyle w:val="7"/>
        <w:spacing w:before="0" w:beforeAutospacing="0" w:after="0" w:afterAutospacing="0" w:line="360" w:lineRule="auto"/>
        <w:ind w:firstLine="420"/>
        <w:rPr>
          <w:sz w:val="21"/>
          <w:szCs w:val="21"/>
        </w:rPr>
      </w:pPr>
      <w:r>
        <w:rPr>
          <w:rStyle w:val="11"/>
          <w:rFonts w:hint="eastAsia"/>
          <w:sz w:val="21"/>
          <w:szCs w:val="21"/>
        </w:rPr>
        <w:t>十三、投资人申购失败的风险 </w:t>
      </w:r>
    </w:p>
    <w:p>
      <w:pPr>
        <w:pStyle w:val="7"/>
        <w:spacing w:before="0" w:beforeAutospacing="0" w:after="0" w:afterAutospacing="0" w:line="360" w:lineRule="auto"/>
        <w:ind w:firstLine="420"/>
        <w:rPr>
          <w:sz w:val="21"/>
          <w:szCs w:val="21"/>
        </w:rPr>
      </w:pPr>
      <w:r>
        <w:rPr>
          <w:rFonts w:hint="eastAsia"/>
          <w:sz w:val="21"/>
          <w:szCs w:val="21"/>
        </w:rPr>
        <w:t>本基金的申购赎回清单中，可能仅允许对部分成份股使用现金替代，且设置现金替代比例上限，因此，投资人申购时，可能存在因个别成份股涨停、临时停牌等原因而无法买入申购所需的足够的成份股，导致申购失败的风险。 </w:t>
      </w:r>
    </w:p>
    <w:p>
      <w:pPr>
        <w:pStyle w:val="7"/>
        <w:spacing w:before="0" w:beforeAutospacing="0" w:after="0" w:afterAutospacing="0" w:line="360" w:lineRule="auto"/>
        <w:ind w:firstLine="420"/>
        <w:rPr>
          <w:sz w:val="21"/>
          <w:szCs w:val="21"/>
        </w:rPr>
      </w:pPr>
      <w:r>
        <w:rPr>
          <w:rStyle w:val="11"/>
          <w:rFonts w:hint="eastAsia"/>
          <w:sz w:val="21"/>
          <w:szCs w:val="21"/>
        </w:rPr>
        <w:t>十四、投资人赎回失败的风险 </w:t>
      </w:r>
    </w:p>
    <w:p>
      <w:pPr>
        <w:pStyle w:val="7"/>
        <w:spacing w:before="0" w:beforeAutospacing="0" w:after="0" w:afterAutospacing="0" w:line="360" w:lineRule="auto"/>
        <w:ind w:firstLine="420"/>
        <w:rPr>
          <w:sz w:val="21"/>
          <w:szCs w:val="21"/>
        </w:rPr>
      </w:pPr>
      <w:r>
        <w:rPr>
          <w:rFonts w:hint="eastAsia"/>
          <w:sz w:val="21"/>
          <w:szCs w:val="21"/>
        </w:rPr>
        <w:t>投资人提出赎回申请时，如基金组合中不具备足额的符合条件的赎回对价，可能导致赎回失败的情形。 </w:t>
      </w:r>
    </w:p>
    <w:p>
      <w:pPr>
        <w:pStyle w:val="7"/>
        <w:spacing w:before="0" w:beforeAutospacing="0" w:after="0" w:afterAutospacing="0" w:line="360" w:lineRule="auto"/>
        <w:ind w:firstLine="420"/>
        <w:rPr>
          <w:sz w:val="21"/>
          <w:szCs w:val="21"/>
        </w:rPr>
      </w:pPr>
      <w:r>
        <w:rPr>
          <w:rFonts w:hint="eastAsia"/>
          <w:sz w:val="21"/>
          <w:szCs w:val="21"/>
        </w:rPr>
        <w:t>基金管理人可能根据成份股市值规模变化等因素调整最小申购、赎回单位，由此可能导致投资人按原最小申购、赎回单位申购并持有的基金份额，可能无法按照新的最小申购、赎回单位全部赎回，而只能在二级市场卖出全部或部分基金份额。</w:t>
      </w:r>
    </w:p>
    <w:p>
      <w:pPr>
        <w:pStyle w:val="7"/>
        <w:spacing w:before="0" w:beforeAutospacing="0" w:after="0" w:afterAutospacing="0" w:line="360" w:lineRule="auto"/>
        <w:ind w:firstLine="420"/>
        <w:rPr>
          <w:sz w:val="21"/>
          <w:szCs w:val="21"/>
        </w:rPr>
      </w:pPr>
      <w:r>
        <w:rPr>
          <w:rStyle w:val="11"/>
          <w:rFonts w:hint="eastAsia"/>
          <w:sz w:val="21"/>
          <w:szCs w:val="21"/>
        </w:rPr>
        <w:t>十五、上海证券交易所上市的成份股可以现金替代方式的风险</w:t>
      </w:r>
    </w:p>
    <w:p>
      <w:pPr>
        <w:pStyle w:val="7"/>
        <w:spacing w:before="0" w:beforeAutospacing="0" w:after="0" w:afterAutospacing="0" w:line="360" w:lineRule="auto"/>
        <w:ind w:firstLine="420"/>
        <w:rPr>
          <w:sz w:val="21"/>
          <w:szCs w:val="21"/>
        </w:rPr>
      </w:pPr>
      <w:r>
        <w:rPr>
          <w:rFonts w:hint="eastAsia"/>
          <w:sz w:val="21"/>
          <w:szCs w:val="21"/>
        </w:rPr>
        <w:t>在通过深圳证券交易所申购赎回的模式中，上海证券交易所上市的成份股可以现金替代方式不同于现有其他现金替代方式，可能给申购和赎回投资者带来价格的不确定性，从而间接影响本基金二级市场价格的折溢价水平。极端情况下，如果使用上海证券交易所可以现金替代证券的权重增加，该方式带来的不确定性可能导致本基金的二级市场价格折溢价处于相对较高水平。</w:t>
      </w:r>
    </w:p>
    <w:p>
      <w:pPr>
        <w:pStyle w:val="7"/>
        <w:spacing w:before="0" w:beforeAutospacing="0" w:after="0" w:afterAutospacing="0" w:line="360" w:lineRule="auto"/>
        <w:ind w:firstLine="420"/>
        <w:rPr>
          <w:sz w:val="21"/>
          <w:szCs w:val="21"/>
        </w:rPr>
      </w:pPr>
      <w:r>
        <w:rPr>
          <w:rFonts w:hint="eastAsia"/>
          <w:sz w:val="21"/>
          <w:szCs w:val="21"/>
        </w:rPr>
        <w:t>基金管理人不对“时间优先、实时申报”原则的执行效率做出任何承诺和保证，现金替代退补款的计算以实际成交价格和基金招募说明书的约定为准。若因技术系统、通讯链路或其他原因导致基金管理人无法遵循“时间优先、实时申报”原则对上交所可以现金替代的证券进行处理，投资者的利益可能受到影响。</w:t>
      </w:r>
    </w:p>
    <w:p>
      <w:pPr>
        <w:pStyle w:val="7"/>
        <w:spacing w:before="0" w:beforeAutospacing="0" w:after="0" w:afterAutospacing="0" w:line="360" w:lineRule="auto"/>
        <w:ind w:firstLine="420"/>
        <w:rPr>
          <w:sz w:val="21"/>
          <w:szCs w:val="21"/>
        </w:rPr>
      </w:pPr>
      <w:r>
        <w:rPr>
          <w:rStyle w:val="11"/>
          <w:rFonts w:hint="eastAsia"/>
          <w:sz w:val="21"/>
          <w:szCs w:val="21"/>
        </w:rPr>
        <w:t>十六、赎回对价的变现风险 </w:t>
      </w:r>
    </w:p>
    <w:p>
      <w:pPr>
        <w:pStyle w:val="7"/>
        <w:spacing w:before="0" w:beforeAutospacing="0" w:after="0" w:afterAutospacing="0" w:line="360" w:lineRule="auto"/>
        <w:ind w:firstLine="420"/>
        <w:rPr>
          <w:sz w:val="21"/>
          <w:szCs w:val="21"/>
        </w:rPr>
      </w:pPr>
      <w:r>
        <w:rPr>
          <w:rFonts w:hint="eastAsia"/>
          <w:sz w:val="21"/>
          <w:szCs w:val="21"/>
        </w:rPr>
        <w:t>本基金赎回对价包括组合证券、现金替代、现金差额等。在组合证券变现过程中，由于市场变化、部分成份股流动性差等因素，导致投资人变现后的价值与赎回时赎回对价的价值有差异，存在变现风险。 </w:t>
      </w:r>
    </w:p>
    <w:p>
      <w:pPr>
        <w:pStyle w:val="7"/>
        <w:spacing w:before="0" w:beforeAutospacing="0" w:after="0" w:afterAutospacing="0" w:line="360" w:lineRule="auto"/>
        <w:ind w:firstLine="420"/>
        <w:rPr>
          <w:sz w:val="21"/>
          <w:szCs w:val="21"/>
        </w:rPr>
      </w:pPr>
      <w:r>
        <w:rPr>
          <w:rStyle w:val="11"/>
          <w:rFonts w:hint="eastAsia"/>
          <w:sz w:val="21"/>
          <w:szCs w:val="21"/>
        </w:rPr>
        <w:t>十七、第三方机构服务的风险 </w:t>
      </w:r>
    </w:p>
    <w:p>
      <w:pPr>
        <w:pStyle w:val="7"/>
        <w:spacing w:before="0" w:beforeAutospacing="0" w:after="0" w:afterAutospacing="0" w:line="360" w:lineRule="auto"/>
        <w:ind w:firstLine="420"/>
        <w:rPr>
          <w:sz w:val="21"/>
          <w:szCs w:val="21"/>
        </w:rPr>
      </w:pPr>
      <w:r>
        <w:rPr>
          <w:rFonts w:hint="eastAsia"/>
          <w:sz w:val="21"/>
          <w:szCs w:val="21"/>
        </w:rPr>
        <w:t>本基金的多项服务委托第三方机构办理，存在以下风险： </w:t>
      </w:r>
    </w:p>
    <w:p>
      <w:pPr>
        <w:pStyle w:val="7"/>
        <w:spacing w:before="0" w:beforeAutospacing="0" w:after="0" w:afterAutospacing="0" w:line="360" w:lineRule="auto"/>
        <w:ind w:firstLine="420"/>
        <w:rPr>
          <w:sz w:val="21"/>
          <w:szCs w:val="21"/>
        </w:rPr>
      </w:pPr>
      <w:r>
        <w:rPr>
          <w:rFonts w:hint="eastAsia"/>
          <w:sz w:val="21"/>
          <w:szCs w:val="21"/>
        </w:rPr>
        <w:t>1、申购赎回代理券商因多种原因，导致代理申购、赎回业务受到限制、暂停或终止，由此影响对投资人申购赎回服务的风险。 </w:t>
      </w:r>
    </w:p>
    <w:p>
      <w:pPr>
        <w:pStyle w:val="7"/>
        <w:spacing w:before="0" w:beforeAutospacing="0" w:after="0" w:afterAutospacing="0" w:line="360" w:lineRule="auto"/>
        <w:ind w:firstLine="420"/>
        <w:rPr>
          <w:sz w:val="21"/>
          <w:szCs w:val="21"/>
        </w:rPr>
      </w:pPr>
      <w:r>
        <w:rPr>
          <w:rFonts w:hint="eastAsia"/>
          <w:sz w:val="21"/>
          <w:szCs w:val="21"/>
        </w:rPr>
        <w:t>2、登记机构可能调整结算制度，如实施货银对付制度，对投资人基金份额、组合证券及资金的结算方式发生变化，制度调整可能给投资人带来风险。同样的风险还可能来自于证券交易所及其他代理机构。 </w:t>
      </w:r>
    </w:p>
    <w:p>
      <w:pPr>
        <w:pStyle w:val="7"/>
        <w:spacing w:before="0" w:beforeAutospacing="0" w:after="0" w:afterAutospacing="0" w:line="360" w:lineRule="auto"/>
        <w:ind w:firstLine="420"/>
        <w:rPr>
          <w:sz w:val="21"/>
          <w:szCs w:val="21"/>
        </w:rPr>
      </w:pPr>
      <w:r>
        <w:rPr>
          <w:rFonts w:hint="eastAsia"/>
          <w:sz w:val="21"/>
          <w:szCs w:val="21"/>
        </w:rPr>
        <w:t>3、证券交易所、登记机构、基金托管人及其他代理机构可能违约，导致基金或投资人利益受损的风险。 </w:t>
      </w:r>
    </w:p>
    <w:p>
      <w:pPr>
        <w:pStyle w:val="7"/>
        <w:spacing w:before="0" w:beforeAutospacing="0" w:after="0" w:afterAutospacing="0" w:line="360" w:lineRule="auto"/>
        <w:ind w:firstLine="420"/>
        <w:rPr>
          <w:sz w:val="21"/>
          <w:szCs w:val="21"/>
        </w:rPr>
      </w:pPr>
      <w:r>
        <w:rPr>
          <w:rStyle w:val="11"/>
          <w:rFonts w:hint="eastAsia"/>
          <w:sz w:val="21"/>
          <w:szCs w:val="21"/>
        </w:rPr>
        <w:t>十八、参与股指期货交易风险</w:t>
      </w:r>
    </w:p>
    <w:p>
      <w:pPr>
        <w:pStyle w:val="7"/>
        <w:spacing w:before="0" w:beforeAutospacing="0" w:after="0" w:afterAutospacing="0" w:line="360" w:lineRule="auto"/>
        <w:ind w:firstLine="420"/>
        <w:rPr>
          <w:sz w:val="21"/>
          <w:szCs w:val="21"/>
        </w:rPr>
      </w:pPr>
      <w:r>
        <w:rPr>
          <w:rFonts w:hint="eastAsia"/>
          <w:sz w:val="21"/>
          <w:szCs w:val="21"/>
        </w:rPr>
        <w:t>1、杠杆风险</w:t>
      </w:r>
    </w:p>
    <w:p>
      <w:pPr>
        <w:pStyle w:val="7"/>
        <w:spacing w:before="0" w:beforeAutospacing="0" w:after="0" w:afterAutospacing="0" w:line="360" w:lineRule="auto"/>
        <w:ind w:firstLine="420"/>
        <w:rPr>
          <w:sz w:val="21"/>
          <w:szCs w:val="21"/>
        </w:rPr>
      </w:pPr>
      <w:r>
        <w:rPr>
          <w:rFonts w:hint="eastAsia"/>
          <w:sz w:val="21"/>
          <w:szCs w:val="21"/>
        </w:rPr>
        <w:t>参与股指期货交易具有高杠杆特性，因此会放大基础资产所产生的盈利或损失，加大本基金收益的波动性。</w:t>
      </w:r>
    </w:p>
    <w:p>
      <w:pPr>
        <w:pStyle w:val="7"/>
        <w:spacing w:before="0" w:beforeAutospacing="0" w:after="0" w:afterAutospacing="0" w:line="360" w:lineRule="auto"/>
        <w:ind w:firstLine="420"/>
        <w:rPr>
          <w:sz w:val="21"/>
          <w:szCs w:val="21"/>
        </w:rPr>
      </w:pPr>
      <w:r>
        <w:rPr>
          <w:rFonts w:hint="eastAsia"/>
          <w:sz w:val="21"/>
          <w:szCs w:val="21"/>
        </w:rPr>
        <w:t>2、基差风险</w:t>
      </w:r>
    </w:p>
    <w:p>
      <w:pPr>
        <w:pStyle w:val="7"/>
        <w:spacing w:before="0" w:beforeAutospacing="0" w:after="0" w:afterAutospacing="0" w:line="360" w:lineRule="auto"/>
        <w:ind w:firstLine="420"/>
        <w:rPr>
          <w:sz w:val="21"/>
          <w:szCs w:val="21"/>
        </w:rPr>
      </w:pPr>
      <w:r>
        <w:rPr>
          <w:rFonts w:hint="eastAsia"/>
          <w:sz w:val="21"/>
          <w:szCs w:val="21"/>
        </w:rPr>
        <w:t>基差是指股票指数现货价格与股指期货价格之间的差额。若本基金运作中出现基差波动不确定性加大、基差向不利方向变动等情况，则可能对本基金投资产生影响。</w:t>
      </w:r>
    </w:p>
    <w:p>
      <w:pPr>
        <w:pStyle w:val="7"/>
        <w:spacing w:before="0" w:beforeAutospacing="0" w:after="0" w:afterAutospacing="0" w:line="360" w:lineRule="auto"/>
        <w:ind w:firstLine="420"/>
        <w:rPr>
          <w:sz w:val="21"/>
          <w:szCs w:val="21"/>
        </w:rPr>
      </w:pPr>
      <w:r>
        <w:rPr>
          <w:rFonts w:hint="eastAsia"/>
          <w:sz w:val="21"/>
          <w:szCs w:val="21"/>
        </w:rPr>
        <w:t>3、合约展期风险</w:t>
      </w:r>
    </w:p>
    <w:p>
      <w:pPr>
        <w:pStyle w:val="7"/>
        <w:spacing w:before="0" w:beforeAutospacing="0" w:after="0" w:afterAutospacing="0" w:line="360" w:lineRule="auto"/>
        <w:ind w:firstLine="420"/>
        <w:rPr>
          <w:sz w:val="21"/>
          <w:szCs w:val="21"/>
        </w:rPr>
      </w:pPr>
      <w:r>
        <w:rPr>
          <w:rFonts w:hint="eastAsia"/>
          <w:sz w:val="21"/>
          <w:szCs w:val="21"/>
        </w:rPr>
        <w:t>本基金所投资的期货合约主要包括股指期货当月和近月合约。当基金所持有的合约临近交割期限，即需要向较远月份的合约进行展期，展期过程中可能发生价差损失以及交易成本损失，将对投资收益产生影响。</w:t>
      </w:r>
    </w:p>
    <w:p>
      <w:pPr>
        <w:pStyle w:val="7"/>
        <w:spacing w:before="0" w:beforeAutospacing="0" w:after="0" w:afterAutospacing="0" w:line="360" w:lineRule="auto"/>
        <w:ind w:firstLine="420"/>
        <w:rPr>
          <w:sz w:val="21"/>
          <w:szCs w:val="21"/>
        </w:rPr>
      </w:pPr>
      <w:r>
        <w:rPr>
          <w:rFonts w:hint="eastAsia"/>
          <w:sz w:val="21"/>
          <w:szCs w:val="21"/>
        </w:rPr>
        <w:t>4、模型风险</w:t>
      </w:r>
    </w:p>
    <w:p>
      <w:pPr>
        <w:pStyle w:val="7"/>
        <w:spacing w:before="0" w:beforeAutospacing="0" w:after="0" w:afterAutospacing="0" w:line="360" w:lineRule="auto"/>
        <w:ind w:firstLine="420"/>
        <w:rPr>
          <w:sz w:val="21"/>
          <w:szCs w:val="21"/>
        </w:rPr>
      </w:pPr>
      <w:r>
        <w:rPr>
          <w:rFonts w:hint="eastAsia"/>
          <w:sz w:val="21"/>
          <w:szCs w:val="21"/>
        </w:rPr>
        <w:t>股指期货合约属于虚拟投资品种，投资过程中需要通过模型进行风险定价，当投资人员使用了错误模型或者选择了不当的参数，会导致对风险或交易价格的估计错误而造成损失，损害本基金的投资收益。</w:t>
      </w:r>
    </w:p>
    <w:p>
      <w:pPr>
        <w:pStyle w:val="7"/>
        <w:spacing w:before="0" w:beforeAutospacing="0" w:after="0" w:afterAutospacing="0" w:line="360" w:lineRule="auto"/>
        <w:ind w:firstLine="420"/>
        <w:rPr>
          <w:sz w:val="21"/>
          <w:szCs w:val="21"/>
        </w:rPr>
      </w:pPr>
      <w:r>
        <w:rPr>
          <w:rStyle w:val="11"/>
          <w:rFonts w:hint="eastAsia"/>
          <w:sz w:val="21"/>
          <w:szCs w:val="21"/>
        </w:rPr>
        <w:t>十九、资产支持证券（ABS）的风险</w:t>
      </w:r>
    </w:p>
    <w:p>
      <w:pPr>
        <w:pStyle w:val="7"/>
        <w:spacing w:before="0" w:beforeAutospacing="0" w:after="0" w:afterAutospacing="0" w:line="360" w:lineRule="auto"/>
        <w:ind w:firstLine="420"/>
        <w:rPr>
          <w:sz w:val="21"/>
          <w:szCs w:val="21"/>
        </w:rPr>
      </w:pPr>
      <w:r>
        <w:rPr>
          <w:rFonts w:hint="eastAsia"/>
          <w:sz w:val="21"/>
          <w:szCs w:val="21"/>
        </w:rPr>
        <w:t>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pPr>
        <w:pStyle w:val="7"/>
        <w:spacing w:before="0" w:beforeAutospacing="0" w:after="0" w:afterAutospacing="0" w:line="360" w:lineRule="auto"/>
        <w:ind w:firstLine="420"/>
        <w:rPr>
          <w:sz w:val="21"/>
          <w:szCs w:val="21"/>
        </w:rPr>
      </w:pPr>
      <w:r>
        <w:rPr>
          <w:rStyle w:val="11"/>
          <w:rFonts w:hint="eastAsia"/>
          <w:sz w:val="21"/>
          <w:szCs w:val="21"/>
        </w:rPr>
        <w:t>二十、股票期权投资风险</w:t>
      </w:r>
    </w:p>
    <w:p>
      <w:pPr>
        <w:pStyle w:val="7"/>
        <w:spacing w:before="0" w:beforeAutospacing="0" w:after="0" w:afterAutospacing="0" w:line="360" w:lineRule="auto"/>
        <w:ind w:firstLine="420"/>
        <w:rPr>
          <w:sz w:val="21"/>
          <w:szCs w:val="21"/>
        </w:rPr>
      </w:pPr>
      <w:r>
        <w:rPr>
          <w:rFonts w:hint="eastAsia"/>
          <w:sz w:val="21"/>
          <w:szCs w:val="21"/>
        </w:rPr>
        <w:t>流动性风险：由于股票期权合约众多，交易较为分散，股票期权市场的流动性一般较期货市场要低，尤其是深度实值和虚值的股票期权，成交量稀少，持有这些股票期权的投资者容易遇到无法成交、平仓出局的局面。</w:t>
      </w:r>
    </w:p>
    <w:p>
      <w:pPr>
        <w:pStyle w:val="7"/>
        <w:spacing w:before="0" w:beforeAutospacing="0" w:after="0" w:afterAutospacing="0" w:line="360" w:lineRule="auto"/>
        <w:ind w:firstLine="420"/>
        <w:rPr>
          <w:sz w:val="21"/>
          <w:szCs w:val="21"/>
        </w:rPr>
      </w:pPr>
      <w:r>
        <w:rPr>
          <w:rFonts w:hint="eastAsia"/>
          <w:sz w:val="21"/>
          <w:szCs w:val="21"/>
        </w:rPr>
        <w:t>价格风险：股票期权买方的价格风险即为他所付出的权利金，风险具有确定性。股票期权卖方的价格风险不定，不过其所收取的权利金可以提供相应保护，当发生亏损时，可以抵消部分损失。</w:t>
      </w:r>
    </w:p>
    <w:p>
      <w:pPr>
        <w:pStyle w:val="7"/>
        <w:spacing w:before="0" w:beforeAutospacing="0" w:after="0" w:afterAutospacing="0" w:line="360" w:lineRule="auto"/>
        <w:ind w:firstLine="420"/>
        <w:rPr>
          <w:sz w:val="21"/>
          <w:szCs w:val="21"/>
        </w:rPr>
      </w:pPr>
      <w:r>
        <w:rPr>
          <w:rFonts w:hint="eastAsia"/>
          <w:sz w:val="21"/>
          <w:szCs w:val="21"/>
        </w:rPr>
        <w:t>操作风险：操作风险是指由于管理不善或者制度执行出现问题等原因所导致的风险。股票期权作为一种衍生品，虽然可以用来管理风险，但若使用不当，也会产生巨额损失。</w:t>
      </w:r>
    </w:p>
    <w:p>
      <w:pPr>
        <w:pStyle w:val="7"/>
        <w:spacing w:before="0" w:beforeAutospacing="0" w:after="0" w:afterAutospacing="0" w:line="360" w:lineRule="auto"/>
        <w:ind w:firstLine="420"/>
        <w:rPr>
          <w:sz w:val="21"/>
          <w:szCs w:val="21"/>
        </w:rPr>
      </w:pPr>
      <w:r>
        <w:rPr>
          <w:rStyle w:val="11"/>
          <w:rFonts w:hint="eastAsia"/>
          <w:sz w:val="21"/>
          <w:szCs w:val="21"/>
        </w:rPr>
        <w:t>二十一、融资业务的主要风险</w:t>
      </w:r>
    </w:p>
    <w:p>
      <w:pPr>
        <w:pStyle w:val="7"/>
        <w:spacing w:before="0" w:beforeAutospacing="0" w:after="0" w:afterAutospacing="0" w:line="360" w:lineRule="auto"/>
        <w:ind w:firstLine="420"/>
        <w:rPr>
          <w:sz w:val="21"/>
          <w:szCs w:val="21"/>
        </w:rPr>
      </w:pPr>
      <w:r>
        <w:rPr>
          <w:rFonts w:hint="eastAsia"/>
          <w:sz w:val="21"/>
          <w:szCs w:val="21"/>
        </w:rPr>
        <w:t>1、杠杆效应放大风险</w:t>
      </w:r>
    </w:p>
    <w:p>
      <w:pPr>
        <w:pStyle w:val="7"/>
        <w:spacing w:before="0" w:beforeAutospacing="0" w:after="0" w:afterAutospacing="0" w:line="360" w:lineRule="auto"/>
        <w:ind w:firstLine="420"/>
        <w:rPr>
          <w:sz w:val="21"/>
          <w:szCs w:val="21"/>
        </w:rPr>
      </w:pPr>
      <w:r>
        <w:rPr>
          <w:rFonts w:hint="eastAsia"/>
          <w:sz w:val="21"/>
          <w:szCs w:val="21"/>
        </w:rPr>
        <w:t>投资者通过融资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w:t>
      </w:r>
    </w:p>
    <w:p>
      <w:pPr>
        <w:pStyle w:val="7"/>
        <w:spacing w:before="0" w:beforeAutospacing="0" w:after="0" w:afterAutospacing="0" w:line="360" w:lineRule="auto"/>
        <w:ind w:firstLine="420"/>
        <w:rPr>
          <w:sz w:val="21"/>
          <w:szCs w:val="21"/>
        </w:rPr>
      </w:pPr>
      <w:r>
        <w:rPr>
          <w:rFonts w:hint="eastAsia"/>
          <w:sz w:val="21"/>
          <w:szCs w:val="21"/>
        </w:rPr>
        <w:t>2、担保能力及限制交易风险</w:t>
      </w:r>
    </w:p>
    <w:p>
      <w:pPr>
        <w:pStyle w:val="7"/>
        <w:spacing w:before="0" w:beforeAutospacing="0" w:after="0" w:afterAutospacing="0" w:line="360" w:lineRule="auto"/>
        <w:ind w:firstLine="420"/>
        <w:rPr>
          <w:sz w:val="21"/>
          <w:szCs w:val="21"/>
        </w:rPr>
      </w:pPr>
      <w:r>
        <w:rPr>
          <w:rFonts w:hint="eastAsia"/>
          <w:sz w:val="21"/>
          <w:szCs w:val="21"/>
        </w:rPr>
        <w:t>单只或全部证券被暂停融资、投资者账户被暂停或取消融资资格等，这些影响可能给投资者造成经济损失。此外，投资者也可能面临由于自身维持担保比例低于融资合同约定的担保要求，且未能及时补充担保物，导致信用账户交易受到限制，从而造成经济损失。</w:t>
      </w:r>
    </w:p>
    <w:p>
      <w:pPr>
        <w:pStyle w:val="7"/>
        <w:spacing w:before="0" w:beforeAutospacing="0" w:after="0" w:afterAutospacing="0" w:line="360" w:lineRule="auto"/>
        <w:ind w:firstLine="420"/>
        <w:rPr>
          <w:sz w:val="21"/>
          <w:szCs w:val="21"/>
        </w:rPr>
      </w:pPr>
      <w:r>
        <w:rPr>
          <w:rFonts w:hint="eastAsia"/>
          <w:sz w:val="21"/>
          <w:szCs w:val="21"/>
        </w:rPr>
        <w:t>3、强制平仓风险</w:t>
      </w:r>
    </w:p>
    <w:p>
      <w:pPr>
        <w:pStyle w:val="7"/>
        <w:spacing w:before="0" w:beforeAutospacing="0" w:after="0" w:afterAutospacing="0" w:line="360" w:lineRule="auto"/>
        <w:ind w:firstLine="420"/>
        <w:rPr>
          <w:sz w:val="21"/>
          <w:szCs w:val="21"/>
        </w:rPr>
      </w:pPr>
      <w:r>
        <w:rPr>
          <w:rFonts w:hint="eastAsia"/>
          <w:sz w:val="21"/>
          <w:szCs w:val="21"/>
        </w:rPr>
        <w:t>投资者在从事融资交易期间，如果不能按照约定的期限清偿债务，或上市证券价格波动，导致日终清算后维持担保比例低于警戒线，且不能按照约定追加担保物时，将面临担保物被证券公司强制平仓的风险，由此可能给投资者造成经济损失。</w:t>
      </w:r>
    </w:p>
    <w:p>
      <w:pPr>
        <w:pStyle w:val="7"/>
        <w:spacing w:before="0" w:beforeAutospacing="0" w:after="0" w:afterAutospacing="0" w:line="360" w:lineRule="auto"/>
        <w:ind w:firstLine="420"/>
        <w:rPr>
          <w:sz w:val="21"/>
          <w:szCs w:val="21"/>
        </w:rPr>
      </w:pPr>
      <w:r>
        <w:rPr>
          <w:rStyle w:val="11"/>
          <w:rFonts w:hint="eastAsia"/>
          <w:sz w:val="21"/>
          <w:szCs w:val="21"/>
        </w:rPr>
        <w:t>二十二、转融通证券出借的主要风险</w:t>
      </w:r>
    </w:p>
    <w:p>
      <w:pPr>
        <w:pStyle w:val="7"/>
        <w:spacing w:before="0" w:beforeAutospacing="0" w:after="0" w:afterAutospacing="0" w:line="360" w:lineRule="auto"/>
        <w:ind w:firstLine="420"/>
        <w:rPr>
          <w:sz w:val="21"/>
          <w:szCs w:val="21"/>
        </w:rPr>
      </w:pPr>
      <w:r>
        <w:rPr>
          <w:rFonts w:hint="eastAsia"/>
          <w:sz w:val="21"/>
          <w:szCs w:val="21"/>
        </w:rPr>
        <w:t>1、流动性风险：出借人在出借证券后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w:t>
      </w:r>
    </w:p>
    <w:p>
      <w:pPr>
        <w:pStyle w:val="7"/>
        <w:spacing w:before="0" w:beforeAutospacing="0" w:after="0" w:afterAutospacing="0" w:line="360" w:lineRule="auto"/>
        <w:ind w:firstLine="420"/>
        <w:rPr>
          <w:sz w:val="21"/>
          <w:szCs w:val="21"/>
        </w:rPr>
      </w:pPr>
      <w:r>
        <w:rPr>
          <w:rFonts w:hint="eastAsia"/>
          <w:sz w:val="21"/>
          <w:szCs w:val="21"/>
        </w:rPr>
        <w:t>2、提前或延迟了结风险：证券出借期间，如发生标的证券范围调整、标的证券暂停交易、标的证券对应的上市公司被以终止上市为目的进行收购、终止上市等情况，可能面临合约提前了结或延迟了结的风险。</w:t>
      </w:r>
    </w:p>
    <w:p>
      <w:pPr>
        <w:pStyle w:val="7"/>
        <w:spacing w:before="0" w:beforeAutospacing="0" w:after="0" w:afterAutospacing="0" w:line="360" w:lineRule="auto"/>
        <w:ind w:firstLine="420"/>
        <w:rPr>
          <w:sz w:val="21"/>
          <w:szCs w:val="21"/>
        </w:rPr>
      </w:pPr>
      <w:r>
        <w:rPr>
          <w:rFonts w:hint="eastAsia"/>
          <w:sz w:val="21"/>
          <w:szCs w:val="21"/>
        </w:rPr>
        <w:t>3、市场风险：转融通出借收益按照证券当日收市后市值、融出日（或展期日）费率和实际出借天数计算，因此可能面临证券市值波动、费率变动而导致的市场风险。</w:t>
      </w:r>
    </w:p>
    <w:p>
      <w:pPr>
        <w:pStyle w:val="7"/>
        <w:spacing w:before="0" w:beforeAutospacing="0" w:after="0" w:afterAutospacing="0" w:line="360" w:lineRule="auto"/>
        <w:ind w:firstLine="420"/>
        <w:rPr>
          <w:sz w:val="21"/>
          <w:szCs w:val="21"/>
        </w:rPr>
      </w:pPr>
      <w:r>
        <w:rPr>
          <w:rFonts w:hint="eastAsia"/>
          <w:sz w:val="21"/>
          <w:szCs w:val="21"/>
        </w:rPr>
        <w:t>4、跟踪误差风险：对于指数型组合，当组合发生大额赎回或市场大幅波动时，存在由于转融通出借证券无法提前了结并变现，单一股票占比被动上升而导致组合跟踪误差扩大的风险。</w:t>
      </w:r>
    </w:p>
    <w:p>
      <w:pPr>
        <w:pStyle w:val="7"/>
        <w:spacing w:before="0" w:beforeAutospacing="0" w:after="0" w:afterAutospacing="0" w:line="360" w:lineRule="auto"/>
        <w:ind w:firstLine="420"/>
        <w:rPr>
          <w:sz w:val="21"/>
          <w:szCs w:val="21"/>
        </w:rPr>
      </w:pPr>
      <w:r>
        <w:rPr>
          <w:rFonts w:hint="eastAsia"/>
          <w:sz w:val="21"/>
          <w:szCs w:val="21"/>
        </w:rPr>
        <w:t>5、交易对手违约风险：存在由于交易对手违约而导致证券到期不能按时或足额归还、相应权益补偿和借券费用不能支付等交易对手违约风险。</w:t>
      </w:r>
    </w:p>
    <w:p>
      <w:pPr>
        <w:pStyle w:val="7"/>
        <w:spacing w:before="0" w:beforeAutospacing="0" w:after="0" w:afterAutospacing="0" w:line="360" w:lineRule="auto"/>
        <w:ind w:firstLine="420"/>
        <w:rPr>
          <w:sz w:val="21"/>
          <w:szCs w:val="21"/>
        </w:rPr>
      </w:pPr>
      <w:r>
        <w:rPr>
          <w:rFonts w:hint="eastAsia"/>
          <w:sz w:val="21"/>
          <w:szCs w:val="21"/>
        </w:rPr>
        <w:t>6、操作风险：转融通业务具体实施过程中，在投资决策、交易等环节，可能面临由于操作人员操作失误、系统不完善等原因引发的操作风险。</w:t>
      </w:r>
    </w:p>
    <w:p>
      <w:pPr>
        <w:pStyle w:val="7"/>
        <w:spacing w:before="0" w:beforeAutospacing="0" w:after="0" w:afterAutospacing="0" w:line="360" w:lineRule="auto"/>
        <w:ind w:firstLine="420"/>
        <w:rPr>
          <w:sz w:val="21"/>
          <w:szCs w:val="21"/>
        </w:rPr>
      </w:pPr>
      <w:r>
        <w:rPr>
          <w:rFonts w:hint="eastAsia"/>
          <w:sz w:val="21"/>
          <w:szCs w:val="21"/>
        </w:rPr>
        <w:t>7、法律合规风险：在转融通证券出借过程中，存在由于标的证券价格波动导致组合合规指标超标且无法进行调整的风险，以及在证券出借业务中发生操纵价格、利益输送等法律合规风险。</w:t>
      </w:r>
    </w:p>
    <w:p>
      <w:pPr>
        <w:pStyle w:val="7"/>
        <w:spacing w:before="0" w:beforeAutospacing="0" w:after="0" w:afterAutospacing="0" w:line="360" w:lineRule="auto"/>
        <w:ind w:firstLine="420"/>
        <w:rPr>
          <w:sz w:val="21"/>
          <w:szCs w:val="21"/>
        </w:rPr>
      </w:pPr>
      <w:r>
        <w:rPr>
          <w:rStyle w:val="11"/>
          <w:rFonts w:hint="eastAsia"/>
          <w:sz w:val="21"/>
          <w:szCs w:val="21"/>
        </w:rPr>
        <w:t>二十三、参与国债期货交易风险</w:t>
      </w:r>
    </w:p>
    <w:p>
      <w:pPr>
        <w:pStyle w:val="7"/>
        <w:spacing w:before="0" w:beforeAutospacing="0" w:after="0" w:afterAutospacing="0" w:line="360" w:lineRule="auto"/>
        <w:ind w:firstLine="420"/>
        <w:rPr>
          <w:sz w:val="21"/>
          <w:szCs w:val="21"/>
        </w:rPr>
      </w:pPr>
      <w:r>
        <w:rPr>
          <w:rFonts w:hint="eastAsia"/>
          <w:sz w:val="21"/>
          <w:szCs w:val="21"/>
        </w:rPr>
        <w:t>本基金的一部分资产将可能参与国债期货交易，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w:t>
      </w:r>
    </w:p>
    <w:p>
      <w:pPr>
        <w:pStyle w:val="7"/>
        <w:spacing w:before="0" w:beforeAutospacing="0" w:after="0" w:afterAutospacing="0" w:line="360" w:lineRule="auto"/>
        <w:ind w:firstLine="420"/>
        <w:rPr>
          <w:sz w:val="21"/>
          <w:szCs w:val="21"/>
        </w:rPr>
      </w:pPr>
      <w:r>
        <w:rPr>
          <w:rStyle w:val="11"/>
          <w:rFonts w:hint="eastAsia"/>
          <w:sz w:val="21"/>
          <w:szCs w:val="21"/>
        </w:rPr>
        <w:t>二十四、投资于存托凭证的风险</w:t>
      </w:r>
    </w:p>
    <w:p>
      <w:pPr>
        <w:pStyle w:val="7"/>
        <w:spacing w:before="0" w:beforeAutospacing="0" w:after="0" w:afterAutospacing="0" w:line="360" w:lineRule="auto"/>
        <w:ind w:firstLine="420"/>
        <w:rPr>
          <w:sz w:val="21"/>
          <w:szCs w:val="21"/>
        </w:rPr>
      </w:pPr>
      <w:r>
        <w:rPr>
          <w:rFonts w:hint="eastAsia"/>
          <w:sz w:val="21"/>
          <w:szCs w:val="21"/>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pStyle w:val="7"/>
        <w:spacing w:before="0" w:beforeAutospacing="0" w:after="0" w:afterAutospacing="0" w:line="360" w:lineRule="auto"/>
        <w:ind w:firstLine="420"/>
        <w:rPr>
          <w:sz w:val="21"/>
          <w:szCs w:val="21"/>
        </w:rPr>
      </w:pPr>
      <w:r>
        <w:rPr>
          <w:rStyle w:val="11"/>
          <w:rFonts w:hint="eastAsia"/>
          <w:sz w:val="21"/>
          <w:szCs w:val="21"/>
        </w:rPr>
        <w:t>二十五、管理风险与操作风险 </w:t>
      </w:r>
    </w:p>
    <w:p>
      <w:pPr>
        <w:pStyle w:val="7"/>
        <w:spacing w:before="0" w:beforeAutospacing="0" w:after="0" w:afterAutospacing="0" w:line="360" w:lineRule="auto"/>
        <w:ind w:firstLine="420"/>
        <w:rPr>
          <w:sz w:val="21"/>
          <w:szCs w:val="21"/>
        </w:rPr>
      </w:pPr>
      <w:r>
        <w:rPr>
          <w:rFonts w:hint="eastAsia"/>
          <w:sz w:val="21"/>
          <w:szCs w:val="21"/>
        </w:rPr>
        <w:t>基金管理人、基金托管人等相关当事人的业务发展状况、人员配备、管理水平与内部控制等对基金收益水平存在影响。因业务扩张过快、行业内过度竞争、对主要业务人员过度依赖等可能会产生影响投资人利益的风险。 </w:t>
      </w:r>
    </w:p>
    <w:p>
      <w:pPr>
        <w:pStyle w:val="7"/>
        <w:spacing w:before="0" w:beforeAutospacing="0" w:after="0" w:afterAutospacing="0" w:line="360" w:lineRule="auto"/>
        <w:ind w:firstLine="420"/>
        <w:rPr>
          <w:sz w:val="21"/>
          <w:szCs w:val="21"/>
        </w:rPr>
      </w:pPr>
      <w:r>
        <w:rPr>
          <w:rFonts w:hint="eastAsia"/>
          <w:sz w:val="21"/>
          <w:szCs w:val="21"/>
        </w:rPr>
        <w:t>相关当事人在业务各环节操作过程中，可能因内部控制存在缺陷或者人为因素造成操作失误或违反操作规程等引致风险，例如，申购赎回清单编制错误、越权违规交易、欺诈行为及交易错误等风险。 </w:t>
      </w:r>
    </w:p>
    <w:p>
      <w:pPr>
        <w:pStyle w:val="7"/>
        <w:spacing w:before="0" w:beforeAutospacing="0" w:after="0" w:afterAutospacing="0" w:line="360" w:lineRule="auto"/>
        <w:ind w:firstLine="420"/>
        <w:rPr>
          <w:sz w:val="21"/>
          <w:szCs w:val="21"/>
        </w:rPr>
      </w:pPr>
      <w:r>
        <w:rPr>
          <w:rStyle w:val="11"/>
          <w:rFonts w:hint="eastAsia"/>
          <w:sz w:val="21"/>
          <w:szCs w:val="21"/>
        </w:rPr>
        <w:t>二十六、技术风险</w:t>
      </w:r>
    </w:p>
    <w:p>
      <w:pPr>
        <w:pStyle w:val="7"/>
        <w:spacing w:before="0" w:beforeAutospacing="0" w:after="0" w:afterAutospacing="0" w:line="360" w:lineRule="auto"/>
        <w:ind w:firstLine="420"/>
        <w:rPr>
          <w:sz w:val="21"/>
          <w:szCs w:val="21"/>
        </w:rPr>
      </w:pPr>
      <w:r>
        <w:rPr>
          <w:rFonts w:hint="eastAsia"/>
          <w:sz w:val="21"/>
          <w:szCs w:val="21"/>
        </w:rPr>
        <w:t>在本基金的投资、交易、服务与后台运作等业务过程中，可能因为技术系统的故障或差错导致投资人的利益受到影响。这种技术风险可能来自基金管理人、基金托管人、证券交易所、登记机构及销售代理机构等。</w:t>
      </w:r>
    </w:p>
    <w:p>
      <w:pPr>
        <w:pStyle w:val="7"/>
        <w:spacing w:before="0" w:beforeAutospacing="0" w:after="0" w:afterAutospacing="0" w:line="360" w:lineRule="auto"/>
        <w:ind w:firstLine="420"/>
        <w:rPr>
          <w:sz w:val="21"/>
          <w:szCs w:val="21"/>
        </w:rPr>
      </w:pPr>
      <w:r>
        <w:rPr>
          <w:rStyle w:val="11"/>
          <w:rFonts w:hint="eastAsia"/>
          <w:sz w:val="21"/>
          <w:szCs w:val="21"/>
        </w:rPr>
        <w:t>二十七、不可抗力 </w:t>
      </w:r>
    </w:p>
    <w:p>
      <w:pPr>
        <w:pStyle w:val="7"/>
        <w:spacing w:before="0" w:beforeAutospacing="0" w:after="0" w:afterAutospacing="0" w:line="360" w:lineRule="auto"/>
        <w:ind w:firstLine="420"/>
        <w:rPr>
          <w:sz w:val="21"/>
          <w:szCs w:val="21"/>
        </w:rPr>
      </w:pPr>
      <w:r>
        <w:rPr>
          <w:rFonts w:hint="eastAsia"/>
          <w:sz w:val="21"/>
          <w:szCs w:val="21"/>
        </w:rPr>
        <w:t>战争、自然灾害等不可抗力可能导致基金资产有遭受损失的风险。基金管理人、基金托管人、证券交易所、登记机构和销售代理机构等可能因不可抗力无法正常工作，从而影响基</w:t>
      </w:r>
      <w:bookmarkStart w:id="169" w:name="chapter_level1_22_68_section_1_end"/>
      <w:bookmarkEnd w:id="169"/>
      <w:r>
        <w:rPr>
          <w:rFonts w:hint="eastAsia"/>
          <w:sz w:val="21"/>
          <w:szCs w:val="21"/>
        </w:rPr>
        <w:t>金的各项业务按正常时限完成。</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0" w:name="_Toc213857381"/>
      <w:bookmarkStart w:id="171" w:name="chapter_level1_23_69"/>
      <w:r>
        <w:rPr>
          <w:rFonts w:hint="eastAsia" w:ascii="宋体" w:hAnsi="宋体" w:eastAsia="宋体"/>
          <w:sz w:val="30"/>
        </w:rPr>
        <w:t>第十九部分  基金合同的变更、终止与基金财产的清算</w:t>
      </w:r>
      <w:bookmarkEnd w:id="170"/>
      <w:bookmarkEnd w:id="171"/>
    </w:p>
    <w:p>
      <w:pPr>
        <w:pStyle w:val="7"/>
        <w:spacing w:before="0" w:beforeAutospacing="0" w:after="0" w:afterAutospacing="0" w:line="360" w:lineRule="auto"/>
        <w:ind w:firstLine="420"/>
        <w:rPr>
          <w:sz w:val="21"/>
          <w:szCs w:val="21"/>
        </w:rPr>
      </w:pPr>
      <w:bookmarkStart w:id="172" w:name="chapter_level1_23_69_section_1"/>
      <w:bookmarkEnd w:id="172"/>
      <w:r>
        <w:rPr>
          <w:rStyle w:val="11"/>
          <w:rFonts w:hint="eastAsia"/>
          <w:sz w:val="21"/>
          <w:szCs w:val="21"/>
        </w:rPr>
        <w:t>一、基金合同的变更</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pPr>
        <w:pStyle w:val="7"/>
        <w:spacing w:before="0" w:beforeAutospacing="0" w:after="0" w:afterAutospacing="0" w:line="360" w:lineRule="auto"/>
        <w:ind w:firstLine="420"/>
        <w:rPr>
          <w:sz w:val="21"/>
          <w:szCs w:val="21"/>
        </w:rPr>
      </w:pPr>
      <w:r>
        <w:rPr>
          <w:rStyle w:val="11"/>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5、基金财产清算程序：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6、基金财产清算的期限为6个月，但因本基金所持证券的流动性受到限制而不能及时变现的，清算期限相应顺延。 </w:t>
      </w:r>
    </w:p>
    <w:p>
      <w:pPr>
        <w:pStyle w:val="7"/>
        <w:spacing w:before="0" w:beforeAutospacing="0" w:after="0" w:afterAutospacing="0" w:line="360" w:lineRule="auto"/>
        <w:ind w:firstLine="420"/>
        <w:rPr>
          <w:sz w:val="21"/>
          <w:szCs w:val="21"/>
        </w:rPr>
      </w:pPr>
      <w:r>
        <w:rPr>
          <w:rStyle w:val="11"/>
          <w:rFonts w:hint="eastAsia"/>
          <w:sz w:val="21"/>
          <w:szCs w:val="21"/>
        </w:rPr>
        <w:t>四、清算费用</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pPr>
        <w:pStyle w:val="7"/>
        <w:spacing w:before="0" w:beforeAutospacing="0" w:after="0" w:afterAutospacing="0" w:line="360" w:lineRule="auto"/>
        <w:ind w:firstLine="420"/>
        <w:rPr>
          <w:sz w:val="21"/>
          <w:szCs w:val="21"/>
        </w:rPr>
      </w:pPr>
      <w:bookmarkStart w:id="173" w:name="chapter_level1_23_69_section_1_end"/>
      <w:bookmarkEnd w:id="173"/>
      <w:r>
        <w:rPr>
          <w:rFonts w:hint="eastAsia"/>
          <w:sz w:val="21"/>
          <w:szCs w:val="21"/>
        </w:rPr>
        <w:t xml:space="preserve">基金财产清算账册及有关文件由基金托管人保存，保存期限不低于法定最低期限。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4" w:name="_Toc213857382"/>
      <w:bookmarkStart w:id="175" w:name="chapter_level1_24_71"/>
      <w:r>
        <w:rPr>
          <w:rFonts w:hint="eastAsia" w:ascii="宋体" w:hAnsi="宋体" w:eastAsia="宋体"/>
          <w:sz w:val="30"/>
        </w:rPr>
        <w:t>第二十部分  基金合同的内容摘要</w:t>
      </w:r>
      <w:bookmarkEnd w:id="174"/>
      <w:bookmarkEnd w:id="175"/>
    </w:p>
    <w:p>
      <w:pPr>
        <w:pStyle w:val="7"/>
        <w:spacing w:before="0" w:beforeAutospacing="0" w:after="0" w:afterAutospacing="0" w:line="360" w:lineRule="auto"/>
        <w:ind w:firstLine="420"/>
        <w:rPr>
          <w:sz w:val="21"/>
          <w:szCs w:val="21"/>
        </w:rPr>
      </w:pPr>
      <w:bookmarkStart w:id="176" w:name="chapter_level1_24_71_section_1"/>
      <w:bookmarkEnd w:id="176"/>
      <w:r>
        <w:rPr>
          <w:rStyle w:val="11"/>
          <w:rFonts w:hint="eastAsia"/>
          <w:sz w:val="21"/>
          <w:szCs w:val="21"/>
        </w:rPr>
        <w:t>一、基金份额持有人、基金管理人和基金托管人的权利、义务</w:t>
      </w:r>
    </w:p>
    <w:p>
      <w:pPr>
        <w:pStyle w:val="7"/>
        <w:spacing w:before="0" w:beforeAutospacing="0" w:after="0" w:afterAutospacing="0" w:line="360" w:lineRule="auto"/>
        <w:ind w:firstLine="420"/>
        <w:rPr>
          <w:sz w:val="21"/>
          <w:szCs w:val="21"/>
        </w:rPr>
      </w:pPr>
      <w:r>
        <w:rPr>
          <w:rFonts w:hint="eastAsia"/>
          <w:sz w:val="21"/>
          <w:szCs w:val="21"/>
        </w:rPr>
        <w:t xml:space="preserve">（一）基金份额持有人的权利与义务 </w:t>
      </w:r>
    </w:p>
    <w:p>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pPr>
        <w:pStyle w:val="7"/>
        <w:spacing w:before="0" w:beforeAutospacing="0" w:after="0" w:afterAutospacing="0" w:line="360" w:lineRule="auto"/>
        <w:ind w:firstLine="420"/>
        <w:rPr>
          <w:sz w:val="21"/>
          <w:szCs w:val="21"/>
        </w:rPr>
      </w:pPr>
      <w:r>
        <w:rPr>
          <w:rFonts w:hint="eastAsia"/>
          <w:sz w:val="21"/>
          <w:szCs w:val="21"/>
        </w:rPr>
        <w:t xml:space="preserve">每份基金份额具有同等的合法权益。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（1）认真阅读并遵守《基金合同》、招募说明书及基金产品资料概要等信息披露文件； </w:t>
      </w:r>
    </w:p>
    <w:p>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pPr>
        <w:pStyle w:val="7"/>
        <w:spacing w:before="0" w:beforeAutospacing="0" w:after="0" w:afterAutospacing="0" w:line="360" w:lineRule="auto"/>
        <w:ind w:firstLine="420"/>
        <w:rPr>
          <w:sz w:val="21"/>
          <w:szCs w:val="21"/>
        </w:rPr>
      </w:pPr>
      <w:r>
        <w:rPr>
          <w:rFonts w:hint="eastAsia"/>
          <w:sz w:val="21"/>
          <w:szCs w:val="21"/>
        </w:rPr>
        <w:t xml:space="preserve">（4）交纳基金认购款项和认购股票、申购对价及法律法规和《基金合同》所规定的费用； </w:t>
      </w:r>
    </w:p>
    <w:p>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（二）基金管理人的权利与义务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 </w:t>
      </w:r>
    </w:p>
    <w:p>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pPr>
        <w:pStyle w:val="7"/>
        <w:spacing w:before="0" w:beforeAutospacing="0" w:after="0" w:afterAutospacing="0" w:line="360" w:lineRule="auto"/>
        <w:ind w:firstLine="420"/>
        <w:rPr>
          <w:sz w:val="21"/>
          <w:szCs w:val="21"/>
        </w:rPr>
      </w:pPr>
      <w:r>
        <w:rPr>
          <w:rFonts w:hint="eastAsia"/>
          <w:sz w:val="21"/>
          <w:szCs w:val="21"/>
        </w:rPr>
        <w:t xml:space="preserve">（4）销售基金份额； </w:t>
      </w:r>
    </w:p>
    <w:p>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（11）在《基金合同》约定的范围内，拒绝或暂停受理申购与赎回申请； </w:t>
      </w:r>
    </w:p>
    <w:p>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（13）在法律法规允许的前提下，为基金的利益依法为基金进行融资和转融通证券出借业务； </w:t>
      </w:r>
    </w:p>
    <w:p>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（16）在符合有关法律、法规的前提下，制订和调整有关基金认购、申购、赎回、非交易过户等业务规则； </w:t>
      </w:r>
    </w:p>
    <w:p>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（8）采取适当合理的措施使计算基金份额认购价格、申购对价、赎回对价的方法符合《基金合同》等法律文件的规定，按有关规定计算并公告基金净值信息，确定基金份额申购、赎回对价，编制申购赎回清单；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法律、法规另有规定的以及审计需要的除外；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（14）按规定受理申购与赎回申请，及时、足额支付赎回对价；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（16）按规定保存基金财产管理业务活动的会计账册、报表、记录和其他相关资料，保存期限不低于法定最低期限；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在募集期间未能达到基金的备案条件，《基金合同》不能生效，基金管理人承担全部募集费用，将已募集资金并加计银行同期活期存款利息在基金募集期结束后30日内退还基金认购人，对于基金募集期间网下股票认购所冻结的股票，发售代理机构应予以解冻；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（三） 基金托管人的权利与义务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（4）根据相关市场规则，为基金开设资金账户、证券账户等投资所需账户，为基金办理证券交易资金清算； </w:t>
      </w:r>
    </w:p>
    <w:p>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（7）保守基金商业秘密，除《基金法》、《基金合同》及其他有关规定另有规定外，在基金信息公开披露前予以保密，不得向他人泄露，法律、法规另有规定的以及审计需要的除外； </w:t>
      </w:r>
    </w:p>
    <w:p>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（8）复核、审查基金管理人计算的基金资产净值、基金份额净值、基金份额申购、赎回对价； </w:t>
      </w:r>
    </w:p>
    <w:p>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（11）保存基金托管业务活动的记录、账册、报表和其他相关资料，保存期限不低于法定最低期限； </w:t>
      </w:r>
    </w:p>
    <w:p>
      <w:pPr>
        <w:pStyle w:val="7"/>
        <w:spacing w:before="0" w:beforeAutospacing="0" w:after="0" w:afterAutospacing="0" w:line="360" w:lineRule="auto"/>
        <w:ind w:firstLine="420"/>
        <w:rPr>
          <w:sz w:val="21"/>
          <w:szCs w:val="21"/>
        </w:rPr>
      </w:pPr>
      <w:r>
        <w:rPr>
          <w:rFonts w:hint="eastAsia"/>
          <w:sz w:val="21"/>
          <w:szCs w:val="21"/>
        </w:rPr>
        <w:t xml:space="preserve">（12）从基金管理人或其委托的登记机构处接收并保存基金份额持有人名册；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（14）依据基金管理人的指令或有关规定向基金份额持有人支付基金收益和赎回对价的现金部分；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（18）面临解散、依法被撤销或者被依法宣告破产时，及时报告中国证监会，并通知基金管理人； </w:t>
      </w:r>
    </w:p>
    <w:p>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基金份额持有人大会由基金份额持有人组成，基金份额持有人的合法授权代表有权代表基金份额持有人出席会议并表决。基金份额持有人持有的每一基金份额拥有平等的投票权。 </w:t>
      </w:r>
    </w:p>
    <w:p>
      <w:pPr>
        <w:pStyle w:val="7"/>
        <w:spacing w:before="0" w:beforeAutospacing="0" w:after="0" w:afterAutospacing="0" w:line="360" w:lineRule="auto"/>
        <w:ind w:firstLine="420"/>
        <w:rPr>
          <w:sz w:val="21"/>
          <w:szCs w:val="21"/>
        </w:rPr>
      </w:pPr>
      <w:r>
        <w:rPr>
          <w:rFonts w:hint="eastAsia"/>
          <w:sz w:val="21"/>
          <w:szCs w:val="21"/>
        </w:rPr>
        <w:t xml:space="preserve">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 </w:t>
      </w:r>
    </w:p>
    <w:p>
      <w:pPr>
        <w:pStyle w:val="7"/>
        <w:spacing w:before="0" w:beforeAutospacing="0" w:after="0" w:afterAutospacing="0" w:line="360" w:lineRule="auto"/>
        <w:ind w:firstLine="420"/>
        <w:rPr>
          <w:sz w:val="21"/>
          <w:szCs w:val="21"/>
        </w:rPr>
      </w:pPr>
      <w:r>
        <w:rPr>
          <w:rFonts w:hint="eastAsia"/>
          <w:sz w:val="21"/>
          <w:szCs w:val="21"/>
        </w:rPr>
        <w:t xml:space="preserve">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 </w:t>
      </w:r>
    </w:p>
    <w:p>
      <w:pPr>
        <w:pStyle w:val="7"/>
        <w:spacing w:before="0" w:beforeAutospacing="0" w:after="0" w:afterAutospacing="0" w:line="360" w:lineRule="auto"/>
        <w:ind w:firstLine="420"/>
        <w:rPr>
          <w:sz w:val="21"/>
          <w:szCs w:val="21"/>
        </w:rPr>
      </w:pPr>
      <w:r>
        <w:rPr>
          <w:rFonts w:hint="eastAsia"/>
          <w:sz w:val="21"/>
          <w:szCs w:val="21"/>
        </w:rPr>
        <w:t xml:space="preserve">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法律法规或监管机构对基金份额持有人大会另有规定的，从其规定。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pPr>
        <w:pStyle w:val="7"/>
        <w:spacing w:before="0" w:beforeAutospacing="0" w:after="0" w:afterAutospacing="0" w:line="360" w:lineRule="auto"/>
        <w:ind w:firstLine="420"/>
        <w:rPr>
          <w:sz w:val="21"/>
          <w:szCs w:val="21"/>
        </w:rPr>
      </w:pPr>
      <w:r>
        <w:rPr>
          <w:rFonts w:hint="eastAsia"/>
          <w:sz w:val="21"/>
          <w:szCs w:val="21"/>
        </w:rPr>
        <w:t xml:space="preserve">（一）召开事由 </w:t>
      </w:r>
    </w:p>
    <w:p>
      <w:pPr>
        <w:pStyle w:val="7"/>
        <w:spacing w:before="0" w:beforeAutospacing="0" w:after="0" w:afterAutospacing="0" w:line="360" w:lineRule="auto"/>
        <w:ind w:firstLine="420"/>
        <w:rPr>
          <w:sz w:val="21"/>
          <w:szCs w:val="21"/>
        </w:rPr>
      </w:pPr>
      <w:r>
        <w:rPr>
          <w:rFonts w:hint="eastAsia"/>
          <w:sz w:val="21"/>
          <w:szCs w:val="21"/>
        </w:rPr>
        <w:t xml:space="preserve">1、除法律法规、中国证监会和基金合同另有规定外，当出现或需要决定下列事由之一的，应当召开基金份额持有人大会：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（1）终止《基金合同》； </w:t>
      </w:r>
    </w:p>
    <w:p>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 </w:t>
      </w:r>
    </w:p>
    <w:p>
      <w:pPr>
        <w:pStyle w:val="7"/>
        <w:spacing w:before="0" w:beforeAutospacing="0" w:after="0" w:afterAutospacing="0" w:line="360" w:lineRule="auto"/>
        <w:ind w:firstLine="420"/>
        <w:rPr>
          <w:sz w:val="21"/>
          <w:szCs w:val="21"/>
        </w:rPr>
      </w:pPr>
      <w:r>
        <w:rPr>
          <w:rFonts w:hint="eastAsia"/>
          <w:sz w:val="21"/>
          <w:szCs w:val="21"/>
        </w:rPr>
        <w:t xml:space="preserve">（6）变更基金类别； </w:t>
      </w:r>
    </w:p>
    <w:p>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pPr>
        <w:pStyle w:val="7"/>
        <w:spacing w:before="0" w:beforeAutospacing="0" w:after="0" w:afterAutospacing="0" w:line="360" w:lineRule="auto"/>
        <w:ind w:firstLine="420"/>
        <w:rPr>
          <w:sz w:val="21"/>
          <w:szCs w:val="21"/>
        </w:rPr>
      </w:pPr>
      <w:r>
        <w:rPr>
          <w:rFonts w:hint="eastAsia"/>
          <w:sz w:val="21"/>
          <w:szCs w:val="21"/>
        </w:rPr>
        <w:t xml:space="preserve">（13）终止基金上市，但因基金不再具备上市条件而被深圳证券交易所终止上市的情形除外； </w:t>
      </w:r>
    </w:p>
    <w:p>
      <w:pPr>
        <w:pStyle w:val="7"/>
        <w:spacing w:before="0" w:beforeAutospacing="0" w:after="0" w:afterAutospacing="0" w:line="360" w:lineRule="auto"/>
        <w:ind w:firstLine="420"/>
        <w:rPr>
          <w:sz w:val="21"/>
          <w:szCs w:val="21"/>
        </w:rPr>
      </w:pPr>
      <w:r>
        <w:rPr>
          <w:rFonts w:hint="eastAsia"/>
          <w:sz w:val="21"/>
          <w:szCs w:val="21"/>
        </w:rPr>
        <w:t xml:space="preserve">（14）法律法规、《基金合同》或中国证监会规定的其他应当召开基金份额持有人大会的事项。 </w:t>
      </w:r>
    </w:p>
    <w:p>
      <w:pPr>
        <w:pStyle w:val="7"/>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pPr>
        <w:pStyle w:val="7"/>
        <w:spacing w:before="0" w:beforeAutospacing="0" w:after="0" w:afterAutospacing="0" w:line="360" w:lineRule="auto"/>
        <w:ind w:firstLine="420"/>
        <w:rPr>
          <w:sz w:val="21"/>
          <w:szCs w:val="21"/>
        </w:rPr>
      </w:pPr>
      <w:r>
        <w:rPr>
          <w:rFonts w:hint="eastAsia"/>
          <w:sz w:val="21"/>
          <w:szCs w:val="21"/>
        </w:rPr>
        <w:t xml:space="preserve">（2）调整本基金的申购费率、调低赎回费率或变更收费方式或调整基金份额类别设置、对基金份额分类办法及规则进行调整； </w:t>
      </w:r>
    </w:p>
    <w:p>
      <w:pPr>
        <w:pStyle w:val="7"/>
        <w:spacing w:before="0" w:beforeAutospacing="0" w:after="0" w:afterAutospacing="0" w:line="360" w:lineRule="auto"/>
        <w:ind w:firstLine="420"/>
        <w:rPr>
          <w:sz w:val="21"/>
          <w:szCs w:val="21"/>
        </w:rPr>
      </w:pPr>
      <w:r>
        <w:rPr>
          <w:rFonts w:hint="eastAsia"/>
          <w:sz w:val="21"/>
          <w:szCs w:val="21"/>
        </w:rPr>
        <w:t xml:space="preserve">（3）因相应的法律法规、深圳证券交易所或者登记机构的相关业务规则发生变动而应当对《基金合同》进行修改； </w:t>
      </w:r>
    </w:p>
    <w:p>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pPr>
        <w:pStyle w:val="7"/>
        <w:spacing w:before="0" w:beforeAutospacing="0" w:after="0" w:afterAutospacing="0" w:line="360" w:lineRule="auto"/>
        <w:ind w:firstLine="420"/>
        <w:rPr>
          <w:sz w:val="21"/>
          <w:szCs w:val="21"/>
        </w:rPr>
      </w:pPr>
      <w:r>
        <w:rPr>
          <w:rFonts w:hint="eastAsia"/>
          <w:sz w:val="21"/>
          <w:szCs w:val="21"/>
        </w:rPr>
        <w:t xml:space="preserve">（5）基金管理人、相关证券交易所和登记机构等调整有关基金申购、赎回、交易、转托管、非交易过户等业务的规则（包括申购赎回清单的调整、开放时间的调整等）； </w:t>
      </w:r>
    </w:p>
    <w:p>
      <w:pPr>
        <w:pStyle w:val="7"/>
        <w:spacing w:before="0" w:beforeAutospacing="0" w:after="0" w:afterAutospacing="0" w:line="360" w:lineRule="auto"/>
        <w:ind w:firstLine="420"/>
        <w:rPr>
          <w:sz w:val="21"/>
          <w:szCs w:val="21"/>
        </w:rPr>
      </w:pPr>
      <w:r>
        <w:rPr>
          <w:rFonts w:hint="eastAsia"/>
          <w:sz w:val="21"/>
          <w:szCs w:val="21"/>
        </w:rPr>
        <w:t xml:space="preserve">（6）经履行相关程序后，基金推出新业务或服务； </w:t>
      </w:r>
    </w:p>
    <w:p>
      <w:pPr>
        <w:pStyle w:val="7"/>
        <w:spacing w:before="0" w:beforeAutospacing="0" w:after="0" w:afterAutospacing="0" w:line="360" w:lineRule="auto"/>
        <w:ind w:firstLine="420"/>
        <w:rPr>
          <w:sz w:val="21"/>
          <w:szCs w:val="21"/>
        </w:rPr>
      </w:pPr>
      <w:r>
        <w:rPr>
          <w:rFonts w:hint="eastAsia"/>
          <w:sz w:val="21"/>
          <w:szCs w:val="21"/>
        </w:rPr>
        <w:t xml:space="preserve">（7）本基金的联接基金采取其他方式参与本基金的申购赎回； </w:t>
      </w:r>
    </w:p>
    <w:p>
      <w:pPr>
        <w:pStyle w:val="7"/>
        <w:spacing w:before="0" w:beforeAutospacing="0" w:after="0" w:afterAutospacing="0" w:line="360" w:lineRule="auto"/>
        <w:ind w:firstLine="420"/>
        <w:rPr>
          <w:sz w:val="21"/>
          <w:szCs w:val="21"/>
        </w:rPr>
      </w:pPr>
      <w:r>
        <w:rPr>
          <w:rFonts w:hint="eastAsia"/>
          <w:sz w:val="21"/>
          <w:szCs w:val="21"/>
        </w:rPr>
        <w:t xml:space="preserve">（8）调整基金的申购赎回方式及申购对价、赎回对价组成；调整申购赎回清单的内容，调整申购赎回清单计算和公告时间或频率； </w:t>
      </w:r>
    </w:p>
    <w:p>
      <w:pPr>
        <w:pStyle w:val="7"/>
        <w:spacing w:before="0" w:beforeAutospacing="0" w:after="0" w:afterAutospacing="0" w:line="360" w:lineRule="auto"/>
        <w:ind w:firstLine="420"/>
        <w:rPr>
          <w:sz w:val="21"/>
          <w:szCs w:val="21"/>
        </w:rPr>
      </w:pPr>
      <w:r>
        <w:rPr>
          <w:rFonts w:hint="eastAsia"/>
          <w:sz w:val="21"/>
          <w:szCs w:val="21"/>
        </w:rPr>
        <w:t xml:space="preserve">（9）进行基金份额的拆分与合并； </w:t>
      </w:r>
    </w:p>
    <w:p>
      <w:pPr>
        <w:pStyle w:val="7"/>
        <w:spacing w:before="0" w:beforeAutospacing="0" w:after="0" w:afterAutospacing="0" w:line="360" w:lineRule="auto"/>
        <w:ind w:firstLine="420"/>
        <w:rPr>
          <w:sz w:val="21"/>
          <w:szCs w:val="21"/>
        </w:rPr>
      </w:pPr>
      <w:r>
        <w:rPr>
          <w:rFonts w:hint="eastAsia"/>
          <w:sz w:val="21"/>
          <w:szCs w:val="21"/>
        </w:rPr>
        <w:t xml:space="preserve">（10）按照法律法规和《基金合同》规定不需召开基金份额持有人大会的其他情形。 </w:t>
      </w:r>
    </w:p>
    <w:p>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 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1、召开基金份额持有人大会，召集人应于会议召开前30日，在规定媒介公告。基金份额持有人大会通知应至少载明以下内容： </w:t>
      </w:r>
    </w:p>
    <w:p>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 </w:t>
      </w:r>
    </w:p>
    <w:p>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 </w:t>
      </w:r>
    </w:p>
    <w:p>
      <w:pPr>
        <w:pStyle w:val="7"/>
        <w:spacing w:before="0" w:beforeAutospacing="0" w:after="0" w:afterAutospacing="0" w:line="360" w:lineRule="auto"/>
        <w:ind w:firstLine="420"/>
        <w:rPr>
          <w:sz w:val="21"/>
          <w:szCs w:val="21"/>
        </w:rPr>
      </w:pPr>
      <w:r>
        <w:rPr>
          <w:rFonts w:hint="eastAsia"/>
          <w:sz w:val="21"/>
          <w:szCs w:val="21"/>
        </w:rPr>
        <w:t xml:space="preserve">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pPr>
        <w:pStyle w:val="7"/>
        <w:spacing w:before="0" w:beforeAutospacing="0" w:after="0" w:afterAutospacing="0" w:line="360" w:lineRule="auto"/>
        <w:ind w:firstLine="420"/>
        <w:rPr>
          <w:sz w:val="21"/>
          <w:szCs w:val="21"/>
        </w:rPr>
      </w:pPr>
      <w:r>
        <w:rPr>
          <w:rFonts w:hint="eastAsia"/>
          <w:sz w:val="21"/>
          <w:szCs w:val="21"/>
        </w:rPr>
        <w:t xml:space="preserve">3、在不违反法律法规或监管机构规定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 </w:t>
      </w:r>
    </w:p>
    <w:p>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pPr>
        <w:pStyle w:val="7"/>
        <w:spacing w:before="0" w:beforeAutospacing="0" w:after="0" w:afterAutospacing="0" w:line="360" w:lineRule="auto"/>
        <w:ind w:firstLine="420"/>
        <w:rPr>
          <w:sz w:val="21"/>
          <w:szCs w:val="21"/>
        </w:rPr>
      </w:pPr>
      <w:r>
        <w:rPr>
          <w:rFonts w:hint="eastAsia"/>
          <w:sz w:val="21"/>
          <w:szCs w:val="21"/>
        </w:rPr>
        <w:t xml:space="preserve">2、议事程序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pPr>
        <w:pStyle w:val="7"/>
        <w:spacing w:before="0" w:beforeAutospacing="0" w:after="0" w:afterAutospacing="0" w:line="360" w:lineRule="auto"/>
        <w:ind w:firstLine="420"/>
        <w:rPr>
          <w:sz w:val="21"/>
          <w:szCs w:val="21"/>
        </w:rPr>
      </w:pPr>
      <w:r>
        <w:rPr>
          <w:rFonts w:hint="eastAsia"/>
          <w:sz w:val="21"/>
          <w:szCs w:val="21"/>
        </w:rPr>
        <w:t xml:space="preserve">（六）表决 </w:t>
      </w:r>
    </w:p>
    <w:p>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pPr>
        <w:pStyle w:val="7"/>
        <w:spacing w:before="0" w:beforeAutospacing="0" w:after="0" w:afterAutospacing="0" w:line="360" w:lineRule="auto"/>
        <w:ind w:firstLine="420"/>
        <w:rPr>
          <w:sz w:val="21"/>
          <w:szCs w:val="21"/>
        </w:rPr>
      </w:pPr>
      <w:r>
        <w:rPr>
          <w:rFonts w:hint="eastAsia"/>
          <w:sz w:val="21"/>
          <w:szCs w:val="21"/>
        </w:rPr>
        <w:t xml:space="preserve">在上述规则的前提下，具体规则以召集人发布的基金份额持有人大会通知为准。 </w:t>
      </w:r>
    </w:p>
    <w:p>
      <w:pPr>
        <w:pStyle w:val="7"/>
        <w:spacing w:before="0" w:beforeAutospacing="0" w:after="0" w:afterAutospacing="0" w:line="360" w:lineRule="auto"/>
        <w:ind w:firstLine="420"/>
        <w:rPr>
          <w:sz w:val="21"/>
          <w:szCs w:val="21"/>
        </w:rPr>
      </w:pPr>
      <w:r>
        <w:rPr>
          <w:rFonts w:hint="eastAsia"/>
          <w:sz w:val="21"/>
          <w:szCs w:val="21"/>
        </w:rPr>
        <w:t xml:space="preserve">（七）计票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pPr>
        <w:pStyle w:val="7"/>
        <w:spacing w:before="0" w:beforeAutospacing="0" w:after="0" w:afterAutospacing="0" w:line="360" w:lineRule="auto"/>
        <w:ind w:firstLine="420"/>
        <w:rPr>
          <w:sz w:val="21"/>
          <w:szCs w:val="21"/>
        </w:rPr>
      </w:pPr>
      <w:r>
        <w:rPr>
          <w:rFonts w:hint="eastAsia"/>
          <w:sz w:val="21"/>
          <w:szCs w:val="21"/>
        </w:rPr>
        <w:t xml:space="preserve">（八）生效与公告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基金份额持有人大会决议自生效之日起按规定在规定媒介上公告。如果采用通讯方式进行表决，在公告基金份额持有人大会决议时，必须将公证书全文、公证机构、公证员姓名等一同公告。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pPr>
        <w:pStyle w:val="7"/>
        <w:spacing w:before="0" w:beforeAutospacing="0" w:after="0" w:afterAutospacing="0" w:line="360" w:lineRule="auto"/>
        <w:ind w:firstLine="420"/>
        <w:rPr>
          <w:sz w:val="21"/>
          <w:szCs w:val="21"/>
        </w:rPr>
      </w:pPr>
      <w:r>
        <w:rPr>
          <w:rFonts w:hint="eastAsia"/>
          <w:sz w:val="21"/>
          <w:szCs w:val="21"/>
        </w:rPr>
        <w:t xml:space="preserve">（九）本部分关于基金份额持有人大会召开事由、召开条件、议事程序、表决条件等规定，凡是直接引用法律法规的部分，如将来法律法规修改导致相关内容被取消或变更的，基金管理人与基金托管人协商一致并提前公告后，可直接对本部分内容进行修改和调整，无需召开基金份额持有人大会审议。 </w:t>
      </w:r>
    </w:p>
    <w:p>
      <w:pPr>
        <w:pStyle w:val="7"/>
        <w:spacing w:before="0" w:beforeAutospacing="0" w:after="0" w:afterAutospacing="0" w:line="360" w:lineRule="auto"/>
        <w:ind w:firstLine="420"/>
        <w:rPr>
          <w:sz w:val="21"/>
          <w:szCs w:val="21"/>
        </w:rPr>
      </w:pPr>
      <w:r>
        <w:rPr>
          <w:rStyle w:val="11"/>
          <w:rFonts w:hint="eastAsia"/>
          <w:sz w:val="21"/>
          <w:szCs w:val="21"/>
        </w:rPr>
        <w:t>三、基金合同的变更、终止与基金财产的清算</w:t>
      </w:r>
    </w:p>
    <w:p>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5、基金财产清算程序：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6、基金财产清算的期限为6个月，但因本基金所持证券的流动性受到限制而不能及时变现的，清算期限相应顺延。 </w:t>
      </w:r>
    </w:p>
    <w:p>
      <w:pPr>
        <w:pStyle w:val="7"/>
        <w:spacing w:before="0" w:beforeAutospacing="0" w:after="0" w:afterAutospacing="0" w:line="360" w:lineRule="auto"/>
        <w:ind w:firstLine="420"/>
        <w:rPr>
          <w:sz w:val="21"/>
          <w:szCs w:val="21"/>
        </w:rPr>
      </w:pPr>
      <w:r>
        <w:rPr>
          <w:rFonts w:hint="eastAsia"/>
          <w:sz w:val="21"/>
          <w:szCs w:val="21"/>
        </w:rPr>
        <w:t xml:space="preserve">（四）清算费用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基金财产清算账册及有关文件由基金托管人保存，保存期限不低于法定最低期限。 </w:t>
      </w:r>
    </w:p>
    <w:p>
      <w:pPr>
        <w:pStyle w:val="7"/>
        <w:spacing w:before="0" w:beforeAutospacing="0" w:after="0" w:afterAutospacing="0" w:line="360" w:lineRule="auto"/>
        <w:ind w:firstLine="420"/>
        <w:rPr>
          <w:sz w:val="21"/>
          <w:szCs w:val="21"/>
        </w:rPr>
      </w:pPr>
      <w:r>
        <w:rPr>
          <w:rStyle w:val="11"/>
          <w:rFonts w:hint="eastAsia"/>
          <w:sz w:val="21"/>
          <w:szCs w:val="21"/>
        </w:rPr>
        <w:t>四、争议的处理</w:t>
      </w:r>
    </w:p>
    <w:p>
      <w:pPr>
        <w:pStyle w:val="7"/>
        <w:spacing w:before="0" w:beforeAutospacing="0" w:after="0" w:afterAutospacing="0" w:line="360" w:lineRule="auto"/>
        <w:ind w:firstLine="420"/>
        <w:rPr>
          <w:sz w:val="21"/>
          <w:szCs w:val="21"/>
        </w:rPr>
      </w:pPr>
      <w:r>
        <w:rPr>
          <w:rStyle w:val="11"/>
          <w:rFonts w:hint="eastAsia"/>
          <w:sz w:val="21"/>
          <w:szCs w:val="21"/>
        </w:rPr>
        <w:t>各方当事人同意，因《基金合同》而产生的或与《基金合同》有关的一切争议，如不愿或者不能通过协商、调解解决的，应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pPr>
        <w:pStyle w:val="7"/>
        <w:spacing w:before="0" w:beforeAutospacing="0" w:after="0" w:afterAutospacing="0" w:line="360" w:lineRule="auto"/>
        <w:ind w:firstLine="420"/>
        <w:rPr>
          <w:sz w:val="21"/>
          <w:szCs w:val="21"/>
        </w:rPr>
      </w:pPr>
      <w:r>
        <w:rPr>
          <w:rStyle w:val="11"/>
          <w:rFonts w:hint="eastAsia"/>
          <w:sz w:val="21"/>
          <w:szCs w:val="21"/>
        </w:rPr>
        <w:t>争议处理期间，基金管理人、基金托管人应恪守基金管理人和基金托管人的职责，各自继续忠实、勤勉、尽责地履行基金合同和基金托管协议规定的义务，维护基金份额持有人的合法权益。</w:t>
      </w:r>
    </w:p>
    <w:p>
      <w:pPr>
        <w:pStyle w:val="7"/>
        <w:spacing w:before="0" w:beforeAutospacing="0" w:after="0" w:afterAutospacing="0" w:line="360" w:lineRule="auto"/>
        <w:ind w:firstLine="420"/>
        <w:rPr>
          <w:sz w:val="21"/>
          <w:szCs w:val="21"/>
        </w:rPr>
      </w:pPr>
      <w:r>
        <w:rPr>
          <w:rStyle w:val="11"/>
          <w:rFonts w:hint="eastAsia"/>
          <w:sz w:val="21"/>
          <w:szCs w:val="21"/>
        </w:rPr>
        <w:t>《基金合同》受中国法律（为本基金合同之目的，在此不包括香港、澳门特别行政区和台湾地区法律）管辖并从其解释。</w:t>
      </w:r>
    </w:p>
    <w:p>
      <w:pPr>
        <w:pStyle w:val="7"/>
        <w:spacing w:before="0" w:beforeAutospacing="0" w:after="0" w:afterAutospacing="0" w:line="360" w:lineRule="auto"/>
        <w:ind w:firstLine="420"/>
        <w:rPr>
          <w:sz w:val="21"/>
          <w:szCs w:val="21"/>
        </w:rPr>
      </w:pPr>
      <w:r>
        <w:rPr>
          <w:rStyle w:val="11"/>
          <w:rFonts w:hint="eastAsia"/>
          <w:sz w:val="21"/>
          <w:szCs w:val="21"/>
        </w:rPr>
        <w:t>五、基金合同存放地和投资者取得合同的方式</w:t>
      </w:r>
    </w:p>
    <w:p>
      <w:pPr>
        <w:pStyle w:val="7"/>
        <w:spacing w:before="0" w:beforeAutospacing="0" w:after="0" w:afterAutospacing="0" w:line="360" w:lineRule="auto"/>
        <w:ind w:firstLine="420"/>
        <w:rPr>
          <w:sz w:val="21"/>
          <w:szCs w:val="21"/>
        </w:rPr>
      </w:pPr>
      <w:r>
        <w:rPr>
          <w:rFonts w:hint="eastAsia"/>
          <w:sz w:val="21"/>
          <w:szCs w:val="21"/>
        </w:rPr>
        <w:t>本基金合同可印制成册，供投资人在基金管理人、基金托管人、代销机构的办公场所查</w:t>
      </w:r>
      <w:bookmarkStart w:id="177" w:name="chapter_level1_24_71_section_1_end"/>
      <w:bookmarkEnd w:id="177"/>
      <w:r>
        <w:rPr>
          <w:rFonts w:hint="eastAsia"/>
          <w:sz w:val="21"/>
          <w:szCs w:val="21"/>
        </w:rPr>
        <w:t xml:space="preserve">阅。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8" w:name="chapter_level1_25_72"/>
      <w:bookmarkStart w:id="179" w:name="_Toc213857383"/>
      <w:r>
        <w:rPr>
          <w:rFonts w:hint="eastAsia" w:ascii="宋体" w:hAnsi="宋体" w:eastAsia="宋体"/>
          <w:sz w:val="30"/>
        </w:rPr>
        <w:t>第二十一部分  基金托管协议的内容摘要</w:t>
      </w:r>
      <w:bookmarkEnd w:id="178"/>
      <w:bookmarkEnd w:id="179"/>
    </w:p>
    <w:p>
      <w:pPr>
        <w:pStyle w:val="7"/>
        <w:spacing w:before="0" w:beforeAutospacing="0" w:after="0" w:afterAutospacing="0" w:line="360" w:lineRule="auto"/>
        <w:ind w:firstLine="420"/>
        <w:rPr>
          <w:sz w:val="21"/>
          <w:szCs w:val="21"/>
        </w:rPr>
      </w:pPr>
      <w:bookmarkStart w:id="180" w:name="chapter_level1_25_72_section_1"/>
      <w:bookmarkEnd w:id="180"/>
      <w:r>
        <w:rPr>
          <w:rStyle w:val="11"/>
          <w:rFonts w:hint="eastAsia"/>
          <w:sz w:val="21"/>
          <w:szCs w:val="21"/>
        </w:rPr>
        <w:t>一、基金托管协议当事人</w:t>
      </w:r>
    </w:p>
    <w:p>
      <w:pPr>
        <w:pStyle w:val="7"/>
        <w:spacing w:before="0" w:beforeAutospacing="0" w:after="0" w:afterAutospacing="0" w:line="360" w:lineRule="auto"/>
        <w:ind w:firstLine="420"/>
        <w:rPr>
          <w:sz w:val="21"/>
          <w:szCs w:val="21"/>
        </w:rPr>
      </w:pPr>
      <w:r>
        <w:rPr>
          <w:rFonts w:hint="eastAsia"/>
          <w:sz w:val="21"/>
          <w:szCs w:val="21"/>
        </w:rPr>
        <w:t>（一）基金管理人</w:t>
      </w:r>
    </w:p>
    <w:p>
      <w:pPr>
        <w:pStyle w:val="7"/>
        <w:spacing w:before="0" w:beforeAutospacing="0" w:after="0" w:afterAutospacing="0" w:line="360" w:lineRule="auto"/>
        <w:ind w:firstLine="420"/>
        <w:rPr>
          <w:sz w:val="21"/>
          <w:szCs w:val="21"/>
        </w:rPr>
      </w:pPr>
      <w:r>
        <w:rPr>
          <w:rFonts w:hint="eastAsia"/>
          <w:sz w:val="21"/>
          <w:szCs w:val="21"/>
        </w:rPr>
        <w:t>名称：博时基金管理有限公司</w:t>
      </w:r>
    </w:p>
    <w:p>
      <w:pPr>
        <w:pStyle w:val="7"/>
        <w:spacing w:before="0" w:beforeAutospacing="0" w:after="0" w:afterAutospacing="0" w:line="360" w:lineRule="auto"/>
        <w:ind w:firstLine="420"/>
        <w:rPr>
          <w:sz w:val="21"/>
          <w:szCs w:val="21"/>
        </w:rPr>
      </w:pPr>
      <w:r>
        <w:rPr>
          <w:rFonts w:hint="eastAsia"/>
          <w:sz w:val="21"/>
          <w:szCs w:val="21"/>
        </w:rPr>
        <w:t>住所：深圳市福田区莲花街道福新社区益田路5999号基金大厦21层</w:t>
      </w:r>
    </w:p>
    <w:p>
      <w:pPr>
        <w:pStyle w:val="7"/>
        <w:spacing w:before="0" w:beforeAutospacing="0" w:after="0" w:afterAutospacing="0" w:line="360" w:lineRule="auto"/>
        <w:ind w:firstLine="420"/>
        <w:rPr>
          <w:sz w:val="21"/>
          <w:szCs w:val="21"/>
        </w:rPr>
      </w:pPr>
      <w:r>
        <w:rPr>
          <w:rFonts w:hint="eastAsia"/>
          <w:sz w:val="21"/>
          <w:szCs w:val="21"/>
        </w:rPr>
        <w:t>法定代表人: 江向阳</w:t>
      </w:r>
    </w:p>
    <w:p>
      <w:pPr>
        <w:pStyle w:val="7"/>
        <w:spacing w:before="0" w:beforeAutospacing="0" w:after="0" w:afterAutospacing="0" w:line="360" w:lineRule="auto"/>
        <w:ind w:firstLine="420"/>
        <w:rPr>
          <w:sz w:val="21"/>
          <w:szCs w:val="21"/>
        </w:rPr>
      </w:pPr>
      <w:r>
        <w:rPr>
          <w:rFonts w:hint="eastAsia"/>
          <w:sz w:val="21"/>
          <w:szCs w:val="21"/>
        </w:rPr>
        <w:t>设立日期：1998年7月13日</w:t>
      </w:r>
    </w:p>
    <w:p>
      <w:pPr>
        <w:pStyle w:val="7"/>
        <w:spacing w:before="0" w:beforeAutospacing="0" w:after="0" w:afterAutospacing="0" w:line="360" w:lineRule="auto"/>
        <w:ind w:firstLine="420"/>
        <w:rPr>
          <w:sz w:val="21"/>
          <w:szCs w:val="21"/>
        </w:rPr>
      </w:pPr>
      <w:r>
        <w:rPr>
          <w:rFonts w:hint="eastAsia"/>
          <w:sz w:val="21"/>
          <w:szCs w:val="21"/>
        </w:rPr>
        <w:t>批准设立机关及批准设立文号：中国证监会证监基字【1998】26号</w:t>
      </w:r>
    </w:p>
    <w:p>
      <w:pPr>
        <w:pStyle w:val="7"/>
        <w:spacing w:before="0" w:beforeAutospacing="0" w:after="0" w:afterAutospacing="0" w:line="360" w:lineRule="auto"/>
        <w:ind w:firstLine="420"/>
        <w:rPr>
          <w:sz w:val="21"/>
          <w:szCs w:val="21"/>
        </w:rPr>
      </w:pPr>
      <w:r>
        <w:rPr>
          <w:rFonts w:hint="eastAsia"/>
          <w:sz w:val="21"/>
          <w:szCs w:val="21"/>
        </w:rPr>
        <w:t>组织形式：有限责任公司</w:t>
      </w:r>
    </w:p>
    <w:p>
      <w:pPr>
        <w:pStyle w:val="7"/>
        <w:spacing w:before="0" w:beforeAutospacing="0" w:after="0" w:afterAutospacing="0" w:line="360" w:lineRule="auto"/>
        <w:ind w:firstLine="420"/>
        <w:rPr>
          <w:sz w:val="21"/>
          <w:szCs w:val="21"/>
        </w:rPr>
      </w:pPr>
      <w:r>
        <w:rPr>
          <w:rFonts w:hint="eastAsia"/>
          <w:sz w:val="21"/>
          <w:szCs w:val="21"/>
        </w:rPr>
        <w:t>注册资本：2.5亿元人民币</w:t>
      </w:r>
    </w:p>
    <w:p>
      <w:pPr>
        <w:pStyle w:val="7"/>
        <w:spacing w:before="0" w:beforeAutospacing="0" w:after="0" w:afterAutospacing="0" w:line="360" w:lineRule="auto"/>
        <w:ind w:firstLine="420"/>
        <w:rPr>
          <w:sz w:val="21"/>
          <w:szCs w:val="21"/>
        </w:rPr>
      </w:pPr>
      <w:r>
        <w:rPr>
          <w:rFonts w:hint="eastAsia"/>
          <w:sz w:val="21"/>
          <w:szCs w:val="21"/>
        </w:rPr>
        <w:t>经营范围：基金募集；基金销售；资产管理以及中国证监会许可的其它业务</w:t>
      </w:r>
    </w:p>
    <w:p>
      <w:pPr>
        <w:pStyle w:val="7"/>
        <w:spacing w:before="0" w:beforeAutospacing="0" w:after="0" w:afterAutospacing="0" w:line="360" w:lineRule="auto"/>
        <w:ind w:firstLine="420"/>
        <w:rPr>
          <w:sz w:val="21"/>
          <w:szCs w:val="21"/>
        </w:rPr>
      </w:pPr>
      <w:r>
        <w:rPr>
          <w:rFonts w:hint="eastAsia"/>
          <w:sz w:val="21"/>
          <w:szCs w:val="21"/>
        </w:rPr>
        <w:t>存续期间：持续经营</w:t>
      </w:r>
    </w:p>
    <w:p>
      <w:pPr>
        <w:pStyle w:val="7"/>
        <w:spacing w:before="0" w:beforeAutospacing="0" w:after="0" w:afterAutospacing="0" w:line="360" w:lineRule="auto"/>
        <w:ind w:firstLine="420"/>
        <w:rPr>
          <w:sz w:val="21"/>
          <w:szCs w:val="21"/>
        </w:rPr>
      </w:pPr>
      <w:r>
        <w:rPr>
          <w:rFonts w:hint="eastAsia"/>
          <w:sz w:val="21"/>
          <w:szCs w:val="21"/>
        </w:rPr>
        <w:t>（二）基金托管人</w:t>
      </w:r>
    </w:p>
    <w:p>
      <w:pPr>
        <w:pStyle w:val="7"/>
        <w:spacing w:before="0" w:beforeAutospacing="0" w:after="0" w:afterAutospacing="0" w:line="360" w:lineRule="auto"/>
        <w:ind w:firstLine="420"/>
        <w:rPr>
          <w:sz w:val="21"/>
          <w:szCs w:val="21"/>
        </w:rPr>
      </w:pPr>
      <w:r>
        <w:rPr>
          <w:rFonts w:hint="eastAsia"/>
          <w:sz w:val="21"/>
          <w:szCs w:val="21"/>
        </w:rPr>
        <w:t>名称：国泰海通证券股份有限公司</w:t>
      </w:r>
    </w:p>
    <w:p>
      <w:pPr>
        <w:pStyle w:val="7"/>
        <w:spacing w:before="0" w:beforeAutospacing="0" w:after="0" w:afterAutospacing="0" w:line="360" w:lineRule="auto"/>
        <w:ind w:firstLine="420"/>
        <w:rPr>
          <w:sz w:val="21"/>
          <w:szCs w:val="21"/>
        </w:rPr>
      </w:pPr>
      <w:r>
        <w:rPr>
          <w:rFonts w:hint="eastAsia"/>
          <w:sz w:val="21"/>
          <w:szCs w:val="21"/>
        </w:rPr>
        <w:t>注册地址：上海市黄浦区广东路689号国泰海通证券大厦</w:t>
      </w:r>
    </w:p>
    <w:p>
      <w:pPr>
        <w:pStyle w:val="7"/>
        <w:spacing w:before="0" w:beforeAutospacing="0" w:after="0" w:afterAutospacing="0" w:line="360" w:lineRule="auto"/>
        <w:ind w:firstLine="420"/>
        <w:rPr>
          <w:sz w:val="21"/>
          <w:szCs w:val="21"/>
        </w:rPr>
      </w:pPr>
      <w:r>
        <w:rPr>
          <w:rFonts w:hint="eastAsia"/>
          <w:sz w:val="21"/>
          <w:szCs w:val="21"/>
        </w:rPr>
        <w:t>法定代表人：周杰</w:t>
      </w:r>
    </w:p>
    <w:p>
      <w:pPr>
        <w:pStyle w:val="7"/>
        <w:spacing w:before="0" w:beforeAutospacing="0" w:after="0" w:afterAutospacing="0" w:line="360" w:lineRule="auto"/>
        <w:ind w:firstLine="420"/>
        <w:rPr>
          <w:sz w:val="21"/>
          <w:szCs w:val="21"/>
        </w:rPr>
      </w:pPr>
      <w:r>
        <w:rPr>
          <w:rFonts w:hint="eastAsia"/>
          <w:sz w:val="21"/>
          <w:szCs w:val="21"/>
        </w:rPr>
        <w:t>成立时间：1988年8月15日</w:t>
      </w:r>
    </w:p>
    <w:p>
      <w:pPr>
        <w:pStyle w:val="7"/>
        <w:spacing w:before="0" w:beforeAutospacing="0" w:after="0" w:afterAutospacing="0" w:line="360" w:lineRule="auto"/>
        <w:ind w:firstLine="420"/>
        <w:rPr>
          <w:sz w:val="21"/>
          <w:szCs w:val="21"/>
        </w:rPr>
      </w:pPr>
      <w:r>
        <w:rPr>
          <w:rFonts w:hint="eastAsia"/>
          <w:sz w:val="21"/>
          <w:szCs w:val="21"/>
        </w:rPr>
        <w:t>批准设立机关及批准设立文号：中国人民银行银复【1988】383号</w:t>
      </w:r>
    </w:p>
    <w:p>
      <w:pPr>
        <w:pStyle w:val="7"/>
        <w:spacing w:before="0" w:beforeAutospacing="0" w:after="0" w:afterAutospacing="0" w:line="360" w:lineRule="auto"/>
        <w:ind w:firstLine="420"/>
        <w:rPr>
          <w:sz w:val="21"/>
          <w:szCs w:val="21"/>
        </w:rPr>
      </w:pPr>
      <w:r>
        <w:rPr>
          <w:rFonts w:hint="eastAsia"/>
          <w:sz w:val="21"/>
          <w:szCs w:val="21"/>
        </w:rPr>
        <w:t>组织形式：股份有限公司</w:t>
      </w:r>
    </w:p>
    <w:p>
      <w:pPr>
        <w:pStyle w:val="7"/>
        <w:spacing w:before="0" w:beforeAutospacing="0" w:after="0" w:afterAutospacing="0" w:line="360" w:lineRule="auto"/>
        <w:ind w:firstLine="420"/>
        <w:rPr>
          <w:sz w:val="21"/>
          <w:szCs w:val="21"/>
        </w:rPr>
      </w:pPr>
      <w:r>
        <w:rPr>
          <w:rFonts w:hint="eastAsia"/>
          <w:sz w:val="21"/>
          <w:szCs w:val="21"/>
        </w:rPr>
        <w:t>注册资本：1306420万人民币</w:t>
      </w:r>
    </w:p>
    <w:p>
      <w:pPr>
        <w:pStyle w:val="7"/>
        <w:spacing w:before="0" w:beforeAutospacing="0" w:after="0" w:afterAutospacing="0" w:line="360" w:lineRule="auto"/>
        <w:ind w:firstLine="420"/>
        <w:rPr>
          <w:sz w:val="21"/>
          <w:szCs w:val="21"/>
        </w:rPr>
      </w:pPr>
      <w:r>
        <w:rPr>
          <w:rFonts w:hint="eastAsia"/>
          <w:sz w:val="21"/>
          <w:szCs w:val="21"/>
        </w:rPr>
        <w:t>存续期间：持续经营</w:t>
      </w:r>
    </w:p>
    <w:p>
      <w:pPr>
        <w:pStyle w:val="7"/>
        <w:spacing w:before="0" w:beforeAutospacing="0" w:after="0" w:afterAutospacing="0" w:line="360" w:lineRule="auto"/>
        <w:ind w:firstLine="420"/>
        <w:rPr>
          <w:sz w:val="21"/>
          <w:szCs w:val="21"/>
        </w:rPr>
      </w:pPr>
      <w:r>
        <w:rPr>
          <w:rFonts w:hint="eastAsia"/>
          <w:sz w:val="21"/>
          <w:szCs w:val="21"/>
        </w:rPr>
        <w:t>基金托管业务批准文号：证监许可【2013】1643号</w:t>
      </w:r>
    </w:p>
    <w:p>
      <w:pPr>
        <w:pStyle w:val="7"/>
        <w:spacing w:before="0" w:beforeAutospacing="0" w:after="0" w:afterAutospacing="0" w:line="360" w:lineRule="auto"/>
        <w:ind w:firstLine="420"/>
        <w:rPr>
          <w:sz w:val="21"/>
          <w:szCs w:val="21"/>
        </w:rPr>
      </w:pPr>
      <w:r>
        <w:rPr>
          <w:rFonts w:hint="eastAsia"/>
          <w:sz w:val="21"/>
          <w:szCs w:val="21"/>
        </w:rPr>
        <w:t>联系人：蔡冰晶</w:t>
      </w:r>
    </w:p>
    <w:p>
      <w:pPr>
        <w:pStyle w:val="7"/>
        <w:spacing w:before="0" w:beforeAutospacing="0" w:after="0" w:afterAutospacing="0" w:line="360" w:lineRule="auto"/>
        <w:ind w:firstLine="420"/>
        <w:rPr>
          <w:sz w:val="21"/>
          <w:szCs w:val="21"/>
        </w:rPr>
      </w:pPr>
      <w:r>
        <w:rPr>
          <w:rFonts w:hint="eastAsia"/>
          <w:sz w:val="21"/>
          <w:szCs w:val="21"/>
        </w:rPr>
        <w:t>联系电话：021-23180000</w:t>
      </w:r>
    </w:p>
    <w:p>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pPr>
        <w:pStyle w:val="7"/>
        <w:spacing w:before="0" w:beforeAutospacing="0" w:after="0" w:afterAutospacing="0" w:line="360" w:lineRule="auto"/>
        <w:ind w:firstLine="420"/>
        <w:rPr>
          <w:sz w:val="21"/>
          <w:szCs w:val="21"/>
        </w:rPr>
      </w:pPr>
      <w:r>
        <w:rPr>
          <w:rFonts w:hint="eastAsia"/>
          <w:sz w:val="21"/>
          <w:szCs w:val="21"/>
        </w:rPr>
        <w:t>（一）基金托管人对基金管理人的投资行为行使监督权</w:t>
      </w:r>
    </w:p>
    <w:p>
      <w:pPr>
        <w:pStyle w:val="7"/>
        <w:spacing w:before="0" w:beforeAutospacing="0" w:after="0" w:afterAutospacing="0" w:line="360" w:lineRule="auto"/>
        <w:ind w:firstLine="420"/>
        <w:rPr>
          <w:rFonts w:hint="eastAsia"/>
          <w:sz w:val="21"/>
          <w:szCs w:val="21"/>
        </w:rPr>
      </w:pPr>
      <w:r>
        <w:rPr>
          <w:rFonts w:hint="eastAsia"/>
          <w:sz w:val="21"/>
          <w:szCs w:val="21"/>
        </w:rPr>
        <w:t>1、基金托管人根据有关法律法规的规定及《基金合同》和本协议的约定，对基金的投资范围、投资对象进行监督。</w:t>
      </w:r>
    </w:p>
    <w:p>
      <w:pPr>
        <w:pStyle w:val="7"/>
        <w:spacing w:before="0" w:beforeAutospacing="0" w:after="0" w:afterAutospacing="0" w:line="360" w:lineRule="auto"/>
        <w:ind w:firstLine="420"/>
        <w:rPr>
          <w:sz w:val="21"/>
          <w:szCs w:val="21"/>
        </w:rPr>
      </w:pPr>
      <w:r>
        <w:rPr>
          <w:rFonts w:hint="eastAsia"/>
          <w:sz w:val="21"/>
          <w:szCs w:val="21"/>
        </w:rPr>
        <w:t>本基金主要投资于标的指数成份股和备选成份股(含存托凭证)。</w:t>
      </w:r>
    </w:p>
    <w:p>
      <w:pPr>
        <w:pStyle w:val="7"/>
        <w:spacing w:before="0" w:beforeAutospacing="0" w:after="0" w:afterAutospacing="0" w:line="360" w:lineRule="auto"/>
        <w:ind w:firstLine="420"/>
        <w:rPr>
          <w:sz w:val="21"/>
          <w:szCs w:val="21"/>
        </w:rPr>
      </w:pPr>
      <w:r>
        <w:rPr>
          <w:rFonts w:hint="eastAsia"/>
          <w:sz w:val="21"/>
          <w:szCs w:val="21"/>
        </w:rPr>
        <w:t>为更好地实现基金的投资目标，本基金可能会少量投资于依法发行上市的非成份股（包括创业板及其他经中国证监会核准或注册上市的股票和存托凭证）、债券（包括国债、金融债、地方政府债、政府支持机构债券、政府支持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pPr>
        <w:pStyle w:val="7"/>
        <w:spacing w:before="0" w:beforeAutospacing="0" w:after="0" w:afterAutospacing="0" w:line="360" w:lineRule="auto"/>
        <w:ind w:firstLine="420"/>
        <w:rPr>
          <w:sz w:val="21"/>
          <w:szCs w:val="21"/>
        </w:rPr>
      </w:pPr>
      <w:r>
        <w:rPr>
          <w:rFonts w:hint="eastAsia"/>
          <w:sz w:val="21"/>
          <w:szCs w:val="21"/>
        </w:rPr>
        <w:t>本基金可根据法律法规的规定参与融资和转融通证券出借业务。未来在法律法规允许的前提下，本基金可根据相关法律法规规定参与融券业务。</w:t>
      </w:r>
    </w:p>
    <w:p>
      <w:pPr>
        <w:pStyle w:val="7"/>
        <w:spacing w:before="0" w:beforeAutospacing="0" w:after="0" w:afterAutospacing="0" w:line="360" w:lineRule="auto"/>
        <w:ind w:firstLine="420"/>
        <w:rPr>
          <w:sz w:val="21"/>
          <w:szCs w:val="21"/>
        </w:rPr>
      </w:pPr>
      <w:r>
        <w:rPr>
          <w:rFonts w:hint="eastAsia"/>
          <w:sz w:val="21"/>
          <w:szCs w:val="21"/>
        </w:rPr>
        <w:t>如法律法规或中国证监会以后允许基金投资其他品种，本基金管理人在履行适当程序后，可以将其纳入本基金的投资范围。</w:t>
      </w:r>
    </w:p>
    <w:p>
      <w:pPr>
        <w:pStyle w:val="7"/>
        <w:spacing w:before="0" w:beforeAutospacing="0" w:after="0" w:afterAutospacing="0" w:line="360" w:lineRule="auto"/>
        <w:ind w:firstLine="420"/>
        <w:rPr>
          <w:sz w:val="21"/>
          <w:szCs w:val="21"/>
        </w:rPr>
      </w:pPr>
      <w:r>
        <w:rPr>
          <w:rFonts w:hint="eastAsia"/>
          <w:sz w:val="21"/>
          <w:szCs w:val="21"/>
        </w:rPr>
        <w:t>2、基金托管人根据有关法律法规的规定及《基金合同》和本协议的约定，对基金投资、融资比例进行监督。</w:t>
      </w:r>
    </w:p>
    <w:p>
      <w:pPr>
        <w:pStyle w:val="7"/>
        <w:spacing w:before="0" w:beforeAutospacing="0" w:after="0" w:afterAutospacing="0" w:line="360" w:lineRule="auto"/>
        <w:ind w:firstLine="420"/>
        <w:rPr>
          <w:sz w:val="21"/>
          <w:szCs w:val="21"/>
        </w:rPr>
      </w:pPr>
      <w:r>
        <w:rPr>
          <w:rFonts w:hint="eastAsia"/>
          <w:sz w:val="21"/>
          <w:szCs w:val="21"/>
        </w:rPr>
        <w:t>（1）按法律法规的规定及《基金合同》的约定，本基金的投资资产配置比例为：</w:t>
      </w:r>
    </w:p>
    <w:p>
      <w:pPr>
        <w:pStyle w:val="7"/>
        <w:spacing w:before="0" w:beforeAutospacing="0" w:after="0" w:afterAutospacing="0" w:line="360" w:lineRule="auto"/>
        <w:ind w:firstLine="420"/>
        <w:rPr>
          <w:sz w:val="21"/>
          <w:szCs w:val="21"/>
        </w:rPr>
      </w:pPr>
      <w:r>
        <w:rPr>
          <w:rFonts w:hint="eastAsia"/>
          <w:sz w:val="21"/>
          <w:szCs w:val="21"/>
        </w:rPr>
        <w:t>基金的投资组合比例为：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pPr>
        <w:pStyle w:val="7"/>
        <w:spacing w:before="0" w:beforeAutospacing="0" w:after="0" w:afterAutospacing="0" w:line="360" w:lineRule="auto"/>
        <w:ind w:firstLine="420"/>
        <w:rPr>
          <w:sz w:val="21"/>
          <w:szCs w:val="21"/>
        </w:rPr>
      </w:pPr>
      <w:r>
        <w:rPr>
          <w:rFonts w:hint="eastAsia"/>
          <w:sz w:val="21"/>
          <w:szCs w:val="21"/>
        </w:rPr>
        <w:t>若法律法规的相关规定发生变更或监管机构允许，本基金管理人在履行适当程序后，可对上述资产配置比例进行调整。</w:t>
      </w:r>
    </w:p>
    <w:p>
      <w:pPr>
        <w:pStyle w:val="7"/>
        <w:spacing w:before="0" w:beforeAutospacing="0" w:after="0" w:afterAutospacing="0" w:line="360" w:lineRule="auto"/>
        <w:ind w:firstLine="420"/>
        <w:rPr>
          <w:sz w:val="21"/>
          <w:szCs w:val="21"/>
        </w:rPr>
      </w:pPr>
      <w:r>
        <w:rPr>
          <w:rFonts w:hint="eastAsia"/>
          <w:sz w:val="21"/>
          <w:szCs w:val="21"/>
        </w:rPr>
        <w:t>（2）根据法律法规的规定及《基金合同》的约定，本基金投资组合遵循以下投资限制：</w:t>
      </w:r>
    </w:p>
    <w:p>
      <w:pPr>
        <w:pStyle w:val="7"/>
        <w:spacing w:before="0" w:beforeAutospacing="0" w:after="0" w:afterAutospacing="0" w:line="360" w:lineRule="auto"/>
        <w:ind w:firstLine="420"/>
        <w:rPr>
          <w:sz w:val="21"/>
          <w:szCs w:val="21"/>
        </w:rPr>
      </w:pPr>
      <w:r>
        <w:rPr>
          <w:rFonts w:hint="eastAsia"/>
          <w:sz w:val="21"/>
          <w:szCs w:val="21"/>
        </w:rPr>
        <w:t>1）本基金投资于标的指数成份股和备选成份股（含存托凭证）的资产比例不低于基金资产净值的90%，且不低于非现金基金资产的80%；</w:t>
      </w:r>
    </w:p>
    <w:p>
      <w:pPr>
        <w:pStyle w:val="7"/>
        <w:spacing w:before="0" w:beforeAutospacing="0" w:after="0" w:afterAutospacing="0" w:line="360" w:lineRule="auto"/>
        <w:ind w:firstLine="420"/>
        <w:rPr>
          <w:sz w:val="21"/>
          <w:szCs w:val="21"/>
        </w:rPr>
      </w:pPr>
      <w:r>
        <w:rPr>
          <w:rFonts w:hint="eastAsia"/>
          <w:sz w:val="21"/>
          <w:szCs w:val="21"/>
        </w:rPr>
        <w:t>2）本基金每个交易日日终在扣除股指期货、股票期权和国债期货合约需缴纳的交易保证金后，应当保持不低于交易保证金一倍的现金，其中现金不包括结算备付金、存出保证金和应收申购款等；</w:t>
      </w:r>
    </w:p>
    <w:p>
      <w:pPr>
        <w:pStyle w:val="7"/>
        <w:spacing w:before="0" w:beforeAutospacing="0" w:after="0" w:afterAutospacing="0" w:line="360" w:lineRule="auto"/>
        <w:ind w:firstLine="420"/>
        <w:rPr>
          <w:sz w:val="21"/>
          <w:szCs w:val="21"/>
        </w:rPr>
      </w:pPr>
      <w:r>
        <w:rPr>
          <w:rFonts w:hint="eastAsia"/>
          <w:sz w:val="21"/>
          <w:szCs w:val="21"/>
        </w:rPr>
        <w:t>3）本基金参与股指期货和国债期货交易，需遵守下列投资比例限制：</w:t>
      </w:r>
    </w:p>
    <w:p>
      <w:pPr>
        <w:pStyle w:val="7"/>
        <w:spacing w:before="0" w:beforeAutospacing="0" w:after="0" w:afterAutospacing="0" w:line="360" w:lineRule="auto"/>
        <w:ind w:firstLine="420"/>
        <w:rPr>
          <w:sz w:val="21"/>
          <w:szCs w:val="21"/>
        </w:rPr>
      </w:pPr>
      <w:r>
        <w:rPr>
          <w:rFonts w:hint="eastAsia"/>
          <w:sz w:val="21"/>
          <w:szCs w:val="21"/>
        </w:rPr>
        <w:t>①本基金在任何交易日日终，持有的买入股指期货合约价值，不得超过基金资产净值的10%；在任何交易日日终，持有的买入国债期货合约价值，不得超过基金资产净值的15%；</w:t>
      </w:r>
    </w:p>
    <w:p>
      <w:pPr>
        <w:pStyle w:val="7"/>
        <w:spacing w:before="0" w:beforeAutospacing="0" w:after="0" w:afterAutospacing="0" w:line="360" w:lineRule="auto"/>
        <w:ind w:firstLine="420"/>
        <w:rPr>
          <w:sz w:val="21"/>
          <w:szCs w:val="21"/>
        </w:rPr>
      </w:pPr>
      <w:r>
        <w:rPr>
          <w:rFonts w:hint="eastAsia"/>
          <w:sz w:val="21"/>
          <w:szCs w:val="21"/>
        </w:rPr>
        <w:t>②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pPr>
        <w:pStyle w:val="7"/>
        <w:spacing w:before="0" w:beforeAutospacing="0" w:after="0" w:afterAutospacing="0" w:line="360" w:lineRule="auto"/>
        <w:ind w:firstLine="420"/>
        <w:rPr>
          <w:sz w:val="21"/>
          <w:szCs w:val="21"/>
        </w:rPr>
      </w:pPr>
      <w:r>
        <w:rPr>
          <w:rFonts w:hint="eastAsia"/>
          <w:sz w:val="21"/>
          <w:szCs w:val="21"/>
        </w:rPr>
        <w:t>③本基金在任何交易日日终，持有的卖出股指期货合约价值不得超过基金持有的股票总市值的20%；在任何交易日日终，持有的卖出国债期货合约价值不得超过基金持有的债券总市值的30%； </w:t>
      </w:r>
    </w:p>
    <w:p>
      <w:pPr>
        <w:pStyle w:val="7"/>
        <w:spacing w:before="0" w:beforeAutospacing="0" w:after="0" w:afterAutospacing="0" w:line="360" w:lineRule="auto"/>
        <w:ind w:firstLine="420"/>
        <w:rPr>
          <w:sz w:val="21"/>
          <w:szCs w:val="21"/>
        </w:rPr>
      </w:pPr>
      <w:r>
        <w:rPr>
          <w:rFonts w:hint="eastAsia"/>
          <w:sz w:val="21"/>
          <w:szCs w:val="21"/>
        </w:rPr>
        <w:t>④本基金在任何交易日内交易（不包括平仓）的股指期货合约的成交金额不得超过上一交易日基金资产净值的20%；在任何交易日内交易（不包括平仓）的国债期货合约的成交金额不得超过上一交易日基金资产净值的30%；</w:t>
      </w:r>
    </w:p>
    <w:p>
      <w:pPr>
        <w:pStyle w:val="7"/>
        <w:spacing w:before="0" w:beforeAutospacing="0" w:after="0" w:afterAutospacing="0" w:line="360" w:lineRule="auto"/>
        <w:ind w:firstLine="420"/>
        <w:rPr>
          <w:sz w:val="21"/>
          <w:szCs w:val="21"/>
        </w:rPr>
      </w:pPr>
      <w:r>
        <w:rPr>
          <w:rFonts w:hint="eastAsia"/>
          <w:sz w:val="21"/>
          <w:szCs w:val="21"/>
        </w:rPr>
        <w:t>⑤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pPr>
        <w:pStyle w:val="7"/>
        <w:spacing w:before="0" w:beforeAutospacing="0" w:after="0" w:afterAutospacing="0" w:line="360" w:lineRule="auto"/>
        <w:ind w:firstLine="420"/>
        <w:rPr>
          <w:sz w:val="21"/>
          <w:szCs w:val="21"/>
        </w:rPr>
      </w:pPr>
      <w:r>
        <w:rPr>
          <w:rFonts w:hint="eastAsia"/>
          <w:sz w:val="21"/>
          <w:szCs w:val="21"/>
        </w:rPr>
        <w:t>4）本基金投资于同一原始权益人的各类资产支持证券的比例，不得超过基金资产净值的10％；</w:t>
      </w:r>
    </w:p>
    <w:p>
      <w:pPr>
        <w:pStyle w:val="7"/>
        <w:spacing w:before="0" w:beforeAutospacing="0" w:after="0" w:afterAutospacing="0" w:line="360" w:lineRule="auto"/>
        <w:ind w:firstLine="420"/>
        <w:rPr>
          <w:sz w:val="21"/>
          <w:szCs w:val="21"/>
        </w:rPr>
      </w:pPr>
      <w:r>
        <w:rPr>
          <w:rFonts w:hint="eastAsia"/>
          <w:sz w:val="21"/>
          <w:szCs w:val="21"/>
        </w:rPr>
        <w:t>5）本基金持有的全部资产支持证券，其市值不得超过基金资产净值的20％；</w:t>
      </w:r>
    </w:p>
    <w:p>
      <w:pPr>
        <w:pStyle w:val="7"/>
        <w:spacing w:before="0" w:beforeAutospacing="0" w:after="0" w:afterAutospacing="0" w:line="360" w:lineRule="auto"/>
        <w:ind w:firstLine="420"/>
        <w:rPr>
          <w:sz w:val="21"/>
          <w:szCs w:val="21"/>
        </w:rPr>
      </w:pPr>
      <w:r>
        <w:rPr>
          <w:rFonts w:hint="eastAsia"/>
          <w:sz w:val="21"/>
          <w:szCs w:val="21"/>
        </w:rPr>
        <w:t>6）本基金持有的同一(指同一信用级别)资产支持证券的比例，不得超过该资产支持证券规模的10％；</w:t>
      </w:r>
    </w:p>
    <w:p>
      <w:pPr>
        <w:pStyle w:val="7"/>
        <w:spacing w:before="0" w:beforeAutospacing="0" w:after="0" w:afterAutospacing="0" w:line="360" w:lineRule="auto"/>
        <w:ind w:firstLine="420"/>
        <w:rPr>
          <w:sz w:val="21"/>
          <w:szCs w:val="21"/>
        </w:rPr>
      </w:pPr>
      <w:r>
        <w:rPr>
          <w:rFonts w:hint="eastAsia"/>
          <w:sz w:val="21"/>
          <w:szCs w:val="21"/>
        </w:rPr>
        <w:t>7）本基金管理人管理的全部基金投资于同一原始权益人的各类资产支持证券，不得超过其各类资产支持证券合计规模的10％；</w:t>
      </w:r>
    </w:p>
    <w:p>
      <w:pPr>
        <w:pStyle w:val="7"/>
        <w:spacing w:before="0" w:beforeAutospacing="0" w:after="0" w:afterAutospacing="0" w:line="360" w:lineRule="auto"/>
        <w:ind w:firstLine="420"/>
        <w:rPr>
          <w:sz w:val="21"/>
          <w:szCs w:val="21"/>
        </w:rPr>
      </w:pPr>
      <w:r>
        <w:rPr>
          <w:rFonts w:hint="eastAsia"/>
          <w:sz w:val="21"/>
          <w:szCs w:val="21"/>
        </w:rPr>
        <w:t>8）本基金应投资于信用级别评级为BBB以上(含BBB)的资产支持证券。基金持有资产支持证券期间，如果其信用等级下降、不再符合投资标准，应在评级报告发布之日起3个月内予以全部卖出；</w:t>
      </w:r>
    </w:p>
    <w:p>
      <w:pPr>
        <w:pStyle w:val="7"/>
        <w:spacing w:before="0" w:beforeAutospacing="0" w:after="0" w:afterAutospacing="0" w:line="360" w:lineRule="auto"/>
        <w:ind w:firstLine="420"/>
        <w:rPr>
          <w:sz w:val="21"/>
          <w:szCs w:val="21"/>
        </w:rPr>
      </w:pPr>
      <w:r>
        <w:rPr>
          <w:rFonts w:hint="eastAsia"/>
          <w:sz w:val="21"/>
          <w:szCs w:val="21"/>
        </w:rPr>
        <w:t>9）基金财产参与股票发行申购，本基金所申报的金额不超过本基金的总资产，本基金所申报的股票数量不超过拟发行股票公司本次发行股票的总量；</w:t>
      </w:r>
    </w:p>
    <w:p>
      <w:pPr>
        <w:pStyle w:val="7"/>
        <w:spacing w:before="0" w:beforeAutospacing="0" w:after="0" w:afterAutospacing="0" w:line="360" w:lineRule="auto"/>
        <w:ind w:firstLine="420"/>
        <w:rPr>
          <w:sz w:val="21"/>
          <w:szCs w:val="21"/>
        </w:rPr>
      </w:pPr>
      <w:r>
        <w:rPr>
          <w:rFonts w:hint="eastAsia"/>
          <w:sz w:val="21"/>
          <w:szCs w:val="21"/>
        </w:rPr>
        <w:t>10）本基金参与融资的，在任何交易日日终，本基金持有的融资买入股票与其他有价证券市值之和，不得超过基金资产净值的95%；</w:t>
      </w:r>
    </w:p>
    <w:p>
      <w:pPr>
        <w:pStyle w:val="7"/>
        <w:spacing w:before="0" w:beforeAutospacing="0" w:after="0" w:afterAutospacing="0" w:line="360" w:lineRule="auto"/>
        <w:ind w:firstLine="420"/>
        <w:rPr>
          <w:sz w:val="21"/>
          <w:szCs w:val="21"/>
        </w:rPr>
      </w:pPr>
      <w:r>
        <w:rPr>
          <w:rFonts w:hint="eastAsia"/>
          <w:sz w:val="21"/>
          <w:szCs w:val="21"/>
        </w:rPr>
        <w:t>11）本基金参与转融通证券出借业务，需遵守下列投资限制：</w:t>
      </w:r>
    </w:p>
    <w:p>
      <w:pPr>
        <w:pStyle w:val="7"/>
        <w:spacing w:before="0" w:beforeAutospacing="0" w:after="0" w:afterAutospacing="0" w:line="360" w:lineRule="auto"/>
        <w:ind w:firstLine="420"/>
        <w:rPr>
          <w:sz w:val="21"/>
          <w:szCs w:val="21"/>
        </w:rPr>
      </w:pPr>
      <w:r>
        <w:rPr>
          <w:rFonts w:hint="eastAsia"/>
          <w:sz w:val="21"/>
          <w:szCs w:val="21"/>
        </w:rPr>
        <w:t>①出借证券资产不得超过基金资产净值的30%，出借期限在10个交易日以上的出借证券应纳入《流动性风险管理规定》所述流动性受限证券的范围；</w:t>
      </w:r>
    </w:p>
    <w:p>
      <w:pPr>
        <w:pStyle w:val="7"/>
        <w:spacing w:before="0" w:beforeAutospacing="0" w:after="0" w:afterAutospacing="0" w:line="360" w:lineRule="auto"/>
        <w:ind w:firstLine="420"/>
        <w:rPr>
          <w:sz w:val="21"/>
          <w:szCs w:val="21"/>
        </w:rPr>
      </w:pPr>
      <w:r>
        <w:rPr>
          <w:rFonts w:hint="eastAsia"/>
          <w:sz w:val="21"/>
          <w:szCs w:val="21"/>
        </w:rPr>
        <w:t>②参与出借业务的单只证券不得超过本基金持有该证券总量的30%；</w:t>
      </w:r>
    </w:p>
    <w:p>
      <w:pPr>
        <w:pStyle w:val="7"/>
        <w:spacing w:before="0" w:beforeAutospacing="0" w:after="0" w:afterAutospacing="0" w:line="360" w:lineRule="auto"/>
        <w:ind w:firstLine="420"/>
        <w:rPr>
          <w:sz w:val="21"/>
          <w:szCs w:val="21"/>
        </w:rPr>
      </w:pPr>
      <w:r>
        <w:rPr>
          <w:rFonts w:hint="eastAsia"/>
          <w:sz w:val="21"/>
          <w:szCs w:val="21"/>
        </w:rPr>
        <w:t>③最近6个月内日均基金资产净值不得低于2亿元；</w:t>
      </w:r>
    </w:p>
    <w:p>
      <w:pPr>
        <w:pStyle w:val="7"/>
        <w:spacing w:before="0" w:beforeAutospacing="0" w:after="0" w:afterAutospacing="0" w:line="360" w:lineRule="auto"/>
        <w:ind w:firstLine="420"/>
        <w:rPr>
          <w:sz w:val="21"/>
          <w:szCs w:val="21"/>
        </w:rPr>
      </w:pPr>
      <w:r>
        <w:rPr>
          <w:rFonts w:hint="eastAsia"/>
          <w:sz w:val="21"/>
          <w:szCs w:val="21"/>
        </w:rPr>
        <w:t>④证券出借的平均剩余期限不得超过30天，平均剩余期限按照市值加权平均计算；</w:t>
      </w:r>
    </w:p>
    <w:p>
      <w:pPr>
        <w:pStyle w:val="7"/>
        <w:spacing w:before="0" w:beforeAutospacing="0" w:after="0" w:afterAutospacing="0" w:line="360" w:lineRule="auto"/>
        <w:ind w:firstLine="420"/>
        <w:rPr>
          <w:sz w:val="21"/>
          <w:szCs w:val="21"/>
        </w:rPr>
      </w:pPr>
      <w:r>
        <w:rPr>
          <w:rFonts w:hint="eastAsia"/>
          <w:sz w:val="21"/>
          <w:szCs w:val="21"/>
        </w:rPr>
        <w:t>因证券、期货市场波动、证券发行人合并、基金规模变动等基金管理人之外的因素致使基金投资不符合上述规定的，基金管理人不得新增出借业务；</w:t>
      </w:r>
    </w:p>
    <w:p>
      <w:pPr>
        <w:pStyle w:val="7"/>
        <w:spacing w:before="0" w:beforeAutospacing="0" w:after="0" w:afterAutospacing="0" w:line="360" w:lineRule="auto"/>
        <w:ind w:firstLine="420"/>
        <w:rPr>
          <w:sz w:val="21"/>
          <w:szCs w:val="21"/>
        </w:rPr>
      </w:pPr>
      <w:r>
        <w:rPr>
          <w:rFonts w:hint="eastAsia"/>
          <w:sz w:val="21"/>
          <w:szCs w:val="21"/>
        </w:rPr>
        <w:t>12）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pPr>
        <w:pStyle w:val="7"/>
        <w:spacing w:before="0" w:beforeAutospacing="0" w:after="0" w:afterAutospacing="0" w:line="360" w:lineRule="auto"/>
        <w:ind w:firstLine="420"/>
        <w:rPr>
          <w:sz w:val="21"/>
          <w:szCs w:val="21"/>
        </w:rPr>
      </w:pPr>
      <w:r>
        <w:rPr>
          <w:rFonts w:hint="eastAsia"/>
          <w:sz w:val="21"/>
          <w:szCs w:val="21"/>
        </w:rPr>
        <w:t>13）本基金主动投资于流动性受限资产的市值合计不得超过基金资产净值的15%；因证券/期货市场波动、上市公司股票停牌、基金规模变动等基金管理人之外的因素致使基金不符合该比例限制的，基金管理人不得主动新增流动性受限资产的投资；</w:t>
      </w:r>
    </w:p>
    <w:p>
      <w:pPr>
        <w:pStyle w:val="7"/>
        <w:spacing w:before="0" w:beforeAutospacing="0" w:after="0" w:afterAutospacing="0" w:line="360" w:lineRule="auto"/>
        <w:ind w:firstLine="420"/>
        <w:rPr>
          <w:sz w:val="21"/>
          <w:szCs w:val="21"/>
        </w:rPr>
      </w:pPr>
      <w:r>
        <w:rPr>
          <w:rFonts w:hint="eastAsia"/>
          <w:sz w:val="21"/>
          <w:szCs w:val="21"/>
        </w:rPr>
        <w:t>14）本基金与私募类证券资管产品及中国证监会认定的其他主体为交易对手开展逆回购交易的，可接受质押品的资质要求应当与基金合同约定的投资范围保持一致；</w:t>
      </w:r>
    </w:p>
    <w:p>
      <w:pPr>
        <w:pStyle w:val="7"/>
        <w:spacing w:before="0" w:beforeAutospacing="0" w:after="0" w:afterAutospacing="0" w:line="360" w:lineRule="auto"/>
        <w:ind w:firstLine="420"/>
        <w:rPr>
          <w:sz w:val="21"/>
          <w:szCs w:val="21"/>
        </w:rPr>
      </w:pPr>
      <w:r>
        <w:rPr>
          <w:rFonts w:hint="eastAsia"/>
          <w:sz w:val="21"/>
          <w:szCs w:val="21"/>
        </w:rPr>
        <w:t>15）本基金资产总值不得超过基金资产净值的140%；</w:t>
      </w:r>
    </w:p>
    <w:p>
      <w:pPr>
        <w:pStyle w:val="7"/>
        <w:spacing w:before="0" w:beforeAutospacing="0" w:after="0" w:afterAutospacing="0" w:line="360" w:lineRule="auto"/>
        <w:ind w:firstLine="420"/>
        <w:rPr>
          <w:sz w:val="21"/>
          <w:szCs w:val="21"/>
        </w:rPr>
      </w:pPr>
      <w:r>
        <w:rPr>
          <w:rFonts w:hint="eastAsia"/>
          <w:sz w:val="21"/>
          <w:szCs w:val="21"/>
        </w:rPr>
        <w:t>16）本基金投资存托凭证的比例限制依照境内上市交易的股票执行；</w:t>
      </w:r>
    </w:p>
    <w:p>
      <w:pPr>
        <w:pStyle w:val="7"/>
        <w:spacing w:before="0" w:beforeAutospacing="0" w:after="0" w:afterAutospacing="0" w:line="360" w:lineRule="auto"/>
        <w:ind w:firstLine="420"/>
        <w:rPr>
          <w:sz w:val="21"/>
          <w:szCs w:val="21"/>
        </w:rPr>
      </w:pPr>
      <w:r>
        <w:rPr>
          <w:rFonts w:hint="eastAsia"/>
          <w:sz w:val="21"/>
          <w:szCs w:val="21"/>
        </w:rPr>
        <w:t>17）法律法规及中国证监会规定的和《基金合同》约定的其他投资限制。</w:t>
      </w:r>
    </w:p>
    <w:p>
      <w:pPr>
        <w:pStyle w:val="7"/>
        <w:spacing w:before="0" w:beforeAutospacing="0" w:after="0" w:afterAutospacing="0" w:line="360" w:lineRule="auto"/>
        <w:ind w:firstLine="420"/>
        <w:rPr>
          <w:sz w:val="21"/>
          <w:szCs w:val="21"/>
        </w:rPr>
      </w:pPr>
      <w:r>
        <w:rPr>
          <w:rFonts w:hint="eastAsia"/>
          <w:sz w:val="21"/>
          <w:szCs w:val="21"/>
        </w:rPr>
        <w:t>除上述2）、8）、11）、13）、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pPr>
        <w:pStyle w:val="7"/>
        <w:spacing w:before="0" w:beforeAutospacing="0" w:after="0" w:afterAutospacing="0" w:line="360" w:lineRule="auto"/>
        <w:ind w:firstLine="420"/>
        <w:rPr>
          <w:sz w:val="21"/>
          <w:szCs w:val="21"/>
        </w:rPr>
      </w:pPr>
      <w:r>
        <w:rPr>
          <w:rFonts w:hint="eastAsia"/>
          <w:sz w:val="21"/>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pStyle w:val="7"/>
        <w:spacing w:before="0" w:beforeAutospacing="0" w:after="0" w:afterAutospacing="0" w:line="360" w:lineRule="auto"/>
        <w:ind w:firstLine="420"/>
        <w:rPr>
          <w:sz w:val="21"/>
          <w:szCs w:val="21"/>
        </w:rPr>
      </w:pPr>
      <w:r>
        <w:rPr>
          <w:rFonts w:hint="eastAsia"/>
          <w:sz w:val="21"/>
          <w:szCs w:val="21"/>
        </w:rPr>
        <w:t>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w:t>
      </w:r>
    </w:p>
    <w:p>
      <w:pPr>
        <w:pStyle w:val="7"/>
        <w:spacing w:before="0" w:beforeAutospacing="0" w:after="0" w:afterAutospacing="0" w:line="360" w:lineRule="auto"/>
        <w:ind w:firstLine="420"/>
        <w:rPr>
          <w:sz w:val="21"/>
          <w:szCs w:val="21"/>
        </w:rPr>
      </w:pPr>
      <w:r>
        <w:rPr>
          <w:rFonts w:hint="eastAsia"/>
          <w:sz w:val="21"/>
          <w:szCs w:val="21"/>
        </w:rPr>
        <w:t>基金托管人依照上述规定对本基金的投资组合限制及调整期限进行监督。</w:t>
      </w:r>
    </w:p>
    <w:p>
      <w:pPr>
        <w:pStyle w:val="7"/>
        <w:spacing w:before="0" w:beforeAutospacing="0" w:after="0" w:afterAutospacing="0" w:line="360" w:lineRule="auto"/>
        <w:ind w:firstLine="420"/>
        <w:rPr>
          <w:sz w:val="21"/>
          <w:szCs w:val="21"/>
        </w:rPr>
      </w:pPr>
      <w:r>
        <w:rPr>
          <w:rFonts w:hint="eastAsia"/>
          <w:sz w:val="21"/>
          <w:szCs w:val="21"/>
        </w:rPr>
        <w:t>3、基金财产不得用于下列投资或者活动。</w:t>
      </w:r>
    </w:p>
    <w:p>
      <w:pPr>
        <w:pStyle w:val="7"/>
        <w:spacing w:before="0" w:beforeAutospacing="0" w:after="0" w:afterAutospacing="0" w:line="360" w:lineRule="auto"/>
        <w:ind w:firstLine="420"/>
        <w:rPr>
          <w:sz w:val="21"/>
          <w:szCs w:val="21"/>
        </w:rPr>
      </w:pPr>
      <w:r>
        <w:rPr>
          <w:rFonts w:hint="eastAsia"/>
          <w:sz w:val="21"/>
          <w:szCs w:val="21"/>
        </w:rPr>
        <w:t>（1）承销证券；</w:t>
      </w:r>
    </w:p>
    <w:p>
      <w:pPr>
        <w:pStyle w:val="7"/>
        <w:spacing w:before="0" w:beforeAutospacing="0" w:after="0" w:afterAutospacing="0" w:line="360" w:lineRule="auto"/>
        <w:ind w:firstLine="420"/>
        <w:rPr>
          <w:sz w:val="21"/>
          <w:szCs w:val="21"/>
        </w:rPr>
      </w:pPr>
      <w:r>
        <w:rPr>
          <w:rFonts w:hint="eastAsia"/>
          <w:sz w:val="21"/>
          <w:szCs w:val="21"/>
        </w:rPr>
        <w:t>（2）违反规定向他人贷款或者提供担保；</w:t>
      </w:r>
    </w:p>
    <w:p>
      <w:pPr>
        <w:pStyle w:val="7"/>
        <w:spacing w:before="0" w:beforeAutospacing="0" w:after="0" w:afterAutospacing="0" w:line="360" w:lineRule="auto"/>
        <w:ind w:firstLine="420"/>
        <w:rPr>
          <w:sz w:val="21"/>
          <w:szCs w:val="21"/>
        </w:rPr>
      </w:pPr>
      <w:r>
        <w:rPr>
          <w:rFonts w:hint="eastAsia"/>
          <w:sz w:val="21"/>
          <w:szCs w:val="21"/>
        </w:rPr>
        <w:t>（3）从事承担无限责任的投资；</w:t>
      </w:r>
    </w:p>
    <w:p>
      <w:pPr>
        <w:pStyle w:val="7"/>
        <w:spacing w:before="0" w:beforeAutospacing="0" w:after="0" w:afterAutospacing="0" w:line="360" w:lineRule="auto"/>
        <w:ind w:firstLine="420"/>
        <w:rPr>
          <w:sz w:val="21"/>
          <w:szCs w:val="21"/>
        </w:rPr>
      </w:pPr>
      <w:r>
        <w:rPr>
          <w:rFonts w:hint="eastAsia"/>
          <w:sz w:val="21"/>
          <w:szCs w:val="21"/>
        </w:rPr>
        <w:t>（4）买卖其他基金份额，但是中国证监会另有规定的除外；</w:t>
      </w:r>
    </w:p>
    <w:p>
      <w:pPr>
        <w:pStyle w:val="7"/>
        <w:spacing w:before="0" w:beforeAutospacing="0" w:after="0" w:afterAutospacing="0" w:line="360" w:lineRule="auto"/>
        <w:ind w:firstLine="420"/>
        <w:rPr>
          <w:sz w:val="21"/>
          <w:szCs w:val="21"/>
        </w:rPr>
      </w:pPr>
      <w:r>
        <w:rPr>
          <w:rFonts w:hint="eastAsia"/>
          <w:sz w:val="21"/>
          <w:szCs w:val="21"/>
        </w:rPr>
        <w:t>（5）向其基金管理人、基金托管人出资；</w:t>
      </w:r>
    </w:p>
    <w:p>
      <w:pPr>
        <w:pStyle w:val="7"/>
        <w:spacing w:before="0" w:beforeAutospacing="0" w:after="0" w:afterAutospacing="0" w:line="360" w:lineRule="auto"/>
        <w:ind w:firstLine="420"/>
        <w:rPr>
          <w:sz w:val="21"/>
          <w:szCs w:val="21"/>
        </w:rPr>
      </w:pPr>
      <w:r>
        <w:rPr>
          <w:rFonts w:hint="eastAsia"/>
          <w:sz w:val="21"/>
          <w:szCs w:val="21"/>
        </w:rPr>
        <w:t>（6）从事内幕交易、操纵证券交易价格及其他不正当的证券交易活动；</w:t>
      </w:r>
    </w:p>
    <w:p>
      <w:pPr>
        <w:pStyle w:val="7"/>
        <w:spacing w:before="0" w:beforeAutospacing="0" w:after="0" w:afterAutospacing="0" w:line="360" w:lineRule="auto"/>
        <w:ind w:firstLine="420"/>
        <w:rPr>
          <w:sz w:val="21"/>
          <w:szCs w:val="21"/>
        </w:rPr>
      </w:pPr>
      <w:r>
        <w:rPr>
          <w:rFonts w:hint="eastAsia"/>
          <w:sz w:val="21"/>
          <w:szCs w:val="21"/>
        </w:rPr>
        <w:t>（7）法律、行政法规和中国证监会规定禁止的其他活动。</w:t>
      </w:r>
    </w:p>
    <w:p>
      <w:pPr>
        <w:pStyle w:val="7"/>
        <w:spacing w:before="0" w:beforeAutospacing="0" w:after="0" w:afterAutospacing="0" w:line="360" w:lineRule="auto"/>
        <w:ind w:firstLine="420"/>
        <w:rPr>
          <w:sz w:val="21"/>
          <w:szCs w:val="21"/>
        </w:rPr>
      </w:pPr>
      <w:r>
        <w:rPr>
          <w:rFonts w:hint="eastAsia"/>
          <w:sz w:val="21"/>
          <w:szCs w:val="21"/>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pStyle w:val="7"/>
        <w:spacing w:before="0" w:beforeAutospacing="0" w:after="0" w:afterAutospacing="0" w:line="360" w:lineRule="auto"/>
        <w:ind w:firstLine="420"/>
        <w:rPr>
          <w:sz w:val="21"/>
          <w:szCs w:val="21"/>
        </w:rPr>
      </w:pPr>
      <w:r>
        <w:rPr>
          <w:rFonts w:hint="eastAsia"/>
          <w:sz w:val="21"/>
          <w:szCs w:val="21"/>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并负责及时将更新后的名单发送给对方。</w:t>
      </w:r>
    </w:p>
    <w:p>
      <w:pPr>
        <w:pStyle w:val="7"/>
        <w:spacing w:before="0" w:beforeAutospacing="0" w:after="0" w:afterAutospacing="0" w:line="360" w:lineRule="auto"/>
        <w:ind w:firstLine="420"/>
        <w:rPr>
          <w:sz w:val="21"/>
          <w:szCs w:val="21"/>
        </w:rPr>
      </w:pPr>
      <w:r>
        <w:rPr>
          <w:rFonts w:hint="eastAsia"/>
          <w:sz w:val="21"/>
          <w:szCs w:val="21"/>
        </w:rPr>
        <w:t>法律、行政法规或监管部门取消或调整上述限制，如适用于本基金，基金管理人在履行适当程序后，则本基金投资不再受相关限制或按照调整后的规定执行。</w:t>
      </w:r>
    </w:p>
    <w:p>
      <w:pPr>
        <w:pStyle w:val="7"/>
        <w:spacing w:before="0" w:beforeAutospacing="0" w:after="0" w:afterAutospacing="0" w:line="360" w:lineRule="auto"/>
        <w:ind w:firstLine="420"/>
        <w:rPr>
          <w:sz w:val="21"/>
          <w:szCs w:val="21"/>
        </w:rPr>
      </w:pPr>
      <w:r>
        <w:rPr>
          <w:rFonts w:hint="eastAsia"/>
          <w:sz w:val="21"/>
          <w:szCs w:val="21"/>
        </w:rPr>
        <w:t>4、基金托管人根据有关法律、法规规定及基金合同和本协议约定，对基金管理人参与银行间债券市场进行监督。</w:t>
      </w:r>
    </w:p>
    <w:p>
      <w:pPr>
        <w:pStyle w:val="7"/>
        <w:spacing w:before="0" w:beforeAutospacing="0" w:after="0" w:afterAutospacing="0" w:line="360" w:lineRule="auto"/>
        <w:ind w:firstLine="420"/>
        <w:rPr>
          <w:sz w:val="21"/>
          <w:szCs w:val="21"/>
        </w:rPr>
      </w:pPr>
      <w:r>
        <w:rPr>
          <w:rFonts w:hint="eastAsia"/>
          <w:sz w:val="21"/>
          <w:szCs w:val="21"/>
        </w:rPr>
        <w:t>基金托管人依据有关法律、法规规定和《基金合同》约定对基金管理人参与银行间市场交易时面临的交易对手资信风险进行监督。</w:t>
      </w:r>
    </w:p>
    <w:p>
      <w:pPr>
        <w:pStyle w:val="7"/>
        <w:spacing w:before="0" w:beforeAutospacing="0" w:after="0" w:afterAutospacing="0" w:line="360" w:lineRule="auto"/>
        <w:ind w:firstLine="420"/>
        <w:rPr>
          <w:sz w:val="21"/>
          <w:szCs w:val="21"/>
        </w:rPr>
      </w:pPr>
      <w:r>
        <w:rPr>
          <w:rFonts w:hint="eastAsia"/>
          <w:sz w:val="21"/>
          <w:szCs w:val="21"/>
        </w:rPr>
        <w:t>基金管理人应在基金投资运作之前向基金托管人提供符合法律法规及行业标准的、经慎重选择的、本基金适用的银行间市场交易对手的名单。基金托管人在收到名单后2个工作日内电话或回函确认收到该名单。基金管理人应严格按照交易对手名单的范围在银行间债券市场选择交易对手，如基金管理人在基金投资运作之前未向基金托管人提供银行间债券市场交易对手名单的，视为基金管理人认可全市场交易对手。基金托管人监督基金管理人是否按事前提供的银行间债券市场交易对手名单进行交易。</w:t>
      </w:r>
    </w:p>
    <w:p>
      <w:pPr>
        <w:pStyle w:val="7"/>
        <w:spacing w:before="0" w:beforeAutospacing="0" w:after="0" w:afterAutospacing="0" w:line="360" w:lineRule="auto"/>
        <w:ind w:firstLine="420"/>
        <w:rPr>
          <w:sz w:val="21"/>
          <w:szCs w:val="21"/>
        </w:rPr>
      </w:pPr>
      <w:r>
        <w:rPr>
          <w:rFonts w:hint="eastAsia"/>
          <w:sz w:val="21"/>
          <w:szCs w:val="21"/>
        </w:rPr>
        <w:t>基金管理人可以定期（每半年）和不定期对银行间市场现券及回购交易对手的名单进行更新。新名单生效前已与本次剔除的交易对手所进行但尚未结算的交易，仍应按照协议进行结算。</w:t>
      </w:r>
    </w:p>
    <w:p>
      <w:pPr>
        <w:pStyle w:val="7"/>
        <w:spacing w:before="0" w:beforeAutospacing="0" w:after="0" w:afterAutospacing="0" w:line="360" w:lineRule="auto"/>
        <w:ind w:firstLine="420"/>
        <w:rPr>
          <w:sz w:val="21"/>
          <w:szCs w:val="21"/>
        </w:rPr>
      </w:pPr>
      <w:r>
        <w:rPr>
          <w:rFonts w:hint="eastAsia"/>
          <w:sz w:val="21"/>
          <w:szCs w:val="21"/>
        </w:rPr>
        <w:t>基金管理人参与银行间市场交易时，应按银行间债券市场的交易规则进行交易，并有责任控制交易对手的资信风险，由于交易对手资信风险引起的损失,基金管理人应当负责向相关责任人追偿。基金托管人不承担由此造成的相应法律责任及损失。</w:t>
      </w:r>
    </w:p>
    <w:p>
      <w:pPr>
        <w:pStyle w:val="7"/>
        <w:spacing w:before="0" w:beforeAutospacing="0" w:after="0" w:afterAutospacing="0" w:line="360" w:lineRule="auto"/>
        <w:ind w:firstLine="420"/>
        <w:rPr>
          <w:sz w:val="21"/>
          <w:szCs w:val="21"/>
        </w:rPr>
      </w:pPr>
      <w:r>
        <w:rPr>
          <w:rFonts w:hint="eastAsia"/>
          <w:sz w:val="21"/>
          <w:szCs w:val="21"/>
        </w:rPr>
        <w:t>如基金托管人事后发现基金管理人没有按照事先约定的交易对手进行交易时，基金托管人应及时提醒基金管理人，但基金托管人不承担由此造成的相应损失和责任。</w:t>
      </w:r>
    </w:p>
    <w:p>
      <w:pPr>
        <w:pStyle w:val="7"/>
        <w:spacing w:before="0" w:beforeAutospacing="0" w:after="0" w:afterAutospacing="0" w:line="360" w:lineRule="auto"/>
        <w:ind w:firstLine="420"/>
        <w:rPr>
          <w:sz w:val="21"/>
          <w:szCs w:val="21"/>
        </w:rPr>
      </w:pPr>
      <w:r>
        <w:rPr>
          <w:rFonts w:hint="eastAsia"/>
          <w:sz w:val="21"/>
          <w:szCs w:val="21"/>
        </w:rPr>
        <w:t>5、基金托管人根据有关法律、法规的规定及基金合同和本协议的约定，对基金管理人选择存款银行进行监督。</w:t>
      </w:r>
    </w:p>
    <w:p>
      <w:pPr>
        <w:pStyle w:val="7"/>
        <w:spacing w:before="0" w:beforeAutospacing="0" w:after="0" w:afterAutospacing="0" w:line="360" w:lineRule="auto"/>
        <w:ind w:firstLine="420"/>
        <w:rPr>
          <w:sz w:val="21"/>
          <w:szCs w:val="21"/>
        </w:rPr>
      </w:pPr>
      <w:r>
        <w:rPr>
          <w:rFonts w:hint="eastAsia"/>
          <w:sz w:val="21"/>
          <w:szCs w:val="21"/>
        </w:rPr>
        <w:t>基金投资银行定期存款的，基金管理人应根据法律、法规的规定及基金合同的约定选择存款银行。</w:t>
      </w:r>
    </w:p>
    <w:p>
      <w:pPr>
        <w:pStyle w:val="7"/>
        <w:spacing w:before="0" w:beforeAutospacing="0" w:after="0" w:afterAutospacing="0" w:line="360" w:lineRule="auto"/>
        <w:ind w:firstLine="420"/>
        <w:rPr>
          <w:sz w:val="21"/>
          <w:szCs w:val="21"/>
        </w:rPr>
      </w:pPr>
      <w:r>
        <w:rPr>
          <w:rFonts w:hint="eastAsia"/>
          <w:sz w:val="21"/>
          <w:szCs w:val="21"/>
        </w:rPr>
        <w:t>本基金投资银行存款应符合如下规定：</w:t>
      </w:r>
    </w:p>
    <w:p>
      <w:pPr>
        <w:pStyle w:val="7"/>
        <w:spacing w:before="0" w:beforeAutospacing="0" w:after="0" w:afterAutospacing="0" w:line="360" w:lineRule="auto"/>
        <w:ind w:firstLine="420"/>
        <w:rPr>
          <w:sz w:val="21"/>
          <w:szCs w:val="21"/>
        </w:rPr>
      </w:pPr>
      <w:r>
        <w:rPr>
          <w:rFonts w:hint="eastAsia"/>
          <w:sz w:val="21"/>
          <w:szCs w:val="21"/>
        </w:rPr>
        <w:t>（1）基金管理人、基金托管人应当与存款银行建立定期对账机制，确保基金银行存款业务账目及核算的真实、准确。</w:t>
      </w:r>
    </w:p>
    <w:p>
      <w:pPr>
        <w:pStyle w:val="7"/>
        <w:spacing w:before="0" w:beforeAutospacing="0" w:after="0" w:afterAutospacing="0" w:line="360" w:lineRule="auto"/>
        <w:ind w:firstLine="420"/>
        <w:rPr>
          <w:sz w:val="21"/>
          <w:szCs w:val="21"/>
        </w:rPr>
      </w:pPr>
      <w:r>
        <w:rPr>
          <w:rFonts w:hint="eastAsia"/>
          <w:sz w:val="21"/>
          <w:szCs w:val="21"/>
        </w:rPr>
        <w:t>（2）基金托管人应加强对基金银行存款业务的监督与核查，严格审查、复核相关协议、账户资料、投资指令、存款证实书等有关文件，切实履行托管职责。</w:t>
      </w:r>
    </w:p>
    <w:p>
      <w:pPr>
        <w:pStyle w:val="7"/>
        <w:spacing w:before="0" w:beforeAutospacing="0" w:after="0" w:afterAutospacing="0" w:line="360" w:lineRule="auto"/>
        <w:ind w:firstLine="420"/>
        <w:rPr>
          <w:sz w:val="21"/>
          <w:szCs w:val="21"/>
        </w:rPr>
      </w:pPr>
      <w:r>
        <w:rPr>
          <w:rFonts w:hint="eastAsia"/>
          <w:sz w:val="21"/>
          <w:szCs w:val="21"/>
        </w:rPr>
        <w:t>（3）基金管理人与基金托管人在开展基金存款业务时，应严格遵守《基金法》、《运作办法》等有关法律、法规，以及国家有关账户管理、利率管理、支付结算等的各项规定。</w:t>
      </w:r>
    </w:p>
    <w:p>
      <w:pPr>
        <w:pStyle w:val="7"/>
        <w:spacing w:before="0" w:beforeAutospacing="0" w:after="0" w:afterAutospacing="0" w:line="360" w:lineRule="auto"/>
        <w:ind w:firstLine="420"/>
        <w:rPr>
          <w:rFonts w:hint="eastAsia"/>
          <w:sz w:val="21"/>
          <w:szCs w:val="21"/>
        </w:rPr>
      </w:pPr>
      <w:r>
        <w:rPr>
          <w:rFonts w:hint="eastAsia"/>
          <w:sz w:val="21"/>
          <w:szCs w:val="21"/>
        </w:rPr>
        <w:t>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w:t>
      </w:r>
    </w:p>
    <w:p>
      <w:pPr>
        <w:pStyle w:val="7"/>
        <w:spacing w:before="0" w:beforeAutospacing="0" w:after="0" w:afterAutospacing="0" w:line="360" w:lineRule="auto"/>
        <w:ind w:firstLine="420"/>
        <w:rPr>
          <w:sz w:val="21"/>
          <w:szCs w:val="21"/>
        </w:rPr>
      </w:pPr>
      <w:r>
        <w:rPr>
          <w:rFonts w:hint="eastAsia"/>
          <w:sz w:val="21"/>
          <w:szCs w:val="21"/>
        </w:rPr>
        <w:t>6、基金托管人根据有关法律法规的规定及《基金合同》的约定，对基金管理人投资流通受限证券进行监督。</w:t>
      </w:r>
    </w:p>
    <w:p>
      <w:pPr>
        <w:pStyle w:val="7"/>
        <w:spacing w:before="0" w:beforeAutospacing="0" w:after="0" w:afterAutospacing="0" w:line="360" w:lineRule="auto"/>
        <w:ind w:firstLine="420"/>
        <w:rPr>
          <w:sz w:val="21"/>
          <w:szCs w:val="21"/>
        </w:rPr>
      </w:pPr>
      <w:r>
        <w:rPr>
          <w:rFonts w:hint="eastAsia"/>
          <w:sz w:val="21"/>
          <w:szCs w:val="21"/>
        </w:rPr>
        <w:t>（1）基金管理人投资流通受限证券，应遵守《关于基金投资非公开发行股票等流通受限证券有关问题的通知》等有关法律法规规定。</w:t>
      </w:r>
    </w:p>
    <w:p>
      <w:pPr>
        <w:pStyle w:val="7"/>
        <w:spacing w:before="0" w:beforeAutospacing="0" w:after="0" w:afterAutospacing="0" w:line="360" w:lineRule="auto"/>
        <w:ind w:firstLine="420"/>
        <w:rPr>
          <w:sz w:val="21"/>
          <w:szCs w:val="21"/>
        </w:rPr>
      </w:pPr>
      <w:r>
        <w:rPr>
          <w:rFonts w:hint="eastAsia"/>
          <w:sz w:val="21"/>
          <w:szCs w:val="21"/>
        </w:rPr>
        <w:t>（2）流通受限证券与上文所述的流动性受限资产并不完全一致，包括非公开发行股票、公开发行股票网下配售部分等在发行时明确一定期限锁定期的可交易证券，不包括由于发布重大消息或其他原因而临时停牌的证券、已发行未上市证券、回购交易中的质押券等流通受限证券。</w:t>
      </w:r>
    </w:p>
    <w:p>
      <w:pPr>
        <w:pStyle w:val="7"/>
        <w:spacing w:before="0" w:beforeAutospacing="0" w:after="0" w:afterAutospacing="0" w:line="360" w:lineRule="auto"/>
        <w:ind w:firstLine="420"/>
        <w:rPr>
          <w:sz w:val="21"/>
          <w:szCs w:val="21"/>
        </w:rPr>
      </w:pPr>
      <w:r>
        <w:rPr>
          <w:rFonts w:hint="eastAsia"/>
          <w:sz w:val="21"/>
          <w:szCs w:val="21"/>
        </w:rPr>
        <w:t>（3）基金管理人应保证本基金投资的流通受限证券登记存管在本基金名下，并确保基金托管人能够正常查询。因基金管理人原因产生的流通受限证券登记存管问题，造成基金托管人无法安全保管本基金资产的责任与损失，及基金财产的损失，由基金管理人承担。</w:t>
      </w:r>
    </w:p>
    <w:p>
      <w:pPr>
        <w:pStyle w:val="7"/>
        <w:spacing w:before="0" w:beforeAutospacing="0" w:after="0" w:afterAutospacing="0" w:line="360" w:lineRule="auto"/>
        <w:ind w:firstLine="420"/>
        <w:rPr>
          <w:sz w:val="21"/>
          <w:szCs w:val="21"/>
        </w:rPr>
      </w:pPr>
      <w:r>
        <w:rPr>
          <w:rFonts w:hint="eastAsia"/>
          <w:sz w:val="21"/>
          <w:szCs w:val="21"/>
        </w:rPr>
        <w:t>（4）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w:t>
      </w:r>
    </w:p>
    <w:p>
      <w:pPr>
        <w:pStyle w:val="7"/>
        <w:spacing w:before="0" w:beforeAutospacing="0" w:after="0" w:afterAutospacing="0" w:line="360" w:lineRule="auto"/>
        <w:ind w:firstLine="420"/>
        <w:rPr>
          <w:sz w:val="21"/>
          <w:szCs w:val="21"/>
        </w:rPr>
      </w:pPr>
      <w:r>
        <w:rPr>
          <w:rFonts w:hint="eastAsia"/>
          <w:sz w:val="21"/>
          <w:szCs w:val="21"/>
        </w:rPr>
        <w:t>（5）在投资非公开发行股票之前，基金管理人应提前向基金托管人提供有关流通受限证券的相关信息，具体应当包括但不限于如下文件（如有）：基金拟认购的数量、价格、总成本、划款账号、划款金额、划款时间文件等。基金管理人应保证上述信息的真实、完整。</w:t>
      </w:r>
    </w:p>
    <w:p>
      <w:pPr>
        <w:pStyle w:val="7"/>
        <w:spacing w:before="0" w:beforeAutospacing="0" w:after="0" w:afterAutospacing="0" w:line="360" w:lineRule="auto"/>
        <w:ind w:firstLine="420"/>
        <w:rPr>
          <w:sz w:val="21"/>
          <w:szCs w:val="21"/>
        </w:rPr>
      </w:pPr>
      <w:r>
        <w:rPr>
          <w:rFonts w:hint="eastAsia"/>
          <w:sz w:val="21"/>
          <w:szCs w:val="21"/>
        </w:rPr>
        <w:t>（6）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相应责任，并有权报告中国证监会。</w:t>
      </w:r>
    </w:p>
    <w:p>
      <w:pPr>
        <w:pStyle w:val="7"/>
        <w:spacing w:before="0" w:beforeAutospacing="0" w:after="0" w:afterAutospacing="0" w:line="360" w:lineRule="auto"/>
        <w:ind w:firstLine="420"/>
        <w:rPr>
          <w:sz w:val="21"/>
          <w:szCs w:val="21"/>
        </w:rPr>
      </w:pPr>
      <w:r>
        <w:rPr>
          <w:rFonts w:hint="eastAsia"/>
          <w:sz w:val="21"/>
          <w:szCs w:val="21"/>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pPr>
        <w:pStyle w:val="7"/>
        <w:spacing w:before="0" w:beforeAutospacing="0" w:after="0" w:afterAutospacing="0" w:line="360" w:lineRule="auto"/>
        <w:ind w:firstLine="420"/>
        <w:rPr>
          <w:sz w:val="21"/>
          <w:szCs w:val="21"/>
        </w:rPr>
      </w:pPr>
      <w:r>
        <w:rPr>
          <w:rFonts w:hint="eastAsia"/>
          <w:sz w:val="21"/>
          <w:szCs w:val="21"/>
        </w:rPr>
        <w:t>（8）基金托管人根据有关规定有权对基金管理人进行以下事项监督：</w:t>
      </w:r>
    </w:p>
    <w:p>
      <w:pPr>
        <w:pStyle w:val="7"/>
        <w:spacing w:before="0" w:beforeAutospacing="0" w:after="0" w:afterAutospacing="0" w:line="360" w:lineRule="auto"/>
        <w:ind w:firstLine="420"/>
        <w:rPr>
          <w:sz w:val="21"/>
          <w:szCs w:val="21"/>
        </w:rPr>
      </w:pPr>
      <w:r>
        <w:rPr>
          <w:rFonts w:hint="eastAsia"/>
          <w:sz w:val="21"/>
          <w:szCs w:val="21"/>
        </w:rPr>
        <w:t>1）本基金投资流通受限证券时的法律法规遵守情况。</w:t>
      </w:r>
    </w:p>
    <w:p>
      <w:pPr>
        <w:pStyle w:val="7"/>
        <w:spacing w:before="0" w:beforeAutospacing="0" w:after="0" w:afterAutospacing="0" w:line="360" w:lineRule="auto"/>
        <w:ind w:firstLine="420"/>
        <w:rPr>
          <w:sz w:val="21"/>
          <w:szCs w:val="21"/>
        </w:rPr>
      </w:pPr>
      <w:r>
        <w:rPr>
          <w:rFonts w:hint="eastAsia"/>
          <w:sz w:val="21"/>
          <w:szCs w:val="21"/>
        </w:rPr>
        <w:t>2）在基金投资流通受限证券管理工作方面有关制度、流动性风险处置预案的建立与完善情况。</w:t>
      </w:r>
    </w:p>
    <w:p>
      <w:pPr>
        <w:pStyle w:val="7"/>
        <w:spacing w:before="0" w:beforeAutospacing="0" w:after="0" w:afterAutospacing="0" w:line="360" w:lineRule="auto"/>
        <w:ind w:firstLine="420"/>
        <w:rPr>
          <w:sz w:val="21"/>
          <w:szCs w:val="21"/>
        </w:rPr>
      </w:pPr>
      <w:r>
        <w:rPr>
          <w:rFonts w:hint="eastAsia"/>
          <w:sz w:val="21"/>
          <w:szCs w:val="21"/>
        </w:rPr>
        <w:t>3）有关比例限制的执行情况。</w:t>
      </w:r>
    </w:p>
    <w:p>
      <w:pPr>
        <w:pStyle w:val="7"/>
        <w:spacing w:before="0" w:beforeAutospacing="0" w:after="0" w:afterAutospacing="0" w:line="360" w:lineRule="auto"/>
        <w:ind w:firstLine="420"/>
        <w:rPr>
          <w:sz w:val="21"/>
          <w:szCs w:val="21"/>
        </w:rPr>
      </w:pPr>
      <w:r>
        <w:rPr>
          <w:rFonts w:hint="eastAsia"/>
          <w:sz w:val="21"/>
          <w:szCs w:val="21"/>
        </w:rPr>
        <w:t>4）信息披露情况。</w:t>
      </w:r>
    </w:p>
    <w:p>
      <w:pPr>
        <w:pStyle w:val="7"/>
        <w:spacing w:before="0" w:beforeAutospacing="0" w:after="0" w:afterAutospacing="0" w:line="360" w:lineRule="auto"/>
        <w:ind w:firstLine="420"/>
        <w:rPr>
          <w:sz w:val="21"/>
          <w:szCs w:val="21"/>
        </w:rPr>
      </w:pPr>
      <w:r>
        <w:rPr>
          <w:rFonts w:hint="eastAsia"/>
          <w:sz w:val="21"/>
          <w:szCs w:val="21"/>
        </w:rPr>
        <w:t>（9）相关法律法规对基金投资流通受限证券有新规定的，从其规定。</w:t>
      </w:r>
    </w:p>
    <w:p>
      <w:pPr>
        <w:pStyle w:val="7"/>
        <w:spacing w:before="0" w:beforeAutospacing="0" w:after="0" w:afterAutospacing="0" w:line="360" w:lineRule="auto"/>
        <w:ind w:firstLine="420"/>
        <w:rPr>
          <w:sz w:val="21"/>
          <w:szCs w:val="21"/>
        </w:rPr>
      </w:pPr>
      <w:r>
        <w:rPr>
          <w:rFonts w:hint="eastAsia"/>
          <w:sz w:val="21"/>
          <w:szCs w:val="21"/>
        </w:rPr>
        <w:t>7、基金托管人根据有关法律、法规的规定及基金合同和本协议的约定，对基金管理人产品禁投池进行监督。</w:t>
      </w:r>
    </w:p>
    <w:p>
      <w:pPr>
        <w:pStyle w:val="7"/>
        <w:spacing w:before="0" w:beforeAutospacing="0" w:after="0" w:afterAutospacing="0" w:line="360" w:lineRule="auto"/>
        <w:ind w:firstLine="420"/>
        <w:rPr>
          <w:sz w:val="21"/>
          <w:szCs w:val="21"/>
        </w:rPr>
      </w:pPr>
      <w:r>
        <w:rPr>
          <w:rFonts w:hint="eastAsia"/>
          <w:sz w:val="21"/>
          <w:szCs w:val="21"/>
        </w:rPr>
        <w:t>基金管理人可以向基金托管人提供基金禁投池清单。基金托管人在收到名单后2个工作日内电话或回函确认收到该名单。基金管理人可以定期和不定期对基金禁投池清单进行更新。基金托管人在收到清单后2个工作日内电话或书面回函确认，新清单自基金托管人确认当日生效。新清单生效前基金托管人仍按原禁投池清单进行监督。</w:t>
      </w:r>
    </w:p>
    <w:p>
      <w:pPr>
        <w:pStyle w:val="7"/>
        <w:spacing w:before="0" w:beforeAutospacing="0" w:after="0" w:afterAutospacing="0" w:line="360" w:lineRule="auto"/>
        <w:ind w:firstLine="420"/>
        <w:rPr>
          <w:sz w:val="21"/>
          <w:szCs w:val="21"/>
        </w:rPr>
      </w:pPr>
      <w:r>
        <w:rPr>
          <w:rFonts w:hint="eastAsia"/>
          <w:sz w:val="21"/>
          <w:szCs w:val="21"/>
        </w:rPr>
        <w:t>基金管理人超越名单范围进行投资的，基金托管人应及时提醒基金管理人，但基金托管人不承担由此造成的相应损失和责任。</w:t>
      </w:r>
    </w:p>
    <w:p>
      <w:pPr>
        <w:pStyle w:val="7"/>
        <w:spacing w:before="0" w:beforeAutospacing="0" w:after="0" w:afterAutospacing="0" w:line="360" w:lineRule="auto"/>
        <w:ind w:firstLine="420"/>
        <w:rPr>
          <w:sz w:val="21"/>
          <w:szCs w:val="21"/>
        </w:rPr>
      </w:pPr>
      <w:r>
        <w:rPr>
          <w:rFonts w:hint="eastAsia"/>
          <w:sz w:val="21"/>
          <w:szCs w:val="21"/>
        </w:rPr>
        <w:t>8、基金参与转融通证券出借业务，基金管理人应当遵守审慎经营原则，配备技术系统和专业人员，制定科学合理的投资策略和风险管理制度，完善业务流程，有效防范和控制风险。基金托管人将对基金参与出借业务进行监督和复核。</w:t>
      </w:r>
    </w:p>
    <w:p>
      <w:pPr>
        <w:pStyle w:val="7"/>
        <w:spacing w:before="0" w:beforeAutospacing="0" w:after="0" w:afterAutospacing="0" w:line="360" w:lineRule="auto"/>
        <w:ind w:firstLine="420"/>
        <w:rPr>
          <w:sz w:val="21"/>
          <w:szCs w:val="21"/>
        </w:rPr>
      </w:pPr>
      <w:r>
        <w:rPr>
          <w:rFonts w:hint="eastAsia"/>
          <w:sz w:val="21"/>
          <w:szCs w:val="21"/>
        </w:rPr>
        <w:t>（二）基金托管人应根据有关法律、法规的规定及基金合同的约定，对基金资产净值计算、基金份额净值计算、应收资金到账、基金费用开支及收入确认、基金收益分配、相关信息披露、基金宣传推介材料中登载基金业绩表现数据等进行监督和核查。</w:t>
      </w:r>
    </w:p>
    <w:p>
      <w:pPr>
        <w:pStyle w:val="7"/>
        <w:spacing w:before="0" w:beforeAutospacing="0" w:after="0" w:afterAutospacing="0" w:line="360" w:lineRule="auto"/>
        <w:ind w:firstLine="420"/>
        <w:rPr>
          <w:sz w:val="21"/>
          <w:szCs w:val="21"/>
        </w:rPr>
      </w:pPr>
      <w:r>
        <w:rPr>
          <w:rFonts w:hint="eastAsia"/>
          <w:sz w:val="21"/>
          <w:szCs w:val="21"/>
        </w:rPr>
        <w:t>（三）基金管理人应积极配合和协助基金托管人的监督和核查，在规定时间内答复并改正，就基金托管人的合理疑义进行解释或举证。对基金托管人按照法规要求需向中国证监会报送基金监督报告的，基金管理人应积极配合提供相关数据资料和制度等。</w:t>
      </w:r>
    </w:p>
    <w:p>
      <w:pPr>
        <w:pStyle w:val="7"/>
        <w:spacing w:before="0" w:beforeAutospacing="0" w:after="0" w:afterAutospacing="0" w:line="360" w:lineRule="auto"/>
        <w:ind w:firstLine="420"/>
        <w:rPr>
          <w:sz w:val="21"/>
          <w:szCs w:val="21"/>
        </w:rPr>
      </w:pPr>
      <w:r>
        <w:rPr>
          <w:rFonts w:hint="eastAsia"/>
          <w:sz w:val="21"/>
          <w:szCs w:val="21"/>
        </w:rPr>
        <w:t>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及时核对并以书面形式给基金托管人发出回函，就基金托管人的合理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pPr>
        <w:pStyle w:val="7"/>
        <w:spacing w:before="0" w:beforeAutospacing="0" w:after="0" w:afterAutospacing="0" w:line="360" w:lineRule="auto"/>
        <w:ind w:firstLine="420"/>
        <w:rPr>
          <w:sz w:val="21"/>
          <w:szCs w:val="21"/>
        </w:rPr>
      </w:pPr>
      <w:r>
        <w:rPr>
          <w:rFonts w:hint="eastAsia"/>
          <w:sz w:val="21"/>
          <w:szCs w:val="21"/>
        </w:rPr>
        <w:t>若基金托管人发现基金管理人依据交易程序已经生效的指令违反法律、行政法规和其他有关规定，或者违反《基金合同》约定的，应当立即通知基金管理人，并报告证监会。</w:t>
      </w:r>
    </w:p>
    <w:p>
      <w:pPr>
        <w:pStyle w:val="7"/>
        <w:spacing w:before="0" w:beforeAutospacing="0" w:after="0" w:afterAutospacing="0" w:line="360" w:lineRule="auto"/>
        <w:ind w:firstLine="420"/>
        <w:rPr>
          <w:sz w:val="21"/>
          <w:szCs w:val="21"/>
        </w:rPr>
      </w:pPr>
      <w:r>
        <w:rPr>
          <w:rFonts w:hint="eastAsia"/>
          <w:sz w:val="21"/>
          <w:szCs w:val="21"/>
        </w:rPr>
        <w:t>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pPr>
        <w:pStyle w:val="7"/>
        <w:spacing w:before="0" w:beforeAutospacing="0" w:after="0" w:afterAutospacing="0" w:line="360" w:lineRule="auto"/>
        <w:ind w:firstLine="420"/>
        <w:rPr>
          <w:sz w:val="21"/>
          <w:szCs w:val="21"/>
        </w:rPr>
      </w:pPr>
      <w:r>
        <w:rPr>
          <w:rFonts w:hint="eastAsia"/>
          <w:sz w:val="21"/>
          <w:szCs w:val="21"/>
        </w:rPr>
        <w:t>根据《基金法》及其他有关法规、《基金合同》和本协议规定，基金管理人对基金托管人履行托管职责的情况进行核查，核查事项包括但不限于基金托管人是否安全保管基金财产，是否开立基金财产的托管账户、证券账户、债券托管账户等投资所需账户，是否协助提供开立期货业务相关账户及交易编码的托管人相关信息，是否及时、准确复核基金管理人计算的基金资产净值和基金份额净值，是否根据基金管理人指令办理清算交收，是否按照法规规定和《基金合同》规定进行相关信息披露和监督基金投资运作等行为。</w:t>
      </w:r>
    </w:p>
    <w:p>
      <w:pPr>
        <w:pStyle w:val="7"/>
        <w:spacing w:before="0" w:beforeAutospacing="0" w:after="0" w:afterAutospacing="0" w:line="360" w:lineRule="auto"/>
        <w:ind w:firstLine="420"/>
        <w:rPr>
          <w:sz w:val="21"/>
          <w:szCs w:val="21"/>
        </w:rPr>
      </w:pPr>
      <w:r>
        <w:rPr>
          <w:rFonts w:hint="eastAsia"/>
          <w:sz w:val="21"/>
          <w:szCs w:val="21"/>
        </w:rPr>
        <w:t>基金管理人可以定期（每半年）和不定期地对基金托管人保管的基金资产进行核查。基金托管人应积极配合基金管理人的核查行为，包括但不限于：提交相关资料以供基金管理人核查托管财产的完整性和真实性，在规定时间内答复并改正。</w:t>
      </w:r>
    </w:p>
    <w:p>
      <w:pPr>
        <w:pStyle w:val="7"/>
        <w:spacing w:before="0" w:beforeAutospacing="0" w:after="0" w:afterAutospacing="0" w:line="360" w:lineRule="auto"/>
        <w:ind w:firstLine="420"/>
        <w:rPr>
          <w:sz w:val="21"/>
          <w:szCs w:val="21"/>
        </w:rPr>
      </w:pPr>
      <w:r>
        <w:rPr>
          <w:rFonts w:hint="eastAsia"/>
          <w:sz w:val="21"/>
          <w:szCs w:val="21"/>
        </w:rPr>
        <w:t>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在下一工作日及时核对并以书面形式对基金管理人发出回函，说明违规原因及纠正期限，并保证在规定期限内及时改正。在限期内，基金管理人有权随时对通知事项进行复查，督促基金托管人改正。基金托管人对基金管理人通知的违规事项未能在限期内纠正的，基金管理人应报告中国证监会。对基金托管人按照法规要求需向中国证监会报送基金监督报告的，基金管理人应积极配合提供相关数据资料和制度等。</w:t>
      </w:r>
    </w:p>
    <w:p>
      <w:pPr>
        <w:pStyle w:val="7"/>
        <w:spacing w:before="0" w:beforeAutospacing="0" w:after="0" w:afterAutospacing="0" w:line="360" w:lineRule="auto"/>
        <w:ind w:firstLine="420"/>
        <w:rPr>
          <w:sz w:val="21"/>
          <w:szCs w:val="21"/>
        </w:rPr>
      </w:pPr>
      <w:r>
        <w:rPr>
          <w:rFonts w:hint="eastAsia"/>
          <w:sz w:val="21"/>
          <w:szCs w:val="21"/>
        </w:rPr>
        <w:t>基金管理人发现基金托管人有重大违规行为，应立即报告中国证监会，同时通知基金托管人在限期内纠正。基金托管人应就基金管理人合理的疑义进行解释或举证。基金托管人无正当理由，拒绝、阻挠对方根据本协议规定行使监督权，或采取拖延、欺诈等手段妨碍对方进行有效监督，情节严重或经基金管理人提出警告仍不改正的，基金管理人应报告中国证监会。</w:t>
      </w:r>
    </w:p>
    <w:p>
      <w:pPr>
        <w:pStyle w:val="7"/>
        <w:spacing w:before="0" w:beforeAutospacing="0" w:after="0" w:afterAutospacing="0" w:line="360" w:lineRule="auto"/>
        <w:ind w:firstLine="420"/>
        <w:rPr>
          <w:sz w:val="21"/>
          <w:szCs w:val="21"/>
        </w:rPr>
      </w:pPr>
      <w:r>
        <w:rPr>
          <w:rStyle w:val="11"/>
          <w:rFonts w:hint="eastAsia"/>
          <w:sz w:val="21"/>
          <w:szCs w:val="21"/>
        </w:rPr>
        <w:t>四、基金财产的保管</w:t>
      </w:r>
    </w:p>
    <w:p>
      <w:pPr>
        <w:pStyle w:val="7"/>
        <w:spacing w:before="0" w:beforeAutospacing="0" w:after="0" w:afterAutospacing="0" w:line="360" w:lineRule="auto"/>
        <w:ind w:firstLine="420"/>
        <w:rPr>
          <w:sz w:val="21"/>
          <w:szCs w:val="21"/>
        </w:rPr>
      </w:pPr>
      <w:r>
        <w:rPr>
          <w:rFonts w:hint="eastAsia"/>
          <w:sz w:val="21"/>
          <w:szCs w:val="21"/>
        </w:rPr>
        <w:t>（一）基金财产保管的原则</w:t>
      </w:r>
    </w:p>
    <w:p>
      <w:pPr>
        <w:pStyle w:val="7"/>
        <w:spacing w:before="0" w:beforeAutospacing="0" w:after="0" w:afterAutospacing="0" w:line="360" w:lineRule="auto"/>
        <w:ind w:firstLine="420"/>
        <w:rPr>
          <w:sz w:val="21"/>
          <w:szCs w:val="21"/>
        </w:rPr>
      </w:pPr>
      <w:r>
        <w:rPr>
          <w:rFonts w:hint="eastAsia"/>
          <w:sz w:val="21"/>
          <w:szCs w:val="21"/>
        </w:rPr>
        <w:t>1、基金托管人应安全保管基金财产，未经基金管理人的指令，不得自行运用、处分、分配基金的任何资产。</w:t>
      </w:r>
    </w:p>
    <w:p>
      <w:pPr>
        <w:pStyle w:val="7"/>
        <w:spacing w:before="0" w:beforeAutospacing="0" w:after="0" w:afterAutospacing="0" w:line="360" w:lineRule="auto"/>
        <w:ind w:firstLine="420"/>
        <w:rPr>
          <w:sz w:val="21"/>
          <w:szCs w:val="21"/>
        </w:rPr>
      </w:pPr>
      <w:r>
        <w:rPr>
          <w:rFonts w:hint="eastAsia"/>
          <w:sz w:val="21"/>
          <w:szCs w:val="21"/>
        </w:rPr>
        <w:t>2、基金财产应独立于基金管理人、基金托管人的固有财产。</w:t>
      </w:r>
    </w:p>
    <w:p>
      <w:pPr>
        <w:pStyle w:val="7"/>
        <w:spacing w:before="0" w:beforeAutospacing="0" w:after="0" w:afterAutospacing="0" w:line="360" w:lineRule="auto"/>
        <w:ind w:firstLine="420"/>
        <w:rPr>
          <w:sz w:val="21"/>
          <w:szCs w:val="21"/>
        </w:rPr>
      </w:pPr>
      <w:r>
        <w:rPr>
          <w:rFonts w:hint="eastAsia"/>
          <w:sz w:val="21"/>
          <w:szCs w:val="21"/>
        </w:rPr>
        <w:t>3、基金托管人按照规定开立基金财产的托管账户、证券账户、债券托管账户、期货结算账户等投资所需账户。</w:t>
      </w:r>
    </w:p>
    <w:p>
      <w:pPr>
        <w:pStyle w:val="7"/>
        <w:spacing w:before="0" w:beforeAutospacing="0" w:after="0" w:afterAutospacing="0" w:line="360" w:lineRule="auto"/>
        <w:ind w:firstLine="420"/>
        <w:rPr>
          <w:sz w:val="21"/>
          <w:szCs w:val="21"/>
        </w:rPr>
      </w:pPr>
      <w:r>
        <w:rPr>
          <w:rFonts w:hint="eastAsia"/>
          <w:sz w:val="21"/>
          <w:szCs w:val="21"/>
        </w:rPr>
        <w:t>4、基金托管人对所托管的不同基金财产分别设置账户，独立核算，与基金托管人的其他业务和其他基金的托管业务实行严格的分账管理，确保基金财产的完整和独立。</w:t>
      </w:r>
    </w:p>
    <w:p>
      <w:pPr>
        <w:pStyle w:val="7"/>
        <w:spacing w:before="0" w:beforeAutospacing="0" w:after="0" w:afterAutospacing="0" w:line="360" w:lineRule="auto"/>
        <w:ind w:firstLine="420"/>
        <w:rPr>
          <w:sz w:val="21"/>
          <w:szCs w:val="21"/>
        </w:rPr>
      </w:pPr>
      <w:r>
        <w:rPr>
          <w:rFonts w:hint="eastAsia"/>
          <w:sz w:val="21"/>
          <w:szCs w:val="21"/>
        </w:rPr>
        <w:t>5、对于因为基金投资产生的应收资产和基金申购过程中产生的应收资产，应由基金管理人负责与有关当事人确定到账日期并通知基金托管人，到账日基金资产没有到达基金银行存款账户的，基金托管人应及时通知基金管理人采取措施进行催收。由此给基金造成损失的，基金管理人应负责向有关当事人追偿基金的损失。基金托管人对此予以必要的配合与协助，但不承担相应责任。</w:t>
      </w:r>
    </w:p>
    <w:p>
      <w:pPr>
        <w:pStyle w:val="7"/>
        <w:spacing w:before="0" w:beforeAutospacing="0" w:after="0" w:afterAutospacing="0" w:line="360" w:lineRule="auto"/>
        <w:ind w:firstLine="420"/>
        <w:rPr>
          <w:sz w:val="21"/>
          <w:szCs w:val="21"/>
        </w:rPr>
      </w:pPr>
      <w:r>
        <w:rPr>
          <w:rFonts w:hint="eastAsia"/>
          <w:sz w:val="21"/>
          <w:szCs w:val="21"/>
        </w:rPr>
        <w:t>6、除依据法律法规和《基金合同》的规定外，基金托管人不得委托第三人托管基金财产。</w:t>
      </w:r>
    </w:p>
    <w:p>
      <w:pPr>
        <w:pStyle w:val="7"/>
        <w:spacing w:before="0" w:beforeAutospacing="0" w:after="0" w:afterAutospacing="0" w:line="360" w:lineRule="auto"/>
        <w:ind w:firstLine="420"/>
        <w:rPr>
          <w:sz w:val="21"/>
          <w:szCs w:val="21"/>
        </w:rPr>
      </w:pPr>
      <w:r>
        <w:rPr>
          <w:rFonts w:hint="eastAsia"/>
          <w:sz w:val="21"/>
          <w:szCs w:val="21"/>
        </w:rPr>
        <w:t>（二）基金合同生效时募集资产的验证</w:t>
      </w:r>
    </w:p>
    <w:p>
      <w:pPr>
        <w:pStyle w:val="7"/>
        <w:spacing w:before="0" w:beforeAutospacing="0" w:after="0" w:afterAutospacing="0" w:line="360" w:lineRule="auto"/>
        <w:ind w:firstLine="420"/>
        <w:rPr>
          <w:sz w:val="21"/>
          <w:szCs w:val="21"/>
        </w:rPr>
      </w:pPr>
      <w:r>
        <w:rPr>
          <w:rFonts w:hint="eastAsia"/>
          <w:sz w:val="21"/>
          <w:szCs w:val="21"/>
        </w:rPr>
        <w:t>基金募集期间募集的资金应存于在具有托管资格的商业银行开设的基金募集专用账户。该账户由基金管理人或基金管理人委托的登记机构开立并管理。</w:t>
      </w:r>
    </w:p>
    <w:p>
      <w:pPr>
        <w:pStyle w:val="7"/>
        <w:spacing w:before="0" w:beforeAutospacing="0" w:after="0" w:afterAutospacing="0" w:line="360" w:lineRule="auto"/>
        <w:ind w:firstLine="420"/>
        <w:rPr>
          <w:sz w:val="21"/>
          <w:szCs w:val="21"/>
        </w:rPr>
      </w:pPr>
      <w:r>
        <w:rPr>
          <w:rFonts w:hint="eastAsia"/>
          <w:sz w:val="21"/>
          <w:szCs w:val="21"/>
        </w:rPr>
        <w:t>基金募集期满或基金管理人依据法律法规及招募说明书决定停止基金发售，基金募集份额总额、基金募集金额及基金认购人数符合《基金法》、《运作办法》等有关规定后，基金管理人应将募集到的属于基金财产的全部资金划入基金托管人为本基金开立的基金托管资金账户，同时在规定时间内，聘请符合《中华人民共和国证券法》规定的会计师事务所进行验资，出具验资报告，出具的验资报告应由参加验资的2名以上（含2名）中国注册会计师签字有效。基金托管人在收到资金当日出具相关证明文件。</w:t>
      </w:r>
    </w:p>
    <w:p>
      <w:pPr>
        <w:pStyle w:val="7"/>
        <w:spacing w:before="0" w:beforeAutospacing="0" w:after="0" w:afterAutospacing="0" w:line="360" w:lineRule="auto"/>
        <w:ind w:firstLine="420"/>
        <w:rPr>
          <w:sz w:val="21"/>
          <w:szCs w:val="21"/>
        </w:rPr>
      </w:pPr>
      <w:r>
        <w:rPr>
          <w:rFonts w:hint="eastAsia"/>
          <w:sz w:val="21"/>
          <w:szCs w:val="21"/>
        </w:rPr>
        <w:t>（三）基金的银行存款账户的开立和管理</w:t>
      </w:r>
    </w:p>
    <w:p>
      <w:pPr>
        <w:pStyle w:val="7"/>
        <w:spacing w:before="0" w:beforeAutospacing="0" w:after="0" w:afterAutospacing="0" w:line="360" w:lineRule="auto"/>
        <w:ind w:firstLine="420"/>
        <w:rPr>
          <w:sz w:val="21"/>
          <w:szCs w:val="21"/>
        </w:rPr>
      </w:pPr>
      <w:r>
        <w:rPr>
          <w:rFonts w:hint="eastAsia"/>
          <w:sz w:val="21"/>
          <w:szCs w:val="21"/>
        </w:rPr>
        <w:t>1、基金托管人应负责本基金银行存款账户（即托管账户）的开立和管理。</w:t>
      </w:r>
    </w:p>
    <w:p>
      <w:pPr>
        <w:pStyle w:val="7"/>
        <w:spacing w:before="0" w:beforeAutospacing="0" w:after="0" w:afterAutospacing="0" w:line="360" w:lineRule="auto"/>
        <w:ind w:firstLine="420"/>
        <w:rPr>
          <w:sz w:val="21"/>
          <w:szCs w:val="21"/>
        </w:rPr>
      </w:pPr>
      <w:r>
        <w:rPr>
          <w:rFonts w:hint="eastAsia"/>
          <w:sz w:val="21"/>
          <w:szCs w:val="21"/>
        </w:rPr>
        <w:t>2、基金托管人在具有证券投资基金托管资格的商业银行开立基金的银行存款账户，并根据中国人民银行规定计息，根据基金管理人合法合规的指令办理资金收付。本基金的银行预留印鉴由基金托管人制作、保管和使用。本基金的一切货币收支活动，包括但不限于投资、支付赎回金额、支付基金收益、收取申购款，均需通过本基金的银行存款账户进行。</w:t>
      </w:r>
    </w:p>
    <w:p>
      <w:pPr>
        <w:pStyle w:val="7"/>
        <w:spacing w:before="0" w:beforeAutospacing="0" w:after="0" w:afterAutospacing="0" w:line="360" w:lineRule="auto"/>
        <w:ind w:firstLine="420"/>
        <w:rPr>
          <w:sz w:val="21"/>
          <w:szCs w:val="21"/>
        </w:rPr>
      </w:pPr>
      <w:r>
        <w:rPr>
          <w:rFonts w:hint="eastAsia"/>
          <w:sz w:val="21"/>
          <w:szCs w:val="21"/>
        </w:rPr>
        <w:t>3、本基金银行存款账户的开立和使用，限于满足开展本基金业务的需要。基金托管人和基金管理人不得假借本基金的名义开立其他任何银行存款账户；亦不得使用基金的任何银行存款账户进行本基金业务以外的活动。</w:t>
      </w:r>
    </w:p>
    <w:p>
      <w:pPr>
        <w:pStyle w:val="7"/>
        <w:spacing w:before="0" w:beforeAutospacing="0" w:after="0" w:afterAutospacing="0" w:line="360" w:lineRule="auto"/>
        <w:ind w:firstLine="420"/>
        <w:rPr>
          <w:sz w:val="21"/>
          <w:szCs w:val="21"/>
        </w:rPr>
      </w:pPr>
      <w:r>
        <w:rPr>
          <w:rFonts w:hint="eastAsia"/>
          <w:sz w:val="21"/>
          <w:szCs w:val="21"/>
        </w:rPr>
        <w:t>4、基金托管人可以通过申请开通本基金银行账户的企业网上银行业务进行资金支付，并使用企业网上银行（简称“网银”）办理托管资产的资金结算汇划业务。</w:t>
      </w:r>
    </w:p>
    <w:p>
      <w:pPr>
        <w:pStyle w:val="7"/>
        <w:spacing w:before="0" w:beforeAutospacing="0" w:after="0" w:afterAutospacing="0" w:line="360" w:lineRule="auto"/>
        <w:ind w:firstLine="420"/>
        <w:rPr>
          <w:sz w:val="21"/>
          <w:szCs w:val="21"/>
        </w:rPr>
      </w:pPr>
      <w:r>
        <w:rPr>
          <w:rFonts w:hint="eastAsia"/>
          <w:sz w:val="21"/>
          <w:szCs w:val="21"/>
        </w:rPr>
        <w:t>5、基金银行存款账户的管理应符合法律、法规以及银行业监督管理机构的其他规定。</w:t>
      </w:r>
    </w:p>
    <w:p>
      <w:pPr>
        <w:pStyle w:val="7"/>
        <w:spacing w:before="0" w:beforeAutospacing="0" w:after="0" w:afterAutospacing="0" w:line="360" w:lineRule="auto"/>
        <w:ind w:firstLine="420"/>
        <w:rPr>
          <w:sz w:val="21"/>
          <w:szCs w:val="21"/>
        </w:rPr>
      </w:pPr>
      <w:r>
        <w:rPr>
          <w:rFonts w:hint="eastAsia"/>
          <w:sz w:val="21"/>
          <w:szCs w:val="21"/>
        </w:rPr>
        <w:t>（四）基金的证券账户和证券交易资金账户的开立和管理</w:t>
      </w:r>
    </w:p>
    <w:p>
      <w:pPr>
        <w:pStyle w:val="7"/>
        <w:spacing w:before="0" w:beforeAutospacing="0" w:after="0" w:afterAutospacing="0" w:line="360" w:lineRule="auto"/>
        <w:ind w:firstLine="420"/>
        <w:rPr>
          <w:sz w:val="21"/>
          <w:szCs w:val="21"/>
        </w:rPr>
      </w:pPr>
      <w:r>
        <w:rPr>
          <w:rFonts w:hint="eastAsia"/>
          <w:sz w:val="21"/>
          <w:szCs w:val="21"/>
        </w:rPr>
        <w:t>基金托管人为本基金在中国证券登记结算有限责任公司开立证券账户。</w:t>
      </w:r>
    </w:p>
    <w:p>
      <w:pPr>
        <w:pStyle w:val="7"/>
        <w:spacing w:before="0" w:beforeAutospacing="0" w:after="0" w:afterAutospacing="0" w:line="360" w:lineRule="auto"/>
        <w:ind w:firstLine="420"/>
        <w:rPr>
          <w:sz w:val="21"/>
          <w:szCs w:val="21"/>
        </w:rPr>
      </w:pPr>
      <w:r>
        <w:rPr>
          <w:rFonts w:hint="eastAsia"/>
          <w:sz w:val="21"/>
          <w:szCs w:val="21"/>
        </w:rPr>
        <w:t>基金证券账户的开立和使用，限于满足开展本基金业务的需要。基金托管人和基金管理人不得出借和未经对方同意擅自转让基金的任何证券账户；亦不得使用基金的任何账户进行本基金业务以外的活动。</w:t>
      </w:r>
    </w:p>
    <w:p>
      <w:pPr>
        <w:pStyle w:val="7"/>
        <w:spacing w:before="0" w:beforeAutospacing="0" w:after="0" w:afterAutospacing="0" w:line="360" w:lineRule="auto"/>
        <w:ind w:firstLine="420"/>
        <w:rPr>
          <w:sz w:val="21"/>
          <w:szCs w:val="21"/>
        </w:rPr>
      </w:pPr>
      <w:r>
        <w:rPr>
          <w:rFonts w:hint="eastAsia"/>
          <w:sz w:val="21"/>
          <w:szCs w:val="21"/>
        </w:rPr>
        <w:t>基金管理人为基金财产在证券经营机构开立证券交易资金账户，用于基金财产证券交易结算资金的存管、记载交易结算资金的变动明细以及场内证券交易清算。基金托管人和基金管理人不得出借或转让证券账户、证券交易资金账户，亦不得使用证券账户或证券交易资金账户进行本基金业务以外的活动。</w:t>
      </w:r>
    </w:p>
    <w:p>
      <w:pPr>
        <w:pStyle w:val="7"/>
        <w:spacing w:before="0" w:beforeAutospacing="0" w:after="0" w:afterAutospacing="0" w:line="360" w:lineRule="auto"/>
        <w:ind w:firstLine="420"/>
        <w:rPr>
          <w:sz w:val="21"/>
          <w:szCs w:val="21"/>
        </w:rPr>
      </w:pPr>
      <w:r>
        <w:rPr>
          <w:rFonts w:hint="eastAsia"/>
          <w:sz w:val="21"/>
          <w:szCs w:val="21"/>
        </w:rPr>
        <w:t>交易所证券交易资金采用第三方存管模式，即用于证券交易结算资金全额存放在基金管理人为基金开设的证券交易资金账户中，场内的证券交易资金清算由基金管理人所选择的证券公司负责。</w:t>
      </w:r>
    </w:p>
    <w:p>
      <w:pPr>
        <w:pStyle w:val="7"/>
        <w:spacing w:before="0" w:beforeAutospacing="0" w:after="0" w:afterAutospacing="0" w:line="360" w:lineRule="auto"/>
        <w:ind w:firstLine="420"/>
        <w:rPr>
          <w:sz w:val="21"/>
          <w:szCs w:val="21"/>
        </w:rPr>
      </w:pPr>
      <w:r>
        <w:rPr>
          <w:rFonts w:hint="eastAsia"/>
          <w:sz w:val="21"/>
          <w:szCs w:val="21"/>
        </w:rPr>
        <w:t>（五）债券托管账户的开立和管理</w:t>
      </w:r>
    </w:p>
    <w:p>
      <w:pPr>
        <w:pStyle w:val="7"/>
        <w:spacing w:before="0" w:beforeAutospacing="0" w:after="0" w:afterAutospacing="0" w:line="360" w:lineRule="auto"/>
        <w:ind w:firstLine="420"/>
        <w:rPr>
          <w:sz w:val="21"/>
          <w:szCs w:val="21"/>
        </w:rPr>
      </w:pPr>
      <w:r>
        <w:rPr>
          <w:rFonts w:hint="eastAsia"/>
          <w:sz w:val="21"/>
          <w:szCs w:val="21"/>
        </w:rPr>
        <w:t>基金合同生效后，基金托管人负责在中央国债登记结算有限责任公司及银行间市场清算所股份有限公司以本基金的名义开立债券托管账户，并由基金托管人负责基金的债券及资金的清算。基金管理人代表基金签订全国银行间债券市场债券回购主协议。</w:t>
      </w:r>
    </w:p>
    <w:p>
      <w:pPr>
        <w:pStyle w:val="7"/>
        <w:spacing w:before="0" w:beforeAutospacing="0" w:after="0" w:afterAutospacing="0" w:line="360" w:lineRule="auto"/>
        <w:ind w:firstLine="420"/>
        <w:rPr>
          <w:sz w:val="21"/>
          <w:szCs w:val="21"/>
        </w:rPr>
      </w:pPr>
      <w:r>
        <w:rPr>
          <w:rFonts w:hint="eastAsia"/>
          <w:sz w:val="21"/>
          <w:szCs w:val="21"/>
        </w:rPr>
        <w:t>（六）其他账户的开立和管理</w:t>
      </w:r>
    </w:p>
    <w:p>
      <w:pPr>
        <w:pStyle w:val="7"/>
        <w:spacing w:before="0" w:beforeAutospacing="0" w:after="0" w:afterAutospacing="0" w:line="360" w:lineRule="auto"/>
        <w:ind w:firstLine="420"/>
        <w:rPr>
          <w:sz w:val="21"/>
          <w:szCs w:val="21"/>
        </w:rPr>
      </w:pPr>
      <w:r>
        <w:rPr>
          <w:rFonts w:hint="eastAsia"/>
          <w:sz w:val="21"/>
          <w:szCs w:val="21"/>
        </w:rPr>
        <w:t>若中国证监会或其他监管机构在本托管协议订立日之后允许基金从事其他投资品种的投资业务，涉及相关账户的开立、使用的，由基金管理人协助基金托管人根据有关法律、法规的规定和《基金合同》的约定，开立有关账户。该账户按有关规则使用并管理。</w:t>
      </w:r>
    </w:p>
    <w:p>
      <w:pPr>
        <w:pStyle w:val="7"/>
        <w:spacing w:before="0" w:beforeAutospacing="0" w:after="0" w:afterAutospacing="0" w:line="360" w:lineRule="auto"/>
        <w:ind w:firstLine="420"/>
        <w:rPr>
          <w:sz w:val="21"/>
          <w:szCs w:val="21"/>
        </w:rPr>
      </w:pPr>
      <w:r>
        <w:rPr>
          <w:rFonts w:hint="eastAsia"/>
          <w:sz w:val="21"/>
          <w:szCs w:val="21"/>
        </w:rPr>
        <w:t>法律法规等有关规定对相关账户的开立和管理另有规定的，从其规定办理。</w:t>
      </w:r>
    </w:p>
    <w:p>
      <w:pPr>
        <w:pStyle w:val="7"/>
        <w:spacing w:before="0" w:beforeAutospacing="0" w:after="0" w:afterAutospacing="0" w:line="360" w:lineRule="auto"/>
        <w:ind w:firstLine="420"/>
        <w:rPr>
          <w:sz w:val="21"/>
          <w:szCs w:val="21"/>
        </w:rPr>
      </w:pPr>
      <w:r>
        <w:rPr>
          <w:rFonts w:hint="eastAsia"/>
          <w:sz w:val="21"/>
          <w:szCs w:val="21"/>
        </w:rPr>
        <w:t>（七）基金财产投资的有关实物证券、银行存款定期存单等有价凭证的保管</w:t>
      </w:r>
    </w:p>
    <w:p>
      <w:pPr>
        <w:pStyle w:val="7"/>
        <w:spacing w:before="0" w:beforeAutospacing="0" w:after="0" w:afterAutospacing="0" w:line="360" w:lineRule="auto"/>
        <w:ind w:firstLine="420"/>
        <w:rPr>
          <w:sz w:val="21"/>
          <w:szCs w:val="21"/>
        </w:rPr>
      </w:pPr>
      <w:r>
        <w:rPr>
          <w:rFonts w:hint="eastAsia"/>
          <w:sz w:val="21"/>
          <w:szCs w:val="21"/>
        </w:rPr>
        <w:t>实物证券由基金托管人存放于基金托管人或其他基金管理人与基金托管人协商一致的第三方机构的保管库，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由基金托管人以外机构实际有效控制的本基金资产不承担保管责任。</w:t>
      </w:r>
    </w:p>
    <w:p>
      <w:pPr>
        <w:pStyle w:val="7"/>
        <w:spacing w:before="0" w:beforeAutospacing="0" w:after="0" w:afterAutospacing="0" w:line="360" w:lineRule="auto"/>
        <w:ind w:firstLine="420"/>
        <w:rPr>
          <w:sz w:val="21"/>
          <w:szCs w:val="21"/>
        </w:rPr>
      </w:pPr>
      <w:r>
        <w:rPr>
          <w:rFonts w:hint="eastAsia"/>
          <w:sz w:val="21"/>
          <w:szCs w:val="21"/>
        </w:rPr>
        <w:t>银行存款定期存单等有价凭证由基金托管人负责保管。</w:t>
      </w:r>
    </w:p>
    <w:p>
      <w:pPr>
        <w:pStyle w:val="7"/>
        <w:spacing w:before="0" w:beforeAutospacing="0" w:after="0" w:afterAutospacing="0" w:line="360" w:lineRule="auto"/>
        <w:ind w:firstLine="420"/>
        <w:rPr>
          <w:sz w:val="21"/>
          <w:szCs w:val="21"/>
        </w:rPr>
      </w:pPr>
      <w:r>
        <w:rPr>
          <w:rFonts w:hint="eastAsia"/>
          <w:sz w:val="21"/>
          <w:szCs w:val="21"/>
        </w:rPr>
        <w:t>（八）与基金财产有关的重大合同的保管</w:t>
      </w:r>
    </w:p>
    <w:p>
      <w:pPr>
        <w:pStyle w:val="7"/>
        <w:spacing w:before="0" w:beforeAutospacing="0" w:after="0" w:afterAutospacing="0" w:line="360" w:lineRule="auto"/>
        <w:ind w:firstLine="420"/>
        <w:rPr>
          <w:sz w:val="21"/>
          <w:szCs w:val="21"/>
        </w:rPr>
      </w:pPr>
      <w:r>
        <w:rPr>
          <w:rFonts w:hint="eastAsia"/>
          <w:sz w:val="21"/>
          <w:szCs w:val="21"/>
        </w:rPr>
        <w:t>由基金管理人代表基金签署的与基金有关的重大合同的原件分别由基金托管人、基金管理人保管，相关业务程序另有限制除外。除本协议另有规定外，基金管理人在代表基金签署与基金有关的重大合同时应尽可能保证持有二份及以上的正本，以便基金管理人和基金托管人至少各持有一份正本的原件，基金管理人在合同签署后15个工作日内通过专人送达、挂号邮寄等安全方式将合同原件送达基金托管人处。重大合同的保管期限不低于法律法规规定的最低期限。</w:t>
      </w:r>
    </w:p>
    <w:p>
      <w:pPr>
        <w:pStyle w:val="7"/>
        <w:spacing w:before="0" w:beforeAutospacing="0" w:after="0" w:afterAutospacing="0" w:line="360" w:lineRule="auto"/>
        <w:ind w:firstLine="420"/>
        <w:rPr>
          <w:sz w:val="21"/>
          <w:szCs w:val="21"/>
        </w:rPr>
      </w:pPr>
      <w:r>
        <w:rPr>
          <w:rFonts w:hint="eastAsia"/>
          <w:sz w:val="21"/>
          <w:szCs w:val="21"/>
        </w:rPr>
        <w:t>对于无法取得二份以上的正本的，基金管理人应向基金托管人提供合同复印件，并在复印件上加盖公章，未经双方协商或未在合同约定范围内，合同原件不得转移。</w:t>
      </w:r>
    </w:p>
    <w:p>
      <w:pPr>
        <w:pStyle w:val="7"/>
        <w:spacing w:before="0" w:beforeAutospacing="0" w:after="0" w:afterAutospacing="0" w:line="360" w:lineRule="auto"/>
        <w:ind w:firstLine="420"/>
        <w:rPr>
          <w:sz w:val="21"/>
          <w:szCs w:val="21"/>
        </w:rPr>
      </w:pPr>
      <w:r>
        <w:rPr>
          <w:rStyle w:val="11"/>
          <w:rFonts w:hint="eastAsia"/>
          <w:sz w:val="21"/>
          <w:szCs w:val="21"/>
        </w:rPr>
        <w:t>五、基金资产净值计算与复核</w:t>
      </w:r>
    </w:p>
    <w:p>
      <w:pPr>
        <w:pStyle w:val="7"/>
        <w:spacing w:before="0" w:beforeAutospacing="0" w:after="0" w:afterAutospacing="0" w:line="360" w:lineRule="auto"/>
        <w:ind w:firstLine="420"/>
        <w:rPr>
          <w:sz w:val="21"/>
          <w:szCs w:val="21"/>
        </w:rPr>
      </w:pPr>
      <w:r>
        <w:rPr>
          <w:rFonts w:hint="eastAsia"/>
          <w:sz w:val="21"/>
          <w:szCs w:val="21"/>
        </w:rPr>
        <w:t>（一）基金资产净值及基金份额净值的计算与复核</w:t>
      </w:r>
    </w:p>
    <w:p>
      <w:pPr>
        <w:pStyle w:val="7"/>
        <w:spacing w:before="0" w:beforeAutospacing="0" w:after="0" w:afterAutospacing="0" w:line="360" w:lineRule="auto"/>
        <w:ind w:firstLine="420"/>
        <w:rPr>
          <w:sz w:val="21"/>
          <w:szCs w:val="21"/>
        </w:rPr>
      </w:pPr>
      <w:r>
        <w:rPr>
          <w:rFonts w:hint="eastAsia"/>
          <w:sz w:val="21"/>
          <w:szCs w:val="21"/>
        </w:rPr>
        <w:t>基金资产净值是指基金资产总值减去负债后的价值。</w:t>
      </w:r>
    </w:p>
    <w:p>
      <w:pPr>
        <w:pStyle w:val="7"/>
        <w:spacing w:before="0" w:beforeAutospacing="0" w:after="0" w:afterAutospacing="0" w:line="360" w:lineRule="auto"/>
        <w:ind w:firstLine="420"/>
        <w:rPr>
          <w:sz w:val="21"/>
          <w:szCs w:val="21"/>
        </w:rPr>
      </w:pPr>
      <w:r>
        <w:rPr>
          <w:rFonts w:hint="eastAsia"/>
          <w:sz w:val="21"/>
          <w:szCs w:val="21"/>
        </w:rPr>
        <w:t>基金管理人应每个工作日对基金资产估值。但基金管理人根据法律法规或基金合同的规定暂停估值时除外。估值原则应符合《基金合同》、《中国证券监督管理委员会关于证券投资基金估值业务的指导意见》及其他法律、法规的规定。基金资产净值和基金份额净值由基金管理人负责计算，基金托管人复核。基金管理人应于每个工作日交易结束后计算当日的基金资产净值和基金份额净值，以约定方式发送给基金托管人。基金托管人对净值计算结果复核后，将复核结果反馈给基金管理人，经基金托管人复核无误后，由基金管理人对基金份额净值予以公布。</w:t>
      </w:r>
    </w:p>
    <w:p>
      <w:pPr>
        <w:pStyle w:val="7"/>
        <w:spacing w:before="0" w:beforeAutospacing="0" w:after="0" w:afterAutospacing="0" w:line="360" w:lineRule="auto"/>
        <w:ind w:firstLine="420"/>
        <w:rPr>
          <w:sz w:val="21"/>
          <w:szCs w:val="21"/>
        </w:rPr>
      </w:pPr>
      <w:r>
        <w:rPr>
          <w:rFonts w:hint="eastAsia"/>
          <w:sz w:val="21"/>
          <w:szCs w:val="21"/>
        </w:rPr>
        <w:t>（二）基金资产的估值</w:t>
      </w:r>
    </w:p>
    <w:p>
      <w:pPr>
        <w:pStyle w:val="7"/>
        <w:spacing w:before="0" w:beforeAutospacing="0" w:after="0" w:afterAutospacing="0" w:line="360" w:lineRule="auto"/>
        <w:ind w:firstLine="420"/>
        <w:rPr>
          <w:sz w:val="21"/>
          <w:szCs w:val="21"/>
        </w:rPr>
      </w:pPr>
      <w:r>
        <w:rPr>
          <w:rFonts w:hint="eastAsia"/>
          <w:sz w:val="21"/>
          <w:szCs w:val="21"/>
        </w:rPr>
        <w:t>基金管理人及基金托管人应当按照《基金合同》的约定进行估值。</w:t>
      </w:r>
    </w:p>
    <w:p>
      <w:pPr>
        <w:pStyle w:val="7"/>
        <w:spacing w:before="0" w:beforeAutospacing="0" w:after="0" w:afterAutospacing="0" w:line="360" w:lineRule="auto"/>
        <w:ind w:firstLine="420"/>
        <w:rPr>
          <w:sz w:val="21"/>
          <w:szCs w:val="21"/>
        </w:rPr>
      </w:pPr>
      <w:r>
        <w:rPr>
          <w:rFonts w:hint="eastAsia"/>
          <w:sz w:val="21"/>
          <w:szCs w:val="21"/>
        </w:rPr>
        <w:t>（三）基金份额净值错误的处理方式</w:t>
      </w:r>
    </w:p>
    <w:p>
      <w:pPr>
        <w:pStyle w:val="7"/>
        <w:spacing w:before="0" w:beforeAutospacing="0" w:after="0" w:afterAutospacing="0" w:line="360" w:lineRule="auto"/>
        <w:ind w:firstLine="420"/>
        <w:rPr>
          <w:sz w:val="21"/>
          <w:szCs w:val="21"/>
        </w:rPr>
      </w:pPr>
      <w:r>
        <w:rPr>
          <w:rFonts w:hint="eastAsia"/>
          <w:sz w:val="21"/>
          <w:szCs w:val="21"/>
        </w:rPr>
        <w:t>基金管理人及基金托管人应当按照《基金合同》的约定处理份额净值错误。</w:t>
      </w:r>
    </w:p>
    <w:p>
      <w:pPr>
        <w:pStyle w:val="7"/>
        <w:spacing w:before="0" w:beforeAutospacing="0" w:after="0" w:afterAutospacing="0" w:line="360" w:lineRule="auto"/>
        <w:ind w:firstLine="420"/>
        <w:rPr>
          <w:sz w:val="21"/>
          <w:szCs w:val="21"/>
        </w:rPr>
      </w:pPr>
      <w:r>
        <w:rPr>
          <w:rFonts w:hint="eastAsia"/>
          <w:sz w:val="21"/>
          <w:szCs w:val="21"/>
        </w:rPr>
        <w:t>（四）暂停估值的情形</w:t>
      </w:r>
    </w:p>
    <w:p>
      <w:pPr>
        <w:pStyle w:val="7"/>
        <w:spacing w:before="0" w:beforeAutospacing="0" w:after="0" w:afterAutospacing="0" w:line="360" w:lineRule="auto"/>
        <w:ind w:firstLine="420"/>
        <w:rPr>
          <w:sz w:val="21"/>
          <w:szCs w:val="21"/>
        </w:rPr>
      </w:pPr>
      <w:r>
        <w:rPr>
          <w:rFonts w:hint="eastAsia"/>
          <w:sz w:val="21"/>
          <w:szCs w:val="21"/>
        </w:rPr>
        <w:t>1、基金投资所涉及的证券、期货交易市场遇法定节假日或因其他原因暂停营业时；</w:t>
      </w:r>
    </w:p>
    <w:p>
      <w:pPr>
        <w:pStyle w:val="7"/>
        <w:spacing w:before="0" w:beforeAutospacing="0" w:after="0" w:afterAutospacing="0" w:line="360" w:lineRule="auto"/>
        <w:ind w:firstLine="420"/>
        <w:rPr>
          <w:sz w:val="21"/>
          <w:szCs w:val="21"/>
        </w:rPr>
      </w:pPr>
      <w:r>
        <w:rPr>
          <w:rFonts w:hint="eastAsia"/>
          <w:sz w:val="21"/>
          <w:szCs w:val="21"/>
        </w:rPr>
        <w:t>2、因不可抗力或者其他情形致使基金管理人、基金托管人无法准确评估基金资产价值时；</w:t>
      </w:r>
    </w:p>
    <w:p>
      <w:pPr>
        <w:pStyle w:val="7"/>
        <w:spacing w:before="0" w:beforeAutospacing="0" w:after="0" w:afterAutospacing="0" w:line="360" w:lineRule="auto"/>
        <w:ind w:firstLine="420"/>
        <w:rPr>
          <w:sz w:val="21"/>
          <w:szCs w:val="21"/>
        </w:rPr>
      </w:pPr>
      <w:r>
        <w:rPr>
          <w:rFonts w:hint="eastAsia"/>
          <w:sz w:val="21"/>
          <w:szCs w:val="21"/>
        </w:rPr>
        <w:t>3、当前一估值日基金资产净值50%以上的资产出现无可参考的活跃市场价格且采用估值技术仍导致公允价值存在重大不确定性时，经与基金托管人协商确认后，基金管理人应当暂停估值；</w:t>
      </w:r>
    </w:p>
    <w:p>
      <w:pPr>
        <w:pStyle w:val="7"/>
        <w:spacing w:before="0" w:beforeAutospacing="0" w:after="0" w:afterAutospacing="0" w:line="360" w:lineRule="auto"/>
        <w:ind w:firstLine="420"/>
        <w:rPr>
          <w:sz w:val="21"/>
          <w:szCs w:val="21"/>
        </w:rPr>
      </w:pPr>
      <w:r>
        <w:rPr>
          <w:rFonts w:hint="eastAsia"/>
          <w:sz w:val="21"/>
          <w:szCs w:val="21"/>
        </w:rPr>
        <w:t>4、法律法规、中国证监会和基金合同认定的其它情形。</w:t>
      </w:r>
    </w:p>
    <w:p>
      <w:pPr>
        <w:pStyle w:val="7"/>
        <w:spacing w:before="0" w:beforeAutospacing="0" w:after="0" w:afterAutospacing="0" w:line="360" w:lineRule="auto"/>
        <w:ind w:firstLine="420"/>
        <w:rPr>
          <w:sz w:val="21"/>
          <w:szCs w:val="21"/>
        </w:rPr>
      </w:pPr>
      <w:r>
        <w:rPr>
          <w:rFonts w:hint="eastAsia"/>
          <w:sz w:val="21"/>
          <w:szCs w:val="21"/>
        </w:rPr>
        <w:t>（五）基金会计制度</w:t>
      </w:r>
    </w:p>
    <w:p>
      <w:pPr>
        <w:pStyle w:val="7"/>
        <w:spacing w:before="0" w:beforeAutospacing="0" w:after="0" w:afterAutospacing="0" w:line="360" w:lineRule="auto"/>
        <w:ind w:firstLine="420"/>
        <w:rPr>
          <w:sz w:val="21"/>
          <w:szCs w:val="21"/>
        </w:rPr>
      </w:pPr>
      <w:r>
        <w:rPr>
          <w:rFonts w:hint="eastAsia"/>
          <w:sz w:val="21"/>
          <w:szCs w:val="21"/>
        </w:rPr>
        <w:t>按国家有关部门制定的会计制度执行。</w:t>
      </w:r>
    </w:p>
    <w:p>
      <w:pPr>
        <w:pStyle w:val="7"/>
        <w:spacing w:before="0" w:beforeAutospacing="0" w:after="0" w:afterAutospacing="0" w:line="360" w:lineRule="auto"/>
        <w:ind w:firstLine="420"/>
        <w:rPr>
          <w:sz w:val="21"/>
          <w:szCs w:val="21"/>
        </w:rPr>
      </w:pPr>
      <w:r>
        <w:rPr>
          <w:rFonts w:hint="eastAsia"/>
          <w:sz w:val="21"/>
          <w:szCs w:val="21"/>
        </w:rPr>
        <w:t>（六）基金账册的建立</w:t>
      </w:r>
    </w:p>
    <w:p>
      <w:pPr>
        <w:pStyle w:val="7"/>
        <w:spacing w:before="0" w:beforeAutospacing="0" w:after="0" w:afterAutospacing="0" w:line="360" w:lineRule="auto"/>
        <w:ind w:firstLine="420"/>
        <w:rPr>
          <w:sz w:val="21"/>
          <w:szCs w:val="21"/>
        </w:rPr>
      </w:pPr>
      <w:r>
        <w:rPr>
          <w:rFonts w:hint="eastAsia"/>
          <w:sz w:val="21"/>
          <w:szCs w:val="21"/>
        </w:rPr>
        <w:t>基金管理人和基金托管人在《基金合同》生效后，应按照双方约定的同一记账方法和会计处理原则，分别独立地设置、登录和保管本基金的全套账册，对双方各自的账册定期进行核对，互相监督，以保证基金财产的安全。若双方对会计处理方法存在分歧，应以基金管理人的处理方法为准。</w:t>
      </w:r>
    </w:p>
    <w:p>
      <w:pPr>
        <w:pStyle w:val="7"/>
        <w:spacing w:before="0" w:beforeAutospacing="0" w:after="0" w:afterAutospacing="0" w:line="360" w:lineRule="auto"/>
        <w:ind w:firstLine="420"/>
        <w:rPr>
          <w:sz w:val="21"/>
          <w:szCs w:val="21"/>
        </w:rPr>
      </w:pPr>
      <w:r>
        <w:rPr>
          <w:rFonts w:hint="eastAsia"/>
          <w:sz w:val="21"/>
          <w:szCs w:val="21"/>
        </w:rPr>
        <w:t>（七）会计数据和财务指标的核对</w:t>
      </w:r>
    </w:p>
    <w:p>
      <w:pPr>
        <w:pStyle w:val="7"/>
        <w:spacing w:before="0" w:beforeAutospacing="0" w:after="0" w:afterAutospacing="0" w:line="360" w:lineRule="auto"/>
        <w:ind w:firstLine="420"/>
        <w:rPr>
          <w:sz w:val="21"/>
          <w:szCs w:val="21"/>
        </w:rPr>
      </w:pPr>
      <w:r>
        <w:rPr>
          <w:rFonts w:hint="eastAsia"/>
          <w:sz w:val="21"/>
          <w:szCs w:val="21"/>
        </w:rPr>
        <w:t>双方应每个交易日核对账目，如发现双方的账目存在不符的，基金管理人和基金托管人必须及时查明原因并纠正，确保核对一致。若当日核对不符，暂时无法查找到错账的原因而影响到基金资产净值的计算和公告的，以基金管理人的账册为准。</w:t>
      </w:r>
    </w:p>
    <w:p>
      <w:pPr>
        <w:pStyle w:val="7"/>
        <w:spacing w:before="0" w:beforeAutospacing="0" w:after="0" w:afterAutospacing="0" w:line="360" w:lineRule="auto"/>
        <w:ind w:firstLine="420"/>
        <w:rPr>
          <w:sz w:val="21"/>
          <w:szCs w:val="21"/>
        </w:rPr>
      </w:pPr>
      <w:r>
        <w:rPr>
          <w:rFonts w:hint="eastAsia"/>
          <w:sz w:val="21"/>
          <w:szCs w:val="21"/>
        </w:rPr>
        <w:t>（八）基金定期报告的编制和复核</w:t>
      </w:r>
    </w:p>
    <w:p>
      <w:pPr>
        <w:pStyle w:val="7"/>
        <w:spacing w:before="0" w:beforeAutospacing="0" w:after="0" w:afterAutospacing="0" w:line="360" w:lineRule="auto"/>
        <w:ind w:firstLine="420"/>
        <w:rPr>
          <w:sz w:val="21"/>
          <w:szCs w:val="21"/>
        </w:rPr>
      </w:pPr>
      <w:r>
        <w:rPr>
          <w:rFonts w:hint="eastAsia"/>
          <w:sz w:val="21"/>
          <w:szCs w:val="21"/>
        </w:rPr>
        <w:t>基金财务报表由基金管理人和基金托管人每月分别独立编制。月度报表的编制，应于每月终了后5个工作日内完成；在《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季度报告应在季度结束之日起10个工作日内编制完毕并于季度结束之日起15个工作日内予以公告；中期报告在上半年结束之日起40日内编制完毕并于上半年结束之日起两个月内予以公告；年度报告在每年结束之日起60日内编制完毕并于每年结束之日起三个月内予以公告。基金合同生效不足两个月的，基金管理人可以不编制当期季度报告、中期报告或者年度报告。</w:t>
      </w:r>
    </w:p>
    <w:p>
      <w:pPr>
        <w:pStyle w:val="7"/>
        <w:spacing w:before="0" w:beforeAutospacing="0" w:after="0" w:afterAutospacing="0" w:line="360" w:lineRule="auto"/>
        <w:ind w:firstLine="420"/>
        <w:rPr>
          <w:sz w:val="21"/>
          <w:szCs w:val="21"/>
        </w:rPr>
      </w:pPr>
      <w:r>
        <w:rPr>
          <w:rFonts w:hint="eastAsia"/>
          <w:sz w:val="21"/>
          <w:szCs w:val="21"/>
        </w:rPr>
        <w:t>基金管理人在月初3个工作日内完成上月度报表的编制，以约定方式将有关报表提供基金托管人；基金托管人收到后在2个工作日内进行复核，并将复核结果及时以书面或其他双方约定的方式通知基金管理人。对于季度报告、中期报告、年度报告等定期报告及招募说明书（更新），基金管理人和基金托管人应在上述监管部门规定的时间内完成编制、复核及公告。基金托管人在复核过程中，发现双方的报表存在不符时，基金管理人和基金托管人应共同查明原因，进行调整，调整以双方认可的账务处理方式为准。如果基金管理人与基金托管人不能于应当发布公告之日前就相关报表达成一致，基金管理人有权按照其编制的报表对外发布公告，基金托管人有权就相关情况报中国证监会备案。</w:t>
      </w:r>
    </w:p>
    <w:p>
      <w:pPr>
        <w:pStyle w:val="7"/>
        <w:spacing w:before="0" w:beforeAutospacing="0" w:after="0" w:afterAutospacing="0" w:line="360" w:lineRule="auto"/>
        <w:ind w:firstLine="420"/>
        <w:rPr>
          <w:sz w:val="21"/>
          <w:szCs w:val="21"/>
        </w:rPr>
      </w:pPr>
      <w:r>
        <w:rPr>
          <w:rFonts w:hint="eastAsia"/>
          <w:sz w:val="21"/>
          <w:szCs w:val="21"/>
        </w:rPr>
        <w:t>基金托管人在对财务报表、季度报告、中期报告或年度报告复核完毕后，可以出具复核确认书（盖章）或以其他双方约定的方式确认，以备有权机构对相关文件审核检查。</w:t>
      </w:r>
    </w:p>
    <w:p>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pPr>
        <w:pStyle w:val="7"/>
        <w:spacing w:before="0" w:beforeAutospacing="0" w:after="0" w:afterAutospacing="0" w:line="360" w:lineRule="auto"/>
        <w:ind w:firstLine="420"/>
        <w:rPr>
          <w:sz w:val="21"/>
          <w:szCs w:val="21"/>
        </w:rPr>
      </w:pPr>
      <w:r>
        <w:rPr>
          <w:rFonts w:hint="eastAsia"/>
          <w:sz w:val="21"/>
          <w:szCs w:val="21"/>
        </w:rPr>
        <w:t>基金管理人可委托基金登记机构登记和保管基金份额持有人名册。基金份额持有人名册的内容包括但不限于基金份额持有人的名称和持有的基金份额。</w:t>
      </w:r>
    </w:p>
    <w:p>
      <w:pPr>
        <w:pStyle w:val="7"/>
        <w:spacing w:before="0" w:beforeAutospacing="0" w:after="0" w:afterAutospacing="0" w:line="360" w:lineRule="auto"/>
        <w:ind w:firstLine="420"/>
        <w:rPr>
          <w:sz w:val="21"/>
          <w:szCs w:val="21"/>
        </w:rPr>
      </w:pPr>
      <w:r>
        <w:rPr>
          <w:rFonts w:hint="eastAsia"/>
          <w:sz w:val="21"/>
          <w:szCs w:val="21"/>
        </w:rPr>
        <w:t>基金份额持有人名册，包括基金合同生效日的基金份额持有人名册、基金合同终止日的基金份额持有人名册、基金权益登记日的基金份额持有人名册、基金份额持有人大会权益登记日的基金份额持有人名册、每年最后一个交易日的基金份额持有人名册，由基金登记机构负责编制和保管，并对基金份额持有人名册的真实性、完整性和准确性负责，保存期限不低于法律法规规定的最低期限。</w:t>
      </w:r>
    </w:p>
    <w:p>
      <w:pPr>
        <w:pStyle w:val="7"/>
        <w:spacing w:before="0" w:beforeAutospacing="0" w:after="0" w:afterAutospacing="0" w:line="360" w:lineRule="auto"/>
        <w:ind w:firstLine="420"/>
        <w:rPr>
          <w:sz w:val="21"/>
          <w:szCs w:val="21"/>
        </w:rPr>
      </w:pPr>
      <w:r>
        <w:rPr>
          <w:rFonts w:hint="eastAsia"/>
          <w:sz w:val="21"/>
          <w:szCs w:val="21"/>
        </w:rPr>
        <w:t>基金管理人应根据基金托管人的要求定期和不定期向基金托管人提供基金份额持有人名册。</w:t>
      </w:r>
    </w:p>
    <w:p>
      <w:pPr>
        <w:pStyle w:val="7"/>
        <w:spacing w:before="0" w:beforeAutospacing="0" w:after="0" w:afterAutospacing="0" w:line="360" w:lineRule="auto"/>
        <w:ind w:firstLine="420"/>
        <w:rPr>
          <w:sz w:val="21"/>
          <w:szCs w:val="21"/>
        </w:rPr>
      </w:pPr>
      <w:r>
        <w:rPr>
          <w:rFonts w:hint="eastAsia"/>
          <w:sz w:val="21"/>
          <w:szCs w:val="21"/>
        </w:rPr>
        <w:t>（一）基金管理人于《基金合同》生效日及《基金合同》终止日后10个工作日内向基金托管人提供由登记机构编制的基金份额持有人名册；</w:t>
      </w:r>
    </w:p>
    <w:p>
      <w:pPr>
        <w:pStyle w:val="7"/>
        <w:spacing w:before="0" w:beforeAutospacing="0" w:after="0" w:afterAutospacing="0" w:line="360" w:lineRule="auto"/>
        <w:ind w:firstLine="420"/>
        <w:rPr>
          <w:sz w:val="21"/>
          <w:szCs w:val="21"/>
        </w:rPr>
      </w:pPr>
      <w:r>
        <w:rPr>
          <w:rFonts w:hint="eastAsia"/>
          <w:sz w:val="21"/>
          <w:szCs w:val="21"/>
        </w:rPr>
        <w:t>（二）基金管理人于基金份额持有人大会权益登记日后5个工作日内向基金托管人提供由登记机构编制的基金份额持有人名册；</w:t>
      </w:r>
    </w:p>
    <w:p>
      <w:pPr>
        <w:pStyle w:val="7"/>
        <w:spacing w:before="0" w:beforeAutospacing="0" w:after="0" w:afterAutospacing="0" w:line="360" w:lineRule="auto"/>
        <w:ind w:firstLine="420"/>
        <w:rPr>
          <w:sz w:val="21"/>
          <w:szCs w:val="21"/>
        </w:rPr>
      </w:pPr>
      <w:r>
        <w:rPr>
          <w:rFonts w:hint="eastAsia"/>
          <w:sz w:val="21"/>
          <w:szCs w:val="21"/>
        </w:rPr>
        <w:t>（三）基金管理人于每年最后一个交易日后10个工作日内向基金托管人提供由登记机构编制的基金份额持有人名册；</w:t>
      </w:r>
    </w:p>
    <w:p>
      <w:pPr>
        <w:pStyle w:val="7"/>
        <w:spacing w:before="0" w:beforeAutospacing="0" w:after="0" w:afterAutospacing="0" w:line="360" w:lineRule="auto"/>
        <w:ind w:firstLine="420"/>
        <w:rPr>
          <w:sz w:val="21"/>
          <w:szCs w:val="21"/>
        </w:rPr>
      </w:pPr>
      <w:r>
        <w:rPr>
          <w:rFonts w:hint="eastAsia"/>
          <w:sz w:val="21"/>
          <w:szCs w:val="21"/>
        </w:rPr>
        <w:t>（四）除上述约定时间外，如果确因业务需要，基金托管人与基金管理人商议一致后，由基金管理人向基金托管人提供由登记机构编制的基金份额持有人名册。</w:t>
      </w:r>
    </w:p>
    <w:p>
      <w:pPr>
        <w:pStyle w:val="7"/>
        <w:spacing w:before="0" w:beforeAutospacing="0" w:after="0" w:afterAutospacing="0" w:line="360" w:lineRule="auto"/>
        <w:ind w:firstLine="420"/>
        <w:rPr>
          <w:sz w:val="21"/>
          <w:szCs w:val="21"/>
        </w:rPr>
      </w:pPr>
      <w:r>
        <w:rPr>
          <w:rFonts w:hint="eastAsia"/>
          <w:sz w:val="21"/>
          <w:szCs w:val="21"/>
        </w:rPr>
        <w:t>基金托管人以电子版形式妥善保管基金份额持有人名册，并定期刻成光盘备份，保存期限不低于法律法规规定的最低期限。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pPr>
        <w:pStyle w:val="7"/>
        <w:spacing w:before="0" w:beforeAutospacing="0" w:after="0" w:afterAutospacing="0" w:line="360" w:lineRule="auto"/>
        <w:ind w:firstLine="420"/>
        <w:rPr>
          <w:sz w:val="21"/>
          <w:szCs w:val="21"/>
        </w:rPr>
      </w:pPr>
      <w:r>
        <w:rPr>
          <w:rStyle w:val="11"/>
          <w:rFonts w:hint="eastAsia"/>
          <w:sz w:val="21"/>
          <w:szCs w:val="21"/>
        </w:rPr>
        <w:t>七、争议解决方式</w:t>
      </w:r>
    </w:p>
    <w:p>
      <w:pPr>
        <w:pStyle w:val="7"/>
        <w:spacing w:before="0" w:beforeAutospacing="0" w:after="0" w:afterAutospacing="0" w:line="360" w:lineRule="auto"/>
        <w:ind w:firstLine="420"/>
        <w:rPr>
          <w:sz w:val="21"/>
          <w:szCs w:val="21"/>
        </w:rPr>
      </w:pPr>
      <w:r>
        <w:rPr>
          <w:rStyle w:val="11"/>
          <w:rFonts w:hint="eastAsia"/>
          <w:sz w:val="21"/>
          <w:szCs w:val="21"/>
        </w:rPr>
        <w:t>双方当事人同意，因本协议而产生的或与本协议有关的一切争议，应通过友好协商或者调解解决。托管协议当事人不愿通过协商、调解解决或者协商、调解不成的，应提交深圳国际仲裁院（深圳仲裁委员会）仲裁，根据该会届时有效的仲裁规则进行仲裁，仲裁的地点为深圳市，仲裁裁决是终局性的，并对双方当事人均具有约束力。仲裁费用、律师费用由败诉方承担，除非仲裁裁决另有规定。</w:t>
      </w:r>
    </w:p>
    <w:p>
      <w:pPr>
        <w:pStyle w:val="7"/>
        <w:spacing w:before="0" w:beforeAutospacing="0" w:after="0" w:afterAutospacing="0" w:line="360" w:lineRule="auto"/>
        <w:ind w:firstLine="420"/>
        <w:rPr>
          <w:sz w:val="21"/>
          <w:szCs w:val="21"/>
        </w:rPr>
      </w:pPr>
      <w:r>
        <w:rPr>
          <w:rStyle w:val="11"/>
          <w:rFonts w:hint="eastAsia"/>
          <w:sz w:val="21"/>
          <w:szCs w:val="21"/>
        </w:rPr>
        <w:t>争议处理期间，双方当事人应恪守基金管理人和基金托管人职责，各自继续忠实、勤勉、尽责地履行《基金合同》和本协议规定的义务，维护基金份额持有人的合法权益。</w:t>
      </w:r>
    </w:p>
    <w:p>
      <w:pPr>
        <w:pStyle w:val="7"/>
        <w:spacing w:before="0" w:beforeAutospacing="0" w:after="0" w:afterAutospacing="0" w:line="360" w:lineRule="auto"/>
        <w:ind w:firstLine="420"/>
        <w:rPr>
          <w:sz w:val="21"/>
          <w:szCs w:val="21"/>
        </w:rPr>
      </w:pPr>
      <w:r>
        <w:rPr>
          <w:rStyle w:val="11"/>
          <w:rFonts w:hint="eastAsia"/>
          <w:sz w:val="21"/>
          <w:szCs w:val="21"/>
        </w:rPr>
        <w:t>本协议受中华人民共和国（为本协议的目的，不包括香港、澳门特别行政区及台湾地区）法律管辖。</w:t>
      </w:r>
    </w:p>
    <w:p>
      <w:pPr>
        <w:pStyle w:val="7"/>
        <w:spacing w:before="0" w:beforeAutospacing="0" w:after="0" w:afterAutospacing="0" w:line="360" w:lineRule="auto"/>
        <w:ind w:firstLine="420"/>
        <w:rPr>
          <w:sz w:val="21"/>
          <w:szCs w:val="21"/>
        </w:rPr>
      </w:pPr>
      <w:r>
        <w:rPr>
          <w:rStyle w:val="11"/>
          <w:rFonts w:hint="eastAsia"/>
          <w:sz w:val="21"/>
          <w:szCs w:val="21"/>
        </w:rPr>
        <w:t>八、托管协议的变更、终止与基金财产的清算</w:t>
      </w:r>
    </w:p>
    <w:p>
      <w:pPr>
        <w:pStyle w:val="7"/>
        <w:spacing w:before="0" w:beforeAutospacing="0" w:after="0" w:afterAutospacing="0" w:line="360" w:lineRule="auto"/>
        <w:ind w:firstLine="420"/>
        <w:rPr>
          <w:sz w:val="21"/>
          <w:szCs w:val="21"/>
        </w:rPr>
      </w:pPr>
      <w:r>
        <w:rPr>
          <w:rFonts w:hint="eastAsia"/>
          <w:sz w:val="21"/>
          <w:szCs w:val="21"/>
        </w:rPr>
        <w:t>（一）基金托管协议的变更</w:t>
      </w:r>
    </w:p>
    <w:p>
      <w:pPr>
        <w:pStyle w:val="7"/>
        <w:spacing w:before="0" w:beforeAutospacing="0" w:after="0" w:afterAutospacing="0" w:line="360" w:lineRule="auto"/>
        <w:ind w:firstLine="420"/>
        <w:rPr>
          <w:sz w:val="21"/>
          <w:szCs w:val="21"/>
        </w:rPr>
      </w:pPr>
      <w:r>
        <w:rPr>
          <w:rFonts w:hint="eastAsia"/>
          <w:sz w:val="21"/>
          <w:szCs w:val="21"/>
        </w:rPr>
        <w:t>本协议双方当事人经协商一致，可以对协议进行修改。修改后的新协议，其内容不得与《基金合同》的规定有任何冲突。</w:t>
      </w:r>
    </w:p>
    <w:p>
      <w:pPr>
        <w:pStyle w:val="7"/>
        <w:spacing w:before="0" w:beforeAutospacing="0" w:after="0" w:afterAutospacing="0" w:line="360" w:lineRule="auto"/>
        <w:ind w:firstLine="420"/>
        <w:rPr>
          <w:sz w:val="21"/>
          <w:szCs w:val="21"/>
        </w:rPr>
      </w:pPr>
      <w:r>
        <w:rPr>
          <w:rFonts w:hint="eastAsia"/>
          <w:sz w:val="21"/>
          <w:szCs w:val="21"/>
        </w:rPr>
        <w:t>（二）基金托管协议的终止</w:t>
      </w:r>
    </w:p>
    <w:p>
      <w:pPr>
        <w:pStyle w:val="7"/>
        <w:spacing w:before="0" w:beforeAutospacing="0" w:after="0" w:afterAutospacing="0" w:line="360" w:lineRule="auto"/>
        <w:ind w:firstLine="420"/>
        <w:rPr>
          <w:sz w:val="21"/>
          <w:szCs w:val="21"/>
        </w:rPr>
      </w:pPr>
      <w:r>
        <w:rPr>
          <w:rFonts w:hint="eastAsia"/>
          <w:sz w:val="21"/>
          <w:szCs w:val="21"/>
        </w:rPr>
        <w:t>1、《基金合同》终止；</w:t>
      </w:r>
    </w:p>
    <w:p>
      <w:pPr>
        <w:pStyle w:val="7"/>
        <w:spacing w:before="0" w:beforeAutospacing="0" w:after="0" w:afterAutospacing="0" w:line="360" w:lineRule="auto"/>
        <w:ind w:firstLine="420"/>
        <w:rPr>
          <w:sz w:val="21"/>
          <w:szCs w:val="21"/>
        </w:rPr>
      </w:pPr>
      <w:r>
        <w:rPr>
          <w:rFonts w:hint="eastAsia"/>
          <w:sz w:val="21"/>
          <w:szCs w:val="21"/>
        </w:rPr>
        <w:t>2、基金托管人解散、依法被撤销、破产，被依法取消基金托管资格或因其他事由造成其他基金托管人接管基金财产；</w:t>
      </w:r>
    </w:p>
    <w:p>
      <w:pPr>
        <w:pStyle w:val="7"/>
        <w:spacing w:before="0" w:beforeAutospacing="0" w:after="0" w:afterAutospacing="0" w:line="360" w:lineRule="auto"/>
        <w:ind w:firstLine="420"/>
        <w:rPr>
          <w:sz w:val="21"/>
          <w:szCs w:val="21"/>
        </w:rPr>
      </w:pPr>
      <w:r>
        <w:rPr>
          <w:rFonts w:hint="eastAsia"/>
          <w:sz w:val="21"/>
          <w:szCs w:val="21"/>
        </w:rPr>
        <w:t>3、基金管理人解散、依法被撤销、破产，被依法取消基金管理资格或因其他事由造成其他基金管理人接管基金管理权；</w:t>
      </w:r>
    </w:p>
    <w:p>
      <w:pPr>
        <w:pStyle w:val="7"/>
        <w:spacing w:before="0" w:beforeAutospacing="0" w:after="0" w:afterAutospacing="0" w:line="360" w:lineRule="auto"/>
        <w:ind w:firstLine="420"/>
        <w:rPr>
          <w:sz w:val="21"/>
          <w:szCs w:val="21"/>
        </w:rPr>
      </w:pPr>
      <w:r>
        <w:rPr>
          <w:rFonts w:hint="eastAsia"/>
          <w:sz w:val="21"/>
          <w:szCs w:val="21"/>
        </w:rPr>
        <w:t>4、发生《基金法》、《销售办法》、《运作办法》或其他法律、法规规定的终止事项。</w:t>
      </w:r>
    </w:p>
    <w:p>
      <w:pPr>
        <w:pStyle w:val="7"/>
        <w:spacing w:before="0" w:beforeAutospacing="0" w:after="0" w:afterAutospacing="0" w:line="360" w:lineRule="auto"/>
        <w:ind w:firstLine="420"/>
        <w:rPr>
          <w:sz w:val="21"/>
          <w:szCs w:val="21"/>
        </w:rPr>
      </w:pPr>
      <w:r>
        <w:rPr>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1、基金财产清算小组：自出现《基金合同》终止事由之日起30个工作日内成立基金财产清算小组，基金管理人组织基金财产清算小组并在中国证监会的监督下进行基金清算。</w:t>
      </w:r>
    </w:p>
    <w:p>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2、在基金财产清算小组接管基金财产之前，基金管理人和基金托管人应按照《基金合同》和本协议的规定继续履行保护基金财产安全的职责。</w:t>
      </w:r>
    </w:p>
    <w:p>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pPr>
        <w:pStyle w:val="7"/>
        <w:spacing w:before="0" w:beforeAutospacing="0" w:after="0" w:afterAutospacing="0" w:line="360" w:lineRule="auto"/>
        <w:ind w:firstLine="420"/>
        <w:rPr>
          <w:sz w:val="21"/>
          <w:szCs w:val="21"/>
        </w:rPr>
      </w:pPr>
      <w:r>
        <w:rPr>
          <w:rFonts w:hint="eastAsia"/>
          <w:sz w:val="21"/>
          <w:szCs w:val="21"/>
        </w:rPr>
        <w:t>5、基金财产清算程序：</w:t>
      </w:r>
    </w:p>
    <w:p>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pPr>
        <w:pStyle w:val="7"/>
        <w:spacing w:before="0" w:beforeAutospacing="0" w:after="0" w:afterAutospacing="0" w:line="360" w:lineRule="auto"/>
        <w:ind w:firstLine="420"/>
        <w:rPr>
          <w:sz w:val="21"/>
          <w:szCs w:val="21"/>
        </w:rPr>
      </w:pPr>
      <w:r>
        <w:rPr>
          <w:rFonts w:hint="eastAsia"/>
          <w:sz w:val="21"/>
          <w:szCs w:val="21"/>
        </w:rPr>
        <w:t>（3）对基金财产进行估值和变现；</w:t>
      </w:r>
    </w:p>
    <w:p>
      <w:pPr>
        <w:pStyle w:val="7"/>
        <w:spacing w:before="0" w:beforeAutospacing="0" w:after="0" w:afterAutospacing="0" w:line="360" w:lineRule="auto"/>
        <w:ind w:firstLine="420"/>
        <w:rPr>
          <w:sz w:val="21"/>
          <w:szCs w:val="21"/>
        </w:rPr>
      </w:pPr>
      <w:r>
        <w:rPr>
          <w:rFonts w:hint="eastAsia"/>
          <w:sz w:val="21"/>
          <w:szCs w:val="21"/>
        </w:rPr>
        <w:t>（4）制作清算报告；</w:t>
      </w:r>
    </w:p>
    <w:p>
      <w:pPr>
        <w:pStyle w:val="7"/>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pPr>
        <w:pStyle w:val="7"/>
        <w:spacing w:before="0" w:beforeAutospacing="0" w:after="0" w:afterAutospacing="0" w:line="360" w:lineRule="auto"/>
        <w:ind w:firstLine="420"/>
        <w:rPr>
          <w:sz w:val="21"/>
          <w:szCs w:val="21"/>
        </w:rPr>
      </w:pPr>
      <w:r>
        <w:rPr>
          <w:rFonts w:hint="eastAsia"/>
          <w:sz w:val="21"/>
          <w:szCs w:val="21"/>
        </w:rPr>
        <w:t>（7）对基金剩余财产进行分配。</w:t>
      </w:r>
    </w:p>
    <w:p>
      <w:pPr>
        <w:pStyle w:val="7"/>
        <w:spacing w:before="0" w:beforeAutospacing="0" w:after="0" w:afterAutospacing="0" w:line="360" w:lineRule="auto"/>
        <w:ind w:firstLine="420"/>
        <w:rPr>
          <w:sz w:val="21"/>
          <w:szCs w:val="21"/>
        </w:rPr>
      </w:pPr>
      <w:r>
        <w:rPr>
          <w:rFonts w:hint="eastAsia"/>
          <w:sz w:val="21"/>
          <w:szCs w:val="21"/>
        </w:rPr>
        <w:t>6、基金财产清算的期限为6个月，但因本基金所持证券的流动性受到限制而不能及时变现的，清算期限可相应顺延。</w:t>
      </w:r>
    </w:p>
    <w:p>
      <w:pPr>
        <w:pStyle w:val="7"/>
        <w:spacing w:before="0" w:beforeAutospacing="0" w:after="0" w:afterAutospacing="0" w:line="360" w:lineRule="auto"/>
        <w:ind w:firstLine="420"/>
        <w:rPr>
          <w:sz w:val="21"/>
          <w:szCs w:val="21"/>
        </w:rPr>
      </w:pPr>
      <w:r>
        <w:rPr>
          <w:rFonts w:hint="eastAsia"/>
          <w:sz w:val="21"/>
          <w:szCs w:val="21"/>
        </w:rPr>
        <w:t>7、清算费用</w:t>
      </w:r>
    </w:p>
    <w:p>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清算费用是指基金财产清算小组在进行基金财产清算过程中发生的所有合理费用，清算费用由基金财产清算小组优先从基金剩余财产中支付。</w:t>
      </w:r>
    </w:p>
    <w:p>
      <w:pPr>
        <w:pStyle w:val="7"/>
        <w:spacing w:before="0" w:beforeAutospacing="0" w:after="0" w:afterAutospacing="0" w:line="360" w:lineRule="auto"/>
        <w:ind w:firstLine="420"/>
        <w:rPr>
          <w:sz w:val="21"/>
          <w:szCs w:val="21"/>
        </w:rPr>
      </w:pPr>
      <w:r>
        <w:rPr>
          <w:rFonts w:hint="eastAsia"/>
          <w:sz w:val="21"/>
          <w:szCs w:val="21"/>
        </w:rPr>
        <w:t>8、基金财产清算剩余资产的分配</w:t>
      </w:r>
    </w:p>
    <w:p>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依据基金财产清算的分配方案，将基金财产清算后的全部剩余资产扣除基金财产清算费用、交纳所欠税款并清偿基金债务后，按基金份额持有人持有的基金份额比例进行分配。</w:t>
      </w:r>
    </w:p>
    <w:p>
      <w:pPr>
        <w:pStyle w:val="7"/>
        <w:spacing w:before="0" w:beforeAutospacing="0" w:after="0" w:afterAutospacing="0" w:line="360" w:lineRule="auto"/>
        <w:ind w:firstLine="420"/>
        <w:rPr>
          <w:sz w:val="21"/>
          <w:szCs w:val="21"/>
        </w:rPr>
      </w:pPr>
      <w:r>
        <w:rPr>
          <w:rFonts w:hint="eastAsia"/>
          <w:sz w:val="21"/>
          <w:szCs w:val="21"/>
        </w:rPr>
        <w:t>9、基金财产清算的公告</w:t>
      </w:r>
    </w:p>
    <w:p>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pStyle w:val="7"/>
        <w:spacing w:before="0" w:beforeAutospacing="0" w:after="0" w:afterAutospacing="0" w:line="360" w:lineRule="auto"/>
        <w:ind w:firstLine="420"/>
        <w:rPr>
          <w:sz w:val="21"/>
          <w:szCs w:val="21"/>
        </w:rPr>
      </w:pPr>
      <w:r>
        <w:rPr>
          <w:rFonts w:hint="eastAsia"/>
          <w:sz w:val="21"/>
          <w:szCs w:val="21"/>
        </w:rPr>
        <w:t>10、基金财产清算账册及文件的保存</w:t>
      </w:r>
    </w:p>
    <w:p>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基金财产清算账册及有关文件由基金托管人保存，保存时间不低于法律法规规定的最低</w:t>
      </w:r>
      <w:bookmarkStart w:id="181" w:name="chapter_level1_25_72_section_1_end"/>
      <w:bookmarkEnd w:id="181"/>
      <w:r>
        <w:rPr>
          <w:rFonts w:hint="eastAsia"/>
          <w:sz w:val="21"/>
          <w:szCs w:val="21"/>
        </w:rPr>
        <w:t>期限。</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2" w:name="_Toc213857384"/>
      <w:bookmarkStart w:id="183" w:name="chapter_level1_26_75"/>
      <w:r>
        <w:rPr>
          <w:rFonts w:hint="eastAsia" w:ascii="宋体" w:hAnsi="宋体" w:eastAsia="宋体"/>
          <w:sz w:val="30"/>
        </w:rPr>
        <w:t>第二十二部分  对基金份额持有人的服务</w:t>
      </w:r>
      <w:bookmarkEnd w:id="182"/>
      <w:bookmarkEnd w:id="183"/>
    </w:p>
    <w:p>
      <w:pPr>
        <w:pStyle w:val="7"/>
        <w:spacing w:before="0" w:beforeAutospacing="0" w:after="0" w:afterAutospacing="0" w:line="360" w:lineRule="auto"/>
        <w:ind w:firstLine="420"/>
        <w:rPr>
          <w:sz w:val="21"/>
          <w:szCs w:val="21"/>
        </w:rPr>
      </w:pPr>
      <w:bookmarkStart w:id="184" w:name="chapter_level1_26_75_section_1"/>
      <w:bookmarkEnd w:id="184"/>
      <w:r>
        <w:rPr>
          <w:rFonts w:hint="eastAsia"/>
          <w:sz w:val="21"/>
          <w:szCs w:val="21"/>
        </w:rPr>
        <w:t>对本基金份额持有人的服务主要由基金管理人、发售代理机构、申购赎回代理券商提供。基金管理人承诺为基金份额持有人提供一系列的服务，以下是主要的服务内容。基金管理人根据基金份额持有人的需要和市场的变化，有权增加和修改服务项目。</w:t>
      </w:r>
    </w:p>
    <w:p>
      <w:pPr>
        <w:pStyle w:val="7"/>
        <w:spacing w:before="0" w:beforeAutospacing="0" w:after="0" w:afterAutospacing="0" w:line="360" w:lineRule="auto"/>
        <w:ind w:firstLine="420"/>
        <w:rPr>
          <w:sz w:val="21"/>
          <w:szCs w:val="21"/>
        </w:rPr>
      </w:pPr>
      <w:r>
        <w:rPr>
          <w:rFonts w:hint="eastAsia"/>
          <w:sz w:val="21"/>
          <w:szCs w:val="21"/>
        </w:rPr>
        <w:t>基金管理人提供的服务内容如下：</w:t>
      </w:r>
    </w:p>
    <w:p>
      <w:pPr>
        <w:pStyle w:val="7"/>
        <w:spacing w:before="0" w:beforeAutospacing="0" w:after="0" w:afterAutospacing="0" w:line="360" w:lineRule="auto"/>
        <w:ind w:firstLine="420"/>
        <w:rPr>
          <w:sz w:val="21"/>
          <w:szCs w:val="21"/>
        </w:rPr>
      </w:pPr>
      <w:r>
        <w:rPr>
          <w:rStyle w:val="11"/>
          <w:rFonts w:hint="eastAsia"/>
          <w:sz w:val="21"/>
          <w:szCs w:val="21"/>
        </w:rPr>
        <w:t>一、客户服务电话</w:t>
      </w:r>
    </w:p>
    <w:p>
      <w:pPr>
        <w:pStyle w:val="7"/>
        <w:spacing w:before="0" w:beforeAutospacing="0" w:after="0" w:afterAutospacing="0" w:line="360" w:lineRule="auto"/>
        <w:ind w:firstLine="420"/>
        <w:rPr>
          <w:sz w:val="21"/>
          <w:szCs w:val="21"/>
        </w:rPr>
      </w:pPr>
      <w:r>
        <w:rPr>
          <w:rFonts w:hint="eastAsia"/>
          <w:sz w:val="21"/>
          <w:szCs w:val="21"/>
        </w:rPr>
        <w:t>客户服务中心自动语音系统提供每周七天、每天24小时的自动语音服务和查询服务，客户可以通过电话查询基金份额净值。同时，客服中心提供工作日每天9:00-21:00、节假日（十一和春节除外）9:00-17:00 的电话人工服务。</w:t>
      </w:r>
    </w:p>
    <w:p>
      <w:pPr>
        <w:pStyle w:val="7"/>
        <w:spacing w:before="0" w:beforeAutospacing="0" w:after="0" w:afterAutospacing="0" w:line="360" w:lineRule="auto"/>
        <w:ind w:firstLine="420"/>
        <w:rPr>
          <w:sz w:val="21"/>
          <w:szCs w:val="21"/>
        </w:rPr>
      </w:pPr>
      <w:r>
        <w:rPr>
          <w:rFonts w:hint="eastAsia"/>
          <w:sz w:val="21"/>
          <w:szCs w:val="21"/>
        </w:rPr>
        <w:t>博时一线通：95105568（免长途话费）</w:t>
      </w:r>
    </w:p>
    <w:p>
      <w:pPr>
        <w:pStyle w:val="7"/>
        <w:spacing w:before="0" w:beforeAutospacing="0" w:after="0" w:afterAutospacing="0" w:line="360" w:lineRule="auto"/>
        <w:ind w:firstLine="420"/>
        <w:rPr>
          <w:sz w:val="21"/>
          <w:szCs w:val="21"/>
        </w:rPr>
      </w:pPr>
      <w:r>
        <w:rPr>
          <w:rStyle w:val="11"/>
          <w:rFonts w:hint="eastAsia"/>
          <w:sz w:val="21"/>
          <w:szCs w:val="21"/>
        </w:rPr>
        <w:t>二、网上客户服务中心</w:t>
      </w:r>
    </w:p>
    <w:p>
      <w:pPr>
        <w:pStyle w:val="7"/>
        <w:spacing w:before="0" w:beforeAutospacing="0" w:after="0" w:afterAutospacing="0" w:line="360" w:lineRule="auto"/>
        <w:ind w:firstLine="420"/>
        <w:rPr>
          <w:sz w:val="21"/>
          <w:szCs w:val="21"/>
        </w:rPr>
      </w:pPr>
      <w:r>
        <w:rPr>
          <w:rFonts w:hint="eastAsia"/>
          <w:sz w:val="21"/>
          <w:szCs w:val="21"/>
        </w:rPr>
        <w:t>网上客户服务为投资人提供查询服务、资讯服务以及在线咨询的平台。登陆网站后，投资人可以查询基金相关信息，享受资讯服务；投资人还可以使用“在线客服”功能进行在线咨询以及查询热点问题及其解答，并提交投诉与建议。</w:t>
      </w:r>
    </w:p>
    <w:p>
      <w:pPr>
        <w:pStyle w:val="7"/>
        <w:spacing w:before="0" w:beforeAutospacing="0" w:after="0" w:afterAutospacing="0" w:line="360" w:lineRule="auto"/>
        <w:ind w:firstLine="420"/>
        <w:rPr>
          <w:sz w:val="21"/>
          <w:szCs w:val="21"/>
        </w:rPr>
      </w:pPr>
      <w:r>
        <w:rPr>
          <w:rFonts w:hint="eastAsia"/>
          <w:sz w:val="21"/>
          <w:szCs w:val="21"/>
        </w:rPr>
        <w:t>基金管理人网址： www.bosera.com</w:t>
      </w:r>
    </w:p>
    <w:p>
      <w:pPr>
        <w:pStyle w:val="7"/>
        <w:spacing w:before="0" w:beforeAutospacing="0" w:after="0" w:afterAutospacing="0" w:line="360" w:lineRule="auto"/>
        <w:ind w:firstLine="420"/>
        <w:rPr>
          <w:sz w:val="21"/>
          <w:szCs w:val="21"/>
        </w:rPr>
      </w:pPr>
      <w:r>
        <w:rPr>
          <w:rFonts w:hint="eastAsia"/>
          <w:sz w:val="21"/>
          <w:szCs w:val="21"/>
        </w:rPr>
        <w:t>电子邮箱：service@bosera.com</w:t>
      </w:r>
    </w:p>
    <w:p>
      <w:pPr>
        <w:pStyle w:val="7"/>
        <w:spacing w:before="0" w:beforeAutospacing="0" w:after="0" w:afterAutospacing="0" w:line="360" w:lineRule="auto"/>
        <w:ind w:firstLine="420"/>
        <w:rPr>
          <w:sz w:val="21"/>
          <w:szCs w:val="21"/>
        </w:rPr>
      </w:pPr>
      <w:r>
        <w:rPr>
          <w:rStyle w:val="11"/>
          <w:rFonts w:hint="eastAsia"/>
          <w:sz w:val="21"/>
          <w:szCs w:val="21"/>
        </w:rPr>
        <w:t>三、客户投诉处理</w:t>
      </w:r>
    </w:p>
    <w:p>
      <w:pPr>
        <w:pStyle w:val="7"/>
        <w:spacing w:before="0" w:beforeAutospacing="0" w:after="0" w:afterAutospacing="0" w:line="360" w:lineRule="auto"/>
        <w:ind w:firstLine="420"/>
        <w:rPr>
          <w:sz w:val="21"/>
          <w:szCs w:val="21"/>
        </w:rPr>
      </w:pPr>
      <w:r>
        <w:rPr>
          <w:rFonts w:hint="eastAsia"/>
          <w:sz w:val="21"/>
          <w:szCs w:val="21"/>
        </w:rPr>
        <w:t>投资者可以通过博时基金网站、客服中心IVR自动语音留言、客服中心电话人工坐席、书信、电子邮件、传真等渠道对基金管理人提供的服务进行投诉。投资者还可以通过发售代理机构、申购赎回代理券商的服务电话对该代理机构提供的服务进行投诉。</w:t>
      </w:r>
    </w:p>
    <w:p>
      <w:pPr>
        <w:pStyle w:val="7"/>
        <w:spacing w:before="0" w:beforeAutospacing="0" w:after="0" w:afterAutospacing="0" w:line="360" w:lineRule="auto"/>
        <w:ind w:firstLine="420"/>
        <w:rPr>
          <w:sz w:val="21"/>
          <w:szCs w:val="21"/>
        </w:rPr>
      </w:pPr>
      <w:r>
        <w:rPr>
          <w:rStyle w:val="11"/>
          <w:rFonts w:hint="eastAsia"/>
          <w:sz w:val="21"/>
          <w:szCs w:val="21"/>
        </w:rPr>
        <w:t>如本招募说明书存在任何您/贵机构无法理解的内容，请通过上述方式联系基金管理人。</w:t>
      </w:r>
      <w:bookmarkStart w:id="185" w:name="chapter_level1_26_75_section_1_end"/>
      <w:bookmarkEnd w:id="185"/>
      <w:r>
        <w:rPr>
          <w:rStyle w:val="11"/>
          <w:rFonts w:hint="eastAsia"/>
          <w:sz w:val="21"/>
          <w:szCs w:val="21"/>
        </w:rPr>
        <w:t>请确保投资前，您/贵机构已经全面理解了本招募说明书。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6" w:name="chapter_level1_27_3499"/>
      <w:bookmarkStart w:id="187" w:name="_Toc213857385"/>
      <w:r>
        <w:rPr>
          <w:rFonts w:hint="eastAsia" w:ascii="宋体" w:hAnsi="宋体" w:eastAsia="宋体"/>
          <w:sz w:val="30"/>
        </w:rPr>
        <w:t>第二十三部分 其他应披露的事项</w:t>
      </w:r>
      <w:bookmarkEnd w:id="186"/>
      <w:bookmarkEnd w:id="187"/>
    </w:p>
    <w:p>
      <w:pPr>
        <w:pStyle w:val="7"/>
        <w:spacing w:before="0" w:beforeAutospacing="0" w:after="0" w:afterAutospacing="0" w:line="360" w:lineRule="auto"/>
        <w:ind w:firstLine="420"/>
        <w:rPr>
          <w:sz w:val="21"/>
          <w:szCs w:val="21"/>
        </w:rPr>
      </w:pPr>
      <w:bookmarkStart w:id="188" w:name="chapter_level1_27_3499_section_1"/>
      <w:bookmarkEnd w:id="188"/>
      <w:bookmarkStart w:id="189" w:name="field_0_bsrevealinfo_1_start"/>
      <w:bookmarkEnd w:id="189"/>
      <w:r>
        <w:rPr>
          <w:rFonts w:hint="eastAsia"/>
          <w:sz w:val="21"/>
          <w:szCs w:val="21"/>
        </w:rPr>
        <w:t>（一）、2025年10月28日，我公司公告了《博时国证大盘成长交易型开放式指数证券投资基金2025年第3季度报告》；</w:t>
      </w:r>
    </w:p>
    <w:p>
      <w:pPr>
        <w:pStyle w:val="7"/>
        <w:spacing w:before="0" w:beforeAutospacing="0" w:after="0" w:afterAutospacing="0" w:line="360" w:lineRule="auto"/>
        <w:ind w:firstLine="420"/>
        <w:rPr>
          <w:sz w:val="21"/>
          <w:szCs w:val="21"/>
        </w:rPr>
      </w:pPr>
      <w:r>
        <w:rPr>
          <w:rFonts w:hint="eastAsia"/>
          <w:sz w:val="21"/>
          <w:szCs w:val="21"/>
        </w:rPr>
        <w:t>（二）、2025年10月16日，我公司公告了《博时基金管理有限公司关于高级管理人员变更的公告》；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（三）、2025年9月4日，我公司公告了《博时基金管理有限公司关于旗下基金持有的长期停牌股票调整估值方法的公告》；</w:t>
      </w:r>
    </w:p>
    <w:p>
      <w:pPr>
        <w:pStyle w:val="7"/>
        <w:spacing w:before="0" w:beforeAutospacing="0" w:after="0" w:afterAutospacing="0" w:line="360" w:lineRule="auto"/>
        <w:ind w:firstLine="420"/>
        <w:rPr>
          <w:sz w:val="21"/>
          <w:szCs w:val="21"/>
        </w:rPr>
      </w:pPr>
      <w:r>
        <w:rPr>
          <w:rFonts w:hint="eastAsia"/>
          <w:sz w:val="21"/>
          <w:szCs w:val="21"/>
        </w:rPr>
        <w:t>（四）、2025年7月4日，我公司公告了《关于博时国证大盘成长交易型开放式指数证券投资基金新增东吴证券为申购、赎回代办券商的公告》；</w:t>
      </w:r>
    </w:p>
    <w:p>
      <w:pPr>
        <w:pStyle w:val="7"/>
        <w:spacing w:before="0" w:beforeAutospacing="0" w:after="0" w:afterAutospacing="0" w:line="360" w:lineRule="auto"/>
        <w:ind w:firstLine="420"/>
        <w:rPr>
          <w:sz w:val="21"/>
          <w:szCs w:val="21"/>
        </w:rPr>
      </w:pPr>
      <w:r>
        <w:rPr>
          <w:rFonts w:hint="eastAsia"/>
          <w:sz w:val="21"/>
          <w:szCs w:val="21"/>
        </w:rPr>
        <w:t>（五）、2025年6月30日，我公司公告了《关于博时国证大盘成长交易型开放式指数证券投资基金流动性服务商的公告》、《博时国证大盘成长交易型开放式指数证券投资基金基金产品资料概要更新》、《博时国证大盘成长交易型开放式指数证券投资基金上市交易提示性公告》；</w:t>
      </w:r>
    </w:p>
    <w:p>
      <w:pPr>
        <w:pStyle w:val="7"/>
        <w:spacing w:before="0" w:beforeAutospacing="0" w:after="0" w:afterAutospacing="0" w:line="360" w:lineRule="auto"/>
        <w:ind w:firstLine="420"/>
        <w:rPr>
          <w:sz w:val="21"/>
          <w:szCs w:val="21"/>
        </w:rPr>
      </w:pPr>
      <w:r>
        <w:rPr>
          <w:rFonts w:hint="eastAsia"/>
          <w:sz w:val="21"/>
          <w:szCs w:val="21"/>
        </w:rPr>
        <w:t>（六）、2025年6月25日，我公司公告了《博时国证大盘成长交易型开放式指数证券投资基金开放日常申购、赎回业务的公告》、《博时国证大盘成长交易型开放式指数证券投资基金上市交易公告书》；</w:t>
      </w:r>
    </w:p>
    <w:p>
      <w:pPr>
        <w:pStyle w:val="7"/>
        <w:spacing w:before="0" w:beforeAutospacing="0" w:after="0" w:afterAutospacing="0" w:line="360" w:lineRule="auto"/>
        <w:ind w:firstLine="420"/>
        <w:rPr>
          <w:sz w:val="21"/>
          <w:szCs w:val="21"/>
        </w:rPr>
      </w:pPr>
      <w:r>
        <w:rPr>
          <w:rFonts w:hint="eastAsia"/>
          <w:sz w:val="21"/>
          <w:szCs w:val="21"/>
        </w:rPr>
        <w:t>（七）、2025年6月20日，我公司公告了《博时国证大盘成长交易型开放式指数证券投资基金基金产品资料概要更新》；</w:t>
      </w:r>
    </w:p>
    <w:p>
      <w:pPr>
        <w:pStyle w:val="7"/>
        <w:spacing w:before="0" w:beforeAutospacing="0" w:after="0" w:afterAutospacing="0" w:line="360" w:lineRule="auto"/>
        <w:ind w:firstLine="420"/>
        <w:rPr>
          <w:sz w:val="21"/>
          <w:szCs w:val="21"/>
        </w:rPr>
      </w:pPr>
      <w:r>
        <w:rPr>
          <w:rFonts w:hint="eastAsia"/>
          <w:sz w:val="21"/>
          <w:szCs w:val="21"/>
        </w:rPr>
        <w:t>（八）、2025年6月19日，我公司公告了《博时国证大盘成长交易型开放式指数证券投资基金基金合同生效公告》；</w:t>
      </w:r>
    </w:p>
    <w:p>
      <w:pPr>
        <w:pStyle w:val="7"/>
        <w:spacing w:before="0" w:beforeAutospacing="0" w:after="0" w:afterAutospacing="0" w:line="360" w:lineRule="auto"/>
        <w:ind w:firstLine="420"/>
        <w:rPr>
          <w:sz w:val="21"/>
          <w:szCs w:val="21"/>
        </w:rPr>
      </w:pPr>
      <w:r>
        <w:rPr>
          <w:rFonts w:hint="eastAsia"/>
          <w:sz w:val="21"/>
          <w:szCs w:val="21"/>
        </w:rPr>
        <w:t>（九）、2025年6月14日，我公司公告了《关于博时国证大盘成长交易型开放式指数证券投资基金提前结束募集的公告》；</w:t>
      </w:r>
    </w:p>
    <w:p>
      <w:pPr>
        <w:pStyle w:val="7"/>
        <w:spacing w:before="0" w:beforeAutospacing="0" w:after="0" w:afterAutospacing="0" w:line="360" w:lineRule="auto"/>
        <w:ind w:firstLine="420"/>
        <w:rPr>
          <w:sz w:val="21"/>
          <w:szCs w:val="21"/>
        </w:rPr>
      </w:pPr>
      <w:r>
        <w:rPr>
          <w:rFonts w:hint="eastAsia"/>
          <w:sz w:val="21"/>
          <w:szCs w:val="21"/>
        </w:rPr>
        <w:t>（十）、2025年6月6日，我公司公告了《博时基金管理有限公司关于旗下基金持有的长期停牌股票调整估值方法的公告-20250606》；</w:t>
      </w:r>
    </w:p>
    <w:p>
      <w:pPr>
        <w:pStyle w:val="7"/>
        <w:spacing w:before="0" w:beforeAutospacing="0" w:after="0" w:afterAutospacing="0" w:line="360" w:lineRule="auto"/>
        <w:ind w:firstLine="420"/>
        <w:rPr>
          <w:sz w:val="21"/>
          <w:szCs w:val="21"/>
        </w:rPr>
      </w:pPr>
      <w:r>
        <w:rPr>
          <w:rFonts w:hint="eastAsia"/>
          <w:sz w:val="21"/>
          <w:szCs w:val="21"/>
        </w:rPr>
        <w:t>（十一）、2025年6月3日，我公司公告了《博时基金管理有限公司关于旗下基金持有的长期停牌股票调整估值方法的公告-20250603》、《博时国证大盘成长交易型开放式指数证券投资基金上网发售提示性公告》；</w:t>
      </w:r>
    </w:p>
    <w:p>
      <w:pPr>
        <w:pStyle w:val="7"/>
        <w:spacing w:before="0" w:beforeAutospacing="0" w:after="0" w:afterAutospacing="0" w:line="360" w:lineRule="auto"/>
        <w:ind w:firstLine="420"/>
        <w:rPr>
          <w:sz w:val="21"/>
          <w:szCs w:val="21"/>
        </w:rPr>
      </w:pPr>
      <w:r>
        <w:rPr>
          <w:rFonts w:hint="eastAsia"/>
          <w:sz w:val="21"/>
          <w:szCs w:val="21"/>
        </w:rPr>
        <w:t>（十二）、2025年5月29日，我公司公告了《博时国证大盘成长交易型开放式指数证券投资基金招募说明书》、《博时国证大盘成长交易型开放式指数证券投资基金托管协议》、《博时国证大盘成长交易型开放式指数证券投资基金基金份额发售公告》、《博时国证大盘成长交易型开放式指数证券投资基金基金合同》、《博时国证大盘成长交易型开放式指数证</w:t>
      </w:r>
      <w:bookmarkStart w:id="190" w:name="chapter_level1_27_3499_section_1_end"/>
      <w:bookmarkEnd w:id="190"/>
      <w:r>
        <w:rPr>
          <w:rFonts w:hint="eastAsia"/>
          <w:sz w:val="21"/>
          <w:szCs w:val="21"/>
        </w:rPr>
        <w:t>券投资基金基金产品资料概要》。</w:t>
      </w:r>
      <w:bookmarkStart w:id="191" w:name="field_0_bsrevealinfo_1_end"/>
      <w:bookmarkEnd w:id="191"/>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2" w:name="chapter_level1_28_77"/>
      <w:bookmarkStart w:id="193" w:name="_Toc213857386"/>
      <w:r>
        <w:rPr>
          <w:rFonts w:hint="eastAsia" w:ascii="宋体" w:hAnsi="宋体" w:eastAsia="宋体"/>
          <w:sz w:val="30"/>
        </w:rPr>
        <w:t>第二十四部分  招募说明书的存放及查阅方式</w:t>
      </w:r>
      <w:bookmarkEnd w:id="192"/>
      <w:bookmarkEnd w:id="193"/>
    </w:p>
    <w:p>
      <w:pPr>
        <w:pStyle w:val="7"/>
        <w:spacing w:before="0" w:beforeAutospacing="0" w:after="0" w:afterAutospacing="0" w:line="360" w:lineRule="auto"/>
        <w:ind w:firstLine="420"/>
        <w:rPr>
          <w:sz w:val="21"/>
          <w:szCs w:val="21"/>
        </w:rPr>
      </w:pPr>
      <w:bookmarkStart w:id="194" w:name="chapter_level1_28_77_section_1"/>
      <w:bookmarkEnd w:id="194"/>
      <w:r>
        <w:rPr>
          <w:rFonts w:hint="eastAsia"/>
          <w:sz w:val="21"/>
          <w:szCs w:val="21"/>
        </w:rPr>
        <w:t>招募说明书公布后，应当分别置备于基金管理人、基金托管人的住所和基金上市交易的证券交易所，供公众查阅、复制。投资人可在办公时间查阅；投资人在支付工本费后，可在合理时间内取得上述文件复制件或复印件。对投资人按此种方式所获得的文件及其复印件，基金管理人保证文本的内容与所公告的内容完全一致。</w:t>
      </w:r>
    </w:p>
    <w:p>
      <w:pPr>
        <w:pStyle w:val="7"/>
        <w:spacing w:before="0" w:beforeAutospacing="0" w:after="0" w:afterAutospacing="0" w:line="360" w:lineRule="auto"/>
        <w:ind w:firstLine="420"/>
        <w:rPr>
          <w:sz w:val="21"/>
          <w:szCs w:val="21"/>
        </w:rPr>
      </w:pPr>
      <w:bookmarkStart w:id="195" w:name="chapter_level1_28_77_section_1_end"/>
      <w:bookmarkEnd w:id="195"/>
      <w:r>
        <w:rPr>
          <w:rFonts w:hint="eastAsia"/>
          <w:sz w:val="21"/>
          <w:szCs w:val="21"/>
        </w:rPr>
        <w:t>投资人还可以直接登录基金管理人的网站（www.bosera.com）查阅和下载招募说明书。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6" w:name="_Toc213857387"/>
      <w:bookmarkStart w:id="197" w:name="chapter_level1_29_332"/>
      <w:r>
        <w:rPr>
          <w:rFonts w:hint="eastAsia" w:ascii="宋体" w:hAnsi="宋体" w:eastAsia="宋体"/>
          <w:sz w:val="30"/>
        </w:rPr>
        <w:t>第二十五部分  备查文件</w:t>
      </w:r>
      <w:bookmarkEnd w:id="196"/>
      <w:bookmarkEnd w:id="197"/>
    </w:p>
    <w:p>
      <w:pPr>
        <w:pStyle w:val="7"/>
        <w:spacing w:before="0" w:beforeAutospacing="0" w:after="0" w:afterAutospacing="0" w:line="360" w:lineRule="auto"/>
        <w:ind w:firstLine="420"/>
        <w:rPr>
          <w:sz w:val="21"/>
          <w:szCs w:val="21"/>
        </w:rPr>
      </w:pPr>
      <w:bookmarkStart w:id="198" w:name="chapter_level1_29_332_section_1"/>
      <w:bookmarkEnd w:id="198"/>
      <w:r>
        <w:rPr>
          <w:rFonts w:hint="eastAsia"/>
          <w:sz w:val="21"/>
          <w:szCs w:val="21"/>
        </w:rPr>
        <w:t xml:space="preserve">以下备查文件存放在基金管理人的办公场所，在办公时间可供免费查阅。 </w:t>
      </w:r>
    </w:p>
    <w:p>
      <w:pPr>
        <w:pStyle w:val="7"/>
        <w:spacing w:before="0" w:beforeAutospacing="0" w:after="0" w:afterAutospacing="0" w:line="360" w:lineRule="auto"/>
        <w:ind w:firstLine="420"/>
        <w:rPr>
          <w:sz w:val="21"/>
          <w:szCs w:val="21"/>
        </w:rPr>
      </w:pPr>
      <w:r>
        <w:rPr>
          <w:rFonts w:hint="eastAsia"/>
          <w:sz w:val="21"/>
          <w:szCs w:val="21"/>
        </w:rPr>
        <w:t>（一）中国证监会准予</w:t>
      </w:r>
      <w:bookmarkStart w:id="199" w:name="field_0_productfullname_15"/>
      <w:r>
        <w:rPr>
          <w:rFonts w:hint="eastAsia"/>
          <w:sz w:val="21"/>
          <w:szCs w:val="21"/>
        </w:rPr>
        <w:t>博时国证大盘成长交易型开放式指数证券投资基金</w:t>
      </w:r>
      <w:bookmarkEnd w:id="199"/>
      <w:r>
        <w:rPr>
          <w:rFonts w:hint="eastAsia"/>
          <w:sz w:val="21"/>
          <w:szCs w:val="21"/>
        </w:rPr>
        <w:t xml:space="preserve">注册的文件 </w:t>
      </w:r>
    </w:p>
    <w:p>
      <w:pPr>
        <w:pStyle w:val="7"/>
        <w:spacing w:before="0" w:beforeAutospacing="0" w:after="0" w:afterAutospacing="0" w:line="360" w:lineRule="auto"/>
        <w:ind w:firstLine="420"/>
        <w:rPr>
          <w:sz w:val="21"/>
          <w:szCs w:val="21"/>
        </w:rPr>
      </w:pPr>
      <w:r>
        <w:rPr>
          <w:rFonts w:hint="eastAsia"/>
          <w:sz w:val="21"/>
          <w:szCs w:val="21"/>
        </w:rPr>
        <w:t>（二）《</w:t>
      </w:r>
      <w:bookmarkStart w:id="200" w:name="field_0_productfullname_16"/>
      <w:r>
        <w:rPr>
          <w:rFonts w:hint="eastAsia"/>
          <w:sz w:val="21"/>
          <w:szCs w:val="21"/>
        </w:rPr>
        <w:t>博时国证大盘成长交易型开放式指数证券投资基金</w:t>
      </w:r>
      <w:bookmarkEnd w:id="200"/>
      <w:r>
        <w:rPr>
          <w:rFonts w:hint="eastAsia"/>
          <w:sz w:val="21"/>
          <w:szCs w:val="21"/>
        </w:rPr>
        <w:t xml:space="preserve">基金合同》 </w:t>
      </w:r>
    </w:p>
    <w:p>
      <w:pPr>
        <w:pStyle w:val="7"/>
        <w:spacing w:before="0" w:beforeAutospacing="0" w:after="0" w:afterAutospacing="0" w:line="360" w:lineRule="auto"/>
        <w:ind w:firstLine="420"/>
        <w:rPr>
          <w:sz w:val="21"/>
          <w:szCs w:val="21"/>
        </w:rPr>
      </w:pPr>
      <w:r>
        <w:rPr>
          <w:rFonts w:hint="eastAsia"/>
          <w:sz w:val="21"/>
          <w:szCs w:val="21"/>
        </w:rPr>
        <w:t>（三）《</w:t>
      </w:r>
      <w:bookmarkStart w:id="201" w:name="field_0_productfullname_17"/>
      <w:r>
        <w:rPr>
          <w:rFonts w:hint="eastAsia"/>
          <w:sz w:val="21"/>
          <w:szCs w:val="21"/>
        </w:rPr>
        <w:t>博时国证大盘成长交易型开放式指数证券投资基金</w:t>
      </w:r>
      <w:bookmarkEnd w:id="201"/>
      <w:r>
        <w:rPr>
          <w:rFonts w:hint="eastAsia"/>
          <w:sz w:val="21"/>
          <w:szCs w:val="21"/>
        </w:rPr>
        <w:t xml:space="preserve">托管协议》 </w:t>
      </w:r>
    </w:p>
    <w:p>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（六）法律意见书 </w:t>
      </w:r>
    </w:p>
    <w:p>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pPr>
        <w:pStyle w:val="7"/>
        <w:spacing w:before="0" w:beforeAutospacing="0" w:after="0" w:afterAutospacing="0" w:line="360" w:lineRule="auto"/>
        <w:ind w:firstLine="420"/>
        <w:rPr>
          <w:sz w:val="21"/>
          <w:szCs w:val="21"/>
        </w:rPr>
      </w:pPr>
      <w:bookmarkStart w:id="202" w:name="chapter_level1_29_332_section_1_end"/>
      <w:bookmarkEnd w:id="202"/>
      <w:r>
        <w:rPr>
          <w:rFonts w:hint="eastAsia"/>
          <w:sz w:val="21"/>
          <w:szCs w:val="21"/>
        </w:rPr>
        <w:t xml:space="preserve">查阅方式：投资者可在营业时间免费查阅，也可按工本费购买复印件。 </w:t>
      </w:r>
    </w:p>
    <w:p>
      <w:pPr>
        <w:pStyle w:val="7"/>
        <w:spacing w:before="0" w:beforeAutospacing="0" w:after="0" w:afterAutospacing="0" w:line="360" w:lineRule="auto"/>
        <w:ind w:firstLine="420"/>
        <w:rPr>
          <w:sz w:val="21"/>
          <w:szCs w:val="21"/>
        </w:rPr>
      </w:pPr>
      <w:bookmarkStart w:id="203" w:name="chapter_level1_29_332_section_2"/>
      <w:bookmarkEnd w:id="203"/>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jc w:val="right"/>
        <w:rPr>
          <w:sz w:val="21"/>
          <w:szCs w:val="21"/>
        </w:rPr>
      </w:pPr>
      <w:bookmarkStart w:id="204" w:name="field_0_managerorgfullname_1"/>
      <w:r>
        <w:rPr>
          <w:rFonts w:hint="eastAsia"/>
          <w:sz w:val="21"/>
          <w:szCs w:val="21"/>
        </w:rPr>
        <w:t>博时基金管理有限公司</w:t>
      </w:r>
      <w:bookmarkEnd w:id="204"/>
      <w:r>
        <w:rPr>
          <w:rFonts w:hint="eastAsia"/>
          <w:sz w:val="21"/>
          <w:szCs w:val="21"/>
        </w:rPr>
        <w:t xml:space="preserve">  </w:t>
      </w:r>
    </w:p>
    <w:p>
      <w:pPr>
        <w:pStyle w:val="7"/>
        <w:spacing w:before="0" w:beforeAutospacing="0" w:after="0" w:afterAutospacing="0" w:line="360" w:lineRule="auto"/>
        <w:ind w:firstLine="420"/>
        <w:jc w:val="right"/>
        <w:rPr>
          <w:sz w:val="21"/>
          <w:szCs w:val="21"/>
        </w:rPr>
      </w:pPr>
      <w:bookmarkStart w:id="205" w:name="chapter_level1_29_332_section_2_end"/>
      <w:bookmarkEnd w:id="205"/>
      <w:bookmarkStart w:id="206" w:name="field_0_commitmenttime_1"/>
      <w:r>
        <w:rPr>
          <w:sz w:val="21"/>
          <w:szCs w:val="21"/>
        </w:rPr>
        <w:t>2025年11月</w:t>
      </w:r>
      <w:r>
        <w:rPr>
          <w:rFonts w:hint="eastAsia"/>
          <w:sz w:val="21"/>
          <w:szCs w:val="21"/>
          <w:lang w:val="en-US" w:eastAsia="zh-CN"/>
        </w:rPr>
        <w:t>28</w:t>
      </w:r>
      <w:r>
        <w:rPr>
          <w:sz w:val="21"/>
          <w:szCs w:val="21"/>
        </w:rPr>
        <w:t>日</w:t>
      </w:r>
      <w:bookmarkEnd w:id="206"/>
      <w:r>
        <w:rPr>
          <w:rFonts w:hint="eastAsia"/>
          <w:sz w:val="21"/>
          <w:szCs w:val="21"/>
        </w:rPr>
        <w:t xml:space="preserve">  </w:t>
      </w:r>
    </w:p>
    <w:p>
      <w:pPr>
        <w:rPr>
          <w:rFonts w:ascii="宋体" w:hAnsi="宋体" w:eastAsia="宋体"/>
        </w:rPr>
      </w:pPr>
      <w:bookmarkStart w:id="207" w:name="end"/>
      <w:bookmarkEnd w:id="207"/>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143</w:t>
    </w:r>
    <w:r>
      <w:fldChar w:fldCharType="end"/>
    </w:r>
    <w:r>
      <w:rPr>
        <w:rFonts w:hint="eastAsia"/>
      </w:rPr>
      <w:t>页 共</w:t>
    </w:r>
    <w:r>
      <w:fldChar w:fldCharType="begin"/>
    </w:r>
    <w:r>
      <w:instrText xml:space="preserve"> NumPages \* MERGEFORMAT </w:instrText>
    </w:r>
    <w:r>
      <w:fldChar w:fldCharType="separate"/>
    </w:r>
    <w:r>
      <w:t>143</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pPr>
      <w:pStyle w:val="5"/>
      <w:jc w:val="right"/>
    </w:pPr>
    <w:r>
      <w:rPr>
        <w:rFonts w:hint="eastAsia"/>
      </w:rPr>
      <w:t>博时国证大盘成长交易型开放式指数证券投资基金更新招募说明书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1CB"/>
    <w:rsid w:val="0033323B"/>
    <w:rsid w:val="00B705A8"/>
    <w:rsid w:val="00C221CB"/>
    <w:rsid w:val="1D7764EA"/>
    <w:rsid w:val="2AD04F82"/>
    <w:rsid w:val="3C36539A"/>
    <w:rsid w:val="42F84DC5"/>
    <w:rsid w:val="55E44BB4"/>
    <w:rsid w:val="670104B8"/>
    <w:rsid w:val="6E6E58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themeColor="hyperlink"/>
      <w:u w:val="single"/>
      <w14:textFill>
        <w14:solidFill>
          <w14:schemeClr w14:val="hlink"/>
        </w14:solidFill>
      </w14:textFill>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141</Pages>
  <Words>16611</Words>
  <Characters>94686</Characters>
  <Lines>789</Lines>
  <Paragraphs>222</Paragraphs>
  <TotalTime>3</TotalTime>
  <ScaleCrop>false</ScaleCrop>
  <LinksUpToDate>false</LinksUpToDate>
  <CharactersWithSpaces>111075</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2025-11-12T08:28:00Z</dcterms:created>
  <dc:creator>BSKMadminDev</dc:creator>
  <cp:lastModifiedBy>duanyc</cp:lastModifiedBy>
  <dcterms:modified xsi:type="dcterms:W3CDTF">2025-11-26T09:10:27Z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66FF86D3E1354321A513C450D6223A08</vt:lpwstr>
  </property>
</Properties>
</file>