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6D1296">
      <w:pPr>
        <w:jc w:val="center"/>
        <w:rPr>
          <w:b/>
          <w:sz w:val="36"/>
          <w:szCs w:val="36"/>
        </w:rPr>
      </w:pPr>
      <w:r>
        <w:rPr>
          <w:rFonts w:hint="eastAsia"/>
          <w:b/>
          <w:sz w:val="36"/>
          <w:szCs w:val="36"/>
          <w:lang w:eastAsia="zh-CN"/>
        </w:rPr>
        <w:t>博时科创主题灵活配置混合型证券投资基金（LOF）</w:t>
      </w:r>
      <w:r>
        <w:rPr>
          <w:rFonts w:hint="eastAsia"/>
          <w:b/>
          <w:sz w:val="36"/>
          <w:szCs w:val="36"/>
        </w:rPr>
        <w:t>A类基金份额溢价风险提示公告</w:t>
      </w:r>
    </w:p>
    <w:p w14:paraId="729356FB">
      <w:pPr>
        <w:autoSpaceDE w:val="0"/>
        <w:autoSpaceDN w:val="0"/>
        <w:adjustRightInd w:val="0"/>
        <w:jc w:val="left"/>
        <w:rPr>
          <w:rFonts w:ascii="微软雅黑" w:eastAsia="微软雅黑" w:cs="微软雅黑"/>
          <w:color w:val="000000"/>
          <w:kern w:val="0"/>
          <w:sz w:val="24"/>
          <w:szCs w:val="24"/>
        </w:rPr>
      </w:pPr>
    </w:p>
    <w:p w14:paraId="225FBA3F">
      <w:pPr>
        <w:pStyle w:val="12"/>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近期，博时基金管理有限公司（以下简称“本基金管理人”）旗下</w:t>
      </w:r>
      <w:r>
        <w:rPr>
          <w:rFonts w:hint="eastAsia" w:ascii="宋体" w:hAnsi="宋体" w:eastAsia="宋体" w:cs="宋体"/>
          <w:color w:val="auto"/>
          <w:sz w:val="24"/>
          <w:szCs w:val="24"/>
          <w:lang w:eastAsia="zh-CN"/>
        </w:rPr>
        <w:t>博时科创主题灵活配置混合型证券投资基金（LOF）</w:t>
      </w:r>
      <w:r>
        <w:rPr>
          <w:rFonts w:hint="eastAsia" w:ascii="宋体" w:hAnsi="宋体" w:eastAsia="宋体" w:cs="宋体"/>
          <w:color w:val="auto"/>
          <w:sz w:val="24"/>
          <w:szCs w:val="24"/>
        </w:rPr>
        <w:t>A类基金份额（</w:t>
      </w:r>
      <w:r>
        <w:rPr>
          <w:rFonts w:hint="eastAsia" w:ascii="宋体" w:hAnsi="宋体" w:eastAsia="宋体" w:cs="宋体"/>
          <w:kern w:val="2"/>
          <w:sz w:val="24"/>
          <w:szCs w:val="24"/>
          <w:lang w:val="en-US" w:eastAsia="zh-CN"/>
        </w:rPr>
        <w:t>扩位</w:t>
      </w:r>
      <w:r>
        <w:rPr>
          <w:rFonts w:hint="eastAsia" w:ascii="宋体" w:hAnsi="宋体" w:eastAsia="宋体" w:cs="宋体"/>
          <w:kern w:val="2"/>
          <w:sz w:val="24"/>
          <w:szCs w:val="24"/>
        </w:rPr>
        <w:t>简称</w:t>
      </w:r>
      <w:r>
        <w:rPr>
          <w:rFonts w:hint="eastAsia" w:ascii="宋体" w:hAnsi="宋体" w:eastAsia="宋体" w:cs="宋体"/>
          <w:color w:val="auto"/>
          <w:sz w:val="24"/>
          <w:szCs w:val="24"/>
        </w:rPr>
        <w:t>：</w:t>
      </w:r>
      <w:r>
        <w:rPr>
          <w:rFonts w:hint="eastAsia" w:ascii="宋体" w:hAnsi="宋体" w:eastAsia="宋体" w:cs="宋体"/>
          <w:color w:val="auto"/>
          <w:sz w:val="24"/>
          <w:szCs w:val="24"/>
          <w:highlight w:val="none"/>
          <w:lang w:eastAsia="zh-CN"/>
        </w:rPr>
        <w:t>科创投资LOF</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highlight w:val="none"/>
        </w:rPr>
        <w:t>交易代码：</w:t>
      </w:r>
      <w:r>
        <w:rPr>
          <w:rFonts w:hint="eastAsia" w:ascii="宋体" w:hAnsi="宋体" w:eastAsia="宋体" w:cs="宋体"/>
          <w:color w:val="auto"/>
          <w:sz w:val="24"/>
          <w:szCs w:val="24"/>
          <w:highlight w:val="none"/>
          <w:lang w:val="en-US" w:eastAsia="zh-CN"/>
        </w:rPr>
        <w:t>501082，</w:t>
      </w:r>
      <w:r>
        <w:rPr>
          <w:rFonts w:hint="eastAsia" w:ascii="宋体" w:hAnsi="宋体" w:eastAsia="宋体" w:cs="宋体"/>
          <w:color w:val="auto"/>
          <w:sz w:val="24"/>
          <w:szCs w:val="24"/>
          <w:lang w:val="en-US" w:eastAsia="zh-CN"/>
        </w:rPr>
        <w:t>以下简称“本基金”</w:t>
      </w:r>
      <w:r>
        <w:rPr>
          <w:rFonts w:hint="eastAsia" w:ascii="宋体" w:hAnsi="宋体" w:eastAsia="宋体" w:cs="宋体"/>
          <w:color w:val="auto"/>
          <w:sz w:val="24"/>
          <w:szCs w:val="24"/>
        </w:rPr>
        <w:t>）在二级市场的交易价格出现大幅度溢价，交易价格明显偏离</w:t>
      </w:r>
      <w:r>
        <w:rPr>
          <w:rFonts w:hint="eastAsia" w:ascii="宋体" w:hAnsi="宋体" w:eastAsia="宋体" w:cs="宋体"/>
          <w:color w:val="auto"/>
          <w:sz w:val="24"/>
          <w:szCs w:val="24"/>
          <w:lang w:eastAsia="zh-CN"/>
        </w:rPr>
        <w:t>前一估值日的</w:t>
      </w:r>
      <w:r>
        <w:rPr>
          <w:rFonts w:hint="eastAsia" w:ascii="宋体" w:hAnsi="宋体" w:eastAsia="宋体" w:cs="宋体"/>
          <w:color w:val="auto"/>
          <w:sz w:val="24"/>
          <w:szCs w:val="24"/>
        </w:rPr>
        <w:t>基金份额净值。</w:t>
      </w:r>
      <w:r>
        <w:rPr>
          <w:rFonts w:hint="eastAsia" w:ascii="宋体" w:hAnsi="宋体" w:eastAsia="宋体" w:cs="宋体"/>
          <w:b/>
          <w:bCs/>
          <w:color w:val="auto"/>
          <w:sz w:val="24"/>
          <w:szCs w:val="24"/>
        </w:rPr>
        <w:t>特此提示投资者关注二级市场交易价格溢价风险，投资者如果盲目投资，可能遭受重大损失。若本基金</w:t>
      </w:r>
      <w:r>
        <w:rPr>
          <w:rFonts w:hint="eastAsia" w:ascii="宋体" w:hAnsi="宋体" w:eastAsia="宋体" w:cs="宋体"/>
          <w:b/>
          <w:bCs/>
          <w:color w:val="auto"/>
          <w:sz w:val="24"/>
          <w:szCs w:val="24"/>
          <w:lang w:val="en-US" w:eastAsia="zh-CN"/>
        </w:rPr>
        <w:t>A类基金份额</w:t>
      </w:r>
      <w:r>
        <w:rPr>
          <w:rFonts w:hint="eastAsia" w:ascii="宋体" w:hAnsi="宋体" w:eastAsia="宋体" w:cs="宋体"/>
          <w:b/>
          <w:bCs/>
          <w:color w:val="auto"/>
          <w:sz w:val="24"/>
          <w:szCs w:val="24"/>
        </w:rPr>
        <w:t>后续二级市场交易价格溢价幅度未有效回落，本基金有权采取向</w:t>
      </w:r>
      <w:r>
        <w:rPr>
          <w:rFonts w:hint="eastAsia" w:ascii="宋体" w:hAnsi="宋体" w:eastAsia="宋体" w:cs="宋体"/>
          <w:b/>
          <w:bCs/>
          <w:color w:val="auto"/>
          <w:sz w:val="24"/>
          <w:szCs w:val="24"/>
          <w:highlight w:val="none"/>
          <w:lang w:eastAsia="zh-CN"/>
        </w:rPr>
        <w:t>上海证券交易所</w:t>
      </w:r>
      <w:r>
        <w:rPr>
          <w:rFonts w:hint="eastAsia" w:ascii="宋体" w:hAnsi="宋体" w:eastAsia="宋体" w:cs="宋体"/>
          <w:b/>
          <w:bCs/>
          <w:color w:val="auto"/>
          <w:sz w:val="24"/>
          <w:szCs w:val="24"/>
        </w:rPr>
        <w:t>申请盘中临时停牌、延长停牌时间等措施以向市场警示风险，具体以届时公告为准。</w:t>
      </w:r>
      <w:r>
        <w:rPr>
          <w:rFonts w:hint="eastAsia" w:ascii="宋体" w:hAnsi="宋体" w:eastAsia="宋体" w:cs="宋体"/>
          <w:color w:val="auto"/>
          <w:sz w:val="24"/>
          <w:szCs w:val="24"/>
        </w:rPr>
        <w:t>为保护投资者利益，本公司特向投资者提示如下：</w:t>
      </w:r>
    </w:p>
    <w:p w14:paraId="37EA0361">
      <w:pPr>
        <w:pStyle w:val="12"/>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基金为上市开放式基金，除可在二级市场交易外，投资者还可以申购、赎回本基金，申购、赎回价格以申请当日收市后计算的该类别基金份额净值为基准计算，与本基金的二级市场交易价格无关。投资者进行二级市场交易时应密切关注基金份额净值，投资者可通过基金管理人网站或交易行情系统查询本基金的最新份额净值。</w:t>
      </w:r>
    </w:p>
    <w:p w14:paraId="7EDC2761">
      <w:pPr>
        <w:pStyle w:val="12"/>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二</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本基金A类基金份额二级市场</w:t>
      </w:r>
      <w:r>
        <w:rPr>
          <w:rFonts w:hint="eastAsia" w:ascii="宋体" w:hAnsi="宋体" w:eastAsia="宋体" w:cs="宋体"/>
          <w:color w:val="auto"/>
          <w:sz w:val="24"/>
          <w:szCs w:val="24"/>
        </w:rPr>
        <w:t>的交易价格，除了有份额净值变化的风险外，还会受到市场的系统性风险、流动性风险等其他风险影响，在当前溢价水平下买入，可能使投资人面临重大损失。</w:t>
      </w:r>
    </w:p>
    <w:p w14:paraId="289FE31B">
      <w:pPr>
        <w:pStyle w:val="12"/>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三</w:t>
      </w:r>
      <w:r>
        <w:rPr>
          <w:rFonts w:hint="eastAsia" w:ascii="宋体" w:hAnsi="宋体" w:eastAsia="宋体" w:cs="宋体"/>
          <w:color w:val="auto"/>
          <w:sz w:val="24"/>
          <w:szCs w:val="24"/>
        </w:rPr>
        <w:t>、截至本公告披露日，</w:t>
      </w:r>
      <w:r>
        <w:rPr>
          <w:rFonts w:hint="eastAsia" w:ascii="宋体" w:hAnsi="宋体" w:eastAsia="宋体" w:cs="宋体"/>
          <w:color w:val="auto"/>
          <w:sz w:val="24"/>
          <w:szCs w:val="24"/>
          <w:lang w:val="en-US" w:eastAsia="zh-CN"/>
        </w:rPr>
        <w:t>本基金</w:t>
      </w:r>
      <w:r>
        <w:rPr>
          <w:rFonts w:hint="eastAsia" w:ascii="宋体" w:hAnsi="宋体" w:eastAsia="宋体" w:cs="宋体"/>
          <w:color w:val="auto"/>
          <w:sz w:val="24"/>
          <w:szCs w:val="24"/>
        </w:rPr>
        <w:t>运作正常。本基金管理人仍将严格按照法律法规及基金合同进行投资运作。</w:t>
      </w:r>
    </w:p>
    <w:p w14:paraId="6715826C">
      <w:pPr>
        <w:pStyle w:val="12"/>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四</w:t>
      </w:r>
      <w:r>
        <w:rPr>
          <w:rFonts w:hint="eastAsia" w:ascii="宋体" w:hAnsi="宋体" w:eastAsia="宋体" w:cs="宋体"/>
          <w:color w:val="auto"/>
          <w:sz w:val="24"/>
          <w:szCs w:val="24"/>
        </w:rPr>
        <w:t>、截至本公告披露日，</w:t>
      </w:r>
      <w:r>
        <w:rPr>
          <w:rFonts w:hint="eastAsia" w:ascii="宋体" w:hAnsi="宋体" w:eastAsia="宋体" w:cs="宋体"/>
          <w:color w:val="auto"/>
          <w:sz w:val="24"/>
          <w:szCs w:val="24"/>
          <w:lang w:val="en-US" w:eastAsia="zh-CN"/>
        </w:rPr>
        <w:t>本基金</w:t>
      </w:r>
      <w:r>
        <w:rPr>
          <w:rFonts w:hint="eastAsia" w:ascii="宋体" w:hAnsi="宋体" w:eastAsia="宋体" w:cs="宋体"/>
          <w:color w:val="auto"/>
          <w:sz w:val="24"/>
          <w:szCs w:val="24"/>
        </w:rPr>
        <w:t>无其他应披露而未披露的重大信息。本基金管理人仍将严格按照有关规定和要求，及时做好信息披露工作。</w:t>
      </w:r>
    </w:p>
    <w:p w14:paraId="4AFBD95D">
      <w:pPr>
        <w:pStyle w:val="12"/>
        <w:spacing w:line="360" w:lineRule="auto"/>
        <w:ind w:firstLine="480" w:firstLineChars="200"/>
        <w:rPr>
          <w:rFonts w:hint="eastAsia" w:ascii="宋体" w:hAnsi="宋体" w:eastAsia="宋体" w:cs="宋体"/>
          <w:color w:val="auto"/>
          <w:sz w:val="24"/>
          <w:szCs w:val="24"/>
        </w:rPr>
      </w:pPr>
    </w:p>
    <w:p w14:paraId="0B42BD1E">
      <w:pPr>
        <w:pStyle w:val="12"/>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风险提示：基金管理人承诺以诚实信用、勤勉尽责的原则管理和运用基金资产，但不保证基金一定盈利，也不保证最低收益。投资者投资于本基金前应认真阅读本基金的基金合同和招募说明书等相关法律文件，了解基金的风险收益特征，并根据自身的投资目的、投资期限、投资经验、资产状况等判断基金是否和投资人的风险承受能力相适应。敬请投资者注意投资风险。</w:t>
      </w:r>
    </w:p>
    <w:p w14:paraId="4EBE2CED">
      <w:pPr>
        <w:pStyle w:val="12"/>
        <w:spacing w:line="360" w:lineRule="auto"/>
        <w:ind w:firstLine="480"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特此公告。 </w:t>
      </w:r>
    </w:p>
    <w:p w14:paraId="79D41F31">
      <w:pPr>
        <w:pStyle w:val="12"/>
        <w:spacing w:line="360" w:lineRule="auto"/>
        <w:jc w:val="right"/>
        <w:rPr>
          <w:rFonts w:hint="eastAsia" w:ascii="宋体" w:hAnsi="宋体" w:eastAsia="宋体" w:cs="宋体"/>
          <w:color w:val="auto"/>
          <w:sz w:val="24"/>
          <w:szCs w:val="24"/>
        </w:rPr>
      </w:pPr>
    </w:p>
    <w:p w14:paraId="18B79112">
      <w:pPr>
        <w:pStyle w:val="12"/>
        <w:spacing w:line="36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博时基金管理有限公司 </w:t>
      </w:r>
    </w:p>
    <w:p w14:paraId="19775F20">
      <w:pPr>
        <w:spacing w:line="360" w:lineRule="auto"/>
        <w:jc w:val="right"/>
        <w:rPr>
          <w:rFonts w:hint="eastAsia" w:ascii="宋体" w:hAnsi="宋体" w:eastAsia="宋体" w:cs="宋体"/>
          <w:sz w:val="24"/>
          <w:szCs w:val="24"/>
          <w:lang w:val="en-US"/>
        </w:rPr>
      </w:pPr>
      <w:bookmarkStart w:id="0" w:name="_GoBack"/>
      <w:bookmarkEnd w:id="0"/>
      <w:r>
        <w:rPr>
          <w:rFonts w:hint="eastAsia" w:ascii="宋体" w:hAnsi="宋体" w:eastAsia="宋体" w:cs="宋体"/>
          <w:sz w:val="24"/>
          <w:szCs w:val="24"/>
          <w:lang w:val="en-US" w:eastAsia="zh-CN"/>
        </w:rPr>
        <w:t>2026年7月31日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B66"/>
    <w:rsid w:val="00013047"/>
    <w:rsid w:val="000139FD"/>
    <w:rsid w:val="0001529C"/>
    <w:rsid w:val="000220A0"/>
    <w:rsid w:val="0002217D"/>
    <w:rsid w:val="0006773C"/>
    <w:rsid w:val="00082CB2"/>
    <w:rsid w:val="00082E87"/>
    <w:rsid w:val="0010629D"/>
    <w:rsid w:val="00114F23"/>
    <w:rsid w:val="00135B7E"/>
    <w:rsid w:val="0014742E"/>
    <w:rsid w:val="001538BE"/>
    <w:rsid w:val="00185322"/>
    <w:rsid w:val="001906EC"/>
    <w:rsid w:val="00200547"/>
    <w:rsid w:val="0021220F"/>
    <w:rsid w:val="002279E7"/>
    <w:rsid w:val="002509B6"/>
    <w:rsid w:val="00260098"/>
    <w:rsid w:val="002738C7"/>
    <w:rsid w:val="002B5E25"/>
    <w:rsid w:val="002E3E92"/>
    <w:rsid w:val="002E682C"/>
    <w:rsid w:val="003078F7"/>
    <w:rsid w:val="0035028A"/>
    <w:rsid w:val="00370156"/>
    <w:rsid w:val="003722D5"/>
    <w:rsid w:val="003767CE"/>
    <w:rsid w:val="003A0ACE"/>
    <w:rsid w:val="003A467D"/>
    <w:rsid w:val="003B7009"/>
    <w:rsid w:val="003C1062"/>
    <w:rsid w:val="003F22D4"/>
    <w:rsid w:val="00437623"/>
    <w:rsid w:val="004530E9"/>
    <w:rsid w:val="00460794"/>
    <w:rsid w:val="0046713E"/>
    <w:rsid w:val="004973A0"/>
    <w:rsid w:val="004C2F70"/>
    <w:rsid w:val="005114EC"/>
    <w:rsid w:val="00516B51"/>
    <w:rsid w:val="00520655"/>
    <w:rsid w:val="00527BD7"/>
    <w:rsid w:val="0053348C"/>
    <w:rsid w:val="005355FA"/>
    <w:rsid w:val="00551EB3"/>
    <w:rsid w:val="00552C32"/>
    <w:rsid w:val="00567AC7"/>
    <w:rsid w:val="00572855"/>
    <w:rsid w:val="005D0FCC"/>
    <w:rsid w:val="005D1C78"/>
    <w:rsid w:val="005E2401"/>
    <w:rsid w:val="005E72A6"/>
    <w:rsid w:val="005F56AB"/>
    <w:rsid w:val="0066259C"/>
    <w:rsid w:val="00687459"/>
    <w:rsid w:val="006A4397"/>
    <w:rsid w:val="006C6B37"/>
    <w:rsid w:val="006D035B"/>
    <w:rsid w:val="007070CB"/>
    <w:rsid w:val="0071023A"/>
    <w:rsid w:val="00710DB5"/>
    <w:rsid w:val="00712EB7"/>
    <w:rsid w:val="007228C8"/>
    <w:rsid w:val="007401BD"/>
    <w:rsid w:val="007434EE"/>
    <w:rsid w:val="00746ADC"/>
    <w:rsid w:val="00755AE3"/>
    <w:rsid w:val="00762499"/>
    <w:rsid w:val="00766FAC"/>
    <w:rsid w:val="00774017"/>
    <w:rsid w:val="0078599A"/>
    <w:rsid w:val="007A4778"/>
    <w:rsid w:val="007A5524"/>
    <w:rsid w:val="007A74D1"/>
    <w:rsid w:val="007B43EF"/>
    <w:rsid w:val="007B6E32"/>
    <w:rsid w:val="007D5A5D"/>
    <w:rsid w:val="007E560C"/>
    <w:rsid w:val="008003D9"/>
    <w:rsid w:val="00801066"/>
    <w:rsid w:val="00856852"/>
    <w:rsid w:val="0086595A"/>
    <w:rsid w:val="00874876"/>
    <w:rsid w:val="0087510F"/>
    <w:rsid w:val="0087556A"/>
    <w:rsid w:val="008A0270"/>
    <w:rsid w:val="008B25D2"/>
    <w:rsid w:val="008C07A3"/>
    <w:rsid w:val="008C0D37"/>
    <w:rsid w:val="008C6BA2"/>
    <w:rsid w:val="008C795C"/>
    <w:rsid w:val="008E4224"/>
    <w:rsid w:val="008F193B"/>
    <w:rsid w:val="008F5FDE"/>
    <w:rsid w:val="008F653F"/>
    <w:rsid w:val="00901865"/>
    <w:rsid w:val="00931DB9"/>
    <w:rsid w:val="00983C00"/>
    <w:rsid w:val="00986BB7"/>
    <w:rsid w:val="009A71D6"/>
    <w:rsid w:val="009B05EC"/>
    <w:rsid w:val="009C53A5"/>
    <w:rsid w:val="009C6B05"/>
    <w:rsid w:val="009E4082"/>
    <w:rsid w:val="009E474D"/>
    <w:rsid w:val="009F4B66"/>
    <w:rsid w:val="00A21151"/>
    <w:rsid w:val="00A3117F"/>
    <w:rsid w:val="00A416E9"/>
    <w:rsid w:val="00A42280"/>
    <w:rsid w:val="00A4632A"/>
    <w:rsid w:val="00A51403"/>
    <w:rsid w:val="00A6400A"/>
    <w:rsid w:val="00A67D58"/>
    <w:rsid w:val="00A73932"/>
    <w:rsid w:val="00A86E2B"/>
    <w:rsid w:val="00AF3DEB"/>
    <w:rsid w:val="00B11C9A"/>
    <w:rsid w:val="00B14B8E"/>
    <w:rsid w:val="00B262B0"/>
    <w:rsid w:val="00B3609E"/>
    <w:rsid w:val="00B53941"/>
    <w:rsid w:val="00B540BA"/>
    <w:rsid w:val="00B70D0A"/>
    <w:rsid w:val="00B7200E"/>
    <w:rsid w:val="00B842D4"/>
    <w:rsid w:val="00B8533E"/>
    <w:rsid w:val="00BB372A"/>
    <w:rsid w:val="00BB5CB1"/>
    <w:rsid w:val="00BB6E2D"/>
    <w:rsid w:val="00BC39B6"/>
    <w:rsid w:val="00BE50B2"/>
    <w:rsid w:val="00BF023C"/>
    <w:rsid w:val="00BF55A1"/>
    <w:rsid w:val="00C02E9F"/>
    <w:rsid w:val="00C0365E"/>
    <w:rsid w:val="00C041FB"/>
    <w:rsid w:val="00C132F9"/>
    <w:rsid w:val="00C60E5E"/>
    <w:rsid w:val="00C66515"/>
    <w:rsid w:val="00C725E4"/>
    <w:rsid w:val="00C8241B"/>
    <w:rsid w:val="00CC245C"/>
    <w:rsid w:val="00CD0B5E"/>
    <w:rsid w:val="00CD1EFB"/>
    <w:rsid w:val="00CD67C8"/>
    <w:rsid w:val="00CE6771"/>
    <w:rsid w:val="00D33398"/>
    <w:rsid w:val="00D507F0"/>
    <w:rsid w:val="00D70495"/>
    <w:rsid w:val="00D74250"/>
    <w:rsid w:val="00D92ACA"/>
    <w:rsid w:val="00DB468C"/>
    <w:rsid w:val="00DD71E9"/>
    <w:rsid w:val="00E108E3"/>
    <w:rsid w:val="00E52084"/>
    <w:rsid w:val="00E569EA"/>
    <w:rsid w:val="00E6551F"/>
    <w:rsid w:val="00E84FAD"/>
    <w:rsid w:val="00E929B4"/>
    <w:rsid w:val="00EB1041"/>
    <w:rsid w:val="00ED47EF"/>
    <w:rsid w:val="00EF0095"/>
    <w:rsid w:val="00EF216A"/>
    <w:rsid w:val="00EF26B6"/>
    <w:rsid w:val="00EF72BA"/>
    <w:rsid w:val="00F01093"/>
    <w:rsid w:val="00F01D6C"/>
    <w:rsid w:val="00F04410"/>
    <w:rsid w:val="00F044B9"/>
    <w:rsid w:val="00F16FBF"/>
    <w:rsid w:val="00F56FE8"/>
    <w:rsid w:val="00F71AA0"/>
    <w:rsid w:val="00F846D3"/>
    <w:rsid w:val="00F94502"/>
    <w:rsid w:val="00FA07CD"/>
    <w:rsid w:val="00FA1724"/>
    <w:rsid w:val="00FC4DEB"/>
    <w:rsid w:val="017C2BE4"/>
    <w:rsid w:val="01FE6BD3"/>
    <w:rsid w:val="041A703D"/>
    <w:rsid w:val="047E00AD"/>
    <w:rsid w:val="0F931FDE"/>
    <w:rsid w:val="16783AEC"/>
    <w:rsid w:val="1AD213D6"/>
    <w:rsid w:val="1AF14A31"/>
    <w:rsid w:val="1C7162B9"/>
    <w:rsid w:val="1CAF6BEF"/>
    <w:rsid w:val="22F15563"/>
    <w:rsid w:val="23FC4EDB"/>
    <w:rsid w:val="245B2434"/>
    <w:rsid w:val="260D797A"/>
    <w:rsid w:val="27672D19"/>
    <w:rsid w:val="29AF5D9D"/>
    <w:rsid w:val="2B00017D"/>
    <w:rsid w:val="305805CC"/>
    <w:rsid w:val="3167426F"/>
    <w:rsid w:val="316C6D1E"/>
    <w:rsid w:val="3195223F"/>
    <w:rsid w:val="37C87B5C"/>
    <w:rsid w:val="3901019A"/>
    <w:rsid w:val="39D84186"/>
    <w:rsid w:val="3B512A58"/>
    <w:rsid w:val="3B721CCA"/>
    <w:rsid w:val="3C47373C"/>
    <w:rsid w:val="3E0B08DA"/>
    <w:rsid w:val="3E654AF6"/>
    <w:rsid w:val="478A71EC"/>
    <w:rsid w:val="493F253B"/>
    <w:rsid w:val="49473E96"/>
    <w:rsid w:val="4C4A1515"/>
    <w:rsid w:val="4D317F76"/>
    <w:rsid w:val="4F5D140F"/>
    <w:rsid w:val="5242543E"/>
    <w:rsid w:val="5376732D"/>
    <w:rsid w:val="558949B1"/>
    <w:rsid w:val="563C4485"/>
    <w:rsid w:val="564E4AB7"/>
    <w:rsid w:val="56B33A59"/>
    <w:rsid w:val="57A63600"/>
    <w:rsid w:val="597E040C"/>
    <w:rsid w:val="5E2401C0"/>
    <w:rsid w:val="603B20E7"/>
    <w:rsid w:val="61462640"/>
    <w:rsid w:val="62703715"/>
    <w:rsid w:val="63DB7891"/>
    <w:rsid w:val="6567745C"/>
    <w:rsid w:val="65AA5793"/>
    <w:rsid w:val="67673E36"/>
    <w:rsid w:val="6B1B2C5A"/>
    <w:rsid w:val="712A69EB"/>
    <w:rsid w:val="71C36EB4"/>
    <w:rsid w:val="72ED6265"/>
    <w:rsid w:val="7A4A738F"/>
    <w:rsid w:val="7B7377C3"/>
    <w:rsid w:val="7CA956AB"/>
    <w:rsid w:val="7CAB781D"/>
    <w:rsid w:val="7F52062E"/>
    <w:rsid w:val="7F945D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annotation subject"/>
    <w:basedOn w:val="3"/>
    <w:next w:val="3"/>
    <w:link w:val="19"/>
    <w:semiHidden/>
    <w:unhideWhenUsed/>
    <w:qFormat/>
    <w:uiPriority w:val="99"/>
    <w:rPr>
      <w:b/>
      <w:bCs/>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customStyle="1" w:styleId="12">
    <w:name w:val="Default"/>
    <w:qFormat/>
    <w:uiPriority w:val="0"/>
    <w:pPr>
      <w:widowControl w:val="0"/>
      <w:autoSpaceDE w:val="0"/>
      <w:autoSpaceDN w:val="0"/>
      <w:adjustRightInd w:val="0"/>
    </w:pPr>
    <w:rPr>
      <w:rFonts w:ascii="宋体" w:eastAsia="宋体" w:cs="宋体" w:hAnsiTheme="minorHAnsi"/>
      <w:color w:val="000000"/>
      <w:kern w:val="0"/>
      <w:sz w:val="24"/>
      <w:szCs w:val="24"/>
      <w:lang w:val="en-US" w:eastAsia="zh-CN" w:bidi="ar-SA"/>
    </w:rPr>
  </w:style>
  <w:style w:type="character" w:customStyle="1" w:styleId="13">
    <w:name w:val="标题 1 Char"/>
    <w:basedOn w:val="10"/>
    <w:link w:val="2"/>
    <w:qFormat/>
    <w:uiPriority w:val="9"/>
    <w:rPr>
      <w:b/>
      <w:bCs/>
      <w:kern w:val="44"/>
      <w:sz w:val="44"/>
      <w:szCs w:val="44"/>
    </w:rPr>
  </w:style>
  <w:style w:type="paragraph" w:styleId="14">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character" w:customStyle="1" w:styleId="15">
    <w:name w:val="页眉 Char"/>
    <w:basedOn w:val="10"/>
    <w:link w:val="6"/>
    <w:qFormat/>
    <w:uiPriority w:val="99"/>
    <w:rPr>
      <w:sz w:val="18"/>
      <w:szCs w:val="18"/>
    </w:rPr>
  </w:style>
  <w:style w:type="character" w:customStyle="1" w:styleId="16">
    <w:name w:val="页脚 Char"/>
    <w:basedOn w:val="10"/>
    <w:link w:val="5"/>
    <w:qFormat/>
    <w:uiPriority w:val="99"/>
    <w:rPr>
      <w:sz w:val="18"/>
      <w:szCs w:val="18"/>
    </w:rPr>
  </w:style>
  <w:style w:type="character" w:customStyle="1" w:styleId="17">
    <w:name w:val="批注框文本 Char"/>
    <w:basedOn w:val="10"/>
    <w:link w:val="4"/>
    <w:semiHidden/>
    <w:qFormat/>
    <w:uiPriority w:val="99"/>
    <w:rPr>
      <w:sz w:val="18"/>
      <w:szCs w:val="18"/>
    </w:rPr>
  </w:style>
  <w:style w:type="character" w:customStyle="1" w:styleId="18">
    <w:name w:val="批注文字 Char"/>
    <w:basedOn w:val="10"/>
    <w:link w:val="3"/>
    <w:semiHidden/>
    <w:qFormat/>
    <w:uiPriority w:val="99"/>
  </w:style>
  <w:style w:type="character" w:customStyle="1" w:styleId="19">
    <w:name w:val="批注主题 Char"/>
    <w:basedOn w:val="18"/>
    <w:link w:val="7"/>
    <w:semiHidden/>
    <w:qFormat/>
    <w:uiPriority w:val="99"/>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155</Words>
  <Characters>889</Characters>
  <Lines>7</Lines>
  <Paragraphs>2</Paragraphs>
  <TotalTime>0</TotalTime>
  <ScaleCrop>false</ScaleCrop>
  <LinksUpToDate>false</LinksUpToDate>
  <CharactersWithSpaces>1042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2015-12-02T09:54:00Z</dcterms:created>
  <dc:creator>王郧</dc:creator>
  <cp:lastModifiedBy>fuxj</cp:lastModifiedBy>
  <dcterms:modified xsi:type="dcterms:W3CDTF">2026-07-31T03:09:36Z</dcterms:modified>
  <cp:revision>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045E43FEE13D4F06BB221BFB0347E0A5_13</vt:lpwstr>
  </property>
</Properties>
</file>