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ED143">
      <w:bookmarkStart w:id="0" w:name="_GoBack"/>
      <w:bookmarkEnd w:id="0"/>
    </w:p>
    <w:p w14:paraId="446925FE">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w:t>
      </w:r>
      <w:r>
        <w:rPr>
          <w:rFonts w:hint="eastAsia" w:ascii="宋体" w:hAnsi="宋体" w:eastAsia="宋体"/>
          <w:b/>
          <w:sz w:val="24"/>
          <w:lang w:eastAsia="zh-CN"/>
        </w:rPr>
        <w:t>博时上证综合指数增强型证券投资基金</w:t>
      </w:r>
      <w:r>
        <w:rPr>
          <w:rFonts w:hint="eastAsia" w:ascii="宋体" w:hAnsi="宋体" w:eastAsia="宋体"/>
          <w:b/>
          <w:sz w:val="24"/>
        </w:rPr>
        <w:t>基金份额持有人大会的</w:t>
      </w:r>
      <w:r>
        <w:rPr>
          <w:rFonts w:hint="eastAsia" w:ascii="宋体" w:hAnsi="宋体" w:eastAsia="宋体"/>
          <w:b/>
          <w:sz w:val="24"/>
          <w:lang w:val="en-US" w:eastAsia="zh-CN"/>
        </w:rPr>
        <w:t>第一次提示性</w:t>
      </w:r>
      <w:r>
        <w:rPr>
          <w:rFonts w:hint="eastAsia" w:ascii="宋体" w:hAnsi="宋体" w:eastAsia="宋体"/>
          <w:b/>
          <w:sz w:val="24"/>
        </w:rPr>
        <w:t>公告</w:t>
      </w:r>
    </w:p>
    <w:p w14:paraId="7DC440DE">
      <w:pPr>
        <w:pStyle w:val="4"/>
        <w:spacing w:before="0" w:beforeAutospacing="0" w:after="0" w:afterAutospacing="0" w:line="360" w:lineRule="auto"/>
        <w:ind w:firstLine="420"/>
        <w:jc w:val="both"/>
        <w:rPr>
          <w:rFonts w:hint="eastAsia"/>
          <w:i w:val="0"/>
          <w:iCs w:val="0"/>
          <w:sz w:val="21"/>
          <w:szCs w:val="21"/>
          <w:u w:val="none"/>
        </w:rPr>
      </w:pPr>
    </w:p>
    <w:p w14:paraId="23870E4B">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博时基金管理有限公司决定以通讯方式召开博时上证综合指数增强型证券投资基金基金份额持有人大会，并于</w:t>
      </w:r>
      <w:r>
        <w:rPr>
          <w:rStyle w:val="7"/>
          <w:rFonts w:hint="eastAsia"/>
          <w:i w:val="0"/>
          <w:iCs w:val="0"/>
          <w:sz w:val="21"/>
          <w:szCs w:val="21"/>
          <w:u w:val="none"/>
        </w:rPr>
        <w:t>2026年</w:t>
      </w:r>
      <w:r>
        <w:rPr>
          <w:rStyle w:val="7"/>
          <w:rFonts w:hint="eastAsia"/>
          <w:i w:val="0"/>
          <w:iCs w:val="0"/>
          <w:sz w:val="21"/>
          <w:szCs w:val="21"/>
          <w:u w:val="none"/>
          <w:lang w:val="en-US" w:eastAsia="zh-CN"/>
        </w:rPr>
        <w:t>6</w:t>
      </w:r>
      <w:r>
        <w:rPr>
          <w:rStyle w:val="7"/>
          <w:rFonts w:hint="eastAsia"/>
          <w:i w:val="0"/>
          <w:iCs w:val="0"/>
          <w:sz w:val="21"/>
          <w:szCs w:val="21"/>
          <w:u w:val="none"/>
        </w:rPr>
        <w:t>月</w:t>
      </w:r>
      <w:r>
        <w:rPr>
          <w:rStyle w:val="7"/>
          <w:rFonts w:hint="eastAsia"/>
          <w:i w:val="0"/>
          <w:iCs w:val="0"/>
          <w:sz w:val="21"/>
          <w:szCs w:val="21"/>
          <w:u w:val="none"/>
          <w:lang w:val="en-US" w:eastAsia="zh-CN"/>
        </w:rPr>
        <w:t>18</w:t>
      </w:r>
      <w:r>
        <w:rPr>
          <w:rStyle w:val="7"/>
          <w:rFonts w:hint="eastAsia"/>
          <w:i w:val="0"/>
          <w:iCs w:val="0"/>
          <w:sz w:val="21"/>
          <w:szCs w:val="21"/>
          <w:u w:val="none"/>
        </w:rPr>
        <w:t>日</w:t>
      </w:r>
      <w:r>
        <w:rPr>
          <w:rFonts w:hint="eastAsia"/>
          <w:i w:val="0"/>
          <w:iCs w:val="0"/>
          <w:sz w:val="21"/>
          <w:szCs w:val="21"/>
          <w:u w:val="none"/>
        </w:rPr>
        <w:t>在《</w:t>
      </w:r>
      <w:r>
        <w:rPr>
          <w:rStyle w:val="7"/>
          <w:rFonts w:hint="eastAsia"/>
          <w:i w:val="0"/>
          <w:iCs w:val="0"/>
          <w:sz w:val="21"/>
          <w:szCs w:val="21"/>
          <w:u w:val="none"/>
          <w:lang w:val="en-US" w:eastAsia="zh-CN"/>
        </w:rPr>
        <w:t>中国</w:t>
      </w:r>
      <w:r>
        <w:rPr>
          <w:rStyle w:val="7"/>
          <w:rFonts w:hint="eastAsia"/>
          <w:i w:val="0"/>
          <w:iCs w:val="0"/>
          <w:sz w:val="21"/>
          <w:szCs w:val="21"/>
          <w:u w:val="none"/>
        </w:rPr>
        <w:t>证券报</w:t>
      </w:r>
      <w:r>
        <w:rPr>
          <w:rFonts w:hint="eastAsia"/>
          <w:i w:val="0"/>
          <w:iCs w:val="0"/>
          <w:sz w:val="21"/>
          <w:szCs w:val="21"/>
          <w:u w:val="none"/>
        </w:rPr>
        <w:t>》、本公司网站（https://www.bosera.com）及中国证监会基金电子披露网站（http://eid.csrc.gov.cn/fund）发布了《</w:t>
      </w:r>
      <w:r>
        <w:rPr>
          <w:rStyle w:val="7"/>
          <w:rFonts w:hint="eastAsia"/>
          <w:i w:val="0"/>
          <w:iCs w:val="0"/>
          <w:sz w:val="21"/>
          <w:szCs w:val="21"/>
          <w:u w:val="none"/>
        </w:rPr>
        <w:t>博时基金管理有限公司关于以通讯方式召开博时上证综合指数增强型证券投资基金基金份额持有人大会的公告</w:t>
      </w:r>
      <w:r>
        <w:rPr>
          <w:rFonts w:hint="eastAsia"/>
          <w:i w:val="0"/>
          <w:iCs w:val="0"/>
          <w:sz w:val="21"/>
          <w:szCs w:val="21"/>
          <w:u w:val="none"/>
        </w:rPr>
        <w:t>》。为使本次基金份额持有人大会顺利召开，现发布本次基金份额持有人大会的第</w:t>
      </w:r>
      <w:r>
        <w:rPr>
          <w:rStyle w:val="7"/>
          <w:rFonts w:hint="eastAsia"/>
          <w:i w:val="0"/>
          <w:iCs w:val="0"/>
          <w:sz w:val="21"/>
          <w:szCs w:val="21"/>
          <w:u w:val="none"/>
        </w:rPr>
        <w:t>一</w:t>
      </w:r>
      <w:r>
        <w:rPr>
          <w:rFonts w:hint="eastAsia"/>
          <w:i w:val="0"/>
          <w:iCs w:val="0"/>
          <w:sz w:val="21"/>
          <w:szCs w:val="21"/>
          <w:u w:val="none"/>
        </w:rPr>
        <w:t>次提示性公告。</w:t>
      </w:r>
    </w:p>
    <w:p w14:paraId="6DC12C01">
      <w:pPr>
        <w:spacing w:line="360" w:lineRule="auto"/>
        <w:jc w:val="center"/>
        <w:rPr>
          <w:rFonts w:ascii="宋体" w:hAnsi="宋体" w:eastAsia="宋体"/>
          <w:b/>
          <w:sz w:val="24"/>
        </w:rPr>
      </w:pPr>
    </w:p>
    <w:p w14:paraId="0C58CA5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19B754FE">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根据《中华人民共和国证券投资基金法》、《公开募集证券投资基金运作管理办法》和《</w:t>
      </w:r>
      <w:r>
        <w:rPr>
          <w:rFonts w:hint="eastAsia"/>
          <w:sz w:val="21"/>
          <w:szCs w:val="21"/>
          <w:lang w:eastAsia="zh-CN"/>
        </w:rPr>
        <w:t>博时上证综合指数增强型证券投资基金</w:t>
      </w:r>
      <w:r>
        <w:rPr>
          <w:rFonts w:hint="eastAsia"/>
          <w:sz w:val="21"/>
          <w:szCs w:val="21"/>
        </w:rPr>
        <w:t>基金合同》（以下简称“《基金合同》”或“基金合同”）的有关规定，</w:t>
      </w:r>
      <w:r>
        <w:rPr>
          <w:rFonts w:hint="eastAsia"/>
          <w:sz w:val="21"/>
          <w:szCs w:val="21"/>
          <w:lang w:eastAsia="zh-CN"/>
        </w:rPr>
        <w:t>博时上证综合指数增强型证券投资基金</w:t>
      </w:r>
      <w:r>
        <w:rPr>
          <w:rFonts w:hint="eastAsia"/>
          <w:sz w:val="21"/>
          <w:szCs w:val="21"/>
        </w:rPr>
        <w:t>（以下简称“本基金”）的基金管理人博时基金管理有限公司（以下简称“基金管理人”或“本基金管理人”）经与本基金的基金托管人</w:t>
      </w:r>
      <w:r>
        <w:rPr>
          <w:rFonts w:hint="eastAsia"/>
          <w:sz w:val="21"/>
          <w:szCs w:val="21"/>
          <w:lang w:eastAsia="zh-CN"/>
        </w:rPr>
        <w:t>中国农业银行股份有限公司</w:t>
      </w:r>
      <w:r>
        <w:rPr>
          <w:rFonts w:hint="eastAsia"/>
          <w:sz w:val="21"/>
          <w:szCs w:val="21"/>
        </w:rPr>
        <w:t xml:space="preserve">协商一致，决定以通讯方式召开本基金的基金份额持有人大会，会议的具体安排如下： </w:t>
      </w:r>
    </w:p>
    <w:p w14:paraId="455B47E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24024C96">
      <w:pPr>
        <w:pStyle w:val="4"/>
        <w:spacing w:before="0" w:beforeAutospacing="0" w:after="0" w:afterAutospacing="0" w:line="360" w:lineRule="auto"/>
        <w:ind w:firstLine="420"/>
        <w:jc w:val="both"/>
        <w:rPr>
          <w:rFonts w:hint="eastAsia"/>
          <w:sz w:val="21"/>
          <w:szCs w:val="21"/>
        </w:rPr>
      </w:pPr>
      <w:r>
        <w:rPr>
          <w:rFonts w:hint="eastAsia"/>
          <w:sz w:val="21"/>
          <w:szCs w:val="21"/>
        </w:rPr>
        <w:t>2、会议投票表决起止时间：自</w:t>
      </w:r>
      <w:r>
        <w:rPr>
          <w:rFonts w:hint="eastAsia"/>
          <w:sz w:val="21"/>
          <w:szCs w:val="21"/>
          <w:lang w:eastAsia="zh-CN"/>
        </w:rPr>
        <w:t>2026年6月18日</w:t>
      </w:r>
      <w:r>
        <w:rPr>
          <w:rFonts w:hint="eastAsia"/>
          <w:sz w:val="21"/>
          <w:szCs w:val="21"/>
        </w:rPr>
        <w:t>起，至</w:t>
      </w:r>
      <w:r>
        <w:rPr>
          <w:rFonts w:hint="eastAsia"/>
          <w:sz w:val="21"/>
          <w:szCs w:val="21"/>
          <w:lang w:eastAsia="zh-CN"/>
        </w:rPr>
        <w:t>2026年9月18日</w:t>
      </w:r>
      <w:r>
        <w:rPr>
          <w:rFonts w:hint="eastAsia"/>
          <w:sz w:val="21"/>
          <w:szCs w:val="21"/>
        </w:rPr>
        <w:t xml:space="preserve">17：00止（送达时间以本基金管理人收到表决票时间为准）。 </w:t>
      </w:r>
    </w:p>
    <w:p w14:paraId="5F4FE062">
      <w:pPr>
        <w:pStyle w:val="4"/>
        <w:spacing w:before="0" w:beforeAutospacing="0" w:after="0" w:afterAutospacing="0" w:line="360" w:lineRule="auto"/>
        <w:ind w:firstLine="420"/>
        <w:jc w:val="both"/>
        <w:rPr>
          <w:rFonts w:hint="eastAsia"/>
          <w:sz w:val="21"/>
          <w:szCs w:val="21"/>
        </w:rPr>
      </w:pPr>
      <w:r>
        <w:rPr>
          <w:rFonts w:hint="eastAsia"/>
          <w:sz w:val="21"/>
          <w:szCs w:val="21"/>
        </w:rPr>
        <w:t>3、会议计票日：</w:t>
      </w:r>
      <w:r>
        <w:rPr>
          <w:rFonts w:hint="eastAsia"/>
          <w:sz w:val="21"/>
          <w:szCs w:val="21"/>
          <w:lang w:eastAsia="zh-CN"/>
        </w:rPr>
        <w:t>2026年9月22日 </w:t>
      </w:r>
      <w:r>
        <w:rPr>
          <w:rFonts w:hint="eastAsia"/>
          <w:sz w:val="21"/>
          <w:szCs w:val="21"/>
        </w:rPr>
        <w:t xml:space="preserve"> </w:t>
      </w:r>
    </w:p>
    <w:p w14:paraId="5BD4211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4CE0706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19E3923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248270D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3DC6EA2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3CACB39D">
      <w:pPr>
        <w:pStyle w:val="4"/>
        <w:spacing w:before="0" w:beforeAutospacing="0" w:after="0" w:afterAutospacing="0" w:line="360" w:lineRule="auto"/>
        <w:ind w:firstLine="420"/>
        <w:jc w:val="both"/>
        <w:rPr>
          <w:rFonts w:hint="eastAsia"/>
          <w:sz w:val="21"/>
          <w:szCs w:val="21"/>
        </w:rPr>
      </w:pPr>
      <w:r>
        <w:rPr>
          <w:rFonts w:hint="eastAsia"/>
          <w:sz w:val="21"/>
          <w:szCs w:val="21"/>
        </w:rPr>
        <w:t>请在信封表面注明：“</w:t>
      </w:r>
      <w:r>
        <w:rPr>
          <w:rFonts w:hint="eastAsia"/>
          <w:sz w:val="21"/>
          <w:szCs w:val="21"/>
          <w:lang w:eastAsia="zh-CN"/>
        </w:rPr>
        <w:t>博时上证综合指数增强型证券投资基金</w:t>
      </w:r>
      <w:r>
        <w:rPr>
          <w:rFonts w:hint="eastAsia"/>
          <w:sz w:val="21"/>
          <w:szCs w:val="21"/>
        </w:rPr>
        <w:t xml:space="preserve">基金份额持有人大会表决专用”。 </w:t>
      </w:r>
    </w:p>
    <w:p w14:paraId="266ED67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6A96B21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60F1CB1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1D62421F">
      <w:pPr>
        <w:pStyle w:val="4"/>
        <w:spacing w:before="0" w:beforeAutospacing="0" w:after="0" w:afterAutospacing="0" w:line="360" w:lineRule="auto"/>
        <w:ind w:firstLine="420"/>
        <w:jc w:val="both"/>
        <w:rPr>
          <w:rFonts w:hint="eastAsia"/>
          <w:sz w:val="21"/>
          <w:szCs w:val="21"/>
        </w:rPr>
      </w:pPr>
      <w:r>
        <w:rPr>
          <w:rFonts w:hint="eastAsia"/>
          <w:sz w:val="21"/>
          <w:szCs w:val="21"/>
        </w:rPr>
        <w:t>《关于</w:t>
      </w:r>
      <w:r>
        <w:rPr>
          <w:rFonts w:hint="eastAsia"/>
          <w:sz w:val="21"/>
          <w:szCs w:val="21"/>
          <w:lang w:eastAsia="zh-CN"/>
        </w:rPr>
        <w:t>博时上证综合指数增强型证券投资基金</w:t>
      </w:r>
      <w:r>
        <w:rPr>
          <w:rFonts w:hint="eastAsia"/>
          <w:sz w:val="21"/>
          <w:szCs w:val="21"/>
        </w:rPr>
        <w:t xml:space="preserve">持续运作的议案》（见附件一）。 </w:t>
      </w:r>
    </w:p>
    <w:p w14:paraId="44D484B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5A80D8AA">
      <w:pPr>
        <w:pStyle w:val="4"/>
        <w:spacing w:before="0" w:beforeAutospacing="0" w:after="0" w:afterAutospacing="0" w:line="360" w:lineRule="auto"/>
        <w:ind w:firstLine="420"/>
        <w:jc w:val="both"/>
        <w:rPr>
          <w:rFonts w:hint="eastAsia"/>
          <w:sz w:val="21"/>
          <w:szCs w:val="21"/>
        </w:rPr>
      </w:pPr>
      <w:r>
        <w:rPr>
          <w:rFonts w:hint="eastAsia"/>
          <w:sz w:val="21"/>
          <w:szCs w:val="21"/>
        </w:rPr>
        <w:t>本次大会的权益登记日为</w:t>
      </w:r>
      <w:r>
        <w:rPr>
          <w:rFonts w:hint="eastAsia"/>
          <w:sz w:val="21"/>
          <w:szCs w:val="21"/>
          <w:lang w:eastAsia="zh-CN"/>
        </w:rPr>
        <w:t>2026年6月18日</w:t>
      </w:r>
      <w:r>
        <w:rPr>
          <w:rFonts w:hint="eastAsia"/>
          <w:sz w:val="21"/>
          <w:szCs w:val="21"/>
        </w:rPr>
        <w:t>，即</w:t>
      </w:r>
      <w:r>
        <w:rPr>
          <w:rFonts w:hint="eastAsia"/>
          <w:sz w:val="21"/>
          <w:szCs w:val="21"/>
          <w:lang w:eastAsia="zh-CN"/>
        </w:rPr>
        <w:t>2026年6月18日</w:t>
      </w:r>
      <w:r>
        <w:rPr>
          <w:rFonts w:hint="eastAsia"/>
          <w:sz w:val="21"/>
          <w:szCs w:val="21"/>
        </w:rPr>
        <w:t xml:space="preserve">在本基金登记机构登记在册的本基金全体基金份额持有人均有权参与本次基金份额持有人大会的表决。 </w:t>
      </w:r>
    </w:p>
    <w:p w14:paraId="3881201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3D35C833">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6BC2769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31CB1640">
      <w:pPr>
        <w:pStyle w:val="4"/>
        <w:spacing w:before="0" w:beforeAutospacing="0" w:after="0" w:afterAutospacing="0" w:line="360" w:lineRule="auto"/>
        <w:ind w:firstLine="420"/>
        <w:jc w:val="both"/>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183450D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5726317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3189730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363C2301">
      <w:pPr>
        <w:pStyle w:val="4"/>
        <w:spacing w:before="0" w:beforeAutospacing="0" w:after="0" w:afterAutospacing="0" w:line="360" w:lineRule="auto"/>
        <w:ind w:firstLine="420"/>
        <w:jc w:val="both"/>
        <w:rPr>
          <w:rFonts w:hint="eastAsia"/>
          <w:sz w:val="21"/>
          <w:szCs w:val="21"/>
        </w:rPr>
      </w:pPr>
      <w:r>
        <w:rPr>
          <w:rFonts w:hint="eastAsia"/>
          <w:sz w:val="21"/>
          <w:szCs w:val="21"/>
        </w:rPr>
        <w:t>3、基金份额持有人或其代理人需将填妥的表决票和所需的相关文件自</w:t>
      </w:r>
      <w:r>
        <w:rPr>
          <w:rFonts w:hint="eastAsia"/>
          <w:sz w:val="21"/>
          <w:szCs w:val="21"/>
          <w:lang w:eastAsia="zh-CN"/>
        </w:rPr>
        <w:t>2026年6月18日</w:t>
      </w:r>
      <w:r>
        <w:rPr>
          <w:rFonts w:hint="eastAsia"/>
          <w:sz w:val="21"/>
          <w:szCs w:val="21"/>
        </w:rPr>
        <w:t>起，至</w:t>
      </w:r>
      <w:r>
        <w:rPr>
          <w:rFonts w:hint="eastAsia"/>
          <w:sz w:val="21"/>
          <w:szCs w:val="21"/>
          <w:lang w:eastAsia="zh-CN"/>
        </w:rPr>
        <w:t>2026年9月18日</w:t>
      </w:r>
      <w:r>
        <w:rPr>
          <w:rFonts w:hint="eastAsia"/>
          <w:sz w:val="21"/>
          <w:szCs w:val="21"/>
        </w:rPr>
        <w:t>17：00以前（送达时间以基金管理人收到表决票时间为准）通过专人送交、邮寄的方式送达至本公告第一条第4项所述的寄达地址，并请在信封表面注明：“</w:t>
      </w:r>
      <w:r>
        <w:rPr>
          <w:rFonts w:hint="eastAsia"/>
          <w:sz w:val="21"/>
          <w:szCs w:val="21"/>
          <w:lang w:eastAsia="zh-CN"/>
        </w:rPr>
        <w:t>博时上证综合指数增强型证券投资基金</w:t>
      </w:r>
      <w:r>
        <w:rPr>
          <w:rFonts w:hint="eastAsia"/>
          <w:sz w:val="21"/>
          <w:szCs w:val="21"/>
        </w:rPr>
        <w:t xml:space="preserve">基金份额持有人大会表决专用”。 </w:t>
      </w:r>
    </w:p>
    <w:p w14:paraId="764DCBF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47C5A362">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26C4893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3060385A">
      <w:pPr>
        <w:pStyle w:val="4"/>
        <w:spacing w:before="0" w:beforeAutospacing="0" w:after="0" w:afterAutospacing="0" w:line="360" w:lineRule="auto"/>
        <w:ind w:firstLine="420"/>
        <w:jc w:val="both"/>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786687C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73BB69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30E412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0DF45C2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242FE7A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2、授权效力确定规则 </w:t>
      </w:r>
    </w:p>
    <w:p w14:paraId="26E2B2E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6C156D6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3A73433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00C3380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0A996F63">
      <w:pPr>
        <w:pStyle w:val="4"/>
        <w:spacing w:before="0" w:beforeAutospacing="0" w:after="0" w:afterAutospacing="0" w:line="360" w:lineRule="auto"/>
        <w:ind w:firstLine="420"/>
        <w:jc w:val="both"/>
        <w:rPr>
          <w:sz w:val="21"/>
          <w:szCs w:val="21"/>
        </w:rPr>
      </w:pPr>
      <w:r>
        <w:rPr>
          <w:rFonts w:hint="eastAsia"/>
          <w:sz w:val="21"/>
          <w:szCs w:val="21"/>
        </w:rPr>
        <w:t>1、本次通讯会议的计票方式为：由本基金管理人授权的两名监督员在基金托管人（</w:t>
      </w:r>
      <w:r>
        <w:rPr>
          <w:rFonts w:hint="eastAsia"/>
          <w:sz w:val="21"/>
          <w:szCs w:val="21"/>
          <w:lang w:eastAsia="zh-CN"/>
        </w:rPr>
        <w:t>中国农业银行股份有限公司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7E2F81B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571E38A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451C752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3DA34A1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5DD8BEB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4B8A496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56019C9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2FF7515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25A8C57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511EF9F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64EAA93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6CD3926C">
      <w:pPr>
        <w:pStyle w:val="4"/>
        <w:spacing w:before="0" w:beforeAutospacing="0" w:after="0" w:afterAutospacing="0" w:line="360" w:lineRule="auto"/>
        <w:ind w:firstLine="420"/>
        <w:jc w:val="both"/>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2674E841">
      <w:pPr>
        <w:pStyle w:val="4"/>
        <w:spacing w:before="0" w:beforeAutospacing="0" w:after="0" w:afterAutospacing="0" w:line="360" w:lineRule="auto"/>
        <w:ind w:firstLine="420"/>
        <w:jc w:val="both"/>
        <w:rPr>
          <w:rFonts w:hint="eastAsia"/>
          <w:sz w:val="21"/>
          <w:szCs w:val="21"/>
        </w:rPr>
      </w:pPr>
      <w:r>
        <w:rPr>
          <w:rFonts w:hint="eastAsia"/>
          <w:sz w:val="21"/>
          <w:szCs w:val="21"/>
        </w:rPr>
        <w:t>2、《关于</w:t>
      </w:r>
      <w:r>
        <w:rPr>
          <w:rFonts w:hint="eastAsia"/>
          <w:sz w:val="21"/>
          <w:szCs w:val="21"/>
          <w:lang w:eastAsia="zh-CN"/>
        </w:rPr>
        <w:t>博时上证综合指数增强型证券投资基金</w:t>
      </w:r>
      <w:r>
        <w:rPr>
          <w:rFonts w:hint="eastAsia"/>
          <w:sz w:val="21"/>
          <w:szCs w:val="21"/>
        </w:rPr>
        <w:t xml:space="preserve">持续运作的议案》应当由提交有效表决票的基金份额持有人或其代理人所持表决权的二分之一以上（含二分之一）通过； </w:t>
      </w:r>
    </w:p>
    <w:p w14:paraId="7A09DFE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612034F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502D9BBC">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20BCA7C0">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w:t>
      </w:r>
      <w:r>
        <w:rPr>
          <w:rFonts w:hint="eastAsia"/>
          <w:sz w:val="21"/>
          <w:szCs w:val="21"/>
          <w:lang w:eastAsia="zh-CN"/>
        </w:rPr>
        <w:t>2026年6月18日</w:t>
      </w:r>
      <w:r>
        <w:rPr>
          <w:rFonts w:hint="eastAsia"/>
          <w:sz w:val="21"/>
          <w:szCs w:val="21"/>
        </w:rPr>
        <w:t xml:space="preserve">。 </w:t>
      </w:r>
    </w:p>
    <w:p w14:paraId="53EE697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7FEDBA6D">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79CC52FD">
      <w:pPr>
        <w:pStyle w:val="4"/>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38A1CBB3">
      <w:pPr>
        <w:pStyle w:val="4"/>
        <w:spacing w:before="0" w:beforeAutospacing="0" w:after="0" w:afterAutospacing="0" w:line="360" w:lineRule="auto"/>
        <w:ind w:firstLine="420"/>
        <w:jc w:val="both"/>
        <w:rPr>
          <w:rFonts w:hint="eastAsia" w:eastAsia="宋体"/>
          <w:sz w:val="21"/>
          <w:szCs w:val="21"/>
          <w:lang w:eastAsia="zh-CN"/>
        </w:rPr>
      </w:pPr>
      <w:r>
        <w:rPr>
          <w:rFonts w:hint="eastAsia"/>
          <w:sz w:val="21"/>
          <w:szCs w:val="21"/>
        </w:rPr>
        <w:t>2、基金托管人：</w:t>
      </w:r>
      <w:r>
        <w:rPr>
          <w:rFonts w:hint="eastAsia"/>
          <w:sz w:val="21"/>
          <w:szCs w:val="21"/>
          <w:lang w:eastAsia="zh-CN"/>
        </w:rPr>
        <w:t>中国农业银行股份有限公司</w:t>
      </w:r>
    </w:p>
    <w:p w14:paraId="0C18A51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7D3DBFC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228FB36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014295CB">
      <w:pPr>
        <w:pStyle w:val="4"/>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p>
    <w:p w14:paraId="072FC7D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795D602B">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2D25050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7C48E8F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3、本公告的有关内容由博时基金管理有限公司负责解释。 </w:t>
      </w:r>
    </w:p>
    <w:p w14:paraId="7CB34471">
      <w:pPr>
        <w:pStyle w:val="4"/>
        <w:spacing w:before="0" w:beforeAutospacing="0" w:after="0" w:afterAutospacing="0" w:line="360" w:lineRule="auto"/>
        <w:ind w:firstLine="420"/>
        <w:jc w:val="both"/>
        <w:rPr>
          <w:sz w:val="21"/>
          <w:szCs w:val="21"/>
        </w:rPr>
      </w:pPr>
    </w:p>
    <w:p w14:paraId="51F63050">
      <w:pPr>
        <w:pStyle w:val="4"/>
        <w:spacing w:before="0" w:beforeAutospacing="0" w:after="0" w:afterAutospacing="0" w:line="360" w:lineRule="auto"/>
        <w:ind w:firstLine="420"/>
        <w:jc w:val="both"/>
        <w:rPr>
          <w:sz w:val="21"/>
          <w:szCs w:val="21"/>
        </w:rPr>
      </w:pPr>
    </w:p>
    <w:p w14:paraId="201D8111">
      <w:pPr>
        <w:pStyle w:val="4"/>
        <w:spacing w:before="0" w:beforeAutospacing="0" w:after="0" w:afterAutospacing="0" w:line="360" w:lineRule="auto"/>
        <w:ind w:firstLine="420"/>
        <w:jc w:val="both"/>
        <w:rPr>
          <w:sz w:val="21"/>
          <w:szCs w:val="21"/>
        </w:rPr>
      </w:pPr>
    </w:p>
    <w:p w14:paraId="7245564A">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67952C9D">
      <w:pPr>
        <w:pStyle w:val="4"/>
        <w:spacing w:before="0" w:beforeAutospacing="0" w:after="0" w:afterAutospacing="0" w:line="360" w:lineRule="auto"/>
        <w:ind w:firstLine="420"/>
        <w:jc w:val="right"/>
        <w:rPr>
          <w:rFonts w:hint="eastAsia" w:eastAsia="宋体"/>
          <w:sz w:val="21"/>
          <w:szCs w:val="21"/>
          <w:lang w:eastAsia="zh-CN"/>
        </w:rPr>
      </w:pPr>
      <w:r>
        <w:rPr>
          <w:rFonts w:hint="eastAsia"/>
          <w:sz w:val="21"/>
          <w:szCs w:val="21"/>
          <w:lang w:eastAsia="zh-CN"/>
        </w:rPr>
        <w:t>2026年6月</w:t>
      </w:r>
      <w:r>
        <w:rPr>
          <w:rFonts w:hint="eastAsia"/>
          <w:sz w:val="21"/>
          <w:szCs w:val="21"/>
          <w:lang w:val="en-US" w:eastAsia="zh-CN"/>
        </w:rPr>
        <w:t>22</w:t>
      </w:r>
      <w:r>
        <w:rPr>
          <w:rFonts w:hint="eastAsia"/>
          <w:sz w:val="21"/>
          <w:szCs w:val="21"/>
          <w:lang w:eastAsia="zh-CN"/>
        </w:rPr>
        <w:t>日 </w:t>
      </w:r>
    </w:p>
    <w:p w14:paraId="35BEFE65">
      <w:pPr>
        <w:pStyle w:val="4"/>
        <w:spacing w:before="0" w:beforeAutospacing="0" w:after="0" w:afterAutospacing="0" w:line="360" w:lineRule="auto"/>
        <w:ind w:firstLine="420"/>
        <w:jc w:val="right"/>
        <w:rPr>
          <w:sz w:val="21"/>
          <w:szCs w:val="21"/>
        </w:rPr>
      </w:pPr>
    </w:p>
    <w:p w14:paraId="64C70D13">
      <w:pPr>
        <w:pStyle w:val="4"/>
        <w:spacing w:before="0" w:beforeAutospacing="0" w:after="0" w:afterAutospacing="0" w:line="360" w:lineRule="auto"/>
        <w:ind w:firstLine="420"/>
        <w:jc w:val="right"/>
        <w:rPr>
          <w:sz w:val="21"/>
          <w:szCs w:val="21"/>
        </w:rPr>
      </w:pPr>
    </w:p>
    <w:p w14:paraId="0FA6A1F4">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w:t>
      </w:r>
      <w:r>
        <w:rPr>
          <w:rStyle w:val="10"/>
          <w:rFonts w:hint="eastAsia" w:ascii="宋体" w:hAnsi="宋体" w:cs="宋体"/>
          <w:szCs w:val="21"/>
          <w:lang w:eastAsia="zh-CN"/>
        </w:rPr>
        <w:t>博时上证综合指数增强型证券投资基金</w:t>
      </w:r>
      <w:r>
        <w:rPr>
          <w:rStyle w:val="10"/>
          <w:rFonts w:ascii="宋体" w:hAnsi="宋体" w:cs="宋体"/>
          <w:szCs w:val="21"/>
        </w:rPr>
        <w:t>持续运作的议案</w:t>
      </w:r>
      <w:r>
        <w:rPr>
          <w:rStyle w:val="10"/>
          <w:rFonts w:hint="eastAsia" w:ascii="宋体" w:hAnsi="宋体" w:cs="宋体"/>
          <w:szCs w:val="21"/>
        </w:rPr>
        <w:t>》</w:t>
      </w:r>
    </w:p>
    <w:p w14:paraId="6F2CF0BF">
      <w:pPr>
        <w:adjustRightInd w:val="0"/>
        <w:snapToGrid w:val="0"/>
        <w:spacing w:line="360" w:lineRule="auto"/>
        <w:rPr>
          <w:rStyle w:val="10"/>
          <w:rFonts w:ascii="宋体" w:hAnsi="宋体" w:cs="宋体"/>
          <w:szCs w:val="21"/>
        </w:rPr>
      </w:pPr>
      <w:r>
        <w:rPr>
          <w:rStyle w:val="10"/>
          <w:rFonts w:hint="eastAsia" w:ascii="宋体" w:hAnsi="宋体" w:cs="宋体"/>
          <w:szCs w:val="21"/>
        </w:rPr>
        <w:t>附件二：《</w:t>
      </w:r>
      <w:r>
        <w:rPr>
          <w:rStyle w:val="10"/>
          <w:rFonts w:hint="eastAsia" w:ascii="宋体" w:hAnsi="宋体" w:cs="宋体"/>
          <w:szCs w:val="21"/>
          <w:lang w:eastAsia="zh-CN"/>
        </w:rPr>
        <w:t>博时上证综合指数增强型证券投资基金</w:t>
      </w:r>
      <w:r>
        <w:rPr>
          <w:rStyle w:val="10"/>
          <w:rFonts w:hint="eastAsia" w:ascii="宋体" w:hAnsi="宋体" w:cs="宋体"/>
          <w:szCs w:val="21"/>
        </w:rPr>
        <w:t>基金份额持有人大会表决票》</w:t>
      </w:r>
    </w:p>
    <w:p w14:paraId="0CE87BA5">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3BB92425">
      <w:pPr>
        <w:rPr>
          <w:rStyle w:val="10"/>
          <w:rFonts w:ascii="宋体" w:hAnsi="宋体" w:cs="宋体"/>
          <w:szCs w:val="21"/>
        </w:rPr>
      </w:pPr>
      <w:r>
        <w:rPr>
          <w:rStyle w:val="10"/>
          <w:rFonts w:hint="eastAsia" w:ascii="宋体" w:hAnsi="宋体" w:cs="宋体"/>
          <w:szCs w:val="21"/>
        </w:rPr>
        <w:br w:type="page"/>
      </w:r>
    </w:p>
    <w:p w14:paraId="4B79AC36">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219E807A">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w:t>
      </w:r>
      <w:r>
        <w:rPr>
          <w:rFonts w:hint="eastAsia" w:ascii="宋体" w:hAnsi="宋体" w:cs="宋体"/>
          <w:b/>
          <w:bCs/>
          <w:color w:val="000000"/>
          <w:szCs w:val="21"/>
          <w:lang w:eastAsia="zh-CN"/>
        </w:rPr>
        <w:t>博时上证综合指数增强型证券投资基金</w:t>
      </w:r>
      <w:r>
        <w:rPr>
          <w:rFonts w:ascii="宋体" w:hAnsi="宋体" w:cs="宋体"/>
          <w:b/>
          <w:bCs/>
          <w:color w:val="000000"/>
          <w:szCs w:val="21"/>
        </w:rPr>
        <w:t>持续运作的议案</w:t>
      </w:r>
    </w:p>
    <w:p w14:paraId="1244FD06">
      <w:pPr>
        <w:adjustRightInd w:val="0"/>
        <w:snapToGrid w:val="0"/>
        <w:spacing w:line="360" w:lineRule="auto"/>
        <w:ind w:firstLine="480"/>
        <w:rPr>
          <w:rStyle w:val="10"/>
          <w:rFonts w:ascii="宋体" w:hAnsi="宋体" w:cs="宋体"/>
          <w:szCs w:val="21"/>
        </w:rPr>
      </w:pPr>
    </w:p>
    <w:p w14:paraId="23F0362C">
      <w:pPr>
        <w:adjustRightInd w:val="0"/>
        <w:snapToGrid w:val="0"/>
        <w:spacing w:line="360" w:lineRule="auto"/>
        <w:rPr>
          <w:rStyle w:val="10"/>
          <w:rFonts w:ascii="宋体" w:hAnsi="宋体" w:cs="宋体"/>
          <w:szCs w:val="21"/>
        </w:rPr>
      </w:pPr>
      <w:r>
        <w:rPr>
          <w:rFonts w:hint="eastAsia" w:ascii="宋体" w:hAnsi="宋体" w:cs="宋体"/>
          <w:color w:val="000000"/>
          <w:szCs w:val="21"/>
          <w:lang w:eastAsia="zh-CN"/>
        </w:rPr>
        <w:t>博时上证综合指数增强型证券投资基金</w:t>
      </w:r>
      <w:r>
        <w:rPr>
          <w:rStyle w:val="10"/>
          <w:rFonts w:hint="eastAsia" w:ascii="宋体" w:hAnsi="宋体" w:cs="宋体"/>
          <w:szCs w:val="21"/>
        </w:rPr>
        <w:t>基金份额持有人：</w:t>
      </w:r>
    </w:p>
    <w:p w14:paraId="09A27FC6">
      <w:pPr>
        <w:pStyle w:val="4"/>
        <w:spacing w:before="0" w:beforeAutospacing="0" w:after="0" w:afterAutospacing="0" w:line="360" w:lineRule="auto"/>
        <w:ind w:firstLine="420"/>
        <w:jc w:val="both"/>
        <w:rPr>
          <w:sz w:val="21"/>
          <w:szCs w:val="21"/>
        </w:rPr>
      </w:pPr>
      <w:r>
        <w:rPr>
          <w:rFonts w:hint="eastAsia"/>
          <w:sz w:val="21"/>
          <w:szCs w:val="21"/>
        </w:rPr>
        <w:t xml:space="preserve">按照《公开募集证券投资基金运作管理办法》及本基金基金合同的规定： </w:t>
      </w:r>
    </w:p>
    <w:p w14:paraId="749A0367">
      <w:pPr>
        <w:spacing w:line="360" w:lineRule="auto"/>
        <w:ind w:firstLine="420" w:firstLineChars="20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442D02A6">
      <w:pPr>
        <w:spacing w:line="360" w:lineRule="auto"/>
        <w:ind w:firstLine="420" w:firstLineChars="20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法律法规或中国证监会另有规定时，从其规定。”</w:t>
      </w:r>
    </w:p>
    <w:p w14:paraId="35B38952">
      <w:pPr>
        <w:pStyle w:val="4"/>
        <w:spacing w:before="0" w:beforeAutospacing="0" w:after="0" w:afterAutospacing="0" w:line="360" w:lineRule="auto"/>
        <w:ind w:firstLine="420"/>
        <w:jc w:val="both"/>
        <w:rPr>
          <w:sz w:val="21"/>
          <w:szCs w:val="21"/>
        </w:rPr>
      </w:pPr>
      <w:r>
        <w:rPr>
          <w:rFonts w:hint="eastAsia"/>
          <w:sz w:val="21"/>
          <w:szCs w:val="21"/>
        </w:rPr>
        <w:t>本基金已出现连续60个工作日资产净值低于5000万元的情形。本基金管理人经与基金托管人</w:t>
      </w:r>
      <w:r>
        <w:rPr>
          <w:rFonts w:hint="eastAsia"/>
          <w:sz w:val="21"/>
          <w:szCs w:val="21"/>
          <w:lang w:eastAsia="zh-CN"/>
        </w:rPr>
        <w:t>中国农业银行股份有限公司</w:t>
      </w:r>
      <w:r>
        <w:rPr>
          <w:rFonts w:hint="eastAsia"/>
          <w:sz w:val="21"/>
          <w:szCs w:val="21"/>
        </w:rPr>
        <w:t xml:space="preserve">协商一致，提议本基金持续运作。 </w:t>
      </w:r>
    </w:p>
    <w:p w14:paraId="40FDABAD">
      <w:pPr>
        <w:pStyle w:val="4"/>
        <w:spacing w:before="0" w:beforeAutospacing="0" w:after="0" w:afterAutospacing="0" w:line="360" w:lineRule="auto"/>
        <w:ind w:firstLine="420"/>
        <w:jc w:val="both"/>
        <w:rPr>
          <w:sz w:val="21"/>
          <w:szCs w:val="21"/>
        </w:rPr>
      </w:pPr>
      <w:r>
        <w:rPr>
          <w:rFonts w:hint="eastAsia"/>
          <w:sz w:val="21"/>
          <w:szCs w:val="21"/>
        </w:rPr>
        <w:t xml:space="preserve">为实施本次会议议案，提议授权基金管理人办理有关具体事宜，包括但不限于根据市场情况决定采取相关基金持续运作的措施以及确定基金持续运作各项工作的具体时间等。 </w:t>
      </w:r>
    </w:p>
    <w:p w14:paraId="50B96848">
      <w:pPr>
        <w:pStyle w:val="4"/>
        <w:spacing w:before="0" w:beforeAutospacing="0" w:after="0" w:afterAutospacing="0" w:line="360" w:lineRule="auto"/>
        <w:ind w:firstLine="420"/>
        <w:jc w:val="both"/>
        <w:rPr>
          <w:sz w:val="21"/>
          <w:szCs w:val="21"/>
        </w:rPr>
      </w:pPr>
      <w:r>
        <w:rPr>
          <w:rFonts w:hint="eastAsia"/>
          <w:sz w:val="21"/>
          <w:szCs w:val="21"/>
        </w:rPr>
        <w:t xml:space="preserve">以上议案，请予审议。 </w:t>
      </w:r>
    </w:p>
    <w:p w14:paraId="2ED14A98">
      <w:pPr>
        <w:adjustRightInd w:val="0"/>
        <w:snapToGrid w:val="0"/>
        <w:spacing w:line="360" w:lineRule="auto"/>
        <w:rPr>
          <w:rFonts w:ascii="宋体" w:hAnsi="宋体" w:cs="宋体"/>
          <w:color w:val="000000"/>
          <w:szCs w:val="21"/>
        </w:rPr>
      </w:pPr>
    </w:p>
    <w:p w14:paraId="363DAACF">
      <w:pPr>
        <w:adjustRightInd w:val="0"/>
        <w:snapToGrid w:val="0"/>
        <w:spacing w:line="360" w:lineRule="auto"/>
        <w:ind w:left="3220" w:firstLine="105" w:firstLineChars="50"/>
        <w:rPr>
          <w:rFonts w:ascii="宋体" w:hAnsi="宋体" w:cs="宋体"/>
          <w:szCs w:val="21"/>
        </w:rPr>
      </w:pPr>
    </w:p>
    <w:p w14:paraId="77648427">
      <w:pPr>
        <w:adjustRightInd w:val="0"/>
        <w:snapToGrid w:val="0"/>
        <w:spacing w:line="360" w:lineRule="auto"/>
        <w:ind w:left="3220" w:firstLine="105" w:firstLineChars="50"/>
        <w:rPr>
          <w:rFonts w:ascii="宋体" w:hAnsi="宋体" w:cs="宋体"/>
          <w:szCs w:val="21"/>
        </w:rPr>
      </w:pPr>
    </w:p>
    <w:p w14:paraId="1C140B85">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0BD33821">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color w:val="000000"/>
          <w:szCs w:val="21"/>
          <w:lang w:eastAsia="zh-CN"/>
        </w:rPr>
        <w:t>2026年6月18日 </w:t>
      </w:r>
      <w:r>
        <w:rPr>
          <w:rStyle w:val="10"/>
          <w:rFonts w:hint="eastAsia" w:ascii="宋体" w:hAnsi="宋体" w:cs="宋体"/>
          <w:szCs w:val="21"/>
        </w:rPr>
        <w:br w:type="page"/>
      </w:r>
    </w:p>
    <w:p w14:paraId="4696C90B">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4308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7451FB41">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eastAsia="zh-CN"/>
              </w:rPr>
              <w:t>博时上证综合指数增强型证券投资基金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03AB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2487A58E">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1489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6115D424">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0F95A042">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3536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7047D06C">
            <w:pPr>
              <w:adjustRightInd w:val="0"/>
              <w:snapToGrid w:val="0"/>
              <w:spacing w:line="360" w:lineRule="auto"/>
              <w:rPr>
                <w:rFonts w:ascii="宋体" w:hAnsi="宋体" w:cs="宋体"/>
                <w:szCs w:val="21"/>
              </w:rPr>
            </w:pPr>
          </w:p>
        </w:tc>
        <w:tc>
          <w:tcPr>
            <w:tcW w:w="3975" w:type="dxa"/>
            <w:gridSpan w:val="3"/>
            <w:tcBorders>
              <w:bottom w:val="nil"/>
            </w:tcBorders>
          </w:tcPr>
          <w:p w14:paraId="350F7287">
            <w:pPr>
              <w:adjustRightInd w:val="0"/>
              <w:snapToGrid w:val="0"/>
              <w:spacing w:line="360" w:lineRule="auto"/>
              <w:ind w:left="807"/>
              <w:rPr>
                <w:rFonts w:ascii="宋体" w:hAnsi="宋体" w:cs="宋体"/>
                <w:szCs w:val="21"/>
              </w:rPr>
            </w:pPr>
          </w:p>
        </w:tc>
      </w:tr>
      <w:tr w14:paraId="1CB4F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3F8B75E2">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4B65B68A">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239E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92E66FE">
            <w:pPr>
              <w:adjustRightInd w:val="0"/>
              <w:snapToGrid w:val="0"/>
              <w:spacing w:line="360" w:lineRule="auto"/>
              <w:rPr>
                <w:rFonts w:ascii="宋体" w:hAnsi="宋体" w:cs="宋体"/>
                <w:szCs w:val="21"/>
              </w:rPr>
            </w:pPr>
          </w:p>
        </w:tc>
        <w:tc>
          <w:tcPr>
            <w:tcW w:w="3975" w:type="dxa"/>
            <w:gridSpan w:val="3"/>
            <w:tcBorders>
              <w:bottom w:val="nil"/>
            </w:tcBorders>
          </w:tcPr>
          <w:p w14:paraId="599F033D">
            <w:pPr>
              <w:adjustRightInd w:val="0"/>
              <w:snapToGrid w:val="0"/>
              <w:spacing w:line="360" w:lineRule="auto"/>
              <w:ind w:left="807"/>
              <w:rPr>
                <w:rFonts w:ascii="宋体" w:hAnsi="宋体" w:cs="宋体"/>
                <w:szCs w:val="21"/>
              </w:rPr>
            </w:pPr>
          </w:p>
        </w:tc>
      </w:tr>
      <w:tr w14:paraId="0D259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14D11064">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4787858A">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55A02C4E">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3B8411AD">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03784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5CBAD52C">
            <w:pPr>
              <w:pStyle w:val="4"/>
              <w:adjustRightInd w:val="0"/>
              <w:snapToGrid w:val="0"/>
              <w:spacing w:line="360" w:lineRule="auto"/>
              <w:jc w:val="both"/>
              <w:rPr>
                <w:sz w:val="21"/>
                <w:szCs w:val="21"/>
              </w:rPr>
            </w:pPr>
            <w:r>
              <w:rPr>
                <w:rFonts w:hint="eastAsia"/>
                <w:b/>
                <w:bCs/>
                <w:color w:val="000000"/>
                <w:sz w:val="21"/>
                <w:szCs w:val="21"/>
              </w:rPr>
              <w:t>《关于</w:t>
            </w:r>
            <w:r>
              <w:rPr>
                <w:rFonts w:hint="eastAsia"/>
                <w:b/>
                <w:bCs/>
                <w:color w:val="000000"/>
                <w:sz w:val="21"/>
                <w:szCs w:val="21"/>
                <w:lang w:eastAsia="zh-CN"/>
              </w:rPr>
              <w:t>博时上证综合指数增强型证券投资基金</w:t>
            </w:r>
            <w:r>
              <w:rPr>
                <w:b/>
                <w:bCs/>
                <w:color w:val="000000"/>
                <w:sz w:val="21"/>
                <w:szCs w:val="21"/>
              </w:rPr>
              <w:t>持续运作的议案</w:t>
            </w:r>
            <w:r>
              <w:rPr>
                <w:rFonts w:hint="eastAsia"/>
                <w:b/>
                <w:bCs/>
                <w:color w:val="000000"/>
                <w:sz w:val="21"/>
                <w:szCs w:val="21"/>
              </w:rPr>
              <w:t>》</w:t>
            </w:r>
          </w:p>
        </w:tc>
        <w:tc>
          <w:tcPr>
            <w:tcW w:w="1260" w:type="dxa"/>
          </w:tcPr>
          <w:p w14:paraId="6C5DD8BE">
            <w:pPr>
              <w:adjustRightInd w:val="0"/>
              <w:snapToGrid w:val="0"/>
              <w:spacing w:line="360" w:lineRule="auto"/>
              <w:rPr>
                <w:rFonts w:ascii="宋体" w:hAnsi="宋体" w:cs="宋体"/>
                <w:szCs w:val="21"/>
              </w:rPr>
            </w:pPr>
          </w:p>
          <w:p w14:paraId="6E10967A">
            <w:pPr>
              <w:adjustRightInd w:val="0"/>
              <w:snapToGrid w:val="0"/>
              <w:spacing w:line="360" w:lineRule="auto"/>
              <w:rPr>
                <w:rFonts w:ascii="宋体" w:hAnsi="宋体" w:cs="宋体"/>
                <w:szCs w:val="21"/>
              </w:rPr>
            </w:pPr>
          </w:p>
        </w:tc>
        <w:tc>
          <w:tcPr>
            <w:tcW w:w="1260" w:type="dxa"/>
          </w:tcPr>
          <w:p w14:paraId="60063CED">
            <w:pPr>
              <w:adjustRightInd w:val="0"/>
              <w:snapToGrid w:val="0"/>
              <w:spacing w:line="360" w:lineRule="auto"/>
              <w:rPr>
                <w:rFonts w:ascii="宋体" w:hAnsi="宋体" w:cs="宋体"/>
                <w:szCs w:val="21"/>
              </w:rPr>
            </w:pPr>
          </w:p>
          <w:p w14:paraId="423C8417">
            <w:pPr>
              <w:adjustRightInd w:val="0"/>
              <w:snapToGrid w:val="0"/>
              <w:spacing w:line="360" w:lineRule="auto"/>
              <w:rPr>
                <w:rFonts w:ascii="宋体" w:hAnsi="宋体" w:cs="宋体"/>
                <w:szCs w:val="21"/>
              </w:rPr>
            </w:pPr>
          </w:p>
        </w:tc>
        <w:tc>
          <w:tcPr>
            <w:tcW w:w="1455" w:type="dxa"/>
          </w:tcPr>
          <w:p w14:paraId="20613EB8">
            <w:pPr>
              <w:adjustRightInd w:val="0"/>
              <w:snapToGrid w:val="0"/>
              <w:spacing w:line="360" w:lineRule="auto"/>
              <w:rPr>
                <w:rFonts w:ascii="宋体" w:hAnsi="宋体" w:cs="宋体"/>
                <w:szCs w:val="21"/>
              </w:rPr>
            </w:pPr>
          </w:p>
          <w:p w14:paraId="46124F24">
            <w:pPr>
              <w:adjustRightInd w:val="0"/>
              <w:snapToGrid w:val="0"/>
              <w:spacing w:line="360" w:lineRule="auto"/>
              <w:rPr>
                <w:rFonts w:ascii="宋体" w:hAnsi="宋体" w:cs="宋体"/>
                <w:szCs w:val="21"/>
              </w:rPr>
            </w:pPr>
          </w:p>
        </w:tc>
      </w:tr>
      <w:tr w14:paraId="6300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670AAA1A">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253F8886">
            <w:pPr>
              <w:adjustRightInd w:val="0"/>
              <w:snapToGrid w:val="0"/>
              <w:spacing w:line="360" w:lineRule="auto"/>
              <w:rPr>
                <w:rFonts w:ascii="宋体" w:hAnsi="宋体" w:cs="宋体"/>
                <w:szCs w:val="21"/>
              </w:rPr>
            </w:pPr>
          </w:p>
          <w:p w14:paraId="4D400023">
            <w:pPr>
              <w:adjustRightInd w:val="0"/>
              <w:snapToGrid w:val="0"/>
              <w:spacing w:line="360" w:lineRule="auto"/>
              <w:rPr>
                <w:rFonts w:ascii="宋体" w:hAnsi="宋体" w:cs="宋体"/>
                <w:szCs w:val="21"/>
              </w:rPr>
            </w:pPr>
          </w:p>
          <w:p w14:paraId="5F898DFD">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1E5D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3F9A5669">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16C3C6EE">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7FACC9CF">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11D1FBD1">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3137EDDF">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5BF8A32C">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427FD524">
      <w:pPr>
        <w:adjustRightInd w:val="0"/>
        <w:snapToGrid w:val="0"/>
        <w:spacing w:line="360" w:lineRule="auto"/>
        <w:ind w:firstLine="480"/>
        <w:rPr>
          <w:rFonts w:ascii="宋体" w:hAnsi="宋体" w:cs="宋体"/>
        </w:rPr>
      </w:pPr>
    </w:p>
    <w:p w14:paraId="333391CD">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lang w:eastAsia="zh-CN"/>
        </w:rPr>
        <w:t>博时上证综合指数增强型证券投资基金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lang w:eastAsia="zh-CN"/>
        </w:rPr>
        <w:t>博时上证综合指数增强型证券投资基金</w:t>
      </w:r>
      <w:r>
        <w:rPr>
          <w:rFonts w:hint="eastAsia" w:ascii="宋体" w:hAnsi="宋体" w:cs="宋体"/>
          <w:szCs w:val="21"/>
        </w:rPr>
        <w:t>二次召集审议相同议案的基金份额持有人大会的，除有新的授权外，本授权继续有效。</w:t>
      </w:r>
    </w:p>
    <w:p w14:paraId="580028B5">
      <w:pPr>
        <w:adjustRightInd w:val="0"/>
        <w:snapToGrid w:val="0"/>
        <w:spacing w:line="360" w:lineRule="auto"/>
        <w:ind w:firstLine="480"/>
        <w:rPr>
          <w:rFonts w:ascii="宋体" w:hAnsi="宋体" w:cs="宋体"/>
          <w:szCs w:val="21"/>
        </w:rPr>
      </w:pPr>
    </w:p>
    <w:p w14:paraId="2D7681AE">
      <w:pPr>
        <w:adjustRightInd w:val="0"/>
        <w:snapToGrid w:val="0"/>
        <w:spacing w:line="360" w:lineRule="auto"/>
        <w:ind w:firstLine="480"/>
        <w:rPr>
          <w:rFonts w:ascii="宋体" w:hAnsi="宋体" w:cs="宋体"/>
          <w:szCs w:val="21"/>
        </w:rPr>
      </w:pPr>
    </w:p>
    <w:p w14:paraId="0AAC6EA5">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6B382E86">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488D7F59">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2C7F61EC">
      <w:pPr>
        <w:adjustRightInd w:val="0"/>
        <w:snapToGrid w:val="0"/>
        <w:spacing w:line="360" w:lineRule="auto"/>
        <w:rPr>
          <w:rFonts w:ascii="宋体" w:hAnsi="宋体" w:cs="宋体"/>
          <w:szCs w:val="21"/>
        </w:rPr>
      </w:pPr>
    </w:p>
    <w:p w14:paraId="0A063857">
      <w:pPr>
        <w:adjustRightInd w:val="0"/>
        <w:snapToGrid w:val="0"/>
        <w:spacing w:line="360" w:lineRule="auto"/>
        <w:ind w:firstLine="5040"/>
        <w:rPr>
          <w:rFonts w:ascii="宋体" w:hAnsi="宋体" w:cs="宋体"/>
          <w:szCs w:val="21"/>
        </w:rPr>
      </w:pPr>
    </w:p>
    <w:p w14:paraId="6EAD1B98">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773581DE">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3A10EE18">
      <w:pPr>
        <w:adjustRightInd w:val="0"/>
        <w:snapToGrid w:val="0"/>
        <w:spacing w:line="360" w:lineRule="auto"/>
        <w:ind w:firstLine="5040"/>
        <w:rPr>
          <w:rFonts w:ascii="宋体" w:hAnsi="宋体" w:cs="宋体"/>
          <w:szCs w:val="21"/>
        </w:rPr>
      </w:pPr>
    </w:p>
    <w:p w14:paraId="1D7F3136">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307A2D95">
      <w:pPr>
        <w:adjustRightInd w:val="0"/>
        <w:snapToGrid w:val="0"/>
        <w:spacing w:line="360" w:lineRule="auto"/>
        <w:jc w:val="center"/>
        <w:rPr>
          <w:rFonts w:ascii="宋体" w:hAnsi="宋体" w:cs="宋体"/>
          <w:szCs w:val="21"/>
        </w:rPr>
      </w:pPr>
    </w:p>
    <w:p w14:paraId="73EF9F37">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7612BEA7">
      <w:pPr>
        <w:adjustRightInd w:val="0"/>
        <w:snapToGrid w:val="0"/>
        <w:spacing w:line="360" w:lineRule="auto"/>
        <w:rPr>
          <w:rFonts w:ascii="宋体" w:hAnsi="宋体" w:cs="宋体"/>
          <w:szCs w:val="21"/>
        </w:rPr>
      </w:pPr>
    </w:p>
    <w:p w14:paraId="682201AA">
      <w:pPr>
        <w:adjustRightInd w:val="0"/>
        <w:snapToGrid w:val="0"/>
        <w:spacing w:line="360" w:lineRule="auto"/>
        <w:rPr>
          <w:rFonts w:ascii="宋体" w:hAnsi="宋体" w:cs="宋体"/>
          <w:szCs w:val="21"/>
        </w:rPr>
      </w:pPr>
    </w:p>
    <w:p w14:paraId="2C06E838">
      <w:pPr>
        <w:adjustRightInd w:val="0"/>
        <w:snapToGrid w:val="0"/>
        <w:spacing w:line="360" w:lineRule="auto"/>
        <w:rPr>
          <w:rFonts w:ascii="宋体" w:hAnsi="宋体" w:cs="宋体"/>
          <w:szCs w:val="21"/>
        </w:rPr>
      </w:pPr>
      <w:r>
        <w:rPr>
          <w:rFonts w:hint="eastAsia" w:ascii="宋体" w:hAnsi="宋体" w:cs="宋体"/>
          <w:szCs w:val="21"/>
        </w:rPr>
        <w:t>附注：</w:t>
      </w:r>
    </w:p>
    <w:p w14:paraId="1DB87316">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4770CF9C">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002C5EB7">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534D0D0D">
      <w:pPr>
        <w:rPr>
          <w:rFonts w:ascii="宋体" w:hAnsi="宋体" w:cs="宋体"/>
          <w:color w:val="000000"/>
          <w:szCs w:val="21"/>
        </w:rPr>
      </w:pPr>
    </w:p>
    <w:p w14:paraId="0E5ED887">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C77"/>
    <w:rsid w:val="00944C77"/>
    <w:rsid w:val="00AC2988"/>
    <w:rsid w:val="050C4F7A"/>
    <w:rsid w:val="07654AB6"/>
    <w:rsid w:val="23331C60"/>
    <w:rsid w:val="39745BCE"/>
    <w:rsid w:val="3CEA2BCB"/>
    <w:rsid w:val="403D16BC"/>
    <w:rsid w:val="43C958B8"/>
    <w:rsid w:val="4DAB34DE"/>
    <w:rsid w:val="4F3B7970"/>
    <w:rsid w:val="4F7A0B12"/>
    <w:rsid w:val="59D86980"/>
    <w:rsid w:val="5E145319"/>
    <w:rsid w:val="626C655C"/>
    <w:rsid w:val="71473FB4"/>
    <w:rsid w:val="72255807"/>
    <w:rsid w:val="72F5541E"/>
    <w:rsid w:val="770C2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10</Pages>
  <Words>6968</Words>
  <Characters>7219</Characters>
  <Lines>51</Lines>
  <Paragraphs>14</Paragraphs>
  <TotalTime>4</TotalTime>
  <ScaleCrop>false</ScaleCrop>
  <LinksUpToDate>false</LinksUpToDate>
  <CharactersWithSpaces>7525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2026-05-21T05:36:00Z</dcterms:created>
  <dc:creator>BSKMadminDev</dc:creator>
  <cp:lastModifiedBy>liuf</cp:lastModifiedBy>
  <dcterms:modified xsi:type="dcterms:W3CDTF">2026-06-17T00:23:43Z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CC9319C298C0404BAAC9D317F6414B50_13</vt:lpwstr>
  </property>
  <property fmtid="{D5CDD505-2E9C-101B-9397-08002B2CF9AE}" pid="4" name="KSOTemplateDocerSaveRecord">
    <vt:lpwstr>eyJoZGlkIjoiZmVhYTE0MTJhMGJkOGU3YzBiOGFiYTlhMGFmMDNhZmYiLCJ1c2VySWQiOiI4OTUyODYyNjEifQ==</vt:lpwstr>
  </property>
</Properties>
</file>