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83807">
      <w:pPr>
        <w:adjustRightInd w:val="0"/>
        <w:snapToGrid w:val="0"/>
        <w:spacing w:line="360" w:lineRule="auto"/>
        <w:jc w:val="center"/>
        <w:rPr>
          <w:rFonts w:cs="Arial"/>
          <w:szCs w:val="21"/>
        </w:rPr>
        <w:sectPr>
          <w:footerReference r:id="rId3" w:type="default"/>
          <w:footerReference r:id="rId4" w:type="even"/>
          <w:type w:val="continuous"/>
          <w:pgSz w:w="11906" w:h="16838"/>
          <w:pgMar w:top="1418" w:right="1701" w:bottom="1418" w:left="1701" w:header="851" w:footer="992" w:gutter="0"/>
          <w:pgNumType w:fmt="decimal"/>
          <w:cols w:space="720" w:num="1"/>
          <w:docGrid w:type="lines" w:linePitch="312" w:charSpace="0"/>
        </w:sectPr>
      </w:pPr>
      <w:bookmarkStart w:id="0" w:name="TITLE_0b885b7c4a164e0db299042cec4001b3"/>
      <w:bookmarkStart w:id="229" w:name="_GoBack"/>
      <w:bookmarkEnd w:id="229"/>
      <w:r>
        <w:t xml:space="preserve"> </w:t>
      </w:r>
    </w:p>
    <w:bookmarkEnd w:id="0"/>
    <w:p w14:paraId="2DE97061">
      <w:pPr>
        <w:adjustRightInd w:val="0"/>
        <w:snapToGrid w:val="0"/>
        <w:spacing w:line="360" w:lineRule="auto"/>
        <w:jc w:val="center"/>
        <w:rPr>
          <w:rFonts w:cs="Arial"/>
          <w:szCs w:val="21"/>
        </w:rPr>
      </w:pPr>
      <w:bookmarkStart w:id="1" w:name="CLAUSE_ea91b302e9a246b186f4ac88363a4576"/>
      <w:r>
        <w:t xml:space="preserve"> </w:t>
      </w:r>
      <w:bookmarkStart w:id="2" w:name="CTS_ea91b302e9a246b186f4ac88363a4576"/>
      <w:bookmarkEnd w:id="2"/>
    </w:p>
    <w:p w14:paraId="2E9A100A">
      <w:pPr>
        <w:adjustRightInd w:val="0"/>
        <w:snapToGrid w:val="0"/>
        <w:spacing w:line="360" w:lineRule="auto"/>
        <w:jc w:val="center"/>
        <w:rPr>
          <w:rFonts w:cs="Arial"/>
          <w:szCs w:val="21"/>
        </w:rPr>
      </w:pPr>
    </w:p>
    <w:p w14:paraId="1F19F95A">
      <w:pPr>
        <w:adjustRightInd w:val="0"/>
        <w:snapToGrid w:val="0"/>
        <w:spacing w:line="360" w:lineRule="auto"/>
        <w:jc w:val="center"/>
        <w:rPr>
          <w:rFonts w:cs="Arial"/>
          <w:szCs w:val="21"/>
        </w:rPr>
      </w:pPr>
    </w:p>
    <w:p w14:paraId="0E5FCB51">
      <w:pPr>
        <w:adjustRightInd w:val="0"/>
        <w:snapToGrid w:val="0"/>
        <w:spacing w:line="360" w:lineRule="auto"/>
        <w:jc w:val="center"/>
        <w:rPr>
          <w:rFonts w:cs="Arial"/>
          <w:szCs w:val="21"/>
        </w:rPr>
      </w:pPr>
    </w:p>
    <w:p w14:paraId="0CE335EF">
      <w:pPr>
        <w:adjustRightInd w:val="0"/>
        <w:snapToGrid w:val="0"/>
        <w:spacing w:line="360" w:lineRule="auto"/>
        <w:jc w:val="center"/>
        <w:rPr>
          <w:rFonts w:ascii="黑体" w:hAnsi="黑体" w:eastAsia="黑体" w:cs="Arial"/>
          <w:b/>
          <w:sz w:val="44"/>
          <w:szCs w:val="21"/>
        </w:rPr>
      </w:pPr>
      <w:r>
        <w:rPr>
          <w:rFonts w:hint="eastAsia" w:ascii="黑体" w:hAnsi="黑体" w:eastAsia="黑体" w:cs="Arial"/>
          <w:b/>
          <w:sz w:val="44"/>
          <w:szCs w:val="21"/>
        </w:rPr>
        <w:t>博时安慧臻选3个月持有期混合型基金中基金（FOF）托管协议</w:t>
      </w:r>
    </w:p>
    <w:p w14:paraId="76ADED26">
      <w:pPr>
        <w:adjustRightInd w:val="0"/>
        <w:snapToGrid w:val="0"/>
        <w:spacing w:line="360" w:lineRule="auto"/>
        <w:jc w:val="center"/>
        <w:rPr>
          <w:rFonts w:cs="Arial"/>
          <w:szCs w:val="21"/>
        </w:rPr>
      </w:pPr>
    </w:p>
    <w:p w14:paraId="7586AFCD">
      <w:pPr>
        <w:adjustRightInd w:val="0"/>
        <w:snapToGrid w:val="0"/>
        <w:spacing w:line="360" w:lineRule="auto"/>
        <w:jc w:val="center"/>
        <w:rPr>
          <w:rFonts w:cs="Arial"/>
          <w:szCs w:val="21"/>
        </w:rPr>
      </w:pPr>
    </w:p>
    <w:p w14:paraId="2CCD552A">
      <w:pPr>
        <w:adjustRightInd w:val="0"/>
        <w:snapToGrid w:val="0"/>
        <w:spacing w:line="360" w:lineRule="auto"/>
        <w:jc w:val="center"/>
        <w:rPr>
          <w:rFonts w:cs="Arial"/>
          <w:szCs w:val="21"/>
        </w:rPr>
      </w:pPr>
    </w:p>
    <w:p w14:paraId="046CEC35">
      <w:pPr>
        <w:adjustRightInd w:val="0"/>
        <w:snapToGrid w:val="0"/>
        <w:spacing w:line="360" w:lineRule="auto"/>
        <w:jc w:val="center"/>
        <w:rPr>
          <w:rFonts w:cs="Arial"/>
          <w:szCs w:val="21"/>
        </w:rPr>
      </w:pPr>
    </w:p>
    <w:p w14:paraId="6D48A2DD">
      <w:pPr>
        <w:adjustRightInd w:val="0"/>
        <w:snapToGrid w:val="0"/>
        <w:spacing w:line="360" w:lineRule="auto"/>
        <w:jc w:val="center"/>
        <w:rPr>
          <w:rFonts w:cs="Arial"/>
          <w:szCs w:val="21"/>
        </w:rPr>
      </w:pPr>
    </w:p>
    <w:p w14:paraId="3E7BBE6A">
      <w:pPr>
        <w:adjustRightInd w:val="0"/>
        <w:snapToGrid w:val="0"/>
        <w:spacing w:line="360" w:lineRule="auto"/>
        <w:jc w:val="center"/>
        <w:rPr>
          <w:rFonts w:cs="Arial"/>
          <w:szCs w:val="21"/>
        </w:rPr>
      </w:pPr>
    </w:p>
    <w:p w14:paraId="55941883">
      <w:pPr>
        <w:adjustRightInd w:val="0"/>
        <w:snapToGrid w:val="0"/>
        <w:spacing w:line="360" w:lineRule="auto"/>
        <w:jc w:val="center"/>
        <w:rPr>
          <w:rFonts w:cs="Arial"/>
          <w:szCs w:val="21"/>
        </w:rPr>
      </w:pPr>
    </w:p>
    <w:p w14:paraId="7E4ADAC7">
      <w:pPr>
        <w:adjustRightInd w:val="0"/>
        <w:snapToGrid w:val="0"/>
        <w:spacing w:line="360" w:lineRule="auto"/>
        <w:jc w:val="center"/>
        <w:rPr>
          <w:rFonts w:cs="Arial"/>
          <w:szCs w:val="21"/>
        </w:rPr>
      </w:pPr>
    </w:p>
    <w:p w14:paraId="2051C54F">
      <w:pPr>
        <w:adjustRightInd w:val="0"/>
        <w:snapToGrid w:val="0"/>
        <w:spacing w:line="360" w:lineRule="auto"/>
        <w:jc w:val="center"/>
        <w:rPr>
          <w:rFonts w:cs="Arial"/>
          <w:szCs w:val="21"/>
        </w:rPr>
      </w:pPr>
    </w:p>
    <w:p w14:paraId="1C0C5352">
      <w:pPr>
        <w:adjustRightInd w:val="0"/>
        <w:snapToGrid w:val="0"/>
        <w:spacing w:line="360" w:lineRule="auto"/>
        <w:jc w:val="center"/>
        <w:rPr>
          <w:rFonts w:cs="Arial"/>
          <w:szCs w:val="21"/>
        </w:rPr>
      </w:pPr>
    </w:p>
    <w:p w14:paraId="1FA3B02F">
      <w:pPr>
        <w:adjustRightInd w:val="0"/>
        <w:snapToGrid w:val="0"/>
        <w:spacing w:line="360" w:lineRule="auto"/>
        <w:jc w:val="center"/>
        <w:rPr>
          <w:rFonts w:cs="Arial"/>
          <w:szCs w:val="21"/>
        </w:rPr>
      </w:pPr>
    </w:p>
    <w:p w14:paraId="5DA2DB2C">
      <w:pPr>
        <w:adjustRightInd w:val="0"/>
        <w:snapToGrid w:val="0"/>
        <w:spacing w:line="360" w:lineRule="auto"/>
        <w:jc w:val="center"/>
        <w:rPr>
          <w:rFonts w:cs="Arial"/>
          <w:szCs w:val="21"/>
        </w:rPr>
      </w:pPr>
    </w:p>
    <w:p w14:paraId="118CB2D3">
      <w:pPr>
        <w:adjustRightInd w:val="0"/>
        <w:snapToGrid w:val="0"/>
        <w:spacing w:line="360" w:lineRule="auto"/>
        <w:jc w:val="center"/>
        <w:rPr>
          <w:rFonts w:cs="Arial"/>
          <w:szCs w:val="21"/>
        </w:rPr>
      </w:pPr>
    </w:p>
    <w:p w14:paraId="5CE6BDE6">
      <w:pPr>
        <w:adjustRightInd w:val="0"/>
        <w:snapToGrid w:val="0"/>
        <w:spacing w:line="360" w:lineRule="auto"/>
        <w:jc w:val="center"/>
        <w:rPr>
          <w:rFonts w:cs="Arial"/>
          <w:szCs w:val="21"/>
        </w:rPr>
      </w:pPr>
    </w:p>
    <w:p w14:paraId="751FB437">
      <w:pPr>
        <w:adjustRightInd w:val="0"/>
        <w:snapToGrid w:val="0"/>
        <w:spacing w:line="360" w:lineRule="auto"/>
        <w:jc w:val="center"/>
        <w:rPr>
          <w:rFonts w:cs="Arial"/>
          <w:szCs w:val="21"/>
        </w:rPr>
      </w:pPr>
    </w:p>
    <w:p w14:paraId="23ABB49F">
      <w:pPr>
        <w:adjustRightInd w:val="0"/>
        <w:snapToGrid w:val="0"/>
        <w:spacing w:line="360" w:lineRule="auto"/>
        <w:jc w:val="center"/>
        <w:rPr>
          <w:rFonts w:cs="Arial"/>
          <w:szCs w:val="21"/>
        </w:rPr>
      </w:pPr>
    </w:p>
    <w:p w14:paraId="40AB6F23">
      <w:pPr>
        <w:adjustRightInd w:val="0"/>
        <w:snapToGrid w:val="0"/>
        <w:spacing w:line="360" w:lineRule="auto"/>
        <w:ind w:firstLine="1680" w:firstLineChars="600"/>
        <w:rPr>
          <w:rFonts w:ascii="黑体" w:hAnsi="黑体" w:eastAsia="黑体" w:cs="Arial"/>
          <w:bCs/>
          <w:sz w:val="28"/>
          <w:szCs w:val="21"/>
        </w:rPr>
      </w:pPr>
      <w:r>
        <w:rPr>
          <w:rFonts w:hint="eastAsia" w:ascii="黑体" w:hAnsi="黑体" w:eastAsia="黑体" w:cs="Arial"/>
          <w:bCs/>
          <w:sz w:val="28"/>
          <w:szCs w:val="21"/>
        </w:rPr>
        <w:t>基金管理人：博时基金管理有限公司</w:t>
      </w:r>
    </w:p>
    <w:p w14:paraId="05E85A1A">
      <w:pPr>
        <w:adjustRightInd w:val="0"/>
        <w:snapToGrid w:val="0"/>
        <w:spacing w:line="360" w:lineRule="auto"/>
        <w:ind w:firstLine="1680" w:firstLineChars="600"/>
        <w:rPr>
          <w:rFonts w:ascii="黑体" w:hAnsi="黑体" w:eastAsia="黑体" w:cs="Arial"/>
          <w:bCs/>
          <w:sz w:val="28"/>
          <w:szCs w:val="21"/>
        </w:rPr>
      </w:pPr>
      <w:r>
        <w:rPr>
          <w:rFonts w:hint="eastAsia" w:ascii="黑体" w:hAnsi="黑体" w:eastAsia="黑体" w:cs="Arial"/>
          <w:bCs/>
          <w:sz w:val="28"/>
          <w:szCs w:val="21"/>
        </w:rPr>
        <w:t>基金托管人：招商银行股份有限公司</w:t>
      </w:r>
    </w:p>
    <w:p w14:paraId="4B13A0CD">
      <w:pPr>
        <w:adjustRightInd w:val="0"/>
        <w:snapToGrid w:val="0"/>
        <w:spacing w:line="360" w:lineRule="auto"/>
        <w:jc w:val="center"/>
        <w:rPr>
          <w:rFonts w:cs="Arial"/>
          <w:szCs w:val="21"/>
        </w:rPr>
      </w:pPr>
    </w:p>
    <w:p w14:paraId="2C92B01A">
      <w:pPr>
        <w:adjustRightInd w:val="0"/>
        <w:snapToGrid w:val="0"/>
        <w:spacing w:line="360" w:lineRule="auto"/>
        <w:jc w:val="center"/>
        <w:rPr>
          <w:rFonts w:cs="Arial"/>
          <w:szCs w:val="21"/>
        </w:rPr>
      </w:pPr>
    </w:p>
    <w:p w14:paraId="6C561C95">
      <w:pPr>
        <w:adjustRightInd w:val="0"/>
        <w:snapToGrid w:val="0"/>
        <w:spacing w:line="360" w:lineRule="auto"/>
        <w:ind w:firstLine="2263" w:firstLineChars="1078"/>
        <w:rPr>
          <w:rFonts w:ascii="黑体" w:hAnsi="黑体" w:eastAsia="黑体" w:cs="Arial"/>
          <w:bCs/>
          <w:szCs w:val="21"/>
        </w:rPr>
      </w:pPr>
    </w:p>
    <w:p w14:paraId="50452A79">
      <w:pPr>
        <w:adjustRightInd w:val="0"/>
        <w:snapToGrid w:val="0"/>
        <w:spacing w:line="360" w:lineRule="auto"/>
        <w:ind w:firstLine="2264"/>
        <w:jc w:val="center"/>
        <w:rPr>
          <w:szCs w:val="21"/>
        </w:rPr>
      </w:pPr>
    </w:p>
    <w:p w14:paraId="0CE7E44E">
      <w:pPr>
        <w:adjustRightInd w:val="0"/>
        <w:snapToGrid w:val="0"/>
        <w:spacing w:line="360" w:lineRule="auto"/>
        <w:rPr>
          <w:rFonts w:cs="Arial"/>
          <w:bCs/>
          <w:szCs w:val="21"/>
        </w:rPr>
      </w:pPr>
    </w:p>
    <w:bookmarkEnd w:id="1"/>
    <w:p w14:paraId="3AE7BB92">
      <w:pPr>
        <w:adjustRightInd w:val="0"/>
        <w:snapToGrid w:val="0"/>
        <w:spacing w:line="360" w:lineRule="auto"/>
        <w:rPr>
          <w:rFonts w:cs="Arial"/>
          <w:bCs/>
          <w:szCs w:val="21"/>
        </w:rPr>
        <w:sectPr>
          <w:type w:val="continuous"/>
          <w:pgSz w:w="11906" w:h="16838"/>
          <w:pgMar w:top="1418" w:right="1701" w:bottom="1418" w:left="1701" w:header="851" w:footer="992" w:gutter="0"/>
          <w:pgNumType w:fmt="decimal"/>
          <w:cols w:space="720" w:num="1"/>
          <w:docGrid w:type="lines" w:linePitch="312" w:charSpace="0"/>
        </w:sectPr>
      </w:pPr>
    </w:p>
    <w:p w14:paraId="7DA71674">
      <w:pPr>
        <w:adjustRightInd w:val="0"/>
        <w:snapToGrid w:val="0"/>
        <w:spacing w:line="360" w:lineRule="auto"/>
        <w:rPr>
          <w:rFonts w:cs="Arial"/>
          <w:bCs/>
          <w:szCs w:val="21"/>
        </w:rPr>
      </w:pPr>
      <w:bookmarkStart w:id="3" w:name="CLAUSE_aed7b4ecf7de483498f8f26b9760cac0"/>
      <w:r>
        <w:t xml:space="preserve"> </w:t>
      </w:r>
      <w:bookmarkStart w:id="4" w:name="CTS_aed7b4ecf7de483498f8f26b9760cac0"/>
      <w:bookmarkEnd w:id="4"/>
      <w:r>
        <w:t xml:space="preserve"> </w:t>
      </w:r>
    </w:p>
    <w:p w14:paraId="29C31BAF">
      <w:pPr>
        <w:spacing w:line="360" w:lineRule="auto"/>
        <w:jc w:val="center"/>
        <w:rPr>
          <w:rFonts w:ascii="宋体" w:hAnsi="宋体"/>
          <w:b/>
          <w:bCs/>
          <w:szCs w:val="21"/>
        </w:rPr>
      </w:pPr>
      <w:r>
        <w:rPr>
          <w:rFonts w:hint="eastAsia" w:ascii="宋体" w:hAnsi="宋体"/>
          <w:b/>
          <w:bCs/>
          <w:szCs w:val="21"/>
        </w:rPr>
        <w:t>目    录</w:t>
      </w:r>
    </w:p>
    <w:p w14:paraId="29233378">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TOC \o "1-2" \h \z </w:instrText>
      </w:r>
      <w:r>
        <w:rPr>
          <w:rFonts w:ascii="宋体" w:hAnsi="宋体"/>
          <w:szCs w:val="21"/>
        </w:rPr>
        <w:fldChar w:fldCharType="separate"/>
      </w:r>
      <w:r>
        <w:rPr>
          <w:rFonts w:ascii="宋体" w:hAnsi="宋体"/>
          <w:szCs w:val="21"/>
        </w:rPr>
        <w:fldChar w:fldCharType="begin"/>
      </w:r>
      <w:r>
        <w:rPr>
          <w:rFonts w:ascii="宋体" w:hAnsi="宋体"/>
          <w:szCs w:val="21"/>
        </w:rPr>
        <w:instrText xml:space="preserve"> HYPERLINK \l _Toc20722 </w:instrText>
      </w:r>
      <w:r>
        <w:rPr>
          <w:rFonts w:ascii="宋体" w:hAnsi="宋体"/>
          <w:szCs w:val="21"/>
        </w:rPr>
        <w:fldChar w:fldCharType="separate"/>
      </w:r>
      <w:r>
        <w:rPr>
          <w:rFonts w:hint="eastAsia" w:ascii="宋体" w:hAnsi="宋体"/>
          <w:szCs w:val="21"/>
        </w:rPr>
        <w:t>一、基金托管协议当事人</w:t>
      </w:r>
      <w:r>
        <w:tab/>
      </w:r>
      <w:r>
        <w:rPr>
          <w:rFonts w:hint="eastAsia"/>
        </w:rPr>
        <w:t>1-</w:t>
      </w:r>
      <w:r>
        <w:fldChar w:fldCharType="begin"/>
      </w:r>
      <w:r>
        <w:instrText xml:space="preserve"> PAGEREF _Toc20722 \h </w:instrText>
      </w:r>
      <w:r>
        <w:fldChar w:fldCharType="separate"/>
      </w:r>
      <w:r>
        <w:t>1</w:t>
      </w:r>
      <w:r>
        <w:fldChar w:fldCharType="end"/>
      </w:r>
      <w:r>
        <w:rPr>
          <w:rFonts w:ascii="宋体" w:hAnsi="宋体"/>
          <w:szCs w:val="21"/>
        </w:rPr>
        <w:fldChar w:fldCharType="end"/>
      </w:r>
    </w:p>
    <w:p w14:paraId="41D4E658">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_Toc2869 </w:instrText>
      </w:r>
      <w:r>
        <w:rPr>
          <w:rFonts w:ascii="宋体" w:hAnsi="宋体"/>
          <w:szCs w:val="21"/>
        </w:rPr>
        <w:fldChar w:fldCharType="separate"/>
      </w:r>
      <w:r>
        <w:rPr>
          <w:rFonts w:hint="eastAsia" w:ascii="宋体" w:hAnsi="宋体"/>
          <w:szCs w:val="21"/>
        </w:rPr>
        <w:t>二、基金托管协议的依据、目的和原则</w:t>
      </w:r>
      <w:r>
        <w:tab/>
      </w:r>
      <w:r>
        <w:rPr>
          <w:rFonts w:hint="eastAsia"/>
        </w:rPr>
        <w:t>2-</w:t>
      </w:r>
      <w:r>
        <w:fldChar w:fldCharType="begin"/>
      </w:r>
      <w:r>
        <w:instrText xml:space="preserve"> PAGEREF _Toc2869 \h </w:instrText>
      </w:r>
      <w:r>
        <w:fldChar w:fldCharType="separate"/>
      </w:r>
      <w:r>
        <w:t>1</w:t>
      </w:r>
      <w:r>
        <w:fldChar w:fldCharType="end"/>
      </w:r>
      <w:r>
        <w:rPr>
          <w:rFonts w:ascii="宋体" w:hAnsi="宋体"/>
          <w:szCs w:val="21"/>
        </w:rPr>
        <w:fldChar w:fldCharType="end"/>
      </w:r>
    </w:p>
    <w:p w14:paraId="37888D41">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_Toc13658 </w:instrText>
      </w:r>
      <w:r>
        <w:rPr>
          <w:rFonts w:ascii="宋体" w:hAnsi="宋体"/>
          <w:szCs w:val="21"/>
        </w:rPr>
        <w:fldChar w:fldCharType="separate"/>
      </w:r>
      <w:r>
        <w:rPr>
          <w:rFonts w:hint="eastAsia" w:ascii="宋体" w:hAnsi="宋体"/>
          <w:szCs w:val="21"/>
        </w:rPr>
        <w:t>三、基金托管人对基金管理人的业务监督和核查</w:t>
      </w:r>
      <w:r>
        <w:tab/>
      </w:r>
      <w:r>
        <w:rPr>
          <w:rFonts w:hint="eastAsia"/>
        </w:rPr>
        <w:t>3-</w:t>
      </w:r>
      <w:r>
        <w:fldChar w:fldCharType="begin"/>
      </w:r>
      <w:r>
        <w:instrText xml:space="preserve"> PAGEREF _Toc13658 \h </w:instrText>
      </w:r>
      <w:r>
        <w:fldChar w:fldCharType="separate"/>
      </w:r>
      <w:r>
        <w:t>1</w:t>
      </w:r>
      <w:r>
        <w:fldChar w:fldCharType="end"/>
      </w:r>
      <w:r>
        <w:rPr>
          <w:rFonts w:ascii="宋体" w:hAnsi="宋体"/>
          <w:szCs w:val="21"/>
        </w:rPr>
        <w:fldChar w:fldCharType="end"/>
      </w:r>
    </w:p>
    <w:p w14:paraId="15315A27">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_Toc3596 </w:instrText>
      </w:r>
      <w:r>
        <w:rPr>
          <w:rFonts w:ascii="宋体" w:hAnsi="宋体"/>
          <w:szCs w:val="21"/>
        </w:rPr>
        <w:fldChar w:fldCharType="separate"/>
      </w:r>
      <w:r>
        <w:rPr>
          <w:rFonts w:hint="eastAsia" w:ascii="宋体" w:hAnsi="宋体"/>
          <w:szCs w:val="21"/>
        </w:rPr>
        <w:t>四、基金管理人对基金托管人的业务核查</w:t>
      </w:r>
      <w:r>
        <w:tab/>
      </w:r>
      <w:r>
        <w:rPr>
          <w:rFonts w:hint="eastAsia"/>
        </w:rPr>
        <w:t>4-</w:t>
      </w:r>
      <w:r>
        <w:fldChar w:fldCharType="begin"/>
      </w:r>
      <w:r>
        <w:instrText xml:space="preserve"> PAGEREF _Toc3596 \h </w:instrText>
      </w:r>
      <w:r>
        <w:fldChar w:fldCharType="separate"/>
      </w:r>
      <w:r>
        <w:t>1</w:t>
      </w:r>
      <w:r>
        <w:fldChar w:fldCharType="end"/>
      </w:r>
      <w:r>
        <w:rPr>
          <w:rFonts w:ascii="宋体" w:hAnsi="宋体"/>
          <w:szCs w:val="21"/>
        </w:rPr>
        <w:fldChar w:fldCharType="end"/>
      </w:r>
    </w:p>
    <w:p w14:paraId="2C64AA2A">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_Toc6339 </w:instrText>
      </w:r>
      <w:r>
        <w:rPr>
          <w:rFonts w:ascii="宋体" w:hAnsi="宋体"/>
          <w:szCs w:val="21"/>
        </w:rPr>
        <w:fldChar w:fldCharType="separate"/>
      </w:r>
      <w:r>
        <w:rPr>
          <w:rFonts w:hint="eastAsia" w:ascii="宋体" w:hAnsi="宋体"/>
          <w:szCs w:val="21"/>
        </w:rPr>
        <w:t>五、基金财产的保管</w:t>
      </w:r>
      <w:r>
        <w:tab/>
      </w:r>
      <w:r>
        <w:rPr>
          <w:rFonts w:hint="eastAsia"/>
        </w:rPr>
        <w:t>5-</w:t>
      </w:r>
      <w:r>
        <w:fldChar w:fldCharType="begin"/>
      </w:r>
      <w:r>
        <w:instrText xml:space="preserve"> PAGEREF _Toc6339 \h </w:instrText>
      </w:r>
      <w:r>
        <w:fldChar w:fldCharType="separate"/>
      </w:r>
      <w:r>
        <w:t>1</w:t>
      </w:r>
      <w:r>
        <w:fldChar w:fldCharType="end"/>
      </w:r>
      <w:r>
        <w:rPr>
          <w:rFonts w:ascii="宋体" w:hAnsi="宋体"/>
          <w:szCs w:val="21"/>
        </w:rPr>
        <w:fldChar w:fldCharType="end"/>
      </w:r>
    </w:p>
    <w:p w14:paraId="3E9C5AFB">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_Toc11174 </w:instrText>
      </w:r>
      <w:r>
        <w:rPr>
          <w:rFonts w:ascii="宋体" w:hAnsi="宋体"/>
          <w:szCs w:val="21"/>
        </w:rPr>
        <w:fldChar w:fldCharType="separate"/>
      </w:r>
      <w:r>
        <w:rPr>
          <w:rFonts w:hint="eastAsia" w:ascii="宋体" w:hAnsi="宋体"/>
          <w:szCs w:val="21"/>
        </w:rPr>
        <w:t>六、指令的发送、确认及执行</w:t>
      </w:r>
      <w:r>
        <w:tab/>
      </w:r>
      <w:r>
        <w:rPr>
          <w:rFonts w:hint="eastAsia"/>
        </w:rPr>
        <w:t>6-</w:t>
      </w:r>
      <w:r>
        <w:fldChar w:fldCharType="begin"/>
      </w:r>
      <w:r>
        <w:instrText xml:space="preserve"> PAGEREF _Toc11174 \h </w:instrText>
      </w:r>
      <w:r>
        <w:fldChar w:fldCharType="separate"/>
      </w:r>
      <w:r>
        <w:t>1</w:t>
      </w:r>
      <w:r>
        <w:fldChar w:fldCharType="end"/>
      </w:r>
      <w:r>
        <w:rPr>
          <w:rFonts w:ascii="宋体" w:hAnsi="宋体"/>
          <w:szCs w:val="21"/>
        </w:rPr>
        <w:fldChar w:fldCharType="end"/>
      </w:r>
    </w:p>
    <w:p w14:paraId="3F751593">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_Toc17817 </w:instrText>
      </w:r>
      <w:r>
        <w:rPr>
          <w:rFonts w:ascii="宋体" w:hAnsi="宋体"/>
          <w:szCs w:val="21"/>
        </w:rPr>
        <w:fldChar w:fldCharType="separate"/>
      </w:r>
      <w:r>
        <w:rPr>
          <w:rFonts w:hint="eastAsia" w:ascii="宋体" w:hAnsi="宋体"/>
          <w:szCs w:val="21"/>
        </w:rPr>
        <w:t>七、交易及清算交收安排</w:t>
      </w:r>
      <w:r>
        <w:tab/>
      </w:r>
      <w:r>
        <w:rPr>
          <w:rFonts w:hint="eastAsia"/>
        </w:rPr>
        <w:t>7-</w:t>
      </w:r>
      <w:r>
        <w:fldChar w:fldCharType="begin"/>
      </w:r>
      <w:r>
        <w:instrText xml:space="preserve"> PAGEREF _Toc17817 \h </w:instrText>
      </w:r>
      <w:r>
        <w:fldChar w:fldCharType="separate"/>
      </w:r>
      <w:r>
        <w:t>1</w:t>
      </w:r>
      <w:r>
        <w:fldChar w:fldCharType="end"/>
      </w:r>
      <w:r>
        <w:rPr>
          <w:rFonts w:ascii="宋体" w:hAnsi="宋体"/>
          <w:szCs w:val="21"/>
        </w:rPr>
        <w:fldChar w:fldCharType="end"/>
      </w:r>
    </w:p>
    <w:p w14:paraId="32F634FD">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_Toc31969 </w:instrText>
      </w:r>
      <w:r>
        <w:rPr>
          <w:rFonts w:ascii="宋体" w:hAnsi="宋体"/>
          <w:szCs w:val="21"/>
        </w:rPr>
        <w:fldChar w:fldCharType="separate"/>
      </w:r>
      <w:r>
        <w:rPr>
          <w:rFonts w:hint="eastAsia" w:ascii="宋体" w:hAnsi="宋体"/>
          <w:szCs w:val="21"/>
        </w:rPr>
        <w:t>八、基金资产净值计算、估值和会计核算</w:t>
      </w:r>
      <w:r>
        <w:tab/>
      </w:r>
      <w:r>
        <w:rPr>
          <w:rFonts w:hint="eastAsia"/>
        </w:rPr>
        <w:t>8-</w:t>
      </w:r>
      <w:r>
        <w:fldChar w:fldCharType="begin"/>
      </w:r>
      <w:r>
        <w:instrText xml:space="preserve"> PAGEREF _Toc31969 \h </w:instrText>
      </w:r>
      <w:r>
        <w:fldChar w:fldCharType="separate"/>
      </w:r>
      <w:r>
        <w:t>1</w:t>
      </w:r>
      <w:r>
        <w:fldChar w:fldCharType="end"/>
      </w:r>
      <w:r>
        <w:rPr>
          <w:rFonts w:ascii="宋体" w:hAnsi="宋体"/>
          <w:szCs w:val="21"/>
        </w:rPr>
        <w:fldChar w:fldCharType="end"/>
      </w:r>
    </w:p>
    <w:p w14:paraId="0971B6FD">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_Toc4311 </w:instrText>
      </w:r>
      <w:r>
        <w:rPr>
          <w:rFonts w:ascii="宋体" w:hAnsi="宋体"/>
          <w:szCs w:val="21"/>
        </w:rPr>
        <w:fldChar w:fldCharType="separate"/>
      </w:r>
      <w:r>
        <w:rPr>
          <w:rFonts w:hint="eastAsia" w:ascii="宋体" w:hAnsi="宋体"/>
          <w:szCs w:val="21"/>
        </w:rPr>
        <w:t>九、基金收益分配</w:t>
      </w:r>
      <w:r>
        <w:tab/>
      </w:r>
      <w:r>
        <w:rPr>
          <w:rFonts w:hint="eastAsia"/>
        </w:rPr>
        <w:t>9-</w:t>
      </w:r>
      <w:r>
        <w:fldChar w:fldCharType="begin"/>
      </w:r>
      <w:r>
        <w:instrText xml:space="preserve"> PAGEREF _Toc4311 \h </w:instrText>
      </w:r>
      <w:r>
        <w:fldChar w:fldCharType="separate"/>
      </w:r>
      <w:r>
        <w:t>1</w:t>
      </w:r>
      <w:r>
        <w:fldChar w:fldCharType="end"/>
      </w:r>
      <w:r>
        <w:rPr>
          <w:rFonts w:ascii="宋体" w:hAnsi="宋体"/>
          <w:szCs w:val="21"/>
        </w:rPr>
        <w:fldChar w:fldCharType="end"/>
      </w:r>
    </w:p>
    <w:p w14:paraId="6BB32361">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_Toc3065 </w:instrText>
      </w:r>
      <w:r>
        <w:rPr>
          <w:rFonts w:ascii="宋体" w:hAnsi="宋体"/>
          <w:szCs w:val="21"/>
        </w:rPr>
        <w:fldChar w:fldCharType="separate"/>
      </w:r>
      <w:r>
        <w:rPr>
          <w:rFonts w:hint="eastAsia" w:ascii="宋体" w:hAnsi="宋体"/>
          <w:szCs w:val="21"/>
        </w:rPr>
        <w:t>十、基金信息披露</w:t>
      </w:r>
      <w:r>
        <w:tab/>
      </w:r>
      <w:r>
        <w:rPr>
          <w:rFonts w:hint="eastAsia"/>
        </w:rPr>
        <w:t>10-</w:t>
      </w:r>
      <w:r>
        <w:fldChar w:fldCharType="begin"/>
      </w:r>
      <w:r>
        <w:instrText xml:space="preserve"> PAGEREF _Toc3065 \h </w:instrText>
      </w:r>
      <w:r>
        <w:fldChar w:fldCharType="separate"/>
      </w:r>
      <w:r>
        <w:t>1</w:t>
      </w:r>
      <w:r>
        <w:fldChar w:fldCharType="end"/>
      </w:r>
      <w:r>
        <w:rPr>
          <w:rFonts w:ascii="宋体" w:hAnsi="宋体"/>
          <w:szCs w:val="21"/>
        </w:rPr>
        <w:fldChar w:fldCharType="end"/>
      </w:r>
    </w:p>
    <w:p w14:paraId="42D0B439">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_Toc2100 </w:instrText>
      </w:r>
      <w:r>
        <w:rPr>
          <w:rFonts w:ascii="宋体" w:hAnsi="宋体"/>
          <w:szCs w:val="21"/>
        </w:rPr>
        <w:fldChar w:fldCharType="separate"/>
      </w:r>
      <w:r>
        <w:rPr>
          <w:rFonts w:hint="eastAsia" w:ascii="宋体" w:hAnsi="宋体"/>
          <w:szCs w:val="21"/>
        </w:rPr>
        <w:t>十一、基金费用</w:t>
      </w:r>
      <w:r>
        <w:tab/>
      </w:r>
      <w:r>
        <w:rPr>
          <w:rFonts w:hint="eastAsia"/>
        </w:rPr>
        <w:t>11-</w:t>
      </w:r>
      <w:r>
        <w:fldChar w:fldCharType="begin"/>
      </w:r>
      <w:r>
        <w:instrText xml:space="preserve"> PAGEREF _Toc2100 \h </w:instrText>
      </w:r>
      <w:r>
        <w:fldChar w:fldCharType="separate"/>
      </w:r>
      <w:r>
        <w:t>1</w:t>
      </w:r>
      <w:r>
        <w:fldChar w:fldCharType="end"/>
      </w:r>
      <w:r>
        <w:rPr>
          <w:rFonts w:ascii="宋体" w:hAnsi="宋体"/>
          <w:szCs w:val="21"/>
        </w:rPr>
        <w:fldChar w:fldCharType="end"/>
      </w:r>
    </w:p>
    <w:p w14:paraId="49C4E8A0">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_Toc21136 </w:instrText>
      </w:r>
      <w:r>
        <w:rPr>
          <w:rFonts w:ascii="宋体" w:hAnsi="宋体"/>
          <w:szCs w:val="21"/>
        </w:rPr>
        <w:fldChar w:fldCharType="separate"/>
      </w:r>
      <w:r>
        <w:rPr>
          <w:rFonts w:hint="eastAsia" w:ascii="宋体" w:hAnsi="宋体"/>
          <w:szCs w:val="21"/>
        </w:rPr>
        <w:t>十二、基金份额持有人名册的保管</w:t>
      </w:r>
      <w:r>
        <w:tab/>
      </w:r>
      <w:r>
        <w:rPr>
          <w:rFonts w:hint="eastAsia"/>
        </w:rPr>
        <w:t>12-</w:t>
      </w:r>
      <w:r>
        <w:fldChar w:fldCharType="begin"/>
      </w:r>
      <w:r>
        <w:instrText xml:space="preserve"> PAGEREF _Toc21136 \h </w:instrText>
      </w:r>
      <w:r>
        <w:fldChar w:fldCharType="separate"/>
      </w:r>
      <w:r>
        <w:t>1</w:t>
      </w:r>
      <w:r>
        <w:fldChar w:fldCharType="end"/>
      </w:r>
      <w:r>
        <w:rPr>
          <w:rFonts w:ascii="宋体" w:hAnsi="宋体"/>
          <w:szCs w:val="21"/>
        </w:rPr>
        <w:fldChar w:fldCharType="end"/>
      </w:r>
    </w:p>
    <w:p w14:paraId="3D9732F4">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_Toc24200 </w:instrText>
      </w:r>
      <w:r>
        <w:rPr>
          <w:rFonts w:ascii="宋体" w:hAnsi="宋体"/>
          <w:szCs w:val="21"/>
        </w:rPr>
        <w:fldChar w:fldCharType="separate"/>
      </w:r>
      <w:r>
        <w:rPr>
          <w:rFonts w:hint="eastAsia" w:ascii="宋体" w:hAnsi="宋体"/>
          <w:szCs w:val="21"/>
        </w:rPr>
        <w:t>十三、基金有关文件档案的保存</w:t>
      </w:r>
      <w:r>
        <w:tab/>
      </w:r>
      <w:r>
        <w:rPr>
          <w:rFonts w:hint="eastAsia"/>
        </w:rPr>
        <w:t>13-</w:t>
      </w:r>
      <w:r>
        <w:fldChar w:fldCharType="begin"/>
      </w:r>
      <w:r>
        <w:instrText xml:space="preserve"> PAGEREF _Toc24200 \h </w:instrText>
      </w:r>
      <w:r>
        <w:fldChar w:fldCharType="separate"/>
      </w:r>
      <w:r>
        <w:t>1</w:t>
      </w:r>
      <w:r>
        <w:fldChar w:fldCharType="end"/>
      </w:r>
      <w:r>
        <w:rPr>
          <w:rFonts w:ascii="宋体" w:hAnsi="宋体"/>
          <w:szCs w:val="21"/>
        </w:rPr>
        <w:fldChar w:fldCharType="end"/>
      </w:r>
    </w:p>
    <w:p w14:paraId="6DAB609E">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_Toc16622 </w:instrText>
      </w:r>
      <w:r>
        <w:rPr>
          <w:rFonts w:ascii="宋体" w:hAnsi="宋体"/>
          <w:szCs w:val="21"/>
        </w:rPr>
        <w:fldChar w:fldCharType="separate"/>
      </w:r>
      <w:r>
        <w:rPr>
          <w:rFonts w:hint="eastAsia" w:ascii="宋体" w:hAnsi="宋体"/>
          <w:szCs w:val="21"/>
        </w:rPr>
        <w:t>十四、基金管理人和基金托管人的更换</w:t>
      </w:r>
      <w:r>
        <w:tab/>
      </w:r>
      <w:r>
        <w:rPr>
          <w:rFonts w:hint="eastAsia"/>
        </w:rPr>
        <w:t>14-</w:t>
      </w:r>
      <w:r>
        <w:fldChar w:fldCharType="begin"/>
      </w:r>
      <w:r>
        <w:instrText xml:space="preserve"> PAGEREF _Toc16622 \h </w:instrText>
      </w:r>
      <w:r>
        <w:fldChar w:fldCharType="separate"/>
      </w:r>
      <w:r>
        <w:t>1</w:t>
      </w:r>
      <w:r>
        <w:fldChar w:fldCharType="end"/>
      </w:r>
      <w:r>
        <w:rPr>
          <w:rFonts w:ascii="宋体" w:hAnsi="宋体"/>
          <w:szCs w:val="21"/>
        </w:rPr>
        <w:fldChar w:fldCharType="end"/>
      </w:r>
    </w:p>
    <w:p w14:paraId="62E4F041">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_Toc28798 </w:instrText>
      </w:r>
      <w:r>
        <w:rPr>
          <w:rFonts w:ascii="宋体" w:hAnsi="宋体"/>
          <w:szCs w:val="21"/>
        </w:rPr>
        <w:fldChar w:fldCharType="separate"/>
      </w:r>
      <w:r>
        <w:rPr>
          <w:rFonts w:hint="eastAsia" w:ascii="宋体" w:hAnsi="宋体"/>
          <w:szCs w:val="21"/>
        </w:rPr>
        <w:t>十五、禁止行为</w:t>
      </w:r>
      <w:r>
        <w:tab/>
      </w:r>
      <w:r>
        <w:rPr>
          <w:rFonts w:hint="eastAsia"/>
        </w:rPr>
        <w:t>15-</w:t>
      </w:r>
      <w:r>
        <w:fldChar w:fldCharType="begin"/>
      </w:r>
      <w:r>
        <w:instrText xml:space="preserve"> PAGEREF _Toc28798 \h </w:instrText>
      </w:r>
      <w:r>
        <w:fldChar w:fldCharType="separate"/>
      </w:r>
      <w:r>
        <w:t>1</w:t>
      </w:r>
      <w:r>
        <w:fldChar w:fldCharType="end"/>
      </w:r>
      <w:r>
        <w:rPr>
          <w:rFonts w:ascii="宋体" w:hAnsi="宋体"/>
          <w:szCs w:val="21"/>
        </w:rPr>
        <w:fldChar w:fldCharType="end"/>
      </w:r>
    </w:p>
    <w:p w14:paraId="7BFC9B89">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_Toc24689 </w:instrText>
      </w:r>
      <w:r>
        <w:rPr>
          <w:rFonts w:ascii="宋体" w:hAnsi="宋体"/>
          <w:szCs w:val="21"/>
        </w:rPr>
        <w:fldChar w:fldCharType="separate"/>
      </w:r>
      <w:r>
        <w:rPr>
          <w:rFonts w:hint="eastAsia" w:ascii="宋体" w:hAnsi="宋体"/>
          <w:szCs w:val="21"/>
        </w:rPr>
        <w:t>十六、托管协议的变更、终止与基金财产的清算</w:t>
      </w:r>
      <w:r>
        <w:tab/>
      </w:r>
      <w:r>
        <w:rPr>
          <w:rFonts w:hint="eastAsia"/>
        </w:rPr>
        <w:t>16-</w:t>
      </w:r>
      <w:r>
        <w:fldChar w:fldCharType="begin"/>
      </w:r>
      <w:r>
        <w:instrText xml:space="preserve"> PAGEREF _Toc24689 \h </w:instrText>
      </w:r>
      <w:r>
        <w:fldChar w:fldCharType="separate"/>
      </w:r>
      <w:r>
        <w:t>1</w:t>
      </w:r>
      <w:r>
        <w:fldChar w:fldCharType="end"/>
      </w:r>
      <w:r>
        <w:rPr>
          <w:rFonts w:ascii="宋体" w:hAnsi="宋体"/>
          <w:szCs w:val="21"/>
        </w:rPr>
        <w:fldChar w:fldCharType="end"/>
      </w:r>
    </w:p>
    <w:p w14:paraId="6DEA6C6B">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_Toc19421 </w:instrText>
      </w:r>
      <w:r>
        <w:rPr>
          <w:rFonts w:ascii="宋体" w:hAnsi="宋体"/>
          <w:szCs w:val="21"/>
        </w:rPr>
        <w:fldChar w:fldCharType="separate"/>
      </w:r>
      <w:r>
        <w:rPr>
          <w:rFonts w:hint="eastAsia" w:ascii="宋体" w:hAnsi="宋体"/>
          <w:szCs w:val="21"/>
        </w:rPr>
        <w:t>十七、违约责任</w:t>
      </w:r>
      <w:r>
        <w:tab/>
      </w:r>
      <w:r>
        <w:rPr>
          <w:rFonts w:hint="eastAsia"/>
        </w:rPr>
        <w:t>17-</w:t>
      </w:r>
      <w:r>
        <w:fldChar w:fldCharType="begin"/>
      </w:r>
      <w:r>
        <w:instrText xml:space="preserve"> PAGEREF _Toc19421 \h </w:instrText>
      </w:r>
      <w:r>
        <w:fldChar w:fldCharType="separate"/>
      </w:r>
      <w:r>
        <w:t>1</w:t>
      </w:r>
      <w:r>
        <w:fldChar w:fldCharType="end"/>
      </w:r>
      <w:r>
        <w:rPr>
          <w:rFonts w:ascii="宋体" w:hAnsi="宋体"/>
          <w:szCs w:val="21"/>
        </w:rPr>
        <w:fldChar w:fldCharType="end"/>
      </w:r>
    </w:p>
    <w:p w14:paraId="1E9E5551">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_Toc29248 </w:instrText>
      </w:r>
      <w:r>
        <w:rPr>
          <w:rFonts w:ascii="宋体" w:hAnsi="宋体"/>
          <w:szCs w:val="21"/>
        </w:rPr>
        <w:fldChar w:fldCharType="separate"/>
      </w:r>
      <w:r>
        <w:rPr>
          <w:rFonts w:hint="eastAsia" w:ascii="宋体" w:hAnsi="宋体"/>
          <w:szCs w:val="21"/>
        </w:rPr>
        <w:t>十八、争议解决方式</w:t>
      </w:r>
      <w:r>
        <w:tab/>
      </w:r>
      <w:r>
        <w:rPr>
          <w:rFonts w:hint="eastAsia"/>
        </w:rPr>
        <w:t>18-</w:t>
      </w:r>
      <w:r>
        <w:fldChar w:fldCharType="begin"/>
      </w:r>
      <w:r>
        <w:instrText xml:space="preserve"> PAGEREF _Toc29248 \h </w:instrText>
      </w:r>
      <w:r>
        <w:fldChar w:fldCharType="separate"/>
      </w:r>
      <w:r>
        <w:t>1</w:t>
      </w:r>
      <w:r>
        <w:fldChar w:fldCharType="end"/>
      </w:r>
      <w:r>
        <w:rPr>
          <w:rFonts w:ascii="宋体" w:hAnsi="宋体"/>
          <w:szCs w:val="21"/>
        </w:rPr>
        <w:fldChar w:fldCharType="end"/>
      </w:r>
    </w:p>
    <w:p w14:paraId="553D9518">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_Toc13785 </w:instrText>
      </w:r>
      <w:r>
        <w:rPr>
          <w:rFonts w:ascii="宋体" w:hAnsi="宋体"/>
          <w:szCs w:val="21"/>
        </w:rPr>
        <w:fldChar w:fldCharType="separate"/>
      </w:r>
      <w:r>
        <w:rPr>
          <w:rFonts w:hint="eastAsia" w:ascii="宋体" w:hAnsi="宋体"/>
          <w:szCs w:val="21"/>
        </w:rPr>
        <w:t>十九、托管协议的效力</w:t>
      </w:r>
      <w:r>
        <w:tab/>
      </w:r>
      <w:r>
        <w:rPr>
          <w:rFonts w:hint="eastAsia"/>
        </w:rPr>
        <w:t>19-</w:t>
      </w:r>
      <w:r>
        <w:fldChar w:fldCharType="begin"/>
      </w:r>
      <w:r>
        <w:instrText xml:space="preserve"> PAGEREF _Toc13785 \h </w:instrText>
      </w:r>
      <w:r>
        <w:fldChar w:fldCharType="separate"/>
      </w:r>
      <w:r>
        <w:t>1</w:t>
      </w:r>
      <w:r>
        <w:fldChar w:fldCharType="end"/>
      </w:r>
      <w:r>
        <w:rPr>
          <w:rFonts w:ascii="宋体" w:hAnsi="宋体"/>
          <w:szCs w:val="21"/>
        </w:rPr>
        <w:fldChar w:fldCharType="end"/>
      </w:r>
    </w:p>
    <w:p w14:paraId="3EA5CF03">
      <w:pPr>
        <w:pStyle w:val="21"/>
        <w:tabs>
          <w:tab w:val="right" w:leader="dot" w:pos="8504"/>
        </w:tabs>
        <w:spacing w:line="360" w:lineRule="auto"/>
      </w:pPr>
      <w:r>
        <w:rPr>
          <w:rFonts w:ascii="宋体" w:hAnsi="宋体"/>
          <w:szCs w:val="21"/>
        </w:rPr>
        <w:fldChar w:fldCharType="begin"/>
      </w:r>
      <w:r>
        <w:rPr>
          <w:rFonts w:ascii="宋体" w:hAnsi="宋体"/>
          <w:szCs w:val="21"/>
        </w:rPr>
        <w:instrText xml:space="preserve"> HYPERLINK \l _Toc13492 </w:instrText>
      </w:r>
      <w:r>
        <w:rPr>
          <w:rFonts w:ascii="宋体" w:hAnsi="宋体"/>
          <w:szCs w:val="21"/>
        </w:rPr>
        <w:fldChar w:fldCharType="separate"/>
      </w:r>
      <w:r>
        <w:rPr>
          <w:rFonts w:hint="eastAsia" w:ascii="宋体" w:hAnsi="宋体"/>
          <w:szCs w:val="21"/>
        </w:rPr>
        <w:t>二十、其他事项</w:t>
      </w:r>
      <w:r>
        <w:tab/>
      </w:r>
      <w:r>
        <w:rPr>
          <w:rFonts w:hint="eastAsia"/>
        </w:rPr>
        <w:t>20-</w:t>
      </w:r>
      <w:r>
        <w:fldChar w:fldCharType="begin"/>
      </w:r>
      <w:r>
        <w:instrText xml:space="preserve"> PAGEREF _Toc13492 \h </w:instrText>
      </w:r>
      <w:r>
        <w:fldChar w:fldCharType="separate"/>
      </w:r>
      <w:r>
        <w:t>1</w:t>
      </w:r>
      <w:r>
        <w:fldChar w:fldCharType="end"/>
      </w:r>
      <w:r>
        <w:rPr>
          <w:rFonts w:ascii="宋体" w:hAnsi="宋体"/>
          <w:szCs w:val="21"/>
        </w:rPr>
        <w:fldChar w:fldCharType="end"/>
      </w:r>
    </w:p>
    <w:p w14:paraId="4D0E3FF4">
      <w:pPr>
        <w:pStyle w:val="21"/>
        <w:tabs>
          <w:tab w:val="right" w:leader="dot" w:pos="8504"/>
        </w:tabs>
        <w:spacing w:line="360" w:lineRule="auto"/>
        <w:rPr>
          <w:rFonts w:hint="eastAsia"/>
        </w:rPr>
      </w:pPr>
      <w:r>
        <w:rPr>
          <w:rFonts w:ascii="宋体" w:hAnsi="宋体"/>
          <w:szCs w:val="21"/>
        </w:rPr>
        <w:fldChar w:fldCharType="begin"/>
      </w:r>
      <w:r>
        <w:rPr>
          <w:rFonts w:ascii="宋体" w:hAnsi="宋体"/>
          <w:szCs w:val="21"/>
        </w:rPr>
        <w:instrText xml:space="preserve"> HYPERLINK \l _Toc20829 </w:instrText>
      </w:r>
      <w:r>
        <w:rPr>
          <w:rFonts w:ascii="宋体" w:hAnsi="宋体"/>
          <w:szCs w:val="21"/>
        </w:rPr>
        <w:fldChar w:fldCharType="separate"/>
      </w:r>
      <w:r>
        <w:rPr>
          <w:rFonts w:hint="eastAsia" w:ascii="宋体" w:hAnsi="宋体"/>
          <w:szCs w:val="21"/>
        </w:rPr>
        <w:t>二十一、托管协议的签订</w:t>
      </w:r>
      <w:r>
        <w:tab/>
      </w:r>
      <w:r>
        <w:rPr>
          <w:rFonts w:hint="eastAsia"/>
        </w:rPr>
        <w:t>21-</w:t>
      </w:r>
      <w:r>
        <w:rPr>
          <w:rFonts w:ascii="宋体" w:hAnsi="宋体"/>
          <w:szCs w:val="21"/>
        </w:rPr>
        <w:fldChar w:fldCharType="end"/>
      </w:r>
      <w:r>
        <w:rPr>
          <w:rFonts w:hint="eastAsia"/>
        </w:rPr>
        <w:t>1</w:t>
      </w:r>
    </w:p>
    <w:p w14:paraId="0D6593B8">
      <w:pPr>
        <w:spacing w:line="360" w:lineRule="auto"/>
        <w:rPr>
          <w:rFonts w:ascii="宋体" w:hAnsi="宋体"/>
          <w:szCs w:val="21"/>
        </w:rPr>
      </w:pPr>
      <w:r>
        <w:rPr>
          <w:rFonts w:ascii="宋体" w:hAnsi="宋体"/>
          <w:szCs w:val="21"/>
        </w:rPr>
        <w:fldChar w:fldCharType="end"/>
      </w:r>
    </w:p>
    <w:bookmarkEnd w:id="3"/>
    <w:p w14:paraId="23D37869">
      <w:pPr>
        <w:spacing w:line="360" w:lineRule="auto"/>
        <w:rPr>
          <w:rFonts w:ascii="宋体" w:hAnsi="宋体"/>
          <w:szCs w:val="21"/>
        </w:rPr>
        <w:sectPr>
          <w:headerReference r:id="rId5" w:type="default"/>
          <w:footerReference r:id="rId6" w:type="default"/>
          <w:pgSz w:w="11906" w:h="16838"/>
          <w:pgMar w:top="1418" w:right="1701" w:bottom="1418" w:left="1701" w:header="851" w:footer="992" w:gutter="0"/>
          <w:pgNumType w:fmt="decimal"/>
          <w:cols w:space="720" w:num="1"/>
          <w:docGrid w:type="lines" w:linePitch="312" w:charSpace="0"/>
        </w:sectPr>
      </w:pPr>
      <w:bookmarkStart w:id="5" w:name="CLAUSE_92aea35d71684145a8daebe5bc6a7c69"/>
    </w:p>
    <w:p w14:paraId="5A30EFF8">
      <w:pPr>
        <w:spacing w:line="360" w:lineRule="auto"/>
        <w:rPr>
          <w:rFonts w:ascii="宋体" w:hAnsi="宋体"/>
          <w:szCs w:val="21"/>
        </w:rPr>
      </w:pPr>
      <w:r>
        <w:t xml:space="preserve"> </w:t>
      </w:r>
      <w:bookmarkStart w:id="6" w:name="CTS_92aea35d71684145a8daebe5bc6a7c69"/>
      <w:bookmarkEnd w:id="6"/>
      <w:r>
        <w:t xml:space="preserve"> </w:t>
      </w:r>
    </w:p>
    <w:p w14:paraId="1B5AA59D">
      <w:pPr>
        <w:widowControl/>
        <w:spacing w:line="360" w:lineRule="auto"/>
        <w:ind w:firstLine="420" w:firstLineChars="200"/>
        <w:rPr>
          <w:rFonts w:ascii="宋体" w:hAnsi="宋体" w:cs="Arial"/>
          <w:kern w:val="0"/>
          <w:szCs w:val="21"/>
        </w:rPr>
      </w:pPr>
      <w:r>
        <w:rPr>
          <w:rFonts w:hint="eastAsia" w:ascii="宋体" w:hAnsi="宋体" w:cs="Arial"/>
          <w:kern w:val="0"/>
          <w:szCs w:val="21"/>
        </w:rPr>
        <w:t>鉴于</w:t>
      </w:r>
      <w:r>
        <w:rPr>
          <w:rFonts w:hint="eastAsia" w:ascii="宋体" w:hAnsi="宋体" w:cs="Arial"/>
          <w:szCs w:val="21"/>
        </w:rPr>
        <w:t>博时基金管理有限公司</w:t>
      </w:r>
      <w:r>
        <w:rPr>
          <w:rFonts w:hint="eastAsia" w:ascii="宋体" w:hAnsi="宋体" w:cs="Arial"/>
          <w:kern w:val="0"/>
          <w:szCs w:val="21"/>
        </w:rPr>
        <w:t>系一家依照中国法律合法成立并有效存续的有限责任公司，按照相关法律法规的规定具备担任基金管理人的资格和能力，拟募集发行博时安慧臻选3个月持有期混合型基金中基金（FOF）；</w:t>
      </w:r>
    </w:p>
    <w:p w14:paraId="3FFB5612">
      <w:pPr>
        <w:widowControl/>
        <w:spacing w:line="360" w:lineRule="auto"/>
        <w:ind w:firstLine="420" w:firstLineChars="200"/>
        <w:rPr>
          <w:rFonts w:ascii="宋体" w:hAnsi="宋体" w:cs="Arial"/>
          <w:kern w:val="0"/>
          <w:szCs w:val="21"/>
        </w:rPr>
      </w:pPr>
      <w:r>
        <w:rPr>
          <w:rFonts w:hint="eastAsia" w:ascii="宋体" w:hAnsi="宋体" w:cs="Arial"/>
          <w:kern w:val="0"/>
          <w:szCs w:val="21"/>
        </w:rPr>
        <w:t>鉴于招商银行股份有限公司系一家依照中国法律合法成立并有效存续的银行，按照相关法律法规的规定具备担任基金托管人的资格和能力；</w:t>
      </w:r>
    </w:p>
    <w:p w14:paraId="5661548D">
      <w:pPr>
        <w:widowControl/>
        <w:spacing w:line="360" w:lineRule="auto"/>
        <w:ind w:firstLine="420" w:firstLineChars="200"/>
        <w:rPr>
          <w:rFonts w:ascii="宋体" w:hAnsi="宋体" w:cs="Arial"/>
          <w:kern w:val="0"/>
          <w:szCs w:val="21"/>
        </w:rPr>
      </w:pPr>
      <w:r>
        <w:rPr>
          <w:rFonts w:hint="eastAsia" w:ascii="宋体" w:hAnsi="宋体" w:cs="Arial"/>
          <w:kern w:val="0"/>
          <w:szCs w:val="21"/>
        </w:rPr>
        <w:t>鉴于</w:t>
      </w:r>
      <w:r>
        <w:rPr>
          <w:rFonts w:hint="eastAsia" w:ascii="宋体" w:hAnsi="宋体" w:cs="Arial"/>
          <w:szCs w:val="21"/>
        </w:rPr>
        <w:t>博时基金管理有限公司</w:t>
      </w:r>
      <w:r>
        <w:rPr>
          <w:rFonts w:hint="eastAsia" w:ascii="宋体" w:hAnsi="宋体" w:cs="Arial"/>
          <w:kern w:val="0"/>
          <w:szCs w:val="21"/>
        </w:rPr>
        <w:t>拟担任博时安慧臻选3个月持有期混合型基金中基金（FOF）的基金管理人，招商银行股份有限公司拟担任博时安慧臻选3个月持有期混合型基金中基金（FOF）的基金托管人；</w:t>
      </w:r>
    </w:p>
    <w:p w14:paraId="21EB647A">
      <w:pPr>
        <w:widowControl/>
        <w:spacing w:line="360" w:lineRule="auto"/>
        <w:ind w:firstLine="420" w:firstLineChars="200"/>
        <w:rPr>
          <w:rFonts w:ascii="宋体" w:hAnsi="宋体" w:cs="Arial"/>
          <w:kern w:val="0"/>
          <w:szCs w:val="21"/>
        </w:rPr>
      </w:pPr>
      <w:r>
        <w:rPr>
          <w:rFonts w:hint="eastAsia" w:ascii="宋体" w:hAnsi="宋体" w:cs="Arial"/>
          <w:kern w:val="0"/>
          <w:szCs w:val="21"/>
        </w:rPr>
        <w:t>为明确博时安慧臻选3个月持有期混合型基金中基金（FOF）</w:t>
      </w:r>
      <w:r>
        <w:rPr>
          <w:rFonts w:hint="eastAsia" w:ascii="宋体" w:hAnsi="宋体" w:cs="Arial"/>
          <w:szCs w:val="21"/>
        </w:rPr>
        <w:t>（以下简称“本基金”或“基金”）</w:t>
      </w:r>
      <w:r>
        <w:rPr>
          <w:rFonts w:hint="eastAsia" w:ascii="宋体" w:hAnsi="宋体" w:cs="Arial"/>
          <w:kern w:val="0"/>
          <w:szCs w:val="21"/>
        </w:rPr>
        <w:t>的基金管理人和基金托管人之间的权利义务关系，特制订本托管协议；</w:t>
      </w:r>
    </w:p>
    <w:p w14:paraId="71625E8D">
      <w:pPr>
        <w:widowControl/>
        <w:spacing w:line="360" w:lineRule="auto"/>
        <w:ind w:firstLine="420" w:firstLineChars="200"/>
        <w:rPr>
          <w:rFonts w:ascii="宋体" w:hAnsi="宋体"/>
          <w:kern w:val="0"/>
        </w:rPr>
      </w:pPr>
      <w:r>
        <w:rPr>
          <w:rFonts w:hint="eastAsia" w:ascii="宋体" w:hAnsi="宋体"/>
          <w:kern w:val="0"/>
        </w:rPr>
        <w:t>除非另有约定，《</w:t>
      </w:r>
      <w:r>
        <w:rPr>
          <w:rFonts w:hint="eastAsia" w:ascii="宋体" w:hAnsi="宋体" w:cs="Arial"/>
          <w:kern w:val="0"/>
          <w:szCs w:val="21"/>
        </w:rPr>
        <w:t>博时安慧臻选3个月持有期混合型基金中基金（FOF）基金合同》</w:t>
      </w:r>
      <w:r>
        <w:rPr>
          <w:rFonts w:hint="eastAsia" w:ascii="宋体" w:hAnsi="宋体"/>
          <w:kern w:val="0"/>
        </w:rPr>
        <w:t>(以下简称“基金合同”)中定义的术语在用于本托管协议时应具有相同的含义，若有抵触应以基金合同为准。</w:t>
      </w:r>
    </w:p>
    <w:p w14:paraId="7DAB04D5">
      <w:pPr>
        <w:widowControl/>
        <w:spacing w:line="360" w:lineRule="auto"/>
        <w:ind w:firstLine="420" w:firstLineChars="200"/>
        <w:rPr>
          <w:rFonts w:ascii="宋体" w:hAnsi="宋体" w:cs="Arial"/>
          <w:kern w:val="0"/>
          <w:szCs w:val="21"/>
          <w:lang w:val="en-GB"/>
        </w:rPr>
      </w:pPr>
      <w:r>
        <w:rPr>
          <w:rFonts w:hint="eastAsia" w:ascii="宋体" w:hAnsi="宋体" w:cs="Arial"/>
          <w:kern w:val="0"/>
          <w:szCs w:val="21"/>
          <w:lang w:val="en-GB"/>
        </w:rPr>
        <w:t>基金管理人应按中国反洗钱等相关法律法规相关要求履行各项反洗钱和反恐怖融资等义务。在建立业务关系时，根据客户特征和交易活动性质、风险状况，采取符合要求的客户尽职调查措施，尽职调查内容包括但不限于获得投资者身份、财产与收入状况、资金及财富来源、投资经验、风险认知与承受能力和投资偏好等相关的信息和资料，识别并采取合理措施核实基金的受益所有人。在业务关系存续期间，持续关注并评估基金的整体状况和交易情况，了解洗钱、恐怖融资、制裁风险状况，发现交易与客户身份、风险状况等不符的，应当进一步核实相关情况；对存在洗钱、恐怖融资、制裁高风险情形的，应当采取相应的强化尽职调查措施，必要时可以采取与风险相匹配的风险管理措施；在法律法规允许范围内，配合基金托管人开展尽职调查，提供相关客户身份信息和资料；妥善保管、更新客户及投资者身份资料及交易记录；根据反洗钱等相关法律法规，要求投资者积极配合完成尽职调查等必要程序；与基金托管人在法律法规允许范围内积极开展反洗钱与制裁合规领域的信息支持与合作；落实反洗钱等相关法律法规要求的其他合规相关工作。</w:t>
      </w:r>
    </w:p>
    <w:p w14:paraId="26779FFC">
      <w:pPr>
        <w:widowControl/>
        <w:spacing w:line="360" w:lineRule="auto"/>
        <w:ind w:firstLine="420" w:firstLineChars="200"/>
        <w:rPr>
          <w:rFonts w:ascii="宋体" w:hAnsi="宋体" w:cs="Arial"/>
          <w:kern w:val="0"/>
          <w:szCs w:val="21"/>
          <w:lang w:val="en-GB"/>
        </w:rPr>
      </w:pPr>
      <w:r>
        <w:rPr>
          <w:rFonts w:hint="eastAsia" w:ascii="宋体" w:hAnsi="宋体" w:cs="Arial"/>
          <w:kern w:val="0"/>
          <w:szCs w:val="21"/>
          <w:lang w:val="en-GB"/>
        </w:rPr>
        <w:t>基金管理人应采取适当措施，确保该基金的受益所有人、受益人、委托人及其主要关联方、投资者及其主要关联方等不得为我国有关机关发布的反洗钱特别预防措施名单所列对象，不得为联合国、我国及其他可适用的反洗钱、反恐怖融资、制裁名单所列对象，或中国人民银行及其他监管机构要求执行的反洗钱和反恐怖融资名单。</w:t>
      </w:r>
    </w:p>
    <w:p w14:paraId="163FE9D7">
      <w:pPr>
        <w:widowControl/>
        <w:spacing w:line="360" w:lineRule="auto"/>
        <w:ind w:firstLine="420" w:firstLineChars="200"/>
        <w:rPr>
          <w:rFonts w:ascii="宋体" w:hAnsi="宋体" w:cs="Arial"/>
          <w:kern w:val="0"/>
          <w:szCs w:val="21"/>
          <w:lang w:val="en-GB"/>
        </w:rPr>
      </w:pPr>
      <w:r>
        <w:rPr>
          <w:rFonts w:hint="eastAsia" w:ascii="宋体" w:hAnsi="宋体" w:cs="Arial"/>
          <w:kern w:val="0"/>
          <w:szCs w:val="21"/>
          <w:lang w:val="en-GB"/>
        </w:rPr>
        <w:t>基金管理人承诺基金的投资行为、资金交易不得违反我国、联合国及其他可适用的有关制裁项目或反洗钱法律法规，或用于其他洗钱、恐怖融资、逃税、欺诈等违法违规用途，以及交易对手方不得触发反洗钱与制裁名单。</w:t>
      </w:r>
    </w:p>
    <w:p w14:paraId="21300332">
      <w:pPr>
        <w:spacing w:line="360" w:lineRule="auto"/>
        <w:rPr>
          <w:rFonts w:ascii="宋体" w:hAnsi="宋体"/>
          <w:szCs w:val="21"/>
          <w:lang w:val="en-GB"/>
        </w:rPr>
      </w:pPr>
      <w:r>
        <w:rPr>
          <w:rFonts w:hint="eastAsia" w:ascii="宋体" w:hAnsi="宋体" w:cs="Arial"/>
          <w:kern w:val="0"/>
          <w:szCs w:val="21"/>
          <w:lang w:val="en-GB"/>
        </w:rPr>
        <w:t>对于该基金的受益所有人、受益人、委托人及其主要关联方、投资者及其主要关联方等为我国有关机关发布的反洗钱特别预防措施名单所列对象，或该基金的投资行为、资金交易违反我国、联合国及其他可适用的制裁或反洗钱法律法规，或用于其他洗钱、恐怖融资、逃税、欺诈等违法违规用途，以及交易对手方触发反洗钱与制裁名单的，基金托管人有权在法律法规允许的范围内不予划款，或配合结算交收。</w:t>
      </w:r>
    </w:p>
    <w:p w14:paraId="397A3D1D">
      <w:pPr>
        <w:pStyle w:val="3"/>
        <w:spacing w:before="312" w:beforeLines="100" w:after="156" w:afterLines="50" w:line="360" w:lineRule="auto"/>
        <w:jc w:val="center"/>
        <w:rPr>
          <w:rFonts w:ascii="宋体" w:hAnsi="宋体" w:eastAsia="宋体"/>
          <w:sz w:val="21"/>
          <w:szCs w:val="21"/>
        </w:rPr>
      </w:pPr>
      <w:r>
        <w:rPr>
          <w:rFonts w:ascii="宋体" w:hAnsi="宋体"/>
        </w:rPr>
        <w:br w:type="page"/>
      </w:r>
      <w:bookmarkEnd w:id="5"/>
      <w:bookmarkStart w:id="7" w:name="_Toc348082029"/>
      <w:bookmarkStart w:id="8" w:name="_Toc384992691"/>
      <w:bookmarkStart w:id="9" w:name="_Toc501274913"/>
      <w:bookmarkStart w:id="10" w:name="CLAUSE_2bc36efce57a4e6b8cf8b125afef7750"/>
      <w:r>
        <w:t xml:space="preserve"> </w:t>
      </w:r>
      <w:bookmarkStart w:id="11" w:name="CTS_2bc36efce57a4e6b8cf8b125afef7750"/>
      <w:bookmarkEnd w:id="11"/>
      <w:r>
        <w:t xml:space="preserve"> </w:t>
      </w:r>
      <w:bookmarkStart w:id="12" w:name="_Toc20722"/>
      <w:bookmarkStart w:id="13" w:name="_Toc16946"/>
      <w:r>
        <w:rPr>
          <w:rFonts w:hint="eastAsia" w:ascii="宋体" w:hAnsi="宋体" w:eastAsia="宋体"/>
          <w:sz w:val="21"/>
          <w:szCs w:val="21"/>
        </w:rPr>
        <w:t>一、基金托管协议当事人</w:t>
      </w:r>
      <w:bookmarkEnd w:id="7"/>
      <w:bookmarkEnd w:id="8"/>
      <w:bookmarkEnd w:id="9"/>
      <w:bookmarkEnd w:id="12"/>
      <w:bookmarkEnd w:id="13"/>
    </w:p>
    <w:p w14:paraId="109004A3">
      <w:pPr>
        <w:spacing w:line="360" w:lineRule="auto"/>
        <w:ind w:firstLine="420" w:firstLineChars="200"/>
        <w:rPr>
          <w:rFonts w:ascii="宋体" w:hAnsi="宋体" w:cs="Arial"/>
          <w:szCs w:val="21"/>
        </w:rPr>
      </w:pPr>
      <w:r>
        <w:rPr>
          <w:rFonts w:hint="eastAsia" w:ascii="宋体" w:hAnsi="宋体" w:cs="Arial"/>
          <w:szCs w:val="21"/>
        </w:rPr>
        <w:t>（一）基金管理人</w:t>
      </w:r>
    </w:p>
    <w:p w14:paraId="6B88CF07">
      <w:pPr>
        <w:spacing w:line="360" w:lineRule="auto"/>
        <w:ind w:firstLine="420" w:firstLineChars="200"/>
        <w:rPr>
          <w:rFonts w:ascii="宋体" w:hAnsi="宋体" w:cs="Arial"/>
          <w:szCs w:val="21"/>
        </w:rPr>
      </w:pPr>
      <w:r>
        <w:rPr>
          <w:rFonts w:hint="eastAsia" w:ascii="宋体" w:hAnsi="宋体" w:cs="Arial"/>
          <w:szCs w:val="21"/>
        </w:rPr>
        <w:t>名称：博时基金管理有限公司</w:t>
      </w:r>
    </w:p>
    <w:p w14:paraId="2A0F4C77">
      <w:pPr>
        <w:spacing w:line="360" w:lineRule="auto"/>
        <w:ind w:firstLine="420" w:firstLineChars="200"/>
        <w:rPr>
          <w:rFonts w:ascii="宋体" w:hAnsi="宋体" w:cs="Arial"/>
          <w:szCs w:val="21"/>
        </w:rPr>
      </w:pPr>
      <w:r>
        <w:rPr>
          <w:rFonts w:hint="eastAsia" w:ascii="宋体" w:hAnsi="宋体" w:cs="Arial"/>
          <w:szCs w:val="21"/>
        </w:rPr>
        <w:t>住所：深圳市福田区莲花街道福新社区益田路5999号基金大厦21层</w:t>
      </w:r>
    </w:p>
    <w:p w14:paraId="130A3BCF">
      <w:pPr>
        <w:spacing w:line="360" w:lineRule="auto"/>
        <w:ind w:firstLine="420" w:firstLineChars="200"/>
        <w:rPr>
          <w:rFonts w:ascii="宋体" w:hAnsi="宋体" w:cs="Arial"/>
          <w:szCs w:val="21"/>
        </w:rPr>
      </w:pPr>
      <w:r>
        <w:rPr>
          <w:rFonts w:hint="eastAsia" w:ascii="宋体" w:hAnsi="宋体" w:cs="Arial"/>
          <w:szCs w:val="21"/>
        </w:rPr>
        <w:t>办公地址：广东省深圳市福田区益田路5999号基金大厦21层</w:t>
      </w:r>
    </w:p>
    <w:p w14:paraId="41C59F05">
      <w:pPr>
        <w:spacing w:line="360" w:lineRule="auto"/>
        <w:ind w:firstLine="420" w:firstLineChars="200"/>
        <w:rPr>
          <w:rFonts w:ascii="宋体" w:hAnsi="宋体" w:cs="Arial"/>
          <w:szCs w:val="21"/>
        </w:rPr>
      </w:pPr>
      <w:r>
        <w:rPr>
          <w:rFonts w:hint="eastAsia" w:ascii="宋体" w:hAnsi="宋体" w:cs="Arial"/>
          <w:szCs w:val="21"/>
        </w:rPr>
        <w:t>邮政编码：518040</w:t>
      </w:r>
    </w:p>
    <w:p w14:paraId="6AAB7C70">
      <w:pPr>
        <w:spacing w:line="360" w:lineRule="auto"/>
        <w:ind w:firstLine="420" w:firstLineChars="200"/>
        <w:rPr>
          <w:rFonts w:hint="eastAsia" w:ascii="宋体" w:hAnsi="宋体" w:cs="Arial"/>
          <w:szCs w:val="21"/>
        </w:rPr>
      </w:pPr>
      <w:r>
        <w:rPr>
          <w:rFonts w:hint="eastAsia" w:ascii="宋体" w:hAnsi="宋体" w:cs="Arial"/>
          <w:szCs w:val="21"/>
        </w:rPr>
        <w:t>法定代表人：张东</w:t>
      </w:r>
    </w:p>
    <w:p w14:paraId="758E66B7">
      <w:pPr>
        <w:spacing w:line="360" w:lineRule="auto"/>
        <w:ind w:firstLine="420" w:firstLineChars="200"/>
        <w:rPr>
          <w:rFonts w:ascii="宋体" w:hAnsi="宋体" w:cs="Arial"/>
          <w:szCs w:val="21"/>
        </w:rPr>
      </w:pPr>
      <w:r>
        <w:rPr>
          <w:rFonts w:hint="eastAsia" w:ascii="宋体" w:hAnsi="宋体" w:cs="Arial"/>
          <w:szCs w:val="21"/>
        </w:rPr>
        <w:t>成立时间： 1998年7月13日</w:t>
      </w:r>
    </w:p>
    <w:p w14:paraId="7DDE1898">
      <w:pPr>
        <w:spacing w:line="360" w:lineRule="auto"/>
        <w:ind w:firstLine="420" w:firstLineChars="200"/>
        <w:rPr>
          <w:rFonts w:ascii="宋体" w:hAnsi="宋体" w:cs="Arial"/>
          <w:szCs w:val="21"/>
        </w:rPr>
      </w:pPr>
      <w:r>
        <w:rPr>
          <w:rFonts w:hint="eastAsia" w:ascii="宋体" w:hAnsi="宋体" w:cs="Arial"/>
          <w:szCs w:val="21"/>
        </w:rPr>
        <w:t>批准设立机关：中国证券监督管理委员会</w:t>
      </w:r>
    </w:p>
    <w:p w14:paraId="4FF02881">
      <w:pPr>
        <w:spacing w:line="360" w:lineRule="auto"/>
        <w:ind w:firstLine="420" w:firstLineChars="200"/>
        <w:rPr>
          <w:rFonts w:ascii="宋体" w:hAnsi="宋体" w:cs="Arial"/>
          <w:szCs w:val="21"/>
        </w:rPr>
      </w:pPr>
      <w:r>
        <w:rPr>
          <w:rFonts w:hint="eastAsia" w:ascii="宋体" w:hAnsi="宋体" w:cs="Arial"/>
          <w:szCs w:val="21"/>
        </w:rPr>
        <w:t>批准设立文号：中国证监会证监基字【1998】26号</w:t>
      </w:r>
    </w:p>
    <w:p w14:paraId="63B8ECF1">
      <w:pPr>
        <w:spacing w:line="360" w:lineRule="auto"/>
        <w:ind w:firstLine="420" w:firstLineChars="200"/>
        <w:rPr>
          <w:rFonts w:ascii="宋体" w:hAnsi="宋体" w:cs="Arial"/>
          <w:szCs w:val="21"/>
        </w:rPr>
      </w:pPr>
      <w:r>
        <w:rPr>
          <w:rFonts w:hint="eastAsia" w:ascii="宋体" w:hAnsi="宋体" w:cs="Arial"/>
          <w:szCs w:val="21"/>
        </w:rPr>
        <w:t>组织形式：有限责任公司</w:t>
      </w:r>
    </w:p>
    <w:p w14:paraId="6EABA96B">
      <w:pPr>
        <w:spacing w:line="360" w:lineRule="auto"/>
        <w:ind w:firstLine="420" w:firstLineChars="200"/>
        <w:rPr>
          <w:rFonts w:ascii="宋体" w:hAnsi="宋体" w:cs="Arial"/>
          <w:szCs w:val="21"/>
        </w:rPr>
      </w:pPr>
      <w:r>
        <w:rPr>
          <w:rFonts w:hint="eastAsia" w:ascii="宋体" w:hAnsi="宋体" w:cs="Arial"/>
          <w:szCs w:val="21"/>
        </w:rPr>
        <w:t>注册资本：2.5亿元人民币</w:t>
      </w:r>
    </w:p>
    <w:p w14:paraId="49965E8C">
      <w:pPr>
        <w:spacing w:line="360" w:lineRule="auto"/>
        <w:ind w:firstLine="420" w:firstLineChars="200"/>
        <w:rPr>
          <w:rFonts w:ascii="宋体" w:hAnsi="宋体" w:cs="Arial"/>
          <w:szCs w:val="21"/>
        </w:rPr>
      </w:pPr>
      <w:r>
        <w:rPr>
          <w:rFonts w:hint="eastAsia" w:ascii="宋体" w:hAnsi="宋体" w:cs="Arial"/>
          <w:szCs w:val="21"/>
        </w:rPr>
        <w:t>存续期间：持续经营</w:t>
      </w:r>
    </w:p>
    <w:p w14:paraId="6D72F701">
      <w:pPr>
        <w:spacing w:line="360" w:lineRule="auto"/>
        <w:ind w:firstLine="420" w:firstLineChars="200"/>
        <w:rPr>
          <w:rFonts w:ascii="宋体" w:hAnsi="宋体" w:cs="Arial"/>
          <w:szCs w:val="21"/>
        </w:rPr>
      </w:pPr>
      <w:r>
        <w:rPr>
          <w:rFonts w:hint="eastAsia" w:ascii="宋体" w:hAnsi="宋体" w:cs="Arial"/>
          <w:szCs w:val="21"/>
        </w:rPr>
        <w:t>经营范围：基金募集；基金销售；资产管理以及中国证监会许可的其它业务。</w:t>
      </w:r>
    </w:p>
    <w:p w14:paraId="04FFF2E6">
      <w:pPr>
        <w:spacing w:line="360" w:lineRule="auto"/>
        <w:ind w:firstLine="420" w:firstLineChars="200"/>
        <w:rPr>
          <w:rFonts w:ascii="宋体" w:hAnsi="宋体" w:cs="Arial"/>
          <w:szCs w:val="21"/>
        </w:rPr>
      </w:pPr>
      <w:r>
        <w:rPr>
          <w:rFonts w:hint="eastAsia" w:ascii="宋体" w:hAnsi="宋体" w:cs="Arial"/>
          <w:szCs w:val="21"/>
        </w:rPr>
        <w:t>（二）基金托管人</w:t>
      </w:r>
    </w:p>
    <w:p w14:paraId="6D3817F5">
      <w:pPr>
        <w:spacing w:line="360" w:lineRule="auto"/>
        <w:ind w:firstLine="420" w:firstLineChars="200"/>
        <w:rPr>
          <w:rFonts w:ascii="宋体" w:hAnsi="宋体" w:cs="Arial"/>
          <w:szCs w:val="21"/>
        </w:rPr>
      </w:pPr>
      <w:r>
        <w:rPr>
          <w:rFonts w:hint="eastAsia" w:ascii="宋体" w:hAnsi="宋体" w:cs="Arial"/>
          <w:szCs w:val="21"/>
        </w:rPr>
        <w:t>名称：招商银行股份有限公司(简称：招商银行)</w:t>
      </w:r>
    </w:p>
    <w:p w14:paraId="6A65B9E6">
      <w:pPr>
        <w:spacing w:line="360" w:lineRule="auto"/>
        <w:ind w:firstLine="420" w:firstLineChars="200"/>
        <w:rPr>
          <w:rFonts w:ascii="宋体" w:hAnsi="宋体" w:cs="Arial"/>
          <w:szCs w:val="21"/>
        </w:rPr>
      </w:pPr>
      <w:r>
        <w:rPr>
          <w:rFonts w:hint="eastAsia" w:ascii="宋体" w:hAnsi="宋体" w:cs="Arial"/>
          <w:szCs w:val="21"/>
        </w:rPr>
        <w:t>住所：深圳市深南大道7088号招商银行大厦</w:t>
      </w:r>
    </w:p>
    <w:p w14:paraId="738418E4">
      <w:pPr>
        <w:spacing w:line="360" w:lineRule="auto"/>
        <w:ind w:firstLine="420" w:firstLineChars="200"/>
        <w:rPr>
          <w:rFonts w:ascii="宋体" w:hAnsi="宋体" w:cs="Arial"/>
          <w:szCs w:val="21"/>
        </w:rPr>
      </w:pPr>
      <w:r>
        <w:rPr>
          <w:rFonts w:hint="eastAsia" w:ascii="宋体" w:hAnsi="宋体" w:cs="Arial"/>
          <w:szCs w:val="21"/>
        </w:rPr>
        <w:t>办公地址：深圳市深南大道7088号招商银行大厦</w:t>
      </w:r>
    </w:p>
    <w:p w14:paraId="119B9134">
      <w:pPr>
        <w:spacing w:line="360" w:lineRule="auto"/>
        <w:ind w:firstLine="420" w:firstLineChars="200"/>
        <w:rPr>
          <w:rFonts w:ascii="宋体" w:hAnsi="宋体" w:cs="Arial"/>
          <w:szCs w:val="21"/>
        </w:rPr>
      </w:pPr>
      <w:r>
        <w:rPr>
          <w:rFonts w:hint="eastAsia" w:ascii="宋体" w:hAnsi="宋体" w:cs="Arial"/>
          <w:szCs w:val="21"/>
        </w:rPr>
        <w:t>邮政编码：518040</w:t>
      </w:r>
    </w:p>
    <w:p w14:paraId="59801831">
      <w:pPr>
        <w:spacing w:line="360" w:lineRule="auto"/>
        <w:ind w:firstLine="420" w:firstLineChars="200"/>
        <w:rPr>
          <w:rFonts w:ascii="宋体" w:hAnsi="宋体" w:cs="Arial"/>
          <w:szCs w:val="21"/>
        </w:rPr>
      </w:pPr>
      <w:r>
        <w:rPr>
          <w:rFonts w:hint="eastAsia" w:ascii="宋体" w:hAnsi="宋体" w:cs="Arial"/>
          <w:szCs w:val="21"/>
        </w:rPr>
        <w:t>法定代表人：缪建民</w:t>
      </w:r>
    </w:p>
    <w:p w14:paraId="2FF68DB8">
      <w:pPr>
        <w:spacing w:line="360" w:lineRule="auto"/>
        <w:ind w:firstLine="420" w:firstLineChars="200"/>
        <w:rPr>
          <w:rFonts w:ascii="宋体" w:hAnsi="宋体" w:cs="Arial"/>
          <w:szCs w:val="21"/>
        </w:rPr>
      </w:pPr>
      <w:r>
        <w:rPr>
          <w:rFonts w:hint="eastAsia" w:ascii="宋体" w:hAnsi="宋体" w:cs="Arial"/>
          <w:szCs w:val="21"/>
        </w:rPr>
        <w:t>成立时间：1987年</w:t>
      </w:r>
      <w:r>
        <w:rPr>
          <w:rFonts w:ascii="宋体" w:hAnsi="宋体" w:cs="Arial"/>
          <w:szCs w:val="21"/>
        </w:rPr>
        <w:t>3</w:t>
      </w:r>
      <w:r>
        <w:rPr>
          <w:rFonts w:hint="eastAsia" w:ascii="宋体" w:hAnsi="宋体" w:cs="Arial"/>
          <w:szCs w:val="21"/>
        </w:rPr>
        <w:t>月</w:t>
      </w:r>
      <w:r>
        <w:rPr>
          <w:rFonts w:ascii="宋体" w:hAnsi="宋体" w:cs="Arial"/>
          <w:szCs w:val="21"/>
        </w:rPr>
        <w:t>31</w:t>
      </w:r>
      <w:r>
        <w:rPr>
          <w:rFonts w:hint="eastAsia" w:ascii="宋体" w:hAnsi="宋体" w:cs="Arial"/>
          <w:szCs w:val="21"/>
        </w:rPr>
        <w:t>日</w:t>
      </w:r>
    </w:p>
    <w:p w14:paraId="3EE2BC9A">
      <w:pPr>
        <w:spacing w:line="360" w:lineRule="auto"/>
        <w:ind w:firstLine="420" w:firstLineChars="200"/>
        <w:rPr>
          <w:rFonts w:ascii="宋体" w:hAnsi="宋体" w:cs="Arial"/>
          <w:szCs w:val="21"/>
        </w:rPr>
      </w:pPr>
      <w:r>
        <w:rPr>
          <w:rFonts w:hint="eastAsia" w:ascii="宋体" w:hAnsi="宋体" w:cs="Arial"/>
          <w:szCs w:val="21"/>
        </w:rPr>
        <w:t>批准设立机关及批准设立文号：中国人民银行银复字（1986）175号文、银复（1987）86号文</w:t>
      </w:r>
    </w:p>
    <w:p w14:paraId="1732F0DE">
      <w:pPr>
        <w:spacing w:line="360" w:lineRule="auto"/>
        <w:ind w:firstLine="420" w:firstLineChars="200"/>
        <w:rPr>
          <w:rFonts w:ascii="宋体" w:hAnsi="宋体" w:cs="Arial"/>
          <w:szCs w:val="21"/>
        </w:rPr>
      </w:pPr>
      <w:r>
        <w:rPr>
          <w:rFonts w:hint="eastAsia" w:ascii="宋体" w:hAnsi="宋体" w:cs="Arial"/>
          <w:szCs w:val="21"/>
        </w:rPr>
        <w:t>基金托管业务批准文号：证监基金字[2002]83号</w:t>
      </w:r>
    </w:p>
    <w:p w14:paraId="437079A8">
      <w:pPr>
        <w:spacing w:line="360" w:lineRule="auto"/>
        <w:ind w:firstLine="420" w:firstLineChars="200"/>
        <w:rPr>
          <w:rFonts w:ascii="宋体" w:hAnsi="宋体" w:cs="Arial"/>
          <w:szCs w:val="21"/>
        </w:rPr>
      </w:pPr>
      <w:r>
        <w:rPr>
          <w:rFonts w:hint="eastAsia" w:ascii="宋体" w:hAnsi="宋体" w:cs="Arial"/>
          <w:szCs w:val="21"/>
        </w:rPr>
        <w:t>组织形式：股份有限公司</w:t>
      </w:r>
    </w:p>
    <w:p w14:paraId="56273354">
      <w:pPr>
        <w:spacing w:line="360" w:lineRule="auto"/>
        <w:ind w:firstLine="420" w:firstLineChars="200"/>
        <w:rPr>
          <w:rFonts w:ascii="宋体" w:hAnsi="宋体" w:cs="Arial"/>
          <w:szCs w:val="21"/>
        </w:rPr>
      </w:pPr>
      <w:r>
        <w:rPr>
          <w:rFonts w:hint="eastAsia" w:ascii="宋体" w:hAnsi="宋体" w:cs="Arial"/>
          <w:szCs w:val="21"/>
        </w:rPr>
        <w:t>注册资本：人民币252.20亿元</w:t>
      </w:r>
    </w:p>
    <w:p w14:paraId="101DBFD5">
      <w:pPr>
        <w:spacing w:line="360" w:lineRule="auto"/>
        <w:ind w:firstLine="420" w:firstLineChars="200"/>
        <w:rPr>
          <w:rFonts w:ascii="宋体" w:hAnsi="宋体"/>
          <w:szCs w:val="21"/>
        </w:rPr>
      </w:pPr>
      <w:r>
        <w:rPr>
          <w:rFonts w:hint="eastAsia" w:ascii="宋体" w:hAnsi="宋体" w:cs="Arial"/>
          <w:szCs w:val="21"/>
        </w:rPr>
        <w:t>存续期间：持续经营</w:t>
      </w:r>
    </w:p>
    <w:bookmarkEnd w:id="10"/>
    <w:p w14:paraId="1FF2E872">
      <w:pPr>
        <w:spacing w:line="360" w:lineRule="auto"/>
        <w:ind w:firstLine="420" w:firstLineChars="200"/>
        <w:rPr>
          <w:rFonts w:ascii="宋体" w:hAnsi="宋体"/>
        </w:rPr>
        <w:sectPr>
          <w:footerReference r:id="rId7" w:type="default"/>
          <w:pgSz w:w="11906" w:h="16838"/>
          <w:pgMar w:top="1418" w:right="1701" w:bottom="1418" w:left="1701" w:header="851" w:footer="992" w:gutter="0"/>
          <w:pgNumType w:fmt="decimal" w:start="1"/>
          <w:cols w:space="720" w:num="1"/>
          <w:docGrid w:type="lines" w:linePitch="312" w:charSpace="0"/>
        </w:sectPr>
      </w:pPr>
      <w:bookmarkStart w:id="14" w:name="_Toc384992692"/>
      <w:bookmarkStart w:id="15" w:name="_Toc501274914"/>
      <w:bookmarkStart w:id="16" w:name="_Toc348082030"/>
      <w:bookmarkStart w:id="17" w:name="CLAUSE_1986f2ad4e844a81b578e498e7378ce0"/>
    </w:p>
    <w:p w14:paraId="7135D968">
      <w:pPr>
        <w:pStyle w:val="3"/>
        <w:spacing w:before="312" w:beforeLines="100" w:after="156" w:afterLines="50" w:line="360" w:lineRule="auto"/>
        <w:jc w:val="center"/>
        <w:rPr>
          <w:rFonts w:ascii="宋体" w:hAnsi="宋体" w:eastAsia="宋体"/>
          <w:sz w:val="21"/>
          <w:szCs w:val="21"/>
        </w:rPr>
      </w:pPr>
      <w:r>
        <w:t xml:space="preserve"> </w:t>
      </w:r>
      <w:bookmarkStart w:id="18" w:name="CTS_1986f2ad4e844a81b578e498e7378ce0"/>
      <w:bookmarkEnd w:id="18"/>
      <w:r>
        <w:t xml:space="preserve"> </w:t>
      </w:r>
      <w:bookmarkStart w:id="19" w:name="_Toc719"/>
      <w:bookmarkStart w:id="20" w:name="_Toc2869"/>
      <w:r>
        <w:rPr>
          <w:rFonts w:hint="eastAsia" w:ascii="宋体" w:hAnsi="宋体" w:eastAsia="宋体"/>
          <w:sz w:val="21"/>
          <w:szCs w:val="21"/>
        </w:rPr>
        <w:t>二、基金托管协议的依据、目的和原则</w:t>
      </w:r>
      <w:bookmarkEnd w:id="14"/>
      <w:bookmarkEnd w:id="15"/>
      <w:bookmarkEnd w:id="16"/>
      <w:bookmarkEnd w:id="19"/>
      <w:bookmarkEnd w:id="20"/>
    </w:p>
    <w:p w14:paraId="3495B0AC">
      <w:pPr>
        <w:spacing w:line="360" w:lineRule="auto"/>
        <w:ind w:firstLine="420" w:firstLineChars="200"/>
        <w:rPr>
          <w:rFonts w:ascii="宋体" w:hAnsi="宋体"/>
          <w:szCs w:val="21"/>
        </w:rPr>
      </w:pPr>
      <w:r>
        <w:rPr>
          <w:rFonts w:hint="eastAsia" w:ascii="宋体" w:hAnsi="宋体" w:cs="Arial"/>
          <w:szCs w:val="21"/>
        </w:rPr>
        <w:t>（一）订立托管协议的依据</w:t>
      </w:r>
    </w:p>
    <w:p w14:paraId="1C858963">
      <w:pPr>
        <w:spacing w:line="360" w:lineRule="auto"/>
        <w:ind w:firstLine="420" w:firstLineChars="200"/>
        <w:rPr>
          <w:rFonts w:ascii="宋体" w:hAnsi="宋体" w:cs="Arial"/>
          <w:szCs w:val="21"/>
        </w:rPr>
      </w:pPr>
      <w:r>
        <w:rPr>
          <w:rFonts w:hint="eastAsia" w:ascii="宋体" w:hAnsi="宋体" w:cs="Arial"/>
          <w:szCs w:val="21"/>
        </w:rPr>
        <w:t>本协议依据《中华人民共和国证券法》(以下简称“《证券法》”)、《中华人民共和国证券投资基金法》(以下简称“《基金法》”)、《公开募集证券投资基金运作管理办法》（以下简称“《运作办法》”）、《公开募集开放式证券投资基金流动性风险管理规定》</w:t>
      </w:r>
      <w:r>
        <w:rPr>
          <w:rFonts w:hint="eastAsia" w:cs="Arial"/>
          <w:szCs w:val="21"/>
        </w:rPr>
        <w:t>（以下</w:t>
      </w:r>
      <w:r>
        <w:rPr>
          <w:rFonts w:cs="Arial"/>
          <w:szCs w:val="21"/>
        </w:rPr>
        <w:t>简称“</w:t>
      </w:r>
      <w:r>
        <w:rPr>
          <w:rFonts w:hint="eastAsia" w:cs="Arial"/>
          <w:szCs w:val="21"/>
        </w:rPr>
        <w:t>《流动性</w:t>
      </w:r>
      <w:r>
        <w:rPr>
          <w:rFonts w:cs="Arial"/>
          <w:szCs w:val="21"/>
        </w:rPr>
        <w:t>风险管理规定</w:t>
      </w:r>
      <w:r>
        <w:rPr>
          <w:rFonts w:hint="eastAsia" w:cs="Arial"/>
          <w:szCs w:val="21"/>
        </w:rPr>
        <w:t>》</w:t>
      </w:r>
      <w:r>
        <w:rPr>
          <w:rFonts w:cs="Arial"/>
          <w:szCs w:val="21"/>
        </w:rPr>
        <w:t>”</w:t>
      </w:r>
      <w:r>
        <w:rPr>
          <w:rFonts w:hint="eastAsia" w:cs="Arial"/>
          <w:szCs w:val="21"/>
        </w:rPr>
        <w:t>）、</w:t>
      </w:r>
      <w:r>
        <w:rPr>
          <w:rFonts w:hint="eastAsia" w:ascii="宋体" w:hAnsi="宋体" w:cs="Arial"/>
          <w:szCs w:val="21"/>
        </w:rPr>
        <w:t>《公开募集证券投资基金销售机构监督管理办法》（以下简称“《销售办法》”）、《公开募集证券投资基金信息披露管理办法》(以下简称“《信息披露办法》”)、《公开募集证券投资基金运作指引第2号——基金中基金指引》等有关法律法规、基金合同及其他有关规定制订。</w:t>
      </w:r>
    </w:p>
    <w:p w14:paraId="56F7EEAB">
      <w:pPr>
        <w:spacing w:line="360" w:lineRule="auto"/>
        <w:ind w:firstLine="420" w:firstLineChars="200"/>
        <w:rPr>
          <w:rFonts w:ascii="宋体" w:hAnsi="宋体" w:cs="Arial"/>
          <w:szCs w:val="21"/>
        </w:rPr>
      </w:pPr>
      <w:r>
        <w:rPr>
          <w:rFonts w:hint="eastAsia" w:ascii="宋体" w:hAnsi="宋体" w:cs="Arial"/>
          <w:szCs w:val="21"/>
        </w:rPr>
        <w:t>（二）订立托管协议的目的</w:t>
      </w:r>
    </w:p>
    <w:p w14:paraId="18C0C9E1">
      <w:pPr>
        <w:spacing w:line="360" w:lineRule="auto"/>
        <w:ind w:firstLine="420" w:firstLineChars="200"/>
        <w:rPr>
          <w:rFonts w:ascii="宋体" w:hAnsi="宋体"/>
          <w:szCs w:val="21"/>
        </w:rPr>
      </w:pPr>
      <w:r>
        <w:rPr>
          <w:rFonts w:hint="eastAsia" w:ascii="宋体" w:hAnsi="宋体" w:cs="Arial"/>
          <w:szCs w:val="21"/>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14:paraId="156DCBD0">
      <w:pPr>
        <w:spacing w:line="360" w:lineRule="auto"/>
        <w:ind w:firstLine="420" w:firstLineChars="200"/>
        <w:rPr>
          <w:rFonts w:ascii="宋体" w:hAnsi="宋体" w:cs="Arial"/>
          <w:szCs w:val="21"/>
        </w:rPr>
      </w:pPr>
      <w:r>
        <w:rPr>
          <w:rFonts w:hint="eastAsia" w:ascii="宋体" w:hAnsi="宋体" w:cs="Arial"/>
          <w:szCs w:val="21"/>
        </w:rPr>
        <w:t>（三）订立托管协议的原则</w:t>
      </w:r>
    </w:p>
    <w:p w14:paraId="6134872C">
      <w:pPr>
        <w:spacing w:line="360" w:lineRule="auto"/>
        <w:ind w:firstLine="420" w:firstLineChars="200"/>
        <w:rPr>
          <w:rFonts w:ascii="宋体" w:hAnsi="宋体" w:cs="Arial"/>
          <w:szCs w:val="21"/>
        </w:rPr>
      </w:pPr>
      <w:r>
        <w:rPr>
          <w:rFonts w:hint="eastAsia" w:ascii="宋体" w:hAnsi="宋体" w:cs="Arial"/>
          <w:szCs w:val="21"/>
        </w:rPr>
        <w:t>基金管理人和基金托管人本着平等自愿、诚实信用、充分保护基金份额持有人合法权益的原则，经协商一致，签订本协议。</w:t>
      </w:r>
    </w:p>
    <w:p w14:paraId="49B13BAC">
      <w:pPr>
        <w:spacing w:line="360" w:lineRule="auto"/>
        <w:rPr>
          <w:rFonts w:ascii="宋体" w:hAnsi="宋体"/>
          <w:szCs w:val="21"/>
        </w:rPr>
      </w:pPr>
    </w:p>
    <w:bookmarkEnd w:id="17"/>
    <w:p w14:paraId="04AA569F">
      <w:pPr>
        <w:spacing w:line="360" w:lineRule="auto"/>
        <w:ind w:firstLine="420" w:firstLineChars="200"/>
        <w:rPr>
          <w:rFonts w:ascii="宋体" w:hAnsi="宋体"/>
        </w:rPr>
        <w:sectPr>
          <w:headerReference r:id="rId8" w:type="default"/>
          <w:footerReference r:id="rId9" w:type="default"/>
          <w:pgSz w:w="11906" w:h="16838"/>
          <w:pgMar w:top="1418" w:right="1701" w:bottom="1418" w:left="1701" w:header="851" w:footer="992" w:gutter="0"/>
          <w:pgNumType w:fmt="decimal" w:start="1"/>
          <w:cols w:space="720" w:num="1"/>
          <w:docGrid w:type="lines" w:linePitch="312" w:charSpace="0"/>
        </w:sectPr>
      </w:pPr>
      <w:bookmarkStart w:id="21" w:name="_Toc348082031"/>
      <w:bookmarkStart w:id="22" w:name="_Toc501274915"/>
      <w:bookmarkStart w:id="23" w:name="_Toc384992693"/>
      <w:bookmarkStart w:id="24" w:name="CLAUSE_18bd8014994c465e9e240598d3cf0e3f"/>
    </w:p>
    <w:p w14:paraId="1467A0CD">
      <w:pPr>
        <w:pStyle w:val="3"/>
        <w:spacing w:before="312" w:beforeLines="100" w:after="156" w:afterLines="50" w:line="360" w:lineRule="auto"/>
        <w:jc w:val="center"/>
        <w:rPr>
          <w:rFonts w:ascii="宋体" w:hAnsi="宋体" w:eastAsia="宋体"/>
          <w:sz w:val="21"/>
          <w:szCs w:val="21"/>
        </w:rPr>
      </w:pPr>
      <w:r>
        <w:t xml:space="preserve"> </w:t>
      </w:r>
      <w:bookmarkStart w:id="25" w:name="CTS_18bd8014994c465e9e240598d3cf0e3f"/>
      <w:bookmarkEnd w:id="25"/>
      <w:r>
        <w:t xml:space="preserve"> </w:t>
      </w:r>
      <w:bookmarkStart w:id="26" w:name="_Toc31663"/>
      <w:bookmarkStart w:id="27" w:name="_Toc13658"/>
      <w:r>
        <w:rPr>
          <w:rFonts w:hint="eastAsia" w:ascii="宋体" w:hAnsi="宋体" w:eastAsia="宋体"/>
          <w:sz w:val="21"/>
          <w:szCs w:val="21"/>
        </w:rPr>
        <w:t>三、基金托管人对基金管理人的业务监督和核查</w:t>
      </w:r>
      <w:bookmarkEnd w:id="21"/>
      <w:bookmarkEnd w:id="22"/>
      <w:bookmarkEnd w:id="23"/>
      <w:bookmarkEnd w:id="26"/>
      <w:bookmarkEnd w:id="27"/>
    </w:p>
    <w:p w14:paraId="2C987CD5">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（一）基金托管人根据有关法律法规的规定以及《基金合同》的约定，对基金投资范围、投资比例、投资限制、关联方交易等进行监督。</w:t>
      </w:r>
    </w:p>
    <w:p w14:paraId="67456CA5">
      <w:pPr>
        <w:adjustRightInd w:val="0"/>
        <w:snapToGrid w:val="0"/>
        <w:spacing w:line="360" w:lineRule="auto"/>
        <w:ind w:firstLine="422" w:firstLineChars="200"/>
        <w:rPr>
          <w:rFonts w:ascii="宋体" w:hAnsi="宋体" w:cs="Arial"/>
          <w:b/>
          <w:szCs w:val="21"/>
        </w:rPr>
      </w:pPr>
      <w:r>
        <w:rPr>
          <w:rFonts w:hint="eastAsia" w:ascii="宋体" w:hAnsi="宋体" w:cs="Arial"/>
          <w:b/>
          <w:bCs/>
          <w:szCs w:val="21"/>
        </w:rPr>
        <w:t>1.</w:t>
      </w:r>
      <w:r>
        <w:rPr>
          <w:rFonts w:hint="eastAsia" w:ascii="宋体" w:hAnsi="宋体" w:cs="Arial"/>
          <w:b/>
          <w:szCs w:val="21"/>
        </w:rPr>
        <w:t>本基金将投资于以下金融工具：</w:t>
      </w:r>
    </w:p>
    <w:p w14:paraId="4EFA296E">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本基金的投资范围主要包括经中国证监会依法核准或注册的公开募集证券投资基金（包含香港互认基金、QDII基金、公开募集</w:t>
      </w:r>
      <w:r>
        <w:rPr>
          <w:rFonts w:ascii="宋体" w:hAnsi="宋体" w:cs="Arial"/>
          <w:szCs w:val="21"/>
        </w:rPr>
        <w:t>不动产投资信托基金</w:t>
      </w:r>
      <w:r>
        <w:rPr>
          <w:rFonts w:hint="eastAsia" w:ascii="宋体" w:hAnsi="宋体" w:cs="Arial"/>
          <w:szCs w:val="21"/>
        </w:rPr>
        <w:t>（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超短期融资券、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17CC86B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如法律法规或监管机构以后允许基金投资其他品种的，基金管理人在履行适当程序后，可以将其纳入投资范围。</w:t>
      </w:r>
    </w:p>
    <w:p w14:paraId="4B32B51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3457CBC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6392746B">
      <w:pPr>
        <w:adjustRightInd w:val="0"/>
        <w:snapToGrid w:val="0"/>
        <w:spacing w:line="360" w:lineRule="auto"/>
        <w:ind w:firstLine="420" w:firstLineChars="200"/>
        <w:rPr>
          <w:rFonts w:hint="eastAsia" w:ascii="宋体" w:hAnsi="宋体" w:cs="Arial"/>
          <w:b/>
          <w:bCs/>
          <w:szCs w:val="21"/>
        </w:rPr>
      </w:pPr>
      <w:r>
        <w:rPr>
          <w:rFonts w:hint="eastAsia" w:ascii="宋体" w:hAnsi="宋体" w:cs="Arial"/>
          <w:szCs w:val="21"/>
        </w:rPr>
        <w:t>如法律法规或监管机构以后允许本基金投资其他品种或对投资比例要求有变更的，基金管理人在履行适当程序后，可以做出相应调整。</w:t>
      </w:r>
    </w:p>
    <w:p w14:paraId="018046F0">
      <w:pPr>
        <w:adjustRightInd w:val="0"/>
        <w:snapToGrid w:val="0"/>
        <w:spacing w:line="360" w:lineRule="auto"/>
        <w:ind w:firstLine="422" w:firstLineChars="200"/>
        <w:rPr>
          <w:rFonts w:hint="eastAsia" w:ascii="宋体" w:hAnsi="宋体" w:cs="Arial"/>
          <w:b/>
          <w:szCs w:val="21"/>
        </w:rPr>
      </w:pPr>
      <w:r>
        <w:rPr>
          <w:rFonts w:hint="eastAsia" w:ascii="宋体" w:hAnsi="宋体" w:cs="Arial"/>
          <w:b/>
          <w:bCs/>
          <w:szCs w:val="21"/>
        </w:rPr>
        <w:t>2.</w:t>
      </w:r>
      <w:r>
        <w:rPr>
          <w:rFonts w:hint="eastAsia" w:ascii="宋体" w:hAnsi="宋体" w:cs="Arial"/>
          <w:b/>
          <w:szCs w:val="21"/>
        </w:rPr>
        <w:t>基金的投资组合将遵循以下限制：</w:t>
      </w:r>
    </w:p>
    <w:p w14:paraId="116B3364">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w:t>
      </w:r>
    </w:p>
    <w:p w14:paraId="5EDCB880">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权益类资产指股票</w:t>
      </w:r>
      <w:r>
        <w:rPr>
          <w:rFonts w:hint="eastAsia" w:ascii="宋体" w:hAnsi="宋体" w:cs="Arial"/>
          <w:szCs w:val="21"/>
        </w:rPr>
        <w:t>（含存托凭证）</w:t>
      </w:r>
      <w:r>
        <w:rPr>
          <w:rFonts w:hint="eastAsia" w:ascii="宋体" w:hAnsi="宋体" w:cs="Arial"/>
          <w:bCs/>
          <w:szCs w:val="21"/>
        </w:rPr>
        <w:t>、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1CC449A9">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（2）本基金持有的现金或者到期日在一年以内的政府债券不低于基金资产净值的5%，其中现金不包括结算备付金、存出保证金、应收申购款等；</w:t>
      </w:r>
    </w:p>
    <w:p w14:paraId="37EC8582">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（3）本基金持有单只基金，其市值不得超过基金资产净值的20%；</w:t>
      </w:r>
    </w:p>
    <w:p w14:paraId="580862AE">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（4）被投资基金的运作期限应当不少于1年，最近定期报告披露的基金净资产应当不低于1亿元；</w:t>
      </w:r>
    </w:p>
    <w:p w14:paraId="7C451A20">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（5）本基金管理人管理的全部基金（ETF联接基金除外）持有单只基金不得超过被投资基金净资产的20％，被投资基金净资产规模以最近定期报告披露的规模为准；</w:t>
      </w:r>
    </w:p>
    <w:p w14:paraId="7DCECD48">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（6）本基金持有一家公司发行的证券（不含本基金所投资的基金份额，同一家公司在内地和香港同时上市的A+H股合并计算），其市值不超过基金资产净值的10%；</w:t>
      </w:r>
    </w:p>
    <w:p w14:paraId="203371D2">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（7）本基金管理人管理的全部基金持有一家公司发行的证券（不含本基金所投资的基金份额，同一家公司在内地和香港同时上市的A+H股合并计算），不超过该证券的10%；</w:t>
      </w:r>
    </w:p>
    <w:p w14:paraId="6ADD85BA">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（8）本基金投资于同一原始权益人的各类资产支持证券的比例，不得超过基金资产净值的10%；</w:t>
      </w:r>
    </w:p>
    <w:p w14:paraId="38F5F3A0">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（9）本基金持有的全部资产支持证券，其市值不得超过基金资产净值的20%；</w:t>
      </w:r>
    </w:p>
    <w:p w14:paraId="428B1F68">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（10）本基金持有的同一（指同一信用级别）资产支持证券的比例，不得超过该资产支持证券规模的10%；</w:t>
      </w:r>
    </w:p>
    <w:p w14:paraId="7E2A16AE">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（11）本基金管理人管理的全部基金投资于同一原始权益人的各类资产支持证券，不得超过其各类资产支持证券合计规模的10%；</w:t>
      </w:r>
    </w:p>
    <w:p w14:paraId="59E9EB7F">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（12）本基金应投资于信用级别评级为BBB以上（含BBB）的资产支持证券。基金持有资产支持证券期间，如果其信用等级下降、不再符合投资标准，应在评级报告发布之日起3个月内予以全部卖出；</w:t>
      </w:r>
    </w:p>
    <w:p w14:paraId="33724267">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（13）本基金财产参与股票发行申购，本基金所申报的金额不超过本基金的总资产，本基金所申报的股票数量不超过拟发行股票公司本次发行股票的总量；</w:t>
      </w:r>
    </w:p>
    <w:p w14:paraId="1E8BC3C0">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w:t>
      </w:r>
      <w:r>
        <w:rPr>
          <w:rFonts w:ascii="宋体" w:hAnsi="宋体" w:cs="Arial"/>
          <w:bCs/>
          <w:szCs w:val="21"/>
        </w:rPr>
        <w:t>4</w:t>
      </w:r>
      <w:r>
        <w:rPr>
          <w:rFonts w:hint="eastAsia" w:ascii="宋体" w:hAnsi="宋体" w:cs="Arial"/>
          <w:bCs/>
          <w:szCs w:val="21"/>
        </w:rPr>
        <w:t>）本基金的基金资产总值不得超过基金资产净值的140%；</w:t>
      </w:r>
    </w:p>
    <w:p w14:paraId="366A857A">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w:t>
      </w:r>
      <w:r>
        <w:rPr>
          <w:rFonts w:ascii="宋体" w:hAnsi="宋体" w:cs="Arial"/>
          <w:bCs/>
          <w:szCs w:val="21"/>
        </w:rPr>
        <w:t>5</w:t>
      </w:r>
      <w:r>
        <w:rPr>
          <w:rFonts w:hint="eastAsia" w:ascii="宋体" w:hAnsi="宋体" w:cs="Arial"/>
          <w:bCs/>
          <w:szCs w:val="21"/>
        </w:rPr>
        <w:t>）本基金投资于封闭运作基金、定期开放基金等流通受限基金，不得超过基金资产净值的10%；</w:t>
      </w:r>
    </w:p>
    <w:p w14:paraId="3E59B3E6">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w:t>
      </w:r>
      <w:r>
        <w:rPr>
          <w:rFonts w:ascii="宋体" w:hAnsi="宋体" w:cs="Arial"/>
          <w:bCs/>
          <w:szCs w:val="21"/>
        </w:rPr>
        <w:t>6</w:t>
      </w:r>
      <w:r>
        <w:rPr>
          <w:rFonts w:hint="eastAsia" w:ascii="宋体" w:hAnsi="宋体" w:cs="Arial"/>
          <w:bCs/>
          <w:szCs w:val="21"/>
        </w:rPr>
        <w:t>）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52FB34A1">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w:t>
      </w:r>
      <w:r>
        <w:rPr>
          <w:rFonts w:ascii="宋体" w:hAnsi="宋体" w:cs="Arial"/>
          <w:bCs/>
          <w:szCs w:val="21"/>
        </w:rPr>
        <w:t>7</w:t>
      </w:r>
      <w:r>
        <w:rPr>
          <w:rFonts w:hint="eastAsia" w:ascii="宋体" w:hAnsi="宋体" w:cs="Arial"/>
          <w:bCs/>
          <w:szCs w:val="21"/>
        </w:rPr>
        <w:t>）本基金主动投资于流动性受限资产的市值合计不得超过该基金资产净值的15% ；</w:t>
      </w:r>
    </w:p>
    <w:p w14:paraId="736C074A">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因证券市场波动、上市公司股票停牌、基金规模变动等基金管理人之外的因素致使基金不符合该比例限制的，基金管理人不得主动新增流动性受限资产的投资；</w:t>
      </w:r>
    </w:p>
    <w:p w14:paraId="02DB9572">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w:t>
      </w:r>
      <w:r>
        <w:rPr>
          <w:rFonts w:ascii="宋体" w:hAnsi="宋体" w:cs="Arial"/>
          <w:bCs/>
          <w:szCs w:val="21"/>
        </w:rPr>
        <w:t>8</w:t>
      </w:r>
      <w:r>
        <w:rPr>
          <w:rFonts w:hint="eastAsia" w:ascii="宋体" w:hAnsi="宋体" w:cs="Arial"/>
          <w:bCs/>
          <w:szCs w:val="21"/>
        </w:rPr>
        <w:t>）本基金与私募类证券资管产品及中国证监会认定的其他主体为交易对手开展逆回购交易的，可接受质押品的资质要求应当与基金合同约定的投资范围保持一致；</w:t>
      </w:r>
    </w:p>
    <w:p w14:paraId="4A7C4B4E">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（1</w:t>
      </w:r>
      <w:r>
        <w:rPr>
          <w:rFonts w:ascii="宋体" w:hAnsi="宋体" w:cs="Arial"/>
          <w:bCs/>
          <w:szCs w:val="21"/>
        </w:rPr>
        <w:t>9</w:t>
      </w:r>
      <w:r>
        <w:rPr>
          <w:rFonts w:hint="eastAsia" w:ascii="宋体" w:hAnsi="宋体" w:cs="Arial"/>
          <w:bCs/>
          <w:szCs w:val="21"/>
        </w:rPr>
        <w:t>）本基金投资存托凭证的比例限制依照境内上市交易的股票执行，与境内上市交易的股票合并计算；</w:t>
      </w:r>
    </w:p>
    <w:p w14:paraId="29E2A56B">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法律法规及中国证监会规定的和基金合同约定的其他投资限制。</w:t>
      </w:r>
    </w:p>
    <w:p w14:paraId="09514290">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因证券市场波动、基金规模变动等基金管理人之外的因素致使基金投资不符合上述第（3）、（5）项的，基金管理人应当在20个交易日内进行调整，但中国证监会规定的特殊情形除外；对于除第（2）、（3）、（5）、（1</w:t>
      </w:r>
      <w:r>
        <w:rPr>
          <w:rFonts w:ascii="宋体" w:hAnsi="宋体" w:cs="Arial"/>
          <w:bCs/>
          <w:szCs w:val="21"/>
        </w:rPr>
        <w:t>2</w:t>
      </w:r>
      <w:r>
        <w:rPr>
          <w:rFonts w:hint="eastAsia" w:ascii="宋体" w:hAnsi="宋体" w:cs="Arial"/>
          <w:bCs/>
          <w:szCs w:val="21"/>
        </w:rPr>
        <w:t>）、（1</w:t>
      </w:r>
      <w:r>
        <w:rPr>
          <w:rFonts w:ascii="宋体" w:hAnsi="宋体" w:cs="Arial"/>
          <w:bCs/>
          <w:szCs w:val="21"/>
        </w:rPr>
        <w:t>7</w:t>
      </w:r>
      <w:r>
        <w:rPr>
          <w:rFonts w:hint="eastAsia" w:ascii="宋体" w:hAnsi="宋体" w:cs="Arial"/>
          <w:bCs/>
          <w:szCs w:val="21"/>
        </w:rPr>
        <w:t>）、（1</w:t>
      </w:r>
      <w:r>
        <w:rPr>
          <w:rFonts w:ascii="宋体" w:hAnsi="宋体" w:cs="Arial"/>
          <w:bCs/>
          <w:szCs w:val="21"/>
        </w:rPr>
        <w:t>8</w:t>
      </w:r>
      <w:r>
        <w:rPr>
          <w:rFonts w:hint="eastAsia" w:ascii="宋体" w:hAnsi="宋体" w:cs="Arial"/>
          <w:bCs/>
          <w:szCs w:val="21"/>
        </w:rPr>
        <w:t>）项外的其他比例限制，因证券市场波动、证券发行人合并、基金规模变动等基金管理人之外的因素致使基金投资比例不符合上述规定投资比例的，基金管理人应当在10个交易日内进行调整，但中国证监会规定的特殊情形除外。</w:t>
      </w:r>
    </w:p>
    <w:p w14:paraId="773318F6">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64A44683">
      <w:pPr>
        <w:adjustRightInd w:val="0"/>
        <w:snapToGrid w:val="0"/>
        <w:spacing w:line="360" w:lineRule="auto"/>
        <w:ind w:firstLine="420" w:firstLineChars="200"/>
        <w:rPr>
          <w:rFonts w:hint="eastAsia" w:ascii="宋体" w:hAnsi="宋体" w:cs="Arial"/>
          <w:bCs/>
          <w:szCs w:val="21"/>
        </w:rPr>
      </w:pPr>
      <w:r>
        <w:rPr>
          <w:rFonts w:hint="eastAsia" w:ascii="宋体" w:hAnsi="宋体" w:cs="Arial"/>
          <w:bCs/>
          <w:szCs w:val="21"/>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1E98B95D">
      <w:pPr>
        <w:adjustRightInd w:val="0"/>
        <w:snapToGrid w:val="0"/>
        <w:spacing w:line="360" w:lineRule="auto"/>
        <w:ind w:firstLine="420" w:firstLineChars="200"/>
        <w:rPr>
          <w:rFonts w:ascii="宋体" w:hAnsi="宋体" w:cs="Arial"/>
          <w:szCs w:val="21"/>
        </w:rPr>
      </w:pPr>
      <w:r>
        <w:rPr>
          <w:rFonts w:ascii="宋体" w:hAnsi="宋体" w:cs="Arial"/>
          <w:szCs w:val="21"/>
        </w:rPr>
        <w:t>3</w:t>
      </w:r>
      <w:r>
        <w:rPr>
          <w:rFonts w:hint="eastAsia" w:ascii="宋体" w:hAnsi="宋体" w:cs="Arial"/>
          <w:szCs w:val="21"/>
        </w:rPr>
        <w:t>.本基金财产不得用于以下投资或者活动：</w:t>
      </w:r>
    </w:p>
    <w:p w14:paraId="74824F85">
      <w:pPr>
        <w:adjustRightInd w:val="0"/>
        <w:snapToGrid w:val="0"/>
        <w:spacing w:line="360" w:lineRule="auto"/>
        <w:ind w:firstLine="420" w:firstLineChars="200"/>
        <w:rPr>
          <w:rFonts w:hint="eastAsia" w:ascii="宋体" w:hAnsi="宋体"/>
          <w:color w:val="0C0C0C"/>
        </w:rPr>
      </w:pPr>
      <w:r>
        <w:rPr>
          <w:rFonts w:hint="eastAsia" w:ascii="宋体" w:hAnsi="宋体"/>
          <w:color w:val="0C0C0C"/>
        </w:rPr>
        <w:t>根据法律法规的规定及基金合同的约定，本基金禁止从事下列行为：</w:t>
      </w:r>
    </w:p>
    <w:p w14:paraId="306E746C">
      <w:pPr>
        <w:adjustRightInd w:val="0"/>
        <w:snapToGrid w:val="0"/>
        <w:spacing w:line="360" w:lineRule="auto"/>
        <w:ind w:firstLine="420" w:firstLineChars="200"/>
        <w:rPr>
          <w:rFonts w:hint="eastAsia" w:ascii="宋体" w:hAnsi="宋体"/>
          <w:color w:val="0C0C0C"/>
        </w:rPr>
      </w:pPr>
      <w:r>
        <w:rPr>
          <w:rFonts w:hint="eastAsia" w:ascii="宋体" w:hAnsi="宋体"/>
          <w:color w:val="0C0C0C"/>
        </w:rPr>
        <w:t>（1）承销证券；</w:t>
      </w:r>
    </w:p>
    <w:p w14:paraId="69739EDE">
      <w:pPr>
        <w:adjustRightInd w:val="0"/>
        <w:snapToGrid w:val="0"/>
        <w:spacing w:line="360" w:lineRule="auto"/>
        <w:ind w:firstLine="420" w:firstLineChars="200"/>
        <w:rPr>
          <w:rFonts w:hint="eastAsia" w:ascii="宋体" w:hAnsi="宋体"/>
          <w:color w:val="0C0C0C"/>
        </w:rPr>
      </w:pPr>
      <w:r>
        <w:rPr>
          <w:rFonts w:hint="eastAsia" w:ascii="宋体" w:hAnsi="宋体"/>
          <w:color w:val="0C0C0C"/>
        </w:rPr>
        <w:t>（2）违反规定向他人贷款或者提供担保；</w:t>
      </w:r>
    </w:p>
    <w:p w14:paraId="2318D6F0">
      <w:pPr>
        <w:adjustRightInd w:val="0"/>
        <w:snapToGrid w:val="0"/>
        <w:spacing w:line="360" w:lineRule="auto"/>
        <w:ind w:firstLine="420" w:firstLineChars="200"/>
        <w:rPr>
          <w:rFonts w:hint="eastAsia" w:ascii="宋体" w:hAnsi="宋体"/>
          <w:color w:val="0C0C0C"/>
        </w:rPr>
      </w:pPr>
      <w:r>
        <w:rPr>
          <w:rFonts w:hint="eastAsia" w:ascii="宋体" w:hAnsi="宋体"/>
          <w:color w:val="0C0C0C"/>
        </w:rPr>
        <w:t>（3）从事承担无限责任的投资；</w:t>
      </w:r>
    </w:p>
    <w:p w14:paraId="76BA5821">
      <w:pPr>
        <w:adjustRightInd w:val="0"/>
        <w:snapToGrid w:val="0"/>
        <w:spacing w:line="360" w:lineRule="auto"/>
        <w:ind w:firstLine="420" w:firstLineChars="200"/>
        <w:rPr>
          <w:rFonts w:hint="eastAsia" w:ascii="宋体" w:hAnsi="宋体"/>
          <w:color w:val="0C0C0C"/>
        </w:rPr>
      </w:pPr>
      <w:r>
        <w:rPr>
          <w:rFonts w:hint="eastAsia" w:ascii="宋体" w:hAnsi="宋体"/>
          <w:color w:val="0C0C0C"/>
        </w:rPr>
        <w:t>（4）向基金管理人、基金托管人出资；</w:t>
      </w:r>
    </w:p>
    <w:p w14:paraId="11B9C7B0">
      <w:pPr>
        <w:adjustRightInd w:val="0"/>
        <w:snapToGrid w:val="0"/>
        <w:spacing w:line="360" w:lineRule="auto"/>
        <w:ind w:firstLine="420" w:firstLineChars="200"/>
        <w:rPr>
          <w:rFonts w:hint="eastAsia" w:ascii="宋体" w:hAnsi="宋体"/>
          <w:color w:val="0C0C0C"/>
        </w:rPr>
      </w:pPr>
      <w:r>
        <w:rPr>
          <w:rFonts w:hint="eastAsia" w:ascii="宋体" w:hAnsi="宋体"/>
          <w:color w:val="0C0C0C"/>
        </w:rPr>
        <w:t>（5）从事内幕交易、操纵证券交易价格及其他不正当的证券交易活动；</w:t>
      </w:r>
    </w:p>
    <w:p w14:paraId="020C6299">
      <w:pPr>
        <w:adjustRightInd w:val="0"/>
        <w:snapToGrid w:val="0"/>
        <w:spacing w:line="360" w:lineRule="auto"/>
        <w:ind w:firstLine="420" w:firstLineChars="200"/>
        <w:rPr>
          <w:rFonts w:hint="eastAsia" w:ascii="宋体" w:hAnsi="宋体"/>
          <w:color w:val="0C0C0C"/>
        </w:rPr>
      </w:pPr>
      <w:r>
        <w:rPr>
          <w:rFonts w:hint="eastAsia" w:ascii="宋体" w:hAnsi="宋体"/>
          <w:color w:val="0C0C0C"/>
        </w:rPr>
        <w:t>（6）持有具有复杂、衍生品性质的基金份额，包括分级基金和中国证监会认定的其他基金份额，但中国证监会认可或批准的特殊基金中基金除外；</w:t>
      </w:r>
    </w:p>
    <w:p w14:paraId="4ED94C5D">
      <w:pPr>
        <w:adjustRightInd w:val="0"/>
        <w:snapToGrid w:val="0"/>
        <w:spacing w:line="360" w:lineRule="auto"/>
        <w:ind w:firstLine="420" w:firstLineChars="200"/>
        <w:rPr>
          <w:rFonts w:hint="eastAsia" w:ascii="宋体" w:hAnsi="宋体"/>
          <w:color w:val="0C0C0C"/>
        </w:rPr>
      </w:pPr>
      <w:r>
        <w:rPr>
          <w:rFonts w:hint="eastAsia" w:ascii="宋体" w:hAnsi="宋体"/>
          <w:color w:val="0C0C0C"/>
        </w:rPr>
        <w:t>（7）投资其他基金中基金；</w:t>
      </w:r>
    </w:p>
    <w:p w14:paraId="0F077F8A">
      <w:pPr>
        <w:adjustRightInd w:val="0"/>
        <w:snapToGrid w:val="0"/>
        <w:spacing w:line="360" w:lineRule="auto"/>
        <w:ind w:firstLine="420" w:firstLineChars="200"/>
        <w:rPr>
          <w:rFonts w:hint="eastAsia" w:ascii="宋体" w:hAnsi="宋体"/>
          <w:color w:val="0C0C0C"/>
        </w:rPr>
      </w:pPr>
      <w:r>
        <w:rPr>
          <w:rFonts w:hint="eastAsia" w:ascii="宋体" w:hAnsi="宋体"/>
          <w:color w:val="0C0C0C"/>
        </w:rPr>
        <w:t>（8）法律、行政法规和中国证监会规定禁止的其他活动。</w:t>
      </w:r>
    </w:p>
    <w:p w14:paraId="3CE21324">
      <w:pPr>
        <w:adjustRightInd w:val="0"/>
        <w:snapToGrid w:val="0"/>
        <w:spacing w:line="360" w:lineRule="auto"/>
        <w:ind w:firstLine="420" w:firstLineChars="200"/>
        <w:rPr>
          <w:rFonts w:hint="eastAsia" w:ascii="宋体" w:hAnsi="宋体"/>
          <w:color w:val="0C0C0C"/>
        </w:rPr>
      </w:pPr>
      <w:r>
        <w:rPr>
          <w:rFonts w:hint="eastAsia" w:ascii="宋体" w:hAnsi="宋体"/>
          <w:color w:val="0C0C0C"/>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2AC601D">
      <w:pPr>
        <w:adjustRightInd w:val="0"/>
        <w:snapToGrid w:val="0"/>
        <w:spacing w:line="360" w:lineRule="auto"/>
        <w:ind w:firstLine="420" w:firstLineChars="200"/>
        <w:rPr>
          <w:rFonts w:hint="eastAsia" w:ascii="宋体" w:hAnsi="宋体"/>
          <w:color w:val="0C0C0C"/>
        </w:rPr>
      </w:pPr>
      <w:r>
        <w:rPr>
          <w:rFonts w:hint="eastAsia" w:ascii="宋体" w:hAnsi="宋体"/>
          <w:color w:val="0C0C0C"/>
        </w:rPr>
        <w:t>法律、行政法规或监管部门取消或变更上述限制，如适用于本基金，</w:t>
      </w:r>
      <w:r>
        <w:rPr>
          <w:rFonts w:hint="eastAsia" w:ascii="Arial" w:hAnsi="Arial" w:cs="Arial"/>
          <w:szCs w:val="21"/>
        </w:rPr>
        <w:t>基金管理人在履行适当程序后，</w:t>
      </w:r>
      <w:r>
        <w:rPr>
          <w:rFonts w:hint="eastAsia" w:ascii="宋体" w:hAnsi="宋体"/>
          <w:color w:val="0C0C0C"/>
        </w:rPr>
        <w:t>则本基金投资不再受相关限制或按变更后的规定执行。</w:t>
      </w:r>
    </w:p>
    <w:p w14:paraId="5D5CC919">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66F01376">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本基金投资银行存款应符合如下规定：</w:t>
      </w:r>
    </w:p>
    <w:p w14:paraId="4C29CAD9">
      <w:pPr>
        <w:adjustRightInd w:val="0"/>
        <w:snapToGrid w:val="0"/>
        <w:spacing w:line="360" w:lineRule="auto"/>
        <w:ind w:firstLine="420" w:firstLineChars="200"/>
        <w:rPr>
          <w:rFonts w:ascii="宋体" w:hAnsi="宋体" w:cs="Arial"/>
          <w:szCs w:val="21"/>
        </w:rPr>
      </w:pPr>
      <w:r>
        <w:rPr>
          <w:rFonts w:hint="eastAsia" w:ascii="宋体" w:hAnsi="宋体" w:cs="Arial"/>
          <w:szCs w:val="21"/>
        </w:rPr>
        <w:t>1.本</w:t>
      </w:r>
      <w:r>
        <w:rPr>
          <w:rFonts w:ascii="宋体" w:hAnsi="宋体" w:cs="Arial"/>
          <w:szCs w:val="21"/>
        </w:rPr>
        <w:t>基金投资于有固定期限银行存款的比例，不得超过基金资产净值的30%，但投资于有存款期限，根据协议可提前支取的银行存款不受上述比例限制</w:t>
      </w:r>
      <w:r>
        <w:rPr>
          <w:rFonts w:hint="eastAsia" w:ascii="宋体" w:hAnsi="宋体" w:cs="Arial"/>
          <w:szCs w:val="21"/>
        </w:rPr>
        <w:t>；本</w:t>
      </w:r>
      <w:r>
        <w:rPr>
          <w:rFonts w:ascii="宋体" w:hAnsi="宋体" w:cs="Arial"/>
          <w:szCs w:val="21"/>
        </w:rPr>
        <w:t>基金投资于具有基金托管人资格的同一商业银行的银行存款、同业存单占基金资产净值的比例合计不得超过20%</w:t>
      </w:r>
      <w:r>
        <w:rPr>
          <w:rFonts w:hint="eastAsia" w:ascii="宋体" w:hAnsi="宋体" w:cs="Arial"/>
          <w:szCs w:val="21"/>
        </w:rPr>
        <w:t>；</w:t>
      </w:r>
      <w:r>
        <w:rPr>
          <w:rFonts w:ascii="宋体" w:hAnsi="宋体" w:cs="Arial"/>
          <w:szCs w:val="21"/>
        </w:rPr>
        <w:t>投资于不具有基金托管人资格的同一商业银行的银行存款、同业存单占基金资产净值的比例合计不得超过5%。</w:t>
      </w:r>
    </w:p>
    <w:p w14:paraId="1445DCCE">
      <w:pPr>
        <w:adjustRightInd w:val="0"/>
        <w:snapToGrid w:val="0"/>
        <w:spacing w:line="360" w:lineRule="auto"/>
        <w:ind w:firstLine="420" w:firstLineChars="200"/>
        <w:rPr>
          <w:rFonts w:ascii="宋体" w:hAnsi="宋体" w:cs="Arial"/>
          <w:szCs w:val="21"/>
        </w:rPr>
      </w:pPr>
      <w:r>
        <w:rPr>
          <w:rFonts w:hint="eastAsia" w:ascii="宋体" w:hAnsi="宋体" w:cs="Arial"/>
          <w:szCs w:val="21"/>
        </w:rPr>
        <w:t>有关法律法规或监管部门制定或修改新的定期存款投资政策，基金管理人履行适当程序后，可相应调整投资组合限制的规定。</w:t>
      </w:r>
    </w:p>
    <w:p w14:paraId="13C29069">
      <w:pPr>
        <w:adjustRightInd w:val="0"/>
        <w:snapToGrid w:val="0"/>
        <w:spacing w:line="360" w:lineRule="auto"/>
        <w:ind w:firstLine="420" w:firstLineChars="200"/>
        <w:rPr>
          <w:rFonts w:ascii="宋体" w:hAnsi="宋体" w:cs="Arial"/>
          <w:szCs w:val="21"/>
        </w:rPr>
      </w:pPr>
      <w:r>
        <w:rPr>
          <w:rFonts w:hint="eastAsia" w:ascii="宋体" w:hAnsi="宋体" w:cs="Arial"/>
          <w:szCs w:val="21"/>
        </w:rPr>
        <w:t>2</w:t>
      </w:r>
      <w:r>
        <w:rPr>
          <w:rFonts w:ascii="宋体" w:hAnsi="宋体" w:cs="Arial"/>
          <w:szCs w:val="21"/>
        </w:rPr>
        <w:t>.</w:t>
      </w:r>
      <w:r>
        <w:rPr>
          <w:rFonts w:hint="eastAsia" w:ascii="宋体" w:hAnsi="宋体" w:cs="Arial"/>
          <w:szCs w:val="21"/>
        </w:rPr>
        <w:t>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24A53912">
      <w:pPr>
        <w:adjustRightInd w:val="0"/>
        <w:snapToGrid w:val="0"/>
        <w:spacing w:line="360" w:lineRule="auto"/>
        <w:ind w:firstLine="420" w:firstLineChars="200"/>
        <w:rPr>
          <w:rFonts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）基金管理人负责控制信用风险。信用风险主要包括存款银行的信用等级、存款银行的支付能力等涉及到存款银行选择方面的风险。因选择存款银行不当造成基金财产损失的，由基金管理人承担责任。</w:t>
      </w:r>
    </w:p>
    <w:p w14:paraId="0AB3B614">
      <w:pPr>
        <w:adjustRightInd w:val="0"/>
        <w:snapToGrid w:val="0"/>
        <w:spacing w:line="360" w:lineRule="auto"/>
        <w:ind w:firstLine="420" w:firstLineChars="200"/>
        <w:rPr>
          <w:rFonts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41DC9E55">
      <w:pPr>
        <w:adjustRightInd w:val="0"/>
        <w:snapToGrid w:val="0"/>
        <w:spacing w:line="360" w:lineRule="auto"/>
        <w:ind w:firstLine="420" w:firstLineChars="200"/>
        <w:rPr>
          <w:rFonts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）基金管理人须加强内部风险控制制度的建设。如因基金管理人员工职务行为导致基金财产受到损失的，需由基金管理人承担由此造成的损失。</w:t>
      </w:r>
    </w:p>
    <w:p w14:paraId="7C5E6673">
      <w:pPr>
        <w:adjustRightInd w:val="0"/>
        <w:snapToGrid w:val="0"/>
        <w:spacing w:line="360" w:lineRule="auto"/>
        <w:ind w:firstLine="420" w:firstLineChars="200"/>
        <w:rPr>
          <w:rFonts w:ascii="宋体" w:hAnsi="宋体" w:cs="Arial"/>
          <w:szCs w:val="21"/>
        </w:rPr>
      </w:pPr>
      <w:r>
        <w:rPr>
          <w:rFonts w:hint="eastAsia" w:ascii="宋体" w:hAnsi="宋体" w:cs="Arial"/>
          <w:szCs w:val="21"/>
        </w:rPr>
        <w:t>（4）基金管理人与基金托管人在开展基金存款业务时，应严格遵守《基金法》、《运作办法》等有关法律法规，以及国家有关账户管理、利率管理、支付结算等的各项规定。</w:t>
      </w:r>
    </w:p>
    <w:p w14:paraId="56A06144">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（三）基金投资银行存款协议的签订、账户开设与管理、投资指令与资金划付、账目核对、到期兑付、提前支取、基金投资银行存款的监督</w:t>
      </w:r>
    </w:p>
    <w:p w14:paraId="48D2B813">
      <w:pPr>
        <w:adjustRightInd w:val="0"/>
        <w:snapToGrid w:val="0"/>
        <w:spacing w:line="360" w:lineRule="auto"/>
        <w:ind w:firstLine="420" w:firstLineChars="200"/>
        <w:rPr>
          <w:rFonts w:ascii="宋体" w:hAnsi="宋体" w:cs="Arial"/>
          <w:szCs w:val="21"/>
        </w:rPr>
      </w:pPr>
      <w:r>
        <w:rPr>
          <w:rFonts w:hint="eastAsia" w:ascii="宋体" w:hAnsi="宋体" w:cs="Arial"/>
          <w:szCs w:val="21"/>
        </w:rPr>
        <w:t>1.基金投资银行存款协议的签订</w:t>
      </w:r>
    </w:p>
    <w:p w14:paraId="4EEB96C5">
      <w:pPr>
        <w:adjustRightInd w:val="0"/>
        <w:snapToGrid w:val="0"/>
        <w:spacing w:line="360" w:lineRule="auto"/>
        <w:ind w:firstLine="420" w:firstLineChars="200"/>
        <w:rPr>
          <w:rFonts w:ascii="宋体" w:hAnsi="宋体" w:cs="Arial"/>
          <w:szCs w:val="21"/>
        </w:rPr>
      </w:pPr>
      <w:r>
        <w:rPr>
          <w:rFonts w:hint="eastAsia" w:ascii="宋体" w:hAnsi="宋体" w:cs="Arial"/>
          <w:szCs w:val="21"/>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561E4D24">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（2）基金托管人依据相关法规对《总体合作协议》和《存款协议书》的内容进行复核，审查存款银行资格等。</w:t>
      </w:r>
    </w:p>
    <w:p w14:paraId="739EA522">
      <w:pPr>
        <w:adjustRightInd w:val="0"/>
        <w:snapToGrid w:val="0"/>
        <w:spacing w:line="360" w:lineRule="auto"/>
        <w:ind w:firstLine="420" w:firstLineChars="200"/>
        <w:rPr>
          <w:rFonts w:ascii="宋体" w:hAnsi="宋体" w:cs="Arial"/>
          <w:szCs w:val="21"/>
        </w:rPr>
      </w:pPr>
      <w:r>
        <w:rPr>
          <w:rFonts w:hint="eastAsia" w:ascii="宋体" w:hAnsi="宋体" w:cs="Arial"/>
          <w:szCs w:val="21"/>
        </w:rPr>
        <w:t>（3）基金管理人应在《存款协议书》中明确存款证实书或其他有效存款凭证的办理方式、邮寄地址、联系人和联系电话，以及存款证实书或其他有效凭证在邮寄过程中遗失后，存款余额的确认及兑付办法等。</w:t>
      </w:r>
    </w:p>
    <w:p w14:paraId="7B8BC510">
      <w:pPr>
        <w:adjustRightInd w:val="0"/>
        <w:snapToGrid w:val="0"/>
        <w:spacing w:line="360" w:lineRule="auto"/>
        <w:ind w:firstLine="420" w:firstLineChars="200"/>
        <w:rPr>
          <w:rFonts w:ascii="宋体" w:hAnsi="宋体" w:cs="Arial"/>
          <w:szCs w:val="21"/>
        </w:rPr>
      </w:pPr>
      <w:r>
        <w:rPr>
          <w:rFonts w:hint="eastAsia" w:ascii="宋体" w:hAnsi="宋体" w:cs="Arial"/>
          <w:szCs w:val="21"/>
        </w:rPr>
        <w:t>（4）由存款银行指定的存放存款的分支机构（以下简称“存款分支机构</w:t>
      </w:r>
      <w:r>
        <w:rPr>
          <w:rFonts w:ascii="宋体" w:hAnsi="宋体" w:cs="Arial"/>
          <w:szCs w:val="21"/>
        </w:rPr>
        <w:t>”</w:t>
      </w:r>
      <w:r>
        <w:rPr>
          <w:rFonts w:hint="eastAsia" w:ascii="宋体" w:hAnsi="宋体" w:cs="Arial"/>
          <w:szCs w:val="21"/>
        </w:rPr>
        <w:t>）寄送或上门交付存款证实书或其他有效存款凭证的，基金托管人可向存款分支机构的上级行发出存款余额询证函，存款分支机构及其上级行应予配合。</w:t>
      </w:r>
    </w:p>
    <w:p w14:paraId="028C7815">
      <w:pPr>
        <w:adjustRightInd w:val="0"/>
        <w:snapToGrid w:val="0"/>
        <w:spacing w:line="360" w:lineRule="auto"/>
        <w:ind w:firstLine="420" w:firstLineChars="200"/>
        <w:rPr>
          <w:rFonts w:ascii="宋体" w:hAnsi="宋体" w:cs="Arial"/>
          <w:szCs w:val="21"/>
        </w:rPr>
      </w:pPr>
      <w:r>
        <w:rPr>
          <w:rFonts w:hint="eastAsia" w:ascii="宋体" w:hAnsi="宋体" w:cs="Arial"/>
          <w:szCs w:val="21"/>
        </w:rPr>
        <w:t>（5）基金管理人应在《存款协议书》中规定，基金存放到期或提前兑付的资金应全部划转到指定的基金托管账户，并在《存款协议书》写明账户名称和账号，未划入指定账户的，由存款银行承担一切责任。</w:t>
      </w:r>
    </w:p>
    <w:p w14:paraId="0F7B06F1">
      <w:pPr>
        <w:adjustRightInd w:val="0"/>
        <w:snapToGrid w:val="0"/>
        <w:spacing w:line="360" w:lineRule="auto"/>
        <w:ind w:firstLine="420" w:firstLineChars="200"/>
        <w:rPr>
          <w:rFonts w:ascii="宋体" w:hAnsi="宋体" w:cs="Arial"/>
          <w:szCs w:val="21"/>
        </w:rPr>
      </w:pPr>
      <w:r>
        <w:rPr>
          <w:rFonts w:hint="eastAsia" w:ascii="宋体" w:hAnsi="宋体" w:cs="Arial"/>
          <w:szCs w:val="21"/>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1C523D25">
      <w:pPr>
        <w:adjustRightInd w:val="0"/>
        <w:snapToGrid w:val="0"/>
        <w:spacing w:line="360" w:lineRule="auto"/>
        <w:ind w:firstLine="420" w:firstLineChars="200"/>
        <w:rPr>
          <w:rFonts w:ascii="宋体" w:hAnsi="宋体" w:cs="Arial"/>
          <w:szCs w:val="21"/>
        </w:rPr>
      </w:pPr>
      <w:r>
        <w:rPr>
          <w:rFonts w:hint="eastAsia" w:ascii="宋体" w:hAnsi="宋体" w:cs="Arial"/>
          <w:szCs w:val="21"/>
        </w:rPr>
        <w:t>（7）基金管理人应在《存款协议书》中规定，因定期存款产生的存单不得被质押或以任何方式被抵押，不得用于转让和背书。</w:t>
      </w:r>
    </w:p>
    <w:p w14:paraId="1160F51D">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2.基金投资银行存款时的账户开设与管理</w:t>
      </w:r>
    </w:p>
    <w:p w14:paraId="2F634BED">
      <w:pPr>
        <w:adjustRightInd w:val="0"/>
        <w:snapToGrid w:val="0"/>
        <w:spacing w:line="360" w:lineRule="auto"/>
        <w:ind w:firstLine="420" w:firstLineChars="200"/>
        <w:rPr>
          <w:rFonts w:ascii="宋体" w:hAnsi="宋体" w:cs="Arial"/>
          <w:szCs w:val="21"/>
        </w:rPr>
      </w:pPr>
      <w:r>
        <w:rPr>
          <w:rFonts w:hint="eastAsia" w:ascii="宋体" w:hAnsi="宋体" w:cs="Arial"/>
          <w:szCs w:val="21"/>
        </w:rPr>
        <w:t>（1）基金投资于银行存款时，基金管理人应当依据基金管理人与存款银行签订的《总体合作协议》、《存款协议书》等，以基金的名义在存款银行总行或授权分行指定的分支机构开立银行账户。</w:t>
      </w:r>
    </w:p>
    <w:p w14:paraId="30293B23">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（2）基金投资于银行存款时的预留印鉴由基金托管人保管和使用。</w:t>
      </w:r>
    </w:p>
    <w:p w14:paraId="3528D4BA">
      <w:pPr>
        <w:adjustRightInd w:val="0"/>
        <w:snapToGrid w:val="0"/>
        <w:spacing w:line="360" w:lineRule="auto"/>
        <w:ind w:firstLine="420" w:firstLineChars="200"/>
        <w:rPr>
          <w:rFonts w:ascii="宋体" w:hAnsi="宋体" w:cs="Arial"/>
          <w:szCs w:val="21"/>
        </w:rPr>
      </w:pPr>
      <w:r>
        <w:rPr>
          <w:rFonts w:hint="eastAsia" w:ascii="宋体" w:hAnsi="宋体" w:cs="Arial"/>
          <w:szCs w:val="21"/>
        </w:rPr>
        <w:t>3.存款凭证传递、账目核对及到期兑付</w:t>
      </w:r>
    </w:p>
    <w:p w14:paraId="7AE48254">
      <w:pPr>
        <w:adjustRightInd w:val="0"/>
        <w:snapToGrid w:val="0"/>
        <w:spacing w:line="360" w:lineRule="auto"/>
        <w:ind w:firstLine="420" w:firstLineChars="200"/>
        <w:rPr>
          <w:rFonts w:ascii="宋体" w:hAnsi="宋体" w:cs="Arial"/>
          <w:szCs w:val="21"/>
        </w:rPr>
      </w:pPr>
      <w:r>
        <w:rPr>
          <w:rFonts w:hint="eastAsia" w:ascii="宋体" w:hAnsi="宋体" w:cs="Arial"/>
          <w:szCs w:val="21"/>
        </w:rPr>
        <w:t>（1）存款证实书等存款凭证传递</w:t>
      </w:r>
    </w:p>
    <w:p w14:paraId="00CEB76A">
      <w:pPr>
        <w:adjustRightInd w:val="0"/>
        <w:snapToGrid w:val="0"/>
        <w:spacing w:line="360" w:lineRule="auto"/>
        <w:ind w:firstLine="420" w:firstLineChars="200"/>
        <w:rPr>
          <w:rFonts w:ascii="宋体" w:hAnsi="宋体" w:cs="Arial"/>
          <w:szCs w:val="21"/>
        </w:rPr>
      </w:pPr>
      <w:r>
        <w:rPr>
          <w:rFonts w:hint="eastAsia" w:ascii="宋体" w:hAnsi="宋体" w:cs="Arial"/>
          <w:szCs w:val="21"/>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14:paraId="431733C3">
      <w:pPr>
        <w:adjustRightInd w:val="0"/>
        <w:snapToGrid w:val="0"/>
        <w:spacing w:line="360" w:lineRule="auto"/>
        <w:ind w:firstLine="420" w:firstLineChars="200"/>
        <w:rPr>
          <w:rFonts w:ascii="宋体" w:hAnsi="宋体" w:cs="Arial"/>
          <w:szCs w:val="21"/>
        </w:rPr>
      </w:pPr>
      <w:r>
        <w:rPr>
          <w:rFonts w:hint="eastAsia" w:ascii="宋体" w:hAnsi="宋体" w:cs="Arial"/>
          <w:szCs w:val="21"/>
        </w:rPr>
        <w:t>（2）存款凭证的遗失补办</w:t>
      </w:r>
    </w:p>
    <w:p w14:paraId="23E693D4">
      <w:pPr>
        <w:adjustRightInd w:val="0"/>
        <w:snapToGrid w:val="0"/>
        <w:spacing w:line="360" w:lineRule="auto"/>
        <w:ind w:firstLine="420" w:firstLineChars="200"/>
        <w:rPr>
          <w:rFonts w:ascii="宋体" w:hAnsi="宋体" w:cs="Arial"/>
          <w:szCs w:val="21"/>
        </w:rPr>
      </w:pPr>
      <w:r>
        <w:rPr>
          <w:rFonts w:hint="eastAsia" w:ascii="宋体" w:hAnsi="宋体" w:cs="Arial"/>
          <w:szCs w:val="21"/>
        </w:rPr>
        <w:t>存款凭证在邮寄过程中遗失的，由基金管理人向存款银行提出补办申请，基金管理人应督促存款银行尽快补办存款凭证，并按以上（1）的方式快递或上门交付至基金托管人，原存款凭证自动作废。</w:t>
      </w:r>
    </w:p>
    <w:p w14:paraId="63E66D37">
      <w:pPr>
        <w:adjustRightInd w:val="0"/>
        <w:snapToGrid w:val="0"/>
        <w:spacing w:line="360" w:lineRule="auto"/>
        <w:ind w:firstLine="420" w:firstLineChars="200"/>
        <w:rPr>
          <w:rFonts w:ascii="宋体" w:hAnsi="宋体" w:cs="Arial"/>
          <w:szCs w:val="21"/>
        </w:rPr>
      </w:pPr>
      <w:r>
        <w:rPr>
          <w:rFonts w:hint="eastAsia" w:ascii="宋体" w:hAnsi="宋体" w:cs="Arial"/>
          <w:szCs w:val="21"/>
        </w:rPr>
        <w:t>（3）账目核对</w:t>
      </w:r>
    </w:p>
    <w:p w14:paraId="2E042D55">
      <w:pPr>
        <w:adjustRightInd w:val="0"/>
        <w:snapToGrid w:val="0"/>
        <w:spacing w:line="360" w:lineRule="auto"/>
        <w:ind w:firstLine="420" w:firstLineChars="200"/>
        <w:rPr>
          <w:rFonts w:ascii="宋体" w:hAnsi="宋体" w:cs="Arial"/>
          <w:szCs w:val="21"/>
        </w:rPr>
      </w:pPr>
      <w:r>
        <w:rPr>
          <w:rFonts w:hint="eastAsia" w:ascii="宋体" w:hAnsi="宋体" w:cs="Arial"/>
          <w:szCs w:val="21"/>
        </w:rPr>
        <w:t>每个工作日，基金管理人应与基金托管人核对各项银行存款投资余额及应计利息。</w:t>
      </w:r>
    </w:p>
    <w:p w14:paraId="43490E8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14:paraId="2322DCF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存款银行应配合基金托管人对存款凭证的询证，并在询证函上加盖存款银行公章寄送至基金托管人指定联系人。</w:t>
      </w:r>
    </w:p>
    <w:p w14:paraId="07E35481">
      <w:pPr>
        <w:adjustRightInd w:val="0"/>
        <w:snapToGrid w:val="0"/>
        <w:spacing w:line="360" w:lineRule="auto"/>
        <w:ind w:firstLine="420" w:firstLineChars="200"/>
        <w:rPr>
          <w:rFonts w:ascii="宋体" w:hAnsi="宋体" w:cs="Arial"/>
          <w:szCs w:val="21"/>
        </w:rPr>
      </w:pPr>
      <w:r>
        <w:rPr>
          <w:rFonts w:hint="eastAsia" w:ascii="宋体" w:hAnsi="宋体" w:cs="Arial"/>
          <w:szCs w:val="21"/>
        </w:rPr>
        <w:t>（4）到期兑付</w:t>
      </w:r>
    </w:p>
    <w:p w14:paraId="1FD606B0">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14:paraId="7E70CC8D">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14:paraId="52327645">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w:t>
      </w:r>
    </w:p>
    <w:p w14:paraId="61B59359">
      <w:pPr>
        <w:adjustRightInd w:val="0"/>
        <w:snapToGrid w:val="0"/>
        <w:spacing w:line="360" w:lineRule="auto"/>
        <w:ind w:firstLine="420" w:firstLineChars="200"/>
        <w:rPr>
          <w:rFonts w:ascii="宋体" w:hAnsi="宋体" w:cs="Arial"/>
          <w:szCs w:val="21"/>
        </w:rPr>
      </w:pPr>
      <w:r>
        <w:rPr>
          <w:rFonts w:hint="eastAsia" w:ascii="宋体" w:hAnsi="宋体" w:cs="Arial"/>
          <w:szCs w:val="21"/>
        </w:rPr>
        <w:t>4.提前支取</w:t>
      </w:r>
    </w:p>
    <w:p w14:paraId="37AFDACE">
      <w:pPr>
        <w:adjustRightInd w:val="0"/>
        <w:snapToGrid w:val="0"/>
        <w:spacing w:line="360" w:lineRule="auto"/>
        <w:ind w:firstLine="420" w:firstLineChars="200"/>
        <w:rPr>
          <w:rFonts w:ascii="宋体" w:hAnsi="宋体" w:cs="Arial"/>
          <w:szCs w:val="21"/>
        </w:rPr>
      </w:pPr>
      <w:r>
        <w:rPr>
          <w:rFonts w:hint="eastAsia" w:ascii="宋体" w:hAnsi="宋体" w:cs="Arial"/>
          <w:szCs w:val="21"/>
        </w:rPr>
        <w:t>如果在存款期限内，由于基金规模发生缩减的原因或者出于流动性管理的需要等原因，基金管理人可以提前支取全部或部分资金。</w:t>
      </w:r>
    </w:p>
    <w:p w14:paraId="1C7FB2E0">
      <w:pPr>
        <w:adjustRightInd w:val="0"/>
        <w:snapToGrid w:val="0"/>
        <w:spacing w:line="360" w:lineRule="auto"/>
        <w:ind w:firstLine="420" w:firstLineChars="200"/>
        <w:rPr>
          <w:rFonts w:ascii="宋体" w:hAnsi="宋体" w:cs="Arial"/>
          <w:szCs w:val="21"/>
        </w:rPr>
      </w:pPr>
      <w:r>
        <w:rPr>
          <w:rFonts w:hint="eastAsia" w:ascii="宋体" w:hAnsi="宋体" w:cs="Arial"/>
          <w:szCs w:val="21"/>
        </w:rPr>
        <w:t>提前支取的具体事项按照基金管理人与存款银行签订的《存款协议书》执行。</w:t>
      </w:r>
    </w:p>
    <w:p w14:paraId="504EEFB1">
      <w:pPr>
        <w:adjustRightInd w:val="0"/>
        <w:snapToGrid w:val="0"/>
        <w:spacing w:line="360" w:lineRule="auto"/>
        <w:ind w:firstLine="420" w:firstLineChars="200"/>
        <w:rPr>
          <w:rFonts w:ascii="宋体" w:hAnsi="宋体" w:cs="Arial"/>
          <w:szCs w:val="21"/>
        </w:rPr>
      </w:pPr>
      <w:r>
        <w:rPr>
          <w:rFonts w:hint="eastAsia" w:ascii="宋体" w:hAnsi="宋体" w:cs="Arial"/>
          <w:szCs w:val="21"/>
        </w:rPr>
        <w:t>5.基金投资银行存款的监督</w:t>
      </w:r>
    </w:p>
    <w:p w14:paraId="34293FCE">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基金托管人发现基金管理人在进行存款投资时有违反有关法律法规的规定及《基金合同》的约定的行为，应及时以书面形式通知基金管理人在</w:t>
      </w:r>
      <w:r>
        <w:rPr>
          <w:rFonts w:ascii="宋体" w:hAnsi="宋体" w:cs="Arial"/>
          <w:szCs w:val="21"/>
        </w:rPr>
        <w:t xml:space="preserve">10 </w:t>
      </w:r>
      <w:r>
        <w:rPr>
          <w:rFonts w:hint="eastAsia" w:ascii="宋体" w:hAnsi="宋体" w:cs="Arial"/>
          <w:szCs w:val="21"/>
        </w:rPr>
        <w:t>个工作日内纠正。基金管理人对基金托管人通知的违规事项未能在</w:t>
      </w:r>
      <w:r>
        <w:rPr>
          <w:rFonts w:ascii="宋体" w:hAnsi="宋体" w:cs="Arial"/>
          <w:szCs w:val="21"/>
        </w:rPr>
        <w:t xml:space="preserve">10 </w:t>
      </w:r>
      <w:r>
        <w:rPr>
          <w:rFonts w:hint="eastAsia" w:ascii="宋体" w:hAnsi="宋体" w:cs="Arial"/>
          <w:szCs w:val="21"/>
        </w:rPr>
        <w:t>个工作日内纠正的，基金托管人应报告中国证监会。基金托管人发现基金管理人有重大违规行为，应立即报告中国证监会，同时通知基金管理人在</w:t>
      </w:r>
      <w:r>
        <w:rPr>
          <w:rFonts w:ascii="宋体" w:hAnsi="宋体" w:cs="Arial"/>
          <w:szCs w:val="21"/>
        </w:rPr>
        <w:t xml:space="preserve">10 </w:t>
      </w:r>
      <w:r>
        <w:rPr>
          <w:rFonts w:hint="eastAsia" w:ascii="宋体" w:hAnsi="宋体" w:cs="Arial"/>
          <w:szCs w:val="21"/>
        </w:rPr>
        <w:t>个工作日内纠正或拒绝结算，若因基金管理人拒不执行造成基金财产损失的，相关损失由基金管理人承担，基金托管人不承担责任。</w:t>
      </w:r>
    </w:p>
    <w:p w14:paraId="2FD90326">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w:t>
      </w:r>
      <w:r>
        <w:rPr>
          <w:rFonts w:ascii="宋体" w:hAnsi="宋体" w:cs="Arial"/>
          <w:szCs w:val="21"/>
        </w:rPr>
        <w:t>3个交易日内与基金托管人协商解决。</w:t>
      </w:r>
    </w:p>
    <w:p w14:paraId="1EA8975B">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应提供必要的协助。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14:paraId="0560BCC1">
      <w:pPr>
        <w:adjustRightInd w:val="0"/>
        <w:snapToGrid w:val="0"/>
        <w:spacing w:line="360" w:lineRule="auto"/>
        <w:ind w:firstLine="420" w:firstLineChars="200"/>
        <w:rPr>
          <w:rFonts w:ascii="宋体" w:hAnsi="宋体" w:cs="Arial"/>
          <w:szCs w:val="21"/>
        </w:rPr>
      </w:pPr>
      <w:r>
        <w:rPr>
          <w:rFonts w:hint="eastAsia" w:ascii="宋体" w:hAnsi="宋体" w:cs="Arial"/>
          <w:szCs w:val="21"/>
        </w:rPr>
        <w:t>（五）本基金投资流通受限证券，应遵守《</w:t>
      </w:r>
      <w:r>
        <w:rPr>
          <w:rFonts w:hint="eastAsia" w:ascii="宋体" w:hAnsi="宋体"/>
        </w:rPr>
        <w:t>关于基金投资非公开发行股票等流通受限证券有关问题的通知》</w:t>
      </w:r>
      <w:r>
        <w:rPr>
          <w:rFonts w:hint="eastAsia" w:ascii="宋体" w:hAnsi="宋体" w:cs="Arial"/>
          <w:szCs w:val="21"/>
        </w:rPr>
        <w:t>等有关监管规定。</w:t>
      </w:r>
    </w:p>
    <w:p w14:paraId="4AE0BEF4">
      <w:pPr>
        <w:adjustRightInd w:val="0"/>
        <w:snapToGrid w:val="0"/>
        <w:spacing w:line="360" w:lineRule="auto"/>
        <w:ind w:firstLine="420" w:firstLineChars="200"/>
        <w:rPr>
          <w:rFonts w:ascii="宋体" w:hAnsi="宋体" w:cs="Arial"/>
          <w:szCs w:val="21"/>
        </w:rPr>
      </w:pPr>
      <w:r>
        <w:rPr>
          <w:rFonts w:hint="eastAsia" w:ascii="宋体" w:hAnsi="宋体" w:cs="Arial"/>
          <w:szCs w:val="21"/>
        </w:rPr>
        <w:t>1.流通受限证券包括由法律法规或中国证监会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10902CCF">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14:paraId="0B37F692">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本基金不得投资未经中国证监会批准的非公开发行证券。</w:t>
      </w:r>
    </w:p>
    <w:p w14:paraId="4E299029">
      <w:pPr>
        <w:adjustRightInd w:val="0"/>
        <w:snapToGrid w:val="0"/>
        <w:spacing w:line="360" w:lineRule="auto"/>
        <w:ind w:firstLine="420" w:firstLineChars="200"/>
        <w:rPr>
          <w:rFonts w:ascii="宋体" w:hAnsi="宋体" w:cs="Arial"/>
          <w:szCs w:val="21"/>
        </w:rPr>
      </w:pPr>
      <w:r>
        <w:rPr>
          <w:rFonts w:hint="eastAsia" w:ascii="宋体" w:hAnsi="宋体" w:cs="Arial"/>
          <w:szCs w:val="21"/>
        </w:rPr>
        <w:t>本基金不得投资有锁定期但锁定期不明确的证券，但法律法规或中国证监会另有规定的除外。</w:t>
      </w:r>
    </w:p>
    <w:p w14:paraId="244FDA54">
      <w:pPr>
        <w:adjustRightInd w:val="0"/>
        <w:snapToGrid w:val="0"/>
        <w:spacing w:line="360" w:lineRule="auto"/>
        <w:ind w:firstLine="420" w:firstLineChars="200"/>
        <w:rPr>
          <w:rFonts w:ascii="宋体" w:hAnsi="宋体" w:cs="Arial"/>
          <w:szCs w:val="21"/>
        </w:rPr>
      </w:pPr>
      <w:r>
        <w:rPr>
          <w:rFonts w:hint="eastAsia" w:ascii="宋体" w:hAnsi="宋体" w:cs="Arial"/>
          <w:szCs w:val="21"/>
        </w:rPr>
        <w:t>2. 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452B4CF5">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0C60F36B">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基金管理人对本基金投资流通受限证券的流动性风险负责，确保对相关风险采取积极有效的措施，在合理的时间内有效解决基金运作的流动性问题。如因</w:t>
      </w:r>
      <w:r>
        <w:rPr>
          <w:rFonts w:hint="eastAsia" w:ascii="宋体" w:hAnsi="宋体"/>
          <w:color w:val="000000"/>
          <w:szCs w:val="21"/>
        </w:rPr>
        <w:t>基金巨额赎回或</w:t>
      </w:r>
      <w:r>
        <w:rPr>
          <w:rFonts w:hint="eastAsia" w:ascii="宋体" w:hAnsi="宋体" w:cs="Arial"/>
          <w:szCs w:val="21"/>
        </w:rPr>
        <w:t>市场发生剧烈变动等原因而导致基金现金周转困难时，基金管理人应保证提供足额现金确保基金的支付结算，并承担所有损失。对本基金因投资流通受限证券导致的流动性风险，基金托管人不承担任何责任。</w:t>
      </w:r>
    </w:p>
    <w:p w14:paraId="56C52F28">
      <w:pPr>
        <w:adjustRightInd w:val="0"/>
        <w:snapToGrid w:val="0"/>
        <w:spacing w:line="360" w:lineRule="auto"/>
        <w:ind w:firstLine="420" w:firstLineChars="200"/>
        <w:rPr>
          <w:rFonts w:ascii="宋体" w:hAnsi="宋体" w:cs="Arial"/>
          <w:szCs w:val="21"/>
        </w:rPr>
      </w:pPr>
      <w:r>
        <w:rPr>
          <w:rFonts w:hint="eastAsia" w:ascii="宋体" w:hAnsi="宋体" w:cs="Arial"/>
          <w:szCs w:val="21"/>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14:paraId="5DF3ED84">
      <w:pPr>
        <w:adjustRightInd w:val="0"/>
        <w:snapToGrid w:val="0"/>
        <w:spacing w:line="360" w:lineRule="auto"/>
        <w:ind w:firstLine="420" w:firstLineChars="200"/>
        <w:rPr>
          <w:rFonts w:ascii="宋体" w:hAnsi="宋体" w:cs="Arial"/>
          <w:szCs w:val="21"/>
        </w:rPr>
      </w:pPr>
      <w:r>
        <w:rPr>
          <w:rFonts w:hint="eastAsia" w:ascii="宋体" w:hAnsi="宋体" w:cs="Arial"/>
          <w:szCs w:val="21"/>
        </w:rPr>
        <w:t>由于基金管理人未及时提供有关证券的具体的必要的信息，致使基金托管人无法审核认购指令而影响认购款项划拨的，基金托管人免于承担责任。</w:t>
      </w:r>
    </w:p>
    <w:p w14:paraId="5A86B5C9">
      <w:pPr>
        <w:adjustRightInd w:val="0"/>
        <w:snapToGrid w:val="0"/>
        <w:spacing w:line="360" w:lineRule="auto"/>
        <w:ind w:firstLine="420" w:firstLineChars="200"/>
        <w:rPr>
          <w:rFonts w:ascii="宋体" w:hAnsi="宋体" w:cs="Arial"/>
          <w:szCs w:val="21"/>
        </w:rPr>
      </w:pPr>
      <w:r>
        <w:rPr>
          <w:rFonts w:hint="eastAsia" w:ascii="宋体" w:hAnsi="宋体" w:cs="Arial"/>
          <w:szCs w:val="21"/>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14:paraId="01A4B8E4">
      <w:pPr>
        <w:adjustRightInd w:val="0"/>
        <w:snapToGrid w:val="0"/>
        <w:spacing w:line="360" w:lineRule="auto"/>
        <w:ind w:firstLine="420" w:firstLineChars="200"/>
        <w:rPr>
          <w:rFonts w:ascii="宋体" w:hAnsi="宋体" w:cs="Arial"/>
          <w:szCs w:val="21"/>
        </w:rPr>
      </w:pPr>
      <w:r>
        <w:rPr>
          <w:rFonts w:hint="eastAsia" w:ascii="宋体" w:hAnsi="宋体" w:cs="Arial"/>
          <w:szCs w:val="21"/>
        </w:rPr>
        <w:t>5.</w:t>
      </w:r>
      <w:r>
        <w:rPr>
          <w:rFonts w:ascii="宋体" w:hAnsi="宋体" w:cs="Arial"/>
          <w:szCs w:val="21"/>
        </w:rPr>
        <w:t xml:space="preserve"> 基金管理</w:t>
      </w:r>
      <w:r>
        <w:rPr>
          <w:rFonts w:hint="eastAsia" w:ascii="宋体" w:hAnsi="宋体" w:cs="Arial"/>
          <w:szCs w:val="21"/>
        </w:rPr>
        <w:t>人</w:t>
      </w:r>
      <w:r>
        <w:rPr>
          <w:rFonts w:ascii="宋体" w:hAnsi="宋体" w:cs="Arial"/>
          <w:szCs w:val="21"/>
        </w:rPr>
        <w:t>应在基金投资非公开发行股票后两个交易日内</w:t>
      </w:r>
      <w:r>
        <w:rPr>
          <w:rFonts w:hint="eastAsia" w:ascii="宋体" w:hAnsi="宋体" w:cs="Arial"/>
          <w:szCs w:val="21"/>
        </w:rPr>
        <w:t>，</w:t>
      </w:r>
      <w:r>
        <w:rPr>
          <w:rFonts w:ascii="宋体" w:hAnsi="宋体" w:cs="Arial"/>
          <w:szCs w:val="21"/>
        </w:rPr>
        <w:t>在中国证监会</w:t>
      </w:r>
      <w:r>
        <w:rPr>
          <w:rFonts w:hint="eastAsia" w:ascii="宋体" w:hAnsi="宋体" w:cs="Arial"/>
          <w:szCs w:val="21"/>
        </w:rPr>
        <w:t>规定</w:t>
      </w:r>
      <w:r>
        <w:rPr>
          <w:rFonts w:ascii="宋体" w:hAnsi="宋体" w:cs="Arial"/>
          <w:szCs w:val="21"/>
        </w:rPr>
        <w:t>媒介披露所投资非公开发行股票的名称、数量、总成本、账面价值</w:t>
      </w:r>
      <w:r>
        <w:rPr>
          <w:rFonts w:hint="eastAsia" w:ascii="宋体" w:hAnsi="宋体" w:cs="Arial"/>
          <w:szCs w:val="21"/>
        </w:rPr>
        <w:t>，</w:t>
      </w:r>
      <w:r>
        <w:rPr>
          <w:rFonts w:ascii="宋体" w:hAnsi="宋体" w:cs="Arial"/>
          <w:szCs w:val="21"/>
        </w:rPr>
        <w:t>以及总成本和账面价值占基金资产净值的比例、锁定期等信息。</w:t>
      </w:r>
    </w:p>
    <w:p w14:paraId="16E57AB7">
      <w:pPr>
        <w:adjustRightInd w:val="0"/>
        <w:snapToGrid w:val="0"/>
        <w:spacing w:line="360" w:lineRule="auto"/>
        <w:ind w:firstLine="420" w:firstLineChars="200"/>
        <w:rPr>
          <w:rFonts w:ascii="宋体" w:hAnsi="宋体" w:cs="Arial"/>
          <w:szCs w:val="21"/>
        </w:rPr>
      </w:pPr>
      <w:r>
        <w:rPr>
          <w:rFonts w:hint="eastAsia" w:ascii="宋体" w:hAnsi="宋体" w:cs="Arial"/>
          <w:szCs w:val="21"/>
        </w:rPr>
        <w:t>（六）基金管理人应当对投资中期票据业务进行研究，认真评估中期票据投资业务的风险，本着审慎、勤勉尽责的原则进行中期票据的投资业务，并应符合法律法规及监管机构的相关规定。</w:t>
      </w:r>
    </w:p>
    <w:p w14:paraId="6637249D">
      <w:pPr>
        <w:spacing w:line="360" w:lineRule="auto"/>
        <w:ind w:firstLine="420" w:firstLineChars="200"/>
        <w:rPr>
          <w:rFonts w:ascii="宋体" w:hAnsi="宋体" w:cs="Arial"/>
          <w:szCs w:val="21"/>
        </w:rPr>
      </w:pPr>
      <w:r>
        <w:rPr>
          <w:rFonts w:hint="eastAsia" w:ascii="宋体" w:hAnsi="宋体" w:cs="Arial"/>
          <w:szCs w:val="21"/>
        </w:rPr>
        <w:t>（七）本基金拟通过第三方基金销售机构投资开放式基金，基金管理人负责选择销售机构，并确保在销售机构预留的备案回款账户为本基金托管账户。</w:t>
      </w:r>
    </w:p>
    <w:p w14:paraId="34457921">
      <w:pPr>
        <w:adjustRightInd w:val="0"/>
        <w:snapToGrid w:val="0"/>
        <w:spacing w:line="360" w:lineRule="auto"/>
        <w:ind w:firstLine="420" w:firstLineChars="200"/>
        <w:rPr>
          <w:rFonts w:ascii="宋体" w:hAnsi="宋体" w:cs="Arial"/>
          <w:szCs w:val="21"/>
        </w:rPr>
      </w:pPr>
      <w:r>
        <w:rPr>
          <w:rFonts w:hint="eastAsia" w:ascii="宋体" w:hAnsi="宋体" w:cs="Arial"/>
          <w:szCs w:val="21"/>
        </w:rPr>
        <w:t>（八）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14:paraId="5C94FCBE">
      <w:pPr>
        <w:adjustRightInd w:val="0"/>
        <w:snapToGrid w:val="0"/>
        <w:spacing w:line="360" w:lineRule="auto"/>
        <w:ind w:firstLine="420" w:firstLineChars="200"/>
        <w:rPr>
          <w:rFonts w:ascii="宋体" w:hAnsi="宋体"/>
        </w:rPr>
      </w:pPr>
      <w:r>
        <w:rPr>
          <w:rFonts w:hint="eastAsia" w:ascii="宋体" w:hAnsi="宋体" w:cs="Arial"/>
          <w:szCs w:val="21"/>
        </w:rPr>
        <w:t>（九）</w:t>
      </w:r>
      <w:r>
        <w:rPr>
          <w:rFonts w:hint="eastAsia" w:ascii="宋体" w:hAnsi="宋体"/>
        </w:rPr>
        <w:t>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电话、邮件或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752BA1B3">
      <w:pPr>
        <w:adjustRightInd w:val="0"/>
        <w:snapToGrid w:val="0"/>
        <w:spacing w:line="360" w:lineRule="auto"/>
        <w:ind w:firstLine="420" w:firstLineChars="200"/>
        <w:rPr>
          <w:rFonts w:ascii="宋体" w:hAnsi="宋体" w:cs="Arial"/>
          <w:szCs w:val="21"/>
        </w:rPr>
      </w:pPr>
      <w:r>
        <w:rPr>
          <w:rFonts w:hint="eastAsia" w:ascii="宋体" w:hAnsi="宋体" w:cs="Arial"/>
          <w:szCs w:val="21"/>
        </w:rPr>
        <w:t>（十）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14:paraId="20BDEBCA">
      <w:pPr>
        <w:adjustRightInd w:val="0"/>
        <w:snapToGrid w:val="0"/>
        <w:spacing w:line="360" w:lineRule="auto"/>
        <w:ind w:firstLine="420" w:firstLineChars="200"/>
        <w:rPr>
          <w:rFonts w:ascii="宋体" w:hAnsi="宋体" w:cs="Arial"/>
          <w:szCs w:val="21"/>
        </w:rPr>
      </w:pPr>
      <w:r>
        <w:rPr>
          <w:rFonts w:hint="eastAsia" w:ascii="宋体" w:hAnsi="宋体" w:cs="Arial"/>
          <w:szCs w:val="21"/>
        </w:rPr>
        <w:t>（十一）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14:paraId="0B1FAD41">
      <w:pPr>
        <w:spacing w:line="360" w:lineRule="auto"/>
        <w:ind w:firstLine="420" w:firstLineChars="200"/>
        <w:rPr>
          <w:rFonts w:ascii="宋体" w:hAnsi="宋体" w:cs="Arial"/>
          <w:szCs w:val="21"/>
        </w:rPr>
      </w:pPr>
      <w:r>
        <w:rPr>
          <w:rFonts w:hint="eastAsia" w:ascii="宋体" w:hAnsi="宋体" w:cs="Arial"/>
          <w:szCs w:val="21"/>
        </w:rPr>
        <w:t>（十二）基金托管人发现基金管理人有重大违规行为，应及时报告中国证监会，同时通知基金管理人限期纠正。</w:t>
      </w:r>
      <w:bookmarkEnd w:id="24"/>
      <w:bookmarkStart w:id="28" w:name="_Toc118972648"/>
      <w:bookmarkStart w:id="29" w:name="_Toc119402710"/>
      <w:bookmarkStart w:id="30" w:name="_Toc89163368"/>
      <w:bookmarkStart w:id="31" w:name="_Toc110765660"/>
      <w:bookmarkStart w:id="32" w:name="_Toc120435783"/>
      <w:bookmarkStart w:id="33" w:name="_Toc86649722"/>
      <w:bookmarkStart w:id="34" w:name="_Toc86225291"/>
      <w:bookmarkStart w:id="35" w:name="_Toc108512358"/>
      <w:bookmarkStart w:id="36" w:name="_Toc86726439"/>
      <w:bookmarkStart w:id="37" w:name="_Toc86727355"/>
      <w:bookmarkStart w:id="38" w:name="_Toc501274916"/>
      <w:bookmarkStart w:id="39" w:name="_Toc118774803"/>
      <w:bookmarkStart w:id="40" w:name="_Toc348082032"/>
      <w:bookmarkStart w:id="41" w:name="_Toc86223242"/>
      <w:bookmarkStart w:id="42" w:name="_Toc110830492"/>
      <w:bookmarkStart w:id="43" w:name="_Toc118212950"/>
      <w:bookmarkStart w:id="44" w:name="_Toc384992694"/>
      <w:bookmarkStart w:id="45" w:name="_Toc86737929"/>
      <w:bookmarkStart w:id="46" w:name="_Toc110761796"/>
      <w:bookmarkStart w:id="47" w:name="CLAUSE_10e835cedca04ab1b812c90a81e97ce4"/>
    </w:p>
    <w:p w14:paraId="5A688962">
      <w:pPr>
        <w:spacing w:line="360" w:lineRule="auto"/>
        <w:ind w:firstLine="420" w:firstLineChars="200"/>
        <w:rPr>
          <w:rFonts w:ascii="宋体" w:hAnsi="宋体"/>
        </w:rPr>
      </w:pPr>
      <w:r>
        <w:rPr>
          <w:rFonts w:hint="eastAsia" w:ascii="宋体" w:hAnsi="宋体" w:cs="Arial"/>
          <w:szCs w:val="21"/>
        </w:rPr>
        <w:t>（十三）</w:t>
      </w:r>
      <w:r>
        <w:rPr>
          <w:rFonts w:hint="eastAsia" w:ascii="宋体" w:hAnsi="宋体"/>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0C615B52">
      <w:pPr>
        <w:adjustRightInd w:val="0"/>
        <w:snapToGrid w:val="0"/>
        <w:spacing w:line="360" w:lineRule="auto"/>
        <w:ind w:firstLine="420" w:firstLineChars="200"/>
        <w:rPr>
          <w:rFonts w:ascii="宋体" w:hAnsi="宋体"/>
        </w:rPr>
        <w:sectPr>
          <w:footerReference r:id="rId10" w:type="default"/>
          <w:pgSz w:w="11906" w:h="16838"/>
          <w:pgMar w:top="1418" w:right="1701" w:bottom="1418" w:left="1701" w:header="851" w:footer="992" w:gutter="0"/>
          <w:pgNumType w:fmt="decimal" w:start="1"/>
          <w:cols w:space="720" w:num="1"/>
          <w:docGrid w:type="lines" w:linePitch="312" w:charSpace="0"/>
        </w:sectPr>
      </w:pPr>
      <w:r>
        <w:rPr>
          <w:rFonts w:hint="eastAsia" w:ascii="宋体" w:hAnsi="宋体"/>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0F9CD055">
      <w:pPr>
        <w:pStyle w:val="3"/>
        <w:spacing w:before="312" w:beforeLines="100" w:after="156" w:afterLines="50" w:line="360" w:lineRule="auto"/>
        <w:jc w:val="center"/>
        <w:rPr>
          <w:rFonts w:ascii="宋体" w:hAnsi="宋体" w:eastAsia="宋体"/>
          <w:sz w:val="21"/>
          <w:szCs w:val="21"/>
        </w:rPr>
      </w:pPr>
      <w:r>
        <w:t xml:space="preserve"> </w:t>
      </w:r>
      <w:bookmarkStart w:id="48" w:name="CTS_10e835cedca04ab1b812c90a81e97ce4"/>
      <w:bookmarkEnd w:id="48"/>
      <w:r>
        <w:t xml:space="preserve"> </w:t>
      </w:r>
      <w:bookmarkStart w:id="49" w:name="_Toc17945"/>
      <w:bookmarkStart w:id="50" w:name="_Toc3596"/>
      <w:r>
        <w:rPr>
          <w:rFonts w:hint="eastAsia" w:ascii="宋体" w:hAnsi="宋体" w:eastAsia="宋体"/>
          <w:sz w:val="21"/>
          <w:szCs w:val="21"/>
        </w:rPr>
        <w:t>四、基金管理人对基金托管人的业务核查</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9"/>
      <w:bookmarkEnd w:id="50"/>
    </w:p>
    <w:p w14:paraId="41F13A75">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14:paraId="059081B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14:paraId="690A70B7">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3A153770">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（四）基金管理人发现基金托管人有重大违规行为，应及时报告中国证监会，同时通知基金托管人限期纠正，并将纠正结果报告中国证监会。</w:t>
      </w:r>
    </w:p>
    <w:p w14:paraId="3CE7589A">
      <w:pPr>
        <w:spacing w:line="360" w:lineRule="auto"/>
        <w:rPr>
          <w:rFonts w:ascii="宋体" w:hAnsi="宋体"/>
          <w:szCs w:val="21"/>
        </w:rPr>
      </w:pPr>
    </w:p>
    <w:bookmarkEnd w:id="47"/>
    <w:p w14:paraId="24B5AA17">
      <w:pPr>
        <w:adjustRightInd w:val="0"/>
        <w:snapToGrid w:val="0"/>
        <w:spacing w:line="360" w:lineRule="auto"/>
        <w:ind w:firstLine="420" w:firstLineChars="200"/>
        <w:rPr>
          <w:rFonts w:ascii="宋体" w:hAnsi="宋体"/>
        </w:rPr>
        <w:sectPr>
          <w:footerReference r:id="rId11" w:type="default"/>
          <w:pgSz w:w="11906" w:h="16838"/>
          <w:pgMar w:top="1418" w:right="1701" w:bottom="1418" w:left="1701" w:header="851" w:footer="992" w:gutter="0"/>
          <w:pgNumType w:fmt="decimal" w:start="1"/>
          <w:cols w:space="720" w:num="1"/>
          <w:docGrid w:type="lines" w:linePitch="312" w:charSpace="0"/>
        </w:sectPr>
      </w:pPr>
      <w:bookmarkStart w:id="51" w:name="_Toc86727356"/>
      <w:bookmarkStart w:id="52" w:name="_Toc348082033"/>
      <w:bookmarkStart w:id="53" w:name="_Toc86726440"/>
      <w:bookmarkStart w:id="54" w:name="_Toc86737930"/>
      <w:bookmarkStart w:id="55" w:name="_Toc120435784"/>
      <w:bookmarkStart w:id="56" w:name="_Toc86225292"/>
      <w:bookmarkStart w:id="57" w:name="_Toc84234435"/>
      <w:bookmarkStart w:id="58" w:name="_Toc89163369"/>
      <w:bookmarkStart w:id="59" w:name="_Toc110761797"/>
      <w:bookmarkStart w:id="60" w:name="_Toc501274917"/>
      <w:bookmarkStart w:id="61" w:name="_Toc108512359"/>
      <w:bookmarkStart w:id="62" w:name="_Toc110830493"/>
      <w:bookmarkStart w:id="63" w:name="_Toc86204789"/>
      <w:bookmarkStart w:id="64" w:name="_Toc118212951"/>
      <w:bookmarkStart w:id="65" w:name="_Toc118972649"/>
      <w:bookmarkStart w:id="66" w:name="_Toc119402711"/>
      <w:bookmarkStart w:id="67" w:name="_Toc110765661"/>
      <w:bookmarkStart w:id="68" w:name="_Toc384992695"/>
      <w:bookmarkStart w:id="69" w:name="_Toc118774804"/>
      <w:bookmarkStart w:id="70" w:name="_Toc84234388"/>
      <w:bookmarkStart w:id="71" w:name="_Toc86649723"/>
      <w:bookmarkStart w:id="72" w:name="_Toc84133786"/>
      <w:bookmarkStart w:id="73" w:name="_Toc86223243"/>
      <w:bookmarkStart w:id="74" w:name="CLAUSE_21cb0334852c43f4af700b1eceedf6cb"/>
    </w:p>
    <w:p w14:paraId="1E5429D7">
      <w:pPr>
        <w:pStyle w:val="3"/>
        <w:spacing w:before="312" w:beforeLines="100" w:after="156" w:afterLines="50" w:line="360" w:lineRule="auto"/>
        <w:jc w:val="center"/>
        <w:rPr>
          <w:rFonts w:ascii="宋体" w:hAnsi="宋体" w:eastAsia="宋体"/>
          <w:sz w:val="21"/>
          <w:szCs w:val="21"/>
        </w:rPr>
      </w:pPr>
      <w:r>
        <w:t xml:space="preserve"> </w:t>
      </w:r>
      <w:bookmarkStart w:id="75" w:name="CTS_21cb0334852c43f4af700b1eceedf6cb"/>
      <w:bookmarkEnd w:id="75"/>
      <w:r>
        <w:t xml:space="preserve"> </w:t>
      </w:r>
      <w:bookmarkStart w:id="76" w:name="_Toc22573"/>
      <w:bookmarkStart w:id="77" w:name="_Toc6339"/>
      <w:r>
        <w:rPr>
          <w:rFonts w:hint="eastAsia" w:ascii="宋体" w:hAnsi="宋体" w:eastAsia="宋体"/>
          <w:sz w:val="21"/>
          <w:szCs w:val="21"/>
        </w:rPr>
        <w:t>五、基金财产的保管</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6"/>
      <w:bookmarkEnd w:id="77"/>
    </w:p>
    <w:p w14:paraId="04401298">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（一）基金财产保管的原则</w:t>
      </w:r>
    </w:p>
    <w:p w14:paraId="4F760DC0">
      <w:pPr>
        <w:adjustRightInd w:val="0"/>
        <w:snapToGrid w:val="0"/>
        <w:spacing w:line="360" w:lineRule="auto"/>
        <w:ind w:firstLine="420" w:firstLineChars="200"/>
        <w:rPr>
          <w:rFonts w:ascii="宋体" w:hAnsi="宋体" w:cs="Arial"/>
          <w:szCs w:val="21"/>
        </w:rPr>
      </w:pPr>
      <w:r>
        <w:rPr>
          <w:rFonts w:hint="eastAsia" w:ascii="宋体" w:hAnsi="宋体" w:cs="Arial"/>
          <w:szCs w:val="21"/>
        </w:rPr>
        <w:t>1.基金财产应独立于基金管理人、基金托管人的固有财产。</w:t>
      </w:r>
    </w:p>
    <w:p w14:paraId="25D7AB19">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2.基金托管人应安全保管基金财产。</w:t>
      </w:r>
    </w:p>
    <w:p w14:paraId="1BA33A7A">
      <w:pPr>
        <w:adjustRightInd w:val="0"/>
        <w:snapToGrid w:val="0"/>
        <w:spacing w:line="360" w:lineRule="auto"/>
        <w:ind w:firstLine="420" w:firstLineChars="200"/>
        <w:rPr>
          <w:rFonts w:ascii="宋体" w:hAnsi="宋体" w:cs="Arial"/>
          <w:szCs w:val="21"/>
        </w:rPr>
      </w:pPr>
      <w:r>
        <w:rPr>
          <w:rFonts w:hint="eastAsia" w:ascii="宋体" w:hAnsi="宋体" w:cs="Arial"/>
          <w:szCs w:val="21"/>
        </w:rPr>
        <w:t>3.基金托管人按照规定开设资金账户、证券账户等投资所需的相关账户。</w:t>
      </w:r>
    </w:p>
    <w:p w14:paraId="793B0BC0">
      <w:pPr>
        <w:adjustRightInd w:val="0"/>
        <w:snapToGrid w:val="0"/>
        <w:spacing w:line="360" w:lineRule="auto"/>
        <w:ind w:firstLine="420" w:firstLineChars="200"/>
        <w:rPr>
          <w:rFonts w:ascii="宋体" w:hAnsi="宋体" w:cs="Arial"/>
          <w:szCs w:val="21"/>
        </w:rPr>
      </w:pPr>
      <w:r>
        <w:rPr>
          <w:rFonts w:hint="eastAsia" w:ascii="宋体" w:hAnsi="宋体" w:cs="Arial"/>
          <w:szCs w:val="21"/>
        </w:rPr>
        <w:t>4.基金托管人对所托管的不同基金财产分别设置账户，确保基金财产的完整与独立。</w:t>
      </w:r>
    </w:p>
    <w:p w14:paraId="44A3AF28">
      <w:pPr>
        <w:adjustRightInd w:val="0"/>
        <w:snapToGrid w:val="0"/>
        <w:spacing w:line="360" w:lineRule="auto"/>
        <w:ind w:firstLine="420" w:firstLineChars="200"/>
        <w:rPr>
          <w:rFonts w:ascii="宋体" w:hAnsi="宋体" w:cs="Arial"/>
          <w:szCs w:val="21"/>
        </w:rPr>
      </w:pPr>
      <w:r>
        <w:rPr>
          <w:rFonts w:hint="eastAsia" w:ascii="宋体" w:hAnsi="宋体" w:cs="Arial"/>
          <w:szCs w:val="21"/>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14:paraId="21171266">
      <w:pPr>
        <w:adjustRightInd w:val="0"/>
        <w:snapToGrid w:val="0"/>
        <w:spacing w:line="360" w:lineRule="auto"/>
        <w:ind w:firstLine="420" w:firstLineChars="200"/>
        <w:rPr>
          <w:rFonts w:ascii="宋体" w:hAnsi="宋体" w:cs="Arial"/>
          <w:szCs w:val="21"/>
        </w:rPr>
      </w:pPr>
      <w:r>
        <w:rPr>
          <w:rFonts w:hint="eastAsia" w:ascii="宋体" w:hAnsi="宋体" w:cs="Arial"/>
          <w:szCs w:val="21"/>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w:t>
      </w:r>
    </w:p>
    <w:p w14:paraId="1B974A1F">
      <w:pPr>
        <w:adjustRightInd w:val="0"/>
        <w:snapToGrid w:val="0"/>
        <w:spacing w:line="360" w:lineRule="auto"/>
        <w:ind w:firstLine="420" w:firstLineChars="200"/>
        <w:rPr>
          <w:rFonts w:ascii="宋体" w:hAnsi="宋体" w:cs="Arial"/>
          <w:szCs w:val="21"/>
        </w:rPr>
      </w:pPr>
      <w:r>
        <w:rPr>
          <w:rFonts w:hint="eastAsia" w:ascii="宋体" w:hAnsi="宋体" w:cs="Arial"/>
          <w:szCs w:val="21"/>
        </w:rPr>
        <w:t>7.基金</w:t>
      </w:r>
      <w:r>
        <w:rPr>
          <w:rFonts w:hint="eastAsia" w:ascii="宋体" w:hAnsi="宋体"/>
          <w:szCs w:val="21"/>
        </w:rPr>
        <w:t>托管人对因为</w:t>
      </w:r>
      <w:r>
        <w:rPr>
          <w:rFonts w:hint="eastAsia" w:ascii="宋体" w:hAnsi="宋体" w:cs="Arial"/>
          <w:szCs w:val="21"/>
        </w:rPr>
        <w:t>基金</w:t>
      </w:r>
      <w:r>
        <w:rPr>
          <w:rFonts w:hint="eastAsia" w:ascii="宋体" w:hAnsi="宋体"/>
          <w:szCs w:val="21"/>
        </w:rPr>
        <w:t>管理人投资产生的存放或存管在</w:t>
      </w:r>
      <w:r>
        <w:rPr>
          <w:rFonts w:hint="eastAsia" w:ascii="宋体" w:hAnsi="宋体" w:cs="Arial"/>
          <w:szCs w:val="21"/>
        </w:rPr>
        <w:t>基金</w:t>
      </w:r>
      <w:r>
        <w:rPr>
          <w:rFonts w:hint="eastAsia" w:ascii="宋体" w:hAnsi="宋体"/>
          <w:szCs w:val="21"/>
        </w:rPr>
        <w:t>托管人以外机构的基金资产，或交由证券公司负责清算交收的基金资产及其收益，由于该等机构或该机构会员单位等本协议当事人外第三方的欺诈、疏忽、过失或破产等原因给基金资产造成的损失等不承担责任。</w:t>
      </w:r>
    </w:p>
    <w:p w14:paraId="01CCB58A">
      <w:pPr>
        <w:adjustRightInd w:val="0"/>
        <w:snapToGrid w:val="0"/>
        <w:spacing w:line="360" w:lineRule="auto"/>
        <w:ind w:firstLine="420" w:firstLineChars="200"/>
        <w:rPr>
          <w:rFonts w:ascii="宋体" w:hAnsi="宋体" w:cs="Arial"/>
          <w:szCs w:val="21"/>
        </w:rPr>
      </w:pPr>
      <w:r>
        <w:rPr>
          <w:rFonts w:hint="eastAsia" w:ascii="宋体" w:hAnsi="宋体" w:cs="Arial"/>
          <w:szCs w:val="21"/>
        </w:rPr>
        <w:t>8.除依据法律法规和基金合同的规定外，基金托管人不得委托第三人托管基金财产。</w:t>
      </w:r>
    </w:p>
    <w:p w14:paraId="4071D8C8">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（二）基金募集期间及募集资金的验资</w:t>
      </w:r>
    </w:p>
    <w:p w14:paraId="0FB0E461">
      <w:pPr>
        <w:adjustRightInd w:val="0"/>
        <w:snapToGrid w:val="0"/>
        <w:spacing w:line="360" w:lineRule="auto"/>
        <w:ind w:firstLine="420" w:firstLineChars="200"/>
        <w:rPr>
          <w:rFonts w:ascii="宋体" w:hAnsi="宋体" w:cs="Arial"/>
          <w:szCs w:val="21"/>
        </w:rPr>
      </w:pPr>
      <w:r>
        <w:rPr>
          <w:rFonts w:hint="eastAsia" w:ascii="宋体" w:hAnsi="宋体" w:cs="Arial"/>
          <w:szCs w:val="21"/>
        </w:rPr>
        <w:t>1.基金募集期间募集的资金应存放于“基金募集专户”。该账户由基金管理人开立并管理。</w:t>
      </w:r>
    </w:p>
    <w:p w14:paraId="6DBFB5F9">
      <w:pPr>
        <w:adjustRightInd w:val="0"/>
        <w:snapToGrid w:val="0"/>
        <w:spacing w:line="360" w:lineRule="auto"/>
        <w:ind w:firstLine="420" w:firstLineChars="200"/>
        <w:rPr>
          <w:rFonts w:ascii="宋体" w:hAnsi="宋体" w:cs="Arial"/>
          <w:szCs w:val="21"/>
        </w:rPr>
      </w:pPr>
      <w:r>
        <w:rPr>
          <w:rFonts w:hint="eastAsia" w:ascii="宋体" w:hAnsi="宋体" w:cs="Arial"/>
          <w:szCs w:val="21"/>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证券法》规定的会计师事务所进行验资，出具验资报告。出具的验资报告由参加验资的2名或2名以上中国注册会计师签字方为有效。</w:t>
      </w:r>
    </w:p>
    <w:p w14:paraId="1CE0E34D">
      <w:pPr>
        <w:adjustRightInd w:val="0"/>
        <w:snapToGrid w:val="0"/>
        <w:spacing w:line="360" w:lineRule="auto"/>
        <w:ind w:firstLine="420" w:firstLineChars="200"/>
        <w:rPr>
          <w:rFonts w:ascii="宋体" w:hAnsi="宋体" w:cs="Arial"/>
          <w:szCs w:val="21"/>
        </w:rPr>
      </w:pPr>
      <w:r>
        <w:rPr>
          <w:rFonts w:hint="eastAsia" w:ascii="宋体" w:hAnsi="宋体" w:cs="Arial"/>
          <w:szCs w:val="21"/>
        </w:rPr>
        <w:t>3.若基金募集期限届满，未能达到基金合同生效的条件，由基金管理人按规定办理退款等事宜，基金托管人应当予以必要的协助和配合。</w:t>
      </w:r>
    </w:p>
    <w:p w14:paraId="48165979">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（三）基金资金账户的开立和管理</w:t>
      </w:r>
    </w:p>
    <w:p w14:paraId="169F144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托管人以本基金的名义在其营业机构开立基金的资金账户（也可称为“托管账户”），保管基金的银行存款，并根据基金管理人的指令办理资金收付。基金开立的托管账户原则上应按“开户主体全称+产品全称”规则命名，如遇账户名称过长影响其他业务办理等特殊情况时，开户主体或产品名称可以使用简称，确保资金账户名称与所托管的产品名称相对应，预留印鉴为基金托管人印章。</w:t>
      </w:r>
    </w:p>
    <w:p w14:paraId="198AF027">
      <w:pPr>
        <w:adjustRightInd w:val="0"/>
        <w:snapToGrid w:val="0"/>
        <w:spacing w:line="360" w:lineRule="auto"/>
        <w:ind w:firstLine="420" w:firstLineChars="200"/>
        <w:rPr>
          <w:rFonts w:ascii="宋体" w:hAnsi="宋体" w:cs="Arial"/>
          <w:szCs w:val="21"/>
        </w:rPr>
      </w:pPr>
      <w:r>
        <w:rPr>
          <w:rFonts w:hint="eastAsia" w:ascii="宋体" w:hAnsi="宋体" w:cs="Arial"/>
          <w:szCs w:val="21"/>
        </w:rPr>
        <w:t>2.基金资金账户的开立和使用，限于满足开展本基金业务的需要。基金托管人和基金管理人不得假借本基金的名义开立任何其他银行账户；亦不得使用基金的任何账户进行本基金业务以外的活动。</w:t>
      </w:r>
    </w:p>
    <w:p w14:paraId="15E81183">
      <w:pPr>
        <w:adjustRightInd w:val="0"/>
        <w:snapToGrid w:val="0"/>
        <w:spacing w:line="360" w:lineRule="auto"/>
        <w:ind w:firstLine="420" w:firstLineChars="200"/>
        <w:rPr>
          <w:rFonts w:ascii="宋体" w:hAnsi="宋体" w:cs="Arial"/>
          <w:szCs w:val="21"/>
        </w:rPr>
      </w:pPr>
      <w:r>
        <w:rPr>
          <w:rFonts w:hint="eastAsia" w:ascii="宋体" w:hAnsi="宋体" w:cs="Arial"/>
          <w:szCs w:val="21"/>
        </w:rPr>
        <w:t>3.基金资金账户的开立和管理应符合法律法规及银行业监督管理机构的有关规定。</w:t>
      </w:r>
    </w:p>
    <w:p w14:paraId="39C33786">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（四）基金证券账户和结算备付金账户的开立和管理</w:t>
      </w:r>
    </w:p>
    <w:p w14:paraId="210F5D4B">
      <w:pPr>
        <w:adjustRightInd w:val="0"/>
        <w:snapToGrid w:val="0"/>
        <w:spacing w:line="360" w:lineRule="auto"/>
        <w:ind w:firstLine="420" w:firstLineChars="200"/>
        <w:rPr>
          <w:rFonts w:ascii="宋体" w:hAnsi="宋体" w:cs="Arial"/>
          <w:szCs w:val="21"/>
        </w:rPr>
      </w:pPr>
      <w:r>
        <w:rPr>
          <w:rFonts w:hint="eastAsia" w:ascii="宋体" w:hAnsi="宋体" w:cs="Arial"/>
          <w:szCs w:val="21"/>
        </w:rPr>
        <w:t>1.基金托管人在中国证券登记结算有限责任公司上海分公司、深圳分公司为基金开立基金托管人与基金联名的证券账户。</w:t>
      </w:r>
    </w:p>
    <w:p w14:paraId="6C913C85">
      <w:pPr>
        <w:adjustRightInd w:val="0"/>
        <w:snapToGrid w:val="0"/>
        <w:spacing w:line="360" w:lineRule="auto"/>
        <w:ind w:firstLine="420" w:firstLineChars="200"/>
        <w:rPr>
          <w:rFonts w:ascii="宋体" w:hAnsi="宋体" w:cs="Arial"/>
          <w:szCs w:val="21"/>
        </w:rPr>
      </w:pPr>
      <w:r>
        <w:rPr>
          <w:rFonts w:hint="eastAsia" w:ascii="宋体" w:hAnsi="宋体" w:cs="Arial"/>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6A381167">
      <w:pPr>
        <w:adjustRightInd w:val="0"/>
        <w:snapToGrid w:val="0"/>
        <w:spacing w:line="360" w:lineRule="auto"/>
        <w:ind w:firstLine="420" w:firstLineChars="200"/>
        <w:rPr>
          <w:rFonts w:ascii="宋体" w:hAnsi="宋体" w:cs="Arial"/>
          <w:szCs w:val="21"/>
        </w:rPr>
      </w:pPr>
      <w:r>
        <w:rPr>
          <w:rFonts w:hint="eastAsia" w:ascii="宋体" w:hAnsi="宋体" w:cs="Arial"/>
          <w:szCs w:val="21"/>
        </w:rPr>
        <w:t>3.基金证券账户的开立和证券账户卡的保管由基金托管人负责，账户资产的管理和运用由基金管理人负责。</w:t>
      </w:r>
    </w:p>
    <w:p w14:paraId="0476D76F">
      <w:pPr>
        <w:adjustRightInd w:val="0"/>
        <w:snapToGrid w:val="0"/>
        <w:spacing w:line="360" w:lineRule="auto"/>
        <w:ind w:firstLine="420" w:firstLineChars="200"/>
        <w:rPr>
          <w:rFonts w:ascii="宋体" w:hAnsi="宋体" w:cs="Arial"/>
          <w:szCs w:val="21"/>
        </w:rPr>
      </w:pPr>
      <w:r>
        <w:rPr>
          <w:rFonts w:hint="eastAsia" w:ascii="宋体" w:hAnsi="宋体" w:cs="Arial"/>
          <w:szCs w:val="21"/>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14:paraId="501F8D98">
      <w:pPr>
        <w:adjustRightInd w:val="0"/>
        <w:snapToGrid w:val="0"/>
        <w:spacing w:line="360" w:lineRule="auto"/>
        <w:ind w:firstLine="420" w:firstLineChars="200"/>
        <w:rPr>
          <w:rFonts w:ascii="宋体" w:hAnsi="宋体" w:cs="Arial"/>
          <w:szCs w:val="21"/>
        </w:rPr>
      </w:pPr>
      <w:r>
        <w:rPr>
          <w:rFonts w:hint="eastAsia" w:ascii="宋体" w:hAnsi="宋体" w:cs="Arial"/>
          <w:szCs w:val="21"/>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14:paraId="2F35A6E2">
      <w:pPr>
        <w:adjustRightInd w:val="0"/>
        <w:snapToGrid w:val="0"/>
        <w:spacing w:line="360" w:lineRule="auto"/>
        <w:ind w:firstLine="420" w:firstLineChars="200"/>
        <w:rPr>
          <w:rFonts w:ascii="宋体" w:hAnsi="宋体" w:cs="Arial"/>
          <w:szCs w:val="21"/>
        </w:rPr>
      </w:pPr>
      <w:r>
        <w:rPr>
          <w:rFonts w:hint="eastAsia" w:ascii="宋体" w:hAnsi="宋体" w:cs="Arial"/>
          <w:szCs w:val="21"/>
        </w:rPr>
        <w:t>（五）债券托管账户的开设和管理</w:t>
      </w:r>
    </w:p>
    <w:p w14:paraId="1565F802">
      <w:pPr>
        <w:adjustRightInd w:val="0"/>
        <w:snapToGrid w:val="0"/>
        <w:spacing w:line="360" w:lineRule="auto"/>
        <w:ind w:firstLine="420" w:firstLineChars="200"/>
        <w:rPr>
          <w:rFonts w:ascii="宋体" w:hAnsi="宋体" w:cs="Arial"/>
          <w:szCs w:val="21"/>
        </w:rPr>
      </w:pPr>
      <w:r>
        <w:rPr>
          <w:rFonts w:hint="eastAsia" w:ascii="宋体" w:hAnsi="宋体" w:cs="Arial"/>
          <w:szCs w:val="21"/>
        </w:rPr>
        <w:t>基金合同生效后，基金托管人根据中国人民银行、中央国债登记结算有限责任公司和银行间市场清算所股份有限公司的有关规定，以基金的名义在中央国债登记结算有限责任公司和银行间市场登记结算机构开立债券托管账户，并代表基金进行银行间市场债券的结算。</w:t>
      </w:r>
    </w:p>
    <w:p w14:paraId="6F5B5FBD">
      <w:pPr>
        <w:adjustRightInd w:val="0"/>
        <w:snapToGrid w:val="0"/>
        <w:spacing w:line="360" w:lineRule="auto"/>
        <w:ind w:firstLine="420" w:firstLineChars="200"/>
        <w:rPr>
          <w:rFonts w:ascii="宋体" w:hAnsi="宋体" w:cs="Arial"/>
          <w:szCs w:val="21"/>
        </w:rPr>
      </w:pPr>
      <w:r>
        <w:rPr>
          <w:rFonts w:hint="eastAsia" w:ascii="宋体" w:hAnsi="宋体" w:cs="Arial"/>
          <w:szCs w:val="21"/>
        </w:rPr>
        <w:t>（六）其他账户的开立和管理</w:t>
      </w:r>
    </w:p>
    <w:p w14:paraId="7736227F">
      <w:pPr>
        <w:adjustRightInd w:val="0"/>
        <w:snapToGrid w:val="0"/>
        <w:spacing w:line="360" w:lineRule="auto"/>
        <w:ind w:firstLine="420" w:firstLineChars="200"/>
        <w:rPr>
          <w:rFonts w:ascii="宋体" w:hAnsi="宋体" w:cs="Arial"/>
          <w:szCs w:val="21"/>
        </w:rPr>
      </w:pPr>
      <w:r>
        <w:rPr>
          <w:rFonts w:hint="eastAsia" w:ascii="宋体" w:hAnsi="宋体" w:cs="Arial"/>
          <w:szCs w:val="21"/>
        </w:rPr>
        <w:t>1.</w:t>
      </w:r>
      <w:r>
        <w:rPr>
          <w:rFonts w:hint="eastAsia" w:ascii="宋体" w:hAnsi="宋体"/>
          <w:szCs w:val="21"/>
        </w:rPr>
        <w:t xml:space="preserve"> </w:t>
      </w:r>
      <w:r>
        <w:rPr>
          <w:rFonts w:hint="eastAsia" w:ascii="宋体" w:hAnsi="宋体" w:cs="Arial"/>
          <w:szCs w:val="21"/>
        </w:rPr>
        <w:t>基金托管人和基金管理人应当在开户过程中相互配合，并提供所需资料。基金管理人保证所提供的账户开户材料的真实性和有效性，且在相关资料变更后及时将变更的资料提供给基金托管人。</w:t>
      </w:r>
    </w:p>
    <w:p w14:paraId="292A8766">
      <w:pPr>
        <w:adjustRightInd w:val="0"/>
        <w:snapToGrid w:val="0"/>
        <w:spacing w:line="360" w:lineRule="auto"/>
        <w:ind w:firstLine="420" w:firstLineChars="200"/>
        <w:rPr>
          <w:rFonts w:ascii="宋体" w:hAnsi="宋体" w:cs="Arial"/>
          <w:szCs w:val="21"/>
        </w:rPr>
      </w:pPr>
      <w:r>
        <w:rPr>
          <w:rFonts w:hint="eastAsia" w:ascii="宋体" w:hAnsi="宋体" w:cs="Arial"/>
          <w:szCs w:val="21"/>
        </w:rPr>
        <w:t>2.因业务发展需要而开立的其他账户，可以根据法律法规和基金合同的规定，由基金管理人协助基金托管人按照有关法律法规和本协议的约定协商后开立。新账户按有关规定使用并管理。</w:t>
      </w:r>
    </w:p>
    <w:p w14:paraId="55FD7609">
      <w:pPr>
        <w:adjustRightInd w:val="0"/>
        <w:snapToGrid w:val="0"/>
        <w:spacing w:line="360" w:lineRule="auto"/>
        <w:ind w:firstLine="420" w:firstLineChars="200"/>
        <w:rPr>
          <w:rFonts w:ascii="宋体" w:hAnsi="宋体" w:cs="Arial"/>
          <w:szCs w:val="21"/>
        </w:rPr>
      </w:pPr>
      <w:r>
        <w:rPr>
          <w:rFonts w:hint="eastAsia" w:ascii="宋体" w:hAnsi="宋体" w:cs="Arial"/>
          <w:szCs w:val="21"/>
        </w:rPr>
        <w:t>3.法律法规等有关规定对相关账户的开立和管理另有规定的，从其规定办理。</w:t>
      </w:r>
    </w:p>
    <w:p w14:paraId="7C72A6B3">
      <w:pPr>
        <w:adjustRightInd w:val="0"/>
        <w:snapToGrid w:val="0"/>
        <w:spacing w:line="360" w:lineRule="auto"/>
        <w:ind w:firstLine="420" w:firstLineChars="200"/>
        <w:rPr>
          <w:rFonts w:ascii="宋体" w:hAnsi="宋体" w:cs="Arial"/>
          <w:szCs w:val="21"/>
        </w:rPr>
      </w:pPr>
      <w:r>
        <w:rPr>
          <w:rFonts w:hint="eastAsia" w:ascii="宋体" w:hAnsi="宋体" w:cs="Arial"/>
          <w:szCs w:val="21"/>
        </w:rPr>
        <w:t>（七）基金财产投资的有关有价凭证等的保管</w:t>
      </w:r>
    </w:p>
    <w:p w14:paraId="131CAD07">
      <w:pPr>
        <w:adjustRightInd w:val="0"/>
        <w:snapToGrid w:val="0"/>
        <w:spacing w:line="360" w:lineRule="auto"/>
        <w:ind w:firstLine="420" w:firstLineChars="200"/>
        <w:rPr>
          <w:rFonts w:ascii="宋体" w:hAnsi="宋体" w:cs="Arial"/>
          <w:szCs w:val="21"/>
        </w:rPr>
      </w:pPr>
      <w:r>
        <w:rPr>
          <w:rFonts w:hint="eastAsia" w:ascii="宋体" w:hAnsi="宋体" w:cs="Arial"/>
          <w:szCs w:val="21"/>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14:paraId="37AA10DB">
      <w:pPr>
        <w:adjustRightInd w:val="0"/>
        <w:snapToGrid w:val="0"/>
        <w:spacing w:line="360" w:lineRule="auto"/>
        <w:ind w:firstLine="420" w:firstLineChars="200"/>
        <w:rPr>
          <w:rFonts w:ascii="宋体" w:hAnsi="宋体" w:cs="Arial"/>
          <w:szCs w:val="21"/>
        </w:rPr>
      </w:pPr>
      <w:r>
        <w:rPr>
          <w:rFonts w:hint="eastAsia" w:ascii="宋体" w:hAnsi="宋体" w:cs="Arial"/>
          <w:szCs w:val="21"/>
        </w:rPr>
        <w:t>（八）与基金财产有关的重大合同的保管</w:t>
      </w:r>
    </w:p>
    <w:p w14:paraId="4B852499">
      <w:pPr>
        <w:adjustRightInd w:val="0"/>
        <w:snapToGrid w:val="0"/>
        <w:spacing w:line="360" w:lineRule="auto"/>
        <w:ind w:firstLine="420" w:firstLineChars="200"/>
        <w:rPr>
          <w:rFonts w:ascii="宋体" w:hAnsi="宋体" w:cs="Arial"/>
          <w:szCs w:val="21"/>
        </w:rPr>
      </w:pPr>
      <w:r>
        <w:rPr>
          <w:rFonts w:hint="eastAsia" w:ascii="宋体" w:hAnsi="宋体" w:cs="Arial"/>
          <w:szCs w:val="21"/>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w:t>
      </w:r>
      <w:r>
        <w:rPr>
          <w:rFonts w:hint="eastAsia" w:ascii="宋体" w:hAnsi="宋体"/>
          <w:szCs w:val="21"/>
        </w:rPr>
        <w:t>因基金管理人发送的合同传真件与事后送达的合同原件不一致所造成的后果，由基金管理人负责。</w:t>
      </w:r>
      <w:r>
        <w:rPr>
          <w:rFonts w:hint="eastAsia" w:ascii="宋体" w:hAnsi="宋体" w:cs="Arial"/>
          <w:szCs w:val="21"/>
        </w:rPr>
        <w:t>重大合同的保管期限不低于法律法规规定的最低期限。</w:t>
      </w:r>
    </w:p>
    <w:p w14:paraId="07B0E9FA">
      <w:pPr>
        <w:adjustRightInd w:val="0"/>
        <w:snapToGrid w:val="0"/>
        <w:spacing w:line="360" w:lineRule="auto"/>
        <w:ind w:firstLine="420" w:firstLineChars="200"/>
        <w:rPr>
          <w:rFonts w:ascii="宋体" w:hAnsi="宋体"/>
          <w:szCs w:val="21"/>
        </w:rPr>
      </w:pPr>
      <w:r>
        <w:rPr>
          <w:rFonts w:hint="eastAsia" w:ascii="宋体" w:hAnsi="宋体"/>
          <w:szCs w:val="21"/>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4360F2C9">
      <w:pPr>
        <w:spacing w:line="360" w:lineRule="auto"/>
        <w:ind w:firstLine="420"/>
        <w:rPr>
          <w:rFonts w:ascii="宋体" w:hAnsi="宋体"/>
          <w:szCs w:val="21"/>
        </w:rPr>
      </w:pPr>
    </w:p>
    <w:bookmarkEnd w:id="74"/>
    <w:p w14:paraId="227B7A89">
      <w:pPr>
        <w:adjustRightInd w:val="0"/>
        <w:snapToGrid w:val="0"/>
        <w:spacing w:line="360" w:lineRule="auto"/>
        <w:ind w:firstLine="420" w:firstLineChars="200"/>
        <w:rPr>
          <w:rFonts w:ascii="宋体" w:hAnsi="宋体"/>
        </w:rPr>
        <w:sectPr>
          <w:footerReference r:id="rId12" w:type="default"/>
          <w:pgSz w:w="11906" w:h="16838"/>
          <w:pgMar w:top="1418" w:right="1701" w:bottom="1418" w:left="1701" w:header="851" w:footer="992" w:gutter="0"/>
          <w:pgNumType w:fmt="decimal" w:start="1"/>
          <w:cols w:space="720" w:num="1"/>
          <w:docGrid w:type="lines" w:linePitch="312" w:charSpace="0"/>
        </w:sectPr>
      </w:pPr>
      <w:bookmarkStart w:id="78" w:name="_Toc84133787"/>
      <w:bookmarkStart w:id="79" w:name="_Toc86726441"/>
      <w:bookmarkStart w:id="80" w:name="_Toc86204790"/>
      <w:bookmarkStart w:id="81" w:name="_Toc86223244"/>
      <w:bookmarkStart w:id="82" w:name="_Toc84234389"/>
      <w:bookmarkStart w:id="83" w:name="_Toc86737931"/>
      <w:bookmarkStart w:id="84" w:name="_Toc501274918"/>
      <w:bookmarkStart w:id="85" w:name="_Toc120435785"/>
      <w:bookmarkStart w:id="86" w:name="_Toc86225293"/>
      <w:bookmarkStart w:id="87" w:name="_Toc118774805"/>
      <w:bookmarkStart w:id="88" w:name="_Toc110765662"/>
      <w:bookmarkStart w:id="89" w:name="_Toc110830494"/>
      <w:bookmarkStart w:id="90" w:name="_Toc348082034"/>
      <w:bookmarkStart w:id="91" w:name="_Toc384992696"/>
      <w:bookmarkStart w:id="92" w:name="_Toc119402712"/>
      <w:bookmarkStart w:id="93" w:name="_Toc86649724"/>
      <w:bookmarkStart w:id="94" w:name="_Toc118972650"/>
      <w:bookmarkStart w:id="95" w:name="_Toc108512360"/>
      <w:bookmarkStart w:id="96" w:name="_Toc118212952"/>
      <w:bookmarkStart w:id="97" w:name="_Toc86727357"/>
      <w:bookmarkStart w:id="98" w:name="_Toc84234436"/>
      <w:bookmarkStart w:id="99" w:name="_Toc110761798"/>
      <w:bookmarkStart w:id="100" w:name="_Toc89163370"/>
      <w:bookmarkStart w:id="101" w:name="CLAUSE_aaefd3380745464d8590c17204017e26"/>
    </w:p>
    <w:p w14:paraId="20F52B8E">
      <w:pPr>
        <w:pStyle w:val="3"/>
        <w:spacing w:before="312" w:beforeLines="100" w:after="156" w:afterLines="50" w:line="360" w:lineRule="auto"/>
        <w:jc w:val="center"/>
        <w:rPr>
          <w:rFonts w:ascii="宋体" w:hAnsi="宋体" w:eastAsia="宋体"/>
          <w:sz w:val="21"/>
          <w:szCs w:val="21"/>
        </w:rPr>
      </w:pPr>
      <w:r>
        <w:t xml:space="preserve"> </w:t>
      </w:r>
      <w:bookmarkStart w:id="102" w:name="CTS_aaefd3380745464d8590c17204017e26"/>
      <w:bookmarkEnd w:id="102"/>
      <w:r>
        <w:t xml:space="preserve"> </w:t>
      </w:r>
      <w:bookmarkStart w:id="103" w:name="_Toc11174"/>
      <w:bookmarkStart w:id="104" w:name="_Toc23717"/>
      <w:r>
        <w:rPr>
          <w:rFonts w:hint="eastAsia" w:ascii="宋体" w:hAnsi="宋体" w:eastAsia="宋体"/>
          <w:sz w:val="21"/>
          <w:szCs w:val="21"/>
        </w:rPr>
        <w:t>六、指令的发送、确认及执行</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3"/>
      <w:bookmarkEnd w:id="104"/>
    </w:p>
    <w:p w14:paraId="6F503853">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基金管理人在运用基金财产时向基金托管人发送资金划拨及其他款项付款指令，基金托管人执行基金管理人的指令、办理基金名下的资金往来等有关事项。</w:t>
      </w:r>
    </w:p>
    <w:p w14:paraId="2E90B75D">
      <w:pPr>
        <w:adjustRightInd w:val="0"/>
        <w:snapToGrid w:val="0"/>
        <w:spacing w:line="360" w:lineRule="auto"/>
        <w:ind w:firstLine="426"/>
        <w:rPr>
          <w:rFonts w:ascii="宋体" w:hAnsi="宋体"/>
          <w:szCs w:val="21"/>
        </w:rPr>
      </w:pPr>
      <w:r>
        <w:rPr>
          <w:rFonts w:hint="eastAsia" w:ascii="宋体" w:hAnsi="宋体"/>
          <w:szCs w:val="21"/>
        </w:rPr>
        <w:t>基金管理人发送的指令包括电子指令和纸质指令。</w:t>
      </w:r>
    </w:p>
    <w:p w14:paraId="77F5AC95">
      <w:pPr>
        <w:adjustRightInd w:val="0"/>
        <w:snapToGrid w:val="0"/>
        <w:spacing w:line="360" w:lineRule="auto"/>
        <w:ind w:firstLine="426"/>
        <w:rPr>
          <w:rFonts w:ascii="宋体" w:hAnsi="宋体"/>
          <w:szCs w:val="21"/>
        </w:rPr>
      </w:pPr>
      <w:r>
        <w:rPr>
          <w:rFonts w:hint="eastAsia" w:ascii="宋体" w:hAnsi="宋体"/>
          <w:szCs w:val="21"/>
        </w:rPr>
        <w:t>电子指令包括基金管理人发送的电子指令（采用电子报文传送的电子指令、招商银行托管+综合服务平台录入的电子指令）、自动产生的电子指令（网上托管银行托管人端根据管理人同意设定的业务规则自动产生的电子指令）。纸质指令包括基金管理人给基金托管人传真指令或原件指令。</w:t>
      </w:r>
    </w:p>
    <w:p w14:paraId="47B4A565">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（一）基金管理人对发送指令人员的书面授权</w:t>
      </w:r>
    </w:p>
    <w:p w14:paraId="1218B56F">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szCs w:val="21"/>
        </w:rPr>
        <w:t>基金管理人</w:t>
      </w:r>
      <w:r>
        <w:rPr>
          <w:rFonts w:hint="eastAsia" w:ascii="宋体" w:hAnsi="宋体" w:cs="Arial"/>
          <w:szCs w:val="21"/>
        </w:rPr>
        <w:t>应</w:t>
      </w:r>
      <w:r>
        <w:rPr>
          <w:rFonts w:hint="eastAsia" w:ascii="宋体" w:hAnsi="宋体"/>
          <w:szCs w:val="21"/>
        </w:rPr>
        <w:t>事先向基金托管人</w:t>
      </w:r>
      <w:r>
        <w:rPr>
          <w:rFonts w:hint="eastAsia" w:ascii="宋体" w:hAnsi="宋体" w:cs="Arial"/>
          <w:szCs w:val="21"/>
        </w:rPr>
        <w:t>提供书面授权</w:t>
      </w:r>
      <w:r>
        <w:rPr>
          <w:rFonts w:hint="eastAsia" w:ascii="宋体" w:hAnsi="宋体"/>
          <w:szCs w:val="21"/>
        </w:rPr>
        <w:t>通知书（以下称“授权通知书”），指定指令的被授权人员及被授权印鉴，授权通知书的</w:t>
      </w:r>
      <w:r>
        <w:rPr>
          <w:rFonts w:hint="eastAsia" w:ascii="宋体" w:hAnsi="宋体" w:cs="Arial"/>
          <w:szCs w:val="21"/>
        </w:rPr>
        <w:t>内容包括被授权人</w:t>
      </w:r>
      <w:r>
        <w:rPr>
          <w:rFonts w:hint="eastAsia" w:ascii="宋体" w:hAnsi="宋体"/>
          <w:szCs w:val="21"/>
        </w:rPr>
        <w:t>的</w:t>
      </w:r>
      <w:r>
        <w:rPr>
          <w:rFonts w:hint="eastAsia" w:ascii="宋体" w:hAnsi="宋体" w:cs="Arial"/>
          <w:szCs w:val="21"/>
        </w:rPr>
        <w:t>名单、</w:t>
      </w:r>
      <w:r>
        <w:rPr>
          <w:rFonts w:hint="eastAsia" w:ascii="宋体" w:hAnsi="宋体"/>
          <w:szCs w:val="21"/>
        </w:rPr>
        <w:t>签字/印章样本、权限和</w:t>
      </w:r>
      <w:r>
        <w:rPr>
          <w:rFonts w:hint="eastAsia" w:ascii="宋体" w:hAnsi="宋体" w:cs="Arial"/>
          <w:szCs w:val="21"/>
        </w:rPr>
        <w:t>预留印鉴</w:t>
      </w:r>
      <w:r>
        <w:rPr>
          <w:rFonts w:hint="eastAsia" w:ascii="宋体" w:hAnsi="宋体"/>
          <w:szCs w:val="21"/>
        </w:rPr>
        <w:t>，以及授权的传真号码、邮箱、电话号码等。</w:t>
      </w:r>
      <w:r>
        <w:rPr>
          <w:rFonts w:hint="eastAsia" w:ascii="宋体" w:hAnsi="宋体" w:cs="Arial"/>
          <w:szCs w:val="21"/>
        </w:rPr>
        <w:t>授权</w:t>
      </w:r>
      <w:r>
        <w:rPr>
          <w:rFonts w:hint="eastAsia" w:ascii="宋体" w:hAnsi="宋体"/>
          <w:szCs w:val="21"/>
        </w:rPr>
        <w:t>通知书</w:t>
      </w:r>
      <w:r>
        <w:rPr>
          <w:rFonts w:hint="eastAsia" w:ascii="宋体" w:hAnsi="宋体" w:cs="Arial"/>
          <w:szCs w:val="21"/>
        </w:rPr>
        <w:t>应</w:t>
      </w:r>
      <w:r>
        <w:rPr>
          <w:rFonts w:hint="eastAsia" w:ascii="宋体" w:hAnsi="宋体"/>
          <w:szCs w:val="21"/>
        </w:rPr>
        <w:t>加盖基金管理人公司公章</w:t>
      </w:r>
      <w:r>
        <w:rPr>
          <w:rFonts w:ascii="宋体" w:hAnsi="宋体"/>
          <w:szCs w:val="21"/>
        </w:rPr>
        <w:t>和法定代表人</w:t>
      </w:r>
      <w:r>
        <w:rPr>
          <w:rFonts w:hint="eastAsia" w:ascii="宋体" w:hAnsi="宋体"/>
          <w:szCs w:val="21"/>
        </w:rPr>
        <w:t>（或授权人）签字</w:t>
      </w:r>
      <w:r>
        <w:rPr>
          <w:rFonts w:ascii="宋体" w:hAnsi="宋体"/>
          <w:szCs w:val="21"/>
        </w:rPr>
        <w:t>/签章</w:t>
      </w:r>
      <w:r>
        <w:rPr>
          <w:rFonts w:hint="eastAsia" w:ascii="宋体" w:hAnsi="宋体"/>
          <w:szCs w:val="21"/>
        </w:rPr>
        <w:t>，</w:t>
      </w:r>
      <w:r>
        <w:rPr>
          <w:rFonts w:ascii="宋体" w:hAnsi="宋体"/>
          <w:szCs w:val="21"/>
        </w:rPr>
        <w:t>若由授权代表签署</w:t>
      </w:r>
      <w:r>
        <w:rPr>
          <w:rFonts w:hint="eastAsia" w:ascii="宋体" w:hAnsi="宋体"/>
          <w:szCs w:val="21"/>
        </w:rPr>
        <w:t>，</w:t>
      </w:r>
      <w:r>
        <w:rPr>
          <w:rFonts w:ascii="宋体" w:hAnsi="宋体"/>
          <w:szCs w:val="21"/>
        </w:rPr>
        <w:t>还</w:t>
      </w:r>
      <w:r>
        <w:rPr>
          <w:rFonts w:hint="eastAsia" w:ascii="宋体" w:hAnsi="宋体"/>
          <w:szCs w:val="21"/>
        </w:rPr>
        <w:t>应</w:t>
      </w:r>
      <w:r>
        <w:rPr>
          <w:rFonts w:ascii="宋体" w:hAnsi="宋体"/>
          <w:szCs w:val="21"/>
        </w:rPr>
        <w:t>附上法定代表</w:t>
      </w:r>
      <w:r>
        <w:rPr>
          <w:rFonts w:hint="eastAsia" w:ascii="宋体" w:hAnsi="宋体"/>
          <w:szCs w:val="21"/>
        </w:rPr>
        <w:t>人</w:t>
      </w:r>
      <w:r>
        <w:rPr>
          <w:rFonts w:ascii="宋体" w:hAnsi="宋体"/>
          <w:szCs w:val="21"/>
        </w:rPr>
        <w:t>的授权书</w:t>
      </w:r>
      <w:r>
        <w:rPr>
          <w:rFonts w:hint="eastAsia" w:ascii="宋体" w:hAnsi="宋体"/>
          <w:szCs w:val="21"/>
        </w:rPr>
        <w:t>，并写明生效时间，未写明生效时间的以本协议签署日期或授权通知书的落款日期为生效时间。基金管理人应使用传真或其他与基金托管人协商一致的方式向基金托管人发出授权通知书，同时电话通知基金托管人。授权通知书经基金管理人与基金托管人以电话方式或其他基金管理人和基金托管人认可的方式确认后，于授权通知书载明的生效时间生效或授权通知书的落款时间生效。基金管理人在此后三个工作日内将授权通知书的正本送交基金托管人。授权通知书正本内容与基金托管人收到的传真不一致的，以基金托管人收到的传真为准。</w:t>
      </w:r>
    </w:p>
    <w:p w14:paraId="7761FEF6">
      <w:pPr>
        <w:tabs>
          <w:tab w:val="left" w:pos="1260"/>
        </w:tabs>
        <w:adjustRightInd w:val="0"/>
        <w:snapToGrid w:val="0"/>
        <w:spacing w:line="360" w:lineRule="auto"/>
        <w:ind w:firstLine="420" w:firstLineChars="200"/>
        <w:rPr>
          <w:rFonts w:ascii="宋体" w:hAnsi="宋体" w:cs="Arial"/>
          <w:szCs w:val="21"/>
        </w:rPr>
      </w:pPr>
      <w:r>
        <w:rPr>
          <w:rFonts w:hint="eastAsia" w:ascii="宋体" w:hAnsi="宋体"/>
          <w:szCs w:val="21"/>
        </w:rPr>
        <w:t>基金管理人</w:t>
      </w:r>
      <w:r>
        <w:rPr>
          <w:rFonts w:hint="eastAsia" w:ascii="宋体" w:hAnsi="宋体" w:cs="Arial"/>
          <w:szCs w:val="21"/>
        </w:rPr>
        <w:t>和</w:t>
      </w:r>
      <w:r>
        <w:rPr>
          <w:rFonts w:hint="eastAsia" w:ascii="宋体" w:hAnsi="宋体"/>
          <w:szCs w:val="21"/>
        </w:rPr>
        <w:t>基金托管人</w:t>
      </w:r>
      <w:r>
        <w:rPr>
          <w:rFonts w:hint="eastAsia" w:ascii="宋体" w:hAnsi="宋体" w:cs="Arial"/>
          <w:szCs w:val="21"/>
        </w:rPr>
        <w:t>对授权</w:t>
      </w:r>
      <w:r>
        <w:rPr>
          <w:rFonts w:hint="eastAsia" w:ascii="宋体" w:hAnsi="宋体"/>
          <w:szCs w:val="21"/>
        </w:rPr>
        <w:t>通知书</w:t>
      </w:r>
      <w:r>
        <w:rPr>
          <w:rFonts w:hint="eastAsia" w:ascii="宋体" w:hAnsi="宋体" w:cs="Arial"/>
          <w:szCs w:val="21"/>
        </w:rPr>
        <w:t>负有保密义务，其内容不得向</w:t>
      </w:r>
      <w:r>
        <w:rPr>
          <w:rFonts w:hint="eastAsia" w:ascii="宋体" w:hAnsi="宋体"/>
          <w:szCs w:val="21"/>
        </w:rPr>
        <w:t>授权人、</w:t>
      </w:r>
      <w:r>
        <w:rPr>
          <w:rFonts w:hint="eastAsia" w:ascii="宋体" w:hAnsi="宋体" w:cs="Arial"/>
          <w:szCs w:val="21"/>
        </w:rPr>
        <w:t>被授权人及相关操作人员以外的任何人</w:t>
      </w:r>
      <w:r>
        <w:rPr>
          <w:rFonts w:hint="eastAsia" w:ascii="宋体" w:hAnsi="宋体"/>
          <w:szCs w:val="21"/>
        </w:rPr>
        <w:t>泄露</w:t>
      </w:r>
      <w:r>
        <w:rPr>
          <w:rFonts w:hint="eastAsia" w:ascii="宋体" w:hAnsi="宋体" w:cs="Arial"/>
          <w:szCs w:val="21"/>
        </w:rPr>
        <w:t>，但法律法规规定或有权机关另有要求的除外。</w:t>
      </w:r>
    </w:p>
    <w:p w14:paraId="107C9DEE">
      <w:pPr>
        <w:adjustRightInd w:val="0"/>
        <w:snapToGrid w:val="0"/>
        <w:spacing w:line="360" w:lineRule="auto"/>
        <w:ind w:firstLine="420" w:firstLineChars="200"/>
        <w:rPr>
          <w:rFonts w:ascii="宋体" w:hAnsi="宋体" w:cs="Arial"/>
          <w:szCs w:val="21"/>
        </w:rPr>
      </w:pPr>
      <w:r>
        <w:rPr>
          <w:rFonts w:hint="eastAsia" w:ascii="宋体" w:hAnsi="宋体" w:cs="Arial"/>
          <w:szCs w:val="21"/>
        </w:rPr>
        <w:t>（二）指令的内容</w:t>
      </w:r>
    </w:p>
    <w:p w14:paraId="3EFFDF05">
      <w:pPr>
        <w:adjustRightInd w:val="0"/>
        <w:snapToGrid w:val="0"/>
        <w:spacing w:line="360" w:lineRule="auto"/>
        <w:ind w:firstLine="420" w:firstLineChars="200"/>
        <w:rPr>
          <w:rFonts w:ascii="宋体" w:hAnsi="宋体" w:cs="Arial"/>
          <w:szCs w:val="21"/>
        </w:rPr>
      </w:pPr>
      <w:r>
        <w:rPr>
          <w:rFonts w:hint="eastAsia" w:ascii="宋体" w:hAnsi="宋体" w:cs="Arial"/>
          <w:szCs w:val="21"/>
        </w:rPr>
        <w:t>投资</w:t>
      </w:r>
      <w:r>
        <w:rPr>
          <w:rFonts w:hint="eastAsia" w:ascii="宋体" w:hAnsi="宋体"/>
          <w:szCs w:val="21"/>
        </w:rPr>
        <w:t>指令是在管理本基金时，基金管理人向基金托管人发出的交易成交单、交易指令及</w:t>
      </w:r>
      <w:r>
        <w:rPr>
          <w:rFonts w:hint="eastAsia" w:ascii="宋体" w:hAnsi="宋体" w:cs="Arial"/>
          <w:szCs w:val="21"/>
        </w:rPr>
        <w:t>资金划拨</w:t>
      </w:r>
      <w:r>
        <w:rPr>
          <w:rFonts w:hint="eastAsia" w:ascii="宋体" w:hAnsi="宋体"/>
          <w:szCs w:val="21"/>
        </w:rPr>
        <w:t>类指令（以下简称“指令”）。</w:t>
      </w:r>
      <w:r>
        <w:rPr>
          <w:rFonts w:hint="eastAsia" w:ascii="宋体" w:hAnsi="宋体" w:cs="Arial"/>
          <w:szCs w:val="21"/>
        </w:rPr>
        <w:t>指令</w:t>
      </w:r>
      <w:r>
        <w:rPr>
          <w:rFonts w:hint="eastAsia" w:ascii="宋体" w:hAnsi="宋体"/>
          <w:szCs w:val="21"/>
        </w:rPr>
        <w:t>应</w:t>
      </w:r>
      <w:r>
        <w:rPr>
          <w:rFonts w:hint="eastAsia" w:ascii="宋体" w:hAnsi="宋体" w:cs="Arial"/>
          <w:szCs w:val="21"/>
        </w:rPr>
        <w:t>加盖预留印鉴并由被授权人印章/签字。</w:t>
      </w:r>
      <w:r>
        <w:rPr>
          <w:rFonts w:hint="eastAsia" w:ascii="宋体" w:hAnsi="宋体"/>
          <w:szCs w:val="21"/>
        </w:rPr>
        <w:t>基金管理人发给基金托管人的资金划拨类指令应写明款项事由、时间、金额、出款和收款账户信息等。</w:t>
      </w:r>
    </w:p>
    <w:p w14:paraId="4ED13FE8">
      <w:pPr>
        <w:adjustRightInd w:val="0"/>
        <w:snapToGrid w:val="0"/>
        <w:spacing w:line="360" w:lineRule="auto"/>
        <w:ind w:firstLine="420" w:firstLineChars="200"/>
        <w:rPr>
          <w:rFonts w:ascii="宋体" w:hAnsi="宋体" w:cs="Arial"/>
          <w:szCs w:val="21"/>
        </w:rPr>
      </w:pPr>
      <w:r>
        <w:rPr>
          <w:rFonts w:hint="eastAsia" w:ascii="宋体" w:hAnsi="宋体" w:cs="Arial"/>
          <w:szCs w:val="21"/>
        </w:rPr>
        <w:t>（三）指令的发送、确认及执行的时间和程序</w:t>
      </w:r>
    </w:p>
    <w:p w14:paraId="44AADFB0">
      <w:pPr>
        <w:adjustRightInd w:val="0"/>
        <w:snapToGrid w:val="0"/>
        <w:spacing w:line="360" w:lineRule="auto"/>
        <w:ind w:firstLine="420" w:firstLineChars="200"/>
        <w:rPr>
          <w:rFonts w:ascii="宋体" w:hAnsi="宋体" w:cs="Arial"/>
          <w:szCs w:val="21"/>
        </w:rPr>
      </w:pPr>
      <w:r>
        <w:rPr>
          <w:rFonts w:hint="eastAsia" w:ascii="宋体" w:hAnsi="宋体" w:cs="Arial"/>
          <w:szCs w:val="21"/>
        </w:rPr>
        <w:t>1.指令发送的方式</w:t>
      </w:r>
    </w:p>
    <w:p w14:paraId="21214E3A">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基金管理人选择以下第（1）-（4）种方式向</w:t>
      </w:r>
      <w:r>
        <w:rPr>
          <w:rFonts w:hint="eastAsia" w:ascii="宋体" w:hAnsi="宋体"/>
          <w:szCs w:val="21"/>
        </w:rPr>
        <w:t>基金</w:t>
      </w:r>
      <w:r>
        <w:rPr>
          <w:rFonts w:hint="eastAsia" w:ascii="宋体" w:hAnsi="宋体" w:cs="Arial"/>
          <w:szCs w:val="21"/>
        </w:rPr>
        <w:t xml:space="preserve">托管人发送指令： </w:t>
      </w:r>
    </w:p>
    <w:p w14:paraId="5A115FBB">
      <w:pPr>
        <w:adjustRightInd w:val="0"/>
        <w:snapToGrid w:val="0"/>
        <w:spacing w:line="360" w:lineRule="auto"/>
        <w:ind w:firstLine="420" w:firstLineChars="200"/>
        <w:rPr>
          <w:rFonts w:ascii="宋体" w:hAnsi="宋体" w:cs="Arial"/>
          <w:szCs w:val="21"/>
        </w:rPr>
      </w:pPr>
      <w:r>
        <w:rPr>
          <w:rFonts w:hint="eastAsia" w:ascii="宋体" w:hAnsi="宋体" w:cs="Arial"/>
          <w:szCs w:val="21"/>
        </w:rPr>
        <w:t>（1）基金管理人通过招商银行托管+综合服务平台录入方式，向基金托管人发送电子划款指令或投资指令。</w:t>
      </w:r>
    </w:p>
    <w:p w14:paraId="07742041">
      <w:pPr>
        <w:adjustRightInd w:val="0"/>
        <w:snapToGrid w:val="0"/>
        <w:spacing w:line="360" w:lineRule="auto"/>
        <w:ind w:firstLine="420" w:firstLineChars="200"/>
        <w:rPr>
          <w:rFonts w:ascii="宋体" w:hAnsi="宋体" w:cs="Arial"/>
          <w:szCs w:val="21"/>
        </w:rPr>
      </w:pPr>
      <w:r>
        <w:rPr>
          <w:rFonts w:hint="eastAsia" w:ascii="宋体" w:hAnsi="宋体" w:cs="Arial"/>
          <w:szCs w:val="21"/>
        </w:rPr>
        <w:t>招商银行托管+综合服务平台是指基金托管人基于Internet网络，向基金管理人提供的客户服务软件，实现基金管理人与</w:t>
      </w:r>
      <w:r>
        <w:rPr>
          <w:rFonts w:hint="eastAsia" w:ascii="宋体" w:hAnsi="宋体"/>
          <w:szCs w:val="21"/>
        </w:rPr>
        <w:t>基金</w:t>
      </w:r>
      <w:r>
        <w:rPr>
          <w:rFonts w:hint="eastAsia" w:ascii="宋体" w:hAnsi="宋体" w:cs="Arial"/>
          <w:szCs w:val="21"/>
        </w:rPr>
        <w:t>托管人之间指令处理、数据传输、业务查询、资料传递和信息服务等直通式处理。</w:t>
      </w:r>
    </w:p>
    <w:p w14:paraId="07C499D6">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基金管理人和基金托管人另行签订《招商银行“托管+”综合服务平台服务协议》，具体事宜以《招商银行“托管+”综合服务平台服务协议》的约定为准。</w:t>
      </w:r>
    </w:p>
    <w:p w14:paraId="0D58E299">
      <w:pPr>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（2）基金管理人通过深证通电子直连对接方式，向基金托管人发送电子划款指令或投资指令。</w:t>
      </w:r>
    </w:p>
    <w:p w14:paraId="6D07ED12">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基金管理人通过深证通电子直连对接方式发送电子指令的，基金管理人应至少在产品成立日前一日，通过预留邮箱或加盖预留印鉴的函件告知</w:t>
      </w:r>
      <w:r>
        <w:rPr>
          <w:rFonts w:hint="eastAsia" w:ascii="宋体" w:hAnsi="宋体"/>
          <w:szCs w:val="21"/>
        </w:rPr>
        <w:t>基金</w:t>
      </w:r>
      <w:r>
        <w:rPr>
          <w:rFonts w:hint="eastAsia" w:ascii="宋体" w:hAnsi="宋体" w:cs="Arial"/>
          <w:szCs w:val="21"/>
        </w:rPr>
        <w:t>托管人本基金的资产代码。</w:t>
      </w:r>
    </w:p>
    <w:p w14:paraId="33597984">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对于基金管理人通过上述（1）、（2）方式发送的指令，基金管理人不得否认其效力。</w:t>
      </w:r>
    </w:p>
    <w:p w14:paraId="516E33AF">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对于基金管理人通过上述（1）、（2）方式发送指令的，在应急情况下，基金管理人可以传真发送划款指令或者快递、现场交互原件指令。具体操作方式分别按照以下第（3）、（4）款指令发送方式执行。</w:t>
      </w:r>
    </w:p>
    <w:p w14:paraId="04034F9D">
      <w:pPr>
        <w:adjustRightInd w:val="0"/>
        <w:snapToGrid w:val="0"/>
        <w:spacing w:line="360" w:lineRule="auto"/>
        <w:ind w:firstLine="420" w:firstLineChars="200"/>
        <w:rPr>
          <w:rFonts w:ascii="宋体" w:hAnsi="宋体" w:cs="Arial"/>
          <w:szCs w:val="21"/>
        </w:rPr>
      </w:pPr>
      <w:r>
        <w:rPr>
          <w:rFonts w:hint="eastAsia" w:ascii="宋体" w:hAnsi="宋体" w:cs="Arial"/>
          <w:szCs w:val="21"/>
        </w:rPr>
        <w:t>（3）基金管理人选择以传真方式发送指令</w:t>
      </w:r>
    </w:p>
    <w:p w14:paraId="630282F2">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对于基金管理人通过预留传真号码发出的指令，基金管理人不得否认其效力。</w:t>
      </w:r>
    </w:p>
    <w:p w14:paraId="0D6BBAF3">
      <w:pPr>
        <w:adjustRightInd w:val="0"/>
        <w:snapToGrid w:val="0"/>
        <w:spacing w:line="360" w:lineRule="auto"/>
        <w:ind w:firstLine="420" w:firstLineChars="200"/>
        <w:rPr>
          <w:rFonts w:ascii="宋体" w:hAnsi="宋体" w:cs="Arial"/>
          <w:szCs w:val="21"/>
        </w:rPr>
      </w:pPr>
      <w:r>
        <w:rPr>
          <w:rFonts w:hint="eastAsia" w:ascii="宋体" w:hAnsi="宋体" w:cs="Arial"/>
          <w:szCs w:val="21"/>
        </w:rPr>
        <w:t>特殊情况下，基金管理人无法使用预留传真号码发送指令时，可通过非预留传真号码应急发送传真指令，基金管理人须通过授权的电话号码通知基金托管人接收传真指令。如因基金管理人未通知基金托管人接收传真指令造成的损失，基金托管人不承担责任。上述特殊情况解决后，基金管理人应向基金托管人出具预留传真号码更新通知，并加盖基金管理人在授权通知书中的预留印鉴。</w:t>
      </w:r>
    </w:p>
    <w:p w14:paraId="441881A1">
      <w:pPr>
        <w:adjustRightInd w:val="0"/>
        <w:snapToGrid w:val="0"/>
        <w:spacing w:line="360" w:lineRule="auto"/>
        <w:ind w:firstLine="420" w:firstLineChars="200"/>
        <w:rPr>
          <w:rFonts w:ascii="宋体" w:hAnsi="宋体" w:cs="Arial"/>
          <w:szCs w:val="21"/>
        </w:rPr>
      </w:pPr>
      <w:r>
        <w:rPr>
          <w:rFonts w:hint="eastAsia" w:ascii="宋体" w:hAnsi="宋体" w:cs="Arial"/>
          <w:szCs w:val="21"/>
        </w:rPr>
        <w:t>（4）基金管理人快递寄送或现场交互指令原件的形式传递指令</w:t>
      </w:r>
    </w:p>
    <w:p w14:paraId="23D2418B">
      <w:pPr>
        <w:adjustRightInd w:val="0"/>
        <w:snapToGrid w:val="0"/>
        <w:spacing w:line="360" w:lineRule="auto"/>
        <w:ind w:firstLine="420" w:firstLineChars="200"/>
        <w:rPr>
          <w:rFonts w:ascii="宋体" w:hAnsi="宋体" w:cs="Arial"/>
          <w:szCs w:val="21"/>
        </w:rPr>
      </w:pPr>
      <w:r>
        <w:rPr>
          <w:rFonts w:hint="eastAsia" w:ascii="宋体" w:hAnsi="宋体" w:cs="Arial"/>
          <w:szCs w:val="21"/>
        </w:rPr>
        <w:t>如需变更指令发送形式，基金管理人须提前向基金托管人提供变更指令发送形式的指令发送方式变更通知书。</w:t>
      </w:r>
    </w:p>
    <w:p w14:paraId="21AF353F">
      <w:pPr>
        <w:adjustRightInd w:val="0"/>
        <w:snapToGrid w:val="0"/>
        <w:spacing w:line="360" w:lineRule="auto"/>
        <w:ind w:firstLine="420" w:firstLineChars="200"/>
        <w:rPr>
          <w:rFonts w:ascii="宋体" w:hAnsi="宋体" w:cs="Arial"/>
          <w:szCs w:val="21"/>
        </w:rPr>
      </w:pPr>
      <w:r>
        <w:rPr>
          <w:rFonts w:hint="eastAsia" w:ascii="宋体" w:hAnsi="宋体" w:cs="Arial"/>
          <w:szCs w:val="21"/>
        </w:rPr>
        <w:t>2.指令附件的发送方式</w:t>
      </w:r>
    </w:p>
    <w:p w14:paraId="2D97F6A8">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向基金托管人发送指令的同时，通过招商银行托管+综合服务平台、预留传真号码或预留指令附件发送电子邮箱提供相关合同、交易凭证或其他证明材料。基金管理人对该等资料的真实性、有效性、完整性和合法合规性负责。</w:t>
      </w:r>
    </w:p>
    <w:p w14:paraId="7DF96E4D">
      <w:pPr>
        <w:adjustRightInd w:val="0"/>
        <w:snapToGrid w:val="0"/>
        <w:spacing w:line="360" w:lineRule="auto"/>
        <w:ind w:firstLine="420" w:firstLineChars="200"/>
        <w:rPr>
          <w:rFonts w:ascii="宋体" w:hAnsi="宋体" w:cs="Arial"/>
          <w:szCs w:val="21"/>
        </w:rPr>
      </w:pPr>
      <w:r>
        <w:rPr>
          <w:rFonts w:hint="eastAsia" w:ascii="宋体" w:hAnsi="宋体" w:cs="Arial"/>
          <w:szCs w:val="21"/>
        </w:rPr>
        <w:t>对于通过招商银行托管+综合服务平台、预留传真号码或预留电子邮箱发出的指令附件，基金管理人不得否认其效力。</w:t>
      </w:r>
    </w:p>
    <w:p w14:paraId="72A32D64">
      <w:pPr>
        <w:spacing w:line="360" w:lineRule="auto"/>
        <w:ind w:firstLine="420" w:firstLineChars="200"/>
        <w:rPr>
          <w:rFonts w:ascii="宋体" w:hAnsi="宋体"/>
          <w:szCs w:val="21"/>
        </w:rPr>
      </w:pPr>
      <w:r>
        <w:rPr>
          <w:rFonts w:hint="eastAsia" w:ascii="宋体" w:hAnsi="宋体" w:cs="Arial"/>
          <w:szCs w:val="21"/>
        </w:rPr>
        <w:t>3.指令发送的时间</w:t>
      </w:r>
    </w:p>
    <w:p w14:paraId="3E0274AB">
      <w:pPr>
        <w:adjustRightInd w:val="0"/>
        <w:snapToGrid w:val="0"/>
        <w:spacing w:line="360" w:lineRule="auto"/>
        <w:ind w:firstLine="420" w:firstLineChars="200"/>
        <w:rPr>
          <w:rFonts w:ascii="宋体" w:hAnsi="宋体"/>
          <w:szCs w:val="21"/>
        </w:rPr>
      </w:pPr>
      <w:r>
        <w:rPr>
          <w:rFonts w:hint="eastAsia" w:ascii="宋体" w:hAnsi="宋体"/>
          <w:szCs w:val="21"/>
        </w:rPr>
        <w:t>对于新股、新债申购等网下公开发行业务，基金管理人应于网下申购缴款日的10:00前将指令发送给基金托管人。</w:t>
      </w:r>
    </w:p>
    <w:p w14:paraId="437B172E">
      <w:pPr>
        <w:adjustRightInd w:val="0"/>
        <w:snapToGrid w:val="0"/>
        <w:spacing w:line="360" w:lineRule="auto"/>
        <w:ind w:firstLine="420" w:firstLineChars="200"/>
        <w:rPr>
          <w:rFonts w:ascii="宋体" w:hAnsi="宋体"/>
          <w:szCs w:val="21"/>
        </w:rPr>
      </w:pPr>
      <w:r>
        <w:rPr>
          <w:rFonts w:hint="eastAsia" w:ascii="宋体" w:hAnsi="宋体"/>
          <w:szCs w:val="21"/>
        </w:rPr>
        <w:t>对于场内业务，首次进行场内交易前基金管理人应与基金托管人确认已完成交易单元和相关代码设置后方可进行。</w:t>
      </w:r>
    </w:p>
    <w:p w14:paraId="035A89D7">
      <w:pPr>
        <w:adjustRightInd w:val="0"/>
        <w:snapToGrid w:val="0"/>
        <w:spacing w:line="360" w:lineRule="auto"/>
        <w:ind w:firstLine="420" w:firstLineChars="200"/>
        <w:rPr>
          <w:rFonts w:ascii="宋体" w:hAnsi="宋体"/>
          <w:szCs w:val="21"/>
        </w:rPr>
      </w:pPr>
      <w:r>
        <w:rPr>
          <w:rFonts w:hint="eastAsia" w:ascii="宋体" w:hAnsi="宋体"/>
          <w:szCs w:val="21"/>
        </w:rPr>
        <w:t>对于银行间业务，基金管理人应于交易日15:00前将银行间成交单及相关划款指令发送至基金托管人。基金管理人应与基金托管人确认基金托管人已完成证书和权限设置后方可进行本基金的银行间交易。对于向基金托管人出具无需银行间成交单授权书的，基金管理人应在首笔银行间交易时通过预留电话通知基金托管人，如基金管理人未通知基金托管人，导致指令未执行或执行失败的，基金托管人不承担责任。</w:t>
      </w:r>
    </w:p>
    <w:p w14:paraId="2A4744B1">
      <w:pPr>
        <w:adjustRightInd w:val="0"/>
        <w:snapToGrid w:val="0"/>
        <w:spacing w:line="360" w:lineRule="auto"/>
        <w:ind w:firstLine="420" w:firstLineChars="200"/>
        <w:rPr>
          <w:rFonts w:ascii="宋体" w:hAnsi="宋体"/>
          <w:szCs w:val="21"/>
        </w:rPr>
      </w:pPr>
      <w:r>
        <w:rPr>
          <w:rFonts w:hint="eastAsia" w:ascii="宋体" w:hAnsi="宋体"/>
          <w:szCs w:val="21"/>
        </w:rPr>
        <w:t>对于指定时间出款的交易指令，基金管理人应提前2小时将指令发送至基金托管人；对于基金管理人于15:00以后发送至基金托管人的指令，基金托管人不保证当日出款，如出款不成功，基金托管人不承担责任。</w:t>
      </w:r>
    </w:p>
    <w:p w14:paraId="53F699E8">
      <w:pPr>
        <w:adjustRightInd w:val="0"/>
        <w:snapToGrid w:val="0"/>
        <w:spacing w:line="360" w:lineRule="auto"/>
        <w:ind w:firstLine="420" w:firstLineChars="200"/>
        <w:rPr>
          <w:rFonts w:ascii="宋体" w:hAnsi="宋体"/>
          <w:szCs w:val="21"/>
        </w:rPr>
      </w:pPr>
      <w:r>
        <w:rPr>
          <w:rFonts w:ascii="宋体" w:hAnsi="宋体" w:cs="Arial"/>
          <w:szCs w:val="21"/>
        </w:rPr>
        <w:t>4</w:t>
      </w:r>
      <w:r>
        <w:rPr>
          <w:rFonts w:hint="eastAsia" w:ascii="宋体" w:hAnsi="宋体" w:cs="Arial"/>
          <w:szCs w:val="21"/>
        </w:rPr>
        <w:t>.指令的确认</w:t>
      </w:r>
    </w:p>
    <w:p w14:paraId="7375EB05">
      <w:pPr>
        <w:adjustRightInd w:val="0"/>
        <w:snapToGrid w:val="0"/>
        <w:spacing w:line="360" w:lineRule="auto"/>
        <w:ind w:firstLine="420" w:firstLineChars="200"/>
        <w:rPr>
          <w:rFonts w:ascii="宋体" w:hAnsi="宋体"/>
          <w:szCs w:val="21"/>
        </w:rPr>
      </w:pPr>
      <w:r>
        <w:rPr>
          <w:rFonts w:hint="eastAsia" w:ascii="宋体" w:hAnsi="宋体"/>
          <w:szCs w:val="21"/>
        </w:rPr>
        <w:t>基金管理人有义务在发送指令后与基金托管人进行电话确认，</w:t>
      </w:r>
      <w:r>
        <w:rPr>
          <w:rFonts w:hint="eastAsia" w:ascii="宋体" w:hAnsi="宋体" w:cs="Arial"/>
          <w:szCs w:val="21"/>
        </w:rPr>
        <w:t>如因</w:t>
      </w:r>
      <w:r>
        <w:rPr>
          <w:rFonts w:hint="eastAsia" w:ascii="宋体" w:hAnsi="宋体"/>
          <w:szCs w:val="21"/>
        </w:rPr>
        <w:t>基金</w:t>
      </w:r>
      <w:r>
        <w:rPr>
          <w:rFonts w:hint="eastAsia" w:ascii="宋体" w:hAnsi="宋体" w:cs="Arial"/>
          <w:szCs w:val="21"/>
        </w:rPr>
        <w:t>管理人未通知</w:t>
      </w:r>
      <w:r>
        <w:rPr>
          <w:rFonts w:hint="eastAsia" w:ascii="宋体" w:hAnsi="宋体"/>
          <w:szCs w:val="21"/>
        </w:rPr>
        <w:t>基金</w:t>
      </w:r>
      <w:r>
        <w:rPr>
          <w:rFonts w:hint="eastAsia" w:ascii="宋体" w:hAnsi="宋体" w:cs="Arial"/>
          <w:szCs w:val="21"/>
        </w:rPr>
        <w:t>托管人接收传真指令造成的损失，</w:t>
      </w:r>
      <w:r>
        <w:rPr>
          <w:rFonts w:hint="eastAsia" w:ascii="宋体" w:hAnsi="宋体"/>
          <w:szCs w:val="21"/>
        </w:rPr>
        <w:t>基金</w:t>
      </w:r>
      <w:r>
        <w:rPr>
          <w:rFonts w:hint="eastAsia" w:ascii="宋体" w:hAnsi="宋体" w:cs="Arial"/>
          <w:szCs w:val="21"/>
        </w:rPr>
        <w:t>托管人不承担责任</w:t>
      </w:r>
      <w:r>
        <w:rPr>
          <w:rFonts w:hint="eastAsia" w:ascii="宋体" w:hAnsi="宋体"/>
          <w:szCs w:val="21"/>
        </w:rPr>
        <w:t>。对于依照“授权通知”发出的指令，基金管理人不得否认其效力。</w:t>
      </w:r>
    </w:p>
    <w:p w14:paraId="318282BE">
      <w:pPr>
        <w:adjustRightInd w:val="0"/>
        <w:snapToGrid w:val="0"/>
        <w:spacing w:line="360" w:lineRule="auto"/>
        <w:ind w:firstLine="420" w:firstLineChars="200"/>
        <w:rPr>
          <w:rFonts w:ascii="宋体" w:hAnsi="宋体"/>
          <w:szCs w:val="21"/>
        </w:rPr>
      </w:pPr>
      <w:r>
        <w:rPr>
          <w:rFonts w:ascii="宋体" w:hAnsi="宋体" w:cs="Arial"/>
          <w:szCs w:val="21"/>
        </w:rPr>
        <w:t>5</w:t>
      </w:r>
      <w:r>
        <w:rPr>
          <w:rFonts w:hint="eastAsia" w:ascii="宋体" w:hAnsi="宋体" w:cs="Arial"/>
          <w:szCs w:val="21"/>
        </w:rPr>
        <w:t>.</w:t>
      </w:r>
      <w:r>
        <w:rPr>
          <w:rFonts w:hint="eastAsia" w:ascii="宋体" w:hAnsi="宋体"/>
          <w:szCs w:val="21"/>
        </w:rPr>
        <w:t>指令的执行</w:t>
      </w:r>
    </w:p>
    <w:p w14:paraId="484EA505">
      <w:pPr>
        <w:spacing w:line="360" w:lineRule="auto"/>
        <w:ind w:firstLine="420" w:firstLineChars="200"/>
        <w:rPr>
          <w:rFonts w:ascii="宋体" w:hAnsi="宋体"/>
          <w:szCs w:val="21"/>
        </w:rPr>
      </w:pPr>
      <w:r>
        <w:rPr>
          <w:rFonts w:hint="eastAsia" w:ascii="宋体" w:hAnsi="宋体"/>
          <w:szCs w:val="21"/>
        </w:rPr>
        <w:t>基金管理人在发送指令时，应确保出款账户有足够的资金余额、文件资料齐全，并为基金托管人留出执行指令所必需的时间，</w:t>
      </w:r>
      <w:r>
        <w:rPr>
          <w:rFonts w:ascii="宋体" w:hAnsi="宋体"/>
          <w:szCs w:val="21"/>
        </w:rPr>
        <w:t>因</w:t>
      </w:r>
      <w:r>
        <w:rPr>
          <w:rFonts w:hint="eastAsia" w:ascii="宋体" w:hAnsi="宋体"/>
          <w:szCs w:val="21"/>
        </w:rPr>
        <w:t>基金</w:t>
      </w:r>
      <w:r>
        <w:rPr>
          <w:rFonts w:ascii="宋体" w:hAnsi="宋体"/>
          <w:szCs w:val="21"/>
        </w:rPr>
        <w:t>管理人未给予</w:t>
      </w:r>
      <w:r>
        <w:rPr>
          <w:rFonts w:hint="eastAsia" w:ascii="宋体" w:hAnsi="宋体"/>
          <w:szCs w:val="21"/>
        </w:rPr>
        <w:t>合理</w:t>
      </w:r>
      <w:r>
        <w:rPr>
          <w:rFonts w:ascii="宋体" w:hAnsi="宋体"/>
          <w:szCs w:val="21"/>
        </w:rPr>
        <w:t>必</w:t>
      </w:r>
      <w:r>
        <w:rPr>
          <w:rFonts w:hint="eastAsia" w:ascii="宋体" w:hAnsi="宋体"/>
          <w:szCs w:val="21"/>
        </w:rPr>
        <w:t>需的</w:t>
      </w:r>
      <w:r>
        <w:rPr>
          <w:rFonts w:ascii="宋体" w:hAnsi="宋体"/>
          <w:szCs w:val="21"/>
        </w:rPr>
        <w:t>时间导致</w:t>
      </w:r>
      <w:r>
        <w:rPr>
          <w:rFonts w:hint="eastAsia" w:ascii="宋体" w:hAnsi="宋体"/>
          <w:szCs w:val="21"/>
        </w:rPr>
        <w:t>基金</w:t>
      </w:r>
      <w:r>
        <w:rPr>
          <w:rFonts w:ascii="宋体" w:hAnsi="宋体"/>
          <w:szCs w:val="21"/>
        </w:rPr>
        <w:t>托管人操作不成功的，</w:t>
      </w:r>
      <w:r>
        <w:rPr>
          <w:rFonts w:hint="eastAsia" w:ascii="宋体" w:hAnsi="宋体"/>
          <w:szCs w:val="21"/>
        </w:rPr>
        <w:t>基金</w:t>
      </w:r>
      <w:r>
        <w:rPr>
          <w:rFonts w:ascii="宋体" w:hAnsi="宋体"/>
          <w:szCs w:val="21"/>
        </w:rPr>
        <w:t>托管人不承担责任</w:t>
      </w:r>
      <w:r>
        <w:rPr>
          <w:rFonts w:hint="eastAsia" w:ascii="宋体" w:hAnsi="宋体"/>
          <w:szCs w:val="21"/>
        </w:rPr>
        <w:t>。</w:t>
      </w:r>
    </w:p>
    <w:p w14:paraId="77439C59">
      <w:pPr>
        <w:adjustRightInd w:val="0"/>
        <w:snapToGrid w:val="0"/>
        <w:spacing w:line="360" w:lineRule="auto"/>
        <w:ind w:firstLine="420" w:firstLineChars="200"/>
        <w:rPr>
          <w:rFonts w:ascii="宋体" w:hAnsi="宋体"/>
          <w:szCs w:val="21"/>
        </w:rPr>
      </w:pPr>
      <w:r>
        <w:rPr>
          <w:rFonts w:hint="eastAsia" w:ascii="宋体" w:hAnsi="宋体"/>
          <w:szCs w:val="21"/>
        </w:rPr>
        <w:t>基金托管人确认收到基金管理人发送的指令后，应对指令进行形式审查，验证指令的要素（金额、收款账号、收款户名、用途）是否齐全，传真指令还应审核印鉴和印章/签字是否和预留印鉴和签章样本表面一致性相符，传真指令加盖的印鉴和预留印鉴形式上不存在重大差异即视为表面一致性审查通过，对于因传真或扫描引起的印章、签字等变形、扭曲，基金托管人不承担审查义务。基金托管人仅对基金管理人提交的指令按照本协议约定进行表面一致性审查，不负责审查基金管理人发送指令同时提交的其他文件资料的合法性、真实性、完整性和有效性，基金管理人应保证上述文件资料合法、真实、完整和有效。如因基金管理人提供的上述文件不合法、不真实、不完整或失去效力而影响基金托管人的审核或给任何第三人带来损失，由基金管理人承担责任。</w:t>
      </w:r>
    </w:p>
    <w:p w14:paraId="1A55A142">
      <w:pPr>
        <w:adjustRightInd w:val="0"/>
        <w:snapToGrid w:val="0"/>
        <w:spacing w:line="360" w:lineRule="auto"/>
        <w:ind w:firstLine="420" w:firstLineChars="200"/>
        <w:rPr>
          <w:rFonts w:ascii="宋体" w:hAnsi="宋体"/>
          <w:szCs w:val="21"/>
        </w:rPr>
      </w:pPr>
      <w:r>
        <w:rPr>
          <w:rFonts w:hint="eastAsia" w:ascii="宋体" w:hAnsi="宋体"/>
          <w:szCs w:val="21"/>
        </w:rPr>
        <w:t>基金托管人审核指令无误后应在规定期限内及时执行。</w:t>
      </w:r>
    </w:p>
    <w:p w14:paraId="17908905">
      <w:pPr>
        <w:adjustRightInd w:val="0"/>
        <w:snapToGrid w:val="0"/>
        <w:spacing w:line="360" w:lineRule="auto"/>
        <w:ind w:firstLine="420" w:firstLineChars="200"/>
        <w:rPr>
          <w:rFonts w:ascii="宋体" w:hAnsi="宋体"/>
          <w:szCs w:val="21"/>
        </w:rPr>
      </w:pPr>
      <w:r>
        <w:rPr>
          <w:rFonts w:hint="eastAsia" w:ascii="宋体" w:hAnsi="宋体"/>
          <w:szCs w:val="21"/>
        </w:rPr>
        <w:t>6.指令的撤销</w:t>
      </w:r>
    </w:p>
    <w:p w14:paraId="5AB94298">
      <w:pPr>
        <w:adjustRightInd w:val="0"/>
        <w:snapToGrid w:val="0"/>
        <w:spacing w:line="360" w:lineRule="auto"/>
        <w:ind w:firstLine="420" w:firstLineChars="200"/>
        <w:rPr>
          <w:rFonts w:ascii="宋体" w:hAnsi="宋体"/>
          <w:szCs w:val="21"/>
        </w:rPr>
      </w:pPr>
      <w:r>
        <w:rPr>
          <w:rFonts w:hint="eastAsia" w:ascii="宋体" w:hAnsi="宋体"/>
          <w:szCs w:val="21"/>
        </w:rPr>
        <w:t>在指令未执行的前提下，若基金管理人撤销指令，基金管理人应在原指令上注明“作废”、</w:t>
      </w:r>
      <w:r>
        <w:rPr>
          <w:rFonts w:ascii="宋体" w:hAnsi="宋体"/>
          <w:szCs w:val="21"/>
        </w:rPr>
        <w:t>“废”</w:t>
      </w:r>
      <w:r>
        <w:rPr>
          <w:rFonts w:hint="eastAsia" w:ascii="宋体" w:hAnsi="宋体"/>
          <w:szCs w:val="21"/>
        </w:rPr>
        <w:t>、</w:t>
      </w:r>
      <w:r>
        <w:rPr>
          <w:rFonts w:hint="eastAsia" w:ascii="宋体" w:hAnsi="宋体"/>
        </w:rPr>
        <w:t>“取消”</w:t>
      </w:r>
      <w:r>
        <w:rPr>
          <w:rFonts w:ascii="宋体" w:hAnsi="宋体"/>
          <w:szCs w:val="21"/>
        </w:rPr>
        <w:t>等字样</w:t>
      </w:r>
      <w:r>
        <w:rPr>
          <w:rFonts w:hint="eastAsia" w:ascii="宋体" w:hAnsi="宋体"/>
          <w:szCs w:val="21"/>
        </w:rPr>
        <w:t>并加盖预留印鉴及被授权人</w:t>
      </w:r>
      <w:r>
        <w:rPr>
          <w:rFonts w:hint="eastAsia" w:ascii="宋体" w:hAnsi="宋体"/>
        </w:rPr>
        <w:t>印章/签字</w:t>
      </w:r>
      <w:r>
        <w:rPr>
          <w:rFonts w:hint="eastAsia" w:ascii="宋体" w:hAnsi="宋体"/>
          <w:szCs w:val="21"/>
        </w:rPr>
        <w:t>后传真给基金托管人，并电话通知基金托管人</w:t>
      </w:r>
      <w:r>
        <w:rPr>
          <w:rFonts w:hint="eastAsia" w:ascii="宋体" w:hAnsi="宋体" w:cs="Arial"/>
          <w:szCs w:val="21"/>
        </w:rPr>
        <w:t>。若撤销电子指令，</w:t>
      </w:r>
      <w:r>
        <w:rPr>
          <w:rFonts w:hint="eastAsia" w:ascii="宋体" w:hAnsi="宋体"/>
          <w:szCs w:val="21"/>
        </w:rPr>
        <w:t>基金</w:t>
      </w:r>
      <w:r>
        <w:rPr>
          <w:rFonts w:hint="eastAsia" w:ascii="宋体" w:hAnsi="宋体" w:cs="Arial"/>
          <w:szCs w:val="21"/>
        </w:rPr>
        <w:t>管理人应通过相关系统撤销，系统功能不支持撤销的，应参照撤销传真指令方式撤销电子指令。</w:t>
      </w:r>
    </w:p>
    <w:p w14:paraId="6B1B051F">
      <w:pPr>
        <w:pStyle w:val="9"/>
        <w:spacing w:line="360" w:lineRule="auto"/>
        <w:ind w:firstLine="420"/>
        <w:rPr>
          <w:rFonts w:ascii="宋体" w:hAnsi="宋体" w:eastAsia="宋体"/>
          <w:sz w:val="21"/>
          <w:szCs w:val="21"/>
        </w:rPr>
      </w:pPr>
      <w:r>
        <w:rPr>
          <w:rFonts w:hint="eastAsia" w:ascii="宋体" w:hAnsi="宋体" w:eastAsia="宋体"/>
          <w:sz w:val="21"/>
          <w:szCs w:val="21"/>
        </w:rPr>
        <w:t>（四）基金管理人发送错误指令的情形和处理程序</w:t>
      </w:r>
    </w:p>
    <w:p w14:paraId="1BA41529">
      <w:pPr>
        <w:adjustRightInd w:val="0"/>
        <w:snapToGrid w:val="0"/>
        <w:spacing w:line="360" w:lineRule="auto"/>
        <w:ind w:firstLine="420" w:firstLineChars="200"/>
        <w:rPr>
          <w:rFonts w:ascii="宋体" w:hAnsi="宋体"/>
          <w:szCs w:val="21"/>
        </w:rPr>
      </w:pPr>
      <w:r>
        <w:rPr>
          <w:rFonts w:hint="eastAsia" w:ascii="宋体" w:hAnsi="宋体" w:cs="Arial"/>
          <w:szCs w:val="21"/>
        </w:rPr>
        <w:t>1、基金管理人发送错误指令的情形包括指令发送人员无权或超越权限发送指令，指令不能辨识或要素不全导致无法执行等情形</w:t>
      </w:r>
      <w:r>
        <w:rPr>
          <w:rFonts w:hint="eastAsia" w:ascii="宋体" w:hAnsi="宋体"/>
          <w:szCs w:val="21"/>
        </w:rPr>
        <w:t>。</w:t>
      </w:r>
    </w:p>
    <w:p w14:paraId="3700104B">
      <w:pPr>
        <w:adjustRightInd w:val="0"/>
        <w:snapToGrid w:val="0"/>
        <w:spacing w:line="360" w:lineRule="auto"/>
        <w:ind w:firstLine="420" w:firstLineChars="200"/>
        <w:rPr>
          <w:rFonts w:ascii="宋体" w:hAnsi="宋体"/>
          <w:szCs w:val="21"/>
        </w:rPr>
      </w:pPr>
      <w:r>
        <w:rPr>
          <w:rFonts w:hint="eastAsia" w:ascii="宋体" w:hAnsi="宋体"/>
          <w:szCs w:val="21"/>
        </w:rPr>
        <w:t>2、当基金托管人认为所接受指令为错误指令时，应及时与基金管理人进行电话确认，并暂停指令的执行，由基金管理人撤销指令或撤销后再重新发送指令。</w:t>
      </w:r>
    </w:p>
    <w:p w14:paraId="0A44D715">
      <w:pPr>
        <w:adjustRightInd w:val="0"/>
        <w:snapToGrid w:val="0"/>
        <w:spacing w:line="360" w:lineRule="auto"/>
        <w:ind w:firstLine="420" w:firstLineChars="200"/>
        <w:rPr>
          <w:rFonts w:ascii="宋体" w:hAnsi="宋体" w:cs="Arial"/>
          <w:szCs w:val="21"/>
        </w:rPr>
      </w:pPr>
      <w:r>
        <w:rPr>
          <w:rFonts w:hint="eastAsia" w:ascii="宋体" w:hAnsi="宋体" w:cs="Arial"/>
          <w:szCs w:val="21"/>
        </w:rPr>
        <w:t>（五）基金托管人依照法律法规暂缓、拒绝执行指令的情形和处理程序</w:t>
      </w:r>
    </w:p>
    <w:p w14:paraId="346DC336">
      <w:pPr>
        <w:adjustRightInd w:val="0"/>
        <w:snapToGrid w:val="0"/>
        <w:spacing w:line="360" w:lineRule="auto"/>
        <w:ind w:firstLine="420" w:firstLineChars="200"/>
        <w:rPr>
          <w:rFonts w:ascii="宋体" w:hAnsi="宋体"/>
          <w:szCs w:val="21"/>
        </w:rPr>
      </w:pPr>
      <w:r>
        <w:rPr>
          <w:rFonts w:hint="eastAsia" w:ascii="宋体" w:hAnsi="宋体"/>
          <w:szCs w:val="21"/>
        </w:rPr>
        <w:t>基金托管人发现基金管理人发送的指令有可能违反《基金法》、《运作办法》、《基金合同》、本协议或其他有关法律法规的规定时，应暂缓执行指令，并及时通知基金管理人，基金管理人收到通知后应及时核对并纠正；如相关交易已生效，则应通知基金管理人在法规规定期限</w:t>
      </w:r>
      <w:r>
        <w:rPr>
          <w:rFonts w:ascii="宋体" w:hAnsi="宋体"/>
          <w:szCs w:val="21"/>
        </w:rPr>
        <w:t>内</w:t>
      </w:r>
      <w:r>
        <w:rPr>
          <w:rFonts w:hint="eastAsia" w:ascii="宋体" w:hAnsi="宋体"/>
          <w:szCs w:val="21"/>
        </w:rPr>
        <w:t>及时</w:t>
      </w:r>
      <w:r>
        <w:rPr>
          <w:rFonts w:ascii="宋体" w:hAnsi="宋体"/>
          <w:szCs w:val="21"/>
        </w:rPr>
        <w:t>纠正</w:t>
      </w:r>
      <w:r>
        <w:rPr>
          <w:rFonts w:hint="eastAsia" w:ascii="宋体" w:hAnsi="宋体"/>
          <w:szCs w:val="21"/>
        </w:rPr>
        <w:t>。对于基金托管人事前难以监督的交易行为，基金托管人在事后履行了对基金管理人的通知义务后，即视为完全履行了其投资监督职责。对于基金管理人违反《基金法》、《运作办法》、《基金合同》、本协议或其他有关法律法规的规定造成基金财产损失的，由基金管理人承担相应责任，基金托管人免于承担责任。</w:t>
      </w:r>
    </w:p>
    <w:p w14:paraId="07DF7723">
      <w:pPr>
        <w:adjustRightInd w:val="0"/>
        <w:snapToGrid w:val="0"/>
        <w:spacing w:line="360" w:lineRule="auto"/>
        <w:ind w:firstLine="420" w:firstLineChars="200"/>
        <w:rPr>
          <w:rFonts w:ascii="宋体" w:hAnsi="宋体" w:cs="Arial"/>
          <w:szCs w:val="21"/>
        </w:rPr>
      </w:pPr>
      <w:r>
        <w:rPr>
          <w:rFonts w:hint="eastAsia" w:ascii="宋体" w:hAnsi="宋体" w:cs="Arial"/>
          <w:szCs w:val="21"/>
        </w:rPr>
        <w:t>（六）基金托管人未按照基金管理人指令执行的处理方法</w:t>
      </w:r>
    </w:p>
    <w:p w14:paraId="0E344213">
      <w:pPr>
        <w:adjustRightInd w:val="0"/>
        <w:snapToGrid w:val="0"/>
        <w:spacing w:line="360" w:lineRule="auto"/>
        <w:ind w:firstLine="420" w:firstLineChars="200"/>
        <w:rPr>
          <w:rFonts w:ascii="宋体" w:hAnsi="宋体" w:cs="Arial"/>
          <w:szCs w:val="21"/>
        </w:rPr>
      </w:pPr>
      <w:r>
        <w:rPr>
          <w:rFonts w:hint="eastAsia" w:ascii="宋体" w:hAnsi="宋体" w:cs="Arial"/>
          <w:szCs w:val="21"/>
        </w:rPr>
        <w:t>对于基金管理人的有效指令和通知，除非违反法律法规、基金合同、托管协议或具有第（四）项所述错误，基金托管人不得无故拒绝或拖延执行。除因故意或重大过失致使本</w:t>
      </w:r>
      <w:r>
        <w:rPr>
          <w:rFonts w:hint="eastAsia" w:ascii="宋体" w:hAnsi="宋体"/>
          <w:szCs w:val="21"/>
        </w:rPr>
        <w:t>基金</w:t>
      </w:r>
      <w:r>
        <w:rPr>
          <w:rFonts w:hint="eastAsia" w:ascii="宋体" w:hAnsi="宋体" w:cs="Arial"/>
          <w:szCs w:val="21"/>
        </w:rPr>
        <w:t>、</w:t>
      </w:r>
      <w:r>
        <w:rPr>
          <w:rFonts w:hint="eastAsia" w:ascii="宋体" w:hAnsi="宋体"/>
          <w:szCs w:val="21"/>
        </w:rPr>
        <w:t>基金</w:t>
      </w:r>
      <w:r>
        <w:rPr>
          <w:rFonts w:hint="eastAsia" w:ascii="宋体" w:hAnsi="宋体" w:cs="Arial"/>
          <w:szCs w:val="21"/>
        </w:rPr>
        <w:t>管理人的利益受到损害而负赔偿责任外，</w:t>
      </w:r>
      <w:r>
        <w:rPr>
          <w:rFonts w:hint="eastAsia" w:ascii="宋体" w:hAnsi="宋体"/>
          <w:szCs w:val="21"/>
        </w:rPr>
        <w:t>基金</w:t>
      </w:r>
      <w:r>
        <w:rPr>
          <w:rFonts w:hint="eastAsia" w:ascii="宋体" w:hAnsi="宋体" w:cs="Arial"/>
          <w:szCs w:val="21"/>
        </w:rPr>
        <w:t>托管人对执行</w:t>
      </w:r>
      <w:r>
        <w:rPr>
          <w:rFonts w:hint="eastAsia" w:ascii="宋体" w:hAnsi="宋体"/>
          <w:szCs w:val="21"/>
        </w:rPr>
        <w:t>基金</w:t>
      </w:r>
      <w:r>
        <w:rPr>
          <w:rFonts w:hint="eastAsia" w:ascii="宋体" w:hAnsi="宋体" w:cs="Arial"/>
          <w:szCs w:val="21"/>
        </w:rPr>
        <w:t xml:space="preserve">管理人的合法指令对基金财产造成的损失不承担赔偿责任。 </w:t>
      </w:r>
    </w:p>
    <w:p w14:paraId="5DA70B7A">
      <w:pPr>
        <w:adjustRightInd w:val="0"/>
        <w:snapToGrid w:val="0"/>
        <w:spacing w:line="360" w:lineRule="auto"/>
        <w:ind w:firstLine="420" w:firstLineChars="200"/>
        <w:rPr>
          <w:rFonts w:ascii="宋体" w:hAnsi="宋体" w:cs="Arial"/>
          <w:szCs w:val="21"/>
        </w:rPr>
      </w:pPr>
      <w:r>
        <w:rPr>
          <w:rFonts w:hint="eastAsia" w:ascii="宋体" w:hAnsi="宋体" w:cs="Arial"/>
          <w:szCs w:val="21"/>
        </w:rPr>
        <w:t>（七）更换被授权人员的程序</w:t>
      </w:r>
    </w:p>
    <w:p w14:paraId="70F5A243">
      <w:pPr>
        <w:autoSpaceDE w:val="0"/>
        <w:autoSpaceDN w:val="0"/>
        <w:adjustRightInd w:val="0"/>
        <w:snapToGrid w:val="0"/>
        <w:spacing w:line="360" w:lineRule="auto"/>
        <w:ind w:firstLine="420" w:firstLineChars="200"/>
        <w:rPr>
          <w:rFonts w:ascii="宋体" w:hAnsi="宋体" w:cs="Arial"/>
          <w:szCs w:val="21"/>
        </w:rPr>
      </w:pPr>
      <w:r>
        <w:rPr>
          <w:rFonts w:hint="eastAsia" w:ascii="宋体" w:hAnsi="宋体"/>
          <w:szCs w:val="21"/>
        </w:rPr>
        <w:t>基金管理人撤换被授权人员、改变被授权人员的权限、变更或新增接收传真指令的号码、预留电话号码、预留邮箱，必须提前至少一个交易日，使用传真方式或其他基金管理人和基金托管人认可的方式重新向基金托管人发出加盖基金管理人公司公章的授权通知书，同时电话通知基金托管人。经基金管理人与基金托管人以电话方式或其他基金管理人和基金托管人认可的方式确认后，于授权通知书载明的生效时间生效，同时原授权通知书失效。基金管理人在此后三个工作日内将被授权人变更通知的正本送交基金托管人。授权通知书正本内容与基金托管人收到的传真不一致的，以基金托管人收到的传真为准。</w:t>
      </w:r>
      <w:r>
        <w:rPr>
          <w:rFonts w:hint="eastAsia" w:ascii="宋体" w:hAnsi="宋体" w:cs="Arial"/>
          <w:szCs w:val="21"/>
        </w:rPr>
        <w:t>基金托管人更换接收基金管理人指令的人员，应提前通知基金管理人。</w:t>
      </w:r>
    </w:p>
    <w:p w14:paraId="7EEC1346">
      <w:pPr>
        <w:autoSpaceDE w:val="0"/>
        <w:autoSpaceDN w:val="0"/>
        <w:adjustRightInd w:val="0"/>
        <w:snapToGrid w:val="0"/>
        <w:spacing w:line="360" w:lineRule="auto"/>
        <w:ind w:firstLine="420" w:firstLineChars="200"/>
        <w:rPr>
          <w:rFonts w:ascii="宋体" w:hAnsi="宋体"/>
          <w:szCs w:val="21"/>
        </w:rPr>
      </w:pPr>
      <w:r>
        <w:rPr>
          <w:rFonts w:hint="eastAsia" w:ascii="宋体" w:hAnsi="宋体" w:cs="Arial"/>
          <w:szCs w:val="21"/>
        </w:rPr>
        <w:t>（八）指令的</w:t>
      </w:r>
      <w:r>
        <w:rPr>
          <w:rFonts w:hint="eastAsia" w:ascii="宋体" w:hAnsi="宋体"/>
          <w:szCs w:val="21"/>
        </w:rPr>
        <w:t>保管</w:t>
      </w:r>
    </w:p>
    <w:p w14:paraId="554BD2A4">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指令若以传真形式发出，则正本由基金管理人保管，基金托管人保管指令传真件。当两者不一致时，以基金托管人收到的指令传真件为准。</w:t>
      </w:r>
    </w:p>
    <w:p w14:paraId="1007345B">
      <w:pPr>
        <w:autoSpaceDE w:val="0"/>
        <w:autoSpaceDN w:val="0"/>
        <w:adjustRightInd w:val="0"/>
        <w:snapToGrid w:val="0"/>
        <w:spacing w:line="360" w:lineRule="auto"/>
        <w:ind w:firstLine="420" w:firstLineChars="200"/>
        <w:rPr>
          <w:rFonts w:ascii="宋体" w:hAnsi="宋体"/>
          <w:szCs w:val="21"/>
        </w:rPr>
      </w:pPr>
      <w:r>
        <w:rPr>
          <w:rFonts w:hint="eastAsia" w:ascii="宋体" w:hAnsi="宋体" w:cs="Arial"/>
          <w:szCs w:val="21"/>
        </w:rPr>
        <w:t>（九）</w:t>
      </w:r>
      <w:r>
        <w:rPr>
          <w:rFonts w:hint="eastAsia" w:ascii="宋体" w:hAnsi="宋体"/>
          <w:szCs w:val="21"/>
        </w:rPr>
        <w:t>相关责任</w:t>
      </w:r>
    </w:p>
    <w:p w14:paraId="3ABFD211">
      <w:pPr>
        <w:autoSpaceDE w:val="0"/>
        <w:autoSpaceDN w:val="0"/>
        <w:adjustRightInd w:val="0"/>
        <w:snapToGrid w:val="0"/>
        <w:spacing w:line="360" w:lineRule="auto"/>
        <w:ind w:firstLine="420" w:firstLineChars="200"/>
        <w:rPr>
          <w:rFonts w:ascii="宋体" w:hAnsi="宋体"/>
          <w:szCs w:val="21"/>
        </w:rPr>
      </w:pPr>
      <w:r>
        <w:rPr>
          <w:rFonts w:hint="eastAsia" w:ascii="宋体" w:hAnsi="宋体" w:cs="Arial"/>
          <w:szCs w:val="21"/>
        </w:rPr>
        <w:t>对</w:t>
      </w:r>
      <w:r>
        <w:rPr>
          <w:rFonts w:hint="eastAsia" w:ascii="宋体" w:hAnsi="宋体"/>
          <w:szCs w:val="21"/>
        </w:rPr>
        <w:t>基金管理人在没有充足资金的情况下向基金托管人发出的指令致使资金未能及时清算所</w:t>
      </w:r>
      <w:r>
        <w:rPr>
          <w:rFonts w:hint="eastAsia" w:ascii="宋体" w:hAnsi="宋体" w:cs="Arial"/>
          <w:szCs w:val="21"/>
        </w:rPr>
        <w:t>造成的损失，</w:t>
      </w:r>
      <w:r>
        <w:rPr>
          <w:rFonts w:hint="eastAsia" w:ascii="宋体" w:hAnsi="宋体"/>
          <w:szCs w:val="21"/>
        </w:rPr>
        <w:t>由基金管理人</w:t>
      </w:r>
      <w:r>
        <w:rPr>
          <w:rFonts w:hint="eastAsia" w:ascii="宋体" w:hAnsi="宋体" w:cs="Arial"/>
          <w:szCs w:val="21"/>
        </w:rPr>
        <w:t>承担</w:t>
      </w:r>
      <w:r>
        <w:rPr>
          <w:rFonts w:hint="eastAsia" w:ascii="宋体" w:hAnsi="宋体"/>
          <w:szCs w:val="21"/>
        </w:rPr>
        <w:t>。因基金管理人原因造成的传输不及时、未能留出足够执行时间、未能及时与基金托管人进行指令确认致使资金未能及时清算或交易失败所造成的损失由基金管理人承担。基金托管人正确执行基金管理人发送的有效指令，基金财产发生损失的，基金托管人不承担任何形式的责任。在正常业务受理渠道和指令规定的时间内，因基金托管人原因造成未能及时或正确执行合法合规的指令而导致基金财产受损的，基金托管人应承担相应的责任，但如遇到不可抗力的情况除外。</w:t>
      </w:r>
    </w:p>
    <w:p w14:paraId="55AD8BA9">
      <w:pPr>
        <w:adjustRightInd w:val="0"/>
        <w:snapToGrid w:val="0"/>
        <w:spacing w:line="360" w:lineRule="auto"/>
        <w:ind w:firstLine="420" w:firstLineChars="200"/>
        <w:rPr>
          <w:rFonts w:ascii="宋体" w:hAnsi="宋体" w:cs="Arial"/>
          <w:szCs w:val="21"/>
        </w:rPr>
      </w:pPr>
      <w:r>
        <w:rPr>
          <w:rFonts w:hint="eastAsia" w:ascii="宋体" w:hAnsi="宋体"/>
          <w:szCs w:val="21"/>
        </w:rPr>
        <w:t>基金托管人根据本协议相关规定履行印鉴和签名的表面一致性形式审核职责，如果基金管理人的指令存在事实上未经授权、欺诈、伪造或未能及时提供授权通知书等情形，基金托管人不承担因执行有关指令或拒绝执行有关指令而给基金管理人或基金资产或任何第三方带来的损失，责任由基金管理人承担，但基金托管人未按本协议约定尽形式审核义务执行指令而造成损失的情形除外</w:t>
      </w:r>
      <w:r>
        <w:rPr>
          <w:rFonts w:hint="eastAsia" w:ascii="宋体" w:hAnsi="宋体" w:cs="Arial"/>
          <w:szCs w:val="21"/>
        </w:rPr>
        <w:t>。</w:t>
      </w:r>
    </w:p>
    <w:bookmarkEnd w:id="101"/>
    <w:p w14:paraId="312412D5">
      <w:pPr>
        <w:adjustRightInd w:val="0"/>
        <w:snapToGrid w:val="0"/>
        <w:spacing w:line="360" w:lineRule="auto"/>
        <w:ind w:firstLine="420" w:firstLineChars="200"/>
        <w:rPr>
          <w:rFonts w:ascii="宋体" w:hAnsi="宋体"/>
        </w:rPr>
        <w:sectPr>
          <w:footerReference r:id="rId13" w:type="default"/>
          <w:pgSz w:w="11906" w:h="16838"/>
          <w:pgMar w:top="1418" w:right="1701" w:bottom="1418" w:left="1701" w:header="851" w:footer="992" w:gutter="0"/>
          <w:pgNumType w:fmt="decimal" w:start="1"/>
          <w:cols w:space="720" w:num="1"/>
          <w:docGrid w:type="lines" w:linePitch="312" w:charSpace="0"/>
        </w:sectPr>
      </w:pPr>
      <w:bookmarkStart w:id="105" w:name="_Toc110830495"/>
      <w:bookmarkStart w:id="106" w:name="_Toc384992697"/>
      <w:bookmarkStart w:id="107" w:name="_Toc108512361"/>
      <w:bookmarkStart w:id="108" w:name="_Toc84133788"/>
      <w:bookmarkStart w:id="109" w:name="_Toc86737932"/>
      <w:bookmarkStart w:id="110" w:name="_Toc86726442"/>
      <w:bookmarkStart w:id="111" w:name="_Toc86225294"/>
      <w:bookmarkStart w:id="112" w:name="_Toc119402713"/>
      <w:bookmarkStart w:id="113" w:name="_Toc89163371"/>
      <w:bookmarkStart w:id="114" w:name="_Toc86649725"/>
      <w:bookmarkStart w:id="115" w:name="_Toc118212953"/>
      <w:bookmarkStart w:id="116" w:name="_Toc110765663"/>
      <w:bookmarkStart w:id="117" w:name="_Toc118774806"/>
      <w:bookmarkStart w:id="118" w:name="_Toc120435786"/>
      <w:bookmarkStart w:id="119" w:name="_Toc501274919"/>
      <w:bookmarkStart w:id="120" w:name="_Toc84234437"/>
      <w:bookmarkStart w:id="121" w:name="_Toc110761799"/>
      <w:bookmarkStart w:id="122" w:name="_Toc118972651"/>
      <w:bookmarkStart w:id="123" w:name="_Toc86204791"/>
      <w:bookmarkStart w:id="124" w:name="_Toc86727358"/>
      <w:bookmarkStart w:id="125" w:name="_Toc86223245"/>
      <w:bookmarkStart w:id="126" w:name="_Toc84234390"/>
      <w:bookmarkStart w:id="127" w:name="_Toc348082035"/>
      <w:bookmarkStart w:id="128" w:name="CLAUSE_62cad44440fe47f78d3b107b14bfd20c"/>
    </w:p>
    <w:p w14:paraId="5E2306FA">
      <w:pPr>
        <w:pStyle w:val="3"/>
        <w:spacing w:before="312" w:beforeLines="100" w:after="156" w:afterLines="50" w:line="360" w:lineRule="auto"/>
        <w:jc w:val="center"/>
        <w:rPr>
          <w:rFonts w:ascii="宋体" w:hAnsi="宋体" w:eastAsia="宋体"/>
          <w:sz w:val="21"/>
          <w:szCs w:val="21"/>
        </w:rPr>
      </w:pPr>
      <w:r>
        <w:t xml:space="preserve"> </w:t>
      </w:r>
      <w:bookmarkStart w:id="129" w:name="CTS_62cad44440fe47f78d3b107b14bfd20c"/>
      <w:bookmarkEnd w:id="129"/>
      <w:r>
        <w:t xml:space="preserve"> </w:t>
      </w:r>
      <w:bookmarkStart w:id="130" w:name="_Toc13074"/>
      <w:bookmarkStart w:id="131" w:name="_Toc17817"/>
      <w:r>
        <w:rPr>
          <w:rFonts w:hint="eastAsia" w:ascii="宋体" w:hAnsi="宋体" w:eastAsia="宋体"/>
          <w:sz w:val="21"/>
          <w:szCs w:val="21"/>
        </w:rPr>
        <w:t>七、交易及清算交收安排</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30"/>
      <w:bookmarkEnd w:id="131"/>
    </w:p>
    <w:p w14:paraId="51269804">
      <w:pPr>
        <w:adjustRightInd w:val="0"/>
        <w:snapToGrid w:val="0"/>
        <w:spacing w:line="360" w:lineRule="auto"/>
        <w:ind w:firstLine="420" w:firstLineChars="200"/>
        <w:rPr>
          <w:rFonts w:ascii="宋体" w:hAnsi="宋体"/>
          <w:szCs w:val="21"/>
        </w:rPr>
      </w:pPr>
      <w:r>
        <w:rPr>
          <w:rFonts w:hint="eastAsia" w:ascii="宋体" w:hAnsi="宋体"/>
          <w:szCs w:val="21"/>
        </w:rPr>
        <w:t>（一）选择代理证券买卖的证券经营机构</w:t>
      </w:r>
    </w:p>
    <w:p w14:paraId="66CC5AA7">
      <w:pPr>
        <w:adjustRightInd w:val="0"/>
        <w:snapToGrid w:val="0"/>
        <w:spacing w:line="360" w:lineRule="auto"/>
        <w:ind w:firstLine="420" w:firstLineChars="200"/>
        <w:rPr>
          <w:rFonts w:ascii="宋体" w:hAnsi="宋体"/>
          <w:szCs w:val="21"/>
        </w:rPr>
      </w:pPr>
      <w:r>
        <w:rPr>
          <w:rFonts w:hint="eastAsia" w:ascii="宋体" w:hAnsi="宋体"/>
          <w:szCs w:val="21"/>
        </w:rPr>
        <w:t>基金管理人应设计选择代理证券买卖的证券经营机构的标准和程序，并按照有关合同和规定行使基金财产投资权利而应承担的义务，包括但不限于选择经纪商及投资标的等。基金管理人负责选择代理本基金证券买卖的证券经营机构，使用其交易单元作为基金的交易单元。基金管理人和被选中的证券经营机构签订交易单元租用协议，基金管理人应提前通知基金托管人，并将交易单元租用协议及相关文件及时送达基金托管人，确保基金托管人申请接收结算数据。基金管理人应根据有关规定，在基金的中期报告和年度报告中将所选证券经营机构的有关情况、基金通过该证券经营机构买卖证券的成交量、回购成交量和支付的佣金等予以披露，并将该等情况及基金交易单元号、佣金费率等基本信息以及变更情况及时以书面形式通知基金托管人。</w:t>
      </w:r>
    </w:p>
    <w:p w14:paraId="598149E2">
      <w:pPr>
        <w:adjustRightInd w:val="0"/>
        <w:snapToGrid w:val="0"/>
        <w:spacing w:line="360" w:lineRule="auto"/>
        <w:ind w:firstLine="420" w:firstLineChars="200"/>
        <w:rPr>
          <w:rFonts w:ascii="宋体" w:hAnsi="宋体"/>
          <w:szCs w:val="21"/>
        </w:rPr>
      </w:pPr>
      <w:r>
        <w:rPr>
          <w:rFonts w:hint="eastAsia" w:ascii="宋体" w:hAnsi="宋体"/>
          <w:szCs w:val="21"/>
        </w:rPr>
        <w:t>（二）基金投资证券后的清算交收安排</w:t>
      </w:r>
    </w:p>
    <w:p w14:paraId="27A6B093">
      <w:pPr>
        <w:adjustRightInd w:val="0"/>
        <w:snapToGrid w:val="0"/>
        <w:spacing w:line="360" w:lineRule="auto"/>
        <w:ind w:firstLine="420" w:firstLineChars="200"/>
        <w:rPr>
          <w:rFonts w:ascii="宋体" w:hAnsi="宋体"/>
          <w:szCs w:val="21"/>
        </w:rPr>
      </w:pPr>
      <w:r>
        <w:rPr>
          <w:rFonts w:hint="eastAsia" w:ascii="宋体" w:hAnsi="宋体"/>
        </w:rPr>
        <w:t>基金管理人和基金托管人在基金财产场内清算交收及相关风险控制方面的职责按照双方已签署的总对总《托管银行证券资金结算协议》的要求执行。</w:t>
      </w:r>
    </w:p>
    <w:p w14:paraId="45FD32F4">
      <w:pPr>
        <w:adjustRightInd w:val="0"/>
        <w:snapToGrid w:val="0"/>
        <w:spacing w:line="360" w:lineRule="auto"/>
        <w:ind w:firstLine="420" w:firstLineChars="200"/>
        <w:rPr>
          <w:rFonts w:ascii="宋体" w:hAnsi="宋体"/>
          <w:szCs w:val="21"/>
        </w:rPr>
      </w:pPr>
      <w:r>
        <w:rPr>
          <w:rFonts w:hint="eastAsia" w:ascii="宋体" w:hAnsi="宋体"/>
          <w:szCs w:val="21"/>
        </w:rPr>
        <w:t>（三）基金申购、赎回和转换业务处理的基本规定</w:t>
      </w:r>
    </w:p>
    <w:p w14:paraId="4BE071F9">
      <w:pPr>
        <w:adjustRightInd w:val="0"/>
        <w:snapToGrid w:val="0"/>
        <w:spacing w:line="360" w:lineRule="auto"/>
        <w:ind w:firstLine="420" w:firstLineChars="200"/>
        <w:rPr>
          <w:rFonts w:ascii="宋体" w:hAnsi="宋体"/>
          <w:szCs w:val="21"/>
        </w:rPr>
      </w:pPr>
      <w:r>
        <w:rPr>
          <w:rFonts w:hint="eastAsia" w:ascii="宋体" w:hAnsi="宋体"/>
          <w:szCs w:val="21"/>
        </w:rPr>
        <w:t>1.基金份额申购、赎回、转换的确认、清算由基金管理人或其委托的登记机构负责。</w:t>
      </w:r>
    </w:p>
    <w:p w14:paraId="180FEC66">
      <w:pPr>
        <w:adjustRightInd w:val="0"/>
        <w:snapToGrid w:val="0"/>
        <w:spacing w:line="360" w:lineRule="auto"/>
        <w:ind w:firstLine="420" w:firstLineChars="200"/>
        <w:rPr>
          <w:rFonts w:ascii="宋体" w:hAnsi="宋体"/>
          <w:szCs w:val="21"/>
        </w:rPr>
      </w:pPr>
      <w:r>
        <w:rPr>
          <w:rFonts w:hint="eastAsia" w:ascii="宋体" w:hAnsi="宋体"/>
          <w:szCs w:val="21"/>
        </w:rPr>
        <w:t>2.基金管理人应将每个开放日的申购、赎回、转换开放式基金的数据传送给基金托管人。基金管理人应对传递的申购、赎回、转换开放式基金的数据真实性和准确性负责。基金托管人应及时查收申购及转入资金的到账情况并根据基金管理人指令及时划付赎回及转出款项。</w:t>
      </w:r>
    </w:p>
    <w:p w14:paraId="7040B168">
      <w:pPr>
        <w:adjustRightInd w:val="0"/>
        <w:snapToGrid w:val="0"/>
        <w:spacing w:line="360" w:lineRule="auto"/>
        <w:ind w:firstLine="420" w:firstLineChars="200"/>
        <w:rPr>
          <w:rFonts w:ascii="宋体" w:hAnsi="宋体"/>
          <w:szCs w:val="21"/>
        </w:rPr>
      </w:pPr>
      <w:r>
        <w:rPr>
          <w:rFonts w:hint="eastAsia" w:ascii="宋体" w:hAnsi="宋体"/>
          <w:szCs w:val="21"/>
        </w:rPr>
        <w:t>3.基金管理人应保证本基金（或本基金管理人委托）的登记机构每个工作日15:00前向基金托管人发送前一开放日上述有关数据，并保证相关数据的准确、完整。</w:t>
      </w:r>
    </w:p>
    <w:p w14:paraId="28CE7D6C">
      <w:pPr>
        <w:adjustRightInd w:val="0"/>
        <w:snapToGrid w:val="0"/>
        <w:spacing w:line="360" w:lineRule="auto"/>
        <w:ind w:firstLine="420" w:firstLineChars="200"/>
        <w:rPr>
          <w:rFonts w:ascii="宋体" w:hAnsi="宋体"/>
          <w:szCs w:val="21"/>
        </w:rPr>
      </w:pPr>
      <w:r>
        <w:rPr>
          <w:rFonts w:hint="eastAsia" w:ascii="宋体" w:hAnsi="宋体"/>
          <w:szCs w:val="21"/>
        </w:rPr>
        <w:t>4.登记机构应通过与基金管理人建立的系统发送有关数据，由基金管理人向基金托管人发送有关数据，如因各种原因，该系统无法正常发送，双方可协商解决处理方式。基金管理人向基金托管人发送的数据，双方各自按有关规定保存。</w:t>
      </w:r>
    </w:p>
    <w:p w14:paraId="0048A4F2">
      <w:pPr>
        <w:adjustRightInd w:val="0"/>
        <w:snapToGrid w:val="0"/>
        <w:spacing w:line="360" w:lineRule="auto"/>
        <w:ind w:firstLine="420" w:firstLineChars="200"/>
        <w:rPr>
          <w:rFonts w:ascii="宋体" w:hAnsi="宋体"/>
          <w:szCs w:val="21"/>
        </w:rPr>
      </w:pPr>
      <w:r>
        <w:rPr>
          <w:rFonts w:hint="eastAsia" w:ascii="宋体" w:hAnsi="宋体"/>
          <w:szCs w:val="21"/>
        </w:rPr>
        <w:t>5.如基金管理人委托其他机构办理本基金的登记业务，应保证上述相关事宜按时进行。否则，由基金管理人承担相应的责任。</w:t>
      </w:r>
    </w:p>
    <w:p w14:paraId="0229E169">
      <w:pPr>
        <w:adjustRightInd w:val="0"/>
        <w:snapToGrid w:val="0"/>
        <w:spacing w:line="360" w:lineRule="auto"/>
        <w:ind w:firstLine="420" w:firstLineChars="200"/>
        <w:rPr>
          <w:rFonts w:ascii="宋体" w:hAnsi="宋体"/>
          <w:szCs w:val="21"/>
        </w:rPr>
      </w:pPr>
      <w:r>
        <w:rPr>
          <w:rFonts w:hint="eastAsia" w:ascii="宋体" w:hAnsi="宋体"/>
          <w:szCs w:val="21"/>
        </w:rPr>
        <w:t>6.关于清算专用账户的设立和管理</w:t>
      </w:r>
    </w:p>
    <w:p w14:paraId="3B320B1D">
      <w:pPr>
        <w:adjustRightInd w:val="0"/>
        <w:snapToGrid w:val="0"/>
        <w:spacing w:line="360" w:lineRule="auto"/>
        <w:ind w:firstLine="420" w:firstLineChars="200"/>
        <w:rPr>
          <w:rFonts w:ascii="宋体" w:hAnsi="宋体"/>
          <w:szCs w:val="21"/>
        </w:rPr>
      </w:pPr>
      <w:r>
        <w:rPr>
          <w:rFonts w:hint="eastAsia" w:ascii="宋体" w:hAnsi="宋体"/>
          <w:szCs w:val="21"/>
        </w:rPr>
        <w:t>为满足申购、赎回、转换及分红资金汇划的需要，由基金管理人开立资金清算的专用账户，该账户由登记机构管理。</w:t>
      </w:r>
    </w:p>
    <w:p w14:paraId="3972CCF0">
      <w:pPr>
        <w:adjustRightInd w:val="0"/>
        <w:snapToGrid w:val="0"/>
        <w:spacing w:line="360" w:lineRule="auto"/>
        <w:ind w:firstLine="420" w:firstLineChars="200"/>
        <w:rPr>
          <w:rFonts w:ascii="宋体" w:hAnsi="宋体"/>
          <w:szCs w:val="21"/>
        </w:rPr>
      </w:pPr>
      <w:r>
        <w:rPr>
          <w:rFonts w:hint="eastAsia" w:ascii="宋体" w:hAnsi="宋体"/>
          <w:szCs w:val="21"/>
        </w:rPr>
        <w:t>7.对于基金申购、转换过程中产生的应收款，应由基金管理人负责与有关当事人确定到账日期并通知基金托管人，到账日应收款没有到达基金资金账户的，基金托管人应及时通知基金管理人采取措施进行催收，由此造成基金损失的，基金管理人应负责向有关当事人追偿基金的损失，基金托管人应提供必要的协助。</w:t>
      </w:r>
    </w:p>
    <w:p w14:paraId="2FD5BB87">
      <w:pPr>
        <w:adjustRightInd w:val="0"/>
        <w:snapToGrid w:val="0"/>
        <w:spacing w:line="360" w:lineRule="auto"/>
        <w:ind w:firstLine="420" w:firstLineChars="200"/>
        <w:rPr>
          <w:rFonts w:ascii="宋体" w:hAnsi="宋体"/>
          <w:szCs w:val="21"/>
        </w:rPr>
      </w:pPr>
      <w:r>
        <w:rPr>
          <w:rFonts w:hint="eastAsia" w:ascii="宋体" w:hAnsi="宋体"/>
          <w:szCs w:val="21"/>
        </w:rPr>
        <w:t>8.赎回、转换资金划拨规定</w:t>
      </w:r>
    </w:p>
    <w:p w14:paraId="3538B6D2">
      <w:pPr>
        <w:adjustRightInd w:val="0"/>
        <w:snapToGrid w:val="0"/>
        <w:spacing w:line="360" w:lineRule="auto"/>
        <w:ind w:firstLine="420" w:firstLineChars="200"/>
        <w:rPr>
          <w:rFonts w:ascii="宋体" w:hAnsi="宋体" w:cs="Arial"/>
          <w:szCs w:val="21"/>
        </w:rPr>
      </w:pPr>
      <w:r>
        <w:rPr>
          <w:rFonts w:hint="eastAsia" w:ascii="宋体" w:hAnsi="宋体"/>
          <w:szCs w:val="21"/>
        </w:rPr>
        <w:t>拨付赎回款、转换转出款时，如基金资金账户有足够的资金，基金托管人应按时拨付；因基金资金账户没有足够的资金，导致基金托管人不能按时拨付，基金托管人不承担责任；责任由基金管理人承担，基金托管人不承担垫款义务。</w:t>
      </w:r>
    </w:p>
    <w:p w14:paraId="76EBC8C0">
      <w:pPr>
        <w:adjustRightInd w:val="0"/>
        <w:snapToGrid w:val="0"/>
        <w:spacing w:line="360" w:lineRule="auto"/>
        <w:ind w:firstLine="420" w:firstLineChars="200"/>
        <w:rPr>
          <w:rFonts w:ascii="宋体" w:hAnsi="宋体"/>
          <w:szCs w:val="21"/>
        </w:rPr>
      </w:pPr>
      <w:r>
        <w:rPr>
          <w:rFonts w:hint="eastAsia" w:ascii="宋体" w:hAnsi="宋体"/>
          <w:szCs w:val="21"/>
        </w:rPr>
        <w:t>9.资金指令</w:t>
      </w:r>
    </w:p>
    <w:p w14:paraId="2DADCB33">
      <w:pPr>
        <w:adjustRightInd w:val="0"/>
        <w:snapToGrid w:val="0"/>
        <w:spacing w:line="360" w:lineRule="auto"/>
        <w:ind w:firstLine="420" w:firstLineChars="200"/>
        <w:rPr>
          <w:rFonts w:ascii="宋体" w:hAnsi="宋体"/>
          <w:szCs w:val="21"/>
        </w:rPr>
      </w:pPr>
      <w:r>
        <w:rPr>
          <w:rFonts w:hint="eastAsia" w:ascii="宋体" w:hAnsi="宋体"/>
          <w:szCs w:val="21"/>
        </w:rPr>
        <w:t>除申购款项到达基金资金账户需双方按约定方式对账外，与投资有关的付款、赎回和分红资金划拨时，基金管理人需向基金托管人下达指令。</w:t>
      </w:r>
    </w:p>
    <w:p w14:paraId="231CAF19">
      <w:pPr>
        <w:adjustRightInd w:val="0"/>
        <w:snapToGrid w:val="0"/>
        <w:spacing w:line="360" w:lineRule="auto"/>
        <w:ind w:firstLine="420" w:firstLineChars="200"/>
        <w:rPr>
          <w:rFonts w:ascii="宋体" w:hAnsi="宋体"/>
          <w:szCs w:val="21"/>
        </w:rPr>
      </w:pPr>
      <w:r>
        <w:rPr>
          <w:rFonts w:hint="eastAsia" w:ascii="宋体" w:hAnsi="宋体"/>
          <w:szCs w:val="21"/>
        </w:rPr>
        <w:t>资金指令的格式、内容、发送、接收和确认方式等与投资指令相同。</w:t>
      </w:r>
    </w:p>
    <w:p w14:paraId="5B85D923">
      <w:pPr>
        <w:adjustRightInd w:val="0"/>
        <w:snapToGrid w:val="0"/>
        <w:spacing w:line="360" w:lineRule="auto"/>
        <w:ind w:firstLine="420" w:firstLineChars="200"/>
        <w:rPr>
          <w:rFonts w:ascii="宋体" w:hAnsi="宋体"/>
          <w:szCs w:val="21"/>
        </w:rPr>
      </w:pPr>
      <w:r>
        <w:rPr>
          <w:rFonts w:hint="eastAsia" w:ascii="宋体" w:hAnsi="宋体"/>
          <w:szCs w:val="21"/>
        </w:rPr>
        <w:t>（四）资金净额结算</w:t>
      </w:r>
    </w:p>
    <w:p w14:paraId="7E1179D6">
      <w:pPr>
        <w:adjustRightInd w:val="0"/>
        <w:snapToGrid w:val="0"/>
        <w:spacing w:line="360" w:lineRule="auto"/>
        <w:ind w:firstLine="420" w:firstLineChars="200"/>
        <w:rPr>
          <w:rFonts w:ascii="宋体" w:hAnsi="宋体" w:cs="Arial"/>
          <w:szCs w:val="21"/>
        </w:rPr>
      </w:pPr>
      <w:r>
        <w:rPr>
          <w:rFonts w:hint="eastAsia" w:ascii="宋体" w:hAnsi="宋体"/>
          <w:szCs w:val="21"/>
        </w:rPr>
        <w:t>基金托管账户与“基金清算账户”间的资金结算遵循“全额清算、净额交收”的原则，每日按照托管账户应收资金（申购申请对应申购净额与基金转换转入申请对应净额之和）与应付资金（赎回申请对应赎回金额扣除归基金资产的费用与基金转换转出申请对应金额扣除归基金资产的费用之和）的差额来确定托管账户净应收额或净应付额，以此确定资金交收额。</w:t>
      </w:r>
      <w:r>
        <w:rPr>
          <w:rFonts w:hint="eastAsia" w:ascii="宋体" w:hAnsi="宋体" w:cs="Arial"/>
          <w:szCs w:val="21"/>
        </w:rPr>
        <w:t>当存在资金账户净应收额时，基金管理人应在交收日15:00之前从基金清算账户划往基金资金账户，基金管理人通过基金托管人提供的方式查询结果；当存在资金账户净应付额时，基金托管人按照基金管理人的划款指令将托管账户净应付额在交收日及时划往基金清算账户，基金管理人通过基金托管人提供的方式查询结果。</w:t>
      </w:r>
    </w:p>
    <w:p w14:paraId="05CBC85A">
      <w:pPr>
        <w:adjustRightInd w:val="0"/>
        <w:snapToGrid w:val="0"/>
        <w:spacing w:line="360" w:lineRule="auto"/>
        <w:ind w:firstLine="420" w:firstLineChars="200"/>
        <w:rPr>
          <w:rFonts w:ascii="宋体" w:hAnsi="宋体" w:cs="Arial"/>
          <w:i/>
          <w:szCs w:val="21"/>
        </w:rPr>
      </w:pPr>
      <w:r>
        <w:rPr>
          <w:rFonts w:hint="eastAsia" w:ascii="宋体" w:hAnsi="宋体" w:cs="Arial"/>
          <w:szCs w:val="21"/>
        </w:rPr>
        <w:t>当存在资金账户净应付额时，如基金银行账户有足够的资金，基金托管人应按时划付；因基金资金账户没有足够的资金，导致基金托管人不能按时划付，基金托管人应及时通知基金管理人，基金托管人不承担责任；如系基金管理人的原因造成，责任由基金管理人承担，基金托管人不承担垫款义务。</w:t>
      </w:r>
    </w:p>
    <w:p w14:paraId="03F995A1">
      <w:pPr>
        <w:adjustRightInd w:val="0"/>
        <w:snapToGrid w:val="0"/>
        <w:spacing w:line="360" w:lineRule="auto"/>
        <w:ind w:firstLine="420" w:firstLineChars="200"/>
        <w:rPr>
          <w:rFonts w:ascii="宋体" w:hAnsi="宋体"/>
          <w:szCs w:val="21"/>
        </w:rPr>
      </w:pPr>
      <w:r>
        <w:rPr>
          <w:rFonts w:hint="eastAsia" w:ascii="宋体" w:hAnsi="宋体"/>
          <w:szCs w:val="21"/>
        </w:rPr>
        <w:t>（</w:t>
      </w:r>
      <w:r>
        <w:rPr>
          <w:rFonts w:hint="eastAsia" w:ascii="宋体" w:hAnsi="宋体" w:cs="Arial"/>
          <w:szCs w:val="21"/>
        </w:rPr>
        <w:t>五</w:t>
      </w:r>
      <w:r>
        <w:rPr>
          <w:rFonts w:hint="eastAsia" w:ascii="宋体" w:hAnsi="宋体"/>
          <w:szCs w:val="21"/>
        </w:rPr>
        <w:t>）基金现金分红</w:t>
      </w:r>
    </w:p>
    <w:p w14:paraId="52E14ACD">
      <w:pPr>
        <w:adjustRightInd w:val="0"/>
        <w:snapToGrid w:val="0"/>
        <w:spacing w:line="360" w:lineRule="auto"/>
        <w:ind w:firstLine="420" w:firstLineChars="200"/>
        <w:rPr>
          <w:rFonts w:ascii="宋体" w:hAnsi="宋体"/>
          <w:szCs w:val="21"/>
        </w:rPr>
      </w:pPr>
      <w:r>
        <w:rPr>
          <w:rFonts w:hint="eastAsia" w:ascii="宋体" w:hAnsi="宋体"/>
          <w:szCs w:val="21"/>
        </w:rPr>
        <w:t>1.基金管理人确定分红方案通知基金托管人，双方核定后依照《信息披露办法》的有关规定在中国证监会规定媒介上公告。</w:t>
      </w:r>
    </w:p>
    <w:p w14:paraId="1C6CDA4C">
      <w:pPr>
        <w:adjustRightInd w:val="0"/>
        <w:snapToGrid w:val="0"/>
        <w:spacing w:line="360" w:lineRule="auto"/>
        <w:ind w:firstLine="420" w:firstLineChars="200"/>
        <w:rPr>
          <w:rFonts w:ascii="宋体" w:hAnsi="宋体"/>
          <w:szCs w:val="21"/>
        </w:rPr>
      </w:pPr>
      <w:r>
        <w:rPr>
          <w:rFonts w:hint="eastAsia" w:ascii="宋体" w:hAnsi="宋体"/>
          <w:szCs w:val="21"/>
        </w:rPr>
        <w:t>2.基金托管人和基金管理人对基金分红进行账务处理并核对后，基金管理人向基金托管人发送现金红利的划款指令，基金托管人应根据指令及时将分红款划往基金清算账户。</w:t>
      </w:r>
    </w:p>
    <w:p w14:paraId="204A31F0">
      <w:pPr>
        <w:adjustRightInd w:val="0"/>
        <w:snapToGrid w:val="0"/>
        <w:spacing w:line="360" w:lineRule="auto"/>
        <w:ind w:firstLine="420" w:firstLineChars="200"/>
        <w:rPr>
          <w:rFonts w:ascii="宋体" w:hAnsi="宋体" w:cs="Arial"/>
          <w:szCs w:val="21"/>
        </w:rPr>
      </w:pPr>
      <w:r>
        <w:rPr>
          <w:rFonts w:hint="eastAsia" w:ascii="宋体" w:hAnsi="宋体"/>
          <w:szCs w:val="21"/>
        </w:rPr>
        <w:t>3.基金管理人在下达指令时，应给基金托管人留出必需的划款时间。</w:t>
      </w:r>
    </w:p>
    <w:p w14:paraId="78D18DC4">
      <w:pPr>
        <w:spacing w:line="360" w:lineRule="auto"/>
        <w:ind w:firstLine="480"/>
        <w:rPr>
          <w:rFonts w:ascii="宋体" w:hAnsi="宋体"/>
          <w:szCs w:val="21"/>
        </w:rPr>
      </w:pPr>
    </w:p>
    <w:p w14:paraId="635C41EE">
      <w:pPr>
        <w:adjustRightInd w:val="0"/>
        <w:snapToGrid w:val="0"/>
        <w:spacing w:line="360" w:lineRule="auto"/>
        <w:rPr>
          <w:rFonts w:ascii="宋体" w:hAnsi="宋体" w:cs="Arial"/>
          <w:szCs w:val="21"/>
        </w:rPr>
      </w:pPr>
    </w:p>
    <w:bookmarkEnd w:id="128"/>
    <w:p w14:paraId="7DF45B21">
      <w:pPr>
        <w:adjustRightInd w:val="0"/>
        <w:snapToGrid w:val="0"/>
        <w:spacing w:line="360" w:lineRule="auto"/>
        <w:ind w:firstLine="420" w:firstLineChars="200"/>
        <w:rPr>
          <w:rFonts w:ascii="宋体" w:hAnsi="宋体"/>
        </w:rPr>
        <w:sectPr>
          <w:footerReference r:id="rId14" w:type="default"/>
          <w:pgSz w:w="11906" w:h="16838"/>
          <w:pgMar w:top="1418" w:right="1701" w:bottom="1418" w:left="1701" w:header="851" w:footer="992" w:gutter="0"/>
          <w:pgNumType w:fmt="decimal" w:start="1"/>
          <w:cols w:space="720" w:num="1"/>
          <w:docGrid w:type="lines" w:linePitch="312" w:charSpace="0"/>
        </w:sectPr>
      </w:pPr>
      <w:bookmarkStart w:id="132" w:name="_Toc384992698"/>
      <w:bookmarkStart w:id="133" w:name="_Toc501274920"/>
      <w:bookmarkStart w:id="134" w:name="_Toc348082036"/>
      <w:bookmarkStart w:id="135" w:name="CLAUSE_b74f232bf4734a47a2571e2ac752383e"/>
    </w:p>
    <w:p w14:paraId="28EAF1BE">
      <w:pPr>
        <w:pStyle w:val="3"/>
        <w:spacing w:before="312" w:beforeLines="100" w:after="156" w:afterLines="50" w:line="360" w:lineRule="auto"/>
        <w:jc w:val="center"/>
        <w:rPr>
          <w:rFonts w:ascii="宋体" w:hAnsi="宋体" w:eastAsia="宋体"/>
          <w:sz w:val="21"/>
          <w:szCs w:val="21"/>
        </w:rPr>
      </w:pPr>
      <w:r>
        <w:t xml:space="preserve"> </w:t>
      </w:r>
      <w:bookmarkStart w:id="136" w:name="CTS_b74f232bf4734a47a2571e2ac752383e"/>
      <w:bookmarkEnd w:id="136"/>
      <w:r>
        <w:t xml:space="preserve"> </w:t>
      </w:r>
      <w:bookmarkStart w:id="137" w:name="_Toc31969"/>
      <w:bookmarkStart w:id="138" w:name="_Toc2177"/>
      <w:r>
        <w:rPr>
          <w:rFonts w:hint="eastAsia" w:ascii="宋体" w:hAnsi="宋体" w:eastAsia="宋体"/>
          <w:sz w:val="21"/>
          <w:szCs w:val="21"/>
        </w:rPr>
        <w:t>八、基金资产净值计算、估值和会计核算</w:t>
      </w:r>
      <w:bookmarkEnd w:id="132"/>
      <w:bookmarkEnd w:id="133"/>
      <w:bookmarkEnd w:id="134"/>
      <w:bookmarkEnd w:id="137"/>
      <w:bookmarkEnd w:id="138"/>
    </w:p>
    <w:p w14:paraId="191D4FA5">
      <w:pPr>
        <w:adjustRightInd w:val="0"/>
        <w:snapToGrid w:val="0"/>
        <w:spacing w:line="360" w:lineRule="auto"/>
        <w:ind w:firstLine="420" w:firstLineChars="200"/>
        <w:rPr>
          <w:rFonts w:ascii="宋体" w:hAnsi="宋体" w:cs="Arial"/>
          <w:szCs w:val="21"/>
        </w:rPr>
      </w:pPr>
      <w:r>
        <w:rPr>
          <w:rFonts w:hint="eastAsia" w:ascii="宋体" w:hAnsi="宋体" w:cs="Arial"/>
          <w:szCs w:val="21"/>
        </w:rPr>
        <w:t>（一）基金资产净值的计算、复核与完成的时间及程序</w:t>
      </w:r>
    </w:p>
    <w:p w14:paraId="1B93DBA5">
      <w:pPr>
        <w:adjustRightInd w:val="0"/>
        <w:snapToGrid w:val="0"/>
        <w:spacing w:line="360" w:lineRule="auto"/>
        <w:ind w:firstLine="420" w:firstLineChars="200"/>
        <w:rPr>
          <w:rFonts w:ascii="宋体" w:hAnsi="宋体" w:cs="Arial"/>
          <w:szCs w:val="21"/>
        </w:rPr>
      </w:pPr>
      <w:r>
        <w:rPr>
          <w:rFonts w:hint="eastAsia" w:ascii="宋体" w:hAnsi="宋体" w:cs="Arial"/>
          <w:szCs w:val="21"/>
        </w:rPr>
        <w:t>1.基金资产净值</w:t>
      </w:r>
    </w:p>
    <w:p w14:paraId="25CC9B5E">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基金资产净值是指基金资产总值减去基金负债后的价值。</w:t>
      </w:r>
    </w:p>
    <w:p w14:paraId="5A58A98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各类基金份额净值是按照每个估值日，各类基金份额的基金资产净值除以当日该类基金份额的余额数量计算，均精确到0.0001元，小数点后第5位四舍五入，由此产生的误差计入基金财产。基金管理人可以设立大额赎回情形下的净值精度应急调整机制。国家另有规定的，从其规定。</w:t>
      </w:r>
    </w:p>
    <w:p w14:paraId="0FBAAD2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基金管理人于每个估值日的次二个工作日内计算基金资产净值及各类基金份额净值，经基金托管人复核，并按规定公告。</w:t>
      </w:r>
    </w:p>
    <w:p w14:paraId="78886FA9">
      <w:pPr>
        <w:adjustRightInd w:val="0"/>
        <w:snapToGrid w:val="0"/>
        <w:spacing w:line="360" w:lineRule="auto"/>
        <w:ind w:firstLine="420" w:firstLineChars="200"/>
        <w:rPr>
          <w:rFonts w:ascii="宋体" w:hAnsi="宋体" w:cs="Arial"/>
          <w:szCs w:val="21"/>
        </w:rPr>
      </w:pPr>
      <w:r>
        <w:rPr>
          <w:rFonts w:hint="eastAsia" w:ascii="宋体" w:hAnsi="宋体" w:cs="Arial"/>
          <w:szCs w:val="21"/>
        </w:rPr>
        <w:t>2.复核程序</w:t>
      </w:r>
    </w:p>
    <w:p w14:paraId="288AF0D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应对基金资产估值。但基金管理人根据法律法规或基金合同的规定暂停估值时除外。基金管理人对基金资产估值后，将各类基金份额净值结果发送基金托管人，经基金托管人复核无误后，由基金管理人按约定对外公布。</w:t>
      </w:r>
    </w:p>
    <w:p w14:paraId="0D759B33">
      <w:pPr>
        <w:adjustRightInd w:val="0"/>
        <w:snapToGrid w:val="0"/>
        <w:spacing w:line="360" w:lineRule="auto"/>
        <w:ind w:firstLine="420" w:firstLineChars="200"/>
        <w:rPr>
          <w:rFonts w:ascii="宋体" w:hAnsi="宋体"/>
          <w:szCs w:val="21"/>
        </w:rPr>
      </w:pPr>
      <w:r>
        <w:rPr>
          <w:rFonts w:hint="eastAsia" w:ascii="宋体" w:hAnsi="宋体" w:cs="Arial"/>
          <w:szCs w:val="21"/>
        </w:rPr>
        <w:t>3.</w:t>
      </w:r>
      <w:r>
        <w:rPr>
          <w:rFonts w:hint="eastAsia" w:ascii="宋体" w:hAnsi="宋体"/>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w:t>
      </w:r>
    </w:p>
    <w:p w14:paraId="05C1260F">
      <w:pPr>
        <w:adjustRightInd w:val="0"/>
        <w:snapToGrid w:val="0"/>
        <w:spacing w:line="360" w:lineRule="auto"/>
        <w:ind w:firstLine="420" w:firstLineChars="200"/>
        <w:rPr>
          <w:rFonts w:hint="eastAsia" w:ascii="宋体" w:hAnsi="宋体"/>
          <w:szCs w:val="21"/>
        </w:rPr>
      </w:pPr>
      <w:r>
        <w:rPr>
          <w:rFonts w:hint="eastAsia" w:ascii="宋体" w:hAnsi="宋体" w:cs="Arial"/>
          <w:szCs w:val="21"/>
        </w:rPr>
        <w:t>4</w:t>
      </w:r>
      <w:r>
        <w:rPr>
          <w:rFonts w:ascii="宋体" w:hAnsi="宋体" w:cs="Arial"/>
          <w:szCs w:val="21"/>
        </w:rPr>
        <w:t>.</w:t>
      </w:r>
      <w:r>
        <w:rPr>
          <w:rFonts w:hint="eastAsia" w:ascii="宋体" w:hAnsi="宋体" w:cs="Arial"/>
          <w:szCs w:val="21"/>
        </w:rPr>
        <w:t>可以从第三方渠道获取可靠数据的，基金托管人应当主要使用第三方数据进行会计核算。对仅依赖基金管理人所提供数据且无法从其他渠道获取可靠数据进行会计核算的，相关责任由基金管理人承担。</w:t>
      </w:r>
    </w:p>
    <w:p w14:paraId="4E60655C">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（二）基金资产的估值</w:t>
      </w:r>
    </w:p>
    <w:p w14:paraId="2E853E31">
      <w:pPr>
        <w:adjustRightInd w:val="0"/>
        <w:snapToGrid w:val="0"/>
        <w:spacing w:line="360" w:lineRule="auto"/>
        <w:ind w:firstLine="420" w:firstLineChars="200"/>
        <w:rPr>
          <w:szCs w:val="21"/>
        </w:rPr>
      </w:pPr>
      <w:r>
        <w:rPr>
          <w:rFonts w:hint="eastAsia"/>
          <w:szCs w:val="21"/>
        </w:rPr>
        <w:t>鉴于本基金涉及销售服务费返还，该部分费用的会计核算及支付所需要的数据由管理人负责计算并按双方协商一致的方式提供给托管人，相关责任由管理人承担</w:t>
      </w:r>
      <w:r>
        <w:rPr>
          <w:rStyle w:val="38"/>
          <w:rFonts w:hint="eastAsia" w:ascii="宋体" w:hAnsi="宋体"/>
          <w:highlight w:val="none"/>
        </w:rPr>
        <w:t>，基金托管人不承担责任</w:t>
      </w:r>
      <w:r>
        <w:rPr>
          <w:rFonts w:hint="eastAsia"/>
          <w:szCs w:val="21"/>
        </w:rPr>
        <w:t>。基金管理人及基金托管人应当按照《基金合同》的约定进行估值。</w:t>
      </w:r>
    </w:p>
    <w:p w14:paraId="30848176">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（三）基金份额净值错误的处理方式</w:t>
      </w:r>
    </w:p>
    <w:p w14:paraId="16D5192E">
      <w:pPr>
        <w:adjustRightInd w:val="0"/>
        <w:snapToGrid w:val="0"/>
        <w:spacing w:line="360" w:lineRule="auto"/>
        <w:ind w:firstLine="420" w:firstLineChars="200"/>
        <w:rPr>
          <w:rFonts w:ascii="宋体" w:hAnsi="宋体" w:cs="Arial"/>
          <w:szCs w:val="21"/>
        </w:rPr>
      </w:pPr>
      <w:r>
        <w:rPr>
          <w:rFonts w:hint="eastAsia"/>
          <w:szCs w:val="21"/>
        </w:rPr>
        <w:t>基金管理人及基金托管人应当按照《基金合同》的约定处理份额净值错误。</w:t>
      </w:r>
    </w:p>
    <w:p w14:paraId="492067B2">
      <w:pPr>
        <w:adjustRightInd w:val="0"/>
        <w:snapToGrid w:val="0"/>
        <w:spacing w:line="360" w:lineRule="auto"/>
        <w:ind w:firstLine="420" w:firstLineChars="200"/>
        <w:rPr>
          <w:rFonts w:ascii="宋体" w:hAnsi="宋体" w:cs="Arial"/>
          <w:szCs w:val="21"/>
        </w:rPr>
      </w:pPr>
      <w:r>
        <w:rPr>
          <w:rFonts w:hint="eastAsia" w:ascii="宋体" w:hAnsi="宋体" w:cs="Arial"/>
          <w:szCs w:val="21"/>
        </w:rPr>
        <w:t>（四）基金会计制度</w:t>
      </w:r>
    </w:p>
    <w:p w14:paraId="4C10F626">
      <w:pPr>
        <w:adjustRightInd w:val="0"/>
        <w:snapToGrid w:val="0"/>
        <w:spacing w:line="360" w:lineRule="auto"/>
        <w:ind w:firstLine="420" w:firstLineChars="200"/>
        <w:rPr>
          <w:rFonts w:ascii="宋体" w:hAnsi="宋体" w:cs="Arial"/>
          <w:szCs w:val="21"/>
        </w:rPr>
      </w:pPr>
      <w:r>
        <w:rPr>
          <w:rFonts w:hint="eastAsia" w:ascii="宋体" w:hAnsi="宋体" w:cs="Arial"/>
          <w:szCs w:val="21"/>
        </w:rPr>
        <w:t>按国家有关部门规定的会计制度执行。</w:t>
      </w:r>
    </w:p>
    <w:p w14:paraId="1CB59A21">
      <w:pPr>
        <w:adjustRightInd w:val="0"/>
        <w:snapToGrid w:val="0"/>
        <w:spacing w:line="360" w:lineRule="auto"/>
        <w:ind w:firstLine="420" w:firstLineChars="200"/>
        <w:rPr>
          <w:rFonts w:ascii="宋体" w:hAnsi="宋体" w:cs="Arial"/>
          <w:szCs w:val="21"/>
        </w:rPr>
      </w:pPr>
      <w:r>
        <w:rPr>
          <w:rFonts w:hint="eastAsia" w:ascii="宋体" w:hAnsi="宋体" w:cs="Arial"/>
          <w:szCs w:val="21"/>
        </w:rPr>
        <w:t>（五）基金账册的建立</w:t>
      </w:r>
    </w:p>
    <w:p w14:paraId="27CCA5A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和基金托管人在基金合同生效后，应按照双方约定的同一记账方法和会计处理原则，分别独立地设置、记录和保管本基金的全套账册，对相关各方各自的账册定期进行核对，互相监督，以保证基金资产的安全。若基金管理人和基金托管人对会计处理方法存在分歧，应以基金管理人的处理方法为准。</w:t>
      </w:r>
    </w:p>
    <w:p w14:paraId="5DD02956">
      <w:pPr>
        <w:adjustRightInd w:val="0"/>
        <w:snapToGrid w:val="0"/>
        <w:spacing w:line="360" w:lineRule="auto"/>
        <w:ind w:firstLine="420" w:firstLineChars="200"/>
        <w:rPr>
          <w:rFonts w:ascii="宋体" w:hAnsi="宋体" w:cs="Arial"/>
          <w:szCs w:val="21"/>
        </w:rPr>
      </w:pPr>
      <w:r>
        <w:rPr>
          <w:rFonts w:hint="eastAsia" w:ascii="宋体" w:hAnsi="宋体" w:cs="Arial"/>
          <w:szCs w:val="21"/>
        </w:rPr>
        <w:t>（六）基金财务报表与报告的编制和复核</w:t>
      </w:r>
    </w:p>
    <w:p w14:paraId="1F6BA121">
      <w:pPr>
        <w:adjustRightInd w:val="0"/>
        <w:snapToGrid w:val="0"/>
        <w:spacing w:line="360" w:lineRule="auto"/>
        <w:ind w:firstLine="420" w:firstLineChars="200"/>
        <w:rPr>
          <w:rFonts w:ascii="宋体" w:hAnsi="宋体" w:cs="Arial"/>
          <w:szCs w:val="21"/>
        </w:rPr>
      </w:pPr>
      <w:r>
        <w:rPr>
          <w:rFonts w:hint="eastAsia" w:ascii="宋体" w:hAnsi="宋体" w:cs="Arial"/>
          <w:szCs w:val="21"/>
        </w:rPr>
        <w:t>1.财务报表的编制</w:t>
      </w:r>
    </w:p>
    <w:p w14:paraId="57ACE887">
      <w:pPr>
        <w:adjustRightInd w:val="0"/>
        <w:snapToGrid w:val="0"/>
        <w:spacing w:line="360" w:lineRule="auto"/>
        <w:ind w:firstLine="420" w:firstLineChars="200"/>
        <w:rPr>
          <w:rFonts w:ascii="宋体" w:hAnsi="宋体" w:cs="Arial"/>
          <w:szCs w:val="21"/>
        </w:rPr>
      </w:pPr>
      <w:r>
        <w:rPr>
          <w:rFonts w:hint="eastAsia" w:ascii="宋体" w:hAnsi="宋体" w:cs="Arial"/>
          <w:szCs w:val="21"/>
        </w:rPr>
        <w:t>基金财务报表由基金管理人编制，基金托管人复核。</w:t>
      </w:r>
    </w:p>
    <w:p w14:paraId="031C3614">
      <w:pPr>
        <w:adjustRightInd w:val="0"/>
        <w:snapToGrid w:val="0"/>
        <w:spacing w:line="360" w:lineRule="auto"/>
        <w:ind w:firstLine="420" w:firstLineChars="200"/>
        <w:rPr>
          <w:rFonts w:ascii="宋体" w:hAnsi="宋体" w:cs="Arial"/>
          <w:szCs w:val="21"/>
        </w:rPr>
      </w:pPr>
      <w:r>
        <w:rPr>
          <w:rFonts w:hint="eastAsia" w:ascii="宋体" w:hAnsi="宋体" w:cs="Arial"/>
          <w:szCs w:val="21"/>
        </w:rPr>
        <w:t>2.报表复核</w:t>
      </w:r>
    </w:p>
    <w:p w14:paraId="53C4BEFE">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基金托管人在收到基金管理人编制的基金财务报表后，进行独立的复核。核对不符时，应及时通知基金管理人共同查出原因，进行调整，直至双方数据完全一致。</w:t>
      </w:r>
    </w:p>
    <w:p w14:paraId="20397411">
      <w:pPr>
        <w:adjustRightInd w:val="0"/>
        <w:snapToGrid w:val="0"/>
        <w:spacing w:line="360" w:lineRule="auto"/>
        <w:ind w:firstLine="420" w:firstLineChars="200"/>
        <w:rPr>
          <w:rFonts w:ascii="宋体" w:hAnsi="宋体" w:cs="Arial"/>
          <w:szCs w:val="21"/>
        </w:rPr>
      </w:pPr>
      <w:r>
        <w:rPr>
          <w:rFonts w:hint="eastAsia" w:ascii="宋体" w:hAnsi="宋体" w:cs="Arial"/>
          <w:szCs w:val="21"/>
        </w:rPr>
        <w:t>3.财务报表的编制与复核时间安排</w:t>
      </w:r>
    </w:p>
    <w:p w14:paraId="072F8594">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基金托管人应当在每月结束后5个工作日内完成月度报表的编制及复核；在每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符合《证券法》规定的会计师事务所审计。基金合同生效不足两个月的，基金管理人可以不编制当期季度报告、中期报告或者年度报告。</w:t>
      </w:r>
    </w:p>
    <w:bookmarkEnd w:id="135"/>
    <w:p w14:paraId="1F164181">
      <w:pPr>
        <w:adjustRightInd w:val="0"/>
        <w:snapToGrid w:val="0"/>
        <w:spacing w:line="360" w:lineRule="auto"/>
        <w:ind w:firstLine="420" w:firstLineChars="200"/>
        <w:rPr>
          <w:rFonts w:ascii="宋体" w:hAnsi="宋体" w:cs="Arial"/>
          <w:szCs w:val="21"/>
        </w:rPr>
      </w:pPr>
      <w:bookmarkStart w:id="139" w:name="_Toc501274921"/>
      <w:bookmarkStart w:id="140" w:name="_Toc384992699"/>
      <w:bookmarkStart w:id="141" w:name="_Toc348082037"/>
      <w:bookmarkStart w:id="142" w:name="CLAUSE_c8db7745636a48168e3bd994d687c199"/>
      <w:r>
        <w:rPr>
          <w:rFonts w:hint="eastAsia" w:ascii="宋体" w:hAnsi="宋体" w:cs="Arial"/>
          <w:szCs w:val="21"/>
        </w:rPr>
        <w:t>（七）在有需要时，基金管理人应每季度（但无义务）向基金托管人提供基金业绩比较基准的基础数据和编制结果。</w:t>
      </w:r>
    </w:p>
    <w:p w14:paraId="5019CF2B">
      <w:pPr>
        <w:adjustRightInd w:val="0"/>
        <w:snapToGrid w:val="0"/>
        <w:spacing w:line="360" w:lineRule="auto"/>
        <w:ind w:firstLine="420" w:firstLineChars="200"/>
        <w:rPr>
          <w:rFonts w:hint="eastAsia" w:ascii="宋体" w:hAnsi="宋体"/>
        </w:rPr>
        <w:sectPr>
          <w:footerReference r:id="rId15" w:type="default"/>
          <w:pgSz w:w="11906" w:h="16838"/>
          <w:pgMar w:top="1418" w:right="1701" w:bottom="1418" w:left="1701" w:header="851" w:footer="992" w:gutter="0"/>
          <w:pgNumType w:fmt="decimal" w:start="1"/>
          <w:cols w:space="720" w:num="1"/>
          <w:docGrid w:type="lines" w:linePitch="312" w:charSpace="0"/>
        </w:sectPr>
      </w:pPr>
    </w:p>
    <w:p w14:paraId="091B884F">
      <w:pPr>
        <w:pStyle w:val="3"/>
        <w:spacing w:before="312" w:beforeLines="100" w:after="156" w:afterLines="50" w:line="360" w:lineRule="auto"/>
        <w:jc w:val="center"/>
        <w:rPr>
          <w:rFonts w:ascii="宋体" w:hAnsi="宋体" w:eastAsia="宋体"/>
          <w:sz w:val="21"/>
          <w:szCs w:val="21"/>
        </w:rPr>
      </w:pPr>
      <w:r>
        <w:t xml:space="preserve"> </w:t>
      </w:r>
      <w:bookmarkStart w:id="143" w:name="CTS_c8db7745636a48168e3bd994d687c199"/>
      <w:bookmarkEnd w:id="143"/>
      <w:r>
        <w:t xml:space="preserve"> </w:t>
      </w:r>
      <w:bookmarkStart w:id="144" w:name="_Toc4311"/>
      <w:bookmarkStart w:id="145" w:name="_Toc12674"/>
      <w:r>
        <w:rPr>
          <w:rFonts w:hint="eastAsia" w:ascii="宋体" w:hAnsi="宋体" w:eastAsia="宋体"/>
          <w:sz w:val="21"/>
          <w:szCs w:val="21"/>
        </w:rPr>
        <w:t>九、基金收益分配</w:t>
      </w:r>
      <w:bookmarkEnd w:id="139"/>
      <w:bookmarkEnd w:id="140"/>
      <w:bookmarkEnd w:id="141"/>
      <w:bookmarkEnd w:id="144"/>
      <w:bookmarkEnd w:id="145"/>
    </w:p>
    <w:p w14:paraId="3E5B6BA6">
      <w:pPr>
        <w:adjustRightInd w:val="0"/>
        <w:snapToGrid w:val="0"/>
        <w:spacing w:line="360" w:lineRule="auto"/>
        <w:ind w:firstLine="420" w:firstLineChars="200"/>
        <w:rPr>
          <w:rFonts w:ascii="宋体" w:hAnsi="宋体" w:cs="Arial"/>
          <w:szCs w:val="21"/>
        </w:rPr>
      </w:pPr>
      <w:r>
        <w:rPr>
          <w:rFonts w:hint="eastAsia"/>
          <w:szCs w:val="21"/>
        </w:rPr>
        <w:t>基金管理人与基金托管人按照《基金合同》的约定处理基金收益分配。</w:t>
      </w:r>
    </w:p>
    <w:p w14:paraId="272C23D7">
      <w:pPr>
        <w:adjustRightInd w:val="0"/>
        <w:snapToGrid w:val="0"/>
        <w:spacing w:line="360" w:lineRule="auto"/>
        <w:rPr>
          <w:rFonts w:ascii="宋体" w:hAnsi="宋体" w:cs="Arial"/>
          <w:szCs w:val="21"/>
        </w:rPr>
      </w:pPr>
    </w:p>
    <w:bookmarkEnd w:id="142"/>
    <w:p w14:paraId="77063149">
      <w:pPr>
        <w:adjustRightInd w:val="0"/>
        <w:snapToGrid w:val="0"/>
        <w:spacing w:line="360" w:lineRule="auto"/>
        <w:ind w:firstLine="420" w:firstLineChars="200"/>
        <w:sectPr>
          <w:footerReference r:id="rId16" w:type="default"/>
          <w:pgSz w:w="11906" w:h="16838"/>
          <w:pgMar w:top="1418" w:right="1701" w:bottom="1418" w:left="1701" w:header="851" w:footer="992" w:gutter="0"/>
          <w:pgNumType w:fmt="decimal" w:start="1"/>
          <w:cols w:space="720" w:num="1"/>
          <w:docGrid w:type="lines" w:linePitch="312" w:charSpace="0"/>
        </w:sectPr>
      </w:pPr>
      <w:bookmarkStart w:id="146" w:name="_Toc348082038"/>
      <w:bookmarkStart w:id="147" w:name="_Toc384992700"/>
      <w:bookmarkStart w:id="148" w:name="_Toc501274922"/>
      <w:bookmarkStart w:id="149" w:name="CLAUSE_d7378e04a4ec42e1981409bd53375282"/>
    </w:p>
    <w:p w14:paraId="6D4EE948">
      <w:pPr>
        <w:pStyle w:val="3"/>
        <w:spacing w:before="312" w:beforeLines="100" w:after="156" w:afterLines="50" w:line="360" w:lineRule="auto"/>
        <w:jc w:val="center"/>
        <w:rPr>
          <w:rFonts w:ascii="宋体" w:hAnsi="宋体" w:eastAsia="宋体"/>
          <w:sz w:val="21"/>
          <w:szCs w:val="21"/>
        </w:rPr>
      </w:pPr>
      <w:r>
        <w:t xml:space="preserve"> </w:t>
      </w:r>
      <w:bookmarkStart w:id="150" w:name="CTS_d7378e04a4ec42e1981409bd53375282"/>
      <w:bookmarkEnd w:id="150"/>
      <w:r>
        <w:t xml:space="preserve"> </w:t>
      </w:r>
      <w:bookmarkStart w:id="151" w:name="_Toc24645"/>
      <w:bookmarkStart w:id="152" w:name="_Toc3065"/>
      <w:r>
        <w:rPr>
          <w:rFonts w:hint="eastAsia" w:ascii="宋体" w:hAnsi="宋体" w:eastAsia="宋体"/>
          <w:sz w:val="21"/>
          <w:szCs w:val="21"/>
        </w:rPr>
        <w:t>十、基金信息披露</w:t>
      </w:r>
      <w:bookmarkEnd w:id="146"/>
      <w:bookmarkEnd w:id="147"/>
      <w:bookmarkEnd w:id="148"/>
      <w:bookmarkEnd w:id="151"/>
      <w:bookmarkEnd w:id="152"/>
    </w:p>
    <w:p w14:paraId="775D3F49">
      <w:pPr>
        <w:adjustRightInd w:val="0"/>
        <w:snapToGrid w:val="0"/>
        <w:spacing w:line="360" w:lineRule="auto"/>
        <w:ind w:firstLine="420" w:firstLineChars="200"/>
        <w:rPr>
          <w:rFonts w:ascii="宋体" w:hAnsi="宋体" w:cs="Arial"/>
          <w:szCs w:val="21"/>
        </w:rPr>
      </w:pPr>
      <w:r>
        <w:rPr>
          <w:rFonts w:hint="eastAsia" w:ascii="宋体" w:hAnsi="宋体" w:cs="Arial"/>
          <w:szCs w:val="21"/>
        </w:rPr>
        <w:t>（一）保密义务</w:t>
      </w:r>
    </w:p>
    <w:p w14:paraId="6FFA7ACC">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基金托管人和基金管理人应按法律法规、基金合同的有关规定进行信息披露，拟公开披露的信息在公开披露之前应予保密。除按《基金法》、基金合同、《信息披露办法》、</w:t>
      </w:r>
      <w:r>
        <w:rPr>
          <w:rFonts w:hint="eastAsia" w:cs="Arial"/>
          <w:szCs w:val="21"/>
        </w:rPr>
        <w:t>《流动性</w:t>
      </w:r>
      <w:r>
        <w:rPr>
          <w:rFonts w:cs="Arial"/>
          <w:szCs w:val="21"/>
        </w:rPr>
        <w:t>风险管理规定</w:t>
      </w:r>
      <w:r>
        <w:rPr>
          <w:rFonts w:hint="eastAsia" w:cs="Arial"/>
          <w:szCs w:val="21"/>
        </w:rPr>
        <w:t>》</w:t>
      </w:r>
      <w:r>
        <w:rPr>
          <w:rFonts w:hint="eastAsia" w:ascii="宋体" w:hAnsi="宋体" w:cs="Arial"/>
          <w:szCs w:val="21"/>
        </w:rPr>
        <w:t>及其他有关规定进行信息披露外，基金管理人和基金托管人对基金运作中产生的信息以及从对方获得的业务信息应予保密。但是，如下情况不应视为基金管理人或基金托管人违反保密义务：</w:t>
      </w:r>
    </w:p>
    <w:p w14:paraId="5FD170C2">
      <w:pPr>
        <w:adjustRightInd w:val="0"/>
        <w:snapToGrid w:val="0"/>
        <w:spacing w:line="360" w:lineRule="auto"/>
        <w:ind w:firstLine="420" w:firstLineChars="200"/>
        <w:rPr>
          <w:rFonts w:ascii="宋体" w:hAnsi="宋体" w:cs="Arial"/>
          <w:szCs w:val="21"/>
        </w:rPr>
      </w:pPr>
      <w:r>
        <w:rPr>
          <w:rFonts w:hint="eastAsia" w:ascii="宋体" w:hAnsi="宋体" w:cs="Arial"/>
          <w:szCs w:val="21"/>
        </w:rPr>
        <w:t>1.非因基金管理人和基金托管人的原因导致保密信息被披露、泄露或公开；</w:t>
      </w:r>
    </w:p>
    <w:p w14:paraId="079FA86B">
      <w:pPr>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2.基金管理人和基金托管人为遵守和服从法院判决或裁定、仲裁裁决或中国证监会等监管机构的命令、决定所做出的信息披露或公开。</w:t>
      </w:r>
    </w:p>
    <w:p w14:paraId="776B3602">
      <w:pPr>
        <w:adjustRightInd w:val="0"/>
        <w:snapToGrid w:val="0"/>
        <w:spacing w:line="360" w:lineRule="auto"/>
        <w:ind w:firstLine="420" w:firstLineChars="200"/>
        <w:rPr>
          <w:rFonts w:ascii="宋体" w:hAnsi="宋体" w:cs="Arial"/>
          <w:szCs w:val="21"/>
        </w:rPr>
      </w:pPr>
      <w:r>
        <w:rPr>
          <w:rFonts w:hint="eastAsia" w:ascii="宋体" w:hAnsi="宋体" w:cs="Arial"/>
          <w:szCs w:val="21"/>
        </w:rPr>
        <w:t>（二）信息披露的内容</w:t>
      </w:r>
    </w:p>
    <w:p w14:paraId="6894F00E">
      <w:pPr>
        <w:adjustRightInd w:val="0"/>
        <w:snapToGrid w:val="0"/>
        <w:spacing w:line="360" w:lineRule="auto"/>
        <w:ind w:firstLine="420" w:firstLineChars="200"/>
        <w:rPr>
          <w:rFonts w:ascii="宋体" w:hAnsi="宋体" w:cs="Arial"/>
          <w:szCs w:val="21"/>
        </w:rPr>
      </w:pPr>
      <w:r>
        <w:rPr>
          <w:rFonts w:hint="eastAsia" w:ascii="宋体" w:hAnsi="宋体" w:cs="Arial"/>
          <w:szCs w:val="21"/>
        </w:rPr>
        <w:t>基金的信息披露内容主要包括基金招募说明书、基金合同、托管协议、基金产品资料概要、基金份额发售公告、基金合同生效公告、基金净值信息、基金份额申购、赎回价格、基金定期报告（包括基金年度报告、基金中期报告和基金季度报告）、临时报告、澄清公告、基金份额持有人大会决议、投资基金的信息披露、投资资产支持证券信息披露、清算报告、投资港股通标的的信息披露、实施侧袋机制期间的信息披露及中国证监会规定的其他信息。基金年度报告中的财务会计报告需经符合《证券法》规定的会计师事务所审计后，方可披露。</w:t>
      </w:r>
    </w:p>
    <w:p w14:paraId="0D0FED57">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（三）基金托管人和基金管理人在信息披露中的职责和信息披露程序</w:t>
      </w:r>
    </w:p>
    <w:p w14:paraId="43800487">
      <w:pPr>
        <w:adjustRightInd w:val="0"/>
        <w:snapToGrid w:val="0"/>
        <w:spacing w:line="360" w:lineRule="auto"/>
        <w:ind w:firstLine="420" w:firstLineChars="200"/>
        <w:rPr>
          <w:rFonts w:ascii="宋体" w:hAnsi="宋体" w:cs="Arial"/>
          <w:szCs w:val="21"/>
        </w:rPr>
      </w:pPr>
      <w:r>
        <w:rPr>
          <w:rFonts w:hint="eastAsia" w:ascii="宋体" w:hAnsi="宋体" w:cs="Arial"/>
          <w:szCs w:val="21"/>
        </w:rPr>
        <w:t>1.职责</w:t>
      </w:r>
    </w:p>
    <w:p w14:paraId="61FFFBED">
      <w:pPr>
        <w:adjustRightInd w:val="0"/>
        <w:snapToGrid w:val="0"/>
        <w:spacing w:line="360" w:lineRule="auto"/>
        <w:ind w:firstLine="420" w:firstLineChars="200"/>
        <w:rPr>
          <w:rFonts w:ascii="宋体" w:hAnsi="宋体" w:cs="Arial"/>
          <w:szCs w:val="21"/>
        </w:rPr>
      </w:pPr>
      <w:r>
        <w:rPr>
          <w:rFonts w:hint="eastAsia" w:ascii="宋体" w:hAnsi="宋体" w:cs="Arial"/>
          <w:szCs w:val="21"/>
        </w:rPr>
        <w:t>基金托管人和基金管理人在信息披露过程中应以保护基金份额持有人利益为宗旨，诚实信用，严守秘密。基金管理人负责办理与基金有关的信息披露事宜，对于根据相关法律法规和基金合同规定的需要由基金托管人复核的信息披露文件，基金托管人根据其自身能够获取的数据和信息为依据进行复核，在经基金托管人复核无误后，由基金管理人予以公布。</w:t>
      </w:r>
    </w:p>
    <w:p w14:paraId="294AFFCA">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基金管理人和基金托管人应积极配合、互相监督，保证其履行按照法定方式和时限披露的义务。</w:t>
      </w:r>
    </w:p>
    <w:p w14:paraId="769F087B">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基金管理人应当在中国证监会规定的时间内，将应予披露的基金信息通过中国证监会规定的媒介披露。根据法律法规应由基金托管人公开披露的信息，基金托管人在规定媒介公开披露。</w:t>
      </w:r>
    </w:p>
    <w:p w14:paraId="7C79A5E3">
      <w:pPr>
        <w:adjustRightInd w:val="0"/>
        <w:snapToGrid w:val="0"/>
        <w:spacing w:line="360" w:lineRule="auto"/>
        <w:ind w:firstLine="420" w:firstLineChars="200"/>
        <w:rPr>
          <w:rFonts w:ascii="宋体" w:hAnsi="宋体" w:cs="Arial"/>
          <w:szCs w:val="21"/>
        </w:rPr>
      </w:pPr>
      <w:r>
        <w:rPr>
          <w:rFonts w:hint="eastAsia" w:ascii="宋体" w:hAnsi="宋体" w:cs="Arial"/>
          <w:szCs w:val="21"/>
        </w:rPr>
        <w:t>当出现下述情况时，基金管理人和基金托管人可暂停或延迟披露基金相关信息：</w:t>
      </w:r>
    </w:p>
    <w:p w14:paraId="1D25C5F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 xml:space="preserve">（1）不可抗力； </w:t>
      </w:r>
    </w:p>
    <w:p w14:paraId="6A3273E6">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（2）发生暂停基金估值的情形时；</w:t>
      </w:r>
    </w:p>
    <w:p w14:paraId="6FA50662">
      <w:pPr>
        <w:adjustRightInd w:val="0"/>
        <w:snapToGrid w:val="0"/>
        <w:spacing w:line="360" w:lineRule="auto"/>
        <w:ind w:firstLine="420" w:firstLineChars="200"/>
        <w:rPr>
          <w:rFonts w:ascii="宋体" w:hAnsi="宋体" w:cs="Arial"/>
          <w:szCs w:val="21"/>
        </w:rPr>
      </w:pPr>
      <w:r>
        <w:rPr>
          <w:rFonts w:hint="eastAsia" w:ascii="宋体" w:hAnsi="宋体" w:cs="Arial"/>
          <w:szCs w:val="21"/>
        </w:rPr>
        <w:t>（3）法律法规规定、中国证监会或《基金合同》认定的其他情形。</w:t>
      </w:r>
    </w:p>
    <w:p w14:paraId="0E6449DF">
      <w:pPr>
        <w:adjustRightInd w:val="0"/>
        <w:snapToGrid w:val="0"/>
        <w:spacing w:line="360" w:lineRule="auto"/>
        <w:ind w:firstLine="420" w:firstLineChars="200"/>
        <w:rPr>
          <w:rFonts w:ascii="宋体" w:hAnsi="宋体" w:cs="Arial"/>
          <w:szCs w:val="21"/>
        </w:rPr>
      </w:pPr>
      <w:r>
        <w:rPr>
          <w:rFonts w:hint="eastAsia" w:ascii="宋体" w:hAnsi="宋体" w:cs="Arial"/>
          <w:szCs w:val="21"/>
        </w:rPr>
        <w:t>2.程序</w:t>
      </w:r>
    </w:p>
    <w:p w14:paraId="590C94E9">
      <w:pPr>
        <w:adjustRightInd w:val="0"/>
        <w:snapToGrid w:val="0"/>
        <w:spacing w:line="360" w:lineRule="auto"/>
        <w:ind w:firstLine="420" w:firstLineChars="200"/>
        <w:rPr>
          <w:rFonts w:ascii="宋体" w:hAnsi="宋体" w:cs="Arial"/>
          <w:szCs w:val="21"/>
        </w:rPr>
      </w:pPr>
      <w:r>
        <w:rPr>
          <w:rFonts w:hint="eastAsia" w:ascii="宋体" w:hAnsi="宋体" w:cs="Arial"/>
          <w:szCs w:val="21"/>
        </w:rPr>
        <w:t>按有关规定须经基金托管人复核的信息披露文件，由基金管理人起草、并经基金托管人复核后由基金管理人公告。发生基金合同中规定需要披露的事项时，按基金合同规定公布。</w:t>
      </w:r>
    </w:p>
    <w:p w14:paraId="5E7F4C1E">
      <w:pPr>
        <w:adjustRightInd w:val="0"/>
        <w:snapToGrid w:val="0"/>
        <w:spacing w:line="360" w:lineRule="auto"/>
        <w:ind w:firstLine="420" w:firstLineChars="200"/>
        <w:rPr>
          <w:rFonts w:ascii="宋体" w:hAnsi="宋体" w:cs="Arial"/>
          <w:szCs w:val="21"/>
        </w:rPr>
      </w:pPr>
      <w:r>
        <w:rPr>
          <w:rFonts w:hint="eastAsia" w:ascii="宋体" w:hAnsi="宋体" w:cs="Arial"/>
          <w:szCs w:val="21"/>
        </w:rPr>
        <w:t>3.信息文本的存放</w:t>
      </w:r>
    </w:p>
    <w:p w14:paraId="47F7B6C3">
      <w:pPr>
        <w:pStyle w:val="4"/>
        <w:adjustRightInd w:val="0"/>
        <w:snapToGrid w:val="0"/>
        <w:spacing w:line="360" w:lineRule="auto"/>
        <w:rPr>
          <w:rFonts w:ascii="宋体" w:hAnsi="宋体" w:cs="Arial"/>
          <w:szCs w:val="21"/>
        </w:rPr>
      </w:pPr>
      <w:r>
        <w:rPr>
          <w:rFonts w:hint="eastAsia" w:ascii="宋体" w:hAnsi="宋体" w:cs="Arial"/>
          <w:szCs w:val="21"/>
        </w:rPr>
        <w:t>依法必须披露的信息发布后，基金管理人、基金托管人应当按照相关法律法规规定将信息置备于公司住所，以供社会公众查阅、复制。在支付工本费后可在合理时间获得上述文件的复制件或复印件。基金管理人和基金托管人应保证文本的内容与所公告的内容完全一致。</w:t>
      </w:r>
    </w:p>
    <w:p w14:paraId="1D62C9EC">
      <w:pPr>
        <w:pStyle w:val="4"/>
        <w:spacing w:line="360" w:lineRule="auto"/>
        <w:ind w:firstLine="0" w:firstLineChars="0"/>
        <w:rPr>
          <w:rFonts w:ascii="宋体" w:hAnsi="宋体" w:cs="Arial"/>
          <w:szCs w:val="21"/>
        </w:rPr>
      </w:pPr>
    </w:p>
    <w:bookmarkEnd w:id="149"/>
    <w:p w14:paraId="0F83951A">
      <w:pPr>
        <w:pStyle w:val="4"/>
        <w:adjustRightInd w:val="0"/>
        <w:snapToGrid w:val="0"/>
        <w:spacing w:line="360" w:lineRule="auto"/>
        <w:rPr>
          <w:rFonts w:ascii="宋体" w:hAnsi="宋体"/>
        </w:rPr>
        <w:sectPr>
          <w:footerReference r:id="rId17" w:type="default"/>
          <w:pgSz w:w="11906" w:h="16838"/>
          <w:pgMar w:top="1418" w:right="1701" w:bottom="1418" w:left="1701" w:header="851" w:footer="992" w:gutter="0"/>
          <w:pgNumType w:fmt="decimal" w:start="1"/>
          <w:cols w:space="720" w:num="1"/>
          <w:docGrid w:type="lines" w:linePitch="312" w:charSpace="0"/>
        </w:sectPr>
      </w:pPr>
      <w:bookmarkStart w:id="153" w:name="_Toc384992701"/>
      <w:bookmarkStart w:id="154" w:name="_Toc348082039"/>
      <w:bookmarkStart w:id="155" w:name="_Toc501274923"/>
      <w:bookmarkStart w:id="156" w:name="CLAUSE_f52e3d404c1241a78d9cc692a158bbde"/>
    </w:p>
    <w:p w14:paraId="16935582">
      <w:pPr>
        <w:pStyle w:val="3"/>
        <w:spacing w:before="312" w:beforeLines="100" w:after="156" w:afterLines="50" w:line="360" w:lineRule="auto"/>
        <w:jc w:val="center"/>
        <w:rPr>
          <w:rFonts w:ascii="宋体" w:hAnsi="宋体" w:eastAsia="宋体"/>
          <w:sz w:val="21"/>
          <w:szCs w:val="21"/>
        </w:rPr>
      </w:pPr>
      <w:r>
        <w:t xml:space="preserve"> </w:t>
      </w:r>
      <w:bookmarkStart w:id="157" w:name="CTS_f52e3d404c1241a78d9cc692a158bbde"/>
      <w:bookmarkEnd w:id="157"/>
      <w:r>
        <w:t xml:space="preserve"> </w:t>
      </w:r>
      <w:bookmarkStart w:id="158" w:name="_Toc9624"/>
      <w:bookmarkStart w:id="159" w:name="_Toc2100"/>
      <w:r>
        <w:rPr>
          <w:rFonts w:hint="eastAsia" w:ascii="宋体" w:hAnsi="宋体" w:eastAsia="宋体"/>
          <w:sz w:val="21"/>
          <w:szCs w:val="21"/>
        </w:rPr>
        <w:t>十一、基金费用</w:t>
      </w:r>
      <w:bookmarkEnd w:id="153"/>
      <w:bookmarkEnd w:id="154"/>
      <w:bookmarkEnd w:id="155"/>
      <w:bookmarkEnd w:id="158"/>
      <w:bookmarkEnd w:id="159"/>
    </w:p>
    <w:p w14:paraId="447CBBA9">
      <w:pPr>
        <w:adjustRightInd w:val="0"/>
        <w:snapToGrid w:val="0"/>
        <w:spacing w:line="360" w:lineRule="auto"/>
        <w:ind w:firstLine="420" w:firstLineChars="200"/>
        <w:rPr>
          <w:rFonts w:ascii="宋体" w:hAnsi="宋体"/>
        </w:rPr>
      </w:pPr>
      <w:r>
        <w:rPr>
          <w:rFonts w:hint="eastAsia"/>
          <w:szCs w:val="21"/>
        </w:rPr>
        <w:t>（一）</w:t>
      </w:r>
      <w:bookmarkEnd w:id="156"/>
      <w:bookmarkStart w:id="160" w:name="_Toc384992702"/>
      <w:bookmarkStart w:id="161" w:name="_Toc348082040"/>
      <w:bookmarkStart w:id="162" w:name="CLAUSE_608c7338e08f4004a54213593452c4e8"/>
      <w:r>
        <w:rPr>
          <w:rFonts w:hint="eastAsia" w:ascii="宋体" w:hAnsi="宋体"/>
        </w:rPr>
        <w:t>基金托管费的计提方法、计提标准和支付方式如下：</w:t>
      </w:r>
      <w:r>
        <w:rPr>
          <w:rFonts w:ascii="宋体" w:hAnsi="宋体"/>
        </w:rPr>
        <w:t xml:space="preserve"> </w:t>
      </w:r>
    </w:p>
    <w:p w14:paraId="5764D8D1">
      <w:pPr>
        <w:adjustRightInd w:val="0"/>
        <w:snapToGrid w:val="0"/>
        <w:spacing w:line="360" w:lineRule="auto"/>
        <w:ind w:firstLine="420" w:firstLineChars="200"/>
        <w:rPr>
          <w:rFonts w:hint="eastAsia" w:ascii="宋体" w:hAnsi="宋体"/>
        </w:rPr>
      </w:pPr>
      <w:bookmarkStart w:id="163" w:name="_Toc501274924"/>
      <w:r>
        <w:rPr>
          <w:rFonts w:hint="eastAsia" w:ascii="宋体" w:hAnsi="宋体"/>
        </w:rPr>
        <w:t>本基金投资于本基金托管人所托管的基金的部分不收取托管费。本基金的托管费按前一日基金资产净值的0.13%的年费率计提。托管费的计算方法如下：</w:t>
      </w:r>
    </w:p>
    <w:p w14:paraId="44CA1C08">
      <w:pPr>
        <w:adjustRightInd w:val="0"/>
        <w:snapToGrid w:val="0"/>
        <w:spacing w:line="360" w:lineRule="auto"/>
        <w:ind w:firstLine="420" w:firstLineChars="200"/>
        <w:rPr>
          <w:rFonts w:hint="eastAsia" w:ascii="宋体" w:hAnsi="宋体"/>
        </w:rPr>
      </w:pPr>
      <w:r>
        <w:rPr>
          <w:rFonts w:hint="eastAsia" w:ascii="宋体" w:hAnsi="宋体"/>
        </w:rPr>
        <w:t>H＝E×0.13%÷当年实际天数</w:t>
      </w:r>
    </w:p>
    <w:p w14:paraId="5A085240">
      <w:pPr>
        <w:adjustRightInd w:val="0"/>
        <w:snapToGrid w:val="0"/>
        <w:spacing w:line="360" w:lineRule="auto"/>
        <w:ind w:firstLine="420" w:firstLineChars="200"/>
        <w:rPr>
          <w:rFonts w:hint="eastAsia" w:ascii="宋体" w:hAnsi="宋体"/>
        </w:rPr>
      </w:pPr>
      <w:r>
        <w:rPr>
          <w:rFonts w:hint="eastAsia" w:ascii="宋体" w:hAnsi="宋体"/>
        </w:rPr>
        <w:t>H为每日应计提的基金托管费</w:t>
      </w:r>
    </w:p>
    <w:p w14:paraId="5CEC75CF">
      <w:pPr>
        <w:adjustRightInd w:val="0"/>
        <w:snapToGrid w:val="0"/>
        <w:spacing w:line="360" w:lineRule="auto"/>
        <w:ind w:firstLine="420" w:firstLineChars="200"/>
        <w:rPr>
          <w:rFonts w:hint="eastAsia" w:ascii="宋体" w:hAnsi="宋体"/>
        </w:rPr>
      </w:pPr>
      <w:r>
        <w:rPr>
          <w:rFonts w:hint="eastAsia" w:ascii="宋体" w:hAnsi="宋体"/>
        </w:rPr>
        <w:t>E为前一日的基金资产净值（除投资于本基金托管人所托管的基金的部分，若为负数，则E取0）</w:t>
      </w:r>
    </w:p>
    <w:p w14:paraId="1F2E97C3">
      <w:pPr>
        <w:adjustRightInd w:val="0"/>
        <w:snapToGrid w:val="0"/>
        <w:spacing w:line="360" w:lineRule="auto"/>
        <w:ind w:firstLine="420" w:firstLineChars="200"/>
        <w:rPr>
          <w:rFonts w:ascii="宋体" w:hAnsi="宋体"/>
        </w:rPr>
      </w:pPr>
      <w:r>
        <w:rPr>
          <w:rFonts w:hint="eastAsia" w:ascii="宋体" w:hAnsi="宋体"/>
        </w:rPr>
        <w:t>基金托管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61F22BE0">
      <w:pPr>
        <w:adjustRightInd w:val="0"/>
        <w:snapToGrid w:val="0"/>
        <w:spacing w:line="360" w:lineRule="auto"/>
        <w:ind w:firstLine="420" w:firstLineChars="200"/>
        <w:rPr>
          <w:rFonts w:ascii="宋体" w:hAnsi="宋体" w:cs="Arial"/>
          <w:szCs w:val="21"/>
        </w:rPr>
      </w:pPr>
      <w:r>
        <w:rPr>
          <w:rFonts w:hint="eastAsia"/>
          <w:szCs w:val="21"/>
        </w:rPr>
        <w:t>（</w:t>
      </w:r>
      <w:r>
        <w:rPr>
          <w:szCs w:val="21"/>
        </w:rPr>
        <w:t>二）</w:t>
      </w:r>
      <w:r>
        <w:rPr>
          <w:rFonts w:hint="eastAsia"/>
          <w:szCs w:val="21"/>
        </w:rPr>
        <w:t>基</w:t>
      </w:r>
      <w:r>
        <w:rPr>
          <w:rFonts w:hint="eastAsia" w:hAnsi="宋体"/>
          <w:szCs w:val="21"/>
        </w:rPr>
        <w:t>金其他费用按照《基金合同》的约定计提和支付</w:t>
      </w:r>
      <w:r>
        <w:rPr>
          <w:rFonts w:hint="eastAsia" w:ascii="宋体" w:hAnsi="宋体"/>
          <w:color w:val="000000"/>
          <w:szCs w:val="21"/>
        </w:rPr>
        <w:t>。</w:t>
      </w:r>
    </w:p>
    <w:p w14:paraId="0675B65A">
      <w:pPr>
        <w:adjustRightInd w:val="0"/>
        <w:snapToGrid w:val="0"/>
        <w:spacing w:line="360" w:lineRule="auto"/>
        <w:ind w:firstLine="420" w:firstLineChars="200"/>
        <w:rPr>
          <w:rFonts w:hint="eastAsia" w:ascii="宋体" w:hAnsi="宋体"/>
        </w:rPr>
      </w:pPr>
    </w:p>
    <w:p w14:paraId="4B2EFBE4">
      <w:pPr>
        <w:widowControl/>
        <w:jc w:val="left"/>
        <w:sectPr>
          <w:footerReference r:id="rId18" w:type="default"/>
          <w:pgSz w:w="11906" w:h="16838"/>
          <w:pgMar w:top="1418" w:right="1701" w:bottom="1418" w:left="1701" w:header="851" w:footer="992" w:gutter="0"/>
          <w:pgNumType w:fmt="decimal" w:start="1"/>
          <w:cols w:space="720" w:num="1"/>
          <w:docGrid w:type="lines" w:linePitch="312" w:charSpace="0"/>
        </w:sectPr>
      </w:pPr>
    </w:p>
    <w:p w14:paraId="1D8A56E9">
      <w:pPr>
        <w:widowControl/>
        <w:jc w:val="left"/>
      </w:pPr>
    </w:p>
    <w:p w14:paraId="6B82D390">
      <w:pPr>
        <w:pStyle w:val="3"/>
        <w:spacing w:before="312" w:beforeLines="100" w:after="156" w:afterLines="50" w:line="360" w:lineRule="auto"/>
        <w:ind w:firstLine="803" w:firstLineChars="250"/>
        <w:jc w:val="center"/>
        <w:rPr>
          <w:rFonts w:ascii="宋体" w:hAnsi="宋体" w:eastAsia="宋体"/>
          <w:sz w:val="21"/>
          <w:szCs w:val="21"/>
        </w:rPr>
      </w:pPr>
      <w:r>
        <w:t xml:space="preserve"> </w:t>
      </w:r>
      <w:bookmarkStart w:id="164" w:name="_Toc13310"/>
      <w:bookmarkStart w:id="165" w:name="_Toc21136"/>
      <w:r>
        <w:rPr>
          <w:rFonts w:hint="eastAsia" w:ascii="宋体" w:hAnsi="宋体" w:eastAsia="宋体"/>
          <w:sz w:val="21"/>
          <w:szCs w:val="21"/>
        </w:rPr>
        <w:t>十二、基金份额持有人名册的保管</w:t>
      </w:r>
      <w:bookmarkEnd w:id="160"/>
      <w:bookmarkEnd w:id="161"/>
      <w:bookmarkEnd w:id="163"/>
      <w:bookmarkEnd w:id="164"/>
      <w:bookmarkEnd w:id="165"/>
    </w:p>
    <w:p w14:paraId="55AD86E3">
      <w:pPr>
        <w:adjustRightInd w:val="0"/>
        <w:snapToGrid w:val="0"/>
        <w:spacing w:line="360" w:lineRule="auto"/>
        <w:ind w:firstLine="420" w:firstLineChars="200"/>
        <w:rPr>
          <w:rFonts w:ascii="宋体" w:hAnsi="宋体" w:cs="Arial"/>
          <w:szCs w:val="21"/>
        </w:rPr>
      </w:pPr>
      <w:r>
        <w:rPr>
          <w:rFonts w:hint="eastAsia" w:ascii="宋体" w:hAnsi="宋体" w:cs="Arial"/>
          <w:szCs w:val="21"/>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期限。如不能妥善保管，则按相关法律法规承担责任。</w:t>
      </w:r>
    </w:p>
    <w:p w14:paraId="01FA21E3">
      <w:pPr>
        <w:adjustRightInd w:val="0"/>
        <w:snapToGrid w:val="0"/>
        <w:spacing w:line="360" w:lineRule="auto"/>
        <w:ind w:firstLine="420" w:firstLineChars="200"/>
        <w:rPr>
          <w:rFonts w:ascii="宋体" w:hAnsi="宋体" w:cs="Arial"/>
          <w:szCs w:val="21"/>
        </w:rPr>
      </w:pPr>
      <w:r>
        <w:rPr>
          <w:rFonts w:hint="eastAsia" w:ascii="宋体" w:hAnsi="宋体" w:cs="Arial"/>
          <w:szCs w:val="21"/>
        </w:rPr>
        <w:t>在基金托管人要求或编制中期报告和年度报告前，基金管理人应将有关资料送交基金托管人，不得无故拒绝或延误提供，并保证其的真实性、准确性和完整性。基金管理人和托管人不得将所保管的基金份额持有人名册用于基金托管业务以外的其他用途，并应遵守保密义务。</w:t>
      </w:r>
    </w:p>
    <w:bookmarkEnd w:id="162"/>
    <w:p w14:paraId="0713C71E">
      <w:pPr>
        <w:adjustRightInd w:val="0"/>
        <w:snapToGrid w:val="0"/>
        <w:spacing w:line="360" w:lineRule="auto"/>
        <w:ind w:firstLine="420" w:firstLineChars="200"/>
        <w:rPr>
          <w:rFonts w:ascii="宋体" w:hAnsi="宋体"/>
        </w:rPr>
        <w:sectPr>
          <w:footerReference r:id="rId19" w:type="default"/>
          <w:pgSz w:w="11906" w:h="16838"/>
          <w:pgMar w:top="1418" w:right="1701" w:bottom="1418" w:left="1701" w:header="851" w:footer="992" w:gutter="0"/>
          <w:pgNumType w:fmt="decimal" w:start="1"/>
          <w:cols w:space="720" w:num="1"/>
          <w:docGrid w:type="lines" w:linePitch="312" w:charSpace="0"/>
        </w:sectPr>
      </w:pPr>
      <w:bookmarkStart w:id="166" w:name="_Toc384992703"/>
      <w:bookmarkStart w:id="167" w:name="_Toc348082041"/>
      <w:bookmarkStart w:id="168" w:name="_Toc501274925"/>
      <w:bookmarkStart w:id="169" w:name="CLAUSE_f7fc4b82afa4449ca26cc11e7ca64945"/>
    </w:p>
    <w:p w14:paraId="45A58717">
      <w:pPr>
        <w:pStyle w:val="3"/>
        <w:spacing w:before="312" w:beforeLines="100" w:after="156" w:afterLines="50" w:line="360" w:lineRule="auto"/>
        <w:ind w:firstLine="480"/>
        <w:jc w:val="center"/>
        <w:rPr>
          <w:sz w:val="21"/>
          <w:szCs w:val="21"/>
        </w:rPr>
      </w:pPr>
      <w:r>
        <w:t xml:space="preserve"> </w:t>
      </w:r>
      <w:bookmarkStart w:id="170" w:name="CTS_f7fc4b82afa4449ca26cc11e7ca64945"/>
      <w:bookmarkEnd w:id="170"/>
      <w:r>
        <w:t xml:space="preserve"> </w:t>
      </w:r>
      <w:bookmarkStart w:id="171" w:name="_Toc24200"/>
      <w:bookmarkStart w:id="172" w:name="_Toc13343"/>
      <w:r>
        <w:rPr>
          <w:rFonts w:hint="eastAsia" w:ascii="宋体" w:hAnsi="宋体" w:eastAsia="宋体"/>
          <w:sz w:val="21"/>
          <w:szCs w:val="21"/>
        </w:rPr>
        <w:t>十三、基金有关文件档案的保存</w:t>
      </w:r>
      <w:bookmarkEnd w:id="166"/>
      <w:bookmarkEnd w:id="167"/>
      <w:bookmarkEnd w:id="168"/>
      <w:bookmarkEnd w:id="171"/>
      <w:bookmarkEnd w:id="172"/>
    </w:p>
    <w:p w14:paraId="04B3043A">
      <w:pPr>
        <w:adjustRightInd w:val="0"/>
        <w:snapToGrid w:val="0"/>
        <w:spacing w:line="360" w:lineRule="auto"/>
        <w:ind w:firstLine="420" w:firstLineChars="200"/>
        <w:outlineLvl w:val="2"/>
        <w:rPr>
          <w:rFonts w:ascii="宋体" w:hAnsi="宋体" w:cs="Arial"/>
          <w:szCs w:val="21"/>
        </w:rPr>
      </w:pPr>
      <w:r>
        <w:rPr>
          <w:rFonts w:hint="eastAsia" w:ascii="宋体" w:hAnsi="宋体" w:cs="Arial"/>
          <w:szCs w:val="21"/>
        </w:rPr>
        <w:t>（一）档案保存</w:t>
      </w:r>
    </w:p>
    <w:p w14:paraId="37A3811C">
      <w:pPr>
        <w:adjustRightInd w:val="0"/>
        <w:snapToGrid w:val="0"/>
        <w:spacing w:line="360" w:lineRule="auto"/>
        <w:ind w:firstLine="420" w:firstLineChars="200"/>
        <w:rPr>
          <w:rFonts w:ascii="宋体" w:hAnsi="宋体" w:cs="Arial"/>
          <w:szCs w:val="21"/>
        </w:rPr>
      </w:pPr>
      <w:r>
        <w:rPr>
          <w:rFonts w:hint="eastAsia" w:ascii="宋体" w:hAnsi="宋体" w:cs="Arial"/>
          <w:szCs w:val="21"/>
        </w:rPr>
        <w:t>基金管理人应保存基金财产管理业务活动的记录、账册、报表和其他相关资料。基金托管人应保存基金托管业务活动的记录、账册、报表和其他相关资料。基金管理人和基金托管人都应当按规定的期限保管，保存期限不低于法律法规规定的最低期限。</w:t>
      </w:r>
    </w:p>
    <w:p w14:paraId="33CB91F5">
      <w:pPr>
        <w:adjustRightInd w:val="0"/>
        <w:snapToGrid w:val="0"/>
        <w:spacing w:line="360" w:lineRule="auto"/>
        <w:ind w:firstLine="420" w:firstLineChars="200"/>
        <w:rPr>
          <w:rFonts w:ascii="宋体" w:hAnsi="宋体" w:cs="Arial"/>
          <w:szCs w:val="21"/>
        </w:rPr>
      </w:pPr>
    </w:p>
    <w:p w14:paraId="30DDD9BB">
      <w:pPr>
        <w:adjustRightInd w:val="0"/>
        <w:snapToGrid w:val="0"/>
        <w:spacing w:line="360" w:lineRule="auto"/>
        <w:ind w:firstLine="420" w:firstLineChars="200"/>
        <w:outlineLvl w:val="2"/>
        <w:rPr>
          <w:rFonts w:ascii="宋体" w:hAnsi="宋体" w:cs="Arial"/>
          <w:szCs w:val="21"/>
        </w:rPr>
      </w:pPr>
      <w:r>
        <w:rPr>
          <w:rFonts w:hint="eastAsia" w:ascii="宋体" w:hAnsi="宋体" w:cs="Arial"/>
          <w:szCs w:val="21"/>
        </w:rPr>
        <w:t>（二）合同档案的建立</w:t>
      </w:r>
    </w:p>
    <w:p w14:paraId="372967CC">
      <w:pPr>
        <w:adjustRightInd w:val="0"/>
        <w:snapToGrid w:val="0"/>
        <w:spacing w:line="360" w:lineRule="auto"/>
        <w:ind w:firstLine="420" w:firstLineChars="200"/>
        <w:rPr>
          <w:rFonts w:ascii="宋体" w:hAnsi="宋体" w:cs="Arial"/>
          <w:szCs w:val="21"/>
        </w:rPr>
      </w:pPr>
      <w:r>
        <w:rPr>
          <w:rFonts w:hint="eastAsia" w:ascii="宋体" w:hAnsi="宋体" w:cs="Arial"/>
          <w:szCs w:val="21"/>
        </w:rPr>
        <w:t>1.基金管理人签署重大合同文本后，应及时将合同文本正本送达基金托管人处。</w:t>
      </w:r>
    </w:p>
    <w:p w14:paraId="0BBE0886">
      <w:pPr>
        <w:adjustRightInd w:val="0"/>
        <w:snapToGrid w:val="0"/>
        <w:spacing w:line="360" w:lineRule="auto"/>
        <w:ind w:firstLine="420" w:firstLineChars="200"/>
        <w:rPr>
          <w:rFonts w:ascii="宋体" w:hAnsi="宋体" w:cs="Arial"/>
          <w:szCs w:val="21"/>
        </w:rPr>
      </w:pPr>
      <w:r>
        <w:rPr>
          <w:rFonts w:hint="eastAsia" w:ascii="宋体" w:hAnsi="宋体" w:cs="Arial"/>
          <w:szCs w:val="21"/>
        </w:rPr>
        <w:t>2.基金管理人应及时将与本基金账务处理、资金划拨等有关的合同、协议传真或通过双方认可的其他方式发送至基金托管人。</w:t>
      </w:r>
    </w:p>
    <w:p w14:paraId="4ECC670B">
      <w:pPr>
        <w:adjustRightInd w:val="0"/>
        <w:snapToGrid w:val="0"/>
        <w:spacing w:line="360" w:lineRule="auto"/>
        <w:ind w:firstLine="420" w:firstLineChars="200"/>
        <w:outlineLvl w:val="2"/>
        <w:rPr>
          <w:rFonts w:ascii="宋体" w:hAnsi="宋体" w:cs="Arial"/>
          <w:szCs w:val="21"/>
        </w:rPr>
      </w:pPr>
      <w:r>
        <w:rPr>
          <w:rFonts w:hint="eastAsia" w:ascii="宋体" w:hAnsi="宋体" w:cs="Arial"/>
          <w:szCs w:val="21"/>
        </w:rPr>
        <w:t>（三）变更与协助</w:t>
      </w:r>
    </w:p>
    <w:p w14:paraId="4C61EBE3">
      <w:pPr>
        <w:adjustRightInd w:val="0"/>
        <w:snapToGrid w:val="0"/>
        <w:spacing w:line="360" w:lineRule="auto"/>
        <w:ind w:firstLine="420" w:firstLineChars="200"/>
        <w:rPr>
          <w:rFonts w:ascii="宋体" w:hAnsi="宋体"/>
          <w:b/>
          <w:bCs/>
          <w:szCs w:val="21"/>
        </w:rPr>
      </w:pPr>
      <w:r>
        <w:rPr>
          <w:rFonts w:hint="eastAsia" w:ascii="宋体" w:hAnsi="宋体" w:cs="Arial"/>
          <w:szCs w:val="21"/>
        </w:rPr>
        <w:t>若基金管理人/基金托管人发生变更，未变更的一方有义务协助变更后的接任人接收相应文件。</w:t>
      </w:r>
    </w:p>
    <w:p w14:paraId="06AB90D5">
      <w:pPr>
        <w:adjustRightInd w:val="0"/>
        <w:snapToGrid w:val="0"/>
        <w:spacing w:line="360" w:lineRule="auto"/>
        <w:ind w:firstLine="210" w:firstLineChars="100"/>
        <w:rPr>
          <w:rFonts w:ascii="宋体" w:hAnsi="宋体"/>
          <w:szCs w:val="21"/>
        </w:rPr>
      </w:pPr>
      <w:r>
        <w:rPr>
          <w:rFonts w:hint="eastAsia" w:ascii="宋体" w:hAnsi="宋体" w:cs="Arial"/>
          <w:szCs w:val="21"/>
        </w:rPr>
        <w:t>（四）基金管理人和基金托管人应按各自职责完整保存原始凭证、记账凭证、基金账册、交易记录和重要合同等，承担保密义务并按规定期限保存，保存期限不低于法律法规规定的最低期限。</w:t>
      </w:r>
    </w:p>
    <w:bookmarkEnd w:id="169"/>
    <w:p w14:paraId="052B9922">
      <w:pPr>
        <w:adjustRightInd w:val="0"/>
        <w:snapToGrid w:val="0"/>
        <w:spacing w:line="360" w:lineRule="auto"/>
        <w:ind w:firstLine="420" w:firstLineChars="200"/>
        <w:outlineLvl w:val="2"/>
        <w:rPr>
          <w:rFonts w:ascii="宋体" w:hAnsi="宋体"/>
        </w:rPr>
        <w:sectPr>
          <w:footerReference r:id="rId20" w:type="default"/>
          <w:pgSz w:w="11906" w:h="16838"/>
          <w:pgMar w:top="1418" w:right="1701" w:bottom="1418" w:left="1701" w:header="851" w:footer="992" w:gutter="0"/>
          <w:pgNumType w:fmt="decimal" w:start="1"/>
          <w:cols w:space="720" w:num="1"/>
          <w:docGrid w:type="lines" w:linePitch="312" w:charSpace="0"/>
        </w:sectPr>
      </w:pPr>
      <w:bookmarkStart w:id="173" w:name="_Toc348082042"/>
      <w:bookmarkStart w:id="174" w:name="_Toc384992704"/>
      <w:bookmarkStart w:id="175" w:name="_Toc501274926"/>
      <w:bookmarkStart w:id="176" w:name="CLAUSE_25cb0ea76d804a1599ef088ef81b866c"/>
    </w:p>
    <w:p w14:paraId="428A06CB">
      <w:pPr>
        <w:pStyle w:val="3"/>
        <w:spacing w:before="312" w:beforeLines="100" w:after="156" w:afterLines="50" w:line="360" w:lineRule="auto"/>
        <w:jc w:val="center"/>
        <w:rPr>
          <w:rFonts w:ascii="宋体" w:hAnsi="宋体" w:eastAsia="宋体"/>
          <w:sz w:val="21"/>
          <w:szCs w:val="21"/>
        </w:rPr>
      </w:pPr>
      <w:r>
        <w:t xml:space="preserve"> </w:t>
      </w:r>
      <w:bookmarkStart w:id="177" w:name="CTS_25cb0ea76d804a1599ef088ef81b866c"/>
      <w:bookmarkEnd w:id="177"/>
      <w:r>
        <w:t xml:space="preserve"> </w:t>
      </w:r>
      <w:bookmarkStart w:id="178" w:name="_Toc16622"/>
      <w:bookmarkStart w:id="179" w:name="_Toc7793"/>
      <w:r>
        <w:rPr>
          <w:rFonts w:hint="eastAsia" w:ascii="宋体" w:hAnsi="宋体" w:eastAsia="宋体"/>
          <w:sz w:val="21"/>
          <w:szCs w:val="21"/>
        </w:rPr>
        <w:t>十四、基金管理人和基金托管人的更换</w:t>
      </w:r>
      <w:bookmarkEnd w:id="173"/>
      <w:bookmarkEnd w:id="174"/>
      <w:bookmarkEnd w:id="175"/>
      <w:bookmarkEnd w:id="178"/>
      <w:bookmarkEnd w:id="179"/>
    </w:p>
    <w:p w14:paraId="1EEA26FD">
      <w:pPr>
        <w:spacing w:line="360" w:lineRule="auto"/>
        <w:ind w:firstLine="420"/>
        <w:rPr>
          <w:rFonts w:ascii="宋体" w:hAnsi="宋体"/>
          <w:kern w:val="0"/>
          <w:szCs w:val="21"/>
        </w:rPr>
      </w:pPr>
      <w:r>
        <w:rPr>
          <w:rFonts w:hint="eastAsia" w:ascii="宋体" w:hAnsi="宋体"/>
          <w:szCs w:val="21"/>
        </w:rPr>
        <w:t>（一）</w:t>
      </w:r>
      <w:r>
        <w:rPr>
          <w:rFonts w:ascii="宋体" w:hAnsi="宋体"/>
          <w:kern w:val="0"/>
          <w:szCs w:val="21"/>
        </w:rPr>
        <w:t>基金管理人职责终止</w:t>
      </w:r>
      <w:r>
        <w:rPr>
          <w:rFonts w:hint="eastAsia" w:ascii="宋体" w:hAnsi="宋体"/>
          <w:kern w:val="0"/>
          <w:szCs w:val="21"/>
        </w:rPr>
        <w:t>后</w:t>
      </w:r>
      <w:r>
        <w:rPr>
          <w:rFonts w:ascii="宋体" w:hAnsi="宋体"/>
          <w:kern w:val="0"/>
          <w:szCs w:val="21"/>
        </w:rPr>
        <w:t>，</w:t>
      </w:r>
      <w:r>
        <w:rPr>
          <w:rFonts w:hint="eastAsia" w:ascii="宋体" w:hAnsi="宋体"/>
          <w:kern w:val="0"/>
          <w:szCs w:val="21"/>
        </w:rPr>
        <w:t>仍</w:t>
      </w:r>
      <w:r>
        <w:rPr>
          <w:rFonts w:ascii="宋体" w:hAnsi="宋体"/>
          <w:kern w:val="0"/>
          <w:szCs w:val="21"/>
        </w:rPr>
        <w:t>应妥善保管基金管理业务资料，</w:t>
      </w:r>
      <w:r>
        <w:rPr>
          <w:rFonts w:hint="eastAsia" w:ascii="宋体" w:hAnsi="宋体" w:cs="Arial"/>
          <w:szCs w:val="21"/>
        </w:rPr>
        <w:t>保证不做出对基金份额持有人的利益造成损害的行为，</w:t>
      </w:r>
      <w:r>
        <w:rPr>
          <w:rFonts w:hint="eastAsia" w:ascii="宋体" w:hAnsi="宋体"/>
          <w:kern w:val="0"/>
          <w:szCs w:val="21"/>
        </w:rPr>
        <w:t>并与新任基金管理人或临时基金管理人</w:t>
      </w:r>
      <w:r>
        <w:rPr>
          <w:rFonts w:ascii="宋体" w:hAnsi="宋体"/>
          <w:kern w:val="0"/>
          <w:szCs w:val="21"/>
        </w:rPr>
        <w:t>及时办理基金管理业务的移交手续。</w:t>
      </w:r>
      <w:r>
        <w:rPr>
          <w:rFonts w:hint="eastAsia" w:ascii="宋体" w:hAnsi="宋体"/>
          <w:kern w:val="0"/>
          <w:szCs w:val="21"/>
        </w:rPr>
        <w:t>基金托管人应给予积极配合，并与新任基金管理人或临时基金管理人核对基金资产总值和基金资产净值。</w:t>
      </w:r>
    </w:p>
    <w:p w14:paraId="50C95ED4">
      <w:pPr>
        <w:spacing w:line="360" w:lineRule="auto"/>
        <w:ind w:firstLine="420"/>
        <w:rPr>
          <w:rFonts w:ascii="宋体" w:hAnsi="宋体"/>
          <w:kern w:val="0"/>
          <w:szCs w:val="21"/>
        </w:rPr>
      </w:pPr>
      <w:r>
        <w:rPr>
          <w:rFonts w:hint="eastAsia" w:ascii="宋体" w:hAnsi="宋体"/>
          <w:szCs w:val="21"/>
        </w:rPr>
        <w:t>（二）</w:t>
      </w:r>
      <w:r>
        <w:rPr>
          <w:rFonts w:ascii="宋体" w:hAnsi="宋体"/>
          <w:kern w:val="0"/>
          <w:szCs w:val="21"/>
        </w:rPr>
        <w:t>基金托管人职责终止</w:t>
      </w:r>
      <w:r>
        <w:rPr>
          <w:rFonts w:hint="eastAsia" w:ascii="宋体" w:hAnsi="宋体"/>
          <w:kern w:val="0"/>
          <w:szCs w:val="21"/>
        </w:rPr>
        <w:t>后</w:t>
      </w:r>
      <w:r>
        <w:rPr>
          <w:rFonts w:ascii="宋体" w:hAnsi="宋体"/>
          <w:kern w:val="0"/>
          <w:szCs w:val="21"/>
        </w:rPr>
        <w:t>，</w:t>
      </w:r>
      <w:r>
        <w:rPr>
          <w:rFonts w:hint="eastAsia" w:ascii="宋体" w:hAnsi="宋体"/>
          <w:kern w:val="0"/>
          <w:szCs w:val="21"/>
        </w:rPr>
        <w:t>仍</w:t>
      </w:r>
      <w:r>
        <w:rPr>
          <w:rFonts w:ascii="宋体" w:hAnsi="宋体"/>
          <w:kern w:val="0"/>
          <w:szCs w:val="21"/>
        </w:rPr>
        <w:t>应妥善保管基金财产和基金托管业务资料，</w:t>
      </w:r>
      <w:r>
        <w:rPr>
          <w:rFonts w:hint="eastAsia" w:ascii="宋体" w:hAnsi="宋体" w:cs="Arial"/>
          <w:szCs w:val="21"/>
        </w:rPr>
        <w:t>保证不做出对基金份额持有人的利益造成损害的行为，</w:t>
      </w:r>
      <w:r>
        <w:rPr>
          <w:rFonts w:hint="eastAsia" w:ascii="宋体" w:hAnsi="宋体"/>
          <w:kern w:val="0"/>
          <w:szCs w:val="21"/>
        </w:rPr>
        <w:t>并与新任基金托管人或临时基金托管人</w:t>
      </w:r>
      <w:r>
        <w:rPr>
          <w:rFonts w:ascii="宋体" w:hAnsi="宋体"/>
          <w:kern w:val="0"/>
          <w:szCs w:val="21"/>
        </w:rPr>
        <w:t>及时办理基金财产和基金托管业务的移交手续。</w:t>
      </w:r>
      <w:r>
        <w:rPr>
          <w:rFonts w:hint="eastAsia" w:ascii="宋体" w:hAnsi="宋体"/>
          <w:kern w:val="0"/>
          <w:szCs w:val="21"/>
        </w:rPr>
        <w:t>基金管理人应给予积极配合，并与新任基金托管人或临时基金托管人核对基金资产总值和基金资产净值。</w:t>
      </w:r>
    </w:p>
    <w:p w14:paraId="1824D65C">
      <w:pPr>
        <w:adjustRightInd w:val="0"/>
        <w:snapToGrid w:val="0"/>
        <w:spacing w:line="360" w:lineRule="auto"/>
        <w:ind w:firstLine="420"/>
        <w:outlineLvl w:val="2"/>
        <w:rPr>
          <w:rFonts w:ascii="宋体" w:hAnsi="宋体" w:cs="Arial"/>
          <w:szCs w:val="21"/>
        </w:rPr>
      </w:pPr>
      <w:r>
        <w:rPr>
          <w:rFonts w:hint="eastAsia" w:ascii="宋体" w:hAnsi="宋体"/>
          <w:kern w:val="0"/>
          <w:szCs w:val="21"/>
        </w:rPr>
        <w:t>（三）其他事宜见基金合同的相关约定。</w:t>
      </w:r>
    </w:p>
    <w:p w14:paraId="3BFCCC69">
      <w:pPr>
        <w:adjustRightInd w:val="0"/>
        <w:snapToGrid w:val="0"/>
        <w:spacing w:line="360" w:lineRule="auto"/>
        <w:rPr>
          <w:rFonts w:ascii="宋体" w:hAnsi="宋体" w:cs="Arial"/>
          <w:szCs w:val="21"/>
        </w:rPr>
      </w:pPr>
    </w:p>
    <w:bookmarkEnd w:id="176"/>
    <w:p w14:paraId="4BB953B6">
      <w:pPr>
        <w:adjustRightInd w:val="0"/>
        <w:snapToGrid w:val="0"/>
        <w:spacing w:line="360" w:lineRule="auto"/>
        <w:ind w:firstLine="420"/>
        <w:outlineLvl w:val="2"/>
        <w:rPr>
          <w:rFonts w:ascii="宋体" w:hAnsi="宋体"/>
          <w:kern w:val="0"/>
        </w:rPr>
        <w:sectPr>
          <w:footerReference r:id="rId21" w:type="default"/>
          <w:pgSz w:w="11906" w:h="16838"/>
          <w:pgMar w:top="1418" w:right="1701" w:bottom="1418" w:left="1701" w:header="851" w:footer="992" w:gutter="0"/>
          <w:pgNumType w:fmt="decimal" w:start="1"/>
          <w:cols w:space="720" w:num="1"/>
          <w:docGrid w:type="lines" w:linePitch="312" w:charSpace="0"/>
        </w:sectPr>
      </w:pPr>
      <w:bookmarkStart w:id="180" w:name="_Toc348082043"/>
      <w:bookmarkStart w:id="181" w:name="_Toc501274927"/>
      <w:bookmarkStart w:id="182" w:name="_Toc384992705"/>
      <w:bookmarkStart w:id="183" w:name="CLAUSE_e9d10e6b7422433e941bffe3b6ba0b0b"/>
    </w:p>
    <w:p w14:paraId="2651FE0D">
      <w:pPr>
        <w:pStyle w:val="3"/>
        <w:spacing w:before="312" w:beforeLines="100" w:after="156" w:afterLines="50" w:line="360" w:lineRule="auto"/>
        <w:jc w:val="center"/>
        <w:rPr>
          <w:rFonts w:ascii="宋体" w:hAnsi="宋体" w:eastAsia="宋体"/>
          <w:sz w:val="21"/>
          <w:szCs w:val="21"/>
        </w:rPr>
      </w:pPr>
      <w:r>
        <w:t xml:space="preserve"> </w:t>
      </w:r>
      <w:bookmarkStart w:id="184" w:name="CTS_e9d10e6b7422433e941bffe3b6ba0b0b"/>
      <w:bookmarkEnd w:id="184"/>
      <w:r>
        <w:t xml:space="preserve"> </w:t>
      </w:r>
      <w:bookmarkStart w:id="185" w:name="_Toc28798"/>
      <w:bookmarkStart w:id="186" w:name="_Toc6475"/>
      <w:r>
        <w:rPr>
          <w:rFonts w:hint="eastAsia" w:ascii="宋体" w:hAnsi="宋体" w:eastAsia="宋体"/>
          <w:sz w:val="21"/>
          <w:szCs w:val="21"/>
        </w:rPr>
        <w:t>十五、禁止行为</w:t>
      </w:r>
      <w:bookmarkEnd w:id="180"/>
      <w:bookmarkEnd w:id="181"/>
      <w:bookmarkEnd w:id="182"/>
      <w:bookmarkEnd w:id="185"/>
      <w:bookmarkEnd w:id="186"/>
    </w:p>
    <w:p w14:paraId="429D63B6">
      <w:pPr>
        <w:adjustRightInd w:val="0"/>
        <w:snapToGrid w:val="0"/>
        <w:spacing w:line="360" w:lineRule="auto"/>
        <w:ind w:firstLine="420" w:firstLineChars="200"/>
        <w:rPr>
          <w:rFonts w:ascii="宋体" w:hAnsi="宋体" w:cs="Arial"/>
          <w:szCs w:val="21"/>
        </w:rPr>
      </w:pPr>
      <w:r>
        <w:rPr>
          <w:rFonts w:hint="eastAsia" w:ascii="宋体" w:hAnsi="宋体" w:cs="Arial"/>
          <w:szCs w:val="21"/>
        </w:rPr>
        <w:t>（一）本协议当事人禁止从事的行为，包括但不限于：</w:t>
      </w:r>
    </w:p>
    <w:p w14:paraId="32773B97">
      <w:pPr>
        <w:spacing w:line="360" w:lineRule="auto"/>
        <w:ind w:firstLine="420" w:firstLineChars="200"/>
        <w:rPr>
          <w:rFonts w:ascii="宋体" w:hAnsi="宋体"/>
          <w:szCs w:val="21"/>
        </w:rPr>
      </w:pPr>
      <w:r>
        <w:rPr>
          <w:rFonts w:hint="eastAsia" w:ascii="宋体" w:hAnsi="宋体"/>
          <w:szCs w:val="21"/>
        </w:rPr>
        <w:t>1、基金管理人、基金托管人将其固有财产或者他人财产混同于基金财产从事证券投资。</w:t>
      </w:r>
    </w:p>
    <w:p w14:paraId="02ADA21A">
      <w:pPr>
        <w:spacing w:line="360" w:lineRule="auto"/>
        <w:ind w:firstLine="420" w:firstLineChars="200"/>
        <w:rPr>
          <w:rFonts w:ascii="宋体" w:hAnsi="宋体"/>
          <w:szCs w:val="21"/>
        </w:rPr>
      </w:pPr>
      <w:r>
        <w:rPr>
          <w:rFonts w:hint="eastAsia" w:ascii="宋体" w:hAnsi="宋体"/>
          <w:szCs w:val="21"/>
        </w:rPr>
        <w:t>2、基金管理人不公平地对待其管理的不同基金财产，基金托管人不公平地对待其托管的不同基金财产。</w:t>
      </w:r>
    </w:p>
    <w:p w14:paraId="18B5B22E">
      <w:pPr>
        <w:spacing w:line="360" w:lineRule="auto"/>
        <w:ind w:firstLine="420" w:firstLineChars="200"/>
        <w:rPr>
          <w:rFonts w:ascii="宋体" w:hAnsi="宋体"/>
          <w:szCs w:val="21"/>
        </w:rPr>
      </w:pPr>
      <w:r>
        <w:rPr>
          <w:rFonts w:hint="eastAsia" w:ascii="宋体" w:hAnsi="宋体"/>
          <w:szCs w:val="21"/>
        </w:rPr>
        <w:t>3、基金管理人、基金托管人利用基金财产或职务之便为基金份额持有人以外的第三人牟取利益。</w:t>
      </w:r>
    </w:p>
    <w:p w14:paraId="6B7A772A">
      <w:pPr>
        <w:spacing w:line="360" w:lineRule="auto"/>
        <w:ind w:firstLine="420" w:firstLineChars="200"/>
        <w:rPr>
          <w:rFonts w:ascii="宋体" w:hAnsi="宋体"/>
          <w:szCs w:val="21"/>
        </w:rPr>
      </w:pPr>
      <w:r>
        <w:rPr>
          <w:rFonts w:hint="eastAsia" w:ascii="宋体" w:hAnsi="宋体"/>
          <w:szCs w:val="21"/>
        </w:rPr>
        <w:t>4、基金管理人、基金托管人向基金份额持有人违规承诺收益或者承担损失。</w:t>
      </w:r>
    </w:p>
    <w:p w14:paraId="710FDAD7">
      <w:pPr>
        <w:adjustRightInd w:val="0"/>
        <w:snapToGrid w:val="0"/>
        <w:spacing w:line="360" w:lineRule="auto"/>
        <w:ind w:firstLine="420" w:firstLineChars="200"/>
        <w:rPr>
          <w:rFonts w:ascii="宋体" w:hAnsi="宋体" w:cs="Arial"/>
          <w:szCs w:val="21"/>
        </w:rPr>
      </w:pPr>
      <w:r>
        <w:rPr>
          <w:rFonts w:hint="eastAsia" w:ascii="宋体" w:hAnsi="宋体" w:cs="Arial"/>
          <w:szCs w:val="21"/>
        </w:rPr>
        <w:t>5、基金管理人、基金托管人对他人泄露基金运作和管理过程中任何尚未按法律法规规定的方式公开披露的信息。</w:t>
      </w:r>
    </w:p>
    <w:p w14:paraId="06A7B47A">
      <w:pPr>
        <w:pStyle w:val="9"/>
        <w:spacing w:line="360" w:lineRule="auto"/>
        <w:ind w:firstLine="420"/>
        <w:rPr>
          <w:rFonts w:ascii="宋体" w:hAnsi="宋体" w:eastAsia="宋体" w:cs="Arial"/>
          <w:sz w:val="21"/>
          <w:szCs w:val="21"/>
        </w:rPr>
      </w:pPr>
      <w:r>
        <w:rPr>
          <w:rFonts w:hint="eastAsia" w:ascii="宋体" w:hAnsi="宋体" w:eastAsia="宋体" w:cs="Arial"/>
          <w:sz w:val="21"/>
          <w:szCs w:val="21"/>
        </w:rPr>
        <w:t>6、基金管理人在没有充足资金的情况下向基金托管人发出投资指令和付款指令，或违规向基金托管人发出指令。</w:t>
      </w:r>
    </w:p>
    <w:p w14:paraId="3DB62414">
      <w:pPr>
        <w:adjustRightInd w:val="0"/>
        <w:snapToGrid w:val="0"/>
        <w:spacing w:line="360" w:lineRule="auto"/>
        <w:ind w:firstLine="420" w:firstLineChars="200"/>
        <w:rPr>
          <w:rFonts w:ascii="宋体" w:hAnsi="宋体" w:cs="Arial"/>
          <w:szCs w:val="21"/>
        </w:rPr>
      </w:pPr>
      <w:r>
        <w:rPr>
          <w:rFonts w:hint="eastAsia" w:ascii="宋体" w:hAnsi="宋体" w:cs="Arial"/>
          <w:szCs w:val="21"/>
        </w:rPr>
        <w:t>7、基金管理人、基金托管人在行政上、财务上不独立，其高级管理人员和其他从业人员相互兼职。</w:t>
      </w:r>
    </w:p>
    <w:p w14:paraId="64DFBEB8">
      <w:pPr>
        <w:spacing w:line="360" w:lineRule="auto"/>
        <w:ind w:firstLine="420" w:firstLineChars="200"/>
        <w:rPr>
          <w:rFonts w:ascii="宋体" w:hAnsi="宋体" w:cs="Arial"/>
          <w:szCs w:val="21"/>
        </w:rPr>
      </w:pPr>
      <w:r>
        <w:rPr>
          <w:rFonts w:hint="eastAsia" w:ascii="宋体" w:hAnsi="宋体" w:cs="Arial"/>
          <w:szCs w:val="21"/>
        </w:rPr>
        <w:t>8、基金托管人私自动用或处分基金财产，根据基金管理人的合法指令、基金合同或托管协议的规定进行处分的除外。</w:t>
      </w:r>
    </w:p>
    <w:p w14:paraId="2D8915DC">
      <w:pPr>
        <w:spacing w:line="360" w:lineRule="auto"/>
        <w:ind w:firstLine="420" w:firstLineChars="200"/>
        <w:rPr>
          <w:rFonts w:ascii="宋体" w:hAnsi="宋体" w:cs="Arial"/>
          <w:szCs w:val="21"/>
        </w:rPr>
      </w:pPr>
      <w:r>
        <w:rPr>
          <w:rFonts w:hint="eastAsia" w:ascii="宋体" w:hAnsi="宋体" w:cs="Arial"/>
          <w:szCs w:val="21"/>
        </w:rPr>
        <w:t>9、基金管理人不得利用基金托管人的品牌、声誉开展不当营销宣传，暗示基金托管人担保或兜底责任或从事其他损害基金托管人利益的行为。基金托管人有权对该等行为要求相关主体立即纠正、终止合作并承担赔偿责任。</w:t>
      </w:r>
    </w:p>
    <w:p w14:paraId="77F3DF26">
      <w:pPr>
        <w:spacing w:line="360" w:lineRule="auto"/>
        <w:ind w:firstLine="420" w:firstLineChars="200"/>
        <w:rPr>
          <w:rFonts w:ascii="宋体" w:hAnsi="宋体"/>
          <w:szCs w:val="21"/>
        </w:rPr>
      </w:pPr>
      <w:r>
        <w:rPr>
          <w:rFonts w:ascii="宋体" w:hAnsi="宋体" w:cs="Arial"/>
          <w:szCs w:val="21"/>
        </w:rPr>
        <w:t>10、</w:t>
      </w:r>
      <w:r>
        <w:rPr>
          <w:rFonts w:hint="eastAsia" w:ascii="宋体" w:hAnsi="宋体" w:cs="Arial"/>
          <w:szCs w:val="21"/>
        </w:rPr>
        <w:t>法律法规和基金合同禁止的其他行为，以及</w:t>
      </w:r>
      <w:r>
        <w:rPr>
          <w:rFonts w:hint="eastAsia" w:ascii="宋体" w:hAnsi="宋体"/>
          <w:szCs w:val="21"/>
        </w:rPr>
        <w:t>依照法律、行政法规有关规定，由</w:t>
      </w:r>
      <w:r>
        <w:rPr>
          <w:rFonts w:hint="eastAsia" w:ascii="宋体" w:hAnsi="宋体" w:cs="Arial"/>
          <w:szCs w:val="21"/>
        </w:rPr>
        <w:t>中国证监会</w:t>
      </w:r>
      <w:r>
        <w:rPr>
          <w:rFonts w:hint="eastAsia" w:ascii="宋体" w:hAnsi="宋体"/>
          <w:szCs w:val="21"/>
        </w:rPr>
        <w:t>规定禁止基金管理人、基金托管人从事的其他行为。</w:t>
      </w:r>
    </w:p>
    <w:bookmarkEnd w:id="183"/>
    <w:p w14:paraId="038031C8">
      <w:pPr>
        <w:spacing w:line="360" w:lineRule="auto"/>
        <w:ind w:firstLine="420" w:firstLineChars="200"/>
        <w:rPr>
          <w:rFonts w:ascii="宋体" w:hAnsi="宋体"/>
        </w:rPr>
      </w:pPr>
      <w:bookmarkStart w:id="187" w:name="_Toc384992706"/>
      <w:bookmarkStart w:id="188" w:name="_Toc501274928"/>
      <w:bookmarkStart w:id="189" w:name="_Toc348082044"/>
      <w:bookmarkStart w:id="190" w:name="CLAUSE_bcee9b9b888546b5bc1f8261460d73d2"/>
    </w:p>
    <w:p w14:paraId="2F309611">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（二）基金托管人不得承担以下职责：</w:t>
      </w:r>
    </w:p>
    <w:p w14:paraId="5471E59D">
      <w:pPr>
        <w:spacing w:line="360" w:lineRule="auto"/>
        <w:ind w:firstLine="420" w:firstLineChars="200"/>
        <w:rPr>
          <w:rFonts w:ascii="宋体" w:hAnsi="宋体"/>
          <w:szCs w:val="21"/>
        </w:rPr>
      </w:pPr>
      <w:r>
        <w:rPr>
          <w:rFonts w:hint="eastAsia" w:ascii="宋体" w:hAnsi="宋体"/>
          <w:szCs w:val="21"/>
        </w:rPr>
        <w:t>1、承担托管基金财产的信用风险、市场风险等；</w:t>
      </w:r>
    </w:p>
    <w:p w14:paraId="0CF12E1C">
      <w:pPr>
        <w:spacing w:line="360" w:lineRule="auto"/>
        <w:ind w:firstLine="420" w:firstLineChars="200"/>
        <w:rPr>
          <w:rFonts w:ascii="宋体" w:hAnsi="宋体"/>
          <w:szCs w:val="21"/>
        </w:rPr>
      </w:pPr>
      <w:r>
        <w:rPr>
          <w:rFonts w:hint="eastAsia" w:ascii="宋体" w:hAnsi="宋体"/>
          <w:szCs w:val="21"/>
        </w:rPr>
        <w:t>2、为托管基金提供直接或间接、显性或隐性担保，包括承诺本金或保证收益；</w:t>
      </w:r>
    </w:p>
    <w:p w14:paraId="0095F425">
      <w:pPr>
        <w:spacing w:line="360" w:lineRule="auto"/>
        <w:ind w:firstLine="420" w:firstLineChars="200"/>
        <w:rPr>
          <w:rFonts w:ascii="宋体" w:hAnsi="宋体"/>
          <w:szCs w:val="21"/>
        </w:rPr>
      </w:pPr>
      <w:r>
        <w:rPr>
          <w:rFonts w:hint="eastAsia" w:ascii="宋体" w:hAnsi="宋体"/>
          <w:szCs w:val="21"/>
        </w:rPr>
        <w:t>3、为托管基金垫付资金、提供流动性支持或融资承诺等；</w:t>
      </w:r>
    </w:p>
    <w:p w14:paraId="076F4CAD">
      <w:pPr>
        <w:spacing w:line="360" w:lineRule="auto"/>
        <w:ind w:firstLine="420" w:firstLineChars="200"/>
        <w:rPr>
          <w:rFonts w:ascii="宋体" w:hAnsi="宋体"/>
          <w:szCs w:val="21"/>
        </w:rPr>
      </w:pPr>
      <w:r>
        <w:rPr>
          <w:rFonts w:hint="eastAsia" w:ascii="宋体" w:hAnsi="宋体"/>
          <w:szCs w:val="21"/>
        </w:rPr>
        <w:t xml:space="preserve">4、参与投资者适当性管理； </w:t>
      </w:r>
    </w:p>
    <w:p w14:paraId="69665F9C">
      <w:pPr>
        <w:spacing w:line="360" w:lineRule="auto"/>
        <w:ind w:firstLine="420" w:firstLineChars="200"/>
        <w:rPr>
          <w:rFonts w:ascii="宋体" w:hAnsi="宋体"/>
          <w:szCs w:val="21"/>
        </w:rPr>
      </w:pPr>
      <w:r>
        <w:rPr>
          <w:rFonts w:ascii="宋体" w:hAnsi="宋体"/>
          <w:szCs w:val="21"/>
        </w:rPr>
        <w:t>5</w:t>
      </w:r>
      <w:r>
        <w:rPr>
          <w:rFonts w:hint="eastAsia" w:ascii="宋体" w:hAnsi="宋体"/>
          <w:szCs w:val="21"/>
        </w:rPr>
        <w:t xml:space="preserve">、保证投资项目及交易信息真实性； </w:t>
      </w:r>
    </w:p>
    <w:p w14:paraId="3D968F20">
      <w:pPr>
        <w:spacing w:line="360" w:lineRule="auto"/>
        <w:ind w:firstLine="420" w:firstLineChars="200"/>
        <w:rPr>
          <w:rFonts w:ascii="宋体" w:hAnsi="宋体"/>
          <w:szCs w:val="21"/>
        </w:rPr>
      </w:pPr>
      <w:r>
        <w:rPr>
          <w:rFonts w:hint="eastAsia" w:ascii="宋体" w:hAnsi="宋体"/>
          <w:szCs w:val="21"/>
        </w:rPr>
        <w:t>6、保证托管基金资金来源的合法合规性；</w:t>
      </w:r>
    </w:p>
    <w:p w14:paraId="50D04139">
      <w:pPr>
        <w:spacing w:line="360" w:lineRule="auto"/>
        <w:ind w:firstLine="420" w:firstLineChars="200"/>
        <w:rPr>
          <w:rFonts w:ascii="宋体" w:hAnsi="宋体"/>
          <w:szCs w:val="21"/>
        </w:rPr>
      </w:pPr>
      <w:r>
        <w:rPr>
          <w:rFonts w:hint="eastAsia" w:ascii="宋体" w:hAnsi="宋体"/>
          <w:szCs w:val="21"/>
        </w:rPr>
        <w:t>7、对已划出托管账户以及处于基金托管人实际控制之外的资产承担保管责任；</w:t>
      </w:r>
    </w:p>
    <w:p w14:paraId="7E5F3624">
      <w:pPr>
        <w:spacing w:line="360" w:lineRule="auto"/>
        <w:ind w:firstLine="420" w:firstLineChars="200"/>
        <w:rPr>
          <w:rFonts w:ascii="宋体" w:hAnsi="宋体"/>
          <w:szCs w:val="21"/>
        </w:rPr>
      </w:pPr>
      <w:r>
        <w:rPr>
          <w:rFonts w:hint="eastAsia" w:ascii="宋体" w:hAnsi="宋体"/>
          <w:szCs w:val="21"/>
        </w:rPr>
        <w:t>8、参与基金管理人对托管基金的投资决策；</w:t>
      </w:r>
    </w:p>
    <w:p w14:paraId="11CB880E">
      <w:pPr>
        <w:spacing w:line="360" w:lineRule="auto"/>
        <w:ind w:firstLine="420" w:firstLineChars="200"/>
        <w:rPr>
          <w:rFonts w:ascii="宋体" w:hAnsi="宋体"/>
          <w:szCs w:val="21"/>
        </w:rPr>
      </w:pPr>
      <w:r>
        <w:rPr>
          <w:rFonts w:hint="eastAsia" w:ascii="宋体" w:hAnsi="宋体"/>
          <w:szCs w:val="21"/>
        </w:rPr>
        <w:t xml:space="preserve">9、违规代替基金管理人向其他机构或者个人进行托管基金信息披露或提供相关数据信息； </w:t>
      </w:r>
    </w:p>
    <w:p w14:paraId="33E3631A">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、基金管理人未接受基金托管人的复核意见进行信息披露产生的相应责任；</w:t>
      </w:r>
    </w:p>
    <w:p w14:paraId="7EC7DF7D">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、负责未兑付基金的资金追偿、财产保全、诉讼仲裁、债务重组和破产程序等，法律另有规定的除外。</w:t>
      </w:r>
    </w:p>
    <w:p w14:paraId="2FF8B2C3">
      <w:pPr>
        <w:spacing w:line="360" w:lineRule="auto"/>
        <w:ind w:firstLine="420" w:firstLineChars="200"/>
        <w:rPr>
          <w:rFonts w:ascii="宋体" w:hAnsi="宋体"/>
          <w:szCs w:val="21"/>
        </w:rPr>
      </w:pPr>
      <w:r>
        <w:rPr>
          <w:rFonts w:hint="eastAsia" w:ascii="宋体" w:hAnsi="宋体"/>
          <w:szCs w:val="21"/>
        </w:rPr>
        <w:t>12、因不可抗力，以及非本机构履职错误或过失造成的托管资产损失；</w:t>
      </w:r>
    </w:p>
    <w:p w14:paraId="4DD146DF">
      <w:pPr>
        <w:spacing w:line="360" w:lineRule="auto"/>
        <w:ind w:firstLine="420" w:firstLineChars="200"/>
        <w:rPr>
          <w:rFonts w:hint="eastAsia" w:ascii="宋体" w:hAnsi="宋体"/>
        </w:rPr>
        <w:sectPr>
          <w:footerReference r:id="rId22" w:type="default"/>
          <w:pgSz w:w="11906" w:h="16838"/>
          <w:pgMar w:top="1418" w:right="1701" w:bottom="1418" w:left="1701" w:header="851" w:footer="992" w:gutter="0"/>
          <w:pgNumType w:fmt="decimal" w:start="1"/>
          <w:cols w:space="720" w:num="1"/>
          <w:docGrid w:type="lines" w:linePitch="312" w:charSpace="0"/>
        </w:sectPr>
      </w:pPr>
      <w:r>
        <w:rPr>
          <w:rFonts w:hint="eastAsia" w:ascii="宋体" w:hAnsi="宋体"/>
          <w:szCs w:val="21"/>
        </w:rPr>
        <w:t>13、国务院金融监管部门规定的不属于商业银行托管业务范围的其他职责。</w:t>
      </w:r>
    </w:p>
    <w:p w14:paraId="6509AA7A">
      <w:pPr>
        <w:pStyle w:val="3"/>
        <w:spacing w:before="312" w:beforeLines="100" w:after="156" w:afterLines="50" w:line="360" w:lineRule="auto"/>
        <w:jc w:val="center"/>
        <w:rPr>
          <w:rFonts w:ascii="宋体" w:hAnsi="宋体" w:eastAsia="宋体"/>
          <w:sz w:val="21"/>
          <w:szCs w:val="21"/>
        </w:rPr>
      </w:pPr>
      <w:r>
        <w:t xml:space="preserve"> </w:t>
      </w:r>
      <w:bookmarkStart w:id="191" w:name="CTS_bcee9b9b888546b5bc1f8261460d73d2"/>
      <w:bookmarkEnd w:id="191"/>
      <w:r>
        <w:t xml:space="preserve"> </w:t>
      </w:r>
      <w:bookmarkStart w:id="192" w:name="_Toc24689"/>
      <w:bookmarkStart w:id="193" w:name="_Toc19841"/>
      <w:r>
        <w:rPr>
          <w:rFonts w:hint="eastAsia" w:ascii="宋体" w:hAnsi="宋体" w:eastAsia="宋体"/>
          <w:sz w:val="21"/>
          <w:szCs w:val="21"/>
        </w:rPr>
        <w:t>十六、托管协议的变更、终止与基金财产的清算</w:t>
      </w:r>
      <w:bookmarkEnd w:id="187"/>
      <w:bookmarkEnd w:id="188"/>
      <w:bookmarkEnd w:id="189"/>
      <w:bookmarkEnd w:id="192"/>
      <w:bookmarkEnd w:id="193"/>
    </w:p>
    <w:p w14:paraId="61FEF624">
      <w:pPr>
        <w:adjustRightInd w:val="0"/>
        <w:snapToGrid w:val="0"/>
        <w:spacing w:line="360" w:lineRule="auto"/>
        <w:ind w:firstLine="420" w:firstLineChars="200"/>
        <w:rPr>
          <w:rFonts w:ascii="宋体" w:hAnsi="宋体" w:cs="Arial"/>
          <w:szCs w:val="21"/>
        </w:rPr>
      </w:pPr>
      <w:r>
        <w:rPr>
          <w:rFonts w:hint="eastAsia" w:ascii="宋体" w:hAnsi="宋体" w:cs="Arial"/>
          <w:szCs w:val="21"/>
        </w:rPr>
        <w:t>（一）托管协议的变更程序</w:t>
      </w:r>
    </w:p>
    <w:p w14:paraId="7F4A24B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本协议双方当事人经协商一致并履行适当程序后，可以对协议进行修改。修改后的新协议，其内容不得与基金合同的规定有任何冲突。</w:t>
      </w:r>
    </w:p>
    <w:p w14:paraId="233000A1">
      <w:pPr>
        <w:adjustRightInd w:val="0"/>
        <w:snapToGrid w:val="0"/>
        <w:spacing w:line="360" w:lineRule="auto"/>
        <w:ind w:firstLine="420" w:firstLineChars="200"/>
        <w:rPr>
          <w:rFonts w:ascii="宋体" w:hAnsi="宋体" w:cs="Arial"/>
          <w:szCs w:val="21"/>
        </w:rPr>
      </w:pPr>
      <w:r>
        <w:rPr>
          <w:rFonts w:hint="eastAsia" w:ascii="宋体" w:hAnsi="宋体" w:cs="Arial"/>
          <w:szCs w:val="21"/>
        </w:rPr>
        <w:t>（二）基金托管协议终止的情形</w:t>
      </w:r>
    </w:p>
    <w:p w14:paraId="53D96AAB">
      <w:pPr>
        <w:adjustRightInd w:val="0"/>
        <w:snapToGrid w:val="0"/>
        <w:spacing w:line="360" w:lineRule="auto"/>
        <w:ind w:firstLine="420" w:firstLineChars="200"/>
        <w:rPr>
          <w:rFonts w:ascii="宋体" w:hAnsi="宋体" w:cs="Arial"/>
          <w:szCs w:val="21"/>
        </w:rPr>
      </w:pPr>
      <w:r>
        <w:rPr>
          <w:rFonts w:hint="eastAsia" w:ascii="宋体" w:hAnsi="宋体" w:cs="Arial"/>
          <w:szCs w:val="21"/>
        </w:rPr>
        <w:t>1、《基金合同》终止；</w:t>
      </w:r>
    </w:p>
    <w:p w14:paraId="6CF0CFEA">
      <w:pPr>
        <w:adjustRightInd w:val="0"/>
        <w:snapToGrid w:val="0"/>
        <w:spacing w:line="360" w:lineRule="auto"/>
        <w:ind w:firstLine="420" w:firstLineChars="200"/>
        <w:rPr>
          <w:rFonts w:ascii="宋体" w:hAnsi="宋体" w:cs="Arial"/>
          <w:szCs w:val="21"/>
        </w:rPr>
      </w:pPr>
      <w:r>
        <w:rPr>
          <w:rFonts w:hint="eastAsia" w:ascii="宋体" w:hAnsi="宋体" w:cs="Arial"/>
          <w:szCs w:val="21"/>
        </w:rPr>
        <w:t>2、基金托管人因解散、破产、撤销等事由，不能继续担任基金托管人的职务，而在6个月内无其他适当的托管机构承接其原有权利义务；</w:t>
      </w:r>
    </w:p>
    <w:p w14:paraId="203C0FEE">
      <w:pPr>
        <w:adjustRightInd w:val="0"/>
        <w:snapToGrid w:val="0"/>
        <w:spacing w:line="360" w:lineRule="auto"/>
        <w:ind w:firstLine="420" w:firstLineChars="200"/>
        <w:rPr>
          <w:rFonts w:ascii="宋体" w:hAnsi="宋体" w:cs="Arial"/>
          <w:szCs w:val="21"/>
        </w:rPr>
      </w:pPr>
      <w:r>
        <w:rPr>
          <w:rFonts w:hint="eastAsia" w:ascii="宋体" w:hAnsi="宋体" w:cs="Arial"/>
          <w:szCs w:val="21"/>
        </w:rPr>
        <w:t>3、基金管理人因解散、破产、撤销等事由，不能继续担任基金管理人的职务，而在6个月内无其他适当的基金管理公司承接其原有权利义务；</w:t>
      </w:r>
    </w:p>
    <w:p w14:paraId="7355F5E3">
      <w:pPr>
        <w:adjustRightInd w:val="0"/>
        <w:snapToGrid w:val="0"/>
        <w:spacing w:line="360" w:lineRule="auto"/>
        <w:ind w:firstLine="420" w:firstLineChars="200"/>
        <w:rPr>
          <w:rFonts w:ascii="宋体" w:hAnsi="宋体" w:cs="Arial"/>
          <w:szCs w:val="21"/>
        </w:rPr>
      </w:pPr>
      <w:r>
        <w:rPr>
          <w:rFonts w:hint="eastAsia" w:ascii="宋体" w:hAnsi="宋体" w:cs="Arial"/>
          <w:szCs w:val="21"/>
        </w:rPr>
        <w:t>4、发生法律法规、中国证监会或《基金合同》规定的其他终止事项。</w:t>
      </w:r>
    </w:p>
    <w:p w14:paraId="2E01E062">
      <w:pPr>
        <w:adjustRightInd w:val="0"/>
        <w:snapToGrid w:val="0"/>
        <w:spacing w:line="360" w:lineRule="auto"/>
        <w:ind w:firstLine="420" w:firstLineChars="200"/>
        <w:rPr>
          <w:rFonts w:ascii="宋体" w:hAnsi="宋体" w:cs="Arial"/>
          <w:szCs w:val="21"/>
        </w:rPr>
      </w:pPr>
      <w:r>
        <w:rPr>
          <w:rFonts w:hint="eastAsia" w:ascii="宋体" w:hAnsi="宋体" w:cs="Arial"/>
          <w:szCs w:val="21"/>
        </w:rPr>
        <w:t>（三）基金财产的清算</w:t>
      </w:r>
    </w:p>
    <w:p w14:paraId="2853B3EE">
      <w:pPr>
        <w:adjustRightInd w:val="0"/>
        <w:snapToGrid w:val="0"/>
        <w:spacing w:line="360" w:lineRule="auto"/>
        <w:ind w:firstLine="420" w:firstLineChars="200"/>
        <w:rPr>
          <w:rFonts w:ascii="宋体" w:hAnsi="宋体" w:cs="Arial"/>
          <w:szCs w:val="21"/>
        </w:rPr>
      </w:pPr>
      <w:r>
        <w:rPr>
          <w:rFonts w:hint="eastAsia"/>
          <w:szCs w:val="21"/>
        </w:rPr>
        <w:t>基金管理人与基金托管人按照《基金合同》的约定处理基金财产的清算。</w:t>
      </w:r>
    </w:p>
    <w:p w14:paraId="6CE39958">
      <w:pPr>
        <w:adjustRightInd w:val="0"/>
        <w:snapToGrid w:val="0"/>
        <w:spacing w:line="360" w:lineRule="auto"/>
        <w:rPr>
          <w:rFonts w:ascii="宋体" w:hAnsi="宋体" w:cs="Arial"/>
          <w:szCs w:val="21"/>
        </w:rPr>
      </w:pPr>
    </w:p>
    <w:bookmarkEnd w:id="190"/>
    <w:p w14:paraId="7D255D85">
      <w:pPr>
        <w:adjustRightInd w:val="0"/>
        <w:snapToGrid w:val="0"/>
        <w:spacing w:line="360" w:lineRule="auto"/>
        <w:ind w:firstLine="420" w:firstLineChars="200"/>
        <w:sectPr>
          <w:footerReference r:id="rId23" w:type="default"/>
          <w:pgSz w:w="11906" w:h="16838"/>
          <w:pgMar w:top="1418" w:right="1701" w:bottom="1418" w:left="1701" w:header="851" w:footer="992" w:gutter="0"/>
          <w:pgNumType w:fmt="decimal" w:start="1"/>
          <w:cols w:space="720" w:num="1"/>
          <w:docGrid w:type="lines" w:linePitch="312" w:charSpace="0"/>
        </w:sectPr>
      </w:pPr>
      <w:bookmarkStart w:id="194" w:name="_Toc501274929"/>
      <w:bookmarkStart w:id="195" w:name="_Toc384992707"/>
      <w:bookmarkStart w:id="196" w:name="_Toc348082045"/>
      <w:bookmarkStart w:id="197" w:name="CLAUSE_2ba833cdb8204150b29589e8e49e6d33"/>
    </w:p>
    <w:p w14:paraId="73F1A42B">
      <w:pPr>
        <w:pStyle w:val="3"/>
        <w:spacing w:before="312" w:beforeLines="100" w:after="156" w:afterLines="50" w:line="360" w:lineRule="auto"/>
        <w:jc w:val="center"/>
        <w:rPr>
          <w:rFonts w:ascii="宋体" w:hAnsi="宋体" w:eastAsia="宋体"/>
          <w:sz w:val="21"/>
          <w:szCs w:val="21"/>
        </w:rPr>
      </w:pPr>
      <w:r>
        <w:t xml:space="preserve"> </w:t>
      </w:r>
      <w:bookmarkStart w:id="198" w:name="CTS_2ba833cdb8204150b29589e8e49e6d33"/>
      <w:bookmarkEnd w:id="198"/>
      <w:r>
        <w:t xml:space="preserve"> </w:t>
      </w:r>
      <w:bookmarkStart w:id="199" w:name="_Toc19421"/>
      <w:bookmarkStart w:id="200" w:name="_Toc3075"/>
      <w:r>
        <w:rPr>
          <w:rFonts w:hint="eastAsia" w:ascii="宋体" w:hAnsi="宋体" w:eastAsia="宋体"/>
          <w:sz w:val="21"/>
          <w:szCs w:val="21"/>
        </w:rPr>
        <w:t>十七、违约责任</w:t>
      </w:r>
      <w:bookmarkEnd w:id="194"/>
      <w:bookmarkEnd w:id="195"/>
      <w:bookmarkEnd w:id="196"/>
      <w:bookmarkEnd w:id="199"/>
      <w:bookmarkEnd w:id="200"/>
    </w:p>
    <w:p w14:paraId="24AF406F">
      <w:pPr>
        <w:adjustRightInd w:val="0"/>
        <w:snapToGrid w:val="0"/>
        <w:spacing w:line="360" w:lineRule="auto"/>
        <w:ind w:firstLine="420" w:firstLineChars="200"/>
        <w:rPr>
          <w:rFonts w:ascii="宋体" w:hAnsi="宋体" w:cs="Arial"/>
          <w:szCs w:val="21"/>
        </w:rPr>
      </w:pPr>
      <w:r>
        <w:rPr>
          <w:rFonts w:hint="eastAsia" w:ascii="宋体" w:hAnsi="宋体" w:cs="Arial"/>
          <w:szCs w:val="21"/>
        </w:rPr>
        <w:t>（一）</w:t>
      </w:r>
      <w:r>
        <w:rPr>
          <w:rFonts w:ascii="宋体" w:hAnsi="宋体" w:cs="Arial"/>
          <w:szCs w:val="21"/>
        </w:rPr>
        <w:t>基金管理人、基金托管人</w:t>
      </w:r>
      <w:r>
        <w:rPr>
          <w:rFonts w:hint="eastAsia" w:ascii="宋体" w:hAnsi="宋体" w:cs="Arial"/>
          <w:szCs w:val="21"/>
        </w:rPr>
        <w:t>不</w:t>
      </w:r>
      <w:r>
        <w:rPr>
          <w:rFonts w:ascii="宋体" w:hAnsi="宋体" w:cs="Arial"/>
          <w:szCs w:val="21"/>
        </w:rPr>
        <w:t>履行</w:t>
      </w:r>
      <w:r>
        <w:rPr>
          <w:rFonts w:hint="eastAsia" w:ascii="宋体" w:hAnsi="宋体" w:cs="Arial"/>
          <w:szCs w:val="21"/>
        </w:rPr>
        <w:t>本协议或履行本协议不符合约定的，应当承担违约责任。</w:t>
      </w:r>
    </w:p>
    <w:p w14:paraId="726E429B">
      <w:pPr>
        <w:adjustRightInd w:val="0"/>
        <w:snapToGrid w:val="0"/>
        <w:spacing w:line="360" w:lineRule="auto"/>
        <w:ind w:firstLine="420" w:firstLineChars="200"/>
        <w:rPr>
          <w:rFonts w:ascii="宋体" w:hAnsi="宋体" w:cs="Arial"/>
          <w:szCs w:val="21"/>
        </w:rPr>
      </w:pPr>
      <w:r>
        <w:rPr>
          <w:rFonts w:hint="eastAsia" w:ascii="宋体" w:hAnsi="宋体" w:cs="Arial"/>
          <w:szCs w:val="21"/>
        </w:rPr>
        <w:t>（二）</w:t>
      </w:r>
      <w:r>
        <w:rPr>
          <w:rFonts w:ascii="宋体" w:hAnsi="宋体" w:cs="Arial"/>
          <w:szCs w:val="21"/>
        </w:rPr>
        <w:t>基金管理人、基金托管人在履行各自职责的过程中，违反</w:t>
      </w:r>
      <w:r>
        <w:rPr>
          <w:rFonts w:hint="eastAsia" w:ascii="宋体" w:hAnsi="宋体" w:cs="Arial"/>
          <w:szCs w:val="21"/>
        </w:rPr>
        <w:t>《基金法》、《基金合同》和本托管协议</w:t>
      </w:r>
      <w:r>
        <w:rPr>
          <w:rFonts w:ascii="宋体" w:hAnsi="宋体" w:cs="Arial"/>
          <w:szCs w:val="21"/>
        </w:rPr>
        <w:t>约定，给基金财产或者基金份额持有人造成损害的，应当分别对各自的行为依法承担赔偿责任；因共同行为给基金财产或者基金份额持有人造成损害的</w:t>
      </w:r>
      <w:r>
        <w:rPr>
          <w:rFonts w:hint="eastAsia" w:ascii="宋体" w:hAnsi="宋体" w:cs="Arial"/>
          <w:szCs w:val="21"/>
        </w:rPr>
        <w:t>，</w:t>
      </w:r>
      <w:r>
        <w:rPr>
          <w:rFonts w:ascii="宋体" w:hAnsi="宋体" w:cs="Arial"/>
          <w:szCs w:val="21"/>
        </w:rPr>
        <w:t>应当</w:t>
      </w:r>
      <w:r>
        <w:rPr>
          <w:rFonts w:hint="eastAsia" w:ascii="宋体" w:hAnsi="宋体" w:cs="Arial"/>
          <w:szCs w:val="21"/>
        </w:rPr>
        <w:t>根据各自的过错程度对由此造成的直接损失分别承担相应的</w:t>
      </w:r>
      <w:r>
        <w:rPr>
          <w:rFonts w:ascii="宋体" w:hAnsi="宋体" w:cs="Arial"/>
          <w:szCs w:val="21"/>
        </w:rPr>
        <w:t>责任。</w:t>
      </w:r>
    </w:p>
    <w:p w14:paraId="5BFBC880">
      <w:pPr>
        <w:adjustRightInd w:val="0"/>
        <w:snapToGrid w:val="0"/>
        <w:spacing w:line="360" w:lineRule="auto"/>
        <w:ind w:firstLine="420" w:firstLineChars="200"/>
        <w:rPr>
          <w:rFonts w:ascii="宋体" w:hAnsi="宋体" w:cs="Arial"/>
          <w:szCs w:val="21"/>
        </w:rPr>
      </w:pPr>
      <w:r>
        <w:rPr>
          <w:rFonts w:hint="eastAsia" w:ascii="宋体" w:hAnsi="宋体" w:cs="Arial"/>
          <w:szCs w:val="21"/>
        </w:rPr>
        <w:t>（三）一方当事人违约，给另一方当事人或基金财产造成损失的，应就直接损失进行赔偿，另一方当事人有权利及义务代表基金向违约方追偿。但是如发生下列情况，当事人免责：</w:t>
      </w:r>
    </w:p>
    <w:p w14:paraId="3F0E2D8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1、不可抗力；</w:t>
      </w:r>
    </w:p>
    <w:p w14:paraId="3CBE0D2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2、基金管理人和/或基金托管人按照当时有效的法律法规、市场交易规则或中国证监会、银行业监督管理机构等监管机构的规定作为或不作为而造成的损失等；</w:t>
      </w:r>
    </w:p>
    <w:p w14:paraId="75DA4DAB">
      <w:pPr>
        <w:adjustRightInd w:val="0"/>
        <w:snapToGrid w:val="0"/>
        <w:spacing w:line="360" w:lineRule="auto"/>
        <w:ind w:firstLine="420" w:firstLineChars="200"/>
        <w:rPr>
          <w:rFonts w:ascii="宋体" w:hAnsi="宋体" w:cs="Arial"/>
          <w:szCs w:val="21"/>
        </w:rPr>
      </w:pPr>
      <w:r>
        <w:rPr>
          <w:rFonts w:hint="eastAsia" w:ascii="宋体" w:hAnsi="宋体" w:cs="Arial"/>
          <w:szCs w:val="21"/>
        </w:rPr>
        <w:t>3、基金管理人由于按照基金合同规定的投资原则行使或不行使其投资权而造成的损失等。</w:t>
      </w:r>
    </w:p>
    <w:p w14:paraId="629F3646">
      <w:pPr>
        <w:adjustRightInd w:val="0"/>
        <w:snapToGrid w:val="0"/>
        <w:spacing w:line="360" w:lineRule="auto"/>
        <w:ind w:firstLine="420" w:firstLineChars="200"/>
        <w:rPr>
          <w:rFonts w:hint="eastAsia" w:ascii="宋体" w:hAnsi="宋体" w:cs="Arial"/>
          <w:szCs w:val="21"/>
        </w:rPr>
      </w:pPr>
      <w:r>
        <w:rPr>
          <w:rFonts w:ascii="宋体" w:hAnsi="宋体" w:cs="Arial"/>
          <w:szCs w:val="21"/>
        </w:rPr>
        <w:t>4</w:t>
      </w:r>
      <w:r>
        <w:rPr>
          <w:rFonts w:hint="eastAsia" w:ascii="宋体" w:hAnsi="宋体" w:cs="Arial"/>
          <w:szCs w:val="21"/>
        </w:rPr>
        <w:t>、</w:t>
      </w:r>
      <w:r>
        <w:rPr>
          <w:rFonts w:hint="eastAsia" w:hAnsi="宋体" w:cs="Arial"/>
          <w:szCs w:val="21"/>
        </w:rPr>
        <w:t>非因基金管理人、基金托管人的故意或重大过失造成的计算机系统故障、网络故障、通讯故障、电力故障、计算机病毒攻击及其它意外事故，所导致的损失等。</w:t>
      </w:r>
    </w:p>
    <w:p w14:paraId="5498591B">
      <w:pPr>
        <w:adjustRightInd w:val="0"/>
        <w:snapToGrid w:val="0"/>
        <w:spacing w:line="360" w:lineRule="auto"/>
        <w:ind w:firstLine="420" w:firstLineChars="200"/>
        <w:rPr>
          <w:rFonts w:ascii="宋体" w:hAnsi="宋体" w:cs="Arial"/>
          <w:szCs w:val="21"/>
        </w:rPr>
      </w:pPr>
      <w:r>
        <w:rPr>
          <w:rFonts w:hint="eastAsia" w:ascii="宋体" w:hAnsi="宋体" w:cs="Arial"/>
          <w:szCs w:val="21"/>
        </w:rPr>
        <w:t>（四）一方当事人违约，另一方当事人在职责范围内有义务及时采取必要的措施，尽力防止损失的扩大。没有采取适当措施致使损失进一步扩大的，不得就扩大的损失要求赔偿。非违约方因防止损失扩大而支出的合理费用由违约方承担。</w:t>
      </w:r>
    </w:p>
    <w:p w14:paraId="3A8A868C">
      <w:pPr>
        <w:adjustRightInd w:val="0"/>
        <w:snapToGrid w:val="0"/>
        <w:spacing w:line="360" w:lineRule="auto"/>
        <w:ind w:firstLine="420" w:firstLineChars="200"/>
        <w:rPr>
          <w:rFonts w:ascii="宋体" w:hAnsi="宋体" w:cs="Arial"/>
          <w:szCs w:val="21"/>
        </w:rPr>
      </w:pPr>
      <w:r>
        <w:rPr>
          <w:rFonts w:hint="eastAsia" w:ascii="宋体" w:hAnsi="宋体" w:cs="Arial"/>
          <w:szCs w:val="21"/>
        </w:rPr>
        <w:t>（五）违约行为虽已发生，但本托管协议能够继续履行的，在最大限度地保护基金份额持有人利益的前提下，基金管理人和基金托管人应当继续履行本协议。若基金管理人或基金托管人因履行本协议而被起诉，另一方应提供合理的必要支持。</w:t>
      </w:r>
    </w:p>
    <w:p w14:paraId="19B066FD">
      <w:pPr>
        <w:adjustRightInd w:val="0"/>
        <w:snapToGrid w:val="0"/>
        <w:spacing w:line="360" w:lineRule="auto"/>
        <w:ind w:firstLine="420" w:firstLineChars="200"/>
        <w:rPr>
          <w:rFonts w:ascii="宋体" w:hAnsi="宋体" w:cs="Arial"/>
          <w:szCs w:val="21"/>
        </w:rPr>
      </w:pPr>
      <w:r>
        <w:rPr>
          <w:rFonts w:hint="eastAsia" w:ascii="宋体" w:hAnsi="宋体" w:cs="Arial"/>
          <w:szCs w:val="21"/>
        </w:rPr>
        <w:t>（六）由于基金管理人、基金托管人不可控制的因素导致业务出现差错，基金管理人和基金托管人虽然已经采取必要、适当、合理的措施进行检查，但是未能发现错误或因前述原因未能避免或更正错误的，由此造成基金财产或投资人损失，基金管理人和基金托管人免除赔偿责任。但是基金管理人和基金托管人应积极采取必要的措施减轻或消除由此造成的影响。</w:t>
      </w:r>
    </w:p>
    <w:bookmarkEnd w:id="197"/>
    <w:p w14:paraId="3747748E">
      <w:pPr>
        <w:adjustRightInd w:val="0"/>
        <w:snapToGrid w:val="0"/>
        <w:spacing w:line="360" w:lineRule="auto"/>
        <w:ind w:firstLine="420" w:firstLineChars="200"/>
        <w:rPr>
          <w:rFonts w:ascii="宋体" w:hAnsi="宋体" w:cs="Arial"/>
          <w:szCs w:val="21"/>
        </w:rPr>
        <w:sectPr>
          <w:footerReference r:id="rId24" w:type="default"/>
          <w:pgSz w:w="11906" w:h="16838"/>
          <w:pgMar w:top="1418" w:right="1701" w:bottom="1418" w:left="1701" w:header="851" w:footer="992" w:gutter="0"/>
          <w:pgNumType w:fmt="decimal" w:start="1"/>
          <w:cols w:space="720" w:num="1"/>
          <w:docGrid w:type="lines" w:linePitch="312" w:charSpace="0"/>
        </w:sectPr>
      </w:pPr>
      <w:bookmarkStart w:id="201" w:name="_Toc384992708"/>
      <w:bookmarkStart w:id="202" w:name="_Toc501274930"/>
      <w:bookmarkStart w:id="203" w:name="_Toc348082046"/>
      <w:bookmarkStart w:id="204" w:name="CLAUSE_ec33d38b909046268d01dbe8d5347fb8"/>
    </w:p>
    <w:p w14:paraId="3456F2D7">
      <w:pPr>
        <w:pStyle w:val="3"/>
        <w:spacing w:before="312" w:beforeLines="100" w:after="156" w:afterLines="50" w:line="360" w:lineRule="auto"/>
        <w:jc w:val="center"/>
        <w:rPr>
          <w:rFonts w:ascii="宋体" w:hAnsi="宋体" w:eastAsia="宋体"/>
          <w:sz w:val="21"/>
          <w:szCs w:val="21"/>
        </w:rPr>
      </w:pPr>
      <w:r>
        <w:t xml:space="preserve"> </w:t>
      </w:r>
      <w:bookmarkStart w:id="205" w:name="CTS_ec33d38b909046268d01dbe8d5347fb8"/>
      <w:bookmarkEnd w:id="205"/>
      <w:r>
        <w:t xml:space="preserve"> </w:t>
      </w:r>
      <w:bookmarkStart w:id="206" w:name="_Toc8893"/>
      <w:bookmarkStart w:id="207" w:name="_Toc29248"/>
      <w:r>
        <w:rPr>
          <w:rFonts w:hint="eastAsia" w:ascii="宋体" w:hAnsi="宋体" w:eastAsia="宋体"/>
          <w:sz w:val="21"/>
          <w:szCs w:val="21"/>
        </w:rPr>
        <w:t>十八、争议解决方式</w:t>
      </w:r>
      <w:bookmarkEnd w:id="201"/>
      <w:bookmarkEnd w:id="202"/>
      <w:bookmarkEnd w:id="203"/>
      <w:bookmarkEnd w:id="206"/>
      <w:bookmarkEnd w:id="207"/>
    </w:p>
    <w:p w14:paraId="4085EF21">
      <w:pPr>
        <w:adjustRightInd w:val="0"/>
        <w:snapToGrid w:val="0"/>
        <w:spacing w:line="360" w:lineRule="auto"/>
        <w:ind w:firstLine="422" w:firstLineChars="200"/>
        <w:rPr>
          <w:rFonts w:ascii="宋体" w:hAnsi="宋体" w:cs="Arial"/>
          <w:b/>
          <w:i/>
          <w:szCs w:val="21"/>
        </w:rPr>
      </w:pPr>
      <w:r>
        <w:rPr>
          <w:rFonts w:hint="eastAsia" w:ascii="宋体" w:hAnsi="宋体" w:cs="Arial"/>
          <w:b/>
          <w:i/>
          <w:szCs w:val="21"/>
        </w:rPr>
        <w:t>双方当事人同意，因本协议而产生的或与本协议有关的一切争议，如经友好协商、调解未能解决的，任何一方均有权将争议提交深圳国际仲裁院（深圳仲裁委员会），按照深圳国际仲裁院（深圳仲裁委员会）届时有效的仲裁规则进行仲裁。仲裁地点为深圳市。仲裁裁决是终局的，对双方当事人均有约束力，除裁决另有规定的，仲裁费用、律师费用由败诉方承担。</w:t>
      </w:r>
    </w:p>
    <w:p w14:paraId="7DBB8B40">
      <w:pPr>
        <w:adjustRightInd w:val="0"/>
        <w:snapToGrid w:val="0"/>
        <w:spacing w:line="360" w:lineRule="auto"/>
        <w:ind w:firstLine="422" w:firstLineChars="200"/>
        <w:rPr>
          <w:rFonts w:ascii="宋体" w:hAnsi="宋体" w:cs="Arial"/>
          <w:b/>
          <w:i/>
          <w:szCs w:val="21"/>
        </w:rPr>
      </w:pPr>
      <w:r>
        <w:rPr>
          <w:rFonts w:hint="eastAsia" w:ascii="宋体" w:hAnsi="宋体" w:cs="Arial"/>
          <w:b/>
          <w:i/>
          <w:szCs w:val="21"/>
        </w:rPr>
        <w:t>争议处理期间，双方当事人应恪守基金管理人和基金托管人职责，各自继续忠实、勤勉、尽责地履行基金合同和本托管协议规定的义务，维护基金份额持有人的合法权益。</w:t>
      </w:r>
    </w:p>
    <w:p w14:paraId="014066F1">
      <w:pPr>
        <w:adjustRightInd w:val="0"/>
        <w:snapToGrid w:val="0"/>
        <w:spacing w:line="360" w:lineRule="auto"/>
        <w:ind w:firstLine="422" w:firstLineChars="200"/>
        <w:rPr>
          <w:rFonts w:ascii="宋体" w:hAnsi="宋体" w:cs="Arial"/>
          <w:b/>
          <w:i/>
          <w:szCs w:val="21"/>
        </w:rPr>
      </w:pPr>
      <w:r>
        <w:rPr>
          <w:rFonts w:hint="eastAsia" w:ascii="宋体" w:hAnsi="宋体" w:cs="Arial"/>
          <w:b/>
          <w:i/>
          <w:szCs w:val="21"/>
        </w:rPr>
        <w:t>本协议受中华人民共和国法律（为托管协议之目的，在此不包括香港、澳门特别行政区法律和台湾地区的有关规定）管辖并从其解释。</w:t>
      </w:r>
    </w:p>
    <w:p w14:paraId="628B2A86">
      <w:pPr>
        <w:adjustRightInd w:val="0"/>
        <w:snapToGrid w:val="0"/>
        <w:spacing w:line="360" w:lineRule="auto"/>
        <w:rPr>
          <w:rFonts w:ascii="宋体" w:hAnsi="宋体" w:cs="Arial"/>
          <w:szCs w:val="21"/>
        </w:rPr>
      </w:pPr>
    </w:p>
    <w:bookmarkEnd w:id="204"/>
    <w:p w14:paraId="7B04FCD4">
      <w:pPr>
        <w:adjustRightInd w:val="0"/>
        <w:snapToGrid w:val="0"/>
        <w:spacing w:line="360" w:lineRule="auto"/>
        <w:ind w:firstLine="420" w:firstLineChars="200"/>
        <w:rPr>
          <w:rFonts w:ascii="宋体" w:hAnsi="宋体"/>
        </w:rPr>
        <w:sectPr>
          <w:footerReference r:id="rId25" w:type="default"/>
          <w:pgSz w:w="11906" w:h="16838"/>
          <w:pgMar w:top="1418" w:right="1701" w:bottom="1418" w:left="1701" w:header="851" w:footer="992" w:gutter="0"/>
          <w:pgNumType w:fmt="decimal" w:start="1"/>
          <w:cols w:space="720" w:num="1"/>
          <w:docGrid w:type="lines" w:linePitch="312" w:charSpace="0"/>
        </w:sectPr>
      </w:pPr>
      <w:bookmarkStart w:id="208" w:name="_Toc384992709"/>
      <w:bookmarkStart w:id="209" w:name="_Toc501274931"/>
      <w:bookmarkStart w:id="210" w:name="_Toc348082047"/>
      <w:bookmarkStart w:id="211" w:name="CLAUSE_bd61e1ad3d7442c2af11a1c29fb62d9d"/>
    </w:p>
    <w:p w14:paraId="0605D270">
      <w:pPr>
        <w:pStyle w:val="3"/>
        <w:spacing w:before="312" w:beforeLines="100" w:after="156" w:afterLines="50" w:line="360" w:lineRule="auto"/>
        <w:jc w:val="center"/>
        <w:rPr>
          <w:rFonts w:ascii="宋体" w:hAnsi="宋体" w:eastAsia="宋体"/>
          <w:sz w:val="21"/>
          <w:szCs w:val="21"/>
        </w:rPr>
      </w:pPr>
      <w:r>
        <w:t xml:space="preserve"> </w:t>
      </w:r>
      <w:bookmarkStart w:id="212" w:name="CTS_bd61e1ad3d7442c2af11a1c29fb62d9d"/>
      <w:bookmarkEnd w:id="212"/>
      <w:r>
        <w:t xml:space="preserve"> </w:t>
      </w:r>
      <w:bookmarkStart w:id="213" w:name="_Toc31934"/>
      <w:bookmarkStart w:id="214" w:name="_Toc13785"/>
      <w:r>
        <w:rPr>
          <w:rFonts w:hint="eastAsia" w:ascii="宋体" w:hAnsi="宋体" w:eastAsia="宋体"/>
          <w:sz w:val="21"/>
          <w:szCs w:val="21"/>
        </w:rPr>
        <w:t>十九、托管协议的效力</w:t>
      </w:r>
      <w:bookmarkEnd w:id="208"/>
      <w:bookmarkEnd w:id="209"/>
      <w:bookmarkEnd w:id="210"/>
      <w:bookmarkEnd w:id="213"/>
      <w:bookmarkEnd w:id="214"/>
    </w:p>
    <w:p w14:paraId="71E57826">
      <w:pPr>
        <w:adjustRightInd w:val="0"/>
        <w:snapToGrid w:val="0"/>
        <w:spacing w:line="360" w:lineRule="auto"/>
        <w:ind w:firstLine="420" w:firstLineChars="200"/>
        <w:rPr>
          <w:rFonts w:ascii="宋体" w:hAnsi="宋体" w:cs="Arial"/>
          <w:szCs w:val="21"/>
        </w:rPr>
      </w:pPr>
      <w:r>
        <w:rPr>
          <w:rFonts w:hint="eastAsia" w:ascii="宋体" w:hAnsi="宋体" w:cs="Arial"/>
          <w:szCs w:val="21"/>
        </w:rPr>
        <w:t>双方对托管协议的效力约定如下：</w:t>
      </w:r>
    </w:p>
    <w:p w14:paraId="0A18F2D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基金管理人在向中国证监会申请发售基金份额时提交的托管协议草案，应经托管协议当事人双方盖章（公章或合同专用章）以及双方法定代表人或授权代表签字（或签章），协议当事人双方根据中国证监会的意见修改并正式签署托管协议。托管协议以中国证监会注册的文本为正式文本。</w:t>
      </w:r>
    </w:p>
    <w:p w14:paraId="45B727D3">
      <w:pPr>
        <w:adjustRightInd w:val="0"/>
        <w:snapToGrid w:val="0"/>
        <w:spacing w:line="360" w:lineRule="auto"/>
        <w:ind w:firstLine="420" w:firstLineChars="200"/>
        <w:rPr>
          <w:rFonts w:ascii="宋体" w:hAnsi="宋体" w:cs="Arial"/>
          <w:szCs w:val="21"/>
        </w:rPr>
      </w:pPr>
      <w:r>
        <w:rPr>
          <w:rFonts w:hint="eastAsia" w:ascii="宋体" w:hAnsi="宋体" w:cs="Arial"/>
          <w:szCs w:val="21"/>
        </w:rPr>
        <w:t>（二）托管协议自基金合同成立之日起成立，自基金合同生效之日起生效。托管协议的有效期自其生效之日起至基金财产清算结果报中国证监会备案并公告之日止。</w:t>
      </w:r>
    </w:p>
    <w:p w14:paraId="1DA0B4C4">
      <w:pPr>
        <w:adjustRightInd w:val="0"/>
        <w:snapToGrid w:val="0"/>
        <w:spacing w:line="360" w:lineRule="auto"/>
        <w:ind w:firstLine="420" w:firstLineChars="200"/>
        <w:rPr>
          <w:rFonts w:ascii="宋体" w:hAnsi="宋体" w:cs="Arial"/>
          <w:szCs w:val="21"/>
        </w:rPr>
      </w:pPr>
      <w:r>
        <w:rPr>
          <w:rFonts w:hint="eastAsia" w:ascii="宋体" w:hAnsi="宋体" w:cs="Arial"/>
          <w:szCs w:val="21"/>
        </w:rPr>
        <w:t>（三）托管协议自生效之日起对托管协议当事人具有同等的法律约束力。</w:t>
      </w:r>
    </w:p>
    <w:p w14:paraId="4B94E3BC">
      <w:pPr>
        <w:adjustRightInd w:val="0"/>
        <w:snapToGrid w:val="0"/>
        <w:spacing w:line="360" w:lineRule="auto"/>
        <w:ind w:firstLine="420" w:firstLineChars="200"/>
        <w:rPr>
          <w:rFonts w:ascii="宋体" w:hAnsi="宋体"/>
          <w:szCs w:val="21"/>
        </w:rPr>
      </w:pPr>
      <w:r>
        <w:rPr>
          <w:rFonts w:hint="eastAsia" w:ascii="宋体" w:hAnsi="宋体" w:cs="Arial"/>
          <w:szCs w:val="21"/>
        </w:rPr>
        <w:t>（四）本协议一式</w:t>
      </w:r>
      <w:r>
        <w:rPr>
          <w:rFonts w:hint="eastAsia"/>
          <w:szCs w:val="21"/>
        </w:rPr>
        <w:t>三</w:t>
      </w:r>
      <w:r>
        <w:rPr>
          <w:rFonts w:hint="eastAsia" w:ascii="宋体" w:hAnsi="宋体" w:cs="Arial"/>
          <w:szCs w:val="21"/>
        </w:rPr>
        <w:t>份，协议双方各持一份，由基金管理人根据需要上报监管机构一份，每份具有同等法律效力。</w:t>
      </w:r>
    </w:p>
    <w:p w14:paraId="76A55EF6">
      <w:pPr>
        <w:adjustRightInd w:val="0"/>
        <w:snapToGrid w:val="0"/>
        <w:spacing w:line="360" w:lineRule="auto"/>
        <w:rPr>
          <w:rFonts w:ascii="宋体" w:hAnsi="宋体" w:cs="Arial"/>
          <w:szCs w:val="21"/>
        </w:rPr>
      </w:pPr>
    </w:p>
    <w:bookmarkEnd w:id="211"/>
    <w:p w14:paraId="16547192">
      <w:pPr>
        <w:adjustRightInd w:val="0"/>
        <w:snapToGrid w:val="0"/>
        <w:spacing w:line="360" w:lineRule="auto"/>
        <w:ind w:firstLine="420" w:firstLineChars="200"/>
        <w:rPr>
          <w:rFonts w:ascii="宋体" w:hAnsi="宋体"/>
        </w:rPr>
        <w:sectPr>
          <w:footerReference r:id="rId26" w:type="default"/>
          <w:pgSz w:w="11906" w:h="16838"/>
          <w:pgMar w:top="1418" w:right="1701" w:bottom="1418" w:left="1701" w:header="851" w:footer="992" w:gutter="0"/>
          <w:pgNumType w:fmt="decimal" w:start="1"/>
          <w:cols w:space="720" w:num="1"/>
          <w:docGrid w:type="lines" w:linePitch="312" w:charSpace="0"/>
        </w:sectPr>
      </w:pPr>
      <w:bookmarkStart w:id="215" w:name="_Toc501274932"/>
      <w:bookmarkStart w:id="216" w:name="_Toc348082048"/>
      <w:bookmarkStart w:id="217" w:name="_Toc384992710"/>
      <w:bookmarkStart w:id="218" w:name="CLAUSE_55e0544775f44d35936dd3d8360c537d"/>
    </w:p>
    <w:p w14:paraId="1B816F14">
      <w:pPr>
        <w:pStyle w:val="3"/>
        <w:spacing w:before="312" w:beforeLines="100" w:after="156" w:afterLines="50" w:line="360" w:lineRule="auto"/>
        <w:jc w:val="center"/>
        <w:rPr>
          <w:rFonts w:ascii="宋体" w:hAnsi="宋体" w:eastAsia="宋体"/>
          <w:sz w:val="21"/>
          <w:szCs w:val="21"/>
        </w:rPr>
      </w:pPr>
      <w:r>
        <w:t xml:space="preserve"> </w:t>
      </w:r>
      <w:bookmarkStart w:id="219" w:name="CTS_55e0544775f44d35936dd3d8360c537d"/>
      <w:bookmarkEnd w:id="219"/>
      <w:r>
        <w:t xml:space="preserve"> </w:t>
      </w:r>
      <w:bookmarkStart w:id="220" w:name="_Toc5471"/>
      <w:bookmarkStart w:id="221" w:name="_Toc13492"/>
      <w:r>
        <w:rPr>
          <w:rFonts w:hint="eastAsia" w:ascii="宋体" w:hAnsi="宋体" w:eastAsia="宋体"/>
          <w:sz w:val="21"/>
          <w:szCs w:val="21"/>
        </w:rPr>
        <w:t>二十、其他事项</w:t>
      </w:r>
      <w:bookmarkEnd w:id="215"/>
      <w:bookmarkEnd w:id="216"/>
      <w:bookmarkEnd w:id="217"/>
      <w:bookmarkEnd w:id="220"/>
      <w:bookmarkEnd w:id="221"/>
    </w:p>
    <w:p w14:paraId="283F7F98">
      <w:pPr>
        <w:adjustRightInd w:val="0"/>
        <w:snapToGrid w:val="0"/>
        <w:spacing w:line="360" w:lineRule="auto"/>
        <w:ind w:firstLine="420" w:firstLineChars="200"/>
        <w:rPr>
          <w:rFonts w:ascii="宋体" w:hAnsi="宋体" w:cs="Arial"/>
          <w:szCs w:val="21"/>
        </w:rPr>
      </w:pPr>
      <w:r>
        <w:rPr>
          <w:rFonts w:hint="eastAsia" w:ascii="宋体" w:hAnsi="宋体" w:cs="Arial"/>
          <w:szCs w:val="21"/>
        </w:rPr>
        <w:t>如发生有权司法机关依法冻结基金份额持有人的基金份额时，基金管理人应予以配合，承担司法协助义务。</w:t>
      </w:r>
    </w:p>
    <w:p w14:paraId="05431C5B">
      <w:pPr>
        <w:adjustRightInd w:val="0"/>
        <w:snapToGrid w:val="0"/>
        <w:spacing w:line="360" w:lineRule="auto"/>
        <w:ind w:firstLine="420" w:firstLineChars="200"/>
        <w:rPr>
          <w:rFonts w:ascii="宋体" w:hAnsi="宋体" w:cs="Arial"/>
          <w:szCs w:val="21"/>
        </w:rPr>
      </w:pPr>
      <w:r>
        <w:rPr>
          <w:rFonts w:hint="eastAsia" w:ascii="宋体" w:hAnsi="宋体" w:cs="Arial"/>
          <w:szCs w:val="21"/>
        </w:rPr>
        <w:t>除本协议有明确定义外，本协议的用语定义适用基金合同的约定。本协议未尽事宜，当事人依据基金合同、有关法律法规等规定协商办理。</w:t>
      </w:r>
    </w:p>
    <w:bookmarkEnd w:id="218"/>
    <w:p w14:paraId="63CEBCD0">
      <w:pPr>
        <w:adjustRightInd w:val="0"/>
        <w:snapToGrid w:val="0"/>
        <w:spacing w:line="360" w:lineRule="auto"/>
        <w:rPr>
          <w:rFonts w:ascii="宋体" w:hAnsi="宋体"/>
        </w:rPr>
        <w:sectPr>
          <w:footerReference r:id="rId27" w:type="default"/>
          <w:pgSz w:w="11906" w:h="16838"/>
          <w:pgMar w:top="1418" w:right="1701" w:bottom="1418" w:left="1701" w:header="851" w:footer="992" w:gutter="0"/>
          <w:pgNumType w:fmt="decimal" w:start="1"/>
          <w:cols w:space="720" w:num="1"/>
          <w:docGrid w:type="lines" w:linePitch="312" w:charSpace="0"/>
        </w:sectPr>
      </w:pPr>
      <w:bookmarkStart w:id="222" w:name="_Toc501274933"/>
      <w:bookmarkStart w:id="223" w:name="_Toc348082049"/>
      <w:bookmarkStart w:id="224" w:name="_Toc384992711"/>
      <w:bookmarkStart w:id="225" w:name="CLAUSE_e01de328f1cb48af8fe71faaa1b867d4"/>
    </w:p>
    <w:p w14:paraId="1ABC7898">
      <w:pPr>
        <w:pStyle w:val="3"/>
        <w:spacing w:before="312" w:beforeLines="100" w:after="156" w:afterLines="50" w:line="360" w:lineRule="auto"/>
        <w:jc w:val="center"/>
        <w:rPr>
          <w:rFonts w:ascii="宋体" w:hAnsi="宋体" w:eastAsia="宋体"/>
          <w:sz w:val="21"/>
          <w:szCs w:val="21"/>
        </w:rPr>
      </w:pPr>
      <w:r>
        <w:t xml:space="preserve"> </w:t>
      </w:r>
      <w:bookmarkStart w:id="226" w:name="CTS_e01de328f1cb48af8fe71faaa1b867d4"/>
      <w:bookmarkEnd w:id="226"/>
      <w:r>
        <w:t xml:space="preserve"> </w:t>
      </w:r>
      <w:bookmarkStart w:id="227" w:name="_Toc5120"/>
      <w:bookmarkStart w:id="228" w:name="_Toc20829"/>
      <w:r>
        <w:rPr>
          <w:rFonts w:hint="eastAsia" w:ascii="宋体" w:hAnsi="宋体" w:eastAsia="宋体"/>
          <w:sz w:val="21"/>
          <w:szCs w:val="21"/>
        </w:rPr>
        <w:t>二十一、托管协议的签订</w:t>
      </w:r>
      <w:bookmarkEnd w:id="222"/>
      <w:bookmarkEnd w:id="223"/>
      <w:bookmarkEnd w:id="224"/>
      <w:bookmarkEnd w:id="227"/>
      <w:bookmarkEnd w:id="228"/>
    </w:p>
    <w:p w14:paraId="54BAEBEF">
      <w:pPr>
        <w:adjustRightInd w:val="0"/>
        <w:snapToGrid w:val="0"/>
        <w:spacing w:line="360" w:lineRule="auto"/>
        <w:ind w:right="134" w:rightChars="64" w:firstLine="420" w:firstLineChars="200"/>
        <w:rPr>
          <w:rFonts w:hint="eastAsia" w:ascii="宋体" w:hAnsi="宋体" w:cs="Arial"/>
          <w:szCs w:val="21"/>
        </w:rPr>
      </w:pPr>
      <w:r>
        <w:rPr>
          <w:rFonts w:hint="eastAsia" w:ascii="宋体" w:hAnsi="宋体" w:cs="Arial"/>
          <w:szCs w:val="21"/>
        </w:rPr>
        <w:t>本协议双方法定代表人或授权代表签章、签订地、签订日。</w:t>
      </w:r>
      <w:bookmarkEnd w:id="225"/>
    </w:p>
    <w:p w14:paraId="68C8FC71">
      <w:pPr>
        <w:adjustRightInd w:val="0"/>
        <w:snapToGrid w:val="0"/>
        <w:spacing w:line="360" w:lineRule="auto"/>
        <w:ind w:right="134" w:rightChars="64" w:firstLine="420" w:firstLineChars="200"/>
        <w:rPr>
          <w:rFonts w:hint="eastAsia" w:ascii="宋体" w:hAnsi="宋体" w:cs="Arial"/>
          <w:szCs w:val="21"/>
        </w:rPr>
      </w:pPr>
    </w:p>
    <w:p w14:paraId="5AEC93B7">
      <w:pPr>
        <w:adjustRightInd w:val="0"/>
        <w:snapToGrid w:val="0"/>
        <w:spacing w:line="360" w:lineRule="auto"/>
        <w:ind w:right="134" w:rightChars="64" w:firstLine="420" w:firstLineChars="200"/>
        <w:rPr>
          <w:rFonts w:hint="eastAsia" w:ascii="宋体" w:hAnsi="宋体" w:cs="Arial"/>
          <w:szCs w:val="21"/>
        </w:rPr>
      </w:pPr>
    </w:p>
    <w:p w14:paraId="0632AFF2">
      <w:pPr>
        <w:adjustRightInd w:val="0"/>
        <w:snapToGrid w:val="0"/>
        <w:spacing w:line="360" w:lineRule="auto"/>
        <w:ind w:right="134" w:rightChars="64" w:firstLine="420" w:firstLineChars="200"/>
        <w:rPr>
          <w:rFonts w:hint="eastAsia" w:ascii="宋体" w:hAnsi="宋体" w:cs="Arial"/>
          <w:szCs w:val="21"/>
        </w:rPr>
      </w:pPr>
    </w:p>
    <w:p w14:paraId="0CDE7A8B">
      <w:pPr>
        <w:adjustRightInd w:val="0"/>
        <w:snapToGrid w:val="0"/>
        <w:spacing w:line="360" w:lineRule="auto"/>
        <w:ind w:right="134" w:rightChars="64" w:firstLine="420" w:firstLineChars="200"/>
        <w:rPr>
          <w:rFonts w:hint="eastAsia" w:ascii="宋体" w:hAnsi="宋体" w:cs="Arial"/>
          <w:szCs w:val="21"/>
        </w:rPr>
      </w:pPr>
    </w:p>
    <w:p w14:paraId="03CB79CE">
      <w:pPr>
        <w:adjustRightInd w:val="0"/>
        <w:snapToGrid w:val="0"/>
        <w:spacing w:line="360" w:lineRule="auto"/>
        <w:ind w:right="134" w:rightChars="64" w:firstLine="420" w:firstLineChars="200"/>
        <w:rPr>
          <w:rFonts w:hint="eastAsia" w:ascii="宋体" w:hAnsi="宋体" w:cs="Arial"/>
          <w:szCs w:val="21"/>
        </w:rPr>
      </w:pPr>
    </w:p>
    <w:p w14:paraId="04803C98">
      <w:pPr>
        <w:adjustRightInd w:val="0"/>
        <w:snapToGrid w:val="0"/>
        <w:spacing w:line="360" w:lineRule="auto"/>
        <w:ind w:right="134" w:rightChars="64" w:firstLine="420" w:firstLineChars="200"/>
        <w:rPr>
          <w:rFonts w:hint="eastAsia" w:ascii="宋体" w:hAnsi="宋体" w:cs="Arial"/>
          <w:szCs w:val="21"/>
        </w:rPr>
      </w:pPr>
    </w:p>
    <w:p w14:paraId="5A397210">
      <w:pPr>
        <w:adjustRightInd w:val="0"/>
        <w:snapToGrid w:val="0"/>
        <w:spacing w:line="360" w:lineRule="auto"/>
        <w:ind w:right="134" w:rightChars="64" w:firstLine="420" w:firstLineChars="200"/>
        <w:rPr>
          <w:rFonts w:hint="eastAsia" w:ascii="宋体" w:hAnsi="宋体" w:cs="Arial"/>
          <w:szCs w:val="21"/>
        </w:rPr>
      </w:pPr>
    </w:p>
    <w:p w14:paraId="6D95B333">
      <w:pPr>
        <w:adjustRightInd w:val="0"/>
        <w:snapToGrid w:val="0"/>
        <w:spacing w:line="360" w:lineRule="auto"/>
        <w:ind w:right="134" w:rightChars="64" w:firstLine="420" w:firstLineChars="200"/>
        <w:rPr>
          <w:rFonts w:hint="eastAsia" w:ascii="宋体" w:hAnsi="宋体" w:cs="Arial"/>
          <w:szCs w:val="21"/>
        </w:rPr>
      </w:pPr>
    </w:p>
    <w:p w14:paraId="31824AC4">
      <w:pPr>
        <w:adjustRightInd w:val="0"/>
        <w:snapToGrid w:val="0"/>
        <w:spacing w:line="360" w:lineRule="auto"/>
        <w:ind w:right="134" w:rightChars="64" w:firstLine="420" w:firstLineChars="200"/>
        <w:rPr>
          <w:rFonts w:hint="eastAsia" w:ascii="宋体" w:hAnsi="宋体" w:cs="Arial"/>
          <w:szCs w:val="21"/>
        </w:rPr>
      </w:pPr>
    </w:p>
    <w:p w14:paraId="1A9C37A0">
      <w:pPr>
        <w:adjustRightInd w:val="0"/>
        <w:snapToGrid w:val="0"/>
        <w:spacing w:line="360" w:lineRule="auto"/>
        <w:ind w:right="134" w:rightChars="64" w:firstLine="420" w:firstLineChars="200"/>
        <w:rPr>
          <w:rFonts w:hint="eastAsia" w:ascii="宋体" w:hAnsi="宋体" w:cs="Arial"/>
          <w:szCs w:val="21"/>
        </w:rPr>
      </w:pPr>
    </w:p>
    <w:p w14:paraId="5BB7701B">
      <w:pPr>
        <w:adjustRightInd w:val="0"/>
        <w:snapToGrid w:val="0"/>
        <w:spacing w:line="360" w:lineRule="auto"/>
        <w:ind w:right="134" w:rightChars="64" w:firstLine="420" w:firstLineChars="200"/>
        <w:rPr>
          <w:rFonts w:hint="eastAsia" w:ascii="宋体" w:hAnsi="宋体" w:cs="Arial"/>
          <w:szCs w:val="21"/>
        </w:rPr>
      </w:pPr>
    </w:p>
    <w:p w14:paraId="067B7DDA">
      <w:pPr>
        <w:adjustRightInd w:val="0"/>
        <w:snapToGrid w:val="0"/>
        <w:spacing w:line="360" w:lineRule="auto"/>
        <w:ind w:right="134" w:rightChars="64" w:firstLine="420" w:firstLineChars="200"/>
        <w:rPr>
          <w:rFonts w:hint="eastAsia" w:ascii="宋体" w:hAnsi="宋体" w:cs="Arial"/>
          <w:szCs w:val="21"/>
        </w:rPr>
      </w:pPr>
    </w:p>
    <w:p w14:paraId="17B99EA2">
      <w:pPr>
        <w:adjustRightInd w:val="0"/>
        <w:snapToGrid w:val="0"/>
        <w:spacing w:line="360" w:lineRule="auto"/>
        <w:ind w:right="134" w:rightChars="64" w:firstLine="420" w:firstLineChars="200"/>
        <w:rPr>
          <w:rFonts w:hint="eastAsia" w:ascii="宋体" w:hAnsi="宋体" w:cs="Arial"/>
          <w:szCs w:val="21"/>
        </w:rPr>
      </w:pPr>
    </w:p>
    <w:p w14:paraId="48336052">
      <w:pPr>
        <w:adjustRightInd w:val="0"/>
        <w:snapToGrid w:val="0"/>
        <w:spacing w:line="360" w:lineRule="auto"/>
        <w:ind w:right="134" w:rightChars="64" w:firstLine="420" w:firstLineChars="200"/>
        <w:rPr>
          <w:rFonts w:hint="eastAsia" w:ascii="宋体" w:hAnsi="宋体" w:cs="Arial"/>
          <w:szCs w:val="21"/>
        </w:rPr>
      </w:pPr>
    </w:p>
    <w:p w14:paraId="512FF6A2">
      <w:pPr>
        <w:adjustRightInd w:val="0"/>
        <w:snapToGrid w:val="0"/>
        <w:spacing w:line="360" w:lineRule="auto"/>
        <w:ind w:right="134" w:rightChars="64" w:firstLine="420" w:firstLineChars="200"/>
        <w:rPr>
          <w:rFonts w:hint="eastAsia" w:ascii="宋体" w:hAnsi="宋体" w:cs="Arial"/>
          <w:szCs w:val="21"/>
        </w:rPr>
      </w:pPr>
    </w:p>
    <w:p w14:paraId="1217E670">
      <w:pPr>
        <w:adjustRightInd w:val="0"/>
        <w:snapToGrid w:val="0"/>
        <w:spacing w:line="360" w:lineRule="auto"/>
        <w:ind w:right="134" w:rightChars="64" w:firstLine="420" w:firstLineChars="200"/>
        <w:rPr>
          <w:rFonts w:hint="eastAsia" w:ascii="宋体" w:hAnsi="宋体" w:cs="Arial"/>
          <w:szCs w:val="21"/>
        </w:rPr>
      </w:pPr>
    </w:p>
    <w:p w14:paraId="6A7D9113">
      <w:pPr>
        <w:adjustRightInd w:val="0"/>
        <w:snapToGrid w:val="0"/>
        <w:spacing w:line="360" w:lineRule="auto"/>
        <w:ind w:right="134" w:rightChars="64" w:firstLine="420" w:firstLineChars="200"/>
        <w:rPr>
          <w:rFonts w:hint="eastAsia" w:ascii="宋体" w:hAnsi="宋体" w:cs="Arial"/>
          <w:szCs w:val="21"/>
        </w:rPr>
      </w:pPr>
    </w:p>
    <w:p w14:paraId="52026621">
      <w:pPr>
        <w:adjustRightInd w:val="0"/>
        <w:snapToGrid w:val="0"/>
        <w:spacing w:line="360" w:lineRule="auto"/>
        <w:ind w:right="134" w:rightChars="64" w:firstLine="420" w:firstLineChars="200"/>
        <w:rPr>
          <w:rFonts w:hint="eastAsia" w:ascii="宋体" w:hAnsi="宋体" w:cs="Arial"/>
          <w:szCs w:val="21"/>
        </w:rPr>
      </w:pPr>
    </w:p>
    <w:p w14:paraId="0CBB26E2">
      <w:pPr>
        <w:adjustRightInd w:val="0"/>
        <w:snapToGrid w:val="0"/>
        <w:spacing w:line="360" w:lineRule="auto"/>
        <w:ind w:right="134" w:rightChars="64" w:firstLine="420" w:firstLineChars="200"/>
        <w:rPr>
          <w:rFonts w:hint="eastAsia" w:ascii="宋体" w:hAnsi="宋体" w:cs="Arial"/>
          <w:szCs w:val="21"/>
        </w:rPr>
      </w:pPr>
    </w:p>
    <w:p w14:paraId="7A4963DF">
      <w:pPr>
        <w:adjustRightInd w:val="0"/>
        <w:snapToGrid w:val="0"/>
        <w:spacing w:line="360" w:lineRule="auto"/>
        <w:ind w:right="134" w:rightChars="64" w:firstLine="420" w:firstLineChars="200"/>
        <w:rPr>
          <w:rFonts w:hint="eastAsia" w:ascii="宋体" w:hAnsi="宋体" w:cs="Arial"/>
          <w:szCs w:val="21"/>
        </w:rPr>
      </w:pPr>
    </w:p>
    <w:p w14:paraId="3E5F1670">
      <w:pPr>
        <w:adjustRightInd w:val="0"/>
        <w:snapToGrid w:val="0"/>
        <w:spacing w:line="360" w:lineRule="auto"/>
        <w:ind w:right="134" w:rightChars="64" w:firstLine="420" w:firstLineChars="200"/>
        <w:rPr>
          <w:rFonts w:hint="eastAsia" w:ascii="宋体" w:hAnsi="宋体" w:cs="Arial"/>
          <w:szCs w:val="21"/>
        </w:rPr>
      </w:pPr>
    </w:p>
    <w:p w14:paraId="53A63C0D">
      <w:pPr>
        <w:adjustRightInd w:val="0"/>
        <w:snapToGrid w:val="0"/>
        <w:spacing w:line="360" w:lineRule="auto"/>
        <w:rPr>
          <w:rFonts w:hint="eastAsia" w:ascii="宋体" w:hAnsi="宋体" w:cs="Arial"/>
          <w:szCs w:val="21"/>
        </w:rPr>
      </w:pPr>
    </w:p>
    <w:sectPr>
      <w:footerReference r:id="rId28" w:type="default"/>
      <w:pgSz w:w="11906" w:h="16838"/>
      <w:pgMar w:top="1418" w:right="1701" w:bottom="1418" w:left="1701"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00"/>
    <w:family w:val="modern"/>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00"/>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00"/>
    <w:family w:val="swiss"/>
    <w:pitch w:val="default"/>
    <w:sig w:usb0="F7FFAFFF" w:usb1="E9DFFFFF" w:usb2="0000003F" w:usb3="00000000" w:csb0="003F01FF" w:csb1="00000000"/>
  </w:font>
  <w:font w:name="楷体_GB2312">
    <w:altName w:val="楷体"/>
    <w:panose1 w:val="02010609030101010101"/>
    <w:charset w:val="00"/>
    <w:family w:val="modern"/>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91EAD">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032369">
                          <w:pPr>
                            <w:pStyle w:val="15"/>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9LN4BAAC+AwAADgAAAGRycy9lMm9Eb2MueG1srVPBjtMwEL0j8Q+W&#10;7zTZI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05YGvj5x/fzz9/nX9/Y&#10;yyRP70NFWbee8uLwGgZamtkfyJlYDy3a9Cc+jOIk7ukirhoik+nSarlalRSSFJsPhF/cX/cY4lsF&#10;liWj5kjTy6KK4/sQx9Q5JVVzcKONyRM07i8HYSZPkXofe0xWHHbDRGgHzYn40DOgOh3gV856WoKa&#10;O9p5zsw7RxqnfZkNnI3dbAgn6WLNI2ej+SaOe3XwqPdd3rTUVPC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xT/0s3gEAAL4DAAAOAAAAAAAA&#10;AAEAIAAAAB4BAABkcnMvZTJvRG9jLnhtbFBLBQYAAAAABgAGAFkBAABuBQAAAAA=&#10;">
              <v:fill on="f" focussize="0,0"/>
              <v:stroke on="f"/>
              <v:imagedata o:title=""/>
              <o:lock v:ext="edit" aspectratio="f"/>
              <v:textbox inset="0mm,0mm,0mm,0mm" style="mso-fit-shape-to-text:t;">
                <w:txbxContent>
                  <w:p w14:paraId="46032369">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C1662">
    <w:pPr>
      <w:pStyle w:val="15"/>
      <w:framePr w:wrap="around" w:vAnchor="text" w:hAnchor="margin" w:xAlign="center" w:y="1"/>
      <w:rPr>
        <w:rStyle w:val="29"/>
      </w:rPr>
    </w:pPr>
    <w:r>
      <w:fldChar w:fldCharType="begin"/>
    </w:r>
    <w:r>
      <w:rPr>
        <w:rStyle w:val="29"/>
      </w:rPr>
      <w:instrText xml:space="preserve">PAGE  </w:instrText>
    </w:r>
    <w:r>
      <w:fldChar w:fldCharType="end"/>
    </w:r>
  </w:p>
  <w:p w14:paraId="3E6DAD70">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CC963">
    <w:pPr>
      <w:pStyle w:val="1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4CF1F1">
                          <w:pPr>
                            <w:pStyle w:val="15"/>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QBcUK3gEAAL8DAAAOAAAAAAAA&#10;AAEAIAAAAB4BAABkcnMvZTJvRG9jLnhtbFBLBQYAAAAABgAGAFkBAABuBQAAAAA=&#10;">
              <v:fill on="f" focussize="0,0"/>
              <v:stroke on="f"/>
              <v:imagedata o:title=""/>
              <o:lock v:ext="edit" aspectratio="f"/>
              <v:textbox inset="0mm,0mm,0mm,0mm" style="mso-fit-shape-to-text:t;">
                <w:txbxContent>
                  <w:p w14:paraId="6A4CF1F1">
                    <w:pPr>
                      <w:pStyle w:val="15"/>
                    </w:pPr>
                    <w:r>
                      <w:fldChar w:fldCharType="begin"/>
                    </w:r>
                    <w:r>
                      <w:instrText xml:space="preserve"> PAGE  \* MERGEFORMAT </w:instrText>
                    </w:r>
                    <w:r>
                      <w:fldChar w:fldCharType="separate"/>
                    </w:r>
                    <w:r>
                      <w:t>2</w:t>
                    </w:r>
                    <w:r>
                      <w:fldChar w:fldCharType="end"/>
                    </w:r>
                  </w:p>
                </w:txbxContent>
              </v:textbox>
            </v:shape>
          </w:pict>
        </mc:Fallback>
      </mc:AlternateContent>
    </w:r>
  </w:p>
  <w:p w14:paraId="4601EEBE">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A3D4B">
    <w:pPr>
      <w:pStyle w:val="1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10A207">
                          <w:pPr>
                            <w:pStyle w:val="15"/>
                            <w:jc w:val="center"/>
                          </w:pPr>
                          <w:r>
                            <w:rPr>
                              <w:rFonts w:hint="eastAsia"/>
                            </w:rPr>
                            <w:t>1-</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1ofK94BAAC/AwAADgAAAGRycy9lMm9Eb2MueG1srVNBrtMwEN0jcQfL&#10;e5q0Eq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Z9z5oSlgV++f7v8+HX5+ZUt&#10;l0mf3oeK0u48JcbhFQy0NbM/kDPRHlq06U+EGMVJ3fNVXTVEJtOl9Wq9LikkKTYfCL+4v+4xxDcK&#10;LEtGzZHGl1UVp3chjqlzSqrm4FYbk0do3F8OwkyeIvU+9pisOOyHidAemjPxoXdAdTrAL5z1tAU1&#10;d7T0nJm3jkROCzMbOBv72RBO0sWaR85G83UcF+voUR+6vGqpqeBfHiN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XWh8r3gEAAL8DAAAOAAAAAAAA&#10;AAEAIAAAAB4BAABkcnMvZTJvRG9jLnhtbFBLBQYAAAAABgAGAFkBAABuBQAAAAA=&#10;">
              <v:fill on="f" focussize="0,0"/>
              <v:stroke on="f"/>
              <v:imagedata o:title=""/>
              <o:lock v:ext="edit" aspectratio="f"/>
              <v:textbox inset="0mm,0mm,0mm,0mm" style="mso-fit-shape-to-text:t;">
                <w:txbxContent>
                  <w:p w14:paraId="2010A207">
                    <w:pPr>
                      <w:pStyle w:val="15"/>
                      <w:jc w:val="center"/>
                    </w:pPr>
                    <w:r>
                      <w:rPr>
                        <w:rFonts w:hint="eastAsia"/>
                      </w:rPr>
                      <w:t>1-</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3108FF40">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216BC">
    <w:pPr>
      <w:pStyle w:val="1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66F5C5">
                          <w:pPr>
                            <w:pStyle w:val="15"/>
                            <w:jc w:val="center"/>
                          </w:pPr>
                          <w:r>
                            <w:rPr>
                              <w:rFonts w:hint="eastAsia"/>
                            </w:rPr>
                            <w:t>2-</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eu3FJ3gEAAL8DAAAOAAAAAAAA&#10;AAEAIAAAAB4BAABkcnMvZTJvRG9jLnhtbFBLBQYAAAAABgAGAFkBAABuBQAAAAA=&#10;">
              <v:fill on="f" focussize="0,0"/>
              <v:stroke on="f"/>
              <v:imagedata o:title=""/>
              <o:lock v:ext="edit" aspectratio="f"/>
              <v:textbox inset="0mm,0mm,0mm,0mm" style="mso-fit-shape-to-text:t;">
                <w:txbxContent>
                  <w:p w14:paraId="7966F5C5">
                    <w:pPr>
                      <w:pStyle w:val="15"/>
                      <w:jc w:val="center"/>
                    </w:pPr>
                    <w:r>
                      <w:rPr>
                        <w:rFonts w:hint="eastAsia"/>
                      </w:rPr>
                      <w:t>2-</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6592D7ED">
    <w:pPr>
      <w:pStyle w:val="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5B254">
    <w:pPr>
      <w:pStyle w:val="15"/>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8BD045">
                          <w:pPr>
                            <w:pStyle w:val="15"/>
                            <w:jc w:val="center"/>
                          </w:pPr>
                          <w:r>
                            <w:t>3</w:t>
                          </w:r>
                          <w:r>
                            <w:rPr>
                              <w:rFonts w:hint="eastAsia"/>
                            </w:rPr>
                            <w:t>-</w:t>
                          </w:r>
                          <w:r>
                            <w:fldChar w:fldCharType="begin"/>
                          </w:r>
                          <w:r>
                            <w:instrText xml:space="preserve">PAGE   \* MERGEFORMAT</w:instrText>
                          </w:r>
                          <w:r>
                            <w:fldChar w:fldCharType="separate"/>
                          </w:r>
                          <w:r>
                            <w:rPr>
                              <w:lang w:val="zh-CN"/>
                            </w:rPr>
                            <w:t>9</w:t>
                          </w:r>
                          <w:r>
                            <w:fldChar w:fldCharType="end"/>
                          </w:r>
                        </w:p>
                      </w:txbxContent>
                    </wps:txbx>
                    <wps:bodyPr vert="horz" wrap="none" lIns="0" tIns="0" rIns="0" bIns="0" anchor="t" anchorCtr="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eSraN8BAAC/AwAADgAAAGRycy9lMm9Eb2MueG1srVPBjtMwEL0j8Q+W&#10;7zRpkaCq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swJSwM///p5/v33/OcH&#10;m79M+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eSraN8BAAC/AwAADgAAAAAA&#10;AAABACAAAAAeAQAAZHJzL2Uyb0RvYy54bWxQSwUGAAAAAAYABgBZAQAAbwUAAAAA&#10;">
              <v:fill on="f" focussize="0,0"/>
              <v:stroke on="f"/>
              <v:imagedata o:title=""/>
              <o:lock v:ext="edit" aspectratio="f"/>
              <v:textbox inset="0mm,0mm,0mm,0mm" style="mso-fit-shape-to-text:t;">
                <w:txbxContent>
                  <w:p w14:paraId="698BD045">
                    <w:pPr>
                      <w:pStyle w:val="15"/>
                      <w:jc w:val="center"/>
                    </w:pPr>
                    <w:r>
                      <w:t>3</w:t>
                    </w:r>
                    <w:r>
                      <w:rPr>
                        <w:rFonts w:hint="eastAsia"/>
                      </w:rPr>
                      <w:t>-</w:t>
                    </w:r>
                    <w:r>
                      <w:fldChar w:fldCharType="begin"/>
                    </w:r>
                    <w:r>
                      <w:instrText xml:space="preserve">PAGE   \* MERGEFORMAT</w:instrText>
                    </w:r>
                    <w:r>
                      <w:fldChar w:fldCharType="separate"/>
                    </w:r>
                    <w:r>
                      <w:rPr>
                        <w:lang w:val="zh-CN"/>
                      </w:rPr>
                      <w:t>9</w:t>
                    </w:r>
                    <w:r>
                      <w:fldChar w:fldCharType="end"/>
                    </w:r>
                  </w:p>
                </w:txbxContent>
              </v:textbox>
            </v:shape>
          </w:pict>
        </mc:Fallback>
      </mc:AlternateContent>
    </w:r>
  </w:p>
  <w:p w14:paraId="79D334C5">
    <w:pPr>
      <w:pStyle w:val="1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522AD">
    <w:pPr>
      <w:pStyle w:val="15"/>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D9D1E7">
                          <w:pPr>
                            <w:pStyle w:val="15"/>
                            <w:jc w:val="center"/>
                          </w:pPr>
                          <w:r>
                            <w:t>4</w:t>
                          </w:r>
                          <w:r>
                            <w:rPr>
                              <w:rFonts w:hint="eastAsia"/>
                            </w:rPr>
                            <w:t>-</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zJ4HN3gEAAL8DAAAOAAAAAAAA&#10;AAEAIAAAAB4BAABkcnMvZTJvRG9jLnhtbFBLBQYAAAAABgAGAFkBAABuBQAAAAA=&#10;">
              <v:fill on="f" focussize="0,0"/>
              <v:stroke on="f"/>
              <v:imagedata o:title=""/>
              <o:lock v:ext="edit" aspectratio="f"/>
              <v:textbox inset="0mm,0mm,0mm,0mm" style="mso-fit-shape-to-text:t;">
                <w:txbxContent>
                  <w:p w14:paraId="45D9D1E7">
                    <w:pPr>
                      <w:pStyle w:val="15"/>
                      <w:jc w:val="center"/>
                    </w:pPr>
                    <w:r>
                      <w:t>4</w:t>
                    </w:r>
                    <w:r>
                      <w:rPr>
                        <w:rFonts w:hint="eastAsia"/>
                      </w:rPr>
                      <w:t>-</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61D69DBF">
    <w:pPr>
      <w:pStyle w:val="1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2893C">
    <w:pPr>
      <w:pStyle w:val="15"/>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236910">
                          <w:pPr>
                            <w:pStyle w:val="15"/>
                            <w:jc w:val="center"/>
                          </w:pPr>
                          <w:r>
                            <w:rPr>
                              <w:rFonts w:hint="eastAsia"/>
                            </w:rPr>
                            <w:t>5-</w:t>
                          </w:r>
                          <w:r>
                            <w:fldChar w:fldCharType="begin"/>
                          </w:r>
                          <w:r>
                            <w:instrText xml:space="preserve">PAGE   \* MERGEFORMAT</w:instrText>
                          </w:r>
                          <w:r>
                            <w:fldChar w:fldCharType="separate"/>
                          </w:r>
                          <w:r>
                            <w:rPr>
                              <w:lang w:val="zh-CN"/>
                            </w:rPr>
                            <w:t>3</w:t>
                          </w:r>
                          <w:r>
                            <w:fldChar w:fldCharType="end"/>
                          </w:r>
                        </w:p>
                      </w:txbxContent>
                    </wps:txbx>
                    <wps:bodyPr vert="horz" wrap="none" lIns="0" tIns="0" rIns="0" bIns="0" anchor="t" anchorCtr="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hb7N8BAAC/AwAADgAAAGRycy9lMm9Eb2MueG1srVPBjtMwEL0j8Q+W&#10;7zRpJ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swJSwM///p5/v33/OcH&#10;m79M+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9Hhb7N8BAAC/AwAADgAAAAAA&#10;AAABACAAAAAeAQAAZHJzL2Uyb0RvYy54bWxQSwUGAAAAAAYABgBZAQAAbwUAAAAA&#10;">
              <v:fill on="f" focussize="0,0"/>
              <v:stroke on="f"/>
              <v:imagedata o:title=""/>
              <o:lock v:ext="edit" aspectratio="f"/>
              <v:textbox inset="0mm,0mm,0mm,0mm" style="mso-fit-shape-to-text:t;">
                <w:txbxContent>
                  <w:p w14:paraId="38236910">
                    <w:pPr>
                      <w:pStyle w:val="15"/>
                      <w:jc w:val="center"/>
                    </w:pPr>
                    <w:r>
                      <w:rPr>
                        <w:rFonts w:hint="eastAsia"/>
                      </w:rPr>
                      <w:t>5-</w:t>
                    </w:r>
                    <w:r>
                      <w:fldChar w:fldCharType="begin"/>
                    </w:r>
                    <w:r>
                      <w:instrText xml:space="preserve">PAGE   \* MERGEFORMAT</w:instrText>
                    </w:r>
                    <w:r>
                      <w:fldChar w:fldCharType="separate"/>
                    </w:r>
                    <w:r>
                      <w:rPr>
                        <w:lang w:val="zh-CN"/>
                      </w:rPr>
                      <w:t>3</w:t>
                    </w:r>
                    <w:r>
                      <w:fldChar w:fldCharType="end"/>
                    </w:r>
                  </w:p>
                </w:txbxContent>
              </v:textbox>
            </v:shape>
          </w:pict>
        </mc:Fallback>
      </mc:AlternateContent>
    </w:r>
  </w:p>
  <w:p w14:paraId="427F1184">
    <w:pPr>
      <w:pStyle w:val="15"/>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7632F">
    <w:pPr>
      <w:pStyle w:val="15"/>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3A28EA">
                          <w:pPr>
                            <w:pStyle w:val="15"/>
                            <w:jc w:val="center"/>
                          </w:pPr>
                          <w:r>
                            <w:rPr>
                              <w:rFonts w:hint="eastAsia"/>
                            </w:rPr>
                            <w:t>6-</w:t>
                          </w:r>
                          <w:r>
                            <w:fldChar w:fldCharType="begin"/>
                          </w:r>
                          <w:r>
                            <w:instrText xml:space="preserve">PAGE   \* MERGEFORMAT</w:instrText>
                          </w:r>
                          <w:r>
                            <w:fldChar w:fldCharType="separate"/>
                          </w:r>
                          <w:r>
                            <w:rPr>
                              <w:lang w:val="zh-CN"/>
                            </w:rPr>
                            <w:t>5</w:t>
                          </w:r>
                          <w:r>
                            <w:fldChar w:fldCharType="end"/>
                          </w:r>
                        </w:p>
                      </w:txbxContent>
                    </wps:txbx>
                    <wps:bodyPr vert="horz" wrap="none" lIns="0" tIns="0" rIns="0" bIns="0" anchor="t" anchorCtr="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v90TPdAQAAwAMAAA4AAAAAAAAA&#10;AQAgAAAAHgEAAGRycy9lMm9Eb2MueG1sUEsFBgAAAAAGAAYAWQEAAG0FAAAAAA==&#10;">
              <v:fill on="f" focussize="0,0"/>
              <v:stroke on="f"/>
              <v:imagedata o:title=""/>
              <o:lock v:ext="edit" aspectratio="f"/>
              <v:textbox inset="0mm,0mm,0mm,0mm" style="mso-fit-shape-to-text:t;">
                <w:txbxContent>
                  <w:p w14:paraId="2F3A28EA">
                    <w:pPr>
                      <w:pStyle w:val="15"/>
                      <w:jc w:val="center"/>
                    </w:pPr>
                    <w:r>
                      <w:rPr>
                        <w:rFonts w:hint="eastAsia"/>
                      </w:rPr>
                      <w:t>6-</w:t>
                    </w:r>
                    <w:r>
                      <w:fldChar w:fldCharType="begin"/>
                    </w:r>
                    <w:r>
                      <w:instrText xml:space="preserve">PAGE   \* MERGEFORMAT</w:instrText>
                    </w:r>
                    <w:r>
                      <w:fldChar w:fldCharType="separate"/>
                    </w:r>
                    <w:r>
                      <w:rPr>
                        <w:lang w:val="zh-CN"/>
                      </w:rPr>
                      <w:t>5</w:t>
                    </w:r>
                    <w:r>
                      <w:fldChar w:fldCharType="end"/>
                    </w:r>
                  </w:p>
                </w:txbxContent>
              </v:textbox>
            </v:shape>
          </w:pict>
        </mc:Fallback>
      </mc:AlternateContent>
    </w:r>
  </w:p>
  <w:p w14:paraId="3489A27F">
    <w:pPr>
      <w:pStyle w:val="1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9F039">
    <w:pPr>
      <w:pStyle w:val="15"/>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463599">
                          <w:pPr>
                            <w:pStyle w:val="15"/>
                            <w:jc w:val="center"/>
                          </w:pPr>
                          <w:r>
                            <w:rPr>
                              <w:rFonts w:hint="eastAsia"/>
                            </w:rPr>
                            <w:t>7-</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8ogsS3gEAAMADAAAOAAAAAAAA&#10;AAEAIAAAAB4BAABkcnMvZTJvRG9jLnhtbFBLBQYAAAAABgAGAFkBAABuBQAAAAA=&#10;">
              <v:fill on="f" focussize="0,0"/>
              <v:stroke on="f"/>
              <v:imagedata o:title=""/>
              <o:lock v:ext="edit" aspectratio="f"/>
              <v:textbox inset="0mm,0mm,0mm,0mm" style="mso-fit-shape-to-text:t;">
                <w:txbxContent>
                  <w:p w14:paraId="4F463599">
                    <w:pPr>
                      <w:pStyle w:val="15"/>
                      <w:jc w:val="center"/>
                    </w:pPr>
                    <w:r>
                      <w:rPr>
                        <w:rFonts w:hint="eastAsia"/>
                      </w:rPr>
                      <w:t>7-</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5540F955">
    <w:pPr>
      <w:pStyle w:val="1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5BD77">
    <w:pPr>
      <w:pStyle w:val="15"/>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7827DD">
                          <w:pPr>
                            <w:pStyle w:val="15"/>
                            <w:jc w:val="center"/>
                          </w:pPr>
                          <w:r>
                            <w:rPr>
                              <w:rFonts w:hint="eastAsia"/>
                            </w:rPr>
                            <w:t>8-</w:t>
                          </w:r>
                          <w:r>
                            <w:fldChar w:fldCharType="begin"/>
                          </w:r>
                          <w:r>
                            <w:instrText xml:space="preserve">PAGE   \* MERGEFORMAT</w:instrText>
                          </w:r>
                          <w:r>
                            <w:fldChar w:fldCharType="separate"/>
                          </w:r>
                          <w:r>
                            <w:rPr>
                              <w:lang w:val="zh-CN"/>
                            </w:rPr>
                            <w:t>2</w:t>
                          </w:r>
                          <w:r>
                            <w:fldChar w:fldCharType="end"/>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QsSyv3gEAAMADAAAOAAAAAAAA&#10;AAEAIAAAAB4BAABkcnMvZTJvRG9jLnhtbFBLBQYAAAAABgAGAFkBAABuBQAAAAA=&#10;">
              <v:fill on="f" focussize="0,0"/>
              <v:stroke on="f"/>
              <v:imagedata o:title=""/>
              <o:lock v:ext="edit" aspectratio="f"/>
              <v:textbox inset="0mm,0mm,0mm,0mm" style="mso-fit-shape-to-text:t;">
                <w:txbxContent>
                  <w:p w14:paraId="4A7827DD">
                    <w:pPr>
                      <w:pStyle w:val="15"/>
                      <w:jc w:val="center"/>
                    </w:pPr>
                    <w:r>
                      <w:rPr>
                        <w:rFonts w:hint="eastAsia"/>
                      </w:rPr>
                      <w:t>8-</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7F80B433">
    <w:pPr>
      <w:pStyle w:val="1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BDC61">
    <w:pPr>
      <w:pStyle w:val="15"/>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D57BE6">
                          <w:pPr>
                            <w:pStyle w:val="15"/>
                            <w:jc w:val="center"/>
                          </w:pPr>
                          <w:r>
                            <w:rPr>
                              <w:rFonts w:hint="eastAsia"/>
                            </w:rPr>
                            <w:t>9-</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72jt8BAADAAwAADgAAAGRycy9lMm9Eb2MueG1srVPBjtMwEL0j8Q+W&#10;7zRpk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a9qEl5w5YWni518/z7//nv/8&#10;YPPXSaDOxxXl3XjKxP4t9JQ8+SM5E+++CTb9iRGjOMl7usiremQyXVoulsuSQpJi04Hwi7vrPkR8&#10;r8CyZFQ80PyyrOL4MeKQOqWkag6utTF5hsb95yDM5ClS70OPycJ+14+EdlCfiA89BKrTQvjOWUdr&#10;UHFHW8+Z+eBI5bQxkxEmYzcZwkm6WHHkbDDf4bBZBx/0vs27lpqK/s0BqdNMILUx1B67o8FmCcYl&#10;TJvz7zln3T28zS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l+72jt8BAADAAwAADgAAAAAA&#10;AAABACAAAAAeAQAAZHJzL2Uyb0RvYy54bWxQSwUGAAAAAAYABgBZAQAAbwUAAAAA&#10;">
              <v:fill on="f" focussize="0,0"/>
              <v:stroke on="f"/>
              <v:imagedata o:title=""/>
              <o:lock v:ext="edit" aspectratio="f"/>
              <v:textbox inset="0mm,0mm,0mm,0mm" style="mso-fit-shape-to-text:t;">
                <w:txbxContent>
                  <w:p w14:paraId="74D57BE6">
                    <w:pPr>
                      <w:pStyle w:val="15"/>
                      <w:jc w:val="center"/>
                    </w:pPr>
                    <w:r>
                      <w:rPr>
                        <w:rFonts w:hint="eastAsia"/>
                      </w:rPr>
                      <w:t>9-</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5A2373F6">
    <w:pPr>
      <w:pStyle w:val="1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60209">
    <w:pPr>
      <w:pStyle w:val="15"/>
      <w:jc w:val="cente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DDBADD">
                          <w:pPr>
                            <w:pStyle w:val="15"/>
                            <w:jc w:val="center"/>
                          </w:pPr>
                          <w:r>
                            <w:rPr>
                              <w:rFonts w:hint="eastAsia"/>
                            </w:rPr>
                            <w:t>10-</w:t>
                          </w:r>
                          <w:r>
                            <w:fldChar w:fldCharType="begin"/>
                          </w:r>
                          <w:r>
                            <w:instrText xml:space="preserve">PAGE   \* MERGEFORMAT</w:instrText>
                          </w:r>
                          <w:r>
                            <w:fldChar w:fldCharType="separate"/>
                          </w:r>
                          <w:r>
                            <w:rPr>
                              <w:lang w:val="zh-CN"/>
                            </w:rPr>
                            <w:t>2</w:t>
                          </w:r>
                          <w:r>
                            <w:fldChar w:fldCharType="end"/>
                          </w:r>
                        </w:p>
                      </w:txbxContent>
                    </wps:txbx>
                    <wps:bodyPr vert="horz" wrap="none" lIns="0" tIns="0" rIns="0" bIns="0" anchor="t" anchorCtr="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Ac9kD7dAQAAwAMAAA4AAAAAAAAA&#10;AQAgAAAAHgEAAGRycy9lMm9Eb2MueG1sUEsFBgAAAAAGAAYAWQEAAG0FAAAAAA==&#10;">
              <v:fill on="f" focussize="0,0"/>
              <v:stroke on="f"/>
              <v:imagedata o:title=""/>
              <o:lock v:ext="edit" aspectratio="f"/>
              <v:textbox inset="0mm,0mm,0mm,0mm" style="mso-fit-shape-to-text:t;">
                <w:txbxContent>
                  <w:p w14:paraId="28DDBADD">
                    <w:pPr>
                      <w:pStyle w:val="15"/>
                      <w:jc w:val="center"/>
                    </w:pPr>
                    <w:r>
                      <w:rPr>
                        <w:rFonts w:hint="eastAsia"/>
                      </w:rPr>
                      <w:t>10-</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07D84373">
    <w:pPr>
      <w:pStyle w:val="1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1C64D">
    <w:pPr>
      <w:pStyle w:val="15"/>
      <w:jc w:val="cente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EAA7AB">
                          <w:pPr>
                            <w:pStyle w:val="15"/>
                            <w:jc w:val="center"/>
                          </w:pPr>
                          <w:r>
                            <w:rPr>
                              <w:rFonts w:hint="eastAsia"/>
                            </w:rPr>
                            <w:t>11-</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AYkof3gEAAMADAAAOAAAAAAAA&#10;AAEAIAAAAB4BAABkcnMvZTJvRG9jLnhtbFBLBQYAAAAABgAGAFkBAABuBQAAAAA=&#10;">
              <v:fill on="f" focussize="0,0"/>
              <v:stroke on="f"/>
              <v:imagedata o:title=""/>
              <o:lock v:ext="edit" aspectratio="f"/>
              <v:textbox inset="0mm,0mm,0mm,0mm" style="mso-fit-shape-to-text:t;">
                <w:txbxContent>
                  <w:p w14:paraId="6AEAA7AB">
                    <w:pPr>
                      <w:pStyle w:val="15"/>
                      <w:jc w:val="center"/>
                    </w:pPr>
                    <w:r>
                      <w:rPr>
                        <w:rFonts w:hint="eastAsia"/>
                      </w:rPr>
                      <w:t>11-</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2CB51808">
    <w:pPr>
      <w:pStyle w:val="1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DBD65">
    <w:pPr>
      <w:pStyle w:val="15"/>
      <w:jc w:val="cente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2CF647">
                          <w:pPr>
                            <w:pStyle w:val="15"/>
                            <w:jc w:val="center"/>
                          </w:pPr>
                          <w:r>
                            <w:rPr>
                              <w:rFonts w:hint="eastAsia"/>
                            </w:rPr>
                            <w:t>12-</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iYMkfd8BAADAAwAADgAAAAAA&#10;AAABACAAAAAeAQAAZHJzL2Uyb0RvYy54bWxQSwUGAAAAAAYABgBZAQAAbwUAAAAA&#10;">
              <v:fill on="f" focussize="0,0"/>
              <v:stroke on="f"/>
              <v:imagedata o:title=""/>
              <o:lock v:ext="edit" aspectratio="f"/>
              <v:textbox inset="0mm,0mm,0mm,0mm" style="mso-fit-shape-to-text:t;">
                <w:txbxContent>
                  <w:p w14:paraId="5B2CF647">
                    <w:pPr>
                      <w:pStyle w:val="15"/>
                      <w:jc w:val="center"/>
                    </w:pPr>
                    <w:r>
                      <w:rPr>
                        <w:rFonts w:hint="eastAsia"/>
                      </w:rPr>
                      <w:t>12-</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52DB9008">
    <w:pPr>
      <w:pStyle w:val="1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BD438">
    <w:pPr>
      <w:pStyle w:val="15"/>
      <w:jc w:val="cente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510346">
                          <w:pPr>
                            <w:pStyle w:val="15"/>
                            <w:jc w:val="center"/>
                          </w:pPr>
                          <w:r>
                            <w:rPr>
                              <w:rFonts w:hint="eastAsia"/>
                            </w:rPr>
                            <w:t>13-</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ztz+XN8BAADAAwAADgAAAAAA&#10;AAABACAAAAAeAQAAZHJzL2Uyb0RvYy54bWxQSwUGAAAAAAYABgBZAQAAbwUAAAAA&#10;">
              <v:fill on="f" focussize="0,0"/>
              <v:stroke on="f"/>
              <v:imagedata o:title=""/>
              <o:lock v:ext="edit" aspectratio="f"/>
              <v:textbox inset="0mm,0mm,0mm,0mm" style="mso-fit-shape-to-text:t;">
                <w:txbxContent>
                  <w:p w14:paraId="46510346">
                    <w:pPr>
                      <w:pStyle w:val="15"/>
                      <w:jc w:val="center"/>
                    </w:pPr>
                    <w:r>
                      <w:rPr>
                        <w:rFonts w:hint="eastAsia"/>
                      </w:rPr>
                      <w:t>13-</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289595E0">
    <w:pPr>
      <w:pStyle w:val="15"/>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4702E">
    <w:pPr>
      <w:pStyle w:val="15"/>
      <w:jc w:val="cente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972877">
                          <w:pPr>
                            <w:pStyle w:val="15"/>
                            <w:jc w:val="center"/>
                          </w:pPr>
                          <w:r>
                            <w:rPr>
                              <w:rFonts w:hint="eastAsia"/>
                            </w:rPr>
                            <w:t>14-</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kH9T53gEAAMADAAAOAAAAAAAA&#10;AAEAIAAAAB4BAABkcnMvZTJvRG9jLnhtbFBLBQYAAAAABgAGAFkBAABuBQAAAAA=&#10;">
              <v:fill on="f" focussize="0,0"/>
              <v:stroke on="f"/>
              <v:imagedata o:title=""/>
              <o:lock v:ext="edit" aspectratio="f"/>
              <v:textbox inset="0mm,0mm,0mm,0mm" style="mso-fit-shape-to-text:t;">
                <w:txbxContent>
                  <w:p w14:paraId="78972877">
                    <w:pPr>
                      <w:pStyle w:val="15"/>
                      <w:jc w:val="center"/>
                    </w:pPr>
                    <w:r>
                      <w:rPr>
                        <w:rFonts w:hint="eastAsia"/>
                      </w:rPr>
                      <w:t>14-</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71D5F2CE">
    <w:pPr>
      <w:pStyle w:val="15"/>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AD5F7">
    <w:pPr>
      <w:pStyle w:val="15"/>
      <w:jc w:val="cente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EABA36">
                          <w:pPr>
                            <w:pStyle w:val="15"/>
                            <w:jc w:val="center"/>
                          </w:pPr>
                          <w:r>
                            <w:rPr>
                              <w:rFonts w:hint="eastAsia"/>
                            </w:rPr>
                            <w:t>15-</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0AO2N8BAADAAwAADgAAAGRycy9lMm9Eb2MueG1srVPBjtMwEL0j8Q+W&#10;7zTZSqA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0Ca85MwJSxM///h+/vn7/Osb&#10;Wz5PAvU+VJR36ykzDq9hoOTZH8iZeA8t2vQnRoziJO/pIq8aIpPp0mq5WpUUkhSbD4Rf3F/3GOJb&#10;BZYlo+ZI88uyiuP7EMfUOSVVc3CjjckzNO4vB2EmT5F6H3tMVhx2w0RoB82J+NBDoDod4FfOelqD&#10;mjvaes7MO0cqp42ZDZyN3WwIJ+lizSNno/kmjpt18Kj3Xd611FTwrw6ROs0EUhtj7ak7GmyWYFrC&#10;tDl/nnPW/cPb3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Y0AO2N8BAADAAwAADgAAAAAA&#10;AAABACAAAAAeAQAAZHJzL2Uyb0RvYy54bWxQSwUGAAAAAAYABgBZAQAAbwUAAAAA&#10;">
              <v:fill on="f" focussize="0,0"/>
              <v:stroke on="f"/>
              <v:imagedata o:title=""/>
              <o:lock v:ext="edit" aspectratio="f"/>
              <v:textbox inset="0mm,0mm,0mm,0mm" style="mso-fit-shape-to-text:t;">
                <w:txbxContent>
                  <w:p w14:paraId="75EABA36">
                    <w:pPr>
                      <w:pStyle w:val="15"/>
                      <w:jc w:val="center"/>
                    </w:pPr>
                    <w:r>
                      <w:rPr>
                        <w:rFonts w:hint="eastAsia"/>
                      </w:rPr>
                      <w:t>15-</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41442407">
    <w:pPr>
      <w:pStyle w:val="15"/>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08046">
    <w:pPr>
      <w:pStyle w:val="15"/>
      <w:jc w:val="cente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1A895C">
                          <w:pPr>
                            <w:pStyle w:val="15"/>
                            <w:jc w:val="center"/>
                          </w:pPr>
                          <w:r>
                            <w:rPr>
                              <w:rFonts w:hint="eastAsia"/>
                            </w:rPr>
                            <w:t>16-</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TukL0d8BAADAAwAADgAAAAAA&#10;AAABACAAAAAeAQAAZHJzL2Uyb0RvYy54bWxQSwUGAAAAAAYABgBZAQAAbwUAAAAA&#10;">
              <v:fill on="f" focussize="0,0"/>
              <v:stroke on="f"/>
              <v:imagedata o:title=""/>
              <o:lock v:ext="edit" aspectratio="f"/>
              <v:textbox inset="0mm,0mm,0mm,0mm" style="mso-fit-shape-to-text:t;">
                <w:txbxContent>
                  <w:p w14:paraId="251A895C">
                    <w:pPr>
                      <w:pStyle w:val="15"/>
                      <w:jc w:val="center"/>
                    </w:pPr>
                    <w:r>
                      <w:rPr>
                        <w:rFonts w:hint="eastAsia"/>
                      </w:rPr>
                      <w:t>16-</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239634CA">
    <w:pPr>
      <w:pStyle w:val="15"/>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7BE61">
    <w:pPr>
      <w:pStyle w:val="15"/>
      <w:jc w:val="cente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AE571C">
                          <w:pPr>
                            <w:pStyle w:val="15"/>
                            <w:jc w:val="center"/>
                          </w:pPr>
                          <w:r>
                            <w:rPr>
                              <w:rFonts w:hint="eastAsia"/>
                            </w:rPr>
                            <w:t>17-</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CbbR8N8BAADAAwAADgAAAAAA&#10;AAABACAAAAAeAQAAZHJzL2Uyb0RvYy54bWxQSwUGAAAAAAYABgBZAQAAbwUAAAAA&#10;">
              <v:fill on="f" focussize="0,0"/>
              <v:stroke on="f"/>
              <v:imagedata o:title=""/>
              <o:lock v:ext="edit" aspectratio="f"/>
              <v:textbox inset="0mm,0mm,0mm,0mm" style="mso-fit-shape-to-text:t;">
                <w:txbxContent>
                  <w:p w14:paraId="3FAE571C">
                    <w:pPr>
                      <w:pStyle w:val="15"/>
                      <w:jc w:val="center"/>
                    </w:pPr>
                    <w:r>
                      <w:rPr>
                        <w:rFonts w:hint="eastAsia"/>
                      </w:rPr>
                      <w:t>17-</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7C9BCD17">
    <w:pPr>
      <w:pStyle w:val="15"/>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8E5A">
    <w:pPr>
      <w:pStyle w:val="15"/>
      <w:jc w:val="cente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D28DEF">
                          <w:pPr>
                            <w:pStyle w:val="15"/>
                            <w:jc w:val="center"/>
                          </w:pPr>
                          <w:r>
                            <w:rPr>
                              <w:rFonts w:hint="eastAsia"/>
                            </w:rPr>
                            <w:t>18-</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JaX2Td8BAADAAwAADgAAAAAA&#10;AAABACAAAAAeAQAAZHJzL2Uyb0RvYy54bWxQSwUGAAAAAAYABgBZAQAAbwUAAAAA&#10;">
              <v:fill on="f" focussize="0,0"/>
              <v:stroke on="f"/>
              <v:imagedata o:title=""/>
              <o:lock v:ext="edit" aspectratio="f"/>
              <v:textbox inset="0mm,0mm,0mm,0mm" style="mso-fit-shape-to-text:t;">
                <w:txbxContent>
                  <w:p w14:paraId="74D28DEF">
                    <w:pPr>
                      <w:pStyle w:val="15"/>
                      <w:jc w:val="center"/>
                    </w:pPr>
                    <w:r>
                      <w:rPr>
                        <w:rFonts w:hint="eastAsia"/>
                      </w:rPr>
                      <w:t>18-</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70D45497">
    <w:pPr>
      <w:pStyle w:val="15"/>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B564E">
    <w:pPr>
      <w:pStyle w:val="15"/>
      <w:jc w:val="cente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4D1EDA">
                          <w:pPr>
                            <w:pStyle w:val="15"/>
                            <w:jc w:val="center"/>
                          </w:pPr>
                          <w:r>
                            <w:rPr>
                              <w:rFonts w:hint="eastAsia"/>
                            </w:rPr>
                            <w:t>19-</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YvosbN8BAADAAwAADgAAAAAA&#10;AAABACAAAAAeAQAAZHJzL2Uyb0RvYy54bWxQSwUGAAAAAAYABgBZAQAAbwUAAAAA&#10;">
              <v:fill on="f" focussize="0,0"/>
              <v:stroke on="f"/>
              <v:imagedata o:title=""/>
              <o:lock v:ext="edit" aspectratio="f"/>
              <v:textbox inset="0mm,0mm,0mm,0mm" style="mso-fit-shape-to-text:t;">
                <w:txbxContent>
                  <w:p w14:paraId="0E4D1EDA">
                    <w:pPr>
                      <w:pStyle w:val="15"/>
                      <w:jc w:val="center"/>
                    </w:pPr>
                    <w:r>
                      <w:rPr>
                        <w:rFonts w:hint="eastAsia"/>
                      </w:rPr>
                      <w:t>19-</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6AA741E5">
    <w:pPr>
      <w:pStyle w:val="15"/>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C9449">
    <w:pPr>
      <w:pStyle w:val="15"/>
      <w:jc w:val="cente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E4F2C9">
                          <w:pPr>
                            <w:pStyle w:val="15"/>
                            <w:jc w:val="center"/>
                          </w:pPr>
                          <w:r>
                            <w:rPr>
                              <w:rFonts w:hint="eastAsia"/>
                            </w:rPr>
                            <w:t>20-</w:t>
                          </w:r>
                          <w:r>
                            <w:fldChar w:fldCharType="begin"/>
                          </w:r>
                          <w:r>
                            <w:instrText xml:space="preserve">PAGE   \* MERGEFORMAT</w:instrText>
                          </w:r>
                          <w:r>
                            <w:fldChar w:fldCharType="separate"/>
                          </w:r>
                          <w:r>
                            <w:rPr>
                              <w:lang w:val="zh-CN"/>
                            </w:rPr>
                            <w:t>1</w:t>
                          </w:r>
                          <w:r>
                            <w:fldChar w:fldCharType="end"/>
                          </w:r>
                        </w:p>
                      </w:txbxContent>
                    </wps:txbx>
                    <wps:bodyPr vert="horz" wrap="none" lIns="0" tIns="0" rIns="0" bIns="0" anchor="t" anchorCtr="0" upright="0">
                      <a:spAutoFit/>
                    </wps:bodyPr>
                  </wps:wsp>
                </a:graphicData>
              </a:graphic>
            </wp:anchor>
          </w:drawing>
        </mc:Choice>
        <mc:Fallback>
          <w:pict>
            <v:shape id="文本框 30"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UzA4Ft8BAADAAwAADgAAAAAA&#10;AAABACAAAAAeAQAAZHJzL2Uyb0RvYy54bWxQSwUGAAAAAAYABgBZAQAAbwUAAAAA&#10;">
              <v:fill on="f" focussize="0,0"/>
              <v:stroke on="f"/>
              <v:imagedata o:title=""/>
              <o:lock v:ext="edit" aspectratio="f"/>
              <v:textbox inset="0mm,0mm,0mm,0mm" style="mso-fit-shape-to-text:t;">
                <w:txbxContent>
                  <w:p w14:paraId="6AE4F2C9">
                    <w:pPr>
                      <w:pStyle w:val="15"/>
                      <w:jc w:val="center"/>
                    </w:pPr>
                    <w:r>
                      <w:rPr>
                        <w:rFonts w:hint="eastAsia"/>
                      </w:rPr>
                      <w:t>20-</w:t>
                    </w:r>
                    <w:r>
                      <w:fldChar w:fldCharType="begin"/>
                    </w:r>
                    <w:r>
                      <w:instrText xml:space="preserve">PAGE   \* MERGEFORMAT</w:instrText>
                    </w:r>
                    <w:r>
                      <w:fldChar w:fldCharType="separate"/>
                    </w:r>
                    <w:r>
                      <w:rPr>
                        <w:lang w:val="zh-CN"/>
                      </w:rPr>
                      <w:t>1</w:t>
                    </w:r>
                    <w:r>
                      <w:fldChar w:fldCharType="end"/>
                    </w:r>
                  </w:p>
                </w:txbxContent>
              </v:textbox>
            </v:shape>
          </w:pict>
        </mc:Fallback>
      </mc:AlternateContent>
    </w:r>
  </w:p>
  <w:p w14:paraId="019AB934">
    <w:pPr>
      <w:pStyle w:val="15"/>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5B2DE">
    <w:pPr>
      <w:pStyle w:val="15"/>
      <w:jc w:val="cente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E315D0">
                          <w:pPr>
                            <w:pStyle w:val="15"/>
                          </w:pPr>
                          <w:r>
                            <w:rPr>
                              <w:rFonts w:hint="eastAsia"/>
                              <w:lang w:val="en-US" w:eastAsia="zh-CN"/>
                            </w:rPr>
                            <w:t>21-</w:t>
                          </w: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1"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BRv4jfgAQAAwAMAAA4AAAAA&#10;AAAAAQAgAAAAHgEAAGRycy9lMm9Eb2MueG1sUEsFBgAAAAAGAAYAWQEAAHAFAAAAAA==&#10;">
              <v:fill on="f" focussize="0,0"/>
              <v:stroke on="f"/>
              <v:imagedata o:title=""/>
              <o:lock v:ext="edit" aspectratio="f"/>
              <v:textbox inset="0mm,0mm,0mm,0mm" style="mso-fit-shape-to-text:t;">
                <w:txbxContent>
                  <w:p w14:paraId="4EE315D0">
                    <w:pPr>
                      <w:pStyle w:val="15"/>
                    </w:pPr>
                    <w:r>
                      <w:rPr>
                        <w:rFonts w:hint="eastAsia"/>
                        <w:lang w:val="en-US" w:eastAsia="zh-CN"/>
                      </w:rPr>
                      <w:t>21-</w:t>
                    </w: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249885">
                          <w:pPr>
                            <w:pStyle w:val="15"/>
                          </w:pP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Vg54cgBAACZ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FtQ5eUOG5x4OefP86/Hs8P38nb&#10;LE8foMasu4B5aXjvB1ya2Q/ozKwHFW3+Ih+CcRT3dBFXDomI/Gi1XK0qDAmMzRfEZ0/PQ4T0QXpL&#10;stHQiNMrovLjJ0hj6pySqzl/q40pEzTuLwdiZg/LvY89ZisNu2EitPPtCfn0OPiGOtxzSsxHh7rm&#10;HZmNOBu72TiEqPddWaJcD8K7Q8ImSm+5wgg7FcaJFXbTduWV+PNesp7+qM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PFYOeHIAQAAmQMAAA4AAAAAAAAAAQAgAAAAHgEAAGRycy9lMm9Eb2Mu&#10;eG1sUEsFBgAAAAAGAAYAWQEAAFgFAAAAAA==&#10;">
              <v:fill on="f" focussize="0,0"/>
              <v:stroke on="f"/>
              <v:imagedata o:title=""/>
              <o:lock v:ext="edit" aspectratio="f"/>
              <v:textbox inset="0mm,0mm,0mm,0mm" style="mso-fit-shape-to-text:t;">
                <w:txbxContent>
                  <w:p w14:paraId="18249885">
                    <w:pPr>
                      <w:pStyle w:val="15"/>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99158F">
                          <w:pPr>
                            <w:pStyle w:val="15"/>
                          </w:pP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c83D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3hJlDiuMWBX358v/z8ffn1jdRZ&#10;niFAg1n3AfPS+NaPOXX2Azoz61FFm7/Ih2AcxT1fxZVjIiI/qtd1XWFIYGy5IA57eB4ipHfSW5KN&#10;lkacXhGVnz5AmlKXlFzN+TttDPp5Y9xfDsTMHpZ7n3rMVhr349z43ndn5DPg4FvqcM8pMe8d6pp3&#10;ZDHiYuwX4xiiPvRliXI9CG+OCZsoveUKE+xcGCdW2M3blVfi8b1kPfxR2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7c83DscBAACZAwAADgAAAAAAAAABACAAAAAeAQAAZHJzL2Uyb0RvYy54&#10;bWxQSwUGAAAAAAYABgBZAQAAVwUAAAAA&#10;">
              <v:fill on="f" focussize="0,0"/>
              <v:stroke on="f"/>
              <v:imagedata o:title=""/>
              <o:lock v:ext="edit" aspectratio="f"/>
              <v:textbox inset="0mm,0mm,0mm,0mm" style="mso-fit-shape-to-text:t;">
                <w:txbxContent>
                  <w:p w14:paraId="2C99158F">
                    <w:pPr>
                      <w:pStyle w:val="15"/>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0AC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3F9C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7E74"/>
    <w:rsid w:val="00000DD0"/>
    <w:rsid w:val="00001AB6"/>
    <w:rsid w:val="00001E42"/>
    <w:rsid w:val="00002977"/>
    <w:rsid w:val="00003CF3"/>
    <w:rsid w:val="00003DDD"/>
    <w:rsid w:val="00004215"/>
    <w:rsid w:val="000048E2"/>
    <w:rsid w:val="000062F2"/>
    <w:rsid w:val="00007C2F"/>
    <w:rsid w:val="00010125"/>
    <w:rsid w:val="0001044F"/>
    <w:rsid w:val="00011665"/>
    <w:rsid w:val="0001363C"/>
    <w:rsid w:val="00014D21"/>
    <w:rsid w:val="00016A01"/>
    <w:rsid w:val="00017201"/>
    <w:rsid w:val="000178C9"/>
    <w:rsid w:val="00017BED"/>
    <w:rsid w:val="00021C06"/>
    <w:rsid w:val="00022D6C"/>
    <w:rsid w:val="00022FC6"/>
    <w:rsid w:val="00023EE9"/>
    <w:rsid w:val="00024205"/>
    <w:rsid w:val="00026D77"/>
    <w:rsid w:val="00027D10"/>
    <w:rsid w:val="000300D0"/>
    <w:rsid w:val="00031A4E"/>
    <w:rsid w:val="00031D78"/>
    <w:rsid w:val="00031D96"/>
    <w:rsid w:val="00031DD2"/>
    <w:rsid w:val="000323F1"/>
    <w:rsid w:val="00035678"/>
    <w:rsid w:val="00041E30"/>
    <w:rsid w:val="00041EA9"/>
    <w:rsid w:val="00042898"/>
    <w:rsid w:val="0004291A"/>
    <w:rsid w:val="00043A6C"/>
    <w:rsid w:val="000441B2"/>
    <w:rsid w:val="00044E1D"/>
    <w:rsid w:val="00045017"/>
    <w:rsid w:val="0004529F"/>
    <w:rsid w:val="00045419"/>
    <w:rsid w:val="00045690"/>
    <w:rsid w:val="00045B69"/>
    <w:rsid w:val="00045B80"/>
    <w:rsid w:val="0004620E"/>
    <w:rsid w:val="00046DB8"/>
    <w:rsid w:val="00047948"/>
    <w:rsid w:val="00047EDD"/>
    <w:rsid w:val="0005105D"/>
    <w:rsid w:val="00052827"/>
    <w:rsid w:val="00052BEE"/>
    <w:rsid w:val="00052D58"/>
    <w:rsid w:val="00053108"/>
    <w:rsid w:val="000539F0"/>
    <w:rsid w:val="00055D9B"/>
    <w:rsid w:val="00064E77"/>
    <w:rsid w:val="0006572D"/>
    <w:rsid w:val="00065EB3"/>
    <w:rsid w:val="0006616C"/>
    <w:rsid w:val="00066315"/>
    <w:rsid w:val="0006703B"/>
    <w:rsid w:val="0006718A"/>
    <w:rsid w:val="00067DA7"/>
    <w:rsid w:val="00070432"/>
    <w:rsid w:val="000714C0"/>
    <w:rsid w:val="00071723"/>
    <w:rsid w:val="00072176"/>
    <w:rsid w:val="0007281A"/>
    <w:rsid w:val="00072936"/>
    <w:rsid w:val="000746B1"/>
    <w:rsid w:val="000746D9"/>
    <w:rsid w:val="00074758"/>
    <w:rsid w:val="00074F42"/>
    <w:rsid w:val="00075D6D"/>
    <w:rsid w:val="00076C89"/>
    <w:rsid w:val="0007714A"/>
    <w:rsid w:val="00077982"/>
    <w:rsid w:val="00080AFA"/>
    <w:rsid w:val="00080E58"/>
    <w:rsid w:val="0008111E"/>
    <w:rsid w:val="00082FA8"/>
    <w:rsid w:val="000850E3"/>
    <w:rsid w:val="00085171"/>
    <w:rsid w:val="000878EF"/>
    <w:rsid w:val="0009016D"/>
    <w:rsid w:val="00090707"/>
    <w:rsid w:val="00091E90"/>
    <w:rsid w:val="000928D3"/>
    <w:rsid w:val="0009373C"/>
    <w:rsid w:val="00095055"/>
    <w:rsid w:val="00095310"/>
    <w:rsid w:val="00097239"/>
    <w:rsid w:val="000A0CB6"/>
    <w:rsid w:val="000A1593"/>
    <w:rsid w:val="000A1777"/>
    <w:rsid w:val="000A20C8"/>
    <w:rsid w:val="000A6EE5"/>
    <w:rsid w:val="000B11F7"/>
    <w:rsid w:val="000B312C"/>
    <w:rsid w:val="000B3268"/>
    <w:rsid w:val="000B6297"/>
    <w:rsid w:val="000B6AA8"/>
    <w:rsid w:val="000C0960"/>
    <w:rsid w:val="000C100E"/>
    <w:rsid w:val="000C1D2F"/>
    <w:rsid w:val="000C1FA6"/>
    <w:rsid w:val="000C26FF"/>
    <w:rsid w:val="000C304F"/>
    <w:rsid w:val="000C5514"/>
    <w:rsid w:val="000C5A20"/>
    <w:rsid w:val="000C6767"/>
    <w:rsid w:val="000C68E7"/>
    <w:rsid w:val="000C6E67"/>
    <w:rsid w:val="000C6FAD"/>
    <w:rsid w:val="000D05EF"/>
    <w:rsid w:val="000D0C95"/>
    <w:rsid w:val="000D199B"/>
    <w:rsid w:val="000D2156"/>
    <w:rsid w:val="000D2E21"/>
    <w:rsid w:val="000D38A7"/>
    <w:rsid w:val="000D7E47"/>
    <w:rsid w:val="000E12A3"/>
    <w:rsid w:val="000E35CB"/>
    <w:rsid w:val="000E419E"/>
    <w:rsid w:val="000E6573"/>
    <w:rsid w:val="000E688B"/>
    <w:rsid w:val="000E7374"/>
    <w:rsid w:val="000E7A28"/>
    <w:rsid w:val="000F25D1"/>
    <w:rsid w:val="000F2B08"/>
    <w:rsid w:val="000F3A96"/>
    <w:rsid w:val="000F5CBD"/>
    <w:rsid w:val="000F5EC4"/>
    <w:rsid w:val="000F7645"/>
    <w:rsid w:val="00101318"/>
    <w:rsid w:val="00101B58"/>
    <w:rsid w:val="00102071"/>
    <w:rsid w:val="00103B2E"/>
    <w:rsid w:val="0010485A"/>
    <w:rsid w:val="001051B2"/>
    <w:rsid w:val="00105310"/>
    <w:rsid w:val="00106025"/>
    <w:rsid w:val="0010712D"/>
    <w:rsid w:val="00110704"/>
    <w:rsid w:val="0011277A"/>
    <w:rsid w:val="00112BF9"/>
    <w:rsid w:val="00113B59"/>
    <w:rsid w:val="00115064"/>
    <w:rsid w:val="0011668D"/>
    <w:rsid w:val="00117512"/>
    <w:rsid w:val="0011783B"/>
    <w:rsid w:val="00117C0B"/>
    <w:rsid w:val="00120287"/>
    <w:rsid w:val="00120ABE"/>
    <w:rsid w:val="0012189A"/>
    <w:rsid w:val="00123986"/>
    <w:rsid w:val="00124047"/>
    <w:rsid w:val="001246DA"/>
    <w:rsid w:val="00126670"/>
    <w:rsid w:val="00130A39"/>
    <w:rsid w:val="00131569"/>
    <w:rsid w:val="00132D3A"/>
    <w:rsid w:val="00133130"/>
    <w:rsid w:val="0013367F"/>
    <w:rsid w:val="0013384A"/>
    <w:rsid w:val="00134CB2"/>
    <w:rsid w:val="00135008"/>
    <w:rsid w:val="00135F72"/>
    <w:rsid w:val="00136679"/>
    <w:rsid w:val="00136E83"/>
    <w:rsid w:val="00140CFC"/>
    <w:rsid w:val="00140E02"/>
    <w:rsid w:val="00141752"/>
    <w:rsid w:val="00141D74"/>
    <w:rsid w:val="001451B1"/>
    <w:rsid w:val="00146246"/>
    <w:rsid w:val="00153191"/>
    <w:rsid w:val="00153CD2"/>
    <w:rsid w:val="001556EB"/>
    <w:rsid w:val="0015665A"/>
    <w:rsid w:val="001568C8"/>
    <w:rsid w:val="00156A3F"/>
    <w:rsid w:val="0015724C"/>
    <w:rsid w:val="0015746A"/>
    <w:rsid w:val="00157F49"/>
    <w:rsid w:val="00160684"/>
    <w:rsid w:val="00160700"/>
    <w:rsid w:val="00161DD2"/>
    <w:rsid w:val="00166957"/>
    <w:rsid w:val="00167026"/>
    <w:rsid w:val="00170A79"/>
    <w:rsid w:val="00172530"/>
    <w:rsid w:val="0017370E"/>
    <w:rsid w:val="00174565"/>
    <w:rsid w:val="001748DD"/>
    <w:rsid w:val="00175369"/>
    <w:rsid w:val="00176684"/>
    <w:rsid w:val="0018259C"/>
    <w:rsid w:val="00182D88"/>
    <w:rsid w:val="00185465"/>
    <w:rsid w:val="0018552E"/>
    <w:rsid w:val="00185825"/>
    <w:rsid w:val="00185AD1"/>
    <w:rsid w:val="0018653A"/>
    <w:rsid w:val="001867EB"/>
    <w:rsid w:val="0018775D"/>
    <w:rsid w:val="00187C10"/>
    <w:rsid w:val="0019194A"/>
    <w:rsid w:val="00193FB5"/>
    <w:rsid w:val="001945D9"/>
    <w:rsid w:val="001961E4"/>
    <w:rsid w:val="00197C29"/>
    <w:rsid w:val="001A27BB"/>
    <w:rsid w:val="001A2E52"/>
    <w:rsid w:val="001A31BA"/>
    <w:rsid w:val="001A4014"/>
    <w:rsid w:val="001A4100"/>
    <w:rsid w:val="001B07DD"/>
    <w:rsid w:val="001B2DA5"/>
    <w:rsid w:val="001B3B5D"/>
    <w:rsid w:val="001B4156"/>
    <w:rsid w:val="001C044F"/>
    <w:rsid w:val="001C0471"/>
    <w:rsid w:val="001C18F8"/>
    <w:rsid w:val="001C2010"/>
    <w:rsid w:val="001C2257"/>
    <w:rsid w:val="001C2A8E"/>
    <w:rsid w:val="001C3C95"/>
    <w:rsid w:val="001C3ECD"/>
    <w:rsid w:val="001C5B7E"/>
    <w:rsid w:val="001C5C17"/>
    <w:rsid w:val="001C5C1B"/>
    <w:rsid w:val="001C7718"/>
    <w:rsid w:val="001D0D88"/>
    <w:rsid w:val="001D25D0"/>
    <w:rsid w:val="001D4655"/>
    <w:rsid w:val="001D46C2"/>
    <w:rsid w:val="001D5CCB"/>
    <w:rsid w:val="001D695B"/>
    <w:rsid w:val="001D747C"/>
    <w:rsid w:val="001E0686"/>
    <w:rsid w:val="001E5F15"/>
    <w:rsid w:val="001E73CE"/>
    <w:rsid w:val="001F0F63"/>
    <w:rsid w:val="001F2D81"/>
    <w:rsid w:val="001F31FB"/>
    <w:rsid w:val="001F4169"/>
    <w:rsid w:val="001F4BA5"/>
    <w:rsid w:val="001F6F44"/>
    <w:rsid w:val="002009F5"/>
    <w:rsid w:val="00200A19"/>
    <w:rsid w:val="002019B6"/>
    <w:rsid w:val="00201FEC"/>
    <w:rsid w:val="00201FF9"/>
    <w:rsid w:val="00203D3E"/>
    <w:rsid w:val="00206847"/>
    <w:rsid w:val="002071A9"/>
    <w:rsid w:val="00214C3D"/>
    <w:rsid w:val="00215314"/>
    <w:rsid w:val="00216CAA"/>
    <w:rsid w:val="002174D9"/>
    <w:rsid w:val="00220875"/>
    <w:rsid w:val="00221332"/>
    <w:rsid w:val="002215D2"/>
    <w:rsid w:val="00222341"/>
    <w:rsid w:val="00227623"/>
    <w:rsid w:val="002306C9"/>
    <w:rsid w:val="00231B62"/>
    <w:rsid w:val="00231C8B"/>
    <w:rsid w:val="00232CAA"/>
    <w:rsid w:val="002330CA"/>
    <w:rsid w:val="002332D3"/>
    <w:rsid w:val="002340B1"/>
    <w:rsid w:val="00234B72"/>
    <w:rsid w:val="002359CF"/>
    <w:rsid w:val="00235B81"/>
    <w:rsid w:val="00237AD7"/>
    <w:rsid w:val="0024032B"/>
    <w:rsid w:val="00240AE5"/>
    <w:rsid w:val="00242261"/>
    <w:rsid w:val="00242944"/>
    <w:rsid w:val="00242E69"/>
    <w:rsid w:val="00246B69"/>
    <w:rsid w:val="002471ED"/>
    <w:rsid w:val="00247986"/>
    <w:rsid w:val="00247FC1"/>
    <w:rsid w:val="00255EE7"/>
    <w:rsid w:val="0026065F"/>
    <w:rsid w:val="002631C1"/>
    <w:rsid w:val="00266019"/>
    <w:rsid w:val="00267009"/>
    <w:rsid w:val="00267521"/>
    <w:rsid w:val="00267BC1"/>
    <w:rsid w:val="00271A77"/>
    <w:rsid w:val="00272724"/>
    <w:rsid w:val="002759C1"/>
    <w:rsid w:val="00275EA7"/>
    <w:rsid w:val="00276503"/>
    <w:rsid w:val="00276CBA"/>
    <w:rsid w:val="002830E5"/>
    <w:rsid w:val="00283863"/>
    <w:rsid w:val="00285E1A"/>
    <w:rsid w:val="0028628C"/>
    <w:rsid w:val="0028655B"/>
    <w:rsid w:val="00287B07"/>
    <w:rsid w:val="00287DD6"/>
    <w:rsid w:val="00290E42"/>
    <w:rsid w:val="00291A4E"/>
    <w:rsid w:val="00291ACE"/>
    <w:rsid w:val="00292A48"/>
    <w:rsid w:val="0029364D"/>
    <w:rsid w:val="00294CA3"/>
    <w:rsid w:val="0029563B"/>
    <w:rsid w:val="002961C9"/>
    <w:rsid w:val="0029639B"/>
    <w:rsid w:val="002A0B4E"/>
    <w:rsid w:val="002A1685"/>
    <w:rsid w:val="002A1712"/>
    <w:rsid w:val="002A23EA"/>
    <w:rsid w:val="002A2BDE"/>
    <w:rsid w:val="002A4673"/>
    <w:rsid w:val="002A67F3"/>
    <w:rsid w:val="002A790E"/>
    <w:rsid w:val="002A7E73"/>
    <w:rsid w:val="002B0661"/>
    <w:rsid w:val="002B11CF"/>
    <w:rsid w:val="002B19DD"/>
    <w:rsid w:val="002B2AD4"/>
    <w:rsid w:val="002B4A5D"/>
    <w:rsid w:val="002B67C0"/>
    <w:rsid w:val="002B7266"/>
    <w:rsid w:val="002B7527"/>
    <w:rsid w:val="002C06EA"/>
    <w:rsid w:val="002C2058"/>
    <w:rsid w:val="002C2B27"/>
    <w:rsid w:val="002C470B"/>
    <w:rsid w:val="002C4949"/>
    <w:rsid w:val="002C4BCA"/>
    <w:rsid w:val="002C4D0A"/>
    <w:rsid w:val="002C6520"/>
    <w:rsid w:val="002C6DF2"/>
    <w:rsid w:val="002C7C3C"/>
    <w:rsid w:val="002D0091"/>
    <w:rsid w:val="002D155A"/>
    <w:rsid w:val="002D1D4F"/>
    <w:rsid w:val="002D43C8"/>
    <w:rsid w:val="002E05C3"/>
    <w:rsid w:val="002E0B38"/>
    <w:rsid w:val="002E1212"/>
    <w:rsid w:val="002E3DED"/>
    <w:rsid w:val="002E46D7"/>
    <w:rsid w:val="002E54B5"/>
    <w:rsid w:val="002F1E2E"/>
    <w:rsid w:val="002F2074"/>
    <w:rsid w:val="002F211E"/>
    <w:rsid w:val="002F253D"/>
    <w:rsid w:val="002F2BC5"/>
    <w:rsid w:val="002F2EAD"/>
    <w:rsid w:val="002F3F6D"/>
    <w:rsid w:val="002F535D"/>
    <w:rsid w:val="002F66B1"/>
    <w:rsid w:val="002F68F6"/>
    <w:rsid w:val="00301CBE"/>
    <w:rsid w:val="003026F5"/>
    <w:rsid w:val="00305466"/>
    <w:rsid w:val="00306429"/>
    <w:rsid w:val="003123ED"/>
    <w:rsid w:val="00312588"/>
    <w:rsid w:val="003137F2"/>
    <w:rsid w:val="00314370"/>
    <w:rsid w:val="0031445C"/>
    <w:rsid w:val="003154CF"/>
    <w:rsid w:val="00315DF1"/>
    <w:rsid w:val="00317638"/>
    <w:rsid w:val="0031797A"/>
    <w:rsid w:val="0032039E"/>
    <w:rsid w:val="00320987"/>
    <w:rsid w:val="00322A50"/>
    <w:rsid w:val="00323511"/>
    <w:rsid w:val="003246B3"/>
    <w:rsid w:val="00324FA8"/>
    <w:rsid w:val="0032522B"/>
    <w:rsid w:val="00325364"/>
    <w:rsid w:val="00330931"/>
    <w:rsid w:val="003336F7"/>
    <w:rsid w:val="00334F74"/>
    <w:rsid w:val="003369A7"/>
    <w:rsid w:val="00342DF8"/>
    <w:rsid w:val="003431C7"/>
    <w:rsid w:val="00345036"/>
    <w:rsid w:val="00345E14"/>
    <w:rsid w:val="00346F20"/>
    <w:rsid w:val="00351019"/>
    <w:rsid w:val="00352ECF"/>
    <w:rsid w:val="003532E6"/>
    <w:rsid w:val="00353894"/>
    <w:rsid w:val="00355528"/>
    <w:rsid w:val="00360142"/>
    <w:rsid w:val="00360FE3"/>
    <w:rsid w:val="003659AF"/>
    <w:rsid w:val="00365CCD"/>
    <w:rsid w:val="00371CDD"/>
    <w:rsid w:val="003726C2"/>
    <w:rsid w:val="003728D2"/>
    <w:rsid w:val="003747EF"/>
    <w:rsid w:val="00376311"/>
    <w:rsid w:val="00376451"/>
    <w:rsid w:val="00376D68"/>
    <w:rsid w:val="003802E4"/>
    <w:rsid w:val="00380795"/>
    <w:rsid w:val="003828B2"/>
    <w:rsid w:val="00382F24"/>
    <w:rsid w:val="00383076"/>
    <w:rsid w:val="00385833"/>
    <w:rsid w:val="00385DC1"/>
    <w:rsid w:val="003861DF"/>
    <w:rsid w:val="00386DAA"/>
    <w:rsid w:val="0039673F"/>
    <w:rsid w:val="003979A1"/>
    <w:rsid w:val="003A08CA"/>
    <w:rsid w:val="003A1410"/>
    <w:rsid w:val="003A1736"/>
    <w:rsid w:val="003A30E5"/>
    <w:rsid w:val="003A4F07"/>
    <w:rsid w:val="003A6B7B"/>
    <w:rsid w:val="003A726C"/>
    <w:rsid w:val="003B0BF2"/>
    <w:rsid w:val="003B1FDF"/>
    <w:rsid w:val="003B4B05"/>
    <w:rsid w:val="003B5DEA"/>
    <w:rsid w:val="003B6B55"/>
    <w:rsid w:val="003C0916"/>
    <w:rsid w:val="003C104A"/>
    <w:rsid w:val="003C22A6"/>
    <w:rsid w:val="003C2982"/>
    <w:rsid w:val="003C29ED"/>
    <w:rsid w:val="003C5DC5"/>
    <w:rsid w:val="003C756C"/>
    <w:rsid w:val="003C7D39"/>
    <w:rsid w:val="003D04FF"/>
    <w:rsid w:val="003D3984"/>
    <w:rsid w:val="003D3A28"/>
    <w:rsid w:val="003D48F4"/>
    <w:rsid w:val="003D49AD"/>
    <w:rsid w:val="003D4BBC"/>
    <w:rsid w:val="003D5389"/>
    <w:rsid w:val="003D6556"/>
    <w:rsid w:val="003D794B"/>
    <w:rsid w:val="003D7BA3"/>
    <w:rsid w:val="003E0139"/>
    <w:rsid w:val="003E0AD5"/>
    <w:rsid w:val="003E0C2B"/>
    <w:rsid w:val="003E16F3"/>
    <w:rsid w:val="003E2C01"/>
    <w:rsid w:val="003E46C5"/>
    <w:rsid w:val="003E6CED"/>
    <w:rsid w:val="003F0DCD"/>
    <w:rsid w:val="003F25AE"/>
    <w:rsid w:val="003F38D8"/>
    <w:rsid w:val="003F5815"/>
    <w:rsid w:val="003F784C"/>
    <w:rsid w:val="004000B9"/>
    <w:rsid w:val="00400160"/>
    <w:rsid w:val="0040055B"/>
    <w:rsid w:val="004008A7"/>
    <w:rsid w:val="00401C64"/>
    <w:rsid w:val="004038C3"/>
    <w:rsid w:val="00405228"/>
    <w:rsid w:val="00405405"/>
    <w:rsid w:val="00405BF1"/>
    <w:rsid w:val="0040782C"/>
    <w:rsid w:val="00407946"/>
    <w:rsid w:val="00411088"/>
    <w:rsid w:val="00412476"/>
    <w:rsid w:val="00412563"/>
    <w:rsid w:val="00412D2C"/>
    <w:rsid w:val="00413681"/>
    <w:rsid w:val="00414034"/>
    <w:rsid w:val="004142E4"/>
    <w:rsid w:val="004201FF"/>
    <w:rsid w:val="0042267B"/>
    <w:rsid w:val="00423845"/>
    <w:rsid w:val="004255F7"/>
    <w:rsid w:val="00425D01"/>
    <w:rsid w:val="004265DC"/>
    <w:rsid w:val="004275E3"/>
    <w:rsid w:val="00427FD7"/>
    <w:rsid w:val="004309F4"/>
    <w:rsid w:val="0043191B"/>
    <w:rsid w:val="00431A0C"/>
    <w:rsid w:val="00431AC3"/>
    <w:rsid w:val="00431F66"/>
    <w:rsid w:val="004324F7"/>
    <w:rsid w:val="00432DF1"/>
    <w:rsid w:val="004336A9"/>
    <w:rsid w:val="00434945"/>
    <w:rsid w:val="004359C6"/>
    <w:rsid w:val="004362D2"/>
    <w:rsid w:val="004365D5"/>
    <w:rsid w:val="00436C58"/>
    <w:rsid w:val="00436E37"/>
    <w:rsid w:val="00437913"/>
    <w:rsid w:val="00440182"/>
    <w:rsid w:val="00440E3A"/>
    <w:rsid w:val="0044103D"/>
    <w:rsid w:val="00441241"/>
    <w:rsid w:val="00442664"/>
    <w:rsid w:val="004437F2"/>
    <w:rsid w:val="00443C07"/>
    <w:rsid w:val="0044539E"/>
    <w:rsid w:val="004503A5"/>
    <w:rsid w:val="00450FE9"/>
    <w:rsid w:val="00453138"/>
    <w:rsid w:val="004535FF"/>
    <w:rsid w:val="0045665C"/>
    <w:rsid w:val="00461F61"/>
    <w:rsid w:val="00463889"/>
    <w:rsid w:val="00464303"/>
    <w:rsid w:val="00464C3A"/>
    <w:rsid w:val="00464E23"/>
    <w:rsid w:val="00465E69"/>
    <w:rsid w:val="00467DCB"/>
    <w:rsid w:val="00470498"/>
    <w:rsid w:val="00470E62"/>
    <w:rsid w:val="0047119A"/>
    <w:rsid w:val="00473B5C"/>
    <w:rsid w:val="00475541"/>
    <w:rsid w:val="00476249"/>
    <w:rsid w:val="0048026F"/>
    <w:rsid w:val="00480B4C"/>
    <w:rsid w:val="00481D5D"/>
    <w:rsid w:val="004857DE"/>
    <w:rsid w:val="00486012"/>
    <w:rsid w:val="0048671F"/>
    <w:rsid w:val="0048715E"/>
    <w:rsid w:val="004909B5"/>
    <w:rsid w:val="0049245E"/>
    <w:rsid w:val="00492986"/>
    <w:rsid w:val="00492BCA"/>
    <w:rsid w:val="00493296"/>
    <w:rsid w:val="00493DC8"/>
    <w:rsid w:val="00494423"/>
    <w:rsid w:val="00494817"/>
    <w:rsid w:val="004A38A2"/>
    <w:rsid w:val="004A38AD"/>
    <w:rsid w:val="004A3C1C"/>
    <w:rsid w:val="004A4931"/>
    <w:rsid w:val="004A5C59"/>
    <w:rsid w:val="004A646F"/>
    <w:rsid w:val="004B0ED0"/>
    <w:rsid w:val="004B144E"/>
    <w:rsid w:val="004B1F14"/>
    <w:rsid w:val="004B201E"/>
    <w:rsid w:val="004B2C2F"/>
    <w:rsid w:val="004B31DB"/>
    <w:rsid w:val="004B3B4A"/>
    <w:rsid w:val="004B47B2"/>
    <w:rsid w:val="004B5392"/>
    <w:rsid w:val="004B53C1"/>
    <w:rsid w:val="004B6573"/>
    <w:rsid w:val="004B7363"/>
    <w:rsid w:val="004B7C6E"/>
    <w:rsid w:val="004C007C"/>
    <w:rsid w:val="004C0CC1"/>
    <w:rsid w:val="004C2330"/>
    <w:rsid w:val="004C5085"/>
    <w:rsid w:val="004C627D"/>
    <w:rsid w:val="004C6676"/>
    <w:rsid w:val="004C707D"/>
    <w:rsid w:val="004D2553"/>
    <w:rsid w:val="004D2A62"/>
    <w:rsid w:val="004D2E26"/>
    <w:rsid w:val="004D2FCF"/>
    <w:rsid w:val="004D5ACC"/>
    <w:rsid w:val="004E0DF1"/>
    <w:rsid w:val="004E0E62"/>
    <w:rsid w:val="004E0F7D"/>
    <w:rsid w:val="004E1291"/>
    <w:rsid w:val="004E14CC"/>
    <w:rsid w:val="004E6DDC"/>
    <w:rsid w:val="004E7184"/>
    <w:rsid w:val="004F42C1"/>
    <w:rsid w:val="004F6344"/>
    <w:rsid w:val="004F6906"/>
    <w:rsid w:val="00501366"/>
    <w:rsid w:val="0050358F"/>
    <w:rsid w:val="00503D3F"/>
    <w:rsid w:val="00504AC5"/>
    <w:rsid w:val="00505AC7"/>
    <w:rsid w:val="00511C6C"/>
    <w:rsid w:val="005143A9"/>
    <w:rsid w:val="00515D94"/>
    <w:rsid w:val="00521B52"/>
    <w:rsid w:val="0052319D"/>
    <w:rsid w:val="00523605"/>
    <w:rsid w:val="005248B6"/>
    <w:rsid w:val="00526015"/>
    <w:rsid w:val="00527783"/>
    <w:rsid w:val="00527B02"/>
    <w:rsid w:val="00530519"/>
    <w:rsid w:val="00533220"/>
    <w:rsid w:val="0053389B"/>
    <w:rsid w:val="00535B50"/>
    <w:rsid w:val="00536868"/>
    <w:rsid w:val="005413DD"/>
    <w:rsid w:val="00541697"/>
    <w:rsid w:val="005431AC"/>
    <w:rsid w:val="005451F9"/>
    <w:rsid w:val="00545614"/>
    <w:rsid w:val="005502D9"/>
    <w:rsid w:val="00550F23"/>
    <w:rsid w:val="0055339D"/>
    <w:rsid w:val="005535A3"/>
    <w:rsid w:val="00554EA6"/>
    <w:rsid w:val="005564D4"/>
    <w:rsid w:val="00556EE6"/>
    <w:rsid w:val="005630A4"/>
    <w:rsid w:val="00564D50"/>
    <w:rsid w:val="00565F62"/>
    <w:rsid w:val="005660EE"/>
    <w:rsid w:val="0056678C"/>
    <w:rsid w:val="00570215"/>
    <w:rsid w:val="00570851"/>
    <w:rsid w:val="00571009"/>
    <w:rsid w:val="00571B4A"/>
    <w:rsid w:val="005752B1"/>
    <w:rsid w:val="005756DD"/>
    <w:rsid w:val="00576298"/>
    <w:rsid w:val="00580351"/>
    <w:rsid w:val="00580A4E"/>
    <w:rsid w:val="0058105E"/>
    <w:rsid w:val="005822B8"/>
    <w:rsid w:val="00582659"/>
    <w:rsid w:val="00583F43"/>
    <w:rsid w:val="005849A4"/>
    <w:rsid w:val="00586675"/>
    <w:rsid w:val="00587647"/>
    <w:rsid w:val="00590113"/>
    <w:rsid w:val="0059173C"/>
    <w:rsid w:val="00591E65"/>
    <w:rsid w:val="0059333C"/>
    <w:rsid w:val="00593932"/>
    <w:rsid w:val="00594A4C"/>
    <w:rsid w:val="005951D5"/>
    <w:rsid w:val="00595BAA"/>
    <w:rsid w:val="0059618C"/>
    <w:rsid w:val="00596DEA"/>
    <w:rsid w:val="005A06D7"/>
    <w:rsid w:val="005A098D"/>
    <w:rsid w:val="005A0A7F"/>
    <w:rsid w:val="005A399F"/>
    <w:rsid w:val="005A41FF"/>
    <w:rsid w:val="005A7140"/>
    <w:rsid w:val="005B060E"/>
    <w:rsid w:val="005B1738"/>
    <w:rsid w:val="005B240C"/>
    <w:rsid w:val="005B4925"/>
    <w:rsid w:val="005B59D5"/>
    <w:rsid w:val="005B6483"/>
    <w:rsid w:val="005B66FD"/>
    <w:rsid w:val="005B685B"/>
    <w:rsid w:val="005B6A9D"/>
    <w:rsid w:val="005C0810"/>
    <w:rsid w:val="005C2546"/>
    <w:rsid w:val="005C4FF8"/>
    <w:rsid w:val="005C5964"/>
    <w:rsid w:val="005C5C13"/>
    <w:rsid w:val="005C5ECD"/>
    <w:rsid w:val="005C7F22"/>
    <w:rsid w:val="005D293C"/>
    <w:rsid w:val="005D3BFB"/>
    <w:rsid w:val="005D58AE"/>
    <w:rsid w:val="005D5C34"/>
    <w:rsid w:val="005D6727"/>
    <w:rsid w:val="005D682C"/>
    <w:rsid w:val="005D6E76"/>
    <w:rsid w:val="005D7F1C"/>
    <w:rsid w:val="005E2823"/>
    <w:rsid w:val="005E2BBC"/>
    <w:rsid w:val="005E452D"/>
    <w:rsid w:val="005E6C32"/>
    <w:rsid w:val="005E6E86"/>
    <w:rsid w:val="005F074E"/>
    <w:rsid w:val="005F0EBB"/>
    <w:rsid w:val="005F20E0"/>
    <w:rsid w:val="005F288F"/>
    <w:rsid w:val="005F2B6C"/>
    <w:rsid w:val="005F2BCB"/>
    <w:rsid w:val="005F3385"/>
    <w:rsid w:val="005F3898"/>
    <w:rsid w:val="005F3B5B"/>
    <w:rsid w:val="005F3CC2"/>
    <w:rsid w:val="005F3E7C"/>
    <w:rsid w:val="005F4C2F"/>
    <w:rsid w:val="005F6F76"/>
    <w:rsid w:val="0060476E"/>
    <w:rsid w:val="006050E9"/>
    <w:rsid w:val="00605669"/>
    <w:rsid w:val="00606098"/>
    <w:rsid w:val="00607523"/>
    <w:rsid w:val="00607E88"/>
    <w:rsid w:val="006100CE"/>
    <w:rsid w:val="0061136C"/>
    <w:rsid w:val="006114C3"/>
    <w:rsid w:val="00611B88"/>
    <w:rsid w:val="00611F48"/>
    <w:rsid w:val="00613356"/>
    <w:rsid w:val="00613F8A"/>
    <w:rsid w:val="00613FA0"/>
    <w:rsid w:val="00615A06"/>
    <w:rsid w:val="00615E9A"/>
    <w:rsid w:val="00621321"/>
    <w:rsid w:val="006220AF"/>
    <w:rsid w:val="0062269D"/>
    <w:rsid w:val="006227F3"/>
    <w:rsid w:val="006237E6"/>
    <w:rsid w:val="006256CA"/>
    <w:rsid w:val="006325C0"/>
    <w:rsid w:val="00635050"/>
    <w:rsid w:val="006355B4"/>
    <w:rsid w:val="006377C7"/>
    <w:rsid w:val="00640132"/>
    <w:rsid w:val="00640191"/>
    <w:rsid w:val="00644B26"/>
    <w:rsid w:val="00645802"/>
    <w:rsid w:val="006475D5"/>
    <w:rsid w:val="00650162"/>
    <w:rsid w:val="006520C3"/>
    <w:rsid w:val="00652128"/>
    <w:rsid w:val="00652650"/>
    <w:rsid w:val="00652DBF"/>
    <w:rsid w:val="00653D6D"/>
    <w:rsid w:val="00654599"/>
    <w:rsid w:val="00657100"/>
    <w:rsid w:val="00660A76"/>
    <w:rsid w:val="00660DFF"/>
    <w:rsid w:val="00660E57"/>
    <w:rsid w:val="00661B26"/>
    <w:rsid w:val="00663B13"/>
    <w:rsid w:val="0066704E"/>
    <w:rsid w:val="00667E4B"/>
    <w:rsid w:val="00670B94"/>
    <w:rsid w:val="00672A62"/>
    <w:rsid w:val="00673714"/>
    <w:rsid w:val="0067725F"/>
    <w:rsid w:val="00677614"/>
    <w:rsid w:val="00680A6B"/>
    <w:rsid w:val="00681481"/>
    <w:rsid w:val="006831B1"/>
    <w:rsid w:val="00683A15"/>
    <w:rsid w:val="006841EB"/>
    <w:rsid w:val="006846D2"/>
    <w:rsid w:val="00685EC8"/>
    <w:rsid w:val="00690E8E"/>
    <w:rsid w:val="00691621"/>
    <w:rsid w:val="00694C3B"/>
    <w:rsid w:val="006975FC"/>
    <w:rsid w:val="006A2CB1"/>
    <w:rsid w:val="006A3EAA"/>
    <w:rsid w:val="006A4448"/>
    <w:rsid w:val="006B3506"/>
    <w:rsid w:val="006B42CE"/>
    <w:rsid w:val="006B4B97"/>
    <w:rsid w:val="006B6146"/>
    <w:rsid w:val="006B61D0"/>
    <w:rsid w:val="006B6A5C"/>
    <w:rsid w:val="006B7B59"/>
    <w:rsid w:val="006C1A6B"/>
    <w:rsid w:val="006C4C6B"/>
    <w:rsid w:val="006C4F3B"/>
    <w:rsid w:val="006C7BF9"/>
    <w:rsid w:val="006C7C04"/>
    <w:rsid w:val="006D2279"/>
    <w:rsid w:val="006D2A36"/>
    <w:rsid w:val="006D2C00"/>
    <w:rsid w:val="006D3B82"/>
    <w:rsid w:val="006D4499"/>
    <w:rsid w:val="006D50E5"/>
    <w:rsid w:val="006D5B2C"/>
    <w:rsid w:val="006D5FE6"/>
    <w:rsid w:val="006D62EB"/>
    <w:rsid w:val="006E22AF"/>
    <w:rsid w:val="006E3987"/>
    <w:rsid w:val="006E463B"/>
    <w:rsid w:val="006E4D9C"/>
    <w:rsid w:val="006E56FE"/>
    <w:rsid w:val="006E5D04"/>
    <w:rsid w:val="006E5ECE"/>
    <w:rsid w:val="006E748E"/>
    <w:rsid w:val="006E7E3E"/>
    <w:rsid w:val="006F1996"/>
    <w:rsid w:val="006F2C40"/>
    <w:rsid w:val="00700695"/>
    <w:rsid w:val="00701585"/>
    <w:rsid w:val="00702A88"/>
    <w:rsid w:val="00702E11"/>
    <w:rsid w:val="007030BF"/>
    <w:rsid w:val="00703FD5"/>
    <w:rsid w:val="0070491F"/>
    <w:rsid w:val="0070609D"/>
    <w:rsid w:val="00710642"/>
    <w:rsid w:val="007124DE"/>
    <w:rsid w:val="007124F5"/>
    <w:rsid w:val="007152DC"/>
    <w:rsid w:val="00717934"/>
    <w:rsid w:val="007228E3"/>
    <w:rsid w:val="00722A46"/>
    <w:rsid w:val="007244D7"/>
    <w:rsid w:val="00731589"/>
    <w:rsid w:val="0073188F"/>
    <w:rsid w:val="007328E1"/>
    <w:rsid w:val="00732CE8"/>
    <w:rsid w:val="00734A9B"/>
    <w:rsid w:val="00735EE5"/>
    <w:rsid w:val="0074155D"/>
    <w:rsid w:val="00741591"/>
    <w:rsid w:val="00741CE0"/>
    <w:rsid w:val="00742A3A"/>
    <w:rsid w:val="00746CAE"/>
    <w:rsid w:val="00752925"/>
    <w:rsid w:val="0075344A"/>
    <w:rsid w:val="00754807"/>
    <w:rsid w:val="0075647E"/>
    <w:rsid w:val="00756BF1"/>
    <w:rsid w:val="00756E58"/>
    <w:rsid w:val="00757919"/>
    <w:rsid w:val="00757EF2"/>
    <w:rsid w:val="007606A2"/>
    <w:rsid w:val="0076074D"/>
    <w:rsid w:val="00762A7F"/>
    <w:rsid w:val="00764009"/>
    <w:rsid w:val="00764187"/>
    <w:rsid w:val="0076471D"/>
    <w:rsid w:val="00764814"/>
    <w:rsid w:val="00765947"/>
    <w:rsid w:val="007662C0"/>
    <w:rsid w:val="00766662"/>
    <w:rsid w:val="00766773"/>
    <w:rsid w:val="00766CC7"/>
    <w:rsid w:val="00766F04"/>
    <w:rsid w:val="00771002"/>
    <w:rsid w:val="007727D3"/>
    <w:rsid w:val="00774154"/>
    <w:rsid w:val="0077494E"/>
    <w:rsid w:val="00774D42"/>
    <w:rsid w:val="00776D2A"/>
    <w:rsid w:val="007801DE"/>
    <w:rsid w:val="00780560"/>
    <w:rsid w:val="00781111"/>
    <w:rsid w:val="0078152B"/>
    <w:rsid w:val="0078195F"/>
    <w:rsid w:val="00781E9B"/>
    <w:rsid w:val="007842B7"/>
    <w:rsid w:val="00785A06"/>
    <w:rsid w:val="007861DB"/>
    <w:rsid w:val="0078628A"/>
    <w:rsid w:val="00786608"/>
    <w:rsid w:val="00787792"/>
    <w:rsid w:val="007911F6"/>
    <w:rsid w:val="00792AAD"/>
    <w:rsid w:val="0079368B"/>
    <w:rsid w:val="00793C1F"/>
    <w:rsid w:val="00793FA0"/>
    <w:rsid w:val="00796B3C"/>
    <w:rsid w:val="00796DD2"/>
    <w:rsid w:val="00797001"/>
    <w:rsid w:val="00797097"/>
    <w:rsid w:val="00797644"/>
    <w:rsid w:val="007A351B"/>
    <w:rsid w:val="007A3F9F"/>
    <w:rsid w:val="007A4AFA"/>
    <w:rsid w:val="007A6E8B"/>
    <w:rsid w:val="007A7A82"/>
    <w:rsid w:val="007A7DA3"/>
    <w:rsid w:val="007B0E25"/>
    <w:rsid w:val="007B2DFC"/>
    <w:rsid w:val="007B2EB0"/>
    <w:rsid w:val="007B33FB"/>
    <w:rsid w:val="007B4881"/>
    <w:rsid w:val="007B50DA"/>
    <w:rsid w:val="007B5C64"/>
    <w:rsid w:val="007B65FA"/>
    <w:rsid w:val="007C0329"/>
    <w:rsid w:val="007C07F6"/>
    <w:rsid w:val="007C1033"/>
    <w:rsid w:val="007C2C50"/>
    <w:rsid w:val="007C5820"/>
    <w:rsid w:val="007C7465"/>
    <w:rsid w:val="007D2175"/>
    <w:rsid w:val="007D2FEC"/>
    <w:rsid w:val="007D42E7"/>
    <w:rsid w:val="007D5C10"/>
    <w:rsid w:val="007E16C8"/>
    <w:rsid w:val="007E1AC2"/>
    <w:rsid w:val="007E53FF"/>
    <w:rsid w:val="007E6402"/>
    <w:rsid w:val="007E67D5"/>
    <w:rsid w:val="007E6F7F"/>
    <w:rsid w:val="007E7A88"/>
    <w:rsid w:val="007F0197"/>
    <w:rsid w:val="007F0C87"/>
    <w:rsid w:val="007F1402"/>
    <w:rsid w:val="007F2301"/>
    <w:rsid w:val="007F64C0"/>
    <w:rsid w:val="0080033D"/>
    <w:rsid w:val="00800A9F"/>
    <w:rsid w:val="00801335"/>
    <w:rsid w:val="00805A7A"/>
    <w:rsid w:val="00805F2E"/>
    <w:rsid w:val="00806BB3"/>
    <w:rsid w:val="00806BE9"/>
    <w:rsid w:val="00807072"/>
    <w:rsid w:val="00807401"/>
    <w:rsid w:val="00810902"/>
    <w:rsid w:val="00811A25"/>
    <w:rsid w:val="00811F94"/>
    <w:rsid w:val="00812583"/>
    <w:rsid w:val="00813A33"/>
    <w:rsid w:val="008143CC"/>
    <w:rsid w:val="008143D1"/>
    <w:rsid w:val="0081445B"/>
    <w:rsid w:val="00815297"/>
    <w:rsid w:val="008168E2"/>
    <w:rsid w:val="00816A29"/>
    <w:rsid w:val="00820A94"/>
    <w:rsid w:val="00820F37"/>
    <w:rsid w:val="0082124A"/>
    <w:rsid w:val="00822546"/>
    <w:rsid w:val="008225B4"/>
    <w:rsid w:val="00822FD6"/>
    <w:rsid w:val="0082391A"/>
    <w:rsid w:val="0082507C"/>
    <w:rsid w:val="008268A7"/>
    <w:rsid w:val="00826953"/>
    <w:rsid w:val="008274A4"/>
    <w:rsid w:val="00830F1B"/>
    <w:rsid w:val="00832DBF"/>
    <w:rsid w:val="008334AE"/>
    <w:rsid w:val="00833560"/>
    <w:rsid w:val="00836508"/>
    <w:rsid w:val="00836E06"/>
    <w:rsid w:val="008422AB"/>
    <w:rsid w:val="00842A4E"/>
    <w:rsid w:val="0084364F"/>
    <w:rsid w:val="0084367A"/>
    <w:rsid w:val="00843C14"/>
    <w:rsid w:val="008460EA"/>
    <w:rsid w:val="00846296"/>
    <w:rsid w:val="008464FC"/>
    <w:rsid w:val="00847178"/>
    <w:rsid w:val="00852396"/>
    <w:rsid w:val="00854772"/>
    <w:rsid w:val="0085557E"/>
    <w:rsid w:val="008561FF"/>
    <w:rsid w:val="00856DAA"/>
    <w:rsid w:val="00860E5A"/>
    <w:rsid w:val="00861662"/>
    <w:rsid w:val="00867DE9"/>
    <w:rsid w:val="00870568"/>
    <w:rsid w:val="0087067E"/>
    <w:rsid w:val="00870727"/>
    <w:rsid w:val="00870BEA"/>
    <w:rsid w:val="00872993"/>
    <w:rsid w:val="00873D4F"/>
    <w:rsid w:val="0087426A"/>
    <w:rsid w:val="00876EFF"/>
    <w:rsid w:val="00880D4D"/>
    <w:rsid w:val="008839BE"/>
    <w:rsid w:val="008843E9"/>
    <w:rsid w:val="00884A40"/>
    <w:rsid w:val="0088517F"/>
    <w:rsid w:val="0088608E"/>
    <w:rsid w:val="008871FA"/>
    <w:rsid w:val="008948AC"/>
    <w:rsid w:val="0089501F"/>
    <w:rsid w:val="00895370"/>
    <w:rsid w:val="00895C7C"/>
    <w:rsid w:val="00895F61"/>
    <w:rsid w:val="0089676D"/>
    <w:rsid w:val="00896CE8"/>
    <w:rsid w:val="008A046E"/>
    <w:rsid w:val="008A09F4"/>
    <w:rsid w:val="008A0A8D"/>
    <w:rsid w:val="008A0D1F"/>
    <w:rsid w:val="008A0EC8"/>
    <w:rsid w:val="008A2276"/>
    <w:rsid w:val="008A2DBE"/>
    <w:rsid w:val="008A3689"/>
    <w:rsid w:val="008A381C"/>
    <w:rsid w:val="008A3BF5"/>
    <w:rsid w:val="008A475E"/>
    <w:rsid w:val="008A4AF8"/>
    <w:rsid w:val="008A4CEA"/>
    <w:rsid w:val="008A583E"/>
    <w:rsid w:val="008A5B6B"/>
    <w:rsid w:val="008A7E71"/>
    <w:rsid w:val="008B007A"/>
    <w:rsid w:val="008B35A5"/>
    <w:rsid w:val="008B3600"/>
    <w:rsid w:val="008B4216"/>
    <w:rsid w:val="008B7054"/>
    <w:rsid w:val="008B740D"/>
    <w:rsid w:val="008C0FCB"/>
    <w:rsid w:val="008C115C"/>
    <w:rsid w:val="008C22AD"/>
    <w:rsid w:val="008C3C2B"/>
    <w:rsid w:val="008C7321"/>
    <w:rsid w:val="008C75C4"/>
    <w:rsid w:val="008D1B5E"/>
    <w:rsid w:val="008D2326"/>
    <w:rsid w:val="008D251D"/>
    <w:rsid w:val="008D3AB2"/>
    <w:rsid w:val="008D3DBB"/>
    <w:rsid w:val="008D614B"/>
    <w:rsid w:val="008E30DD"/>
    <w:rsid w:val="008E4A4E"/>
    <w:rsid w:val="008E5102"/>
    <w:rsid w:val="008E6771"/>
    <w:rsid w:val="008E6C96"/>
    <w:rsid w:val="008E774B"/>
    <w:rsid w:val="008F2631"/>
    <w:rsid w:val="008F2B93"/>
    <w:rsid w:val="008F7905"/>
    <w:rsid w:val="008F7D48"/>
    <w:rsid w:val="009001B1"/>
    <w:rsid w:val="00900BD8"/>
    <w:rsid w:val="00901F8F"/>
    <w:rsid w:val="009045B4"/>
    <w:rsid w:val="00906C29"/>
    <w:rsid w:val="00907862"/>
    <w:rsid w:val="0090792E"/>
    <w:rsid w:val="00907F16"/>
    <w:rsid w:val="00910249"/>
    <w:rsid w:val="009118A0"/>
    <w:rsid w:val="00912F9F"/>
    <w:rsid w:val="009133D2"/>
    <w:rsid w:val="00913B30"/>
    <w:rsid w:val="00913B61"/>
    <w:rsid w:val="00913DAA"/>
    <w:rsid w:val="00914A35"/>
    <w:rsid w:val="0092043E"/>
    <w:rsid w:val="009207A4"/>
    <w:rsid w:val="00921C43"/>
    <w:rsid w:val="00921F94"/>
    <w:rsid w:val="00923238"/>
    <w:rsid w:val="00923A95"/>
    <w:rsid w:val="00925601"/>
    <w:rsid w:val="00925CD6"/>
    <w:rsid w:val="009261AE"/>
    <w:rsid w:val="00926997"/>
    <w:rsid w:val="00926B86"/>
    <w:rsid w:val="00927B10"/>
    <w:rsid w:val="00927F68"/>
    <w:rsid w:val="009322A0"/>
    <w:rsid w:val="00934A33"/>
    <w:rsid w:val="00935656"/>
    <w:rsid w:val="009428D7"/>
    <w:rsid w:val="00944BA7"/>
    <w:rsid w:val="009454F9"/>
    <w:rsid w:val="0094778B"/>
    <w:rsid w:val="00947C22"/>
    <w:rsid w:val="00950757"/>
    <w:rsid w:val="00950F26"/>
    <w:rsid w:val="00952965"/>
    <w:rsid w:val="00952B6F"/>
    <w:rsid w:val="009533F7"/>
    <w:rsid w:val="00953D84"/>
    <w:rsid w:val="00954499"/>
    <w:rsid w:val="0095488B"/>
    <w:rsid w:val="00954EED"/>
    <w:rsid w:val="009556C6"/>
    <w:rsid w:val="00955893"/>
    <w:rsid w:val="00957CFA"/>
    <w:rsid w:val="009608A0"/>
    <w:rsid w:val="009615C7"/>
    <w:rsid w:val="00961AF3"/>
    <w:rsid w:val="00962DED"/>
    <w:rsid w:val="00966A97"/>
    <w:rsid w:val="00966E0D"/>
    <w:rsid w:val="00971C82"/>
    <w:rsid w:val="00971F2C"/>
    <w:rsid w:val="00972F55"/>
    <w:rsid w:val="0097369D"/>
    <w:rsid w:val="0097469A"/>
    <w:rsid w:val="00977F16"/>
    <w:rsid w:val="0098007A"/>
    <w:rsid w:val="00980FD0"/>
    <w:rsid w:val="00981211"/>
    <w:rsid w:val="00982B83"/>
    <w:rsid w:val="00983463"/>
    <w:rsid w:val="00984C0D"/>
    <w:rsid w:val="0098566E"/>
    <w:rsid w:val="00985BCB"/>
    <w:rsid w:val="00986FAD"/>
    <w:rsid w:val="00987B0E"/>
    <w:rsid w:val="0099009F"/>
    <w:rsid w:val="0099216A"/>
    <w:rsid w:val="00996942"/>
    <w:rsid w:val="009969AC"/>
    <w:rsid w:val="009A3982"/>
    <w:rsid w:val="009A3A62"/>
    <w:rsid w:val="009A3ED6"/>
    <w:rsid w:val="009A4C7F"/>
    <w:rsid w:val="009A7EA2"/>
    <w:rsid w:val="009B2078"/>
    <w:rsid w:val="009B26B2"/>
    <w:rsid w:val="009B3884"/>
    <w:rsid w:val="009B41D2"/>
    <w:rsid w:val="009B4212"/>
    <w:rsid w:val="009B533C"/>
    <w:rsid w:val="009B57E0"/>
    <w:rsid w:val="009B65CF"/>
    <w:rsid w:val="009C08FE"/>
    <w:rsid w:val="009C3F7E"/>
    <w:rsid w:val="009C4AAE"/>
    <w:rsid w:val="009C4DE8"/>
    <w:rsid w:val="009C6D89"/>
    <w:rsid w:val="009C7626"/>
    <w:rsid w:val="009D0D01"/>
    <w:rsid w:val="009D3E2B"/>
    <w:rsid w:val="009D44C9"/>
    <w:rsid w:val="009D47E5"/>
    <w:rsid w:val="009D4841"/>
    <w:rsid w:val="009D69BE"/>
    <w:rsid w:val="009D78E5"/>
    <w:rsid w:val="009E0A84"/>
    <w:rsid w:val="009E2853"/>
    <w:rsid w:val="009E411C"/>
    <w:rsid w:val="009E59D7"/>
    <w:rsid w:val="009E5B23"/>
    <w:rsid w:val="009E5D90"/>
    <w:rsid w:val="009F0F8E"/>
    <w:rsid w:val="009F1F57"/>
    <w:rsid w:val="009F25A2"/>
    <w:rsid w:val="009F3E11"/>
    <w:rsid w:val="009F3FE1"/>
    <w:rsid w:val="009F4E87"/>
    <w:rsid w:val="009F53A5"/>
    <w:rsid w:val="009F5879"/>
    <w:rsid w:val="009F5B62"/>
    <w:rsid w:val="009F61A7"/>
    <w:rsid w:val="00A01902"/>
    <w:rsid w:val="00A01C18"/>
    <w:rsid w:val="00A0203F"/>
    <w:rsid w:val="00A038E1"/>
    <w:rsid w:val="00A04270"/>
    <w:rsid w:val="00A0506D"/>
    <w:rsid w:val="00A063D0"/>
    <w:rsid w:val="00A06494"/>
    <w:rsid w:val="00A070BC"/>
    <w:rsid w:val="00A101E3"/>
    <w:rsid w:val="00A104DD"/>
    <w:rsid w:val="00A10943"/>
    <w:rsid w:val="00A13CA5"/>
    <w:rsid w:val="00A13F97"/>
    <w:rsid w:val="00A15F89"/>
    <w:rsid w:val="00A16593"/>
    <w:rsid w:val="00A17D78"/>
    <w:rsid w:val="00A21C3D"/>
    <w:rsid w:val="00A21CE1"/>
    <w:rsid w:val="00A245E5"/>
    <w:rsid w:val="00A246A9"/>
    <w:rsid w:val="00A25267"/>
    <w:rsid w:val="00A2696F"/>
    <w:rsid w:val="00A26AB3"/>
    <w:rsid w:val="00A27125"/>
    <w:rsid w:val="00A27BEE"/>
    <w:rsid w:val="00A32231"/>
    <w:rsid w:val="00A3237A"/>
    <w:rsid w:val="00A3522A"/>
    <w:rsid w:val="00A352A1"/>
    <w:rsid w:val="00A3585A"/>
    <w:rsid w:val="00A36248"/>
    <w:rsid w:val="00A37382"/>
    <w:rsid w:val="00A41504"/>
    <w:rsid w:val="00A419E5"/>
    <w:rsid w:val="00A43075"/>
    <w:rsid w:val="00A46257"/>
    <w:rsid w:val="00A47A6A"/>
    <w:rsid w:val="00A50139"/>
    <w:rsid w:val="00A53808"/>
    <w:rsid w:val="00A5644B"/>
    <w:rsid w:val="00A56B98"/>
    <w:rsid w:val="00A61CD6"/>
    <w:rsid w:val="00A6202F"/>
    <w:rsid w:val="00A620DD"/>
    <w:rsid w:val="00A64BBA"/>
    <w:rsid w:val="00A7031D"/>
    <w:rsid w:val="00A70440"/>
    <w:rsid w:val="00A723EA"/>
    <w:rsid w:val="00A73353"/>
    <w:rsid w:val="00A74F25"/>
    <w:rsid w:val="00A766C6"/>
    <w:rsid w:val="00A81138"/>
    <w:rsid w:val="00A83D75"/>
    <w:rsid w:val="00A84AB9"/>
    <w:rsid w:val="00A86D94"/>
    <w:rsid w:val="00A86DBF"/>
    <w:rsid w:val="00A90182"/>
    <w:rsid w:val="00A903EA"/>
    <w:rsid w:val="00A92CAD"/>
    <w:rsid w:val="00A93209"/>
    <w:rsid w:val="00A93473"/>
    <w:rsid w:val="00A96A42"/>
    <w:rsid w:val="00AA01DB"/>
    <w:rsid w:val="00AA062D"/>
    <w:rsid w:val="00AA0844"/>
    <w:rsid w:val="00AA10D9"/>
    <w:rsid w:val="00AA3CE7"/>
    <w:rsid w:val="00AA44BE"/>
    <w:rsid w:val="00AA6E10"/>
    <w:rsid w:val="00AA7E18"/>
    <w:rsid w:val="00AB01E0"/>
    <w:rsid w:val="00AB09A1"/>
    <w:rsid w:val="00AB1A08"/>
    <w:rsid w:val="00AB1D9C"/>
    <w:rsid w:val="00AB3D14"/>
    <w:rsid w:val="00AB65AE"/>
    <w:rsid w:val="00AB7045"/>
    <w:rsid w:val="00AC1E3C"/>
    <w:rsid w:val="00AC2908"/>
    <w:rsid w:val="00AC4D03"/>
    <w:rsid w:val="00AC54D8"/>
    <w:rsid w:val="00AC7BE3"/>
    <w:rsid w:val="00AD065B"/>
    <w:rsid w:val="00AD1901"/>
    <w:rsid w:val="00AD397F"/>
    <w:rsid w:val="00AD519C"/>
    <w:rsid w:val="00AD57B5"/>
    <w:rsid w:val="00AD75A0"/>
    <w:rsid w:val="00AE053D"/>
    <w:rsid w:val="00AE0A46"/>
    <w:rsid w:val="00AE2549"/>
    <w:rsid w:val="00AE27C3"/>
    <w:rsid w:val="00AE2D7D"/>
    <w:rsid w:val="00AE4C6E"/>
    <w:rsid w:val="00AE7F08"/>
    <w:rsid w:val="00AF1E3A"/>
    <w:rsid w:val="00AF2353"/>
    <w:rsid w:val="00AF29BA"/>
    <w:rsid w:val="00AF29CE"/>
    <w:rsid w:val="00AF6D3C"/>
    <w:rsid w:val="00AF6E5A"/>
    <w:rsid w:val="00B0090E"/>
    <w:rsid w:val="00B00B62"/>
    <w:rsid w:val="00B03923"/>
    <w:rsid w:val="00B05944"/>
    <w:rsid w:val="00B06D85"/>
    <w:rsid w:val="00B108D6"/>
    <w:rsid w:val="00B1098B"/>
    <w:rsid w:val="00B112C7"/>
    <w:rsid w:val="00B1198E"/>
    <w:rsid w:val="00B160F6"/>
    <w:rsid w:val="00B204A8"/>
    <w:rsid w:val="00B21114"/>
    <w:rsid w:val="00B21278"/>
    <w:rsid w:val="00B21652"/>
    <w:rsid w:val="00B220AC"/>
    <w:rsid w:val="00B2251C"/>
    <w:rsid w:val="00B23A73"/>
    <w:rsid w:val="00B23FF4"/>
    <w:rsid w:val="00B240D0"/>
    <w:rsid w:val="00B2590B"/>
    <w:rsid w:val="00B25AA6"/>
    <w:rsid w:val="00B30863"/>
    <w:rsid w:val="00B32C0D"/>
    <w:rsid w:val="00B350B0"/>
    <w:rsid w:val="00B350B3"/>
    <w:rsid w:val="00B353B2"/>
    <w:rsid w:val="00B3563B"/>
    <w:rsid w:val="00B361BB"/>
    <w:rsid w:val="00B36856"/>
    <w:rsid w:val="00B368D9"/>
    <w:rsid w:val="00B37C57"/>
    <w:rsid w:val="00B37D2D"/>
    <w:rsid w:val="00B4022D"/>
    <w:rsid w:val="00B42ECD"/>
    <w:rsid w:val="00B4342E"/>
    <w:rsid w:val="00B440A2"/>
    <w:rsid w:val="00B44EEC"/>
    <w:rsid w:val="00B45256"/>
    <w:rsid w:val="00B46F55"/>
    <w:rsid w:val="00B5336D"/>
    <w:rsid w:val="00B542A0"/>
    <w:rsid w:val="00B544D6"/>
    <w:rsid w:val="00B54C46"/>
    <w:rsid w:val="00B559CA"/>
    <w:rsid w:val="00B564A3"/>
    <w:rsid w:val="00B60015"/>
    <w:rsid w:val="00B61804"/>
    <w:rsid w:val="00B62E56"/>
    <w:rsid w:val="00B6306F"/>
    <w:rsid w:val="00B65DF5"/>
    <w:rsid w:val="00B703FF"/>
    <w:rsid w:val="00B7051B"/>
    <w:rsid w:val="00B71299"/>
    <w:rsid w:val="00B71838"/>
    <w:rsid w:val="00B71C1F"/>
    <w:rsid w:val="00B74B7A"/>
    <w:rsid w:val="00B76A3B"/>
    <w:rsid w:val="00B80807"/>
    <w:rsid w:val="00B81322"/>
    <w:rsid w:val="00B82876"/>
    <w:rsid w:val="00B839FC"/>
    <w:rsid w:val="00B859F1"/>
    <w:rsid w:val="00B85DA7"/>
    <w:rsid w:val="00B862CC"/>
    <w:rsid w:val="00B86630"/>
    <w:rsid w:val="00B873C3"/>
    <w:rsid w:val="00B90AE0"/>
    <w:rsid w:val="00B90D94"/>
    <w:rsid w:val="00B924D6"/>
    <w:rsid w:val="00B930F6"/>
    <w:rsid w:val="00B93FC3"/>
    <w:rsid w:val="00B9422A"/>
    <w:rsid w:val="00B9518F"/>
    <w:rsid w:val="00B95CFC"/>
    <w:rsid w:val="00B960A5"/>
    <w:rsid w:val="00B96881"/>
    <w:rsid w:val="00BA10C2"/>
    <w:rsid w:val="00BA2284"/>
    <w:rsid w:val="00BA6A0F"/>
    <w:rsid w:val="00BA6CF9"/>
    <w:rsid w:val="00BB0623"/>
    <w:rsid w:val="00BB126C"/>
    <w:rsid w:val="00BB204F"/>
    <w:rsid w:val="00BB2358"/>
    <w:rsid w:val="00BB2C1A"/>
    <w:rsid w:val="00BB7F82"/>
    <w:rsid w:val="00BC005C"/>
    <w:rsid w:val="00BC1462"/>
    <w:rsid w:val="00BC2AB2"/>
    <w:rsid w:val="00BC4B55"/>
    <w:rsid w:val="00BC4F68"/>
    <w:rsid w:val="00BC66EB"/>
    <w:rsid w:val="00BC67F7"/>
    <w:rsid w:val="00BC751E"/>
    <w:rsid w:val="00BD0295"/>
    <w:rsid w:val="00BD13E7"/>
    <w:rsid w:val="00BD27C8"/>
    <w:rsid w:val="00BD2D7E"/>
    <w:rsid w:val="00BD310C"/>
    <w:rsid w:val="00BD3200"/>
    <w:rsid w:val="00BD3A23"/>
    <w:rsid w:val="00BD4BBE"/>
    <w:rsid w:val="00BD4FD3"/>
    <w:rsid w:val="00BE1FE7"/>
    <w:rsid w:val="00BE32ED"/>
    <w:rsid w:val="00BE3691"/>
    <w:rsid w:val="00BE4978"/>
    <w:rsid w:val="00BE4A3A"/>
    <w:rsid w:val="00BE64D6"/>
    <w:rsid w:val="00BE7B3E"/>
    <w:rsid w:val="00BF24DC"/>
    <w:rsid w:val="00BF2C5A"/>
    <w:rsid w:val="00BF3CF6"/>
    <w:rsid w:val="00BF41DA"/>
    <w:rsid w:val="00BF4A6A"/>
    <w:rsid w:val="00BF4FB5"/>
    <w:rsid w:val="00BF57F7"/>
    <w:rsid w:val="00BF5A45"/>
    <w:rsid w:val="00BF5C40"/>
    <w:rsid w:val="00BF6E03"/>
    <w:rsid w:val="00C006D5"/>
    <w:rsid w:val="00C00AA3"/>
    <w:rsid w:val="00C01912"/>
    <w:rsid w:val="00C01E9C"/>
    <w:rsid w:val="00C021AD"/>
    <w:rsid w:val="00C024D8"/>
    <w:rsid w:val="00C03718"/>
    <w:rsid w:val="00C0447F"/>
    <w:rsid w:val="00C052CC"/>
    <w:rsid w:val="00C06268"/>
    <w:rsid w:val="00C062C1"/>
    <w:rsid w:val="00C079FF"/>
    <w:rsid w:val="00C10685"/>
    <w:rsid w:val="00C10926"/>
    <w:rsid w:val="00C114A2"/>
    <w:rsid w:val="00C114A5"/>
    <w:rsid w:val="00C120AC"/>
    <w:rsid w:val="00C13BEB"/>
    <w:rsid w:val="00C13D02"/>
    <w:rsid w:val="00C15231"/>
    <w:rsid w:val="00C15566"/>
    <w:rsid w:val="00C242E8"/>
    <w:rsid w:val="00C25510"/>
    <w:rsid w:val="00C267AD"/>
    <w:rsid w:val="00C312FC"/>
    <w:rsid w:val="00C3240E"/>
    <w:rsid w:val="00C329D4"/>
    <w:rsid w:val="00C342C2"/>
    <w:rsid w:val="00C34FE9"/>
    <w:rsid w:val="00C35D67"/>
    <w:rsid w:val="00C37199"/>
    <w:rsid w:val="00C405A7"/>
    <w:rsid w:val="00C41223"/>
    <w:rsid w:val="00C44C70"/>
    <w:rsid w:val="00C451DC"/>
    <w:rsid w:val="00C46966"/>
    <w:rsid w:val="00C479DB"/>
    <w:rsid w:val="00C50D6C"/>
    <w:rsid w:val="00C5361F"/>
    <w:rsid w:val="00C55A43"/>
    <w:rsid w:val="00C5617D"/>
    <w:rsid w:val="00C60E74"/>
    <w:rsid w:val="00C6656F"/>
    <w:rsid w:val="00C67727"/>
    <w:rsid w:val="00C73BD5"/>
    <w:rsid w:val="00C7566F"/>
    <w:rsid w:val="00C766C6"/>
    <w:rsid w:val="00C77CA7"/>
    <w:rsid w:val="00C77D41"/>
    <w:rsid w:val="00C8101F"/>
    <w:rsid w:val="00C81E26"/>
    <w:rsid w:val="00C82637"/>
    <w:rsid w:val="00C82765"/>
    <w:rsid w:val="00C82C50"/>
    <w:rsid w:val="00C8304B"/>
    <w:rsid w:val="00C83466"/>
    <w:rsid w:val="00C85C78"/>
    <w:rsid w:val="00C8600E"/>
    <w:rsid w:val="00C861CA"/>
    <w:rsid w:val="00C8661B"/>
    <w:rsid w:val="00C8715E"/>
    <w:rsid w:val="00C873AD"/>
    <w:rsid w:val="00C875D1"/>
    <w:rsid w:val="00C87F3D"/>
    <w:rsid w:val="00C928F5"/>
    <w:rsid w:val="00C92F34"/>
    <w:rsid w:val="00C937F0"/>
    <w:rsid w:val="00C94905"/>
    <w:rsid w:val="00C95881"/>
    <w:rsid w:val="00CA0009"/>
    <w:rsid w:val="00CA13E6"/>
    <w:rsid w:val="00CA2396"/>
    <w:rsid w:val="00CA2560"/>
    <w:rsid w:val="00CA2DC0"/>
    <w:rsid w:val="00CA304B"/>
    <w:rsid w:val="00CA5DF5"/>
    <w:rsid w:val="00CA6956"/>
    <w:rsid w:val="00CA69A6"/>
    <w:rsid w:val="00CB0FA5"/>
    <w:rsid w:val="00CB174C"/>
    <w:rsid w:val="00CB2D8D"/>
    <w:rsid w:val="00CB3C96"/>
    <w:rsid w:val="00CB40E0"/>
    <w:rsid w:val="00CB4550"/>
    <w:rsid w:val="00CB49EE"/>
    <w:rsid w:val="00CB5002"/>
    <w:rsid w:val="00CB5BC9"/>
    <w:rsid w:val="00CB6149"/>
    <w:rsid w:val="00CB6694"/>
    <w:rsid w:val="00CB74D0"/>
    <w:rsid w:val="00CC13D2"/>
    <w:rsid w:val="00CC2A6E"/>
    <w:rsid w:val="00CC4287"/>
    <w:rsid w:val="00CC4451"/>
    <w:rsid w:val="00CC7F18"/>
    <w:rsid w:val="00CD012C"/>
    <w:rsid w:val="00CD15F0"/>
    <w:rsid w:val="00CD256B"/>
    <w:rsid w:val="00CD4109"/>
    <w:rsid w:val="00CD4BA0"/>
    <w:rsid w:val="00CD5FFC"/>
    <w:rsid w:val="00CD6F1A"/>
    <w:rsid w:val="00CD7649"/>
    <w:rsid w:val="00CE212F"/>
    <w:rsid w:val="00CE276D"/>
    <w:rsid w:val="00CE5226"/>
    <w:rsid w:val="00CE606A"/>
    <w:rsid w:val="00CE6AEF"/>
    <w:rsid w:val="00CE6D88"/>
    <w:rsid w:val="00CE7CC4"/>
    <w:rsid w:val="00CF070D"/>
    <w:rsid w:val="00CF2FDE"/>
    <w:rsid w:val="00CF4C80"/>
    <w:rsid w:val="00CF5676"/>
    <w:rsid w:val="00CF5DDF"/>
    <w:rsid w:val="00CF6DD7"/>
    <w:rsid w:val="00CF78C5"/>
    <w:rsid w:val="00CF7C44"/>
    <w:rsid w:val="00D02615"/>
    <w:rsid w:val="00D02E05"/>
    <w:rsid w:val="00D05D5E"/>
    <w:rsid w:val="00D076A4"/>
    <w:rsid w:val="00D118DA"/>
    <w:rsid w:val="00D11BD9"/>
    <w:rsid w:val="00D1282F"/>
    <w:rsid w:val="00D13508"/>
    <w:rsid w:val="00D13AC5"/>
    <w:rsid w:val="00D16D15"/>
    <w:rsid w:val="00D20342"/>
    <w:rsid w:val="00D204A6"/>
    <w:rsid w:val="00D20847"/>
    <w:rsid w:val="00D219DF"/>
    <w:rsid w:val="00D21EC3"/>
    <w:rsid w:val="00D222B1"/>
    <w:rsid w:val="00D2395F"/>
    <w:rsid w:val="00D24A96"/>
    <w:rsid w:val="00D2621F"/>
    <w:rsid w:val="00D27602"/>
    <w:rsid w:val="00D31995"/>
    <w:rsid w:val="00D33828"/>
    <w:rsid w:val="00D34969"/>
    <w:rsid w:val="00D35453"/>
    <w:rsid w:val="00D3579B"/>
    <w:rsid w:val="00D438F7"/>
    <w:rsid w:val="00D46506"/>
    <w:rsid w:val="00D47B40"/>
    <w:rsid w:val="00D47E3D"/>
    <w:rsid w:val="00D50201"/>
    <w:rsid w:val="00D50C14"/>
    <w:rsid w:val="00D51987"/>
    <w:rsid w:val="00D520A3"/>
    <w:rsid w:val="00D531CD"/>
    <w:rsid w:val="00D55C41"/>
    <w:rsid w:val="00D60EE4"/>
    <w:rsid w:val="00D62614"/>
    <w:rsid w:val="00D63816"/>
    <w:rsid w:val="00D64D49"/>
    <w:rsid w:val="00D65CC8"/>
    <w:rsid w:val="00D66441"/>
    <w:rsid w:val="00D664D8"/>
    <w:rsid w:val="00D66D11"/>
    <w:rsid w:val="00D674C9"/>
    <w:rsid w:val="00D7408D"/>
    <w:rsid w:val="00D743FA"/>
    <w:rsid w:val="00D748CF"/>
    <w:rsid w:val="00D74CE7"/>
    <w:rsid w:val="00D7640E"/>
    <w:rsid w:val="00D766FD"/>
    <w:rsid w:val="00D76F14"/>
    <w:rsid w:val="00D81BE8"/>
    <w:rsid w:val="00D871F7"/>
    <w:rsid w:val="00D879AD"/>
    <w:rsid w:val="00D925B6"/>
    <w:rsid w:val="00D92D9E"/>
    <w:rsid w:val="00D9389C"/>
    <w:rsid w:val="00D94926"/>
    <w:rsid w:val="00D94A1E"/>
    <w:rsid w:val="00D954A3"/>
    <w:rsid w:val="00D95676"/>
    <w:rsid w:val="00D95DCA"/>
    <w:rsid w:val="00D95EFC"/>
    <w:rsid w:val="00D96B80"/>
    <w:rsid w:val="00D972E7"/>
    <w:rsid w:val="00DA2A77"/>
    <w:rsid w:val="00DA31C9"/>
    <w:rsid w:val="00DA3242"/>
    <w:rsid w:val="00DA4514"/>
    <w:rsid w:val="00DA4D85"/>
    <w:rsid w:val="00DA5F3F"/>
    <w:rsid w:val="00DA614E"/>
    <w:rsid w:val="00DA6479"/>
    <w:rsid w:val="00DB0776"/>
    <w:rsid w:val="00DB2964"/>
    <w:rsid w:val="00DB3BE4"/>
    <w:rsid w:val="00DB4AE5"/>
    <w:rsid w:val="00DB7853"/>
    <w:rsid w:val="00DC0C3C"/>
    <w:rsid w:val="00DC18DD"/>
    <w:rsid w:val="00DC2027"/>
    <w:rsid w:val="00DC310A"/>
    <w:rsid w:val="00DC3796"/>
    <w:rsid w:val="00DC4A78"/>
    <w:rsid w:val="00DC5DEE"/>
    <w:rsid w:val="00DC6BFE"/>
    <w:rsid w:val="00DC6EC1"/>
    <w:rsid w:val="00DC7E74"/>
    <w:rsid w:val="00DD0660"/>
    <w:rsid w:val="00DD1943"/>
    <w:rsid w:val="00DD25A5"/>
    <w:rsid w:val="00DD2E01"/>
    <w:rsid w:val="00DD363B"/>
    <w:rsid w:val="00DD568D"/>
    <w:rsid w:val="00DD7AB0"/>
    <w:rsid w:val="00DE44DE"/>
    <w:rsid w:val="00DE4F7C"/>
    <w:rsid w:val="00DE65D0"/>
    <w:rsid w:val="00DE73BE"/>
    <w:rsid w:val="00DE7E91"/>
    <w:rsid w:val="00DF0E13"/>
    <w:rsid w:val="00DF2AB8"/>
    <w:rsid w:val="00DF2BF9"/>
    <w:rsid w:val="00DF3717"/>
    <w:rsid w:val="00DF446D"/>
    <w:rsid w:val="00DF48CE"/>
    <w:rsid w:val="00DF4957"/>
    <w:rsid w:val="00DF4BB4"/>
    <w:rsid w:val="00DF75D4"/>
    <w:rsid w:val="00E0442C"/>
    <w:rsid w:val="00E04C85"/>
    <w:rsid w:val="00E062AD"/>
    <w:rsid w:val="00E1062A"/>
    <w:rsid w:val="00E12552"/>
    <w:rsid w:val="00E12670"/>
    <w:rsid w:val="00E12CDB"/>
    <w:rsid w:val="00E13C85"/>
    <w:rsid w:val="00E140DB"/>
    <w:rsid w:val="00E145EA"/>
    <w:rsid w:val="00E15472"/>
    <w:rsid w:val="00E16F85"/>
    <w:rsid w:val="00E200E1"/>
    <w:rsid w:val="00E21218"/>
    <w:rsid w:val="00E2244D"/>
    <w:rsid w:val="00E24640"/>
    <w:rsid w:val="00E24732"/>
    <w:rsid w:val="00E2473B"/>
    <w:rsid w:val="00E24B76"/>
    <w:rsid w:val="00E24E36"/>
    <w:rsid w:val="00E25A21"/>
    <w:rsid w:val="00E26B2F"/>
    <w:rsid w:val="00E302B0"/>
    <w:rsid w:val="00E309FF"/>
    <w:rsid w:val="00E31932"/>
    <w:rsid w:val="00E31C1B"/>
    <w:rsid w:val="00E3280F"/>
    <w:rsid w:val="00E33ADC"/>
    <w:rsid w:val="00E34149"/>
    <w:rsid w:val="00E36939"/>
    <w:rsid w:val="00E37CAD"/>
    <w:rsid w:val="00E401CD"/>
    <w:rsid w:val="00E4548E"/>
    <w:rsid w:val="00E51C8F"/>
    <w:rsid w:val="00E54EC9"/>
    <w:rsid w:val="00E56AAD"/>
    <w:rsid w:val="00E56E2E"/>
    <w:rsid w:val="00E57951"/>
    <w:rsid w:val="00E60BC8"/>
    <w:rsid w:val="00E60FFD"/>
    <w:rsid w:val="00E627DB"/>
    <w:rsid w:val="00E64E60"/>
    <w:rsid w:val="00E655FD"/>
    <w:rsid w:val="00E669C2"/>
    <w:rsid w:val="00E678B6"/>
    <w:rsid w:val="00E70184"/>
    <w:rsid w:val="00E749E5"/>
    <w:rsid w:val="00E75291"/>
    <w:rsid w:val="00E75929"/>
    <w:rsid w:val="00E759A4"/>
    <w:rsid w:val="00E77DD3"/>
    <w:rsid w:val="00E8031B"/>
    <w:rsid w:val="00E80CAD"/>
    <w:rsid w:val="00E816E3"/>
    <w:rsid w:val="00E81A27"/>
    <w:rsid w:val="00E83689"/>
    <w:rsid w:val="00E83907"/>
    <w:rsid w:val="00E86C77"/>
    <w:rsid w:val="00E870E0"/>
    <w:rsid w:val="00E8764F"/>
    <w:rsid w:val="00E9082A"/>
    <w:rsid w:val="00E90D07"/>
    <w:rsid w:val="00E9435F"/>
    <w:rsid w:val="00E954BF"/>
    <w:rsid w:val="00E957BA"/>
    <w:rsid w:val="00E96121"/>
    <w:rsid w:val="00E96555"/>
    <w:rsid w:val="00E96960"/>
    <w:rsid w:val="00EA0B55"/>
    <w:rsid w:val="00EA0C8B"/>
    <w:rsid w:val="00EA12B6"/>
    <w:rsid w:val="00EA1496"/>
    <w:rsid w:val="00EA29A3"/>
    <w:rsid w:val="00EA2B2B"/>
    <w:rsid w:val="00EA2B62"/>
    <w:rsid w:val="00EA2B8A"/>
    <w:rsid w:val="00EA566E"/>
    <w:rsid w:val="00EA5911"/>
    <w:rsid w:val="00EA74D6"/>
    <w:rsid w:val="00EA76F9"/>
    <w:rsid w:val="00EB106E"/>
    <w:rsid w:val="00EB1B58"/>
    <w:rsid w:val="00EB1C19"/>
    <w:rsid w:val="00EB25D4"/>
    <w:rsid w:val="00EB27B7"/>
    <w:rsid w:val="00EB2A4D"/>
    <w:rsid w:val="00EB2BFD"/>
    <w:rsid w:val="00EB3012"/>
    <w:rsid w:val="00EB3C3E"/>
    <w:rsid w:val="00EB46DD"/>
    <w:rsid w:val="00EB4A2A"/>
    <w:rsid w:val="00EB57DA"/>
    <w:rsid w:val="00EB5A16"/>
    <w:rsid w:val="00EB5DC2"/>
    <w:rsid w:val="00EC0F17"/>
    <w:rsid w:val="00EC38EC"/>
    <w:rsid w:val="00EC3A70"/>
    <w:rsid w:val="00EC41BB"/>
    <w:rsid w:val="00EC6E75"/>
    <w:rsid w:val="00EC7B33"/>
    <w:rsid w:val="00ED0C05"/>
    <w:rsid w:val="00ED1B91"/>
    <w:rsid w:val="00ED1CBA"/>
    <w:rsid w:val="00ED20F2"/>
    <w:rsid w:val="00ED2A25"/>
    <w:rsid w:val="00ED33BF"/>
    <w:rsid w:val="00ED3B44"/>
    <w:rsid w:val="00ED4113"/>
    <w:rsid w:val="00ED4121"/>
    <w:rsid w:val="00ED705A"/>
    <w:rsid w:val="00ED7203"/>
    <w:rsid w:val="00EE0F73"/>
    <w:rsid w:val="00EE0F84"/>
    <w:rsid w:val="00EE1299"/>
    <w:rsid w:val="00EE1700"/>
    <w:rsid w:val="00EE227F"/>
    <w:rsid w:val="00EE2D46"/>
    <w:rsid w:val="00EE2F7F"/>
    <w:rsid w:val="00EE402C"/>
    <w:rsid w:val="00EE47E5"/>
    <w:rsid w:val="00EE61FE"/>
    <w:rsid w:val="00EF0A55"/>
    <w:rsid w:val="00EF2D7E"/>
    <w:rsid w:val="00EF303D"/>
    <w:rsid w:val="00EF3E4E"/>
    <w:rsid w:val="00EF475E"/>
    <w:rsid w:val="00F033A2"/>
    <w:rsid w:val="00F0433E"/>
    <w:rsid w:val="00F06A78"/>
    <w:rsid w:val="00F06FC0"/>
    <w:rsid w:val="00F11F1D"/>
    <w:rsid w:val="00F1286B"/>
    <w:rsid w:val="00F13285"/>
    <w:rsid w:val="00F13963"/>
    <w:rsid w:val="00F13999"/>
    <w:rsid w:val="00F13BAB"/>
    <w:rsid w:val="00F1403C"/>
    <w:rsid w:val="00F15A80"/>
    <w:rsid w:val="00F15D92"/>
    <w:rsid w:val="00F164FA"/>
    <w:rsid w:val="00F20ED4"/>
    <w:rsid w:val="00F2129A"/>
    <w:rsid w:val="00F21310"/>
    <w:rsid w:val="00F22C9F"/>
    <w:rsid w:val="00F25338"/>
    <w:rsid w:val="00F272A1"/>
    <w:rsid w:val="00F27F44"/>
    <w:rsid w:val="00F30148"/>
    <w:rsid w:val="00F32EB2"/>
    <w:rsid w:val="00F33824"/>
    <w:rsid w:val="00F3423D"/>
    <w:rsid w:val="00F34C94"/>
    <w:rsid w:val="00F35823"/>
    <w:rsid w:val="00F415E7"/>
    <w:rsid w:val="00F43485"/>
    <w:rsid w:val="00F440CF"/>
    <w:rsid w:val="00F44562"/>
    <w:rsid w:val="00F44994"/>
    <w:rsid w:val="00F4628E"/>
    <w:rsid w:val="00F47E8C"/>
    <w:rsid w:val="00F50E48"/>
    <w:rsid w:val="00F51544"/>
    <w:rsid w:val="00F524FE"/>
    <w:rsid w:val="00F5262B"/>
    <w:rsid w:val="00F528D3"/>
    <w:rsid w:val="00F52F1C"/>
    <w:rsid w:val="00F531AA"/>
    <w:rsid w:val="00F53EDC"/>
    <w:rsid w:val="00F574DD"/>
    <w:rsid w:val="00F57D27"/>
    <w:rsid w:val="00F60907"/>
    <w:rsid w:val="00F63BAD"/>
    <w:rsid w:val="00F647BA"/>
    <w:rsid w:val="00F64C0B"/>
    <w:rsid w:val="00F65136"/>
    <w:rsid w:val="00F66D91"/>
    <w:rsid w:val="00F67A52"/>
    <w:rsid w:val="00F67D2B"/>
    <w:rsid w:val="00F708B2"/>
    <w:rsid w:val="00F7298E"/>
    <w:rsid w:val="00F74CBB"/>
    <w:rsid w:val="00F75C2F"/>
    <w:rsid w:val="00F77DF7"/>
    <w:rsid w:val="00F8222A"/>
    <w:rsid w:val="00F84435"/>
    <w:rsid w:val="00F848C5"/>
    <w:rsid w:val="00F84B55"/>
    <w:rsid w:val="00F85DBF"/>
    <w:rsid w:val="00F87B00"/>
    <w:rsid w:val="00F87F1A"/>
    <w:rsid w:val="00F90DB7"/>
    <w:rsid w:val="00F913BD"/>
    <w:rsid w:val="00F9224A"/>
    <w:rsid w:val="00F927EF"/>
    <w:rsid w:val="00F94F04"/>
    <w:rsid w:val="00F95278"/>
    <w:rsid w:val="00F9534F"/>
    <w:rsid w:val="00F95FF6"/>
    <w:rsid w:val="00FA0E11"/>
    <w:rsid w:val="00FA1331"/>
    <w:rsid w:val="00FA1FFA"/>
    <w:rsid w:val="00FA20C5"/>
    <w:rsid w:val="00FA4540"/>
    <w:rsid w:val="00FA4A8B"/>
    <w:rsid w:val="00FA5FF8"/>
    <w:rsid w:val="00FA6503"/>
    <w:rsid w:val="00FA7884"/>
    <w:rsid w:val="00FB0185"/>
    <w:rsid w:val="00FB24DA"/>
    <w:rsid w:val="00FB27EB"/>
    <w:rsid w:val="00FB7B1C"/>
    <w:rsid w:val="00FB7F4F"/>
    <w:rsid w:val="00FC0DF4"/>
    <w:rsid w:val="00FC1F16"/>
    <w:rsid w:val="00FC34D3"/>
    <w:rsid w:val="00FC6337"/>
    <w:rsid w:val="00FD08AE"/>
    <w:rsid w:val="00FD2181"/>
    <w:rsid w:val="00FD2D65"/>
    <w:rsid w:val="00FD520D"/>
    <w:rsid w:val="00FD5C97"/>
    <w:rsid w:val="00FD5FFF"/>
    <w:rsid w:val="00FD74C1"/>
    <w:rsid w:val="00FE13D9"/>
    <w:rsid w:val="00FE1AF1"/>
    <w:rsid w:val="00FE2BF6"/>
    <w:rsid w:val="00FE324F"/>
    <w:rsid w:val="00FE4D8C"/>
    <w:rsid w:val="00FE5F6E"/>
    <w:rsid w:val="00FE6401"/>
    <w:rsid w:val="00FE67A8"/>
    <w:rsid w:val="00FE792D"/>
    <w:rsid w:val="00FF37D3"/>
    <w:rsid w:val="00FF4EDE"/>
    <w:rsid w:val="0101698A"/>
    <w:rsid w:val="01DE6E23"/>
    <w:rsid w:val="04907106"/>
    <w:rsid w:val="04CB76C6"/>
    <w:rsid w:val="05037FDE"/>
    <w:rsid w:val="0621130A"/>
    <w:rsid w:val="06C050B8"/>
    <w:rsid w:val="079A29F3"/>
    <w:rsid w:val="08AD0506"/>
    <w:rsid w:val="08FD3AAF"/>
    <w:rsid w:val="092C7CBA"/>
    <w:rsid w:val="093C7AA8"/>
    <w:rsid w:val="09BB7618"/>
    <w:rsid w:val="0CF13B1B"/>
    <w:rsid w:val="0D533624"/>
    <w:rsid w:val="0D6B1974"/>
    <w:rsid w:val="0DA52B69"/>
    <w:rsid w:val="0E3E1224"/>
    <w:rsid w:val="10BF667B"/>
    <w:rsid w:val="111E185B"/>
    <w:rsid w:val="11780791"/>
    <w:rsid w:val="118B4F21"/>
    <w:rsid w:val="11C94786"/>
    <w:rsid w:val="15340E97"/>
    <w:rsid w:val="165860D7"/>
    <w:rsid w:val="16BF7B30"/>
    <w:rsid w:val="17982397"/>
    <w:rsid w:val="19250F2F"/>
    <w:rsid w:val="1AA048AB"/>
    <w:rsid w:val="1B412110"/>
    <w:rsid w:val="1D9529C0"/>
    <w:rsid w:val="1E77524B"/>
    <w:rsid w:val="1EB9570C"/>
    <w:rsid w:val="1F4D4FEB"/>
    <w:rsid w:val="203D383D"/>
    <w:rsid w:val="22697371"/>
    <w:rsid w:val="24385961"/>
    <w:rsid w:val="262A740F"/>
    <w:rsid w:val="26F53D1D"/>
    <w:rsid w:val="27394F9F"/>
    <w:rsid w:val="27AE66F4"/>
    <w:rsid w:val="27BA490A"/>
    <w:rsid w:val="2A196C6C"/>
    <w:rsid w:val="2C3A3D1E"/>
    <w:rsid w:val="2D8A1B34"/>
    <w:rsid w:val="2FDB2357"/>
    <w:rsid w:val="2FEB586C"/>
    <w:rsid w:val="301E66BD"/>
    <w:rsid w:val="30B540F2"/>
    <w:rsid w:val="31105BE7"/>
    <w:rsid w:val="31BA4BA5"/>
    <w:rsid w:val="31CF29B5"/>
    <w:rsid w:val="31EA7AF9"/>
    <w:rsid w:val="327515D8"/>
    <w:rsid w:val="32B026B6"/>
    <w:rsid w:val="34276D61"/>
    <w:rsid w:val="34726070"/>
    <w:rsid w:val="3578068D"/>
    <w:rsid w:val="36687558"/>
    <w:rsid w:val="36B8671A"/>
    <w:rsid w:val="39B17673"/>
    <w:rsid w:val="3A591C2C"/>
    <w:rsid w:val="3F8B02D6"/>
    <w:rsid w:val="3FAEE519"/>
    <w:rsid w:val="408F67FA"/>
    <w:rsid w:val="41402243"/>
    <w:rsid w:val="4237682B"/>
    <w:rsid w:val="43802FFE"/>
    <w:rsid w:val="450E1852"/>
    <w:rsid w:val="45DA602F"/>
    <w:rsid w:val="46B6477F"/>
    <w:rsid w:val="47EC75E0"/>
    <w:rsid w:val="47FE6907"/>
    <w:rsid w:val="48C9495A"/>
    <w:rsid w:val="48FE58F8"/>
    <w:rsid w:val="4C2F0077"/>
    <w:rsid w:val="4D71781E"/>
    <w:rsid w:val="4D8B4971"/>
    <w:rsid w:val="4EDB70E6"/>
    <w:rsid w:val="5155670F"/>
    <w:rsid w:val="51DD4191"/>
    <w:rsid w:val="542A3604"/>
    <w:rsid w:val="54A23A8A"/>
    <w:rsid w:val="561D5FAE"/>
    <w:rsid w:val="562150E4"/>
    <w:rsid w:val="589B569B"/>
    <w:rsid w:val="5BFA0B07"/>
    <w:rsid w:val="5D327BF3"/>
    <w:rsid w:val="5D43479B"/>
    <w:rsid w:val="5F5756DB"/>
    <w:rsid w:val="5F8F6132"/>
    <w:rsid w:val="62340A5B"/>
    <w:rsid w:val="62F3F88D"/>
    <w:rsid w:val="63424F94"/>
    <w:rsid w:val="65933EC4"/>
    <w:rsid w:val="65BF0AC3"/>
    <w:rsid w:val="66AE7921"/>
    <w:rsid w:val="67EF4165"/>
    <w:rsid w:val="69CE38BA"/>
    <w:rsid w:val="6E197B96"/>
    <w:rsid w:val="6FAC5432"/>
    <w:rsid w:val="714647B6"/>
    <w:rsid w:val="73C76BCE"/>
    <w:rsid w:val="75DD7868"/>
    <w:rsid w:val="769D004D"/>
    <w:rsid w:val="773C7497"/>
    <w:rsid w:val="77FC5ADB"/>
    <w:rsid w:val="78720240"/>
    <w:rsid w:val="78F55DEE"/>
    <w:rsid w:val="7B2E4735"/>
    <w:rsid w:val="7C674A41"/>
    <w:rsid w:val="7CBB73F0"/>
    <w:rsid w:val="BBBBC4F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33"/>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before="260" w:after="260" w:line="416" w:lineRule="auto"/>
      <w:outlineLvl w:val="1"/>
    </w:pPr>
    <w:rPr>
      <w:rFonts w:ascii="Arial" w:hAnsi="Arial" w:eastAsia="黑体"/>
      <w:b/>
      <w:sz w:val="32"/>
      <w:szCs w:val="20"/>
    </w:rPr>
  </w:style>
  <w:style w:type="character" w:default="1" w:styleId="27">
    <w:name w:val="Default Paragraph Font"/>
    <w:unhideWhenUsed/>
    <w:qFormat/>
    <w:uiPriority w:val="1"/>
  </w:style>
  <w:style w:type="table" w:default="1" w:styleId="26">
    <w:name w:val="Normal Table"/>
    <w:unhideWhenUsed/>
    <w:uiPriority w:val="99"/>
    <w:tblPr>
      <w:tblStyle w:val="26"/>
      <w:tblCellMar>
        <w:top w:w="0" w:type="dxa"/>
        <w:left w:w="108" w:type="dxa"/>
        <w:bottom w:w="0" w:type="dxa"/>
        <w:right w:w="108" w:type="dxa"/>
      </w:tblCellMar>
    </w:tblPr>
  </w:style>
  <w:style w:type="paragraph" w:styleId="4">
    <w:name w:val="Normal Indent"/>
    <w:basedOn w:val="1"/>
    <w:qFormat/>
    <w:uiPriority w:val="99"/>
    <w:pPr>
      <w:ind w:firstLine="420" w:firstLineChars="200"/>
    </w:pPr>
  </w:style>
  <w:style w:type="paragraph" w:styleId="5">
    <w:name w:val="toc 7"/>
    <w:basedOn w:val="1"/>
    <w:next w:val="1"/>
    <w:semiHidden/>
    <w:qFormat/>
    <w:uiPriority w:val="0"/>
    <w:pPr>
      <w:ind w:left="2520" w:leftChars="1200"/>
    </w:pPr>
  </w:style>
  <w:style w:type="paragraph" w:styleId="6">
    <w:name w:val="Document Map"/>
    <w:basedOn w:val="1"/>
    <w:semiHidden/>
    <w:qFormat/>
    <w:uiPriority w:val="0"/>
    <w:pPr>
      <w:shd w:val="clear" w:color="auto" w:fill="000080"/>
    </w:pPr>
  </w:style>
  <w:style w:type="paragraph" w:styleId="7">
    <w:name w:val="annotation text"/>
    <w:basedOn w:val="1"/>
    <w:link w:val="34"/>
    <w:qFormat/>
    <w:uiPriority w:val="99"/>
    <w:pPr>
      <w:jc w:val="left"/>
    </w:pPr>
  </w:style>
  <w:style w:type="paragraph" w:styleId="8">
    <w:name w:val="Body Text"/>
    <w:basedOn w:val="1"/>
    <w:uiPriority w:val="0"/>
    <w:pPr>
      <w:spacing w:line="360" w:lineRule="auto"/>
    </w:pPr>
    <w:rPr>
      <w:rFonts w:ascii="仿宋_GB2312" w:eastAsia="仿宋_GB2312"/>
      <w:color w:val="000000"/>
      <w:kern w:val="0"/>
      <w:sz w:val="24"/>
      <w:szCs w:val="28"/>
    </w:rPr>
  </w:style>
  <w:style w:type="paragraph" w:styleId="9">
    <w:name w:val="Body Text Indent"/>
    <w:basedOn w:val="1"/>
    <w:qFormat/>
    <w:uiPriority w:val="0"/>
    <w:pPr>
      <w:adjustRightInd w:val="0"/>
      <w:snapToGrid w:val="0"/>
      <w:spacing w:line="560" w:lineRule="exact"/>
      <w:ind w:firstLine="480" w:firstLineChars="200"/>
    </w:pPr>
    <w:rPr>
      <w:rFonts w:eastAsia="方正仿宋简体"/>
      <w:sz w:val="24"/>
      <w:szCs w:val="30"/>
    </w:rPr>
  </w:style>
  <w:style w:type="paragraph" w:styleId="10">
    <w:name w:val="toc 5"/>
    <w:basedOn w:val="1"/>
    <w:next w:val="1"/>
    <w:semiHidden/>
    <w:qFormat/>
    <w:uiPriority w:val="0"/>
    <w:pPr>
      <w:ind w:left="1680" w:leftChars="800"/>
    </w:pPr>
  </w:style>
  <w:style w:type="paragraph" w:styleId="11">
    <w:name w:val="toc 3"/>
    <w:basedOn w:val="1"/>
    <w:next w:val="1"/>
    <w:semiHidden/>
    <w:qFormat/>
    <w:uiPriority w:val="0"/>
    <w:pPr>
      <w:ind w:left="840" w:leftChars="400"/>
    </w:pPr>
  </w:style>
  <w:style w:type="paragraph" w:styleId="12">
    <w:name w:val="toc 8"/>
    <w:basedOn w:val="1"/>
    <w:next w:val="1"/>
    <w:semiHidden/>
    <w:qFormat/>
    <w:uiPriority w:val="0"/>
    <w:pPr>
      <w:ind w:left="2940" w:leftChars="1400"/>
    </w:pPr>
  </w:style>
  <w:style w:type="paragraph" w:styleId="13">
    <w:name w:val="Body Text Indent 2"/>
    <w:basedOn w:val="1"/>
    <w:qFormat/>
    <w:uiPriority w:val="0"/>
    <w:pPr>
      <w:spacing w:line="360" w:lineRule="auto"/>
      <w:ind w:firstLine="525"/>
    </w:pPr>
    <w:rPr>
      <w:rFonts w:ascii="宋体" w:hAnsi="宋体"/>
      <w:sz w:val="28"/>
      <w:szCs w:val="20"/>
    </w:rPr>
  </w:style>
  <w:style w:type="paragraph" w:styleId="14">
    <w:name w:val="Balloon Text"/>
    <w:basedOn w:val="1"/>
    <w:semiHidden/>
    <w:qFormat/>
    <w:uiPriority w:val="0"/>
    <w:rPr>
      <w:sz w:val="18"/>
      <w:szCs w:val="18"/>
    </w:rPr>
  </w:style>
  <w:style w:type="paragraph" w:styleId="15">
    <w:name w:val="footer"/>
    <w:basedOn w:val="1"/>
    <w:link w:val="35"/>
    <w:qFormat/>
    <w:uiPriority w:val="99"/>
    <w:pPr>
      <w:tabs>
        <w:tab w:val="center" w:pos="4153"/>
        <w:tab w:val="right" w:pos="8306"/>
      </w:tabs>
      <w:snapToGrid w:val="0"/>
      <w:jc w:val="left"/>
    </w:pPr>
    <w:rPr>
      <w:sz w:val="18"/>
      <w:szCs w:val="18"/>
    </w:rPr>
  </w:style>
  <w:style w:type="paragraph" w:styleId="16">
    <w:name w:val="header"/>
    <w:basedOn w:val="1"/>
    <w:link w:val="36"/>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style>
  <w:style w:type="paragraph" w:styleId="18">
    <w:name w:val="toc 4"/>
    <w:basedOn w:val="1"/>
    <w:next w:val="1"/>
    <w:semiHidden/>
    <w:qFormat/>
    <w:uiPriority w:val="0"/>
    <w:pPr>
      <w:ind w:left="1260" w:leftChars="600"/>
    </w:pPr>
  </w:style>
  <w:style w:type="paragraph" w:styleId="19">
    <w:name w:val="toc 6"/>
    <w:basedOn w:val="1"/>
    <w:next w:val="1"/>
    <w:semiHidden/>
    <w:qFormat/>
    <w:uiPriority w:val="0"/>
    <w:pPr>
      <w:ind w:left="2100" w:leftChars="1000"/>
    </w:pPr>
  </w:style>
  <w:style w:type="paragraph" w:styleId="20">
    <w:name w:val="Body Text Indent 3"/>
    <w:basedOn w:val="1"/>
    <w:qFormat/>
    <w:uiPriority w:val="0"/>
    <w:pPr>
      <w:adjustRightInd w:val="0"/>
      <w:snapToGrid w:val="0"/>
      <w:ind w:firstLine="480" w:firstLineChars="200"/>
    </w:pPr>
    <w:rPr>
      <w:rFonts w:ascii="仿宋_GB2312" w:hAnsi="宋体" w:eastAsia="仿宋_GB2312" w:cs="Arial"/>
      <w:color w:val="000000"/>
      <w:sz w:val="24"/>
    </w:rPr>
  </w:style>
  <w:style w:type="paragraph" w:styleId="21">
    <w:name w:val="toc 2"/>
    <w:basedOn w:val="1"/>
    <w:next w:val="1"/>
    <w:qFormat/>
    <w:uiPriority w:val="39"/>
    <w:pPr>
      <w:ind w:left="420" w:leftChars="200"/>
    </w:pPr>
  </w:style>
  <w:style w:type="paragraph" w:styleId="22">
    <w:name w:val="toc 9"/>
    <w:basedOn w:val="1"/>
    <w:next w:val="1"/>
    <w:semiHidden/>
    <w:qFormat/>
    <w:uiPriority w:val="0"/>
    <w:pPr>
      <w:ind w:left="3360" w:leftChars="1600"/>
    </w:pPr>
  </w:style>
  <w:style w:type="paragraph" w:styleId="2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4">
    <w:name w:val="Title"/>
    <w:basedOn w:val="1"/>
    <w:link w:val="37"/>
    <w:qFormat/>
    <w:uiPriority w:val="0"/>
    <w:pPr>
      <w:spacing w:before="240" w:after="60"/>
      <w:jc w:val="center"/>
      <w:outlineLvl w:val="0"/>
    </w:pPr>
    <w:rPr>
      <w:rFonts w:ascii="Arial" w:hAnsi="Arial"/>
      <w:b/>
      <w:bCs/>
      <w:sz w:val="32"/>
      <w:szCs w:val="32"/>
    </w:rPr>
  </w:style>
  <w:style w:type="paragraph" w:styleId="25">
    <w:name w:val="annotation subject"/>
    <w:basedOn w:val="7"/>
    <w:next w:val="7"/>
    <w:semiHidden/>
    <w:qFormat/>
    <w:uiPriority w:val="0"/>
    <w:rPr>
      <w:b/>
      <w:bCs/>
    </w:r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800080"/>
      <w:u w:val="single"/>
    </w:rPr>
  </w:style>
  <w:style w:type="character" w:styleId="31">
    <w:name w:val="Hyperlink"/>
    <w:qFormat/>
    <w:uiPriority w:val="99"/>
    <w:rPr>
      <w:color w:val="0000FF"/>
      <w:u w:val="single"/>
    </w:rPr>
  </w:style>
  <w:style w:type="character" w:styleId="32">
    <w:name w:val="annotation reference"/>
    <w:semiHidden/>
    <w:qFormat/>
    <w:uiPriority w:val="99"/>
    <w:rPr>
      <w:sz w:val="21"/>
      <w:szCs w:val="21"/>
    </w:rPr>
  </w:style>
  <w:style w:type="character" w:customStyle="1" w:styleId="33">
    <w:name w:val="标题 1 字符"/>
    <w:link w:val="2"/>
    <w:qFormat/>
    <w:uiPriority w:val="0"/>
    <w:rPr>
      <w:b/>
      <w:bCs/>
      <w:kern w:val="44"/>
      <w:sz w:val="44"/>
      <w:szCs w:val="44"/>
    </w:rPr>
  </w:style>
  <w:style w:type="character" w:customStyle="1" w:styleId="34">
    <w:name w:val="批注文字 字符"/>
    <w:link w:val="7"/>
    <w:qFormat/>
    <w:uiPriority w:val="99"/>
    <w:rPr>
      <w:rFonts w:eastAsia="宋体"/>
      <w:kern w:val="2"/>
      <w:sz w:val="21"/>
      <w:szCs w:val="24"/>
      <w:lang w:val="en-US" w:eastAsia="zh-CN" w:bidi="ar-SA"/>
    </w:rPr>
  </w:style>
  <w:style w:type="character" w:customStyle="1" w:styleId="35">
    <w:name w:val="页脚 字符"/>
    <w:link w:val="15"/>
    <w:qFormat/>
    <w:uiPriority w:val="99"/>
    <w:rPr>
      <w:kern w:val="2"/>
      <w:sz w:val="18"/>
      <w:szCs w:val="18"/>
    </w:rPr>
  </w:style>
  <w:style w:type="character" w:customStyle="1" w:styleId="36">
    <w:name w:val="页眉 字符"/>
    <w:link w:val="16"/>
    <w:qFormat/>
    <w:uiPriority w:val="99"/>
    <w:rPr>
      <w:kern w:val="2"/>
      <w:sz w:val="18"/>
      <w:szCs w:val="18"/>
    </w:rPr>
  </w:style>
  <w:style w:type="character" w:customStyle="1" w:styleId="37">
    <w:name w:val="标题 字符"/>
    <w:link w:val="24"/>
    <w:qFormat/>
    <w:uiPriority w:val="0"/>
    <w:rPr>
      <w:rFonts w:ascii="Arial" w:hAnsi="Arial" w:cs="Arial"/>
      <w:b/>
      <w:bCs/>
      <w:kern w:val="2"/>
      <w:sz w:val="32"/>
      <w:szCs w:val="32"/>
    </w:rPr>
  </w:style>
  <w:style w:type="character" w:customStyle="1" w:styleId="38">
    <w:name w:val="read"/>
    <w:qFormat/>
    <w:uiPriority w:val="0"/>
  </w:style>
  <w:style w:type="paragraph" w:customStyle="1" w:styleId="39">
    <w:name w:val="Char Char Char Char Char Char Char"/>
    <w:basedOn w:val="1"/>
    <w:qFormat/>
    <w:uiPriority w:val="0"/>
  </w:style>
  <w:style w:type="paragraph" w:customStyle="1" w:styleId="40">
    <w:name w:val="wz1"/>
    <w:basedOn w:val="1"/>
    <w:qFormat/>
    <w:uiPriority w:val="0"/>
    <w:pPr>
      <w:widowControl/>
      <w:spacing w:before="100" w:beforeAutospacing="1" w:after="100" w:afterAutospacing="1" w:line="245" w:lineRule="atLeast"/>
      <w:jc w:val="left"/>
    </w:pPr>
    <w:rPr>
      <w:rFonts w:ascii="Arial Unicode MS" w:hAnsi="Arial Unicode MS" w:eastAsia="Arial Unicode MS" w:cs="Arial Unicode MS"/>
      <w:color w:val="CC0000"/>
      <w:kern w:val="0"/>
      <w:sz w:val="22"/>
      <w:szCs w:val="22"/>
    </w:rPr>
  </w:style>
  <w:style w:type="paragraph" w:customStyle="1" w:styleId="41">
    <w:name w:val="Char1"/>
    <w:basedOn w:val="1"/>
    <w:qFormat/>
    <w:uiPriority w:val="0"/>
    <w:pPr>
      <w:tabs>
        <w:tab w:val="left" w:pos="832"/>
      </w:tabs>
      <w:ind w:left="832" w:hanging="420"/>
      <w:jc w:val="center"/>
    </w:pPr>
    <w:rPr>
      <w:rFonts w:ascii="楷体_GB2312" w:eastAsia="楷体_GB2312"/>
      <w:b/>
      <w:color w:val="000080"/>
      <w:sz w:val="30"/>
      <w:szCs w:val="30"/>
    </w:rPr>
  </w:style>
  <w:style w:type="paragraph" w:customStyle="1" w:styleId="42">
    <w:name w:val="Char11"/>
    <w:basedOn w:val="1"/>
    <w:qFormat/>
    <w:uiPriority w:val="0"/>
    <w:pPr>
      <w:tabs>
        <w:tab w:val="left" w:pos="832"/>
      </w:tabs>
      <w:ind w:left="832" w:hanging="420"/>
      <w:jc w:val="center"/>
    </w:pPr>
    <w:rPr>
      <w:rFonts w:ascii="楷体_GB2312" w:eastAsia="楷体_GB2312"/>
      <w:b/>
      <w:color w:val="000080"/>
      <w:sz w:val="30"/>
      <w:szCs w:val="30"/>
    </w:rPr>
  </w:style>
  <w:style w:type="paragraph" w:customStyle="1" w:styleId="43">
    <w:name w:val="Char2"/>
    <w:basedOn w:val="1"/>
    <w:qFormat/>
    <w:uiPriority w:val="0"/>
  </w:style>
  <w:style w:type="paragraph" w:customStyle="1" w:styleId="44">
    <w:name w:val="修订1"/>
    <w:semiHidden/>
    <w:qFormat/>
    <w:uiPriority w:val="99"/>
    <w:rPr>
      <w:kern w:val="2"/>
      <w:sz w:val="21"/>
      <w:szCs w:val="24"/>
      <w:lang w:val="en-US" w:eastAsia="zh-CN" w:bidi="ar-SA"/>
    </w:rPr>
  </w:style>
  <w:style w:type="paragraph" w:customStyle="1" w:styleId="45">
    <w:name w:val="Revision"/>
    <w:semiHidden/>
    <w:qFormat/>
    <w:uiPriority w:val="99"/>
    <w:rPr>
      <w:kern w:val="2"/>
      <w:sz w:val="21"/>
      <w:szCs w:val="24"/>
      <w:lang w:val="en-US" w:eastAsia="zh-CN" w:bidi="ar-SA"/>
    </w:rPr>
  </w:style>
  <w:style w:type="paragraph" w:customStyle="1" w:styleId="46">
    <w:name w:val="Char Char Char Char Char Char Char1"/>
    <w:basedOn w:val="1"/>
    <w:qFormat/>
    <w:uiPriority w:val="0"/>
  </w:style>
  <w:style w:type="paragraph" w:customStyle="1" w:styleId="47">
    <w:name w:val="Char3"/>
    <w:basedOn w:val="1"/>
    <w:qFormat/>
    <w:uiPriority w:val="0"/>
  </w:style>
  <w:style w:type="paragraph" w:customStyle="1" w:styleId="48">
    <w:name w:val="Default"/>
    <w:qFormat/>
    <w:uiPriority w:val="0"/>
    <w:pPr>
      <w:widowControl w:val="0"/>
      <w:autoSpaceDE w:val="0"/>
      <w:autoSpaceDN w:val="0"/>
      <w:adjustRightInd w:val="0"/>
    </w:pPr>
    <w:rPr>
      <w:rFonts w:ascii="宋体"/>
      <w:color w:val="000000"/>
      <w:sz w:val="24"/>
      <w:szCs w:val="24"/>
      <w:lang w:val="en-US" w:eastAsia="zh-CN" w:bidi="ar-SA"/>
    </w:rPr>
  </w:style>
  <w:style w:type="paragraph" w:customStyle="1" w:styleId="49">
    <w:name w:val="Char"/>
    <w:basedOn w:val="1"/>
    <w:qFormat/>
    <w:uiPriority w:val="0"/>
  </w:style>
  <w:style w:type="paragraph" w:styleId="50">
    <w:name w:val=""/>
    <w:unhideWhenUsed/>
    <w:uiPriority w:val="99"/>
    <w:rPr>
      <w:kern w:val="2"/>
      <w:sz w:val="21"/>
      <w:szCs w:val="24"/>
      <w:lang w:val="en-US" w:eastAsia="zh-CN" w:bidi="ar-SA"/>
    </w:rPr>
  </w:style>
  <w:style w:type="character" w:customStyle="1" w:styleId="51">
    <w:name w:val="批注文字 Char1"/>
    <w:qFormat/>
    <w:uiPriority w:val="99"/>
    <w:rPr>
      <w:kern w:val="2"/>
      <w:sz w:val="21"/>
      <w:szCs w:val="24"/>
    </w:rPr>
  </w:style>
  <w:style w:type="paragraph" w:customStyle="1" w:styleId="52">
    <w:name w:val="Normal_0a6eed05-0d19-45a3-9796-18ddb745b9ff"/>
    <w:qFormat/>
    <w:uiPriority w:val="0"/>
    <w:pPr>
      <w:widowControl w:val="0"/>
      <w:jc w:val="both"/>
    </w:pPr>
    <w:rPr>
      <w:rFonts w:ascii="Calibri" w:hAnsi="Calibr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theme" Target="theme/theme1.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28144</Words>
  <Characters>28498</Characters>
  <Lines>217</Lines>
  <Paragraphs>61</Paragraphs>
  <TotalTime>0</TotalTime>
  <ScaleCrop>false</ScaleCrop>
  <LinksUpToDate>false</LinksUpToDate>
  <CharactersWithSpaces>28647</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2026-05-08T04:49:00Z</dcterms:created>
  <dc:creator>资产托管部</dc:creator>
  <cp:lastModifiedBy>chenjy814</cp:lastModifiedBy>
  <cp:lastPrinted>2022-04-14T18:40:00Z</cp:lastPrinted>
  <dcterms:modified xsi:type="dcterms:W3CDTF">2026-09-18T13:55:40Z</dcterms:modified>
  <dc:title>托管协议</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Id">
    <vt:lpwstr>0b885b7c4a164e0db299042cec4001b3</vt:lpwstr>
  </property>
  <property fmtid="{D5CDD505-2E9C-101B-9397-08002B2CF9AE}" pid="3" name="verificationId">
    <vt:lpwstr>b967b58c7e7efc48</vt:lpwstr>
  </property>
  <property fmtid="{D5CDD505-2E9C-101B-9397-08002B2CF9AE}" pid="4" name="KSOProductBuildVer">
    <vt:lpwstr>2052-12.1.2.26885</vt:lpwstr>
  </property>
  <property fmtid="{D5CDD505-2E9C-101B-9397-08002B2CF9AE}" pid="5" name="ICV">
    <vt:lpwstr>06055C841AE19A8C5CD2AC6AF759367D_43</vt:lpwstr>
  </property>
</Properties>
</file>