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博时裕盛纯债债券型证券投资基金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南京银行股份有限公司</w:t>
      </w:r>
      <w:r>
        <w:rPr>
          <w:rFonts w:ascii="宋体" w:hAnsi="宋体" w:eastAsia="宋体"/>
          <w:b/>
          <w:sz w:val="30"/>
        </w:rPr>
        <w:br w:type="page"/>
      </w:r>
    </w:p>
    <w:p>
      <w:pPr>
        <w:pStyle w:val="2"/>
        <w:jc w:val="center"/>
        <w:rPr>
          <w:rFonts w:ascii="宋体" w:hAnsi="宋体" w:eastAsia="宋体"/>
          <w:sz w:val="30"/>
        </w:rPr>
      </w:pPr>
      <w:bookmarkStart w:id="0" w:name="_Toc208406086"/>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2016年4月14日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博时裕盛纯债债券型证券投资基金</w:t>
      </w:r>
      <w:bookmarkEnd w:id="2"/>
      <w:r>
        <w:rPr>
          <w:rFonts w:hint="eastAsia"/>
          <w:sz w:val="21"/>
          <w:szCs w:val="21"/>
        </w:rPr>
        <w:t>注册的批复》（证监许可</w:t>
      </w:r>
      <w:bookmarkStart w:id="3" w:name="field_2343_lotnumber_1"/>
      <w:r>
        <w:rPr>
          <w:sz w:val="21"/>
          <w:szCs w:val="21"/>
        </w:rPr>
        <w:t>[2016]802</w:t>
      </w:r>
      <w:bookmarkEnd w:id="3"/>
      <w:r>
        <w:rPr>
          <w:rFonts w:hint="eastAsia"/>
          <w:sz w:val="21"/>
          <w:szCs w:val="21"/>
        </w:rPr>
        <w:t xml:space="preserve">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 </w:t>
      </w:r>
    </w:p>
    <w:p>
      <w:pPr>
        <w:pStyle w:val="7"/>
        <w:spacing w:before="0" w:beforeAutospacing="0" w:after="0" w:afterAutospacing="0" w:line="360" w:lineRule="auto"/>
        <w:ind w:firstLine="420"/>
        <w:rPr>
          <w:sz w:val="21"/>
          <w:szCs w:val="21"/>
        </w:rPr>
      </w:pPr>
      <w:r>
        <w:rPr>
          <w:rFonts w:hint="eastAsia"/>
          <w:sz w:val="21"/>
          <w:szCs w:val="21"/>
        </w:rPr>
        <w:t xml:space="preserve">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5、本基金为债券型基金，预期风险和预期收益高于货币市场基金，低于股票型、混合型基金，属于证券投资基金中的中等风险/收益品种。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 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12、本招募说明书（更新）所载内容截止日为</w:t>
      </w:r>
      <w:bookmarkStart w:id="5" w:name="field_2343_infoendday_1"/>
      <w:r>
        <w:rPr>
          <w:sz w:val="21"/>
          <w:szCs w:val="21"/>
        </w:rPr>
        <w:t>2025年8月31日</w:t>
      </w:r>
      <w:bookmarkEnd w:id="5"/>
      <w:r>
        <w:rPr>
          <w:rFonts w:hint="eastAsia"/>
          <w:sz w:val="21"/>
          <w:szCs w:val="21"/>
        </w:rPr>
        <w:t>，有关财务数据和净值表现数据截止日为</w:t>
      </w:r>
      <w:bookmarkStart w:id="6" w:name="field_2343_financeendday_1"/>
      <w:r>
        <w:rPr>
          <w:sz w:val="21"/>
          <w:szCs w:val="21"/>
        </w:rPr>
        <w:t>2025年6月30日</w:t>
      </w:r>
      <w:bookmarkEnd w:id="6"/>
      <w:r>
        <w:rPr>
          <w:rFonts w:hint="eastAsia"/>
          <w:sz w:val="21"/>
          <w:szCs w:val="21"/>
        </w:rPr>
        <w:t xml:space="preserve">（财务资料未经审计）。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"_Toc208406086"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_Toc208406086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"_Toc208406087"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_Toc208406087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"_Toc208406088"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_Toc208406088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"_Toc208406089"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_Toc208406089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_Toc208406091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_Toc208406092 \h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_Toc208406093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_Toc208406094 \h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_Toc208406095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_Toc208406096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_Toc208406097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_Toc208406098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"_Toc208406099"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_Toc208406099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_Toc208406100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_Toc208406101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_Toc208406103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_Toc208406105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_Toc208406106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_Toc208406107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_Toc208406108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"_Toc208406109"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_Toc208406109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"_Toc208406110"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_Toc208406110 \h </w:instrText>
      </w:r>
      <w:r>
        <w:rPr>
          <w:rFonts w:ascii="宋体" w:hAnsi="宋体" w:eastAsia="宋体"/>
        </w:rPr>
        <w:fldChar w:fldCharType="separate"/>
      </w:r>
      <w:r>
        <w:rPr>
          <w:rFonts w:ascii="宋体" w:hAnsi="宋体" w:eastAsia="宋体"/>
        </w:rPr>
        <w:t>122</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7" w:name="chapter_level1_3_2344"/>
      <w:bookmarkStart w:id="8" w:name="_Toc208406087"/>
      <w:r>
        <w:rPr>
          <w:rFonts w:hint="eastAsia" w:ascii="宋体" w:hAnsi="宋体" w:eastAsia="宋体"/>
          <w:sz w:val="30"/>
        </w:rPr>
        <w:t>第一部分  绪言</w:t>
      </w:r>
      <w:bookmarkEnd w:id="7"/>
      <w:bookmarkEnd w:id="8"/>
    </w:p>
    <w:p>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博时裕盛纯债债券型证券投资基金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博时裕盛纯债债券型证券投资基金</w:t>
      </w:r>
      <w:bookmarkEnd w:id="11"/>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博时裕盛纯债债券型证券投资基金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博时裕盛纯债债券型证券投资基金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 w:name="chapter_level1_4_49"/>
      <w:bookmarkStart w:id="16" w:name="_Toc208406088"/>
      <w:r>
        <w:rPr>
          <w:rFonts w:hint="eastAsia" w:ascii="宋体" w:hAnsi="宋体" w:eastAsia="宋体"/>
          <w:sz w:val="30"/>
        </w:rPr>
        <w:t>第二部分  释义</w:t>
      </w:r>
      <w:bookmarkEnd w:id="15"/>
      <w:bookmarkEnd w:id="16"/>
    </w:p>
    <w:p>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博时裕盛纯债债券型证券投资基金</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南京银行股份有限公司</w:t>
      </w:r>
      <w:bookmarkEnd w:id="2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博时裕盛纯债债券型证券投资基金</w:t>
      </w:r>
      <w:bookmarkEnd w:id="21"/>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博时裕盛纯债债券型证券投资基金</w:t>
      </w:r>
      <w:bookmarkEnd w:id="22"/>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博时裕盛纯债债券型证券投资基金</w:t>
      </w:r>
      <w:bookmarkEnd w:id="23"/>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4" w:name="field_0_productfullname_10"/>
      <w:r>
        <w:rPr>
          <w:rFonts w:hint="eastAsia"/>
          <w:sz w:val="21"/>
          <w:szCs w:val="21"/>
        </w:rPr>
        <w:t>博时裕盛纯债债券型证券投资基金</w:t>
      </w:r>
      <w:bookmarkEnd w:id="24"/>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5" w:name="field_0_productfullname_11"/>
      <w:r>
        <w:rPr>
          <w:rFonts w:hint="eastAsia"/>
          <w:sz w:val="21"/>
          <w:szCs w:val="21"/>
        </w:rPr>
        <w:t>博时裕盛纯债债券型证券投资基金</w:t>
      </w:r>
      <w:bookmarkEnd w:id="25"/>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16、银行业监督管理机构：指中国人民银行和/国家金融监督管理总局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25、直销机构：指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7" w:name="chapter_level1_4_49_section_1_end"/>
      <w:bookmarkEnd w:id="27"/>
      <w:r>
        <w:rPr>
          <w:rFonts w:hint="eastAsia"/>
          <w:sz w:val="21"/>
          <w:szCs w:val="21"/>
        </w:rPr>
        <w:t xml:space="preserve">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bookmarkStart w:id="28" w:name="chapter_level1_4_49_section_2"/>
      <w:bookmarkEnd w:id="28"/>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2" w:name="field_49_mintredeemscale_1"/>
      <w:r>
        <w:rPr>
          <w:sz w:val="21"/>
          <w:szCs w:val="21"/>
        </w:rPr>
        <w:t>10</w:t>
      </w:r>
      <w:bookmarkEnd w:id="32"/>
      <w:r>
        <w:rPr>
          <w:rFonts w:hint="eastAsia"/>
          <w:sz w:val="21"/>
          <w:szCs w:val="21"/>
        </w:rPr>
        <w:t xml:space="preserve"> %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基金份额分类：指本基金分设两类基金份额，即A类基金份额、C类基金份额。两类基金份额分设不同的基金代码，分别计算基金份额净值，计算公式为计算日各类别基金资产净值除以计算日发售在外的该类别基金份额总数 </w:t>
      </w:r>
    </w:p>
    <w:p>
      <w:pPr>
        <w:pStyle w:val="7"/>
        <w:spacing w:before="0" w:beforeAutospacing="0" w:after="0" w:afterAutospacing="0" w:line="360" w:lineRule="auto"/>
        <w:ind w:firstLine="420"/>
        <w:rPr>
          <w:sz w:val="21"/>
          <w:szCs w:val="21"/>
        </w:rPr>
      </w:pPr>
      <w:r>
        <w:rPr>
          <w:rFonts w:hint="eastAsia"/>
          <w:sz w:val="21"/>
          <w:szCs w:val="21"/>
        </w:rPr>
        <w:t xml:space="preserve">55、A类基金份额：指在投资者申购时收取申购费用，不从本类别基金资产中计提销售服务费的基金份额 </w:t>
      </w:r>
    </w:p>
    <w:p>
      <w:pPr>
        <w:pStyle w:val="7"/>
        <w:spacing w:before="0" w:beforeAutospacing="0" w:after="0" w:afterAutospacing="0" w:line="360" w:lineRule="auto"/>
        <w:ind w:firstLine="420"/>
        <w:rPr>
          <w:sz w:val="21"/>
          <w:szCs w:val="21"/>
        </w:rPr>
      </w:pPr>
      <w:r>
        <w:rPr>
          <w:rFonts w:hint="eastAsia"/>
          <w:sz w:val="21"/>
          <w:szCs w:val="21"/>
        </w:rPr>
        <w:t xml:space="preserve">56、C类基金份额：指在投资者申购时不收取申购费用，但从本类别基金资产中计提销售服务费的基金份额 </w:t>
      </w:r>
    </w:p>
    <w:p>
      <w:pPr>
        <w:pStyle w:val="7"/>
        <w:spacing w:before="0" w:beforeAutospacing="0" w:after="0" w:afterAutospacing="0" w:line="360" w:lineRule="auto"/>
        <w:ind w:firstLine="420"/>
        <w:rPr>
          <w:sz w:val="21"/>
          <w:szCs w:val="21"/>
        </w:rPr>
      </w:pPr>
      <w:r>
        <w:rPr>
          <w:rFonts w:hint="eastAsia"/>
          <w:sz w:val="21"/>
          <w:szCs w:val="21"/>
        </w:rPr>
        <w:t xml:space="preserve">57、销售服务费：指从基金财产中计提的，用于本基金市场推广、销售以及基金份额持有人服务的费用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59、不可抗力：指基金合同当事人不能预见、不能避免且不能克服的客观事件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62、特定资产：包括：（一）无可参考的活跃市场价格且采用估值技术仍导致公允价值存在重大不确定性的资产；（二）按摊余成本计量且计提资产减值准备仍导致资产价值存在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4" w:name="_Toc208406089"/>
      <w:bookmarkStart w:id="35" w:name="chapter_level1_5_53"/>
      <w:r>
        <w:rPr>
          <w:rFonts w:hint="eastAsia" w:ascii="宋体" w:hAnsi="宋体" w:eastAsia="宋体"/>
          <w:sz w:val="30"/>
        </w:rPr>
        <w:t>第三部分  基金管理人</w:t>
      </w:r>
      <w:bookmarkEnd w:id="34"/>
      <w:bookmarkEnd w:id="35"/>
    </w:p>
    <w:p>
      <w:pPr>
        <w:pStyle w:val="7"/>
        <w:spacing w:before="0" w:beforeAutospacing="0" w:after="0" w:afterAutospacing="0" w:line="360" w:lineRule="auto"/>
        <w:ind w:firstLine="420"/>
        <w:rPr>
          <w:sz w:val="21"/>
          <w:szCs w:val="21"/>
        </w:rPr>
      </w:pPr>
      <w:bookmarkStart w:id="36" w:name="chapter_level1_5_53_section_1"/>
      <w:bookmarkEnd w:id="36"/>
      <w:r>
        <w:rPr>
          <w:rStyle w:val="11"/>
          <w:rFonts w:hint="eastAsia"/>
          <w:sz w:val="21"/>
          <w:szCs w:val="21"/>
        </w:rPr>
        <w:t>一、基金管理人概况</w:t>
      </w:r>
    </w:p>
    <w:p>
      <w:pPr>
        <w:pStyle w:val="7"/>
        <w:spacing w:before="0" w:beforeAutospacing="0" w:after="0" w:afterAutospacing="0" w:line="360" w:lineRule="auto"/>
        <w:ind w:firstLine="420"/>
        <w:rPr>
          <w:sz w:val="21"/>
          <w:szCs w:val="21"/>
        </w:rPr>
      </w:pPr>
      <w:bookmarkStart w:id="37" w:name="field_0_managercompanyinfo_1_start"/>
      <w:bookmarkEnd w:id="37"/>
      <w:r>
        <w:rPr>
          <w:rFonts w:hint="eastAsia"/>
          <w:sz w:val="21"/>
          <w:szCs w:val="21"/>
        </w:rPr>
        <w:t xml:space="preserve">名称： 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王济帆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8" w:name="field_0_managercompanyinfo_1_end"/>
      <w:bookmarkEnd w:id="3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二、主要成员情况</w:t>
      </w:r>
    </w:p>
    <w:p>
      <w:pPr>
        <w:pStyle w:val="7"/>
        <w:spacing w:before="0" w:beforeAutospacing="0" w:after="0" w:afterAutospacing="0" w:line="360" w:lineRule="auto"/>
        <w:ind w:firstLine="420"/>
        <w:rPr>
          <w:sz w:val="21"/>
          <w:szCs w:val="21"/>
        </w:rPr>
      </w:pPr>
      <w:bookmarkStart w:id="39" w:name="field_0_managerpersoninfo_1_start"/>
      <w:bookmarkEnd w:id="39"/>
      <w:r>
        <w:rPr>
          <w:rFonts w:hint="eastAsia"/>
          <w:sz w:val="21"/>
          <w:szCs w:val="21"/>
        </w:rPr>
        <w:t xml:space="preserve">1、基金管理人董事会成员 </w:t>
      </w:r>
    </w:p>
    <w:p>
      <w:pPr>
        <w:pStyle w:val="7"/>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7"/>
        <w:spacing w:before="0" w:beforeAutospacing="0" w:after="0" w:afterAutospacing="0" w:line="360" w:lineRule="auto"/>
        <w:ind w:firstLine="420"/>
        <w:rPr>
          <w:sz w:val="21"/>
          <w:szCs w:val="21"/>
        </w:rPr>
      </w:pPr>
      <w:r>
        <w:rPr>
          <w:rFonts w:hint="eastAsia"/>
          <w:sz w:val="21"/>
          <w:szCs w:val="21"/>
        </w:rPr>
        <w:t xml:space="preserve">张东先生，硕士，总经理。1989年至2024年先后在中国银行、招商银行从事零售金融、财富业务和财务会计等工作。2024年加入博时基金管理有限公司，现任公司总经理。自2024年7月5日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7"/>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7"/>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7"/>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7"/>
        <w:spacing w:before="0" w:beforeAutospacing="0" w:after="0" w:afterAutospacing="0" w:line="360" w:lineRule="auto"/>
        <w:ind w:firstLine="420"/>
        <w:rPr>
          <w:sz w:val="21"/>
          <w:szCs w:val="21"/>
        </w:rPr>
      </w:pPr>
      <w:r>
        <w:rPr>
          <w:rFonts w:hint="eastAsia"/>
          <w:sz w:val="21"/>
          <w:szCs w:val="21"/>
        </w:rPr>
        <w:t xml:space="preserve">冯春宝先生，硕士。2006年至2009年于天津港生活服务中心国际物流分总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 </w:t>
      </w:r>
    </w:p>
    <w:p>
      <w:pPr>
        <w:pStyle w:val="7"/>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7"/>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7"/>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 </w:t>
      </w:r>
    </w:p>
    <w:p>
      <w:pPr>
        <w:pStyle w:val="7"/>
        <w:spacing w:before="0" w:beforeAutospacing="0" w:after="0" w:afterAutospacing="0" w:line="360" w:lineRule="auto"/>
        <w:ind w:firstLine="420"/>
        <w:rPr>
          <w:sz w:val="21"/>
          <w:szCs w:val="21"/>
        </w:rPr>
      </w:pPr>
      <w:r>
        <w:rPr>
          <w:rFonts w:hint="eastAsia"/>
          <w:sz w:val="21"/>
          <w:szCs w:val="21"/>
        </w:rPr>
        <w:t xml:space="preserve">3、高级管理人员 </w:t>
      </w:r>
    </w:p>
    <w:p>
      <w:pPr>
        <w:pStyle w:val="7"/>
        <w:spacing w:before="0" w:beforeAutospacing="0" w:after="0" w:afterAutospacing="0" w:line="360" w:lineRule="auto"/>
        <w:ind w:firstLine="420"/>
        <w:rPr>
          <w:sz w:val="21"/>
          <w:szCs w:val="21"/>
        </w:rPr>
      </w:pPr>
      <w:r>
        <w:rPr>
          <w:rFonts w:hint="eastAsia"/>
          <w:sz w:val="21"/>
          <w:szCs w:val="21"/>
        </w:rPr>
        <w:t xml:space="preserve">江向阳先生，简历同上。 </w:t>
      </w:r>
    </w:p>
    <w:p>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 </w:t>
      </w:r>
    </w:p>
    <w:p>
      <w:pPr>
        <w:pStyle w:val="7"/>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 </w:t>
      </w:r>
    </w:p>
    <w:p>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40" w:name="chapter_level1_5_53_section_1_end"/>
      <w:bookmarkEnd w:id="40"/>
      <w:r>
        <w:rPr>
          <w:rFonts w:hint="eastAsia"/>
          <w:sz w:val="21"/>
          <w:szCs w:val="21"/>
        </w:rPr>
        <w:t xml:space="preserve">资产管理有限公司合规总监。2024年加入博时基金管理有限公司，现任公司督察长。 </w:t>
      </w:r>
      <w:bookmarkStart w:id="41" w:name="field_0_managerpersoninfo_1_end"/>
      <w:bookmarkEnd w:id="41"/>
      <w:r>
        <w:rPr>
          <w:rFonts w:hint="eastAsia"/>
          <w:sz w:val="21"/>
          <w:szCs w:val="21"/>
        </w:rPr>
        <w:t xml:space="preserve">  </w:t>
      </w:r>
    </w:p>
    <w:p>
      <w:pPr>
        <w:pStyle w:val="7"/>
        <w:spacing w:before="0" w:beforeAutospacing="0" w:after="0" w:afterAutospacing="0" w:line="360" w:lineRule="auto"/>
        <w:ind w:firstLine="420"/>
        <w:rPr>
          <w:sz w:val="21"/>
          <w:szCs w:val="21"/>
        </w:rPr>
      </w:pPr>
      <w:bookmarkStart w:id="42" w:name="chapter_level1_5_53_section_2"/>
      <w:bookmarkEnd w:id="42"/>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43" w:name="field_0_fundmanagerresume_1_start"/>
      <w:bookmarkEnd w:id="43"/>
      <w:r>
        <w:rPr>
          <w:rFonts w:hint="eastAsia"/>
          <w:sz w:val="21"/>
          <w:szCs w:val="21"/>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博时富通纯债一年定期开放债券型发起式证券投资基金(2022年2月17日-2023年7月28日)、博时裕瑞纯债债券型证券投资基金(2022年2月17日-2024年4月3日)、博时富耀纯债一年定期开放债券型发起式证券投资基金(2023年6月7日-2024年6月25日)、博时富元纯债债券型证券投资基金(2023年4月20日-2024年7月23日)、博时安仁一年定期开放债券型发起式证券投资基金(2023年7月26日-2024年8月13日)、博时富华纯债债券型证券投资基金(2023年7月26日-2024年8月27日)、博时裕昂纯债债券型证券投资基金(2022年2月17日-2025年1月10日)、博时富灿纯债一年定期开放债券型发起式证券投资基金(2021年4月13日-2025年2月25日)的基金经理。现任博时丰庆纯债债券型证券投资基金(2022年2月17日—至今)、博时裕创纯债债券型证券投资基金(2022年2月17日—至今)、博时裕泰纯债债券型证券投资基金(2022年2月17日—至今)、博时裕盛纯债债券型证券投资基金(2023年7月26日—至今)、博时裕安纯债一年定期开放债券型发起式证券投资基金(2023年7月26日—至今)的基金经理。</w:t>
      </w:r>
      <w:bookmarkStart w:id="44" w:name="field_0_fundmanagerresume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field_0_fundmanagershis_1_start"/>
      <w:bookmarkEnd w:id="45"/>
      <w:r>
        <w:rPr>
          <w:rFonts w:hint="eastAsia"/>
          <w:sz w:val="21"/>
          <w:szCs w:val="21"/>
        </w:rPr>
        <w:t>本基金历任基金经理：魏桢（2016年5月20日-2019年3月4日）、陈凯杨（2019年3月4日-2020年5月13日）、郭思洁（2020年5月13日-2021年10月</w:t>
      </w:r>
      <w:bookmarkStart w:id="46" w:name="chapter_level1_5_53_section_2_end"/>
      <w:bookmarkEnd w:id="46"/>
      <w:r>
        <w:rPr>
          <w:rFonts w:hint="eastAsia"/>
          <w:sz w:val="21"/>
          <w:szCs w:val="21"/>
        </w:rPr>
        <w:t>27日）、于渤洋（2021年10月27日-2023年7月26日）。</w:t>
      </w:r>
      <w:bookmarkStart w:id="47" w:name="field_0_fundmanagershis_1_end"/>
      <w:bookmarkEnd w:id="47"/>
      <w:r>
        <w:rPr>
          <w:rFonts w:hint="eastAsia"/>
          <w:sz w:val="21"/>
          <w:szCs w:val="21"/>
        </w:rPr>
        <w:t xml:space="preserve">  </w:t>
      </w:r>
    </w:p>
    <w:p>
      <w:pPr>
        <w:pStyle w:val="7"/>
        <w:spacing w:before="0" w:beforeAutospacing="0" w:after="0" w:afterAutospacing="0" w:line="360" w:lineRule="auto"/>
        <w:ind w:firstLine="420"/>
        <w:rPr>
          <w:sz w:val="21"/>
          <w:szCs w:val="21"/>
        </w:rPr>
      </w:pPr>
      <w:bookmarkStart w:id="48" w:name="chapter_level1_5_53_section_3"/>
      <w:bookmarkEnd w:id="48"/>
      <w:bookmarkStart w:id="49" w:name="field_0_managerpersoninfo2_1_start"/>
      <w:bookmarkEnd w:id="49"/>
      <w:r>
        <w:rPr>
          <w:rFonts w:hint="eastAsia"/>
          <w:sz w:val="21"/>
          <w:szCs w:val="21"/>
        </w:rPr>
        <w:t xml:space="preserve">5、投资决策委员会成员 </w:t>
      </w:r>
    </w:p>
    <w:p>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7"/>
        <w:spacing w:before="0" w:beforeAutospacing="0" w:after="0" w:afterAutospacing="0" w:line="360" w:lineRule="auto"/>
        <w:ind w:firstLine="420"/>
        <w:rPr>
          <w:sz w:val="21"/>
          <w:szCs w:val="21"/>
        </w:rPr>
      </w:pPr>
      <w:r>
        <w:rPr>
          <w:rFonts w:hint="eastAsia"/>
          <w:sz w:val="21"/>
          <w:szCs w:val="21"/>
        </w:rPr>
        <w:t xml:space="preserve">权益投资三部总经理兼权益投资三部投资总监蔡滨先生。 </w:t>
      </w:r>
    </w:p>
    <w:p>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50" w:name="chapter_level1_5_53_section_3_end"/>
      <w:bookmarkEnd w:id="50"/>
      <w:r>
        <w:rPr>
          <w:rFonts w:hint="eastAsia"/>
          <w:sz w:val="21"/>
          <w:szCs w:val="21"/>
        </w:rPr>
        <w:t xml:space="preserve">6、上述人员之间均不存在近亲属关系。 </w:t>
      </w:r>
      <w:bookmarkStart w:id="51" w:name="field_0_managerpersoninfo2_1_end"/>
      <w:bookmarkEnd w:id="51"/>
      <w:r>
        <w:rPr>
          <w:rFonts w:hint="eastAsia"/>
          <w:sz w:val="21"/>
          <w:szCs w:val="21"/>
        </w:rPr>
        <w:t xml:space="preserve">  </w:t>
      </w:r>
    </w:p>
    <w:p>
      <w:pPr>
        <w:pStyle w:val="7"/>
        <w:spacing w:before="0" w:beforeAutospacing="0" w:after="0" w:afterAutospacing="0" w:line="360" w:lineRule="auto"/>
        <w:ind w:firstLine="420"/>
        <w:rPr>
          <w:sz w:val="21"/>
          <w:szCs w:val="21"/>
        </w:rPr>
      </w:pPr>
      <w:bookmarkStart w:id="52" w:name="chapter_level1_5_53_section_4"/>
      <w:bookmarkEnd w:id="52"/>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8、采取适当合理的措施使计算基金份额认购、申购、赎回和注销价格的方法符合《基金合同》等法律文件的规定，按有关规定计算并公告基金资产净值，确定基金份额申购、赎回的价格；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rFonts w:hint="eastAsia" w:eastAsia="宋体"/>
          <w:sz w:val="21"/>
          <w:szCs w:val="21"/>
          <w:lang w:val="en-US" w:eastAsia="zh-CN"/>
        </w:rPr>
      </w:pPr>
      <w:r>
        <w:rPr>
          <w:rFonts w:hint="eastAsia"/>
          <w:sz w:val="21"/>
          <w:szCs w:val="21"/>
        </w:rPr>
        <w:t>（5）侵占、挪用基金财</w:t>
      </w:r>
      <w:r>
        <w:rPr>
          <w:rFonts w:hint="eastAsia"/>
          <w:sz w:val="21"/>
          <w:szCs w:val="21"/>
          <w:lang w:val="en-US" w:eastAsia="zh-CN"/>
        </w:rPr>
        <w:t>产；</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pStyle w:val="7"/>
        <w:spacing w:before="0" w:beforeAutospacing="0" w:after="0" w:afterAutospacing="0" w:line="360" w:lineRule="auto"/>
        <w:ind w:firstLine="420"/>
        <w:rPr>
          <w:sz w:val="21"/>
          <w:szCs w:val="21"/>
        </w:rPr>
      </w:pPr>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3" w:name="_Toc208406090"/>
      <w:bookmarkStart w:id="54" w:name="chapter_level1_6_55"/>
      <w:r>
        <w:rPr>
          <w:rFonts w:hint="eastAsia" w:ascii="宋体" w:hAnsi="宋体" w:eastAsia="宋体"/>
          <w:sz w:val="30"/>
        </w:rPr>
        <w:t>第四部分  基金托管人</w:t>
      </w:r>
      <w:bookmarkEnd w:id="53"/>
      <w:bookmarkEnd w:id="54"/>
    </w:p>
    <w:p>
      <w:pPr>
        <w:pStyle w:val="7"/>
        <w:spacing w:before="0" w:beforeAutospacing="0" w:after="0" w:afterAutospacing="0" w:line="360" w:lineRule="auto"/>
        <w:ind w:firstLine="420"/>
        <w:rPr>
          <w:sz w:val="21"/>
          <w:szCs w:val="21"/>
        </w:rPr>
      </w:pPr>
      <w:bookmarkStart w:id="55" w:name="chapter_level1_6_55_section_1"/>
      <w:bookmarkEnd w:id="55"/>
      <w:bookmarkStart w:id="56" w:name="field_0_trustcompanyinfo_1_start"/>
      <w:bookmarkEnd w:id="56"/>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名称：南京银行股份有限公司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住所：南京市江山大街88号 </w:t>
      </w:r>
    </w:p>
    <w:p>
      <w:pPr>
        <w:pStyle w:val="7"/>
        <w:spacing w:before="0" w:beforeAutospacing="0" w:after="0" w:afterAutospacing="0" w:line="360" w:lineRule="auto"/>
        <w:ind w:firstLine="420"/>
        <w:rPr>
          <w:sz w:val="21"/>
          <w:szCs w:val="21"/>
        </w:rPr>
      </w:pPr>
      <w:r>
        <w:rPr>
          <w:rFonts w:hint="eastAsia"/>
          <w:sz w:val="21"/>
          <w:szCs w:val="21"/>
        </w:rPr>
        <w:t xml:space="preserve">法定代表人：谢宁 </w:t>
      </w:r>
    </w:p>
    <w:p>
      <w:pPr>
        <w:pStyle w:val="7"/>
        <w:spacing w:before="0" w:beforeAutospacing="0" w:after="0" w:afterAutospacing="0" w:line="360" w:lineRule="auto"/>
        <w:ind w:firstLine="420"/>
        <w:rPr>
          <w:sz w:val="21"/>
          <w:szCs w:val="21"/>
        </w:rPr>
      </w:pPr>
      <w:r>
        <w:rPr>
          <w:rFonts w:hint="eastAsia"/>
          <w:sz w:val="21"/>
          <w:szCs w:val="21"/>
        </w:rPr>
        <w:t xml:space="preserve">成立时间：1996年2月6日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基金托管业务批准文号：中国证监会证监许可〔2014〕405号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注册资本：1106758.5484万元人民币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（一）托管业务概况 </w:t>
      </w:r>
    </w:p>
    <w:p>
      <w:pPr>
        <w:pStyle w:val="7"/>
        <w:spacing w:before="0" w:beforeAutospacing="0" w:after="0" w:afterAutospacing="0" w:line="360" w:lineRule="auto"/>
        <w:ind w:firstLine="420"/>
        <w:rPr>
          <w:sz w:val="21"/>
          <w:szCs w:val="21"/>
        </w:rPr>
      </w:pPr>
      <w:r>
        <w:rPr>
          <w:rFonts w:hint="eastAsia"/>
          <w:sz w:val="21"/>
          <w:szCs w:val="21"/>
        </w:rPr>
        <w:t xml:space="preserve">南京银行成立于1996年2月6日，是一家具有由国有股份、中资法人股份、外资股份及众多个人股份共同组成独立法人资格的股份制商业银行，实行一级法人体制。南京银行历经两次更名，在全国城商行中率先启动上市辅导程序并于2007年成功上市。目前注册资本为110.68亿元，下辖17家分行，员工总数超15000人。 </w:t>
      </w:r>
    </w:p>
    <w:p>
      <w:pPr>
        <w:pStyle w:val="7"/>
        <w:spacing w:before="0" w:beforeAutospacing="0" w:after="0" w:afterAutospacing="0" w:line="360" w:lineRule="auto"/>
        <w:ind w:firstLine="420"/>
        <w:rPr>
          <w:sz w:val="21"/>
          <w:szCs w:val="21"/>
        </w:rPr>
      </w:pPr>
      <w:r>
        <w:rPr>
          <w:rFonts w:hint="eastAsia"/>
          <w:sz w:val="21"/>
          <w:szCs w:val="21"/>
        </w:rPr>
        <w:t xml:space="preserve">2014年4月9日，南京银行获得证监会和银监会联合批复的证券投资基金托管业务资格。2014年12月，南京银行获得保监会批复的保险资金托管业务资格。取得资格后，南京银行充分发挥基金公司、资产管理等牌照齐全的优势，持续加强与金融市场、投资银行等业务的条线联动优势，托管产品种类不断丰富，目前可以开展证券投资基金托管、证券公司客户资产管理计划托管、基金管理公司资产管理计划托管、基金子公司资产管理计划托管、私募投资基金托管、期货公司资产管理计划托管、信托计划保管、银行理财业务托管、保险资金托管、QDII托管等业务。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南京银行资产托管规模保持稳定增长，截至2024年12月31日，托管规模达2.79万亿。  </w:t>
      </w:r>
    </w:p>
    <w:p>
      <w:pPr>
        <w:pStyle w:val="7"/>
        <w:spacing w:before="0" w:beforeAutospacing="0" w:after="0" w:afterAutospacing="0" w:line="360" w:lineRule="auto"/>
        <w:ind w:firstLine="420"/>
        <w:rPr>
          <w:sz w:val="21"/>
          <w:szCs w:val="21"/>
        </w:rPr>
      </w:pPr>
      <w:r>
        <w:rPr>
          <w:rFonts w:hint="eastAsia"/>
          <w:sz w:val="21"/>
          <w:szCs w:val="21"/>
        </w:rPr>
        <w:t xml:space="preserve">（二）托管部门及主要人员情况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部设立于2013年，下设业务运营部、内控稽核部等八个内设部门，其中从事基金清算、核算、投资监督、信息披露、内部稽核监控等业务的执业人员不少于8人，并具有基金从业资格。部分核心业务岗位人员均具备2年以上托管业务从业经验。 </w:t>
      </w:r>
    </w:p>
    <w:p>
      <w:pPr>
        <w:pStyle w:val="7"/>
        <w:spacing w:before="0" w:beforeAutospacing="0" w:after="0" w:afterAutospacing="0" w:line="360" w:lineRule="auto"/>
        <w:ind w:firstLine="420"/>
        <w:rPr>
          <w:sz w:val="21"/>
          <w:szCs w:val="21"/>
        </w:rPr>
      </w:pPr>
      <w:r>
        <w:rPr>
          <w:rFonts w:hint="eastAsia"/>
          <w:sz w:val="21"/>
          <w:szCs w:val="21"/>
        </w:rPr>
        <w:t xml:space="preserve">（三）托管系统情况 </w:t>
      </w:r>
    </w:p>
    <w:p>
      <w:pPr>
        <w:pStyle w:val="7"/>
        <w:spacing w:before="0" w:beforeAutospacing="0" w:after="0" w:afterAutospacing="0" w:line="360" w:lineRule="auto"/>
        <w:ind w:firstLine="420"/>
        <w:rPr>
          <w:sz w:val="21"/>
          <w:szCs w:val="21"/>
        </w:rPr>
      </w:pPr>
      <w:r>
        <w:rPr>
          <w:rFonts w:hint="eastAsia"/>
          <w:sz w:val="21"/>
          <w:szCs w:val="21"/>
        </w:rPr>
        <w:t>南京银行资产托管业务系统建设由深圳市赢时胜信息技术股份有限公司承建，使用的是市场上主流的资产托管业务系统，能支持目前市场上大多数基金托管业务，且与本行的其他</w:t>
      </w:r>
      <w:bookmarkStart w:id="57" w:name="chapter_level1_6_55_section_1_end"/>
      <w:bookmarkEnd w:id="57"/>
      <w:r>
        <w:rPr>
          <w:rFonts w:hint="eastAsia"/>
          <w:sz w:val="21"/>
          <w:szCs w:val="21"/>
        </w:rPr>
        <w:t xml:space="preserve">业务系统严格分离。 </w:t>
      </w:r>
      <w:bookmarkStart w:id="58" w:name="field_0_trustcompanyinfo_1_end"/>
      <w:bookmarkEnd w:id="58"/>
      <w:r>
        <w:rPr>
          <w:rFonts w:hint="eastAsia"/>
          <w:sz w:val="21"/>
          <w:szCs w:val="21"/>
        </w:rPr>
        <w:t xml:space="preserve">  </w:t>
      </w:r>
    </w:p>
    <w:p>
      <w:pPr>
        <w:pStyle w:val="7"/>
        <w:spacing w:before="0" w:beforeAutospacing="0" w:after="0" w:afterAutospacing="0" w:line="360" w:lineRule="auto"/>
        <w:ind w:firstLine="420"/>
        <w:rPr>
          <w:sz w:val="21"/>
          <w:szCs w:val="21"/>
        </w:rPr>
      </w:pPr>
      <w:bookmarkStart w:id="59" w:name="chapter_level1_6_55_section_2"/>
      <w:bookmarkEnd w:id="59"/>
      <w:bookmarkStart w:id="60" w:name="field_0_trustcontrollawinfo_1_start"/>
      <w:bookmarkEnd w:id="60"/>
      <w:r>
        <w:rPr>
          <w:rFonts w:hint="eastAsia"/>
          <w:sz w:val="21"/>
          <w:szCs w:val="21"/>
        </w:rPr>
        <w:t xml:space="preserve">三、基金托管人的内部控制制度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作为基金托管人，南京银行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南京银行建立了涵盖范围齐全、职责边界较为清晰的全面风险管理治理架构。南京银行资产托管部内设独立、专职的内控稽核部，配备内控稽核人员负责托管业务的内控监督工作，具有独立行使监督稽核工作职权和能力。 </w:t>
      </w:r>
    </w:p>
    <w:p>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南京银行资产托管部具备系统、完善的制度控制体系，建立了管理制度、控制制度、岗位职责、业务操作流程，可以保证托管业务的规范操作和顺利进行；南京银行资产托管部工作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pPr>
        <w:pStyle w:val="7"/>
        <w:spacing w:before="0" w:beforeAutospacing="0" w:after="0" w:afterAutospacing="0" w:line="360" w:lineRule="auto"/>
        <w:ind w:firstLine="420"/>
        <w:rPr>
          <w:sz w:val="21"/>
          <w:szCs w:val="21"/>
        </w:rPr>
      </w:pPr>
      <w:r>
        <w:rPr>
          <w:rFonts w:hint="eastAsia"/>
          <w:sz w:val="21"/>
          <w:szCs w:val="21"/>
        </w:rPr>
        <w:t xml:space="preserve">四、基金托管人对基金管理人运作基金进行监督的方法和程序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证券监督管理机构报告。基金托管人如发现基金管理人依据交易程序已经生效的投资指令违反法律、行政法规和其他有关规定，或者违反基金合同约定的,应当及时通知基金管理人，并及时向国</w:t>
      </w:r>
      <w:bookmarkStart w:id="61" w:name="chapter_level1_6_55_section_2_end"/>
      <w:bookmarkEnd w:id="61"/>
      <w:r>
        <w:rPr>
          <w:rFonts w:hint="eastAsia"/>
          <w:sz w:val="21"/>
          <w:szCs w:val="21"/>
        </w:rPr>
        <w:t xml:space="preserve">务院证券监督管理机构报告。 </w:t>
      </w:r>
      <w:bookmarkStart w:id="62" w:name="field_0_trustcontrollawinfo_1_end"/>
      <w:bookmarkEnd w:id="6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3" w:name="chapter_level1_7_56"/>
      <w:bookmarkStart w:id="64" w:name="_Toc208406091"/>
      <w:r>
        <w:rPr>
          <w:rFonts w:hint="eastAsia" w:ascii="宋体" w:hAnsi="宋体" w:eastAsia="宋体"/>
          <w:sz w:val="30"/>
        </w:rPr>
        <w:t>第五部分  相关服务机构</w:t>
      </w:r>
      <w:bookmarkEnd w:id="63"/>
      <w:bookmarkEnd w:id="64"/>
    </w:p>
    <w:p>
      <w:pPr>
        <w:pStyle w:val="7"/>
        <w:spacing w:before="0" w:beforeAutospacing="0" w:after="0" w:afterAutospacing="0" w:line="360" w:lineRule="auto"/>
        <w:ind w:firstLine="420"/>
        <w:rPr>
          <w:sz w:val="21"/>
          <w:szCs w:val="21"/>
        </w:rPr>
      </w:pPr>
      <w:bookmarkStart w:id="65" w:name="chapter_level1_7_56_section_1"/>
      <w:bookmarkEnd w:id="65"/>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6" w:name="field_0_marketcompanyinfo_1_start"/>
      <w:bookmarkEnd w:id="66"/>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7" w:name="chapter_level1_7_56_section_1_end"/>
      <w:bookmarkEnd w:id="67"/>
      <w:r>
        <w:rPr>
          <w:rFonts w:hint="eastAsia"/>
          <w:sz w:val="21"/>
          <w:szCs w:val="21"/>
        </w:rPr>
        <w:t xml:space="preserve">博时一线通：95105568（免长途话费） </w:t>
      </w:r>
      <w:bookmarkStart w:id="68" w:name="field_0_marketcompanyinfo_1_end"/>
      <w:bookmarkEnd w:id="68"/>
      <w:r>
        <w:rPr>
          <w:rFonts w:hint="eastAsia"/>
          <w:sz w:val="21"/>
          <w:szCs w:val="21"/>
        </w:rPr>
        <w:t xml:space="preserve">  </w:t>
      </w:r>
    </w:p>
    <w:p>
      <w:pPr>
        <w:pStyle w:val="7"/>
        <w:spacing w:before="0" w:beforeAutospacing="0" w:after="0" w:afterAutospacing="0" w:line="360" w:lineRule="auto"/>
        <w:ind w:firstLine="420"/>
        <w:rPr>
          <w:sz w:val="21"/>
          <w:szCs w:val="21"/>
        </w:rPr>
      </w:pPr>
      <w:bookmarkStart w:id="69" w:name="chapter_level1_7_56_section_2"/>
      <w:bookmarkEnd w:id="69"/>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70" w:name="field_0_allproxysaletables_1_start"/>
      <w:bookmarkEnd w:id="70"/>
      <w:r>
        <w:rPr>
          <w:rFonts w:hint="eastAsia"/>
          <w:b/>
          <w:bCs/>
          <w:sz w:val="21"/>
          <w:szCs w:val="21"/>
        </w:rPr>
        <w:t>(1)南京银行股份有限公司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(2)晋商银行股份有限公司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http://www.jshbank.com </w:t>
            </w:r>
          </w:p>
        </w:tc>
      </w:tr>
    </w:tbl>
    <w:p>
      <w:pPr>
        <w:pStyle w:val="7"/>
        <w:spacing w:before="0" w:beforeAutospacing="0" w:after="0" w:afterAutospacing="0" w:line="360" w:lineRule="auto"/>
        <w:ind w:firstLine="420"/>
        <w:rPr>
          <w:sz w:val="21"/>
          <w:szCs w:val="21"/>
        </w:rPr>
      </w:pPr>
      <w:r>
        <w:rPr>
          <w:rFonts w:hint="eastAsia"/>
          <w:b/>
          <w:bCs/>
          <w:sz w:val="21"/>
          <w:szCs w:val="21"/>
        </w:rPr>
        <w:t>(3)深圳市新兰德证券投资咨询有限公司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www.xinlande.com.cn </w:t>
            </w:r>
          </w:p>
        </w:tc>
      </w:tr>
    </w:tbl>
    <w:p>
      <w:pPr>
        <w:pStyle w:val="7"/>
        <w:spacing w:before="0" w:beforeAutospacing="0" w:after="0" w:afterAutospacing="0" w:line="360" w:lineRule="auto"/>
        <w:ind w:firstLine="420"/>
        <w:rPr>
          <w:sz w:val="21"/>
          <w:szCs w:val="21"/>
        </w:rPr>
      </w:pPr>
      <w:r>
        <w:rPr>
          <w:rFonts w:hint="eastAsia"/>
          <w:b/>
          <w:bCs/>
          <w:sz w:val="21"/>
          <w:szCs w:val="21"/>
        </w:rPr>
        <w:t>(4)和讯信息科技有限公司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(5)博时财富基金销售有限公司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(6)诺亚正行基金销售有限公司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(7)深圳众禄基金销售股份有限公司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(8)上海天天基金销售有限公司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(9)上海好买基金销售有限公司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(10)蚂蚁（杭州）基金销售有限公司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(11)浙江同花顺基金销售有限公司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(13)嘉实财富管理有限公司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(14)深圳腾元基金销售有限公司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www.tenyuanfund.com </w:t>
            </w:r>
          </w:p>
        </w:tc>
      </w:tr>
    </w:tbl>
    <w:p>
      <w:pPr>
        <w:pStyle w:val="7"/>
        <w:spacing w:before="0" w:beforeAutospacing="0" w:after="0" w:afterAutospacing="0" w:line="360" w:lineRule="auto"/>
        <w:ind w:firstLine="420"/>
        <w:rPr>
          <w:sz w:val="21"/>
          <w:szCs w:val="21"/>
        </w:rPr>
      </w:pPr>
      <w:r>
        <w:rPr>
          <w:rFonts w:hint="eastAsia"/>
          <w:b/>
          <w:bCs/>
          <w:sz w:val="21"/>
          <w:szCs w:val="21"/>
        </w:rPr>
        <w:t>(15)华源证券股份有限公司（鑫理财）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(16)北京汇成基金销售有限公司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(17)北京钱景基金销售有限公司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(18)海银基金销售有限公司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中国（上海）自由贸易试验区银城中路8号401室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上海市浦东新区银城中路8号4楼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021-60206991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021-80133413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400-808-1016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www.fundhaiyin.com </w:t>
            </w:r>
          </w:p>
        </w:tc>
      </w:tr>
    </w:tbl>
    <w:p>
      <w:pPr>
        <w:pStyle w:val="7"/>
        <w:spacing w:before="0" w:beforeAutospacing="0" w:after="0" w:afterAutospacing="0" w:line="360" w:lineRule="auto"/>
        <w:ind w:firstLine="420"/>
        <w:rPr>
          <w:sz w:val="21"/>
          <w:szCs w:val="21"/>
        </w:rPr>
      </w:pPr>
      <w:r>
        <w:rPr>
          <w:rFonts w:hint="eastAsia"/>
          <w:b/>
          <w:bCs/>
          <w:sz w:val="21"/>
          <w:szCs w:val="21"/>
        </w:rPr>
        <w:t>(19)北京新浪仓石基金销售有限公司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(20)上海万得基金销售有限公司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(21)上海基煜基金销售有限公司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(22)上海凯石财富基金销售有限公司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上海市黄浦区西藏南路765号602-115室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上海市黄浦区延安东路1号凯石大厦四楼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陈继武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李晓明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021-63333319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021-63332523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400-643-3389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www.vstonewealth.com </w:t>
            </w:r>
          </w:p>
        </w:tc>
      </w:tr>
    </w:tbl>
    <w:p>
      <w:pPr>
        <w:pStyle w:val="7"/>
        <w:spacing w:before="0" w:beforeAutospacing="0" w:after="0" w:afterAutospacing="0" w:line="360" w:lineRule="auto"/>
        <w:ind w:firstLine="420"/>
        <w:rPr>
          <w:sz w:val="21"/>
          <w:szCs w:val="21"/>
        </w:rPr>
      </w:pPr>
      <w:r>
        <w:rPr>
          <w:rFonts w:hint="eastAsia"/>
          <w:b/>
          <w:bCs/>
          <w:sz w:val="21"/>
          <w:szCs w:val="21"/>
        </w:rPr>
        <w:t>(23)深圳富济基金销售有限公司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(24)上海陆金所基金销售有限公司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(25)珠海盈米基金销售有限公司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(26)和耕传承基金销售有限公司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(27)北京懒猫基金销售有限公司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北京市石景山区石景山路31号院盛景国际广场3号楼1119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北京市朝阳区呼家楼安联大厦715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许现良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张苗苗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15110085067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010-87723200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400-150-0882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www.lanmao.com </w:t>
            </w:r>
          </w:p>
        </w:tc>
      </w:tr>
    </w:tbl>
    <w:p>
      <w:pPr>
        <w:pStyle w:val="7"/>
        <w:spacing w:before="0" w:beforeAutospacing="0" w:after="0" w:afterAutospacing="0" w:line="360" w:lineRule="auto"/>
        <w:ind w:firstLine="420"/>
        <w:rPr>
          <w:sz w:val="21"/>
          <w:szCs w:val="21"/>
        </w:rPr>
      </w:pPr>
      <w:r>
        <w:rPr>
          <w:rFonts w:hint="eastAsia"/>
          <w:b/>
          <w:bCs/>
          <w:sz w:val="21"/>
          <w:szCs w:val="21"/>
        </w:rPr>
        <w:t>(28)大连网金基金销售有限公司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0411-39027800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0411-39027888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400-089-9100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http://www.yibaijin.com/ </w:t>
            </w:r>
          </w:p>
        </w:tc>
      </w:tr>
    </w:tbl>
    <w:p>
      <w:pPr>
        <w:pStyle w:val="7"/>
        <w:spacing w:before="0" w:beforeAutospacing="0" w:after="0" w:afterAutospacing="0" w:line="360" w:lineRule="auto"/>
        <w:ind w:firstLine="420"/>
        <w:rPr>
          <w:sz w:val="21"/>
          <w:szCs w:val="21"/>
        </w:rPr>
      </w:pPr>
      <w:r>
        <w:rPr>
          <w:rFonts w:hint="eastAsia"/>
          <w:b/>
          <w:bCs/>
          <w:sz w:val="21"/>
          <w:szCs w:val="21"/>
        </w:rPr>
        <w:t>(29)深圳市金斧子基金销售有限公司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(30)北京雪球基金销售有限公司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(31)国泰海通证券股份有限公司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(32)海通证券股份有限公司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(33)华源证券股份有限公司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http://www.tyzq.com.cn </w:t>
            </w:r>
          </w:p>
        </w:tc>
      </w:tr>
    </w:tbl>
    <w:p>
      <w:pPr>
        <w:rPr>
          <w:rFonts w:ascii="宋体" w:hAnsi="宋体" w:eastAsia="宋体"/>
        </w:rPr>
      </w:pPr>
      <w:bookmarkStart w:id="71" w:name="field_0_allproxysaletables_1_end"/>
      <w:bookmarkEnd w:id="71"/>
      <w:r>
        <w:rPr>
          <w:rFonts w:ascii="宋体" w:hAnsi="宋体" w:eastAsia="宋体"/>
        </w:rPr>
        <w:t xml:space="preserve">  </w:t>
      </w:r>
      <w:bookmarkStart w:id="72" w:name="chapter_level1_7_56_section_2_end"/>
      <w:bookmarkEnd w:id="72"/>
      <w:bookmarkStart w:id="73" w:name="chapter_level1_7_56_section_3"/>
      <w:bookmarkEnd w:id="73"/>
    </w:p>
    <w:p>
      <w:pPr>
        <w:ind w:firstLine="422" w:firstLineChars="200"/>
        <w:rPr>
          <w:sz w:val="21"/>
          <w:szCs w:val="21"/>
        </w:rPr>
      </w:pPr>
      <w:bookmarkStart w:id="242" w:name="_GoBack"/>
      <w:bookmarkEnd w:id="242"/>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74" w:name="field_0_registercompanyinfo_1_start"/>
      <w:bookmarkEnd w:id="74"/>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5" w:name="field_0_registercompanyinfo_1_end"/>
      <w:bookmarkEnd w:id="7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电话：021- 51150298 </w:t>
      </w:r>
    </w:p>
    <w:p>
      <w:pPr>
        <w:pStyle w:val="7"/>
        <w:spacing w:before="0" w:beforeAutospacing="0" w:after="0" w:afterAutospacing="0" w:line="360" w:lineRule="auto"/>
        <w:ind w:firstLine="420"/>
        <w:rPr>
          <w:sz w:val="21"/>
          <w:szCs w:val="21"/>
        </w:rPr>
      </w:pPr>
      <w:r>
        <w:rPr>
          <w:rFonts w:hint="eastAsia"/>
          <w:sz w:val="21"/>
          <w:szCs w:val="21"/>
        </w:rPr>
        <w:t xml:space="preserve">传真：021- 51150398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经办律师：廖海、刘佳</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6" w:name="field_0_accountingcompanyinfo_1_start"/>
      <w:bookmarkEnd w:id="76"/>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77" w:name="chapter_level1_7_56_section_3_end"/>
      <w:bookmarkEnd w:id="77"/>
      <w:r>
        <w:rPr>
          <w:rFonts w:hint="eastAsia"/>
          <w:sz w:val="21"/>
          <w:szCs w:val="21"/>
        </w:rPr>
        <w:t xml:space="preserve">经办注册会计师：薛竞 吴琳杰 </w:t>
      </w:r>
      <w:bookmarkStart w:id="78" w:name="field_0_accountingcompanyinfo_1_end"/>
      <w:bookmarkEnd w:id="7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9" w:name="chapter_level1_9_58"/>
      <w:bookmarkStart w:id="80" w:name="_Toc208406092"/>
      <w:r>
        <w:rPr>
          <w:rFonts w:hint="eastAsia" w:ascii="宋体" w:hAnsi="宋体" w:eastAsia="宋体"/>
          <w:sz w:val="30"/>
        </w:rPr>
        <w:t>第六部分 基金的募集与基金合同的生效</w:t>
      </w:r>
      <w:bookmarkEnd w:id="79"/>
      <w:bookmarkEnd w:id="80"/>
    </w:p>
    <w:p>
      <w:pPr>
        <w:pStyle w:val="7"/>
        <w:spacing w:before="0" w:beforeAutospacing="0" w:after="0" w:afterAutospacing="0" w:line="360" w:lineRule="auto"/>
        <w:ind w:firstLine="420"/>
        <w:rPr>
          <w:sz w:val="21"/>
          <w:szCs w:val="21"/>
        </w:rPr>
      </w:pPr>
      <w:bookmarkStart w:id="81" w:name="chapter_level1_9_58_section_1"/>
      <w:bookmarkEnd w:id="81"/>
      <w:r>
        <w:rPr>
          <w:rStyle w:val="11"/>
          <w:rFonts w:hint="eastAsia"/>
          <w:sz w:val="21"/>
          <w:szCs w:val="21"/>
        </w:rPr>
        <w:t>一、 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82" w:name="field_2343_approveddate_2"/>
      <w:r>
        <w:rPr>
          <w:sz w:val="21"/>
          <w:szCs w:val="21"/>
        </w:rPr>
        <w:t>2016年4月14日</w:t>
      </w:r>
      <w:bookmarkEnd w:id="82"/>
      <w:r>
        <w:rPr>
          <w:rFonts w:hint="eastAsia"/>
          <w:sz w:val="21"/>
          <w:szCs w:val="21"/>
        </w:rPr>
        <w:t>经中国证监会证监许可</w:t>
      </w:r>
      <w:bookmarkStart w:id="83" w:name="field_2343_lotnumber_2"/>
      <w:r>
        <w:rPr>
          <w:sz w:val="21"/>
          <w:szCs w:val="21"/>
        </w:rPr>
        <w:t>[2016]802</w:t>
      </w:r>
      <w:bookmarkEnd w:id="83"/>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本基金募集期从</w:t>
      </w:r>
      <w:bookmarkStart w:id="84" w:name="field_58_raisebegindate_1"/>
      <w:r>
        <w:rPr>
          <w:sz w:val="21"/>
          <w:szCs w:val="21"/>
        </w:rPr>
        <w:t>2016年5月9日</w:t>
      </w:r>
      <w:bookmarkEnd w:id="84"/>
      <w:r>
        <w:rPr>
          <w:rFonts w:hint="eastAsia"/>
          <w:sz w:val="21"/>
          <w:szCs w:val="21"/>
        </w:rPr>
        <w:t>起至</w:t>
      </w:r>
      <w:bookmarkStart w:id="85" w:name="field_58_raiseenddate_1"/>
      <w:r>
        <w:rPr>
          <w:sz w:val="21"/>
          <w:szCs w:val="21"/>
        </w:rPr>
        <w:t>2016年5月16日</w:t>
      </w:r>
      <w:bookmarkEnd w:id="85"/>
      <w:r>
        <w:rPr>
          <w:rFonts w:hint="eastAsia"/>
          <w:sz w:val="21"/>
          <w:szCs w:val="21"/>
        </w:rPr>
        <w:t>止，基金份额共募集</w:t>
      </w:r>
      <w:bookmarkStart w:id="86" w:name="field_58_raisetotal_1"/>
      <w:r>
        <w:rPr>
          <w:sz w:val="21"/>
          <w:szCs w:val="21"/>
        </w:rPr>
        <w:t>210,422,220.70</w:t>
      </w:r>
      <w:bookmarkEnd w:id="86"/>
      <w:r>
        <w:rPr>
          <w:rFonts w:hint="eastAsia"/>
          <w:sz w:val="21"/>
          <w:szCs w:val="21"/>
        </w:rPr>
        <w:t>份（含利息结转的份额），有效认购户数为</w:t>
      </w:r>
      <w:bookmarkStart w:id="87" w:name="field_58_effectivetotal_1"/>
      <w:r>
        <w:rPr>
          <w:sz w:val="21"/>
          <w:szCs w:val="21"/>
        </w:rPr>
        <w:t>287</w:t>
      </w:r>
      <w:bookmarkEnd w:id="87"/>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本基金运作方式为</w:t>
      </w:r>
      <w:bookmarkStart w:id="88" w:name="field_58_operation_1"/>
      <w:r>
        <w:rPr>
          <w:rFonts w:hint="eastAsia"/>
          <w:sz w:val="21"/>
          <w:szCs w:val="21"/>
        </w:rPr>
        <w:t>契约型开放式</w:t>
      </w:r>
      <w:bookmarkEnd w:id="88"/>
      <w:r>
        <w:rPr>
          <w:rFonts w:hint="eastAsia"/>
          <w:sz w:val="21"/>
          <w:szCs w:val="21"/>
        </w:rPr>
        <w:t xml:space="preserve">，存续期间为不定期。 </w:t>
      </w:r>
    </w:p>
    <w:p>
      <w:pPr>
        <w:pStyle w:val="7"/>
        <w:spacing w:before="0" w:beforeAutospacing="0" w:after="0" w:afterAutospacing="0" w:line="360" w:lineRule="auto"/>
        <w:ind w:firstLine="420"/>
        <w:rPr>
          <w:sz w:val="21"/>
          <w:szCs w:val="21"/>
        </w:rPr>
      </w:pPr>
      <w:r>
        <w:rPr>
          <w:rStyle w:val="11"/>
          <w:rFonts w:hint="eastAsia"/>
          <w:sz w:val="21"/>
          <w:szCs w:val="21"/>
        </w:rPr>
        <w:t>二、 基金合同的生效</w:t>
      </w:r>
    </w:p>
    <w:p>
      <w:pPr>
        <w:pStyle w:val="7"/>
        <w:spacing w:before="0" w:beforeAutospacing="0" w:after="0" w:afterAutospacing="0" w:line="360" w:lineRule="auto"/>
        <w:ind w:firstLine="420"/>
        <w:rPr>
          <w:sz w:val="21"/>
          <w:szCs w:val="21"/>
        </w:rPr>
      </w:pPr>
      <w:bookmarkStart w:id="89" w:name="chapter_level1_9_58_section_1_end"/>
      <w:bookmarkEnd w:id="89"/>
      <w:r>
        <w:rPr>
          <w:rFonts w:hint="eastAsia"/>
          <w:sz w:val="21"/>
          <w:szCs w:val="21"/>
        </w:rPr>
        <w:t>本基金的基金合同已于</w:t>
      </w:r>
      <w:bookmarkStart w:id="90" w:name="field_0_foundday_1"/>
      <w:r>
        <w:rPr>
          <w:sz w:val="21"/>
          <w:szCs w:val="21"/>
        </w:rPr>
        <w:t>2016年5月20日</w:t>
      </w:r>
      <w:bookmarkEnd w:id="90"/>
      <w:r>
        <w:rPr>
          <w:rFonts w:hint="eastAsia"/>
          <w:sz w:val="21"/>
          <w:szCs w:val="21"/>
        </w:rPr>
        <w:t xml:space="preserve">生效。 </w:t>
      </w:r>
    </w:p>
    <w:p>
      <w:pPr>
        <w:pStyle w:val="7"/>
        <w:spacing w:before="0" w:beforeAutospacing="0" w:after="0" w:afterAutospacing="0" w:line="360" w:lineRule="auto"/>
        <w:ind w:firstLine="420"/>
        <w:rPr>
          <w:sz w:val="21"/>
          <w:szCs w:val="21"/>
        </w:rPr>
      </w:pPr>
      <w:bookmarkStart w:id="91" w:name="chapter_level1_9_58_section_2"/>
      <w:bookmarkEnd w:id="91"/>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92" w:name="field_58_minsubnumber_1"/>
      <w:r>
        <w:rPr>
          <w:rFonts w:hint="eastAsia"/>
          <w:sz w:val="21"/>
          <w:szCs w:val="21"/>
        </w:rPr>
        <w:t>二百</w:t>
      </w:r>
      <w:bookmarkEnd w:id="92"/>
      <w:r>
        <w:rPr>
          <w:rFonts w:hint="eastAsia"/>
          <w:sz w:val="21"/>
          <w:szCs w:val="21"/>
        </w:rPr>
        <w:t xml:space="preserve">人或者基金资产净值低于五千万元情形的，基金管理人应当在定期报告中予以披露；连续六十个工作日出现前述情形的，基金合同将终止并进行基金财产清算，且无需召开持有人大会，同时基金管理人应履行相关的监管报告和信息披露程序。 </w:t>
      </w:r>
    </w:p>
    <w:p>
      <w:pPr>
        <w:pStyle w:val="7"/>
        <w:spacing w:before="0" w:beforeAutospacing="0" w:after="0" w:afterAutospacing="0" w:line="360" w:lineRule="auto"/>
        <w:ind w:firstLine="420"/>
        <w:rPr>
          <w:sz w:val="21"/>
          <w:szCs w:val="21"/>
        </w:rPr>
      </w:pPr>
      <w:bookmarkStart w:id="93" w:name="chapter_level1_9_58_section_2_end"/>
      <w:bookmarkEnd w:id="93"/>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4" w:name="chapter_level1_10_59"/>
      <w:bookmarkStart w:id="95" w:name="_Toc208406093"/>
      <w:r>
        <w:rPr>
          <w:rFonts w:hint="eastAsia" w:ascii="宋体" w:hAnsi="宋体" w:eastAsia="宋体"/>
          <w:sz w:val="30"/>
        </w:rPr>
        <w:t>第七部分  基金份额的申购与赎回</w:t>
      </w:r>
      <w:bookmarkEnd w:id="94"/>
      <w:bookmarkEnd w:id="95"/>
    </w:p>
    <w:p>
      <w:pPr>
        <w:pStyle w:val="7"/>
        <w:spacing w:before="0" w:beforeAutospacing="0" w:after="0" w:afterAutospacing="0" w:line="360" w:lineRule="auto"/>
        <w:ind w:firstLine="420"/>
        <w:rPr>
          <w:sz w:val="21"/>
          <w:szCs w:val="21"/>
        </w:rPr>
      </w:pPr>
      <w:bookmarkStart w:id="96" w:name="chapter_level1_10_59_section_1"/>
      <w:bookmarkEnd w:id="96"/>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7" w:name="chapter_level1_10_59_section_1_end"/>
      <w:bookmarkEnd w:id="97"/>
      <w:r>
        <w:rPr>
          <w:rFonts w:hint="eastAsia"/>
          <w:sz w:val="21"/>
          <w:szCs w:val="21"/>
        </w:rPr>
        <w:t xml:space="preserve">办理基金份额的申购与赎回。 </w:t>
      </w:r>
    </w:p>
    <w:p>
      <w:pPr>
        <w:pStyle w:val="7"/>
        <w:spacing w:before="0" w:beforeAutospacing="0" w:after="0" w:afterAutospacing="0" w:line="360" w:lineRule="auto"/>
        <w:ind w:firstLine="420"/>
        <w:rPr>
          <w:sz w:val="21"/>
          <w:szCs w:val="21"/>
        </w:rPr>
      </w:pPr>
      <w:bookmarkStart w:id="98" w:name="chapter_level1_10_59_section_2"/>
      <w:bookmarkEnd w:id="98"/>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本基金已于2016年6月6日起开始办理申购赎回业务。基金管理人不得在基金合同约定之外的日期或者时间办理基金份额的申购、赎回或者转换。投资人在基金合同约定之外的日期和时间提出申购、赎回、转换申请且登记机构确认接受的，其基金份额申购、赎回价格</w:t>
      </w:r>
      <w:bookmarkStart w:id="99" w:name="chapter_level1_10_59_section_2_end"/>
      <w:bookmarkEnd w:id="99"/>
      <w:r>
        <w:rPr>
          <w:rFonts w:hint="eastAsia"/>
          <w:sz w:val="21"/>
          <w:szCs w:val="21"/>
        </w:rPr>
        <w:t xml:space="preserve">为下一开放日该类基金份额申购、赎回的价格。 </w:t>
      </w:r>
    </w:p>
    <w:p>
      <w:pPr>
        <w:pStyle w:val="7"/>
        <w:spacing w:before="0" w:beforeAutospacing="0" w:after="0" w:afterAutospacing="0" w:line="360" w:lineRule="auto"/>
        <w:ind w:firstLine="420"/>
        <w:rPr>
          <w:sz w:val="21"/>
          <w:szCs w:val="21"/>
        </w:rPr>
      </w:pPr>
      <w:bookmarkStart w:id="100" w:name="chapter_level1_10_59_section_3"/>
      <w:bookmarkEnd w:id="100"/>
      <w:r>
        <w:rPr>
          <w:rFonts w:hint="eastAsia"/>
          <w:b/>
          <w:bCs/>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基金管理人可在法律法规允许的情况下并在对基金份额持有人无实质性不利影响的前提下，对上述原则进行调整。基金管理人必须在新规则开始实施前依照《信息披露办法》的有关规定进行公告。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1、首次申购基金份额的最低金额为</w:t>
      </w:r>
      <w:bookmarkStart w:id="101" w:name="field_59_dealerfirstpurminamount_1"/>
      <w:r>
        <w:rPr>
          <w:sz w:val="21"/>
          <w:szCs w:val="21"/>
        </w:rPr>
        <w:t>1.00</w:t>
      </w:r>
      <w:bookmarkEnd w:id="101"/>
      <w:r>
        <w:rPr>
          <w:rFonts w:hint="eastAsia"/>
          <w:sz w:val="21"/>
          <w:szCs w:val="21"/>
        </w:rPr>
        <w:t>元，追加申购最低金额为</w:t>
      </w:r>
      <w:bookmarkStart w:id="102" w:name="field_59_dealerlaterpurminamount_1"/>
      <w:r>
        <w:rPr>
          <w:sz w:val="21"/>
          <w:szCs w:val="21"/>
        </w:rPr>
        <w:t>1.00</w:t>
      </w:r>
      <w:bookmarkEnd w:id="102"/>
      <w:r>
        <w:rPr>
          <w:rFonts w:hint="eastAsia"/>
          <w:sz w:val="21"/>
          <w:szCs w:val="21"/>
        </w:rPr>
        <w:t xml:space="preserve">元；详情请见当地销售机构公告。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3" w:name="field_59_minholdshare_1"/>
      <w:r>
        <w:rPr>
          <w:sz w:val="21"/>
          <w:szCs w:val="21"/>
        </w:rPr>
        <w:t>1</w:t>
      </w:r>
      <w:bookmarkEnd w:id="103"/>
      <w:r>
        <w:rPr>
          <w:rFonts w:hint="eastAsia"/>
          <w:sz w:val="21"/>
          <w:szCs w:val="21"/>
        </w:rPr>
        <w:t>份，若某笔赎回导致单个交易账户的基金份额余额少于</w:t>
      </w:r>
      <w:bookmarkStart w:id="104" w:name="field_59_minholdshare_2"/>
      <w:r>
        <w:rPr>
          <w:sz w:val="21"/>
          <w:szCs w:val="21"/>
        </w:rPr>
        <w:t>1</w:t>
      </w:r>
      <w:bookmarkEnd w:id="104"/>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未来，基金管理人可以规定单个投资者累计持有的基金份额数量限制，具体规定见更新的招募说明书或相关公告；但需符合法律法规、监管机构的规定或基金合同的约定。 </w:t>
      </w:r>
    </w:p>
    <w:p>
      <w:pPr>
        <w:pStyle w:val="7"/>
        <w:spacing w:before="0" w:beforeAutospacing="0" w:after="0" w:afterAutospacing="0" w:line="360" w:lineRule="auto"/>
        <w:ind w:firstLine="420"/>
        <w:rPr>
          <w:sz w:val="21"/>
          <w:szCs w:val="21"/>
        </w:rPr>
      </w:pPr>
      <w:r>
        <w:rPr>
          <w:rFonts w:hint="eastAsia"/>
          <w:sz w:val="21"/>
          <w:szCs w:val="21"/>
        </w:rPr>
        <w:t xml:space="preserve">4、基金管理人可以对基金的总规模进行限制，具体规定见更新的招募说明书或相关公告。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5、基金管理人可以规定单个投资人当日申购金额上限，具体规定见更新的招募说明书或相关公告。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6、基金管理人可以规定本基金当日的申购金额上限，具体规定见更新的招募说明书或相关公告。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7、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8、基金管理人可在法律法规允许的情况下，调整上述规定申购金额和赎回份额的数量限制。基金管理人必须在调整实施前依照《信息披露办法》的有关规定进行公告。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3日(包括该日)内支付赎回款项。遇证券交易所或交易市场数据传输延迟、通讯系统故障、银行数据交换系统故障或其它非基金管理人及基金托管人所能控制的因素影响业务处理流程时，赎回款项顺延至前述情形消除之日的下一个工作日划出。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基金管理人可以在法律法规和基金合同允许的范围内，对上述业务办理时间进行调整，基金管理人必须在调整实施前依照《信息披露办法》的有关规定在指定媒介上公告。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 </w:t>
      </w:r>
    </w:p>
    <w:p>
      <w:pPr>
        <w:pStyle w:val="7"/>
        <w:spacing w:before="0" w:beforeAutospacing="0" w:after="0" w:afterAutospacing="0" w:line="360" w:lineRule="auto"/>
        <w:ind w:firstLine="420"/>
        <w:rPr>
          <w:sz w:val="21"/>
          <w:szCs w:val="21"/>
        </w:rPr>
      </w:pPr>
      <w:r>
        <w:rPr>
          <w:rFonts w:hint="eastAsia"/>
          <w:sz w:val="21"/>
          <w:szCs w:val="21"/>
        </w:rPr>
        <w:t xml:space="preserve">在法律法规允许的范围内，基金管理人或登记机构可根据相关业务规则，对上述业务办理时间进行调整，本基金管理人将于调整实施前按照有关规定予以公告。 </w:t>
      </w:r>
    </w:p>
    <w:p>
      <w:pPr>
        <w:pStyle w:val="7"/>
        <w:spacing w:before="0" w:beforeAutospacing="0" w:after="0" w:afterAutospacing="0" w:line="360" w:lineRule="auto"/>
        <w:ind w:firstLine="420"/>
        <w:rPr>
          <w:sz w:val="21"/>
          <w:szCs w:val="21"/>
        </w:rPr>
      </w:pPr>
      <w:r>
        <w:rPr>
          <w:rFonts w:hint="eastAsia"/>
          <w:b/>
          <w:bCs/>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本基金A类基金份额采用前端收费模式收取基金申购费用，C类基金份额不收取申购费用。投资者的申购费用如下：   </w:t>
      </w:r>
    </w:p>
    <w:p>
      <w:pPr>
        <w:pStyle w:val="7"/>
        <w:spacing w:before="0" w:beforeAutospacing="0" w:after="0" w:afterAutospacing="0" w:line="360" w:lineRule="auto"/>
        <w:ind w:firstLine="420"/>
        <w:jc w:val="center"/>
        <w:rPr>
          <w:sz w:val="21"/>
          <w:szCs w:val="21"/>
        </w:rPr>
      </w:pPr>
      <w:r>
        <w:rPr>
          <w:rFonts w:hint="eastAsia"/>
          <w:sz w:val="21"/>
          <w:szCs w:val="21"/>
        </w:rPr>
        <w:t xml:space="preserve">表1：本基金各类基金份额的申购费率   </w:t>
      </w:r>
    </w:p>
    <w:tbl>
      <w:tblPr>
        <w:tblStyle w:val="9"/>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88"/>
        <w:gridCol w:w="2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金额（M）    </w:t>
            </w:r>
          </w:p>
        </w:tc>
        <w:tc>
          <w:tcPr>
            <w:tcW w:w="1700" w:type="pct"/>
            <w:shd w:val="clear" w:color="auto" w:fill="auto"/>
          </w:tcPr>
          <w:p>
            <w:pPr>
              <w:pStyle w:val="7"/>
              <w:jc w:val="center"/>
            </w:pPr>
            <w:r>
              <w:rPr>
                <w:rFonts w:hint="eastAsia"/>
              </w:rPr>
              <w:t xml:space="preserve">A类基金份额    </w:t>
            </w:r>
          </w:p>
        </w:tc>
        <w:tc>
          <w:tcPr>
            <w:tcW w:w="1700" w:type="pct"/>
            <w:shd w:val="clear" w:color="auto" w:fill="auto"/>
          </w:tcPr>
          <w:p>
            <w:pPr>
              <w:pStyle w:val="7"/>
              <w:jc w:val="center"/>
            </w:pPr>
            <w:r>
              <w:rPr>
                <w:rFonts w:hint="eastAsia"/>
              </w:rPr>
              <w:t xml:space="preserve">C类基金份额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M＜100万    </w:t>
            </w:r>
          </w:p>
        </w:tc>
        <w:tc>
          <w:tcPr>
            <w:tcW w:w="1700" w:type="pct"/>
            <w:shd w:val="clear" w:color="auto" w:fill="auto"/>
          </w:tcPr>
          <w:p>
            <w:pPr>
              <w:pStyle w:val="7"/>
              <w:jc w:val="center"/>
            </w:pPr>
            <w:r>
              <w:rPr>
                <w:rFonts w:hint="eastAsia"/>
              </w:rPr>
              <w:t xml:space="preserve">0.80%    </w:t>
            </w:r>
          </w:p>
        </w:tc>
        <w:tc>
          <w:tcPr>
            <w:tcW w:w="170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100万≤M＜300万    </w:t>
            </w:r>
          </w:p>
        </w:tc>
        <w:tc>
          <w:tcPr>
            <w:tcW w:w="1700" w:type="pct"/>
            <w:shd w:val="clear" w:color="auto" w:fill="auto"/>
          </w:tcPr>
          <w:p>
            <w:pPr>
              <w:pStyle w:val="7"/>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300万≤M＜500万    </w:t>
            </w:r>
          </w:p>
        </w:tc>
        <w:tc>
          <w:tcPr>
            <w:tcW w:w="1700" w:type="pct"/>
            <w:shd w:val="clear" w:color="auto" w:fill="auto"/>
          </w:tcPr>
          <w:p>
            <w:pPr>
              <w:pStyle w:val="7"/>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M≥500万    </w:t>
            </w:r>
          </w:p>
        </w:tc>
        <w:tc>
          <w:tcPr>
            <w:tcW w:w="1700" w:type="pct"/>
            <w:shd w:val="clear" w:color="auto" w:fill="auto"/>
          </w:tcPr>
          <w:p>
            <w:pPr>
              <w:pStyle w:val="7"/>
              <w:jc w:val="center"/>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jc w:val="center"/>
        <w:rPr>
          <w:sz w:val="21"/>
          <w:szCs w:val="21"/>
        </w:rPr>
      </w:pPr>
      <w:r>
        <w:rPr>
          <w:rFonts w:hint="eastAsia"/>
          <w:sz w:val="21"/>
          <w:szCs w:val="21"/>
        </w:rPr>
        <w:t xml:space="preserve">表2：本基金各类基金份额的赎回费率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91"/>
        <w:gridCol w:w="2720"/>
        <w:gridCol w:w="2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0" w:type="dxa"/>
            <w:shd w:val="clear" w:color="auto" w:fill="auto"/>
          </w:tcPr>
          <w:p>
            <w:pPr>
              <w:pStyle w:val="7"/>
              <w:jc w:val="center"/>
            </w:pPr>
            <w:r>
              <w:rPr>
                <w:rFonts w:hint="eastAsia"/>
              </w:rPr>
              <w:t xml:space="preserve">持有期间（Y）    </w:t>
            </w:r>
          </w:p>
        </w:tc>
        <w:tc>
          <w:tcPr>
            <w:tcW w:w="3135" w:type="dxa"/>
            <w:shd w:val="clear" w:color="auto" w:fill="auto"/>
          </w:tcPr>
          <w:p>
            <w:pPr>
              <w:pStyle w:val="7"/>
              <w:jc w:val="center"/>
            </w:pPr>
            <w:r>
              <w:rPr>
                <w:rFonts w:hint="eastAsia"/>
              </w:rPr>
              <w:t xml:space="preserve">A类基金份额   </w:t>
            </w:r>
          </w:p>
        </w:tc>
        <w:tc>
          <w:tcPr>
            <w:tcW w:w="3525" w:type="dxa"/>
            <w:shd w:val="clear" w:color="auto" w:fill="auto"/>
          </w:tcPr>
          <w:p>
            <w:pPr>
              <w:pStyle w:val="7"/>
              <w:jc w:val="center"/>
            </w:pPr>
            <w:r>
              <w:rPr>
                <w:rFonts w:hint="eastAsia"/>
              </w:rPr>
              <w:t xml:space="preserve">C类基金份额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0" w:type="dxa"/>
            <w:shd w:val="clear" w:color="auto" w:fill="auto"/>
          </w:tcPr>
          <w:p>
            <w:pPr>
              <w:pStyle w:val="7"/>
              <w:jc w:val="center"/>
            </w:pPr>
            <w:r>
              <w:rPr>
                <w:rFonts w:hint="eastAsia"/>
              </w:rPr>
              <w:t xml:space="preserve">Y＜7日    </w:t>
            </w:r>
          </w:p>
        </w:tc>
        <w:tc>
          <w:tcPr>
            <w:tcW w:w="3135" w:type="dxa"/>
            <w:shd w:val="clear" w:color="auto" w:fill="auto"/>
          </w:tcPr>
          <w:p>
            <w:pPr>
              <w:pStyle w:val="7"/>
              <w:ind w:firstLine="420"/>
              <w:jc w:val="center"/>
            </w:pPr>
            <w:r>
              <w:rPr>
                <w:rFonts w:hint="eastAsia"/>
              </w:rPr>
              <w:t xml:space="preserve">1.50%    </w:t>
            </w:r>
          </w:p>
        </w:tc>
        <w:tc>
          <w:tcPr>
            <w:tcW w:w="3525" w:type="dxa"/>
            <w:shd w:val="clear" w:color="auto" w:fill="auto"/>
          </w:tcPr>
          <w:p>
            <w:pPr>
              <w:pStyle w:val="7"/>
              <w:ind w:firstLine="420"/>
              <w:jc w:val="center"/>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0" w:type="dxa"/>
            <w:shd w:val="clear" w:color="auto" w:fill="auto"/>
          </w:tcPr>
          <w:p>
            <w:pPr>
              <w:pStyle w:val="7"/>
              <w:jc w:val="center"/>
            </w:pPr>
            <w:r>
              <w:rPr>
                <w:rFonts w:hint="eastAsia"/>
              </w:rPr>
              <w:t xml:space="preserve">7日≤Y＜1个月    </w:t>
            </w:r>
          </w:p>
        </w:tc>
        <w:tc>
          <w:tcPr>
            <w:tcW w:w="3135" w:type="dxa"/>
            <w:shd w:val="clear" w:color="auto" w:fill="auto"/>
          </w:tcPr>
          <w:p>
            <w:pPr>
              <w:pStyle w:val="7"/>
              <w:ind w:firstLine="420"/>
              <w:jc w:val="center"/>
            </w:pPr>
            <w:r>
              <w:rPr>
                <w:rFonts w:hint="eastAsia"/>
              </w:rPr>
              <w:t xml:space="preserve">0.10%    </w:t>
            </w:r>
          </w:p>
        </w:tc>
        <w:tc>
          <w:tcPr>
            <w:tcW w:w="3525" w:type="dxa"/>
            <w:vMerge w:val="restart"/>
            <w:shd w:val="clear" w:color="auto" w:fill="auto"/>
          </w:tcPr>
          <w:p>
            <w:pPr>
              <w:pStyle w:val="7"/>
              <w:ind w:firstLine="420"/>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80" w:type="dxa"/>
            <w:shd w:val="clear" w:color="auto" w:fill="auto"/>
          </w:tcPr>
          <w:p>
            <w:pPr>
              <w:pStyle w:val="7"/>
              <w:jc w:val="center"/>
            </w:pPr>
            <w:r>
              <w:rPr>
                <w:rFonts w:hint="eastAsia"/>
              </w:rPr>
              <w:t xml:space="preserve">Y≥1个月    </w:t>
            </w:r>
          </w:p>
        </w:tc>
        <w:tc>
          <w:tcPr>
            <w:tcW w:w="3135" w:type="dxa"/>
            <w:shd w:val="clear" w:color="auto" w:fill="auto"/>
          </w:tcPr>
          <w:p>
            <w:pPr>
              <w:pStyle w:val="7"/>
              <w:ind w:firstLine="420"/>
              <w:jc w:val="center"/>
            </w:pPr>
            <w:r>
              <w:rPr>
                <w:rFonts w:hint="eastAsia"/>
              </w:rPr>
              <w:t xml:space="preserve">0.00%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备注：1个月=30日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在基金份额持有人赎回基金份额时收取。对于A类基金份额，对持续持有期少于7日的投资者收取的赎回费全额计入基金资产，对持续持有期不少于7日的投资者收取的赎回费不低于25%计入基金财产。 对于C类基金份额，对持续持有期少于7日的投资者收取的赎回费全额计入基金资产。    </w:t>
      </w:r>
    </w:p>
    <w:p>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 例1：假定T日A类基金份额净值为1.0560元，某投资人本次申购本基金A类基金份额40万元，对应的本次申购费率为0.80%，该投资人可得到的A类基金份额为：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即：投资人投资40万元申购本基金A类基金份额，假定申购当日本基金A类基金份额净值为1.0560元，可得到375,781.63份A类基金份额。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即，投资人投资600万元申购本基金A类基金份额，假定申购当日基金份额净值为1.0560元，可得到5,680,871.21份A类基金份额。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例3：某投资者赎回本基金1万份基金份额，持有时间为三年，对应的赎回费率为0%，假设赎回当日基金份额净值是1.2500元，则其可得到的赎回金额为：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pPr>
        <w:pStyle w:val="7"/>
        <w:spacing w:before="0" w:beforeAutospacing="0" w:after="0" w:afterAutospacing="0" w:line="360" w:lineRule="auto"/>
        <w:ind w:firstLine="420"/>
        <w:rPr>
          <w:sz w:val="21"/>
          <w:szCs w:val="21"/>
        </w:rPr>
      </w:pPr>
      <w:r>
        <w:rPr>
          <w:rFonts w:hint="eastAsia"/>
          <w:b/>
          <w:bCs/>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5" w:name="field_49_mintredeemscale_2"/>
      <w:r>
        <w:rPr>
          <w:sz w:val="21"/>
          <w:szCs w:val="21"/>
        </w:rPr>
        <w:t>10</w:t>
      </w:r>
      <w:bookmarkEnd w:id="105"/>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6" w:name="field_49_mintredeemscale_3"/>
      <w:r>
        <w:rPr>
          <w:sz w:val="21"/>
          <w:szCs w:val="21"/>
        </w:rPr>
        <w:t>10</w:t>
      </w:r>
      <w:bookmarkEnd w:id="10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7" w:name="field_49_mintredeemscale_4"/>
      <w:r>
        <w:rPr>
          <w:sz w:val="21"/>
          <w:szCs w:val="21"/>
        </w:rPr>
        <w:t>10</w:t>
      </w:r>
      <w:bookmarkEnd w:id="107"/>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1、发生上述暂停申购或赎回情况的，基金管理人当日应在规定期限内在指定媒介上刊登暂停公告。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8" w:name="chapter_level1_10_59_section_3_end"/>
      <w:bookmarkEnd w:id="108"/>
      <w:r>
        <w:rPr>
          <w:rFonts w:hint="eastAsia"/>
          <w:sz w:val="21"/>
          <w:szCs w:val="21"/>
        </w:rPr>
        <w:t xml:space="preserve">开放的公告。暂停结束，基金管理人按上述规定公告最近1个工作日的各类基金份额净值。 </w:t>
      </w:r>
    </w:p>
    <w:p>
      <w:pPr>
        <w:pStyle w:val="7"/>
        <w:spacing w:before="0" w:beforeAutospacing="0" w:after="0" w:afterAutospacing="0" w:line="360" w:lineRule="auto"/>
        <w:ind w:firstLine="420"/>
        <w:rPr>
          <w:sz w:val="21"/>
          <w:szCs w:val="21"/>
        </w:rPr>
      </w:pPr>
      <w:bookmarkStart w:id="109" w:name="chapter_level1_10_59_section_4"/>
      <w:bookmarkEnd w:id="109"/>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本基金A类基金份额自2016年8月15日开放日常转换业务。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⑤基金转换以申请当日各类基金份额净值为基础计算。投资者采用“份额转换”的原则提交申请。转出基金份额必须是可用份额，并遵循“先进先出”的原则。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①本基金转换业务适用于可以销售包括博时景兴纯债债券型证券投资基金在内的两只以上（含两只），且基金注册登记机构为同一机构的博时旗下基金的销售机构。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10" w:name="field_0_managerorgfullname_6"/>
      <w:r>
        <w:rPr>
          <w:rFonts w:hint="eastAsia"/>
          <w:sz w:val="21"/>
          <w:szCs w:val="21"/>
        </w:rPr>
        <w:t>博时基金管理有限公司</w:t>
      </w:r>
      <w:bookmarkEnd w:id="110"/>
      <w:r>
        <w:rPr>
          <w:rFonts w:hint="eastAsia"/>
          <w:sz w:val="21"/>
          <w:szCs w:val="21"/>
        </w:rPr>
        <w:t xml:space="preserve">关于旗下开放式基金转换业务的公告》。 </w:t>
      </w:r>
    </w:p>
    <w:p>
      <w:pPr>
        <w:pStyle w:val="7"/>
        <w:spacing w:before="0" w:beforeAutospacing="0" w:after="0" w:afterAutospacing="0" w:line="360" w:lineRule="auto"/>
        <w:ind w:firstLine="420"/>
        <w:rPr>
          <w:sz w:val="21"/>
          <w:szCs w:val="21"/>
        </w:rPr>
      </w:pPr>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r>
        <w:rPr>
          <w:rFonts w:hint="eastAsia"/>
          <w:sz w:val="21"/>
          <w:szCs w:val="21"/>
        </w:rPr>
        <w:t xml:space="preserve">3、 基金销售机构 </w:t>
      </w:r>
    </w:p>
    <w:p>
      <w:pPr>
        <w:pStyle w:val="7"/>
        <w:spacing w:before="0" w:beforeAutospacing="0" w:after="0" w:afterAutospacing="0" w:line="360" w:lineRule="auto"/>
        <w:ind w:firstLine="420"/>
        <w:rPr>
          <w:sz w:val="21"/>
          <w:szCs w:val="21"/>
        </w:rPr>
      </w:pPr>
      <w:bookmarkStart w:id="111" w:name="field_0_managerorgfullname_7"/>
      <w:r>
        <w:rPr>
          <w:rFonts w:hint="eastAsia"/>
          <w:sz w:val="21"/>
          <w:szCs w:val="21"/>
        </w:rPr>
        <w:t>博时基金管理有限公司</w:t>
      </w:r>
      <w:bookmarkEnd w:id="111"/>
      <w:r>
        <w:rPr>
          <w:rFonts w:hint="eastAsia"/>
          <w:sz w:val="21"/>
          <w:szCs w:val="21"/>
        </w:rPr>
        <w:t>直销机构（含直销中心及直销网上交易）。投资者如需办理直销网上交易，可登录本公司网站www.bosera.com 参阅《</w:t>
      </w:r>
      <w:bookmarkStart w:id="112" w:name="field_0_managerorgfullname_8"/>
      <w:r>
        <w:rPr>
          <w:rFonts w:hint="eastAsia"/>
          <w:sz w:val="21"/>
          <w:szCs w:val="21"/>
        </w:rPr>
        <w:t>博时基金管理有限公司</w:t>
      </w:r>
      <w:bookmarkEnd w:id="112"/>
      <w:r>
        <w:rPr>
          <w:rFonts w:hint="eastAsia"/>
          <w:sz w:val="21"/>
          <w:szCs w:val="21"/>
        </w:rPr>
        <w:t>开放式基金业务规则》、《</w:t>
      </w:r>
      <w:bookmarkStart w:id="113" w:name="field_0_managerorgfullname_9"/>
      <w:r>
        <w:rPr>
          <w:rFonts w:hint="eastAsia"/>
          <w:sz w:val="21"/>
          <w:szCs w:val="21"/>
        </w:rPr>
        <w:t>博时基金管理有限公司</w:t>
      </w:r>
      <w:bookmarkEnd w:id="113"/>
      <w:r>
        <w:rPr>
          <w:rFonts w:hint="eastAsia"/>
          <w:sz w:val="21"/>
          <w:szCs w:val="21"/>
        </w:rPr>
        <w:t>网上交易业务规则》、《</w:t>
      </w:r>
      <w:bookmarkStart w:id="114" w:name="field_0_managerorgfullname_10"/>
      <w:r>
        <w:rPr>
          <w:rFonts w:hint="eastAsia"/>
          <w:sz w:val="21"/>
          <w:szCs w:val="21"/>
        </w:rPr>
        <w:t>博时基金管理有限公司</w:t>
      </w:r>
      <w:bookmarkEnd w:id="114"/>
      <w:r>
        <w:rPr>
          <w:rFonts w:hint="eastAsia"/>
          <w:sz w:val="21"/>
          <w:szCs w:val="21"/>
        </w:rPr>
        <w:t xml:space="preserve">直销定期投资业务规则》等办理相关开户、申购、赎回、基金转换、定期定额投资等业务。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4、基金份额净值公告/基金收益公告的披露安排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在开始办理基金份额申购或者赎回后，基金管理人应当在每个开放日的次日，通过网站、基金份额发售网点以及其他媒介，披露开放日的各类基金份额净值和基金份额累计净值。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5、其他需要提示的事项 </w:t>
      </w:r>
    </w:p>
    <w:p>
      <w:pPr>
        <w:pStyle w:val="7"/>
        <w:spacing w:before="0" w:beforeAutospacing="0" w:after="0" w:afterAutospacing="0" w:line="360" w:lineRule="auto"/>
        <w:ind w:firstLine="420"/>
        <w:rPr>
          <w:sz w:val="21"/>
          <w:szCs w:val="21"/>
        </w:rPr>
      </w:pPr>
      <w:r>
        <w:rPr>
          <w:rFonts w:hint="eastAsia"/>
          <w:sz w:val="21"/>
          <w:szCs w:val="21"/>
        </w:rPr>
        <w:t xml:space="preserve">1）上述代销机构和直销机构均受理投资者的开户、日常申购和赎回等业务。本基金若增加、调整直销网点或代销机构，本公司将及时公告，敬请投资者留意。 </w:t>
      </w:r>
    </w:p>
    <w:p>
      <w:pPr>
        <w:pStyle w:val="7"/>
        <w:spacing w:before="0" w:beforeAutospacing="0" w:after="0" w:afterAutospacing="0" w:line="360" w:lineRule="auto"/>
        <w:ind w:firstLine="420"/>
        <w:rPr>
          <w:sz w:val="21"/>
          <w:szCs w:val="21"/>
        </w:rPr>
      </w:pPr>
      <w:r>
        <w:rPr>
          <w:rFonts w:hint="eastAsia"/>
          <w:sz w:val="21"/>
          <w:szCs w:val="21"/>
        </w:rPr>
        <w:t>2）本公告仅对本基金份额发售的有关事项和规定予以说明。投资者欲了解本基金的详</w:t>
      </w:r>
      <w:bookmarkStart w:id="115" w:name="chapter_level1_10_59_section_4_end"/>
      <w:bookmarkEnd w:id="115"/>
      <w:r>
        <w:rPr>
          <w:rFonts w:hint="eastAsia"/>
          <w:sz w:val="21"/>
          <w:szCs w:val="21"/>
        </w:rPr>
        <w:t>细情况，请详细阅读《</w:t>
      </w:r>
      <w:bookmarkStart w:id="116" w:name="field_0_productfullname_12"/>
      <w:r>
        <w:rPr>
          <w:rFonts w:hint="eastAsia"/>
          <w:sz w:val="21"/>
          <w:szCs w:val="21"/>
        </w:rPr>
        <w:t>博时裕盛纯债债券型证券投资基金</w:t>
      </w:r>
      <w:bookmarkEnd w:id="116"/>
      <w:r>
        <w:rPr>
          <w:rFonts w:hint="eastAsia"/>
          <w:sz w:val="21"/>
          <w:szCs w:val="21"/>
        </w:rPr>
        <w:t xml:space="preserve">招募说明书》。 </w:t>
      </w:r>
    </w:p>
    <w:p>
      <w:pPr>
        <w:pStyle w:val="7"/>
        <w:spacing w:before="0" w:beforeAutospacing="0" w:after="0" w:afterAutospacing="0" w:line="360" w:lineRule="auto"/>
        <w:ind w:firstLine="420"/>
        <w:rPr>
          <w:sz w:val="21"/>
          <w:szCs w:val="21"/>
        </w:rPr>
      </w:pPr>
      <w:bookmarkStart w:id="117" w:name="chapter_level1_10_59_section_5"/>
      <w:bookmarkEnd w:id="117"/>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8" w:name="chapter_level1_10_59_section_5_end"/>
      <w:bookmarkEnd w:id="118"/>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19" w:name="chapter_level1_10_59_section_6"/>
      <w:bookmarkEnd w:id="119"/>
      <w:r>
        <w:rPr>
          <w:rFonts w:hint="eastAsia"/>
          <w:b/>
          <w:bCs/>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本基金自2016年8月15日开放日常定期定额投资业务。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表：本基金的各类基金份额申购费率结构表  </w:t>
      </w:r>
    </w:p>
    <w:tbl>
      <w:tblPr>
        <w:tblStyle w:val="9"/>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88"/>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金额（M，元）    </w:t>
            </w:r>
          </w:p>
        </w:tc>
        <w:tc>
          <w:tcPr>
            <w:tcW w:w="1700" w:type="pct"/>
            <w:shd w:val="clear" w:color="auto" w:fill="auto"/>
          </w:tcPr>
          <w:p>
            <w:pPr>
              <w:pStyle w:val="7"/>
              <w:jc w:val="center"/>
            </w:pPr>
            <w:r>
              <w:rPr>
                <w:rFonts w:hint="eastAsia"/>
              </w:rPr>
              <w:t xml:space="preserve">A类基金份额   </w:t>
            </w:r>
          </w:p>
        </w:tc>
        <w:tc>
          <w:tcPr>
            <w:tcW w:w="1700" w:type="pct"/>
            <w:shd w:val="clear" w:color="auto" w:fill="auto"/>
          </w:tcPr>
          <w:p>
            <w:pPr>
              <w:pStyle w:val="7"/>
              <w:jc w:val="center"/>
            </w:pPr>
            <w:r>
              <w:rPr>
                <w:rFonts w:hint="eastAsia"/>
              </w:rPr>
              <w:t xml:space="preserve">C类基金份额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M＜100万    </w:t>
            </w:r>
          </w:p>
        </w:tc>
        <w:tc>
          <w:tcPr>
            <w:tcW w:w="1700" w:type="pct"/>
            <w:shd w:val="clear" w:color="auto" w:fill="auto"/>
          </w:tcPr>
          <w:p>
            <w:pPr>
              <w:pStyle w:val="7"/>
              <w:jc w:val="center"/>
            </w:pPr>
            <w:r>
              <w:rPr>
                <w:rFonts w:hint="eastAsia"/>
              </w:rPr>
              <w:t xml:space="preserve">0.80%    </w:t>
            </w:r>
          </w:p>
        </w:tc>
        <w:tc>
          <w:tcPr>
            <w:tcW w:w="170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100万≤M＜300万    </w:t>
            </w:r>
          </w:p>
        </w:tc>
        <w:tc>
          <w:tcPr>
            <w:tcW w:w="1700" w:type="pct"/>
            <w:shd w:val="clear" w:color="auto" w:fill="auto"/>
          </w:tcPr>
          <w:p>
            <w:pPr>
              <w:pStyle w:val="7"/>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300万≤M＜500万    </w:t>
            </w:r>
          </w:p>
        </w:tc>
        <w:tc>
          <w:tcPr>
            <w:tcW w:w="1700" w:type="pct"/>
            <w:shd w:val="clear" w:color="auto" w:fill="auto"/>
          </w:tcPr>
          <w:p>
            <w:pPr>
              <w:pStyle w:val="7"/>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M≥500万    </w:t>
            </w:r>
          </w:p>
        </w:tc>
        <w:tc>
          <w:tcPr>
            <w:tcW w:w="1700" w:type="pct"/>
            <w:shd w:val="clear" w:color="auto" w:fill="auto"/>
          </w:tcPr>
          <w:p>
            <w:pPr>
              <w:pStyle w:val="7"/>
              <w:jc w:val="center"/>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本基金的申购费用由投资者承担，主要用于本基金的市场推广、销售、注册登记等各项费用，不列入基金财产。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投资者须遵循各销售机构有关扣款日期的规定，定投金额每次不少于人民币1元（含1元）。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各类基金份额净值为基准计算申购份额。投资者可以从T+2日起通过本定期定额投资计划办理网点、致电本公司客服电话或登录本公司网站查询其每次申购申请的确认情况。申购份</w:t>
      </w:r>
      <w:bookmarkStart w:id="120" w:name="chapter_level1_10_59_section_6_end"/>
      <w:bookmarkEnd w:id="120"/>
      <w:r>
        <w:rPr>
          <w:rFonts w:hint="eastAsia"/>
          <w:sz w:val="21"/>
          <w:szCs w:val="21"/>
        </w:rPr>
        <w:t xml:space="preserve">额将在确认成功后直接计入投资者的基金账户。 </w:t>
      </w:r>
    </w:p>
    <w:p>
      <w:pPr>
        <w:pStyle w:val="7"/>
        <w:spacing w:before="0" w:beforeAutospacing="0" w:after="0" w:afterAutospacing="0" w:line="360" w:lineRule="auto"/>
        <w:ind w:firstLine="420"/>
        <w:rPr>
          <w:sz w:val="21"/>
          <w:szCs w:val="21"/>
        </w:rPr>
      </w:pPr>
      <w:bookmarkStart w:id="121" w:name="chapter_level1_10_59_section_7"/>
      <w:bookmarkEnd w:id="121"/>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rPr>
          <w:rFonts w:ascii="宋体" w:hAnsi="宋体" w:eastAsia="宋体"/>
          <w:sz w:val="24"/>
          <w:szCs w:val="24"/>
        </w:rPr>
      </w:pPr>
      <w:r>
        <w:rPr>
          <w:rFonts w:ascii="宋体" w:hAnsi="宋体" w:eastAsia="宋体"/>
        </w:rPr>
        <w:t>本基金实施侧袋机制的，本基金的申购和赎回安排详见本招募说明书“侧袋机制”章节或届时</w:t>
      </w:r>
      <w:bookmarkStart w:id="122" w:name="chapter_level1_10_59_section_7_end"/>
      <w:bookmarkEnd w:id="122"/>
      <w:r>
        <w:rPr>
          <w:rFonts w:ascii="宋体" w:hAnsi="宋体" w:eastAsia="宋体"/>
        </w:rPr>
        <w:t xml:space="preserve">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3" w:name="_Toc208406094"/>
      <w:bookmarkStart w:id="124" w:name="chapter_level1_11_60"/>
      <w:r>
        <w:rPr>
          <w:rFonts w:hint="eastAsia" w:ascii="宋体" w:hAnsi="宋体" w:eastAsia="宋体"/>
          <w:sz w:val="30"/>
        </w:rPr>
        <w:t>第八部分  基金的投资</w:t>
      </w:r>
      <w:bookmarkEnd w:id="123"/>
      <w:bookmarkEnd w:id="124"/>
    </w:p>
    <w:p>
      <w:pPr>
        <w:pStyle w:val="7"/>
        <w:spacing w:before="0" w:beforeAutospacing="0" w:after="0" w:afterAutospacing="0" w:line="360" w:lineRule="auto"/>
        <w:ind w:firstLine="420"/>
        <w:rPr>
          <w:sz w:val="21"/>
          <w:szCs w:val="21"/>
        </w:rPr>
      </w:pPr>
      <w:bookmarkStart w:id="125" w:name="chapter_level1_11_60_section_1"/>
      <w:bookmarkEnd w:id="125"/>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26" w:name="field_60_investmenttarget_1_start"/>
      <w:bookmarkEnd w:id="126"/>
      <w:r>
        <w:rPr>
          <w:rFonts w:hint="eastAsia"/>
          <w:sz w:val="21"/>
          <w:szCs w:val="21"/>
        </w:rPr>
        <w:t xml:space="preserve">本基金在控制组合净值波动率的前提下，力争实现长期超越业绩比较基准的投资回报。  </w:t>
      </w:r>
      <w:bookmarkStart w:id="127" w:name="field_60_investmenttarget_1_end"/>
      <w:bookmarkEnd w:id="12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28" w:name="field_60_investmentrange_1_start"/>
      <w:bookmarkEnd w:id="128"/>
      <w:r>
        <w:rPr>
          <w:rFonts w:hint="eastAsia"/>
          <w:sz w:val="21"/>
          <w:szCs w:val="21"/>
        </w:rPr>
        <w:t xml:space="preserve">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29" w:name="field_60_investmentrange_1_end"/>
      <w:bookmarkEnd w:id="12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30" w:name="field_60_investmentstrategy_1_start"/>
      <w:bookmarkEnd w:id="130"/>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pPr>
        <w:pStyle w:val="7"/>
        <w:spacing w:before="0" w:beforeAutospacing="0" w:after="0" w:afterAutospacing="0" w:line="360" w:lineRule="auto"/>
        <w:ind w:firstLine="420"/>
        <w:rPr>
          <w:sz w:val="21"/>
          <w:szCs w:val="21"/>
        </w:rPr>
      </w:pPr>
      <w:r>
        <w:rPr>
          <w:rFonts w:hint="eastAsia"/>
          <w:sz w:val="21"/>
          <w:szCs w:val="21"/>
        </w:rPr>
        <w:t xml:space="preserve">首先，本组合宏观周期研究的基础上，决定整体组合的久期、杠杆率策略。 </w:t>
      </w:r>
    </w:p>
    <w:p>
      <w:pPr>
        <w:pStyle w:val="7"/>
        <w:spacing w:before="0" w:beforeAutospacing="0" w:after="0" w:afterAutospacing="0" w:line="360" w:lineRule="auto"/>
        <w:ind w:firstLine="420"/>
        <w:rPr>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pPr>
        <w:pStyle w:val="7"/>
        <w:spacing w:before="0" w:beforeAutospacing="0" w:after="0" w:afterAutospacing="0" w:line="360" w:lineRule="auto"/>
        <w:ind w:firstLine="420"/>
        <w:rPr>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pPr>
        <w:pStyle w:val="7"/>
        <w:spacing w:before="0" w:beforeAutospacing="0" w:after="0" w:afterAutospacing="0" w:line="360" w:lineRule="auto"/>
        <w:ind w:firstLine="420"/>
        <w:rPr>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pPr>
        <w:pStyle w:val="7"/>
        <w:spacing w:before="0" w:beforeAutospacing="0" w:after="0" w:afterAutospacing="0" w:line="360" w:lineRule="auto"/>
        <w:ind w:firstLine="420"/>
        <w:rPr>
          <w:sz w:val="21"/>
          <w:szCs w:val="21"/>
        </w:rPr>
      </w:pPr>
      <w:r>
        <w:rPr>
          <w:rFonts w:hint="eastAsia"/>
          <w:sz w:val="21"/>
          <w:szCs w:val="21"/>
        </w:rPr>
        <w:t xml:space="preserve">3、息差策略。通过正回购，融资买入收益率高于回购成本的债券，从而获得杠杆放大收益。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pPr>
        <w:pStyle w:val="7"/>
        <w:spacing w:before="0" w:beforeAutospacing="0" w:after="0" w:afterAutospacing="0" w:line="360" w:lineRule="auto"/>
        <w:ind w:firstLine="420"/>
        <w:rPr>
          <w:sz w:val="21"/>
          <w:szCs w:val="21"/>
        </w:rPr>
      </w:pPr>
      <w:r>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7"/>
        <w:spacing w:before="0" w:beforeAutospacing="0" w:after="0" w:afterAutospacing="0" w:line="360" w:lineRule="auto"/>
        <w:ind w:firstLine="420"/>
        <w:rPr>
          <w:sz w:val="21"/>
          <w:szCs w:val="21"/>
        </w:rPr>
      </w:pPr>
      <w:r>
        <w:rPr>
          <w:rFonts w:hint="eastAsia"/>
          <w:sz w:val="21"/>
          <w:szCs w:val="21"/>
        </w:rPr>
        <w:t>5、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w:t>
      </w:r>
      <w:bookmarkStart w:id="131" w:name="chapter_level1_11_60_section_1_end"/>
      <w:bookmarkEnd w:id="131"/>
      <w:r>
        <w:rPr>
          <w:rFonts w:hint="eastAsia"/>
          <w:sz w:val="21"/>
          <w:szCs w:val="21"/>
        </w:rPr>
        <w:t xml:space="preserve">投资规模并进行分散，以降低流动性风险。 </w:t>
      </w:r>
      <w:bookmarkStart w:id="132" w:name="field_60_investmentstrategy_1_end"/>
      <w:bookmarkEnd w:id="132"/>
      <w:r>
        <w:rPr>
          <w:rFonts w:hint="eastAsia"/>
          <w:sz w:val="21"/>
          <w:szCs w:val="21"/>
        </w:rPr>
        <w:t xml:space="preserve">  </w:t>
      </w:r>
    </w:p>
    <w:p>
      <w:pPr>
        <w:pStyle w:val="7"/>
        <w:spacing w:before="0" w:beforeAutospacing="0" w:after="0" w:afterAutospacing="0" w:line="360" w:lineRule="auto"/>
        <w:ind w:firstLine="420"/>
        <w:rPr>
          <w:sz w:val="21"/>
          <w:szCs w:val="21"/>
        </w:rPr>
      </w:pPr>
      <w:bookmarkStart w:id="133" w:name="chapter_level1_11_60_section_2"/>
      <w:bookmarkEnd w:id="133"/>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（4）本基金管理人管理的全部基金持有一家公司发行的证券，不超过该证券发行总量的10％；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（8）本基金持有的同一(指同一信用级别)资产支持证券的比例，不得超过该资产支持证券（指同一信用级别）规模的10％；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bookmarkStart w:id="134" w:name="chapter_level1_11_60_section_2_end"/>
      <w:bookmarkEnd w:id="134"/>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35" w:name="chapter_level1_11_60_section_3"/>
      <w:bookmarkEnd w:id="135"/>
      <w:r>
        <w:rPr>
          <w:rFonts w:hint="eastAsia"/>
          <w:sz w:val="21"/>
          <w:szCs w:val="21"/>
        </w:rPr>
        <w:t>本基金的业绩比较基准为：</w:t>
      </w:r>
      <w:bookmarkStart w:id="136" w:name="field_60_benchmark_1_start"/>
      <w:bookmarkEnd w:id="136"/>
      <w:r>
        <w:rPr>
          <w:rFonts w:hint="eastAsia"/>
          <w:sz w:val="21"/>
          <w:szCs w:val="21"/>
        </w:rPr>
        <w:t xml:space="preserve">中债综合财富（总值）指数收益率×90%+1年期定期存款利率（税后）×10%。 </w:t>
      </w:r>
    </w:p>
    <w:p>
      <w:pPr>
        <w:pStyle w:val="7"/>
        <w:spacing w:before="0" w:beforeAutospacing="0" w:after="0" w:afterAutospacing="0" w:line="360" w:lineRule="auto"/>
        <w:ind w:firstLine="420"/>
        <w:rPr>
          <w:sz w:val="21"/>
          <w:szCs w:val="21"/>
        </w:rPr>
      </w:pPr>
      <w:bookmarkStart w:id="137" w:name="field_60_benchmark_1_end"/>
      <w:bookmarkEnd w:id="13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80%，持有现金或者到期日在一年以内的政府债券不低于基金资产净值的5%，采用90%作为业绩比较基准中债券投资所代表的权重，10%作为现金资产所对应的权重可以较好的反映本基金的风险收益特征。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8" w:name="chapter_level1_11_60_section_3_end"/>
      <w:bookmarkEnd w:id="138"/>
      <w:r>
        <w:rPr>
          <w:rFonts w:hint="eastAsia"/>
          <w:sz w:val="21"/>
          <w:szCs w:val="21"/>
        </w:rPr>
        <w:t xml:space="preserve">当调整业绩比较基准并及时公告，而无需召开基金份额持有人大会。   </w:t>
      </w:r>
    </w:p>
    <w:p>
      <w:pPr>
        <w:pStyle w:val="7"/>
        <w:spacing w:before="0" w:beforeAutospacing="0" w:after="0" w:afterAutospacing="0" w:line="360" w:lineRule="auto"/>
        <w:ind w:firstLine="420"/>
        <w:rPr>
          <w:sz w:val="21"/>
          <w:szCs w:val="21"/>
        </w:rPr>
      </w:pPr>
      <w:bookmarkStart w:id="139" w:name="chapter_level1_11_60_section_4"/>
      <w:bookmarkEnd w:id="139"/>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40" w:name="field_60_riskyield_1_start"/>
      <w:bookmarkEnd w:id="140"/>
      <w:r>
        <w:rPr>
          <w:rFonts w:hint="eastAsia"/>
          <w:sz w:val="21"/>
          <w:szCs w:val="21"/>
        </w:rPr>
        <w:t xml:space="preserve">本基金为债券型基金，预期收益和预期风险高于货币市场基金，但低于混合型基金、股票型基金，属于中等风险/收益的产品。  </w:t>
      </w:r>
      <w:bookmarkStart w:id="141" w:name="field_60_riskyield_1_end"/>
      <w:bookmarkEnd w:id="14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八、基金管理人代表基金行使相关权利的处理原则及方法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rPr>
          <w:rFonts w:ascii="宋体" w:hAnsi="宋体" w:eastAsia="宋体"/>
          <w:sz w:val="24"/>
          <w:szCs w:val="24"/>
        </w:rPr>
      </w:pPr>
      <w:r>
        <w:rPr>
          <w:rFonts w:ascii="宋体" w:hAnsi="宋体" w:eastAsia="宋体"/>
        </w:rPr>
        <w:t>侧袋账户的实施条件、实施程序、运作安排、投资安排、特定资产的处置变现和支付等对投</w:t>
      </w:r>
      <w:bookmarkStart w:id="142" w:name="chapter_level1_11_60_section_4_end"/>
      <w:bookmarkEnd w:id="142"/>
      <w:r>
        <w:rPr>
          <w:rFonts w:ascii="宋体" w:hAnsi="宋体" w:eastAsia="宋体"/>
        </w:rPr>
        <w:t>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43" w:name="chapter_level1_11_60_section_5_end"/>
      <w:bookmarkEnd w:id="143"/>
      <w:bookmarkStart w:id="144" w:name="chapter_level1_11_60_section_5"/>
      <w:bookmarkEnd w:id="144"/>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45" w:name="chapter_level1_11_60_section_6"/>
      <w:bookmarkEnd w:id="145"/>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46" w:name="field_2343_financeendday_2"/>
      <w:r>
        <w:rPr>
          <w:sz w:val="21"/>
          <w:szCs w:val="21"/>
        </w:rPr>
        <w:t>2025年6月30日</w:t>
      </w:r>
      <w:bookmarkEnd w:id="146"/>
      <w:r>
        <w:rPr>
          <w:rFonts w:hint="eastAsia"/>
          <w:sz w:val="21"/>
          <w:szCs w:val="21"/>
        </w:rPr>
        <w:t xml:space="preserve">。本报告财务数据未经审计师审计。 </w:t>
      </w:r>
    </w:p>
    <w:p>
      <w:pPr>
        <w:pStyle w:val="7"/>
        <w:spacing w:before="0" w:beforeAutospacing="0" w:after="0" w:afterAutospacing="0" w:line="360" w:lineRule="auto"/>
        <w:ind w:firstLine="420"/>
        <w:rPr>
          <w:sz w:val="21"/>
          <w:szCs w:val="21"/>
        </w:rPr>
      </w:pPr>
      <w:bookmarkStart w:id="147" w:name="field_0_fundportfolio_1_start"/>
      <w:bookmarkEnd w:id="147"/>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433,225,710.25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433,225,710.25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32,003,506.85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5,318,656.39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5,123.45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470,552,996.94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185,213,936.98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123,238,227.39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134,096,899.30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20,294,487.67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93,620,386.30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433,225,710.25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92.13</w:t>
            </w:r>
          </w:p>
        </w:tc>
      </w:tr>
    </w:tbl>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1161"/>
        <w:gridCol w:w="1721"/>
        <w:gridCol w:w="1190"/>
        <w:gridCol w:w="1581"/>
        <w:gridCol w:w="2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102280662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22嘉善国资MTN001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41,941,884.93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240203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24国开03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41,321,150.68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2280290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22虞资债01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41,258,119.45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115881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23金城G2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32,003,334.25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102382754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23海鸿投资MTN001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31,228,315.07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6.64</w:t>
            </w:r>
          </w:p>
        </w:tc>
      </w:tr>
    </w:tbl>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银行股份有限公司在报告编制前一年受到中国人民银行重庆市分行、三明市市场监管局、国家外汇管理局安徽省分局、国家金融监督管理总局上海监管局的处罚。国家开发银行在报告编制前一年受到中国人民银行湖北省分行、北京金融监管局、吉林金融监管局的处罚。招银金融租赁有限公司在报告编制前一年受到国家金融监督管理总局上海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4,994.79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128.66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5,123.45</w:t>
            </w:r>
          </w:p>
        </w:tc>
      </w:tr>
    </w:tbl>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48" w:name="chapter_level1_11_60_section_6_end"/>
      <w:bookmarkEnd w:id="148"/>
      <w:r>
        <w:rPr>
          <w:rFonts w:hint="eastAsia"/>
          <w:sz w:val="21"/>
          <w:szCs w:val="21"/>
        </w:rPr>
        <w:t>由于四舍五入的原因，分项之和与合计项之间可能存在尾差。</w:t>
      </w:r>
      <w:bookmarkStart w:id="149" w:name="field_0_fundportfolio_1_end"/>
      <w:bookmarkEnd w:id="14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0" w:name="chapter_level1_12_3500"/>
      <w:bookmarkStart w:id="151" w:name="_Toc208406095"/>
      <w:r>
        <w:rPr>
          <w:rFonts w:hint="eastAsia" w:ascii="宋体" w:hAnsi="宋体" w:eastAsia="宋体"/>
          <w:sz w:val="30"/>
        </w:rPr>
        <w:t>第九部分 基金的业绩</w:t>
      </w:r>
      <w:bookmarkEnd w:id="150"/>
      <w:bookmarkEnd w:id="151"/>
    </w:p>
    <w:p>
      <w:pPr>
        <w:pStyle w:val="7"/>
        <w:spacing w:before="0" w:beforeAutospacing="0" w:after="0" w:afterAutospacing="0" w:line="360" w:lineRule="auto"/>
        <w:ind w:firstLine="420"/>
        <w:rPr>
          <w:sz w:val="21"/>
          <w:szCs w:val="21"/>
        </w:rPr>
      </w:pPr>
      <w:bookmarkStart w:id="152" w:name="chapter_level1_12_3500_section_1"/>
      <w:bookmarkEnd w:id="152"/>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历史各时间段A类基金份额的基金份额净值增长率及其与同期业绩比较基准收益率的比较： </w:t>
      </w:r>
    </w:p>
    <w:p>
      <w:pPr>
        <w:pStyle w:val="7"/>
        <w:spacing w:before="0" w:beforeAutospacing="0" w:after="0" w:afterAutospacing="0" w:line="360" w:lineRule="auto"/>
        <w:ind w:firstLine="420"/>
        <w:rPr>
          <w:sz w:val="21"/>
          <w:szCs w:val="21"/>
        </w:rPr>
      </w:pPr>
      <w:bookmarkStart w:id="153" w:name="field_0_indatatable_1_start"/>
      <w:bookmarkEnd w:id="153"/>
      <w:r>
        <w:rPr>
          <w:rFonts w:hint="eastAsia"/>
          <w:sz w:val="21"/>
          <w:szCs w:val="21"/>
        </w:rPr>
        <w:t>博时裕盛纯债债券A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2016.05.20-2016.12.31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2016.05.20-2025.06.30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bl>
    <w:p>
      <w:pPr>
        <w:pStyle w:val="7"/>
        <w:spacing w:before="0" w:beforeAutospacing="0" w:after="0" w:afterAutospacing="0" w:line="360" w:lineRule="auto"/>
        <w:ind w:firstLine="420"/>
        <w:rPr>
          <w:sz w:val="21"/>
          <w:szCs w:val="21"/>
        </w:rPr>
      </w:pPr>
      <w:r>
        <w:rPr>
          <w:rFonts w:hint="eastAsia"/>
          <w:sz w:val="21"/>
          <w:szCs w:val="21"/>
        </w:rPr>
        <w:t>博时裕盛纯债债券C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21"/>
        <w:gridCol w:w="1075"/>
        <w:gridCol w:w="1126"/>
        <w:gridCol w:w="1281"/>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2024.10.11-2024.12.31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2024.10.11-2025.06.30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bl>
    <w:p>
      <w:pPr>
        <w:pStyle w:val="7"/>
        <w:spacing w:before="0" w:beforeAutospacing="0" w:after="0" w:afterAutospacing="0" w:line="360" w:lineRule="auto"/>
        <w:ind w:firstLine="420"/>
        <w:rPr>
          <w:sz w:val="21"/>
          <w:szCs w:val="21"/>
        </w:rPr>
      </w:pPr>
      <w:bookmarkStart w:id="154" w:name="chapter_level1_12_3500_section_1_end"/>
      <w:bookmarkEnd w:id="154"/>
      <w:bookmarkStart w:id="155" w:name="field_0_indatatable_1_end"/>
      <w:bookmarkEnd w:id="15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6" w:name="_Toc208406096"/>
      <w:bookmarkStart w:id="157" w:name="chapter_level1_13_62"/>
      <w:r>
        <w:rPr>
          <w:rFonts w:hint="eastAsia" w:ascii="宋体" w:hAnsi="宋体" w:eastAsia="宋体"/>
          <w:sz w:val="30"/>
        </w:rPr>
        <w:t>第十部分  基金的财产</w:t>
      </w:r>
      <w:bookmarkEnd w:id="156"/>
      <w:bookmarkEnd w:id="157"/>
    </w:p>
    <w:p>
      <w:pPr>
        <w:pStyle w:val="7"/>
        <w:spacing w:before="0" w:beforeAutospacing="0" w:after="0" w:afterAutospacing="0" w:line="360" w:lineRule="auto"/>
        <w:ind w:firstLine="420"/>
        <w:rPr>
          <w:sz w:val="21"/>
          <w:szCs w:val="21"/>
        </w:rPr>
      </w:pPr>
      <w:bookmarkStart w:id="158" w:name="chapter_level1_13_62_section_1"/>
      <w:bookmarkEnd w:id="158"/>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9" w:name="chapter_level1_13_62_section_1_end"/>
      <w:bookmarkEnd w:id="159"/>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0" w:name="chapter_level1_14_63"/>
      <w:bookmarkStart w:id="161" w:name="_Toc208406097"/>
      <w:r>
        <w:rPr>
          <w:rFonts w:hint="eastAsia" w:ascii="宋体" w:hAnsi="宋体" w:eastAsia="宋体"/>
          <w:sz w:val="30"/>
        </w:rPr>
        <w:t>第十一部分  基金资产的估值</w:t>
      </w:r>
      <w:bookmarkEnd w:id="160"/>
      <w:bookmarkEnd w:id="161"/>
    </w:p>
    <w:p>
      <w:pPr>
        <w:pStyle w:val="7"/>
        <w:spacing w:before="0" w:beforeAutospacing="0" w:after="0" w:afterAutospacing="0" w:line="360" w:lineRule="auto"/>
        <w:ind w:firstLine="420"/>
        <w:rPr>
          <w:sz w:val="21"/>
          <w:szCs w:val="21"/>
        </w:rPr>
      </w:pPr>
      <w:bookmarkStart w:id="162" w:name="chapter_level1_14_63_section_1"/>
      <w:bookmarkEnd w:id="162"/>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63" w:name="chapter_level1_14_63_section_1_end"/>
      <w:bookmarkEnd w:id="163"/>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64" w:name="chapter_level1_14_63_section_2"/>
      <w:bookmarkEnd w:id="164"/>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1、各类基金份额净值是按照每个工作日闭市后，该类基金份额的基金资产净值除以当日该类基金份额的余额数量计算，</w:t>
      </w:r>
      <w:r>
        <w:rPr>
          <w:rFonts w:hint="eastAsia"/>
          <w:sz w:val="21"/>
          <w:szCs w:val="21"/>
          <w:lang w:val="en-US" w:eastAsia="zh-CN"/>
        </w:rPr>
        <w:t>均</w:t>
      </w:r>
      <w:r>
        <w:rPr>
          <w:rFonts w:hint="eastAsia"/>
          <w:sz w:val="21"/>
          <w:szCs w:val="21"/>
        </w:rPr>
        <w:t>精确到</w:t>
      </w:r>
      <w:bookmarkStart w:id="165" w:name="field_63_netdecimalvalue_1"/>
      <w:r>
        <w:rPr>
          <w:sz w:val="21"/>
          <w:szCs w:val="21"/>
        </w:rPr>
        <w:t>0.0001</w:t>
      </w:r>
      <w:bookmarkEnd w:id="165"/>
      <w:r>
        <w:rPr>
          <w:rFonts w:hint="eastAsia"/>
          <w:sz w:val="21"/>
          <w:szCs w:val="21"/>
        </w:rPr>
        <w:t xml:space="preserve">元，均小数点后第5位四舍五入。国家另有规定的，从其规定。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66" w:name="field_63_netdecimal_1"/>
      <w:r>
        <w:rPr>
          <w:sz w:val="21"/>
          <w:szCs w:val="21"/>
        </w:rPr>
        <w:t>4</w:t>
      </w:r>
      <w:bookmarkEnd w:id="166"/>
      <w:r>
        <w:rPr>
          <w:rFonts w:hint="eastAsia"/>
          <w:sz w:val="21"/>
          <w:szCs w:val="21"/>
        </w:rPr>
        <w:t>位以内(含第</w:t>
      </w:r>
      <w:bookmarkStart w:id="167" w:name="field_63_netdecimal_2"/>
      <w:r>
        <w:rPr>
          <w:sz w:val="21"/>
          <w:szCs w:val="21"/>
        </w:rPr>
        <w:t>4</w:t>
      </w:r>
      <w:bookmarkEnd w:id="167"/>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④由于一方提供的信息错误（包括但不限于基金申购或赎回金额等），进而导致基金份额净值计算错误而引起的基金份额持有人和基金财产的损失，由提供错误信息的当事人一方负责赔付。 </w:t>
      </w:r>
    </w:p>
    <w:p>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1、基金管理人或基金托管人按估值方法的第5项进行估值时，所造成的误差不作为基金资产估值错误处理。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8" w:name="chapter_level1_14_63_section_2_end"/>
      <w:bookmarkEnd w:id="168"/>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9" w:name="chapter_level1_15_64"/>
      <w:bookmarkStart w:id="170" w:name="_Toc208406098"/>
      <w:r>
        <w:rPr>
          <w:rFonts w:hint="eastAsia" w:ascii="宋体" w:hAnsi="宋体" w:eastAsia="宋体"/>
          <w:sz w:val="30"/>
        </w:rPr>
        <w:t>第十二部分  基金的收益与分配</w:t>
      </w:r>
      <w:bookmarkEnd w:id="169"/>
      <w:bookmarkEnd w:id="170"/>
    </w:p>
    <w:p>
      <w:pPr>
        <w:pStyle w:val="7"/>
        <w:spacing w:before="0" w:beforeAutospacing="0" w:after="0" w:afterAutospacing="0" w:line="360" w:lineRule="auto"/>
        <w:ind w:firstLine="420"/>
        <w:rPr>
          <w:sz w:val="21"/>
          <w:szCs w:val="21"/>
        </w:rPr>
      </w:pPr>
      <w:bookmarkStart w:id="171" w:name="chapter_level1_15_64_section_1"/>
      <w:bookmarkEnd w:id="171"/>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在符合有关基金分红条件的前提下，本基金每年收益分配次数最多为4次，每份基金份额每次收益分配比例不得低于该次收益分配基准日每份基金份额可供分配利润的20%，若《基金合同》生效不满3个月可不进行收益分配； </w:t>
      </w:r>
    </w:p>
    <w:p>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4、本基金各类基金份额在费用收取上不同，其对应的可分配收益可能有所不同。本基金同一类别的每一基金份额享有同等分配权；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5、法律法规或监管机关另有规定的，从其规定。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72" w:name="chapter_level1_15_64_section_1_end"/>
      <w:bookmarkEnd w:id="172"/>
      <w:r>
        <w:rPr>
          <w:rFonts w:hint="eastAsia"/>
          <w:sz w:val="21"/>
          <w:szCs w:val="21"/>
        </w:rPr>
        <w:t xml:space="preserve">基金管理人可对基金收益分配原则和支付方式进行调整，不需召开基金份额持有人大会。 </w:t>
      </w:r>
    </w:p>
    <w:p>
      <w:pPr>
        <w:pStyle w:val="7"/>
        <w:spacing w:before="0" w:beforeAutospacing="0" w:after="0" w:afterAutospacing="0" w:line="360" w:lineRule="auto"/>
        <w:ind w:firstLine="420"/>
        <w:rPr>
          <w:sz w:val="21"/>
          <w:szCs w:val="21"/>
        </w:rPr>
      </w:pPr>
      <w:bookmarkStart w:id="173" w:name="chapter_level1_15_64_section_2"/>
      <w:bookmarkEnd w:id="173"/>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74" w:name="chapter_level1_15_64_section_2_end"/>
      <w:bookmarkEnd w:id="174"/>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chapter_level1_16_65"/>
      <w:bookmarkStart w:id="176" w:name="_Toc208406099"/>
      <w:r>
        <w:rPr>
          <w:rFonts w:hint="eastAsia" w:ascii="宋体" w:hAnsi="宋体" w:eastAsia="宋体"/>
          <w:sz w:val="30"/>
        </w:rPr>
        <w:t>第十三部分  基金费用与税收</w:t>
      </w:r>
      <w:bookmarkEnd w:id="175"/>
      <w:bookmarkEnd w:id="176"/>
    </w:p>
    <w:p>
      <w:pPr>
        <w:pStyle w:val="7"/>
        <w:spacing w:before="0" w:beforeAutospacing="0" w:after="0" w:afterAutospacing="0" w:line="360" w:lineRule="auto"/>
        <w:ind w:firstLine="420"/>
        <w:rPr>
          <w:sz w:val="21"/>
          <w:szCs w:val="21"/>
        </w:rPr>
      </w:pPr>
      <w:bookmarkStart w:id="177" w:name="chapter_level1_16_65_section_1"/>
      <w:bookmarkEnd w:id="177"/>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8" w:name="field_0_managementrate_1"/>
      <w:r>
        <w:rPr>
          <w:sz w:val="21"/>
          <w:szCs w:val="21"/>
        </w:rPr>
        <w:t>0.30</w:t>
      </w:r>
      <w:bookmarkEnd w:id="178"/>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9" w:name="field_0_managementrate_2"/>
      <w:r>
        <w:rPr>
          <w:sz w:val="21"/>
          <w:szCs w:val="21"/>
        </w:rPr>
        <w:t>0.30</w:t>
      </w:r>
      <w:bookmarkEnd w:id="179"/>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次月前三个工作日内从基金财产中一次性支付给基金管理人。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80" w:name="field_0_trusteerate_1"/>
      <w:r>
        <w:rPr>
          <w:sz w:val="21"/>
          <w:szCs w:val="21"/>
        </w:rPr>
        <w:t>0.10</w:t>
      </w:r>
      <w:bookmarkEnd w:id="180"/>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81" w:name="field_0_trusteerate_2"/>
      <w:r>
        <w:rPr>
          <w:sz w:val="21"/>
          <w:szCs w:val="21"/>
        </w:rPr>
        <w:t>0.10</w:t>
      </w:r>
      <w:bookmarkEnd w:id="181"/>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 </w:t>
      </w:r>
    </w:p>
    <w:p>
      <w:pPr>
        <w:pStyle w:val="7"/>
        <w:spacing w:before="0" w:beforeAutospacing="0" w:after="0" w:afterAutospacing="0" w:line="360" w:lineRule="auto"/>
        <w:ind w:firstLine="420"/>
        <w:rPr>
          <w:sz w:val="21"/>
          <w:szCs w:val="21"/>
        </w:rPr>
      </w:pPr>
      <w:r>
        <w:rPr>
          <w:rFonts w:hint="eastAsia"/>
          <w:sz w:val="21"/>
          <w:szCs w:val="21"/>
        </w:rPr>
        <w:t xml:space="preserve">本基金C类基金份额的销售服务费按前一日C类基金份额基金资产净值的0.10%年费率计提。 </w:t>
      </w:r>
    </w:p>
    <w:p>
      <w:pPr>
        <w:pStyle w:val="7"/>
        <w:spacing w:before="0" w:beforeAutospacing="0" w:after="0" w:afterAutospacing="0" w:line="360" w:lineRule="auto"/>
        <w:ind w:firstLine="420"/>
        <w:rPr>
          <w:sz w:val="21"/>
          <w:szCs w:val="21"/>
        </w:rPr>
      </w:pPr>
      <w:r>
        <w:rPr>
          <w:rFonts w:hint="eastAsia"/>
          <w:sz w:val="21"/>
          <w:szCs w:val="21"/>
        </w:rPr>
        <w:t xml:space="preserve">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C类基金份额的销售服务费每日计算，逐日累计至每月月末，按月支付，由基金管理人与基金托管人核对一致后，基金托管人按照与基金管理人协商一致的方式于次月前3个工作日内从基金财产中一次性支取。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bookmarkStart w:id="182" w:name="chapter_level1_16_65_section_1_end"/>
      <w:bookmarkEnd w:id="182"/>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chapter_level1_17_66"/>
      <w:bookmarkStart w:id="184" w:name="_Toc208406100"/>
      <w:r>
        <w:rPr>
          <w:rFonts w:hint="eastAsia" w:ascii="宋体" w:hAnsi="宋体" w:eastAsia="宋体"/>
          <w:sz w:val="30"/>
        </w:rPr>
        <w:t>第十四部分  基金的会计与审计</w:t>
      </w:r>
      <w:bookmarkEnd w:id="183"/>
      <w:bookmarkEnd w:id="184"/>
    </w:p>
    <w:p>
      <w:pPr>
        <w:pStyle w:val="7"/>
        <w:spacing w:before="0" w:beforeAutospacing="0" w:after="0" w:afterAutospacing="0" w:line="360" w:lineRule="auto"/>
        <w:ind w:firstLine="420"/>
        <w:rPr>
          <w:sz w:val="21"/>
          <w:szCs w:val="21"/>
        </w:rPr>
      </w:pPr>
      <w:bookmarkStart w:id="185" w:name="chapter_level1_17_66_section_1"/>
      <w:bookmarkEnd w:id="185"/>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6" w:name="chapter_level1_17_66_section_1_end"/>
      <w:bookmarkEnd w:id="186"/>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chapter_level1_18_67"/>
      <w:bookmarkStart w:id="188" w:name="_Toc208406101"/>
      <w:r>
        <w:rPr>
          <w:rFonts w:hint="eastAsia" w:ascii="宋体" w:hAnsi="宋体" w:eastAsia="宋体"/>
          <w:sz w:val="30"/>
        </w:rPr>
        <w:t>第十五部分  基金的信息披露</w:t>
      </w:r>
      <w:bookmarkEnd w:id="187"/>
      <w:bookmarkEnd w:id="188"/>
    </w:p>
    <w:p>
      <w:pPr>
        <w:pStyle w:val="7"/>
        <w:spacing w:before="0" w:beforeAutospacing="0" w:after="0" w:afterAutospacing="0" w:line="360" w:lineRule="auto"/>
        <w:ind w:firstLine="420"/>
        <w:rPr>
          <w:sz w:val="21"/>
          <w:szCs w:val="21"/>
        </w:rPr>
      </w:pPr>
      <w:bookmarkStart w:id="189" w:name="chapter_level1_18_67_section_1"/>
      <w:bookmarkEnd w:id="189"/>
      <w:r>
        <w:rPr>
          <w:rStyle w:val="11"/>
          <w:rFonts w:hint="eastAsia"/>
          <w:sz w:val="21"/>
          <w:szCs w:val="21"/>
        </w:rPr>
        <w:t>一、本基金的信息披露应符合《基金法》、《运作办法》、《信息披露办法》、《基金合同》及其他有关规定。相关法律法规关于信息披露的规定发生变化时，本基金从其最新规定。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90" w:name="chapter_level1_18_67_section_1_end"/>
      <w:bookmarkEnd w:id="190"/>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91" w:name="chapter_level1_18_67_section_2"/>
      <w:bookmarkEnd w:id="191"/>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各自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16、任何一类基金份额净值计价错误达该类基金份额净值百分之零点五；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22、发生涉及基金申购、赎回事项调整或潜在影响投资者赎回等重大事项时；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（十二）实施侧袋机制期间的信息披露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bookmarkStart w:id="192" w:name="chapter_level1_18_67_section_2_end"/>
      <w:bookmarkEnd w:id="192"/>
      <w:r>
        <w:rPr>
          <w:rFonts w:hint="eastAsia"/>
          <w:sz w:val="21"/>
          <w:szCs w:val="21"/>
        </w:rPr>
        <w:t xml:space="preserve">（十三）中国证监会规定的其他信息。  </w:t>
      </w:r>
    </w:p>
    <w:p>
      <w:pPr>
        <w:pStyle w:val="7"/>
        <w:spacing w:before="0" w:beforeAutospacing="0" w:after="0" w:afterAutospacing="0" w:line="360" w:lineRule="auto"/>
        <w:ind w:firstLine="420"/>
        <w:rPr>
          <w:sz w:val="21"/>
          <w:szCs w:val="21"/>
        </w:rPr>
      </w:pPr>
      <w:bookmarkStart w:id="193" w:name="chapter_level1_18_67_section_3"/>
      <w:bookmarkEnd w:id="193"/>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7"/>
        <w:spacing w:before="0" w:beforeAutospacing="0" w:after="0" w:afterAutospacing="0" w:line="360" w:lineRule="auto"/>
        <w:ind w:firstLine="420"/>
        <w:rPr>
          <w:sz w:val="21"/>
          <w:szCs w:val="21"/>
        </w:rPr>
      </w:pPr>
      <w:bookmarkStart w:id="194" w:name="chapter_level1_18_67_section_3_end"/>
      <w:bookmarkEnd w:id="194"/>
      <w:r>
        <w:rPr>
          <w:rFonts w:hint="eastAsia"/>
          <w:sz w:val="21"/>
          <w:szCs w:val="21"/>
        </w:rPr>
        <w:t xml:space="preserve">3、法律法规、《基金合同》或中国证监会规定的情况。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5" w:name="chapter_level1_19_54314"/>
      <w:bookmarkStart w:id="196" w:name="_Toc208406102"/>
      <w:r>
        <w:rPr>
          <w:rFonts w:hint="eastAsia" w:ascii="宋体" w:hAnsi="宋体" w:eastAsia="宋体"/>
          <w:sz w:val="30"/>
        </w:rPr>
        <w:t>第十六部分  侧袋机制</w:t>
      </w:r>
      <w:bookmarkEnd w:id="195"/>
      <w:bookmarkEnd w:id="196"/>
    </w:p>
    <w:p>
      <w:pPr>
        <w:pStyle w:val="7"/>
        <w:spacing w:before="0" w:beforeAutospacing="0" w:after="0" w:afterAutospacing="0" w:line="360" w:lineRule="auto"/>
        <w:ind w:firstLine="420"/>
        <w:rPr>
          <w:sz w:val="21"/>
          <w:szCs w:val="21"/>
        </w:rPr>
      </w:pPr>
      <w:bookmarkStart w:id="197" w:name="chapter_level1_19_54314_section_1"/>
      <w:bookmarkEnd w:id="197"/>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pPr>
        <w:pStyle w:val="7"/>
        <w:spacing w:before="0" w:beforeAutospacing="0" w:after="0" w:afterAutospacing="0" w:line="360" w:lineRule="auto"/>
        <w:ind w:firstLine="420"/>
        <w:rPr>
          <w:sz w:val="21"/>
          <w:szCs w:val="21"/>
        </w:rPr>
      </w:pPr>
      <w:r>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98" w:name="chapter_level1_19_54314_section_1_end"/>
      <w:bookmarkEnd w:id="198"/>
      <w:r>
        <w:rPr>
          <w:rFonts w:hint="eastAsia"/>
          <w:sz w:val="21"/>
          <w:szCs w:val="21"/>
        </w:rPr>
        <w:t xml:space="preserve">无需召开基金份额持有人大会审议。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9" w:name="_Toc208406103"/>
      <w:bookmarkStart w:id="200" w:name="chapter_level1_20_68"/>
      <w:r>
        <w:rPr>
          <w:rFonts w:hint="eastAsia" w:ascii="宋体" w:hAnsi="宋体" w:eastAsia="宋体"/>
          <w:sz w:val="30"/>
        </w:rPr>
        <w:t>第十七部分  风险揭示</w:t>
      </w:r>
      <w:bookmarkEnd w:id="199"/>
      <w:bookmarkEnd w:id="200"/>
    </w:p>
    <w:p>
      <w:pPr>
        <w:pStyle w:val="7"/>
        <w:spacing w:before="0" w:beforeAutospacing="0" w:after="0" w:afterAutospacing="0" w:line="360" w:lineRule="auto"/>
        <w:ind w:firstLine="420"/>
        <w:rPr>
          <w:sz w:val="21"/>
          <w:szCs w:val="21"/>
        </w:rPr>
      </w:pPr>
      <w:bookmarkStart w:id="201" w:name="chapter_level1_20_68_section_1"/>
      <w:bookmarkEnd w:id="201"/>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2、除基金管理人直接办理本基金的销售外，本基金还通过南京银行等基金代销机构代</w:t>
      </w:r>
      <w:bookmarkStart w:id="202" w:name="chapter_level1_20_68_section_1_end"/>
      <w:bookmarkEnd w:id="202"/>
      <w:r>
        <w:rPr>
          <w:rFonts w:hint="eastAsia"/>
          <w:sz w:val="21"/>
          <w:szCs w:val="21"/>
        </w:rPr>
        <w:t xml:space="preserve">理销售，基金管理人与基金代销机构都不能保证其收益或本金安全。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3" w:name="_Toc208406104"/>
      <w:bookmarkStart w:id="204" w:name="chapter_level1_21_69"/>
      <w:r>
        <w:rPr>
          <w:rFonts w:hint="eastAsia" w:ascii="宋体" w:hAnsi="宋体" w:eastAsia="宋体"/>
          <w:sz w:val="30"/>
        </w:rPr>
        <w:t>第十八部分  基金合同的变更、终止与基金财产的清算</w:t>
      </w:r>
      <w:bookmarkEnd w:id="203"/>
      <w:bookmarkEnd w:id="204"/>
    </w:p>
    <w:p>
      <w:pPr>
        <w:pStyle w:val="7"/>
        <w:spacing w:before="0" w:beforeAutospacing="0" w:after="0" w:afterAutospacing="0" w:line="360" w:lineRule="auto"/>
        <w:ind w:firstLine="420"/>
        <w:rPr>
          <w:sz w:val="21"/>
          <w:szCs w:val="21"/>
        </w:rPr>
      </w:pPr>
      <w:bookmarkStart w:id="205" w:name="chapter_level1_21_69_section_1"/>
      <w:bookmarkEnd w:id="205"/>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3、基金合同生效后，连续六十个工作日出现基金份额持有人数量不满二百人或者基金资产净值低于五千万元情形的，基金合同将终止并进行基金财产清算；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206" w:name="chapter_level1_21_69_section_1_end"/>
      <w:bookmarkEnd w:id="20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7" w:name="chapter_level1_22_71"/>
      <w:bookmarkStart w:id="208" w:name="_Toc208406105"/>
      <w:r>
        <w:rPr>
          <w:rFonts w:hint="eastAsia" w:ascii="宋体" w:hAnsi="宋体" w:eastAsia="宋体"/>
          <w:sz w:val="30"/>
        </w:rPr>
        <w:t>第十九部分  基金合同的内容摘要</w:t>
      </w:r>
      <w:bookmarkEnd w:id="207"/>
      <w:bookmarkEnd w:id="208"/>
    </w:p>
    <w:p>
      <w:pPr>
        <w:pStyle w:val="7"/>
        <w:spacing w:before="0" w:beforeAutospacing="0" w:after="0" w:afterAutospacing="0" w:line="360" w:lineRule="auto"/>
        <w:ind w:firstLine="420"/>
        <w:rPr>
          <w:sz w:val="21"/>
          <w:szCs w:val="21"/>
        </w:rPr>
      </w:pPr>
      <w:bookmarkStart w:id="209" w:name="chapter_level1_22_71_section_1"/>
      <w:bookmarkEnd w:id="209"/>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2、在不违反法律法规规定、基金合同约定以及在对现有基金份额持有人利益无实质性不利影响的前提下，以下情况可由基金管理人和基金托管人协商后修改，不需召开基金份额持有人大会：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调整本基金的申购费率、调低赎回费率、调低销售服务费率或在对现有基金份额持有人利益无实质性不利影响的前提下变更收费方式或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（4）对《基金合同》的修改对基金份额持有人利益无实质性不利影响或修改不涉及《基金合同》当事人权利义务关系发生变化；   </w:t>
      </w:r>
    </w:p>
    <w:p>
      <w:pPr>
        <w:pStyle w:val="7"/>
        <w:spacing w:before="0" w:beforeAutospacing="0" w:after="0" w:afterAutospacing="0" w:line="360" w:lineRule="auto"/>
        <w:ind w:firstLine="420"/>
        <w:rPr>
          <w:sz w:val="21"/>
          <w:szCs w:val="21"/>
        </w:rPr>
      </w:pPr>
      <w:r>
        <w:rPr>
          <w:rFonts w:hint="eastAsia"/>
          <w:sz w:val="21"/>
          <w:szCs w:val="21"/>
        </w:rPr>
        <w:t xml:space="preserve">（5）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（6）在法律法规或中国证监会允许的范围内、且在对现有基金份额持有人无实质性不利影响的前提下推出新业务或服务；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10" w:name="chapter_level1_22_71_section_1_end"/>
      <w:bookmarkEnd w:id="210"/>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1" w:name="_Toc208406106"/>
      <w:bookmarkStart w:id="212" w:name="chapter_level1_23_72"/>
      <w:r>
        <w:rPr>
          <w:rFonts w:hint="eastAsia" w:ascii="宋体" w:hAnsi="宋体" w:eastAsia="宋体"/>
          <w:sz w:val="30"/>
        </w:rPr>
        <w:t>第二十部分  基金托管协议的内容摘要</w:t>
      </w:r>
      <w:bookmarkEnd w:id="211"/>
      <w:bookmarkEnd w:id="212"/>
    </w:p>
    <w:p>
      <w:pPr>
        <w:pStyle w:val="7"/>
        <w:spacing w:before="0" w:beforeAutospacing="0" w:after="0" w:afterAutospacing="0" w:line="360" w:lineRule="auto"/>
        <w:ind w:firstLine="420"/>
        <w:rPr>
          <w:sz w:val="21"/>
          <w:szCs w:val="21"/>
        </w:rPr>
      </w:pPr>
      <w:bookmarkStart w:id="213" w:name="chapter_level1_23_72_section_1"/>
      <w:bookmarkEnd w:id="213"/>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14" w:name="field_0_managerorgfullname_11"/>
      <w:r>
        <w:rPr>
          <w:rFonts w:hint="eastAsia"/>
          <w:sz w:val="21"/>
          <w:szCs w:val="21"/>
        </w:rPr>
        <w:t>博时基金管理有限公司</w:t>
      </w:r>
      <w:bookmarkEnd w:id="21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设立日期：1998年7月13日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存续期限：持续经营 </w:t>
      </w:r>
    </w:p>
    <w:p>
      <w:pPr>
        <w:pStyle w:val="7"/>
        <w:spacing w:before="0" w:beforeAutospacing="0" w:after="0" w:afterAutospacing="0" w:line="360" w:lineRule="auto"/>
        <w:ind w:firstLine="420"/>
        <w:rPr>
          <w:sz w:val="21"/>
          <w:szCs w:val="21"/>
        </w:rPr>
      </w:pPr>
      <w:r>
        <w:rPr>
          <w:rFonts w:hint="eastAsia"/>
          <w:sz w:val="21"/>
          <w:szCs w:val="21"/>
        </w:rPr>
        <w:t xml:space="preserve">联系电话：0755-83169999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15" w:name="field_0_trustorgfullname_2"/>
      <w:r>
        <w:rPr>
          <w:rFonts w:hint="eastAsia"/>
          <w:sz w:val="21"/>
          <w:szCs w:val="21"/>
        </w:rPr>
        <w:t>南京银行股份有限公司</w:t>
      </w:r>
      <w:bookmarkEnd w:id="21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住所：南京市中山路288号 </w:t>
      </w:r>
    </w:p>
    <w:p>
      <w:pPr>
        <w:pStyle w:val="7"/>
        <w:spacing w:before="0" w:beforeAutospacing="0" w:after="0" w:afterAutospacing="0" w:line="360" w:lineRule="auto"/>
        <w:ind w:firstLine="420"/>
        <w:rPr>
          <w:sz w:val="21"/>
          <w:szCs w:val="21"/>
        </w:rPr>
      </w:pPr>
      <w:r>
        <w:rPr>
          <w:rFonts w:hint="eastAsia"/>
          <w:sz w:val="21"/>
          <w:szCs w:val="21"/>
        </w:rPr>
        <w:t xml:space="preserve">法定代表人：胡升荣 </w:t>
      </w:r>
    </w:p>
    <w:p>
      <w:pPr>
        <w:pStyle w:val="7"/>
        <w:spacing w:before="0" w:beforeAutospacing="0" w:after="0" w:afterAutospacing="0" w:line="360" w:lineRule="auto"/>
        <w:ind w:firstLine="420"/>
        <w:rPr>
          <w:sz w:val="21"/>
          <w:szCs w:val="21"/>
        </w:rPr>
      </w:pPr>
      <w:r>
        <w:rPr>
          <w:rFonts w:hint="eastAsia"/>
          <w:sz w:val="21"/>
          <w:szCs w:val="21"/>
        </w:rPr>
        <w:t xml:space="preserve">成立时间：1996年2月6日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基金托管业务批准文号：中国证监会证监许可〔2014〕405号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注册资本：1000701.6973万元人民币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pPr>
        <w:pStyle w:val="7"/>
        <w:spacing w:before="0" w:beforeAutospacing="0" w:after="0" w:afterAutospacing="0" w:line="360" w:lineRule="auto"/>
        <w:ind w:firstLine="420"/>
        <w:rPr>
          <w:sz w:val="21"/>
          <w:szCs w:val="21"/>
        </w:rPr>
      </w:pPr>
      <w:r>
        <w:rPr>
          <w:rFonts w:hint="eastAsia"/>
          <w:sz w:val="21"/>
          <w:szCs w:val="21"/>
        </w:rPr>
        <w:t xml:space="preserve">本基金的投资对象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（4）本基金管理人管理的全部基金持有一家公司发行的证券，不超过该证券发行总量的10％；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（8）本基金持有的同一(指同一信用级别)资产支持证券的比例，不得超过该资产支持证券（指同一信用级别）规模的10％；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12）、（13）条之外，因证券市场波动、证券发行人合并、基金规模变动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对手名单及结算方式进行更新，新名单确定前已与本次剔除的交易对手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（五）基金托管人根据有关法律法规的规定及基金合同和本协议的约定，对基金管理人选择存款银行进行监督。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3、基金管理人与基金托管人在开展基金存款业务时，应严格遵守《基金法》、《运作办法》等有关法律法规，以及国家有关账户管理、利率管理、支付结算等的各项规定。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（六）基金托管人根据有关法律法规的规定及基金合同的约定，对基金管理人投资流通受限证券进行监督。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pPr>
        <w:pStyle w:val="7"/>
        <w:spacing w:before="0" w:beforeAutospacing="0" w:after="0" w:afterAutospacing="0" w:line="360" w:lineRule="auto"/>
        <w:ind w:firstLine="420"/>
        <w:rPr>
          <w:sz w:val="21"/>
          <w:szCs w:val="21"/>
        </w:rPr>
      </w:pPr>
      <w:r>
        <w:rPr>
          <w:rFonts w:hint="eastAsia"/>
          <w:sz w:val="21"/>
          <w:szCs w:val="21"/>
        </w:rPr>
        <w:t xml:space="preserve">1．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本基金为纯债债券型基金，不投资于流通受限证券中的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本基金投资的流通受限证券限于可由中国证券登记结算有限责任公司或中央国债登记结算有限责任公司、银行间市场清算所股份有限公司、负责登记和存管，并可在证券交易所或全国银行间债券市场交易的证券。 </w:t>
      </w:r>
    </w:p>
    <w:p>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pPr>
        <w:pStyle w:val="7"/>
        <w:spacing w:before="0" w:beforeAutospacing="0" w:after="0" w:afterAutospacing="0" w:line="360" w:lineRule="auto"/>
        <w:ind w:firstLine="420"/>
        <w:rPr>
          <w:sz w:val="21"/>
          <w:szCs w:val="21"/>
        </w:rPr>
      </w:pPr>
      <w:r>
        <w:rPr>
          <w:rFonts w:hint="eastAsia"/>
          <w:sz w:val="21"/>
          <w:szCs w:val="21"/>
        </w:rPr>
        <w:t xml:space="preserve">2．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 </w:t>
      </w:r>
    </w:p>
    <w:p>
      <w:pPr>
        <w:pStyle w:val="7"/>
        <w:spacing w:before="0" w:beforeAutospacing="0" w:after="0" w:afterAutospacing="0" w:line="360" w:lineRule="auto"/>
        <w:ind w:firstLine="420"/>
        <w:rPr>
          <w:sz w:val="21"/>
          <w:szCs w:val="21"/>
        </w:rPr>
      </w:pPr>
      <w:r>
        <w:rPr>
          <w:rFonts w:hint="eastAsia"/>
          <w:sz w:val="21"/>
          <w:szCs w:val="21"/>
        </w:rPr>
        <w:t xml:space="preserve">对本基金因投资流通受限证券导致的流动性风险，基金托管人不承担任何责任。如因基金管理人原因导致本基金出现损失致使基金托管人承担连带赔偿责任的，基金管理人应赔偿基金托管人由此遭受的损失。 </w:t>
      </w:r>
    </w:p>
    <w:p>
      <w:pPr>
        <w:pStyle w:val="7"/>
        <w:spacing w:before="0" w:beforeAutospacing="0" w:after="0" w:afterAutospacing="0" w:line="360" w:lineRule="auto"/>
        <w:ind w:firstLine="420"/>
        <w:rPr>
          <w:sz w:val="21"/>
          <w:szCs w:val="21"/>
        </w:rPr>
      </w:pPr>
      <w:r>
        <w:rPr>
          <w:rFonts w:hint="eastAsia"/>
          <w:sz w:val="21"/>
          <w:szCs w:val="21"/>
        </w:rPr>
        <w:t xml:space="preserve">3．本基金有关投资流通受限证券比例如违反有关限制规定，在合理期限内未能进行及时调整，基金管理人应依照《信息披露办法》的有关规定编制临时报告书，予以公告。 </w:t>
      </w:r>
    </w:p>
    <w:p>
      <w:pPr>
        <w:pStyle w:val="7"/>
        <w:spacing w:before="0" w:beforeAutospacing="0" w:after="0" w:afterAutospacing="0" w:line="360" w:lineRule="auto"/>
        <w:ind w:firstLine="420"/>
        <w:rPr>
          <w:sz w:val="21"/>
          <w:szCs w:val="21"/>
        </w:rPr>
      </w:pPr>
      <w:r>
        <w:rPr>
          <w:rFonts w:hint="eastAsia"/>
          <w:sz w:val="21"/>
          <w:szCs w:val="21"/>
        </w:rPr>
        <w:t xml:space="preserve">4．基金托管人根据有关规定有权对基金管理人进行以下事项监督： </w:t>
      </w:r>
    </w:p>
    <w:p>
      <w:pPr>
        <w:pStyle w:val="7"/>
        <w:spacing w:before="0" w:beforeAutospacing="0" w:after="0" w:afterAutospacing="0" w:line="360" w:lineRule="auto"/>
        <w:ind w:firstLine="420"/>
        <w:rPr>
          <w:sz w:val="21"/>
          <w:szCs w:val="21"/>
        </w:rPr>
      </w:pPr>
      <w:r>
        <w:rPr>
          <w:rFonts w:hint="eastAsia"/>
          <w:sz w:val="21"/>
          <w:szCs w:val="21"/>
        </w:rPr>
        <w:t xml:space="preserve">（1）本基金投资流通受限证券时的法律法规遵守情况； </w:t>
      </w:r>
    </w:p>
    <w:p>
      <w:pPr>
        <w:pStyle w:val="7"/>
        <w:spacing w:before="0" w:beforeAutospacing="0" w:after="0" w:afterAutospacing="0" w:line="360" w:lineRule="auto"/>
        <w:ind w:firstLine="420"/>
        <w:rPr>
          <w:sz w:val="21"/>
          <w:szCs w:val="21"/>
        </w:rPr>
      </w:pPr>
      <w:r>
        <w:rPr>
          <w:rFonts w:hint="eastAsia"/>
          <w:sz w:val="21"/>
          <w:szCs w:val="21"/>
        </w:rPr>
        <w:t xml:space="preserve">（2）有关比例限制的执行情况； </w:t>
      </w:r>
    </w:p>
    <w:p>
      <w:pPr>
        <w:pStyle w:val="7"/>
        <w:spacing w:before="0" w:beforeAutospacing="0" w:after="0" w:afterAutospacing="0" w:line="360" w:lineRule="auto"/>
        <w:ind w:firstLine="420"/>
        <w:rPr>
          <w:sz w:val="21"/>
          <w:szCs w:val="21"/>
        </w:rPr>
      </w:pPr>
      <w:r>
        <w:rPr>
          <w:rFonts w:hint="eastAsia"/>
          <w:sz w:val="21"/>
          <w:szCs w:val="21"/>
        </w:rPr>
        <w:t xml:space="preserve">（3）信息披露情况。 </w:t>
      </w:r>
    </w:p>
    <w:p>
      <w:pPr>
        <w:pStyle w:val="7"/>
        <w:spacing w:before="0" w:beforeAutospacing="0" w:after="0" w:afterAutospacing="0" w:line="360" w:lineRule="auto"/>
        <w:ind w:firstLine="420"/>
        <w:rPr>
          <w:sz w:val="21"/>
          <w:szCs w:val="21"/>
        </w:rPr>
      </w:pPr>
      <w:r>
        <w:rPr>
          <w:rFonts w:hint="eastAsia"/>
          <w:sz w:val="21"/>
          <w:szCs w:val="21"/>
        </w:rPr>
        <w:t xml:space="preserve">5．相关法律法规对基金投资流通受限证券有新规定的，从其规定。 </w:t>
      </w:r>
    </w:p>
    <w:p>
      <w:pPr>
        <w:pStyle w:val="7"/>
        <w:spacing w:before="0" w:beforeAutospacing="0" w:after="0" w:afterAutospacing="0" w:line="360" w:lineRule="auto"/>
        <w:ind w:firstLine="420"/>
        <w:rPr>
          <w:sz w:val="21"/>
          <w:szCs w:val="21"/>
        </w:rPr>
      </w:pPr>
      <w:r>
        <w:rPr>
          <w:rFonts w:hint="eastAsia"/>
          <w:sz w:val="21"/>
          <w:szCs w:val="21"/>
        </w:rPr>
        <w:t xml:space="preserve">（七）基金托管人对基金投资中期票据的监督 </w:t>
      </w:r>
    </w:p>
    <w:p>
      <w:pPr>
        <w:pStyle w:val="7"/>
        <w:spacing w:before="0" w:beforeAutospacing="0" w:after="0" w:afterAutospacing="0" w:line="360" w:lineRule="auto"/>
        <w:ind w:firstLine="420"/>
        <w:rPr>
          <w:sz w:val="21"/>
          <w:szCs w:val="21"/>
        </w:rPr>
      </w:pPr>
      <w:r>
        <w:rPr>
          <w:rFonts w:hint="eastAsia"/>
          <w:sz w:val="21"/>
          <w:szCs w:val="21"/>
        </w:rPr>
        <w:t xml:space="preserve">1．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 </w:t>
      </w:r>
    </w:p>
    <w:p>
      <w:pPr>
        <w:pStyle w:val="7"/>
        <w:spacing w:before="0" w:beforeAutospacing="0" w:after="0" w:afterAutospacing="0" w:line="360" w:lineRule="auto"/>
        <w:ind w:firstLine="420"/>
        <w:rPr>
          <w:sz w:val="21"/>
          <w:szCs w:val="21"/>
        </w:rPr>
      </w:pPr>
      <w:r>
        <w:rPr>
          <w:rFonts w:hint="eastAsia"/>
          <w:sz w:val="21"/>
          <w:szCs w:val="21"/>
        </w:rPr>
        <w:t xml:space="preserve">2．如未来有关监管部门发布的法律法规对证券投资基金投资中期票据另有规定的，从其约定，基金管理人应及时书面通知基金托管人。 </w:t>
      </w:r>
    </w:p>
    <w:p>
      <w:pPr>
        <w:pStyle w:val="7"/>
        <w:spacing w:before="0" w:beforeAutospacing="0" w:after="0" w:afterAutospacing="0" w:line="360" w:lineRule="auto"/>
        <w:ind w:firstLine="420"/>
        <w:rPr>
          <w:sz w:val="21"/>
          <w:szCs w:val="21"/>
        </w:rPr>
      </w:pPr>
      <w:r>
        <w:rPr>
          <w:rFonts w:hint="eastAsia"/>
          <w:sz w:val="21"/>
          <w:szCs w:val="21"/>
        </w:rPr>
        <w:t xml:space="preserve">3．基金托管人有权监督基金管理人在相关基金投资中期票据时的法律法规遵守情况，有关制度、信用风险、流动性风险处置预案的完善情况，有关比例限制的执行情况。基金托管人发现基金管理人的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（十一）若基金托管人发现基金管理人依据交易程序已经生效的指令违反法律、行政法规和其他有关规定，或者违反基金合同约定的，应当立即通知基金管理人，由此造成的损失由基金管理人承担。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三、基金管理人对基金托管人的业务监督、核查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托管资金专门账户和证券账户等投资所需账户、复核基金管理人计算的基金资产净值和各类基金份额净值、根据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3．基金托管人按照规定开设基金财产的资金账户、证券账户等投资所需账户；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账户维护费等费用）；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1．基金募集期间募集的资金应存于开立的“基金募集专户”。该账户由登记机构开立并管理。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3．若基金募集期限届满，未能达到基金备案的条件，由基金管理人按规定办理退款等事宜。 </w:t>
      </w:r>
    </w:p>
    <w:p>
      <w:pPr>
        <w:pStyle w:val="7"/>
        <w:spacing w:before="0" w:beforeAutospacing="0" w:after="0" w:afterAutospacing="0" w:line="360" w:lineRule="auto"/>
        <w:ind w:firstLine="420"/>
        <w:rPr>
          <w:sz w:val="21"/>
          <w:szCs w:val="21"/>
        </w:rPr>
      </w:pPr>
      <w:r>
        <w:rPr>
          <w:rFonts w:hint="eastAsia"/>
          <w:sz w:val="21"/>
          <w:szCs w:val="21"/>
        </w:rPr>
        <w:t xml:space="preserve">（三）基金资金账户的开立和管理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应以本基金的名义在具有基金托管资格的商业银行开立基金的资金账户（托管账户），并根据基金管理人合法合规的指令办理资金收付。本基金的银行预留印鉴由基金托管人刻制、保管和使用。本基金的一切货币收支活动，包括但不限于投资、付赎回额、支付基金收益取申购款，均需通过本基金资金账户进行。 </w:t>
      </w:r>
    </w:p>
    <w:p>
      <w:pPr>
        <w:pStyle w:val="7"/>
        <w:spacing w:before="0" w:beforeAutospacing="0" w:after="0" w:afterAutospacing="0" w:line="360" w:lineRule="auto"/>
        <w:ind w:firstLine="420"/>
        <w:rPr>
          <w:sz w:val="21"/>
          <w:szCs w:val="21"/>
        </w:rPr>
      </w:pPr>
      <w:r>
        <w:rPr>
          <w:rFonts w:hint="eastAsia"/>
          <w:sz w:val="21"/>
          <w:szCs w:val="21"/>
        </w:rPr>
        <w:t xml:space="preserve">2．基金资金账户的开立和使用，限于满足开展本基金业务的需要。基金托管人和基金管理人不得假借本基金的名义开立任何其他银行账户；亦不得使用基金的任何账户进行本基金业务以外的活动。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3．基金资金账户的开立和管理应符合有关法律法规及银行业监督管理机构的有关规定。 </w:t>
      </w:r>
    </w:p>
    <w:p>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以本基金的名义在银行间市场登记结算机构开立债券托管账户、持有人账户和资金结算账户，并代表本基金进行银行间市场债券的后台确认及资金结算。基金管理人和基金托管人共同代表本基金签订全国银行间债券市场债券回购主协议。 </w:t>
      </w:r>
    </w:p>
    <w:p>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1．因业务发展需要而开立的其他账户，可以根据法律法规和基金合同的规定，由基金托管人负责开立。新账户按有关规定使用并管理。 </w:t>
      </w:r>
    </w:p>
    <w:p>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30个工作日内将正本送达基金托管人处。重大合同的保管期限为基金合同终止后15年。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对于无法取得二份以上的正本的，基金管理人应向基金托管人提供加盖授权业务章的合同传真件并保证其真实性及其与原件的完全一致性，未经双方协商或未在合同约定范围内，合同原件不得转移。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价值。各类基金份额净值是按照每个交易日闭市后，该类基金份额的基金资产净值除以当日该类基金份额的余额数量计算，均精确到0.0001元，小数点后第五位四舍五入。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以双方约定的方式发送基金托管人，经基金托管人复核无误后，并以双方约定的方式将复核结果传送给基金管理人，由基金管理人依据基金合同和相关法律法规的规定对外公布。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基金所拥有债券和银行存款本息、应收款项、其它投资等资产和负债。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基金管理人、基金托管人按估值方法的第（5）项进行估值时，所造成的误差不作为基金份额净值错误处理。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pPr>
        <w:pStyle w:val="7"/>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该类基金份额净值错误；当任何一类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当发生净值计算错误时，由基金管理人负责处理，由此给基金份额持有人和基金造成损失的，基金管理人有权向其他当事人追偿。  </w:t>
      </w:r>
    </w:p>
    <w:p>
      <w:pPr>
        <w:pStyle w:val="7"/>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（4）由于一方提供的信息错误（包括但不限于基金申购或赎回金额等），进而导致基金份额净值计算错误而引起的基金份额持有人和基金财产的损失，由提供错误信息的当事人一方负责赔付。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4．前述内容如法律法规或者监管部门另有规定的，从其规定。如果行业另有通行做法，双方当事人应本着平等和保护基金份额持有人利益的原则进行协商。 </w:t>
      </w:r>
    </w:p>
    <w:p>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3．法律法规规定、中国证监会和基金合同认定的其他情形。 </w:t>
      </w:r>
    </w:p>
    <w:p>
      <w:pPr>
        <w:pStyle w:val="7"/>
        <w:spacing w:before="0" w:beforeAutospacing="0" w:after="0" w:afterAutospacing="0" w:line="360" w:lineRule="auto"/>
        <w:ind w:firstLine="420"/>
        <w:rPr>
          <w:sz w:val="21"/>
          <w:szCs w:val="21"/>
        </w:rPr>
      </w:pPr>
      <w:r>
        <w:rPr>
          <w:rFonts w:hint="eastAsia"/>
          <w:sz w:val="21"/>
          <w:szCs w:val="21"/>
        </w:rPr>
        <w:t xml:space="preserve">（五）基金会计制度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pPr>
        <w:pStyle w:val="7"/>
        <w:spacing w:before="0" w:beforeAutospacing="0" w:after="0" w:afterAutospacing="0" w:line="360" w:lineRule="auto"/>
        <w:ind w:firstLine="420"/>
        <w:rPr>
          <w:sz w:val="21"/>
          <w:szCs w:val="21"/>
        </w:rPr>
      </w:pPr>
      <w:r>
        <w:rPr>
          <w:rFonts w:hint="eastAsia"/>
          <w:sz w:val="21"/>
          <w:szCs w:val="21"/>
        </w:rPr>
        <w:t xml:space="preserve">（1）报表的编制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（2）报表的复核   </w:t>
      </w:r>
    </w:p>
    <w:p>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   </w:t>
      </w:r>
    </w:p>
    <w:p>
      <w:pPr>
        <w:pStyle w:val="7"/>
        <w:spacing w:before="0" w:beforeAutospacing="0" w:after="0" w:afterAutospacing="0" w:line="360" w:lineRule="auto"/>
        <w:ind w:firstLine="420"/>
        <w:rPr>
          <w:sz w:val="21"/>
          <w:szCs w:val="21"/>
        </w:rPr>
      </w:pPr>
      <w:r>
        <w:rPr>
          <w:rFonts w:hint="eastAsia"/>
          <w:sz w:val="21"/>
          <w:szCs w:val="21"/>
        </w:rPr>
        <w:t xml:space="preserve">在基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除非法律、法规、规章另有规定，有权机关另有要求。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本托管协议适用于中华人民共和国法律并从其解释（为本协议之目的，在此不包括香港、澳门特别行政区和台湾地区法律）。   </w:t>
      </w:r>
    </w:p>
    <w:p>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本托管协议双方当事人经协商一致，可以对协议进行修改。修改后的新协议，其内容不得与基金合同的规定有任何冲突。基金托管协议的变更报中国证监会备案。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4．发生法律法规、中国证监会或基金合同规定的终止事项。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1．基金财产清算小组：自出现基金合同终止事由之日起30个工作日内成立基金财产清算小组，基金财产清算小组在中国证监会的监督下进行基金清算。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（6）将基金财产清算报告报中国证监会备案并公告；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5．清算费用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6．基金财产清算剩余资产的分配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7．基金财产清算的公告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基金财产清算公告于基金财产清算报告报中国证监会备案后5个工作日内由基金财产清算小组公告；清算过程中的有关重大事项须及时公告；基金财产清算结果经具备证券、期货相关业务资格的会计师事务所审计、律师事务所出具法律意见书后，由基金财产清算小组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8．基金财产清算账册及文件的保存   </w:t>
      </w:r>
    </w:p>
    <w:p>
      <w:pPr>
        <w:pStyle w:val="7"/>
        <w:spacing w:before="0" w:beforeAutospacing="0" w:after="0" w:afterAutospacing="0" w:line="360" w:lineRule="auto"/>
        <w:ind w:firstLine="420"/>
        <w:rPr>
          <w:sz w:val="21"/>
          <w:szCs w:val="21"/>
        </w:rPr>
      </w:pPr>
      <w:bookmarkStart w:id="216" w:name="chapter_level1_23_72_section_1_end"/>
      <w:bookmarkEnd w:id="21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7" w:name="_Toc208406107"/>
      <w:bookmarkStart w:id="218" w:name="chapter_level1_24_75"/>
      <w:r>
        <w:rPr>
          <w:rFonts w:hint="eastAsia" w:ascii="宋体" w:hAnsi="宋体" w:eastAsia="宋体"/>
          <w:sz w:val="30"/>
        </w:rPr>
        <w:t>第二十一部分  对基金份额持有人的服务</w:t>
      </w:r>
      <w:bookmarkEnd w:id="217"/>
      <w:bookmarkEnd w:id="218"/>
    </w:p>
    <w:p>
      <w:pPr>
        <w:pStyle w:val="7"/>
        <w:spacing w:before="0" w:beforeAutospacing="0" w:after="0" w:afterAutospacing="0" w:line="360" w:lineRule="auto"/>
        <w:ind w:firstLine="420"/>
        <w:rPr>
          <w:sz w:val="21"/>
          <w:szCs w:val="21"/>
        </w:rPr>
      </w:pPr>
      <w:bookmarkStart w:id="219" w:name="chapter_level1_24_75_section_1"/>
      <w:bookmarkEnd w:id="21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20" w:name="chapter_level1_24_75_section_1_end"/>
      <w:bookmarkEnd w:id="220"/>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1" w:name="_Toc208406108"/>
      <w:bookmarkStart w:id="222" w:name="chapter_level1_25_3499"/>
      <w:r>
        <w:rPr>
          <w:rFonts w:hint="eastAsia" w:ascii="宋体" w:hAnsi="宋体" w:eastAsia="宋体"/>
          <w:sz w:val="30"/>
        </w:rPr>
        <w:t>第二十二部分 其他应披露的事项</w:t>
      </w:r>
      <w:bookmarkEnd w:id="221"/>
      <w:bookmarkEnd w:id="222"/>
    </w:p>
    <w:p>
      <w:pPr>
        <w:pStyle w:val="7"/>
        <w:spacing w:before="0" w:beforeAutospacing="0" w:after="0" w:afterAutospacing="0" w:line="360" w:lineRule="auto"/>
        <w:ind w:firstLine="420"/>
        <w:rPr>
          <w:sz w:val="21"/>
          <w:szCs w:val="21"/>
        </w:rPr>
      </w:pPr>
      <w:bookmarkStart w:id="223" w:name="field_0_bsrevealinfo_1_start"/>
      <w:bookmarkEnd w:id="223"/>
      <w:bookmarkStart w:id="224" w:name="chapter_level1_25_3499_section_1"/>
      <w:bookmarkEnd w:id="224"/>
      <w:r>
        <w:rPr>
          <w:rFonts w:hint="eastAsia"/>
          <w:sz w:val="21"/>
          <w:szCs w:val="21"/>
        </w:rPr>
        <w:t>（一）、2025年8月29日，我公司公告了《博时裕盛纯债债券型证券投资基金2025年中期报告》；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（二）、2025年7月21日，我公司公告了《博时裕盛纯债债券型证券投资基金2025年第2季度报告》；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（三）、2025年6月26日，我公司公告了《博时裕盛纯债债券型证券投资基金（博时裕盛纯债债券A）基金产品资料概要更新》、《博时裕盛纯债债券型证券投资基金（博时裕盛纯债债券C）基金产品资料概要更新》；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（六）、2025年4月22日，我公司公告了《博时裕盛纯债债券型证券投资基金2025年第1季度报告》；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（八）、2025年3月31日，我公司公告了《博时基金管理有限公司旗下公募基金通过证券公司证券交易及佣金支付情况（2024年度）》、《博时裕盛纯债债券型证券投资基金2024年年度报告》；</w:t>
      </w:r>
    </w:p>
    <w:p>
      <w:pPr>
        <w:pStyle w:val="7"/>
        <w:spacing w:before="0" w:beforeAutospacing="0" w:after="0" w:afterAutospacing="0" w:line="360" w:lineRule="auto"/>
        <w:ind w:firstLine="420"/>
        <w:rPr>
          <w:sz w:val="21"/>
          <w:szCs w:val="21"/>
        </w:rPr>
      </w:pPr>
      <w:r>
        <w:rPr>
          <w:rFonts w:hint="eastAsia"/>
          <w:sz w:val="21"/>
          <w:szCs w:val="21"/>
        </w:rPr>
        <w:t>（九）、2025年3月25日，我公司公告了《博时基金管理有限公司关于旗下基金持有的长期停牌股票调整估值方法的公告-20250325》；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（十）、2025年1月22日，我公司公告了《博时裕盛纯债债券型证券投资基金2024年第4季度报告》；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（十一）、2024年12月27日，我公司公告了《博时基金管理有限公司关于旗下193只基金改聘会计师事务所的公告》；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（十三）、2024年11月21日，我公司公告了《博时裕盛纯债债券型证券投资基金分红公告》；</w:t>
      </w:r>
    </w:p>
    <w:p>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（十五）、2024年11月6日，我公司公告了《博时基金管理有限公司关于旗下基金持有的长期停牌股票调整估值方法的公告-20241106》；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（十六）、2024年10月26日，我公司公告了《博时裕盛纯债债券型证券投资基金分红公告》；</w:t>
      </w:r>
    </w:p>
    <w:p>
      <w:pPr>
        <w:pStyle w:val="7"/>
        <w:spacing w:before="0" w:beforeAutospacing="0" w:after="0" w:afterAutospacing="0" w:line="360" w:lineRule="auto"/>
        <w:ind w:firstLine="420"/>
        <w:rPr>
          <w:sz w:val="21"/>
          <w:szCs w:val="21"/>
        </w:rPr>
      </w:pPr>
      <w:r>
        <w:rPr>
          <w:rFonts w:hint="eastAsia"/>
          <w:sz w:val="21"/>
          <w:szCs w:val="21"/>
        </w:rPr>
        <w:t>（十七）、2024年10月25日，我公司公告了《博时裕盛纯债债券型证券投资基金2024年第3季度报告》；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八）、2024年10月10日，我公司公告了《博时裕盛纯债债券型证券投资基金更新招募说明书》、《博时裕盛纯债债券型证券投资基金（博时裕盛纯债债券A）基金产品资料概要更新》、《博时裕盛纯债债券型证券投资基金（博时裕盛纯债债券C）基金产品资料概要》；</w:t>
      </w:r>
    </w:p>
    <w:p>
      <w:pPr>
        <w:pStyle w:val="7"/>
        <w:spacing w:before="0" w:beforeAutospacing="0" w:after="0" w:afterAutospacing="0" w:line="360" w:lineRule="auto"/>
        <w:ind w:firstLine="420"/>
        <w:rPr>
          <w:sz w:val="21"/>
          <w:szCs w:val="21"/>
        </w:rPr>
      </w:pPr>
      <w:r>
        <w:rPr>
          <w:rFonts w:hint="eastAsia"/>
          <w:sz w:val="21"/>
          <w:szCs w:val="21"/>
        </w:rPr>
        <w:t>（十九）、2024年10月8日，我公司公告了《博时裕盛纯债债券型证券投资基金基金合同》、《博时裕盛纯债债券型证券投资基金托管协议》、《博时裕盛纯债债券型证券投资基金增加C类基金份额、调整估值位数等并修改基金合同和托管协议的公告》；</w:t>
      </w:r>
    </w:p>
    <w:p>
      <w:pPr>
        <w:pStyle w:val="7"/>
        <w:spacing w:before="0" w:beforeAutospacing="0" w:after="0" w:afterAutospacing="0" w:line="360" w:lineRule="auto"/>
        <w:ind w:firstLine="420"/>
        <w:rPr>
          <w:sz w:val="21"/>
          <w:szCs w:val="21"/>
        </w:rPr>
      </w:pPr>
      <w:r>
        <w:rPr>
          <w:rFonts w:hint="eastAsia"/>
          <w:sz w:val="21"/>
          <w:szCs w:val="21"/>
        </w:rPr>
        <w:t>（二十）、2024年9月30日，我公司公告了《博时裕盛纯债债券型证券投资基金更新招募说明书》；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（二十一）、2024年9月25日，我公司公告了《博时基金管理有限公司关于旗下基金持有的长期停牌股票调整估值方法的公告-20240925》；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（二十二）、2024年9月21日，我公司公告了《博时基金管理有限公司关于董事会成</w:t>
      </w:r>
      <w:bookmarkStart w:id="225" w:name="chapter_level1_25_3499_section_1_end"/>
      <w:bookmarkEnd w:id="225"/>
      <w:r>
        <w:rPr>
          <w:rFonts w:hint="eastAsia"/>
          <w:sz w:val="21"/>
          <w:szCs w:val="21"/>
        </w:rPr>
        <w:t>员变更的公告》。</w:t>
      </w:r>
      <w:bookmarkStart w:id="226" w:name="field_0_bsrevealinfo_1_end"/>
      <w:bookmarkEnd w:id="22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7" w:name="_Toc208406109"/>
      <w:bookmarkStart w:id="228" w:name="chapter_level1_26_77"/>
      <w:r>
        <w:rPr>
          <w:rFonts w:hint="eastAsia" w:ascii="宋体" w:hAnsi="宋体" w:eastAsia="宋体"/>
          <w:sz w:val="30"/>
        </w:rPr>
        <w:t>第二十三部分  招募说明书存放及查阅方式</w:t>
      </w:r>
      <w:bookmarkEnd w:id="227"/>
      <w:bookmarkEnd w:id="228"/>
    </w:p>
    <w:p>
      <w:pPr>
        <w:pStyle w:val="7"/>
        <w:spacing w:before="0" w:beforeAutospacing="0" w:after="0" w:afterAutospacing="0" w:line="360" w:lineRule="auto"/>
        <w:ind w:firstLine="420"/>
        <w:rPr>
          <w:sz w:val="21"/>
          <w:szCs w:val="21"/>
        </w:rPr>
      </w:pPr>
      <w:bookmarkStart w:id="229" w:name="chapter_level1_26_77_section_1"/>
      <w:bookmarkEnd w:id="229"/>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30" w:name="chapter_level1_26_77_section_1_end"/>
      <w:bookmarkEnd w:id="230"/>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31" w:name="chapter_level1_27_332"/>
      <w:bookmarkStart w:id="232" w:name="_Toc208406110"/>
      <w:r>
        <w:rPr>
          <w:rFonts w:hint="eastAsia" w:ascii="宋体" w:hAnsi="宋体" w:eastAsia="宋体"/>
          <w:sz w:val="30"/>
        </w:rPr>
        <w:t>第二十四部分  备查文件</w:t>
      </w:r>
      <w:bookmarkEnd w:id="231"/>
      <w:bookmarkEnd w:id="232"/>
    </w:p>
    <w:p>
      <w:pPr>
        <w:pStyle w:val="7"/>
        <w:spacing w:before="0" w:beforeAutospacing="0" w:after="0" w:afterAutospacing="0" w:line="360" w:lineRule="auto"/>
        <w:ind w:firstLine="420"/>
        <w:rPr>
          <w:sz w:val="21"/>
          <w:szCs w:val="21"/>
        </w:rPr>
      </w:pPr>
      <w:bookmarkStart w:id="233" w:name="chapter_level1_27_332_section_1"/>
      <w:bookmarkEnd w:id="233"/>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34" w:name="field_0_productfullname_13"/>
      <w:r>
        <w:rPr>
          <w:rFonts w:hint="eastAsia"/>
          <w:sz w:val="21"/>
          <w:szCs w:val="21"/>
        </w:rPr>
        <w:t>博时裕盛纯债债券型证券投资基金</w:t>
      </w:r>
      <w:bookmarkEnd w:id="234"/>
      <w:r>
        <w:rPr>
          <w:rFonts w:hint="eastAsia"/>
          <w:sz w:val="21"/>
          <w:szCs w:val="21"/>
        </w:rPr>
        <w:t xml:space="preserve">募集的文件 </w:t>
      </w:r>
    </w:p>
    <w:p>
      <w:pPr>
        <w:pStyle w:val="7"/>
        <w:spacing w:before="0" w:beforeAutospacing="0" w:after="0" w:afterAutospacing="0" w:line="360" w:lineRule="auto"/>
        <w:ind w:firstLine="420"/>
        <w:rPr>
          <w:sz w:val="21"/>
          <w:szCs w:val="21"/>
        </w:rPr>
      </w:pPr>
      <w:r>
        <w:rPr>
          <w:rFonts w:hint="eastAsia"/>
          <w:sz w:val="21"/>
          <w:szCs w:val="21"/>
        </w:rPr>
        <w:t>（二）《</w:t>
      </w:r>
      <w:bookmarkStart w:id="235" w:name="field_0_productfullname_14"/>
      <w:r>
        <w:rPr>
          <w:rFonts w:hint="eastAsia"/>
          <w:sz w:val="21"/>
          <w:szCs w:val="21"/>
        </w:rPr>
        <w:t>博时裕盛纯债债券型证券投资基金</w:t>
      </w:r>
      <w:bookmarkEnd w:id="235"/>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36" w:name="field_0_productfullname_15"/>
      <w:r>
        <w:rPr>
          <w:rFonts w:hint="eastAsia"/>
          <w:sz w:val="21"/>
          <w:szCs w:val="21"/>
        </w:rPr>
        <w:t>博时裕盛纯债债券型证券投资基金</w:t>
      </w:r>
      <w:bookmarkEnd w:id="236"/>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（六）关于申请募集注册</w:t>
      </w:r>
      <w:bookmarkStart w:id="237" w:name="field_0_productfullname_16"/>
      <w:r>
        <w:rPr>
          <w:rFonts w:hint="eastAsia"/>
          <w:sz w:val="21"/>
          <w:szCs w:val="21"/>
        </w:rPr>
        <w:t>博时裕盛纯债债券型证券投资基金</w:t>
      </w:r>
      <w:bookmarkEnd w:id="237"/>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8" w:name="field_0_managerorgfullname_12"/>
      <w:r>
        <w:rPr>
          <w:rFonts w:hint="eastAsia"/>
          <w:sz w:val="21"/>
          <w:szCs w:val="21"/>
        </w:rPr>
        <w:t>博时基金管理有限公司</w:t>
      </w:r>
      <w:bookmarkEnd w:id="238"/>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9" w:name="chapter_level1_27_332_section_1_end"/>
      <w:bookmarkEnd w:id="239"/>
      <w:bookmarkStart w:id="240" w:name="field_0_commitmenttime_1"/>
      <w:r>
        <w:rPr>
          <w:sz w:val="21"/>
          <w:szCs w:val="21"/>
        </w:rPr>
        <w:t>2025年9月30日</w:t>
      </w:r>
      <w:bookmarkEnd w:id="240"/>
      <w:r>
        <w:rPr>
          <w:rFonts w:hint="eastAsia"/>
          <w:sz w:val="21"/>
          <w:szCs w:val="21"/>
        </w:rPr>
        <w:t xml:space="preserve">  </w:t>
      </w:r>
    </w:p>
    <w:p>
      <w:pPr>
        <w:rPr>
          <w:rFonts w:ascii="宋体" w:hAnsi="宋体" w:eastAsia="宋体"/>
        </w:rPr>
      </w:pPr>
      <w:bookmarkStart w:id="241" w:name="end"/>
      <w:bookmarkEnd w:id="24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122</w:t>
    </w:r>
    <w:r>
      <w:fldChar w:fldCharType="end"/>
    </w:r>
    <w:r>
      <w:rPr>
        <w:rFonts w:hint="eastAsia"/>
      </w:rPr>
      <w:t>页 共</w:t>
    </w:r>
    <w:r>
      <w:fldChar w:fldCharType="begin"/>
    </w:r>
    <w:r>
      <w:instrText xml:space="preserve"> NumPages \* MERGEFORMAT </w:instrText>
    </w:r>
    <w:r>
      <w:fldChar w:fldCharType="separate"/>
    </w:r>
    <w:r>
      <w:t>122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博时裕盛纯债债券型证券投资基金更新招募说明书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9E"/>
    <w:rsid w:val="00267EE7"/>
    <w:rsid w:val="0075049E"/>
    <w:rsid w:val="00CD3A15"/>
    <w:rsid w:val="2F7F21E6"/>
    <w:rsid w:val="36C10066"/>
    <w:rsid w:val="4FC942F6"/>
    <w:rsid w:val="6F1D7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121</Pages>
  <Words>14035</Words>
  <Characters>80004</Characters>
  <Lines>666</Lines>
  <Paragraphs>187</Paragraphs>
  <TotalTime>5</TotalTime>
  <ScaleCrop>false</ScaleCrop>
  <LinksUpToDate>false</LinksUpToDate>
  <CharactersWithSpaces>93852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2025-09-10T06:14:00Z</dcterms:created>
  <dc:creator>BSKMadminDev</dc:creator>
  <cp:lastModifiedBy>hupp</cp:lastModifiedBy>
  <dcterms:modified xsi:type="dcterms:W3CDTF">2025-09-26T09:01:12Z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1F355C58040847219CB982D986D1EB3C</vt:lpwstr>
  </property>
</Properties>
</file>