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A51D18">
      <w:pPr>
        <w:spacing w:line="540" w:lineRule="exact"/>
        <w:jc w:val="center"/>
        <w:rPr>
          <w:rFonts w:ascii="仿宋" w:hAnsi="仿宋" w:eastAsia="仿宋" w:cs="仿宋"/>
          <w:b/>
          <w:color w:val="000000"/>
          <w:sz w:val="32"/>
          <w:szCs w:val="32"/>
        </w:rPr>
      </w:pPr>
      <w:r>
        <w:rPr>
          <w:rFonts w:ascii="仿宋" w:hAnsi="仿宋" w:eastAsia="仿宋" w:cs="仿宋"/>
          <w:b/>
          <w:color w:val="000000"/>
          <w:sz w:val="32"/>
          <w:szCs w:val="32"/>
          <w:lang w:eastAsia="zh-CN"/>
        </w:rPr>
        <w:t>博时中证机器人交易型开放式指数证券投资基金上市交易提示性公告</w:t>
      </w:r>
    </w:p>
    <w:p w14:paraId="3C738FC8">
      <w:pPr>
        <w:spacing w:line="540" w:lineRule="exact"/>
        <w:ind w:right="0" w:firstLine="161"/>
        <w:jc w:val="center"/>
        <w:rPr>
          <w:rFonts w:ascii="仿宋" w:hAnsi="仿宋" w:eastAsia="仿宋" w:cs="仿宋"/>
          <w:b/>
          <w:color w:val="000000"/>
          <w:sz w:val="32"/>
          <w:szCs w:val="32"/>
        </w:rPr>
      </w:pPr>
    </w:p>
    <w:p w14:paraId="2B5DF371">
      <w:pPr>
        <w:spacing w:line="540" w:lineRule="exact"/>
        <w:ind w:right="0" w:firstLine="640"/>
        <w:rPr>
          <w:rFonts w:ascii="仿宋" w:hAnsi="仿宋" w:eastAsia="仿宋" w:cs="仿宋"/>
          <w:color w:val="000000"/>
          <w:sz w:val="32"/>
          <w:szCs w:val="32"/>
          <w:highlight w:val="none"/>
        </w:rPr>
      </w:pPr>
      <w:r>
        <w:rPr>
          <w:rFonts w:ascii="仿宋" w:hAnsi="仿宋" w:eastAsia="仿宋" w:cs="仿宋"/>
          <w:color w:val="000000"/>
          <w:sz w:val="32"/>
          <w:szCs w:val="32"/>
          <w:lang w:eastAsia="zh-CN"/>
        </w:rPr>
        <w:t>博时中证机器人交易型开放式指数证券投资基金（以下简称“本基金”）于</w:t>
      </w:r>
      <w:r>
        <w:rPr>
          <w:rFonts w:hint="eastAsia" w:ascii="仿宋" w:hAnsi="仿宋" w:eastAsia="仿宋" w:cs="仿宋"/>
          <w:color w:val="000000"/>
          <w:sz w:val="32"/>
          <w:szCs w:val="32"/>
          <w:lang w:val="en-US" w:eastAsia="zh-CN"/>
        </w:rPr>
        <w:t>2026年10月15日</w:t>
      </w:r>
      <w:r>
        <w:rPr>
          <w:rFonts w:ascii="仿宋" w:hAnsi="仿宋" w:eastAsia="仿宋" w:cs="仿宋"/>
          <w:color w:val="000000"/>
          <w:sz w:val="32"/>
          <w:szCs w:val="32"/>
          <w:lang w:eastAsia="zh-CN"/>
        </w:rPr>
        <w:t>开始在深圳证券交易所上市交易，场内简称：机器人ETF博时，代码：158037。上市首日本基金以该基金份额参考净值</w:t>
      </w:r>
      <w:r>
        <w:rPr>
          <w:rFonts w:hint="eastAsia" w:ascii="仿宋" w:hAnsi="仿宋" w:eastAsia="仿宋" w:cs="仿宋"/>
          <w:color w:val="000000"/>
          <w:sz w:val="32"/>
          <w:szCs w:val="32"/>
          <w:lang w:val="en-US" w:eastAsia="zh-CN"/>
        </w:rPr>
        <w:t>0</w:t>
      </w:r>
      <w:r>
        <w:rPr>
          <w:rFonts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969</w:t>
      </w:r>
      <w:r>
        <w:rPr>
          <w:rFonts w:ascii="仿宋" w:hAnsi="仿宋" w:eastAsia="仿宋" w:cs="仿宋"/>
          <w:color w:val="000000"/>
          <w:sz w:val="32"/>
          <w:szCs w:val="32"/>
          <w:lang w:eastAsia="zh-CN"/>
        </w:rPr>
        <w:t>元为开盘参考价。</w:t>
      </w:r>
    </w:p>
    <w:p w14:paraId="064EA2F1">
      <w:pPr>
        <w:autoSpaceDE w:val="0"/>
        <w:spacing w:line="540" w:lineRule="exact"/>
        <w:ind w:right="0" w:firstLine="566"/>
        <w:rPr>
          <w:rFonts w:ascii="仿宋" w:hAnsi="仿宋" w:eastAsia="仿宋" w:cs="仿宋"/>
          <w:color w:val="000000"/>
          <w:sz w:val="32"/>
          <w:szCs w:val="32"/>
        </w:rPr>
      </w:pPr>
      <w:r>
        <w:rPr>
          <w:rFonts w:ascii="仿宋" w:hAnsi="仿宋" w:eastAsia="仿宋" w:cs="仿宋"/>
          <w:color w:val="000000"/>
          <w:sz w:val="32"/>
          <w:szCs w:val="32"/>
        </w:rPr>
        <w:t>截至</w:t>
      </w:r>
      <w:r>
        <w:rPr>
          <w:rFonts w:hint="eastAsia" w:ascii="仿宋" w:hAnsi="仿宋" w:eastAsia="仿宋" w:cs="仿宋"/>
          <w:color w:val="000000"/>
          <w:sz w:val="32"/>
          <w:szCs w:val="32"/>
          <w:lang w:val="en-US" w:eastAsia="zh-CN"/>
        </w:rPr>
        <w:t>2026年10月14日</w:t>
      </w:r>
      <w:r>
        <w:rPr>
          <w:rFonts w:ascii="仿宋" w:hAnsi="仿宋" w:eastAsia="仿宋" w:cs="仿宋"/>
          <w:color w:val="000000"/>
          <w:sz w:val="32"/>
          <w:szCs w:val="32"/>
        </w:rPr>
        <w:t>，本基金投资于标的指数成份股和备选成份股的资产比例为基金资产净</w:t>
      </w:r>
      <w:bookmarkStart w:id="0" w:name="_GoBack"/>
      <w:bookmarkEnd w:id="0"/>
      <w:r>
        <w:rPr>
          <w:rFonts w:ascii="仿宋" w:hAnsi="仿宋" w:eastAsia="仿宋" w:cs="仿宋"/>
          <w:color w:val="000000"/>
          <w:sz w:val="32"/>
          <w:szCs w:val="32"/>
        </w:rPr>
        <w:t>值的</w:t>
      </w:r>
      <w:r>
        <w:rPr>
          <w:rFonts w:hint="eastAsia" w:ascii="仿宋" w:hAnsi="仿宋" w:eastAsia="仿宋" w:cs="仿宋"/>
          <w:color w:val="000000"/>
          <w:sz w:val="32"/>
          <w:szCs w:val="32"/>
          <w:lang w:val="en-US" w:eastAsia="zh-CN"/>
        </w:rPr>
        <w:t>92</w:t>
      </w:r>
      <w:r>
        <w:rPr>
          <w:rFonts w:ascii="仿宋" w:hAnsi="仿宋" w:eastAsia="仿宋" w:cs="仿宋"/>
          <w:color w:val="000000"/>
          <w:sz w:val="32"/>
          <w:szCs w:val="32"/>
        </w:rPr>
        <w:t>.</w:t>
      </w:r>
      <w:r>
        <w:rPr>
          <w:rFonts w:hint="eastAsia" w:ascii="仿宋" w:hAnsi="仿宋" w:eastAsia="仿宋" w:cs="仿宋"/>
          <w:color w:val="000000"/>
          <w:sz w:val="32"/>
          <w:szCs w:val="32"/>
          <w:lang w:val="en-US" w:eastAsia="zh-CN"/>
        </w:rPr>
        <w:t>56</w:t>
      </w:r>
      <w:r>
        <w:rPr>
          <w:rFonts w:ascii="仿宋" w:hAnsi="仿宋" w:eastAsia="仿宋" w:cs="仿宋"/>
          <w:color w:val="000000"/>
          <w:sz w:val="32"/>
          <w:szCs w:val="32"/>
        </w:rPr>
        <w:t>%，投资组合比例符合有关法律法规、部门规章、规范性文件的规定和基金合同的有关约定。</w:t>
      </w:r>
    </w:p>
    <w:p w14:paraId="43E36D9E">
      <w:pPr>
        <w:autoSpaceDE w:val="0"/>
        <w:spacing w:line="540" w:lineRule="exact"/>
        <w:ind w:right="0" w:firstLine="566"/>
        <w:rPr>
          <w:rFonts w:ascii="仿宋" w:hAnsi="仿宋" w:eastAsia="仿宋" w:cs="仿宋"/>
          <w:color w:val="000000"/>
          <w:sz w:val="32"/>
          <w:szCs w:val="32"/>
        </w:rPr>
      </w:pPr>
      <w:r>
        <w:rPr>
          <w:rFonts w:ascii="仿宋" w:hAnsi="仿宋" w:eastAsia="仿宋" w:cs="仿宋"/>
          <w:color w:val="000000"/>
          <w:sz w:val="32"/>
          <w:szCs w:val="32"/>
        </w:rPr>
        <w:t>投资者可以登录本基金管理人网站（http</w:t>
      </w:r>
      <w:r>
        <w:rPr>
          <w:rFonts w:ascii="仿宋" w:hAnsi="仿宋" w:eastAsia="仿宋" w:cs="仿宋"/>
          <w:color w:val="000000"/>
          <w:sz w:val="32"/>
          <w:szCs w:val="32"/>
          <w:lang w:val="en-US" w:eastAsia="zh-CN"/>
        </w:rPr>
        <w:t>s</w:t>
      </w:r>
      <w:r>
        <w:rPr>
          <w:rFonts w:ascii="仿宋" w:hAnsi="仿宋" w:eastAsia="仿宋" w:cs="仿宋"/>
          <w:color w:val="000000"/>
          <w:sz w:val="32"/>
          <w:szCs w:val="32"/>
        </w:rPr>
        <w:t>://www.bosera.com）或拨打博时一线通95105568（免长途费）咨询相关事宜。</w:t>
      </w:r>
    </w:p>
    <w:p w14:paraId="754AED2D">
      <w:pPr>
        <w:spacing w:line="540" w:lineRule="exact"/>
        <w:ind w:right="0" w:firstLine="640"/>
        <w:rPr>
          <w:rFonts w:ascii="仿宋" w:hAnsi="仿宋" w:eastAsia="仿宋" w:cs="仿宋"/>
          <w:color w:val="000000"/>
          <w:sz w:val="32"/>
          <w:szCs w:val="32"/>
        </w:rPr>
      </w:pPr>
      <w:r>
        <w:rPr>
          <w:rFonts w:ascii="仿宋" w:hAnsi="仿宋" w:eastAsia="仿宋" w:cs="仿宋"/>
          <w:color w:val="000000"/>
          <w:sz w:val="32"/>
          <w:szCs w:val="32"/>
          <w:lang w:val="en-US" w:eastAsia="zh-CN"/>
        </w:rPr>
        <w:t>风险提示：</w:t>
      </w:r>
      <w:r>
        <w:rPr>
          <w:rFonts w:ascii="仿宋" w:hAnsi="仿宋" w:eastAsia="仿宋" w:cs="仿宋"/>
          <w:color w:val="000000"/>
          <w:sz w:val="32"/>
          <w:szCs w:val="32"/>
        </w:rPr>
        <w:t>本基金管理人承诺以诚实信用、勤勉尽责的原则管理和运用基金资产，但不保证本基金一定盈利，也不保证最低收益。请充分了解本基金的风险收益特征，审慎做出投资决定。</w:t>
      </w:r>
    </w:p>
    <w:p w14:paraId="775C8576">
      <w:pPr>
        <w:autoSpaceDE w:val="0"/>
        <w:spacing w:line="540" w:lineRule="exact"/>
        <w:ind w:right="0" w:firstLine="566"/>
        <w:rPr>
          <w:rFonts w:ascii="仿宋" w:hAnsi="仿宋" w:eastAsia="仿宋" w:cs="仿宋"/>
          <w:color w:val="000000"/>
          <w:sz w:val="32"/>
          <w:szCs w:val="32"/>
        </w:rPr>
      </w:pPr>
      <w:r>
        <w:rPr>
          <w:rFonts w:ascii="仿宋" w:hAnsi="仿宋" w:eastAsia="仿宋" w:cs="仿宋"/>
          <w:color w:val="000000"/>
          <w:sz w:val="32"/>
          <w:szCs w:val="32"/>
        </w:rPr>
        <w:t>特此公告。</w:t>
      </w:r>
    </w:p>
    <w:p w14:paraId="4BB1BD84">
      <w:pPr>
        <w:autoSpaceDE w:val="0"/>
        <w:spacing w:line="540" w:lineRule="exact"/>
        <w:ind w:right="0" w:firstLine="566"/>
        <w:rPr>
          <w:rFonts w:ascii="仿宋" w:hAnsi="仿宋" w:eastAsia="仿宋" w:cs="仿宋"/>
          <w:color w:val="000000"/>
          <w:sz w:val="32"/>
          <w:szCs w:val="32"/>
        </w:rPr>
      </w:pPr>
    </w:p>
    <w:p w14:paraId="4B014ED2">
      <w:pPr>
        <w:spacing w:line="540" w:lineRule="exact"/>
        <w:ind w:right="0" w:firstLine="800"/>
        <w:jc w:val="right"/>
        <w:rPr>
          <w:rFonts w:ascii="仿宋" w:hAnsi="仿宋" w:eastAsia="仿宋" w:cs="仿宋"/>
          <w:color w:val="000000"/>
          <w:sz w:val="32"/>
          <w:szCs w:val="32"/>
        </w:rPr>
      </w:pPr>
    </w:p>
    <w:p w14:paraId="5062A291">
      <w:pPr>
        <w:spacing w:line="540" w:lineRule="exact"/>
        <w:ind w:right="0" w:firstLine="800"/>
        <w:jc w:val="right"/>
        <w:rPr>
          <w:rFonts w:ascii="仿宋" w:hAnsi="仿宋" w:eastAsia="仿宋" w:cs="仿宋"/>
          <w:color w:val="000000"/>
          <w:sz w:val="32"/>
          <w:szCs w:val="32"/>
        </w:rPr>
      </w:pPr>
      <w:r>
        <w:rPr>
          <w:rFonts w:ascii="仿宋" w:hAnsi="仿宋" w:eastAsia="仿宋" w:cs="仿宋"/>
          <w:color w:val="000000"/>
          <w:sz w:val="32"/>
          <w:szCs w:val="32"/>
        </w:rPr>
        <w:t xml:space="preserve">                 博时基金管理有限公司</w:t>
      </w:r>
    </w:p>
    <w:p w14:paraId="2502C21C">
      <w:pPr>
        <w:spacing w:line="540" w:lineRule="exact"/>
        <w:ind w:right="0" w:firstLine="800"/>
        <w:jc w:val="right"/>
        <w:rPr>
          <w:rFonts w:hint="eastAsia" w:eastAsia="仿宋"/>
          <w:lang w:eastAsia="zh-CN"/>
        </w:rPr>
      </w:pPr>
      <w:r>
        <w:rPr>
          <w:rFonts w:ascii="仿宋" w:hAnsi="仿宋" w:eastAsia="仿宋" w:cs="仿宋"/>
          <w:color w:val="000000"/>
          <w:sz w:val="32"/>
          <w:szCs w:val="32"/>
        </w:rPr>
        <w:t xml:space="preserve">                            </w:t>
      </w:r>
      <w:r>
        <w:rPr>
          <w:rFonts w:hint="eastAsia" w:ascii="仿宋" w:hAnsi="仿宋" w:eastAsia="仿宋" w:cs="仿宋"/>
          <w:color w:val="000000"/>
          <w:sz w:val="32"/>
          <w:szCs w:val="32"/>
          <w:lang w:val="en-US" w:eastAsia="zh-CN"/>
        </w:rPr>
        <w:t>2026年10月15日</w:t>
      </w:r>
    </w:p>
    <w:sectPr>
      <w:footerReference r:id="rId3" w:type="default"/>
      <w:pgSz w:w="11906" w:h="16838"/>
      <w:pgMar w:top="1440" w:right="1797" w:bottom="1440" w:left="1797" w:header="0" w:footer="992" w:gutter="0"/>
      <w:pgNumType w:fmt="decimal"/>
      <w:cols w:space="720" w:num="1"/>
      <w:formProt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FreeSans">
    <w:altName w:val="Segoe Print"/>
    <w:panose1 w:val="00000000000000000000"/>
    <w:charset w:val="00"/>
    <w:family w:val="auto"/>
    <w:pitch w:val="default"/>
    <w:sig w:usb0="00000000" w:usb1="00000000" w:usb2="00000000" w:usb3="00000000" w:csb0="00000000" w:csb1="00000000"/>
  </w:font>
  <w:font w:name="Liberation Serif">
    <w:altName w:val="Times New Roman"/>
    <w:panose1 w:val="00000000000000000000"/>
    <w:charset w:val="01"/>
    <w:family w:val="roman"/>
    <w:pitch w:val="default"/>
    <w:sig w:usb0="00000000" w:usb1="00000000" w:usb2="00000000" w:usb3="00000000" w:csb0="00000000" w:csb1="00000000"/>
  </w:font>
  <w:font w:name="Noto Serif CJK SC">
    <w:altName w:val="宋体"/>
    <w:panose1 w:val="00000000000000000000"/>
    <w:charset w:val="86"/>
    <w:family w:val="auto"/>
    <w:pitch w:val="default"/>
    <w:sig w:usb0="00000000" w:usb1="00000000" w:usb2="00000000" w:usb3="00000000" w:csb0="00000000" w:csb1="00000000"/>
  </w:font>
  <w:font w:name="Liberation Sans">
    <w:altName w:val="Arial"/>
    <w:panose1 w:val="00000000000000000000"/>
    <w:charset w:val="01"/>
    <w:family w:val="swiss"/>
    <w:pitch w:val="default"/>
    <w:sig w:usb0="00000000" w:usb1="00000000" w:usb2="00000000" w:usb3="00000000" w:csb0="00000000" w:csb1="00000000"/>
  </w:font>
  <w:font w:name="Noto Sans CJK SC">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44E07">
    <w:pPr>
      <w:pStyle w:val="12"/>
      <w:jc w:val="center"/>
      <w:rPr>
        <w:rFonts w:ascii="Arial" w:hAnsi="Arial" w:cs="Arial"/>
        <w:kern w:val="0"/>
        <w:sz w:val="21"/>
      </w:rPr>
    </w:pPr>
    <w:r>
      <w:rPr>
        <w:rFonts w:ascii="Arial" w:hAnsi="Arial" w:cs="Arial"/>
        <w:kern w:val="0"/>
        <w:sz w:val="21"/>
      </w:rPr>
      <w:fldChar w:fldCharType="begin"/>
    </w:r>
    <w:r>
      <w:rPr>
        <w:rFonts w:ascii="Arial" w:hAnsi="Arial" w:cs="Arial"/>
        <w:kern w:val="0"/>
        <w:sz w:val="21"/>
      </w:rPr>
      <w:instrText xml:space="preserve"> PAGE </w:instrText>
    </w:r>
    <w:r>
      <w:rPr>
        <w:rFonts w:ascii="Arial" w:hAnsi="Arial" w:cs="Arial"/>
        <w:kern w:val="0"/>
        <w:sz w:val="21"/>
      </w:rPr>
      <w:fldChar w:fldCharType="separate"/>
    </w:r>
    <w:r>
      <w:rPr>
        <w:rFonts w:ascii="Arial" w:hAnsi="Arial" w:cs="Arial"/>
        <w:kern w:val="0"/>
        <w:sz w:val="21"/>
      </w:rPr>
      <w:t>2</w:t>
    </w:r>
    <w:r>
      <w:rPr>
        <w:rFonts w:ascii="Arial" w:hAnsi="Arial" w:cs="Arial"/>
        <w:kern w:val="0"/>
        <w:sz w:val="21"/>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D9AC3D"/>
    <w:multiLevelType w:val="multilevel"/>
    <w:tmpl w:val="90D9AC3D"/>
    <w:lvl w:ilvl="0" w:tentative="0">
      <w:start w:val="1"/>
      <w:numFmt w:val="chineseCountingThousand"/>
      <w:pStyle w:val="2"/>
      <w:lvlText w:val="%1、"/>
      <w:lvlJc w:val="left"/>
      <w:pPr>
        <w:tabs>
          <w:tab w:val="left" w:pos="0"/>
        </w:tabs>
        <w:ind w:left="315" w:hanging="315"/>
      </w:pPr>
    </w:lvl>
    <w:lvl w:ilvl="1" w:tentative="0">
      <w:start w:val="1"/>
      <w:numFmt w:val="chineseCountingThousand"/>
      <w:pStyle w:val="5"/>
      <w:lvlText w:val="（%2）"/>
      <w:lvlJc w:val="left"/>
      <w:pPr>
        <w:tabs>
          <w:tab w:val="left" w:pos="0"/>
        </w:tabs>
        <w:ind w:left="0" w:firstLine="0"/>
      </w:pPr>
      <w:rPr>
        <w:sz w:val="28"/>
      </w:rPr>
    </w:lvl>
    <w:lvl w:ilvl="2" w:tentative="0">
      <w:start w:val="1"/>
      <w:numFmt w:val="decimal"/>
      <w:pStyle w:val="6"/>
      <w:lvlText w:val="%3."/>
      <w:lvlJc w:val="left"/>
      <w:pPr>
        <w:tabs>
          <w:tab w:val="left" w:pos="0"/>
        </w:tabs>
        <w:ind w:left="3686" w:firstLine="0"/>
      </w:pPr>
      <w:rPr>
        <w:sz w:val="24"/>
      </w:rPr>
    </w:lvl>
    <w:lvl w:ilvl="3" w:tentative="0">
      <w:start w:val="1"/>
      <w:numFmt w:val="decimal"/>
      <w:pStyle w:val="7"/>
      <w:lvlText w:val="（%4）"/>
      <w:lvlJc w:val="left"/>
      <w:pPr>
        <w:tabs>
          <w:tab w:val="left" w:pos="0"/>
        </w:tabs>
        <w:ind w:left="0" w:firstLine="0"/>
      </w:pPr>
      <w:rPr>
        <w:sz w:val="21"/>
      </w:rPr>
    </w:lvl>
    <w:lvl w:ilvl="4" w:tentative="0">
      <w:start w:val="1"/>
      <w:numFmt w:val="upperLetter"/>
      <w:pStyle w:val="8"/>
      <w:lvlText w:val="%5."/>
      <w:lvlJc w:val="left"/>
      <w:pPr>
        <w:tabs>
          <w:tab w:val="left" w:pos="0"/>
        </w:tabs>
        <w:ind w:left="0" w:firstLine="0"/>
      </w:pPr>
      <w:rPr>
        <w:sz w:val="24"/>
      </w:rPr>
    </w:lvl>
    <w:lvl w:ilvl="5" w:tentative="0">
      <w:start w:val="1"/>
      <w:numFmt w:val="lowerLetter"/>
      <w:pStyle w:val="9"/>
      <w:lvlText w:val="%6."/>
      <w:lvlJc w:val="left"/>
      <w:pPr>
        <w:tabs>
          <w:tab w:val="left" w:pos="0"/>
        </w:tabs>
        <w:ind w:left="0" w:firstLine="0"/>
      </w:pPr>
      <w:rPr>
        <w:sz w:val="24"/>
      </w:rPr>
    </w:lvl>
    <w:lvl w:ilvl="6" w:tentative="0">
      <w:start w:val="1"/>
      <w:numFmt w:val="none"/>
      <w:suff w:val="nothing"/>
      <w:lvlText w:val=""/>
      <w:lvlJc w:val="left"/>
      <w:pPr>
        <w:tabs>
          <w:tab w:val="left" w:pos="0"/>
        </w:tabs>
        <w:ind w:left="3827" w:hanging="1276"/>
      </w:pPr>
    </w:lvl>
    <w:lvl w:ilvl="7" w:tentative="0">
      <w:start w:val="1"/>
      <w:numFmt w:val="none"/>
      <w:suff w:val="nothing"/>
      <w:lvlText w:val=""/>
      <w:lvlJc w:val="left"/>
      <w:pPr>
        <w:tabs>
          <w:tab w:val="left" w:pos="0"/>
        </w:tabs>
        <w:ind w:left="4394" w:hanging="1418"/>
      </w:pPr>
    </w:lvl>
    <w:lvl w:ilvl="8" w:tentative="0">
      <w:start w:val="1"/>
      <w:numFmt w:val="none"/>
      <w:suff w:val="nothing"/>
      <w:lvlText w:val=""/>
      <w:lvlJc w:val="left"/>
      <w:pPr>
        <w:tabs>
          <w:tab w:val="left" w:pos="0"/>
        </w:tabs>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420"/>
  <w:autoHyphenation/>
  <w:compat>
    <w:noLeading/>
    <w:doNotExpandShiftReturn/>
    <w:useFELayout/>
    <w:compatSetting w:name="compatibilityMode" w:uri="http://schemas.microsoft.com/office/word" w:val="11"/>
  </w:compat>
  <w:rsids>
    <w:rsidRoot w:val="00000000"/>
    <w:rsid w:val="1486200B"/>
    <w:rsid w:val="296D25D4"/>
    <w:rsid w:val="2E797C81"/>
    <w:rsid w:val="2F6547AE"/>
    <w:rsid w:val="54860D60"/>
    <w:rsid w:val="55824A33"/>
    <w:rsid w:val="71BA7FD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Liberation Serif" w:hAnsi="Liberation Serif" w:eastAsia="Noto Serif CJK SC" w:cs="FreeSans"/>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bidi w:val="0"/>
      <w:jc w:val="both"/>
    </w:pPr>
    <w:rPr>
      <w:rFonts w:ascii="Times New Roman" w:hAnsi="Times New Roman" w:eastAsia="宋体" w:cs="Times New Roman"/>
      <w:color w:val="auto"/>
      <w:kern w:val="2"/>
      <w:sz w:val="21"/>
      <w:szCs w:val="20"/>
      <w:lang w:val="en-US" w:eastAsia="zh-CN" w:bidi="ar-SA"/>
    </w:rPr>
  </w:style>
  <w:style w:type="paragraph" w:styleId="2">
    <w:name w:val="heading 1"/>
    <w:basedOn w:val="1"/>
    <w:next w:val="3"/>
    <w:qFormat/>
    <w:uiPriority w:val="0"/>
    <w:pPr>
      <w:keepNext/>
      <w:keepLines/>
      <w:numPr>
        <w:ilvl w:val="0"/>
        <w:numId w:val="1"/>
      </w:numPr>
      <w:tabs>
        <w:tab w:val="left" w:pos="360"/>
      </w:tabs>
      <w:spacing w:before="120" w:after="120" w:line="336" w:lineRule="auto"/>
      <w:jc w:val="left"/>
      <w:outlineLvl w:val="0"/>
    </w:pPr>
    <w:rPr>
      <w:b/>
      <w:kern w:val="2"/>
      <w:sz w:val="30"/>
    </w:rPr>
  </w:style>
  <w:style w:type="paragraph" w:styleId="5">
    <w:name w:val="heading 2"/>
    <w:basedOn w:val="1"/>
    <w:next w:val="3"/>
    <w:qFormat/>
    <w:uiPriority w:val="0"/>
    <w:pPr>
      <w:keepNext/>
      <w:keepLines/>
      <w:numPr>
        <w:ilvl w:val="1"/>
        <w:numId w:val="1"/>
      </w:numPr>
      <w:tabs>
        <w:tab w:val="left" w:pos="720"/>
      </w:tabs>
      <w:spacing w:before="0" w:after="120" w:line="412" w:lineRule="auto"/>
      <w:jc w:val="left"/>
      <w:outlineLvl w:val="1"/>
    </w:pPr>
    <w:rPr>
      <w:rFonts w:ascii="Arial" w:hAnsi="Arial" w:cs="Arial"/>
      <w:b/>
      <w:sz w:val="28"/>
    </w:rPr>
  </w:style>
  <w:style w:type="paragraph" w:styleId="6">
    <w:name w:val="heading 3"/>
    <w:basedOn w:val="1"/>
    <w:next w:val="3"/>
    <w:qFormat/>
    <w:uiPriority w:val="0"/>
    <w:pPr>
      <w:keepNext/>
      <w:keepLines/>
      <w:numPr>
        <w:ilvl w:val="2"/>
        <w:numId w:val="1"/>
      </w:numPr>
      <w:tabs>
        <w:tab w:val="left" w:pos="4046"/>
      </w:tabs>
      <w:spacing w:before="120" w:after="120" w:line="300" w:lineRule="auto"/>
      <w:jc w:val="left"/>
      <w:outlineLvl w:val="2"/>
    </w:pPr>
    <w:rPr>
      <w:b/>
      <w:sz w:val="24"/>
    </w:rPr>
  </w:style>
  <w:style w:type="paragraph" w:styleId="7">
    <w:name w:val="heading 4"/>
    <w:basedOn w:val="1"/>
    <w:next w:val="3"/>
    <w:qFormat/>
    <w:uiPriority w:val="0"/>
    <w:pPr>
      <w:keepNext/>
      <w:keepLines/>
      <w:numPr>
        <w:ilvl w:val="3"/>
        <w:numId w:val="1"/>
      </w:numPr>
      <w:tabs>
        <w:tab w:val="left" w:pos="720"/>
      </w:tabs>
      <w:spacing w:before="0" w:after="120" w:line="300" w:lineRule="auto"/>
      <w:jc w:val="left"/>
      <w:outlineLvl w:val="3"/>
    </w:pPr>
    <w:rPr>
      <w:rFonts w:ascii="Arial" w:hAnsi="Arial" w:cs="Arial"/>
    </w:rPr>
  </w:style>
  <w:style w:type="paragraph" w:styleId="8">
    <w:name w:val="heading 5"/>
    <w:basedOn w:val="1"/>
    <w:next w:val="3"/>
    <w:qFormat/>
    <w:uiPriority w:val="0"/>
    <w:pPr>
      <w:keepNext/>
      <w:keepLines/>
      <w:numPr>
        <w:ilvl w:val="4"/>
        <w:numId w:val="1"/>
      </w:numPr>
      <w:tabs>
        <w:tab w:val="left" w:pos="360"/>
      </w:tabs>
      <w:spacing w:before="280" w:after="290" w:line="374" w:lineRule="auto"/>
      <w:jc w:val="left"/>
      <w:outlineLvl w:val="4"/>
    </w:pPr>
  </w:style>
  <w:style w:type="paragraph" w:styleId="9">
    <w:name w:val="heading 6"/>
    <w:basedOn w:val="1"/>
    <w:next w:val="10"/>
    <w:qFormat/>
    <w:uiPriority w:val="0"/>
    <w:pPr>
      <w:keepNext/>
      <w:keepLines/>
      <w:numPr>
        <w:ilvl w:val="5"/>
        <w:numId w:val="1"/>
      </w:numPr>
      <w:tabs>
        <w:tab w:val="left" w:pos="360"/>
      </w:tabs>
      <w:spacing w:before="240" w:after="64" w:line="319" w:lineRule="auto"/>
      <w:jc w:val="left"/>
      <w:outlineLvl w:val="5"/>
    </w:pPr>
    <w:rPr>
      <w:rFonts w:ascii="Arial" w:hAnsi="Arial" w:eastAsia="黑体" w:cs="Arial"/>
      <w:b/>
      <w:sz w:val="24"/>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customStyle="1" w:styleId="3">
    <w:name w:val="正文首行缩进1"/>
    <w:basedOn w:val="4"/>
    <w:qFormat/>
    <w:uiPriority w:val="0"/>
    <w:pPr>
      <w:ind w:left="0" w:right="0" w:firstLine="420"/>
    </w:pPr>
  </w:style>
  <w:style w:type="paragraph" w:styleId="4">
    <w:name w:val="Body Text"/>
    <w:basedOn w:val="1"/>
    <w:qFormat/>
    <w:uiPriority w:val="0"/>
    <w:pPr>
      <w:spacing w:before="0" w:after="120"/>
    </w:pPr>
  </w:style>
  <w:style w:type="paragraph" w:customStyle="1" w:styleId="10">
    <w:name w:val="正文缩进1"/>
    <w:basedOn w:val="1"/>
    <w:qFormat/>
    <w:uiPriority w:val="0"/>
    <w:pPr>
      <w:ind w:left="0" w:right="0" w:firstLine="420"/>
    </w:pPr>
  </w:style>
  <w:style w:type="paragraph" w:styleId="11">
    <w:name w:val="caption"/>
    <w:basedOn w:val="1"/>
    <w:qFormat/>
    <w:uiPriority w:val="0"/>
    <w:pPr>
      <w:suppressLineNumbers/>
      <w:spacing w:before="120" w:after="120"/>
    </w:pPr>
    <w:rPr>
      <w:rFonts w:cs="FreeSans"/>
      <w:i/>
      <w:iCs/>
      <w:sz w:val="24"/>
      <w:szCs w:val="24"/>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bottom w:val="single" w:color="000000" w:sz="6" w:space="1"/>
      </w:pBdr>
      <w:tabs>
        <w:tab w:val="center" w:pos="4153"/>
        <w:tab w:val="right" w:pos="8306"/>
      </w:tabs>
      <w:snapToGrid w:val="0"/>
      <w:jc w:val="center"/>
    </w:pPr>
    <w:rPr>
      <w:sz w:val="18"/>
      <w:szCs w:val="18"/>
    </w:rPr>
  </w:style>
  <w:style w:type="paragraph" w:styleId="14">
    <w:name w:val="List"/>
    <w:basedOn w:val="4"/>
    <w:qFormat/>
    <w:uiPriority w:val="0"/>
    <w:rPr>
      <w:rFonts w:cs="FreeSans"/>
    </w:rPr>
  </w:style>
  <w:style w:type="character" w:customStyle="1" w:styleId="17">
    <w:name w:val="WW8Num1z0"/>
    <w:qFormat/>
    <w:uiPriority w:val="0"/>
  </w:style>
  <w:style w:type="character" w:customStyle="1" w:styleId="18">
    <w:name w:val="WW8Num1z1"/>
    <w:qFormat/>
    <w:uiPriority w:val="0"/>
    <w:rPr>
      <w:sz w:val="28"/>
    </w:rPr>
  </w:style>
  <w:style w:type="character" w:customStyle="1" w:styleId="19">
    <w:name w:val="WW8Num1z2"/>
    <w:qFormat/>
    <w:uiPriority w:val="0"/>
    <w:rPr>
      <w:sz w:val="24"/>
    </w:rPr>
  </w:style>
  <w:style w:type="character" w:customStyle="1" w:styleId="20">
    <w:name w:val="WW8Num1z3"/>
    <w:qFormat/>
    <w:uiPriority w:val="0"/>
    <w:rPr>
      <w:sz w:val="21"/>
    </w:rPr>
  </w:style>
  <w:style w:type="character" w:customStyle="1" w:styleId="21">
    <w:name w:val="默认段落字体1"/>
    <w:qFormat/>
    <w:uiPriority w:val="0"/>
  </w:style>
  <w:style w:type="character" w:customStyle="1" w:styleId="22">
    <w:name w:val="标题 1 字符"/>
    <w:qFormat/>
    <w:uiPriority w:val="0"/>
    <w:rPr>
      <w:rFonts w:ascii="Times New Roman" w:hAnsi="Times New Roman" w:eastAsia="宋体" w:cs="Times New Roman"/>
      <w:b/>
      <w:kern w:val="2"/>
      <w:sz w:val="30"/>
      <w:szCs w:val="20"/>
    </w:rPr>
  </w:style>
  <w:style w:type="character" w:customStyle="1" w:styleId="23">
    <w:name w:val="正文文本 字符"/>
    <w:qFormat/>
    <w:uiPriority w:val="0"/>
    <w:rPr>
      <w:rFonts w:ascii="Times New Roman" w:hAnsi="Times New Roman" w:eastAsia="宋体" w:cs="Times New Roman"/>
      <w:szCs w:val="20"/>
    </w:rPr>
  </w:style>
  <w:style w:type="character" w:customStyle="1" w:styleId="24">
    <w:name w:val="正文首行缩进 字符"/>
    <w:qFormat/>
    <w:uiPriority w:val="0"/>
  </w:style>
  <w:style w:type="character" w:customStyle="1" w:styleId="25">
    <w:name w:val="标题 2 字符"/>
    <w:qFormat/>
    <w:uiPriority w:val="0"/>
    <w:rPr>
      <w:rFonts w:ascii="Arial" w:hAnsi="Arial" w:eastAsia="宋体" w:cs="Times New Roman"/>
      <w:b/>
      <w:sz w:val="28"/>
      <w:szCs w:val="20"/>
    </w:rPr>
  </w:style>
  <w:style w:type="character" w:customStyle="1" w:styleId="26">
    <w:name w:val="标题 3 字符"/>
    <w:qFormat/>
    <w:uiPriority w:val="0"/>
    <w:rPr>
      <w:rFonts w:ascii="Times New Roman" w:hAnsi="Times New Roman" w:cs="Times New Roman"/>
      <w:b/>
      <w:kern w:val="2"/>
      <w:sz w:val="24"/>
    </w:rPr>
  </w:style>
  <w:style w:type="character" w:customStyle="1" w:styleId="27">
    <w:name w:val="标题 4 字符"/>
    <w:qFormat/>
    <w:uiPriority w:val="0"/>
    <w:rPr>
      <w:rFonts w:ascii="Arial" w:hAnsi="Arial" w:eastAsia="宋体" w:cs="Times New Roman"/>
      <w:szCs w:val="20"/>
    </w:rPr>
  </w:style>
  <w:style w:type="character" w:customStyle="1" w:styleId="28">
    <w:name w:val="标题 5 字符"/>
    <w:qFormat/>
    <w:uiPriority w:val="0"/>
    <w:rPr>
      <w:rFonts w:ascii="Times New Roman" w:hAnsi="Times New Roman" w:eastAsia="宋体" w:cs="Times New Roman"/>
      <w:szCs w:val="20"/>
    </w:rPr>
  </w:style>
  <w:style w:type="character" w:customStyle="1" w:styleId="29">
    <w:name w:val="标题 6 字符"/>
    <w:qFormat/>
    <w:uiPriority w:val="0"/>
    <w:rPr>
      <w:rFonts w:ascii="Arial" w:hAnsi="Arial" w:eastAsia="黑体" w:cs="Times New Roman"/>
      <w:b/>
      <w:sz w:val="24"/>
      <w:szCs w:val="20"/>
    </w:rPr>
  </w:style>
  <w:style w:type="character" w:customStyle="1" w:styleId="30">
    <w:name w:val="批注文字 字符"/>
    <w:qFormat/>
    <w:uiPriority w:val="0"/>
    <w:rPr>
      <w:rFonts w:ascii="Times New Roman" w:hAnsi="Times New Roman" w:cs="Times New Roman"/>
      <w:kern w:val="2"/>
      <w:sz w:val="21"/>
    </w:rPr>
  </w:style>
  <w:style w:type="character" w:customStyle="1" w:styleId="31">
    <w:name w:val="批注框文本 字符"/>
    <w:qFormat/>
    <w:uiPriority w:val="0"/>
    <w:rPr>
      <w:rFonts w:ascii="Times New Roman" w:hAnsi="Times New Roman" w:cs="Times New Roman"/>
      <w:kern w:val="2"/>
      <w:sz w:val="18"/>
      <w:szCs w:val="18"/>
    </w:rPr>
  </w:style>
  <w:style w:type="character" w:customStyle="1" w:styleId="32">
    <w:name w:val="页脚 字符"/>
    <w:qFormat/>
    <w:uiPriority w:val="0"/>
    <w:rPr>
      <w:rFonts w:ascii="Times New Roman" w:hAnsi="Times New Roman" w:eastAsia="宋体" w:cs="Times New Roman"/>
      <w:sz w:val="18"/>
      <w:szCs w:val="20"/>
    </w:rPr>
  </w:style>
  <w:style w:type="character" w:customStyle="1" w:styleId="33">
    <w:name w:val="页眉 字符"/>
    <w:qFormat/>
    <w:uiPriority w:val="0"/>
    <w:rPr>
      <w:rFonts w:ascii="Times New Roman" w:hAnsi="Times New Roman" w:cs="Times New Roman"/>
      <w:kern w:val="2"/>
      <w:sz w:val="18"/>
      <w:szCs w:val="18"/>
    </w:rPr>
  </w:style>
  <w:style w:type="character" w:customStyle="1" w:styleId="34">
    <w:name w:val="批注主题 字符"/>
    <w:qFormat/>
    <w:uiPriority w:val="0"/>
    <w:rPr>
      <w:rFonts w:ascii="Times New Roman" w:hAnsi="Times New Roman" w:cs="Times New Roman"/>
      <w:b/>
      <w:bCs/>
      <w:kern w:val="2"/>
      <w:sz w:val="21"/>
    </w:rPr>
  </w:style>
  <w:style w:type="character" w:customStyle="1" w:styleId="35">
    <w:name w:val="HTML 打字机1"/>
    <w:qFormat/>
    <w:uiPriority w:val="0"/>
    <w:rPr>
      <w:rFonts w:ascii="宋体" w:hAnsi="宋体" w:eastAsia="宋体" w:cs="宋体"/>
      <w:sz w:val="24"/>
      <w:szCs w:val="24"/>
    </w:rPr>
  </w:style>
  <w:style w:type="character" w:customStyle="1" w:styleId="36">
    <w:name w:val="批注引用1"/>
    <w:qFormat/>
    <w:uiPriority w:val="0"/>
    <w:rPr>
      <w:sz w:val="21"/>
      <w:szCs w:val="21"/>
    </w:rPr>
  </w:style>
  <w:style w:type="paragraph" w:customStyle="1" w:styleId="37">
    <w:name w:val="Heading"/>
    <w:basedOn w:val="1"/>
    <w:next w:val="4"/>
    <w:qFormat/>
    <w:uiPriority w:val="0"/>
    <w:pPr>
      <w:keepNext/>
      <w:spacing w:before="240" w:after="120"/>
    </w:pPr>
    <w:rPr>
      <w:rFonts w:ascii="Liberation Sans" w:hAnsi="Liberation Sans" w:eastAsia="Noto Sans CJK SC" w:cs="FreeSans"/>
      <w:sz w:val="28"/>
      <w:szCs w:val="28"/>
    </w:rPr>
  </w:style>
  <w:style w:type="paragraph" w:customStyle="1" w:styleId="38">
    <w:name w:val="Index"/>
    <w:basedOn w:val="1"/>
    <w:qFormat/>
    <w:uiPriority w:val="0"/>
    <w:pPr>
      <w:suppressLineNumbers/>
    </w:pPr>
    <w:rPr>
      <w:rFonts w:cs="FreeSans"/>
    </w:rPr>
  </w:style>
  <w:style w:type="paragraph" w:customStyle="1" w:styleId="39">
    <w:name w:val="批注文字1"/>
    <w:basedOn w:val="1"/>
    <w:qFormat/>
    <w:uiPriority w:val="0"/>
    <w:pPr>
      <w:jc w:val="left"/>
    </w:pPr>
  </w:style>
  <w:style w:type="paragraph" w:customStyle="1" w:styleId="40">
    <w:name w:val="批注框文本1"/>
    <w:basedOn w:val="1"/>
    <w:qFormat/>
    <w:uiPriority w:val="0"/>
    <w:rPr>
      <w:sz w:val="18"/>
      <w:szCs w:val="18"/>
    </w:rPr>
  </w:style>
  <w:style w:type="paragraph" w:customStyle="1" w:styleId="41">
    <w:name w:val="Header and Footer"/>
    <w:basedOn w:val="1"/>
    <w:qFormat/>
    <w:uiPriority w:val="0"/>
    <w:pPr>
      <w:suppressLineNumbers/>
      <w:tabs>
        <w:tab w:val="center" w:pos="4819"/>
        <w:tab w:val="right" w:pos="9638"/>
      </w:tabs>
    </w:pPr>
  </w:style>
  <w:style w:type="paragraph" w:customStyle="1" w:styleId="42">
    <w:name w:val="批注主题1"/>
    <w:basedOn w:val="39"/>
    <w:next w:val="39"/>
    <w:qFormat/>
    <w:uiPriority w:val="0"/>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na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TotalTime>4</TotalTime>
  <ScaleCrop>false</ScaleCrop>
  <LinksUpToDate>false</LinksUpToDate>
  <Application>WPS Office_12.1.0.24655_F1E327BC-269C-435d-A152-05C5408002CA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2011-06-27T04:53:00Z</dcterms:created>
  <dc:creator>cl</dc:creator>
  <cp:lastModifiedBy>miaorl</cp:lastModifiedBy>
  <cp:lastPrinted>2011-06-30T13:30:00Z</cp:lastPrinted>
  <dcterms:modified xsi:type="dcterms:W3CDTF">2026-10-14T08:17:06Z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57905326FC1C474D953AC24D6277E350</vt:lpwstr>
  </property>
  <property fmtid="{D5CDD505-2E9C-101B-9397-08002B2CF9AE}" pid="3" name="KSOProductBuildVer">
    <vt:lpwstr>2052-12.1.0.24655</vt:lpwstr>
  </property>
</Properties>
</file>