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B9E07">
      <w:pPr>
        <w:spacing w:line="360" w:lineRule="auto"/>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lang w:eastAsia="zh-CN"/>
        </w:rPr>
        <w:t>博时恒指港股通交易型开放式指数证券投资基金</w:t>
      </w:r>
      <w:r>
        <w:rPr>
          <w:rFonts w:hint="eastAsia" w:asciiTheme="minorEastAsia" w:hAnsiTheme="minorEastAsia" w:eastAsiaTheme="minorEastAsia"/>
          <w:b/>
          <w:sz w:val="32"/>
          <w:szCs w:val="32"/>
        </w:rPr>
        <w:t>上市交易提示性公告</w:t>
      </w:r>
    </w:p>
    <w:p w14:paraId="630A56B8">
      <w:pPr>
        <w:spacing w:line="360" w:lineRule="auto"/>
        <w:rPr>
          <w:rFonts w:ascii="宋体" w:hAnsi="宋体"/>
        </w:rPr>
      </w:pPr>
    </w:p>
    <w:p w14:paraId="1EADCB81">
      <w:pPr>
        <w:spacing w:line="360" w:lineRule="auto"/>
        <w:ind w:firstLine="480"/>
        <w:rPr>
          <w:rFonts w:ascii="宋体" w:hAnsi="宋体" w:cstheme="minorBidi"/>
          <w:kern w:val="2"/>
          <w:sz w:val="24"/>
          <w:szCs w:val="24"/>
        </w:rPr>
      </w:pPr>
      <w:r>
        <w:rPr>
          <w:rFonts w:hint="eastAsia" w:ascii="宋体" w:hAnsi="宋体" w:cstheme="minorBidi"/>
          <w:kern w:val="2"/>
          <w:sz w:val="24"/>
          <w:szCs w:val="24"/>
          <w:lang w:eastAsia="zh-CN"/>
        </w:rPr>
        <w:t>博时恒指港股通交易型开放式指数证券投资基金</w:t>
      </w:r>
      <w:r>
        <w:rPr>
          <w:rFonts w:hint="eastAsia" w:ascii="宋体" w:hAnsi="宋体" w:cstheme="minorBidi"/>
          <w:kern w:val="2"/>
          <w:sz w:val="24"/>
          <w:szCs w:val="24"/>
        </w:rPr>
        <w:t>（以下简称 “本基金”）于202</w:t>
      </w:r>
      <w:r>
        <w:rPr>
          <w:rFonts w:hint="eastAsia" w:ascii="宋体" w:hAnsi="宋体" w:cstheme="minorBidi"/>
          <w:kern w:val="2"/>
          <w:sz w:val="24"/>
          <w:szCs w:val="24"/>
          <w:lang w:val="en-US" w:eastAsia="zh-CN"/>
        </w:rPr>
        <w:t>6</w:t>
      </w:r>
      <w:r>
        <w:rPr>
          <w:rFonts w:hint="eastAsia" w:ascii="宋体" w:hAnsi="宋体" w:cstheme="minorBidi"/>
          <w:kern w:val="2"/>
          <w:sz w:val="24"/>
          <w:szCs w:val="24"/>
        </w:rPr>
        <w:t>年</w:t>
      </w:r>
      <w:r>
        <w:rPr>
          <w:rFonts w:hint="eastAsia" w:ascii="宋体" w:hAnsi="宋体" w:cstheme="minorBidi"/>
          <w:kern w:val="2"/>
          <w:sz w:val="24"/>
          <w:szCs w:val="24"/>
          <w:lang w:val="en-US" w:eastAsia="zh-CN"/>
        </w:rPr>
        <w:t>5</w:t>
      </w:r>
      <w:r>
        <w:rPr>
          <w:rFonts w:hint="eastAsia" w:ascii="宋体" w:hAnsi="宋体" w:cstheme="minorBidi"/>
          <w:kern w:val="2"/>
          <w:sz w:val="24"/>
          <w:szCs w:val="24"/>
        </w:rPr>
        <w:t>月</w:t>
      </w:r>
      <w:r>
        <w:rPr>
          <w:rFonts w:hint="eastAsia" w:ascii="宋体" w:hAnsi="宋体" w:cstheme="minorBidi"/>
          <w:kern w:val="2"/>
          <w:sz w:val="24"/>
          <w:szCs w:val="24"/>
          <w:lang w:val="en-US" w:eastAsia="zh-CN"/>
        </w:rPr>
        <w:t>29</w:t>
      </w:r>
      <w:r>
        <w:rPr>
          <w:rFonts w:hint="eastAsia" w:ascii="宋体" w:hAnsi="宋体" w:cstheme="minorBidi"/>
          <w:kern w:val="2"/>
          <w:sz w:val="24"/>
          <w:szCs w:val="24"/>
        </w:rPr>
        <w:t>日开始在上海证券交易所上市交易。本基金证券简称“</w:t>
      </w:r>
      <w:r>
        <w:rPr>
          <w:rFonts w:hint="eastAsia" w:ascii="宋体" w:hAnsi="宋体" w:cstheme="minorBidi"/>
          <w:kern w:val="2"/>
          <w:sz w:val="24"/>
          <w:szCs w:val="24"/>
          <w:lang w:val="en-US" w:eastAsia="zh-CN"/>
        </w:rPr>
        <w:t>恒生博时</w:t>
      </w:r>
      <w:r>
        <w:rPr>
          <w:rFonts w:hint="eastAsia" w:ascii="宋体" w:hAnsi="宋体" w:cstheme="minorBidi"/>
          <w:kern w:val="2"/>
          <w:sz w:val="24"/>
          <w:szCs w:val="24"/>
        </w:rPr>
        <w:t>”，扩位证券简称“</w:t>
      </w:r>
      <w:r>
        <w:rPr>
          <w:rFonts w:hint="eastAsia" w:ascii="宋体" w:hAnsi="宋体" w:cstheme="minorBidi"/>
          <w:kern w:val="2"/>
          <w:sz w:val="24"/>
          <w:szCs w:val="24"/>
          <w:lang w:val="en-US" w:eastAsia="zh-CN"/>
        </w:rPr>
        <w:t>恒指港股通</w:t>
      </w:r>
      <w:r>
        <w:rPr>
          <w:rFonts w:hint="eastAsia" w:ascii="宋体" w:hAnsi="宋体" w:cstheme="minorBidi"/>
          <w:kern w:val="2"/>
          <w:sz w:val="24"/>
          <w:szCs w:val="24"/>
        </w:rPr>
        <w:t>ETF</w:t>
      </w:r>
      <w:r>
        <w:rPr>
          <w:rFonts w:hint="eastAsia" w:ascii="宋体" w:hAnsi="宋体" w:cstheme="minorBidi"/>
          <w:kern w:val="2"/>
          <w:sz w:val="24"/>
          <w:szCs w:val="24"/>
          <w:lang w:val="en-US" w:eastAsia="zh-CN"/>
        </w:rPr>
        <w:t>博时</w:t>
      </w:r>
      <w:r>
        <w:rPr>
          <w:rFonts w:hint="eastAsia" w:ascii="宋体" w:hAnsi="宋体" w:cstheme="minorBidi"/>
          <w:kern w:val="2"/>
          <w:sz w:val="24"/>
          <w:szCs w:val="24"/>
        </w:rPr>
        <w:t>”，基金证券代码：</w:t>
      </w:r>
      <w:r>
        <w:rPr>
          <w:rFonts w:ascii="宋体" w:hAnsi="宋体" w:cstheme="minorBidi"/>
          <w:kern w:val="2"/>
          <w:sz w:val="24"/>
          <w:szCs w:val="24"/>
        </w:rPr>
        <w:t>5</w:t>
      </w:r>
      <w:r>
        <w:rPr>
          <w:rFonts w:hint="eastAsia" w:ascii="宋体" w:hAnsi="宋体" w:cstheme="minorBidi"/>
          <w:kern w:val="2"/>
          <w:sz w:val="24"/>
          <w:szCs w:val="24"/>
          <w:lang w:val="en-US" w:eastAsia="zh-CN"/>
        </w:rPr>
        <w:t>26070</w:t>
      </w:r>
      <w:r>
        <w:rPr>
          <w:rFonts w:hint="eastAsia" w:ascii="宋体" w:hAnsi="宋体" w:cstheme="minorBidi"/>
          <w:kern w:val="2"/>
          <w:sz w:val="24"/>
          <w:szCs w:val="24"/>
        </w:rPr>
        <w:t>。</w:t>
      </w:r>
    </w:p>
    <w:p w14:paraId="0C64D49B">
      <w:pPr>
        <w:spacing w:line="360" w:lineRule="auto"/>
        <w:ind w:firstLine="480"/>
        <w:rPr>
          <w:rFonts w:ascii="宋体" w:hAnsi="宋体" w:cstheme="minorBidi"/>
          <w:kern w:val="2"/>
          <w:sz w:val="24"/>
          <w:szCs w:val="24"/>
        </w:rPr>
      </w:pPr>
      <w:r>
        <w:rPr>
          <w:rFonts w:hint="eastAsia" w:ascii="宋体" w:hAnsi="宋体" w:cstheme="minorBidi"/>
          <w:kern w:val="2"/>
          <w:sz w:val="24"/>
          <w:szCs w:val="24"/>
        </w:rPr>
        <w:t>截至2</w:t>
      </w:r>
      <w:r>
        <w:rPr>
          <w:rFonts w:ascii="宋体" w:hAnsi="宋体" w:cstheme="minorBidi"/>
          <w:kern w:val="2"/>
          <w:sz w:val="24"/>
          <w:szCs w:val="24"/>
        </w:rPr>
        <w:t>02</w:t>
      </w:r>
      <w:r>
        <w:rPr>
          <w:rFonts w:hint="eastAsia" w:ascii="宋体" w:hAnsi="宋体" w:cstheme="minorBidi"/>
          <w:kern w:val="2"/>
          <w:sz w:val="24"/>
          <w:szCs w:val="24"/>
          <w:lang w:val="en-US" w:eastAsia="zh-CN"/>
        </w:rPr>
        <w:t>6</w:t>
      </w:r>
      <w:r>
        <w:rPr>
          <w:rFonts w:hint="eastAsia" w:ascii="宋体" w:hAnsi="宋体" w:cstheme="minorBidi"/>
          <w:kern w:val="2"/>
          <w:sz w:val="24"/>
          <w:szCs w:val="24"/>
        </w:rPr>
        <w:t>年</w:t>
      </w:r>
      <w:r>
        <w:rPr>
          <w:rFonts w:hint="eastAsia" w:ascii="宋体" w:hAnsi="宋体" w:cstheme="minorBidi"/>
          <w:kern w:val="2"/>
          <w:sz w:val="24"/>
          <w:szCs w:val="24"/>
          <w:lang w:val="en-US" w:eastAsia="zh-CN"/>
        </w:rPr>
        <w:t>5月28</w:t>
      </w:r>
      <w:r>
        <w:rPr>
          <w:rFonts w:hint="eastAsia" w:ascii="宋体" w:hAnsi="宋体" w:cstheme="minorBidi"/>
          <w:kern w:val="2"/>
          <w:sz w:val="24"/>
          <w:szCs w:val="24"/>
        </w:rPr>
        <w:t>日，本基金投资于标的指数成份股和备选成份股的资产比例为基金资产净值的</w:t>
      </w:r>
      <w:r>
        <w:rPr>
          <w:rFonts w:hint="eastAsia" w:ascii="宋体" w:hAnsi="宋体" w:cstheme="minorBidi"/>
          <w:kern w:val="2"/>
          <w:sz w:val="24"/>
          <w:szCs w:val="24"/>
          <w:lang w:val="en-US" w:eastAsia="zh-CN"/>
        </w:rPr>
        <w:t>92.56</w:t>
      </w:r>
      <w:r>
        <w:rPr>
          <w:rFonts w:hint="eastAsia" w:ascii="宋体" w:hAnsi="宋体" w:cstheme="minorBidi"/>
          <w:kern w:val="2"/>
          <w:sz w:val="24"/>
          <w:szCs w:val="24"/>
        </w:rPr>
        <w:t>%，投资组合比例符合有关法律法规、部门规章、规范性文件的规定和基金合同的有关规定。</w:t>
      </w:r>
    </w:p>
    <w:p w14:paraId="133CEF64">
      <w:pPr>
        <w:widowControl w:val="0"/>
        <w:spacing w:line="360" w:lineRule="auto"/>
        <w:ind w:firstLine="420"/>
        <w:rPr>
          <w:rFonts w:asciiTheme="minorHAnsi" w:hAnsiTheme="minorHAnsi" w:eastAsiaTheme="minorEastAsia" w:cstheme="minorBidi"/>
          <w:kern w:val="2"/>
          <w:sz w:val="24"/>
          <w:szCs w:val="24"/>
        </w:rPr>
      </w:pPr>
      <w:r>
        <w:rPr>
          <w:rFonts w:hint="eastAsia" w:asciiTheme="minorHAnsi" w:hAnsiTheme="minorHAnsi" w:eastAsiaTheme="minorEastAsia" w:cstheme="minorBidi"/>
          <w:kern w:val="2"/>
          <w:sz w:val="24"/>
          <w:szCs w:val="24"/>
        </w:rPr>
        <w:t>风险提示：基金管理人承诺以诚实</w:t>
      </w:r>
      <w:bookmarkStart w:id="0" w:name="_GoBack"/>
      <w:bookmarkEnd w:id="0"/>
      <w:r>
        <w:rPr>
          <w:rFonts w:hint="eastAsia" w:asciiTheme="minorHAnsi" w:hAnsiTheme="minorHAnsi" w:eastAsiaTheme="minorEastAsia" w:cstheme="minorBidi"/>
          <w:kern w:val="2"/>
          <w:sz w:val="24"/>
          <w:szCs w:val="24"/>
        </w:rPr>
        <w:t>信用、勤勉尽责的原则管理和运用基金资产，但不保证基金一定盈利，也不保证最低收益。投资者投资于基金时应认真阅读基金的《基金合同》和《招募说明书》。敬请投资者注意投资风险。</w:t>
      </w:r>
    </w:p>
    <w:p w14:paraId="23B881D5">
      <w:pPr>
        <w:widowControl w:val="0"/>
        <w:spacing w:line="360" w:lineRule="auto"/>
        <w:jc w:val="left"/>
        <w:rPr>
          <w:rFonts w:ascii="宋体" w:hAnsi="宋体" w:cstheme="minorBidi"/>
          <w:kern w:val="2"/>
          <w:sz w:val="24"/>
          <w:szCs w:val="24"/>
        </w:rPr>
      </w:pPr>
    </w:p>
    <w:p w14:paraId="78598C30">
      <w:pPr>
        <w:widowControl w:val="0"/>
        <w:spacing w:line="360" w:lineRule="auto"/>
        <w:ind w:firstLine="420"/>
        <w:jc w:val="left"/>
        <w:rPr>
          <w:rFonts w:ascii="宋体" w:hAnsi="宋体" w:cstheme="minorBidi"/>
          <w:kern w:val="2"/>
          <w:sz w:val="24"/>
          <w:szCs w:val="24"/>
        </w:rPr>
      </w:pPr>
      <w:r>
        <w:rPr>
          <w:rFonts w:hint="eastAsia" w:ascii="宋体" w:hAnsi="宋体" w:cstheme="minorBidi"/>
          <w:kern w:val="2"/>
          <w:sz w:val="24"/>
          <w:szCs w:val="24"/>
        </w:rPr>
        <w:t>特此公告。</w:t>
      </w:r>
    </w:p>
    <w:p w14:paraId="1E63F60A">
      <w:pPr>
        <w:widowControl w:val="0"/>
        <w:spacing w:line="360" w:lineRule="auto"/>
        <w:ind w:firstLine="420"/>
        <w:jc w:val="right"/>
        <w:rPr>
          <w:rFonts w:ascii="宋体" w:hAnsi="宋体" w:cstheme="minorBidi"/>
          <w:kern w:val="2"/>
          <w:sz w:val="24"/>
          <w:szCs w:val="24"/>
        </w:rPr>
      </w:pPr>
      <w:r>
        <w:rPr>
          <w:rFonts w:hint="eastAsia" w:ascii="宋体" w:hAnsi="宋体" w:cstheme="minorBidi"/>
          <w:kern w:val="2"/>
          <w:sz w:val="24"/>
          <w:szCs w:val="24"/>
        </w:rPr>
        <w:t>博时基金管理有限公司</w:t>
      </w:r>
    </w:p>
    <w:p w14:paraId="7BE2A6FC">
      <w:pPr>
        <w:widowControl w:val="0"/>
        <w:spacing w:line="360" w:lineRule="auto"/>
        <w:ind w:firstLine="420"/>
        <w:jc w:val="right"/>
        <w:rPr>
          <w:rFonts w:ascii="宋体" w:hAnsi="宋体" w:cstheme="minorBidi"/>
          <w:kern w:val="2"/>
          <w:sz w:val="24"/>
          <w:szCs w:val="24"/>
        </w:rPr>
      </w:pPr>
      <w:r>
        <w:rPr>
          <w:rFonts w:hint="eastAsia" w:ascii="宋体" w:hAnsi="宋体" w:cstheme="minorBidi"/>
          <w:kern w:val="2"/>
          <w:sz w:val="24"/>
          <w:szCs w:val="24"/>
        </w:rPr>
        <w:t>202</w:t>
      </w:r>
      <w:r>
        <w:rPr>
          <w:rFonts w:hint="eastAsia" w:ascii="宋体" w:hAnsi="宋体" w:cstheme="minorBidi"/>
          <w:kern w:val="2"/>
          <w:sz w:val="24"/>
          <w:szCs w:val="24"/>
          <w:lang w:val="en-US" w:eastAsia="zh-CN"/>
        </w:rPr>
        <w:t>6</w:t>
      </w:r>
      <w:r>
        <w:rPr>
          <w:rFonts w:hint="eastAsia" w:ascii="宋体" w:hAnsi="宋体" w:cstheme="minorBidi"/>
          <w:kern w:val="2"/>
          <w:sz w:val="24"/>
          <w:szCs w:val="24"/>
        </w:rPr>
        <w:t>年</w:t>
      </w:r>
      <w:r>
        <w:rPr>
          <w:rFonts w:hint="eastAsia" w:ascii="宋体" w:hAnsi="宋体" w:cstheme="minorBidi"/>
          <w:kern w:val="2"/>
          <w:sz w:val="24"/>
          <w:szCs w:val="24"/>
          <w:lang w:val="en-US" w:eastAsia="zh-CN"/>
        </w:rPr>
        <w:t>5</w:t>
      </w:r>
      <w:r>
        <w:rPr>
          <w:rFonts w:hint="eastAsia" w:ascii="宋体" w:hAnsi="宋体" w:cstheme="minorBidi"/>
          <w:kern w:val="2"/>
          <w:sz w:val="24"/>
          <w:szCs w:val="24"/>
        </w:rPr>
        <w:t>月</w:t>
      </w:r>
      <w:r>
        <w:rPr>
          <w:rFonts w:hint="eastAsia" w:ascii="宋体" w:hAnsi="宋体" w:cstheme="minorBidi"/>
          <w:kern w:val="2"/>
          <w:sz w:val="24"/>
          <w:szCs w:val="24"/>
          <w:lang w:val="en-US" w:eastAsia="zh-CN"/>
        </w:rPr>
        <w:t>29</w:t>
      </w:r>
      <w:r>
        <w:rPr>
          <w:rFonts w:hint="eastAsia" w:ascii="宋体" w:hAnsi="宋体" w:cstheme="minorBidi"/>
          <w:kern w:val="2"/>
          <w:sz w:val="24"/>
          <w:szCs w:val="24"/>
        </w:rPr>
        <w:t>日</w:t>
      </w:r>
    </w:p>
    <w:p w14:paraId="412D0B15">
      <w:pPr>
        <w:widowControl w:val="0"/>
        <w:spacing w:line="360" w:lineRule="auto"/>
        <w:ind w:firstLine="420"/>
        <w:jc w:val="left"/>
        <w:rPr>
          <w:rFonts w:ascii="宋体" w:hAnsi="宋体" w:cstheme="minorBidi"/>
          <w:kern w:val="2"/>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0D9"/>
    <w:rsid w:val="00041210"/>
    <w:rsid w:val="0006334A"/>
    <w:rsid w:val="00081368"/>
    <w:rsid w:val="00083C60"/>
    <w:rsid w:val="00085788"/>
    <w:rsid w:val="000B4FC2"/>
    <w:rsid w:val="000D5814"/>
    <w:rsid w:val="00116F24"/>
    <w:rsid w:val="00120B2D"/>
    <w:rsid w:val="00187329"/>
    <w:rsid w:val="00194BB7"/>
    <w:rsid w:val="001D5777"/>
    <w:rsid w:val="002133F0"/>
    <w:rsid w:val="0021580B"/>
    <w:rsid w:val="00222984"/>
    <w:rsid w:val="002641F0"/>
    <w:rsid w:val="00273B4E"/>
    <w:rsid w:val="00287EF1"/>
    <w:rsid w:val="002A3F26"/>
    <w:rsid w:val="002C5CB9"/>
    <w:rsid w:val="003043E1"/>
    <w:rsid w:val="00311915"/>
    <w:rsid w:val="00341A1D"/>
    <w:rsid w:val="0038075B"/>
    <w:rsid w:val="004020B2"/>
    <w:rsid w:val="004029DF"/>
    <w:rsid w:val="00420BDB"/>
    <w:rsid w:val="00452CBA"/>
    <w:rsid w:val="00461E35"/>
    <w:rsid w:val="00461F2D"/>
    <w:rsid w:val="004725ED"/>
    <w:rsid w:val="00472B49"/>
    <w:rsid w:val="00484EC1"/>
    <w:rsid w:val="004B19BB"/>
    <w:rsid w:val="00531B84"/>
    <w:rsid w:val="00536B94"/>
    <w:rsid w:val="005478A8"/>
    <w:rsid w:val="005A19D9"/>
    <w:rsid w:val="005D5090"/>
    <w:rsid w:val="00655C9C"/>
    <w:rsid w:val="00664C7C"/>
    <w:rsid w:val="0067079E"/>
    <w:rsid w:val="00684B4C"/>
    <w:rsid w:val="006A61BE"/>
    <w:rsid w:val="006A6BD9"/>
    <w:rsid w:val="006C7813"/>
    <w:rsid w:val="006D5783"/>
    <w:rsid w:val="00753F2E"/>
    <w:rsid w:val="007668A1"/>
    <w:rsid w:val="00767984"/>
    <w:rsid w:val="00783734"/>
    <w:rsid w:val="007C11F2"/>
    <w:rsid w:val="007E430E"/>
    <w:rsid w:val="008020D9"/>
    <w:rsid w:val="0080770D"/>
    <w:rsid w:val="00807DC7"/>
    <w:rsid w:val="00837B0C"/>
    <w:rsid w:val="00856724"/>
    <w:rsid w:val="0089105B"/>
    <w:rsid w:val="008B5E24"/>
    <w:rsid w:val="008D615B"/>
    <w:rsid w:val="009117D5"/>
    <w:rsid w:val="0091326C"/>
    <w:rsid w:val="009135F6"/>
    <w:rsid w:val="00943A20"/>
    <w:rsid w:val="009A45EF"/>
    <w:rsid w:val="009C26C6"/>
    <w:rsid w:val="009D012F"/>
    <w:rsid w:val="009E018E"/>
    <w:rsid w:val="00A00584"/>
    <w:rsid w:val="00A03782"/>
    <w:rsid w:val="00A151E0"/>
    <w:rsid w:val="00A27E56"/>
    <w:rsid w:val="00A37C89"/>
    <w:rsid w:val="00A435CA"/>
    <w:rsid w:val="00A6503A"/>
    <w:rsid w:val="00A7523F"/>
    <w:rsid w:val="00A94BB8"/>
    <w:rsid w:val="00B06F95"/>
    <w:rsid w:val="00B10235"/>
    <w:rsid w:val="00B3692A"/>
    <w:rsid w:val="00B52B91"/>
    <w:rsid w:val="00B56112"/>
    <w:rsid w:val="00B64F5D"/>
    <w:rsid w:val="00B65487"/>
    <w:rsid w:val="00B816AA"/>
    <w:rsid w:val="00B8210E"/>
    <w:rsid w:val="00BC1A6A"/>
    <w:rsid w:val="00BF20C5"/>
    <w:rsid w:val="00C22921"/>
    <w:rsid w:val="00C25C20"/>
    <w:rsid w:val="00C36582"/>
    <w:rsid w:val="00C75FB2"/>
    <w:rsid w:val="00C82D7F"/>
    <w:rsid w:val="00CA23D4"/>
    <w:rsid w:val="00CC3D95"/>
    <w:rsid w:val="00CE3164"/>
    <w:rsid w:val="00DC4D22"/>
    <w:rsid w:val="00E0316A"/>
    <w:rsid w:val="00E16C78"/>
    <w:rsid w:val="00E83097"/>
    <w:rsid w:val="00EE0783"/>
    <w:rsid w:val="00F85CC2"/>
    <w:rsid w:val="00FF67B7"/>
    <w:rsid w:val="0FDA5638"/>
    <w:rsid w:val="32E43062"/>
    <w:rsid w:val="3D6D2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kern w:val="0"/>
      <w:sz w:val="21"/>
      <w:szCs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0"/>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character" w:styleId="9">
    <w:name w:val="annotation reference"/>
    <w:basedOn w:val="8"/>
    <w:semiHidden/>
    <w:unhideWhenUsed/>
    <w:uiPriority w:val="99"/>
    <w:rPr>
      <w:sz w:val="21"/>
      <w:szCs w:val="21"/>
    </w:rPr>
  </w:style>
  <w:style w:type="character" w:customStyle="1" w:styleId="10">
    <w:name w:val="批注框文本 字符"/>
    <w:basedOn w:val="8"/>
    <w:link w:val="3"/>
    <w:semiHidden/>
    <w:qFormat/>
    <w:uiPriority w:val="99"/>
    <w:rPr>
      <w:rFonts w:ascii="Calibri" w:hAnsi="Calibri" w:eastAsia="宋体" w:cs="宋体"/>
      <w:kern w:val="0"/>
      <w:sz w:val="18"/>
      <w:szCs w:val="18"/>
    </w:rPr>
  </w:style>
  <w:style w:type="character" w:customStyle="1" w:styleId="11">
    <w:name w:val="页眉 字符"/>
    <w:basedOn w:val="8"/>
    <w:link w:val="5"/>
    <w:qFormat/>
    <w:uiPriority w:val="99"/>
    <w:rPr>
      <w:rFonts w:ascii="Calibri" w:hAnsi="Calibri" w:eastAsia="宋体" w:cs="宋体"/>
      <w:kern w:val="0"/>
      <w:sz w:val="18"/>
      <w:szCs w:val="18"/>
    </w:rPr>
  </w:style>
  <w:style w:type="character" w:customStyle="1" w:styleId="12">
    <w:name w:val="页脚 字符"/>
    <w:basedOn w:val="8"/>
    <w:link w:val="4"/>
    <w:qFormat/>
    <w:uiPriority w:val="99"/>
    <w:rPr>
      <w:rFonts w:ascii="Calibri" w:hAnsi="Calibri" w:eastAsia="宋体" w:cs="宋体"/>
      <w:kern w:val="0"/>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8"/>
    <w:link w:val="2"/>
    <w:semiHidden/>
    <w:qFormat/>
    <w:uiPriority w:val="99"/>
    <w:rPr>
      <w:rFonts w:ascii="Calibri" w:hAnsi="Calibri" w:eastAsia="宋体" w:cs="宋体"/>
      <w:kern w:val="0"/>
      <w:szCs w:val="21"/>
    </w:rPr>
  </w:style>
  <w:style w:type="character" w:customStyle="1" w:styleId="15">
    <w:name w:val="批注主题 字符"/>
    <w:basedOn w:val="14"/>
    <w:link w:val="6"/>
    <w:semiHidden/>
    <w:qFormat/>
    <w:uiPriority w:val="99"/>
    <w:rPr>
      <w:rFonts w:ascii="Calibri" w:hAnsi="Calibri" w:eastAsia="宋体" w:cs="宋体"/>
      <w:b/>
      <w:bCs/>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Words>
  <Characters>320</Characters>
  <Lines>2</Lines>
  <Paragraphs>1</Paragraphs>
  <TotalTime>61</TotalTime>
  <ScaleCrop>false</ScaleCrop>
  <LinksUpToDate>false</LinksUpToDate>
  <CharactersWithSpaces>374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2021-06-16T11:03:00Z</dcterms:created>
  <dc:creator>朱凯华</dc:creator>
  <cp:lastModifiedBy>zhouhy</cp:lastModifiedBy>
  <dcterms:modified xsi:type="dcterms:W3CDTF">2026-05-28T10:48:26Z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85E749169206481DA738E498E555C237_12</vt:lpwstr>
  </property>
</Properties>
</file>