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0EE5EC">
      <w:bookmarkStart w:id="0" w:name="_GoBack"/>
      <w:bookmarkEnd w:id="0"/>
    </w:p>
    <w:p w14:paraId="65E401BB">
      <w:pPr>
        <w:jc w:val="center"/>
        <w:rPr>
          <w:rFonts w:hint="eastAsia" w:ascii="宋体" w:hAnsi="宋体" w:eastAsia="宋体"/>
          <w:b/>
          <w:sz w:val="30"/>
        </w:rPr>
      </w:pPr>
      <w:r>
        <w:rPr>
          <w:rFonts w:hint="eastAsia" w:ascii="宋体" w:hAnsi="宋体" w:eastAsia="宋体"/>
          <w:b/>
          <w:sz w:val="30"/>
        </w:rPr>
        <w:t>博时恒泽混合型证券投资基金恢复大额申购、转换转入、定期定额投资业务公告</w:t>
      </w:r>
    </w:p>
    <w:p w14:paraId="24039921">
      <w:pPr>
        <w:jc w:val="center"/>
        <w:rPr>
          <w:rFonts w:ascii="宋体" w:hAnsi="宋体" w:eastAsia="宋体"/>
          <w:b/>
          <w:sz w:val="24"/>
        </w:rPr>
      </w:pPr>
      <w:r>
        <w:rPr>
          <w:rFonts w:hint="eastAsia" w:ascii="宋体" w:hAnsi="宋体" w:eastAsia="宋体"/>
          <w:b/>
          <w:sz w:val="24"/>
        </w:rPr>
        <w:t>公告送出日期：</w:t>
      </w:r>
      <w:r>
        <w:rPr>
          <w:rFonts w:ascii="宋体" w:hAnsi="宋体" w:eastAsia="宋体"/>
          <w:b/>
          <w:sz w:val="24"/>
        </w:rPr>
        <w:t>2026年5月30日</w:t>
      </w:r>
    </w:p>
    <w:p w14:paraId="79EBAD8F">
      <w:pPr>
        <w:jc w:val="center"/>
        <w:rPr>
          <w:rFonts w:ascii="宋体" w:hAnsi="宋体" w:eastAsia="宋体"/>
          <w:b/>
          <w:sz w:val="24"/>
        </w:rPr>
      </w:pPr>
    </w:p>
    <w:p w14:paraId="2135B58B">
      <w:pPr>
        <w:pStyle w:val="2"/>
        <w:rPr>
          <w:rFonts w:ascii="宋体" w:hAnsi="宋体" w:eastAsia="宋体"/>
          <w:sz w:val="24"/>
        </w:rPr>
      </w:pPr>
      <w:r>
        <w:rPr>
          <w:rFonts w:ascii="宋体" w:hAnsi="宋体" w:eastAsia="宋体"/>
          <w:sz w:val="24"/>
        </w:rPr>
        <w:t>1、公告基本信息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130"/>
        <w:gridCol w:w="2131"/>
        <w:gridCol w:w="2131"/>
      </w:tblGrid>
      <w:tr w14:paraId="07EFE8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5322E161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基金名称</w:t>
            </w:r>
          </w:p>
        </w:tc>
        <w:tc>
          <w:tcPr>
            <w:tcW w:w="4262" w:type="dxa"/>
            <w:gridSpan w:val="2"/>
            <w:vAlign w:val="center"/>
          </w:tcPr>
          <w:p w14:paraId="073735BF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博时恒泽混合型证券投资基金</w:t>
            </w:r>
          </w:p>
        </w:tc>
      </w:tr>
      <w:tr w14:paraId="7F4C7C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71795B1A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基金简称</w:t>
            </w:r>
          </w:p>
        </w:tc>
        <w:tc>
          <w:tcPr>
            <w:tcW w:w="4262" w:type="dxa"/>
            <w:gridSpan w:val="2"/>
            <w:vAlign w:val="center"/>
          </w:tcPr>
          <w:p w14:paraId="4A06FFD1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博时恒泽混合</w:t>
            </w:r>
          </w:p>
        </w:tc>
      </w:tr>
      <w:tr w14:paraId="12BE7D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2EAC3CB4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基金主代码</w:t>
            </w:r>
          </w:p>
        </w:tc>
        <w:tc>
          <w:tcPr>
            <w:tcW w:w="4262" w:type="dxa"/>
            <w:gridSpan w:val="2"/>
            <w:vAlign w:val="center"/>
          </w:tcPr>
          <w:p w14:paraId="3A58E48B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011095</w:t>
            </w:r>
          </w:p>
        </w:tc>
      </w:tr>
      <w:tr w14:paraId="46C59B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63EF55C4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基金管理人名称</w:t>
            </w:r>
          </w:p>
        </w:tc>
        <w:tc>
          <w:tcPr>
            <w:tcW w:w="4262" w:type="dxa"/>
            <w:gridSpan w:val="2"/>
            <w:vAlign w:val="center"/>
          </w:tcPr>
          <w:p w14:paraId="2F928425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博时基金管理有限公司</w:t>
            </w:r>
          </w:p>
        </w:tc>
      </w:tr>
      <w:tr w14:paraId="4905B7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1669A50C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公告依据</w:t>
            </w:r>
          </w:p>
        </w:tc>
        <w:tc>
          <w:tcPr>
            <w:tcW w:w="4262" w:type="dxa"/>
            <w:gridSpan w:val="2"/>
            <w:vAlign w:val="center"/>
          </w:tcPr>
          <w:p w14:paraId="16AD42A3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根据有关法律法规及《博时恒泽混合型证券投资基金基金合同》、《博时恒泽混合型证券投资基金招募说明书》等的规定</w:t>
            </w:r>
          </w:p>
        </w:tc>
      </w:tr>
      <w:tr w14:paraId="58F1F5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restart"/>
            <w:vAlign w:val="center"/>
          </w:tcPr>
          <w:p w14:paraId="374BA0A1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恢复相关业务的日期及原因说明</w:t>
            </w:r>
          </w:p>
        </w:tc>
        <w:tc>
          <w:tcPr>
            <w:tcW w:w="2130" w:type="dxa"/>
            <w:vAlign w:val="center"/>
          </w:tcPr>
          <w:p w14:paraId="622F3C80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恢复大额申购起始日</w:t>
            </w:r>
          </w:p>
        </w:tc>
        <w:tc>
          <w:tcPr>
            <w:tcW w:w="4262" w:type="dxa"/>
            <w:gridSpan w:val="2"/>
            <w:vAlign w:val="center"/>
          </w:tcPr>
          <w:p w14:paraId="4181D157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2026年6月1日</w:t>
            </w:r>
          </w:p>
        </w:tc>
      </w:tr>
      <w:tr w14:paraId="783B61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2CAAE53A"/>
        </w:tc>
        <w:tc>
          <w:tcPr>
            <w:tcW w:w="2130" w:type="dxa"/>
            <w:vAlign w:val="center"/>
          </w:tcPr>
          <w:p w14:paraId="3110747E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恢复大额转换转入起始日</w:t>
            </w:r>
          </w:p>
        </w:tc>
        <w:tc>
          <w:tcPr>
            <w:tcW w:w="4262" w:type="dxa"/>
            <w:gridSpan w:val="2"/>
            <w:vAlign w:val="center"/>
          </w:tcPr>
          <w:p w14:paraId="6D0BC117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2026年6月1日</w:t>
            </w:r>
          </w:p>
        </w:tc>
      </w:tr>
      <w:tr w14:paraId="05E729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73FF0430"/>
        </w:tc>
        <w:tc>
          <w:tcPr>
            <w:tcW w:w="2130" w:type="dxa"/>
            <w:vAlign w:val="center"/>
          </w:tcPr>
          <w:p w14:paraId="447FF1A3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恢复大额定期定额投资起始日</w:t>
            </w:r>
          </w:p>
        </w:tc>
        <w:tc>
          <w:tcPr>
            <w:tcW w:w="4262" w:type="dxa"/>
            <w:gridSpan w:val="2"/>
            <w:vAlign w:val="center"/>
          </w:tcPr>
          <w:p w14:paraId="624F5D0D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2026年6月1日</w:t>
            </w:r>
          </w:p>
        </w:tc>
      </w:tr>
      <w:tr w14:paraId="34BCB7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28ED5D46"/>
        </w:tc>
        <w:tc>
          <w:tcPr>
            <w:tcW w:w="2130" w:type="dxa"/>
            <w:vAlign w:val="center"/>
          </w:tcPr>
          <w:p w14:paraId="772645D8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恢复大额申购、转换转入、定期定额投资的原因说明</w:t>
            </w:r>
          </w:p>
        </w:tc>
        <w:tc>
          <w:tcPr>
            <w:tcW w:w="4262" w:type="dxa"/>
            <w:gridSpan w:val="2"/>
            <w:vAlign w:val="center"/>
          </w:tcPr>
          <w:p w14:paraId="6574F21F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为满足广大投资者的投资需求</w:t>
            </w:r>
          </w:p>
        </w:tc>
      </w:tr>
      <w:tr w14:paraId="34F0FD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30DB530D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下属分级基金的基金简称</w:t>
            </w:r>
          </w:p>
        </w:tc>
        <w:tc>
          <w:tcPr>
            <w:tcW w:w="2131" w:type="dxa"/>
            <w:vAlign w:val="center"/>
          </w:tcPr>
          <w:p w14:paraId="73D9244C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博时恒泽混合</w:t>
            </w:r>
            <w:r>
              <w:rPr>
                <w:rFonts w:ascii="宋体" w:hAnsi="宋体" w:eastAsia="宋体"/>
                <w:sz w:val="24"/>
              </w:rPr>
              <w:t>A</w:t>
            </w:r>
          </w:p>
        </w:tc>
        <w:tc>
          <w:tcPr>
            <w:tcW w:w="2131" w:type="dxa"/>
            <w:vAlign w:val="center"/>
          </w:tcPr>
          <w:p w14:paraId="70B3B0CC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博时恒泽混合</w:t>
            </w:r>
            <w:r>
              <w:rPr>
                <w:rFonts w:ascii="宋体" w:hAnsi="宋体" w:eastAsia="宋体"/>
                <w:sz w:val="24"/>
              </w:rPr>
              <w:t>C</w:t>
            </w:r>
          </w:p>
        </w:tc>
      </w:tr>
      <w:tr w14:paraId="4A0A2F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7509A6E1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下属分级基金的交易代码</w:t>
            </w:r>
          </w:p>
        </w:tc>
        <w:tc>
          <w:tcPr>
            <w:tcW w:w="2131" w:type="dxa"/>
            <w:vAlign w:val="center"/>
          </w:tcPr>
          <w:p w14:paraId="3ECD582D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011095</w:t>
            </w:r>
          </w:p>
        </w:tc>
        <w:tc>
          <w:tcPr>
            <w:tcW w:w="2131" w:type="dxa"/>
            <w:vAlign w:val="center"/>
          </w:tcPr>
          <w:p w14:paraId="145B4F7B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011096</w:t>
            </w:r>
          </w:p>
        </w:tc>
      </w:tr>
      <w:tr w14:paraId="33E1B4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2A71447E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该分级基金是否恢复大额申购、转换转入、定期定额投资</w:t>
            </w:r>
          </w:p>
        </w:tc>
        <w:tc>
          <w:tcPr>
            <w:tcW w:w="2131" w:type="dxa"/>
            <w:vAlign w:val="center"/>
          </w:tcPr>
          <w:p w14:paraId="6D35E7B6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是</w:t>
            </w:r>
          </w:p>
        </w:tc>
        <w:tc>
          <w:tcPr>
            <w:tcW w:w="2131" w:type="dxa"/>
            <w:vAlign w:val="center"/>
          </w:tcPr>
          <w:p w14:paraId="1CA4C1DB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是</w:t>
            </w:r>
          </w:p>
        </w:tc>
      </w:tr>
    </w:tbl>
    <w:p w14:paraId="3436411F"/>
    <w:p w14:paraId="52884E6D">
      <w:pPr>
        <w:pStyle w:val="2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2、其他需要提示的事项</w:t>
      </w:r>
    </w:p>
    <w:p w14:paraId="1173D3B8">
      <w:pPr>
        <w:pStyle w:val="3"/>
        <w:spacing w:before="0" w:beforeAutospacing="0" w:after="0" w:afterAutospacing="0" w:line="360" w:lineRule="auto"/>
        <w:ind w:firstLine="420"/>
      </w:pPr>
      <w:r>
        <w:rPr>
          <w:rFonts w:hint="eastAsia"/>
        </w:rPr>
        <w:t xml:space="preserve">（1）自2026年6月1日起，本基金恢复办理大额申购、转换转入、定期定额投资业务。 </w:t>
      </w:r>
    </w:p>
    <w:p w14:paraId="39E45FA5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（2）如有疑问，请拨打博时一线通：95105568（免长途话费）或登录本公司网站https://www.bosera.com获取相关信息。 </w:t>
      </w:r>
    </w:p>
    <w:p w14:paraId="2903EBB4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3）风险提示：本基金管理人承诺诚实信用地管理和运用基金财产，但不保证基金一定盈利，也不保证最低收益。基金的过往业绩并不代表其未来表现。投资有风险，敬请投资人认真阅读基金的相关法律文件，并选择适合自身风险承受能力的投资品种进行投资。 </w:t>
      </w:r>
    </w:p>
    <w:p w14:paraId="7EA7E6BA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特此公告。 </w:t>
      </w:r>
    </w:p>
    <w:p w14:paraId="1F5F605E">
      <w:pPr>
        <w:pStyle w:val="3"/>
        <w:spacing w:before="0" w:beforeAutospacing="0" w:after="0" w:afterAutospacing="0" w:line="360" w:lineRule="auto"/>
        <w:ind w:firstLine="420"/>
      </w:pPr>
    </w:p>
    <w:p w14:paraId="296EC206">
      <w:pPr>
        <w:pStyle w:val="3"/>
        <w:spacing w:before="0" w:beforeAutospacing="0" w:after="0" w:afterAutospacing="0" w:line="360" w:lineRule="auto"/>
        <w:ind w:firstLine="420"/>
      </w:pPr>
    </w:p>
    <w:p w14:paraId="4FFBCF93">
      <w:pPr>
        <w:pStyle w:val="3"/>
        <w:spacing w:before="0" w:beforeAutospacing="0" w:after="0" w:afterAutospacing="0" w:line="360" w:lineRule="auto"/>
        <w:ind w:firstLine="420"/>
      </w:pPr>
    </w:p>
    <w:p w14:paraId="7E6B3A2E">
      <w:pPr>
        <w:pStyle w:val="3"/>
        <w:spacing w:before="0" w:beforeAutospacing="0" w:after="0" w:afterAutospacing="0" w:line="360" w:lineRule="auto"/>
        <w:ind w:firstLine="420"/>
        <w:jc w:val="right"/>
        <w:rPr>
          <w:rFonts w:hint="eastAsia"/>
        </w:rPr>
      </w:pPr>
      <w:r>
        <w:rPr>
          <w:rFonts w:hint="eastAsia"/>
        </w:rPr>
        <w:t>博时基金管理有限公司</w:t>
      </w:r>
    </w:p>
    <w:p w14:paraId="48F98B81">
      <w:pPr>
        <w:pStyle w:val="3"/>
        <w:spacing w:before="0" w:beforeAutospacing="0" w:after="0" w:afterAutospacing="0" w:line="360" w:lineRule="auto"/>
        <w:ind w:firstLine="420"/>
        <w:jc w:val="right"/>
      </w:pPr>
      <w:r>
        <w:t>2026年5月30日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DAE"/>
    <w:rsid w:val="00B3739F"/>
    <w:rsid w:val="00B46DAE"/>
    <w:rsid w:val="5ABD0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7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5">
    <w:name w:val="Table Grid"/>
    <w:basedOn w:val="4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标题 3 Char"/>
    <w:basedOn w:val="6"/>
    <w:link w:val="2"/>
    <w:uiPriority w:val="9"/>
    <w:rPr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mycompany</Company>
  <Pages>2</Pages>
  <Words>101</Words>
  <Characters>581</Characters>
  <Lines>4</Lines>
  <Paragraphs>1</Paragraphs>
  <TotalTime>0</TotalTime>
  <ScaleCrop>false</ScaleCrop>
  <LinksUpToDate>false</LinksUpToDate>
  <CharactersWithSpaces>681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2026-05-29T06:07:00Z</dcterms:created>
  <dc:creator>BSKMadminDev</dc:creator>
  <cp:lastModifiedBy>panan</cp:lastModifiedBy>
  <dcterms:modified xsi:type="dcterms:W3CDTF">2026-05-29T06:08:22Z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D72CEF1E268647E690C6B73FD2669BE0_13</vt:lpwstr>
  </property>
</Properties>
</file>