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7DFC48">
      <w:pPr>
        <w:widowControl/>
        <w:jc w:val="left"/>
        <w:rPr>
          <w:rFonts w:ascii="宋体" w:hAnsi="宋体" w:eastAsia="宋体"/>
          <w:sz w:val="30"/>
        </w:rPr>
      </w:pPr>
    </w:p>
    <w:p w14:paraId="6A7276F8">
      <w:pPr>
        <w:widowControl/>
        <w:jc w:val="left"/>
        <w:rPr>
          <w:rFonts w:ascii="宋体" w:hAnsi="宋体" w:eastAsia="宋体"/>
          <w:sz w:val="30"/>
        </w:rPr>
      </w:pPr>
    </w:p>
    <w:p w14:paraId="38FA3B36">
      <w:pPr>
        <w:widowControl/>
        <w:jc w:val="left"/>
        <w:rPr>
          <w:rFonts w:ascii="宋体" w:hAnsi="宋体" w:eastAsia="宋体"/>
          <w:sz w:val="30"/>
        </w:rPr>
      </w:pPr>
    </w:p>
    <w:p w14:paraId="24783EF0">
      <w:pPr>
        <w:widowControl/>
        <w:jc w:val="left"/>
        <w:rPr>
          <w:rFonts w:ascii="宋体" w:hAnsi="宋体" w:eastAsia="宋体"/>
          <w:sz w:val="30"/>
        </w:rPr>
      </w:pPr>
    </w:p>
    <w:p w14:paraId="7003807E">
      <w:pPr>
        <w:widowControl/>
        <w:spacing w:line="800" w:lineRule="exact"/>
        <w:jc w:val="center"/>
        <w:rPr>
          <w:rFonts w:ascii="宋体" w:hAnsi="宋体" w:eastAsia="宋体"/>
          <w:b/>
          <w:sz w:val="52"/>
        </w:rPr>
      </w:pPr>
      <w:r>
        <w:rPr>
          <w:rFonts w:hint="eastAsia" w:ascii="宋体" w:hAnsi="宋体" w:eastAsia="宋体"/>
          <w:b/>
          <w:sz w:val="52"/>
        </w:rPr>
        <w:t>博时卓越优选混合型证券投资基金</w:t>
      </w:r>
    </w:p>
    <w:p w14:paraId="39C9AA32">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5BB5FE73">
      <w:pPr>
        <w:widowControl/>
        <w:spacing w:line="800" w:lineRule="exact"/>
        <w:jc w:val="center"/>
        <w:rPr>
          <w:rFonts w:ascii="宋体" w:hAnsi="宋体" w:eastAsia="宋体"/>
          <w:b/>
          <w:sz w:val="52"/>
        </w:rPr>
      </w:pPr>
    </w:p>
    <w:p w14:paraId="48AB1BF9">
      <w:pPr>
        <w:widowControl/>
        <w:spacing w:line="800" w:lineRule="exact"/>
        <w:jc w:val="center"/>
        <w:rPr>
          <w:rFonts w:ascii="宋体" w:hAnsi="宋体" w:eastAsia="宋体"/>
          <w:b/>
          <w:sz w:val="52"/>
        </w:rPr>
      </w:pPr>
    </w:p>
    <w:p w14:paraId="72E7BC25">
      <w:pPr>
        <w:widowControl/>
        <w:spacing w:line="800" w:lineRule="exact"/>
        <w:jc w:val="center"/>
        <w:rPr>
          <w:rFonts w:ascii="宋体" w:hAnsi="宋体" w:eastAsia="宋体"/>
          <w:b/>
          <w:sz w:val="52"/>
        </w:rPr>
      </w:pPr>
    </w:p>
    <w:p w14:paraId="7123B6AB">
      <w:pPr>
        <w:widowControl/>
        <w:spacing w:line="800" w:lineRule="exact"/>
        <w:jc w:val="center"/>
        <w:rPr>
          <w:rFonts w:ascii="宋体" w:hAnsi="宋体" w:eastAsia="宋体"/>
          <w:b/>
          <w:sz w:val="52"/>
        </w:rPr>
      </w:pPr>
    </w:p>
    <w:p w14:paraId="060BE49D">
      <w:pPr>
        <w:widowControl/>
        <w:spacing w:line="800" w:lineRule="exact"/>
        <w:jc w:val="center"/>
        <w:rPr>
          <w:rFonts w:ascii="宋体" w:hAnsi="宋体" w:eastAsia="宋体"/>
          <w:b/>
          <w:sz w:val="52"/>
        </w:rPr>
      </w:pPr>
    </w:p>
    <w:p w14:paraId="2BF59A86">
      <w:pPr>
        <w:widowControl/>
        <w:spacing w:line="800" w:lineRule="exact"/>
        <w:jc w:val="center"/>
        <w:rPr>
          <w:rFonts w:ascii="宋体" w:hAnsi="宋体" w:eastAsia="宋体"/>
          <w:b/>
          <w:sz w:val="52"/>
        </w:rPr>
      </w:pPr>
    </w:p>
    <w:p w14:paraId="4BF36F92">
      <w:pPr>
        <w:widowControl/>
        <w:spacing w:line="800" w:lineRule="exact"/>
        <w:jc w:val="center"/>
        <w:rPr>
          <w:rFonts w:ascii="宋体" w:hAnsi="宋体" w:eastAsia="宋体"/>
          <w:b/>
          <w:sz w:val="52"/>
        </w:rPr>
      </w:pPr>
    </w:p>
    <w:p w14:paraId="43BED508">
      <w:pPr>
        <w:widowControl/>
        <w:spacing w:line="800" w:lineRule="exact"/>
        <w:jc w:val="center"/>
        <w:rPr>
          <w:rFonts w:ascii="宋体" w:hAnsi="宋体" w:eastAsia="宋体"/>
          <w:b/>
          <w:sz w:val="52"/>
        </w:rPr>
      </w:pPr>
    </w:p>
    <w:p w14:paraId="37A0098A">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1656F9BF">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招商银行股份有限公司</w:t>
      </w:r>
      <w:r>
        <w:rPr>
          <w:rFonts w:ascii="宋体" w:hAnsi="宋体" w:eastAsia="宋体"/>
          <w:b/>
          <w:sz w:val="30"/>
        </w:rPr>
        <w:br w:type="page"/>
      </w:r>
    </w:p>
    <w:p w14:paraId="781B37C2">
      <w:pPr>
        <w:pStyle w:val="3"/>
        <w:jc w:val="center"/>
        <w:rPr>
          <w:rFonts w:ascii="宋体" w:hAnsi="宋体" w:eastAsia="宋体"/>
          <w:sz w:val="30"/>
        </w:rPr>
      </w:pPr>
      <w:bookmarkStart w:id="0" w:name="_Toc213857114"/>
      <w:r>
        <w:rPr>
          <w:rFonts w:hint="eastAsia" w:ascii="宋体" w:hAnsi="宋体" w:eastAsia="宋体"/>
          <w:sz w:val="30"/>
        </w:rPr>
        <w:t>【重要提示】</w:t>
      </w:r>
      <w:bookmarkEnd w:id="0"/>
    </w:p>
    <w:p w14:paraId="1B6D93CE">
      <w:pPr>
        <w:pStyle w:val="8"/>
        <w:spacing w:before="0" w:beforeAutospacing="0" w:after="0" w:afterAutospacing="0" w:line="360" w:lineRule="auto"/>
        <w:ind w:firstLine="420"/>
        <w:rPr>
          <w:sz w:val="21"/>
          <w:szCs w:val="21"/>
        </w:rPr>
      </w:pPr>
      <w:r>
        <w:rPr>
          <w:rFonts w:hint="eastAsia"/>
          <w:sz w:val="21"/>
          <w:szCs w:val="21"/>
        </w:rPr>
        <w:t>1、本基金根据2023年8月11日中国证券监督管理委员会（以下简称“中国证监会”）准予注册的批复《关于准予</w:t>
      </w:r>
      <w:bookmarkStart w:id="1" w:name="field_0_productfullname_1"/>
      <w:r>
        <w:rPr>
          <w:rFonts w:hint="eastAsia"/>
          <w:sz w:val="21"/>
          <w:szCs w:val="21"/>
        </w:rPr>
        <w:t>博时卓越优选混合型证券投资基金</w:t>
      </w:r>
      <w:bookmarkEnd w:id="1"/>
      <w:r>
        <w:rPr>
          <w:rFonts w:hint="eastAsia"/>
          <w:sz w:val="21"/>
          <w:szCs w:val="21"/>
        </w:rPr>
        <w:t>注册的批复》（证监许可[2023]1755号）以及2024年9月27日中国证监会准予延期募集的回函《关于</w:t>
      </w:r>
      <w:bookmarkStart w:id="2" w:name="field_0_productfullname_2"/>
      <w:r>
        <w:rPr>
          <w:rFonts w:hint="eastAsia"/>
          <w:sz w:val="21"/>
          <w:szCs w:val="21"/>
        </w:rPr>
        <w:t>博时卓越优选混合型证券投资基金</w:t>
      </w:r>
      <w:bookmarkEnd w:id="2"/>
      <w:r>
        <w:rPr>
          <w:rFonts w:hint="eastAsia"/>
          <w:sz w:val="21"/>
          <w:szCs w:val="21"/>
        </w:rPr>
        <w:t xml:space="preserve">延期募集备案的回函》（机构司函[2024]1785号）进行募集。 </w:t>
      </w:r>
    </w:p>
    <w:p w14:paraId="32D8EF69">
      <w:pPr>
        <w:pStyle w:val="8"/>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14:paraId="28A9C082">
      <w:pPr>
        <w:pStyle w:val="8"/>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0CD4323F">
      <w:pPr>
        <w:pStyle w:val="8"/>
        <w:spacing w:before="0" w:beforeAutospacing="0" w:after="0" w:afterAutospacing="0" w:line="360" w:lineRule="auto"/>
        <w:ind w:firstLine="420"/>
        <w:rPr>
          <w:sz w:val="21"/>
          <w:szCs w:val="21"/>
        </w:rPr>
      </w:pPr>
      <w:r>
        <w:rPr>
          <w:rFonts w:hint="eastAsia"/>
          <w:sz w:val="21"/>
          <w:szCs w:val="21"/>
        </w:rPr>
        <w:t xml:space="preserve">4、本基金是混合型证券投资基金，其预期收益和预期风险水平高于债券型基金和货币市场基金，低于股票型基金。本基金如果投资港股通标的股票，需承担汇率风险以及境外市场的风险。 </w:t>
      </w:r>
    </w:p>
    <w:p w14:paraId="1531DA81">
      <w:pPr>
        <w:pStyle w:val="8"/>
        <w:spacing w:before="0" w:beforeAutospacing="0" w:after="0" w:afterAutospacing="0" w:line="360" w:lineRule="auto"/>
        <w:ind w:firstLine="420"/>
        <w:rPr>
          <w:sz w:val="21"/>
          <w:szCs w:val="21"/>
        </w:rPr>
      </w:pPr>
      <w:r>
        <w:rPr>
          <w:rFonts w:hint="eastAsia"/>
          <w:sz w:val="21"/>
          <w:szCs w:val="21"/>
        </w:rPr>
        <w:t xml:space="preserve">5、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090E6FDD">
      <w:pPr>
        <w:pStyle w:val="8"/>
        <w:spacing w:before="0" w:beforeAutospacing="0" w:after="0" w:afterAutospacing="0" w:line="360" w:lineRule="auto"/>
        <w:ind w:firstLine="420"/>
        <w:rPr>
          <w:sz w:val="21"/>
          <w:szCs w:val="21"/>
        </w:rPr>
      </w:pPr>
      <w:r>
        <w:rPr>
          <w:rFonts w:hint="eastAsia"/>
          <w:sz w:val="21"/>
          <w:szCs w:val="21"/>
        </w:rPr>
        <w:t xml:space="preserve">6、本基金的投资范围主要为具有良好流动性的金融工具，包括国内依法发行上市的股票（包括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政府支持债券、企业债、公司债、央行票据、中期票据、短期融资券、超短期融资券、可转换债券（含可分离交易可转债）、可交换债、次级债等）、资产支持证券、债券回购、银行存款、同业存单、货币市场工具、股指期货、股票期权、国债期货、信用衍生品及法律法规或中国证监会允许基金投资的其他金融工具（但须符合中国证监会相关规定）。本基金可根据相关法律法规和基金合同的约定参与融资业务。 </w:t>
      </w:r>
    </w:p>
    <w:p w14:paraId="6B8BD5B7">
      <w:pPr>
        <w:pStyle w:val="8"/>
        <w:spacing w:before="0" w:beforeAutospacing="0" w:after="0" w:afterAutospacing="0" w:line="360" w:lineRule="auto"/>
        <w:ind w:firstLine="420"/>
        <w:rPr>
          <w:sz w:val="21"/>
          <w:szCs w:val="21"/>
        </w:rPr>
      </w:pPr>
      <w:r>
        <w:rPr>
          <w:rFonts w:hint="eastAsia"/>
          <w:sz w:val="21"/>
          <w:szCs w:val="21"/>
        </w:rPr>
        <w:t xml:space="preserve">本基金基金资产可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 </w:t>
      </w:r>
    </w:p>
    <w:p w14:paraId="7C94CB27">
      <w:pPr>
        <w:pStyle w:val="8"/>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4402D1D2">
      <w:pPr>
        <w:pStyle w:val="8"/>
        <w:spacing w:before="0" w:beforeAutospacing="0" w:after="0" w:afterAutospacing="0" w:line="360" w:lineRule="auto"/>
        <w:ind w:firstLine="420"/>
        <w:rPr>
          <w:sz w:val="21"/>
          <w:szCs w:val="21"/>
        </w:rPr>
      </w:pPr>
      <w:r>
        <w:rPr>
          <w:rFonts w:hint="eastAsia"/>
          <w:sz w:val="21"/>
          <w:szCs w:val="21"/>
        </w:rPr>
        <w:t xml:space="preserve">本基金可参与股指期货、国债期货交易。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交易带来重大损失。 </w:t>
      </w:r>
    </w:p>
    <w:p w14:paraId="15FA80D0">
      <w:pPr>
        <w:pStyle w:val="8"/>
        <w:spacing w:before="0" w:beforeAutospacing="0" w:after="0" w:afterAutospacing="0" w:line="360" w:lineRule="auto"/>
        <w:ind w:firstLine="420"/>
        <w:rPr>
          <w:sz w:val="21"/>
          <w:szCs w:val="21"/>
        </w:rPr>
      </w:pPr>
      <w:r>
        <w:rPr>
          <w:rFonts w:hint="eastAsia"/>
          <w:sz w:val="21"/>
          <w:szCs w:val="21"/>
        </w:rPr>
        <w:t xml:space="preserve">本基金可参与股票期权交易，以套期保值为主要目的，若参与股票期权交易，可能面临价格波动风险、市场流动性风险、强制平仓风险、合约到期风险、行权失败风险、交易违约风险等。 </w:t>
      </w:r>
    </w:p>
    <w:p w14:paraId="01EFF592">
      <w:pPr>
        <w:pStyle w:val="8"/>
        <w:spacing w:before="0" w:beforeAutospacing="0" w:after="0" w:afterAutospacing="0" w:line="360" w:lineRule="auto"/>
        <w:ind w:firstLine="420"/>
        <w:rPr>
          <w:sz w:val="21"/>
          <w:szCs w:val="21"/>
        </w:rPr>
      </w:pPr>
      <w:r>
        <w:rPr>
          <w:rFonts w:hint="eastAsia"/>
          <w:sz w:val="21"/>
          <w:szCs w:val="21"/>
        </w:rPr>
        <w:t xml:space="preserve">为对冲信用风险，本基金可能投资于信用衍生品，信用衍生品投资可能面临流动性风险、偿付风险以及价格波动风险。 </w:t>
      </w:r>
    </w:p>
    <w:p w14:paraId="7DE17514">
      <w:pPr>
        <w:pStyle w:val="8"/>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2B6468E2">
      <w:pPr>
        <w:pStyle w:val="8"/>
        <w:spacing w:before="0" w:beforeAutospacing="0" w:after="0" w:afterAutospacing="0" w:line="360" w:lineRule="auto"/>
        <w:ind w:firstLine="420"/>
        <w:rPr>
          <w:sz w:val="21"/>
          <w:szCs w:val="21"/>
        </w:rPr>
      </w:pPr>
      <w:r>
        <w:rPr>
          <w:rFonts w:hint="eastAsia"/>
          <w:sz w:val="21"/>
          <w:szCs w:val="21"/>
        </w:rPr>
        <w:t xml:space="preserve">7、本基金的投资组合比例为：本基金投资组合中股票（含存托凭证）资产投资比例占基金资产的60%-95%；港股通标的股票的投资比例为股票资产的0%-50%；每个交易日日终在扣除股指期货合约、股票期权合约、国债期货合约所需缴纳的交易保证金后，现金或到期日在一年以内的政府债券不低于基金资产净值的5%。前述现金不包括结算备付金、存出保证金、应收申购款等。 </w:t>
      </w:r>
    </w:p>
    <w:p w14:paraId="6D2CEFF7">
      <w:pPr>
        <w:pStyle w:val="8"/>
        <w:spacing w:before="0" w:beforeAutospacing="0" w:after="0" w:afterAutospacing="0" w:line="360" w:lineRule="auto"/>
        <w:ind w:firstLine="420"/>
        <w:rPr>
          <w:sz w:val="21"/>
          <w:szCs w:val="21"/>
        </w:rPr>
      </w:pPr>
      <w:r>
        <w:rPr>
          <w:rFonts w:hint="eastAsia"/>
          <w:sz w:val="21"/>
          <w:szCs w:val="21"/>
        </w:rPr>
        <w:t xml:space="preserve">8、当本基金持有特定资产且存在或潜在大额赎回申请时，基金管理人履行相应程序后，可以启用侧袋机制，具体详见基金合同和本招募说明书“侧袋机制”等有关章节。侧袋机制实施期间，基金管理人将对基金简称进行特殊标识，投资者不得办理侧袋账户份额的申购赎回等业务。请基金份额持有人仔细阅读相关内容并关注本基金启用侧袋机制时的特定风险。 </w:t>
      </w:r>
    </w:p>
    <w:p w14:paraId="10728860">
      <w:pPr>
        <w:pStyle w:val="8"/>
        <w:spacing w:before="0" w:beforeAutospacing="0" w:after="0" w:afterAutospacing="0" w:line="360" w:lineRule="auto"/>
        <w:ind w:firstLine="420"/>
        <w:rPr>
          <w:sz w:val="21"/>
          <w:szCs w:val="21"/>
        </w:rPr>
      </w:pPr>
      <w:r>
        <w:rPr>
          <w:rFonts w:hint="eastAsia"/>
          <w:sz w:val="21"/>
          <w:szCs w:val="21"/>
        </w:rPr>
        <w:t xml:space="preserve">9、本基金发售面值为人民币1.00元。在市场波动因素影响下，本基金净值可能低于初始面值，本基金投资者有可能出现亏损。 </w:t>
      </w:r>
    </w:p>
    <w:p w14:paraId="5DBAFE52">
      <w:pPr>
        <w:pStyle w:val="8"/>
        <w:spacing w:before="0" w:beforeAutospacing="0" w:after="0" w:afterAutospacing="0" w:line="360" w:lineRule="auto"/>
        <w:ind w:firstLine="420"/>
        <w:rPr>
          <w:sz w:val="21"/>
          <w:szCs w:val="21"/>
        </w:rPr>
      </w:pPr>
      <w:r>
        <w:rPr>
          <w:rFonts w:hint="eastAsia"/>
          <w:sz w:val="21"/>
          <w:szCs w:val="21"/>
        </w:rPr>
        <w:t xml:space="preserve">10、基金的过往业绩并不预示其未来表现，基金管理人管理的其他基金的业绩也不构成对本基金业绩表现的保证。 </w:t>
      </w:r>
    </w:p>
    <w:p w14:paraId="09C7927E">
      <w:pPr>
        <w:pStyle w:val="8"/>
        <w:spacing w:before="0" w:beforeAutospacing="0" w:after="0" w:afterAutospacing="0" w:line="360" w:lineRule="auto"/>
        <w:ind w:firstLine="420"/>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14:paraId="663F2B03">
      <w:pPr>
        <w:pStyle w:val="8"/>
        <w:spacing w:before="0" w:beforeAutospacing="0" w:after="0" w:afterAutospacing="0" w:line="360" w:lineRule="auto"/>
        <w:ind w:firstLine="420"/>
        <w:rPr>
          <w:sz w:val="21"/>
          <w:szCs w:val="21"/>
        </w:rPr>
      </w:pPr>
      <w:r>
        <w:rPr>
          <w:rFonts w:hint="eastAsia"/>
          <w:sz w:val="21"/>
          <w:szCs w:val="21"/>
        </w:rPr>
        <w:t>本招募说明书（更新）所载内容截止日</w:t>
      </w:r>
      <w:bookmarkStart w:id="3" w:name="field_2343_infoendday_1"/>
      <w:r>
        <w:rPr>
          <w:sz w:val="21"/>
          <w:szCs w:val="21"/>
        </w:rPr>
        <w:t>202</w:t>
      </w:r>
      <w:r>
        <w:rPr>
          <w:rFonts w:hint="eastAsia"/>
          <w:sz w:val="21"/>
          <w:szCs w:val="21"/>
        </w:rPr>
        <w:t>6</w:t>
      </w:r>
      <w:r>
        <w:rPr>
          <w:sz w:val="21"/>
          <w:szCs w:val="21"/>
        </w:rPr>
        <w:t>年</w:t>
      </w:r>
      <w:r>
        <w:rPr>
          <w:rFonts w:hint="eastAsia"/>
          <w:sz w:val="21"/>
          <w:szCs w:val="21"/>
        </w:rPr>
        <w:t>7</w:t>
      </w:r>
      <w:r>
        <w:rPr>
          <w:sz w:val="21"/>
          <w:szCs w:val="21"/>
        </w:rPr>
        <w:t>月</w:t>
      </w:r>
      <w:r>
        <w:rPr>
          <w:rFonts w:hint="eastAsia"/>
          <w:sz w:val="21"/>
          <w:szCs w:val="21"/>
          <w:lang w:val="en-US" w:eastAsia="zh-CN"/>
        </w:rPr>
        <w:t>15</w:t>
      </w:r>
      <w:r>
        <w:rPr>
          <w:sz w:val="21"/>
          <w:szCs w:val="21"/>
        </w:rPr>
        <w:t>日</w:t>
      </w:r>
      <w:bookmarkEnd w:id="3"/>
      <w:r>
        <w:rPr>
          <w:rFonts w:hint="eastAsia"/>
          <w:sz w:val="21"/>
          <w:szCs w:val="21"/>
        </w:rPr>
        <w:t>，有关财务数据和净值表现截止日为</w:t>
      </w:r>
      <w:bookmarkStart w:id="4" w:name="field_2343_financeendday_1"/>
      <w:r>
        <w:rPr>
          <w:sz w:val="21"/>
          <w:szCs w:val="21"/>
        </w:rPr>
        <w:t>2025年9月30日</w:t>
      </w:r>
      <w:bookmarkEnd w:id="4"/>
      <w:r>
        <w:rPr>
          <w:rFonts w:hint="eastAsia"/>
          <w:sz w:val="21"/>
          <w:szCs w:val="21"/>
        </w:rPr>
        <w:t xml:space="preserve">（财务数据未经审计）。 </w:t>
      </w:r>
      <w:r>
        <w:rPr>
          <w:sz w:val="30"/>
        </w:rPr>
        <w:br w:type="page"/>
      </w:r>
    </w:p>
    <w:p w14:paraId="2754BB98">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1989F073">
      <w:pPr>
        <w:pStyle w:val="7"/>
        <w:tabs>
          <w:tab w:val="right" w:leader="dot" w:pos="8290"/>
        </w:tabs>
        <w:spacing w:line="360" w:lineRule="auto"/>
        <w:rPr>
          <w:rFonts w:ascii="宋体" w:hAnsi="宋体" w:eastAsia="宋体"/>
        </w:rPr>
      </w:pPr>
      <w:r>
        <w:fldChar w:fldCharType="begin"/>
      </w:r>
      <w:r>
        <w:instrText xml:space="preserve"> HYPERLINK \l "_Toc213857114"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_Toc213857114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607C3AD3">
      <w:pPr>
        <w:pStyle w:val="7"/>
        <w:tabs>
          <w:tab w:val="right" w:leader="dot" w:pos="8290"/>
        </w:tabs>
        <w:spacing w:line="360" w:lineRule="auto"/>
        <w:rPr>
          <w:rFonts w:ascii="宋体" w:hAnsi="宋体" w:eastAsia="宋体"/>
        </w:rPr>
      </w:pPr>
      <w:r>
        <w:fldChar w:fldCharType="begin"/>
      </w:r>
      <w:r>
        <w:instrText xml:space="preserve"> HYPERLINK \l "_Toc213857115" </w:instrText>
      </w:r>
      <w:r>
        <w:fldChar w:fldCharType="separate"/>
      </w:r>
      <w:r>
        <w:rPr>
          <w:rStyle w:val="13"/>
          <w:rFonts w:hint="eastAsia" w:ascii="宋体" w:hAnsi="宋体" w:eastAsia="宋体"/>
          <w:u w:val="none"/>
        </w:rPr>
        <w:t>第一部分</w:t>
      </w:r>
      <w:r>
        <w:rPr>
          <w:rStyle w:val="13"/>
          <w:rFonts w:ascii="宋体" w:hAnsi="宋体" w:eastAsia="宋体"/>
          <w:u w:val="none"/>
        </w:rPr>
        <w:t xml:space="preserve">  </w:t>
      </w:r>
      <w:r>
        <w:rPr>
          <w:rStyle w:val="13"/>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_Toc213857115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38039ECD">
      <w:pPr>
        <w:pStyle w:val="7"/>
        <w:tabs>
          <w:tab w:val="right" w:leader="dot" w:pos="8290"/>
        </w:tabs>
        <w:spacing w:line="360" w:lineRule="auto"/>
        <w:rPr>
          <w:rFonts w:ascii="宋体" w:hAnsi="宋体" w:eastAsia="宋体"/>
        </w:rPr>
      </w:pPr>
      <w:r>
        <w:fldChar w:fldCharType="begin"/>
      </w:r>
      <w:r>
        <w:instrText xml:space="preserve"> HYPERLINK \l "_Toc213857116" </w:instrText>
      </w:r>
      <w:r>
        <w:fldChar w:fldCharType="separate"/>
      </w:r>
      <w:r>
        <w:rPr>
          <w:rStyle w:val="13"/>
          <w:rFonts w:hint="eastAsia" w:ascii="宋体" w:hAnsi="宋体" w:eastAsia="宋体"/>
          <w:u w:val="none"/>
        </w:rPr>
        <w:t>第二部分</w:t>
      </w:r>
      <w:r>
        <w:rPr>
          <w:rStyle w:val="13"/>
          <w:rFonts w:ascii="宋体" w:hAnsi="宋体" w:eastAsia="宋体"/>
          <w:u w:val="none"/>
        </w:rPr>
        <w:t xml:space="preserve">  </w:t>
      </w:r>
      <w:r>
        <w:rPr>
          <w:rStyle w:val="13"/>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_Toc213857116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72A15962">
      <w:pPr>
        <w:pStyle w:val="7"/>
        <w:tabs>
          <w:tab w:val="right" w:leader="dot" w:pos="8290"/>
        </w:tabs>
        <w:spacing w:line="360" w:lineRule="auto"/>
        <w:rPr>
          <w:rFonts w:ascii="宋体" w:hAnsi="宋体" w:eastAsia="宋体"/>
        </w:rPr>
      </w:pPr>
      <w:r>
        <w:fldChar w:fldCharType="begin"/>
      </w:r>
      <w:r>
        <w:instrText xml:space="preserve"> HYPERLINK \l "_Toc213857117" </w:instrText>
      </w:r>
      <w:r>
        <w:fldChar w:fldCharType="separate"/>
      </w:r>
      <w:r>
        <w:rPr>
          <w:rStyle w:val="13"/>
          <w:rFonts w:hint="eastAsia" w:ascii="宋体" w:hAnsi="宋体" w:eastAsia="宋体"/>
          <w:u w:val="none"/>
        </w:rPr>
        <w:t>第三部分</w:t>
      </w:r>
      <w:r>
        <w:rPr>
          <w:rStyle w:val="13"/>
          <w:rFonts w:ascii="宋体" w:hAnsi="宋体" w:eastAsia="宋体"/>
          <w:u w:val="none"/>
        </w:rPr>
        <w:t xml:space="preserve">  </w:t>
      </w:r>
      <w:r>
        <w:rPr>
          <w:rStyle w:val="13"/>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_Toc213857117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6DBA89BE">
      <w:pPr>
        <w:pStyle w:val="7"/>
        <w:tabs>
          <w:tab w:val="right" w:leader="dot" w:pos="8290"/>
        </w:tabs>
        <w:spacing w:line="360" w:lineRule="auto"/>
        <w:rPr>
          <w:rFonts w:ascii="宋体" w:hAnsi="宋体" w:eastAsia="宋体"/>
        </w:rPr>
      </w:pPr>
      <w:r>
        <w:fldChar w:fldCharType="begin"/>
      </w:r>
      <w:r>
        <w:instrText xml:space="preserve"> HYPERLINK \l "_Toc213857118" </w:instrText>
      </w:r>
      <w:r>
        <w:fldChar w:fldCharType="separate"/>
      </w:r>
      <w:r>
        <w:rPr>
          <w:rStyle w:val="13"/>
          <w:rFonts w:hint="eastAsia" w:ascii="宋体" w:hAnsi="宋体" w:eastAsia="宋体"/>
          <w:u w:val="none"/>
        </w:rPr>
        <w:t>第四部分</w:t>
      </w:r>
      <w:r>
        <w:rPr>
          <w:rStyle w:val="13"/>
          <w:rFonts w:ascii="宋体" w:hAnsi="宋体" w:eastAsia="宋体"/>
          <w:u w:val="none"/>
        </w:rPr>
        <w:t xml:space="preserve">  </w:t>
      </w:r>
      <w:r>
        <w:rPr>
          <w:rStyle w:val="13"/>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_Toc213857118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14:paraId="610D4FF2">
      <w:pPr>
        <w:pStyle w:val="7"/>
        <w:tabs>
          <w:tab w:val="right" w:leader="dot" w:pos="8290"/>
        </w:tabs>
        <w:spacing w:line="360" w:lineRule="auto"/>
        <w:rPr>
          <w:rFonts w:ascii="宋体" w:hAnsi="宋体" w:eastAsia="宋体"/>
        </w:rPr>
      </w:pPr>
      <w:r>
        <w:fldChar w:fldCharType="begin"/>
      </w:r>
      <w:r>
        <w:instrText xml:space="preserve"> HYPERLINK \l "_Toc213857119" </w:instrText>
      </w:r>
      <w:r>
        <w:fldChar w:fldCharType="separate"/>
      </w:r>
      <w:r>
        <w:rPr>
          <w:rStyle w:val="13"/>
          <w:rFonts w:hint="eastAsia" w:ascii="宋体" w:hAnsi="宋体" w:eastAsia="宋体"/>
          <w:u w:val="none"/>
        </w:rPr>
        <w:t>第五部分</w:t>
      </w:r>
      <w:r>
        <w:rPr>
          <w:rStyle w:val="13"/>
          <w:rFonts w:ascii="宋体" w:hAnsi="宋体" w:eastAsia="宋体"/>
          <w:u w:val="none"/>
        </w:rPr>
        <w:t xml:space="preserve">  </w:t>
      </w:r>
      <w:r>
        <w:rPr>
          <w:rStyle w:val="13"/>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_Toc213857119 \h </w:instrText>
      </w:r>
      <w:r>
        <w:rPr>
          <w:rFonts w:ascii="宋体" w:hAnsi="宋体" w:eastAsia="宋体"/>
        </w:rPr>
        <w:fldChar w:fldCharType="separate"/>
      </w:r>
      <w:r>
        <w:rPr>
          <w:rFonts w:ascii="宋体" w:hAnsi="宋体" w:eastAsia="宋体"/>
        </w:rPr>
        <w:t>29</w:t>
      </w:r>
      <w:r>
        <w:rPr>
          <w:rFonts w:ascii="宋体" w:hAnsi="宋体" w:eastAsia="宋体"/>
        </w:rPr>
        <w:fldChar w:fldCharType="end"/>
      </w:r>
      <w:r>
        <w:rPr>
          <w:rFonts w:ascii="宋体" w:hAnsi="宋体" w:eastAsia="宋体"/>
        </w:rPr>
        <w:fldChar w:fldCharType="end"/>
      </w:r>
    </w:p>
    <w:p w14:paraId="6D8CD48D">
      <w:pPr>
        <w:pStyle w:val="7"/>
        <w:tabs>
          <w:tab w:val="right" w:leader="dot" w:pos="8290"/>
        </w:tabs>
        <w:spacing w:line="360" w:lineRule="auto"/>
        <w:rPr>
          <w:rFonts w:ascii="宋体" w:hAnsi="宋体" w:eastAsia="宋体"/>
        </w:rPr>
      </w:pPr>
      <w:r>
        <w:fldChar w:fldCharType="begin"/>
      </w:r>
      <w:r>
        <w:instrText xml:space="preserve"> HYPERLINK \l "_Toc213857120" </w:instrText>
      </w:r>
      <w:r>
        <w:fldChar w:fldCharType="separate"/>
      </w:r>
      <w:r>
        <w:rPr>
          <w:rStyle w:val="13"/>
          <w:rFonts w:hint="eastAsia" w:ascii="宋体" w:hAnsi="宋体" w:eastAsia="宋体"/>
          <w:u w:val="none"/>
        </w:rPr>
        <w:t>第六部分</w:t>
      </w:r>
      <w:r>
        <w:rPr>
          <w:rStyle w:val="13"/>
          <w:rFonts w:ascii="宋体" w:hAnsi="宋体" w:eastAsia="宋体"/>
          <w:u w:val="none"/>
        </w:rPr>
        <w:t xml:space="preserve"> </w:t>
      </w:r>
      <w:r>
        <w:rPr>
          <w:rStyle w:val="13"/>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_Toc213857120 \h </w:instrText>
      </w:r>
      <w:r>
        <w:rPr>
          <w:rFonts w:ascii="宋体" w:hAnsi="宋体" w:eastAsia="宋体"/>
        </w:rPr>
        <w:fldChar w:fldCharType="separate"/>
      </w:r>
      <w:r>
        <w:rPr>
          <w:rFonts w:ascii="宋体" w:hAnsi="宋体" w:eastAsia="宋体"/>
        </w:rPr>
        <w:t>33</w:t>
      </w:r>
      <w:r>
        <w:rPr>
          <w:rFonts w:ascii="宋体" w:hAnsi="宋体" w:eastAsia="宋体"/>
        </w:rPr>
        <w:fldChar w:fldCharType="end"/>
      </w:r>
      <w:r>
        <w:rPr>
          <w:rFonts w:ascii="宋体" w:hAnsi="宋体" w:eastAsia="宋体"/>
        </w:rPr>
        <w:fldChar w:fldCharType="end"/>
      </w:r>
    </w:p>
    <w:p w14:paraId="521830BC">
      <w:pPr>
        <w:pStyle w:val="7"/>
        <w:tabs>
          <w:tab w:val="right" w:leader="dot" w:pos="8290"/>
        </w:tabs>
        <w:spacing w:line="360" w:lineRule="auto"/>
        <w:rPr>
          <w:rFonts w:ascii="宋体" w:hAnsi="宋体" w:eastAsia="宋体"/>
        </w:rPr>
      </w:pPr>
      <w:r>
        <w:fldChar w:fldCharType="begin"/>
      </w:r>
      <w:r>
        <w:instrText xml:space="preserve"> HYPERLINK \l "_Toc213857121" </w:instrText>
      </w:r>
      <w:r>
        <w:fldChar w:fldCharType="separate"/>
      </w:r>
      <w:r>
        <w:rPr>
          <w:rStyle w:val="13"/>
          <w:rFonts w:hint="eastAsia" w:ascii="宋体" w:hAnsi="宋体" w:eastAsia="宋体"/>
          <w:u w:val="none"/>
        </w:rPr>
        <w:t>第七部分</w:t>
      </w:r>
      <w:r>
        <w:rPr>
          <w:rStyle w:val="13"/>
          <w:rFonts w:ascii="宋体" w:hAnsi="宋体" w:eastAsia="宋体"/>
          <w:u w:val="none"/>
        </w:rPr>
        <w:t xml:space="preserve">  </w:t>
      </w:r>
      <w:r>
        <w:rPr>
          <w:rStyle w:val="13"/>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_Toc213857121 \h </w:instrText>
      </w:r>
      <w:r>
        <w:rPr>
          <w:rFonts w:ascii="宋体" w:hAnsi="宋体" w:eastAsia="宋体"/>
        </w:rPr>
        <w:fldChar w:fldCharType="separate"/>
      </w:r>
      <w:r>
        <w:rPr>
          <w:rFonts w:ascii="宋体" w:hAnsi="宋体" w:eastAsia="宋体"/>
        </w:rPr>
        <w:t>34</w:t>
      </w:r>
      <w:r>
        <w:rPr>
          <w:rFonts w:ascii="宋体" w:hAnsi="宋体" w:eastAsia="宋体"/>
        </w:rPr>
        <w:fldChar w:fldCharType="end"/>
      </w:r>
      <w:r>
        <w:rPr>
          <w:rFonts w:ascii="宋体" w:hAnsi="宋体" w:eastAsia="宋体"/>
        </w:rPr>
        <w:fldChar w:fldCharType="end"/>
      </w:r>
    </w:p>
    <w:p w14:paraId="1848D7EC">
      <w:pPr>
        <w:pStyle w:val="7"/>
        <w:tabs>
          <w:tab w:val="right" w:leader="dot" w:pos="8290"/>
        </w:tabs>
        <w:spacing w:line="360" w:lineRule="auto"/>
        <w:rPr>
          <w:rFonts w:ascii="宋体" w:hAnsi="宋体" w:eastAsia="宋体"/>
        </w:rPr>
      </w:pPr>
      <w:r>
        <w:fldChar w:fldCharType="begin"/>
      </w:r>
      <w:r>
        <w:instrText xml:space="preserve"> HYPERLINK \l "_Toc213857122" </w:instrText>
      </w:r>
      <w:r>
        <w:fldChar w:fldCharType="separate"/>
      </w:r>
      <w:r>
        <w:rPr>
          <w:rStyle w:val="13"/>
          <w:rFonts w:hint="eastAsia" w:ascii="宋体" w:hAnsi="宋体" w:eastAsia="宋体"/>
          <w:u w:val="none"/>
        </w:rPr>
        <w:t>第八部分</w:t>
      </w:r>
      <w:r>
        <w:rPr>
          <w:rStyle w:val="13"/>
          <w:rFonts w:ascii="宋体" w:hAnsi="宋体" w:eastAsia="宋体"/>
          <w:u w:val="none"/>
        </w:rPr>
        <w:t xml:space="preserve">  </w:t>
      </w:r>
      <w:r>
        <w:rPr>
          <w:rStyle w:val="13"/>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_Toc213857122 \h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fldChar w:fldCharType="end"/>
      </w:r>
    </w:p>
    <w:p w14:paraId="6B85F5AA">
      <w:pPr>
        <w:pStyle w:val="7"/>
        <w:tabs>
          <w:tab w:val="right" w:leader="dot" w:pos="8290"/>
        </w:tabs>
        <w:spacing w:line="360" w:lineRule="auto"/>
        <w:rPr>
          <w:rFonts w:ascii="宋体" w:hAnsi="宋体" w:eastAsia="宋体"/>
        </w:rPr>
      </w:pPr>
      <w:r>
        <w:fldChar w:fldCharType="begin"/>
      </w:r>
      <w:r>
        <w:instrText xml:space="preserve"> HYPERLINK \l "_Toc213857123" </w:instrText>
      </w:r>
      <w:r>
        <w:fldChar w:fldCharType="separate"/>
      </w:r>
      <w:r>
        <w:rPr>
          <w:rStyle w:val="13"/>
          <w:rFonts w:hint="eastAsia" w:ascii="宋体" w:hAnsi="宋体" w:eastAsia="宋体"/>
          <w:u w:val="none"/>
        </w:rPr>
        <w:t>第九部分</w:t>
      </w:r>
      <w:r>
        <w:rPr>
          <w:rStyle w:val="13"/>
          <w:rFonts w:ascii="宋体" w:hAnsi="宋体" w:eastAsia="宋体"/>
          <w:u w:val="none"/>
        </w:rPr>
        <w:t xml:space="preserve"> </w:t>
      </w:r>
      <w:r>
        <w:rPr>
          <w:rStyle w:val="13"/>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_Toc213857123 \h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fldChar w:fldCharType="end"/>
      </w:r>
    </w:p>
    <w:p w14:paraId="2DB291F0">
      <w:pPr>
        <w:pStyle w:val="7"/>
        <w:tabs>
          <w:tab w:val="right" w:leader="dot" w:pos="8290"/>
        </w:tabs>
        <w:spacing w:line="360" w:lineRule="auto"/>
        <w:rPr>
          <w:rFonts w:ascii="宋体" w:hAnsi="宋体" w:eastAsia="宋体"/>
        </w:rPr>
      </w:pPr>
      <w:r>
        <w:fldChar w:fldCharType="begin"/>
      </w:r>
      <w:r>
        <w:instrText xml:space="preserve"> HYPERLINK \l "_Toc213857124" </w:instrText>
      </w:r>
      <w:r>
        <w:fldChar w:fldCharType="separate"/>
      </w:r>
      <w:r>
        <w:rPr>
          <w:rStyle w:val="13"/>
          <w:rFonts w:hint="eastAsia" w:ascii="宋体" w:hAnsi="宋体" w:eastAsia="宋体"/>
          <w:u w:val="none"/>
        </w:rPr>
        <w:t>第十部分</w:t>
      </w:r>
      <w:r>
        <w:rPr>
          <w:rStyle w:val="13"/>
          <w:rFonts w:ascii="宋体" w:hAnsi="宋体" w:eastAsia="宋体"/>
          <w:u w:val="none"/>
        </w:rPr>
        <w:t xml:space="preserve">  </w:t>
      </w:r>
      <w:r>
        <w:rPr>
          <w:rStyle w:val="13"/>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_Toc213857124 \h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fldChar w:fldCharType="end"/>
      </w:r>
    </w:p>
    <w:p w14:paraId="60710803">
      <w:pPr>
        <w:pStyle w:val="7"/>
        <w:tabs>
          <w:tab w:val="right" w:leader="dot" w:pos="8290"/>
        </w:tabs>
        <w:spacing w:line="360" w:lineRule="auto"/>
        <w:rPr>
          <w:rFonts w:ascii="宋体" w:hAnsi="宋体" w:eastAsia="宋体"/>
        </w:rPr>
      </w:pPr>
      <w:r>
        <w:fldChar w:fldCharType="begin"/>
      </w:r>
      <w:r>
        <w:instrText xml:space="preserve"> HYPERLINK \l "_Toc213857125" </w:instrText>
      </w:r>
      <w:r>
        <w:fldChar w:fldCharType="separate"/>
      </w:r>
      <w:r>
        <w:rPr>
          <w:rStyle w:val="13"/>
          <w:rFonts w:hint="eastAsia" w:ascii="宋体" w:hAnsi="宋体" w:eastAsia="宋体"/>
          <w:u w:val="none"/>
        </w:rPr>
        <w:t>第十一部分</w:t>
      </w:r>
      <w:r>
        <w:rPr>
          <w:rStyle w:val="13"/>
          <w:rFonts w:ascii="宋体" w:hAnsi="宋体" w:eastAsia="宋体"/>
          <w:u w:val="none"/>
        </w:rPr>
        <w:t xml:space="preserve">  </w:t>
      </w:r>
      <w:r>
        <w:rPr>
          <w:rStyle w:val="13"/>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_Toc213857125 \h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fldChar w:fldCharType="end"/>
      </w:r>
    </w:p>
    <w:p w14:paraId="0A089AE1">
      <w:pPr>
        <w:pStyle w:val="7"/>
        <w:tabs>
          <w:tab w:val="right" w:leader="dot" w:pos="8290"/>
        </w:tabs>
        <w:spacing w:line="360" w:lineRule="auto"/>
        <w:rPr>
          <w:rFonts w:ascii="宋体" w:hAnsi="宋体" w:eastAsia="宋体"/>
        </w:rPr>
      </w:pPr>
      <w:r>
        <w:fldChar w:fldCharType="begin"/>
      </w:r>
      <w:r>
        <w:instrText xml:space="preserve"> HYPERLINK \l "_Toc213857126" </w:instrText>
      </w:r>
      <w:r>
        <w:fldChar w:fldCharType="separate"/>
      </w:r>
      <w:r>
        <w:rPr>
          <w:rStyle w:val="13"/>
          <w:rFonts w:hint="eastAsia" w:ascii="宋体" w:hAnsi="宋体" w:eastAsia="宋体"/>
          <w:u w:val="none"/>
        </w:rPr>
        <w:t>第十二部分</w:t>
      </w:r>
      <w:r>
        <w:rPr>
          <w:rStyle w:val="13"/>
          <w:rFonts w:ascii="宋体" w:hAnsi="宋体" w:eastAsia="宋体"/>
          <w:u w:val="none"/>
        </w:rPr>
        <w:t xml:space="preserve">  </w:t>
      </w:r>
      <w:r>
        <w:rPr>
          <w:rStyle w:val="13"/>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_Toc213857126 \h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fldChar w:fldCharType="end"/>
      </w:r>
    </w:p>
    <w:p w14:paraId="15A2BD00">
      <w:pPr>
        <w:pStyle w:val="7"/>
        <w:tabs>
          <w:tab w:val="right" w:leader="dot" w:pos="8290"/>
        </w:tabs>
        <w:spacing w:line="360" w:lineRule="auto"/>
        <w:rPr>
          <w:rFonts w:ascii="宋体" w:hAnsi="宋体" w:eastAsia="宋体"/>
        </w:rPr>
      </w:pPr>
      <w:r>
        <w:fldChar w:fldCharType="begin"/>
      </w:r>
      <w:r>
        <w:instrText xml:space="preserve"> HYPERLINK \l "_Toc213857127" </w:instrText>
      </w:r>
      <w:r>
        <w:fldChar w:fldCharType="separate"/>
      </w:r>
      <w:r>
        <w:rPr>
          <w:rStyle w:val="13"/>
          <w:rFonts w:hint="eastAsia" w:ascii="宋体" w:hAnsi="宋体" w:eastAsia="宋体"/>
          <w:u w:val="none"/>
        </w:rPr>
        <w:t>第十三部分</w:t>
      </w:r>
      <w:r>
        <w:rPr>
          <w:rStyle w:val="13"/>
          <w:rFonts w:ascii="宋体" w:hAnsi="宋体" w:eastAsia="宋体"/>
          <w:u w:val="none"/>
        </w:rPr>
        <w:t xml:space="preserve">  </w:t>
      </w:r>
      <w:r>
        <w:rPr>
          <w:rStyle w:val="13"/>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_Toc213857127 \h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fldChar w:fldCharType="end"/>
      </w:r>
    </w:p>
    <w:p w14:paraId="54D77B5B">
      <w:pPr>
        <w:pStyle w:val="7"/>
        <w:tabs>
          <w:tab w:val="right" w:leader="dot" w:pos="8290"/>
        </w:tabs>
        <w:spacing w:line="360" w:lineRule="auto"/>
        <w:rPr>
          <w:rFonts w:ascii="宋体" w:hAnsi="宋体" w:eastAsia="宋体"/>
        </w:rPr>
      </w:pPr>
      <w:r>
        <w:fldChar w:fldCharType="begin"/>
      </w:r>
      <w:r>
        <w:instrText xml:space="preserve"> HYPERLINK \l "_Toc213857128" </w:instrText>
      </w:r>
      <w:r>
        <w:fldChar w:fldCharType="separate"/>
      </w:r>
      <w:r>
        <w:rPr>
          <w:rStyle w:val="13"/>
          <w:rFonts w:hint="eastAsia" w:ascii="宋体" w:hAnsi="宋体" w:eastAsia="宋体"/>
          <w:u w:val="none"/>
        </w:rPr>
        <w:t>第十四部分</w:t>
      </w:r>
      <w:r>
        <w:rPr>
          <w:rStyle w:val="13"/>
          <w:rFonts w:ascii="宋体" w:hAnsi="宋体" w:eastAsia="宋体"/>
          <w:u w:val="none"/>
        </w:rPr>
        <w:t xml:space="preserve">  </w:t>
      </w:r>
      <w:r>
        <w:rPr>
          <w:rStyle w:val="13"/>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_Toc213857128 \h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fldChar w:fldCharType="end"/>
      </w:r>
    </w:p>
    <w:p w14:paraId="7D9674ED">
      <w:pPr>
        <w:pStyle w:val="7"/>
        <w:tabs>
          <w:tab w:val="right" w:leader="dot" w:pos="8290"/>
        </w:tabs>
        <w:spacing w:line="360" w:lineRule="auto"/>
        <w:rPr>
          <w:rFonts w:ascii="宋体" w:hAnsi="宋体" w:eastAsia="宋体"/>
        </w:rPr>
      </w:pPr>
      <w:r>
        <w:fldChar w:fldCharType="begin"/>
      </w:r>
      <w:r>
        <w:instrText xml:space="preserve"> HYPERLINK \l "_Toc213857129" </w:instrText>
      </w:r>
      <w:r>
        <w:fldChar w:fldCharType="separate"/>
      </w:r>
      <w:r>
        <w:rPr>
          <w:rStyle w:val="13"/>
          <w:rFonts w:hint="eastAsia" w:ascii="宋体" w:hAnsi="宋体" w:eastAsia="宋体"/>
          <w:u w:val="none"/>
        </w:rPr>
        <w:t>第十五部分</w:t>
      </w:r>
      <w:r>
        <w:rPr>
          <w:rStyle w:val="13"/>
          <w:rFonts w:ascii="宋体" w:hAnsi="宋体" w:eastAsia="宋体"/>
          <w:u w:val="none"/>
        </w:rPr>
        <w:t xml:space="preserve">  </w:t>
      </w:r>
      <w:r>
        <w:rPr>
          <w:rStyle w:val="13"/>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_Toc213857129 \h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fldChar w:fldCharType="end"/>
      </w:r>
    </w:p>
    <w:p w14:paraId="7270F1CA">
      <w:pPr>
        <w:pStyle w:val="7"/>
        <w:tabs>
          <w:tab w:val="right" w:leader="dot" w:pos="8290"/>
        </w:tabs>
        <w:spacing w:line="360" w:lineRule="auto"/>
        <w:rPr>
          <w:rFonts w:ascii="宋体" w:hAnsi="宋体" w:eastAsia="宋体"/>
        </w:rPr>
      </w:pPr>
      <w:r>
        <w:fldChar w:fldCharType="begin"/>
      </w:r>
      <w:r>
        <w:instrText xml:space="preserve"> HYPERLINK \l "_Toc213857130" </w:instrText>
      </w:r>
      <w:r>
        <w:fldChar w:fldCharType="separate"/>
      </w:r>
      <w:r>
        <w:rPr>
          <w:rStyle w:val="13"/>
          <w:rFonts w:hint="eastAsia" w:ascii="宋体" w:hAnsi="宋体" w:eastAsia="宋体"/>
          <w:u w:val="none"/>
        </w:rPr>
        <w:t>第十六部分</w:t>
      </w:r>
      <w:r>
        <w:rPr>
          <w:rStyle w:val="13"/>
          <w:rFonts w:ascii="宋体" w:hAnsi="宋体" w:eastAsia="宋体"/>
          <w:u w:val="none"/>
        </w:rPr>
        <w:t xml:space="preserve"> </w:t>
      </w:r>
      <w:r>
        <w:rPr>
          <w:rStyle w:val="13"/>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_Toc213857130 \h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fldChar w:fldCharType="end"/>
      </w:r>
    </w:p>
    <w:p w14:paraId="1451CCB7">
      <w:pPr>
        <w:pStyle w:val="7"/>
        <w:tabs>
          <w:tab w:val="right" w:leader="dot" w:pos="8290"/>
        </w:tabs>
        <w:spacing w:line="360" w:lineRule="auto"/>
        <w:rPr>
          <w:rFonts w:ascii="宋体" w:hAnsi="宋体" w:eastAsia="宋体"/>
        </w:rPr>
      </w:pPr>
      <w:r>
        <w:fldChar w:fldCharType="begin"/>
      </w:r>
      <w:r>
        <w:instrText xml:space="preserve"> HYPERLINK \l "_Toc213857131" </w:instrText>
      </w:r>
      <w:r>
        <w:fldChar w:fldCharType="separate"/>
      </w:r>
      <w:r>
        <w:rPr>
          <w:rStyle w:val="13"/>
          <w:rFonts w:hint="eastAsia" w:ascii="宋体" w:hAnsi="宋体" w:eastAsia="宋体"/>
          <w:u w:val="none"/>
        </w:rPr>
        <w:t>第十七部分</w:t>
      </w:r>
      <w:r>
        <w:rPr>
          <w:rStyle w:val="13"/>
          <w:rFonts w:ascii="宋体" w:hAnsi="宋体" w:eastAsia="宋体"/>
          <w:u w:val="none"/>
        </w:rPr>
        <w:t xml:space="preserve">  </w:t>
      </w:r>
      <w:r>
        <w:rPr>
          <w:rStyle w:val="13"/>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_Toc213857131 \h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fldChar w:fldCharType="end"/>
      </w:r>
    </w:p>
    <w:p w14:paraId="03CB23EB">
      <w:pPr>
        <w:pStyle w:val="7"/>
        <w:tabs>
          <w:tab w:val="right" w:leader="dot" w:pos="8290"/>
        </w:tabs>
        <w:spacing w:line="360" w:lineRule="auto"/>
        <w:rPr>
          <w:rFonts w:ascii="宋体" w:hAnsi="宋体" w:eastAsia="宋体"/>
        </w:rPr>
      </w:pPr>
      <w:r>
        <w:fldChar w:fldCharType="begin"/>
      </w:r>
      <w:r>
        <w:instrText xml:space="preserve"> HYPERLINK \l "_Toc213857132" </w:instrText>
      </w:r>
      <w:r>
        <w:fldChar w:fldCharType="separate"/>
      </w:r>
      <w:r>
        <w:rPr>
          <w:rStyle w:val="13"/>
          <w:rFonts w:hint="eastAsia" w:ascii="宋体" w:hAnsi="宋体" w:eastAsia="宋体"/>
          <w:u w:val="none"/>
        </w:rPr>
        <w:t>第十八部分</w:t>
      </w:r>
      <w:r>
        <w:rPr>
          <w:rStyle w:val="13"/>
          <w:rFonts w:ascii="宋体" w:hAnsi="宋体" w:eastAsia="宋体"/>
          <w:u w:val="none"/>
        </w:rPr>
        <w:t xml:space="preserve">  </w:t>
      </w:r>
      <w:r>
        <w:rPr>
          <w:rStyle w:val="13"/>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_Toc213857132 \h </w:instrText>
      </w:r>
      <w:r>
        <w:rPr>
          <w:rFonts w:ascii="宋体" w:hAnsi="宋体" w:eastAsia="宋体"/>
        </w:rPr>
        <w:fldChar w:fldCharType="separate"/>
      </w:r>
      <w:r>
        <w:rPr>
          <w:rFonts w:ascii="宋体" w:hAnsi="宋体" w:eastAsia="宋体"/>
        </w:rPr>
        <w:t>94</w:t>
      </w:r>
      <w:r>
        <w:rPr>
          <w:rFonts w:ascii="宋体" w:hAnsi="宋体" w:eastAsia="宋体"/>
        </w:rPr>
        <w:fldChar w:fldCharType="end"/>
      </w:r>
      <w:r>
        <w:rPr>
          <w:rFonts w:ascii="宋体" w:hAnsi="宋体" w:eastAsia="宋体"/>
        </w:rPr>
        <w:fldChar w:fldCharType="end"/>
      </w:r>
    </w:p>
    <w:p w14:paraId="0B367E2A">
      <w:pPr>
        <w:pStyle w:val="7"/>
        <w:tabs>
          <w:tab w:val="right" w:leader="dot" w:pos="8290"/>
        </w:tabs>
        <w:spacing w:line="360" w:lineRule="auto"/>
        <w:rPr>
          <w:rFonts w:ascii="宋体" w:hAnsi="宋体" w:eastAsia="宋体"/>
        </w:rPr>
      </w:pPr>
      <w:r>
        <w:fldChar w:fldCharType="begin"/>
      </w:r>
      <w:r>
        <w:instrText xml:space="preserve"> HYPERLINK \l "_Toc213857133" </w:instrText>
      </w:r>
      <w:r>
        <w:fldChar w:fldCharType="separate"/>
      </w:r>
      <w:r>
        <w:rPr>
          <w:rStyle w:val="13"/>
          <w:rFonts w:hint="eastAsia" w:ascii="宋体" w:hAnsi="宋体" w:eastAsia="宋体"/>
          <w:u w:val="none"/>
        </w:rPr>
        <w:t>第十九部分</w:t>
      </w:r>
      <w:r>
        <w:rPr>
          <w:rStyle w:val="13"/>
          <w:rFonts w:ascii="宋体" w:hAnsi="宋体" w:eastAsia="宋体"/>
          <w:u w:val="none"/>
        </w:rPr>
        <w:t xml:space="preserve">  </w:t>
      </w:r>
      <w:r>
        <w:rPr>
          <w:rStyle w:val="13"/>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_Toc213857133 \h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fldChar w:fldCharType="end"/>
      </w:r>
    </w:p>
    <w:p w14:paraId="6906D595">
      <w:pPr>
        <w:pStyle w:val="7"/>
        <w:tabs>
          <w:tab w:val="right" w:leader="dot" w:pos="8290"/>
        </w:tabs>
        <w:spacing w:line="360" w:lineRule="auto"/>
        <w:rPr>
          <w:rFonts w:ascii="宋体" w:hAnsi="宋体" w:eastAsia="宋体"/>
        </w:rPr>
      </w:pPr>
      <w:r>
        <w:fldChar w:fldCharType="begin"/>
      </w:r>
      <w:r>
        <w:instrText xml:space="preserve"> HYPERLINK \l "_Toc213857134" </w:instrText>
      </w:r>
      <w:r>
        <w:fldChar w:fldCharType="separate"/>
      </w:r>
      <w:r>
        <w:rPr>
          <w:rStyle w:val="13"/>
          <w:rFonts w:hint="eastAsia" w:ascii="宋体" w:hAnsi="宋体" w:eastAsia="宋体"/>
          <w:u w:val="none"/>
        </w:rPr>
        <w:t>第二十部分</w:t>
      </w:r>
      <w:r>
        <w:rPr>
          <w:rStyle w:val="13"/>
          <w:rFonts w:ascii="宋体" w:hAnsi="宋体" w:eastAsia="宋体"/>
          <w:u w:val="none"/>
        </w:rPr>
        <w:t xml:space="preserve">  </w:t>
      </w:r>
      <w:r>
        <w:rPr>
          <w:rStyle w:val="13"/>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_Toc213857134 \h </w:instrText>
      </w:r>
      <w:r>
        <w:rPr>
          <w:rFonts w:ascii="宋体" w:hAnsi="宋体" w:eastAsia="宋体"/>
        </w:rPr>
        <w:fldChar w:fldCharType="separate"/>
      </w:r>
      <w:r>
        <w:rPr>
          <w:rFonts w:ascii="宋体" w:hAnsi="宋体" w:eastAsia="宋体"/>
        </w:rPr>
        <w:t>113</w:t>
      </w:r>
      <w:r>
        <w:rPr>
          <w:rFonts w:ascii="宋体" w:hAnsi="宋体" w:eastAsia="宋体"/>
        </w:rPr>
        <w:fldChar w:fldCharType="end"/>
      </w:r>
      <w:r>
        <w:rPr>
          <w:rFonts w:ascii="宋体" w:hAnsi="宋体" w:eastAsia="宋体"/>
        </w:rPr>
        <w:fldChar w:fldCharType="end"/>
      </w:r>
    </w:p>
    <w:p w14:paraId="5930395F">
      <w:pPr>
        <w:pStyle w:val="7"/>
        <w:tabs>
          <w:tab w:val="right" w:leader="dot" w:pos="8290"/>
        </w:tabs>
        <w:spacing w:line="360" w:lineRule="auto"/>
        <w:rPr>
          <w:rFonts w:ascii="宋体" w:hAnsi="宋体" w:eastAsia="宋体"/>
        </w:rPr>
      </w:pPr>
      <w:r>
        <w:fldChar w:fldCharType="begin"/>
      </w:r>
      <w:r>
        <w:instrText xml:space="preserve"> HYPERLINK \l "_Toc213857135" </w:instrText>
      </w:r>
      <w:r>
        <w:fldChar w:fldCharType="separate"/>
      </w:r>
      <w:r>
        <w:rPr>
          <w:rStyle w:val="13"/>
          <w:rFonts w:hint="eastAsia" w:ascii="宋体" w:hAnsi="宋体" w:eastAsia="宋体"/>
          <w:u w:val="none"/>
        </w:rPr>
        <w:t>第二十一部分</w:t>
      </w:r>
      <w:r>
        <w:rPr>
          <w:rStyle w:val="13"/>
          <w:rFonts w:ascii="宋体" w:hAnsi="宋体" w:eastAsia="宋体"/>
          <w:u w:val="none"/>
        </w:rPr>
        <w:t xml:space="preserve">  </w:t>
      </w:r>
      <w:r>
        <w:rPr>
          <w:rStyle w:val="13"/>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_Toc213857135 \h </w:instrText>
      </w:r>
      <w:r>
        <w:rPr>
          <w:rFonts w:ascii="宋体" w:hAnsi="宋体" w:eastAsia="宋体"/>
        </w:rPr>
        <w:fldChar w:fldCharType="separate"/>
      </w:r>
      <w:r>
        <w:rPr>
          <w:rFonts w:ascii="宋体" w:hAnsi="宋体" w:eastAsia="宋体"/>
        </w:rPr>
        <w:t>131</w:t>
      </w:r>
      <w:r>
        <w:rPr>
          <w:rFonts w:ascii="宋体" w:hAnsi="宋体" w:eastAsia="宋体"/>
        </w:rPr>
        <w:fldChar w:fldCharType="end"/>
      </w:r>
      <w:r>
        <w:rPr>
          <w:rFonts w:ascii="宋体" w:hAnsi="宋体" w:eastAsia="宋体"/>
        </w:rPr>
        <w:fldChar w:fldCharType="end"/>
      </w:r>
    </w:p>
    <w:p w14:paraId="3B4C29BC">
      <w:pPr>
        <w:pStyle w:val="7"/>
        <w:tabs>
          <w:tab w:val="right" w:leader="dot" w:pos="8290"/>
        </w:tabs>
        <w:spacing w:line="360" w:lineRule="auto"/>
        <w:rPr>
          <w:rFonts w:ascii="宋体" w:hAnsi="宋体" w:eastAsia="宋体"/>
        </w:rPr>
      </w:pPr>
      <w:r>
        <w:fldChar w:fldCharType="begin"/>
      </w:r>
      <w:r>
        <w:instrText xml:space="preserve"> HYPERLINK \l "_Toc213857136" </w:instrText>
      </w:r>
      <w:r>
        <w:fldChar w:fldCharType="separate"/>
      </w:r>
      <w:r>
        <w:rPr>
          <w:rStyle w:val="13"/>
          <w:rFonts w:hint="eastAsia" w:ascii="宋体" w:hAnsi="宋体" w:eastAsia="宋体"/>
          <w:u w:val="none"/>
        </w:rPr>
        <w:t>第二十二部分</w:t>
      </w:r>
      <w:r>
        <w:rPr>
          <w:rStyle w:val="13"/>
          <w:rFonts w:ascii="宋体" w:hAnsi="宋体" w:eastAsia="宋体"/>
          <w:u w:val="none"/>
        </w:rPr>
        <w:t xml:space="preserve"> </w:t>
      </w:r>
      <w:r>
        <w:rPr>
          <w:rStyle w:val="13"/>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_Toc213857136 \h </w:instrText>
      </w:r>
      <w:r>
        <w:rPr>
          <w:rFonts w:ascii="宋体" w:hAnsi="宋体" w:eastAsia="宋体"/>
        </w:rPr>
        <w:fldChar w:fldCharType="separate"/>
      </w:r>
      <w:r>
        <w:rPr>
          <w:rFonts w:ascii="宋体" w:hAnsi="宋体" w:eastAsia="宋体"/>
        </w:rPr>
        <w:t>134</w:t>
      </w:r>
      <w:r>
        <w:rPr>
          <w:rFonts w:ascii="宋体" w:hAnsi="宋体" w:eastAsia="宋体"/>
        </w:rPr>
        <w:fldChar w:fldCharType="end"/>
      </w:r>
      <w:r>
        <w:rPr>
          <w:rFonts w:ascii="宋体" w:hAnsi="宋体" w:eastAsia="宋体"/>
        </w:rPr>
        <w:fldChar w:fldCharType="end"/>
      </w:r>
    </w:p>
    <w:p w14:paraId="5E309768">
      <w:pPr>
        <w:pStyle w:val="7"/>
        <w:tabs>
          <w:tab w:val="right" w:leader="dot" w:pos="8290"/>
        </w:tabs>
        <w:spacing w:line="360" w:lineRule="auto"/>
        <w:rPr>
          <w:rFonts w:ascii="宋体" w:hAnsi="宋体" w:eastAsia="宋体"/>
        </w:rPr>
      </w:pPr>
      <w:r>
        <w:fldChar w:fldCharType="begin"/>
      </w:r>
      <w:r>
        <w:instrText xml:space="preserve"> HYPERLINK \l "_Toc213857137" </w:instrText>
      </w:r>
      <w:r>
        <w:fldChar w:fldCharType="separate"/>
      </w:r>
      <w:r>
        <w:rPr>
          <w:rStyle w:val="13"/>
          <w:rFonts w:hint="eastAsia" w:ascii="宋体" w:hAnsi="宋体" w:eastAsia="宋体"/>
          <w:u w:val="none"/>
        </w:rPr>
        <w:t>第二十三部分</w:t>
      </w:r>
      <w:r>
        <w:rPr>
          <w:rStyle w:val="13"/>
          <w:rFonts w:ascii="宋体" w:hAnsi="宋体" w:eastAsia="宋体"/>
          <w:u w:val="none"/>
        </w:rPr>
        <w:t xml:space="preserve">  </w:t>
      </w:r>
      <w:r>
        <w:rPr>
          <w:rStyle w:val="13"/>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_Toc213857137 \h </w:instrText>
      </w:r>
      <w:r>
        <w:rPr>
          <w:rFonts w:ascii="宋体" w:hAnsi="宋体" w:eastAsia="宋体"/>
        </w:rPr>
        <w:fldChar w:fldCharType="separate"/>
      </w:r>
      <w:r>
        <w:rPr>
          <w:rFonts w:ascii="宋体" w:hAnsi="宋体" w:eastAsia="宋体"/>
        </w:rPr>
        <w:t>136</w:t>
      </w:r>
      <w:r>
        <w:rPr>
          <w:rFonts w:ascii="宋体" w:hAnsi="宋体" w:eastAsia="宋体"/>
        </w:rPr>
        <w:fldChar w:fldCharType="end"/>
      </w:r>
      <w:r>
        <w:rPr>
          <w:rFonts w:ascii="宋体" w:hAnsi="宋体" w:eastAsia="宋体"/>
        </w:rPr>
        <w:fldChar w:fldCharType="end"/>
      </w:r>
    </w:p>
    <w:p w14:paraId="37FD8191">
      <w:pPr>
        <w:pStyle w:val="7"/>
        <w:tabs>
          <w:tab w:val="right" w:leader="dot" w:pos="8290"/>
        </w:tabs>
        <w:spacing w:line="360" w:lineRule="auto"/>
        <w:rPr>
          <w:rFonts w:ascii="宋体" w:hAnsi="宋体" w:eastAsia="宋体"/>
        </w:rPr>
      </w:pPr>
      <w:r>
        <w:fldChar w:fldCharType="begin"/>
      </w:r>
      <w:r>
        <w:instrText xml:space="preserve"> HYPERLINK \l "_Toc213857138" </w:instrText>
      </w:r>
      <w:r>
        <w:fldChar w:fldCharType="separate"/>
      </w:r>
      <w:r>
        <w:rPr>
          <w:rStyle w:val="13"/>
          <w:rFonts w:hint="eastAsia" w:ascii="宋体" w:hAnsi="宋体" w:eastAsia="宋体"/>
          <w:u w:val="none"/>
        </w:rPr>
        <w:t>第二十四部分</w:t>
      </w:r>
      <w:r>
        <w:rPr>
          <w:rStyle w:val="13"/>
          <w:rFonts w:ascii="宋体" w:hAnsi="宋体" w:eastAsia="宋体"/>
          <w:u w:val="none"/>
        </w:rPr>
        <w:t xml:space="preserve">  </w:t>
      </w:r>
      <w:r>
        <w:rPr>
          <w:rStyle w:val="13"/>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_Toc213857138 \h </w:instrText>
      </w:r>
      <w:r>
        <w:rPr>
          <w:rFonts w:ascii="宋体" w:hAnsi="宋体" w:eastAsia="宋体"/>
        </w:rPr>
        <w:fldChar w:fldCharType="separate"/>
      </w:r>
      <w:r>
        <w:rPr>
          <w:rFonts w:ascii="宋体" w:hAnsi="宋体" w:eastAsia="宋体"/>
        </w:rPr>
        <w:t>137</w:t>
      </w:r>
      <w:r>
        <w:rPr>
          <w:rFonts w:ascii="宋体" w:hAnsi="宋体" w:eastAsia="宋体"/>
        </w:rPr>
        <w:fldChar w:fldCharType="end"/>
      </w:r>
      <w:r>
        <w:rPr>
          <w:rFonts w:ascii="宋体" w:hAnsi="宋体" w:eastAsia="宋体"/>
        </w:rPr>
        <w:fldChar w:fldCharType="end"/>
      </w:r>
    </w:p>
    <w:p w14:paraId="5312A472">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439D706F">
      <w:pPr>
        <w:pStyle w:val="3"/>
        <w:jc w:val="center"/>
        <w:rPr>
          <w:rFonts w:ascii="宋体" w:hAnsi="宋体" w:eastAsia="宋体"/>
          <w:sz w:val="30"/>
        </w:rPr>
      </w:pPr>
      <w:bookmarkStart w:id="5" w:name="_Toc213857115"/>
      <w:bookmarkStart w:id="6" w:name="chapter_level1_3_2344"/>
      <w:r>
        <w:rPr>
          <w:rFonts w:hint="eastAsia" w:ascii="宋体" w:hAnsi="宋体" w:eastAsia="宋体"/>
          <w:sz w:val="30"/>
        </w:rPr>
        <w:t>第一部分  绪言</w:t>
      </w:r>
      <w:bookmarkEnd w:id="5"/>
      <w:bookmarkEnd w:id="6"/>
    </w:p>
    <w:p w14:paraId="51FDD069">
      <w:pPr>
        <w:pStyle w:val="8"/>
        <w:spacing w:before="0" w:beforeAutospacing="0" w:after="0" w:afterAutospacing="0" w:line="360" w:lineRule="auto"/>
        <w:ind w:firstLine="420"/>
        <w:rPr>
          <w:sz w:val="21"/>
          <w:szCs w:val="21"/>
        </w:rPr>
      </w:pPr>
      <w:bookmarkStart w:id="7" w:name="chapter_level1_3_2344_section_1"/>
      <w:bookmarkEnd w:id="7"/>
      <w:r>
        <w:rPr>
          <w:rFonts w:hint="eastAsia"/>
          <w:sz w:val="21"/>
          <w:szCs w:val="21"/>
        </w:rPr>
        <w:t>《</w:t>
      </w:r>
      <w:bookmarkStart w:id="8" w:name="field_0_productfullname_3"/>
      <w:r>
        <w:rPr>
          <w:rFonts w:hint="eastAsia"/>
          <w:sz w:val="21"/>
          <w:szCs w:val="21"/>
        </w:rPr>
        <w:t>博时卓越优选混合型证券投资基金</w:t>
      </w:r>
      <w:bookmarkEnd w:id="8"/>
      <w:r>
        <w:rPr>
          <w:rFonts w:hint="eastAsia"/>
          <w:sz w:val="21"/>
          <w:szCs w:val="21"/>
        </w:rPr>
        <w:t>招募说明书》（以下简称“招募说明书”或“本招募说明书”）依照《中华人民共和国民法典》、《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9" w:name="field_0_productfullname_4"/>
      <w:r>
        <w:rPr>
          <w:rFonts w:hint="eastAsia"/>
          <w:sz w:val="21"/>
          <w:szCs w:val="21"/>
        </w:rPr>
        <w:t>博时卓越优选混合型证券投资基金</w:t>
      </w:r>
      <w:bookmarkEnd w:id="9"/>
      <w:r>
        <w:rPr>
          <w:rFonts w:hint="eastAsia"/>
          <w:sz w:val="21"/>
          <w:szCs w:val="21"/>
        </w:rPr>
        <w:t>基金合同》（以下简称“基金合同”或“《基金合同》”）编写。</w:t>
      </w:r>
    </w:p>
    <w:p w14:paraId="03B63DCC">
      <w:pPr>
        <w:pStyle w:val="8"/>
        <w:spacing w:before="0" w:beforeAutospacing="0" w:after="0" w:afterAutospacing="0" w:line="360" w:lineRule="auto"/>
        <w:ind w:firstLine="420"/>
        <w:rPr>
          <w:sz w:val="21"/>
          <w:szCs w:val="21"/>
        </w:rPr>
      </w:pPr>
      <w:r>
        <w:rPr>
          <w:rFonts w:hint="eastAsia"/>
          <w:sz w:val="21"/>
          <w:szCs w:val="21"/>
        </w:rPr>
        <w:t>本招募说明书阐述了</w:t>
      </w:r>
      <w:bookmarkStart w:id="10" w:name="field_0_productfullname_5"/>
      <w:r>
        <w:rPr>
          <w:rFonts w:hint="eastAsia"/>
          <w:sz w:val="21"/>
          <w:szCs w:val="21"/>
        </w:rPr>
        <w:t>博时卓越优选混合型证券投资基金</w:t>
      </w:r>
      <w:bookmarkEnd w:id="10"/>
      <w:r>
        <w:rPr>
          <w:rFonts w:hint="eastAsia"/>
          <w:sz w:val="21"/>
          <w:szCs w:val="21"/>
        </w:rPr>
        <w:t>的投资目标、策略、风险、费率等与投资人投资决策有关的必要事项，投资人在作出投资决策前应仔细阅读本招募说明书。</w:t>
      </w:r>
    </w:p>
    <w:p w14:paraId="6AD0F028">
      <w:pPr>
        <w:pStyle w:val="8"/>
        <w:spacing w:before="0" w:beforeAutospacing="0" w:after="0" w:afterAutospacing="0" w:line="360" w:lineRule="auto"/>
        <w:ind w:firstLine="420"/>
        <w:rPr>
          <w:sz w:val="21"/>
          <w:szCs w:val="21"/>
        </w:rPr>
      </w:pPr>
      <w:r>
        <w:rPr>
          <w:rFonts w:hint="eastAsia"/>
          <w:sz w:val="21"/>
          <w:szCs w:val="21"/>
        </w:rPr>
        <w:t>基金管理人承诺本招募说明书不存在任何虚假记载、误导性陈述或重大遗漏，并对其真实性、准确性、完整性承担法律责任。</w:t>
      </w:r>
    </w:p>
    <w:p w14:paraId="0FA54BE6">
      <w:pPr>
        <w:pStyle w:val="8"/>
        <w:spacing w:before="0" w:beforeAutospacing="0" w:after="0" w:afterAutospacing="0" w:line="360" w:lineRule="auto"/>
        <w:ind w:firstLine="420"/>
        <w:rPr>
          <w:sz w:val="21"/>
          <w:szCs w:val="21"/>
        </w:rPr>
      </w:pPr>
      <w:bookmarkStart w:id="11" w:name="field_0_productfullname_6"/>
      <w:r>
        <w:rPr>
          <w:rFonts w:hint="eastAsia"/>
          <w:sz w:val="21"/>
          <w:szCs w:val="21"/>
        </w:rPr>
        <w:t>博时卓越优选混合型证券投资基金</w:t>
      </w:r>
      <w:bookmarkEnd w:id="11"/>
      <w:r>
        <w:rPr>
          <w:rFonts w:hint="eastAsia"/>
          <w:sz w:val="21"/>
          <w:szCs w:val="21"/>
        </w:rPr>
        <w:t>（以下简称“基金”或“本基金”）是根据本招募说明书所载明的资料申请募集的。本基金管理人没有委托或授权任何其他人提供未在本招募说明书中载明的信息，或对本招募说明书作任何解释或者说明。</w:t>
      </w:r>
    </w:p>
    <w:p w14:paraId="287A31D9">
      <w:pPr>
        <w:pStyle w:val="8"/>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w:t>
      </w:r>
      <w:bookmarkStart w:id="12" w:name="chapter_level1_3_2344_section_1_end"/>
      <w:bookmarkEnd w:id="12"/>
      <w:r>
        <w:rPr>
          <w:rFonts w:hint="eastAsia"/>
          <w:sz w:val="21"/>
          <w:szCs w:val="21"/>
        </w:rPr>
        <w:t>金合同。</w:t>
      </w:r>
    </w:p>
    <w:p w14:paraId="5328FCF7">
      <w:pPr>
        <w:widowControl/>
        <w:jc w:val="left"/>
        <w:rPr>
          <w:rFonts w:ascii="宋体" w:hAnsi="宋体" w:eastAsia="宋体"/>
        </w:rPr>
      </w:pPr>
      <w:r>
        <w:rPr>
          <w:rFonts w:ascii="宋体" w:hAnsi="宋体" w:eastAsia="宋体"/>
        </w:rPr>
        <w:br w:type="page"/>
      </w:r>
    </w:p>
    <w:p w14:paraId="1FCBCEB4">
      <w:pPr>
        <w:pStyle w:val="3"/>
        <w:jc w:val="center"/>
        <w:rPr>
          <w:rFonts w:ascii="宋体" w:hAnsi="宋体" w:eastAsia="宋体"/>
          <w:sz w:val="30"/>
        </w:rPr>
      </w:pPr>
      <w:bookmarkStart w:id="13" w:name="_Toc213857116"/>
      <w:bookmarkStart w:id="14" w:name="chapter_level1_4_49"/>
      <w:r>
        <w:rPr>
          <w:rFonts w:hint="eastAsia" w:ascii="宋体" w:hAnsi="宋体" w:eastAsia="宋体"/>
          <w:sz w:val="30"/>
        </w:rPr>
        <w:t>第二部分  释义</w:t>
      </w:r>
      <w:bookmarkEnd w:id="13"/>
      <w:bookmarkEnd w:id="14"/>
    </w:p>
    <w:p w14:paraId="6BDA4D6C">
      <w:pPr>
        <w:pStyle w:val="8"/>
        <w:spacing w:before="0" w:beforeAutospacing="0" w:after="0" w:afterAutospacing="0" w:line="360" w:lineRule="auto"/>
        <w:ind w:firstLine="420"/>
        <w:rPr>
          <w:sz w:val="21"/>
          <w:szCs w:val="21"/>
        </w:rPr>
      </w:pPr>
      <w:bookmarkStart w:id="15" w:name="chapter_level1_4_49_section_1"/>
      <w:bookmarkEnd w:id="15"/>
      <w:r>
        <w:rPr>
          <w:rFonts w:hint="eastAsia"/>
          <w:sz w:val="21"/>
          <w:szCs w:val="21"/>
        </w:rPr>
        <w:t>在本招募说明书中，除非文意另有所指，下列词语或简称具有如下含义：</w:t>
      </w:r>
    </w:p>
    <w:p w14:paraId="01B58317">
      <w:pPr>
        <w:pStyle w:val="8"/>
        <w:spacing w:before="0" w:beforeAutospacing="0" w:after="0" w:afterAutospacing="0" w:line="360" w:lineRule="auto"/>
        <w:ind w:firstLine="420"/>
        <w:rPr>
          <w:sz w:val="21"/>
          <w:szCs w:val="21"/>
        </w:rPr>
      </w:pPr>
      <w:r>
        <w:rPr>
          <w:rFonts w:hint="eastAsia"/>
          <w:sz w:val="21"/>
          <w:szCs w:val="21"/>
        </w:rPr>
        <w:t>1、基金或本基金：指</w:t>
      </w:r>
      <w:bookmarkStart w:id="16" w:name="field_0_productfullname_7"/>
      <w:r>
        <w:rPr>
          <w:rFonts w:hint="eastAsia"/>
          <w:sz w:val="21"/>
          <w:szCs w:val="21"/>
        </w:rPr>
        <w:t>博时卓越优选混合型证券投资基金</w:t>
      </w:r>
      <w:bookmarkEnd w:id="16"/>
    </w:p>
    <w:p w14:paraId="45A85641">
      <w:pPr>
        <w:pStyle w:val="8"/>
        <w:spacing w:before="0" w:beforeAutospacing="0" w:after="0" w:afterAutospacing="0" w:line="360" w:lineRule="auto"/>
        <w:ind w:firstLine="420"/>
        <w:rPr>
          <w:sz w:val="21"/>
          <w:szCs w:val="21"/>
        </w:rPr>
      </w:pPr>
      <w:r>
        <w:rPr>
          <w:rFonts w:hint="eastAsia"/>
          <w:sz w:val="21"/>
          <w:szCs w:val="21"/>
        </w:rPr>
        <w:t>2、基金管理人：指博时基金管理有限公司 </w:t>
      </w:r>
    </w:p>
    <w:p w14:paraId="6E07625A">
      <w:pPr>
        <w:pStyle w:val="8"/>
        <w:spacing w:before="0" w:beforeAutospacing="0" w:after="0" w:afterAutospacing="0" w:line="360" w:lineRule="auto"/>
        <w:ind w:firstLine="420"/>
        <w:rPr>
          <w:sz w:val="21"/>
          <w:szCs w:val="21"/>
        </w:rPr>
      </w:pPr>
      <w:r>
        <w:rPr>
          <w:rFonts w:hint="eastAsia"/>
          <w:sz w:val="21"/>
          <w:szCs w:val="21"/>
        </w:rPr>
        <w:t>3、基金托管人：指</w:t>
      </w:r>
      <w:bookmarkStart w:id="17" w:name="field_0_trustorgfullname_1"/>
      <w:r>
        <w:rPr>
          <w:rFonts w:hint="eastAsia"/>
          <w:sz w:val="21"/>
          <w:szCs w:val="21"/>
        </w:rPr>
        <w:t>招商银行股份有限公司</w:t>
      </w:r>
      <w:bookmarkEnd w:id="17"/>
    </w:p>
    <w:p w14:paraId="43D8F09B">
      <w:pPr>
        <w:pStyle w:val="8"/>
        <w:spacing w:before="0" w:beforeAutospacing="0" w:after="0" w:afterAutospacing="0" w:line="360" w:lineRule="auto"/>
        <w:ind w:firstLine="420"/>
        <w:rPr>
          <w:sz w:val="21"/>
          <w:szCs w:val="21"/>
        </w:rPr>
      </w:pPr>
      <w:r>
        <w:rPr>
          <w:rFonts w:hint="eastAsia"/>
          <w:sz w:val="21"/>
          <w:szCs w:val="21"/>
        </w:rPr>
        <w:t>4、基金合同：指《</w:t>
      </w:r>
      <w:bookmarkStart w:id="18" w:name="field_0_productfullname_8"/>
      <w:r>
        <w:rPr>
          <w:rFonts w:hint="eastAsia"/>
          <w:sz w:val="21"/>
          <w:szCs w:val="21"/>
        </w:rPr>
        <w:t>博时卓越优选混合型证券投资基金</w:t>
      </w:r>
      <w:bookmarkEnd w:id="18"/>
      <w:r>
        <w:rPr>
          <w:rFonts w:hint="eastAsia"/>
          <w:sz w:val="21"/>
          <w:szCs w:val="21"/>
        </w:rPr>
        <w:t>基金合同》及对基金合同的任何有效修订和补充</w:t>
      </w:r>
    </w:p>
    <w:p w14:paraId="43CB11C8">
      <w:pPr>
        <w:pStyle w:val="8"/>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9" w:name="field_0_productfullname_9"/>
      <w:r>
        <w:rPr>
          <w:rFonts w:hint="eastAsia"/>
          <w:sz w:val="21"/>
          <w:szCs w:val="21"/>
        </w:rPr>
        <w:t>博时卓越优选混合型证券投资基金</w:t>
      </w:r>
      <w:bookmarkEnd w:id="19"/>
      <w:r>
        <w:rPr>
          <w:rFonts w:hint="eastAsia"/>
          <w:sz w:val="21"/>
          <w:szCs w:val="21"/>
        </w:rPr>
        <w:t>托管协议》及对该托管协议的任何有效修订和补充</w:t>
      </w:r>
    </w:p>
    <w:p w14:paraId="6E84A2CA">
      <w:pPr>
        <w:pStyle w:val="8"/>
        <w:spacing w:before="0" w:beforeAutospacing="0" w:after="0" w:afterAutospacing="0" w:line="360" w:lineRule="auto"/>
        <w:ind w:firstLine="420"/>
        <w:rPr>
          <w:sz w:val="21"/>
          <w:szCs w:val="21"/>
        </w:rPr>
      </w:pPr>
      <w:r>
        <w:rPr>
          <w:rFonts w:hint="eastAsia"/>
          <w:sz w:val="21"/>
          <w:szCs w:val="21"/>
        </w:rPr>
        <w:t>6、招募说明书或本招募说明书：指《</w:t>
      </w:r>
      <w:bookmarkStart w:id="20" w:name="field_0_productfullname_10"/>
      <w:r>
        <w:rPr>
          <w:rFonts w:hint="eastAsia"/>
          <w:sz w:val="21"/>
          <w:szCs w:val="21"/>
        </w:rPr>
        <w:t>博时卓越优选混合型证券投资基金</w:t>
      </w:r>
      <w:bookmarkEnd w:id="20"/>
      <w:r>
        <w:rPr>
          <w:rFonts w:hint="eastAsia"/>
          <w:sz w:val="21"/>
          <w:szCs w:val="21"/>
        </w:rPr>
        <w:t>招募说明书》及其更新</w:t>
      </w:r>
    </w:p>
    <w:p w14:paraId="499ADE5F">
      <w:pPr>
        <w:pStyle w:val="8"/>
        <w:spacing w:before="0" w:beforeAutospacing="0" w:after="0" w:afterAutospacing="0" w:line="360" w:lineRule="auto"/>
        <w:ind w:firstLine="420"/>
        <w:rPr>
          <w:sz w:val="21"/>
          <w:szCs w:val="21"/>
        </w:rPr>
      </w:pPr>
      <w:r>
        <w:rPr>
          <w:rFonts w:hint="eastAsia"/>
          <w:sz w:val="21"/>
          <w:szCs w:val="21"/>
        </w:rPr>
        <w:t>7、基金份额发售公告：指《</w:t>
      </w:r>
      <w:bookmarkStart w:id="21" w:name="field_0_productfullname_11"/>
      <w:r>
        <w:rPr>
          <w:rFonts w:hint="eastAsia"/>
          <w:sz w:val="21"/>
          <w:szCs w:val="21"/>
        </w:rPr>
        <w:t>博时卓越优选混合型证券投资基金</w:t>
      </w:r>
      <w:bookmarkEnd w:id="21"/>
      <w:r>
        <w:rPr>
          <w:rFonts w:hint="eastAsia"/>
          <w:sz w:val="21"/>
          <w:szCs w:val="21"/>
        </w:rPr>
        <w:t>基金份额发售公告》</w:t>
      </w:r>
    </w:p>
    <w:p w14:paraId="2F9879EC">
      <w:pPr>
        <w:pStyle w:val="8"/>
        <w:spacing w:before="0" w:beforeAutospacing="0" w:after="0" w:afterAutospacing="0" w:line="360" w:lineRule="auto"/>
        <w:ind w:firstLine="420"/>
        <w:rPr>
          <w:sz w:val="21"/>
          <w:szCs w:val="21"/>
        </w:rPr>
      </w:pPr>
      <w:r>
        <w:rPr>
          <w:rFonts w:hint="eastAsia"/>
          <w:sz w:val="21"/>
          <w:szCs w:val="21"/>
        </w:rPr>
        <w:t>8、基金产品资料概要：指《</w:t>
      </w:r>
      <w:bookmarkStart w:id="22" w:name="field_0_productfullname_12"/>
      <w:r>
        <w:rPr>
          <w:rFonts w:hint="eastAsia"/>
          <w:sz w:val="21"/>
          <w:szCs w:val="21"/>
        </w:rPr>
        <w:t>博时卓越优选混合型证券投资基金</w:t>
      </w:r>
      <w:bookmarkEnd w:id="22"/>
      <w:r>
        <w:rPr>
          <w:rFonts w:hint="eastAsia"/>
          <w:sz w:val="21"/>
          <w:szCs w:val="21"/>
        </w:rPr>
        <w:t>基金产品资料概要》及其更新</w:t>
      </w:r>
    </w:p>
    <w:p w14:paraId="66D56FB0">
      <w:pPr>
        <w:pStyle w:val="8"/>
        <w:spacing w:before="0" w:beforeAutospacing="0" w:after="0" w:afterAutospacing="0" w:line="360" w:lineRule="auto"/>
        <w:ind w:firstLine="420"/>
        <w:rPr>
          <w:sz w:val="21"/>
          <w:szCs w:val="21"/>
        </w:rPr>
      </w:pPr>
      <w:r>
        <w:rPr>
          <w:rFonts w:hint="eastAsia"/>
          <w:sz w:val="21"/>
          <w:szCs w:val="21"/>
        </w:rPr>
        <w:t>9、法律法规：指中国现行有效并公布实施的法律、行政法规、规范性文件、司法解释、行政规章以及其他对基金合同当事人有约束力的决定、决议、通知等</w:t>
      </w:r>
    </w:p>
    <w:p w14:paraId="68213D47">
      <w:pPr>
        <w:pStyle w:val="8"/>
        <w:spacing w:before="0" w:beforeAutospacing="0" w:after="0" w:afterAutospacing="0" w:line="360" w:lineRule="auto"/>
        <w:ind w:firstLine="420"/>
        <w:rPr>
          <w:sz w:val="21"/>
          <w:szCs w:val="21"/>
        </w:rPr>
      </w:pPr>
      <w:r>
        <w:rPr>
          <w:rFonts w:hint="eastAsia"/>
          <w:sz w:val="21"/>
          <w:szCs w:val="21"/>
        </w:rPr>
        <w:t>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21C3E10D">
      <w:pPr>
        <w:pStyle w:val="8"/>
        <w:spacing w:before="0" w:beforeAutospacing="0" w:after="0" w:afterAutospacing="0" w:line="360" w:lineRule="auto"/>
        <w:ind w:firstLine="420"/>
        <w:rPr>
          <w:sz w:val="21"/>
          <w:szCs w:val="21"/>
        </w:rPr>
      </w:pPr>
      <w:r>
        <w:rPr>
          <w:rFonts w:hint="eastAsia"/>
          <w:sz w:val="21"/>
          <w:szCs w:val="21"/>
        </w:rPr>
        <w:t>11、《销售办法》：指中国证监会2020年8月28日颁布、同年10月1日实施的《公开募集证券投资基金销售机构监督管理办法》及颁布机关对其不时做出的修订</w:t>
      </w:r>
    </w:p>
    <w:p w14:paraId="7FD560A9">
      <w:pPr>
        <w:pStyle w:val="8"/>
        <w:spacing w:before="0" w:beforeAutospacing="0" w:after="0" w:afterAutospacing="0" w:line="360" w:lineRule="auto"/>
        <w:ind w:firstLine="420"/>
        <w:rPr>
          <w:sz w:val="21"/>
          <w:szCs w:val="21"/>
        </w:rPr>
      </w:pPr>
      <w:r>
        <w:rPr>
          <w:rFonts w:hint="eastAsia"/>
          <w:sz w:val="21"/>
          <w:szCs w:val="21"/>
        </w:rPr>
        <w:t>12、《信息披露办法》：指中国证监会2019年7月26日颁布、同年9月1日实施，并经2020年3月20日中国证监会《关于修改部分证券期货规章的决定》修改的《公开募集证券投资基金信息披露管理办法》及颁布机关对其不时做出的修订</w:t>
      </w:r>
    </w:p>
    <w:p w14:paraId="5F17C98F">
      <w:pPr>
        <w:pStyle w:val="8"/>
        <w:spacing w:before="0" w:beforeAutospacing="0" w:after="0" w:afterAutospacing="0" w:line="360" w:lineRule="auto"/>
        <w:ind w:firstLine="420"/>
        <w:rPr>
          <w:sz w:val="21"/>
          <w:szCs w:val="21"/>
        </w:rPr>
      </w:pPr>
      <w:r>
        <w:rPr>
          <w:rFonts w:hint="eastAsia"/>
          <w:sz w:val="21"/>
          <w:szCs w:val="21"/>
        </w:rPr>
        <w:t>13、《运作办法》：指中国证监会2014年7月7日颁布、同年8月8日实施的《公开募集证券投资基金运作管理办法》及颁布机关对其不时做出的修订</w:t>
      </w:r>
    </w:p>
    <w:p w14:paraId="63484245">
      <w:pPr>
        <w:pStyle w:val="8"/>
        <w:spacing w:before="0" w:beforeAutospacing="0" w:after="0" w:afterAutospacing="0" w:line="360" w:lineRule="auto"/>
        <w:ind w:firstLine="420"/>
        <w:rPr>
          <w:sz w:val="21"/>
          <w:szCs w:val="21"/>
        </w:rPr>
      </w:pPr>
      <w:r>
        <w:rPr>
          <w:rFonts w:hint="eastAsia"/>
          <w:sz w:val="21"/>
          <w:szCs w:val="21"/>
        </w:rPr>
        <w:t>14、《流动性风险管理规定》：指中国证监会2017年8月31日颁布、同年10月1日实施的《公开募集开放式证券投资基金流动性风险管理规定》及颁布机关对其不时做出的修订</w:t>
      </w:r>
    </w:p>
    <w:p w14:paraId="2765CAF1">
      <w:pPr>
        <w:pStyle w:val="8"/>
        <w:spacing w:before="0" w:beforeAutospacing="0" w:after="0" w:afterAutospacing="0" w:line="360" w:lineRule="auto"/>
        <w:ind w:firstLine="420"/>
        <w:rPr>
          <w:sz w:val="21"/>
          <w:szCs w:val="21"/>
        </w:rPr>
      </w:pPr>
      <w:r>
        <w:rPr>
          <w:rFonts w:hint="eastAsia"/>
          <w:sz w:val="21"/>
          <w:szCs w:val="21"/>
        </w:rPr>
        <w:t>15、中国证监会：指中国证券监督管理委员会</w:t>
      </w:r>
    </w:p>
    <w:p w14:paraId="323C40BF">
      <w:pPr>
        <w:pStyle w:val="8"/>
        <w:spacing w:before="0" w:beforeAutospacing="0" w:after="0" w:afterAutospacing="0" w:line="360" w:lineRule="auto"/>
        <w:ind w:firstLine="420"/>
        <w:rPr>
          <w:sz w:val="21"/>
          <w:szCs w:val="21"/>
        </w:rPr>
      </w:pPr>
      <w:r>
        <w:rPr>
          <w:rFonts w:hint="eastAsia"/>
          <w:sz w:val="21"/>
          <w:szCs w:val="21"/>
        </w:rPr>
        <w:t>16、银行业监督管理机构：指中国人民银行和/或国家金融监督管理总局</w:t>
      </w:r>
    </w:p>
    <w:p w14:paraId="4F3FE880">
      <w:pPr>
        <w:pStyle w:val="8"/>
        <w:spacing w:before="0" w:beforeAutospacing="0" w:after="0" w:afterAutospacing="0" w:line="360" w:lineRule="auto"/>
        <w:ind w:firstLine="420"/>
        <w:rPr>
          <w:sz w:val="21"/>
          <w:szCs w:val="21"/>
        </w:rPr>
      </w:pPr>
      <w:r>
        <w:rPr>
          <w:rFonts w:hint="eastAsia"/>
          <w:sz w:val="21"/>
          <w:szCs w:val="21"/>
        </w:rPr>
        <w:t>17、基金合同当事人：指受基金合同约束，根据基金合同享有权利并承担义务的法律主体，包括基金管理人、基金托管人和基金份额持有人</w:t>
      </w:r>
    </w:p>
    <w:p w14:paraId="554AC57A">
      <w:pPr>
        <w:pStyle w:val="8"/>
        <w:spacing w:before="0" w:beforeAutospacing="0" w:after="0" w:afterAutospacing="0" w:line="360" w:lineRule="auto"/>
        <w:ind w:firstLine="420"/>
        <w:rPr>
          <w:sz w:val="21"/>
          <w:szCs w:val="21"/>
        </w:rPr>
      </w:pPr>
      <w:r>
        <w:rPr>
          <w:rFonts w:hint="eastAsia"/>
          <w:sz w:val="21"/>
          <w:szCs w:val="21"/>
        </w:rPr>
        <w:t>18、个人投资者：指依据有关法律法规规定可投资于证券投资基金的自然人</w:t>
      </w:r>
    </w:p>
    <w:p w14:paraId="169E2392">
      <w:pPr>
        <w:pStyle w:val="8"/>
        <w:spacing w:before="0" w:beforeAutospacing="0" w:after="0" w:afterAutospacing="0" w:line="360" w:lineRule="auto"/>
        <w:ind w:firstLine="420"/>
        <w:rPr>
          <w:sz w:val="21"/>
          <w:szCs w:val="21"/>
        </w:rPr>
      </w:pPr>
      <w:r>
        <w:rPr>
          <w:rFonts w:hint="eastAsia"/>
          <w:sz w:val="21"/>
          <w:szCs w:val="21"/>
        </w:rPr>
        <w:t>19、机构投资者：指依法可以投资证券投资基金的、在中华人民共和国境内合法登记并存续或经有关政府部门批准设立并存续的企业法人、事业法人、社会团体或其他组织</w:t>
      </w:r>
    </w:p>
    <w:p w14:paraId="0C59B947">
      <w:pPr>
        <w:pStyle w:val="8"/>
        <w:spacing w:before="0" w:beforeAutospacing="0" w:after="0" w:afterAutospacing="0" w:line="360" w:lineRule="auto"/>
        <w:ind w:firstLine="420"/>
        <w:rPr>
          <w:sz w:val="21"/>
          <w:szCs w:val="21"/>
        </w:rPr>
      </w:pPr>
      <w:r>
        <w:rPr>
          <w:rFonts w:hint="eastAsia"/>
          <w:sz w:val="21"/>
          <w:szCs w:val="21"/>
        </w:rPr>
        <w:t>20、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165D82A6">
      <w:pPr>
        <w:pStyle w:val="8"/>
        <w:spacing w:before="0" w:beforeAutospacing="0" w:after="0" w:afterAutospacing="0" w:line="360" w:lineRule="auto"/>
        <w:ind w:firstLine="420"/>
        <w:rPr>
          <w:sz w:val="21"/>
          <w:szCs w:val="21"/>
        </w:rPr>
      </w:pPr>
      <w:r>
        <w:rPr>
          <w:rFonts w:hint="eastAsia"/>
          <w:sz w:val="21"/>
          <w:szCs w:val="21"/>
        </w:rPr>
        <w:t>21、投资人、投资者：指个人投资者、机构投资者、合格境外投资者以及法律法规或中国证监会允许购买证券投资基金的其他投资人的合称</w:t>
      </w:r>
    </w:p>
    <w:p w14:paraId="34742CAC">
      <w:pPr>
        <w:pStyle w:val="8"/>
        <w:spacing w:before="0" w:beforeAutospacing="0" w:after="0" w:afterAutospacing="0" w:line="360" w:lineRule="auto"/>
        <w:ind w:firstLine="420"/>
        <w:rPr>
          <w:sz w:val="21"/>
          <w:szCs w:val="21"/>
        </w:rPr>
      </w:pPr>
      <w:r>
        <w:rPr>
          <w:rFonts w:hint="eastAsia"/>
          <w:sz w:val="21"/>
          <w:szCs w:val="21"/>
        </w:rPr>
        <w:t>22、基金份额持有人：指依基金合同和招募说明书合法取得基金份额的投资人</w:t>
      </w:r>
    </w:p>
    <w:p w14:paraId="36EF3658">
      <w:pPr>
        <w:pStyle w:val="8"/>
        <w:spacing w:before="0" w:beforeAutospacing="0" w:after="0" w:afterAutospacing="0" w:line="360" w:lineRule="auto"/>
        <w:ind w:firstLine="420"/>
        <w:rPr>
          <w:sz w:val="21"/>
          <w:szCs w:val="21"/>
        </w:rPr>
      </w:pPr>
      <w:r>
        <w:rPr>
          <w:rFonts w:hint="eastAsia"/>
          <w:sz w:val="21"/>
          <w:szCs w:val="21"/>
        </w:rPr>
        <w:t>23、基金销售业务：指基金管理人或销售机构宣传推介基金，发售基金份额，办理基金份额的申购、赎回、转换、转托管及定期定额投资等业务</w:t>
      </w:r>
    </w:p>
    <w:p w14:paraId="1F38AAA9">
      <w:pPr>
        <w:pStyle w:val="8"/>
        <w:spacing w:before="0" w:beforeAutospacing="0" w:after="0" w:afterAutospacing="0" w:line="360" w:lineRule="auto"/>
        <w:ind w:firstLine="420"/>
        <w:rPr>
          <w:sz w:val="21"/>
          <w:szCs w:val="21"/>
        </w:rPr>
      </w:pPr>
      <w:r>
        <w:rPr>
          <w:rFonts w:hint="eastAsia"/>
          <w:sz w:val="21"/>
          <w:szCs w:val="21"/>
        </w:rPr>
        <w:t>24、销售机构：指直销机构和代销机构</w:t>
      </w:r>
    </w:p>
    <w:p w14:paraId="3033DEA6">
      <w:pPr>
        <w:pStyle w:val="8"/>
        <w:spacing w:before="0" w:beforeAutospacing="0" w:after="0" w:afterAutospacing="0" w:line="360" w:lineRule="auto"/>
        <w:ind w:firstLine="420"/>
        <w:rPr>
          <w:sz w:val="21"/>
          <w:szCs w:val="21"/>
        </w:rPr>
      </w:pPr>
      <w:r>
        <w:rPr>
          <w:rFonts w:hint="eastAsia"/>
          <w:sz w:val="21"/>
          <w:szCs w:val="21"/>
        </w:rPr>
        <w:t>25、直销机构：指博时基金管理有限公司</w:t>
      </w:r>
    </w:p>
    <w:p w14:paraId="7FC5E3D3">
      <w:pPr>
        <w:pStyle w:val="8"/>
        <w:spacing w:before="0" w:beforeAutospacing="0" w:after="0" w:afterAutospacing="0" w:line="360" w:lineRule="auto"/>
        <w:ind w:firstLine="420"/>
        <w:rPr>
          <w:sz w:val="21"/>
          <w:szCs w:val="21"/>
        </w:rPr>
      </w:pPr>
      <w:r>
        <w:rPr>
          <w:rFonts w:hint="eastAsia"/>
          <w:sz w:val="21"/>
          <w:szCs w:val="21"/>
        </w:rPr>
        <w:t>26、代销机构：指符合《销售办法》和中国证监会规定的其他条件，取得基金销售业务资格并与基金管理人签订了基金销售服务协议，办理基金销售业务的机构</w:t>
      </w:r>
    </w:p>
    <w:p w14:paraId="6A2CF928">
      <w:pPr>
        <w:pStyle w:val="8"/>
        <w:spacing w:before="0" w:beforeAutospacing="0" w:after="0" w:afterAutospacing="0" w:line="360" w:lineRule="auto"/>
        <w:ind w:firstLine="420"/>
        <w:rPr>
          <w:sz w:val="21"/>
          <w:szCs w:val="21"/>
        </w:rPr>
      </w:pPr>
      <w:r>
        <w:rPr>
          <w:rFonts w:hint="eastAsia"/>
          <w:sz w:val="21"/>
          <w:szCs w:val="21"/>
        </w:rPr>
        <w:t>27、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3F9F5979">
      <w:pPr>
        <w:pStyle w:val="8"/>
        <w:spacing w:before="0" w:beforeAutospacing="0" w:after="0" w:afterAutospacing="0" w:line="360" w:lineRule="auto"/>
        <w:ind w:firstLine="420"/>
        <w:rPr>
          <w:sz w:val="21"/>
          <w:szCs w:val="21"/>
        </w:rPr>
      </w:pPr>
      <w:r>
        <w:rPr>
          <w:rFonts w:hint="eastAsia"/>
          <w:sz w:val="21"/>
          <w:szCs w:val="21"/>
        </w:rPr>
        <w:t>28、登记机构：指办理登记业务的机构。基金的登记机构为博时基金管理有限公司或接受博时基金管理有限公司委托代为办理登记业务的机构</w:t>
      </w:r>
    </w:p>
    <w:p w14:paraId="4BB4D257">
      <w:pPr>
        <w:pStyle w:val="8"/>
        <w:spacing w:before="0" w:beforeAutospacing="0" w:after="0" w:afterAutospacing="0" w:line="360" w:lineRule="auto"/>
        <w:ind w:firstLine="420"/>
        <w:rPr>
          <w:sz w:val="21"/>
          <w:szCs w:val="21"/>
        </w:rPr>
      </w:pPr>
      <w:r>
        <w:rPr>
          <w:rFonts w:hint="eastAsia"/>
          <w:sz w:val="21"/>
          <w:szCs w:val="21"/>
        </w:rPr>
        <w:t>29、基金账户：指登记机构为投资人开立的、记录其持有的、基金管理人所管理的基金份额余额及其变动情况的账户</w:t>
      </w:r>
    </w:p>
    <w:p w14:paraId="33AC53A0">
      <w:pPr>
        <w:pStyle w:val="8"/>
        <w:spacing w:before="0" w:beforeAutospacing="0" w:after="0" w:afterAutospacing="0" w:line="360" w:lineRule="auto"/>
        <w:ind w:firstLine="420"/>
        <w:rPr>
          <w:sz w:val="21"/>
          <w:szCs w:val="21"/>
        </w:rPr>
      </w:pPr>
      <w:r>
        <w:rPr>
          <w:rFonts w:hint="eastAsia"/>
          <w:sz w:val="21"/>
          <w:szCs w:val="21"/>
        </w:rPr>
        <w:t>30、基金交易账户：指销售机构为投资人开立的、记录投资人通过该销售机构办理认购、申购、赎回、转换、转托管及定期定额投资等业务而引起的基金份额变动及结余情况的账户</w:t>
      </w:r>
    </w:p>
    <w:p w14:paraId="13800EC8">
      <w:pPr>
        <w:pStyle w:val="8"/>
        <w:spacing w:before="0" w:beforeAutospacing="0" w:after="0" w:afterAutospacing="0" w:line="360" w:lineRule="auto"/>
        <w:ind w:firstLine="420"/>
        <w:rPr>
          <w:sz w:val="21"/>
          <w:szCs w:val="21"/>
        </w:rPr>
      </w:pPr>
      <w:r>
        <w:rPr>
          <w:rFonts w:hint="eastAsia"/>
          <w:sz w:val="21"/>
          <w:szCs w:val="21"/>
        </w:rPr>
        <w:t>31、基金合同生效日：指基金募集达到法律法规规定及基金合同规定的条件，基金管理人向中国证监会办理基金备案手续完毕，并获得中国证监会书面确认的日期</w:t>
      </w:r>
    </w:p>
    <w:p w14:paraId="691A0AED">
      <w:pPr>
        <w:pStyle w:val="8"/>
        <w:spacing w:before="0" w:beforeAutospacing="0" w:after="0" w:afterAutospacing="0" w:line="360" w:lineRule="auto"/>
        <w:ind w:firstLine="420"/>
        <w:rPr>
          <w:sz w:val="21"/>
          <w:szCs w:val="21"/>
        </w:rPr>
      </w:pPr>
      <w:r>
        <w:rPr>
          <w:rFonts w:hint="eastAsia"/>
          <w:sz w:val="21"/>
          <w:szCs w:val="21"/>
        </w:rPr>
        <w:t>32、基金合同终止日：指基金合同规定的基金合同终止事由出现后，基金财产清算完毕，清算结果报中国证监会备案并予以公告的日期</w:t>
      </w:r>
    </w:p>
    <w:p w14:paraId="485317EB">
      <w:pPr>
        <w:pStyle w:val="8"/>
        <w:spacing w:before="0" w:beforeAutospacing="0" w:after="0" w:afterAutospacing="0" w:line="360" w:lineRule="auto"/>
        <w:ind w:firstLine="420"/>
        <w:rPr>
          <w:sz w:val="21"/>
          <w:szCs w:val="21"/>
        </w:rPr>
      </w:pPr>
      <w:r>
        <w:rPr>
          <w:rFonts w:hint="eastAsia"/>
          <w:sz w:val="21"/>
          <w:szCs w:val="21"/>
        </w:rPr>
        <w:t>33、基金募集期：指自基金份额发售之日起至发售结束之日止的期间，最长不得超过3个月</w:t>
      </w:r>
    </w:p>
    <w:p w14:paraId="2FC5011E">
      <w:pPr>
        <w:pStyle w:val="8"/>
        <w:spacing w:before="0" w:beforeAutospacing="0" w:after="0" w:afterAutospacing="0" w:line="360" w:lineRule="auto"/>
        <w:ind w:firstLine="420"/>
        <w:rPr>
          <w:sz w:val="21"/>
          <w:szCs w:val="21"/>
        </w:rPr>
      </w:pPr>
      <w:r>
        <w:rPr>
          <w:rFonts w:hint="eastAsia"/>
          <w:sz w:val="21"/>
          <w:szCs w:val="21"/>
        </w:rPr>
        <w:t>34、存续期：指基金合同生效至终止之间的不定期期限</w:t>
      </w:r>
    </w:p>
    <w:p w14:paraId="3AC064A4">
      <w:pPr>
        <w:pStyle w:val="8"/>
        <w:spacing w:before="0" w:beforeAutospacing="0" w:after="0" w:afterAutospacing="0" w:line="360" w:lineRule="auto"/>
        <w:ind w:firstLine="420"/>
        <w:rPr>
          <w:sz w:val="21"/>
          <w:szCs w:val="21"/>
        </w:rPr>
      </w:pPr>
      <w:r>
        <w:rPr>
          <w:rFonts w:hint="eastAsia"/>
          <w:sz w:val="21"/>
          <w:szCs w:val="21"/>
        </w:rPr>
        <w:t>35、工作日：指上海证券交易所、深圳证券交易所及相关期货交易所的正常交易日</w:t>
      </w:r>
    </w:p>
    <w:p w14:paraId="38CBDA8F">
      <w:pPr>
        <w:pStyle w:val="8"/>
        <w:spacing w:before="0" w:beforeAutospacing="0" w:after="0" w:afterAutospacing="0" w:line="360" w:lineRule="auto"/>
        <w:ind w:firstLine="420"/>
        <w:rPr>
          <w:sz w:val="21"/>
          <w:szCs w:val="21"/>
        </w:rPr>
      </w:pPr>
      <w:r>
        <w:rPr>
          <w:rFonts w:hint="eastAsia"/>
          <w:sz w:val="21"/>
          <w:szCs w:val="21"/>
        </w:rPr>
        <w:t>36、T日：指销售机构在规定时间受理投资人申购、赎回或其他业务申请的开放日</w:t>
      </w:r>
    </w:p>
    <w:p w14:paraId="06E032E4">
      <w:pPr>
        <w:pStyle w:val="8"/>
        <w:spacing w:before="0" w:beforeAutospacing="0" w:after="0" w:afterAutospacing="0" w:line="360" w:lineRule="auto"/>
        <w:ind w:firstLine="420"/>
        <w:rPr>
          <w:sz w:val="21"/>
          <w:szCs w:val="21"/>
        </w:rPr>
      </w:pPr>
      <w:r>
        <w:rPr>
          <w:rFonts w:hint="eastAsia"/>
          <w:sz w:val="21"/>
          <w:szCs w:val="21"/>
        </w:rPr>
        <w:t>37、T+n日：指自T日起第n个工作日(不包含T日)，n为自然数</w:t>
      </w:r>
    </w:p>
    <w:p w14:paraId="4708042F">
      <w:pPr>
        <w:pStyle w:val="8"/>
        <w:spacing w:before="0" w:beforeAutospacing="0" w:after="0" w:afterAutospacing="0" w:line="360" w:lineRule="auto"/>
        <w:ind w:firstLine="420"/>
        <w:rPr>
          <w:sz w:val="21"/>
          <w:szCs w:val="21"/>
        </w:rPr>
      </w:pPr>
      <w:r>
        <w:rPr>
          <w:rFonts w:hint="eastAsia"/>
          <w:sz w:val="21"/>
          <w:szCs w:val="21"/>
        </w:rPr>
        <w:t>38、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14:paraId="19A97477">
      <w:pPr>
        <w:pStyle w:val="8"/>
        <w:spacing w:before="0" w:beforeAutospacing="0" w:after="0" w:afterAutospacing="0" w:line="360" w:lineRule="auto"/>
        <w:ind w:firstLine="420"/>
        <w:rPr>
          <w:sz w:val="21"/>
          <w:szCs w:val="21"/>
        </w:rPr>
      </w:pPr>
      <w:r>
        <w:rPr>
          <w:rFonts w:hint="eastAsia"/>
          <w:sz w:val="21"/>
          <w:szCs w:val="21"/>
        </w:rPr>
        <w:t>39、开放时间：指开放日基金接受申购、赎回或其他交易的时间段</w:t>
      </w:r>
    </w:p>
    <w:p w14:paraId="7556C01A">
      <w:pPr>
        <w:pStyle w:val="8"/>
        <w:spacing w:before="0" w:beforeAutospacing="0" w:after="0" w:afterAutospacing="0" w:line="360" w:lineRule="auto"/>
        <w:ind w:firstLine="420"/>
        <w:rPr>
          <w:sz w:val="21"/>
          <w:szCs w:val="21"/>
        </w:rPr>
      </w:pPr>
      <w:r>
        <w:rPr>
          <w:rFonts w:hint="eastAsia"/>
          <w:sz w:val="21"/>
          <w:szCs w:val="21"/>
        </w:rPr>
        <w:t>40、《业务规则》：指《博时基金管理有限公司开放式基金业务规则》，是规范基金管理人所管理的开放式证券投资基金登记方面的业务规则，由基金管理人和投资人共同遵守</w:t>
      </w:r>
    </w:p>
    <w:p w14:paraId="780DCED4">
      <w:pPr>
        <w:pStyle w:val="8"/>
        <w:spacing w:before="0" w:beforeAutospacing="0" w:after="0" w:afterAutospacing="0" w:line="360" w:lineRule="auto"/>
        <w:ind w:firstLine="420"/>
        <w:rPr>
          <w:sz w:val="21"/>
          <w:szCs w:val="21"/>
        </w:rPr>
      </w:pPr>
      <w:r>
        <w:rPr>
          <w:rFonts w:hint="eastAsia"/>
          <w:sz w:val="21"/>
          <w:szCs w:val="21"/>
        </w:rPr>
        <w:t>41、认购：指在基金募集期内，投资人根据基金合同和招募说明书的规定申请购买基金份额的行为</w:t>
      </w:r>
    </w:p>
    <w:p w14:paraId="7B43100D">
      <w:pPr>
        <w:pStyle w:val="8"/>
        <w:spacing w:before="0" w:beforeAutospacing="0" w:after="0" w:afterAutospacing="0" w:line="360" w:lineRule="auto"/>
        <w:ind w:firstLine="420"/>
        <w:rPr>
          <w:sz w:val="21"/>
          <w:szCs w:val="21"/>
        </w:rPr>
      </w:pPr>
      <w:r>
        <w:rPr>
          <w:rFonts w:hint="eastAsia"/>
          <w:sz w:val="21"/>
          <w:szCs w:val="21"/>
        </w:rPr>
        <w:t>42、申购：指基金合同生效后，投资人根据基金合同和招募说明书的规定申请购买基金份额的行为</w:t>
      </w:r>
    </w:p>
    <w:p w14:paraId="443E09FD">
      <w:pPr>
        <w:pStyle w:val="8"/>
        <w:spacing w:before="0" w:beforeAutospacing="0" w:after="0" w:afterAutospacing="0" w:line="360" w:lineRule="auto"/>
        <w:ind w:firstLine="420"/>
        <w:rPr>
          <w:sz w:val="21"/>
          <w:szCs w:val="21"/>
        </w:rPr>
      </w:pPr>
      <w:r>
        <w:rPr>
          <w:rFonts w:hint="eastAsia"/>
          <w:sz w:val="21"/>
          <w:szCs w:val="21"/>
        </w:rPr>
        <w:t>43、赎回：指基金合同生效后，基金份额持有人按基金合同和招募说明书规定的条件要求将基金份额兑换为现金的行为</w:t>
      </w:r>
    </w:p>
    <w:p w14:paraId="7FB45C23">
      <w:pPr>
        <w:pStyle w:val="8"/>
        <w:spacing w:before="0" w:beforeAutospacing="0" w:after="0" w:afterAutospacing="0" w:line="360" w:lineRule="auto"/>
        <w:ind w:firstLine="420"/>
        <w:rPr>
          <w:sz w:val="21"/>
          <w:szCs w:val="21"/>
        </w:rPr>
      </w:pPr>
      <w:r>
        <w:rPr>
          <w:rFonts w:hint="eastAsia"/>
          <w:sz w:val="21"/>
          <w:szCs w:val="21"/>
        </w:rPr>
        <w:t>44、基金转换：指基金份额持有人按照基金合同和基金管理人届时有效公告规定的条件，申请将其持有基金管理人管理的、某一基金的基金份额转换为基金管理人管理的其他基金基金份额的行为</w:t>
      </w:r>
    </w:p>
    <w:p w14:paraId="7426EE94">
      <w:pPr>
        <w:pStyle w:val="8"/>
        <w:spacing w:before="0" w:beforeAutospacing="0" w:after="0" w:afterAutospacing="0" w:line="360" w:lineRule="auto"/>
        <w:ind w:firstLine="420"/>
        <w:rPr>
          <w:sz w:val="21"/>
          <w:szCs w:val="21"/>
        </w:rPr>
      </w:pPr>
      <w:r>
        <w:rPr>
          <w:rFonts w:hint="eastAsia"/>
          <w:sz w:val="21"/>
          <w:szCs w:val="21"/>
        </w:rPr>
        <w:t>45、转托管：指基金份额持有人在本基金的不同销售机构之间实施的变更所持基金份额销售机构的操作</w:t>
      </w:r>
    </w:p>
    <w:p w14:paraId="717F29AF">
      <w:pPr>
        <w:pStyle w:val="8"/>
        <w:spacing w:before="0" w:beforeAutospacing="0" w:after="0" w:afterAutospacing="0" w:line="360" w:lineRule="auto"/>
        <w:ind w:firstLine="420"/>
        <w:rPr>
          <w:sz w:val="21"/>
          <w:szCs w:val="21"/>
        </w:rPr>
      </w:pPr>
      <w:r>
        <w:rPr>
          <w:rFonts w:hint="eastAsia"/>
          <w:sz w:val="21"/>
          <w:szCs w:val="21"/>
        </w:rPr>
        <w:t>46、定期定额投资计划：指投资人通过有关销售机构提出申请，约定每期申购日、扣款金额及扣款方式，由销售机构于每期约定扣款日在投资人指定银行账户内自动完成扣款及受理基金申购申请的一种投资方式</w:t>
      </w:r>
    </w:p>
    <w:p w14:paraId="374979E0">
      <w:pPr>
        <w:pStyle w:val="8"/>
        <w:spacing w:before="0" w:beforeAutospacing="0" w:after="0" w:afterAutospacing="0" w:line="360" w:lineRule="auto"/>
        <w:ind w:firstLine="420"/>
        <w:rPr>
          <w:sz w:val="21"/>
          <w:szCs w:val="21"/>
        </w:rPr>
      </w:pPr>
      <w:r>
        <w:rPr>
          <w:rFonts w:hint="eastAsia"/>
          <w:sz w:val="21"/>
          <w:szCs w:val="21"/>
        </w:rPr>
        <w:t>47、巨额赎回：指本基金单个开放日，基金净赎回申请(赎回申请份额总数加上基金转换中转出申请份额总数后扣除申购申请份额总数及基金转换中转入申请份额总数后的余额)超过上一工作日基金总份额的</w:t>
      </w:r>
      <w:bookmarkStart w:id="23" w:name="field_49_mintredeemscale_1"/>
      <w:r>
        <w:rPr>
          <w:sz w:val="21"/>
          <w:szCs w:val="21"/>
        </w:rPr>
        <w:t>10</w:t>
      </w:r>
      <w:bookmarkEnd w:id="23"/>
      <w:r>
        <w:rPr>
          <w:rFonts w:hint="eastAsia"/>
          <w:sz w:val="21"/>
          <w:szCs w:val="21"/>
        </w:rPr>
        <w:t>%</w:t>
      </w:r>
    </w:p>
    <w:p w14:paraId="6CAE92A4">
      <w:pPr>
        <w:pStyle w:val="8"/>
        <w:spacing w:before="0" w:beforeAutospacing="0" w:after="0" w:afterAutospacing="0" w:line="360" w:lineRule="auto"/>
        <w:ind w:firstLine="420"/>
        <w:rPr>
          <w:sz w:val="21"/>
          <w:szCs w:val="21"/>
        </w:rPr>
      </w:pPr>
      <w:r>
        <w:rPr>
          <w:rFonts w:hint="eastAsia"/>
          <w:sz w:val="21"/>
          <w:szCs w:val="21"/>
        </w:rPr>
        <w:t>48、元：指人民币元</w:t>
      </w:r>
    </w:p>
    <w:p w14:paraId="3419B709">
      <w:pPr>
        <w:pStyle w:val="8"/>
        <w:spacing w:before="0" w:beforeAutospacing="0" w:after="0" w:afterAutospacing="0" w:line="360" w:lineRule="auto"/>
        <w:ind w:firstLine="420"/>
        <w:rPr>
          <w:sz w:val="21"/>
          <w:szCs w:val="21"/>
        </w:rPr>
      </w:pPr>
      <w:r>
        <w:rPr>
          <w:rFonts w:hint="eastAsia"/>
          <w:sz w:val="21"/>
          <w:szCs w:val="21"/>
        </w:rPr>
        <w:t>49、基金收益：指基金投资所得红利、股息、债券利息、买卖证券价差、银行存款利息、已实现的其他合法收入及因运用基金财产带来的成本和费用的节约</w:t>
      </w:r>
    </w:p>
    <w:p w14:paraId="0F9B154B">
      <w:pPr>
        <w:pStyle w:val="8"/>
        <w:spacing w:before="0" w:beforeAutospacing="0" w:after="0" w:afterAutospacing="0" w:line="360" w:lineRule="auto"/>
        <w:ind w:firstLine="420"/>
        <w:rPr>
          <w:sz w:val="21"/>
          <w:szCs w:val="21"/>
        </w:rPr>
      </w:pPr>
      <w:r>
        <w:rPr>
          <w:rFonts w:hint="eastAsia"/>
          <w:sz w:val="21"/>
          <w:szCs w:val="21"/>
        </w:rPr>
        <w:t>50、基金资产总值：指基金拥有的各类有价证券、银行存款本息、基金应收款项及其他资产的价值总和</w:t>
      </w:r>
    </w:p>
    <w:p w14:paraId="09C89898">
      <w:pPr>
        <w:pStyle w:val="8"/>
        <w:spacing w:before="0" w:beforeAutospacing="0" w:after="0" w:afterAutospacing="0" w:line="360" w:lineRule="auto"/>
        <w:ind w:firstLine="420"/>
        <w:rPr>
          <w:sz w:val="21"/>
          <w:szCs w:val="21"/>
        </w:rPr>
      </w:pPr>
      <w:r>
        <w:rPr>
          <w:rFonts w:hint="eastAsia"/>
          <w:sz w:val="21"/>
          <w:szCs w:val="21"/>
        </w:rPr>
        <w:t>51、基金资产净值：指基金资产总值减去基金负债后的价值</w:t>
      </w:r>
    </w:p>
    <w:p w14:paraId="657A8D6C">
      <w:pPr>
        <w:pStyle w:val="8"/>
        <w:spacing w:before="0" w:beforeAutospacing="0" w:after="0" w:afterAutospacing="0" w:line="360" w:lineRule="auto"/>
        <w:ind w:firstLine="420"/>
        <w:rPr>
          <w:sz w:val="21"/>
          <w:szCs w:val="21"/>
        </w:rPr>
      </w:pPr>
      <w:r>
        <w:rPr>
          <w:rFonts w:hint="eastAsia"/>
          <w:sz w:val="21"/>
          <w:szCs w:val="21"/>
        </w:rPr>
        <w:t>52、基金份额净值：指计算日基金资产净值除以计算日该类基金份额总数</w:t>
      </w:r>
    </w:p>
    <w:p w14:paraId="63ECB2E0">
      <w:pPr>
        <w:pStyle w:val="8"/>
        <w:spacing w:before="0" w:beforeAutospacing="0" w:after="0" w:afterAutospacing="0" w:line="360" w:lineRule="auto"/>
        <w:ind w:firstLine="420"/>
        <w:rPr>
          <w:sz w:val="21"/>
          <w:szCs w:val="21"/>
        </w:rPr>
      </w:pPr>
      <w:r>
        <w:rPr>
          <w:rFonts w:hint="eastAsia"/>
          <w:sz w:val="21"/>
          <w:szCs w:val="21"/>
        </w:rPr>
        <w:t>53、基金资产估值：指计算评估基金资产和负债的价值，以确定基金资产净值和基金份额净值的过程</w:t>
      </w:r>
    </w:p>
    <w:p w14:paraId="7BA7EECA">
      <w:pPr>
        <w:pStyle w:val="8"/>
        <w:spacing w:before="0" w:beforeAutospacing="0" w:after="0" w:afterAutospacing="0" w:line="360" w:lineRule="auto"/>
        <w:ind w:firstLine="420"/>
        <w:rPr>
          <w:sz w:val="21"/>
          <w:szCs w:val="21"/>
        </w:rPr>
      </w:pPr>
      <w:r>
        <w:rPr>
          <w:rFonts w:hint="eastAsia"/>
          <w:sz w:val="21"/>
          <w:szCs w:val="21"/>
        </w:rPr>
        <w:t>54、基金份额分类：指本基金分设两类基金份额，即A类基金份额和C类基金份额。两类基金份额分设不同的基金代码，分别计算基金份额净值，计算公式为计算日各类别基金资产净值除以计算日发售在外的该类别基金份额总数</w:t>
      </w:r>
    </w:p>
    <w:p w14:paraId="10FDFF04">
      <w:pPr>
        <w:pStyle w:val="8"/>
        <w:spacing w:before="0" w:beforeAutospacing="0" w:after="0" w:afterAutospacing="0" w:line="360" w:lineRule="auto"/>
        <w:ind w:firstLine="420"/>
        <w:rPr>
          <w:sz w:val="21"/>
          <w:szCs w:val="21"/>
        </w:rPr>
      </w:pPr>
      <w:r>
        <w:rPr>
          <w:rFonts w:hint="eastAsia"/>
          <w:sz w:val="21"/>
          <w:szCs w:val="21"/>
        </w:rPr>
        <w:t>55、A类基金份额：指在投资者认购、申购时收取认购、申购费用，不从本类别基金资产中计提销售服务费的基金份额</w:t>
      </w:r>
    </w:p>
    <w:p w14:paraId="75F6CDCA">
      <w:pPr>
        <w:pStyle w:val="8"/>
        <w:spacing w:before="0" w:beforeAutospacing="0" w:after="0" w:afterAutospacing="0" w:line="360" w:lineRule="auto"/>
        <w:ind w:firstLine="420"/>
        <w:rPr>
          <w:sz w:val="21"/>
          <w:szCs w:val="21"/>
        </w:rPr>
      </w:pPr>
      <w:r>
        <w:rPr>
          <w:rFonts w:hint="eastAsia"/>
          <w:sz w:val="21"/>
          <w:szCs w:val="21"/>
        </w:rPr>
        <w:t>56、C类基金份额：指在投资者认购、申购时不收取认购、申购费用，但从本类别基金资产中计提销售服务费的基金份额</w:t>
      </w:r>
    </w:p>
    <w:p w14:paraId="2A94FA58">
      <w:pPr>
        <w:pStyle w:val="8"/>
        <w:spacing w:before="0" w:beforeAutospacing="0" w:after="0" w:afterAutospacing="0" w:line="360" w:lineRule="auto"/>
        <w:ind w:firstLine="420"/>
        <w:rPr>
          <w:sz w:val="21"/>
          <w:szCs w:val="21"/>
        </w:rPr>
      </w:pPr>
      <w:r>
        <w:rPr>
          <w:rFonts w:hint="eastAsia"/>
          <w:sz w:val="21"/>
          <w:szCs w:val="21"/>
        </w:rPr>
        <w:t>57、销售服务费：指从基金财产中计提的，用于本基金市场推广、销售以及基金份额持有人服务的费用</w:t>
      </w:r>
    </w:p>
    <w:p w14:paraId="2A9C6036">
      <w:pPr>
        <w:pStyle w:val="8"/>
        <w:spacing w:before="0" w:beforeAutospacing="0" w:after="0" w:afterAutospacing="0" w:line="360" w:lineRule="auto"/>
        <w:ind w:firstLine="420"/>
        <w:rPr>
          <w:sz w:val="21"/>
          <w:szCs w:val="21"/>
        </w:rPr>
      </w:pPr>
      <w:r>
        <w:rPr>
          <w:rFonts w:hint="eastAsia"/>
          <w:sz w:val="21"/>
          <w:szCs w:val="21"/>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10861A3A">
      <w:pPr>
        <w:pStyle w:val="8"/>
        <w:spacing w:before="0" w:beforeAutospacing="0" w:after="0" w:afterAutospacing="0" w:line="360" w:lineRule="auto"/>
        <w:ind w:firstLine="420"/>
        <w:rPr>
          <w:sz w:val="21"/>
          <w:szCs w:val="21"/>
        </w:rPr>
      </w:pPr>
      <w:r>
        <w:rPr>
          <w:rFonts w:hint="eastAsia"/>
          <w:sz w:val="21"/>
          <w:szCs w:val="21"/>
        </w:rPr>
        <w:t>59、信用衍生品：指符合证券交易所或银行间市场相关业务规则，专门用于管理信用风险的信用衍生工具</w:t>
      </w:r>
    </w:p>
    <w:p w14:paraId="77A2723C">
      <w:pPr>
        <w:pStyle w:val="8"/>
        <w:spacing w:before="0" w:beforeAutospacing="0" w:after="0" w:afterAutospacing="0" w:line="360" w:lineRule="auto"/>
        <w:ind w:firstLine="420"/>
        <w:rPr>
          <w:sz w:val="21"/>
          <w:szCs w:val="21"/>
        </w:rPr>
      </w:pPr>
      <w:r>
        <w:rPr>
          <w:rFonts w:hint="eastAsia"/>
          <w:sz w:val="21"/>
          <w:szCs w:val="21"/>
        </w:rPr>
        <w:t>60、信用保护买方：亦称信用保护购买方，指接受信用风险保护的一方</w:t>
      </w:r>
    </w:p>
    <w:p w14:paraId="2CBEBE2A">
      <w:pPr>
        <w:pStyle w:val="8"/>
        <w:spacing w:before="0" w:beforeAutospacing="0" w:after="0" w:afterAutospacing="0" w:line="360" w:lineRule="auto"/>
        <w:ind w:firstLine="420"/>
        <w:rPr>
          <w:sz w:val="21"/>
          <w:szCs w:val="21"/>
        </w:rPr>
      </w:pPr>
      <w:r>
        <w:rPr>
          <w:rFonts w:hint="eastAsia"/>
          <w:sz w:val="21"/>
          <w:szCs w:val="21"/>
        </w:rPr>
        <w:t>61、信用保护卖方：亦称信用保护提供方，指提供信用风险保护的一方</w:t>
      </w:r>
    </w:p>
    <w:p w14:paraId="36A06FC1">
      <w:pPr>
        <w:pStyle w:val="8"/>
        <w:spacing w:before="0" w:beforeAutospacing="0" w:after="0" w:afterAutospacing="0" w:line="360" w:lineRule="auto"/>
        <w:ind w:firstLine="420"/>
        <w:rPr>
          <w:sz w:val="21"/>
          <w:szCs w:val="21"/>
        </w:rPr>
      </w:pPr>
      <w:r>
        <w:rPr>
          <w:rFonts w:hint="eastAsia"/>
          <w:sz w:val="21"/>
          <w:szCs w:val="21"/>
        </w:rPr>
        <w:t>62、名义本金：亦称交易名义本金，是一笔信用衍生产品交易提供信用风险保护的金额，各项支付和结算以此金额为计算基准</w:t>
      </w:r>
    </w:p>
    <w:p w14:paraId="14E5F509">
      <w:pPr>
        <w:pStyle w:val="8"/>
        <w:spacing w:before="0" w:beforeAutospacing="0" w:after="0" w:afterAutospacing="0" w:line="360" w:lineRule="auto"/>
        <w:ind w:firstLine="420"/>
        <w:rPr>
          <w:sz w:val="21"/>
          <w:szCs w:val="21"/>
        </w:rPr>
      </w:pPr>
      <w:r>
        <w:rPr>
          <w:rFonts w:hint="eastAsia"/>
          <w:sz w:val="21"/>
          <w:szCs w:val="21"/>
        </w:rPr>
        <w:t>63、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4A23EAFE">
      <w:pPr>
        <w:pStyle w:val="8"/>
        <w:spacing w:before="0" w:beforeAutospacing="0" w:after="0" w:afterAutospacing="0" w:line="360" w:lineRule="auto"/>
        <w:ind w:firstLine="420"/>
        <w:rPr>
          <w:sz w:val="21"/>
          <w:szCs w:val="21"/>
        </w:rPr>
      </w:pPr>
      <w:r>
        <w:rPr>
          <w:rFonts w:hint="eastAsia"/>
          <w:sz w:val="21"/>
          <w:szCs w:val="21"/>
        </w:rPr>
        <w:t>64、港股通：是指内地投资者委托内地证券公司，经由证券交易所设立的证券交易服务公司，向香港联合交易所进行申报，买卖规定范围内的香港联合交易所上市的股票的交易机制</w:t>
      </w:r>
    </w:p>
    <w:p w14:paraId="1360BA19">
      <w:pPr>
        <w:pStyle w:val="8"/>
        <w:spacing w:before="0" w:beforeAutospacing="0" w:after="0" w:afterAutospacing="0" w:line="360" w:lineRule="auto"/>
        <w:ind w:firstLine="420"/>
        <w:rPr>
          <w:sz w:val="21"/>
          <w:szCs w:val="21"/>
        </w:rPr>
      </w:pPr>
      <w:r>
        <w:rPr>
          <w:rFonts w:hint="eastAsia"/>
          <w:sz w:val="21"/>
          <w:szCs w:val="21"/>
        </w:rPr>
        <w:t>65、规定媒介：指符合中国证监会规定条件的用以进行信息披露的全国性报刊及《信息披露办法》规定的互联网网站（包括基金管理人网站、基金托管人网站、中国证监会基金电子披露网站）等媒介   </w:t>
      </w:r>
    </w:p>
    <w:p w14:paraId="44903428">
      <w:pPr>
        <w:pStyle w:val="8"/>
        <w:spacing w:before="0" w:beforeAutospacing="0" w:after="0" w:afterAutospacing="0" w:line="360" w:lineRule="auto"/>
        <w:ind w:firstLine="420"/>
        <w:rPr>
          <w:sz w:val="21"/>
          <w:szCs w:val="21"/>
        </w:rPr>
      </w:pPr>
      <w:r>
        <w:rPr>
          <w:rFonts w:hint="eastAsia"/>
          <w:sz w:val="21"/>
          <w:szCs w:val="21"/>
        </w:rPr>
        <w:t>66、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0E6F2969">
      <w:pPr>
        <w:pStyle w:val="8"/>
        <w:spacing w:before="0" w:beforeAutospacing="0" w:after="0" w:afterAutospacing="0" w:line="360" w:lineRule="auto"/>
        <w:ind w:firstLine="420"/>
        <w:rPr>
          <w:sz w:val="21"/>
          <w:szCs w:val="21"/>
        </w:rPr>
      </w:pPr>
      <w:r>
        <w:rPr>
          <w:rFonts w:hint="eastAsia"/>
          <w:sz w:val="21"/>
          <w:szCs w:val="21"/>
        </w:rPr>
        <w:t>67、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05FF006D">
      <w:pPr>
        <w:pStyle w:val="8"/>
        <w:spacing w:before="0" w:beforeAutospacing="0" w:after="0" w:afterAutospacing="0" w:line="360" w:lineRule="auto"/>
        <w:ind w:firstLine="420"/>
        <w:rPr>
          <w:sz w:val="21"/>
          <w:szCs w:val="21"/>
        </w:rPr>
      </w:pPr>
      <w:bookmarkStart w:id="24" w:name="chapter_level1_4_49_section_1_end"/>
      <w:bookmarkEnd w:id="24"/>
      <w:r>
        <w:rPr>
          <w:rFonts w:hint="eastAsia"/>
          <w:sz w:val="21"/>
          <w:szCs w:val="21"/>
        </w:rPr>
        <w:t>68、不可抗力：指基金合同当事人不能预见、不能避免且不能克服的客观事件 </w:t>
      </w:r>
    </w:p>
    <w:p w14:paraId="661B5717">
      <w:pPr>
        <w:widowControl/>
        <w:jc w:val="left"/>
        <w:rPr>
          <w:rFonts w:ascii="宋体" w:hAnsi="宋体" w:eastAsia="宋体"/>
        </w:rPr>
      </w:pPr>
      <w:r>
        <w:rPr>
          <w:rFonts w:ascii="宋体" w:hAnsi="宋体" w:eastAsia="宋体"/>
        </w:rPr>
        <w:br w:type="page"/>
      </w:r>
    </w:p>
    <w:p w14:paraId="13F264CD">
      <w:pPr>
        <w:pStyle w:val="3"/>
        <w:jc w:val="center"/>
        <w:rPr>
          <w:rFonts w:ascii="宋体" w:hAnsi="宋体" w:eastAsia="宋体"/>
          <w:sz w:val="30"/>
        </w:rPr>
      </w:pPr>
      <w:bookmarkStart w:id="25" w:name="chapter_level1_5_53"/>
      <w:bookmarkStart w:id="26" w:name="_Toc213857117"/>
      <w:r>
        <w:rPr>
          <w:rFonts w:hint="eastAsia" w:ascii="宋体" w:hAnsi="宋体" w:eastAsia="宋体"/>
          <w:sz w:val="30"/>
        </w:rPr>
        <w:t>第三部分  基金管理人</w:t>
      </w:r>
      <w:bookmarkEnd w:id="25"/>
      <w:bookmarkEnd w:id="26"/>
    </w:p>
    <w:p w14:paraId="56080F5C">
      <w:pPr>
        <w:pStyle w:val="8"/>
        <w:spacing w:before="0" w:beforeAutospacing="0" w:after="0" w:afterAutospacing="0" w:line="360" w:lineRule="auto"/>
        <w:ind w:firstLine="420"/>
        <w:rPr>
          <w:rStyle w:val="12"/>
          <w:b/>
          <w:bCs/>
          <w:sz w:val="21"/>
          <w:szCs w:val="21"/>
        </w:rPr>
      </w:pPr>
      <w:bookmarkStart w:id="27" w:name="chapter_level1_5_53_section_1"/>
      <w:bookmarkEnd w:id="27"/>
      <w:r>
        <w:rPr>
          <w:rStyle w:val="12"/>
          <w:b/>
          <w:bCs/>
          <w:sz w:val="21"/>
          <w:szCs w:val="21"/>
        </w:rPr>
        <w:t>一、基金管理人概况</w:t>
      </w:r>
    </w:p>
    <w:p w14:paraId="00D2E210">
      <w:pPr>
        <w:pStyle w:val="8"/>
        <w:spacing w:before="0" w:beforeAutospacing="0" w:after="0" w:afterAutospacing="0" w:line="360" w:lineRule="auto"/>
        <w:ind w:firstLine="420"/>
        <w:rPr>
          <w:rStyle w:val="12"/>
          <w:b w:val="0"/>
          <w:bCs w:val="0"/>
          <w:sz w:val="21"/>
          <w:szCs w:val="21"/>
        </w:rPr>
      </w:pPr>
      <w:r>
        <w:rPr>
          <w:rStyle w:val="12"/>
          <w:b w:val="0"/>
          <w:bCs w:val="0"/>
          <w:sz w:val="21"/>
          <w:szCs w:val="21"/>
        </w:rPr>
        <w:t>名称：</w:t>
      </w:r>
      <w:r>
        <w:rPr>
          <w:rStyle w:val="12"/>
          <w:b w:val="0"/>
          <w:bCs w:val="0"/>
          <w:sz w:val="21"/>
          <w:szCs w:val="21"/>
        </w:rPr>
        <w:tab/>
      </w:r>
      <w:r>
        <w:rPr>
          <w:rStyle w:val="12"/>
          <w:b w:val="0"/>
          <w:bCs w:val="0"/>
          <w:sz w:val="21"/>
          <w:szCs w:val="21"/>
        </w:rPr>
        <w:t>博时基金管理有限公司</w:t>
      </w:r>
    </w:p>
    <w:p w14:paraId="033B7865">
      <w:pPr>
        <w:pStyle w:val="8"/>
        <w:spacing w:before="0" w:beforeAutospacing="0" w:after="0" w:afterAutospacing="0" w:line="360" w:lineRule="auto"/>
        <w:ind w:firstLine="420"/>
        <w:rPr>
          <w:rStyle w:val="12"/>
          <w:b w:val="0"/>
          <w:bCs w:val="0"/>
          <w:sz w:val="21"/>
          <w:szCs w:val="21"/>
        </w:rPr>
      </w:pPr>
      <w:r>
        <w:rPr>
          <w:rStyle w:val="12"/>
          <w:b w:val="0"/>
          <w:bCs w:val="0"/>
          <w:sz w:val="21"/>
          <w:szCs w:val="21"/>
        </w:rPr>
        <w:t>住所：</w:t>
      </w:r>
      <w:r>
        <w:rPr>
          <w:rStyle w:val="12"/>
          <w:b w:val="0"/>
          <w:bCs w:val="0"/>
          <w:sz w:val="21"/>
          <w:szCs w:val="21"/>
        </w:rPr>
        <w:tab/>
      </w:r>
      <w:r>
        <w:rPr>
          <w:rStyle w:val="12"/>
          <w:b w:val="0"/>
          <w:bCs w:val="0"/>
          <w:sz w:val="21"/>
          <w:szCs w:val="21"/>
        </w:rPr>
        <w:t>深圳市福田区莲花街道福新社区益田路5999号基金大厦21层</w:t>
      </w:r>
    </w:p>
    <w:p w14:paraId="63859140">
      <w:pPr>
        <w:pStyle w:val="8"/>
        <w:spacing w:before="0" w:beforeAutospacing="0" w:after="0" w:afterAutospacing="0" w:line="360" w:lineRule="auto"/>
        <w:ind w:firstLine="420"/>
        <w:rPr>
          <w:rStyle w:val="12"/>
          <w:b w:val="0"/>
          <w:bCs w:val="0"/>
          <w:sz w:val="21"/>
          <w:szCs w:val="21"/>
        </w:rPr>
      </w:pPr>
      <w:r>
        <w:rPr>
          <w:rStyle w:val="12"/>
          <w:b w:val="0"/>
          <w:bCs w:val="0"/>
          <w:sz w:val="21"/>
          <w:szCs w:val="21"/>
        </w:rPr>
        <w:t>办公地址：</w:t>
      </w:r>
      <w:r>
        <w:rPr>
          <w:rStyle w:val="12"/>
          <w:b w:val="0"/>
          <w:bCs w:val="0"/>
          <w:sz w:val="21"/>
          <w:szCs w:val="21"/>
        </w:rPr>
        <w:tab/>
      </w:r>
      <w:r>
        <w:rPr>
          <w:rStyle w:val="12"/>
          <w:b w:val="0"/>
          <w:bCs w:val="0"/>
          <w:sz w:val="21"/>
          <w:szCs w:val="21"/>
        </w:rPr>
        <w:t>广东省深圳市福田区益田路5999号基金大厦21层</w:t>
      </w:r>
    </w:p>
    <w:p w14:paraId="1DABB293">
      <w:pPr>
        <w:pStyle w:val="8"/>
        <w:spacing w:before="0" w:beforeAutospacing="0" w:after="0" w:afterAutospacing="0" w:line="360" w:lineRule="auto"/>
        <w:ind w:firstLine="420"/>
        <w:rPr>
          <w:rStyle w:val="12"/>
          <w:b w:val="0"/>
          <w:bCs w:val="0"/>
          <w:sz w:val="21"/>
          <w:szCs w:val="21"/>
        </w:rPr>
      </w:pPr>
      <w:r>
        <w:rPr>
          <w:rStyle w:val="12"/>
          <w:b w:val="0"/>
          <w:bCs w:val="0"/>
          <w:sz w:val="21"/>
          <w:szCs w:val="21"/>
        </w:rPr>
        <w:t>法定代表人：张东</w:t>
      </w:r>
    </w:p>
    <w:p w14:paraId="732B1DA2">
      <w:pPr>
        <w:pStyle w:val="8"/>
        <w:spacing w:before="0" w:beforeAutospacing="0" w:after="0" w:afterAutospacing="0" w:line="360" w:lineRule="auto"/>
        <w:ind w:firstLine="420"/>
        <w:rPr>
          <w:rStyle w:val="12"/>
          <w:b w:val="0"/>
          <w:bCs w:val="0"/>
          <w:sz w:val="21"/>
          <w:szCs w:val="21"/>
        </w:rPr>
      </w:pPr>
      <w:r>
        <w:rPr>
          <w:rStyle w:val="12"/>
          <w:b w:val="0"/>
          <w:bCs w:val="0"/>
          <w:sz w:val="21"/>
          <w:szCs w:val="21"/>
        </w:rPr>
        <w:t>成立时间：</w:t>
      </w:r>
      <w:r>
        <w:rPr>
          <w:rStyle w:val="12"/>
          <w:b w:val="0"/>
          <w:bCs w:val="0"/>
          <w:sz w:val="21"/>
          <w:szCs w:val="21"/>
        </w:rPr>
        <w:tab/>
      </w:r>
      <w:r>
        <w:rPr>
          <w:rStyle w:val="12"/>
          <w:b w:val="0"/>
          <w:bCs w:val="0"/>
          <w:sz w:val="21"/>
          <w:szCs w:val="21"/>
        </w:rPr>
        <w:t>1998年7月13日</w:t>
      </w:r>
    </w:p>
    <w:p w14:paraId="7FB7E844">
      <w:pPr>
        <w:pStyle w:val="8"/>
        <w:spacing w:before="0" w:beforeAutospacing="0" w:after="0" w:afterAutospacing="0" w:line="360" w:lineRule="auto"/>
        <w:ind w:firstLine="420"/>
        <w:rPr>
          <w:rStyle w:val="12"/>
          <w:b w:val="0"/>
          <w:bCs w:val="0"/>
          <w:sz w:val="21"/>
          <w:szCs w:val="21"/>
        </w:rPr>
      </w:pPr>
      <w:r>
        <w:rPr>
          <w:rStyle w:val="12"/>
          <w:b w:val="0"/>
          <w:bCs w:val="0"/>
          <w:sz w:val="21"/>
          <w:szCs w:val="21"/>
        </w:rPr>
        <w:t>注册资本：</w:t>
      </w:r>
      <w:r>
        <w:rPr>
          <w:rStyle w:val="12"/>
          <w:b w:val="0"/>
          <w:bCs w:val="0"/>
          <w:sz w:val="21"/>
          <w:szCs w:val="21"/>
        </w:rPr>
        <w:tab/>
      </w:r>
      <w:r>
        <w:rPr>
          <w:rStyle w:val="12"/>
          <w:b w:val="0"/>
          <w:bCs w:val="0"/>
          <w:sz w:val="21"/>
          <w:szCs w:val="21"/>
        </w:rPr>
        <w:t>2.5亿元人民币</w:t>
      </w:r>
    </w:p>
    <w:p w14:paraId="33323900">
      <w:pPr>
        <w:pStyle w:val="8"/>
        <w:spacing w:before="0" w:beforeAutospacing="0" w:after="0" w:afterAutospacing="0" w:line="360" w:lineRule="auto"/>
        <w:ind w:firstLine="420"/>
        <w:rPr>
          <w:rStyle w:val="12"/>
          <w:b w:val="0"/>
          <w:bCs w:val="0"/>
          <w:sz w:val="21"/>
          <w:szCs w:val="21"/>
        </w:rPr>
      </w:pPr>
      <w:r>
        <w:rPr>
          <w:rStyle w:val="12"/>
          <w:b w:val="0"/>
          <w:bCs w:val="0"/>
          <w:sz w:val="21"/>
          <w:szCs w:val="21"/>
        </w:rPr>
        <w:t>存续期间：</w:t>
      </w:r>
      <w:r>
        <w:rPr>
          <w:rStyle w:val="12"/>
          <w:b w:val="0"/>
          <w:bCs w:val="0"/>
          <w:sz w:val="21"/>
          <w:szCs w:val="21"/>
        </w:rPr>
        <w:tab/>
      </w:r>
      <w:r>
        <w:rPr>
          <w:rStyle w:val="12"/>
          <w:b w:val="0"/>
          <w:bCs w:val="0"/>
          <w:sz w:val="21"/>
          <w:szCs w:val="21"/>
        </w:rPr>
        <w:t>持续经营</w:t>
      </w:r>
    </w:p>
    <w:p w14:paraId="246C0C0E">
      <w:pPr>
        <w:pStyle w:val="8"/>
        <w:spacing w:before="0" w:beforeAutospacing="0" w:after="0" w:afterAutospacing="0" w:line="360" w:lineRule="auto"/>
        <w:ind w:firstLine="420"/>
        <w:rPr>
          <w:rStyle w:val="12"/>
          <w:b w:val="0"/>
          <w:bCs w:val="0"/>
          <w:sz w:val="21"/>
          <w:szCs w:val="21"/>
        </w:rPr>
      </w:pPr>
      <w:r>
        <w:rPr>
          <w:rStyle w:val="12"/>
          <w:b w:val="0"/>
          <w:bCs w:val="0"/>
          <w:sz w:val="21"/>
          <w:szCs w:val="21"/>
        </w:rPr>
        <w:t>联系人：    杜松岭</w:t>
      </w:r>
    </w:p>
    <w:p w14:paraId="480DE732">
      <w:pPr>
        <w:pStyle w:val="8"/>
        <w:spacing w:before="0" w:beforeAutospacing="0" w:after="0" w:afterAutospacing="0" w:line="360" w:lineRule="auto"/>
        <w:ind w:firstLine="420"/>
        <w:rPr>
          <w:rStyle w:val="12"/>
          <w:b w:val="0"/>
          <w:bCs w:val="0"/>
          <w:sz w:val="21"/>
          <w:szCs w:val="21"/>
        </w:rPr>
      </w:pPr>
      <w:r>
        <w:rPr>
          <w:rStyle w:val="12"/>
          <w:b w:val="0"/>
          <w:bCs w:val="0"/>
          <w:sz w:val="21"/>
          <w:szCs w:val="21"/>
        </w:rPr>
        <w:t>联系电话：  （0755）8316 9999</w:t>
      </w:r>
    </w:p>
    <w:p w14:paraId="32D5914E">
      <w:pPr>
        <w:pStyle w:val="8"/>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03BD74F1">
      <w:pPr>
        <w:pStyle w:val="8"/>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7608E9C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763E1F8D">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二、主要成员情况</w:t>
      </w:r>
    </w:p>
    <w:p w14:paraId="798F02D1">
      <w:pPr>
        <w:pStyle w:val="8"/>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080A1678">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58D82F36">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1F45A1CA">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022B3DA0">
      <w:pPr>
        <w:pStyle w:val="8"/>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3674A67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27D916ED">
      <w:pPr>
        <w:pStyle w:val="8"/>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5FF9191B">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5A47C73D">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050BE8F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61D1D5FB">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5167A8FD">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610B0909">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25EE587B">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lang w:eastAsia="zh-CN"/>
        </w:rPr>
        <w:t>张东先生，</w:t>
      </w:r>
      <w:r>
        <w:rPr>
          <w:rFonts w:hint="eastAsia"/>
          <w:sz w:val="21"/>
          <w:szCs w:val="21"/>
          <w:highlight w:val="none"/>
        </w:rPr>
        <w:t>简历同上。</w:t>
      </w:r>
    </w:p>
    <w:p w14:paraId="1FBD9651">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p w14:paraId="257F95D9">
      <w:pPr>
        <w:pStyle w:val="8"/>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393A6CB6">
      <w:pPr>
        <w:pStyle w:val="8"/>
        <w:spacing w:before="0" w:beforeAutospacing="0" w:after="0" w:afterAutospacing="0" w:line="360" w:lineRule="auto"/>
        <w:ind w:firstLine="420"/>
        <w:rPr>
          <w:sz w:val="21"/>
          <w:szCs w:val="21"/>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rPr>
        <w:t xml:space="preserve"> </w:t>
      </w:r>
      <w:bookmarkStart w:id="28" w:name="field_0_managerpersoninfo_1_end"/>
      <w:bookmarkEnd w:id="28"/>
      <w:r>
        <w:rPr>
          <w:rFonts w:hint="eastAsia"/>
          <w:sz w:val="21"/>
          <w:szCs w:val="21"/>
        </w:rPr>
        <w:t xml:space="preserve">  </w:t>
      </w:r>
    </w:p>
    <w:p w14:paraId="0D156E80">
      <w:pPr>
        <w:pStyle w:val="8"/>
        <w:spacing w:before="0" w:beforeAutospacing="0" w:after="0" w:afterAutospacing="0" w:line="360" w:lineRule="auto"/>
        <w:ind w:firstLine="420"/>
        <w:rPr>
          <w:sz w:val="21"/>
          <w:szCs w:val="21"/>
        </w:rPr>
      </w:pPr>
      <w:bookmarkStart w:id="29" w:name="chapter_level1_5_53_section_2"/>
      <w:bookmarkEnd w:id="29"/>
      <w:r>
        <w:rPr>
          <w:rFonts w:hint="eastAsia"/>
          <w:sz w:val="21"/>
          <w:szCs w:val="21"/>
        </w:rPr>
        <w:t xml:space="preserve">3、本基金基金经理 </w:t>
      </w:r>
    </w:p>
    <w:p w14:paraId="5771BF19">
      <w:pPr>
        <w:pStyle w:val="8"/>
        <w:spacing w:before="0" w:beforeAutospacing="0" w:after="0" w:afterAutospacing="0" w:line="360" w:lineRule="auto"/>
        <w:ind w:firstLine="420"/>
        <w:rPr>
          <w:sz w:val="21"/>
          <w:szCs w:val="21"/>
        </w:rPr>
      </w:pPr>
      <w:bookmarkStart w:id="30" w:name="field_0_fundmanagerresume_1_start"/>
      <w:bookmarkEnd w:id="30"/>
      <w:r>
        <w:rPr>
          <w:rFonts w:ascii="宋体" w:hAnsi="宋体" w:eastAsia="宋体" w:cs="宋体"/>
          <w:color w:val="auto"/>
          <w:sz w:val="21"/>
          <w:szCs w:val="21"/>
          <w:shd w:val="clear" w:color="auto" w:fill="auto"/>
        </w:rPr>
        <w:t>田俊维先生，学士。2007年起先后在渣打银行（中国）有限公司、上海申银万国证券研究所有限公司、安信证券、天弘基金工作。2021年加入博时基金管理有限公司。历任博时鑫康混合型证券投资基金(2021年12月9日-2025年5月24日)、博时卓远成长一年持有期股票型证券投资基金(2022年9月29日-2025年12月26日)、博时卓越成长混合型证券投资基金(2024年1月30日-2026年1月15日)的基金经理。现任博时创新经济混合型证券投资基金(2021年11月5日—至今)、博时卓睿成长股票型证券投资基金(2025年6月20日—至今)、博时卓越优选混合型证券投资基金(2025年6月27日—至今)的基金经理。</w:t>
      </w:r>
      <w:bookmarkStart w:id="31" w:name="field_0_fundmanagerresume_1_end"/>
      <w:bookmarkEnd w:id="31"/>
      <w:r>
        <w:rPr>
          <w:rFonts w:hint="eastAsia"/>
          <w:sz w:val="21"/>
          <w:szCs w:val="21"/>
        </w:rPr>
        <w:t xml:space="preserve">  </w:t>
      </w:r>
    </w:p>
    <w:p w14:paraId="67934ECF">
      <w:pPr>
        <w:pStyle w:val="8"/>
        <w:spacing w:before="0" w:beforeAutospacing="0" w:after="0" w:afterAutospacing="0" w:line="360" w:lineRule="auto"/>
        <w:ind w:firstLine="420"/>
        <w:rPr>
          <w:rFonts w:hint="eastAsia"/>
          <w:sz w:val="21"/>
          <w:szCs w:val="21"/>
        </w:rPr>
      </w:pPr>
      <w:bookmarkStart w:id="32" w:name="field_0_managerpersoninfo2_1_start"/>
      <w:bookmarkEnd w:id="32"/>
      <w:bookmarkStart w:id="33" w:name="chapter_level1_5_53_section_3"/>
      <w:bookmarkEnd w:id="33"/>
      <w:r>
        <w:rPr>
          <w:rFonts w:hint="eastAsia"/>
          <w:sz w:val="21"/>
          <w:szCs w:val="21"/>
        </w:rPr>
        <w:t xml:space="preserve">4、投资决策委员会成员 </w:t>
      </w:r>
    </w:p>
    <w:p w14:paraId="35E85808">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公司首席资产配置官黄健斌先生。</w:t>
      </w:r>
    </w:p>
    <w:p w14:paraId="253DBD39">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公司投资决策委员会专职委员兼年金投资部总经理于善辉先生。</w:t>
      </w:r>
    </w:p>
    <w:p w14:paraId="29779761">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首席基金经理过钧先生。 </w:t>
      </w:r>
    </w:p>
    <w:p w14:paraId="0A6E35A7">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首席投资官兼权益投研一体化总监、境外投资部总经理曾鹏先生。 </w:t>
      </w:r>
    </w:p>
    <w:p w14:paraId="16FAFB1C">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董事总经理兼</w:t>
      </w:r>
      <w:r>
        <w:rPr>
          <w:rFonts w:hint="eastAsia" w:ascii="宋体" w:hAnsi="宋体" w:eastAsia="宋体" w:cs="宋体"/>
          <w:kern w:val="0"/>
          <w:szCs w:val="21"/>
          <w:highlight w:val="none"/>
        </w:rPr>
        <w:t>权益投资三部总经理</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 xml:space="preserve">权益投资三部投资总监蔡滨先生。 </w:t>
      </w:r>
    </w:p>
    <w:p w14:paraId="4D5EA955">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行业研究部总经理魏立先生。 </w:t>
      </w:r>
    </w:p>
    <w:p w14:paraId="62B67A0E">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宏观策略部</w:t>
      </w:r>
      <w:r>
        <w:rPr>
          <w:rFonts w:hint="eastAsia" w:ascii="宋体" w:hAnsi="宋体" w:eastAsia="宋体" w:cs="宋体"/>
          <w:kern w:val="0"/>
          <w:szCs w:val="21"/>
          <w:highlight w:val="none"/>
          <w:lang w:val="en-US" w:eastAsia="zh-CN"/>
        </w:rPr>
        <w:t>首席策略分析师</w:t>
      </w:r>
      <w:r>
        <w:rPr>
          <w:rFonts w:hint="eastAsia" w:ascii="宋体" w:hAnsi="宋体" w:eastAsia="宋体" w:cs="宋体"/>
          <w:kern w:val="0"/>
          <w:szCs w:val="21"/>
          <w:highlight w:val="none"/>
        </w:rPr>
        <w:t xml:space="preserve">陈显顺先生。 </w:t>
      </w:r>
    </w:p>
    <w:p w14:paraId="150A181C">
      <w:pPr>
        <w:pStyle w:val="8"/>
        <w:spacing w:before="0" w:beforeAutospacing="0" w:after="0" w:afterAutospacing="0" w:line="360" w:lineRule="auto"/>
        <w:ind w:firstLine="420"/>
        <w:rPr>
          <w:rFonts w:hint="eastAsia"/>
          <w:sz w:val="21"/>
          <w:szCs w:val="21"/>
        </w:rPr>
      </w:pPr>
      <w:r>
        <w:rPr>
          <w:rFonts w:hint="eastAsia" w:ascii="宋体" w:hAnsi="宋体" w:eastAsia="宋体" w:cs="宋体"/>
          <w:kern w:val="0"/>
          <w:sz w:val="21"/>
          <w:szCs w:val="21"/>
          <w:highlight w:val="none"/>
        </w:rPr>
        <w:t>指数与量化投资部总经理兼指数与量化投资部投资总监赵云阳先生。</w:t>
      </w:r>
      <w:r>
        <w:rPr>
          <w:rFonts w:hint="eastAsia"/>
          <w:sz w:val="21"/>
          <w:szCs w:val="21"/>
        </w:rPr>
        <w:t xml:space="preserve"> </w:t>
      </w:r>
    </w:p>
    <w:p w14:paraId="498A8A5E">
      <w:pPr>
        <w:pStyle w:val="8"/>
        <w:spacing w:before="0" w:beforeAutospacing="0" w:after="0" w:afterAutospacing="0" w:line="360" w:lineRule="auto"/>
        <w:ind w:firstLine="420"/>
        <w:rPr>
          <w:rStyle w:val="12"/>
          <w:rFonts w:hint="eastAsia"/>
          <w:sz w:val="21"/>
          <w:szCs w:val="21"/>
        </w:rPr>
      </w:pPr>
      <w:r>
        <w:rPr>
          <w:rFonts w:hint="eastAsia"/>
          <w:sz w:val="21"/>
          <w:szCs w:val="21"/>
          <w:lang w:val="en-US" w:eastAsia="zh-CN"/>
        </w:rPr>
        <w:t>5、</w:t>
      </w:r>
      <w:r>
        <w:rPr>
          <w:rFonts w:hint="eastAsia"/>
          <w:sz w:val="21"/>
          <w:szCs w:val="21"/>
        </w:rPr>
        <w:t>上述人员之间均不存在近亲属关系。</w:t>
      </w:r>
      <w:bookmarkStart w:id="34" w:name="chapter_level1_5_53_section_4"/>
      <w:bookmarkEnd w:id="34"/>
    </w:p>
    <w:p w14:paraId="24684C6C">
      <w:pPr>
        <w:pStyle w:val="8"/>
        <w:spacing w:before="0" w:beforeAutospacing="0" w:after="0" w:afterAutospacing="0" w:line="360" w:lineRule="auto"/>
        <w:ind w:firstLine="420"/>
        <w:rPr>
          <w:sz w:val="21"/>
          <w:szCs w:val="21"/>
        </w:rPr>
      </w:pPr>
      <w:r>
        <w:rPr>
          <w:rStyle w:val="12"/>
          <w:rFonts w:hint="eastAsia"/>
          <w:sz w:val="21"/>
          <w:szCs w:val="21"/>
        </w:rPr>
        <w:t>三、基金管理人的职责</w:t>
      </w:r>
    </w:p>
    <w:p w14:paraId="22A78AAC">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30D47992">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11988371">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43FCF5D2">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5DFD193C">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35CC0B38">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6D457C2D">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0FA35C75">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00D733BC">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31A1DB5E">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1B034864">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30E641F2">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因监管机构、司法机关等有权机关、行业自律组织的要求提供，或因审计、法律等外部专业顾问提供服务需要提供的情况除外； </w:t>
      </w:r>
    </w:p>
    <w:p w14:paraId="1F8A6609">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45DEC2EE">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7A909276">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062CE342">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16、按规定保存基金财产管理业务活动的会计账册、报表、记录和其他相关资料，保存期限不低于法律法规规定的最低期限； </w:t>
      </w:r>
    </w:p>
    <w:p w14:paraId="209B510C">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0C06C177">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25DE8269">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A894580">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7FD80A89">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425E2A65">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4B9B5F55">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5EFE463A">
      <w:pPr>
        <w:pStyle w:val="8"/>
        <w:spacing w:before="0" w:beforeAutospacing="0" w:after="0" w:afterAutospacing="0" w:line="360" w:lineRule="auto"/>
        <w:ind w:firstLine="420"/>
        <w:rPr>
          <w:sz w:val="21"/>
          <w:szCs w:val="21"/>
        </w:rPr>
      </w:pPr>
      <w:r>
        <w:rPr>
          <w:rFonts w:hint="eastAsia"/>
          <w:sz w:val="21"/>
          <w:szCs w:val="21"/>
        </w:rPr>
        <w:t xml:space="preserve">24、基金在募集期间未能达到基金的备案条件，《基金合同》不能生效，基金管理人承担全部募集费用，将已募集资金并加计银行同期活期存款利息在基金募集期结束后30日内退还基金认购人； </w:t>
      </w:r>
    </w:p>
    <w:p w14:paraId="252CB28B">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23D65ABA">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75F162FC">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1229589D">
      <w:pPr>
        <w:pStyle w:val="8"/>
        <w:spacing w:before="0" w:beforeAutospacing="0" w:after="0" w:afterAutospacing="0" w:line="360" w:lineRule="auto"/>
        <w:ind w:firstLine="420"/>
        <w:rPr>
          <w:sz w:val="21"/>
          <w:szCs w:val="21"/>
        </w:rPr>
      </w:pPr>
      <w:r>
        <w:rPr>
          <w:rStyle w:val="12"/>
          <w:rFonts w:hint="eastAsia"/>
          <w:sz w:val="21"/>
          <w:szCs w:val="21"/>
        </w:rPr>
        <w:t>四、基金管理人的承诺</w:t>
      </w:r>
    </w:p>
    <w:p w14:paraId="707A7925">
      <w:pPr>
        <w:pStyle w:val="8"/>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1、基金管理人承诺不从事违反《中华人民共和国证券法》（以下简称“《证券法》”）的行为，并承诺建立健全内部控制制度，采取有效措施，防止违反《证券法》行为的发生； </w:t>
      </w:r>
    </w:p>
    <w:p w14:paraId="1CADADA4">
      <w:pPr>
        <w:pStyle w:val="8"/>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2DC9E252">
      <w:pPr>
        <w:pStyle w:val="8"/>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31EDF247">
      <w:pPr>
        <w:pStyle w:val="8"/>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4EA73F84">
      <w:pPr>
        <w:pStyle w:val="8"/>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5823C5D7">
      <w:pPr>
        <w:pStyle w:val="8"/>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73A6554E">
      <w:pPr>
        <w:pStyle w:val="8"/>
        <w:spacing w:before="0" w:beforeAutospacing="0" w:after="0" w:afterAutospacing="0" w:line="360" w:lineRule="auto"/>
        <w:ind w:firstLine="420"/>
        <w:rPr>
          <w:sz w:val="21"/>
          <w:szCs w:val="21"/>
        </w:rPr>
      </w:pPr>
      <w:r>
        <w:rPr>
          <w:rFonts w:hint="eastAsia"/>
          <w:sz w:val="21"/>
          <w:szCs w:val="21"/>
        </w:rPr>
        <w:t xml:space="preserve">（5）侵占、挪用基金财产； </w:t>
      </w:r>
    </w:p>
    <w:p w14:paraId="7C83DA53">
      <w:pPr>
        <w:pStyle w:val="8"/>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1BE8C5FF">
      <w:pPr>
        <w:pStyle w:val="8"/>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4CD4DA14">
      <w:pPr>
        <w:pStyle w:val="8"/>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7C61F6FE">
      <w:pPr>
        <w:pStyle w:val="8"/>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6C9276EF">
      <w:pPr>
        <w:pStyle w:val="8"/>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012B64A7">
      <w:pPr>
        <w:pStyle w:val="8"/>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42DDB990">
      <w:pPr>
        <w:pStyle w:val="8"/>
        <w:spacing w:before="0" w:beforeAutospacing="0" w:after="0" w:afterAutospacing="0" w:line="360" w:lineRule="auto"/>
        <w:ind w:firstLine="420"/>
        <w:rPr>
          <w:sz w:val="21"/>
          <w:szCs w:val="21"/>
        </w:rPr>
      </w:pPr>
      <w:r>
        <w:rPr>
          <w:rStyle w:val="12"/>
          <w:rFonts w:hint="eastAsia"/>
          <w:sz w:val="21"/>
          <w:szCs w:val="21"/>
        </w:rPr>
        <w:t>五、基金经理承诺</w:t>
      </w:r>
    </w:p>
    <w:p w14:paraId="07EA7ECD">
      <w:pPr>
        <w:pStyle w:val="8"/>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6ABB89AF">
      <w:pPr>
        <w:pStyle w:val="8"/>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6C0B0810">
      <w:pPr>
        <w:pStyle w:val="8"/>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36BCD11E">
      <w:pPr>
        <w:pStyle w:val="8"/>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56E48A80">
      <w:pPr>
        <w:pStyle w:val="8"/>
        <w:spacing w:before="0" w:beforeAutospacing="0" w:after="0" w:afterAutospacing="0" w:line="360" w:lineRule="auto"/>
        <w:ind w:firstLine="420"/>
        <w:rPr>
          <w:sz w:val="21"/>
          <w:szCs w:val="21"/>
        </w:rPr>
      </w:pPr>
      <w:r>
        <w:rPr>
          <w:rFonts w:hint="eastAsia"/>
          <w:b/>
          <w:bCs/>
          <w:sz w:val="21"/>
          <w:szCs w:val="21"/>
        </w:rPr>
        <w:t>六、基金管理人的内部控制制度</w:t>
      </w:r>
    </w:p>
    <w:p w14:paraId="22E8B1E3">
      <w:pPr>
        <w:pStyle w:val="8"/>
        <w:spacing w:before="0" w:beforeAutospacing="0" w:after="0" w:afterAutospacing="0" w:line="360" w:lineRule="auto"/>
        <w:ind w:firstLine="420"/>
        <w:rPr>
          <w:sz w:val="21"/>
          <w:szCs w:val="21"/>
        </w:rPr>
      </w:pPr>
      <w:r>
        <w:rPr>
          <w:rFonts w:hint="eastAsia"/>
          <w:sz w:val="21"/>
          <w:szCs w:val="21"/>
        </w:rPr>
        <w:t xml:space="preserve">1、风险管理的原则 </w:t>
      </w:r>
    </w:p>
    <w:p w14:paraId="64428913">
      <w:pPr>
        <w:pStyle w:val="8"/>
        <w:spacing w:before="0" w:beforeAutospacing="0" w:after="0" w:afterAutospacing="0" w:line="360" w:lineRule="auto"/>
        <w:ind w:firstLine="420"/>
        <w:rPr>
          <w:sz w:val="21"/>
          <w:szCs w:val="21"/>
        </w:rPr>
      </w:pPr>
      <w:r>
        <w:rPr>
          <w:rFonts w:hint="eastAsia"/>
          <w:sz w:val="21"/>
          <w:szCs w:val="21"/>
        </w:rPr>
        <w:t xml:space="preserve">（1）全面性原则 </w:t>
      </w:r>
    </w:p>
    <w:p w14:paraId="37EA8CAE">
      <w:pPr>
        <w:pStyle w:val="8"/>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489767CE">
      <w:pPr>
        <w:pStyle w:val="8"/>
        <w:spacing w:before="0" w:beforeAutospacing="0" w:after="0" w:afterAutospacing="0" w:line="360" w:lineRule="auto"/>
        <w:ind w:firstLine="420"/>
        <w:rPr>
          <w:sz w:val="21"/>
          <w:szCs w:val="21"/>
        </w:rPr>
      </w:pPr>
      <w:r>
        <w:rPr>
          <w:rFonts w:hint="eastAsia"/>
          <w:sz w:val="21"/>
          <w:szCs w:val="21"/>
        </w:rPr>
        <w:t xml:space="preserve">（2）独立性原则 </w:t>
      </w:r>
    </w:p>
    <w:p w14:paraId="2C216DDE">
      <w:pPr>
        <w:pStyle w:val="8"/>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公司设立独立的法律合规部，法律合规部保持高度的独立性和权威性，负责对公司各部门风险控制工作进行监督和检查。 </w:t>
      </w:r>
    </w:p>
    <w:p w14:paraId="220CF662">
      <w:pPr>
        <w:pStyle w:val="8"/>
        <w:spacing w:before="0" w:beforeAutospacing="0" w:after="0" w:afterAutospacing="0" w:line="360" w:lineRule="auto"/>
        <w:ind w:firstLine="420"/>
        <w:rPr>
          <w:sz w:val="21"/>
          <w:szCs w:val="21"/>
        </w:rPr>
      </w:pPr>
      <w:r>
        <w:rPr>
          <w:rFonts w:hint="eastAsia"/>
          <w:sz w:val="21"/>
          <w:szCs w:val="21"/>
        </w:rPr>
        <w:t xml:space="preserve">（3）相互制约原则 </w:t>
      </w:r>
    </w:p>
    <w:p w14:paraId="614CF4A8">
      <w:pPr>
        <w:pStyle w:val="8"/>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58F8D9B3">
      <w:pPr>
        <w:pStyle w:val="8"/>
        <w:spacing w:before="0" w:beforeAutospacing="0" w:after="0" w:afterAutospacing="0" w:line="360" w:lineRule="auto"/>
        <w:ind w:firstLine="420"/>
        <w:rPr>
          <w:sz w:val="21"/>
          <w:szCs w:val="21"/>
        </w:rPr>
      </w:pPr>
      <w:r>
        <w:rPr>
          <w:rFonts w:hint="eastAsia"/>
          <w:sz w:val="21"/>
          <w:szCs w:val="21"/>
        </w:rPr>
        <w:t xml:space="preserve">（4）定性和定量相结合原则 </w:t>
      </w:r>
    </w:p>
    <w:p w14:paraId="152F02CB">
      <w:pPr>
        <w:pStyle w:val="8"/>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1D288C27">
      <w:pPr>
        <w:pStyle w:val="8"/>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1BE3EE14">
      <w:pPr>
        <w:pStyle w:val="8"/>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监督和检查公司的风险管理措施的执行。具体而言，包括如下组成部分： </w:t>
      </w:r>
    </w:p>
    <w:p w14:paraId="49AA46C4">
      <w:pPr>
        <w:pStyle w:val="8"/>
        <w:spacing w:before="0" w:beforeAutospacing="0" w:after="0" w:afterAutospacing="0" w:line="360" w:lineRule="auto"/>
        <w:ind w:firstLine="420"/>
        <w:rPr>
          <w:sz w:val="21"/>
          <w:szCs w:val="21"/>
        </w:rPr>
      </w:pPr>
      <w:r>
        <w:rPr>
          <w:rFonts w:hint="eastAsia"/>
          <w:sz w:val="21"/>
          <w:szCs w:val="21"/>
        </w:rPr>
        <w:t xml:space="preserve">（1）董事会 </w:t>
      </w:r>
    </w:p>
    <w:p w14:paraId="3E6CFD4E">
      <w:pPr>
        <w:pStyle w:val="8"/>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31912295">
      <w:pPr>
        <w:pStyle w:val="8"/>
        <w:spacing w:before="0" w:beforeAutospacing="0" w:after="0" w:afterAutospacing="0" w:line="360" w:lineRule="auto"/>
        <w:ind w:firstLine="420"/>
        <w:rPr>
          <w:sz w:val="21"/>
          <w:szCs w:val="21"/>
        </w:rPr>
      </w:pPr>
      <w:r>
        <w:rPr>
          <w:rFonts w:hint="eastAsia"/>
          <w:sz w:val="21"/>
          <w:szCs w:val="21"/>
        </w:rPr>
        <w:t xml:space="preserve">（2）风险管理委员会 </w:t>
      </w:r>
    </w:p>
    <w:p w14:paraId="358C52A9">
      <w:pPr>
        <w:pStyle w:val="8"/>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2BB31B68">
      <w:pPr>
        <w:pStyle w:val="8"/>
        <w:spacing w:before="0" w:beforeAutospacing="0" w:after="0" w:afterAutospacing="0" w:line="360" w:lineRule="auto"/>
        <w:ind w:firstLine="420"/>
        <w:rPr>
          <w:sz w:val="21"/>
          <w:szCs w:val="21"/>
        </w:rPr>
      </w:pPr>
      <w:r>
        <w:rPr>
          <w:rFonts w:hint="eastAsia"/>
          <w:sz w:val="21"/>
          <w:szCs w:val="21"/>
        </w:rPr>
        <w:t xml:space="preserve">（3）督察长 </w:t>
      </w:r>
    </w:p>
    <w:p w14:paraId="318A6045">
      <w:pPr>
        <w:pStyle w:val="8"/>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5264FB7B">
      <w:pPr>
        <w:pStyle w:val="8"/>
        <w:spacing w:before="0" w:beforeAutospacing="0" w:after="0" w:afterAutospacing="0" w:line="360" w:lineRule="auto"/>
        <w:ind w:firstLine="420"/>
        <w:rPr>
          <w:sz w:val="21"/>
          <w:szCs w:val="21"/>
        </w:rPr>
      </w:pPr>
      <w:r>
        <w:rPr>
          <w:rFonts w:hint="eastAsia"/>
          <w:sz w:val="21"/>
          <w:szCs w:val="21"/>
        </w:rPr>
        <w:t xml:space="preserve">（4）法律合规部 </w:t>
      </w:r>
    </w:p>
    <w:p w14:paraId="024930C1">
      <w:pPr>
        <w:pStyle w:val="8"/>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法律合规部负责对公司风险管理政策和措施的执行情况进行监督和检查，并为每一个部门的风险管理系统的发展提供协助，使公司在一种风险管理和控制的环境中实现业务目标。 </w:t>
      </w:r>
    </w:p>
    <w:p w14:paraId="01C0CC3E">
      <w:pPr>
        <w:pStyle w:val="8"/>
        <w:spacing w:before="0" w:beforeAutospacing="0" w:after="0" w:afterAutospacing="0" w:line="360" w:lineRule="auto"/>
        <w:ind w:firstLine="420"/>
        <w:rPr>
          <w:sz w:val="21"/>
          <w:szCs w:val="21"/>
        </w:rPr>
      </w:pPr>
      <w:r>
        <w:rPr>
          <w:rFonts w:hint="eastAsia"/>
          <w:sz w:val="21"/>
          <w:szCs w:val="21"/>
        </w:rPr>
        <w:t xml:space="preserve">（5）风险管理部 </w:t>
      </w:r>
    </w:p>
    <w:p w14:paraId="4B9FD149">
      <w:pPr>
        <w:pStyle w:val="8"/>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30240634">
      <w:pPr>
        <w:pStyle w:val="8"/>
        <w:spacing w:before="0" w:beforeAutospacing="0" w:after="0" w:afterAutospacing="0" w:line="360" w:lineRule="auto"/>
        <w:ind w:firstLine="420"/>
        <w:rPr>
          <w:sz w:val="21"/>
          <w:szCs w:val="21"/>
        </w:rPr>
      </w:pPr>
      <w:r>
        <w:rPr>
          <w:rFonts w:hint="eastAsia"/>
          <w:sz w:val="21"/>
          <w:szCs w:val="21"/>
        </w:rPr>
        <w:t xml:space="preserve">（6）业务部门 </w:t>
      </w:r>
    </w:p>
    <w:p w14:paraId="29EECED1">
      <w:pPr>
        <w:pStyle w:val="8"/>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3B382FCB">
      <w:pPr>
        <w:pStyle w:val="8"/>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2CCA8D53">
      <w:pPr>
        <w:pStyle w:val="8"/>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1BABEA4B">
      <w:pPr>
        <w:pStyle w:val="8"/>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6982F0F4">
      <w:pPr>
        <w:pStyle w:val="8"/>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546869E8">
      <w:pPr>
        <w:pStyle w:val="8"/>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5FB043B4">
      <w:pPr>
        <w:pStyle w:val="8"/>
        <w:spacing w:before="0" w:beforeAutospacing="0" w:after="0" w:afterAutospacing="0" w:line="360" w:lineRule="auto"/>
        <w:ind w:firstLine="420"/>
        <w:rPr>
          <w:sz w:val="21"/>
          <w:szCs w:val="21"/>
        </w:rPr>
      </w:pPr>
      <w:r>
        <w:rPr>
          <w:rFonts w:hint="eastAsia"/>
          <w:sz w:val="21"/>
          <w:szCs w:val="21"/>
        </w:rPr>
        <w:t xml:space="preserve">（3）建立、健全岗位责任制 </w:t>
      </w:r>
    </w:p>
    <w:p w14:paraId="471DADF0">
      <w:pPr>
        <w:pStyle w:val="8"/>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5E591B0C">
      <w:pPr>
        <w:pStyle w:val="8"/>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44FE7871">
      <w:pPr>
        <w:pStyle w:val="8"/>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5692443A">
      <w:pPr>
        <w:pStyle w:val="8"/>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638560C7">
      <w:pPr>
        <w:pStyle w:val="8"/>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19CA13C0">
      <w:pPr>
        <w:pStyle w:val="8"/>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1BDA0640">
      <w:pPr>
        <w:pStyle w:val="8"/>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7D5E448B">
      <w:pPr>
        <w:pStyle w:val="8"/>
        <w:spacing w:before="0" w:beforeAutospacing="0" w:after="0" w:afterAutospacing="0" w:line="360" w:lineRule="auto"/>
        <w:ind w:firstLine="420"/>
        <w:rPr>
          <w:sz w:val="21"/>
          <w:szCs w:val="21"/>
        </w:rPr>
      </w:pPr>
      <w:r>
        <w:rPr>
          <w:rFonts w:hint="eastAsia"/>
          <w:sz w:val="21"/>
          <w:szCs w:val="21"/>
        </w:rPr>
        <w:t xml:space="preserve">（7）提供足够的培训 </w:t>
      </w:r>
    </w:p>
    <w:p w14:paraId="785E5C22">
      <w:pPr>
        <w:pStyle w:val="8"/>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35" w:name="chapter_level1_5_53_section_4_end"/>
      <w:bookmarkEnd w:id="35"/>
      <w:r>
        <w:rPr>
          <w:rFonts w:hint="eastAsia"/>
          <w:sz w:val="21"/>
          <w:szCs w:val="21"/>
        </w:rPr>
        <w:t xml:space="preserve">控制风险。 </w:t>
      </w:r>
    </w:p>
    <w:p w14:paraId="792FD2C1">
      <w:pPr>
        <w:widowControl/>
        <w:jc w:val="left"/>
        <w:rPr>
          <w:rFonts w:ascii="宋体" w:hAnsi="宋体" w:eastAsia="宋体"/>
        </w:rPr>
      </w:pPr>
      <w:r>
        <w:rPr>
          <w:rFonts w:ascii="宋体" w:hAnsi="宋体" w:eastAsia="宋体"/>
        </w:rPr>
        <w:br w:type="page"/>
      </w:r>
    </w:p>
    <w:p w14:paraId="674A1A0D">
      <w:pPr>
        <w:pStyle w:val="3"/>
        <w:jc w:val="center"/>
        <w:rPr>
          <w:rFonts w:ascii="宋体" w:hAnsi="宋体" w:eastAsia="宋体"/>
          <w:sz w:val="30"/>
        </w:rPr>
      </w:pPr>
      <w:bookmarkStart w:id="36" w:name="chapter_level1_6_55"/>
      <w:bookmarkStart w:id="37" w:name="_Toc213857118"/>
      <w:r>
        <w:rPr>
          <w:rFonts w:hint="eastAsia" w:ascii="宋体" w:hAnsi="宋体" w:eastAsia="宋体"/>
          <w:sz w:val="30"/>
        </w:rPr>
        <w:t>第四部分  基金托管人</w:t>
      </w:r>
      <w:bookmarkEnd w:id="36"/>
      <w:bookmarkEnd w:id="37"/>
    </w:p>
    <w:p w14:paraId="22021461">
      <w:pPr>
        <w:spacing w:line="360" w:lineRule="auto"/>
        <w:ind w:firstLine="422" w:firstLineChars="200"/>
        <w:rPr>
          <w:rFonts w:ascii="宋体" w:hAnsi="宋体"/>
          <w:b/>
          <w:bCs/>
          <w:kern w:val="0"/>
          <w:szCs w:val="21"/>
        </w:rPr>
      </w:pPr>
      <w:bookmarkStart w:id="38" w:name="field_0_trustcompanyinfo_1_start"/>
      <w:bookmarkEnd w:id="38"/>
      <w:bookmarkStart w:id="39" w:name="chapter_level1_6_55_section_1"/>
      <w:bookmarkEnd w:id="39"/>
      <w:r>
        <w:rPr>
          <w:rFonts w:hint="eastAsia" w:ascii="宋体" w:hAnsi="宋体"/>
          <w:b/>
          <w:bCs/>
          <w:kern w:val="0"/>
          <w:szCs w:val="21"/>
        </w:rPr>
        <w:t>一、基金托管人情况</w:t>
      </w:r>
    </w:p>
    <w:p w14:paraId="6CE238FD">
      <w:pPr>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1、基本情况</w:t>
      </w:r>
    </w:p>
    <w:p w14:paraId="6109CC04">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名称：招商银行股份有限公司（以下简称“招商银行”）</w:t>
      </w:r>
    </w:p>
    <w:p w14:paraId="2F2AA1A5">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设立日期：1987年</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月</w:t>
      </w:r>
      <w:r>
        <w:rPr>
          <w:rFonts w:hint="eastAsia" w:ascii="宋体" w:hAnsi="宋体" w:cs="宋体"/>
          <w:color w:val="auto"/>
          <w:szCs w:val="21"/>
          <w:highlight w:val="none"/>
          <w:lang w:val="en-US" w:eastAsia="zh-CN"/>
        </w:rPr>
        <w:t>31</w:t>
      </w:r>
      <w:r>
        <w:rPr>
          <w:rFonts w:hint="eastAsia" w:ascii="宋体" w:hAnsi="宋体" w:eastAsia="宋体" w:cs="宋体"/>
          <w:color w:val="auto"/>
          <w:szCs w:val="21"/>
          <w:highlight w:val="none"/>
        </w:rPr>
        <w:t>日</w:t>
      </w:r>
    </w:p>
    <w:p w14:paraId="51DD2664">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注册地址：深圳市深南大道7088号招商银行大厦</w:t>
      </w:r>
    </w:p>
    <w:p w14:paraId="43209F6D">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办公地址：深圳市深南大道7088号招商银行大厦</w:t>
      </w:r>
    </w:p>
    <w:p w14:paraId="5965F0A3">
      <w:pPr>
        <w:autoSpaceDE w:val="0"/>
        <w:autoSpaceDN w:val="0"/>
        <w:adjustRightIn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注册资本：252.20亿元</w:t>
      </w:r>
    </w:p>
    <w:p w14:paraId="053F3470">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法定代表人：缪建民</w:t>
      </w:r>
    </w:p>
    <w:p w14:paraId="7CD9690E">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资产托管业务批准文号：证监基金字[2002]83号</w:t>
      </w:r>
    </w:p>
    <w:p w14:paraId="601209E3">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电话：4006195555</w:t>
      </w:r>
    </w:p>
    <w:p w14:paraId="36C331E7">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传真：0755-83195201</w:t>
      </w:r>
    </w:p>
    <w:p w14:paraId="43F5BACD">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资产托管部信息披露负责人：张姗</w:t>
      </w:r>
    </w:p>
    <w:p w14:paraId="22C8AD6E">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2、发展概况 </w:t>
      </w:r>
      <w:r>
        <w:rPr>
          <w:rFonts w:hint="eastAsia" w:ascii="宋体" w:hAnsi="宋体" w:eastAsia="宋体" w:cs="宋体"/>
          <w:color w:val="auto"/>
          <w:kern w:val="0"/>
          <w:szCs w:val="21"/>
          <w:highlight w:val="none"/>
        </w:rPr>
        <w:t xml:space="preserve">  </w:t>
      </w:r>
    </w:p>
    <w:p w14:paraId="7A9769CA">
      <w:pPr>
        <w:autoSpaceDE w:val="0"/>
        <w:autoSpaceDN w:val="0"/>
        <w:adjustRightInd w:val="0"/>
        <w:spacing w:line="360" w:lineRule="auto"/>
        <w:ind w:firstLine="420"/>
        <w:rPr>
          <w:rFonts w:hint="eastAsia" w:ascii="宋体" w:hAnsi="宋体" w:eastAsia="宋体" w:cs="宋体"/>
          <w:color w:val="auto"/>
          <w:kern w:val="36"/>
          <w:szCs w:val="21"/>
          <w:highlight w:val="none"/>
        </w:rPr>
      </w:pPr>
      <w:r>
        <w:rPr>
          <w:rFonts w:hint="eastAsia" w:ascii="宋体" w:hAnsi="宋体" w:eastAsia="宋体" w:cs="宋体"/>
          <w:i w:val="0"/>
          <w:iCs w:val="0"/>
          <w:caps w:val="0"/>
          <w:color w:val="auto"/>
          <w:spacing w:val="0"/>
          <w:kern w:val="36"/>
          <w:sz w:val="21"/>
          <w:szCs w:val="21"/>
          <w:highlight w:val="none"/>
          <w:shd w:val="clear"/>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w:t>
      </w:r>
      <w:r>
        <w:rPr>
          <w:rFonts w:hint="eastAsia" w:ascii="宋体" w:hAnsi="宋体" w:eastAsia="宋体" w:cs="宋体"/>
          <w:color w:val="auto"/>
          <w:kern w:val="36"/>
          <w:szCs w:val="21"/>
          <w:highlight w:val="none"/>
        </w:rPr>
        <w:t>截至202</w:t>
      </w:r>
      <w:r>
        <w:rPr>
          <w:rFonts w:hint="eastAsia" w:ascii="宋体" w:hAnsi="宋体" w:cs="宋体"/>
          <w:color w:val="auto"/>
          <w:kern w:val="36"/>
          <w:szCs w:val="21"/>
          <w:highlight w:val="none"/>
          <w:lang w:val="en-US" w:eastAsia="zh-CN"/>
        </w:rPr>
        <w:t>6</w:t>
      </w:r>
      <w:r>
        <w:rPr>
          <w:rFonts w:hint="eastAsia" w:ascii="宋体" w:hAnsi="宋体" w:eastAsia="宋体" w:cs="宋体"/>
          <w:color w:val="auto"/>
          <w:kern w:val="36"/>
          <w:szCs w:val="21"/>
          <w:highlight w:val="none"/>
        </w:rPr>
        <w:t>年</w:t>
      </w:r>
      <w:r>
        <w:rPr>
          <w:rFonts w:hint="eastAsia" w:ascii="宋体" w:hAnsi="宋体" w:cs="宋体"/>
          <w:color w:val="auto"/>
          <w:kern w:val="36"/>
          <w:szCs w:val="21"/>
          <w:highlight w:val="none"/>
          <w:lang w:val="en-US" w:eastAsia="zh-CN"/>
        </w:rPr>
        <w:t>3</w:t>
      </w:r>
      <w:r>
        <w:rPr>
          <w:rFonts w:hint="eastAsia" w:ascii="宋体" w:hAnsi="宋体" w:eastAsia="宋体" w:cs="宋体"/>
          <w:color w:val="auto"/>
          <w:kern w:val="36"/>
          <w:szCs w:val="21"/>
          <w:highlight w:val="none"/>
        </w:rPr>
        <w:t>月</w:t>
      </w:r>
      <w:r>
        <w:rPr>
          <w:rFonts w:hint="eastAsia" w:ascii="宋体" w:hAnsi="宋体" w:cs="宋体"/>
          <w:color w:val="auto"/>
          <w:kern w:val="36"/>
          <w:szCs w:val="21"/>
          <w:highlight w:val="none"/>
          <w:lang w:val="en-US" w:eastAsia="zh-CN"/>
        </w:rPr>
        <w:t>31</w:t>
      </w:r>
      <w:r>
        <w:rPr>
          <w:rFonts w:hint="eastAsia" w:ascii="宋体" w:hAnsi="宋体" w:eastAsia="宋体" w:cs="宋体"/>
          <w:color w:val="auto"/>
          <w:kern w:val="36"/>
          <w:szCs w:val="21"/>
          <w:highlight w:val="none"/>
        </w:rPr>
        <w:t>日，本集团总资产</w:t>
      </w:r>
      <w:r>
        <w:rPr>
          <w:rFonts w:hint="eastAsia" w:ascii="宋体" w:hAnsi="宋体" w:cs="宋体"/>
          <w:color w:val="auto"/>
          <w:kern w:val="36"/>
          <w:szCs w:val="21"/>
          <w:highlight w:val="none"/>
          <w:lang w:val="en-US" w:eastAsia="zh-CN"/>
        </w:rPr>
        <w:t>134,848.82</w:t>
      </w:r>
      <w:r>
        <w:rPr>
          <w:rFonts w:hint="eastAsia" w:ascii="宋体" w:hAnsi="宋体" w:eastAsia="宋体" w:cs="宋体"/>
          <w:color w:val="auto"/>
          <w:kern w:val="36"/>
          <w:szCs w:val="21"/>
          <w:highlight w:val="none"/>
        </w:rPr>
        <w:t>亿元人民币，高级法下资本充足率</w:t>
      </w:r>
      <w:r>
        <w:rPr>
          <w:rFonts w:hint="eastAsia" w:ascii="宋体" w:hAnsi="宋体" w:cs="宋体"/>
          <w:color w:val="auto"/>
          <w:kern w:val="36"/>
          <w:sz w:val="21"/>
          <w:szCs w:val="21"/>
          <w:highlight w:val="none"/>
          <w:lang w:val="en-US" w:eastAsia="zh-CN"/>
        </w:rPr>
        <w:t>17.76%</w:t>
      </w:r>
      <w:r>
        <w:rPr>
          <w:rFonts w:hint="eastAsia" w:ascii="宋体" w:hAnsi="宋体" w:eastAsia="宋体" w:cs="宋体"/>
          <w:color w:val="auto"/>
          <w:kern w:val="36"/>
          <w:szCs w:val="21"/>
          <w:highlight w:val="none"/>
        </w:rPr>
        <w:t>，权重法下资本充足率</w:t>
      </w:r>
      <w:r>
        <w:rPr>
          <w:rFonts w:hint="eastAsia" w:ascii="宋体" w:hAnsi="宋体" w:cs="宋体"/>
          <w:color w:val="auto"/>
          <w:kern w:val="36"/>
          <w:sz w:val="21"/>
          <w:szCs w:val="21"/>
          <w:highlight w:val="none"/>
          <w:lang w:val="en-US" w:eastAsia="zh-CN"/>
        </w:rPr>
        <w:t>14.60%</w:t>
      </w:r>
      <w:r>
        <w:rPr>
          <w:rFonts w:hint="eastAsia" w:ascii="宋体" w:hAnsi="宋体" w:eastAsia="宋体" w:cs="宋体"/>
          <w:color w:val="auto"/>
          <w:kern w:val="36"/>
          <w:szCs w:val="21"/>
          <w:highlight w:val="none"/>
        </w:rPr>
        <w:t>。</w:t>
      </w:r>
    </w:p>
    <w:p w14:paraId="29695F57">
      <w:pPr>
        <w:spacing w:line="360" w:lineRule="auto"/>
        <w:ind w:firstLine="420" w:firstLineChars="200"/>
        <w:rPr>
          <w:rFonts w:hint="eastAsia" w:ascii="宋体" w:hAnsi="宋体" w:eastAsia="宋体" w:cs="宋体"/>
          <w:color w:val="auto"/>
          <w:kern w:val="36"/>
          <w:szCs w:val="21"/>
          <w:highlight w:val="none"/>
        </w:rPr>
      </w:pPr>
      <w:r>
        <w:rPr>
          <w:rFonts w:hint="eastAsia" w:ascii="宋体" w:hAnsi="宋体" w:eastAsia="宋体" w:cs="宋体"/>
          <w:color w:val="auto"/>
          <w:kern w:val="36"/>
          <w:szCs w:val="21"/>
          <w:highlight w:val="none"/>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w:t>
      </w:r>
      <w:r>
        <w:rPr>
          <w:rFonts w:hint="eastAsia" w:ascii="宋体" w:hAnsi="宋体" w:cs="宋体"/>
          <w:color w:val="auto"/>
          <w:kern w:val="36"/>
          <w:szCs w:val="21"/>
          <w:highlight w:val="none"/>
          <w:lang w:val="en-US" w:eastAsia="zh-CN"/>
        </w:rPr>
        <w:t>261</w:t>
      </w:r>
      <w:r>
        <w:rPr>
          <w:rFonts w:hint="eastAsia" w:ascii="宋体" w:hAnsi="宋体" w:eastAsia="宋体" w:cs="宋体"/>
          <w:color w:val="auto"/>
          <w:kern w:val="36"/>
          <w:szCs w:val="21"/>
          <w:highlight w:val="none"/>
        </w:rPr>
        <w:t>人。2002年11月，经中国人民银行和中国证监会批准获得证券投资基金托管业务资格，成为国内第一家获得该项业务资格上市银行；2003年4月，正式办理基金托管业务。</w:t>
      </w:r>
      <w:bookmarkStart w:id="40" w:name="OLE_LINK1"/>
      <w:r>
        <w:rPr>
          <w:rFonts w:hint="eastAsia" w:ascii="宋体" w:hAnsi="宋体" w:eastAsia="宋体" w:cs="宋体"/>
          <w:color w:val="auto"/>
          <w:kern w:val="36"/>
          <w:szCs w:val="21"/>
          <w:highlight w:val="none"/>
        </w:rPr>
        <w:t>招商银行作为托管业务资质最全的商业银行之一，拥有证券投资基金托管资格、基本养老保险基金托管机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14:paraId="5DF7A1D0">
      <w:pPr>
        <w:spacing w:line="360" w:lineRule="auto"/>
        <w:ind w:firstLine="420" w:firstLineChars="200"/>
        <w:rPr>
          <w:rFonts w:hint="eastAsia" w:ascii="宋体" w:hAnsi="宋体" w:eastAsia="宋体" w:cs="宋体"/>
          <w:color w:val="auto"/>
          <w:kern w:val="36"/>
          <w:szCs w:val="21"/>
          <w:highlight w:val="none"/>
        </w:rPr>
      </w:pPr>
      <w:r>
        <w:rPr>
          <w:rFonts w:hint="eastAsia" w:ascii="宋体" w:hAnsi="宋体" w:eastAsia="宋体" w:cs="宋体"/>
          <w:color w:val="auto"/>
          <w:kern w:val="36"/>
          <w:szCs w:val="21"/>
          <w:highlight w:val="none"/>
        </w:rPr>
        <w:t>招商银行资产托管结合自身在托管行业深耕</w:t>
      </w:r>
      <w:r>
        <w:rPr>
          <w:rFonts w:hint="eastAsia" w:ascii="宋体" w:hAnsi="宋体" w:eastAsia="宋体" w:cs="宋体"/>
          <w:color w:val="auto"/>
          <w:kern w:val="36"/>
          <w:szCs w:val="21"/>
          <w:highlight w:val="none"/>
          <w:lang w:val="en-US" w:eastAsia="zh-CN"/>
        </w:rPr>
        <w:t>2</w:t>
      </w:r>
      <w:r>
        <w:rPr>
          <w:rFonts w:hint="eastAsia" w:ascii="宋体" w:hAnsi="宋体" w:cs="宋体"/>
          <w:color w:val="auto"/>
          <w:kern w:val="36"/>
          <w:szCs w:val="21"/>
          <w:highlight w:val="none"/>
          <w:lang w:val="en-US" w:eastAsia="zh-CN"/>
        </w:rPr>
        <w:t>4</w:t>
      </w:r>
      <w:r>
        <w:rPr>
          <w:rFonts w:hint="eastAsia" w:ascii="宋体" w:hAnsi="宋体" w:eastAsia="宋体" w:cs="宋体"/>
          <w:color w:val="auto"/>
          <w:kern w:val="36"/>
          <w:szCs w:val="21"/>
          <w:highlight w:val="none"/>
        </w:rPr>
        <w:t>年的专业能力和创新精神，推出“招商银行托管+”服务品牌，以“践行价值银行战略，致力于成为</w:t>
      </w:r>
      <w:r>
        <w:rPr>
          <w:rFonts w:hint="eastAsia" w:ascii="宋体" w:hAnsi="宋体" w:eastAsia="宋体" w:cs="宋体"/>
          <w:color w:val="auto"/>
          <w:kern w:val="36"/>
          <w:szCs w:val="21"/>
          <w:highlight w:val="none"/>
          <w:lang w:val="en-US" w:eastAsia="zh-CN"/>
        </w:rPr>
        <w:t>专业更精</w:t>
      </w:r>
      <w:r>
        <w:rPr>
          <w:rFonts w:hint="eastAsia" w:ascii="宋体" w:hAnsi="宋体" w:eastAsia="宋体" w:cs="宋体"/>
          <w:color w:val="auto"/>
          <w:kern w:val="36"/>
          <w:szCs w:val="21"/>
          <w:highlight w:val="none"/>
        </w:rPr>
        <w:t>、科技更强、</w:t>
      </w:r>
      <w:r>
        <w:rPr>
          <w:rFonts w:hint="eastAsia" w:ascii="宋体" w:hAnsi="宋体" w:eastAsia="宋体" w:cs="宋体"/>
          <w:color w:val="auto"/>
          <w:kern w:val="36"/>
          <w:szCs w:val="21"/>
          <w:highlight w:val="none"/>
          <w:lang w:val="en-US" w:eastAsia="zh-CN"/>
        </w:rPr>
        <w:t>服务</w:t>
      </w:r>
      <w:r>
        <w:rPr>
          <w:rFonts w:hint="eastAsia" w:ascii="宋体" w:hAnsi="宋体" w:eastAsia="宋体" w:cs="宋体"/>
          <w:color w:val="auto"/>
          <w:kern w:val="36"/>
          <w:szCs w:val="21"/>
          <w:highlight w:val="none"/>
        </w:rPr>
        <w:t>更</w:t>
      </w:r>
      <w:r>
        <w:rPr>
          <w:rFonts w:hint="eastAsia" w:ascii="宋体" w:hAnsi="宋体" w:eastAsia="宋体" w:cs="宋体"/>
          <w:color w:val="auto"/>
          <w:kern w:val="36"/>
          <w:szCs w:val="21"/>
          <w:highlight w:val="none"/>
          <w:lang w:val="en-US" w:eastAsia="zh-CN"/>
        </w:rPr>
        <w:t>佳</w:t>
      </w:r>
      <w:r>
        <w:rPr>
          <w:rFonts w:hint="eastAsia" w:ascii="宋体" w:hAnsi="宋体" w:eastAsia="宋体" w:cs="宋体"/>
          <w:color w:val="auto"/>
          <w:kern w:val="36"/>
          <w:szCs w:val="21"/>
          <w:highlight w:val="none"/>
        </w:rPr>
        <w:t>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bookmarkEnd w:id="40"/>
    </w:p>
    <w:p w14:paraId="65A1075F">
      <w:pPr>
        <w:spacing w:line="360" w:lineRule="auto"/>
        <w:ind w:firstLine="420" w:firstLineChars="200"/>
        <w:rPr>
          <w:rFonts w:hint="eastAsia" w:ascii="宋体" w:hAnsi="宋体"/>
          <w:b/>
          <w:kern w:val="0"/>
          <w:szCs w:val="21"/>
        </w:rPr>
      </w:pPr>
      <w:r>
        <w:rPr>
          <w:rFonts w:hint="eastAsia" w:ascii="宋体" w:hAnsi="宋体" w:eastAsia="宋体" w:cs="宋体"/>
          <w:color w:val="auto"/>
          <w:kern w:val="30"/>
          <w:szCs w:val="21"/>
          <w:highlight w:val="none"/>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w:t>
      </w:r>
      <w:r>
        <w:rPr>
          <w:rFonts w:hint="eastAsia" w:ascii="宋体" w:hAnsi="宋体" w:eastAsia="宋体" w:cs="宋体"/>
          <w:color w:val="auto"/>
          <w:kern w:val="0"/>
          <w:szCs w:val="21"/>
          <w:highlight w:val="none"/>
          <w:shd w:val="clear" w:color="auto" w:fill="FFFFFF"/>
        </w:rPr>
        <w:t>荣获《中国基金报》 “最佳基金</w:t>
      </w:r>
      <w:r>
        <w:rPr>
          <w:rFonts w:hint="eastAsia" w:ascii="宋体" w:hAnsi="宋体" w:eastAsia="宋体" w:cs="宋体"/>
          <w:color w:val="auto"/>
          <w:kern w:val="30"/>
          <w:szCs w:val="21"/>
          <w:highlight w:val="none"/>
        </w:rPr>
        <w:t>托管银行”奖；5月荣获国际财经权威媒体《亚洲银行家》“中国年度托管银行奖”</w:t>
      </w:r>
      <w:r>
        <w:rPr>
          <w:rFonts w:hint="eastAsia" w:ascii="宋体" w:hAnsi="宋体" w:eastAsia="宋体" w:cs="宋体"/>
          <w:color w:val="auto"/>
          <w:kern w:val="0"/>
          <w:szCs w:val="21"/>
          <w:highlight w:val="none"/>
          <w:shd w:val="clear" w:color="auto" w:fill="FFFFFF"/>
        </w:rPr>
        <w:t>；12月荣获2018东方财富风云榜“2018年度最佳托管银行”、“20年最值得信赖托管银行”奖。2019年3月荣获《中国基金报》“2018年度最佳基金托管银行”奖；6月荣获《财资》“中国最佳托管机构”“中国最佳养老金托管机构”“中国最佳零售基金行政外包”三项大奖；12月荣获2019东方财富风云榜“2019年度最佳托管银行”奖。</w:t>
      </w:r>
      <w:r>
        <w:rPr>
          <w:rFonts w:hint="eastAsia" w:ascii="宋体" w:hAnsi="宋体" w:eastAsia="宋体" w:cs="宋体"/>
          <w:color w:val="auto"/>
          <w:kern w:val="30"/>
          <w:szCs w:val="21"/>
          <w:highlight w:val="none"/>
        </w:rPr>
        <w:t>2020年1月，荣获中央国债登记结算有限责任公司“2019年度优秀资产托管机构”奖项；</w:t>
      </w:r>
      <w:r>
        <w:rPr>
          <w:rFonts w:hint="eastAsia" w:ascii="宋体" w:hAnsi="宋体" w:eastAsia="宋体" w:cs="宋体"/>
          <w:color w:val="auto"/>
          <w:kern w:val="0"/>
          <w:szCs w:val="21"/>
          <w:highlight w:val="none"/>
          <w:shd w:val="clear" w:color="auto" w:fill="FFFFFF"/>
        </w:rPr>
        <w:t>6月荣获《财资》“中国境内最佳托管机构”“最佳公募基金托管机构”“最佳公募基金行政外包机构”三项大奖；10月荣获《中国基金报》</w:t>
      </w:r>
      <w:r>
        <w:rPr>
          <w:rFonts w:hint="eastAsia" w:ascii="宋体" w:hAnsi="宋体" w:eastAsia="宋体" w:cs="宋体"/>
          <w:color w:val="auto"/>
          <w:kern w:val="30"/>
          <w:szCs w:val="21"/>
          <w:highlight w:val="none"/>
        </w:rPr>
        <w:t>第二届中国公募基金英华奖</w:t>
      </w:r>
      <w:r>
        <w:rPr>
          <w:rFonts w:hint="eastAsia" w:ascii="宋体" w:hAnsi="宋体" w:eastAsia="宋体" w:cs="宋体"/>
          <w:color w:val="auto"/>
          <w:kern w:val="0"/>
          <w:szCs w:val="21"/>
          <w:highlight w:val="none"/>
          <w:shd w:val="clear" w:color="auto" w:fill="FFFFFF"/>
        </w:rPr>
        <w:t>“2019年度最佳基</w:t>
      </w:r>
      <w:r>
        <w:rPr>
          <w:rFonts w:hint="eastAsia" w:ascii="宋体" w:hAnsi="宋体" w:eastAsia="宋体" w:cs="宋体"/>
          <w:color w:val="auto"/>
          <w:kern w:val="30"/>
          <w:szCs w:val="21"/>
          <w:highlight w:val="none"/>
        </w:rPr>
        <w:t>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w:t>
      </w:r>
      <w:r>
        <w:rPr>
          <w:rFonts w:hint="eastAsia" w:ascii="宋体" w:hAnsi="宋体" w:cs="宋体"/>
          <w:color w:val="auto"/>
          <w:szCs w:val="21"/>
          <w:highlight w:val="none"/>
          <w:shd w:val="clear" w:color="auto" w:fill="FFFFFF"/>
        </w:rPr>
        <w:t>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w:t>
      </w:r>
      <w:r>
        <w:rPr>
          <w:rFonts w:hint="eastAsia" w:ascii="宋体" w:hAnsi="宋体" w:cs="宋体"/>
          <w:color w:val="auto"/>
          <w:szCs w:val="21"/>
          <w:highlight w:val="none"/>
          <w:shd w:val="clear" w:color="auto" w:fill="FFFFFF"/>
          <w:lang w:eastAsia="zh-CN"/>
        </w:rPr>
        <w:t>；</w:t>
      </w:r>
      <w:r>
        <w:rPr>
          <w:rFonts w:hint="eastAsia" w:ascii="宋体" w:hAnsi="宋体" w:cs="宋体"/>
          <w:color w:val="auto"/>
          <w:szCs w:val="21"/>
          <w:highlight w:val="none"/>
          <w:shd w:val="clear" w:color="auto" w:fill="FFFFFF"/>
          <w:lang w:val="en-US" w:eastAsia="zh-CN"/>
        </w:rPr>
        <w:t>2024年12月，荣获《中国证券报》“ETF金牛生态圈卓越托管机构（银行）奖”；2024年12月，荣获《2024东方财富风云际会》“年度托管银行风云奖”。2025年1月，</w:t>
      </w:r>
      <w:r>
        <w:rPr>
          <w:rFonts w:ascii="宋体" w:hAnsi="宋体" w:eastAsia="宋体" w:cs="宋体"/>
          <w:i w:val="0"/>
          <w:iCs w:val="0"/>
          <w:caps w:val="0"/>
          <w:color w:val="auto"/>
          <w:spacing w:val="0"/>
          <w:sz w:val="21"/>
          <w:szCs w:val="21"/>
          <w:highlight w:val="none"/>
          <w:shd w:val="clear" w:fill="FFFFFF"/>
        </w:rPr>
        <w:t>荣获中央国债登记结算有限责任公</w:t>
      </w:r>
      <w:r>
        <w:rPr>
          <w:rFonts w:hint="eastAsia" w:ascii="宋体" w:hAnsi="宋体" w:eastAsia="宋体" w:cs="宋体"/>
          <w:i w:val="0"/>
          <w:iCs w:val="0"/>
          <w:caps w:val="0"/>
          <w:color w:val="auto"/>
          <w:spacing w:val="0"/>
          <w:sz w:val="21"/>
          <w:szCs w:val="21"/>
          <w:highlight w:val="none"/>
          <w:shd w:val="clear" w:color="auto" w:fill="FFFFFF"/>
        </w:rPr>
        <w:t>司“2024年度优秀资产托管机构”奖项</w:t>
      </w:r>
      <w:r>
        <w:rPr>
          <w:rFonts w:hint="eastAsia" w:ascii="宋体" w:hAnsi="宋体" w:cs="宋体"/>
          <w:i w:val="0"/>
          <w:iCs w:val="0"/>
          <w:caps w:val="0"/>
          <w:color w:val="auto"/>
          <w:spacing w:val="0"/>
          <w:sz w:val="21"/>
          <w:szCs w:val="21"/>
          <w:highlight w:val="none"/>
          <w:shd w:val="clear" w:color="auto" w:fill="FFFFFF"/>
          <w:lang w:eastAsia="zh-CN"/>
        </w:rPr>
        <w:t>、</w:t>
      </w:r>
      <w:r>
        <w:rPr>
          <w:rFonts w:hint="eastAsia" w:ascii="宋体" w:hAnsi="宋体" w:eastAsia="宋体" w:cs="宋体"/>
          <w:i w:val="0"/>
          <w:iCs w:val="0"/>
          <w:caps w:val="0"/>
          <w:color w:val="auto"/>
          <w:spacing w:val="0"/>
          <w:sz w:val="21"/>
          <w:szCs w:val="21"/>
          <w:highlight w:val="none"/>
          <w:shd w:val="clear" w:color="auto" w:fill="FFFFFF"/>
        </w:rPr>
        <w:t>上海清算所“2024年度优秀托管机构”奖项</w:t>
      </w:r>
      <w:r>
        <w:rPr>
          <w:rFonts w:hint="eastAsia" w:ascii="宋体" w:hAnsi="宋体" w:cs="宋体"/>
          <w:i w:val="0"/>
          <w:iCs w:val="0"/>
          <w:caps w:val="0"/>
          <w:color w:val="auto"/>
          <w:spacing w:val="0"/>
          <w:sz w:val="21"/>
          <w:szCs w:val="21"/>
          <w:highlight w:val="none"/>
          <w:shd w:val="clear" w:color="auto" w:fill="FFFFFF"/>
          <w:lang w:eastAsia="zh-CN"/>
        </w:rPr>
        <w:t>；</w:t>
      </w:r>
      <w:r>
        <w:rPr>
          <w:rFonts w:hint="eastAsia" w:ascii="宋体" w:hAnsi="宋体" w:cs="宋体"/>
          <w:i w:val="0"/>
          <w:iCs w:val="0"/>
          <w:caps w:val="0"/>
          <w:color w:val="auto"/>
          <w:spacing w:val="0"/>
          <w:sz w:val="21"/>
          <w:szCs w:val="21"/>
          <w:highlight w:val="none"/>
          <w:shd w:val="clear" w:color="auto" w:fill="FFFFFF"/>
          <w:lang w:val="en-US" w:eastAsia="zh-CN"/>
        </w:rPr>
        <w:t>2025年2月，</w:t>
      </w:r>
      <w:r>
        <w:rPr>
          <w:rFonts w:hint="eastAsia" w:ascii="宋体" w:hAnsi="宋体" w:eastAsia="宋体" w:cs="宋体"/>
          <w:i w:val="0"/>
          <w:iCs w:val="0"/>
          <w:caps w:val="0"/>
          <w:color w:val="auto"/>
          <w:spacing w:val="0"/>
          <w:sz w:val="21"/>
          <w:szCs w:val="21"/>
          <w:highlight w:val="none"/>
          <w:shd w:val="clear" w:color="auto" w:fill="FFFFFF"/>
        </w:rPr>
        <w:t>荣获全国银行间同业拆借中心“2024年度市场创新业务机构”奖项；2025年3月，荣获《中国基金报》2025年指数生态圈英华典型案例“指数产品托管机构”奖</w:t>
      </w:r>
      <w:r>
        <w:rPr>
          <w:rFonts w:hint="eastAsia" w:ascii="宋体" w:hAnsi="宋体" w:eastAsia="宋体" w:cs="宋体"/>
          <w:color w:val="auto"/>
          <w:kern w:val="2"/>
          <w:szCs w:val="21"/>
          <w:highlight w:val="none"/>
          <w:shd w:val="clear" w:color="auto" w:fill="FFFFFF"/>
          <w:lang w:val="en-US" w:eastAsia="zh-CN"/>
        </w:rPr>
        <w:t>项</w:t>
      </w:r>
      <w:r>
        <w:rPr>
          <w:rFonts w:hint="eastAsia" w:ascii="宋体" w:hAnsi="宋体" w:cs="宋体"/>
          <w:color w:val="auto"/>
          <w:kern w:val="2"/>
          <w:szCs w:val="21"/>
          <w:highlight w:val="none"/>
          <w:shd w:val="clear" w:color="auto" w:fill="FFFFFF"/>
          <w:lang w:val="en-US" w:eastAsia="zh-CN"/>
        </w:rPr>
        <w:t>；2025年6月，荣获《亚洲银行家》</w:t>
      </w:r>
      <w:r>
        <w:rPr>
          <w:rFonts w:hint="eastAsia" w:ascii="宋体" w:hAnsi="宋体" w:eastAsia="宋体" w:cs="宋体"/>
          <w:i w:val="0"/>
          <w:iCs w:val="0"/>
          <w:caps w:val="0"/>
          <w:color w:val="auto"/>
          <w:spacing w:val="0"/>
          <w:sz w:val="21"/>
          <w:szCs w:val="21"/>
          <w:highlight w:val="none"/>
          <w:shd w:val="clear" w:color="auto" w:fill="FFFFFF"/>
        </w:rPr>
        <w:t>“中国最佳托管银行”“中国最佳股份制托管银行”奖项</w:t>
      </w:r>
      <w:r>
        <w:rPr>
          <w:rFonts w:hint="eastAsia" w:ascii="宋体" w:hAnsi="宋体" w:cs="宋体"/>
          <w:i w:val="0"/>
          <w:iCs w:val="0"/>
          <w:caps w:val="0"/>
          <w:color w:val="auto"/>
          <w:spacing w:val="0"/>
          <w:sz w:val="21"/>
          <w:szCs w:val="21"/>
          <w:highlight w:val="none"/>
          <w:shd w:val="clear" w:color="auto" w:fill="FFFFFF"/>
          <w:lang w:eastAsia="zh-CN"/>
        </w:rPr>
        <w:t>。</w:t>
      </w:r>
      <w:r>
        <w:rPr>
          <w:rFonts w:hint="eastAsia" w:ascii="宋体" w:hAnsi="宋体" w:cs="宋体"/>
          <w:i w:val="0"/>
          <w:iCs w:val="0"/>
          <w:caps w:val="0"/>
          <w:color w:val="auto"/>
          <w:spacing w:val="0"/>
          <w:sz w:val="21"/>
          <w:szCs w:val="21"/>
          <w:highlight w:val="none"/>
          <w:shd w:val="clear" w:color="auto" w:fill="FFFFFF"/>
          <w:lang w:val="en-US" w:eastAsia="zh-CN"/>
        </w:rPr>
        <w:t>2025年8月，在《21世纪经济报道》主办的2025资产管理年会暨十八届21世纪【金贝】资产管理竞争力案例发布盛典上，“招商银行托管+”荣获“2025卓越影响力品牌”奖项。</w:t>
      </w:r>
      <w:r>
        <w:rPr>
          <w:rFonts w:ascii="宋体" w:hAnsi="宋体" w:eastAsia="宋体" w:cs="宋体"/>
          <w:i w:val="0"/>
          <w:iCs w:val="0"/>
          <w:caps w:val="0"/>
          <w:color w:val="333333"/>
          <w:spacing w:val="0"/>
          <w:sz w:val="21"/>
          <w:szCs w:val="21"/>
          <w:highlight w:val="none"/>
          <w:shd w:val="clear" w:fill="FFFFFF"/>
        </w:rPr>
        <w:t>2025年12月，荣获《2025东方财富风云际会》“年度托管银行风云奖”</w:t>
      </w:r>
      <w:r>
        <w:rPr>
          <w:rFonts w:hint="eastAsia" w:ascii="宋体" w:hAnsi="宋体" w:cs="宋体"/>
          <w:i w:val="0"/>
          <w:iCs w:val="0"/>
          <w:caps w:val="0"/>
          <w:color w:val="333333"/>
          <w:spacing w:val="0"/>
          <w:sz w:val="21"/>
          <w:szCs w:val="21"/>
          <w:highlight w:val="none"/>
          <w:shd w:val="clear" w:fill="FFFFFF"/>
          <w:lang w:eastAsia="zh-CN"/>
        </w:rPr>
        <w:t>。</w:t>
      </w:r>
      <w:r>
        <w:rPr>
          <w:rFonts w:ascii="宋体" w:hAnsi="宋体" w:eastAsia="宋体" w:cs="宋体"/>
          <w:i w:val="0"/>
          <w:iCs w:val="0"/>
          <w:caps w:val="0"/>
          <w:color w:val="333333"/>
          <w:spacing w:val="0"/>
          <w:sz w:val="21"/>
          <w:szCs w:val="21"/>
          <w:shd w:val="clear" w:fill="FFFFFF"/>
        </w:rPr>
        <w:t>2026年1月，荣获中央国债登记结算有限责任公司“2025年度优秀资产托管机构”奖项。</w:t>
      </w:r>
    </w:p>
    <w:p w14:paraId="4A7673E9">
      <w:pPr>
        <w:spacing w:line="360" w:lineRule="auto"/>
        <w:ind w:firstLine="422" w:firstLineChars="200"/>
        <w:rPr>
          <w:rFonts w:ascii="宋体" w:hAnsi="宋体"/>
          <w:b/>
          <w:kern w:val="0"/>
          <w:szCs w:val="21"/>
        </w:rPr>
      </w:pPr>
      <w:r>
        <w:rPr>
          <w:rFonts w:hint="eastAsia" w:ascii="宋体" w:hAnsi="宋体"/>
          <w:b/>
          <w:kern w:val="0"/>
          <w:szCs w:val="21"/>
        </w:rPr>
        <w:t>二、主要人员情况</w:t>
      </w:r>
    </w:p>
    <w:p w14:paraId="597A5931">
      <w:pPr>
        <w:spacing w:line="360" w:lineRule="auto"/>
        <w:ind w:firstLine="420" w:firstLineChars="200"/>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缪建民先生，</w:t>
      </w:r>
      <w:r>
        <w:rPr>
          <w:rFonts w:hint="eastAsia" w:ascii="宋体" w:hAnsi="宋体" w:cs="宋体"/>
          <w:i w:val="0"/>
          <w:iCs w:val="0"/>
          <w:caps w:val="0"/>
          <w:color w:val="auto"/>
          <w:spacing w:val="0"/>
          <w:sz w:val="21"/>
          <w:szCs w:val="21"/>
          <w:highlight w:val="none"/>
          <w:shd w:val="clear" w:color="auto" w:fill="FFFFFF"/>
          <w:lang w:eastAsia="zh-CN"/>
        </w:rPr>
        <w:t>招商银行</w:t>
      </w:r>
      <w:r>
        <w:rPr>
          <w:rFonts w:hint="eastAsia" w:ascii="宋体" w:hAnsi="宋体" w:eastAsia="宋体" w:cs="宋体"/>
          <w:i w:val="0"/>
          <w:iCs w:val="0"/>
          <w:caps w:val="0"/>
          <w:color w:val="auto"/>
          <w:spacing w:val="0"/>
          <w:sz w:val="21"/>
          <w:szCs w:val="21"/>
          <w:highlight w:val="none"/>
          <w:shd w:val="clear" w:color="auto" w:fill="FFFFFF"/>
        </w:rPr>
        <w:t>董事长、非执行董事，2020年9月起担任</w:t>
      </w:r>
      <w:r>
        <w:rPr>
          <w:rFonts w:hint="eastAsia" w:ascii="宋体" w:hAnsi="宋体" w:cs="宋体"/>
          <w:i w:val="0"/>
          <w:iCs w:val="0"/>
          <w:caps w:val="0"/>
          <w:color w:val="auto"/>
          <w:spacing w:val="0"/>
          <w:sz w:val="21"/>
          <w:szCs w:val="21"/>
          <w:highlight w:val="none"/>
          <w:shd w:val="clear" w:color="auto" w:fill="FFFFFF"/>
          <w:lang w:eastAsia="zh-CN"/>
        </w:rPr>
        <w:t>招商银行</w:t>
      </w:r>
      <w:r>
        <w:rPr>
          <w:rFonts w:hint="eastAsia" w:ascii="宋体" w:hAnsi="宋体" w:eastAsia="宋体" w:cs="宋体"/>
          <w:i w:val="0"/>
          <w:iCs w:val="0"/>
          <w:caps w:val="0"/>
          <w:color w:val="auto"/>
          <w:spacing w:val="0"/>
          <w:sz w:val="21"/>
          <w:szCs w:val="21"/>
          <w:highlight w:val="none"/>
          <w:shd w:val="clear" w:color="auto" w:fill="FFFFFF"/>
        </w:rPr>
        <w:t>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14:paraId="59D3D1CF">
      <w:pPr>
        <w:spacing w:line="360" w:lineRule="auto"/>
        <w:ind w:firstLine="420" w:firstLineChars="200"/>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王小青先生，</w:t>
      </w:r>
      <w:r>
        <w:rPr>
          <w:rFonts w:hint="eastAsia" w:ascii="宋体" w:hAnsi="宋体" w:cs="宋体"/>
          <w:i w:val="0"/>
          <w:iCs w:val="0"/>
          <w:caps w:val="0"/>
          <w:color w:val="auto"/>
          <w:spacing w:val="0"/>
          <w:sz w:val="21"/>
          <w:szCs w:val="21"/>
          <w:highlight w:val="none"/>
          <w:shd w:val="clear" w:color="auto" w:fill="FFFFFF"/>
          <w:lang w:val="en-US" w:eastAsia="zh-CN"/>
        </w:rPr>
        <w:t>招商银行</w:t>
      </w:r>
      <w:r>
        <w:rPr>
          <w:rFonts w:hint="eastAsia" w:ascii="宋体" w:hAnsi="宋体" w:eastAsia="宋体" w:cs="宋体"/>
          <w:i w:val="0"/>
          <w:iCs w:val="0"/>
          <w:caps w:val="0"/>
          <w:color w:val="auto"/>
          <w:spacing w:val="0"/>
          <w:sz w:val="21"/>
          <w:szCs w:val="21"/>
          <w:highlight w:val="none"/>
          <w:shd w:val="clear" w:color="auto" w:fill="FFFFFF"/>
        </w:rPr>
        <w:t>党委书记，复旦大学政治经济学博士。曾任中国人保资产管理有限公司总裁助理、副总裁兼财务负责人，招商基金管理有限公司总经理、董事长，</w:t>
      </w:r>
      <w:r>
        <w:rPr>
          <w:rFonts w:hint="eastAsia" w:ascii="宋体" w:hAnsi="宋体" w:cs="宋体"/>
          <w:i w:val="0"/>
          <w:iCs w:val="0"/>
          <w:caps w:val="0"/>
          <w:color w:val="auto"/>
          <w:spacing w:val="0"/>
          <w:sz w:val="21"/>
          <w:szCs w:val="21"/>
          <w:highlight w:val="none"/>
          <w:shd w:val="clear" w:color="auto" w:fill="FFFFFF"/>
          <w:lang w:val="en-US" w:eastAsia="zh-CN"/>
        </w:rPr>
        <w:t>招商银行</w:t>
      </w:r>
      <w:r>
        <w:rPr>
          <w:rFonts w:hint="eastAsia" w:ascii="宋体" w:hAnsi="宋体" w:eastAsia="宋体" w:cs="宋体"/>
          <w:i w:val="0"/>
          <w:iCs w:val="0"/>
          <w:caps w:val="0"/>
          <w:color w:val="auto"/>
          <w:spacing w:val="0"/>
          <w:sz w:val="21"/>
          <w:szCs w:val="21"/>
          <w:highlight w:val="none"/>
          <w:shd w:val="clear" w:color="auto" w:fill="FFFFFF"/>
        </w:rPr>
        <w:t>行长助理兼深圳分行行长、</w:t>
      </w:r>
      <w:r>
        <w:rPr>
          <w:rFonts w:hint="eastAsia" w:ascii="宋体" w:hAnsi="宋体" w:cs="宋体"/>
          <w:i w:val="0"/>
          <w:iCs w:val="0"/>
          <w:caps w:val="0"/>
          <w:color w:val="auto"/>
          <w:spacing w:val="0"/>
          <w:sz w:val="21"/>
          <w:szCs w:val="21"/>
          <w:highlight w:val="none"/>
          <w:shd w:val="clear" w:color="auto" w:fill="FFFFFF"/>
          <w:lang w:val="en-US" w:eastAsia="zh-CN"/>
        </w:rPr>
        <w:t>招商银行</w:t>
      </w:r>
      <w:r>
        <w:rPr>
          <w:rFonts w:hint="eastAsia" w:ascii="宋体" w:hAnsi="宋体" w:eastAsia="宋体" w:cs="宋体"/>
          <w:i w:val="0"/>
          <w:iCs w:val="0"/>
          <w:caps w:val="0"/>
          <w:color w:val="auto"/>
          <w:spacing w:val="0"/>
          <w:sz w:val="21"/>
          <w:szCs w:val="21"/>
          <w:highlight w:val="none"/>
          <w:shd w:val="clear" w:color="auto" w:fill="FFFFFF"/>
        </w:rPr>
        <w:t>副行长，招商局金融控股有限公司总经理。曾兼任招商信诺人寿保险有限公司董事长、招商信诺资产管理有限公司董事长。</w:t>
      </w:r>
    </w:p>
    <w:p w14:paraId="426BFE82">
      <w:pPr>
        <w:spacing w:line="360" w:lineRule="auto"/>
        <w:ind w:firstLine="420" w:firstLineChars="200"/>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王颖女士，</w:t>
      </w:r>
      <w:r>
        <w:rPr>
          <w:rFonts w:hint="eastAsia" w:ascii="宋体" w:hAnsi="宋体" w:cs="宋体"/>
          <w:i w:val="0"/>
          <w:iCs w:val="0"/>
          <w:caps w:val="0"/>
          <w:color w:val="auto"/>
          <w:spacing w:val="0"/>
          <w:sz w:val="21"/>
          <w:szCs w:val="21"/>
          <w:highlight w:val="none"/>
          <w:shd w:val="clear" w:color="auto" w:fill="FFFFFF"/>
          <w:lang w:eastAsia="zh-CN"/>
        </w:rPr>
        <w:t>招商银行</w:t>
      </w:r>
      <w:r>
        <w:rPr>
          <w:rFonts w:hint="eastAsia" w:ascii="宋体" w:hAnsi="宋体" w:eastAsia="宋体" w:cs="宋体"/>
          <w:i w:val="0"/>
          <w:iCs w:val="0"/>
          <w:caps w:val="0"/>
          <w:color w:val="auto"/>
          <w:spacing w:val="0"/>
          <w:sz w:val="21"/>
          <w:szCs w:val="21"/>
          <w:highlight w:val="none"/>
          <w:shd w:val="clear" w:color="auto" w:fill="FFFFFF"/>
        </w:rPr>
        <w:t>副行长，南京大学政治经济学专业硕士，经济师。王颖女士1997年1月加入</w:t>
      </w:r>
      <w:r>
        <w:rPr>
          <w:rFonts w:hint="eastAsia" w:ascii="宋体" w:hAnsi="宋体" w:cs="宋体"/>
          <w:i w:val="0"/>
          <w:iCs w:val="0"/>
          <w:caps w:val="0"/>
          <w:color w:val="auto"/>
          <w:spacing w:val="0"/>
          <w:sz w:val="21"/>
          <w:szCs w:val="21"/>
          <w:highlight w:val="none"/>
          <w:shd w:val="clear" w:color="auto" w:fill="FFFFFF"/>
          <w:lang w:eastAsia="zh-CN"/>
        </w:rPr>
        <w:t>招商银行</w:t>
      </w:r>
      <w:r>
        <w:rPr>
          <w:rFonts w:hint="eastAsia" w:ascii="宋体" w:hAnsi="宋体" w:eastAsia="宋体" w:cs="宋体"/>
          <w:i w:val="0"/>
          <w:iCs w:val="0"/>
          <w:caps w:val="0"/>
          <w:color w:val="auto"/>
          <w:spacing w:val="0"/>
          <w:sz w:val="21"/>
          <w:szCs w:val="21"/>
          <w:highlight w:val="none"/>
          <w:shd w:val="clear" w:color="auto" w:fill="FFFFFF"/>
        </w:rPr>
        <w:t>，历任</w:t>
      </w:r>
      <w:r>
        <w:rPr>
          <w:rFonts w:hint="eastAsia" w:ascii="宋体" w:hAnsi="宋体" w:cs="宋体"/>
          <w:i w:val="0"/>
          <w:iCs w:val="0"/>
          <w:caps w:val="0"/>
          <w:color w:val="auto"/>
          <w:spacing w:val="0"/>
          <w:sz w:val="21"/>
          <w:szCs w:val="21"/>
          <w:highlight w:val="none"/>
          <w:shd w:val="clear" w:color="auto" w:fill="FFFFFF"/>
          <w:lang w:eastAsia="zh-CN"/>
        </w:rPr>
        <w:t>招商银行</w:t>
      </w:r>
      <w:r>
        <w:rPr>
          <w:rFonts w:hint="eastAsia" w:ascii="宋体" w:hAnsi="宋体" w:eastAsia="宋体" w:cs="宋体"/>
          <w:i w:val="0"/>
          <w:iCs w:val="0"/>
          <w:caps w:val="0"/>
          <w:color w:val="auto"/>
          <w:spacing w:val="0"/>
          <w:sz w:val="21"/>
          <w:szCs w:val="21"/>
          <w:highlight w:val="none"/>
          <w:shd w:val="clear" w:color="auto" w:fill="FFFFFF"/>
        </w:rPr>
        <w:t>北京分行行长助理、副行长，天津分行行长，深圳分行行长，</w:t>
      </w:r>
      <w:r>
        <w:rPr>
          <w:rFonts w:hint="eastAsia" w:ascii="宋体" w:hAnsi="宋体" w:cs="宋体"/>
          <w:i w:val="0"/>
          <w:iCs w:val="0"/>
          <w:caps w:val="0"/>
          <w:color w:val="auto"/>
          <w:spacing w:val="0"/>
          <w:sz w:val="21"/>
          <w:szCs w:val="21"/>
          <w:highlight w:val="none"/>
          <w:shd w:val="clear" w:color="auto" w:fill="FFFFFF"/>
          <w:lang w:eastAsia="zh-CN"/>
        </w:rPr>
        <w:t>招商银行</w:t>
      </w:r>
      <w:r>
        <w:rPr>
          <w:rFonts w:hint="eastAsia" w:ascii="宋体" w:hAnsi="宋体" w:eastAsia="宋体" w:cs="宋体"/>
          <w:i w:val="0"/>
          <w:iCs w:val="0"/>
          <w:caps w:val="0"/>
          <w:color w:val="auto"/>
          <w:spacing w:val="0"/>
          <w:sz w:val="21"/>
          <w:szCs w:val="21"/>
          <w:highlight w:val="none"/>
          <w:shd w:val="clear" w:color="auto" w:fill="FFFFFF"/>
        </w:rPr>
        <w:t>行长助理。2023年11月起任</w:t>
      </w:r>
      <w:r>
        <w:rPr>
          <w:rFonts w:hint="eastAsia" w:ascii="宋体" w:hAnsi="宋体" w:cs="宋体"/>
          <w:i w:val="0"/>
          <w:iCs w:val="0"/>
          <w:caps w:val="0"/>
          <w:color w:val="auto"/>
          <w:spacing w:val="0"/>
          <w:sz w:val="21"/>
          <w:szCs w:val="21"/>
          <w:highlight w:val="none"/>
          <w:shd w:val="clear" w:color="auto" w:fill="FFFFFF"/>
          <w:lang w:eastAsia="zh-CN"/>
        </w:rPr>
        <w:t>招商银行</w:t>
      </w:r>
      <w:r>
        <w:rPr>
          <w:rFonts w:hint="eastAsia" w:ascii="宋体" w:hAnsi="宋体" w:eastAsia="宋体" w:cs="宋体"/>
          <w:i w:val="0"/>
          <w:iCs w:val="0"/>
          <w:caps w:val="0"/>
          <w:color w:val="auto"/>
          <w:spacing w:val="0"/>
          <w:sz w:val="21"/>
          <w:szCs w:val="21"/>
          <w:highlight w:val="none"/>
          <w:shd w:val="clear" w:color="auto" w:fill="FFFFFF"/>
        </w:rPr>
        <w:t>副行长。</w:t>
      </w:r>
    </w:p>
    <w:p w14:paraId="48DAA8D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孙乐女士，</w:t>
      </w:r>
      <w:r>
        <w:rPr>
          <w:rFonts w:hint="eastAsia" w:ascii="宋体" w:hAnsi="宋体" w:cs="宋体"/>
          <w:i w:val="0"/>
          <w:iCs w:val="0"/>
          <w:caps w:val="0"/>
          <w:color w:val="auto"/>
          <w:spacing w:val="0"/>
          <w:sz w:val="21"/>
          <w:szCs w:val="21"/>
          <w:highlight w:val="none"/>
          <w:shd w:val="clear" w:color="auto" w:fill="FFFFFF"/>
          <w:lang w:val="en-US" w:eastAsia="zh-CN"/>
        </w:rPr>
        <w:t>招商银行</w:t>
      </w:r>
      <w:r>
        <w:rPr>
          <w:rFonts w:hint="eastAsia" w:ascii="宋体" w:hAnsi="宋体" w:eastAsia="宋体" w:cs="宋体"/>
          <w:color w:val="auto"/>
          <w:szCs w:val="21"/>
          <w:highlight w:val="none"/>
          <w:shd w:val="clear" w:color="auto" w:fill="FFFFFF"/>
        </w:rPr>
        <w:t>资产托管部总经理，硕士研究生毕业，2001年8月加入</w:t>
      </w:r>
      <w:r>
        <w:rPr>
          <w:rFonts w:hint="eastAsia" w:ascii="宋体" w:hAnsi="宋体" w:cs="宋体"/>
          <w:color w:val="auto"/>
          <w:szCs w:val="21"/>
          <w:highlight w:val="none"/>
          <w:shd w:val="clear" w:color="auto" w:fill="FFFFFF"/>
          <w:lang w:val="en-US" w:eastAsia="zh-CN"/>
        </w:rPr>
        <w:t>招商银行</w:t>
      </w:r>
      <w:r>
        <w:rPr>
          <w:rFonts w:hint="eastAsia" w:ascii="宋体" w:hAnsi="宋体" w:eastAsia="宋体" w:cs="宋体"/>
          <w:color w:val="auto"/>
          <w:szCs w:val="21"/>
          <w:highlight w:val="none"/>
          <w:shd w:val="clear" w:color="auto" w:fill="FFFFFF"/>
        </w:rPr>
        <w:t>至今，历任</w:t>
      </w:r>
      <w:r>
        <w:rPr>
          <w:rFonts w:hint="eastAsia" w:ascii="宋体" w:hAnsi="宋体" w:cs="宋体"/>
          <w:color w:val="auto"/>
          <w:szCs w:val="21"/>
          <w:highlight w:val="none"/>
          <w:shd w:val="clear" w:color="auto" w:fill="FFFFFF"/>
          <w:lang w:val="en-US" w:eastAsia="zh-CN"/>
        </w:rPr>
        <w:t>招商银行</w:t>
      </w:r>
      <w:r>
        <w:rPr>
          <w:rFonts w:hint="eastAsia" w:ascii="宋体" w:hAnsi="宋体" w:eastAsia="宋体" w:cs="宋体"/>
          <w:color w:val="auto"/>
          <w:szCs w:val="21"/>
          <w:highlight w:val="none"/>
          <w:shd w:val="clear" w:color="auto" w:fill="FFFFFF"/>
        </w:rPr>
        <w:t>合肥分行风险控制部副经理、经理、信贷管理部总经理助理、副总经理、总经理、公司银行部总经理、中小企业金融部总经理、投行与金融市场部总经理；无锡分行行长助理、副行长；南京分行副行长</w:t>
      </w:r>
      <w:r>
        <w:rPr>
          <w:rFonts w:hint="eastAsia" w:ascii="宋体" w:hAnsi="宋体" w:cs="宋体"/>
          <w:color w:val="auto"/>
          <w:szCs w:val="21"/>
          <w:highlight w:val="none"/>
          <w:shd w:val="clear" w:color="auto" w:fill="FFFFFF"/>
          <w:lang w:eastAsia="zh-CN"/>
        </w:rPr>
        <w:t>；</w:t>
      </w:r>
      <w:r>
        <w:rPr>
          <w:rFonts w:hint="eastAsia" w:ascii="宋体" w:hAnsi="宋体" w:cs="宋体"/>
          <w:color w:val="auto"/>
          <w:szCs w:val="21"/>
          <w:highlight w:val="none"/>
          <w:shd w:val="clear" w:color="auto" w:fill="FFFFFF"/>
          <w:lang w:val="en-US" w:eastAsia="zh-CN"/>
        </w:rPr>
        <w:t>2021年10月起先后任招商银行资产托管部负责人、资产托管部总经理，</w:t>
      </w:r>
      <w:r>
        <w:rPr>
          <w:rFonts w:hint="eastAsia" w:ascii="宋体" w:hAnsi="宋体" w:eastAsia="宋体" w:cs="宋体"/>
          <w:color w:val="auto"/>
          <w:szCs w:val="21"/>
          <w:highlight w:val="none"/>
          <w:shd w:val="clear" w:color="auto" w:fill="FFFFFF"/>
        </w:rPr>
        <w:t>具有20余年银行从业经验，在风险管理、信贷管理、公司金融、资产托管等领域有深入的研究和丰富的实务经验。</w:t>
      </w:r>
    </w:p>
    <w:p w14:paraId="32B2A0CB">
      <w:pPr>
        <w:spacing w:line="360" w:lineRule="auto"/>
        <w:ind w:firstLine="422" w:firstLineChars="200"/>
        <w:rPr>
          <w:rFonts w:ascii="宋体" w:hAnsi="宋体"/>
          <w:b/>
          <w:kern w:val="0"/>
          <w:szCs w:val="21"/>
        </w:rPr>
      </w:pPr>
      <w:r>
        <w:rPr>
          <w:rFonts w:hint="eastAsia" w:ascii="宋体" w:hAnsi="宋体"/>
          <w:b/>
          <w:kern w:val="0"/>
          <w:szCs w:val="21"/>
        </w:rPr>
        <w:t>三、基金托管业务经营情况</w:t>
      </w:r>
    </w:p>
    <w:p w14:paraId="2EDDD361">
      <w:pPr>
        <w:widowControl/>
        <w:spacing w:before="75" w:after="75"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截至202</w:t>
      </w:r>
      <w:r>
        <w:rPr>
          <w:rFonts w:hint="eastAsia" w:ascii="宋体" w:hAnsi="宋体" w:cs="宋体"/>
          <w:color w:val="auto"/>
          <w:kern w:val="0"/>
          <w:szCs w:val="21"/>
          <w:highlight w:val="none"/>
          <w:lang w:val="en-US" w:eastAsia="zh-CN"/>
        </w:rPr>
        <w:t>6</w:t>
      </w:r>
      <w:r>
        <w:rPr>
          <w:rFonts w:hint="eastAsia" w:ascii="宋体" w:hAnsi="宋体" w:eastAsia="宋体" w:cs="宋体"/>
          <w:color w:val="auto"/>
          <w:kern w:val="0"/>
          <w:szCs w:val="21"/>
          <w:highlight w:val="none"/>
        </w:rPr>
        <w:t>年</w:t>
      </w: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rPr>
        <w:t>月</w:t>
      </w:r>
      <w:r>
        <w:rPr>
          <w:rFonts w:hint="eastAsia" w:ascii="宋体" w:hAnsi="宋体" w:cs="宋体"/>
          <w:color w:val="auto"/>
          <w:kern w:val="0"/>
          <w:szCs w:val="21"/>
          <w:highlight w:val="none"/>
          <w:lang w:val="en-US" w:eastAsia="zh-CN"/>
        </w:rPr>
        <w:t>31</w:t>
      </w:r>
      <w:r>
        <w:rPr>
          <w:rFonts w:hint="eastAsia" w:ascii="宋体" w:hAnsi="宋体" w:eastAsia="宋体" w:cs="宋体"/>
          <w:color w:val="auto"/>
          <w:kern w:val="0"/>
          <w:szCs w:val="21"/>
          <w:highlight w:val="none"/>
        </w:rPr>
        <w:t>日，招商银行股份有限公司累计托管</w:t>
      </w:r>
      <w:r>
        <w:rPr>
          <w:rFonts w:hint="eastAsia" w:ascii="宋体" w:hAnsi="宋体" w:cs="宋体"/>
          <w:color w:val="auto"/>
          <w:kern w:val="0"/>
          <w:szCs w:val="21"/>
          <w:highlight w:val="none"/>
          <w:lang w:val="en-US" w:eastAsia="zh-CN"/>
        </w:rPr>
        <w:t>1813</w:t>
      </w:r>
      <w:r>
        <w:rPr>
          <w:rFonts w:hint="eastAsia" w:ascii="宋体" w:hAnsi="宋体" w:eastAsia="宋体" w:cs="宋体"/>
          <w:color w:val="auto"/>
          <w:szCs w:val="21"/>
          <w:highlight w:val="none"/>
        </w:rPr>
        <w:t>只证券投资基金</w:t>
      </w:r>
      <w:r>
        <w:rPr>
          <w:rFonts w:hint="eastAsia" w:ascii="宋体" w:hAnsi="宋体" w:eastAsia="宋体" w:cs="宋体"/>
          <w:color w:val="auto"/>
          <w:kern w:val="0"/>
          <w:szCs w:val="21"/>
          <w:highlight w:val="none"/>
        </w:rPr>
        <w:t>。</w:t>
      </w:r>
    </w:p>
    <w:p w14:paraId="47E878B2">
      <w:pPr>
        <w:spacing w:line="360" w:lineRule="auto"/>
        <w:ind w:firstLine="422" w:firstLineChars="200"/>
        <w:rPr>
          <w:rFonts w:ascii="宋体" w:hAnsi="宋体"/>
          <w:b/>
          <w:kern w:val="0"/>
          <w:szCs w:val="21"/>
        </w:rPr>
      </w:pPr>
      <w:r>
        <w:rPr>
          <w:rFonts w:hint="eastAsia" w:ascii="宋体" w:hAnsi="宋体"/>
          <w:b/>
          <w:kern w:val="0"/>
          <w:szCs w:val="21"/>
        </w:rPr>
        <w:t>四、托管人的内部控制制度</w:t>
      </w:r>
    </w:p>
    <w:p w14:paraId="541446B2">
      <w:pPr>
        <w:numPr>
          <w:ilvl w:val="0"/>
          <w:numId w:val="1"/>
        </w:numPr>
        <w:spacing w:line="360" w:lineRule="auto"/>
        <w:ind w:left="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内部控制目标</w:t>
      </w:r>
    </w:p>
    <w:p w14:paraId="63F1630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14:paraId="1F3BE91C">
      <w:pPr>
        <w:numPr>
          <w:ilvl w:val="0"/>
          <w:numId w:val="1"/>
        </w:numPr>
        <w:spacing w:line="360" w:lineRule="auto"/>
        <w:ind w:left="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内部控制组织结构</w:t>
      </w:r>
    </w:p>
    <w:p w14:paraId="50FFE18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招商银行资产托管业务建立三级内部控制及风险防范体系：</w:t>
      </w:r>
    </w:p>
    <w:p w14:paraId="6AD5DAE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一级内部控制及风险防范是在招商银行总行风险管控层面对风险进行预防和控制；总行风险管理部、法律合规部、审计部独立对资产托管业务进行评估监督，并提出内控提升管理建议。</w:t>
      </w:r>
    </w:p>
    <w:p w14:paraId="5848CDE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二级内部控制及风险防范是招商银行资产托管部设立风险合规管理相关</w:t>
      </w:r>
      <w:r>
        <w:rPr>
          <w:rFonts w:hint="eastAsia" w:ascii="宋体" w:hAnsi="宋体" w:eastAsia="宋体" w:cs="宋体"/>
          <w:bCs/>
          <w:color w:val="auto"/>
          <w:kern w:val="36"/>
          <w:szCs w:val="21"/>
          <w:highlight w:val="none"/>
        </w:rPr>
        <w:t>团队</w:t>
      </w:r>
      <w:r>
        <w:rPr>
          <w:rFonts w:hint="eastAsia" w:ascii="宋体" w:hAnsi="宋体" w:eastAsia="宋体" w:cs="宋体"/>
          <w:color w:val="auto"/>
          <w:szCs w:val="21"/>
          <w:highlight w:val="none"/>
        </w:rPr>
        <w:t>，负责部门内部风险预防和控制，及时发现内部控制缺陷，提出整改方案，跟踪整改情况，并直接向部门总经理室报告。</w:t>
      </w:r>
    </w:p>
    <w:p w14:paraId="17BE199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三级内部控制及风险防范是招商银行资产托管部在设置专业岗位时，遵循内控制衡原则，视业务的风险程度制定相应监督制衡机制。</w:t>
      </w:r>
    </w:p>
    <w:p w14:paraId="2713278B">
      <w:pPr>
        <w:numPr>
          <w:ilvl w:val="0"/>
          <w:numId w:val="1"/>
        </w:numPr>
        <w:spacing w:line="360" w:lineRule="auto"/>
        <w:ind w:left="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内部控制原则</w:t>
      </w:r>
    </w:p>
    <w:p w14:paraId="771CF0D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（1）全面性原则。内部控制覆盖各项业务过程和操作环节、覆盖所有团队和岗位，并由全部人员参与。</w:t>
      </w:r>
    </w:p>
    <w:p w14:paraId="3447D04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（2）审慎性原则。托管组织体系的构成、内部管理制度的建立均以防范风险、审慎经营为出发点，体现“内控优先”的要求。</w:t>
      </w:r>
    </w:p>
    <w:p w14:paraId="614244F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（3）独立性原则。招商银行资产托管部各团队、各岗位职责保持相对独立，不同托管资产之间、托管资产和自有资产之间相互分离。内部控制的检查、评价部门独立于内部控制的建立和执行部门。</w:t>
      </w:r>
    </w:p>
    <w:p w14:paraId="19B4FA0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14:paraId="114D569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（5）适应性原则。</w:t>
      </w:r>
      <w:r>
        <w:rPr>
          <w:rFonts w:hint="eastAsia" w:ascii="宋体" w:hAnsi="宋体" w:eastAsia="宋体" w:cs="宋体"/>
          <w:bCs/>
          <w:color w:val="auto"/>
          <w:szCs w:val="21"/>
          <w:highlight w:val="none"/>
        </w:rPr>
        <w:t>内部控制适应招商银行托管业务风险管理的需要，并能够随着托管业务经营战略、经营方针、经营理念等内部环境的变化和国家法律、法规、政策制度等外部环境的改变及时进行修订和完善。</w:t>
      </w:r>
    </w:p>
    <w:p w14:paraId="6C7BA7AF">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（6）防火墙原则。</w:t>
      </w:r>
      <w:r>
        <w:rPr>
          <w:rFonts w:hint="eastAsia" w:ascii="宋体" w:hAnsi="宋体" w:eastAsia="宋体" w:cs="宋体"/>
          <w:color w:val="auto"/>
          <w:kern w:val="0"/>
          <w:szCs w:val="21"/>
          <w:highlight w:val="none"/>
        </w:rPr>
        <w:t>招商银行资产</w:t>
      </w:r>
      <w:r>
        <w:rPr>
          <w:rFonts w:hint="eastAsia" w:ascii="宋体" w:hAnsi="宋体" w:eastAsia="宋体" w:cs="宋体"/>
          <w:bCs/>
          <w:color w:val="auto"/>
          <w:szCs w:val="21"/>
          <w:highlight w:val="none"/>
        </w:rPr>
        <w:t xml:space="preserve">托管部办公场地与我行其他业务场地隔离，办公网和业务网物理分离，部门业务网和全行业务网防火墙策略分离，以达到风险防范的目的。 </w:t>
      </w:r>
    </w:p>
    <w:p w14:paraId="66AC4C0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（7）重要性原则。内部控制在实现全面控制的基础上，关注重要托管业务重要事项和高风险环节。</w:t>
      </w:r>
    </w:p>
    <w:p w14:paraId="0326D3C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（8）制衡性原则。内部控制能够实现在托管组织体系、机构设置、权责分配及业务流程等方面相互制约、相互监督，同时兼顾运营效率。</w:t>
      </w:r>
    </w:p>
    <w:p w14:paraId="58C20736">
      <w:pPr>
        <w:numPr>
          <w:ilvl w:val="0"/>
          <w:numId w:val="1"/>
        </w:numPr>
        <w:spacing w:line="360" w:lineRule="auto"/>
        <w:ind w:left="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内部控制措施</w:t>
      </w:r>
    </w:p>
    <w:p w14:paraId="265B339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14:paraId="75AD3B5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（2）业务信息风险控制。招商银行资产托管部在数据传输和保存方面有严格的加密和备份措施，采用加密、直连方式传输数据，数据执行异地实时备份，所有的业务信息须经过严格的授权方能进行访问。</w:t>
      </w:r>
    </w:p>
    <w:p w14:paraId="32A3268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（3）客户资料风险控制。招商银行资产托管部对业务办理过程中获取的客户资料严格保密，除法律法规和其他有关规定、监管机构及审计要求外，不向任何机构、部门或个人泄露。</w:t>
      </w:r>
    </w:p>
    <w:p w14:paraId="7162B95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w:t>
      </w:r>
    </w:p>
    <w:p w14:paraId="13F7462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（5）人力资源控制。招商银行资产托管部通过建立良好的企业文化和员工培训、激励机制、加强人力资源管理及建立人才梯级队伍及人才储备机制，有效地进行人力资源管理。</w:t>
      </w:r>
    </w:p>
    <w:p w14:paraId="58564CE2">
      <w:pPr>
        <w:spacing w:line="360" w:lineRule="auto"/>
        <w:ind w:firstLine="422" w:firstLineChars="200"/>
        <w:rPr>
          <w:rFonts w:hint="eastAsia" w:ascii="宋体" w:hAnsi="宋体" w:eastAsia="宋体" w:cs="Calibri"/>
          <w:b/>
          <w:color w:val="auto"/>
          <w:kern w:val="0"/>
          <w:szCs w:val="21"/>
          <w:highlight w:val="none"/>
        </w:rPr>
      </w:pPr>
      <w:r>
        <w:rPr>
          <w:rFonts w:hint="eastAsia" w:ascii="宋体" w:hAnsi="宋体" w:eastAsia="宋体" w:cs="Calibri"/>
          <w:b/>
          <w:color w:val="auto"/>
          <w:kern w:val="0"/>
          <w:szCs w:val="21"/>
          <w:highlight w:val="none"/>
        </w:rPr>
        <w:t>五</w:t>
      </w:r>
      <w:r>
        <w:rPr>
          <w:rFonts w:hint="eastAsia" w:ascii="宋体" w:hAnsi="宋体" w:cs="Calibri"/>
          <w:b/>
          <w:color w:val="auto"/>
          <w:kern w:val="0"/>
          <w:szCs w:val="21"/>
          <w:highlight w:val="none"/>
          <w:lang w:eastAsia="zh-CN"/>
        </w:rPr>
        <w:t>、</w:t>
      </w:r>
      <w:r>
        <w:rPr>
          <w:rFonts w:hint="eastAsia" w:ascii="宋体" w:hAnsi="宋体" w:eastAsia="宋体" w:cs="Calibri"/>
          <w:b/>
          <w:color w:val="auto"/>
          <w:kern w:val="0"/>
          <w:szCs w:val="21"/>
          <w:highlight w:val="none"/>
        </w:rPr>
        <w:t>基金托管人对基金管理人运作基金进行监督的方法和程序</w:t>
      </w:r>
    </w:p>
    <w:p w14:paraId="1C46FBBE">
      <w:pPr>
        <w:tabs>
          <w:tab w:val="left" w:pos="74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中华人民共和国证券投资基金法》《公开募集证券投资基金运作管理办法》等有关法律法规的规定及基金合同、托管协议的约定，对基金投资范围、投资比例、投资组合等情况的合法性、合规性进行监督和核查。</w:t>
      </w:r>
    </w:p>
    <w:p w14:paraId="20D91E1C">
      <w:pPr>
        <w:tabs>
          <w:tab w:val="left" w:pos="742"/>
        </w:tabs>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14:paraId="68183257">
      <w:pPr>
        <w:pStyle w:val="2"/>
        <w:tabs>
          <w:tab w:val="left" w:pos="1742"/>
        </w:tabs>
        <w:snapToGrid w:val="0"/>
        <w:spacing w:before="0" w:after="0" w:line="360" w:lineRule="auto"/>
        <w:ind w:firstLine="420" w:firstLineChars="200"/>
        <w:jc w:val="both"/>
        <w:rPr>
          <w:rFonts w:ascii="Arial Unicode MS" w:hAnsi="Arial Unicode MS" w:eastAsia="宋体" w:cs="Arial"/>
          <w:b/>
          <w:bCs/>
          <w:sz w:val="21"/>
          <w:szCs w:val="21"/>
        </w:rPr>
      </w:pPr>
      <w:bookmarkStart w:id="41" w:name="_Hlt140627910"/>
      <w:bookmarkEnd w:id="41"/>
      <w:bookmarkStart w:id="42" w:name="_Hlt88821694"/>
      <w:bookmarkEnd w:id="42"/>
      <w:bookmarkStart w:id="43" w:name="_Hlt145312160"/>
      <w:r>
        <w:rPr>
          <w:rFonts w:hint="eastAsia" w:ascii="宋体" w:hAnsi="宋体" w:eastAsia="宋体" w:cs="宋体"/>
          <w:color w:val="auto"/>
          <w:kern w:val="0"/>
          <w:sz w:val="21"/>
          <w:szCs w:val="21"/>
          <w:highlight w:val="none"/>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bookmarkEnd w:id="43"/>
    </w:p>
    <w:p w14:paraId="0009D277">
      <w:pPr>
        <w:pStyle w:val="8"/>
        <w:spacing w:before="0" w:beforeAutospacing="0" w:after="0" w:afterAutospacing="0" w:line="360" w:lineRule="auto"/>
        <w:ind w:firstLine="420"/>
        <w:rPr>
          <w:sz w:val="21"/>
          <w:szCs w:val="21"/>
        </w:rPr>
      </w:pPr>
      <w:r>
        <w:rPr>
          <w:rFonts w:hint="eastAsia"/>
          <w:sz w:val="21"/>
          <w:szCs w:val="21"/>
        </w:rPr>
        <w:t xml:space="preserve"> </w:t>
      </w:r>
      <w:bookmarkStart w:id="44" w:name="field_0_trustcontrollawinfo_1_end"/>
      <w:bookmarkEnd w:id="44"/>
      <w:r>
        <w:rPr>
          <w:rFonts w:hint="eastAsia"/>
          <w:sz w:val="21"/>
          <w:szCs w:val="21"/>
        </w:rPr>
        <w:t xml:space="preserve">  </w:t>
      </w:r>
    </w:p>
    <w:p w14:paraId="39DD9213">
      <w:pPr>
        <w:widowControl/>
        <w:jc w:val="left"/>
        <w:rPr>
          <w:rFonts w:ascii="宋体" w:hAnsi="宋体" w:eastAsia="宋体"/>
        </w:rPr>
      </w:pPr>
      <w:r>
        <w:rPr>
          <w:rFonts w:ascii="宋体" w:hAnsi="宋体" w:eastAsia="宋体"/>
        </w:rPr>
        <w:br w:type="page"/>
      </w:r>
    </w:p>
    <w:p w14:paraId="6734D442">
      <w:pPr>
        <w:pStyle w:val="3"/>
        <w:jc w:val="center"/>
        <w:rPr>
          <w:rFonts w:ascii="宋体" w:hAnsi="宋体" w:eastAsia="宋体"/>
          <w:sz w:val="30"/>
        </w:rPr>
      </w:pPr>
      <w:bookmarkStart w:id="45" w:name="_Toc213857119"/>
      <w:bookmarkStart w:id="46" w:name="chapter_level1_7_56"/>
      <w:r>
        <w:rPr>
          <w:rFonts w:hint="eastAsia" w:ascii="宋体" w:hAnsi="宋体" w:eastAsia="宋体"/>
          <w:sz w:val="30"/>
        </w:rPr>
        <w:t>第五部分  相关服务机构</w:t>
      </w:r>
      <w:bookmarkEnd w:id="45"/>
      <w:bookmarkEnd w:id="46"/>
    </w:p>
    <w:p w14:paraId="7629B826">
      <w:pPr>
        <w:pStyle w:val="8"/>
        <w:spacing w:before="0" w:beforeAutospacing="0" w:after="0" w:afterAutospacing="0" w:line="360" w:lineRule="auto"/>
        <w:ind w:firstLine="420"/>
        <w:rPr>
          <w:sz w:val="21"/>
          <w:szCs w:val="21"/>
        </w:rPr>
      </w:pPr>
      <w:bookmarkStart w:id="47" w:name="chapter_level1_7_56_section_1"/>
      <w:bookmarkEnd w:id="47"/>
      <w:r>
        <w:rPr>
          <w:rStyle w:val="12"/>
          <w:rFonts w:hint="eastAsia"/>
          <w:sz w:val="21"/>
          <w:szCs w:val="21"/>
        </w:rPr>
        <w:t>一、基金份额销售机构</w:t>
      </w:r>
    </w:p>
    <w:p w14:paraId="1B87610D">
      <w:pPr>
        <w:pStyle w:val="8"/>
        <w:spacing w:before="0" w:beforeAutospacing="0" w:after="0" w:afterAutospacing="0" w:line="360" w:lineRule="auto"/>
        <w:ind w:firstLine="420"/>
        <w:rPr>
          <w:sz w:val="21"/>
          <w:szCs w:val="21"/>
        </w:rPr>
      </w:pPr>
      <w:r>
        <w:rPr>
          <w:rFonts w:hint="eastAsia"/>
          <w:sz w:val="21"/>
          <w:szCs w:val="21"/>
        </w:rPr>
        <w:t xml:space="preserve">1、直销机构 </w:t>
      </w:r>
    </w:p>
    <w:p w14:paraId="4BD3ED5D">
      <w:pPr>
        <w:pStyle w:val="8"/>
        <w:spacing w:before="0" w:beforeAutospacing="0" w:after="0" w:afterAutospacing="0" w:line="360" w:lineRule="auto"/>
        <w:ind w:firstLine="420"/>
        <w:rPr>
          <w:sz w:val="21"/>
          <w:szCs w:val="21"/>
        </w:rPr>
      </w:pPr>
      <w:bookmarkStart w:id="48" w:name="field_0_marketcompanyinfo_1_start"/>
      <w:bookmarkEnd w:id="48"/>
      <w:r>
        <w:rPr>
          <w:rFonts w:hint="eastAsia"/>
          <w:sz w:val="21"/>
          <w:szCs w:val="21"/>
        </w:rPr>
        <w:t xml:space="preserve">名称：博时基金管理有限公司 </w:t>
      </w:r>
    </w:p>
    <w:p w14:paraId="34254C39">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0184881B">
      <w:pPr>
        <w:pStyle w:val="8"/>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4C3D5E45">
      <w:pPr>
        <w:pStyle w:val="8"/>
        <w:spacing w:before="0" w:beforeAutospacing="0" w:after="0" w:afterAutospacing="0" w:line="360" w:lineRule="auto"/>
        <w:ind w:firstLine="420"/>
        <w:rPr>
          <w:sz w:val="21"/>
          <w:szCs w:val="21"/>
        </w:rPr>
      </w:pPr>
      <w:r>
        <w:rPr>
          <w:rFonts w:hint="eastAsia"/>
          <w:sz w:val="21"/>
          <w:szCs w:val="21"/>
        </w:rPr>
        <w:t xml:space="preserve">电话：010-65187055 </w:t>
      </w:r>
    </w:p>
    <w:p w14:paraId="03C49433">
      <w:pPr>
        <w:pStyle w:val="8"/>
        <w:spacing w:before="0" w:beforeAutospacing="0" w:after="0" w:afterAutospacing="0" w:line="360" w:lineRule="auto"/>
        <w:ind w:firstLine="420"/>
        <w:rPr>
          <w:sz w:val="21"/>
          <w:szCs w:val="21"/>
        </w:rPr>
      </w:pPr>
      <w:r>
        <w:rPr>
          <w:rFonts w:hint="eastAsia"/>
          <w:sz w:val="21"/>
          <w:szCs w:val="21"/>
        </w:rPr>
        <w:t xml:space="preserve">传真：010-65187032 </w:t>
      </w:r>
    </w:p>
    <w:p w14:paraId="5073CA15">
      <w:pPr>
        <w:pStyle w:val="8"/>
        <w:spacing w:before="0" w:beforeAutospacing="0" w:after="0" w:afterAutospacing="0" w:line="360" w:lineRule="auto"/>
        <w:ind w:firstLine="420"/>
        <w:rPr>
          <w:sz w:val="21"/>
          <w:szCs w:val="21"/>
        </w:rPr>
      </w:pPr>
      <w:r>
        <w:rPr>
          <w:rFonts w:hint="eastAsia"/>
          <w:sz w:val="21"/>
          <w:szCs w:val="21"/>
        </w:rPr>
        <w:t xml:space="preserve">联系人：韩明亮 </w:t>
      </w:r>
    </w:p>
    <w:p w14:paraId="522064D1">
      <w:pPr>
        <w:pStyle w:val="8"/>
        <w:spacing w:before="0" w:beforeAutospacing="0" w:after="0" w:afterAutospacing="0" w:line="360" w:lineRule="auto"/>
        <w:ind w:firstLine="420"/>
        <w:rPr>
          <w:sz w:val="21"/>
          <w:szCs w:val="21"/>
        </w:rPr>
      </w:pPr>
      <w:bookmarkStart w:id="49" w:name="chapter_level1_7_56_section_1_end"/>
      <w:bookmarkEnd w:id="49"/>
      <w:r>
        <w:rPr>
          <w:rFonts w:hint="eastAsia"/>
          <w:sz w:val="21"/>
          <w:szCs w:val="21"/>
        </w:rPr>
        <w:t xml:space="preserve">全国统一客服热线：95105568（免长途费） </w:t>
      </w:r>
      <w:bookmarkStart w:id="50" w:name="field_0_marketcompanyinfo_1_end"/>
      <w:bookmarkEnd w:id="50"/>
      <w:r>
        <w:rPr>
          <w:rFonts w:hint="eastAsia"/>
          <w:sz w:val="21"/>
          <w:szCs w:val="21"/>
        </w:rPr>
        <w:t xml:space="preserve">  </w:t>
      </w:r>
    </w:p>
    <w:p w14:paraId="3ACCF6B8">
      <w:pPr>
        <w:pStyle w:val="8"/>
        <w:spacing w:before="0" w:beforeAutospacing="0" w:after="0" w:afterAutospacing="0" w:line="360" w:lineRule="auto"/>
        <w:ind w:firstLine="420"/>
        <w:rPr>
          <w:sz w:val="21"/>
          <w:szCs w:val="21"/>
        </w:rPr>
      </w:pPr>
      <w:bookmarkStart w:id="51" w:name="chapter_level1_7_56_section_2"/>
      <w:bookmarkEnd w:id="51"/>
      <w:r>
        <w:rPr>
          <w:rFonts w:hint="eastAsia"/>
          <w:sz w:val="21"/>
          <w:szCs w:val="21"/>
        </w:rPr>
        <w:t xml:space="preserve">2、代销机构 </w:t>
      </w:r>
    </w:p>
    <w:p w14:paraId="3D791D5A">
      <w:pPr>
        <w:pStyle w:val="8"/>
        <w:spacing w:before="0" w:beforeAutospacing="0" w:after="0" w:afterAutospacing="0" w:line="360" w:lineRule="auto"/>
        <w:ind w:firstLine="420"/>
        <w:rPr>
          <w:sz w:val="21"/>
          <w:szCs w:val="21"/>
        </w:rPr>
      </w:pPr>
      <w:bookmarkStart w:id="52" w:name="field_0_allproxysaletables_1_start"/>
      <w:bookmarkEnd w:id="52"/>
      <w:r>
        <w:rPr>
          <w:rFonts w:hint="eastAsia"/>
          <w:b/>
          <w:bCs/>
          <w:sz w:val="21"/>
          <w:szCs w:val="21"/>
        </w:rPr>
        <w:t>(1)交通银行股份有限公司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B133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7A38AD">
            <w:pPr>
              <w:pStyle w:val="8"/>
            </w:pPr>
            <w:r>
              <w:rPr>
                <w:rFonts w:hint="eastAsia"/>
              </w:rPr>
              <w:t xml:space="preserve">注册地址： </w:t>
            </w:r>
          </w:p>
        </w:tc>
        <w:tc>
          <w:tcPr>
            <w:tcW w:w="7440" w:type="dxa"/>
            <w:shd w:val="clear" w:color="auto" w:fill="auto"/>
          </w:tcPr>
          <w:p w14:paraId="3E50D0A6">
            <w:pPr>
              <w:pStyle w:val="8"/>
            </w:pPr>
            <w:r>
              <w:rPr>
                <w:rFonts w:hint="eastAsia"/>
              </w:rPr>
              <w:t xml:space="preserve">中国（上海）自由贸易试验区银城中路188号 </w:t>
            </w:r>
          </w:p>
        </w:tc>
      </w:tr>
      <w:tr w14:paraId="504F7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F41215">
            <w:pPr>
              <w:pStyle w:val="8"/>
            </w:pPr>
            <w:r>
              <w:rPr>
                <w:rFonts w:hint="eastAsia"/>
              </w:rPr>
              <w:t xml:space="preserve">办公地址： </w:t>
            </w:r>
          </w:p>
        </w:tc>
        <w:tc>
          <w:tcPr>
            <w:tcW w:w="7440" w:type="dxa"/>
            <w:shd w:val="clear" w:color="auto" w:fill="auto"/>
          </w:tcPr>
          <w:p w14:paraId="035A8C8F">
            <w:pPr>
              <w:pStyle w:val="8"/>
            </w:pPr>
            <w:r>
              <w:rPr>
                <w:rFonts w:hint="eastAsia"/>
              </w:rPr>
              <w:t xml:space="preserve">中国（上海）自由贸易试验区银城中路188号 </w:t>
            </w:r>
          </w:p>
        </w:tc>
      </w:tr>
      <w:tr w14:paraId="3CA3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1DEB7">
            <w:pPr>
              <w:pStyle w:val="8"/>
            </w:pPr>
            <w:r>
              <w:rPr>
                <w:rFonts w:hint="eastAsia"/>
              </w:rPr>
              <w:t xml:space="preserve">法定代表人： </w:t>
            </w:r>
          </w:p>
        </w:tc>
        <w:tc>
          <w:tcPr>
            <w:tcW w:w="7440" w:type="dxa"/>
            <w:shd w:val="clear" w:color="auto" w:fill="auto"/>
          </w:tcPr>
          <w:p w14:paraId="3C1D7E29">
            <w:pPr>
              <w:pStyle w:val="8"/>
            </w:pPr>
            <w:r>
              <w:rPr>
                <w:rFonts w:hint="eastAsia"/>
              </w:rPr>
              <w:t xml:space="preserve">任德奇 </w:t>
            </w:r>
          </w:p>
        </w:tc>
      </w:tr>
      <w:tr w14:paraId="74BB6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486D67">
            <w:pPr>
              <w:pStyle w:val="8"/>
            </w:pPr>
            <w:r>
              <w:rPr>
                <w:rFonts w:hint="eastAsia"/>
              </w:rPr>
              <w:t xml:space="preserve">联系人： </w:t>
            </w:r>
          </w:p>
        </w:tc>
        <w:tc>
          <w:tcPr>
            <w:tcW w:w="7440" w:type="dxa"/>
            <w:shd w:val="clear" w:color="auto" w:fill="auto"/>
          </w:tcPr>
          <w:p w14:paraId="117B599D">
            <w:pPr>
              <w:pStyle w:val="8"/>
            </w:pPr>
            <w:r>
              <w:rPr>
                <w:rFonts w:hint="eastAsia"/>
              </w:rPr>
              <w:t xml:space="preserve">高天 </w:t>
            </w:r>
          </w:p>
        </w:tc>
      </w:tr>
      <w:tr w14:paraId="02110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483F90">
            <w:pPr>
              <w:pStyle w:val="8"/>
            </w:pPr>
            <w:r>
              <w:rPr>
                <w:rFonts w:hint="eastAsia"/>
              </w:rPr>
              <w:t xml:space="preserve">电话： </w:t>
            </w:r>
          </w:p>
        </w:tc>
        <w:tc>
          <w:tcPr>
            <w:tcW w:w="7440" w:type="dxa"/>
            <w:shd w:val="clear" w:color="auto" w:fill="auto"/>
          </w:tcPr>
          <w:p w14:paraId="64A195BC">
            <w:pPr>
              <w:pStyle w:val="8"/>
            </w:pPr>
            <w:r>
              <w:rPr>
                <w:rFonts w:hint="eastAsia"/>
              </w:rPr>
              <w:t xml:space="preserve">021-58781234 </w:t>
            </w:r>
          </w:p>
        </w:tc>
      </w:tr>
      <w:tr w14:paraId="20461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0C29C">
            <w:pPr>
              <w:pStyle w:val="8"/>
            </w:pPr>
            <w:r>
              <w:rPr>
                <w:rFonts w:hint="eastAsia"/>
              </w:rPr>
              <w:t xml:space="preserve">传真： </w:t>
            </w:r>
          </w:p>
        </w:tc>
        <w:tc>
          <w:tcPr>
            <w:tcW w:w="7440" w:type="dxa"/>
            <w:shd w:val="clear" w:color="auto" w:fill="auto"/>
          </w:tcPr>
          <w:p w14:paraId="1F6021EE">
            <w:pPr>
              <w:pStyle w:val="8"/>
            </w:pPr>
            <w:r>
              <w:rPr>
                <w:rFonts w:hint="eastAsia"/>
              </w:rPr>
              <w:t xml:space="preserve">021-58408483 </w:t>
            </w:r>
          </w:p>
        </w:tc>
      </w:tr>
      <w:tr w14:paraId="63BCB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DFF428">
            <w:pPr>
              <w:pStyle w:val="8"/>
            </w:pPr>
            <w:r>
              <w:rPr>
                <w:rFonts w:hint="eastAsia"/>
              </w:rPr>
              <w:t xml:space="preserve">客户服务电话： </w:t>
            </w:r>
          </w:p>
        </w:tc>
        <w:tc>
          <w:tcPr>
            <w:tcW w:w="7440" w:type="dxa"/>
            <w:shd w:val="clear" w:color="auto" w:fill="auto"/>
          </w:tcPr>
          <w:p w14:paraId="678F9CF0">
            <w:pPr>
              <w:pStyle w:val="8"/>
            </w:pPr>
            <w:r>
              <w:rPr>
                <w:rFonts w:hint="eastAsia"/>
              </w:rPr>
              <w:t xml:space="preserve">95559 </w:t>
            </w:r>
          </w:p>
        </w:tc>
      </w:tr>
      <w:tr w14:paraId="0D1B2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8CB80B">
            <w:pPr>
              <w:pStyle w:val="8"/>
            </w:pPr>
            <w:r>
              <w:rPr>
                <w:rFonts w:hint="eastAsia"/>
              </w:rPr>
              <w:t xml:space="preserve">网址： </w:t>
            </w:r>
          </w:p>
        </w:tc>
        <w:tc>
          <w:tcPr>
            <w:tcW w:w="7440" w:type="dxa"/>
            <w:shd w:val="clear" w:color="auto" w:fill="auto"/>
          </w:tcPr>
          <w:p w14:paraId="001422D0">
            <w:pPr>
              <w:pStyle w:val="8"/>
            </w:pPr>
            <w:r>
              <w:rPr>
                <w:rFonts w:hint="eastAsia"/>
              </w:rPr>
              <w:t xml:space="preserve">http://www.bankcomm.com/ </w:t>
            </w:r>
          </w:p>
        </w:tc>
      </w:tr>
    </w:tbl>
    <w:p w14:paraId="531F5A33">
      <w:pPr>
        <w:pStyle w:val="8"/>
        <w:spacing w:before="0" w:beforeAutospacing="0" w:after="0" w:afterAutospacing="0" w:line="360" w:lineRule="auto"/>
        <w:ind w:firstLine="420"/>
        <w:rPr>
          <w:sz w:val="21"/>
          <w:szCs w:val="21"/>
        </w:rPr>
      </w:pPr>
      <w:r>
        <w:rPr>
          <w:rFonts w:hint="eastAsia"/>
          <w:b/>
          <w:bCs/>
          <w:sz w:val="21"/>
          <w:szCs w:val="21"/>
        </w:rPr>
        <w:t>(2)招商银行股份有限公司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FD4E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20D507">
            <w:pPr>
              <w:pStyle w:val="8"/>
            </w:pPr>
            <w:r>
              <w:rPr>
                <w:rFonts w:hint="eastAsia"/>
              </w:rPr>
              <w:t xml:space="preserve">注册地址： </w:t>
            </w:r>
          </w:p>
        </w:tc>
        <w:tc>
          <w:tcPr>
            <w:tcW w:w="7440" w:type="dxa"/>
            <w:shd w:val="clear" w:color="auto" w:fill="auto"/>
          </w:tcPr>
          <w:p w14:paraId="4DCC300E">
            <w:pPr>
              <w:pStyle w:val="8"/>
            </w:pPr>
            <w:r>
              <w:rPr>
                <w:rFonts w:hint="eastAsia"/>
              </w:rPr>
              <w:t xml:space="preserve">深圳市福田区深南大道7088号招商银行大厦 </w:t>
            </w:r>
          </w:p>
        </w:tc>
      </w:tr>
      <w:tr w14:paraId="461DD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15BA7">
            <w:pPr>
              <w:pStyle w:val="8"/>
            </w:pPr>
            <w:r>
              <w:rPr>
                <w:rFonts w:hint="eastAsia"/>
              </w:rPr>
              <w:t xml:space="preserve">办公地址： </w:t>
            </w:r>
          </w:p>
        </w:tc>
        <w:tc>
          <w:tcPr>
            <w:tcW w:w="7440" w:type="dxa"/>
            <w:shd w:val="clear" w:color="auto" w:fill="auto"/>
          </w:tcPr>
          <w:p w14:paraId="2C0E4BD8">
            <w:pPr>
              <w:pStyle w:val="8"/>
            </w:pPr>
            <w:r>
              <w:rPr>
                <w:rFonts w:hint="eastAsia"/>
              </w:rPr>
              <w:t xml:space="preserve">深圳市福田区深南大道7088号招商银行大厦 </w:t>
            </w:r>
          </w:p>
        </w:tc>
      </w:tr>
      <w:tr w14:paraId="148BA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A8B7B7">
            <w:pPr>
              <w:pStyle w:val="8"/>
            </w:pPr>
            <w:r>
              <w:rPr>
                <w:rFonts w:hint="eastAsia"/>
              </w:rPr>
              <w:t xml:space="preserve">法定代表人： </w:t>
            </w:r>
          </w:p>
        </w:tc>
        <w:tc>
          <w:tcPr>
            <w:tcW w:w="7440" w:type="dxa"/>
            <w:shd w:val="clear" w:color="auto" w:fill="auto"/>
          </w:tcPr>
          <w:p w14:paraId="2D4DFB45">
            <w:pPr>
              <w:pStyle w:val="8"/>
            </w:pPr>
            <w:r>
              <w:rPr>
                <w:rFonts w:hint="eastAsia"/>
              </w:rPr>
              <w:t xml:space="preserve">缪建民 </w:t>
            </w:r>
          </w:p>
        </w:tc>
      </w:tr>
      <w:tr w14:paraId="7F7B3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65680D">
            <w:pPr>
              <w:pStyle w:val="8"/>
            </w:pPr>
            <w:r>
              <w:rPr>
                <w:rFonts w:hint="eastAsia"/>
              </w:rPr>
              <w:t xml:space="preserve">联系人： </w:t>
            </w:r>
          </w:p>
        </w:tc>
        <w:tc>
          <w:tcPr>
            <w:tcW w:w="7440" w:type="dxa"/>
            <w:shd w:val="clear" w:color="auto" w:fill="auto"/>
          </w:tcPr>
          <w:p w14:paraId="27E33617">
            <w:pPr>
              <w:pStyle w:val="8"/>
            </w:pPr>
            <w:r>
              <w:rPr>
                <w:rFonts w:hint="eastAsia"/>
              </w:rPr>
              <w:t xml:space="preserve">季平伟 </w:t>
            </w:r>
          </w:p>
        </w:tc>
      </w:tr>
      <w:tr w14:paraId="12642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7523E4">
            <w:pPr>
              <w:pStyle w:val="8"/>
            </w:pPr>
            <w:r>
              <w:rPr>
                <w:rFonts w:hint="eastAsia"/>
              </w:rPr>
              <w:t xml:space="preserve">电话： </w:t>
            </w:r>
          </w:p>
        </w:tc>
        <w:tc>
          <w:tcPr>
            <w:tcW w:w="7440" w:type="dxa"/>
            <w:shd w:val="clear" w:color="auto" w:fill="auto"/>
          </w:tcPr>
          <w:p w14:paraId="07CBB76F">
            <w:pPr>
              <w:pStyle w:val="8"/>
            </w:pPr>
            <w:r>
              <w:rPr>
                <w:rFonts w:hint="eastAsia"/>
              </w:rPr>
              <w:t xml:space="preserve">0755－83198888 </w:t>
            </w:r>
          </w:p>
        </w:tc>
      </w:tr>
      <w:tr w14:paraId="2EBD3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EFE4C">
            <w:pPr>
              <w:pStyle w:val="8"/>
            </w:pPr>
            <w:r>
              <w:rPr>
                <w:rFonts w:hint="eastAsia"/>
              </w:rPr>
              <w:t xml:space="preserve">传真： </w:t>
            </w:r>
          </w:p>
        </w:tc>
        <w:tc>
          <w:tcPr>
            <w:tcW w:w="7440" w:type="dxa"/>
            <w:shd w:val="clear" w:color="auto" w:fill="auto"/>
          </w:tcPr>
          <w:p w14:paraId="6152BA0D">
            <w:pPr>
              <w:pStyle w:val="8"/>
            </w:pPr>
            <w:r>
              <w:rPr>
                <w:rFonts w:hint="eastAsia"/>
              </w:rPr>
              <w:t xml:space="preserve">0755－83195049 </w:t>
            </w:r>
          </w:p>
        </w:tc>
      </w:tr>
      <w:tr w14:paraId="1007E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F71DAD">
            <w:pPr>
              <w:pStyle w:val="8"/>
            </w:pPr>
            <w:r>
              <w:rPr>
                <w:rFonts w:hint="eastAsia"/>
              </w:rPr>
              <w:t xml:space="preserve">客户服务电话： </w:t>
            </w:r>
          </w:p>
        </w:tc>
        <w:tc>
          <w:tcPr>
            <w:tcW w:w="7440" w:type="dxa"/>
            <w:shd w:val="clear" w:color="auto" w:fill="auto"/>
          </w:tcPr>
          <w:p w14:paraId="798F5970">
            <w:pPr>
              <w:pStyle w:val="8"/>
            </w:pPr>
            <w:r>
              <w:rPr>
                <w:rFonts w:hint="eastAsia"/>
              </w:rPr>
              <w:t xml:space="preserve">95555 </w:t>
            </w:r>
          </w:p>
        </w:tc>
      </w:tr>
      <w:tr w14:paraId="270E1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E2960A">
            <w:pPr>
              <w:pStyle w:val="8"/>
            </w:pPr>
            <w:r>
              <w:rPr>
                <w:rFonts w:hint="eastAsia"/>
              </w:rPr>
              <w:t xml:space="preserve">网址： </w:t>
            </w:r>
          </w:p>
        </w:tc>
        <w:tc>
          <w:tcPr>
            <w:tcW w:w="7440" w:type="dxa"/>
            <w:shd w:val="clear" w:color="auto" w:fill="auto"/>
          </w:tcPr>
          <w:p w14:paraId="7CA96FCE">
            <w:pPr>
              <w:pStyle w:val="8"/>
            </w:pPr>
            <w:r>
              <w:rPr>
                <w:rFonts w:hint="eastAsia"/>
              </w:rPr>
              <w:t xml:space="preserve">http://www.cmbchina.com/ </w:t>
            </w:r>
          </w:p>
        </w:tc>
      </w:tr>
    </w:tbl>
    <w:p w14:paraId="1F5112FD">
      <w:pPr>
        <w:pStyle w:val="8"/>
        <w:spacing w:before="0" w:beforeAutospacing="0" w:after="0" w:afterAutospacing="0" w:line="360" w:lineRule="auto"/>
        <w:ind w:firstLine="420"/>
        <w:rPr>
          <w:sz w:val="21"/>
          <w:szCs w:val="21"/>
        </w:rPr>
      </w:pPr>
      <w:r>
        <w:rPr>
          <w:rFonts w:hint="eastAsia"/>
          <w:b/>
          <w:bCs/>
          <w:sz w:val="21"/>
          <w:szCs w:val="21"/>
        </w:rPr>
        <w:t>(3)上海浦东发展银行股份有限公司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49CF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592461">
            <w:pPr>
              <w:pStyle w:val="8"/>
            </w:pPr>
            <w:r>
              <w:rPr>
                <w:rFonts w:hint="eastAsia"/>
              </w:rPr>
              <w:t xml:space="preserve">注册地址： </w:t>
            </w:r>
          </w:p>
        </w:tc>
        <w:tc>
          <w:tcPr>
            <w:tcW w:w="7440" w:type="dxa"/>
            <w:shd w:val="clear" w:color="auto" w:fill="auto"/>
          </w:tcPr>
          <w:p w14:paraId="588C9612">
            <w:pPr>
              <w:pStyle w:val="8"/>
            </w:pPr>
            <w:r>
              <w:rPr>
                <w:rFonts w:hint="eastAsia"/>
              </w:rPr>
              <w:t xml:space="preserve">上海市中山东一路12号 </w:t>
            </w:r>
          </w:p>
        </w:tc>
      </w:tr>
      <w:tr w14:paraId="5558C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A904E8">
            <w:pPr>
              <w:pStyle w:val="8"/>
            </w:pPr>
            <w:r>
              <w:rPr>
                <w:rFonts w:hint="eastAsia"/>
              </w:rPr>
              <w:t xml:space="preserve">办公地址： </w:t>
            </w:r>
          </w:p>
        </w:tc>
        <w:tc>
          <w:tcPr>
            <w:tcW w:w="7440" w:type="dxa"/>
            <w:shd w:val="clear" w:color="auto" w:fill="auto"/>
          </w:tcPr>
          <w:p w14:paraId="4DC1A3CD">
            <w:pPr>
              <w:pStyle w:val="8"/>
            </w:pPr>
            <w:r>
              <w:rPr>
                <w:rFonts w:hint="eastAsia"/>
              </w:rPr>
              <w:t xml:space="preserve">上海市北京东路689号东银大厦25楼 </w:t>
            </w:r>
          </w:p>
        </w:tc>
      </w:tr>
      <w:tr w14:paraId="10709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8F512D">
            <w:pPr>
              <w:pStyle w:val="8"/>
            </w:pPr>
            <w:r>
              <w:rPr>
                <w:rFonts w:hint="eastAsia"/>
              </w:rPr>
              <w:t xml:space="preserve">法定代表人： </w:t>
            </w:r>
          </w:p>
        </w:tc>
        <w:tc>
          <w:tcPr>
            <w:tcW w:w="7440" w:type="dxa"/>
            <w:shd w:val="clear" w:color="auto" w:fill="auto"/>
          </w:tcPr>
          <w:p w14:paraId="1C10E85E">
            <w:pPr>
              <w:pStyle w:val="8"/>
            </w:pPr>
            <w:r>
              <w:rPr>
                <w:rFonts w:hint="eastAsia"/>
              </w:rPr>
              <w:t xml:space="preserve">张为忠 </w:t>
            </w:r>
          </w:p>
        </w:tc>
      </w:tr>
      <w:tr w14:paraId="76BD5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298D25">
            <w:pPr>
              <w:pStyle w:val="8"/>
            </w:pPr>
            <w:r>
              <w:rPr>
                <w:rFonts w:hint="eastAsia"/>
              </w:rPr>
              <w:t xml:space="preserve">客户服务电话： </w:t>
            </w:r>
          </w:p>
        </w:tc>
        <w:tc>
          <w:tcPr>
            <w:tcW w:w="7440" w:type="dxa"/>
            <w:shd w:val="clear" w:color="auto" w:fill="auto"/>
          </w:tcPr>
          <w:p w14:paraId="30DD47C3">
            <w:pPr>
              <w:pStyle w:val="8"/>
            </w:pPr>
            <w:r>
              <w:rPr>
                <w:rFonts w:hint="eastAsia"/>
              </w:rPr>
              <w:t xml:space="preserve">95528 </w:t>
            </w:r>
          </w:p>
        </w:tc>
      </w:tr>
      <w:tr w14:paraId="592D8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AED091">
            <w:pPr>
              <w:pStyle w:val="8"/>
            </w:pPr>
            <w:r>
              <w:rPr>
                <w:rFonts w:hint="eastAsia"/>
              </w:rPr>
              <w:t xml:space="preserve">网址： </w:t>
            </w:r>
          </w:p>
        </w:tc>
        <w:tc>
          <w:tcPr>
            <w:tcW w:w="7440" w:type="dxa"/>
            <w:shd w:val="clear" w:color="auto" w:fill="auto"/>
          </w:tcPr>
          <w:p w14:paraId="23ABB949">
            <w:pPr>
              <w:pStyle w:val="8"/>
            </w:pPr>
            <w:r>
              <w:rPr>
                <w:rFonts w:hint="eastAsia"/>
              </w:rPr>
              <w:t xml:space="preserve">http://www.spdb.com.cn </w:t>
            </w:r>
          </w:p>
        </w:tc>
      </w:tr>
    </w:tbl>
    <w:p w14:paraId="150D03B5">
      <w:pPr>
        <w:pStyle w:val="8"/>
        <w:spacing w:before="0" w:beforeAutospacing="0" w:after="0" w:afterAutospacing="0" w:line="360" w:lineRule="auto"/>
        <w:ind w:firstLine="420"/>
        <w:rPr>
          <w:sz w:val="21"/>
          <w:szCs w:val="21"/>
        </w:rPr>
      </w:pPr>
      <w:r>
        <w:rPr>
          <w:rFonts w:hint="eastAsia"/>
          <w:b/>
          <w:bCs/>
          <w:sz w:val="21"/>
          <w:szCs w:val="21"/>
        </w:rPr>
        <w:t>(4)中国民生银行股份有限公司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58B9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18E497">
            <w:pPr>
              <w:pStyle w:val="8"/>
            </w:pPr>
            <w:r>
              <w:rPr>
                <w:rFonts w:hint="eastAsia"/>
              </w:rPr>
              <w:t xml:space="preserve">注册地址： </w:t>
            </w:r>
          </w:p>
        </w:tc>
        <w:tc>
          <w:tcPr>
            <w:tcW w:w="7440" w:type="dxa"/>
            <w:shd w:val="clear" w:color="auto" w:fill="auto"/>
          </w:tcPr>
          <w:p w14:paraId="3599E45E">
            <w:pPr>
              <w:pStyle w:val="8"/>
            </w:pPr>
            <w:r>
              <w:rPr>
                <w:rFonts w:hint="eastAsia"/>
              </w:rPr>
              <w:t xml:space="preserve">北京市西城区复兴门内大街2号 </w:t>
            </w:r>
          </w:p>
        </w:tc>
      </w:tr>
      <w:tr w14:paraId="2E465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8144F4">
            <w:pPr>
              <w:pStyle w:val="8"/>
            </w:pPr>
            <w:r>
              <w:rPr>
                <w:rFonts w:hint="eastAsia"/>
              </w:rPr>
              <w:t xml:space="preserve">办公地址： </w:t>
            </w:r>
          </w:p>
        </w:tc>
        <w:tc>
          <w:tcPr>
            <w:tcW w:w="7440" w:type="dxa"/>
            <w:shd w:val="clear" w:color="auto" w:fill="auto"/>
          </w:tcPr>
          <w:p w14:paraId="558EEE43">
            <w:pPr>
              <w:pStyle w:val="8"/>
            </w:pPr>
            <w:r>
              <w:rPr>
                <w:rFonts w:hint="eastAsia"/>
              </w:rPr>
              <w:t xml:space="preserve">北京市西城区复兴门内大街2号 </w:t>
            </w:r>
          </w:p>
        </w:tc>
      </w:tr>
      <w:tr w14:paraId="45CDA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B36F21">
            <w:pPr>
              <w:pStyle w:val="8"/>
            </w:pPr>
            <w:r>
              <w:rPr>
                <w:rFonts w:hint="eastAsia"/>
              </w:rPr>
              <w:t xml:space="preserve">法定代表人： </w:t>
            </w:r>
          </w:p>
        </w:tc>
        <w:tc>
          <w:tcPr>
            <w:tcW w:w="7440" w:type="dxa"/>
            <w:shd w:val="clear" w:color="auto" w:fill="auto"/>
          </w:tcPr>
          <w:p w14:paraId="2F9B46AE">
            <w:pPr>
              <w:pStyle w:val="8"/>
            </w:pPr>
            <w:r>
              <w:rPr>
                <w:rFonts w:hint="eastAsia"/>
              </w:rPr>
              <w:t xml:space="preserve">高迎欣 </w:t>
            </w:r>
          </w:p>
        </w:tc>
      </w:tr>
      <w:tr w14:paraId="30362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B9E565">
            <w:pPr>
              <w:pStyle w:val="8"/>
            </w:pPr>
            <w:r>
              <w:rPr>
                <w:rFonts w:hint="eastAsia"/>
              </w:rPr>
              <w:t xml:space="preserve">联系人： </w:t>
            </w:r>
          </w:p>
        </w:tc>
        <w:tc>
          <w:tcPr>
            <w:tcW w:w="7440" w:type="dxa"/>
            <w:shd w:val="clear" w:color="auto" w:fill="auto"/>
          </w:tcPr>
          <w:p w14:paraId="76156147">
            <w:pPr>
              <w:pStyle w:val="8"/>
            </w:pPr>
            <w:r>
              <w:rPr>
                <w:rFonts w:hint="eastAsia"/>
              </w:rPr>
              <w:t xml:space="preserve">王继伟 </w:t>
            </w:r>
          </w:p>
        </w:tc>
      </w:tr>
      <w:tr w14:paraId="2732F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1BA87">
            <w:pPr>
              <w:pStyle w:val="8"/>
            </w:pPr>
            <w:r>
              <w:rPr>
                <w:rFonts w:hint="eastAsia"/>
              </w:rPr>
              <w:t xml:space="preserve">电话： </w:t>
            </w:r>
          </w:p>
        </w:tc>
        <w:tc>
          <w:tcPr>
            <w:tcW w:w="7440" w:type="dxa"/>
            <w:shd w:val="clear" w:color="auto" w:fill="auto"/>
          </w:tcPr>
          <w:p w14:paraId="578054BC">
            <w:pPr>
              <w:pStyle w:val="8"/>
            </w:pPr>
            <w:r>
              <w:rPr>
                <w:rFonts w:hint="eastAsia"/>
              </w:rPr>
              <w:t xml:space="preserve">010－58560666 </w:t>
            </w:r>
          </w:p>
        </w:tc>
      </w:tr>
      <w:tr w14:paraId="1FD30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7AF522">
            <w:pPr>
              <w:pStyle w:val="8"/>
            </w:pPr>
            <w:r>
              <w:rPr>
                <w:rFonts w:hint="eastAsia"/>
              </w:rPr>
              <w:t xml:space="preserve">传真： </w:t>
            </w:r>
          </w:p>
        </w:tc>
        <w:tc>
          <w:tcPr>
            <w:tcW w:w="7440" w:type="dxa"/>
            <w:shd w:val="clear" w:color="auto" w:fill="auto"/>
          </w:tcPr>
          <w:p w14:paraId="1B462021">
            <w:pPr>
              <w:pStyle w:val="8"/>
            </w:pPr>
            <w:r>
              <w:rPr>
                <w:rFonts w:hint="eastAsia"/>
              </w:rPr>
              <w:t xml:space="preserve">010－57092611 </w:t>
            </w:r>
          </w:p>
        </w:tc>
      </w:tr>
      <w:tr w14:paraId="45645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BD445B">
            <w:pPr>
              <w:pStyle w:val="8"/>
            </w:pPr>
            <w:r>
              <w:rPr>
                <w:rFonts w:hint="eastAsia"/>
              </w:rPr>
              <w:t xml:space="preserve">客户服务电话： </w:t>
            </w:r>
          </w:p>
        </w:tc>
        <w:tc>
          <w:tcPr>
            <w:tcW w:w="7440" w:type="dxa"/>
            <w:shd w:val="clear" w:color="auto" w:fill="auto"/>
          </w:tcPr>
          <w:p w14:paraId="0012F742">
            <w:pPr>
              <w:pStyle w:val="8"/>
            </w:pPr>
            <w:r>
              <w:rPr>
                <w:rFonts w:hint="eastAsia"/>
              </w:rPr>
              <w:t xml:space="preserve">95568 </w:t>
            </w:r>
          </w:p>
        </w:tc>
      </w:tr>
      <w:tr w14:paraId="1DDAD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093245">
            <w:pPr>
              <w:pStyle w:val="8"/>
            </w:pPr>
            <w:r>
              <w:rPr>
                <w:rFonts w:hint="eastAsia"/>
              </w:rPr>
              <w:t xml:space="preserve">网址： </w:t>
            </w:r>
          </w:p>
        </w:tc>
        <w:tc>
          <w:tcPr>
            <w:tcW w:w="7440" w:type="dxa"/>
            <w:shd w:val="clear" w:color="auto" w:fill="auto"/>
          </w:tcPr>
          <w:p w14:paraId="47284754">
            <w:pPr>
              <w:pStyle w:val="8"/>
            </w:pPr>
            <w:r>
              <w:rPr>
                <w:rFonts w:hint="eastAsia"/>
              </w:rPr>
              <w:t xml:space="preserve">http://www.cmbc.com.cn/ </w:t>
            </w:r>
          </w:p>
        </w:tc>
      </w:tr>
    </w:tbl>
    <w:p w14:paraId="7CC65DE1">
      <w:pPr>
        <w:pStyle w:val="8"/>
        <w:spacing w:before="0" w:beforeAutospacing="0" w:after="0" w:afterAutospacing="0" w:line="360" w:lineRule="auto"/>
        <w:ind w:firstLine="420"/>
        <w:rPr>
          <w:sz w:val="21"/>
          <w:szCs w:val="21"/>
        </w:rPr>
      </w:pPr>
      <w:r>
        <w:rPr>
          <w:rFonts w:hint="eastAsia"/>
          <w:b/>
          <w:bCs/>
          <w:sz w:val="21"/>
          <w:szCs w:val="21"/>
        </w:rPr>
        <w:t>(5)中国邮政储蓄银行股份有限公司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8017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FBA44">
            <w:pPr>
              <w:pStyle w:val="8"/>
            </w:pPr>
            <w:r>
              <w:rPr>
                <w:rFonts w:hint="eastAsia"/>
              </w:rPr>
              <w:t xml:space="preserve">注册地址： </w:t>
            </w:r>
          </w:p>
        </w:tc>
        <w:tc>
          <w:tcPr>
            <w:tcW w:w="7440" w:type="dxa"/>
            <w:shd w:val="clear" w:color="auto" w:fill="auto"/>
          </w:tcPr>
          <w:p w14:paraId="3F7FA54D">
            <w:pPr>
              <w:pStyle w:val="8"/>
            </w:pPr>
            <w:r>
              <w:rPr>
                <w:rFonts w:hint="eastAsia"/>
              </w:rPr>
              <w:t xml:space="preserve">北京市西城区金融大街3号 </w:t>
            </w:r>
          </w:p>
        </w:tc>
      </w:tr>
      <w:tr w14:paraId="2069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88B34">
            <w:pPr>
              <w:pStyle w:val="8"/>
            </w:pPr>
            <w:r>
              <w:rPr>
                <w:rFonts w:hint="eastAsia"/>
              </w:rPr>
              <w:t xml:space="preserve">办公地址： </w:t>
            </w:r>
          </w:p>
        </w:tc>
        <w:tc>
          <w:tcPr>
            <w:tcW w:w="7440" w:type="dxa"/>
            <w:shd w:val="clear" w:color="auto" w:fill="auto"/>
          </w:tcPr>
          <w:p w14:paraId="37539903">
            <w:pPr>
              <w:pStyle w:val="8"/>
            </w:pPr>
            <w:r>
              <w:rPr>
                <w:rFonts w:hint="eastAsia"/>
              </w:rPr>
              <w:t xml:space="preserve">北京市西城区金融大街3号 </w:t>
            </w:r>
          </w:p>
        </w:tc>
      </w:tr>
      <w:tr w14:paraId="3890E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5B168">
            <w:pPr>
              <w:pStyle w:val="8"/>
            </w:pPr>
            <w:r>
              <w:rPr>
                <w:rFonts w:hint="eastAsia"/>
              </w:rPr>
              <w:t xml:space="preserve">法定代表人： </w:t>
            </w:r>
          </w:p>
        </w:tc>
        <w:tc>
          <w:tcPr>
            <w:tcW w:w="7440" w:type="dxa"/>
            <w:shd w:val="clear" w:color="auto" w:fill="auto"/>
          </w:tcPr>
          <w:p w14:paraId="4C153370">
            <w:pPr>
              <w:pStyle w:val="8"/>
            </w:pPr>
            <w:r>
              <w:rPr>
                <w:rFonts w:hint="eastAsia"/>
              </w:rPr>
              <w:t xml:space="preserve">郑国雨 </w:t>
            </w:r>
          </w:p>
        </w:tc>
      </w:tr>
      <w:tr w14:paraId="5268D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FBAEBA">
            <w:pPr>
              <w:pStyle w:val="8"/>
            </w:pPr>
            <w:r>
              <w:rPr>
                <w:rFonts w:hint="eastAsia"/>
              </w:rPr>
              <w:t xml:space="preserve">传真： </w:t>
            </w:r>
          </w:p>
        </w:tc>
        <w:tc>
          <w:tcPr>
            <w:tcW w:w="7440" w:type="dxa"/>
            <w:shd w:val="clear" w:color="auto" w:fill="auto"/>
          </w:tcPr>
          <w:p w14:paraId="3F70AF06">
            <w:pPr>
              <w:pStyle w:val="8"/>
            </w:pPr>
            <w:r>
              <w:rPr>
                <w:rFonts w:hint="eastAsia"/>
              </w:rPr>
              <w:t xml:space="preserve">010－68858117 </w:t>
            </w:r>
          </w:p>
        </w:tc>
      </w:tr>
      <w:tr w14:paraId="00C62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DBB7EE">
            <w:pPr>
              <w:pStyle w:val="8"/>
            </w:pPr>
            <w:r>
              <w:rPr>
                <w:rFonts w:hint="eastAsia"/>
              </w:rPr>
              <w:t xml:space="preserve">客户服务电话： </w:t>
            </w:r>
          </w:p>
        </w:tc>
        <w:tc>
          <w:tcPr>
            <w:tcW w:w="7440" w:type="dxa"/>
            <w:shd w:val="clear" w:color="auto" w:fill="auto"/>
          </w:tcPr>
          <w:p w14:paraId="512E2235">
            <w:pPr>
              <w:pStyle w:val="8"/>
            </w:pPr>
            <w:r>
              <w:rPr>
                <w:rFonts w:hint="eastAsia"/>
              </w:rPr>
              <w:t xml:space="preserve">95580 </w:t>
            </w:r>
          </w:p>
        </w:tc>
      </w:tr>
      <w:tr w14:paraId="0FE20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ABFC02">
            <w:pPr>
              <w:pStyle w:val="8"/>
            </w:pPr>
            <w:r>
              <w:rPr>
                <w:rFonts w:hint="eastAsia"/>
              </w:rPr>
              <w:t xml:space="preserve">网址： </w:t>
            </w:r>
          </w:p>
        </w:tc>
        <w:tc>
          <w:tcPr>
            <w:tcW w:w="7440" w:type="dxa"/>
            <w:shd w:val="clear" w:color="auto" w:fill="auto"/>
          </w:tcPr>
          <w:p w14:paraId="2AFF89F2">
            <w:pPr>
              <w:pStyle w:val="8"/>
            </w:pPr>
            <w:r>
              <w:rPr>
                <w:rFonts w:hint="eastAsia"/>
              </w:rPr>
              <w:t xml:space="preserve">http://www.psbc.com </w:t>
            </w:r>
          </w:p>
        </w:tc>
      </w:tr>
    </w:tbl>
    <w:p w14:paraId="7495BFC4">
      <w:pPr>
        <w:pStyle w:val="8"/>
        <w:spacing w:before="0" w:beforeAutospacing="0" w:after="0" w:afterAutospacing="0" w:line="360" w:lineRule="auto"/>
        <w:ind w:firstLine="420"/>
        <w:rPr>
          <w:sz w:val="21"/>
          <w:szCs w:val="21"/>
        </w:rPr>
      </w:pPr>
      <w:r>
        <w:rPr>
          <w:rFonts w:hint="eastAsia"/>
          <w:b/>
          <w:bCs/>
          <w:sz w:val="21"/>
          <w:szCs w:val="21"/>
        </w:rPr>
        <w:t>(6)广发银行股份有限公司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121FE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B6449E">
            <w:pPr>
              <w:pStyle w:val="8"/>
            </w:pPr>
            <w:r>
              <w:rPr>
                <w:rFonts w:hint="eastAsia"/>
              </w:rPr>
              <w:t xml:space="preserve">注册地址： </w:t>
            </w:r>
          </w:p>
        </w:tc>
        <w:tc>
          <w:tcPr>
            <w:tcW w:w="7440" w:type="dxa"/>
            <w:shd w:val="clear" w:color="auto" w:fill="auto"/>
          </w:tcPr>
          <w:p w14:paraId="4FE420D7">
            <w:pPr>
              <w:pStyle w:val="8"/>
            </w:pPr>
            <w:r>
              <w:rPr>
                <w:rFonts w:hint="eastAsia"/>
              </w:rPr>
              <w:t xml:space="preserve">广州市越秀区东风东路713号 </w:t>
            </w:r>
          </w:p>
        </w:tc>
      </w:tr>
      <w:tr w14:paraId="4500E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C08F32">
            <w:pPr>
              <w:pStyle w:val="8"/>
            </w:pPr>
            <w:r>
              <w:rPr>
                <w:rFonts w:hint="eastAsia"/>
              </w:rPr>
              <w:t xml:space="preserve">办公地址： </w:t>
            </w:r>
          </w:p>
        </w:tc>
        <w:tc>
          <w:tcPr>
            <w:tcW w:w="7440" w:type="dxa"/>
            <w:shd w:val="clear" w:color="auto" w:fill="auto"/>
          </w:tcPr>
          <w:p w14:paraId="49B0A97B">
            <w:pPr>
              <w:pStyle w:val="8"/>
            </w:pPr>
            <w:r>
              <w:rPr>
                <w:rFonts w:hint="eastAsia"/>
              </w:rPr>
              <w:t xml:space="preserve">广州市越秀区东风东路713号 </w:t>
            </w:r>
          </w:p>
        </w:tc>
      </w:tr>
      <w:tr w14:paraId="72241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714742">
            <w:pPr>
              <w:pStyle w:val="8"/>
            </w:pPr>
            <w:r>
              <w:rPr>
                <w:rFonts w:hint="eastAsia"/>
              </w:rPr>
              <w:t xml:space="preserve">法定代表人： </w:t>
            </w:r>
          </w:p>
        </w:tc>
        <w:tc>
          <w:tcPr>
            <w:tcW w:w="7440" w:type="dxa"/>
            <w:shd w:val="clear" w:color="auto" w:fill="auto"/>
          </w:tcPr>
          <w:p w14:paraId="40B9C121">
            <w:pPr>
              <w:pStyle w:val="8"/>
            </w:pPr>
            <w:r>
              <w:rPr>
                <w:rFonts w:hint="eastAsia"/>
              </w:rPr>
              <w:t xml:space="preserve">王凯 </w:t>
            </w:r>
          </w:p>
        </w:tc>
      </w:tr>
      <w:tr w14:paraId="6FDEF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38EF9">
            <w:pPr>
              <w:pStyle w:val="8"/>
            </w:pPr>
            <w:r>
              <w:rPr>
                <w:rFonts w:hint="eastAsia"/>
              </w:rPr>
              <w:t xml:space="preserve">联系人： </w:t>
            </w:r>
          </w:p>
        </w:tc>
        <w:tc>
          <w:tcPr>
            <w:tcW w:w="7440" w:type="dxa"/>
            <w:shd w:val="clear" w:color="auto" w:fill="auto"/>
          </w:tcPr>
          <w:p w14:paraId="35ADFEBC">
            <w:pPr>
              <w:pStyle w:val="8"/>
            </w:pPr>
            <w:r>
              <w:rPr>
                <w:rFonts w:hint="eastAsia"/>
              </w:rPr>
              <w:t xml:space="preserve">刘伟 </w:t>
            </w:r>
          </w:p>
        </w:tc>
      </w:tr>
      <w:tr w14:paraId="1A363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B9A01E">
            <w:pPr>
              <w:pStyle w:val="8"/>
            </w:pPr>
            <w:r>
              <w:rPr>
                <w:rFonts w:hint="eastAsia"/>
              </w:rPr>
              <w:t xml:space="preserve">电话： </w:t>
            </w:r>
          </w:p>
        </w:tc>
        <w:tc>
          <w:tcPr>
            <w:tcW w:w="7440" w:type="dxa"/>
            <w:shd w:val="clear" w:color="auto" w:fill="auto"/>
          </w:tcPr>
          <w:p w14:paraId="5C09097F">
            <w:pPr>
              <w:pStyle w:val="8"/>
            </w:pPr>
            <w:r>
              <w:rPr>
                <w:rFonts w:hint="eastAsia"/>
              </w:rPr>
              <w:t xml:space="preserve">020-38321497/020-38322566 </w:t>
            </w:r>
          </w:p>
        </w:tc>
      </w:tr>
      <w:tr w14:paraId="601EB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BD0C77">
            <w:pPr>
              <w:pStyle w:val="8"/>
            </w:pPr>
            <w:r>
              <w:rPr>
                <w:rFonts w:hint="eastAsia"/>
              </w:rPr>
              <w:t xml:space="preserve">传真： </w:t>
            </w:r>
          </w:p>
        </w:tc>
        <w:tc>
          <w:tcPr>
            <w:tcW w:w="7440" w:type="dxa"/>
            <w:shd w:val="clear" w:color="auto" w:fill="auto"/>
          </w:tcPr>
          <w:p w14:paraId="1FF88F77">
            <w:pPr>
              <w:pStyle w:val="8"/>
            </w:pPr>
            <w:r>
              <w:rPr>
                <w:rFonts w:hint="eastAsia"/>
              </w:rPr>
              <w:t xml:space="preserve">020-38321676 </w:t>
            </w:r>
          </w:p>
        </w:tc>
      </w:tr>
      <w:tr w14:paraId="6D62E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A5B046">
            <w:pPr>
              <w:pStyle w:val="8"/>
            </w:pPr>
            <w:r>
              <w:rPr>
                <w:rFonts w:hint="eastAsia"/>
              </w:rPr>
              <w:t xml:space="preserve">客户服务电话： </w:t>
            </w:r>
          </w:p>
        </w:tc>
        <w:tc>
          <w:tcPr>
            <w:tcW w:w="7440" w:type="dxa"/>
            <w:shd w:val="clear" w:color="auto" w:fill="auto"/>
          </w:tcPr>
          <w:p w14:paraId="19BD1D5E">
            <w:pPr>
              <w:pStyle w:val="8"/>
            </w:pPr>
            <w:r>
              <w:rPr>
                <w:rFonts w:hint="eastAsia"/>
              </w:rPr>
              <w:t xml:space="preserve">4008308003 </w:t>
            </w:r>
          </w:p>
        </w:tc>
      </w:tr>
      <w:tr w14:paraId="5D073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FEA2DA">
            <w:pPr>
              <w:pStyle w:val="8"/>
            </w:pPr>
            <w:r>
              <w:rPr>
                <w:rFonts w:hint="eastAsia"/>
              </w:rPr>
              <w:t xml:space="preserve">网址： </w:t>
            </w:r>
          </w:p>
        </w:tc>
        <w:tc>
          <w:tcPr>
            <w:tcW w:w="7440" w:type="dxa"/>
            <w:shd w:val="clear" w:color="auto" w:fill="auto"/>
          </w:tcPr>
          <w:p w14:paraId="575F411B">
            <w:pPr>
              <w:pStyle w:val="8"/>
            </w:pPr>
            <w:r>
              <w:rPr>
                <w:rFonts w:hint="eastAsia"/>
              </w:rPr>
              <w:t xml:space="preserve">http://www.cgbchina.com.cn/ </w:t>
            </w:r>
          </w:p>
        </w:tc>
      </w:tr>
    </w:tbl>
    <w:p w14:paraId="0624CF2F">
      <w:pPr>
        <w:pStyle w:val="8"/>
        <w:spacing w:before="0" w:beforeAutospacing="0" w:after="0" w:afterAutospacing="0" w:line="360" w:lineRule="auto"/>
        <w:ind w:firstLine="420"/>
        <w:rPr>
          <w:sz w:val="21"/>
          <w:szCs w:val="21"/>
        </w:rPr>
      </w:pPr>
      <w:r>
        <w:rPr>
          <w:rFonts w:hint="eastAsia"/>
          <w:b/>
          <w:bCs/>
          <w:sz w:val="21"/>
          <w:szCs w:val="21"/>
        </w:rPr>
        <w:t>(7)浙商银行股份有限公司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FF3B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2A590">
            <w:pPr>
              <w:pStyle w:val="8"/>
            </w:pPr>
            <w:r>
              <w:rPr>
                <w:rFonts w:hint="eastAsia"/>
              </w:rPr>
              <w:t xml:space="preserve">注册地址： </w:t>
            </w:r>
          </w:p>
        </w:tc>
        <w:tc>
          <w:tcPr>
            <w:tcW w:w="7440" w:type="dxa"/>
            <w:shd w:val="clear" w:color="auto" w:fill="auto"/>
          </w:tcPr>
          <w:p w14:paraId="21FDB513">
            <w:pPr>
              <w:pStyle w:val="8"/>
            </w:pPr>
            <w:r>
              <w:rPr>
                <w:rFonts w:hint="eastAsia"/>
              </w:rPr>
              <w:t xml:space="preserve">浙江省杭州市庆春路288号 </w:t>
            </w:r>
          </w:p>
        </w:tc>
      </w:tr>
      <w:tr w14:paraId="5577B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B1F6F1">
            <w:pPr>
              <w:pStyle w:val="8"/>
            </w:pPr>
            <w:r>
              <w:rPr>
                <w:rFonts w:hint="eastAsia"/>
              </w:rPr>
              <w:t xml:space="preserve">办公地址： </w:t>
            </w:r>
          </w:p>
        </w:tc>
        <w:tc>
          <w:tcPr>
            <w:tcW w:w="7440" w:type="dxa"/>
            <w:shd w:val="clear" w:color="auto" w:fill="auto"/>
          </w:tcPr>
          <w:p w14:paraId="21F07FA2">
            <w:pPr>
              <w:pStyle w:val="8"/>
            </w:pPr>
            <w:r>
              <w:rPr>
                <w:rFonts w:hint="eastAsia"/>
              </w:rPr>
              <w:t xml:space="preserve">浙江省杭州市庆春路288号 </w:t>
            </w:r>
          </w:p>
        </w:tc>
      </w:tr>
      <w:tr w14:paraId="51400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66DCAE">
            <w:pPr>
              <w:pStyle w:val="8"/>
            </w:pPr>
            <w:r>
              <w:rPr>
                <w:rFonts w:hint="eastAsia"/>
              </w:rPr>
              <w:t xml:space="preserve">法定代表人： </w:t>
            </w:r>
          </w:p>
        </w:tc>
        <w:tc>
          <w:tcPr>
            <w:tcW w:w="7440" w:type="dxa"/>
            <w:shd w:val="clear" w:color="auto" w:fill="auto"/>
          </w:tcPr>
          <w:p w14:paraId="4B2B5625">
            <w:pPr>
              <w:pStyle w:val="8"/>
            </w:pPr>
            <w:r>
              <w:rPr>
                <w:rFonts w:hint="eastAsia"/>
              </w:rPr>
              <w:t xml:space="preserve">张达洋 </w:t>
            </w:r>
          </w:p>
        </w:tc>
      </w:tr>
      <w:tr w14:paraId="659CD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40814F">
            <w:pPr>
              <w:pStyle w:val="8"/>
            </w:pPr>
            <w:r>
              <w:rPr>
                <w:rFonts w:hint="eastAsia"/>
              </w:rPr>
              <w:t xml:space="preserve">联系人： </w:t>
            </w:r>
          </w:p>
        </w:tc>
        <w:tc>
          <w:tcPr>
            <w:tcW w:w="7440" w:type="dxa"/>
            <w:shd w:val="clear" w:color="auto" w:fill="auto"/>
          </w:tcPr>
          <w:p w14:paraId="391FB0E7">
            <w:pPr>
              <w:pStyle w:val="8"/>
            </w:pPr>
            <w:r>
              <w:rPr>
                <w:rFonts w:hint="eastAsia"/>
              </w:rPr>
              <w:t xml:space="preserve">毛真海 </w:t>
            </w:r>
          </w:p>
        </w:tc>
      </w:tr>
      <w:tr w14:paraId="1D5F2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AB7B04">
            <w:pPr>
              <w:pStyle w:val="8"/>
            </w:pPr>
            <w:r>
              <w:rPr>
                <w:rFonts w:hint="eastAsia"/>
              </w:rPr>
              <w:t xml:space="preserve">电话： </w:t>
            </w:r>
          </w:p>
        </w:tc>
        <w:tc>
          <w:tcPr>
            <w:tcW w:w="7440" w:type="dxa"/>
            <w:shd w:val="clear" w:color="auto" w:fill="auto"/>
          </w:tcPr>
          <w:p w14:paraId="327A6293">
            <w:pPr>
              <w:pStyle w:val="8"/>
            </w:pPr>
            <w:r>
              <w:rPr>
                <w:rFonts w:hint="eastAsia"/>
              </w:rPr>
              <w:t xml:space="preserve">0571-87659546 </w:t>
            </w:r>
          </w:p>
        </w:tc>
      </w:tr>
      <w:tr w14:paraId="0351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F029C">
            <w:pPr>
              <w:pStyle w:val="8"/>
            </w:pPr>
            <w:r>
              <w:rPr>
                <w:rFonts w:hint="eastAsia"/>
              </w:rPr>
              <w:t xml:space="preserve">传真： </w:t>
            </w:r>
          </w:p>
        </w:tc>
        <w:tc>
          <w:tcPr>
            <w:tcW w:w="7440" w:type="dxa"/>
            <w:shd w:val="clear" w:color="auto" w:fill="auto"/>
          </w:tcPr>
          <w:p w14:paraId="475B5427">
            <w:pPr>
              <w:pStyle w:val="8"/>
            </w:pPr>
            <w:r>
              <w:rPr>
                <w:rFonts w:hint="eastAsia"/>
              </w:rPr>
              <w:t xml:space="preserve">0571-87659188 </w:t>
            </w:r>
          </w:p>
        </w:tc>
      </w:tr>
      <w:tr w14:paraId="3F684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57D5AC">
            <w:pPr>
              <w:pStyle w:val="8"/>
            </w:pPr>
            <w:r>
              <w:rPr>
                <w:rFonts w:hint="eastAsia"/>
              </w:rPr>
              <w:t xml:space="preserve">客户服务电话： </w:t>
            </w:r>
          </w:p>
        </w:tc>
        <w:tc>
          <w:tcPr>
            <w:tcW w:w="7440" w:type="dxa"/>
            <w:shd w:val="clear" w:color="auto" w:fill="auto"/>
          </w:tcPr>
          <w:p w14:paraId="0940167F">
            <w:pPr>
              <w:pStyle w:val="8"/>
            </w:pPr>
            <w:r>
              <w:rPr>
                <w:rFonts w:hint="eastAsia"/>
              </w:rPr>
              <w:t xml:space="preserve">95527 </w:t>
            </w:r>
          </w:p>
        </w:tc>
      </w:tr>
      <w:tr w14:paraId="1E326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6086E">
            <w:pPr>
              <w:pStyle w:val="8"/>
            </w:pPr>
            <w:r>
              <w:rPr>
                <w:rFonts w:hint="eastAsia"/>
              </w:rPr>
              <w:t xml:space="preserve">网址： </w:t>
            </w:r>
          </w:p>
        </w:tc>
        <w:tc>
          <w:tcPr>
            <w:tcW w:w="7440" w:type="dxa"/>
            <w:shd w:val="clear" w:color="auto" w:fill="auto"/>
          </w:tcPr>
          <w:p w14:paraId="6376DF2B">
            <w:pPr>
              <w:pStyle w:val="8"/>
            </w:pPr>
            <w:r>
              <w:rPr>
                <w:rFonts w:hint="eastAsia"/>
              </w:rPr>
              <w:t xml:space="preserve">http://www.czbank.com </w:t>
            </w:r>
          </w:p>
        </w:tc>
      </w:tr>
    </w:tbl>
    <w:p w14:paraId="1BA4015B">
      <w:pPr>
        <w:pStyle w:val="8"/>
        <w:spacing w:before="0" w:beforeAutospacing="0" w:after="0" w:afterAutospacing="0" w:line="360" w:lineRule="auto"/>
        <w:ind w:firstLine="420"/>
        <w:rPr>
          <w:sz w:val="21"/>
          <w:szCs w:val="21"/>
        </w:rPr>
      </w:pPr>
      <w:r>
        <w:rPr>
          <w:rFonts w:hint="eastAsia"/>
          <w:b/>
          <w:bCs/>
          <w:sz w:val="21"/>
          <w:szCs w:val="21"/>
        </w:rPr>
        <w:t>(8)中国人寿保险股份有限公司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A5F0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0C1EB">
            <w:pPr>
              <w:pStyle w:val="8"/>
            </w:pPr>
            <w:r>
              <w:rPr>
                <w:rFonts w:hint="eastAsia"/>
              </w:rPr>
              <w:t xml:space="preserve">注册地址： </w:t>
            </w:r>
          </w:p>
        </w:tc>
        <w:tc>
          <w:tcPr>
            <w:tcW w:w="7440" w:type="dxa"/>
            <w:shd w:val="clear" w:color="auto" w:fill="auto"/>
          </w:tcPr>
          <w:p w14:paraId="46115681">
            <w:pPr>
              <w:pStyle w:val="8"/>
            </w:pPr>
            <w:r>
              <w:rPr>
                <w:rFonts w:hint="eastAsia"/>
              </w:rPr>
              <w:t xml:space="preserve">中国北京市西城区金融大街16号 </w:t>
            </w:r>
          </w:p>
        </w:tc>
      </w:tr>
      <w:tr w14:paraId="75984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A55683">
            <w:pPr>
              <w:pStyle w:val="8"/>
            </w:pPr>
            <w:r>
              <w:rPr>
                <w:rFonts w:hint="eastAsia"/>
              </w:rPr>
              <w:t xml:space="preserve">办公地址： </w:t>
            </w:r>
          </w:p>
        </w:tc>
        <w:tc>
          <w:tcPr>
            <w:tcW w:w="7440" w:type="dxa"/>
            <w:shd w:val="clear" w:color="auto" w:fill="auto"/>
          </w:tcPr>
          <w:p w14:paraId="5636870D">
            <w:pPr>
              <w:pStyle w:val="8"/>
            </w:pPr>
            <w:r>
              <w:rPr>
                <w:rFonts w:hint="eastAsia"/>
              </w:rPr>
              <w:t xml:space="preserve">中国北京市西城区金融大街16号 </w:t>
            </w:r>
          </w:p>
        </w:tc>
      </w:tr>
      <w:tr w14:paraId="724A8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A119B4">
            <w:pPr>
              <w:pStyle w:val="8"/>
            </w:pPr>
            <w:r>
              <w:rPr>
                <w:rFonts w:hint="eastAsia"/>
              </w:rPr>
              <w:t xml:space="preserve">法定代表人： </w:t>
            </w:r>
          </w:p>
        </w:tc>
        <w:tc>
          <w:tcPr>
            <w:tcW w:w="7440" w:type="dxa"/>
            <w:shd w:val="clear" w:color="auto" w:fill="auto"/>
          </w:tcPr>
          <w:p w14:paraId="52FEDD28">
            <w:pPr>
              <w:pStyle w:val="8"/>
            </w:pPr>
            <w:r>
              <w:rPr>
                <w:rFonts w:hint="eastAsia"/>
              </w:rPr>
              <w:t xml:space="preserve">白涛 </w:t>
            </w:r>
          </w:p>
        </w:tc>
      </w:tr>
      <w:tr w14:paraId="14A4D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613E7F">
            <w:pPr>
              <w:pStyle w:val="8"/>
            </w:pPr>
            <w:r>
              <w:rPr>
                <w:rFonts w:hint="eastAsia"/>
              </w:rPr>
              <w:t xml:space="preserve">联系人： </w:t>
            </w:r>
          </w:p>
        </w:tc>
        <w:tc>
          <w:tcPr>
            <w:tcW w:w="7440" w:type="dxa"/>
            <w:shd w:val="clear" w:color="auto" w:fill="auto"/>
          </w:tcPr>
          <w:p w14:paraId="14AF4086">
            <w:pPr>
              <w:pStyle w:val="8"/>
            </w:pPr>
            <w:r>
              <w:rPr>
                <w:rFonts w:hint="eastAsia"/>
              </w:rPr>
              <w:t xml:space="preserve">秦泽伟 </w:t>
            </w:r>
          </w:p>
        </w:tc>
      </w:tr>
      <w:tr w14:paraId="4E43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BA667">
            <w:pPr>
              <w:pStyle w:val="8"/>
            </w:pPr>
            <w:r>
              <w:rPr>
                <w:rFonts w:hint="eastAsia"/>
              </w:rPr>
              <w:t xml:space="preserve">电话： </w:t>
            </w:r>
          </w:p>
        </w:tc>
        <w:tc>
          <w:tcPr>
            <w:tcW w:w="7440" w:type="dxa"/>
            <w:shd w:val="clear" w:color="auto" w:fill="auto"/>
          </w:tcPr>
          <w:p w14:paraId="373188AE">
            <w:pPr>
              <w:pStyle w:val="8"/>
            </w:pPr>
            <w:r>
              <w:rPr>
                <w:rFonts w:hint="eastAsia"/>
              </w:rPr>
              <w:t xml:space="preserve">010-63631539 </w:t>
            </w:r>
          </w:p>
        </w:tc>
      </w:tr>
      <w:tr w14:paraId="57CA1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C16991">
            <w:pPr>
              <w:pStyle w:val="8"/>
            </w:pPr>
            <w:r>
              <w:rPr>
                <w:rFonts w:hint="eastAsia"/>
              </w:rPr>
              <w:t xml:space="preserve">传真： </w:t>
            </w:r>
          </w:p>
        </w:tc>
        <w:tc>
          <w:tcPr>
            <w:tcW w:w="7440" w:type="dxa"/>
            <w:shd w:val="clear" w:color="auto" w:fill="auto"/>
          </w:tcPr>
          <w:p w14:paraId="321BAEE8">
            <w:pPr>
              <w:pStyle w:val="8"/>
            </w:pPr>
            <w:r>
              <w:rPr>
                <w:rFonts w:hint="eastAsia"/>
              </w:rPr>
              <w:t xml:space="preserve">010-66222276 </w:t>
            </w:r>
          </w:p>
        </w:tc>
      </w:tr>
      <w:tr w14:paraId="5C326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8AF44F">
            <w:pPr>
              <w:pStyle w:val="8"/>
            </w:pPr>
            <w:r>
              <w:rPr>
                <w:rFonts w:hint="eastAsia"/>
              </w:rPr>
              <w:t xml:space="preserve">客户服务电话： </w:t>
            </w:r>
          </w:p>
        </w:tc>
        <w:tc>
          <w:tcPr>
            <w:tcW w:w="7440" w:type="dxa"/>
            <w:shd w:val="clear" w:color="auto" w:fill="auto"/>
          </w:tcPr>
          <w:p w14:paraId="09B18C3C">
            <w:pPr>
              <w:pStyle w:val="8"/>
            </w:pPr>
            <w:r>
              <w:rPr>
                <w:rFonts w:hint="eastAsia"/>
              </w:rPr>
              <w:t xml:space="preserve">95519 </w:t>
            </w:r>
          </w:p>
        </w:tc>
      </w:tr>
      <w:tr w14:paraId="264A3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0E7F83">
            <w:pPr>
              <w:pStyle w:val="8"/>
            </w:pPr>
            <w:r>
              <w:rPr>
                <w:rFonts w:hint="eastAsia"/>
              </w:rPr>
              <w:t xml:space="preserve">网址： </w:t>
            </w:r>
          </w:p>
        </w:tc>
        <w:tc>
          <w:tcPr>
            <w:tcW w:w="7440" w:type="dxa"/>
            <w:shd w:val="clear" w:color="auto" w:fill="auto"/>
          </w:tcPr>
          <w:p w14:paraId="4543867E">
            <w:pPr>
              <w:pStyle w:val="8"/>
            </w:pPr>
            <w:r>
              <w:rPr>
                <w:rFonts w:hint="eastAsia"/>
              </w:rPr>
              <w:t xml:space="preserve">www.e-chinalife.com </w:t>
            </w:r>
          </w:p>
        </w:tc>
      </w:tr>
    </w:tbl>
    <w:p w14:paraId="4C586EAB">
      <w:pPr>
        <w:rPr>
          <w:rFonts w:ascii="宋体" w:hAnsi="宋体" w:eastAsia="宋体"/>
          <w:sz w:val="24"/>
          <w:szCs w:val="24"/>
        </w:rPr>
      </w:pPr>
      <w:bookmarkStart w:id="53" w:name="field_0_allproxysaletables_1_end"/>
      <w:bookmarkEnd w:id="53"/>
      <w:r>
        <w:rPr>
          <w:rFonts w:ascii="宋体" w:hAnsi="宋体" w:eastAsia="宋体"/>
        </w:rPr>
        <w:t xml:space="preserve">  </w:t>
      </w:r>
    </w:p>
    <w:p w14:paraId="4022139F">
      <w:pPr>
        <w:pStyle w:val="8"/>
        <w:spacing w:before="0" w:beforeAutospacing="0" w:after="0" w:afterAutospacing="0" w:line="360" w:lineRule="auto"/>
        <w:ind w:firstLine="420"/>
        <w:rPr>
          <w:sz w:val="21"/>
          <w:szCs w:val="21"/>
        </w:rPr>
      </w:pPr>
      <w:bookmarkStart w:id="54" w:name="chapter_level1_7_56_section_2_end"/>
      <w:bookmarkEnd w:id="54"/>
    </w:p>
    <w:p w14:paraId="15727CC4">
      <w:pPr>
        <w:pStyle w:val="8"/>
        <w:spacing w:before="0" w:beforeAutospacing="0" w:after="0" w:afterAutospacing="0" w:line="360" w:lineRule="auto"/>
        <w:ind w:firstLine="420"/>
        <w:rPr>
          <w:sz w:val="21"/>
          <w:szCs w:val="21"/>
        </w:rPr>
      </w:pPr>
      <w:bookmarkStart w:id="55" w:name="chapter_level1_7_56_section_3"/>
      <w:bookmarkEnd w:id="55"/>
      <w:r>
        <w:rPr>
          <w:rStyle w:val="12"/>
          <w:rFonts w:hint="eastAsia"/>
          <w:sz w:val="21"/>
          <w:szCs w:val="21"/>
        </w:rPr>
        <w:t>二、登记机构</w:t>
      </w:r>
    </w:p>
    <w:p w14:paraId="73DFFF9B">
      <w:pPr>
        <w:pStyle w:val="8"/>
        <w:spacing w:before="0" w:beforeAutospacing="0" w:after="0" w:afterAutospacing="0" w:line="360" w:lineRule="auto"/>
        <w:ind w:firstLine="420"/>
        <w:rPr>
          <w:sz w:val="21"/>
          <w:szCs w:val="21"/>
        </w:rPr>
      </w:pPr>
      <w:bookmarkStart w:id="56" w:name="field_0_registercompanyinfo_1_start"/>
      <w:bookmarkEnd w:id="56"/>
      <w:r>
        <w:rPr>
          <w:rFonts w:hint="eastAsia"/>
          <w:sz w:val="21"/>
          <w:szCs w:val="21"/>
        </w:rPr>
        <w:t xml:space="preserve">名称：博时基金管理有限公司 </w:t>
      </w:r>
    </w:p>
    <w:p w14:paraId="0411B9E3">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59FDC50A">
      <w:pPr>
        <w:pStyle w:val="8"/>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64E5C6E9">
      <w:pPr>
        <w:pStyle w:val="8"/>
        <w:spacing w:before="0" w:beforeAutospacing="0" w:after="0" w:afterAutospacing="0" w:line="360" w:lineRule="auto"/>
        <w:ind w:firstLine="420"/>
        <w:rPr>
          <w:sz w:val="21"/>
          <w:szCs w:val="21"/>
        </w:rPr>
      </w:pPr>
      <w:r>
        <w:rPr>
          <w:rFonts w:hint="eastAsia"/>
          <w:sz w:val="21"/>
          <w:szCs w:val="21"/>
        </w:rPr>
        <w:t xml:space="preserve">法定代表人：张东 </w:t>
      </w:r>
    </w:p>
    <w:p w14:paraId="42070814">
      <w:pPr>
        <w:pStyle w:val="8"/>
        <w:spacing w:before="0" w:beforeAutospacing="0" w:after="0" w:afterAutospacing="0" w:line="360" w:lineRule="auto"/>
        <w:ind w:firstLine="420"/>
        <w:rPr>
          <w:sz w:val="21"/>
          <w:szCs w:val="21"/>
        </w:rPr>
      </w:pPr>
      <w:r>
        <w:rPr>
          <w:rFonts w:hint="eastAsia"/>
          <w:sz w:val="21"/>
          <w:szCs w:val="21"/>
        </w:rPr>
        <w:t xml:space="preserve">电话： 010-65171166 </w:t>
      </w:r>
    </w:p>
    <w:p w14:paraId="19B3E213">
      <w:pPr>
        <w:pStyle w:val="8"/>
        <w:spacing w:before="0" w:beforeAutospacing="0" w:after="0" w:afterAutospacing="0" w:line="360" w:lineRule="auto"/>
        <w:ind w:firstLine="420"/>
        <w:rPr>
          <w:sz w:val="21"/>
          <w:szCs w:val="21"/>
        </w:rPr>
      </w:pPr>
      <w:r>
        <w:rPr>
          <w:rFonts w:hint="eastAsia"/>
          <w:sz w:val="21"/>
          <w:szCs w:val="21"/>
        </w:rPr>
        <w:t xml:space="preserve">传真： 010-65187068 </w:t>
      </w:r>
    </w:p>
    <w:p w14:paraId="17DC16C2">
      <w:pPr>
        <w:pStyle w:val="8"/>
        <w:spacing w:before="0" w:beforeAutospacing="0" w:after="0" w:afterAutospacing="0" w:line="360" w:lineRule="auto"/>
        <w:ind w:firstLine="420"/>
        <w:rPr>
          <w:sz w:val="21"/>
          <w:szCs w:val="21"/>
        </w:rPr>
      </w:pPr>
      <w:r>
        <w:rPr>
          <w:rFonts w:hint="eastAsia"/>
          <w:sz w:val="21"/>
          <w:szCs w:val="21"/>
        </w:rPr>
        <w:t xml:space="preserve">联系人：佀方方 </w:t>
      </w:r>
      <w:bookmarkStart w:id="57" w:name="field_0_registercompanyinfo_1_end"/>
      <w:bookmarkEnd w:id="57"/>
      <w:r>
        <w:rPr>
          <w:rFonts w:hint="eastAsia"/>
          <w:sz w:val="21"/>
          <w:szCs w:val="21"/>
        </w:rPr>
        <w:t xml:space="preserve">  </w:t>
      </w:r>
    </w:p>
    <w:p w14:paraId="10C9AC06">
      <w:pPr>
        <w:pStyle w:val="8"/>
        <w:spacing w:before="0" w:beforeAutospacing="0" w:after="0" w:afterAutospacing="0" w:line="360" w:lineRule="auto"/>
        <w:ind w:firstLine="420"/>
        <w:rPr>
          <w:sz w:val="21"/>
          <w:szCs w:val="21"/>
        </w:rPr>
      </w:pPr>
      <w:r>
        <w:rPr>
          <w:rStyle w:val="12"/>
          <w:rFonts w:hint="eastAsia"/>
          <w:sz w:val="21"/>
          <w:szCs w:val="21"/>
        </w:rPr>
        <w:t>三、出具法律意见书的律师事务所</w:t>
      </w:r>
    </w:p>
    <w:p w14:paraId="75A43C6B">
      <w:pPr>
        <w:pStyle w:val="8"/>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4B832C44">
      <w:pPr>
        <w:pStyle w:val="8"/>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14:paraId="20272C42">
      <w:pPr>
        <w:pStyle w:val="8"/>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14:paraId="020A565E">
      <w:pPr>
        <w:pStyle w:val="8"/>
        <w:spacing w:before="0" w:beforeAutospacing="0" w:after="0" w:afterAutospacing="0" w:line="360" w:lineRule="auto"/>
        <w:ind w:firstLine="420"/>
        <w:rPr>
          <w:sz w:val="21"/>
          <w:szCs w:val="21"/>
        </w:rPr>
      </w:pPr>
      <w:r>
        <w:rPr>
          <w:rFonts w:hint="eastAsia"/>
          <w:sz w:val="21"/>
          <w:szCs w:val="21"/>
        </w:rPr>
        <w:t xml:space="preserve">负责人：廖海 </w:t>
      </w:r>
    </w:p>
    <w:p w14:paraId="7713E327">
      <w:pPr>
        <w:pStyle w:val="8"/>
        <w:spacing w:before="0" w:beforeAutospacing="0" w:after="0" w:afterAutospacing="0" w:line="360" w:lineRule="auto"/>
        <w:ind w:firstLine="420"/>
        <w:rPr>
          <w:sz w:val="21"/>
          <w:szCs w:val="21"/>
        </w:rPr>
      </w:pPr>
      <w:r>
        <w:rPr>
          <w:rFonts w:hint="eastAsia"/>
          <w:sz w:val="21"/>
          <w:szCs w:val="21"/>
        </w:rPr>
        <w:t xml:space="preserve">电话：021- 51150298 </w:t>
      </w:r>
    </w:p>
    <w:p w14:paraId="791F6874">
      <w:pPr>
        <w:pStyle w:val="8"/>
        <w:spacing w:before="0" w:beforeAutospacing="0" w:after="0" w:afterAutospacing="0" w:line="360" w:lineRule="auto"/>
        <w:ind w:firstLine="420"/>
        <w:rPr>
          <w:sz w:val="21"/>
          <w:szCs w:val="21"/>
        </w:rPr>
      </w:pPr>
      <w:r>
        <w:rPr>
          <w:rFonts w:hint="eastAsia"/>
          <w:sz w:val="21"/>
          <w:szCs w:val="21"/>
        </w:rPr>
        <w:t xml:space="preserve">传真：021- 51150398 </w:t>
      </w:r>
    </w:p>
    <w:p w14:paraId="37D245E5">
      <w:pPr>
        <w:pStyle w:val="8"/>
        <w:spacing w:before="0" w:beforeAutospacing="0" w:after="0" w:afterAutospacing="0" w:line="360" w:lineRule="auto"/>
        <w:ind w:firstLine="420"/>
        <w:rPr>
          <w:sz w:val="21"/>
          <w:szCs w:val="21"/>
        </w:rPr>
      </w:pPr>
      <w:r>
        <w:rPr>
          <w:rFonts w:hint="eastAsia"/>
          <w:sz w:val="21"/>
          <w:szCs w:val="21"/>
        </w:rPr>
        <w:t xml:space="preserve">联系人：刘佳 </w:t>
      </w:r>
    </w:p>
    <w:p w14:paraId="0D8AEB47">
      <w:pPr>
        <w:pStyle w:val="8"/>
        <w:spacing w:before="0" w:beforeAutospacing="0" w:after="0" w:afterAutospacing="0" w:line="360" w:lineRule="auto"/>
        <w:ind w:firstLine="420"/>
        <w:rPr>
          <w:sz w:val="21"/>
          <w:szCs w:val="21"/>
        </w:rPr>
      </w:pPr>
      <w:r>
        <w:rPr>
          <w:rFonts w:hint="eastAsia"/>
          <w:sz w:val="21"/>
          <w:szCs w:val="21"/>
        </w:rPr>
        <w:t xml:space="preserve">经办律师：廖海、刘佳 </w:t>
      </w:r>
    </w:p>
    <w:p w14:paraId="40A15551">
      <w:pPr>
        <w:pStyle w:val="8"/>
        <w:spacing w:before="0" w:beforeAutospacing="0" w:after="0" w:afterAutospacing="0" w:line="360" w:lineRule="auto"/>
        <w:ind w:firstLine="420"/>
        <w:rPr>
          <w:sz w:val="21"/>
          <w:szCs w:val="21"/>
        </w:rPr>
      </w:pPr>
      <w:r>
        <w:rPr>
          <w:rStyle w:val="12"/>
          <w:rFonts w:hint="eastAsia"/>
          <w:sz w:val="21"/>
          <w:szCs w:val="21"/>
        </w:rPr>
        <w:t>四、审计基金财产的会计师事务所</w:t>
      </w:r>
    </w:p>
    <w:p w14:paraId="224466BA">
      <w:pPr>
        <w:pStyle w:val="8"/>
        <w:spacing w:before="0" w:beforeAutospacing="0" w:after="0" w:afterAutospacing="0" w:line="360" w:lineRule="auto"/>
        <w:ind w:firstLine="420"/>
        <w:rPr>
          <w:sz w:val="21"/>
          <w:szCs w:val="21"/>
        </w:rPr>
      </w:pPr>
      <w:r>
        <w:rPr>
          <w:rFonts w:hint="eastAsia"/>
          <w:sz w:val="21"/>
          <w:szCs w:val="21"/>
        </w:rPr>
        <w:t>本基金的法定验资机构为</w:t>
      </w:r>
      <w:bookmarkStart w:id="58" w:name="field_0_verifyaccountorgfullname_1"/>
      <w:r>
        <w:rPr>
          <w:rFonts w:hint="eastAsia"/>
          <w:sz w:val="21"/>
          <w:szCs w:val="21"/>
        </w:rPr>
        <w:t>安永华明会计师事务所（特殊普通合伙）</w:t>
      </w:r>
      <w:bookmarkEnd w:id="58"/>
      <w:r>
        <w:rPr>
          <w:rFonts w:hint="eastAsia"/>
          <w:sz w:val="21"/>
          <w:szCs w:val="21"/>
        </w:rPr>
        <w:t xml:space="preserve">  </w:t>
      </w:r>
    </w:p>
    <w:p w14:paraId="20D393EC">
      <w:pPr>
        <w:pStyle w:val="8"/>
        <w:spacing w:before="0" w:beforeAutospacing="0" w:after="0" w:afterAutospacing="0" w:line="360" w:lineRule="auto"/>
        <w:ind w:firstLine="420"/>
        <w:rPr>
          <w:sz w:val="21"/>
          <w:szCs w:val="21"/>
        </w:rPr>
      </w:pPr>
      <w:bookmarkStart w:id="59" w:name="field_0_verifyaccountcompanyinfo_1_start"/>
      <w:bookmarkEnd w:id="59"/>
      <w:r>
        <w:rPr>
          <w:rFonts w:hint="eastAsia"/>
          <w:sz w:val="21"/>
          <w:szCs w:val="21"/>
        </w:rPr>
        <w:t xml:space="preserve">名称：安永华明会计师事务所（特殊普通合伙） </w:t>
      </w:r>
    </w:p>
    <w:p w14:paraId="2BE19FC6">
      <w:pPr>
        <w:pStyle w:val="8"/>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14:paraId="5EE0E6FD">
      <w:pPr>
        <w:pStyle w:val="8"/>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51838F23">
      <w:pPr>
        <w:pStyle w:val="8"/>
        <w:spacing w:before="0" w:beforeAutospacing="0" w:after="0" w:afterAutospacing="0" w:line="360" w:lineRule="auto"/>
        <w:ind w:firstLine="420"/>
        <w:rPr>
          <w:sz w:val="21"/>
          <w:szCs w:val="21"/>
        </w:rPr>
      </w:pPr>
      <w:r>
        <w:rPr>
          <w:rFonts w:hint="eastAsia"/>
          <w:sz w:val="21"/>
          <w:szCs w:val="21"/>
        </w:rPr>
        <w:t xml:space="preserve">执行事务合伙人：毛鞍宁  </w:t>
      </w:r>
    </w:p>
    <w:p w14:paraId="3E6F155E">
      <w:pPr>
        <w:pStyle w:val="8"/>
        <w:spacing w:before="0" w:beforeAutospacing="0" w:after="0" w:afterAutospacing="0" w:line="360" w:lineRule="auto"/>
        <w:ind w:firstLine="420"/>
        <w:rPr>
          <w:sz w:val="21"/>
          <w:szCs w:val="21"/>
        </w:rPr>
      </w:pPr>
      <w:r>
        <w:rPr>
          <w:rFonts w:hint="eastAsia"/>
          <w:sz w:val="21"/>
          <w:szCs w:val="21"/>
        </w:rPr>
        <w:t xml:space="preserve">联系电话：（010）58153000  </w:t>
      </w:r>
    </w:p>
    <w:p w14:paraId="21B19AF2">
      <w:pPr>
        <w:pStyle w:val="8"/>
        <w:spacing w:before="0" w:beforeAutospacing="0" w:after="0" w:afterAutospacing="0" w:line="360" w:lineRule="auto"/>
        <w:ind w:firstLine="420"/>
        <w:rPr>
          <w:sz w:val="21"/>
          <w:szCs w:val="21"/>
        </w:rPr>
      </w:pPr>
      <w:r>
        <w:rPr>
          <w:rFonts w:hint="eastAsia"/>
          <w:sz w:val="21"/>
          <w:szCs w:val="21"/>
        </w:rPr>
        <w:t xml:space="preserve">传真：（010）85188298  </w:t>
      </w:r>
    </w:p>
    <w:p w14:paraId="16691AAB">
      <w:pPr>
        <w:pStyle w:val="8"/>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14:paraId="26DF145B">
      <w:pPr>
        <w:pStyle w:val="8"/>
        <w:spacing w:before="0" w:beforeAutospacing="0" w:after="0" w:afterAutospacing="0" w:line="360" w:lineRule="auto"/>
        <w:ind w:firstLine="420"/>
        <w:rPr>
          <w:sz w:val="21"/>
          <w:szCs w:val="21"/>
        </w:rPr>
      </w:pPr>
      <w:r>
        <w:rPr>
          <w:rFonts w:hint="eastAsia"/>
          <w:sz w:val="21"/>
          <w:szCs w:val="21"/>
        </w:rPr>
        <w:t xml:space="preserve">联系人：朱燕 </w:t>
      </w:r>
      <w:bookmarkStart w:id="60" w:name="field_0_verifyaccountcompanyinfo_1_end"/>
      <w:bookmarkEnd w:id="60"/>
      <w:r>
        <w:rPr>
          <w:rFonts w:hint="eastAsia"/>
          <w:sz w:val="21"/>
          <w:szCs w:val="21"/>
        </w:rPr>
        <w:t xml:space="preserve">  </w:t>
      </w:r>
    </w:p>
    <w:p w14:paraId="337501A6">
      <w:pPr>
        <w:pStyle w:val="8"/>
        <w:spacing w:before="0" w:beforeAutospacing="0" w:after="0" w:afterAutospacing="0" w:line="360" w:lineRule="auto"/>
        <w:ind w:firstLine="420"/>
        <w:rPr>
          <w:sz w:val="21"/>
          <w:szCs w:val="21"/>
        </w:rPr>
      </w:pPr>
      <w:r>
        <w:rPr>
          <w:rFonts w:hint="eastAsia"/>
          <w:sz w:val="21"/>
          <w:szCs w:val="21"/>
        </w:rPr>
        <w:t>本基金的年度财务报表及其他规定事项的审计机构为</w:t>
      </w:r>
      <w:bookmarkStart w:id="61" w:name="field_0_accountingorgfullname_1"/>
      <w:r>
        <w:rPr>
          <w:rFonts w:hint="eastAsia"/>
          <w:sz w:val="21"/>
          <w:szCs w:val="21"/>
        </w:rPr>
        <w:t>安永华明会计师事务所（特殊普通合伙）</w:t>
      </w:r>
      <w:bookmarkEnd w:id="61"/>
      <w:r>
        <w:rPr>
          <w:rFonts w:hint="eastAsia"/>
          <w:sz w:val="21"/>
          <w:szCs w:val="21"/>
        </w:rPr>
        <w:t xml:space="preserve">  </w:t>
      </w:r>
    </w:p>
    <w:p w14:paraId="780C4044">
      <w:pPr>
        <w:pStyle w:val="8"/>
        <w:spacing w:before="0" w:beforeAutospacing="0" w:after="0" w:afterAutospacing="0" w:line="360" w:lineRule="auto"/>
        <w:ind w:firstLine="420"/>
        <w:rPr>
          <w:sz w:val="21"/>
          <w:szCs w:val="21"/>
        </w:rPr>
      </w:pPr>
      <w:bookmarkStart w:id="62" w:name="field_0_accountingcompanyinfo_1_start"/>
      <w:bookmarkEnd w:id="62"/>
      <w:r>
        <w:rPr>
          <w:rFonts w:hint="eastAsia"/>
          <w:sz w:val="21"/>
          <w:szCs w:val="21"/>
        </w:rPr>
        <w:t xml:space="preserve">名称：安永华明会计师事务所（特殊普通合伙） </w:t>
      </w:r>
    </w:p>
    <w:p w14:paraId="639DC4B6">
      <w:pPr>
        <w:pStyle w:val="8"/>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14:paraId="6DC51EEC">
      <w:pPr>
        <w:pStyle w:val="8"/>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36F36CFD">
      <w:pPr>
        <w:pStyle w:val="8"/>
        <w:spacing w:before="0" w:beforeAutospacing="0" w:after="0" w:afterAutospacing="0" w:line="360" w:lineRule="auto"/>
        <w:ind w:firstLine="420"/>
        <w:rPr>
          <w:sz w:val="21"/>
          <w:szCs w:val="21"/>
        </w:rPr>
      </w:pPr>
      <w:r>
        <w:rPr>
          <w:rFonts w:hint="eastAsia"/>
          <w:sz w:val="21"/>
          <w:szCs w:val="21"/>
        </w:rPr>
        <w:t xml:space="preserve">执行事务合伙人：毛鞍宁  </w:t>
      </w:r>
    </w:p>
    <w:p w14:paraId="7B01C899">
      <w:pPr>
        <w:pStyle w:val="8"/>
        <w:spacing w:before="0" w:beforeAutospacing="0" w:after="0" w:afterAutospacing="0" w:line="360" w:lineRule="auto"/>
        <w:ind w:firstLine="420"/>
        <w:rPr>
          <w:sz w:val="21"/>
          <w:szCs w:val="21"/>
        </w:rPr>
      </w:pPr>
      <w:r>
        <w:rPr>
          <w:rFonts w:hint="eastAsia"/>
          <w:sz w:val="21"/>
          <w:szCs w:val="21"/>
        </w:rPr>
        <w:t xml:space="preserve">联系电话：（010）58153000  </w:t>
      </w:r>
    </w:p>
    <w:p w14:paraId="6963225C">
      <w:pPr>
        <w:pStyle w:val="8"/>
        <w:spacing w:before="0" w:beforeAutospacing="0" w:after="0" w:afterAutospacing="0" w:line="360" w:lineRule="auto"/>
        <w:ind w:firstLine="420"/>
        <w:rPr>
          <w:sz w:val="21"/>
          <w:szCs w:val="21"/>
        </w:rPr>
      </w:pPr>
      <w:r>
        <w:rPr>
          <w:rFonts w:hint="eastAsia"/>
          <w:sz w:val="21"/>
          <w:szCs w:val="21"/>
        </w:rPr>
        <w:t xml:space="preserve">传真：（010）85188298  </w:t>
      </w:r>
    </w:p>
    <w:p w14:paraId="54D2D875">
      <w:pPr>
        <w:pStyle w:val="8"/>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14:paraId="10A9A950">
      <w:pPr>
        <w:pStyle w:val="8"/>
        <w:spacing w:before="0" w:beforeAutospacing="0" w:after="0" w:afterAutospacing="0" w:line="360" w:lineRule="auto"/>
        <w:ind w:firstLine="420"/>
        <w:rPr>
          <w:sz w:val="21"/>
          <w:szCs w:val="21"/>
        </w:rPr>
      </w:pPr>
      <w:bookmarkStart w:id="63" w:name="chapter_level1_7_56_section_3_end"/>
      <w:bookmarkEnd w:id="63"/>
      <w:r>
        <w:rPr>
          <w:rFonts w:hint="eastAsia"/>
          <w:sz w:val="21"/>
          <w:szCs w:val="21"/>
        </w:rPr>
        <w:t xml:space="preserve">联系人：朱燕 </w:t>
      </w:r>
      <w:bookmarkStart w:id="64" w:name="field_0_accountingcompanyinfo_1_end"/>
      <w:bookmarkEnd w:id="64"/>
      <w:r>
        <w:rPr>
          <w:rFonts w:hint="eastAsia"/>
          <w:sz w:val="21"/>
          <w:szCs w:val="21"/>
        </w:rPr>
        <w:t xml:space="preserve">  </w:t>
      </w:r>
    </w:p>
    <w:p w14:paraId="68309CF0">
      <w:pPr>
        <w:widowControl/>
        <w:jc w:val="left"/>
        <w:rPr>
          <w:rFonts w:ascii="宋体" w:hAnsi="宋体" w:eastAsia="宋体"/>
        </w:rPr>
      </w:pPr>
      <w:r>
        <w:rPr>
          <w:rFonts w:ascii="宋体" w:hAnsi="宋体" w:eastAsia="宋体"/>
        </w:rPr>
        <w:br w:type="page"/>
      </w:r>
    </w:p>
    <w:p w14:paraId="1ADE48B5">
      <w:pPr>
        <w:pStyle w:val="3"/>
        <w:jc w:val="center"/>
        <w:rPr>
          <w:rFonts w:ascii="宋体" w:hAnsi="宋体" w:eastAsia="宋体"/>
          <w:sz w:val="30"/>
        </w:rPr>
      </w:pPr>
      <w:bookmarkStart w:id="65" w:name="chapter_level1_9_58"/>
      <w:bookmarkStart w:id="66" w:name="_Toc213857120"/>
      <w:r>
        <w:rPr>
          <w:rFonts w:hint="eastAsia" w:ascii="宋体" w:hAnsi="宋体" w:eastAsia="宋体"/>
          <w:sz w:val="30"/>
        </w:rPr>
        <w:t>第六部分 基金的募集与基金合同的生效</w:t>
      </w:r>
      <w:bookmarkEnd w:id="65"/>
      <w:bookmarkEnd w:id="66"/>
    </w:p>
    <w:p w14:paraId="3C9CAA33">
      <w:pPr>
        <w:pStyle w:val="8"/>
        <w:spacing w:before="0" w:beforeAutospacing="0" w:after="0" w:afterAutospacing="0" w:line="360" w:lineRule="auto"/>
        <w:ind w:firstLine="420"/>
        <w:rPr>
          <w:sz w:val="21"/>
          <w:szCs w:val="21"/>
        </w:rPr>
      </w:pPr>
      <w:bookmarkStart w:id="67" w:name="chapter_level1_9_58_section_1"/>
      <w:bookmarkEnd w:id="67"/>
      <w:r>
        <w:rPr>
          <w:rFonts w:hint="eastAsia"/>
          <w:b/>
          <w:bCs/>
          <w:sz w:val="21"/>
          <w:szCs w:val="21"/>
        </w:rPr>
        <w:t>一．基金的募集</w:t>
      </w:r>
    </w:p>
    <w:p w14:paraId="4715CA6B">
      <w:pPr>
        <w:pStyle w:val="8"/>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68" w:name="field_2343_approveddate_1"/>
      <w:r>
        <w:rPr>
          <w:sz w:val="21"/>
          <w:szCs w:val="21"/>
        </w:rPr>
        <w:t>2023年8月11日</w:t>
      </w:r>
      <w:bookmarkEnd w:id="68"/>
      <w:r>
        <w:rPr>
          <w:rFonts w:hint="eastAsia"/>
          <w:sz w:val="21"/>
          <w:szCs w:val="21"/>
        </w:rPr>
        <w:t>证监许可</w:t>
      </w:r>
      <w:bookmarkStart w:id="69" w:name="field_2343_lotnumber_1"/>
      <w:r>
        <w:rPr>
          <w:sz w:val="21"/>
          <w:szCs w:val="21"/>
        </w:rPr>
        <w:t>[2023]1755</w:t>
      </w:r>
      <w:bookmarkEnd w:id="69"/>
      <w:r>
        <w:rPr>
          <w:rFonts w:hint="eastAsia"/>
          <w:sz w:val="21"/>
          <w:szCs w:val="21"/>
        </w:rPr>
        <w:t xml:space="preserve">号文准予募集注册。 </w:t>
      </w:r>
    </w:p>
    <w:p w14:paraId="7197E00C">
      <w:pPr>
        <w:pStyle w:val="8"/>
        <w:spacing w:before="0" w:beforeAutospacing="0" w:after="0" w:afterAutospacing="0" w:line="360" w:lineRule="auto"/>
        <w:ind w:firstLine="420"/>
        <w:rPr>
          <w:sz w:val="21"/>
          <w:szCs w:val="21"/>
        </w:rPr>
      </w:pPr>
      <w:r>
        <w:rPr>
          <w:rFonts w:hint="eastAsia"/>
          <w:sz w:val="21"/>
          <w:szCs w:val="21"/>
        </w:rPr>
        <w:t>本基金募集期自</w:t>
      </w:r>
      <w:bookmarkStart w:id="70" w:name="field_58_raisebegindate_1"/>
      <w:r>
        <w:rPr>
          <w:sz w:val="21"/>
          <w:szCs w:val="21"/>
        </w:rPr>
        <w:t>2025年3月26日</w:t>
      </w:r>
      <w:bookmarkEnd w:id="70"/>
      <w:r>
        <w:rPr>
          <w:rFonts w:hint="eastAsia"/>
          <w:sz w:val="21"/>
          <w:szCs w:val="21"/>
        </w:rPr>
        <w:t>至</w:t>
      </w:r>
      <w:bookmarkStart w:id="71" w:name="field_58_raiseenddate_1"/>
      <w:r>
        <w:rPr>
          <w:sz w:val="21"/>
          <w:szCs w:val="21"/>
        </w:rPr>
        <w:t>2025年6月25日</w:t>
      </w:r>
      <w:bookmarkEnd w:id="71"/>
      <w:r>
        <w:rPr>
          <w:rFonts w:hint="eastAsia"/>
          <w:sz w:val="21"/>
          <w:szCs w:val="21"/>
        </w:rPr>
        <w:t>期间，基金份额共募集</w:t>
      </w:r>
      <w:bookmarkStart w:id="72" w:name="field_58_raisetotal_1"/>
      <w:r>
        <w:rPr>
          <w:sz w:val="21"/>
          <w:szCs w:val="21"/>
        </w:rPr>
        <w:t>282,511,742.13</w:t>
      </w:r>
      <w:bookmarkEnd w:id="72"/>
      <w:r>
        <w:rPr>
          <w:rFonts w:hint="eastAsia"/>
          <w:sz w:val="21"/>
          <w:szCs w:val="21"/>
        </w:rPr>
        <w:t>份（含利息结转的份额），募集有效认购总户数为</w:t>
      </w:r>
      <w:bookmarkStart w:id="73" w:name="field_58_effectivetotal_1"/>
      <w:r>
        <w:rPr>
          <w:sz w:val="21"/>
          <w:szCs w:val="21"/>
        </w:rPr>
        <w:t>783</w:t>
      </w:r>
      <w:bookmarkEnd w:id="73"/>
      <w:r>
        <w:rPr>
          <w:rFonts w:hint="eastAsia"/>
          <w:sz w:val="21"/>
          <w:szCs w:val="21"/>
        </w:rPr>
        <w:t xml:space="preserve">户。 </w:t>
      </w:r>
    </w:p>
    <w:p w14:paraId="2FC296C3">
      <w:pPr>
        <w:pStyle w:val="8"/>
        <w:spacing w:before="0" w:beforeAutospacing="0" w:after="0" w:afterAutospacing="0" w:line="360" w:lineRule="auto"/>
        <w:ind w:firstLine="420"/>
        <w:rPr>
          <w:sz w:val="21"/>
          <w:szCs w:val="21"/>
        </w:rPr>
      </w:pPr>
      <w:r>
        <w:rPr>
          <w:rFonts w:hint="eastAsia"/>
          <w:sz w:val="21"/>
          <w:szCs w:val="21"/>
        </w:rPr>
        <w:t>本基金的运作方式为</w:t>
      </w:r>
      <w:bookmarkStart w:id="74" w:name="field_58_operation_1"/>
      <w:r>
        <w:rPr>
          <w:rFonts w:hint="eastAsia"/>
          <w:sz w:val="21"/>
          <w:szCs w:val="21"/>
        </w:rPr>
        <w:t>契约型开放式</w:t>
      </w:r>
      <w:bookmarkEnd w:id="74"/>
      <w:r>
        <w:rPr>
          <w:rFonts w:hint="eastAsia"/>
          <w:sz w:val="21"/>
          <w:szCs w:val="21"/>
        </w:rPr>
        <w:t>，存续期间为</w:t>
      </w:r>
      <w:bookmarkStart w:id="75" w:name="field_58_duration_1"/>
      <w:r>
        <w:rPr>
          <w:rFonts w:hint="eastAsia"/>
          <w:sz w:val="21"/>
          <w:szCs w:val="21"/>
        </w:rPr>
        <w:t>不定期</w:t>
      </w:r>
      <w:bookmarkEnd w:id="75"/>
      <w:r>
        <w:rPr>
          <w:rFonts w:hint="eastAsia"/>
          <w:sz w:val="21"/>
          <w:szCs w:val="21"/>
        </w:rPr>
        <w:t xml:space="preserve">。 </w:t>
      </w:r>
    </w:p>
    <w:p w14:paraId="0A3317D9">
      <w:pPr>
        <w:pStyle w:val="8"/>
        <w:spacing w:before="0" w:beforeAutospacing="0" w:after="0" w:afterAutospacing="0" w:line="360" w:lineRule="auto"/>
        <w:ind w:firstLine="420"/>
        <w:rPr>
          <w:sz w:val="21"/>
          <w:szCs w:val="21"/>
        </w:rPr>
      </w:pPr>
      <w:r>
        <w:rPr>
          <w:rFonts w:hint="eastAsia"/>
          <w:b/>
          <w:bCs/>
          <w:sz w:val="21"/>
          <w:szCs w:val="21"/>
        </w:rPr>
        <w:t>二、基金合同的生效</w:t>
      </w:r>
    </w:p>
    <w:p w14:paraId="44EC4B40">
      <w:pPr>
        <w:pStyle w:val="8"/>
        <w:spacing w:before="0" w:beforeAutospacing="0" w:after="0" w:afterAutospacing="0" w:line="360" w:lineRule="auto"/>
        <w:ind w:firstLine="420"/>
        <w:rPr>
          <w:sz w:val="21"/>
          <w:szCs w:val="21"/>
        </w:rPr>
      </w:pPr>
      <w:bookmarkStart w:id="76" w:name="chapter_level1_9_58_section_1_end"/>
      <w:bookmarkEnd w:id="76"/>
      <w:r>
        <w:rPr>
          <w:rFonts w:hint="eastAsia"/>
          <w:sz w:val="21"/>
          <w:szCs w:val="21"/>
        </w:rPr>
        <w:t>本基金的基金合同已于</w:t>
      </w:r>
      <w:bookmarkStart w:id="77" w:name="field_0_foundday_1"/>
      <w:r>
        <w:rPr>
          <w:sz w:val="21"/>
          <w:szCs w:val="21"/>
        </w:rPr>
        <w:t>2025年6月27日</w:t>
      </w:r>
      <w:bookmarkEnd w:id="77"/>
      <w:r>
        <w:rPr>
          <w:rFonts w:hint="eastAsia"/>
          <w:sz w:val="21"/>
          <w:szCs w:val="21"/>
        </w:rPr>
        <w:t xml:space="preserve">正式生效。 </w:t>
      </w:r>
    </w:p>
    <w:p w14:paraId="605CBFE1">
      <w:pPr>
        <w:pStyle w:val="8"/>
        <w:spacing w:before="0" w:beforeAutospacing="0" w:after="0" w:afterAutospacing="0" w:line="360" w:lineRule="auto"/>
        <w:ind w:firstLine="420"/>
        <w:rPr>
          <w:sz w:val="21"/>
          <w:szCs w:val="21"/>
        </w:rPr>
      </w:pPr>
      <w:bookmarkStart w:id="78" w:name="chapter_level1_9_58_section_2"/>
      <w:bookmarkEnd w:id="78"/>
      <w:r>
        <w:rPr>
          <w:rStyle w:val="12"/>
          <w:rFonts w:hint="eastAsia"/>
          <w:sz w:val="21"/>
          <w:szCs w:val="21"/>
        </w:rPr>
        <w:t>三、基金存续期内的基金份额持有人数量和资产规模</w:t>
      </w:r>
    </w:p>
    <w:p w14:paraId="2EE16505">
      <w:pPr>
        <w:pStyle w:val="8"/>
        <w:spacing w:before="0" w:beforeAutospacing="0" w:after="0" w:afterAutospacing="0" w:line="360" w:lineRule="auto"/>
        <w:ind w:firstLine="420"/>
        <w:rPr>
          <w:sz w:val="21"/>
          <w:szCs w:val="21"/>
        </w:rPr>
      </w:pPr>
      <w:r>
        <w:rPr>
          <w:rFonts w:hint="eastAsia"/>
          <w:sz w:val="21"/>
          <w:szCs w:val="21"/>
        </w:rPr>
        <w:t>《基金合同》生效后，连续20个工作日出现基金份额持有人数量不满200人或者基金资产净值低于5000万元情形的，基金管理人应当在定期报告中予以披露；连续60个工作日出现前述情形的，基金管理人应当</w:t>
      </w:r>
      <w:r>
        <w:rPr>
          <w:rFonts w:hint="eastAsia"/>
          <w:bCs w:val="0"/>
          <w:sz w:val="21"/>
          <w:szCs w:val="21"/>
        </w:rPr>
        <w:t>在十个工作日内向中国证监会报告并提出解决方案，如持续运作、转换运作方式、与其他基金合并或者终止基金合同等，并在六个月内召集基金份额持有人大会。</w:t>
      </w:r>
      <w:r>
        <w:rPr>
          <w:rFonts w:hint="eastAsia"/>
          <w:sz w:val="21"/>
          <w:szCs w:val="21"/>
        </w:rPr>
        <w:t xml:space="preserve"> </w:t>
      </w:r>
    </w:p>
    <w:p w14:paraId="4E7C8641">
      <w:pPr>
        <w:pStyle w:val="8"/>
        <w:spacing w:before="0" w:beforeAutospacing="0" w:after="0" w:afterAutospacing="0" w:line="360" w:lineRule="auto"/>
        <w:ind w:firstLine="420"/>
        <w:rPr>
          <w:sz w:val="21"/>
          <w:szCs w:val="21"/>
        </w:rPr>
      </w:pPr>
      <w:bookmarkStart w:id="79" w:name="chapter_level1_9_58_section_2_end"/>
      <w:bookmarkEnd w:id="79"/>
      <w:r>
        <w:rPr>
          <w:rFonts w:hint="eastAsia"/>
          <w:sz w:val="21"/>
          <w:szCs w:val="21"/>
        </w:rPr>
        <w:t xml:space="preserve">法律法规或中国证监会另有规定时，从其规定。 </w:t>
      </w:r>
    </w:p>
    <w:p w14:paraId="7303D3FE">
      <w:pPr>
        <w:widowControl/>
        <w:jc w:val="left"/>
        <w:rPr>
          <w:rFonts w:ascii="宋体" w:hAnsi="宋体" w:eastAsia="宋体"/>
        </w:rPr>
      </w:pPr>
      <w:r>
        <w:rPr>
          <w:rFonts w:ascii="宋体" w:hAnsi="宋体" w:eastAsia="宋体"/>
        </w:rPr>
        <w:br w:type="page"/>
      </w:r>
    </w:p>
    <w:p w14:paraId="7A788F15">
      <w:pPr>
        <w:pStyle w:val="3"/>
        <w:jc w:val="center"/>
        <w:rPr>
          <w:rFonts w:ascii="宋体" w:hAnsi="宋体" w:eastAsia="宋体"/>
          <w:sz w:val="30"/>
        </w:rPr>
      </w:pPr>
      <w:bookmarkStart w:id="80" w:name="_Toc213857121"/>
      <w:bookmarkStart w:id="81" w:name="chapter_level1_10_59"/>
      <w:r>
        <w:rPr>
          <w:rFonts w:hint="eastAsia" w:ascii="宋体" w:hAnsi="宋体" w:eastAsia="宋体"/>
          <w:sz w:val="30"/>
        </w:rPr>
        <w:t>第七部分  基金份额的申购与赎回</w:t>
      </w:r>
      <w:bookmarkEnd w:id="80"/>
      <w:bookmarkEnd w:id="81"/>
    </w:p>
    <w:p w14:paraId="2796F8BA">
      <w:pPr>
        <w:pStyle w:val="8"/>
        <w:spacing w:before="0" w:beforeAutospacing="0" w:after="0" w:afterAutospacing="0" w:line="360" w:lineRule="auto"/>
        <w:ind w:firstLine="420"/>
        <w:rPr>
          <w:sz w:val="21"/>
          <w:szCs w:val="21"/>
        </w:rPr>
      </w:pPr>
      <w:bookmarkStart w:id="82" w:name="chapter_level1_10_59_section_1"/>
      <w:bookmarkEnd w:id="82"/>
      <w:r>
        <w:rPr>
          <w:rStyle w:val="12"/>
          <w:rFonts w:hint="eastAsia"/>
          <w:sz w:val="21"/>
          <w:szCs w:val="21"/>
        </w:rPr>
        <w:t>一、申购与赎回的场所</w:t>
      </w:r>
    </w:p>
    <w:p w14:paraId="4CE29244">
      <w:pPr>
        <w:pStyle w:val="8"/>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w:t>
      </w:r>
      <w:bookmarkStart w:id="83" w:name="chapter_level1_10_59_section_1_end"/>
      <w:bookmarkEnd w:id="83"/>
      <w:r>
        <w:rPr>
          <w:rFonts w:hint="eastAsia"/>
          <w:sz w:val="21"/>
          <w:szCs w:val="21"/>
        </w:rPr>
        <w:t xml:space="preserve">与赎回。 </w:t>
      </w:r>
    </w:p>
    <w:p w14:paraId="64C5A8D4">
      <w:pPr>
        <w:pStyle w:val="8"/>
        <w:spacing w:before="0" w:beforeAutospacing="0" w:after="0" w:afterAutospacing="0" w:line="360" w:lineRule="auto"/>
        <w:ind w:firstLine="420"/>
        <w:rPr>
          <w:sz w:val="21"/>
          <w:szCs w:val="21"/>
        </w:rPr>
      </w:pPr>
      <w:bookmarkStart w:id="84" w:name="chapter_level1_10_59_section_2"/>
      <w:bookmarkEnd w:id="84"/>
      <w:r>
        <w:rPr>
          <w:rStyle w:val="12"/>
          <w:rFonts w:hint="eastAsia"/>
          <w:sz w:val="21"/>
          <w:szCs w:val="21"/>
        </w:rPr>
        <w:t>二、申购与赎回办理的开放日及时间</w:t>
      </w:r>
    </w:p>
    <w:p w14:paraId="6CCBD4A0">
      <w:pPr>
        <w:pStyle w:val="8"/>
        <w:spacing w:before="0" w:beforeAutospacing="0" w:after="0" w:afterAutospacing="0" w:line="360" w:lineRule="auto"/>
        <w:ind w:firstLine="420"/>
        <w:rPr>
          <w:sz w:val="21"/>
          <w:szCs w:val="21"/>
        </w:rPr>
      </w:pPr>
      <w:r>
        <w:rPr>
          <w:rFonts w:hint="eastAsia"/>
          <w:sz w:val="21"/>
          <w:szCs w:val="21"/>
        </w:rPr>
        <w:t xml:space="preserve">1、开放日及开放时间 </w:t>
      </w:r>
    </w:p>
    <w:p w14:paraId="7FEA23DC">
      <w:pPr>
        <w:pStyle w:val="8"/>
        <w:spacing w:before="0" w:beforeAutospacing="0" w:after="0" w:afterAutospacing="0" w:line="360" w:lineRule="auto"/>
        <w:ind w:firstLine="420"/>
        <w:rPr>
          <w:sz w:val="21"/>
          <w:szCs w:val="21"/>
        </w:rPr>
      </w:pPr>
      <w:r>
        <w:rPr>
          <w:rFonts w:hint="eastAsia"/>
          <w:sz w:val="21"/>
          <w:szCs w:val="21"/>
        </w:rPr>
        <w:t xml:space="preserve">基金管理人在开放日办理基金份额的申购和/或赎回。投资人在开放日办理申购和/或赎回的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47ECBCD3">
      <w:pPr>
        <w:pStyle w:val="8"/>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5FCB0471">
      <w:pPr>
        <w:pStyle w:val="8"/>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6E4C9652">
      <w:pPr>
        <w:pStyle w:val="8"/>
        <w:spacing w:before="0" w:beforeAutospacing="0" w:after="0" w:afterAutospacing="0" w:line="360" w:lineRule="auto"/>
        <w:ind w:firstLine="420"/>
        <w:rPr>
          <w:sz w:val="21"/>
          <w:szCs w:val="21"/>
        </w:rPr>
      </w:pPr>
      <w:bookmarkStart w:id="85" w:name="chapter_level1_10_59_section_2_end"/>
      <w:bookmarkEnd w:id="85"/>
      <w:r>
        <w:rPr>
          <w:rFonts w:hint="eastAsia"/>
          <w:sz w:val="21"/>
          <w:szCs w:val="21"/>
        </w:rPr>
        <w:t xml:space="preserve">本基金已于2025年7月28日开放日常申购、赎回业务。  </w:t>
      </w:r>
    </w:p>
    <w:p w14:paraId="31A096A3">
      <w:pPr>
        <w:pStyle w:val="8"/>
        <w:spacing w:before="0" w:beforeAutospacing="0" w:after="0" w:afterAutospacing="0" w:line="360" w:lineRule="auto"/>
        <w:ind w:firstLine="420"/>
        <w:rPr>
          <w:sz w:val="21"/>
          <w:szCs w:val="21"/>
        </w:rPr>
      </w:pPr>
      <w:bookmarkStart w:id="86" w:name="chapter_level1_10_59_section_3"/>
      <w:bookmarkEnd w:id="86"/>
      <w:r>
        <w:rPr>
          <w:rStyle w:val="12"/>
          <w:rFonts w:hint="eastAsia"/>
          <w:sz w:val="21"/>
          <w:szCs w:val="21"/>
        </w:rPr>
        <w:t>三、申购与赎回的原则</w:t>
      </w:r>
    </w:p>
    <w:p w14:paraId="2F925D00">
      <w:pPr>
        <w:pStyle w:val="8"/>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1、“未知价”原则，即申购、赎回价格以申请当日收市后计算的各类基金份额净值为基准进行计算； </w:t>
      </w:r>
    </w:p>
    <w:p w14:paraId="42ADF4D4">
      <w:pPr>
        <w:pStyle w:val="8"/>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1A2B0500">
      <w:pPr>
        <w:pStyle w:val="8"/>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68B86A46">
      <w:pPr>
        <w:pStyle w:val="8"/>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2A78B53C">
      <w:pPr>
        <w:pStyle w:val="8"/>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628DB317">
      <w:pPr>
        <w:pStyle w:val="8"/>
        <w:spacing w:before="0" w:beforeAutospacing="0" w:after="0" w:afterAutospacing="0" w:line="360" w:lineRule="auto"/>
        <w:ind w:firstLine="420"/>
        <w:rPr>
          <w:sz w:val="21"/>
          <w:szCs w:val="21"/>
        </w:rPr>
      </w:pPr>
      <w:r>
        <w:rPr>
          <w:rFonts w:hint="eastAsia"/>
          <w:sz w:val="21"/>
          <w:szCs w:val="21"/>
        </w:rPr>
        <w:t xml:space="preserve">基金管理人可在不违反法律法规的情况下，对上述原则进行调整。基金管理人必须在新规则开始实施前依照《信息披露办法》的有关规定在规定媒介上公告。 </w:t>
      </w:r>
    </w:p>
    <w:p w14:paraId="3CDAF83F">
      <w:pPr>
        <w:pStyle w:val="8"/>
        <w:spacing w:before="0" w:beforeAutospacing="0" w:after="0" w:afterAutospacing="0" w:line="360" w:lineRule="auto"/>
        <w:ind w:firstLine="420"/>
        <w:rPr>
          <w:sz w:val="21"/>
          <w:szCs w:val="21"/>
        </w:rPr>
      </w:pPr>
      <w:r>
        <w:rPr>
          <w:rStyle w:val="12"/>
          <w:rFonts w:hint="eastAsia"/>
          <w:sz w:val="21"/>
          <w:szCs w:val="21"/>
        </w:rPr>
        <w:t>四、申购与赎回的数额限制</w:t>
      </w:r>
    </w:p>
    <w:p w14:paraId="5FA86290">
      <w:pPr>
        <w:pStyle w:val="8"/>
        <w:spacing w:before="0" w:beforeAutospacing="0" w:after="0" w:afterAutospacing="0" w:line="360" w:lineRule="auto"/>
        <w:ind w:firstLine="420"/>
        <w:rPr>
          <w:sz w:val="21"/>
          <w:szCs w:val="21"/>
        </w:rPr>
      </w:pPr>
      <w:r>
        <w:rPr>
          <w:rFonts w:hint="eastAsia"/>
          <w:sz w:val="21"/>
          <w:szCs w:val="21"/>
        </w:rPr>
        <w:t>1、首次申购基金份额的单笔最低金额为</w:t>
      </w:r>
      <w:bookmarkStart w:id="87" w:name="field_59_dealerfirstpurminamount_1"/>
      <w:r>
        <w:rPr>
          <w:sz w:val="21"/>
          <w:szCs w:val="21"/>
        </w:rPr>
        <w:t>1.00</w:t>
      </w:r>
      <w:bookmarkEnd w:id="87"/>
      <w:r>
        <w:rPr>
          <w:rFonts w:hint="eastAsia"/>
          <w:sz w:val="21"/>
          <w:szCs w:val="21"/>
        </w:rPr>
        <w:t>元（含申购费），追加申购的单笔最低金额为</w:t>
      </w:r>
      <w:bookmarkStart w:id="88" w:name="field_59_dealerlaterpurminamount_1"/>
      <w:r>
        <w:rPr>
          <w:sz w:val="21"/>
          <w:szCs w:val="21"/>
        </w:rPr>
        <w:t>1.00</w:t>
      </w:r>
      <w:bookmarkEnd w:id="88"/>
      <w:r>
        <w:rPr>
          <w:rFonts w:hint="eastAsia"/>
          <w:sz w:val="21"/>
          <w:szCs w:val="21"/>
        </w:rPr>
        <w:t xml:space="preserve">元（含申购费）；详情请见当地销售机构公告； </w:t>
      </w:r>
    </w:p>
    <w:p w14:paraId="7848450A">
      <w:pPr>
        <w:pStyle w:val="8"/>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89" w:name="field_59_minholdshare_1"/>
      <w:r>
        <w:rPr>
          <w:sz w:val="21"/>
          <w:szCs w:val="21"/>
        </w:rPr>
        <w:t>1</w:t>
      </w:r>
      <w:bookmarkEnd w:id="89"/>
      <w:r>
        <w:rPr>
          <w:rFonts w:hint="eastAsia"/>
          <w:sz w:val="21"/>
          <w:szCs w:val="21"/>
        </w:rPr>
        <w:t>份，若某笔赎回导致单个交易账户的某一类别基金份额余额少于</w:t>
      </w:r>
      <w:bookmarkStart w:id="90" w:name="field_59_minholdshare_2"/>
      <w:r>
        <w:rPr>
          <w:sz w:val="21"/>
          <w:szCs w:val="21"/>
        </w:rPr>
        <w:t>1</w:t>
      </w:r>
      <w:bookmarkEnd w:id="90"/>
      <w:r>
        <w:rPr>
          <w:rFonts w:hint="eastAsia"/>
          <w:sz w:val="21"/>
          <w:szCs w:val="21"/>
        </w:rPr>
        <w:t xml:space="preserve">份时，该类基金份额余额部分基金份额必须一同赎回； </w:t>
      </w:r>
    </w:p>
    <w:p w14:paraId="13270544">
      <w:pPr>
        <w:pStyle w:val="8"/>
        <w:spacing w:before="0" w:beforeAutospacing="0" w:after="0" w:afterAutospacing="0" w:line="360" w:lineRule="auto"/>
        <w:ind w:firstLine="420"/>
        <w:rPr>
          <w:sz w:val="21"/>
          <w:szCs w:val="21"/>
        </w:rPr>
      </w:pPr>
      <w:r>
        <w:rPr>
          <w:rFonts w:hint="eastAsia"/>
          <w:sz w:val="21"/>
          <w:szCs w:val="21"/>
        </w:rPr>
        <w:t>3、投资人通过销售机构赎回基金份额时，本基金单笔某一类基金份额赎回申请不得低于</w:t>
      </w:r>
      <w:bookmarkStart w:id="91" w:name="field_59_minholdshare_3"/>
      <w:r>
        <w:rPr>
          <w:sz w:val="21"/>
          <w:szCs w:val="21"/>
        </w:rPr>
        <w:t>1</w:t>
      </w:r>
      <w:bookmarkEnd w:id="91"/>
      <w:r>
        <w:rPr>
          <w:rFonts w:hint="eastAsia"/>
          <w:sz w:val="21"/>
          <w:szCs w:val="21"/>
        </w:rPr>
        <w:t>份，若投资者单个交易账户持有的某类基金份额余额不足</w:t>
      </w:r>
      <w:bookmarkStart w:id="92" w:name="field_59_minholdshare_4"/>
      <w:r>
        <w:rPr>
          <w:sz w:val="21"/>
          <w:szCs w:val="21"/>
        </w:rPr>
        <w:t>1</w:t>
      </w:r>
      <w:bookmarkEnd w:id="92"/>
      <w:r>
        <w:rPr>
          <w:rFonts w:hint="eastAsia"/>
          <w:sz w:val="21"/>
          <w:szCs w:val="21"/>
        </w:rPr>
        <w:t xml:space="preserve">份，将不受此限制，但投资者在提交赎回申请时须将该类基金份额全部赎回。各销售机构在符合上述规定的前提下，可根据自己的情况调整单笔赎回申请限制，具体以销售机构公布的为准，投资人需遵循销售机构的相关规定； </w:t>
      </w:r>
    </w:p>
    <w:p w14:paraId="269FAB96">
      <w:pPr>
        <w:pStyle w:val="8"/>
        <w:spacing w:before="0" w:beforeAutospacing="0" w:after="0" w:afterAutospacing="0" w:line="360" w:lineRule="auto"/>
        <w:ind w:firstLine="420"/>
        <w:rPr>
          <w:sz w:val="21"/>
          <w:szCs w:val="21"/>
        </w:rPr>
      </w:pPr>
      <w:r>
        <w:rPr>
          <w:rFonts w:hint="eastAsia"/>
          <w:sz w:val="21"/>
          <w:szCs w:val="21"/>
        </w:rPr>
        <w:t xml:space="preserve">4、本基金目前对单个投资人累计持有份额不设上限限制，但法律法规或监管机构另有规定或基金合同另有约定的除外。将来，基金管理人可以规定单个投资者累计持有的基金份额数量限制，具体规定见更新的招募说明书或相关公告； </w:t>
      </w:r>
    </w:p>
    <w:p w14:paraId="41F4A754">
      <w:pPr>
        <w:pStyle w:val="8"/>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0E3808AE">
      <w:pPr>
        <w:pStyle w:val="8"/>
        <w:spacing w:before="0" w:beforeAutospacing="0" w:after="0" w:afterAutospacing="0" w:line="360" w:lineRule="auto"/>
        <w:ind w:firstLine="420"/>
        <w:rPr>
          <w:sz w:val="21"/>
          <w:szCs w:val="21"/>
        </w:rPr>
      </w:pPr>
      <w:r>
        <w:rPr>
          <w:rFonts w:hint="eastAsia"/>
          <w:sz w:val="21"/>
          <w:szCs w:val="21"/>
        </w:rPr>
        <w:t xml:space="preserve">6、基金管理人可在不违反法律法规的情况下，调整上述规定申购金额和赎回份额等数量限制。基金管理人必须在调整实施前依照《信息披露办法》的有关规定在规定媒介上公告。 </w:t>
      </w:r>
    </w:p>
    <w:p w14:paraId="1AAC271B">
      <w:pPr>
        <w:pStyle w:val="8"/>
        <w:spacing w:before="0" w:beforeAutospacing="0" w:after="0" w:afterAutospacing="0" w:line="360" w:lineRule="auto"/>
        <w:ind w:firstLine="420"/>
        <w:rPr>
          <w:sz w:val="21"/>
          <w:szCs w:val="21"/>
        </w:rPr>
      </w:pPr>
      <w:r>
        <w:rPr>
          <w:rStyle w:val="12"/>
          <w:rFonts w:hint="eastAsia"/>
          <w:sz w:val="21"/>
          <w:szCs w:val="21"/>
        </w:rPr>
        <w:t>五、申购与赎回的程序</w:t>
      </w:r>
    </w:p>
    <w:p w14:paraId="1899A188">
      <w:pPr>
        <w:pStyle w:val="8"/>
        <w:spacing w:before="0" w:beforeAutospacing="0" w:after="0" w:afterAutospacing="0" w:line="360" w:lineRule="auto"/>
        <w:ind w:firstLine="420"/>
        <w:rPr>
          <w:sz w:val="21"/>
          <w:szCs w:val="21"/>
        </w:rPr>
      </w:pPr>
      <w:r>
        <w:rPr>
          <w:rFonts w:hint="eastAsia"/>
          <w:sz w:val="21"/>
          <w:szCs w:val="21"/>
        </w:rPr>
        <w:t xml:space="preserve">1、申购和赎回的申请方式 </w:t>
      </w:r>
    </w:p>
    <w:p w14:paraId="28E37514">
      <w:pPr>
        <w:pStyle w:val="8"/>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24F096BA">
      <w:pPr>
        <w:pStyle w:val="8"/>
        <w:spacing w:before="0" w:beforeAutospacing="0" w:after="0" w:afterAutospacing="0" w:line="360" w:lineRule="auto"/>
        <w:ind w:firstLine="420"/>
        <w:rPr>
          <w:sz w:val="21"/>
          <w:szCs w:val="21"/>
        </w:rPr>
      </w:pPr>
      <w:r>
        <w:rPr>
          <w:rFonts w:hint="eastAsia"/>
          <w:sz w:val="21"/>
          <w:szCs w:val="21"/>
        </w:rPr>
        <w:t xml:space="preserve">2、申购和赎回的款项支付 </w:t>
      </w:r>
    </w:p>
    <w:p w14:paraId="5AD6E5BF">
      <w:pPr>
        <w:pStyle w:val="8"/>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70279675">
      <w:pPr>
        <w:pStyle w:val="8"/>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基金合同约定的其他暂停赎回或延缓支付赎回款项的情形时，款项的支付办法参照基金合同有关条款处理。 </w:t>
      </w:r>
    </w:p>
    <w:p w14:paraId="696D31D4">
      <w:pPr>
        <w:pStyle w:val="8"/>
        <w:spacing w:before="0" w:beforeAutospacing="0" w:after="0" w:afterAutospacing="0" w:line="360" w:lineRule="auto"/>
        <w:ind w:firstLine="420"/>
        <w:rPr>
          <w:sz w:val="21"/>
          <w:szCs w:val="21"/>
        </w:rPr>
      </w:pPr>
      <w:r>
        <w:rPr>
          <w:rFonts w:hint="eastAsia"/>
          <w:sz w:val="21"/>
          <w:szCs w:val="21"/>
        </w:rPr>
        <w:t xml:space="preserve">如遇交易所或交易市场数据传输延迟、通讯系统故障、银行数据交换系统故障、港股通交易系统故障或港股通资金交收规则限制或其他非基金管理人及基金托管人所能控制的因素影响了业务流程，则赎回款项划付时间相应顺延至该因素消除的最近一个工作日。 </w:t>
      </w:r>
    </w:p>
    <w:p w14:paraId="500A5784">
      <w:pPr>
        <w:pStyle w:val="8"/>
        <w:spacing w:before="0" w:beforeAutospacing="0" w:after="0" w:afterAutospacing="0" w:line="360" w:lineRule="auto"/>
        <w:ind w:firstLine="420"/>
        <w:rPr>
          <w:sz w:val="21"/>
          <w:szCs w:val="21"/>
        </w:rPr>
      </w:pPr>
      <w:r>
        <w:rPr>
          <w:rFonts w:hint="eastAsia"/>
          <w:sz w:val="21"/>
          <w:szCs w:val="21"/>
        </w:rPr>
        <w:t xml:space="preserve">3、申购和赎回申请的确认 </w:t>
      </w:r>
    </w:p>
    <w:p w14:paraId="0DC3A842">
      <w:pPr>
        <w:pStyle w:val="8"/>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465FD0E8">
      <w:pPr>
        <w:pStyle w:val="8"/>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74DE4084">
      <w:pPr>
        <w:pStyle w:val="8"/>
        <w:spacing w:before="0" w:beforeAutospacing="0" w:after="0" w:afterAutospacing="0" w:line="360" w:lineRule="auto"/>
        <w:ind w:firstLine="420"/>
        <w:rPr>
          <w:sz w:val="21"/>
          <w:szCs w:val="21"/>
        </w:rPr>
      </w:pPr>
      <w:r>
        <w:rPr>
          <w:rFonts w:hint="eastAsia"/>
          <w:sz w:val="21"/>
          <w:szCs w:val="21"/>
        </w:rPr>
        <w:t xml:space="preserve">基金管理人可以在不违反法律法规和基金合同的范围内，对上述业务办理时间进行调整，并在调整实施前依照《信息披露办法》的有关规定在规定媒介上公告。 </w:t>
      </w:r>
    </w:p>
    <w:p w14:paraId="5741018D">
      <w:pPr>
        <w:pStyle w:val="8"/>
        <w:spacing w:before="0" w:beforeAutospacing="0" w:after="0" w:afterAutospacing="0" w:line="360" w:lineRule="auto"/>
        <w:ind w:firstLine="420"/>
        <w:rPr>
          <w:sz w:val="21"/>
          <w:szCs w:val="21"/>
        </w:rPr>
      </w:pPr>
      <w:r>
        <w:rPr>
          <w:rStyle w:val="12"/>
          <w:rFonts w:hint="eastAsia"/>
          <w:sz w:val="21"/>
          <w:szCs w:val="21"/>
        </w:rPr>
        <w:t>六、申购费率、赎回费率</w:t>
      </w:r>
    </w:p>
    <w:p w14:paraId="16564CC1">
      <w:pPr>
        <w:pStyle w:val="8"/>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14:paraId="688A8D82">
      <w:pPr>
        <w:pStyle w:val="8"/>
        <w:spacing w:before="0" w:beforeAutospacing="0" w:after="0" w:afterAutospacing="0" w:line="360" w:lineRule="auto"/>
        <w:ind w:firstLine="420"/>
        <w:rPr>
          <w:sz w:val="21"/>
          <w:szCs w:val="21"/>
        </w:rPr>
      </w:pPr>
      <w:r>
        <w:rPr>
          <w:rFonts w:hint="eastAsia"/>
          <w:sz w:val="21"/>
          <w:szCs w:val="21"/>
        </w:rPr>
        <w:t xml:space="preserve">本基金A类基金份额收取申购费用，C类基金份额不收取申购费用。投资者的申购费用如下： </w:t>
      </w:r>
    </w:p>
    <w:p w14:paraId="00BC2FEB">
      <w:pPr>
        <w:pStyle w:val="8"/>
        <w:spacing w:before="0" w:beforeAutospacing="0" w:after="0" w:afterAutospacing="0" w:line="360" w:lineRule="auto"/>
        <w:ind w:firstLine="420"/>
        <w:rPr>
          <w:sz w:val="21"/>
          <w:szCs w:val="21"/>
        </w:rPr>
      </w:pPr>
      <w:r>
        <w:rPr>
          <w:rFonts w:hint="eastAsia"/>
          <w:sz w:val="21"/>
          <w:szCs w:val="21"/>
        </w:rPr>
        <w:t xml:space="preserve">表1：本基金A、C类基金份额的申购费率表 </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4"/>
        <w:gridCol w:w="3156"/>
        <w:gridCol w:w="3156"/>
      </w:tblGrid>
      <w:tr w14:paraId="19ECF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F43972">
            <w:pPr>
              <w:jc w:val="center"/>
              <w:rPr>
                <w:rFonts w:ascii="宋体" w:hAnsi="宋体" w:eastAsia="宋体" w:cs="宋体"/>
                <w:sz w:val="24"/>
                <w:szCs w:val="24"/>
              </w:rPr>
            </w:pPr>
            <w:r>
              <w:rPr>
                <w:rFonts w:hint="eastAsia" w:ascii="宋体" w:hAnsi="宋体" w:eastAsia="宋体"/>
              </w:rPr>
              <w:t xml:space="preserve">申购金额（M） </w:t>
            </w:r>
          </w:p>
        </w:tc>
        <w:tc>
          <w:tcPr>
            <w:tcW w:w="0" w:type="auto"/>
            <w:shd w:val="clear" w:color="auto" w:fill="auto"/>
          </w:tcPr>
          <w:p w14:paraId="450369C2">
            <w:pPr>
              <w:jc w:val="center"/>
              <w:rPr>
                <w:rFonts w:ascii="宋体" w:hAnsi="宋体" w:eastAsia="宋体" w:cs="宋体"/>
                <w:sz w:val="24"/>
                <w:szCs w:val="24"/>
              </w:rPr>
            </w:pPr>
            <w:r>
              <w:rPr>
                <w:rFonts w:hint="eastAsia" w:ascii="宋体" w:hAnsi="宋体" w:eastAsia="宋体"/>
              </w:rPr>
              <w:t xml:space="preserve">A类基金份额申购费率 </w:t>
            </w:r>
          </w:p>
        </w:tc>
        <w:tc>
          <w:tcPr>
            <w:tcW w:w="0" w:type="auto"/>
            <w:shd w:val="clear" w:color="auto" w:fill="auto"/>
          </w:tcPr>
          <w:p w14:paraId="408EC996">
            <w:pPr>
              <w:jc w:val="center"/>
              <w:rPr>
                <w:rFonts w:ascii="宋体" w:hAnsi="宋体" w:eastAsia="宋体" w:cs="宋体"/>
                <w:sz w:val="24"/>
                <w:szCs w:val="24"/>
              </w:rPr>
            </w:pPr>
            <w:r>
              <w:rPr>
                <w:rFonts w:hint="eastAsia" w:ascii="宋体" w:hAnsi="宋体" w:eastAsia="宋体"/>
              </w:rPr>
              <w:t xml:space="preserve">C类基金份额申购费率 </w:t>
            </w:r>
          </w:p>
        </w:tc>
      </w:tr>
      <w:tr w14:paraId="1C1F7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EDE2DD">
            <w:pPr>
              <w:jc w:val="center"/>
              <w:rPr>
                <w:rFonts w:ascii="宋体" w:hAnsi="宋体" w:eastAsia="宋体" w:cs="宋体"/>
                <w:sz w:val="24"/>
                <w:szCs w:val="24"/>
              </w:rPr>
            </w:pPr>
            <w:r>
              <w:rPr>
                <w:rFonts w:hint="eastAsia" w:ascii="宋体" w:hAnsi="宋体" w:eastAsia="宋体"/>
              </w:rPr>
              <w:t xml:space="preserve">M＜500万元 </w:t>
            </w:r>
          </w:p>
        </w:tc>
        <w:tc>
          <w:tcPr>
            <w:tcW w:w="0" w:type="auto"/>
            <w:shd w:val="clear" w:color="auto" w:fill="auto"/>
          </w:tcPr>
          <w:p w14:paraId="09383025">
            <w:pPr>
              <w:jc w:val="center"/>
              <w:rPr>
                <w:rFonts w:ascii="宋体" w:hAnsi="宋体" w:eastAsia="宋体" w:cs="宋体"/>
                <w:sz w:val="24"/>
                <w:szCs w:val="24"/>
              </w:rPr>
            </w:pPr>
            <w:r>
              <w:rPr>
                <w:rFonts w:hint="eastAsia" w:ascii="宋体" w:hAnsi="宋体" w:eastAsia="宋体"/>
              </w:rPr>
              <w:t xml:space="preserve">1.50% </w:t>
            </w:r>
          </w:p>
        </w:tc>
        <w:tc>
          <w:tcPr>
            <w:tcW w:w="0" w:type="auto"/>
            <w:vMerge w:val="restart"/>
            <w:shd w:val="clear" w:color="auto" w:fill="auto"/>
          </w:tcPr>
          <w:p w14:paraId="4BDE4BC5">
            <w:pPr>
              <w:jc w:val="center"/>
              <w:rPr>
                <w:rFonts w:ascii="宋体" w:hAnsi="宋体" w:eastAsia="宋体" w:cs="宋体"/>
                <w:sz w:val="24"/>
                <w:szCs w:val="24"/>
              </w:rPr>
            </w:pPr>
            <w:r>
              <w:rPr>
                <w:rFonts w:hint="eastAsia" w:ascii="宋体" w:hAnsi="宋体" w:eastAsia="宋体"/>
              </w:rPr>
              <w:t xml:space="preserve">0.00% </w:t>
            </w:r>
          </w:p>
        </w:tc>
      </w:tr>
      <w:tr w14:paraId="2DE25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49CF3F">
            <w:pPr>
              <w:jc w:val="center"/>
              <w:rPr>
                <w:rFonts w:ascii="宋体" w:hAnsi="宋体" w:eastAsia="宋体" w:cs="宋体"/>
                <w:sz w:val="24"/>
                <w:szCs w:val="24"/>
              </w:rPr>
            </w:pPr>
            <w:r>
              <w:rPr>
                <w:rFonts w:hint="eastAsia" w:ascii="宋体" w:hAnsi="宋体" w:eastAsia="宋体"/>
              </w:rPr>
              <w:t xml:space="preserve">M≥500万元 </w:t>
            </w:r>
          </w:p>
        </w:tc>
        <w:tc>
          <w:tcPr>
            <w:tcW w:w="0" w:type="auto"/>
            <w:shd w:val="clear" w:color="auto" w:fill="auto"/>
          </w:tcPr>
          <w:p w14:paraId="3D9B71DD">
            <w:pPr>
              <w:jc w:val="center"/>
              <w:rPr>
                <w:rFonts w:ascii="宋体" w:hAnsi="宋体" w:eastAsia="宋体" w:cs="宋体"/>
                <w:sz w:val="24"/>
                <w:szCs w:val="24"/>
              </w:rPr>
            </w:pPr>
            <w:r>
              <w:rPr>
                <w:rFonts w:hint="eastAsia" w:ascii="宋体" w:hAnsi="宋体" w:eastAsia="宋体"/>
              </w:rPr>
              <w:t xml:space="preserve">1000元/笔 </w:t>
            </w:r>
          </w:p>
        </w:tc>
        <w:tc>
          <w:tcPr>
            <w:tcW w:w="0" w:type="auto"/>
            <w:vMerge w:val="continue"/>
            <w:shd w:val="clear" w:color="auto" w:fill="auto"/>
          </w:tcPr>
          <w:p w14:paraId="3FA58299">
            <w:pPr>
              <w:rPr>
                <w:rFonts w:ascii="宋体" w:hAnsi="宋体" w:eastAsia="宋体" w:cs="宋体"/>
                <w:sz w:val="24"/>
                <w:szCs w:val="24"/>
              </w:rPr>
            </w:pPr>
          </w:p>
        </w:tc>
      </w:tr>
    </w:tbl>
    <w:p w14:paraId="7578CC48">
      <w:pPr>
        <w:pStyle w:val="8"/>
        <w:spacing w:before="0" w:beforeAutospacing="0" w:after="0" w:afterAutospacing="0" w:line="360" w:lineRule="auto"/>
        <w:ind w:firstLine="420"/>
        <w:rPr>
          <w:sz w:val="21"/>
          <w:szCs w:val="21"/>
        </w:rPr>
      </w:pPr>
      <w:r>
        <w:rPr>
          <w:rFonts w:hint="eastAsia"/>
          <w:sz w:val="21"/>
          <w:szCs w:val="21"/>
        </w:rPr>
        <w:t xml:space="preserve">本基金A类基金份额的申购费用由投资人承担，主要用于本基金的市场推广、销售、登记等各项费用，不列入基金财产。 </w:t>
      </w:r>
    </w:p>
    <w:p w14:paraId="7B5B14B3">
      <w:pPr>
        <w:pStyle w:val="8"/>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6E28F4FB">
      <w:pPr>
        <w:pStyle w:val="8"/>
        <w:spacing w:before="0" w:beforeAutospacing="0" w:after="0" w:afterAutospacing="0" w:line="360" w:lineRule="auto"/>
        <w:ind w:firstLine="420"/>
        <w:rPr>
          <w:sz w:val="21"/>
          <w:szCs w:val="21"/>
        </w:rPr>
      </w:pPr>
      <w:r>
        <w:rPr>
          <w:rFonts w:hint="eastAsia"/>
          <w:sz w:val="21"/>
          <w:szCs w:val="21"/>
        </w:rPr>
        <w:t xml:space="preserve">2、本基金赎回费率 </w:t>
      </w:r>
    </w:p>
    <w:p w14:paraId="103119CF">
      <w:pPr>
        <w:pStyle w:val="8"/>
        <w:spacing w:before="0" w:beforeAutospacing="0" w:after="0" w:afterAutospacing="0" w:line="360" w:lineRule="auto"/>
        <w:ind w:firstLine="420"/>
        <w:rPr>
          <w:sz w:val="21"/>
          <w:szCs w:val="21"/>
        </w:rPr>
      </w:pPr>
      <w:r>
        <w:rPr>
          <w:rFonts w:hint="eastAsia"/>
          <w:sz w:val="21"/>
          <w:szCs w:val="21"/>
        </w:rPr>
        <w:t xml:space="preserve">表2：本基金A、C类基金份额的赎回费率表 </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4"/>
        <w:gridCol w:w="3051"/>
        <w:gridCol w:w="3051"/>
      </w:tblGrid>
      <w:tr w14:paraId="688DA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7B23DE">
            <w:pPr>
              <w:jc w:val="center"/>
              <w:rPr>
                <w:rFonts w:ascii="宋体" w:hAnsi="宋体" w:eastAsia="宋体" w:cs="宋体"/>
                <w:sz w:val="24"/>
                <w:szCs w:val="24"/>
              </w:rPr>
            </w:pPr>
            <w:r>
              <w:rPr>
                <w:rFonts w:hint="eastAsia" w:ascii="宋体" w:hAnsi="宋体" w:eastAsia="宋体"/>
              </w:rPr>
              <w:t xml:space="preserve">持有期（Y） </w:t>
            </w:r>
          </w:p>
        </w:tc>
        <w:tc>
          <w:tcPr>
            <w:tcW w:w="0" w:type="auto"/>
            <w:shd w:val="clear" w:color="auto" w:fill="auto"/>
          </w:tcPr>
          <w:p w14:paraId="0AB4363B">
            <w:pPr>
              <w:jc w:val="center"/>
              <w:rPr>
                <w:rFonts w:ascii="宋体" w:hAnsi="宋体" w:eastAsia="宋体" w:cs="宋体"/>
                <w:sz w:val="24"/>
                <w:szCs w:val="24"/>
              </w:rPr>
            </w:pPr>
            <w:r>
              <w:rPr>
                <w:rFonts w:hint="eastAsia" w:ascii="宋体" w:hAnsi="宋体" w:eastAsia="宋体"/>
              </w:rPr>
              <w:t xml:space="preserve">A类基金份额赎回费率 </w:t>
            </w:r>
          </w:p>
        </w:tc>
        <w:tc>
          <w:tcPr>
            <w:tcW w:w="0" w:type="auto"/>
            <w:shd w:val="clear" w:color="auto" w:fill="auto"/>
          </w:tcPr>
          <w:p w14:paraId="1059DAC1">
            <w:pPr>
              <w:jc w:val="center"/>
              <w:rPr>
                <w:rFonts w:ascii="宋体" w:hAnsi="宋体" w:eastAsia="宋体" w:cs="宋体"/>
                <w:sz w:val="24"/>
                <w:szCs w:val="24"/>
              </w:rPr>
            </w:pPr>
            <w:r>
              <w:rPr>
                <w:rFonts w:hint="eastAsia" w:ascii="宋体" w:hAnsi="宋体" w:eastAsia="宋体"/>
              </w:rPr>
              <w:t xml:space="preserve">C类基金份额赎回费率 </w:t>
            </w:r>
          </w:p>
        </w:tc>
      </w:tr>
      <w:tr w14:paraId="4EFBF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FC848D">
            <w:pPr>
              <w:jc w:val="center"/>
              <w:rPr>
                <w:rFonts w:ascii="宋体" w:hAnsi="宋体" w:eastAsia="宋体" w:cs="宋体"/>
                <w:sz w:val="24"/>
                <w:szCs w:val="24"/>
              </w:rPr>
            </w:pPr>
            <w:r>
              <w:rPr>
                <w:rFonts w:hint="eastAsia" w:ascii="宋体" w:hAnsi="宋体" w:eastAsia="宋体"/>
              </w:rPr>
              <w:t xml:space="preserve">Y＜7日 </w:t>
            </w:r>
          </w:p>
        </w:tc>
        <w:tc>
          <w:tcPr>
            <w:tcW w:w="0" w:type="auto"/>
            <w:shd w:val="clear" w:color="auto" w:fill="auto"/>
          </w:tcPr>
          <w:p w14:paraId="2109B59D">
            <w:pPr>
              <w:jc w:val="center"/>
              <w:rPr>
                <w:rFonts w:ascii="宋体" w:hAnsi="宋体" w:eastAsia="宋体" w:cs="宋体"/>
                <w:sz w:val="24"/>
                <w:szCs w:val="24"/>
              </w:rPr>
            </w:pPr>
            <w:r>
              <w:rPr>
                <w:rFonts w:hint="eastAsia" w:ascii="宋体" w:hAnsi="宋体" w:eastAsia="宋体"/>
              </w:rPr>
              <w:t xml:space="preserve">1.50% </w:t>
            </w:r>
          </w:p>
        </w:tc>
        <w:tc>
          <w:tcPr>
            <w:tcW w:w="0" w:type="auto"/>
            <w:shd w:val="clear" w:color="auto" w:fill="auto"/>
          </w:tcPr>
          <w:p w14:paraId="6FA1526D">
            <w:pPr>
              <w:jc w:val="center"/>
              <w:rPr>
                <w:rFonts w:ascii="宋体" w:hAnsi="宋体" w:eastAsia="宋体" w:cs="宋体"/>
                <w:sz w:val="24"/>
                <w:szCs w:val="24"/>
              </w:rPr>
            </w:pPr>
            <w:r>
              <w:rPr>
                <w:rFonts w:hint="eastAsia" w:ascii="宋体" w:hAnsi="宋体" w:eastAsia="宋体"/>
              </w:rPr>
              <w:t xml:space="preserve">1.50% </w:t>
            </w:r>
          </w:p>
        </w:tc>
      </w:tr>
      <w:tr w14:paraId="6AA4D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858119">
            <w:pPr>
              <w:jc w:val="center"/>
              <w:rPr>
                <w:rFonts w:ascii="宋体" w:hAnsi="宋体" w:eastAsia="宋体" w:cs="宋体"/>
                <w:sz w:val="24"/>
                <w:szCs w:val="24"/>
              </w:rPr>
            </w:pPr>
            <w:r>
              <w:rPr>
                <w:rFonts w:hint="eastAsia" w:ascii="宋体" w:hAnsi="宋体" w:eastAsia="宋体"/>
              </w:rPr>
              <w:t xml:space="preserve">7日≤Y＜30日 </w:t>
            </w:r>
          </w:p>
        </w:tc>
        <w:tc>
          <w:tcPr>
            <w:tcW w:w="0" w:type="auto"/>
            <w:shd w:val="clear" w:color="auto" w:fill="auto"/>
          </w:tcPr>
          <w:p w14:paraId="27C703FA">
            <w:pPr>
              <w:jc w:val="center"/>
              <w:rPr>
                <w:rFonts w:ascii="宋体" w:hAnsi="宋体" w:eastAsia="宋体" w:cs="宋体"/>
                <w:sz w:val="24"/>
                <w:szCs w:val="24"/>
              </w:rPr>
            </w:pPr>
            <w:r>
              <w:rPr>
                <w:rFonts w:hint="eastAsia" w:ascii="宋体" w:hAnsi="宋体" w:eastAsia="宋体"/>
              </w:rPr>
              <w:t xml:space="preserve">0.75% </w:t>
            </w:r>
          </w:p>
        </w:tc>
        <w:tc>
          <w:tcPr>
            <w:tcW w:w="0" w:type="auto"/>
            <w:shd w:val="clear" w:color="auto" w:fill="auto"/>
          </w:tcPr>
          <w:p w14:paraId="796B01F3">
            <w:pPr>
              <w:jc w:val="center"/>
              <w:rPr>
                <w:rFonts w:ascii="宋体" w:hAnsi="宋体" w:eastAsia="宋体" w:cs="宋体"/>
                <w:sz w:val="24"/>
                <w:szCs w:val="24"/>
              </w:rPr>
            </w:pPr>
            <w:r>
              <w:rPr>
                <w:rFonts w:hint="eastAsia" w:ascii="宋体" w:hAnsi="宋体" w:eastAsia="宋体"/>
              </w:rPr>
              <w:t xml:space="preserve">0.50% </w:t>
            </w:r>
          </w:p>
        </w:tc>
      </w:tr>
      <w:tr w14:paraId="41148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B9724F">
            <w:pPr>
              <w:jc w:val="center"/>
              <w:rPr>
                <w:rFonts w:ascii="宋体" w:hAnsi="宋体" w:eastAsia="宋体" w:cs="宋体"/>
                <w:sz w:val="24"/>
                <w:szCs w:val="24"/>
              </w:rPr>
            </w:pPr>
            <w:r>
              <w:rPr>
                <w:rFonts w:hint="eastAsia" w:ascii="宋体" w:hAnsi="宋体" w:eastAsia="宋体"/>
              </w:rPr>
              <w:t xml:space="preserve">30日≤Y＜6个月 </w:t>
            </w:r>
          </w:p>
        </w:tc>
        <w:tc>
          <w:tcPr>
            <w:tcW w:w="0" w:type="auto"/>
            <w:shd w:val="clear" w:color="auto" w:fill="auto"/>
          </w:tcPr>
          <w:p w14:paraId="543E7EEB">
            <w:pPr>
              <w:jc w:val="center"/>
              <w:rPr>
                <w:rFonts w:ascii="宋体" w:hAnsi="宋体" w:eastAsia="宋体" w:cs="宋体"/>
                <w:sz w:val="24"/>
                <w:szCs w:val="24"/>
              </w:rPr>
            </w:pPr>
            <w:r>
              <w:rPr>
                <w:rFonts w:hint="eastAsia" w:ascii="宋体" w:hAnsi="宋体" w:eastAsia="宋体"/>
              </w:rPr>
              <w:t xml:space="preserve">0.50% </w:t>
            </w:r>
          </w:p>
        </w:tc>
        <w:tc>
          <w:tcPr>
            <w:tcW w:w="0" w:type="auto"/>
            <w:vMerge w:val="restart"/>
            <w:shd w:val="clear" w:color="auto" w:fill="auto"/>
          </w:tcPr>
          <w:p w14:paraId="213E9624">
            <w:pPr>
              <w:jc w:val="center"/>
              <w:rPr>
                <w:rFonts w:ascii="宋体" w:hAnsi="宋体" w:eastAsia="宋体" w:cs="宋体"/>
                <w:sz w:val="24"/>
                <w:szCs w:val="24"/>
              </w:rPr>
            </w:pPr>
            <w:r>
              <w:rPr>
                <w:rFonts w:hint="eastAsia" w:ascii="宋体" w:hAnsi="宋体" w:eastAsia="宋体"/>
              </w:rPr>
              <w:t xml:space="preserve">0.00% </w:t>
            </w:r>
          </w:p>
        </w:tc>
      </w:tr>
      <w:tr w14:paraId="4DBB1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5CFB37B">
            <w:pPr>
              <w:jc w:val="center"/>
              <w:rPr>
                <w:rFonts w:ascii="宋体" w:hAnsi="宋体" w:eastAsia="宋体" w:cs="宋体"/>
                <w:sz w:val="24"/>
                <w:szCs w:val="24"/>
              </w:rPr>
            </w:pPr>
            <w:r>
              <w:rPr>
                <w:rFonts w:hint="eastAsia" w:ascii="宋体" w:hAnsi="宋体" w:eastAsia="宋体"/>
              </w:rPr>
              <w:t xml:space="preserve">Y≥6个月 </w:t>
            </w:r>
          </w:p>
        </w:tc>
        <w:tc>
          <w:tcPr>
            <w:tcW w:w="0" w:type="auto"/>
            <w:shd w:val="clear" w:color="auto" w:fill="auto"/>
          </w:tcPr>
          <w:p w14:paraId="525894C7">
            <w:pPr>
              <w:jc w:val="center"/>
              <w:rPr>
                <w:rFonts w:ascii="宋体" w:hAnsi="宋体" w:eastAsia="宋体" w:cs="宋体"/>
                <w:sz w:val="24"/>
                <w:szCs w:val="24"/>
              </w:rPr>
            </w:pPr>
            <w:r>
              <w:rPr>
                <w:rFonts w:hint="eastAsia" w:ascii="宋体" w:hAnsi="宋体" w:eastAsia="宋体"/>
              </w:rPr>
              <w:t xml:space="preserve">0.00% </w:t>
            </w:r>
          </w:p>
        </w:tc>
        <w:tc>
          <w:tcPr>
            <w:tcW w:w="0" w:type="auto"/>
            <w:vMerge w:val="continue"/>
            <w:shd w:val="clear" w:color="auto" w:fill="auto"/>
          </w:tcPr>
          <w:p w14:paraId="71E0DD71">
            <w:pPr>
              <w:rPr>
                <w:rFonts w:ascii="宋体" w:hAnsi="宋体" w:eastAsia="宋体" w:cs="宋体"/>
                <w:sz w:val="24"/>
                <w:szCs w:val="24"/>
              </w:rPr>
            </w:pPr>
          </w:p>
        </w:tc>
      </w:tr>
    </w:tbl>
    <w:p w14:paraId="7A4F9CD0">
      <w:pPr>
        <w:pStyle w:val="8"/>
        <w:spacing w:before="0" w:beforeAutospacing="0" w:after="0" w:afterAutospacing="0" w:line="360" w:lineRule="auto"/>
        <w:ind w:firstLine="420"/>
        <w:rPr>
          <w:sz w:val="21"/>
          <w:szCs w:val="21"/>
        </w:rPr>
      </w:pPr>
      <w:r>
        <w:rPr>
          <w:rFonts w:hint="eastAsia"/>
          <w:sz w:val="21"/>
          <w:szCs w:val="21"/>
        </w:rPr>
        <w:t xml:space="preserve">注：1个月指30日 </w:t>
      </w:r>
    </w:p>
    <w:p w14:paraId="46DADDFD">
      <w:pPr>
        <w:pStyle w:val="8"/>
        <w:spacing w:before="0" w:beforeAutospacing="0" w:after="0" w:afterAutospacing="0" w:line="360" w:lineRule="auto"/>
        <w:ind w:firstLine="420"/>
        <w:rPr>
          <w:sz w:val="21"/>
          <w:szCs w:val="21"/>
        </w:rPr>
      </w:pPr>
      <w:r>
        <w:rPr>
          <w:rFonts w:hint="eastAsia"/>
          <w:sz w:val="21"/>
          <w:szCs w:val="21"/>
        </w:rPr>
        <w:t xml:space="preserve">本基金赎回费用由赎回基金份额的基金份额持有人承担，在基金份额持有人赎回基金份额时收取。对于A类基金份额，本基金对持续持有期少于30日的投资人收取的赎回费，全额计入基金资产；对持续持有期不少于30日但少于3个月的投资人收取的赎回费，75%计入基金资产；对持续持有期不少于3个月但少于6个月的投资人收取的赎回费，50%计入基金资产。对于C类基金份额，对持续持有期少于30日的投资人收取的赎回费全额计入基金财产。赎回费未归入基金财产的部分用于支付登记费和其他必要的手续费。 </w:t>
      </w:r>
    </w:p>
    <w:p w14:paraId="56B7C8D5">
      <w:pPr>
        <w:pStyle w:val="8"/>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4118D47E">
      <w:pPr>
        <w:pStyle w:val="8"/>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3、基金管理人可以在基金合同约定的范围内调整费率或收费方式，并最迟应于新的费率或收费方式实施日前依照《信息披露办法》的有关规定在规定媒介上公告。 </w:t>
      </w:r>
    </w:p>
    <w:p w14:paraId="1CFB66C4">
      <w:pPr>
        <w:pStyle w:val="8"/>
        <w:spacing w:before="0" w:beforeAutospacing="0" w:after="0" w:afterAutospacing="0" w:line="360" w:lineRule="auto"/>
        <w:ind w:firstLine="420"/>
        <w:rPr>
          <w:sz w:val="21"/>
          <w:szCs w:val="21"/>
        </w:rPr>
      </w:pPr>
      <w:r>
        <w:rPr>
          <w:rStyle w:val="12"/>
          <w:rFonts w:hint="eastAsia"/>
          <w:sz w:val="21"/>
          <w:szCs w:val="21"/>
        </w:rPr>
        <w:t>七、申购份额与赎回金额的计算方式</w:t>
      </w:r>
    </w:p>
    <w:p w14:paraId="6E922394">
      <w:pPr>
        <w:pStyle w:val="8"/>
        <w:spacing w:before="0" w:beforeAutospacing="0" w:after="0" w:afterAutospacing="0" w:line="360" w:lineRule="auto"/>
        <w:ind w:firstLine="420"/>
        <w:rPr>
          <w:sz w:val="21"/>
          <w:szCs w:val="21"/>
        </w:rPr>
      </w:pPr>
      <w:r>
        <w:rPr>
          <w:rFonts w:hint="eastAsia"/>
          <w:sz w:val="21"/>
          <w:szCs w:val="21"/>
        </w:rPr>
        <w:t xml:space="preserve">1、申购金额的计算方式： </w:t>
      </w:r>
    </w:p>
    <w:p w14:paraId="0D9BADF1">
      <w:pPr>
        <w:pStyle w:val="8"/>
        <w:spacing w:before="0" w:beforeAutospacing="0" w:after="0" w:afterAutospacing="0" w:line="360" w:lineRule="auto"/>
        <w:ind w:firstLine="420"/>
        <w:rPr>
          <w:sz w:val="21"/>
          <w:szCs w:val="21"/>
        </w:rPr>
      </w:pPr>
      <w:r>
        <w:rPr>
          <w:rFonts w:hint="eastAsia"/>
          <w:sz w:val="21"/>
          <w:szCs w:val="21"/>
        </w:rPr>
        <w:t xml:space="preserve">（1）A类基金份额 </w:t>
      </w:r>
    </w:p>
    <w:p w14:paraId="20EF25FF">
      <w:pPr>
        <w:pStyle w:val="8"/>
        <w:spacing w:before="0" w:beforeAutospacing="0" w:after="0" w:afterAutospacing="0" w:line="360" w:lineRule="auto"/>
        <w:ind w:firstLine="420"/>
        <w:rPr>
          <w:sz w:val="21"/>
          <w:szCs w:val="21"/>
        </w:rPr>
      </w:pPr>
      <w:r>
        <w:rPr>
          <w:rFonts w:hint="eastAsia"/>
          <w:sz w:val="21"/>
          <w:szCs w:val="21"/>
        </w:rPr>
        <w:t xml:space="preserve">申购费用适用比例费率的情形下： </w:t>
      </w:r>
    </w:p>
    <w:p w14:paraId="53FC0042">
      <w:pPr>
        <w:pStyle w:val="8"/>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0AAE7AB7">
      <w:pPr>
        <w:pStyle w:val="8"/>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4C39406B">
      <w:pPr>
        <w:pStyle w:val="8"/>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4A049D07">
      <w:pPr>
        <w:pStyle w:val="8"/>
        <w:spacing w:before="0" w:beforeAutospacing="0" w:after="0" w:afterAutospacing="0" w:line="360" w:lineRule="auto"/>
        <w:ind w:firstLine="420"/>
        <w:rPr>
          <w:sz w:val="21"/>
          <w:szCs w:val="21"/>
        </w:rPr>
      </w:pPr>
      <w:r>
        <w:rPr>
          <w:rFonts w:hint="eastAsia"/>
          <w:sz w:val="21"/>
          <w:szCs w:val="21"/>
        </w:rPr>
        <w:t xml:space="preserve">申购费用适用固定金额的情形下： </w:t>
      </w:r>
    </w:p>
    <w:p w14:paraId="104D6695">
      <w:pPr>
        <w:pStyle w:val="8"/>
        <w:spacing w:before="0" w:beforeAutospacing="0" w:after="0" w:afterAutospacing="0" w:line="360" w:lineRule="auto"/>
        <w:ind w:firstLine="420"/>
        <w:rPr>
          <w:sz w:val="21"/>
          <w:szCs w:val="21"/>
        </w:rPr>
      </w:pPr>
      <w:r>
        <w:rPr>
          <w:rFonts w:hint="eastAsia"/>
          <w:sz w:val="21"/>
          <w:szCs w:val="21"/>
        </w:rPr>
        <w:t xml:space="preserve">申购费用=固定金额 </w:t>
      </w:r>
    </w:p>
    <w:p w14:paraId="7AE475DD">
      <w:pPr>
        <w:pStyle w:val="8"/>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7D8E93E7">
      <w:pPr>
        <w:pStyle w:val="8"/>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36F61F2B">
      <w:pPr>
        <w:pStyle w:val="8"/>
        <w:spacing w:before="0" w:beforeAutospacing="0" w:after="0" w:afterAutospacing="0" w:line="360" w:lineRule="auto"/>
        <w:ind w:firstLine="420"/>
        <w:rPr>
          <w:sz w:val="21"/>
          <w:szCs w:val="21"/>
        </w:rPr>
      </w:pPr>
      <w:r>
        <w:rPr>
          <w:rFonts w:hint="eastAsia"/>
          <w:sz w:val="21"/>
          <w:szCs w:val="21"/>
        </w:rPr>
        <w:t xml:space="preserve">例1：假定T日A类基金份额净值为1.0560元，某投资人申购本基金A类基金份额40万元，对应的申购费率为1.50%，该投资人可得到的A类基金份额为： </w:t>
      </w:r>
    </w:p>
    <w:p w14:paraId="790DD4EC">
      <w:pPr>
        <w:pStyle w:val="8"/>
        <w:spacing w:before="0" w:beforeAutospacing="0" w:after="0" w:afterAutospacing="0" w:line="360" w:lineRule="auto"/>
        <w:ind w:firstLine="420"/>
        <w:rPr>
          <w:sz w:val="21"/>
          <w:szCs w:val="21"/>
        </w:rPr>
      </w:pPr>
      <w:r>
        <w:rPr>
          <w:rFonts w:hint="eastAsia"/>
          <w:sz w:val="21"/>
          <w:szCs w:val="21"/>
        </w:rPr>
        <w:t xml:space="preserve">净申购金额=400,000/（1+1.50%）＝394,088.67元 </w:t>
      </w:r>
    </w:p>
    <w:p w14:paraId="6E9FDE7C">
      <w:pPr>
        <w:pStyle w:val="8"/>
        <w:spacing w:before="0" w:beforeAutospacing="0" w:after="0" w:afterAutospacing="0" w:line="360" w:lineRule="auto"/>
        <w:ind w:firstLine="420"/>
        <w:rPr>
          <w:sz w:val="21"/>
          <w:szCs w:val="21"/>
        </w:rPr>
      </w:pPr>
      <w:r>
        <w:rPr>
          <w:rFonts w:hint="eastAsia"/>
          <w:sz w:val="21"/>
          <w:szCs w:val="21"/>
        </w:rPr>
        <w:t xml:space="preserve">申购费用=400,000- 394,088.67＝5,911.33元 </w:t>
      </w:r>
    </w:p>
    <w:p w14:paraId="1EDE496A">
      <w:pPr>
        <w:pStyle w:val="8"/>
        <w:spacing w:before="0" w:beforeAutospacing="0" w:after="0" w:afterAutospacing="0" w:line="360" w:lineRule="auto"/>
        <w:ind w:firstLine="420"/>
        <w:rPr>
          <w:sz w:val="21"/>
          <w:szCs w:val="21"/>
        </w:rPr>
      </w:pPr>
      <w:r>
        <w:rPr>
          <w:rFonts w:hint="eastAsia"/>
          <w:sz w:val="21"/>
          <w:szCs w:val="21"/>
        </w:rPr>
        <w:t xml:space="preserve">申购份额=394,088.67/1.0560＝373,190.03份 </w:t>
      </w:r>
    </w:p>
    <w:p w14:paraId="5C921B66">
      <w:pPr>
        <w:pStyle w:val="8"/>
        <w:spacing w:before="0" w:beforeAutospacing="0" w:after="0" w:afterAutospacing="0" w:line="360" w:lineRule="auto"/>
        <w:ind w:firstLine="420"/>
        <w:rPr>
          <w:sz w:val="21"/>
          <w:szCs w:val="21"/>
        </w:rPr>
      </w:pPr>
      <w:r>
        <w:rPr>
          <w:rFonts w:hint="eastAsia"/>
          <w:sz w:val="21"/>
          <w:szCs w:val="21"/>
        </w:rPr>
        <w:t xml:space="preserve">即：该投资人投资40万元申购本基金A类基金份额，假定申购当日A类基金份额净值为1.0560元，可得到373,190.03份A类基金份额。 </w:t>
      </w:r>
    </w:p>
    <w:p w14:paraId="4FFC5651">
      <w:pPr>
        <w:pStyle w:val="8"/>
        <w:spacing w:before="0" w:beforeAutospacing="0" w:after="0" w:afterAutospacing="0" w:line="360" w:lineRule="auto"/>
        <w:ind w:firstLine="420"/>
        <w:rPr>
          <w:sz w:val="21"/>
          <w:szCs w:val="21"/>
        </w:rPr>
      </w:pPr>
      <w:r>
        <w:rPr>
          <w:rFonts w:hint="eastAsia"/>
          <w:sz w:val="21"/>
          <w:szCs w:val="21"/>
        </w:rPr>
        <w:t xml:space="preserve">例2：假定T日A类基金份额净值为1.0560元，某投资人投资600万元申购本基金A类基金份额，其对应的申购费用为1000元，则其可得到的申购份额为： </w:t>
      </w:r>
    </w:p>
    <w:p w14:paraId="1DC63B33">
      <w:pPr>
        <w:pStyle w:val="8"/>
        <w:spacing w:before="0" w:beforeAutospacing="0" w:after="0" w:afterAutospacing="0" w:line="360" w:lineRule="auto"/>
        <w:ind w:firstLine="420"/>
        <w:rPr>
          <w:sz w:val="21"/>
          <w:szCs w:val="21"/>
        </w:rPr>
      </w:pPr>
      <w:r>
        <w:rPr>
          <w:rFonts w:hint="eastAsia"/>
          <w:sz w:val="21"/>
          <w:szCs w:val="21"/>
        </w:rPr>
        <w:t xml:space="preserve">申购费用＝1,000元 </w:t>
      </w:r>
    </w:p>
    <w:p w14:paraId="67822582">
      <w:pPr>
        <w:pStyle w:val="8"/>
        <w:spacing w:before="0" w:beforeAutospacing="0" w:after="0" w:afterAutospacing="0" w:line="360" w:lineRule="auto"/>
        <w:ind w:firstLine="420"/>
        <w:rPr>
          <w:sz w:val="21"/>
          <w:szCs w:val="21"/>
        </w:rPr>
      </w:pPr>
      <w:r>
        <w:rPr>
          <w:rFonts w:hint="eastAsia"/>
          <w:sz w:val="21"/>
          <w:szCs w:val="21"/>
        </w:rPr>
        <w:t xml:space="preserve">净申购金额＝6,000,000－1,000＝5,999,000.00元 </w:t>
      </w:r>
    </w:p>
    <w:p w14:paraId="639EAF9C">
      <w:pPr>
        <w:pStyle w:val="8"/>
        <w:spacing w:before="0" w:beforeAutospacing="0" w:after="0" w:afterAutospacing="0" w:line="360" w:lineRule="auto"/>
        <w:ind w:firstLine="420"/>
        <w:rPr>
          <w:sz w:val="21"/>
          <w:szCs w:val="21"/>
        </w:rPr>
      </w:pPr>
      <w:r>
        <w:rPr>
          <w:rFonts w:hint="eastAsia"/>
          <w:sz w:val="21"/>
          <w:szCs w:val="21"/>
        </w:rPr>
        <w:t xml:space="preserve">申购份额＝5,999,000/1.0560＝5,680,871.21份 </w:t>
      </w:r>
    </w:p>
    <w:p w14:paraId="61569DB5">
      <w:pPr>
        <w:pStyle w:val="8"/>
        <w:spacing w:before="0" w:beforeAutospacing="0" w:after="0" w:afterAutospacing="0" w:line="360" w:lineRule="auto"/>
        <w:ind w:firstLine="420"/>
        <w:rPr>
          <w:sz w:val="21"/>
          <w:szCs w:val="21"/>
        </w:rPr>
      </w:pPr>
      <w:r>
        <w:rPr>
          <w:rFonts w:hint="eastAsia"/>
          <w:sz w:val="21"/>
          <w:szCs w:val="21"/>
        </w:rPr>
        <w:t xml:space="preserve">即：该投资人投资600万元申购本基金A类基金份额，假定申购当日A类基金份额净值为1.0560元，可得到5,680,871.21份A类基金份额。 </w:t>
      </w:r>
    </w:p>
    <w:p w14:paraId="2B6A843A">
      <w:pPr>
        <w:pStyle w:val="8"/>
        <w:spacing w:before="0" w:beforeAutospacing="0" w:after="0" w:afterAutospacing="0" w:line="360" w:lineRule="auto"/>
        <w:ind w:firstLine="420"/>
        <w:rPr>
          <w:sz w:val="21"/>
          <w:szCs w:val="21"/>
        </w:rPr>
      </w:pPr>
      <w:r>
        <w:rPr>
          <w:rFonts w:hint="eastAsia"/>
          <w:sz w:val="21"/>
          <w:szCs w:val="21"/>
        </w:rPr>
        <w:t xml:space="preserve">（2）C类基金份额 </w:t>
      </w:r>
    </w:p>
    <w:p w14:paraId="6171FA52">
      <w:pPr>
        <w:pStyle w:val="8"/>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0EFC12DF">
      <w:pPr>
        <w:pStyle w:val="8"/>
        <w:spacing w:before="0" w:beforeAutospacing="0" w:after="0" w:afterAutospacing="0" w:line="360" w:lineRule="auto"/>
        <w:ind w:firstLine="420"/>
        <w:rPr>
          <w:sz w:val="21"/>
          <w:szCs w:val="21"/>
        </w:rPr>
      </w:pPr>
      <w:r>
        <w:rPr>
          <w:rFonts w:hint="eastAsia"/>
          <w:sz w:val="21"/>
          <w:szCs w:val="21"/>
        </w:rPr>
        <w:t xml:space="preserve">例：假设某投资者投资10万元申购本基金C类基金份额，申购当日本基金C类基金份额净值为1.0600元，则可得到的申购份额为： </w:t>
      </w:r>
    </w:p>
    <w:p w14:paraId="2C47794B">
      <w:pPr>
        <w:pStyle w:val="8"/>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646A5974">
      <w:pPr>
        <w:pStyle w:val="8"/>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722CEA89">
      <w:pPr>
        <w:pStyle w:val="8"/>
        <w:spacing w:before="0" w:beforeAutospacing="0" w:after="0" w:afterAutospacing="0" w:line="360" w:lineRule="auto"/>
        <w:ind w:firstLine="420"/>
        <w:rPr>
          <w:sz w:val="21"/>
          <w:szCs w:val="21"/>
        </w:rPr>
      </w:pPr>
      <w:r>
        <w:rPr>
          <w:rFonts w:hint="eastAsia"/>
          <w:sz w:val="21"/>
          <w:szCs w:val="21"/>
        </w:rPr>
        <w:t xml:space="preserve">2、赎回金额的计算方式： </w:t>
      </w:r>
    </w:p>
    <w:p w14:paraId="04C3D747">
      <w:pPr>
        <w:pStyle w:val="8"/>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14:paraId="7755AAF2">
      <w:pPr>
        <w:pStyle w:val="8"/>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0BA1AA1A">
      <w:pPr>
        <w:pStyle w:val="8"/>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577AAAA3">
      <w:pPr>
        <w:pStyle w:val="8"/>
        <w:spacing w:before="0" w:beforeAutospacing="0" w:after="0" w:afterAutospacing="0" w:line="360" w:lineRule="auto"/>
        <w:ind w:firstLine="420"/>
        <w:rPr>
          <w:sz w:val="21"/>
          <w:szCs w:val="21"/>
        </w:rPr>
      </w:pPr>
      <w:r>
        <w:rPr>
          <w:rFonts w:hint="eastAsia"/>
          <w:sz w:val="21"/>
          <w:szCs w:val="21"/>
        </w:rPr>
        <w:t xml:space="preserve">例：某投资者赎回本基金1万份A类基金份额，持有时间为三年，对应的赎回费率为0%，假设赎回当日A类基金份额净值是1.2500元，则其可得到的赎回金额为： </w:t>
      </w:r>
    </w:p>
    <w:p w14:paraId="1A4B072B">
      <w:pPr>
        <w:pStyle w:val="8"/>
        <w:spacing w:before="0" w:beforeAutospacing="0" w:after="0" w:afterAutospacing="0" w:line="360" w:lineRule="auto"/>
        <w:ind w:firstLine="420"/>
        <w:rPr>
          <w:sz w:val="21"/>
          <w:szCs w:val="21"/>
        </w:rPr>
      </w:pPr>
      <w:r>
        <w:rPr>
          <w:rFonts w:hint="eastAsia"/>
          <w:sz w:val="21"/>
          <w:szCs w:val="21"/>
        </w:rPr>
        <w:t xml:space="preserve">赎回总金额=10,000×1.2500=12,500.00元 </w:t>
      </w:r>
    </w:p>
    <w:p w14:paraId="5B7DBDBD">
      <w:pPr>
        <w:pStyle w:val="8"/>
        <w:spacing w:before="0" w:beforeAutospacing="0" w:after="0" w:afterAutospacing="0" w:line="360" w:lineRule="auto"/>
        <w:ind w:firstLine="420"/>
        <w:rPr>
          <w:sz w:val="21"/>
          <w:szCs w:val="21"/>
        </w:rPr>
      </w:pPr>
      <w:r>
        <w:rPr>
          <w:rFonts w:hint="eastAsia"/>
          <w:sz w:val="21"/>
          <w:szCs w:val="21"/>
        </w:rPr>
        <w:t xml:space="preserve">赎回费用=12,500×0%=0.00元 </w:t>
      </w:r>
    </w:p>
    <w:p w14:paraId="2FDC2A2F">
      <w:pPr>
        <w:pStyle w:val="8"/>
        <w:spacing w:before="0" w:beforeAutospacing="0" w:after="0" w:afterAutospacing="0" w:line="360" w:lineRule="auto"/>
        <w:ind w:firstLine="420"/>
        <w:rPr>
          <w:sz w:val="21"/>
          <w:szCs w:val="21"/>
        </w:rPr>
      </w:pPr>
      <w:r>
        <w:rPr>
          <w:rFonts w:hint="eastAsia"/>
          <w:sz w:val="21"/>
          <w:szCs w:val="21"/>
        </w:rPr>
        <w:t xml:space="preserve">净赎回金额=12,500-0=12,500.00元 </w:t>
      </w:r>
    </w:p>
    <w:p w14:paraId="32FF9BE8">
      <w:pPr>
        <w:pStyle w:val="8"/>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即：投资者赎回本基金1万份A类基金份额，持有时间为三年，假设赎回当日A类基金份额净值是1.2500元，则其可得到的赎回金额为12,500.00元。 </w:t>
      </w:r>
    </w:p>
    <w:p w14:paraId="3480BCAF">
      <w:pPr>
        <w:pStyle w:val="8"/>
        <w:spacing w:before="0" w:beforeAutospacing="0" w:after="0" w:afterAutospacing="0" w:line="360" w:lineRule="auto"/>
        <w:ind w:firstLine="420"/>
        <w:rPr>
          <w:sz w:val="21"/>
          <w:szCs w:val="21"/>
        </w:rPr>
      </w:pPr>
      <w:r>
        <w:rPr>
          <w:rFonts w:hint="eastAsia"/>
          <w:sz w:val="21"/>
          <w:szCs w:val="21"/>
        </w:rPr>
        <w:t>3、本基金各类基金份额净值的计算，均保留到小数点后</w:t>
      </w:r>
      <w:bookmarkStart w:id="93" w:name="field_63_netdecimal_1"/>
      <w:r>
        <w:rPr>
          <w:sz w:val="21"/>
          <w:szCs w:val="21"/>
        </w:rPr>
        <w:t>4</w:t>
      </w:r>
      <w:bookmarkEnd w:id="93"/>
      <w:r>
        <w:rPr>
          <w:rFonts w:hint="eastAsia"/>
          <w:sz w:val="21"/>
          <w:szCs w:val="21"/>
        </w:rPr>
        <w:t>位，小数点后第</w:t>
      </w:r>
      <w:bookmarkStart w:id="94" w:name="field_0_netdecimaladd1_1"/>
      <w:r>
        <w:rPr>
          <w:sz w:val="21"/>
          <w:szCs w:val="21"/>
        </w:rPr>
        <w:t>5</w:t>
      </w:r>
      <w:bookmarkEnd w:id="94"/>
      <w:r>
        <w:rPr>
          <w:rFonts w:hint="eastAsia"/>
          <w:sz w:val="21"/>
          <w:szCs w:val="21"/>
        </w:rPr>
        <w:t xml:space="preserve">位四舍五入，由此产生的收益或损失由基金财产承担。T日的各类基金份额净值在当天收市后计算，并按照基金合同约定公告。遇特殊情况，经履行适当程序，可以适当延迟计算或公告。 </w:t>
      </w:r>
    </w:p>
    <w:p w14:paraId="3458327E">
      <w:pPr>
        <w:pStyle w:val="8"/>
        <w:spacing w:before="0" w:beforeAutospacing="0" w:after="0" w:afterAutospacing="0" w:line="360" w:lineRule="auto"/>
        <w:ind w:firstLine="420"/>
        <w:rPr>
          <w:sz w:val="21"/>
          <w:szCs w:val="21"/>
        </w:rPr>
      </w:pPr>
      <w:r>
        <w:rPr>
          <w:rFonts w:hint="eastAsia"/>
          <w:sz w:val="21"/>
          <w:szCs w:val="21"/>
        </w:rPr>
        <w:t xml:space="preserve">4、申购份额的计算及余额的处理方式：申购的有效份额为净申购金额除以当日的该类基金份额净值，有效份额单位为份，上述计算结果均按四舍五入方法，保留到小数点后2位，由此产生的收益或损失由基金财产承担。 </w:t>
      </w:r>
    </w:p>
    <w:p w14:paraId="636C6BCA">
      <w:pPr>
        <w:pStyle w:val="8"/>
        <w:spacing w:before="0" w:beforeAutospacing="0" w:after="0" w:afterAutospacing="0" w:line="360" w:lineRule="auto"/>
        <w:ind w:firstLine="420"/>
        <w:rPr>
          <w:sz w:val="21"/>
          <w:szCs w:val="21"/>
        </w:rPr>
      </w:pPr>
      <w:r>
        <w:rPr>
          <w:rFonts w:hint="eastAsia"/>
          <w:sz w:val="21"/>
          <w:szCs w:val="21"/>
        </w:rPr>
        <w:t xml:space="preserve">5、赎回金额的计算及处理方式：赎回金额为按实际确认的有效赎回份额乘以当日该类基金份额净值并扣除相应的费用，赎回金额单位为元。上述计算结果均按四舍五入方法，保留到小数点后2位，由此产生的收益或损失由基金财产承担。 </w:t>
      </w:r>
    </w:p>
    <w:p w14:paraId="5C96291A">
      <w:pPr>
        <w:pStyle w:val="8"/>
        <w:spacing w:before="0" w:beforeAutospacing="0" w:after="0" w:afterAutospacing="0" w:line="360" w:lineRule="auto"/>
        <w:ind w:firstLine="420"/>
        <w:rPr>
          <w:sz w:val="21"/>
          <w:szCs w:val="21"/>
        </w:rPr>
      </w:pPr>
      <w:r>
        <w:rPr>
          <w:rFonts w:hint="eastAsia"/>
          <w:sz w:val="21"/>
          <w:szCs w:val="21"/>
        </w:rPr>
        <w:t xml:space="preserve">6、基金管理人可以在不违反法律法规规定及基金合同约定的情形下，且对基金份额持有人利益无实质性不利影响的前提下，根据市场情况制定基金促销计划，定期或不定期地开展基金促销活动。在基金促销活动期间，按相关监管部门要求履行必要手续后，基金管理人可以适当调低基金的申购、赎回费率和销售服务费率。 </w:t>
      </w:r>
    </w:p>
    <w:p w14:paraId="07975A80">
      <w:pPr>
        <w:pStyle w:val="8"/>
        <w:spacing w:before="0" w:beforeAutospacing="0" w:after="0" w:afterAutospacing="0" w:line="360" w:lineRule="auto"/>
        <w:ind w:firstLine="420"/>
        <w:rPr>
          <w:sz w:val="21"/>
          <w:szCs w:val="21"/>
        </w:rPr>
      </w:pPr>
      <w:r>
        <w:rPr>
          <w:rFonts w:hint="eastAsia"/>
          <w:sz w:val="21"/>
          <w:szCs w:val="21"/>
        </w:rPr>
        <w:t xml:space="preserve">7、当本基金发生大额申购或赎回情形时，基金管理人可以采用摆动定价机制，以确保基金估值的公平性。具体处理原则与操作规范遵循相关法律法规以及监管部门、自律规则的规定。 </w:t>
      </w:r>
    </w:p>
    <w:p w14:paraId="41A5F229">
      <w:pPr>
        <w:pStyle w:val="8"/>
        <w:spacing w:before="0" w:beforeAutospacing="0" w:after="0" w:afterAutospacing="0" w:line="360" w:lineRule="auto"/>
        <w:ind w:firstLine="420"/>
        <w:rPr>
          <w:sz w:val="21"/>
          <w:szCs w:val="21"/>
        </w:rPr>
      </w:pPr>
      <w:r>
        <w:rPr>
          <w:rStyle w:val="12"/>
          <w:rFonts w:hint="eastAsia"/>
          <w:sz w:val="21"/>
          <w:szCs w:val="21"/>
        </w:rPr>
        <w:t>八、申购与赎回的登记</w:t>
      </w:r>
    </w:p>
    <w:p w14:paraId="05923965">
      <w:pPr>
        <w:pStyle w:val="8"/>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133E4AF6">
      <w:pPr>
        <w:pStyle w:val="8"/>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2、投资者申购基金成功后，登记机构在T+1日为投资者登记权益并办理登记手续，投资者自T+2日（含该日）后有权赎回该部分基金份额。 </w:t>
      </w:r>
    </w:p>
    <w:p w14:paraId="79458782">
      <w:pPr>
        <w:pStyle w:val="8"/>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7077BA83">
      <w:pPr>
        <w:pStyle w:val="8"/>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33AA11F7">
      <w:pPr>
        <w:pStyle w:val="8"/>
        <w:spacing w:before="0" w:beforeAutospacing="0" w:after="0" w:afterAutospacing="0" w:line="360" w:lineRule="auto"/>
        <w:ind w:firstLine="420"/>
        <w:rPr>
          <w:sz w:val="21"/>
          <w:szCs w:val="21"/>
        </w:rPr>
      </w:pPr>
      <w:r>
        <w:rPr>
          <w:rStyle w:val="12"/>
          <w:rFonts w:hint="eastAsia"/>
          <w:sz w:val="21"/>
          <w:szCs w:val="21"/>
        </w:rPr>
        <w:t>九、拒绝或暂停申购的情形</w:t>
      </w:r>
    </w:p>
    <w:p w14:paraId="6C6D9BAF">
      <w:pPr>
        <w:pStyle w:val="8"/>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7B09EBD1">
      <w:pPr>
        <w:pStyle w:val="8"/>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3572386D">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036D7F22">
      <w:pPr>
        <w:pStyle w:val="8"/>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660D295C">
      <w:pPr>
        <w:pStyle w:val="8"/>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 </w:t>
      </w:r>
    </w:p>
    <w:p w14:paraId="7FB6D00C">
      <w:pPr>
        <w:pStyle w:val="8"/>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310DA033">
      <w:pPr>
        <w:pStyle w:val="8"/>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6、基金管理人、基金托管人、销售机构或登记机构的技术故障等异常情况导致基金销售系统、基金登记系统或基金会计系统无法正常运行。 </w:t>
      </w:r>
    </w:p>
    <w:p w14:paraId="15DFD043">
      <w:pPr>
        <w:pStyle w:val="8"/>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10C3AC01">
      <w:pPr>
        <w:pStyle w:val="8"/>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 </w:t>
      </w:r>
    </w:p>
    <w:p w14:paraId="27E97CC7">
      <w:pPr>
        <w:pStyle w:val="8"/>
        <w:spacing w:before="0" w:beforeAutospacing="0" w:after="0" w:afterAutospacing="0" w:line="360" w:lineRule="auto"/>
        <w:ind w:firstLine="420"/>
        <w:rPr>
          <w:sz w:val="21"/>
          <w:szCs w:val="21"/>
        </w:rPr>
      </w:pPr>
      <w:r>
        <w:rPr>
          <w:rFonts w:hint="eastAsia"/>
          <w:sz w:val="21"/>
          <w:szCs w:val="21"/>
        </w:rPr>
        <w:t xml:space="preserve">9、基金参与港股通交易且在港股通交易当日额度不足时或港股通的业务规则发生重大变化时，基金管理人有权根据情况决定拒绝或暂停申购。 </w:t>
      </w:r>
    </w:p>
    <w:p w14:paraId="65545298">
      <w:pPr>
        <w:pStyle w:val="8"/>
        <w:spacing w:before="0" w:beforeAutospacing="0" w:after="0" w:afterAutospacing="0" w:line="360" w:lineRule="auto"/>
        <w:ind w:firstLine="420"/>
        <w:rPr>
          <w:sz w:val="21"/>
          <w:szCs w:val="21"/>
        </w:rPr>
      </w:pPr>
      <w:r>
        <w:rPr>
          <w:rFonts w:hint="eastAsia"/>
          <w:sz w:val="21"/>
          <w:szCs w:val="21"/>
        </w:rPr>
        <w:t xml:space="preserve">10、法律法规规定或中国证监会认定的其他情形。 </w:t>
      </w:r>
    </w:p>
    <w:p w14:paraId="0F64A469">
      <w:pPr>
        <w:pStyle w:val="8"/>
        <w:spacing w:before="0" w:beforeAutospacing="0" w:after="0" w:afterAutospacing="0" w:line="360" w:lineRule="auto"/>
        <w:ind w:firstLine="420"/>
        <w:rPr>
          <w:sz w:val="21"/>
          <w:szCs w:val="21"/>
        </w:rPr>
      </w:pPr>
      <w:r>
        <w:rPr>
          <w:rFonts w:hint="eastAsia"/>
          <w:sz w:val="21"/>
          <w:szCs w:val="21"/>
        </w:rPr>
        <w:t xml:space="preserve">发生上述第1、2、3、5、6、7、9、10项暂停申购情形之一且基金管理人决定暂停接受投资人申购申请时，基金管理人应当根据有关规定在规定媒介上刊登暂停申购公告。如果投资人的申购申请被拒绝，被拒绝的申购款项本金将退还给投资人。在暂停申购的情况消除时，基金管理人应及时恢复申购业务的办理。 </w:t>
      </w:r>
    </w:p>
    <w:p w14:paraId="390305A9">
      <w:pPr>
        <w:pStyle w:val="8"/>
        <w:spacing w:before="0" w:beforeAutospacing="0" w:after="0" w:afterAutospacing="0" w:line="360" w:lineRule="auto"/>
        <w:ind w:firstLine="420"/>
        <w:rPr>
          <w:sz w:val="21"/>
          <w:szCs w:val="21"/>
        </w:rPr>
      </w:pPr>
      <w:r>
        <w:rPr>
          <w:rStyle w:val="12"/>
          <w:rFonts w:hint="eastAsia"/>
          <w:sz w:val="21"/>
          <w:szCs w:val="21"/>
        </w:rPr>
        <w:t>十、暂停赎回或延缓支付赎回款项的情形 </w:t>
      </w:r>
    </w:p>
    <w:p w14:paraId="2CFCEF8A">
      <w:pPr>
        <w:pStyle w:val="8"/>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7EFA6EF7">
      <w:pPr>
        <w:pStyle w:val="8"/>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164492BD">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07896817">
      <w:pPr>
        <w:pStyle w:val="8"/>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78023E4E">
      <w:pPr>
        <w:pStyle w:val="8"/>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0790441A">
      <w:pPr>
        <w:pStyle w:val="8"/>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14:paraId="53C9918E">
      <w:pPr>
        <w:pStyle w:val="8"/>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14:paraId="2416DDE6">
      <w:pPr>
        <w:pStyle w:val="8"/>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135C6279">
      <w:pPr>
        <w:pStyle w:val="8"/>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45587B7A">
      <w:pPr>
        <w:pStyle w:val="8"/>
        <w:spacing w:before="0" w:beforeAutospacing="0" w:after="0" w:afterAutospacing="0" w:line="360" w:lineRule="auto"/>
        <w:ind w:firstLine="420"/>
        <w:rPr>
          <w:sz w:val="21"/>
          <w:szCs w:val="21"/>
        </w:rPr>
      </w:pPr>
      <w:r>
        <w:rPr>
          <w:rStyle w:val="12"/>
          <w:rFonts w:hint="eastAsia"/>
          <w:sz w:val="21"/>
          <w:szCs w:val="21"/>
        </w:rPr>
        <w:t>十一、巨额赎回的情形及处理方式</w:t>
      </w:r>
    </w:p>
    <w:p w14:paraId="130FB787">
      <w:pPr>
        <w:pStyle w:val="8"/>
        <w:spacing w:before="0" w:beforeAutospacing="0" w:after="0" w:afterAutospacing="0" w:line="360" w:lineRule="auto"/>
        <w:ind w:firstLine="420"/>
        <w:rPr>
          <w:sz w:val="21"/>
          <w:szCs w:val="21"/>
        </w:rPr>
      </w:pPr>
      <w:r>
        <w:rPr>
          <w:rFonts w:hint="eastAsia"/>
          <w:sz w:val="21"/>
          <w:szCs w:val="21"/>
        </w:rPr>
        <w:t xml:space="preserve">1、巨额赎回的认定 </w:t>
      </w:r>
    </w:p>
    <w:p w14:paraId="30D25D12">
      <w:pPr>
        <w:pStyle w:val="8"/>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若本基金单个开放日内的基金份额净赎回申请(赎回申请份额总数加上基金转换中转出申请份额总数后扣除申购申请份额总数及基金转换中转入申请份额总数后的余额)超过前一工作日的基金总份额的</w:t>
      </w:r>
      <w:bookmarkStart w:id="95" w:name="field_49_mintredeemscale_2"/>
      <w:r>
        <w:rPr>
          <w:sz w:val="21"/>
          <w:szCs w:val="21"/>
        </w:rPr>
        <w:t>10</w:t>
      </w:r>
      <w:bookmarkEnd w:id="95"/>
      <w:r>
        <w:rPr>
          <w:rFonts w:hint="eastAsia"/>
          <w:sz w:val="21"/>
          <w:szCs w:val="21"/>
        </w:rPr>
        <w:t xml:space="preserve">%，即认为是发生了巨额赎回。 </w:t>
      </w:r>
    </w:p>
    <w:p w14:paraId="17F609AD">
      <w:pPr>
        <w:pStyle w:val="8"/>
        <w:spacing w:before="0" w:beforeAutospacing="0" w:after="0" w:afterAutospacing="0" w:line="360" w:lineRule="auto"/>
        <w:ind w:firstLine="420"/>
        <w:rPr>
          <w:sz w:val="21"/>
          <w:szCs w:val="21"/>
        </w:rPr>
      </w:pPr>
      <w:r>
        <w:rPr>
          <w:rFonts w:hint="eastAsia"/>
          <w:sz w:val="21"/>
          <w:szCs w:val="21"/>
        </w:rPr>
        <w:t xml:space="preserve">2、巨额赎回的处理方式 </w:t>
      </w:r>
    </w:p>
    <w:p w14:paraId="3A1002CF">
      <w:pPr>
        <w:pStyle w:val="8"/>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当基金出现巨额赎回时，基金管理人可以根据基金当时的资产组合状况决定全额赎回、部分延期赎回或暂停赎回。 </w:t>
      </w:r>
    </w:p>
    <w:p w14:paraId="3CBAFE52">
      <w:pPr>
        <w:pStyle w:val="8"/>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62668636">
      <w:pPr>
        <w:pStyle w:val="8"/>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w:t>
      </w:r>
      <w:bookmarkStart w:id="96" w:name="field_49_mintredeemscale_3"/>
      <w:r>
        <w:rPr>
          <w:sz w:val="21"/>
          <w:szCs w:val="21"/>
        </w:rPr>
        <w:t>10</w:t>
      </w:r>
      <w:bookmarkEnd w:id="96"/>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766BD030">
      <w:pPr>
        <w:pStyle w:val="8"/>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（3）本基金发生巨额赎回时，对于单个基金份额持有人当日赎回申请超过上一工作日基金总份额</w:t>
      </w:r>
      <w:bookmarkStart w:id="97" w:name="field_49_mintredeemscale_4"/>
      <w:r>
        <w:rPr>
          <w:sz w:val="21"/>
          <w:szCs w:val="21"/>
        </w:rPr>
        <w:t>10</w:t>
      </w:r>
      <w:bookmarkEnd w:id="97"/>
      <w:r>
        <w:rPr>
          <w:rFonts w:hint="eastAsia"/>
          <w:sz w:val="21"/>
          <w:szCs w:val="21"/>
        </w:rPr>
        <w:t xml:space="preserve">%以上的部分，基金管理人可以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10％的部分，基金管理人应在评估是否有能力支付投资人的全部赎回申请后，按照全额赎回或部分延期赎回的方式与其他基金份额持有人的赎回申请一并办理。但是，如该持有人在提交赎回申请时选择取消赎回，则其当日未获受理的部分赎回申请将被撤销。 </w:t>
      </w:r>
    </w:p>
    <w:p w14:paraId="7E8F6AD7">
      <w:pPr>
        <w:pStyle w:val="8"/>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规定媒介上进行公告。 </w:t>
      </w:r>
    </w:p>
    <w:p w14:paraId="6EEDC713">
      <w:pPr>
        <w:pStyle w:val="8"/>
        <w:spacing w:before="0" w:beforeAutospacing="0" w:after="0" w:afterAutospacing="0" w:line="360" w:lineRule="auto"/>
        <w:ind w:firstLine="420"/>
        <w:rPr>
          <w:sz w:val="21"/>
          <w:szCs w:val="21"/>
        </w:rPr>
      </w:pPr>
      <w:r>
        <w:rPr>
          <w:rFonts w:hint="eastAsia"/>
          <w:sz w:val="21"/>
          <w:szCs w:val="21"/>
        </w:rPr>
        <w:t xml:space="preserve">3、巨额赎回的公告 </w:t>
      </w:r>
    </w:p>
    <w:p w14:paraId="5C7BAD7E">
      <w:pPr>
        <w:pStyle w:val="8"/>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当发生上述巨额赎回并延期办理时，基金管理人应当通过邮寄、传真或者招募说明书规定的其他方式在3个交易日内通知基金份额持有人，说明有关处理方法，并于两日内在规定媒介上刊登公告。 </w:t>
      </w:r>
    </w:p>
    <w:p w14:paraId="3F1BC035">
      <w:pPr>
        <w:pStyle w:val="8"/>
        <w:spacing w:before="0" w:beforeAutospacing="0" w:after="0" w:afterAutospacing="0" w:line="360" w:lineRule="auto"/>
        <w:ind w:firstLine="420"/>
        <w:rPr>
          <w:sz w:val="21"/>
          <w:szCs w:val="21"/>
        </w:rPr>
      </w:pPr>
      <w:r>
        <w:rPr>
          <w:rStyle w:val="12"/>
          <w:rFonts w:hint="eastAsia"/>
          <w:sz w:val="21"/>
          <w:szCs w:val="21"/>
        </w:rPr>
        <w:t>十二、暂停申购或赎回的公告和重新开放申购或赎回的公告</w:t>
      </w:r>
    </w:p>
    <w:p w14:paraId="3D5F26E1">
      <w:pPr>
        <w:pStyle w:val="8"/>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1、发生上述暂停申购或赎回情况的，基金管理人在规定期限内在规定媒介上刊登暂停公告。 </w:t>
      </w:r>
    </w:p>
    <w:p w14:paraId="15B4E9E7">
      <w:pPr>
        <w:pStyle w:val="8"/>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14:paraId="03A7DA2C">
      <w:pPr>
        <w:pStyle w:val="8"/>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3、上述暂停申购或赎回情况消除的，基金管理人应于重新开放日公布最近1个开放日</w:t>
      </w:r>
      <w:bookmarkStart w:id="98" w:name="chapter_level1_10_59_section_3_end"/>
      <w:bookmarkEnd w:id="98"/>
      <w:r>
        <w:rPr>
          <w:rFonts w:hint="eastAsia"/>
          <w:sz w:val="21"/>
          <w:szCs w:val="21"/>
        </w:rPr>
        <w:t xml:space="preserve">各类基金份额净值。 </w:t>
      </w:r>
    </w:p>
    <w:p w14:paraId="40D71C3F">
      <w:pPr>
        <w:pStyle w:val="8"/>
        <w:spacing w:before="0" w:beforeAutospacing="0" w:after="0" w:afterAutospacing="0" w:line="360" w:lineRule="auto"/>
        <w:ind w:firstLine="420"/>
        <w:rPr>
          <w:sz w:val="21"/>
          <w:szCs w:val="21"/>
        </w:rPr>
      </w:pPr>
      <w:bookmarkStart w:id="99" w:name="chapter_level1_10_59_section_4"/>
      <w:bookmarkEnd w:id="99"/>
      <w:r>
        <w:rPr>
          <w:rStyle w:val="12"/>
          <w:rFonts w:hint="eastAsia"/>
          <w:sz w:val="21"/>
          <w:szCs w:val="21"/>
        </w:rPr>
        <w:t>十三、基金转换</w:t>
      </w:r>
    </w:p>
    <w:p w14:paraId="4756297F">
      <w:pPr>
        <w:pStyle w:val="8"/>
        <w:spacing w:before="0" w:beforeAutospacing="0" w:after="0" w:afterAutospacing="0" w:line="360" w:lineRule="auto"/>
        <w:ind w:firstLine="420"/>
        <w:rPr>
          <w:sz w:val="21"/>
          <w:szCs w:val="21"/>
        </w:rPr>
      </w:pPr>
      <w:r>
        <w:rPr>
          <w:rFonts w:hint="eastAsia"/>
          <w:sz w:val="21"/>
          <w:szCs w:val="21"/>
        </w:rPr>
        <w:t xml:space="preserve">本基金已于2025年7月28日开放日常转换业务。  </w:t>
      </w:r>
    </w:p>
    <w:p w14:paraId="5D469C73">
      <w:pPr>
        <w:pStyle w:val="8"/>
        <w:spacing w:before="0" w:beforeAutospacing="0" w:after="0" w:afterAutospacing="0" w:line="360" w:lineRule="auto"/>
        <w:ind w:firstLine="420"/>
        <w:rPr>
          <w:sz w:val="21"/>
          <w:szCs w:val="21"/>
        </w:rPr>
      </w:pPr>
      <w:r>
        <w:rPr>
          <w:rFonts w:hint="eastAsia"/>
          <w:b/>
          <w:bCs/>
          <w:sz w:val="21"/>
          <w:szCs w:val="21"/>
        </w:rPr>
        <w:t>1、转换费率</w:t>
      </w:r>
    </w:p>
    <w:p w14:paraId="17D5C4BF">
      <w:pPr>
        <w:pStyle w:val="8"/>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44BD1039">
      <w:pPr>
        <w:pStyle w:val="8"/>
        <w:spacing w:before="0" w:beforeAutospacing="0" w:after="0" w:afterAutospacing="0" w:line="360" w:lineRule="auto"/>
        <w:ind w:firstLine="420"/>
        <w:rPr>
          <w:sz w:val="21"/>
          <w:szCs w:val="21"/>
        </w:rPr>
      </w:pPr>
      <w:r>
        <w:rPr>
          <w:rFonts w:hint="eastAsia"/>
          <w:b/>
          <w:bCs/>
          <w:sz w:val="21"/>
          <w:szCs w:val="21"/>
        </w:rPr>
        <w:t>2、其他与转换相关的事项</w:t>
      </w:r>
    </w:p>
    <w:p w14:paraId="2D263ECE">
      <w:pPr>
        <w:pStyle w:val="8"/>
        <w:spacing w:before="0" w:beforeAutospacing="0" w:after="0" w:afterAutospacing="0" w:line="360" w:lineRule="auto"/>
        <w:ind w:firstLine="420"/>
        <w:rPr>
          <w:sz w:val="21"/>
          <w:szCs w:val="21"/>
        </w:rPr>
      </w:pPr>
      <w:r>
        <w:rPr>
          <w:rFonts w:hint="eastAsia"/>
          <w:sz w:val="21"/>
          <w:szCs w:val="21"/>
        </w:rPr>
        <w:t xml:space="preserve">1）业务规则 </w:t>
      </w:r>
    </w:p>
    <w:p w14:paraId="7ED85A0C">
      <w:pPr>
        <w:pStyle w:val="8"/>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2A5C4B90">
      <w:pPr>
        <w:pStyle w:val="8"/>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3AE76EAF">
      <w:pPr>
        <w:pStyle w:val="8"/>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1583B9CB">
      <w:pPr>
        <w:pStyle w:val="8"/>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76AB5D8A">
      <w:pPr>
        <w:pStyle w:val="8"/>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499B3FB2">
      <w:pPr>
        <w:pStyle w:val="8"/>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2346790D">
      <w:pPr>
        <w:pStyle w:val="8"/>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14:paraId="13389AF3">
      <w:pPr>
        <w:pStyle w:val="8"/>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5C5B1FAE">
      <w:pPr>
        <w:pStyle w:val="8"/>
        <w:spacing w:before="0" w:beforeAutospacing="0" w:after="0" w:afterAutospacing="0" w:line="360" w:lineRule="auto"/>
        <w:ind w:firstLine="420"/>
        <w:rPr>
          <w:sz w:val="21"/>
          <w:szCs w:val="21"/>
        </w:rPr>
      </w:pPr>
      <w:r>
        <w:rPr>
          <w:rFonts w:hint="eastAsia"/>
          <w:sz w:val="21"/>
          <w:szCs w:val="21"/>
        </w:rPr>
        <w:t xml:space="preserve">3）重要提示 </w:t>
      </w:r>
    </w:p>
    <w:p w14:paraId="59B2BCEC">
      <w:pPr>
        <w:pStyle w:val="8"/>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02255F01">
      <w:pPr>
        <w:pStyle w:val="8"/>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32302C45">
      <w:pPr>
        <w:pStyle w:val="8"/>
        <w:spacing w:before="0" w:beforeAutospacing="0" w:after="0" w:afterAutospacing="0" w:line="360" w:lineRule="auto"/>
        <w:ind w:firstLine="420"/>
        <w:rPr>
          <w:sz w:val="21"/>
          <w:szCs w:val="21"/>
        </w:rPr>
      </w:pPr>
      <w:bookmarkStart w:id="100" w:name="chapter_level1_10_59_section_4_end"/>
      <w:bookmarkEnd w:id="100"/>
      <w:r>
        <w:rPr>
          <w:rFonts w:hint="eastAsia"/>
          <w:sz w:val="21"/>
          <w:szCs w:val="21"/>
        </w:rPr>
        <w:t xml:space="preserve">③本公司管理基金的转换业务的解释权归本公司。  </w:t>
      </w:r>
    </w:p>
    <w:p w14:paraId="28F6E488">
      <w:pPr>
        <w:pStyle w:val="8"/>
        <w:spacing w:before="0" w:beforeAutospacing="0" w:after="0" w:afterAutospacing="0" w:line="360" w:lineRule="auto"/>
        <w:ind w:firstLine="420"/>
        <w:rPr>
          <w:sz w:val="21"/>
          <w:szCs w:val="21"/>
        </w:rPr>
      </w:pPr>
      <w:bookmarkStart w:id="101" w:name="chapter_level1_10_59_section_5"/>
      <w:bookmarkEnd w:id="101"/>
      <w:r>
        <w:rPr>
          <w:rStyle w:val="12"/>
          <w:rFonts w:hint="eastAsia"/>
          <w:sz w:val="21"/>
          <w:szCs w:val="21"/>
        </w:rPr>
        <w:t>十四、基金份额的转让</w:t>
      </w:r>
    </w:p>
    <w:p w14:paraId="2F39C411">
      <w:pPr>
        <w:pStyle w:val="8"/>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0362ED64">
      <w:pPr>
        <w:pStyle w:val="8"/>
        <w:spacing w:before="0" w:beforeAutospacing="0" w:after="0" w:afterAutospacing="0" w:line="360" w:lineRule="auto"/>
        <w:ind w:firstLine="420"/>
        <w:rPr>
          <w:sz w:val="21"/>
          <w:szCs w:val="21"/>
        </w:rPr>
      </w:pPr>
      <w:r>
        <w:rPr>
          <w:rStyle w:val="12"/>
          <w:rFonts w:hint="eastAsia"/>
          <w:sz w:val="21"/>
          <w:szCs w:val="21"/>
        </w:rPr>
        <w:t>十五、基金的非交易过户</w:t>
      </w:r>
    </w:p>
    <w:p w14:paraId="79CF32A6">
      <w:pPr>
        <w:pStyle w:val="8"/>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49CC702A">
      <w:pPr>
        <w:pStyle w:val="8"/>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16B30FEE">
      <w:pPr>
        <w:pStyle w:val="8"/>
        <w:spacing w:before="0" w:beforeAutospacing="0" w:after="0" w:afterAutospacing="0" w:line="360" w:lineRule="auto"/>
        <w:ind w:firstLine="420"/>
        <w:rPr>
          <w:sz w:val="21"/>
          <w:szCs w:val="21"/>
        </w:rPr>
      </w:pPr>
      <w:r>
        <w:rPr>
          <w:rStyle w:val="12"/>
          <w:rFonts w:hint="eastAsia"/>
          <w:sz w:val="21"/>
          <w:szCs w:val="21"/>
        </w:rPr>
        <w:t>十六、基金的转托管</w:t>
      </w:r>
    </w:p>
    <w:p w14:paraId="192095E5">
      <w:pPr>
        <w:pStyle w:val="8"/>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2" w:name="chapter_level1_10_59_section_5_end"/>
      <w:bookmarkEnd w:id="102"/>
      <w:r>
        <w:rPr>
          <w:rFonts w:hint="eastAsia"/>
          <w:sz w:val="21"/>
          <w:szCs w:val="21"/>
        </w:rPr>
        <w:t xml:space="preserve">以按照规定的标准收取转托管费。 </w:t>
      </w:r>
    </w:p>
    <w:p w14:paraId="297005B4">
      <w:pPr>
        <w:pStyle w:val="8"/>
        <w:spacing w:before="0" w:beforeAutospacing="0" w:after="0" w:afterAutospacing="0" w:line="360" w:lineRule="auto"/>
        <w:ind w:firstLine="420"/>
        <w:rPr>
          <w:sz w:val="21"/>
          <w:szCs w:val="21"/>
        </w:rPr>
      </w:pPr>
      <w:bookmarkStart w:id="103" w:name="chapter_level1_10_59_section_6"/>
      <w:bookmarkEnd w:id="103"/>
      <w:r>
        <w:rPr>
          <w:rStyle w:val="12"/>
          <w:rFonts w:hint="eastAsia"/>
          <w:sz w:val="21"/>
          <w:szCs w:val="21"/>
        </w:rPr>
        <w:t>十七、定期定额投资计划</w:t>
      </w:r>
    </w:p>
    <w:p w14:paraId="031DF634">
      <w:pPr>
        <w:pStyle w:val="8"/>
        <w:spacing w:before="0" w:beforeAutospacing="0" w:after="0" w:afterAutospacing="0" w:line="360" w:lineRule="auto"/>
        <w:ind w:firstLine="420"/>
        <w:rPr>
          <w:sz w:val="21"/>
          <w:szCs w:val="21"/>
        </w:rPr>
      </w:pPr>
      <w:r>
        <w:rPr>
          <w:rFonts w:hint="eastAsia"/>
          <w:sz w:val="21"/>
          <w:szCs w:val="21"/>
        </w:rPr>
        <w:t xml:space="preserve">本基金已于2025年7月28日开放定期定额投资业务。  </w:t>
      </w:r>
    </w:p>
    <w:p w14:paraId="427F9CCB">
      <w:pPr>
        <w:pStyle w:val="8"/>
        <w:spacing w:before="0" w:beforeAutospacing="0" w:after="0" w:afterAutospacing="0" w:line="360" w:lineRule="auto"/>
        <w:ind w:firstLine="420"/>
        <w:rPr>
          <w:sz w:val="21"/>
          <w:szCs w:val="21"/>
        </w:rPr>
      </w:pPr>
      <w:r>
        <w:rPr>
          <w:rFonts w:hint="eastAsia"/>
          <w:sz w:val="21"/>
          <w:szCs w:val="21"/>
        </w:rPr>
        <w:t xml:space="preserve">（1）适用投资者范围  </w:t>
      </w:r>
    </w:p>
    <w:p w14:paraId="5E38C277">
      <w:pPr>
        <w:pStyle w:val="8"/>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52AB81D7">
      <w:pPr>
        <w:pStyle w:val="8"/>
        <w:spacing w:before="0" w:beforeAutospacing="0" w:after="0" w:afterAutospacing="0" w:line="360" w:lineRule="auto"/>
        <w:ind w:firstLine="420"/>
        <w:rPr>
          <w:sz w:val="21"/>
          <w:szCs w:val="21"/>
        </w:rPr>
      </w:pPr>
      <w:r>
        <w:rPr>
          <w:rFonts w:hint="eastAsia"/>
          <w:sz w:val="21"/>
          <w:szCs w:val="21"/>
        </w:rPr>
        <w:t xml:space="preserve">（2）申购费率  </w:t>
      </w:r>
    </w:p>
    <w:p w14:paraId="082EFC71">
      <w:pPr>
        <w:pStyle w:val="8"/>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14:paraId="40BB4183">
      <w:pPr>
        <w:pStyle w:val="8"/>
        <w:spacing w:before="0" w:beforeAutospacing="0" w:after="0" w:afterAutospacing="0" w:line="360" w:lineRule="auto"/>
        <w:ind w:firstLine="420"/>
        <w:rPr>
          <w:sz w:val="21"/>
          <w:szCs w:val="21"/>
        </w:rPr>
      </w:pPr>
      <w:r>
        <w:rPr>
          <w:rFonts w:hint="eastAsia"/>
          <w:sz w:val="21"/>
          <w:szCs w:val="21"/>
        </w:rPr>
        <w:t xml:space="preserve">（3）扣款日期和扣款金额  </w:t>
      </w:r>
    </w:p>
    <w:p w14:paraId="79763D2A">
      <w:pPr>
        <w:pStyle w:val="8"/>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投资者须遵循各销售机构有关扣款日期的规定，定投金额A类基金份额每次不少于人民币1.00元（含1.00元），定投金额C类基金份额每次不少于人民币1.00元（含1.00元）。  </w:t>
      </w:r>
    </w:p>
    <w:p w14:paraId="7FC1209C">
      <w:pPr>
        <w:pStyle w:val="8"/>
        <w:spacing w:before="0" w:beforeAutospacing="0" w:after="0" w:afterAutospacing="0" w:line="360" w:lineRule="auto"/>
        <w:ind w:firstLine="420"/>
        <w:rPr>
          <w:sz w:val="21"/>
          <w:szCs w:val="21"/>
        </w:rPr>
      </w:pPr>
      <w:r>
        <w:rPr>
          <w:rFonts w:hint="eastAsia"/>
          <w:sz w:val="21"/>
          <w:szCs w:val="21"/>
        </w:rPr>
        <w:t xml:space="preserve">（4）重要提示  </w:t>
      </w:r>
    </w:p>
    <w:p w14:paraId="6CF9EE3B">
      <w:pPr>
        <w:pStyle w:val="8"/>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197C6E23">
      <w:pPr>
        <w:pStyle w:val="8"/>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04" w:name="chapter_level1_10_59_section_6_end"/>
      <w:bookmarkEnd w:id="104"/>
      <w:r>
        <w:rPr>
          <w:rFonts w:hint="eastAsia"/>
          <w:sz w:val="21"/>
          <w:szCs w:val="21"/>
        </w:rPr>
        <w:t xml:space="preserve">在确认成功后直接计入投资者的基金账户。  </w:t>
      </w:r>
    </w:p>
    <w:p w14:paraId="14823393">
      <w:pPr>
        <w:pStyle w:val="8"/>
        <w:spacing w:before="0" w:beforeAutospacing="0" w:after="0" w:afterAutospacing="0" w:line="360" w:lineRule="auto"/>
        <w:ind w:firstLine="420"/>
        <w:rPr>
          <w:sz w:val="21"/>
          <w:szCs w:val="21"/>
        </w:rPr>
      </w:pPr>
      <w:bookmarkStart w:id="105" w:name="chapter_level1_10_59_section_7"/>
      <w:bookmarkEnd w:id="105"/>
      <w:r>
        <w:rPr>
          <w:rStyle w:val="12"/>
          <w:rFonts w:hint="eastAsia"/>
          <w:sz w:val="21"/>
          <w:szCs w:val="21"/>
        </w:rPr>
        <w:t>十八、基金份额的冻结、解冻与质押</w:t>
      </w:r>
    </w:p>
    <w:p w14:paraId="708DD552">
      <w:pPr>
        <w:pStyle w:val="8"/>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0FE868EC">
      <w:pPr>
        <w:pStyle w:val="8"/>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14:paraId="5BB8A424">
      <w:pPr>
        <w:pStyle w:val="8"/>
        <w:spacing w:before="0" w:beforeAutospacing="0" w:after="0" w:afterAutospacing="0" w:line="360" w:lineRule="auto"/>
        <w:ind w:firstLine="420"/>
        <w:rPr>
          <w:sz w:val="21"/>
          <w:szCs w:val="21"/>
        </w:rPr>
      </w:pPr>
      <w:r>
        <w:rPr>
          <w:rStyle w:val="12"/>
          <w:rFonts w:hint="eastAsia"/>
          <w:sz w:val="21"/>
          <w:szCs w:val="21"/>
        </w:rPr>
        <w:t>十九、实施侧袋机制期间本基金的申购与赎回</w:t>
      </w:r>
    </w:p>
    <w:p w14:paraId="682EAA16">
      <w:pPr>
        <w:pStyle w:val="8"/>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06" w:name="chapter_level1_10_59_section_7_end"/>
      <w:bookmarkEnd w:id="106"/>
      <w:r>
        <w:rPr>
          <w:rFonts w:hint="eastAsia"/>
          <w:sz w:val="21"/>
          <w:szCs w:val="21"/>
        </w:rPr>
        <w:t xml:space="preserve">或相关公告。 </w:t>
      </w:r>
    </w:p>
    <w:p w14:paraId="6056FC8E">
      <w:pPr>
        <w:widowControl/>
        <w:jc w:val="left"/>
        <w:rPr>
          <w:rFonts w:ascii="宋体" w:hAnsi="宋体" w:eastAsia="宋体"/>
        </w:rPr>
      </w:pPr>
      <w:r>
        <w:rPr>
          <w:rFonts w:ascii="宋体" w:hAnsi="宋体" w:eastAsia="宋体"/>
        </w:rPr>
        <w:br w:type="page"/>
      </w:r>
    </w:p>
    <w:p w14:paraId="1C349ACC">
      <w:pPr>
        <w:pStyle w:val="3"/>
        <w:jc w:val="center"/>
        <w:rPr>
          <w:rFonts w:ascii="宋体" w:hAnsi="宋体" w:eastAsia="宋体"/>
          <w:sz w:val="30"/>
        </w:rPr>
      </w:pPr>
      <w:bookmarkStart w:id="107" w:name="_Toc213857122"/>
      <w:bookmarkStart w:id="108" w:name="chapter_level1_11_60"/>
      <w:r>
        <w:rPr>
          <w:rFonts w:hint="eastAsia" w:ascii="宋体" w:hAnsi="宋体" w:eastAsia="宋体"/>
          <w:sz w:val="30"/>
        </w:rPr>
        <w:t>第八部分  基金的投资</w:t>
      </w:r>
      <w:bookmarkEnd w:id="107"/>
      <w:bookmarkEnd w:id="108"/>
    </w:p>
    <w:p w14:paraId="3CAEED66">
      <w:pPr>
        <w:pStyle w:val="8"/>
        <w:spacing w:before="0" w:beforeAutospacing="0" w:after="0" w:afterAutospacing="0" w:line="360" w:lineRule="auto"/>
        <w:ind w:firstLine="420"/>
        <w:rPr>
          <w:sz w:val="21"/>
          <w:szCs w:val="21"/>
        </w:rPr>
      </w:pPr>
      <w:bookmarkStart w:id="109" w:name="chapter_level1_11_60_section_1"/>
      <w:bookmarkEnd w:id="109"/>
      <w:r>
        <w:rPr>
          <w:rStyle w:val="12"/>
          <w:rFonts w:hint="eastAsia"/>
          <w:sz w:val="21"/>
          <w:szCs w:val="21"/>
        </w:rPr>
        <w:t>一、投资目标</w:t>
      </w:r>
    </w:p>
    <w:p w14:paraId="4E669BA1">
      <w:pPr>
        <w:pStyle w:val="8"/>
        <w:spacing w:before="0" w:beforeAutospacing="0" w:after="0" w:afterAutospacing="0" w:line="360" w:lineRule="auto"/>
        <w:ind w:firstLine="420"/>
        <w:rPr>
          <w:sz w:val="21"/>
          <w:szCs w:val="21"/>
        </w:rPr>
      </w:pPr>
      <w:bookmarkStart w:id="110" w:name="field_60_investmenttarget_1_start"/>
      <w:bookmarkEnd w:id="110"/>
      <w:r>
        <w:rPr>
          <w:rFonts w:hint="eastAsia"/>
          <w:sz w:val="21"/>
          <w:szCs w:val="21"/>
        </w:rPr>
        <w:t xml:space="preserve">本基金优选具备持续成长性、估值相对合理的上市公司，在严格控制风险的前提下，分享上市公司盈利增长，追求资产净值的长期稳健增值。 </w:t>
      </w:r>
      <w:bookmarkStart w:id="111" w:name="field_60_investmenttarget_1_end"/>
      <w:bookmarkEnd w:id="111"/>
    </w:p>
    <w:p w14:paraId="57BDF7D6">
      <w:pPr>
        <w:pStyle w:val="8"/>
        <w:spacing w:before="0" w:beforeAutospacing="0" w:after="0" w:afterAutospacing="0" w:line="360" w:lineRule="auto"/>
        <w:ind w:firstLine="420"/>
        <w:rPr>
          <w:sz w:val="21"/>
          <w:szCs w:val="21"/>
        </w:rPr>
      </w:pPr>
      <w:r>
        <w:rPr>
          <w:rStyle w:val="12"/>
          <w:rFonts w:hint="eastAsia"/>
          <w:sz w:val="21"/>
          <w:szCs w:val="21"/>
        </w:rPr>
        <w:t>二、投资范围</w:t>
      </w:r>
    </w:p>
    <w:p w14:paraId="4F4FA772">
      <w:pPr>
        <w:pStyle w:val="8"/>
        <w:spacing w:before="0" w:beforeAutospacing="0" w:after="0" w:afterAutospacing="0" w:line="360" w:lineRule="auto"/>
        <w:ind w:firstLine="420"/>
        <w:rPr>
          <w:sz w:val="21"/>
          <w:szCs w:val="21"/>
        </w:rPr>
      </w:pPr>
      <w:bookmarkStart w:id="112" w:name="field_60_investmentrange_1_start"/>
      <w:bookmarkEnd w:id="112"/>
      <w:r>
        <w:rPr>
          <w:rFonts w:hint="eastAsia"/>
          <w:sz w:val="21"/>
          <w:szCs w:val="21"/>
        </w:rPr>
        <w:t xml:space="preserve">本基金的投资范围主要为具有良好流动性的金融工具，包括国内依法发行上市的股票（包括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政府支持债券、企业债、公司债、央行票据、中期票据、短期融资券、超短期融资券、可转换债券（含可分离交易可转债）、可交换债、次级债等）、资产支持证券、债券回购、银行存款、同业存单、货币市场工具、股指期货、股票期权、国债期货、信用衍生品及法律法规或中国证监会允许基金投资的其他金融工具（但须符合中国证监会相关规定）。 </w:t>
      </w:r>
    </w:p>
    <w:p w14:paraId="3924346A">
      <w:pPr>
        <w:pStyle w:val="8"/>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1FB3E6A0">
      <w:pPr>
        <w:pStyle w:val="8"/>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17171D83">
      <w:pPr>
        <w:pStyle w:val="8"/>
        <w:spacing w:before="0" w:beforeAutospacing="0" w:after="0" w:afterAutospacing="0" w:line="360" w:lineRule="auto"/>
        <w:ind w:firstLine="420"/>
        <w:rPr>
          <w:sz w:val="21"/>
          <w:szCs w:val="21"/>
        </w:rPr>
      </w:pPr>
      <w:r>
        <w:rPr>
          <w:rFonts w:hint="eastAsia"/>
          <w:sz w:val="21"/>
          <w:szCs w:val="21"/>
        </w:rPr>
        <w:t xml:space="preserve">本基金的投资组合比例为：本基金投资组合中股票（含存托凭证）资产投资比例占基金资产的60%-95%；港股通标的股票的投资比例为股票资产的0%-50%；每个交易日日终在扣除股指期货合约、股票期权合约、国债期货合约所需缴纳的交易保证金后，现金或到期日在一年以内的政府债券不低于基金资产净值的5%。前述现金不包括结算备付金、存出保证金、应收申购款等。  </w:t>
      </w:r>
    </w:p>
    <w:p w14:paraId="4EAF564F">
      <w:pPr>
        <w:pStyle w:val="8"/>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113" w:name="field_60_investmentrange_1_end"/>
      <w:bookmarkEnd w:id="113"/>
    </w:p>
    <w:p w14:paraId="3BA67251">
      <w:pPr>
        <w:pStyle w:val="8"/>
        <w:spacing w:before="0" w:beforeAutospacing="0" w:after="0" w:afterAutospacing="0" w:line="360" w:lineRule="auto"/>
        <w:ind w:firstLine="420"/>
        <w:rPr>
          <w:sz w:val="21"/>
          <w:szCs w:val="21"/>
        </w:rPr>
      </w:pPr>
      <w:r>
        <w:rPr>
          <w:rStyle w:val="12"/>
          <w:rFonts w:hint="eastAsia"/>
          <w:sz w:val="21"/>
          <w:szCs w:val="21"/>
        </w:rPr>
        <w:t>三、投资策略</w:t>
      </w:r>
    </w:p>
    <w:p w14:paraId="1D1681DC">
      <w:pPr>
        <w:pStyle w:val="8"/>
        <w:spacing w:before="0" w:beforeAutospacing="0" w:after="0" w:afterAutospacing="0" w:line="360" w:lineRule="auto"/>
        <w:ind w:firstLine="420"/>
        <w:rPr>
          <w:sz w:val="21"/>
          <w:szCs w:val="21"/>
        </w:rPr>
      </w:pPr>
      <w:bookmarkStart w:id="114" w:name="field_60_investmentstrategy_1_start"/>
      <w:bookmarkEnd w:id="114"/>
      <w:r>
        <w:rPr>
          <w:rFonts w:hint="eastAsia"/>
          <w:sz w:val="21"/>
          <w:szCs w:val="21"/>
        </w:rPr>
        <w:t xml:space="preserve">投资策略主要包括资产配置策略、股票投资策略、其他资产投资策略三个部分内容。其中，资产配置策略即根据经济周期决定权益类证券和固定收益类证券的投资比例。其次，股票投资策略包括个股投资策略、行业配置策略、交易策略、港股通标的股票投资策略和存托凭证投资策略。其他资产投资策略有债券投资策略、衍生产品投资/交易策略、资产支持证券投资策略、流通受限证券投资策略、参与融资业务投资策略。  </w:t>
      </w:r>
    </w:p>
    <w:p w14:paraId="5B8323CE">
      <w:pPr>
        <w:pStyle w:val="8"/>
        <w:spacing w:before="0" w:beforeAutospacing="0" w:after="0" w:afterAutospacing="0" w:line="360" w:lineRule="auto"/>
        <w:ind w:firstLine="420"/>
        <w:rPr>
          <w:sz w:val="21"/>
          <w:szCs w:val="21"/>
        </w:rPr>
      </w:pPr>
      <w:r>
        <w:rPr>
          <w:rFonts w:hint="eastAsia"/>
          <w:sz w:val="21"/>
          <w:szCs w:val="21"/>
        </w:rPr>
        <w:t xml:space="preserve">（一）资产配置策略 </w:t>
      </w:r>
    </w:p>
    <w:p w14:paraId="5DC54E38">
      <w:pPr>
        <w:pStyle w:val="8"/>
        <w:spacing w:before="0" w:beforeAutospacing="0" w:after="0" w:afterAutospacing="0" w:line="360" w:lineRule="auto"/>
        <w:ind w:firstLine="420"/>
        <w:rPr>
          <w:sz w:val="21"/>
          <w:szCs w:val="21"/>
        </w:rPr>
      </w:pPr>
      <w:r>
        <w:rPr>
          <w:rFonts w:hint="eastAsia"/>
          <w:sz w:val="21"/>
          <w:szCs w:val="21"/>
        </w:rPr>
        <w:t xml:space="preserve">本基金将基于各项重要的经济指标分析宏观经济趋势，结合货币财政政策形势、行业发展状况、证券市场走势等综合分析，主动判断所处经济周期和市场时机，进行积极的资产配置。本基金将根据各类资产风险收益特征的相对变化，对未来各大类资产的风险和预期收益率进行分析评估，制定股票、债券、现金等大类资产之间的配置比例、调整原则和调整范围。 </w:t>
      </w:r>
    </w:p>
    <w:p w14:paraId="2B87FFD5">
      <w:pPr>
        <w:pStyle w:val="8"/>
        <w:spacing w:before="0" w:beforeAutospacing="0" w:after="0" w:afterAutospacing="0" w:line="360" w:lineRule="auto"/>
        <w:ind w:firstLine="420"/>
        <w:rPr>
          <w:sz w:val="21"/>
          <w:szCs w:val="21"/>
        </w:rPr>
      </w:pPr>
      <w:r>
        <w:rPr>
          <w:rFonts w:hint="eastAsia"/>
          <w:sz w:val="21"/>
          <w:szCs w:val="21"/>
        </w:rPr>
        <w:t xml:space="preserve">（二）股票投资策略 </w:t>
      </w:r>
    </w:p>
    <w:p w14:paraId="2B59D1FA">
      <w:pPr>
        <w:pStyle w:val="8"/>
        <w:spacing w:before="0" w:beforeAutospacing="0" w:after="0" w:afterAutospacing="0" w:line="360" w:lineRule="auto"/>
        <w:ind w:firstLine="420"/>
        <w:rPr>
          <w:sz w:val="21"/>
          <w:szCs w:val="21"/>
        </w:rPr>
      </w:pPr>
      <w:r>
        <w:rPr>
          <w:rFonts w:hint="eastAsia"/>
          <w:sz w:val="21"/>
          <w:szCs w:val="21"/>
        </w:rPr>
        <w:t xml:space="preserve">本基金的股票投资采用“自上而下”和“自下而上”相结合的策略，对上市公司的行业发展趋势、成长性与投资价值进行权衡，根据实体经济运行、产业发展趋势、上下游行业运行态势等观察并选取景气度上行行业，并通过对上市公司基本面的深入研究筛选价格处于合理水平的股票进行投资。  </w:t>
      </w:r>
    </w:p>
    <w:p w14:paraId="7790481E">
      <w:pPr>
        <w:pStyle w:val="8"/>
        <w:spacing w:before="0" w:beforeAutospacing="0" w:after="0" w:afterAutospacing="0" w:line="360" w:lineRule="auto"/>
        <w:ind w:firstLine="420"/>
        <w:rPr>
          <w:sz w:val="21"/>
          <w:szCs w:val="21"/>
        </w:rPr>
      </w:pPr>
      <w:r>
        <w:rPr>
          <w:rFonts w:hint="eastAsia"/>
          <w:sz w:val="21"/>
          <w:szCs w:val="21"/>
        </w:rPr>
        <w:t xml:space="preserve">1、个股投资策略 </w:t>
      </w:r>
    </w:p>
    <w:p w14:paraId="76CA211B">
      <w:pPr>
        <w:pStyle w:val="8"/>
        <w:spacing w:before="0" w:beforeAutospacing="0" w:after="0" w:afterAutospacing="0" w:line="360" w:lineRule="auto"/>
        <w:ind w:firstLine="420"/>
        <w:rPr>
          <w:sz w:val="21"/>
          <w:szCs w:val="21"/>
        </w:rPr>
      </w:pPr>
      <w:r>
        <w:rPr>
          <w:rFonts w:hint="eastAsia"/>
          <w:sz w:val="21"/>
          <w:szCs w:val="21"/>
        </w:rPr>
        <w:t xml:space="preserve">本基金将采用成长价值投资策略（GARP策略）进行股票投资，注重上市公司基本面与估值匹配，在追求成长性的同时亦对估值合理性保持关注。成长优选股票是指通过GARP策略择优选取的，符合经济发展趋势或产业发展方向，在行业空间、竞争格局、盈利能力、公司治理等多方面具有优势，具备持续增长潜力的上市公司发行的股票。  </w:t>
      </w:r>
    </w:p>
    <w:p w14:paraId="21797EB0">
      <w:pPr>
        <w:pStyle w:val="8"/>
        <w:spacing w:before="0" w:beforeAutospacing="0" w:after="0" w:afterAutospacing="0" w:line="360" w:lineRule="auto"/>
        <w:ind w:firstLine="420"/>
        <w:rPr>
          <w:sz w:val="21"/>
          <w:szCs w:val="21"/>
        </w:rPr>
      </w:pPr>
      <w:r>
        <w:rPr>
          <w:rFonts w:hint="eastAsia"/>
          <w:sz w:val="21"/>
          <w:szCs w:val="21"/>
        </w:rPr>
        <w:t xml:space="preserve">本基金将优选具备持续成长性和估值优势的个股作为本基金的核心投资标的，包括上市公司以下五个方面的情况： </w:t>
      </w:r>
    </w:p>
    <w:p w14:paraId="7B04C649">
      <w:pPr>
        <w:pStyle w:val="8"/>
        <w:spacing w:before="0" w:beforeAutospacing="0" w:after="0" w:afterAutospacing="0" w:line="360" w:lineRule="auto"/>
        <w:ind w:firstLine="420"/>
        <w:rPr>
          <w:sz w:val="21"/>
          <w:szCs w:val="21"/>
        </w:rPr>
      </w:pPr>
      <w:r>
        <w:rPr>
          <w:rFonts w:hint="eastAsia"/>
          <w:sz w:val="21"/>
          <w:szCs w:val="21"/>
        </w:rPr>
        <w:t xml:space="preserve">（1）行业空间：符合经济发展趋势以及产业升级转型方向，成长空间较大的行业，以及处于高速成长中的公司；  </w:t>
      </w:r>
    </w:p>
    <w:p w14:paraId="43C3B8DA">
      <w:pPr>
        <w:pStyle w:val="8"/>
        <w:spacing w:before="0" w:beforeAutospacing="0" w:after="0" w:afterAutospacing="0" w:line="360" w:lineRule="auto"/>
        <w:ind w:firstLine="420"/>
        <w:rPr>
          <w:sz w:val="21"/>
          <w:szCs w:val="21"/>
        </w:rPr>
      </w:pPr>
      <w:r>
        <w:rPr>
          <w:rFonts w:hint="eastAsia"/>
          <w:sz w:val="21"/>
          <w:szCs w:val="21"/>
        </w:rPr>
        <w:t xml:space="preserve">（2）行业结构：行业结构分析主要考察行业集中度、上市公司行业地位以及在行业竞争中上市公司受影响的程度；  </w:t>
      </w:r>
    </w:p>
    <w:p w14:paraId="6876952A">
      <w:pPr>
        <w:pStyle w:val="8"/>
        <w:spacing w:before="0" w:beforeAutospacing="0" w:after="0" w:afterAutospacing="0" w:line="360" w:lineRule="auto"/>
        <w:ind w:firstLine="420"/>
        <w:rPr>
          <w:sz w:val="21"/>
          <w:szCs w:val="21"/>
        </w:rPr>
      </w:pPr>
      <w:r>
        <w:rPr>
          <w:rFonts w:hint="eastAsia"/>
          <w:sz w:val="21"/>
          <w:szCs w:val="21"/>
        </w:rPr>
        <w:t xml:space="preserve">（3）上下游地位：上下游地位分析主要考察企业所在行业的上下游运行态势与利益分配，决定企业在产业链中处于何种地位，决定企业在产业链中是否处于有利地位，相对于上下游而言议价能力是否趋于提升是主要的评判因素；  </w:t>
      </w:r>
    </w:p>
    <w:p w14:paraId="0D2021B8">
      <w:pPr>
        <w:pStyle w:val="8"/>
        <w:spacing w:before="0" w:beforeAutospacing="0" w:after="0" w:afterAutospacing="0" w:line="360" w:lineRule="auto"/>
        <w:ind w:firstLine="420"/>
        <w:rPr>
          <w:sz w:val="21"/>
          <w:szCs w:val="21"/>
        </w:rPr>
      </w:pPr>
      <w:r>
        <w:rPr>
          <w:rFonts w:hint="eastAsia"/>
          <w:sz w:val="21"/>
          <w:szCs w:val="21"/>
        </w:rPr>
        <w:t xml:space="preserve">（4）竞争优势：竞争优势分析主要考察企业在规模经济、资源或政策垄断、技术创新、品牌、经营效率等方面是否具有竞争对手在中长期时间内难以模仿的显著优势；  </w:t>
      </w:r>
    </w:p>
    <w:p w14:paraId="76CBD564">
      <w:pPr>
        <w:pStyle w:val="8"/>
        <w:spacing w:before="0" w:beforeAutospacing="0" w:after="0" w:afterAutospacing="0" w:line="360" w:lineRule="auto"/>
        <w:ind w:firstLine="420"/>
        <w:rPr>
          <w:sz w:val="21"/>
          <w:szCs w:val="21"/>
        </w:rPr>
      </w:pPr>
      <w:r>
        <w:rPr>
          <w:rFonts w:hint="eastAsia"/>
          <w:sz w:val="21"/>
          <w:szCs w:val="21"/>
        </w:rPr>
        <w:t xml:space="preserve">（5）公司治理：公司有稳定的股东背景，管理层利益与股东利益一致及公司经营上没有不良的历史记录，例如公司控股股东不能有频繁的变更的情况、管理层经营上没有重大的违纪违法事件，公司管理层薪酬考核与上市公司盈利挂钩。  </w:t>
      </w:r>
    </w:p>
    <w:p w14:paraId="6A97BF4A">
      <w:pPr>
        <w:pStyle w:val="8"/>
        <w:spacing w:before="0" w:beforeAutospacing="0" w:after="0" w:afterAutospacing="0" w:line="360" w:lineRule="auto"/>
        <w:ind w:firstLine="420"/>
        <w:rPr>
          <w:sz w:val="21"/>
          <w:szCs w:val="21"/>
        </w:rPr>
      </w:pPr>
      <w:r>
        <w:rPr>
          <w:rFonts w:hint="eastAsia"/>
          <w:sz w:val="21"/>
          <w:szCs w:val="21"/>
        </w:rPr>
        <w:t xml:space="preserve">2、行业配置策略 </w:t>
      </w:r>
    </w:p>
    <w:p w14:paraId="6BB4A924">
      <w:pPr>
        <w:pStyle w:val="8"/>
        <w:spacing w:before="0" w:beforeAutospacing="0" w:after="0" w:afterAutospacing="0" w:line="360" w:lineRule="auto"/>
        <w:ind w:firstLine="420"/>
        <w:rPr>
          <w:sz w:val="21"/>
          <w:szCs w:val="21"/>
        </w:rPr>
      </w:pPr>
      <w:r>
        <w:rPr>
          <w:rFonts w:hint="eastAsia"/>
          <w:sz w:val="21"/>
          <w:szCs w:val="21"/>
        </w:rPr>
        <w:t xml:space="preserve">本基金将在考虑行业生命周期、宏观经济周期不同阶段的行业景气程度以及股票市场行业轮动规律的基础上，结合当前经济形势和资本市场特征，从未来成长空间与趋势和历史估值比较等方面进行深入分析，重点关注符合经济发展趋势、产业升级转型方向，具有巨大成长空间的行业。同时，本基金将根据宏观经济及证券市场环境的变化，履行适当程序后，及时对行业配置进行动态调整。 </w:t>
      </w:r>
    </w:p>
    <w:p w14:paraId="71B7CB74">
      <w:pPr>
        <w:pStyle w:val="8"/>
        <w:spacing w:before="0" w:beforeAutospacing="0" w:after="0" w:afterAutospacing="0" w:line="360" w:lineRule="auto"/>
        <w:ind w:firstLine="420"/>
        <w:rPr>
          <w:sz w:val="21"/>
          <w:szCs w:val="21"/>
        </w:rPr>
      </w:pPr>
      <w:r>
        <w:rPr>
          <w:rFonts w:hint="eastAsia"/>
          <w:sz w:val="21"/>
          <w:szCs w:val="21"/>
        </w:rPr>
        <w:t xml:space="preserve">3、交易策略 </w:t>
      </w:r>
    </w:p>
    <w:p w14:paraId="331D99F9">
      <w:pPr>
        <w:pStyle w:val="8"/>
        <w:spacing w:before="0" w:beforeAutospacing="0" w:after="0" w:afterAutospacing="0" w:line="360" w:lineRule="auto"/>
        <w:ind w:firstLine="420"/>
        <w:rPr>
          <w:sz w:val="21"/>
          <w:szCs w:val="21"/>
        </w:rPr>
      </w:pPr>
      <w:r>
        <w:rPr>
          <w:rFonts w:hint="eastAsia"/>
          <w:sz w:val="21"/>
          <w:szCs w:val="21"/>
        </w:rPr>
        <w:t xml:space="preserve">通过详实的基础研究以及后续追踪，合理确定投资标的交易价格区间，减少交易的随机性。 </w:t>
      </w:r>
    </w:p>
    <w:p w14:paraId="0744CB47">
      <w:pPr>
        <w:pStyle w:val="8"/>
        <w:spacing w:before="0" w:beforeAutospacing="0" w:after="0" w:afterAutospacing="0" w:line="360" w:lineRule="auto"/>
        <w:ind w:firstLine="420"/>
        <w:rPr>
          <w:sz w:val="21"/>
          <w:szCs w:val="21"/>
        </w:rPr>
      </w:pPr>
      <w:r>
        <w:rPr>
          <w:rFonts w:hint="eastAsia"/>
          <w:sz w:val="21"/>
          <w:szCs w:val="21"/>
        </w:rPr>
        <w:t xml:space="preserve">4、港股通标的股票投资策略 </w:t>
      </w:r>
    </w:p>
    <w:p w14:paraId="621A2B09">
      <w:pPr>
        <w:pStyle w:val="8"/>
        <w:spacing w:before="0" w:beforeAutospacing="0" w:after="0" w:afterAutospacing="0" w:line="360" w:lineRule="auto"/>
        <w:ind w:firstLine="420"/>
        <w:rPr>
          <w:sz w:val="21"/>
          <w:szCs w:val="21"/>
        </w:rPr>
      </w:pPr>
      <w:r>
        <w:rPr>
          <w:rFonts w:hint="eastAsia"/>
          <w:sz w:val="21"/>
          <w:szCs w:val="21"/>
        </w:rPr>
        <w:t xml:space="preserve">本基金将充分挖掘内地与香港股票市场交易互联互通、资金双向流动机制下A股市场和港股市场的投资机会。具体投资策略如下：  </w:t>
      </w:r>
    </w:p>
    <w:p w14:paraId="42CFA843">
      <w:pPr>
        <w:pStyle w:val="8"/>
        <w:spacing w:before="0" w:beforeAutospacing="0" w:after="0" w:afterAutospacing="0" w:line="360" w:lineRule="auto"/>
        <w:ind w:firstLine="420"/>
        <w:rPr>
          <w:sz w:val="21"/>
          <w:szCs w:val="21"/>
        </w:rPr>
      </w:pPr>
      <w:r>
        <w:rPr>
          <w:rFonts w:hint="eastAsia"/>
          <w:sz w:val="21"/>
          <w:szCs w:val="21"/>
        </w:rPr>
        <w:t xml:space="preserve">第一，对于两地同时上市的公司，考察其折溢价水平，寻找相对于A股有异常折价或估值和波动性相对于A股更加稳定的H股标的。  </w:t>
      </w:r>
    </w:p>
    <w:p w14:paraId="55A5865C">
      <w:pPr>
        <w:pStyle w:val="8"/>
        <w:spacing w:before="0" w:beforeAutospacing="0" w:after="0" w:afterAutospacing="0" w:line="360" w:lineRule="auto"/>
        <w:ind w:firstLine="420"/>
        <w:rPr>
          <w:sz w:val="21"/>
          <w:szCs w:val="21"/>
        </w:rPr>
      </w:pPr>
      <w:r>
        <w:rPr>
          <w:rFonts w:hint="eastAsia"/>
          <w:sz w:val="21"/>
          <w:szCs w:val="21"/>
        </w:rPr>
        <w:t xml:space="preserve">第二，考察港股通标的股票的行业属性和商业模式，寻找具备持续成长性且估值相对合理的标的。 </w:t>
      </w:r>
    </w:p>
    <w:p w14:paraId="743C8FF5">
      <w:pPr>
        <w:pStyle w:val="8"/>
        <w:spacing w:before="0" w:beforeAutospacing="0" w:after="0" w:afterAutospacing="0" w:line="360" w:lineRule="auto"/>
        <w:ind w:firstLine="420"/>
        <w:rPr>
          <w:sz w:val="21"/>
          <w:szCs w:val="21"/>
        </w:rPr>
      </w:pPr>
      <w:r>
        <w:rPr>
          <w:rFonts w:hint="eastAsia"/>
          <w:sz w:val="21"/>
          <w:szCs w:val="21"/>
        </w:rPr>
        <w:t xml:space="preserve">本基金将持续追踪A股市场和港股市场的相对估值和市场情况，适时调整组合中港股通标的股票的投资比例。  </w:t>
      </w:r>
    </w:p>
    <w:p w14:paraId="0C4BF0FB">
      <w:pPr>
        <w:pStyle w:val="8"/>
        <w:spacing w:before="0" w:beforeAutospacing="0" w:after="0" w:afterAutospacing="0" w:line="360" w:lineRule="auto"/>
        <w:ind w:firstLine="420"/>
        <w:rPr>
          <w:sz w:val="21"/>
          <w:szCs w:val="21"/>
        </w:rPr>
      </w:pPr>
      <w:r>
        <w:rPr>
          <w:rFonts w:hint="eastAsia"/>
          <w:sz w:val="21"/>
          <w:szCs w:val="21"/>
        </w:rPr>
        <w:t xml:space="preserve">5、存托凭证投资策略 </w:t>
      </w:r>
    </w:p>
    <w:p w14:paraId="468A8182">
      <w:pPr>
        <w:pStyle w:val="8"/>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3E9B6D80">
      <w:pPr>
        <w:pStyle w:val="8"/>
        <w:spacing w:before="0" w:beforeAutospacing="0" w:after="0" w:afterAutospacing="0" w:line="360" w:lineRule="auto"/>
        <w:ind w:firstLine="420"/>
        <w:rPr>
          <w:sz w:val="21"/>
          <w:szCs w:val="21"/>
        </w:rPr>
      </w:pPr>
      <w:r>
        <w:rPr>
          <w:rFonts w:hint="eastAsia"/>
          <w:sz w:val="21"/>
          <w:szCs w:val="21"/>
        </w:rPr>
        <w:t xml:space="preserve">（三）债券投资策略 </w:t>
      </w:r>
    </w:p>
    <w:p w14:paraId="3699F39D">
      <w:pPr>
        <w:pStyle w:val="8"/>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本基金采用的债券投资策略包括：期限结构策略、信用策略、互换策略、息差策略、可转换债券及可交换债券投资策略等。 </w:t>
      </w:r>
    </w:p>
    <w:p w14:paraId="066BBAFE">
      <w:pPr>
        <w:pStyle w:val="8"/>
        <w:spacing w:before="0" w:beforeAutospacing="0" w:after="0" w:afterAutospacing="0" w:line="360" w:lineRule="auto"/>
        <w:ind w:firstLine="420"/>
        <w:rPr>
          <w:sz w:val="21"/>
          <w:szCs w:val="21"/>
        </w:rPr>
      </w:pPr>
      <w:r>
        <w:rPr>
          <w:rFonts w:hint="eastAsia"/>
          <w:sz w:val="21"/>
          <w:szCs w:val="21"/>
        </w:rPr>
        <w:t xml:space="preserve">1、期限结构策略 </w:t>
      </w:r>
    </w:p>
    <w:p w14:paraId="6F7C69E5">
      <w:pPr>
        <w:pStyle w:val="8"/>
        <w:spacing w:before="0" w:beforeAutospacing="0" w:after="0" w:afterAutospacing="0" w:line="360" w:lineRule="auto"/>
        <w:ind w:firstLine="420"/>
        <w:rPr>
          <w:sz w:val="21"/>
          <w:szCs w:val="21"/>
        </w:rPr>
      </w:pPr>
      <w:r>
        <w:rPr>
          <w:rFonts w:hint="eastAsia"/>
          <w:sz w:val="21"/>
          <w:szCs w:val="21"/>
        </w:rPr>
        <w:t xml:space="preserve">通过预测收益率曲线的形状和变化趋势，对各类型债券进行久期配置。具体策略又分为跟踪收益率曲线的骑乘策略和基于收益率曲线变化的子弹策略、杠铃策略及梯式策略。 </w:t>
      </w:r>
    </w:p>
    <w:p w14:paraId="72296B7B">
      <w:pPr>
        <w:pStyle w:val="8"/>
        <w:spacing w:before="0" w:beforeAutospacing="0" w:after="0" w:afterAutospacing="0" w:line="360" w:lineRule="auto"/>
        <w:ind w:firstLine="420"/>
        <w:rPr>
          <w:sz w:val="21"/>
          <w:szCs w:val="21"/>
        </w:rPr>
      </w:pPr>
      <w:r>
        <w:rPr>
          <w:rFonts w:hint="eastAsia"/>
          <w:sz w:val="21"/>
          <w:szCs w:val="21"/>
        </w:rPr>
        <w:t xml:space="preserve">2、信用策略 </w:t>
      </w:r>
    </w:p>
    <w:p w14:paraId="373F8492">
      <w:pPr>
        <w:pStyle w:val="8"/>
        <w:spacing w:before="0" w:beforeAutospacing="0" w:after="0" w:afterAutospacing="0" w:line="360" w:lineRule="auto"/>
        <w:ind w:firstLine="420"/>
        <w:rPr>
          <w:sz w:val="21"/>
          <w:szCs w:val="21"/>
        </w:rPr>
      </w:pPr>
      <w:r>
        <w:rPr>
          <w:rFonts w:hint="eastAsia"/>
          <w:sz w:val="21"/>
          <w:szCs w:val="21"/>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基于信用利差曲线变化策略和基于信用债信用变化策略。 </w:t>
      </w:r>
    </w:p>
    <w:p w14:paraId="68CD33E0">
      <w:pPr>
        <w:pStyle w:val="8"/>
        <w:spacing w:before="0" w:beforeAutospacing="0" w:after="0" w:afterAutospacing="0" w:line="360" w:lineRule="auto"/>
        <w:ind w:firstLine="420"/>
        <w:rPr>
          <w:sz w:val="21"/>
          <w:szCs w:val="21"/>
        </w:rPr>
      </w:pPr>
      <w:r>
        <w:rPr>
          <w:rFonts w:hint="eastAsia"/>
          <w:sz w:val="21"/>
          <w:szCs w:val="21"/>
        </w:rPr>
        <w:t xml:space="preserve">3、互换策略 </w:t>
      </w:r>
    </w:p>
    <w:p w14:paraId="3616501C">
      <w:pPr>
        <w:pStyle w:val="8"/>
        <w:spacing w:before="0" w:beforeAutospacing="0" w:after="0" w:afterAutospacing="0" w:line="360" w:lineRule="auto"/>
        <w:ind w:firstLine="420"/>
        <w:rPr>
          <w:sz w:val="21"/>
          <w:szCs w:val="21"/>
        </w:rPr>
      </w:pPr>
      <w:r>
        <w:rPr>
          <w:rFonts w:hint="eastAsia"/>
          <w:sz w:val="21"/>
          <w:szCs w:val="21"/>
        </w:rPr>
        <w:t xml:space="preserve">不同券种在利息、违约风险、久期、流动性、税收和衍生条款等方面存在差别，基金管理人可以同时买入和卖出具有相近特性的两个或两个以上券种，赚取收益级差。 </w:t>
      </w:r>
    </w:p>
    <w:p w14:paraId="597890D7">
      <w:pPr>
        <w:pStyle w:val="8"/>
        <w:spacing w:before="0" w:beforeAutospacing="0" w:after="0" w:afterAutospacing="0" w:line="360" w:lineRule="auto"/>
        <w:ind w:firstLine="420"/>
        <w:rPr>
          <w:sz w:val="21"/>
          <w:szCs w:val="21"/>
        </w:rPr>
      </w:pPr>
      <w:r>
        <w:rPr>
          <w:rFonts w:hint="eastAsia"/>
          <w:sz w:val="21"/>
          <w:szCs w:val="21"/>
        </w:rPr>
        <w:t xml:space="preserve">4、息差策略 </w:t>
      </w:r>
    </w:p>
    <w:p w14:paraId="60DC05BA">
      <w:pPr>
        <w:pStyle w:val="8"/>
        <w:spacing w:before="0" w:beforeAutospacing="0" w:after="0" w:afterAutospacing="0" w:line="360" w:lineRule="auto"/>
        <w:ind w:firstLine="420"/>
        <w:rPr>
          <w:sz w:val="21"/>
          <w:szCs w:val="21"/>
        </w:rPr>
      </w:pPr>
      <w:r>
        <w:rPr>
          <w:rFonts w:hint="eastAsia"/>
          <w:sz w:val="21"/>
          <w:szCs w:val="21"/>
        </w:rPr>
        <w:t xml:space="preserve">通过正回购，融资买入收益率高于回购成本的债券，从而获得杠杆放大收益。 </w:t>
      </w:r>
    </w:p>
    <w:p w14:paraId="06CC3681">
      <w:pPr>
        <w:pStyle w:val="8"/>
        <w:spacing w:before="0" w:beforeAutospacing="0" w:after="0" w:afterAutospacing="0" w:line="360" w:lineRule="auto"/>
        <w:ind w:firstLine="420"/>
        <w:rPr>
          <w:sz w:val="21"/>
          <w:szCs w:val="21"/>
        </w:rPr>
      </w:pPr>
      <w:r>
        <w:rPr>
          <w:rFonts w:hint="eastAsia"/>
          <w:sz w:val="21"/>
          <w:szCs w:val="21"/>
        </w:rPr>
        <w:t xml:space="preserve">5、可转换债券及可交换债券投资策略 </w:t>
      </w:r>
    </w:p>
    <w:p w14:paraId="01CC0D40">
      <w:pPr>
        <w:pStyle w:val="8"/>
        <w:spacing w:before="0" w:beforeAutospacing="0" w:after="0" w:afterAutospacing="0" w:line="360" w:lineRule="auto"/>
        <w:ind w:firstLine="420"/>
        <w:rPr>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14:paraId="309D9BA0">
      <w:pPr>
        <w:pStyle w:val="8"/>
        <w:spacing w:before="0" w:beforeAutospacing="0" w:after="0" w:afterAutospacing="0" w:line="360" w:lineRule="auto"/>
        <w:ind w:firstLine="420"/>
        <w:rPr>
          <w:sz w:val="21"/>
          <w:szCs w:val="21"/>
        </w:rPr>
      </w:pPr>
      <w:r>
        <w:rPr>
          <w:rFonts w:hint="eastAsia"/>
          <w:sz w:val="21"/>
          <w:szCs w:val="21"/>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14:paraId="08A5EB46">
      <w:pPr>
        <w:pStyle w:val="8"/>
        <w:spacing w:before="0" w:beforeAutospacing="0" w:after="0" w:afterAutospacing="0" w:line="360" w:lineRule="auto"/>
        <w:ind w:firstLine="420"/>
        <w:rPr>
          <w:sz w:val="21"/>
          <w:szCs w:val="21"/>
        </w:rPr>
      </w:pPr>
      <w:r>
        <w:rPr>
          <w:rFonts w:hint="eastAsia"/>
          <w:sz w:val="21"/>
          <w:szCs w:val="21"/>
        </w:rPr>
        <w:t xml:space="preserve">（四）衍生品投资/交易策略  </w:t>
      </w:r>
    </w:p>
    <w:p w14:paraId="571CE5C5">
      <w:pPr>
        <w:pStyle w:val="8"/>
        <w:spacing w:before="0" w:beforeAutospacing="0" w:after="0" w:afterAutospacing="0" w:line="360" w:lineRule="auto"/>
        <w:ind w:firstLine="420"/>
        <w:rPr>
          <w:sz w:val="21"/>
          <w:szCs w:val="21"/>
        </w:rPr>
      </w:pPr>
      <w:r>
        <w:rPr>
          <w:rFonts w:hint="eastAsia"/>
          <w:sz w:val="21"/>
          <w:szCs w:val="21"/>
        </w:rPr>
        <w:t xml:space="preserve">1、股指期货、国债期货交易策略 </w:t>
      </w:r>
    </w:p>
    <w:p w14:paraId="02EAC747">
      <w:pPr>
        <w:pStyle w:val="8"/>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本基金将根据风险管理的原则，以套期保值为目的，在风险可控的前提下，本着谨慎原则，参与股指期货、国债期货的交易，以管理投资组合的系统性风险，改善组合的风险收益特性。 </w:t>
      </w:r>
    </w:p>
    <w:p w14:paraId="7F2A9AB3">
      <w:pPr>
        <w:pStyle w:val="8"/>
        <w:spacing w:before="0" w:beforeAutospacing="0" w:after="0" w:afterAutospacing="0" w:line="360" w:lineRule="auto"/>
        <w:ind w:firstLine="420"/>
        <w:rPr>
          <w:sz w:val="21"/>
          <w:szCs w:val="21"/>
        </w:rPr>
      </w:pPr>
      <w:r>
        <w:rPr>
          <w:rFonts w:hint="eastAsia"/>
          <w:sz w:val="21"/>
          <w:szCs w:val="21"/>
        </w:rPr>
        <w:t xml:space="preserve">2、股票期权投资策略 </w:t>
      </w:r>
    </w:p>
    <w:p w14:paraId="587EA17D">
      <w:pPr>
        <w:pStyle w:val="8"/>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3F18096F">
      <w:pPr>
        <w:pStyle w:val="8"/>
        <w:spacing w:before="0" w:beforeAutospacing="0" w:after="0" w:afterAutospacing="0" w:line="360" w:lineRule="auto"/>
        <w:ind w:firstLine="420"/>
        <w:rPr>
          <w:sz w:val="21"/>
          <w:szCs w:val="21"/>
        </w:rPr>
      </w:pPr>
      <w:r>
        <w:rPr>
          <w:rFonts w:hint="eastAsia"/>
          <w:sz w:val="21"/>
          <w:szCs w:val="21"/>
        </w:rPr>
        <w:t xml:space="preserve">本基金投资股票期权，基金管理人将根据审慎原则，建立股票期权交易决策部门或小组，授权特定的管理人员负责股票期权的投资审批事项，以防范股票期权投资的风险。 </w:t>
      </w:r>
    </w:p>
    <w:p w14:paraId="78DF1858">
      <w:pPr>
        <w:pStyle w:val="8"/>
        <w:spacing w:before="0" w:beforeAutospacing="0" w:after="0" w:afterAutospacing="0" w:line="360" w:lineRule="auto"/>
        <w:ind w:firstLine="420"/>
        <w:rPr>
          <w:sz w:val="21"/>
          <w:szCs w:val="21"/>
        </w:rPr>
      </w:pPr>
      <w:r>
        <w:rPr>
          <w:rFonts w:hint="eastAsia"/>
          <w:sz w:val="21"/>
          <w:szCs w:val="21"/>
        </w:rPr>
        <w:t xml:space="preserve">3、购买信用衍生品规避个券信用风险策略 </w:t>
      </w:r>
    </w:p>
    <w:p w14:paraId="4E5C0F4B">
      <w:pPr>
        <w:pStyle w:val="8"/>
        <w:spacing w:before="0" w:beforeAutospacing="0" w:after="0" w:afterAutospacing="0" w:line="360" w:lineRule="auto"/>
        <w:ind w:firstLine="420"/>
        <w:rPr>
          <w:sz w:val="21"/>
          <w:szCs w:val="21"/>
        </w:rPr>
      </w:pPr>
      <w:r>
        <w:rPr>
          <w:rFonts w:hint="eastAsia"/>
          <w:sz w:val="21"/>
          <w:szCs w:val="21"/>
        </w:rPr>
        <w:t xml:space="preserve">依托于公司整体的信用研究团队，当预期某只债券有较高的违约风险时，可以购买对应债券的信用衍生品来控制标的债券的信用风险冲击。 </w:t>
      </w:r>
    </w:p>
    <w:p w14:paraId="3945AF61">
      <w:pPr>
        <w:pStyle w:val="8"/>
        <w:spacing w:before="0" w:beforeAutospacing="0" w:after="0" w:afterAutospacing="0" w:line="360" w:lineRule="auto"/>
        <w:ind w:firstLine="420"/>
        <w:rPr>
          <w:sz w:val="21"/>
          <w:szCs w:val="21"/>
        </w:rPr>
      </w:pPr>
      <w:r>
        <w:rPr>
          <w:rFonts w:hint="eastAsia"/>
          <w:sz w:val="21"/>
          <w:szCs w:val="21"/>
        </w:rPr>
        <w:t xml:space="preserve">本基金按风险管理的原则，以风险对冲为目的参与信用衍生品交易，同时会根据实际情况尽量保持信用衍生品的名义本金与对应标的债券的面值相一致。 </w:t>
      </w:r>
    </w:p>
    <w:p w14:paraId="4BB6A732">
      <w:pPr>
        <w:pStyle w:val="8"/>
        <w:spacing w:before="0" w:beforeAutospacing="0" w:after="0" w:afterAutospacing="0" w:line="360" w:lineRule="auto"/>
        <w:ind w:firstLine="420"/>
        <w:rPr>
          <w:sz w:val="21"/>
          <w:szCs w:val="21"/>
        </w:rPr>
      </w:pPr>
      <w:r>
        <w:rPr>
          <w:rFonts w:hint="eastAsia"/>
          <w:sz w:val="21"/>
          <w:szCs w:val="21"/>
        </w:rPr>
        <w:t xml:space="preserve">（五）资产支持证券投资策略 </w:t>
      </w:r>
    </w:p>
    <w:p w14:paraId="3416BC5E">
      <w:pPr>
        <w:pStyle w:val="8"/>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66CCF6C8">
      <w:pPr>
        <w:pStyle w:val="8"/>
        <w:spacing w:before="0" w:beforeAutospacing="0" w:after="0" w:afterAutospacing="0" w:line="360" w:lineRule="auto"/>
        <w:ind w:firstLine="420"/>
        <w:rPr>
          <w:sz w:val="21"/>
          <w:szCs w:val="21"/>
        </w:rPr>
      </w:pPr>
      <w:r>
        <w:rPr>
          <w:rFonts w:hint="eastAsia"/>
          <w:sz w:val="21"/>
          <w:szCs w:val="21"/>
        </w:rPr>
        <w:t xml:space="preserve">（六）流通受限证券投资策略 </w:t>
      </w:r>
    </w:p>
    <w:p w14:paraId="4CE6B3DB">
      <w:pPr>
        <w:pStyle w:val="8"/>
        <w:spacing w:before="0" w:beforeAutospacing="0" w:after="0" w:afterAutospacing="0" w:line="360" w:lineRule="auto"/>
        <w:ind w:firstLine="420"/>
        <w:rPr>
          <w:sz w:val="21"/>
          <w:szCs w:val="21"/>
        </w:rPr>
      </w:pPr>
      <w:r>
        <w:rPr>
          <w:rFonts w:hint="eastAsia"/>
          <w:sz w:val="21"/>
          <w:szCs w:val="21"/>
        </w:rPr>
        <w:t xml:space="preserve">本基金将根据基金管理人的净资本规模，以及本基金的投资风格和流动性特点，兼顾基金投资的安全性、流动性和收益性，合理控制基金投资流通受限证券的比例。 </w:t>
      </w:r>
    </w:p>
    <w:p w14:paraId="450A6DF6">
      <w:pPr>
        <w:pStyle w:val="8"/>
        <w:spacing w:before="0" w:beforeAutospacing="0" w:after="0" w:afterAutospacing="0" w:line="360" w:lineRule="auto"/>
        <w:ind w:firstLine="420"/>
        <w:rPr>
          <w:sz w:val="21"/>
          <w:szCs w:val="21"/>
        </w:rPr>
      </w:pPr>
      <w:r>
        <w:rPr>
          <w:rFonts w:hint="eastAsia"/>
          <w:sz w:val="21"/>
          <w:szCs w:val="21"/>
        </w:rPr>
        <w:t xml:space="preserve">（七）参与融资业务的投资策略 </w:t>
      </w:r>
    </w:p>
    <w:p w14:paraId="5D8246A4">
      <w:pPr>
        <w:pStyle w:val="8"/>
        <w:spacing w:before="0" w:beforeAutospacing="0" w:after="0" w:afterAutospacing="0" w:line="360" w:lineRule="auto"/>
        <w:ind w:firstLine="420"/>
        <w:rPr>
          <w:sz w:val="21"/>
          <w:szCs w:val="21"/>
        </w:rPr>
      </w:pPr>
      <w:r>
        <w:rPr>
          <w:rFonts w:hint="eastAsia"/>
          <w:sz w:val="21"/>
          <w:szCs w:val="21"/>
        </w:rPr>
        <w:t xml:space="preserve">为了更好地实现投资目标，在综合考虑预期风险、收益、流动性等因素的基础上，本基金可参与融资业务。 </w:t>
      </w:r>
    </w:p>
    <w:p w14:paraId="155794BC">
      <w:pPr>
        <w:pStyle w:val="8"/>
        <w:spacing w:before="0" w:beforeAutospacing="0" w:after="0" w:afterAutospacing="0" w:line="360" w:lineRule="auto"/>
        <w:ind w:firstLine="420"/>
        <w:rPr>
          <w:sz w:val="21"/>
          <w:szCs w:val="21"/>
        </w:rPr>
      </w:pPr>
      <w:r>
        <w:rPr>
          <w:rFonts w:hint="eastAsia"/>
          <w:sz w:val="21"/>
          <w:szCs w:val="21"/>
        </w:rPr>
        <w:t xml:space="preserve">未来随着证券市场投资工具的发展和丰富，在符合有关法律法规规定的前提下并履行适当程序后，本基金可相应调整和更新相关投资策略。 </w:t>
      </w:r>
      <w:bookmarkStart w:id="115" w:name="field_60_investmentstrategy_1_end"/>
      <w:bookmarkEnd w:id="115"/>
    </w:p>
    <w:p w14:paraId="697ADED6">
      <w:pPr>
        <w:pStyle w:val="8"/>
        <w:spacing w:before="0" w:beforeAutospacing="0" w:after="0" w:afterAutospacing="0" w:line="360" w:lineRule="auto"/>
        <w:ind w:firstLine="420"/>
        <w:rPr>
          <w:sz w:val="21"/>
          <w:szCs w:val="21"/>
        </w:rPr>
      </w:pPr>
      <w:r>
        <w:rPr>
          <w:rStyle w:val="12"/>
          <w:rFonts w:hint="eastAsia"/>
          <w:sz w:val="21"/>
          <w:szCs w:val="21"/>
        </w:rPr>
        <w:t>四、投资限制</w:t>
      </w:r>
    </w:p>
    <w:p w14:paraId="0BD700D8">
      <w:pPr>
        <w:pStyle w:val="8"/>
        <w:spacing w:before="0" w:beforeAutospacing="0" w:after="0" w:afterAutospacing="0" w:line="360" w:lineRule="auto"/>
        <w:ind w:firstLine="420"/>
        <w:rPr>
          <w:sz w:val="21"/>
          <w:szCs w:val="21"/>
        </w:rPr>
      </w:pPr>
      <w:r>
        <w:rPr>
          <w:rFonts w:hint="eastAsia"/>
          <w:sz w:val="21"/>
          <w:szCs w:val="21"/>
        </w:rPr>
        <w:t>1、组合限制</w:t>
      </w:r>
    </w:p>
    <w:p w14:paraId="4700F2E5">
      <w:pPr>
        <w:pStyle w:val="8"/>
        <w:spacing w:before="0" w:beforeAutospacing="0" w:after="0" w:afterAutospacing="0" w:line="360" w:lineRule="auto"/>
        <w:ind w:firstLine="420"/>
        <w:rPr>
          <w:sz w:val="21"/>
          <w:szCs w:val="21"/>
        </w:rPr>
      </w:pPr>
      <w:r>
        <w:rPr>
          <w:rFonts w:hint="eastAsia"/>
          <w:sz w:val="21"/>
          <w:szCs w:val="21"/>
        </w:rPr>
        <w:t>基金的投资组合应遵循以下限制：</w:t>
      </w:r>
    </w:p>
    <w:p w14:paraId="17870442">
      <w:pPr>
        <w:pStyle w:val="8"/>
        <w:spacing w:before="0" w:beforeAutospacing="0" w:after="0" w:afterAutospacing="0" w:line="360" w:lineRule="auto"/>
        <w:ind w:firstLine="420"/>
        <w:rPr>
          <w:sz w:val="21"/>
          <w:szCs w:val="21"/>
        </w:rPr>
      </w:pPr>
      <w:r>
        <w:rPr>
          <w:rFonts w:hint="eastAsia"/>
          <w:sz w:val="21"/>
          <w:szCs w:val="21"/>
        </w:rPr>
        <w:t>（1）股票（含存托凭证）资产占基金资产的比例为60%—95%；港股通标的股票的投资比例为股票资产的0%-50%；</w:t>
      </w:r>
    </w:p>
    <w:p w14:paraId="3D42021E">
      <w:pPr>
        <w:pStyle w:val="8"/>
        <w:spacing w:before="0" w:beforeAutospacing="0" w:after="0" w:afterAutospacing="0" w:line="360" w:lineRule="auto"/>
        <w:ind w:firstLine="420"/>
        <w:rPr>
          <w:sz w:val="21"/>
          <w:szCs w:val="21"/>
        </w:rPr>
      </w:pPr>
      <w:r>
        <w:rPr>
          <w:rFonts w:hint="eastAsia"/>
          <w:sz w:val="21"/>
          <w:szCs w:val="21"/>
        </w:rPr>
        <w:t>（2）每个交易日日终在扣除股指期货合约、股票期权合约、国债期货合约所需缴纳的交易保证金后，现金或到期日在一年以内的政府债券不低于基金资产净值的5%。前述现金不包括结算备付金、存出保证金、应收申购款等；</w:t>
      </w:r>
    </w:p>
    <w:p w14:paraId="27528B82">
      <w:pPr>
        <w:pStyle w:val="8"/>
        <w:spacing w:before="0" w:beforeAutospacing="0" w:after="0" w:afterAutospacing="0" w:line="360" w:lineRule="auto"/>
        <w:ind w:firstLine="420"/>
        <w:rPr>
          <w:sz w:val="21"/>
          <w:szCs w:val="21"/>
        </w:rPr>
      </w:pPr>
      <w:r>
        <w:rPr>
          <w:rFonts w:hint="eastAsia"/>
          <w:sz w:val="21"/>
          <w:szCs w:val="21"/>
        </w:rPr>
        <w:t>（3）本基金持有一家公司发行的证券，其市值（若同时持有一家公司发行的A股和H股，则为A股与H股合计市值）不超过基金资产净值的10％；</w:t>
      </w:r>
    </w:p>
    <w:p w14:paraId="43F99A0E">
      <w:pPr>
        <w:pStyle w:val="8"/>
        <w:spacing w:before="0" w:beforeAutospacing="0" w:after="0" w:afterAutospacing="0" w:line="360" w:lineRule="auto"/>
        <w:ind w:firstLine="420"/>
        <w:rPr>
          <w:sz w:val="21"/>
          <w:szCs w:val="21"/>
        </w:rPr>
      </w:pPr>
      <w:r>
        <w:rPr>
          <w:rFonts w:hint="eastAsia"/>
          <w:sz w:val="21"/>
          <w:szCs w:val="21"/>
        </w:rPr>
        <w:t>（4）本基金管理人管理的全部基金持有一家公司发行的证券，不超过该证券（若同时持有一家公司发行的A股和H股，则为A股与H股合计）的10％；</w:t>
      </w:r>
    </w:p>
    <w:p w14:paraId="6A9FE41C">
      <w:pPr>
        <w:pStyle w:val="8"/>
        <w:spacing w:before="0" w:beforeAutospacing="0" w:after="0" w:afterAutospacing="0" w:line="360" w:lineRule="auto"/>
        <w:ind w:firstLine="420"/>
        <w:rPr>
          <w:sz w:val="21"/>
          <w:szCs w:val="21"/>
        </w:rPr>
      </w:pPr>
      <w:r>
        <w:rPr>
          <w:rFonts w:hint="eastAsia"/>
          <w:sz w:val="21"/>
          <w:szCs w:val="21"/>
        </w:rPr>
        <w:t>（5）本基金投资于同一原始权益人的各类资产支持证券的比例，不得超过基金资产净值的10％；</w:t>
      </w:r>
    </w:p>
    <w:p w14:paraId="2E2AE25F">
      <w:pPr>
        <w:pStyle w:val="8"/>
        <w:spacing w:before="0" w:beforeAutospacing="0" w:after="0" w:afterAutospacing="0" w:line="360" w:lineRule="auto"/>
        <w:ind w:firstLine="420"/>
        <w:rPr>
          <w:sz w:val="21"/>
          <w:szCs w:val="21"/>
        </w:rPr>
      </w:pPr>
      <w:r>
        <w:rPr>
          <w:rFonts w:hint="eastAsia"/>
          <w:sz w:val="21"/>
          <w:szCs w:val="21"/>
        </w:rPr>
        <w:t>（6）本基金持有的全部资产支持证券，其市值不得超过基金资产净值的20％；</w:t>
      </w:r>
    </w:p>
    <w:p w14:paraId="1B6993A9">
      <w:pPr>
        <w:pStyle w:val="8"/>
        <w:spacing w:before="0" w:beforeAutospacing="0" w:after="0" w:afterAutospacing="0" w:line="360" w:lineRule="auto"/>
        <w:ind w:firstLine="420"/>
        <w:rPr>
          <w:sz w:val="21"/>
          <w:szCs w:val="21"/>
        </w:rPr>
      </w:pPr>
      <w:r>
        <w:rPr>
          <w:rFonts w:hint="eastAsia"/>
          <w:sz w:val="21"/>
          <w:szCs w:val="21"/>
        </w:rPr>
        <w:t>（7）本基金持有的同一(指同一信用级别)资产支持证券的比例，不得超过该资产支持证券规模的10％；</w:t>
      </w:r>
    </w:p>
    <w:p w14:paraId="68D3C2B8">
      <w:pPr>
        <w:pStyle w:val="8"/>
        <w:spacing w:before="0" w:beforeAutospacing="0" w:after="0" w:afterAutospacing="0" w:line="360" w:lineRule="auto"/>
        <w:ind w:firstLine="420"/>
        <w:rPr>
          <w:sz w:val="21"/>
          <w:szCs w:val="21"/>
        </w:rPr>
      </w:pPr>
      <w:r>
        <w:rPr>
          <w:rFonts w:hint="eastAsia"/>
          <w:sz w:val="21"/>
          <w:szCs w:val="21"/>
        </w:rPr>
        <w:t>（8）本基金管理人管理的全部基金投资于同一原始权益人的各类资产支持证券，不得超过其各类资产支持证券合计规模的10％；</w:t>
      </w:r>
    </w:p>
    <w:p w14:paraId="6C3B0A10">
      <w:pPr>
        <w:pStyle w:val="8"/>
        <w:spacing w:before="0" w:beforeAutospacing="0" w:after="0" w:afterAutospacing="0" w:line="360" w:lineRule="auto"/>
        <w:ind w:firstLine="420"/>
        <w:rPr>
          <w:sz w:val="21"/>
          <w:szCs w:val="21"/>
        </w:rPr>
      </w:pPr>
      <w:r>
        <w:rPr>
          <w:rFonts w:hint="eastAsia"/>
          <w:sz w:val="21"/>
          <w:szCs w:val="21"/>
        </w:rPr>
        <w:t>（9）本基金应投资于信用级别评级为BBB以上(含BBB)的资产支持证券。基金持有资产支持证券期间，如果其信用等级下降、不再符合投资标准，应在评级报告发布之日起3个月内予以全部卖出；</w:t>
      </w:r>
    </w:p>
    <w:p w14:paraId="348E3370">
      <w:pPr>
        <w:pStyle w:val="8"/>
        <w:spacing w:before="0" w:beforeAutospacing="0" w:after="0" w:afterAutospacing="0" w:line="360" w:lineRule="auto"/>
        <w:ind w:firstLine="420"/>
        <w:rPr>
          <w:sz w:val="21"/>
          <w:szCs w:val="21"/>
        </w:rPr>
      </w:pPr>
      <w:r>
        <w:rPr>
          <w:rFonts w:hint="eastAsia"/>
          <w:sz w:val="21"/>
          <w:szCs w:val="21"/>
        </w:rPr>
        <w:t>（10）基金财产参与股票发行申购，本基金所申报的金额不超过本基金的总资产，本基金所申报的股票数量不超过拟发行股票公司本次发行股票的总量；</w:t>
      </w:r>
    </w:p>
    <w:p w14:paraId="3FE382B4">
      <w:pPr>
        <w:pStyle w:val="8"/>
        <w:spacing w:before="0" w:beforeAutospacing="0" w:after="0" w:afterAutospacing="0" w:line="360" w:lineRule="auto"/>
        <w:ind w:firstLine="420"/>
        <w:rPr>
          <w:sz w:val="21"/>
          <w:szCs w:val="21"/>
        </w:rPr>
      </w:pPr>
      <w:r>
        <w:rPr>
          <w:rFonts w:hint="eastAsia"/>
          <w:sz w:val="21"/>
          <w:szCs w:val="21"/>
        </w:rPr>
        <w:t>（11）本基金参与股指期货、国债期货投资的，应遵循下列限制：</w:t>
      </w:r>
    </w:p>
    <w:p w14:paraId="5A90E19D">
      <w:pPr>
        <w:pStyle w:val="8"/>
        <w:spacing w:before="0" w:beforeAutospacing="0" w:after="0" w:afterAutospacing="0" w:line="360" w:lineRule="auto"/>
        <w:ind w:firstLine="420"/>
        <w:rPr>
          <w:sz w:val="21"/>
          <w:szCs w:val="21"/>
        </w:rPr>
      </w:pPr>
      <w:r>
        <w:rPr>
          <w:rFonts w:hint="eastAsia"/>
          <w:sz w:val="21"/>
          <w:szCs w:val="21"/>
        </w:rPr>
        <w:t>1）本基金在任何交易日日终，持有的买入股指期货合约价值，不得超过基金资产净值的10%；</w:t>
      </w:r>
    </w:p>
    <w:p w14:paraId="3B367786">
      <w:pPr>
        <w:pStyle w:val="8"/>
        <w:spacing w:before="0" w:beforeAutospacing="0" w:after="0" w:afterAutospacing="0" w:line="360" w:lineRule="auto"/>
        <w:ind w:firstLine="420"/>
        <w:rPr>
          <w:sz w:val="21"/>
          <w:szCs w:val="21"/>
        </w:rPr>
      </w:pPr>
      <w:r>
        <w:rPr>
          <w:rFonts w:hint="eastAsia"/>
          <w:sz w:val="21"/>
          <w:szCs w:val="21"/>
        </w:rPr>
        <w:t>2）每个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w:t>
      </w:r>
    </w:p>
    <w:p w14:paraId="740D6BDC">
      <w:pPr>
        <w:pStyle w:val="8"/>
        <w:spacing w:before="0" w:beforeAutospacing="0" w:after="0" w:afterAutospacing="0" w:line="360" w:lineRule="auto"/>
        <w:ind w:firstLine="420"/>
        <w:rPr>
          <w:sz w:val="21"/>
          <w:szCs w:val="21"/>
        </w:rPr>
      </w:pPr>
      <w:r>
        <w:rPr>
          <w:rFonts w:hint="eastAsia"/>
          <w:sz w:val="21"/>
          <w:szCs w:val="21"/>
        </w:rPr>
        <w:t>3）本基金在任何交易日日终，持有的卖出股指期货合约价值不得超过基金持有的股票总市值的20%；</w:t>
      </w:r>
    </w:p>
    <w:p w14:paraId="08A8F5B0">
      <w:pPr>
        <w:pStyle w:val="8"/>
        <w:spacing w:before="0" w:beforeAutospacing="0" w:after="0" w:afterAutospacing="0" w:line="360" w:lineRule="auto"/>
        <w:ind w:firstLine="420"/>
        <w:rPr>
          <w:sz w:val="21"/>
          <w:szCs w:val="21"/>
        </w:rPr>
      </w:pPr>
      <w:r>
        <w:rPr>
          <w:rFonts w:hint="eastAsia"/>
          <w:sz w:val="21"/>
          <w:szCs w:val="21"/>
        </w:rPr>
        <w:t>4）本基金在任何交易日内交易（不包括平仓）的股指期货合约的成交金额不得超过上一交易日基金资产净值的20%；</w:t>
      </w:r>
    </w:p>
    <w:p w14:paraId="581A9682">
      <w:pPr>
        <w:pStyle w:val="8"/>
        <w:spacing w:before="0" w:beforeAutospacing="0" w:after="0" w:afterAutospacing="0" w:line="360" w:lineRule="auto"/>
        <w:ind w:firstLine="420"/>
        <w:rPr>
          <w:sz w:val="21"/>
          <w:szCs w:val="21"/>
        </w:rPr>
      </w:pPr>
      <w:r>
        <w:rPr>
          <w:rFonts w:hint="eastAsia"/>
          <w:sz w:val="21"/>
          <w:szCs w:val="21"/>
        </w:rPr>
        <w:t>5）本基金所持有的股票市值和买入、卖出股指期货合约价值，合计（轧差计算）应当符合基金合同关于股票投资比例的有关规定； </w:t>
      </w:r>
    </w:p>
    <w:p w14:paraId="283E67D0">
      <w:pPr>
        <w:pStyle w:val="8"/>
        <w:spacing w:before="0" w:beforeAutospacing="0" w:after="0" w:afterAutospacing="0" w:line="360" w:lineRule="auto"/>
        <w:ind w:firstLine="420"/>
        <w:rPr>
          <w:sz w:val="21"/>
          <w:szCs w:val="21"/>
        </w:rPr>
      </w:pPr>
      <w:r>
        <w:rPr>
          <w:rFonts w:hint="eastAsia"/>
          <w:sz w:val="21"/>
          <w:szCs w:val="21"/>
        </w:rPr>
        <w:t>6）本基金在任何交易日日终，持有的买入国债期货合约价值，不得超过基金资产净值的15%；</w:t>
      </w:r>
    </w:p>
    <w:p w14:paraId="76E79895">
      <w:pPr>
        <w:pStyle w:val="8"/>
        <w:spacing w:before="0" w:beforeAutospacing="0" w:after="0" w:afterAutospacing="0" w:line="360" w:lineRule="auto"/>
        <w:ind w:firstLine="420"/>
        <w:rPr>
          <w:sz w:val="21"/>
          <w:szCs w:val="21"/>
        </w:rPr>
      </w:pPr>
      <w:r>
        <w:rPr>
          <w:rFonts w:hint="eastAsia"/>
          <w:sz w:val="21"/>
          <w:szCs w:val="21"/>
        </w:rPr>
        <w:t>7）本基金在任何交易日日终，持有的卖出国债期货合约价值不得超过基金持有的债券总市值的30%；</w:t>
      </w:r>
    </w:p>
    <w:p w14:paraId="3E6C80B6">
      <w:pPr>
        <w:pStyle w:val="8"/>
        <w:spacing w:before="0" w:beforeAutospacing="0" w:after="0" w:afterAutospacing="0" w:line="360" w:lineRule="auto"/>
        <w:ind w:firstLine="420"/>
        <w:rPr>
          <w:sz w:val="21"/>
          <w:szCs w:val="21"/>
        </w:rPr>
      </w:pPr>
      <w:r>
        <w:rPr>
          <w:rFonts w:hint="eastAsia"/>
          <w:sz w:val="21"/>
          <w:szCs w:val="21"/>
        </w:rPr>
        <w:t>8）本基金在任何交易日内交易（不包括平仓）的国债期货合约的成交金额不得超过上一交易日基金资产净值的30%；</w:t>
      </w:r>
    </w:p>
    <w:p w14:paraId="2A1CD45F">
      <w:pPr>
        <w:pStyle w:val="8"/>
        <w:spacing w:before="0" w:beforeAutospacing="0" w:after="0" w:afterAutospacing="0" w:line="360" w:lineRule="auto"/>
        <w:ind w:firstLine="420"/>
        <w:rPr>
          <w:sz w:val="21"/>
          <w:szCs w:val="21"/>
        </w:rPr>
      </w:pPr>
      <w:r>
        <w:rPr>
          <w:rFonts w:hint="eastAsia"/>
          <w:sz w:val="21"/>
          <w:szCs w:val="21"/>
        </w:rPr>
        <w:t>9）本基金所持有的债券（不含到期日在一年以内的政府债券）市值和买入、卖出国债期货合约价值，合计（轧差计算）应当符合基金合同关于债券投资比例的有关约定；</w:t>
      </w:r>
    </w:p>
    <w:p w14:paraId="3C91BF0F">
      <w:pPr>
        <w:pStyle w:val="8"/>
        <w:spacing w:before="0" w:beforeAutospacing="0" w:after="0" w:afterAutospacing="0" w:line="360" w:lineRule="auto"/>
        <w:ind w:firstLine="420"/>
        <w:rPr>
          <w:sz w:val="21"/>
          <w:szCs w:val="21"/>
        </w:rPr>
      </w:pPr>
      <w:r>
        <w:rPr>
          <w:rFonts w:hint="eastAsia"/>
          <w:sz w:val="21"/>
          <w:szCs w:val="21"/>
        </w:rPr>
        <w:t>（12）本基金参与股票期权交易的，需遵守下列规定：</w:t>
      </w:r>
    </w:p>
    <w:p w14:paraId="4155F4F9">
      <w:pPr>
        <w:pStyle w:val="8"/>
        <w:spacing w:before="0" w:beforeAutospacing="0" w:after="0" w:afterAutospacing="0" w:line="360" w:lineRule="auto"/>
        <w:ind w:firstLine="420"/>
        <w:rPr>
          <w:sz w:val="21"/>
          <w:szCs w:val="21"/>
        </w:rPr>
      </w:pPr>
      <w:r>
        <w:rPr>
          <w:rFonts w:hint="eastAsia"/>
          <w:sz w:val="21"/>
          <w:szCs w:val="21"/>
        </w:rPr>
        <w:t>1）因未平仓的股票期权合约支付和收取的权利金总额不得超过基金资产净值的10%；</w:t>
      </w:r>
    </w:p>
    <w:p w14:paraId="14043B48">
      <w:pPr>
        <w:pStyle w:val="8"/>
        <w:spacing w:before="0" w:beforeAutospacing="0" w:after="0" w:afterAutospacing="0" w:line="360" w:lineRule="auto"/>
        <w:ind w:firstLine="420"/>
        <w:rPr>
          <w:sz w:val="21"/>
          <w:szCs w:val="21"/>
        </w:rPr>
      </w:pPr>
      <w:r>
        <w:rPr>
          <w:rFonts w:hint="eastAsia"/>
          <w:sz w:val="21"/>
          <w:szCs w:val="21"/>
        </w:rPr>
        <w:t>2）开仓卖出认购股票期权的，应持有足额标的证券；开仓卖出认沽股票期权的，应持有合约行权所需的全额现金或交易所规则认可的可冲抵股票期权保证金的现金等价物；</w:t>
      </w:r>
    </w:p>
    <w:p w14:paraId="09C1A55F">
      <w:pPr>
        <w:pStyle w:val="8"/>
        <w:spacing w:before="0" w:beforeAutospacing="0" w:after="0" w:afterAutospacing="0" w:line="360" w:lineRule="auto"/>
        <w:ind w:firstLine="420"/>
        <w:rPr>
          <w:sz w:val="21"/>
          <w:szCs w:val="21"/>
        </w:rPr>
      </w:pPr>
      <w:r>
        <w:rPr>
          <w:rFonts w:hint="eastAsia"/>
          <w:sz w:val="21"/>
          <w:szCs w:val="21"/>
        </w:rPr>
        <w:t>3）未平仓的股票期权合约面值不得超过基金资产净值的 20%。其中，合约面值按照行权价乘以合约乘数计算；</w:t>
      </w:r>
    </w:p>
    <w:p w14:paraId="4B73BC4C">
      <w:pPr>
        <w:pStyle w:val="8"/>
        <w:spacing w:before="0" w:beforeAutospacing="0" w:after="0" w:afterAutospacing="0" w:line="360" w:lineRule="auto"/>
        <w:ind w:firstLine="420"/>
        <w:rPr>
          <w:sz w:val="21"/>
          <w:szCs w:val="21"/>
        </w:rPr>
      </w:pPr>
      <w:r>
        <w:rPr>
          <w:rFonts w:hint="eastAsia"/>
          <w:sz w:val="21"/>
          <w:szCs w:val="21"/>
        </w:rPr>
        <w:t>4）基金投资股票期权应符合基金合同约定的比例限制（如股票仓位、个股占比等）、投资目标和风险收益特征；</w:t>
      </w:r>
    </w:p>
    <w:p w14:paraId="14C0680A">
      <w:pPr>
        <w:pStyle w:val="8"/>
        <w:spacing w:before="0" w:beforeAutospacing="0" w:after="0" w:afterAutospacing="0" w:line="360" w:lineRule="auto"/>
        <w:ind w:firstLine="420"/>
        <w:rPr>
          <w:sz w:val="21"/>
          <w:szCs w:val="21"/>
        </w:rPr>
      </w:pPr>
      <w:r>
        <w:rPr>
          <w:rFonts w:hint="eastAsia"/>
          <w:sz w:val="21"/>
          <w:szCs w:val="21"/>
        </w:rPr>
        <w:t>（13）本基金资产总值不得超过基金资产净值的140%；</w:t>
      </w:r>
    </w:p>
    <w:p w14:paraId="3997D3C6">
      <w:pPr>
        <w:pStyle w:val="8"/>
        <w:spacing w:before="0" w:beforeAutospacing="0" w:after="0" w:afterAutospacing="0" w:line="360" w:lineRule="auto"/>
        <w:ind w:firstLine="420"/>
        <w:rPr>
          <w:sz w:val="21"/>
          <w:szCs w:val="21"/>
        </w:rPr>
      </w:pPr>
      <w:r>
        <w:rPr>
          <w:rFonts w:hint="eastAsia"/>
          <w:sz w:val="21"/>
          <w:szCs w:val="21"/>
        </w:rPr>
        <w:t>（14）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413DD0EA">
      <w:pPr>
        <w:pStyle w:val="8"/>
        <w:spacing w:before="0" w:beforeAutospacing="0" w:after="0" w:afterAutospacing="0" w:line="360" w:lineRule="auto"/>
        <w:ind w:firstLine="420"/>
        <w:rPr>
          <w:sz w:val="21"/>
          <w:szCs w:val="21"/>
        </w:rPr>
      </w:pPr>
      <w:r>
        <w:rPr>
          <w:rFonts w:hint="eastAsia"/>
          <w:sz w:val="21"/>
          <w:szCs w:val="21"/>
        </w:rPr>
        <w:t>（15）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14:paraId="2EE0C8F2">
      <w:pPr>
        <w:pStyle w:val="8"/>
        <w:spacing w:before="0" w:beforeAutospacing="0" w:after="0" w:afterAutospacing="0" w:line="360" w:lineRule="auto"/>
        <w:ind w:firstLine="420"/>
        <w:rPr>
          <w:sz w:val="21"/>
          <w:szCs w:val="21"/>
        </w:rPr>
      </w:pPr>
      <w:r>
        <w:rPr>
          <w:rFonts w:hint="eastAsia"/>
          <w:sz w:val="21"/>
          <w:szCs w:val="21"/>
        </w:rPr>
        <w:t>（16）本基金与私募类证券资管产品及中国证监会认定的其他主体为交易对手开展逆回购交易的，可接受质押品的资质要求应当与基金合同约定的投资范围保持一致；</w:t>
      </w:r>
    </w:p>
    <w:p w14:paraId="5C3BDD4C">
      <w:pPr>
        <w:pStyle w:val="8"/>
        <w:spacing w:before="0" w:beforeAutospacing="0" w:after="0" w:afterAutospacing="0" w:line="360" w:lineRule="auto"/>
        <w:ind w:firstLine="420"/>
        <w:rPr>
          <w:sz w:val="21"/>
          <w:szCs w:val="21"/>
        </w:rPr>
      </w:pPr>
      <w:r>
        <w:rPr>
          <w:rFonts w:hint="eastAsia"/>
          <w:sz w:val="21"/>
          <w:szCs w:val="21"/>
        </w:rPr>
        <w:t>（17）本基金参与融资的，每个交易日日终，本基金持有的融资买入股票与其他有价证券市值之和，不得超过基金资产净值的95%；</w:t>
      </w:r>
    </w:p>
    <w:p w14:paraId="43749AB1">
      <w:pPr>
        <w:pStyle w:val="8"/>
        <w:spacing w:before="0" w:beforeAutospacing="0" w:after="0" w:afterAutospacing="0" w:line="360" w:lineRule="auto"/>
        <w:ind w:firstLine="420"/>
        <w:rPr>
          <w:sz w:val="21"/>
          <w:szCs w:val="21"/>
        </w:rPr>
      </w:pPr>
      <w:r>
        <w:rPr>
          <w:rFonts w:hint="eastAsia"/>
          <w:sz w:val="21"/>
          <w:szCs w:val="21"/>
        </w:rPr>
        <w:t>（18）本基金不持有具有信用保护卖方属性的信用衍生品，不持有合约类信用衍生品，本基金持有的信用衍生品名义本金不得超过本基金中所对应受保护债券面值的100%；</w:t>
      </w:r>
    </w:p>
    <w:p w14:paraId="654E5A9D">
      <w:pPr>
        <w:pStyle w:val="8"/>
        <w:spacing w:before="0" w:beforeAutospacing="0" w:after="0" w:afterAutospacing="0" w:line="360" w:lineRule="auto"/>
        <w:ind w:firstLine="420"/>
        <w:rPr>
          <w:sz w:val="21"/>
          <w:szCs w:val="21"/>
        </w:rPr>
      </w:pPr>
      <w:r>
        <w:rPr>
          <w:rFonts w:hint="eastAsia"/>
          <w:sz w:val="21"/>
          <w:szCs w:val="21"/>
        </w:rPr>
        <w:t>（19）本基金投资于同一信用保护卖方各类信用衍生品名义本金合计不得超过基金资产净值的10%； </w:t>
      </w:r>
    </w:p>
    <w:p w14:paraId="7D6E36EA">
      <w:pPr>
        <w:pStyle w:val="8"/>
        <w:spacing w:before="0" w:beforeAutospacing="0" w:after="0" w:afterAutospacing="0" w:line="360" w:lineRule="auto"/>
        <w:ind w:firstLine="420"/>
        <w:rPr>
          <w:sz w:val="21"/>
          <w:szCs w:val="21"/>
        </w:rPr>
      </w:pPr>
      <w:r>
        <w:rPr>
          <w:rFonts w:hint="eastAsia"/>
          <w:sz w:val="21"/>
          <w:szCs w:val="21"/>
        </w:rPr>
        <w:t>（20）本基金投资存托凭证的比例限制依照境内上市交易的股票执行，与境内上市交易的股票合并计算；</w:t>
      </w:r>
    </w:p>
    <w:p w14:paraId="3F4C02D4">
      <w:pPr>
        <w:pStyle w:val="8"/>
        <w:spacing w:before="0" w:beforeAutospacing="0" w:after="0" w:afterAutospacing="0" w:line="360" w:lineRule="auto"/>
        <w:ind w:firstLine="420"/>
        <w:rPr>
          <w:sz w:val="21"/>
          <w:szCs w:val="21"/>
        </w:rPr>
      </w:pPr>
      <w:r>
        <w:rPr>
          <w:rFonts w:hint="eastAsia"/>
          <w:sz w:val="21"/>
          <w:szCs w:val="21"/>
        </w:rPr>
        <w:t>（21）法律法规及中国证监会规定的和《基金合同》约定的其他投资限制。</w:t>
      </w:r>
    </w:p>
    <w:p w14:paraId="348D1179">
      <w:pPr>
        <w:pStyle w:val="8"/>
        <w:spacing w:before="0" w:beforeAutospacing="0" w:after="0" w:afterAutospacing="0" w:line="360" w:lineRule="auto"/>
        <w:ind w:firstLine="420"/>
        <w:rPr>
          <w:sz w:val="21"/>
          <w:szCs w:val="21"/>
        </w:rPr>
      </w:pPr>
      <w:r>
        <w:rPr>
          <w:rFonts w:hint="eastAsia"/>
          <w:sz w:val="21"/>
          <w:szCs w:val="21"/>
        </w:rPr>
        <w:t>因证券、期货市场波动、证券发行人合并、基金规模变动等基金管理人之外的因素致使基金投资比例不符合上述（18）、（19）项规定投资比例的，基金管理人应在3个月内进行调整。</w:t>
      </w:r>
    </w:p>
    <w:p w14:paraId="2BB4C43A">
      <w:pPr>
        <w:pStyle w:val="8"/>
        <w:spacing w:before="0" w:beforeAutospacing="0" w:after="0" w:afterAutospacing="0" w:line="360" w:lineRule="auto"/>
        <w:ind w:firstLine="420"/>
        <w:rPr>
          <w:sz w:val="21"/>
          <w:szCs w:val="21"/>
        </w:rPr>
      </w:pPr>
      <w:r>
        <w:rPr>
          <w:rFonts w:hint="eastAsia"/>
          <w:sz w:val="21"/>
          <w:szCs w:val="21"/>
        </w:rPr>
        <w:t>除上述（2）、（9）、（15）、（16）、（18）、（19）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w:t>
      </w:r>
    </w:p>
    <w:p w14:paraId="4DBF31CE">
      <w:pPr>
        <w:pStyle w:val="8"/>
        <w:spacing w:before="0" w:beforeAutospacing="0" w:after="0" w:afterAutospacing="0" w:line="360" w:lineRule="auto"/>
        <w:ind w:firstLine="420"/>
        <w:rPr>
          <w:sz w:val="21"/>
          <w:szCs w:val="21"/>
        </w:rPr>
      </w:pPr>
      <w:r>
        <w:rPr>
          <w:rFonts w:hint="eastAsia"/>
          <w:sz w:val="21"/>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5025EA29">
      <w:pPr>
        <w:pStyle w:val="8"/>
        <w:spacing w:before="0" w:beforeAutospacing="0" w:after="0" w:afterAutospacing="0" w:line="360" w:lineRule="auto"/>
        <w:ind w:firstLine="420"/>
        <w:rPr>
          <w:sz w:val="21"/>
          <w:szCs w:val="21"/>
        </w:rPr>
      </w:pPr>
      <w:r>
        <w:rPr>
          <w:rFonts w:hint="eastAsia"/>
          <w:sz w:val="21"/>
          <w:szCs w:val="21"/>
        </w:rPr>
        <w:t>法律法规或监管部门取消或变更上述限制，如适用于本基金，基金管理人在履行适当程序后，则本基金投资不再受相关限制，或以变更后的规定为准。</w:t>
      </w:r>
    </w:p>
    <w:p w14:paraId="21BB2D6F">
      <w:pPr>
        <w:pStyle w:val="8"/>
        <w:spacing w:before="0" w:beforeAutospacing="0" w:after="0" w:afterAutospacing="0" w:line="360" w:lineRule="auto"/>
        <w:ind w:firstLine="420"/>
        <w:rPr>
          <w:sz w:val="21"/>
          <w:szCs w:val="21"/>
        </w:rPr>
      </w:pPr>
      <w:r>
        <w:rPr>
          <w:rFonts w:hint="eastAsia"/>
          <w:sz w:val="21"/>
          <w:szCs w:val="21"/>
        </w:rPr>
        <w:t>2、禁止行为</w:t>
      </w:r>
    </w:p>
    <w:p w14:paraId="42A4CAC0">
      <w:pPr>
        <w:pStyle w:val="8"/>
        <w:spacing w:before="0" w:beforeAutospacing="0" w:after="0" w:afterAutospacing="0" w:line="360" w:lineRule="auto"/>
        <w:ind w:firstLine="420"/>
        <w:rPr>
          <w:sz w:val="21"/>
          <w:szCs w:val="21"/>
        </w:rPr>
      </w:pPr>
      <w:r>
        <w:rPr>
          <w:rFonts w:hint="eastAsia"/>
          <w:sz w:val="21"/>
          <w:szCs w:val="21"/>
        </w:rPr>
        <w:t>为维护基金份额持有人的合法权益，基金财产不得用于下列投资或者活动：</w:t>
      </w:r>
    </w:p>
    <w:p w14:paraId="56C9C60C">
      <w:pPr>
        <w:pStyle w:val="8"/>
        <w:spacing w:before="0" w:beforeAutospacing="0" w:after="0" w:afterAutospacing="0" w:line="360" w:lineRule="auto"/>
        <w:ind w:firstLine="420"/>
        <w:rPr>
          <w:sz w:val="21"/>
          <w:szCs w:val="21"/>
        </w:rPr>
      </w:pPr>
      <w:r>
        <w:rPr>
          <w:rFonts w:hint="eastAsia"/>
          <w:sz w:val="21"/>
          <w:szCs w:val="21"/>
        </w:rPr>
        <w:t>（1）承销证券；</w:t>
      </w:r>
    </w:p>
    <w:p w14:paraId="630FB3B0">
      <w:pPr>
        <w:pStyle w:val="8"/>
        <w:spacing w:before="0" w:beforeAutospacing="0" w:after="0" w:afterAutospacing="0" w:line="360" w:lineRule="auto"/>
        <w:ind w:firstLine="420"/>
        <w:rPr>
          <w:sz w:val="21"/>
          <w:szCs w:val="21"/>
        </w:rPr>
      </w:pPr>
      <w:r>
        <w:rPr>
          <w:rFonts w:hint="eastAsia"/>
          <w:sz w:val="21"/>
          <w:szCs w:val="21"/>
        </w:rPr>
        <w:t>（2）违反规定向他人贷款或者提供担保；</w:t>
      </w:r>
    </w:p>
    <w:p w14:paraId="3F89455B">
      <w:pPr>
        <w:pStyle w:val="8"/>
        <w:spacing w:before="0" w:beforeAutospacing="0" w:after="0" w:afterAutospacing="0" w:line="360" w:lineRule="auto"/>
        <w:ind w:firstLine="420"/>
        <w:rPr>
          <w:sz w:val="21"/>
          <w:szCs w:val="21"/>
        </w:rPr>
      </w:pPr>
      <w:r>
        <w:rPr>
          <w:rFonts w:hint="eastAsia"/>
          <w:sz w:val="21"/>
          <w:szCs w:val="21"/>
        </w:rPr>
        <w:t>（3）从事承担无限责任的投资；</w:t>
      </w:r>
    </w:p>
    <w:p w14:paraId="7F92D052">
      <w:pPr>
        <w:pStyle w:val="8"/>
        <w:spacing w:before="0" w:beforeAutospacing="0" w:after="0" w:afterAutospacing="0" w:line="360" w:lineRule="auto"/>
        <w:ind w:firstLine="420"/>
        <w:rPr>
          <w:sz w:val="21"/>
          <w:szCs w:val="21"/>
        </w:rPr>
      </w:pPr>
      <w:r>
        <w:rPr>
          <w:rFonts w:hint="eastAsia"/>
          <w:sz w:val="21"/>
          <w:szCs w:val="21"/>
        </w:rPr>
        <w:t>（4）买卖其他基金份额，但是中国证监会另有规定的除外；</w:t>
      </w:r>
    </w:p>
    <w:p w14:paraId="7181BE2C">
      <w:pPr>
        <w:pStyle w:val="8"/>
        <w:spacing w:before="0" w:beforeAutospacing="0" w:after="0" w:afterAutospacing="0" w:line="360" w:lineRule="auto"/>
        <w:ind w:firstLine="420"/>
        <w:rPr>
          <w:sz w:val="21"/>
          <w:szCs w:val="21"/>
        </w:rPr>
      </w:pPr>
      <w:r>
        <w:rPr>
          <w:rFonts w:hint="eastAsia"/>
          <w:sz w:val="21"/>
          <w:szCs w:val="21"/>
        </w:rPr>
        <w:t>（5）向其基金管理人、基金托管人出资；</w:t>
      </w:r>
    </w:p>
    <w:p w14:paraId="324EA5C0">
      <w:pPr>
        <w:pStyle w:val="8"/>
        <w:spacing w:before="0" w:beforeAutospacing="0" w:after="0" w:afterAutospacing="0" w:line="360" w:lineRule="auto"/>
        <w:ind w:firstLine="420"/>
        <w:rPr>
          <w:sz w:val="21"/>
          <w:szCs w:val="21"/>
        </w:rPr>
      </w:pPr>
      <w:r>
        <w:rPr>
          <w:rFonts w:hint="eastAsia"/>
          <w:sz w:val="21"/>
          <w:szCs w:val="21"/>
        </w:rPr>
        <w:t>（6）从事内幕交易、操纵证券交易价格及其他不正当的证券交易活动；</w:t>
      </w:r>
    </w:p>
    <w:p w14:paraId="7E3138B3">
      <w:pPr>
        <w:pStyle w:val="8"/>
        <w:spacing w:before="0" w:beforeAutospacing="0" w:after="0" w:afterAutospacing="0" w:line="360" w:lineRule="auto"/>
        <w:ind w:firstLine="420"/>
        <w:rPr>
          <w:sz w:val="21"/>
          <w:szCs w:val="21"/>
        </w:rPr>
      </w:pPr>
      <w:r>
        <w:rPr>
          <w:rFonts w:hint="eastAsia"/>
          <w:sz w:val="21"/>
          <w:szCs w:val="21"/>
        </w:rPr>
        <w:t>（7）法律、行政法规和中国证监会规定禁止的其他活动。</w:t>
      </w:r>
    </w:p>
    <w:p w14:paraId="34AFD912">
      <w:pPr>
        <w:pStyle w:val="8"/>
        <w:spacing w:before="0" w:beforeAutospacing="0" w:after="0" w:afterAutospacing="0" w:line="360" w:lineRule="auto"/>
        <w:ind w:firstLine="420"/>
        <w:rPr>
          <w:sz w:val="21"/>
          <w:szCs w:val="21"/>
        </w:rPr>
      </w:pPr>
      <w:r>
        <w:rPr>
          <w:rFonts w:hint="eastAsia"/>
          <w:sz w:val="21"/>
          <w:szCs w:val="21"/>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5C660011">
      <w:pPr>
        <w:pStyle w:val="8"/>
        <w:spacing w:before="0" w:beforeAutospacing="0" w:after="0" w:afterAutospacing="0" w:line="360" w:lineRule="auto"/>
        <w:ind w:firstLine="420"/>
        <w:rPr>
          <w:sz w:val="21"/>
          <w:szCs w:val="21"/>
        </w:rPr>
      </w:pPr>
      <w:r>
        <w:rPr>
          <w:rFonts w:hint="eastAsia"/>
          <w:sz w:val="21"/>
          <w:szCs w:val="21"/>
        </w:rPr>
        <w:t>法律、行政法规或监管部门取消或变更上述规定，如适用于本基金，基金管理人在履行适当程序后，则本基金投资不再受相关限制或以变更后的规定为准。</w:t>
      </w:r>
    </w:p>
    <w:p w14:paraId="7112DA0E">
      <w:pPr>
        <w:pStyle w:val="8"/>
        <w:spacing w:before="0" w:beforeAutospacing="0" w:after="0" w:afterAutospacing="0" w:line="360" w:lineRule="auto"/>
        <w:ind w:firstLine="420"/>
        <w:rPr>
          <w:sz w:val="21"/>
          <w:szCs w:val="21"/>
        </w:rPr>
      </w:pPr>
      <w:r>
        <w:rPr>
          <w:rStyle w:val="12"/>
          <w:rFonts w:hint="eastAsia"/>
          <w:sz w:val="21"/>
          <w:szCs w:val="21"/>
        </w:rPr>
        <w:t>五、业绩比较基准</w:t>
      </w:r>
    </w:p>
    <w:p w14:paraId="554CB9CE">
      <w:pPr>
        <w:pStyle w:val="8"/>
        <w:spacing w:before="0" w:beforeAutospacing="0" w:after="0" w:afterAutospacing="0" w:line="360" w:lineRule="auto"/>
        <w:ind w:firstLine="420"/>
        <w:rPr>
          <w:sz w:val="21"/>
          <w:szCs w:val="21"/>
        </w:rPr>
      </w:pPr>
      <w:r>
        <w:rPr>
          <w:rFonts w:hint="eastAsia"/>
          <w:sz w:val="21"/>
          <w:szCs w:val="21"/>
        </w:rPr>
        <w:t>本基金的业绩比较基准为：中证800指数收益率×70%+中证港股通综合指数（人民币）收益率×10%+中债综合财富(总值)指数收益率×20% </w:t>
      </w:r>
    </w:p>
    <w:p w14:paraId="251E7A2C">
      <w:pPr>
        <w:pStyle w:val="8"/>
        <w:spacing w:before="0" w:beforeAutospacing="0" w:after="0" w:afterAutospacing="0" w:line="360" w:lineRule="auto"/>
        <w:ind w:firstLine="420"/>
        <w:rPr>
          <w:sz w:val="21"/>
          <w:szCs w:val="21"/>
        </w:rPr>
      </w:pPr>
      <w:r>
        <w:rPr>
          <w:rFonts w:hint="eastAsia"/>
          <w:sz w:val="21"/>
          <w:szCs w:val="21"/>
        </w:rPr>
        <w:t>其中，中证800指数是由中证指数有限公司编制，其成份股是由中证500和沪深300成份股一起构成，可以综合反映沪深证券市场内大中小市值公司的整体状况，具有良好的市场代表性和市场影响力。本基金旨在充分挖掘优质上市公司的回报潜力，因此选取中证800指数作为本基金国内依法发行上市股票组合的业绩比较基准具备合理性。中证港股通综合指数（人民币）可以较好地代表港股市场业绩表现，适合作为本基金港股股票组合的业绩比较基准。中债综合财富（总值）指数由中央国债登记结算有限责任公司编制，样本债券涵盖的范围全面，具有广泛的市场代表性，涵盖主要交易市场（银行间市场、交易所市场等）、不同发行主体（政府、企业等）和期限（长期、中期、短期等），能够很好地反映中国债券市场总体价格水平和变动趋势。</w:t>
      </w:r>
    </w:p>
    <w:p w14:paraId="0D6FA499">
      <w:pPr>
        <w:pStyle w:val="8"/>
        <w:spacing w:before="0" w:beforeAutospacing="0" w:after="0" w:afterAutospacing="0" w:line="360" w:lineRule="auto"/>
        <w:ind w:firstLine="420"/>
        <w:rPr>
          <w:sz w:val="21"/>
          <w:szCs w:val="21"/>
        </w:rPr>
      </w:pPr>
      <w:r>
        <w:rPr>
          <w:rFonts w:hint="eastAsia"/>
          <w:sz w:val="21"/>
          <w:szCs w:val="21"/>
        </w:rPr>
        <w:t>如果指数编制单位停止计算编制以上指数或更改指数名称、或今后法律法规发生变化、或有更适当的、更能为市场普遍接受的业绩比较基准推出，在对基金份额持有人无实质不利影响的前提下，本基金管理人可以根据本基金的投资范围和投资策略，调整基金的业绩比较基准，在取得基金托管人同意后报中国证监会备案，并及时公告，无需召开基金份额持有人大会审议。 </w:t>
      </w:r>
    </w:p>
    <w:p w14:paraId="7F4C6D70">
      <w:pPr>
        <w:pStyle w:val="8"/>
        <w:spacing w:before="0" w:beforeAutospacing="0" w:after="0" w:afterAutospacing="0" w:line="360" w:lineRule="auto"/>
        <w:ind w:firstLine="420"/>
        <w:rPr>
          <w:sz w:val="21"/>
          <w:szCs w:val="21"/>
        </w:rPr>
      </w:pPr>
      <w:r>
        <w:rPr>
          <w:rStyle w:val="12"/>
          <w:rFonts w:hint="eastAsia"/>
          <w:sz w:val="21"/>
          <w:szCs w:val="21"/>
        </w:rPr>
        <w:t>六、风险收益特征</w:t>
      </w:r>
    </w:p>
    <w:p w14:paraId="01B94C0D">
      <w:pPr>
        <w:pStyle w:val="8"/>
        <w:spacing w:before="0" w:beforeAutospacing="0" w:after="0" w:afterAutospacing="0" w:line="360" w:lineRule="auto"/>
        <w:ind w:firstLine="420"/>
        <w:rPr>
          <w:sz w:val="21"/>
          <w:szCs w:val="21"/>
        </w:rPr>
      </w:pPr>
      <w:bookmarkStart w:id="116" w:name="field_60_riskyield_1_start"/>
      <w:bookmarkEnd w:id="116"/>
      <w:r>
        <w:rPr>
          <w:rFonts w:hint="eastAsia"/>
          <w:sz w:val="21"/>
          <w:szCs w:val="21"/>
        </w:rPr>
        <w:t xml:space="preserve">本基金是混合型基金，其预期收益和预期风险水平高于债券型基金和货币市场基金，低于股票型基金。本基金如果投资港股通标的股票，需承担汇率风险以及境外市场的风险。 </w:t>
      </w:r>
      <w:bookmarkStart w:id="117" w:name="field_60_riskyield_1_end"/>
      <w:bookmarkEnd w:id="117"/>
    </w:p>
    <w:p w14:paraId="3E99E86C">
      <w:pPr>
        <w:pStyle w:val="8"/>
        <w:spacing w:before="0" w:beforeAutospacing="0" w:after="0" w:afterAutospacing="0" w:line="360" w:lineRule="auto"/>
        <w:ind w:firstLine="420"/>
        <w:rPr>
          <w:sz w:val="21"/>
          <w:szCs w:val="21"/>
        </w:rPr>
      </w:pPr>
      <w:r>
        <w:rPr>
          <w:rStyle w:val="12"/>
          <w:rFonts w:hint="eastAsia"/>
          <w:sz w:val="21"/>
          <w:szCs w:val="21"/>
        </w:rPr>
        <w:t>七、基金管理人代表基金行使股东或债权人权利的处理原则及方法</w:t>
      </w:r>
    </w:p>
    <w:p w14:paraId="60D0650A">
      <w:pPr>
        <w:pStyle w:val="8"/>
        <w:spacing w:before="0" w:beforeAutospacing="0" w:after="0" w:afterAutospacing="0" w:line="360" w:lineRule="auto"/>
        <w:ind w:firstLine="420"/>
        <w:rPr>
          <w:sz w:val="21"/>
          <w:szCs w:val="21"/>
        </w:rPr>
      </w:pPr>
      <w:r>
        <w:rPr>
          <w:rFonts w:hint="eastAsia"/>
          <w:sz w:val="21"/>
          <w:szCs w:val="21"/>
        </w:rPr>
        <w:t>1、基金管理人按照国家有关规定代表基金独立行使股东或债权人权利，保护基金份额持有人的利益； </w:t>
      </w:r>
    </w:p>
    <w:p w14:paraId="73B3FD94">
      <w:pPr>
        <w:pStyle w:val="8"/>
        <w:spacing w:before="0" w:beforeAutospacing="0" w:after="0" w:afterAutospacing="0" w:line="360" w:lineRule="auto"/>
        <w:ind w:firstLine="420"/>
        <w:rPr>
          <w:sz w:val="21"/>
          <w:szCs w:val="21"/>
        </w:rPr>
      </w:pPr>
      <w:r>
        <w:rPr>
          <w:rFonts w:hint="eastAsia"/>
          <w:sz w:val="21"/>
          <w:szCs w:val="21"/>
        </w:rPr>
        <w:t>2、不谋求对上市公司的控股；</w:t>
      </w:r>
    </w:p>
    <w:p w14:paraId="41A2FAA2">
      <w:pPr>
        <w:pStyle w:val="8"/>
        <w:spacing w:before="0" w:beforeAutospacing="0" w:after="0" w:afterAutospacing="0" w:line="360" w:lineRule="auto"/>
        <w:ind w:firstLine="420"/>
        <w:rPr>
          <w:sz w:val="21"/>
          <w:szCs w:val="21"/>
        </w:rPr>
      </w:pPr>
      <w:r>
        <w:rPr>
          <w:rFonts w:hint="eastAsia"/>
          <w:sz w:val="21"/>
          <w:szCs w:val="21"/>
        </w:rPr>
        <w:t>3、有利于基金财产的安全与增值；</w:t>
      </w:r>
    </w:p>
    <w:p w14:paraId="440EEE80">
      <w:pPr>
        <w:pStyle w:val="8"/>
        <w:spacing w:before="0" w:beforeAutospacing="0" w:after="0" w:afterAutospacing="0" w:line="360" w:lineRule="auto"/>
        <w:ind w:firstLine="420"/>
        <w:rPr>
          <w:sz w:val="21"/>
          <w:szCs w:val="21"/>
        </w:rPr>
      </w:pPr>
      <w:r>
        <w:rPr>
          <w:rFonts w:hint="eastAsia"/>
          <w:sz w:val="21"/>
          <w:szCs w:val="21"/>
        </w:rPr>
        <w:t>4、不通过关联交易为自身、雇员、授权代理人或任何存在利害关系的第三人牟取任何不当利益。</w:t>
      </w:r>
    </w:p>
    <w:p w14:paraId="163EF5BE">
      <w:pPr>
        <w:pStyle w:val="8"/>
        <w:spacing w:before="0" w:beforeAutospacing="0" w:after="0" w:afterAutospacing="0" w:line="360" w:lineRule="auto"/>
        <w:ind w:firstLine="420"/>
        <w:rPr>
          <w:sz w:val="21"/>
          <w:szCs w:val="21"/>
        </w:rPr>
      </w:pPr>
      <w:r>
        <w:rPr>
          <w:rStyle w:val="12"/>
          <w:rFonts w:hint="eastAsia"/>
          <w:sz w:val="21"/>
          <w:szCs w:val="21"/>
        </w:rPr>
        <w:t>八、侧袋机制的实施和投资运作安排</w:t>
      </w:r>
    </w:p>
    <w:p w14:paraId="4C0C4304">
      <w:pPr>
        <w:pStyle w:val="8"/>
        <w:spacing w:before="0" w:beforeAutospacing="0" w:after="0" w:afterAutospacing="0" w:line="360" w:lineRule="auto"/>
        <w:ind w:firstLine="420"/>
        <w:rPr>
          <w:sz w:val="21"/>
          <w:szCs w:val="21"/>
        </w:rPr>
      </w:pPr>
      <w:r>
        <w:rPr>
          <w:rFonts w:hint="eastAsia"/>
          <w:sz w:val="21"/>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66CE6B96">
      <w:pPr>
        <w:pStyle w:val="8"/>
        <w:spacing w:before="0" w:beforeAutospacing="0" w:after="0" w:afterAutospacing="0" w:line="360" w:lineRule="auto"/>
        <w:ind w:firstLine="420"/>
        <w:rPr>
          <w:sz w:val="21"/>
          <w:szCs w:val="21"/>
        </w:rPr>
      </w:pPr>
      <w:r>
        <w:rPr>
          <w:rFonts w:hint="eastAsia"/>
          <w:sz w:val="21"/>
          <w:szCs w:val="21"/>
        </w:rPr>
        <w:t>侧袋机制实施期间，本部分约定的投资组合比例、投资策略、组合限制、业绩比较基准、风险收益特征等约定仅适用于主袋账户。</w:t>
      </w:r>
    </w:p>
    <w:p w14:paraId="0520F085">
      <w:pPr>
        <w:pStyle w:val="8"/>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18" w:name="chapter_level1_11_60_section_1_end"/>
      <w:bookmarkEnd w:id="118"/>
      <w:r>
        <w:rPr>
          <w:rFonts w:hint="eastAsia"/>
          <w:sz w:val="21"/>
          <w:szCs w:val="21"/>
        </w:rPr>
        <w:t>对投资者权益有重大影响的事项详见招募说明书的规定。</w:t>
      </w:r>
    </w:p>
    <w:p w14:paraId="6F62DDE7">
      <w:pPr>
        <w:pStyle w:val="8"/>
        <w:spacing w:before="0" w:beforeAutospacing="0" w:after="0" w:afterAutospacing="0" w:line="360" w:lineRule="auto"/>
        <w:ind w:firstLine="420"/>
        <w:rPr>
          <w:sz w:val="21"/>
          <w:szCs w:val="21"/>
        </w:rPr>
      </w:pPr>
      <w:bookmarkStart w:id="119" w:name="chapter_level1_11_60_section_2"/>
      <w:bookmarkEnd w:id="119"/>
      <w:r>
        <w:rPr>
          <w:rStyle w:val="12"/>
          <w:rFonts w:hint="eastAsia"/>
          <w:sz w:val="21"/>
          <w:szCs w:val="21"/>
        </w:rPr>
        <w:t>九、基金投资组合报告</w:t>
      </w:r>
    </w:p>
    <w:p w14:paraId="3FDD9787">
      <w:pPr>
        <w:pStyle w:val="8"/>
        <w:spacing w:before="0" w:beforeAutospacing="0" w:after="0" w:afterAutospacing="0" w:line="360" w:lineRule="auto"/>
        <w:ind w:firstLine="420"/>
        <w:rPr>
          <w:sz w:val="21"/>
          <w:szCs w:val="21"/>
        </w:rPr>
      </w:pPr>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0F9A8443">
      <w:pPr>
        <w:pStyle w:val="8"/>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19615037">
      <w:pPr>
        <w:pStyle w:val="8"/>
        <w:spacing w:before="0" w:beforeAutospacing="0" w:after="0" w:afterAutospacing="0" w:line="360" w:lineRule="auto"/>
        <w:ind w:firstLine="420"/>
        <w:rPr>
          <w:sz w:val="21"/>
          <w:szCs w:val="21"/>
        </w:rPr>
      </w:pPr>
      <w:r>
        <w:rPr>
          <w:rFonts w:hint="eastAsia"/>
          <w:sz w:val="21"/>
          <w:szCs w:val="21"/>
        </w:rPr>
        <w:t>本投资组合报告所载数据截至</w:t>
      </w:r>
      <w:bookmarkStart w:id="120" w:name="field_2343_financeendday_2"/>
      <w:r>
        <w:rPr>
          <w:sz w:val="21"/>
          <w:szCs w:val="21"/>
        </w:rPr>
        <w:t>2025年9月30日</w:t>
      </w:r>
      <w:bookmarkEnd w:id="120"/>
      <w:r>
        <w:rPr>
          <w:rFonts w:hint="eastAsia"/>
          <w:sz w:val="21"/>
          <w:szCs w:val="21"/>
        </w:rPr>
        <w:t xml:space="preserve">，本报告中所列财务数据未经审计。 </w:t>
      </w:r>
    </w:p>
    <w:p w14:paraId="4581382C">
      <w:pPr>
        <w:pStyle w:val="8"/>
        <w:spacing w:before="0" w:beforeAutospacing="0" w:after="0" w:afterAutospacing="0" w:line="360" w:lineRule="auto"/>
        <w:ind w:firstLine="420"/>
        <w:rPr>
          <w:sz w:val="21"/>
          <w:szCs w:val="21"/>
        </w:rPr>
      </w:pPr>
      <w:bookmarkStart w:id="121" w:name="field_0_fundportfolio_1_start"/>
      <w:bookmarkEnd w:id="121"/>
      <w:r>
        <w:rPr>
          <w:rStyle w:val="12"/>
          <w:rFonts w:hint="eastAsia"/>
          <w:sz w:val="21"/>
          <w:szCs w:val="21"/>
        </w:rPr>
        <w:t>1报告期末基金资产组合情况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2DF8D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67DA02">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1776F4A">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0CDB5FBD">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189B83B7">
            <w:pPr>
              <w:jc w:val="center"/>
              <w:rPr>
                <w:rFonts w:ascii="宋体" w:hAnsi="宋体" w:eastAsia="宋体" w:cs="宋体"/>
                <w:sz w:val="24"/>
                <w:szCs w:val="24"/>
              </w:rPr>
            </w:pPr>
            <w:r>
              <w:rPr>
                <w:rFonts w:hint="eastAsia" w:ascii="宋体" w:hAnsi="宋体" w:eastAsia="宋体"/>
              </w:rPr>
              <w:t>占基金总资产的比例(%)</w:t>
            </w:r>
          </w:p>
        </w:tc>
      </w:tr>
      <w:tr w14:paraId="1D5E6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9410B0">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E67C1B7">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6D7F0825">
            <w:pPr>
              <w:jc w:val="right"/>
              <w:rPr>
                <w:rFonts w:ascii="宋体" w:hAnsi="宋体" w:eastAsia="宋体" w:cs="宋体"/>
                <w:sz w:val="24"/>
                <w:szCs w:val="24"/>
              </w:rPr>
            </w:pPr>
            <w:r>
              <w:rPr>
                <w:rFonts w:hint="eastAsia" w:ascii="宋体" w:hAnsi="宋体" w:eastAsia="宋体"/>
              </w:rPr>
              <w:t>14,970,911.56</w:t>
            </w:r>
          </w:p>
        </w:tc>
        <w:tc>
          <w:tcPr>
            <w:tcW w:w="0" w:type="auto"/>
            <w:shd w:val="clear" w:color="auto" w:fill="auto"/>
          </w:tcPr>
          <w:p w14:paraId="1F5C664C">
            <w:pPr>
              <w:jc w:val="right"/>
              <w:rPr>
                <w:rFonts w:ascii="宋体" w:hAnsi="宋体" w:eastAsia="宋体" w:cs="宋体"/>
                <w:sz w:val="24"/>
                <w:szCs w:val="24"/>
              </w:rPr>
            </w:pPr>
            <w:r>
              <w:rPr>
                <w:rFonts w:hint="eastAsia" w:ascii="宋体" w:hAnsi="宋体" w:eastAsia="宋体"/>
              </w:rPr>
              <w:t>14.86</w:t>
            </w:r>
          </w:p>
        </w:tc>
      </w:tr>
      <w:tr w14:paraId="5B9C3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DAD314">
            <w:pPr>
              <w:jc w:val="center"/>
              <w:rPr>
                <w:rFonts w:ascii="宋体" w:hAnsi="宋体" w:eastAsia="宋体" w:cs="宋体"/>
                <w:sz w:val="24"/>
                <w:szCs w:val="24"/>
              </w:rPr>
            </w:pPr>
          </w:p>
        </w:tc>
        <w:tc>
          <w:tcPr>
            <w:tcW w:w="0" w:type="auto"/>
            <w:shd w:val="clear" w:color="auto" w:fill="auto"/>
          </w:tcPr>
          <w:p w14:paraId="424454B7">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2D14F1FA">
            <w:pPr>
              <w:jc w:val="right"/>
              <w:rPr>
                <w:rFonts w:ascii="宋体" w:hAnsi="宋体" w:eastAsia="宋体" w:cs="宋体"/>
                <w:sz w:val="24"/>
                <w:szCs w:val="24"/>
              </w:rPr>
            </w:pPr>
            <w:r>
              <w:rPr>
                <w:rFonts w:hint="eastAsia" w:ascii="宋体" w:hAnsi="宋体" w:eastAsia="宋体"/>
              </w:rPr>
              <w:t>14,970,911.56</w:t>
            </w:r>
          </w:p>
        </w:tc>
        <w:tc>
          <w:tcPr>
            <w:tcW w:w="0" w:type="auto"/>
            <w:shd w:val="clear" w:color="auto" w:fill="auto"/>
          </w:tcPr>
          <w:p w14:paraId="36747150">
            <w:pPr>
              <w:jc w:val="right"/>
              <w:rPr>
                <w:rFonts w:ascii="宋体" w:hAnsi="宋体" w:eastAsia="宋体" w:cs="宋体"/>
                <w:sz w:val="24"/>
                <w:szCs w:val="24"/>
              </w:rPr>
            </w:pPr>
            <w:r>
              <w:rPr>
                <w:rFonts w:hint="eastAsia" w:ascii="宋体" w:hAnsi="宋体" w:eastAsia="宋体"/>
              </w:rPr>
              <w:t>14.86</w:t>
            </w:r>
          </w:p>
        </w:tc>
      </w:tr>
      <w:tr w14:paraId="4FB96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07EFF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95C7C48">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031590C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391BFE9">
            <w:pPr>
              <w:jc w:val="right"/>
              <w:rPr>
                <w:rFonts w:ascii="宋体" w:hAnsi="宋体" w:eastAsia="宋体" w:cs="宋体"/>
                <w:sz w:val="24"/>
                <w:szCs w:val="24"/>
              </w:rPr>
            </w:pPr>
            <w:r>
              <w:rPr>
                <w:rFonts w:hint="eastAsia" w:ascii="宋体" w:hAnsi="宋体" w:eastAsia="宋体"/>
              </w:rPr>
              <w:t>-</w:t>
            </w:r>
          </w:p>
        </w:tc>
      </w:tr>
      <w:tr w14:paraId="5C749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0134D1">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6A17BE7">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6423BC4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557D2F9">
            <w:pPr>
              <w:jc w:val="right"/>
              <w:rPr>
                <w:rFonts w:ascii="宋体" w:hAnsi="宋体" w:eastAsia="宋体" w:cs="宋体"/>
                <w:sz w:val="24"/>
                <w:szCs w:val="24"/>
              </w:rPr>
            </w:pPr>
            <w:r>
              <w:rPr>
                <w:rFonts w:hint="eastAsia" w:ascii="宋体" w:hAnsi="宋体" w:eastAsia="宋体"/>
              </w:rPr>
              <w:t>-</w:t>
            </w:r>
          </w:p>
        </w:tc>
      </w:tr>
      <w:tr w14:paraId="0004D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E99FB0">
            <w:pPr>
              <w:jc w:val="center"/>
              <w:rPr>
                <w:rFonts w:ascii="宋体" w:hAnsi="宋体" w:eastAsia="宋体" w:cs="宋体"/>
                <w:sz w:val="24"/>
                <w:szCs w:val="24"/>
              </w:rPr>
            </w:pPr>
          </w:p>
        </w:tc>
        <w:tc>
          <w:tcPr>
            <w:tcW w:w="0" w:type="auto"/>
            <w:shd w:val="clear" w:color="auto" w:fill="auto"/>
          </w:tcPr>
          <w:p w14:paraId="299A4389">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37E9381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983C859">
            <w:pPr>
              <w:jc w:val="right"/>
              <w:rPr>
                <w:rFonts w:ascii="宋体" w:hAnsi="宋体" w:eastAsia="宋体" w:cs="宋体"/>
                <w:sz w:val="24"/>
                <w:szCs w:val="24"/>
              </w:rPr>
            </w:pPr>
            <w:r>
              <w:rPr>
                <w:rFonts w:hint="eastAsia" w:ascii="宋体" w:hAnsi="宋体" w:eastAsia="宋体"/>
              </w:rPr>
              <w:t>-</w:t>
            </w:r>
          </w:p>
        </w:tc>
      </w:tr>
      <w:tr w14:paraId="0127C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ECBCF0">
            <w:pPr>
              <w:jc w:val="center"/>
              <w:rPr>
                <w:rFonts w:ascii="宋体" w:hAnsi="宋体" w:eastAsia="宋体" w:cs="宋体"/>
                <w:sz w:val="24"/>
                <w:szCs w:val="24"/>
              </w:rPr>
            </w:pPr>
          </w:p>
        </w:tc>
        <w:tc>
          <w:tcPr>
            <w:tcW w:w="0" w:type="auto"/>
            <w:shd w:val="clear" w:color="auto" w:fill="auto"/>
          </w:tcPr>
          <w:p w14:paraId="2798F079">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73A4FBC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6F05347">
            <w:pPr>
              <w:jc w:val="right"/>
              <w:rPr>
                <w:rFonts w:ascii="宋体" w:hAnsi="宋体" w:eastAsia="宋体" w:cs="宋体"/>
                <w:sz w:val="24"/>
                <w:szCs w:val="24"/>
              </w:rPr>
            </w:pPr>
            <w:r>
              <w:rPr>
                <w:rFonts w:hint="eastAsia" w:ascii="宋体" w:hAnsi="宋体" w:eastAsia="宋体"/>
              </w:rPr>
              <w:t>-</w:t>
            </w:r>
          </w:p>
        </w:tc>
      </w:tr>
      <w:tr w14:paraId="61B2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95574C">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C545DD9">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5A94CF7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DBC2C90">
            <w:pPr>
              <w:jc w:val="right"/>
              <w:rPr>
                <w:rFonts w:ascii="宋体" w:hAnsi="宋体" w:eastAsia="宋体" w:cs="宋体"/>
                <w:sz w:val="24"/>
                <w:szCs w:val="24"/>
              </w:rPr>
            </w:pPr>
            <w:r>
              <w:rPr>
                <w:rFonts w:hint="eastAsia" w:ascii="宋体" w:hAnsi="宋体" w:eastAsia="宋体"/>
              </w:rPr>
              <w:t>-</w:t>
            </w:r>
          </w:p>
        </w:tc>
      </w:tr>
      <w:tr w14:paraId="50F32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AEBEE6">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7BD8BDEB">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15812F0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4F45F53">
            <w:pPr>
              <w:jc w:val="right"/>
              <w:rPr>
                <w:rFonts w:ascii="宋体" w:hAnsi="宋体" w:eastAsia="宋体" w:cs="宋体"/>
                <w:sz w:val="24"/>
                <w:szCs w:val="24"/>
              </w:rPr>
            </w:pPr>
            <w:r>
              <w:rPr>
                <w:rFonts w:hint="eastAsia" w:ascii="宋体" w:hAnsi="宋体" w:eastAsia="宋体"/>
              </w:rPr>
              <w:t>-</w:t>
            </w:r>
          </w:p>
        </w:tc>
      </w:tr>
      <w:tr w14:paraId="4727E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5208AF9">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6113DA2D">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1256D272">
            <w:pPr>
              <w:jc w:val="right"/>
              <w:rPr>
                <w:rFonts w:ascii="宋体" w:hAnsi="宋体" w:eastAsia="宋体" w:cs="宋体"/>
                <w:sz w:val="24"/>
                <w:szCs w:val="24"/>
              </w:rPr>
            </w:pPr>
            <w:r>
              <w:rPr>
                <w:rFonts w:hint="eastAsia" w:ascii="宋体" w:hAnsi="宋体" w:eastAsia="宋体"/>
              </w:rPr>
              <w:t>36,995,869.87</w:t>
            </w:r>
          </w:p>
        </w:tc>
        <w:tc>
          <w:tcPr>
            <w:tcW w:w="0" w:type="auto"/>
            <w:shd w:val="clear" w:color="auto" w:fill="auto"/>
          </w:tcPr>
          <w:p w14:paraId="410CD854">
            <w:pPr>
              <w:jc w:val="right"/>
              <w:rPr>
                <w:rFonts w:ascii="宋体" w:hAnsi="宋体" w:eastAsia="宋体" w:cs="宋体"/>
                <w:sz w:val="24"/>
                <w:szCs w:val="24"/>
              </w:rPr>
            </w:pPr>
            <w:r>
              <w:rPr>
                <w:rFonts w:hint="eastAsia" w:ascii="宋体" w:hAnsi="宋体" w:eastAsia="宋体"/>
              </w:rPr>
              <w:t>36.73</w:t>
            </w:r>
          </w:p>
        </w:tc>
      </w:tr>
      <w:tr w14:paraId="59A00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5307AE">
            <w:pPr>
              <w:jc w:val="center"/>
              <w:rPr>
                <w:rFonts w:ascii="宋体" w:hAnsi="宋体" w:eastAsia="宋体" w:cs="宋体"/>
                <w:sz w:val="24"/>
                <w:szCs w:val="24"/>
              </w:rPr>
            </w:pPr>
          </w:p>
        </w:tc>
        <w:tc>
          <w:tcPr>
            <w:tcW w:w="0" w:type="auto"/>
            <w:shd w:val="clear" w:color="auto" w:fill="auto"/>
          </w:tcPr>
          <w:p w14:paraId="1205A7FA">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52E425B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60327D0">
            <w:pPr>
              <w:jc w:val="right"/>
              <w:rPr>
                <w:rFonts w:ascii="宋体" w:hAnsi="宋体" w:eastAsia="宋体" w:cs="宋体"/>
                <w:sz w:val="24"/>
                <w:szCs w:val="24"/>
              </w:rPr>
            </w:pPr>
            <w:r>
              <w:rPr>
                <w:rFonts w:hint="eastAsia" w:ascii="宋体" w:hAnsi="宋体" w:eastAsia="宋体"/>
              </w:rPr>
              <w:t>-</w:t>
            </w:r>
          </w:p>
        </w:tc>
      </w:tr>
      <w:tr w14:paraId="7FEDF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85B613">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1E041D55">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7CA9EF8E">
            <w:pPr>
              <w:jc w:val="right"/>
              <w:rPr>
                <w:rFonts w:ascii="宋体" w:hAnsi="宋体" w:eastAsia="宋体" w:cs="宋体"/>
                <w:sz w:val="24"/>
                <w:szCs w:val="24"/>
              </w:rPr>
            </w:pPr>
            <w:r>
              <w:rPr>
                <w:rFonts w:hint="eastAsia" w:ascii="宋体" w:hAnsi="宋体" w:eastAsia="宋体"/>
              </w:rPr>
              <w:t>30,468,634.46</w:t>
            </w:r>
          </w:p>
        </w:tc>
        <w:tc>
          <w:tcPr>
            <w:tcW w:w="0" w:type="auto"/>
            <w:shd w:val="clear" w:color="auto" w:fill="auto"/>
          </w:tcPr>
          <w:p w14:paraId="3EC82A62">
            <w:pPr>
              <w:jc w:val="right"/>
              <w:rPr>
                <w:rFonts w:ascii="宋体" w:hAnsi="宋体" w:eastAsia="宋体" w:cs="宋体"/>
                <w:sz w:val="24"/>
                <w:szCs w:val="24"/>
              </w:rPr>
            </w:pPr>
            <w:r>
              <w:rPr>
                <w:rFonts w:hint="eastAsia" w:ascii="宋体" w:hAnsi="宋体" w:eastAsia="宋体"/>
              </w:rPr>
              <w:t>30.25</w:t>
            </w:r>
          </w:p>
        </w:tc>
      </w:tr>
      <w:tr w14:paraId="29287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E87F67">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7A2ADA52">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754E9955">
            <w:pPr>
              <w:jc w:val="right"/>
              <w:rPr>
                <w:rFonts w:ascii="宋体" w:hAnsi="宋体" w:eastAsia="宋体" w:cs="宋体"/>
                <w:sz w:val="24"/>
                <w:szCs w:val="24"/>
              </w:rPr>
            </w:pPr>
            <w:r>
              <w:rPr>
                <w:rFonts w:hint="eastAsia" w:ascii="宋体" w:hAnsi="宋体" w:eastAsia="宋体"/>
              </w:rPr>
              <w:t>18,279,975.23</w:t>
            </w:r>
          </w:p>
        </w:tc>
        <w:tc>
          <w:tcPr>
            <w:tcW w:w="0" w:type="auto"/>
            <w:shd w:val="clear" w:color="auto" w:fill="auto"/>
          </w:tcPr>
          <w:p w14:paraId="5407AA68">
            <w:pPr>
              <w:jc w:val="right"/>
              <w:rPr>
                <w:rFonts w:ascii="宋体" w:hAnsi="宋体" w:eastAsia="宋体" w:cs="宋体"/>
                <w:sz w:val="24"/>
                <w:szCs w:val="24"/>
              </w:rPr>
            </w:pPr>
            <w:r>
              <w:rPr>
                <w:rFonts w:hint="eastAsia" w:ascii="宋体" w:hAnsi="宋体" w:eastAsia="宋体"/>
              </w:rPr>
              <w:t>18.15</w:t>
            </w:r>
          </w:p>
        </w:tc>
      </w:tr>
      <w:tr w14:paraId="5AE6C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F7E664">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7C487164">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5BD72417">
            <w:pPr>
              <w:jc w:val="right"/>
              <w:rPr>
                <w:rFonts w:ascii="宋体" w:hAnsi="宋体" w:eastAsia="宋体" w:cs="宋体"/>
                <w:sz w:val="24"/>
                <w:szCs w:val="24"/>
              </w:rPr>
            </w:pPr>
            <w:r>
              <w:rPr>
                <w:rFonts w:hint="eastAsia" w:ascii="宋体" w:hAnsi="宋体" w:eastAsia="宋体"/>
              </w:rPr>
              <w:t>100,715,391.12</w:t>
            </w:r>
          </w:p>
        </w:tc>
        <w:tc>
          <w:tcPr>
            <w:tcW w:w="0" w:type="auto"/>
            <w:shd w:val="clear" w:color="auto" w:fill="auto"/>
          </w:tcPr>
          <w:p w14:paraId="1800771F">
            <w:pPr>
              <w:jc w:val="right"/>
              <w:rPr>
                <w:rFonts w:ascii="宋体" w:hAnsi="宋体" w:eastAsia="宋体" w:cs="宋体"/>
                <w:sz w:val="24"/>
                <w:szCs w:val="24"/>
              </w:rPr>
            </w:pPr>
            <w:r>
              <w:rPr>
                <w:rFonts w:hint="eastAsia" w:ascii="宋体" w:hAnsi="宋体" w:eastAsia="宋体"/>
              </w:rPr>
              <w:t>100.00</w:t>
            </w:r>
          </w:p>
        </w:tc>
      </w:tr>
    </w:tbl>
    <w:p w14:paraId="6172F320">
      <w:pPr>
        <w:pStyle w:val="8"/>
        <w:spacing w:before="0" w:beforeAutospacing="0" w:after="0" w:afterAutospacing="0" w:line="360" w:lineRule="auto"/>
        <w:ind w:firstLine="420"/>
        <w:rPr>
          <w:sz w:val="21"/>
          <w:szCs w:val="21"/>
        </w:rPr>
      </w:pPr>
      <w:r>
        <w:rPr>
          <w:rStyle w:val="12"/>
          <w:rFonts w:hint="eastAsia"/>
          <w:sz w:val="21"/>
          <w:szCs w:val="21"/>
        </w:rPr>
        <w:t>2报告期末按行业分类的股票投资组合</w:t>
      </w:r>
    </w:p>
    <w:p w14:paraId="067DE36B">
      <w:pPr>
        <w:pStyle w:val="8"/>
        <w:spacing w:before="0" w:beforeAutospacing="0" w:after="0" w:afterAutospacing="0" w:line="360" w:lineRule="auto"/>
        <w:ind w:firstLine="420"/>
        <w:rPr>
          <w:sz w:val="21"/>
          <w:szCs w:val="21"/>
        </w:rPr>
      </w:pPr>
      <w:r>
        <w:rPr>
          <w:rStyle w:val="12"/>
          <w:rFonts w:hint="eastAsia"/>
          <w:sz w:val="21"/>
          <w:szCs w:val="21"/>
        </w:rPr>
        <w:t>2.1报告期末按行业分类的境内股票投资组合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3509"/>
        <w:gridCol w:w="1684"/>
        <w:gridCol w:w="2693"/>
      </w:tblGrid>
      <w:tr w14:paraId="13A0C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841823">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01882B28">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54855136">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578EED48">
            <w:pPr>
              <w:jc w:val="center"/>
              <w:rPr>
                <w:rFonts w:ascii="宋体" w:hAnsi="宋体" w:eastAsia="宋体" w:cs="宋体"/>
                <w:sz w:val="24"/>
                <w:szCs w:val="24"/>
              </w:rPr>
            </w:pPr>
            <w:r>
              <w:rPr>
                <w:rFonts w:hint="eastAsia" w:ascii="宋体" w:hAnsi="宋体" w:eastAsia="宋体"/>
              </w:rPr>
              <w:t>占基金资产净值比例（％）</w:t>
            </w:r>
          </w:p>
        </w:tc>
      </w:tr>
      <w:tr w14:paraId="01780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C98F38">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768841B2">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1F15976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D28408F">
            <w:pPr>
              <w:jc w:val="right"/>
              <w:rPr>
                <w:rFonts w:ascii="宋体" w:hAnsi="宋体" w:eastAsia="宋体" w:cs="宋体"/>
                <w:sz w:val="24"/>
                <w:szCs w:val="24"/>
              </w:rPr>
            </w:pPr>
            <w:r>
              <w:rPr>
                <w:rFonts w:hint="eastAsia" w:ascii="宋体" w:hAnsi="宋体" w:eastAsia="宋体"/>
              </w:rPr>
              <w:t>-</w:t>
            </w:r>
          </w:p>
        </w:tc>
      </w:tr>
      <w:tr w14:paraId="03F89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9B94BF">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5589926C">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03EA637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45868DC">
            <w:pPr>
              <w:jc w:val="right"/>
              <w:rPr>
                <w:rFonts w:ascii="宋体" w:hAnsi="宋体" w:eastAsia="宋体" w:cs="宋体"/>
                <w:sz w:val="24"/>
                <w:szCs w:val="24"/>
              </w:rPr>
            </w:pPr>
            <w:r>
              <w:rPr>
                <w:rFonts w:hint="eastAsia" w:ascii="宋体" w:hAnsi="宋体" w:eastAsia="宋体"/>
              </w:rPr>
              <w:t>-</w:t>
            </w:r>
          </w:p>
        </w:tc>
      </w:tr>
      <w:tr w14:paraId="7E3D3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7EF5AC">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411AEE20">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26B3DBF0">
            <w:pPr>
              <w:jc w:val="right"/>
              <w:rPr>
                <w:rFonts w:ascii="宋体" w:hAnsi="宋体" w:eastAsia="宋体" w:cs="宋体"/>
                <w:sz w:val="24"/>
                <w:szCs w:val="24"/>
              </w:rPr>
            </w:pPr>
            <w:r>
              <w:rPr>
                <w:rFonts w:hint="eastAsia" w:ascii="宋体" w:hAnsi="宋体" w:eastAsia="宋体"/>
              </w:rPr>
              <w:t>14,970,911.56</w:t>
            </w:r>
          </w:p>
        </w:tc>
        <w:tc>
          <w:tcPr>
            <w:tcW w:w="0" w:type="auto"/>
            <w:shd w:val="clear" w:color="auto" w:fill="auto"/>
          </w:tcPr>
          <w:p w14:paraId="521EDE26">
            <w:pPr>
              <w:jc w:val="right"/>
              <w:rPr>
                <w:rFonts w:ascii="宋体" w:hAnsi="宋体" w:eastAsia="宋体" w:cs="宋体"/>
                <w:sz w:val="24"/>
                <w:szCs w:val="24"/>
              </w:rPr>
            </w:pPr>
            <w:r>
              <w:rPr>
                <w:rFonts w:hint="eastAsia" w:ascii="宋体" w:hAnsi="宋体" w:eastAsia="宋体"/>
              </w:rPr>
              <w:t>15.26</w:t>
            </w:r>
          </w:p>
        </w:tc>
      </w:tr>
      <w:tr w14:paraId="0C9BE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72A6CF">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1C702F20">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41B68D3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269B15A">
            <w:pPr>
              <w:jc w:val="right"/>
              <w:rPr>
                <w:rFonts w:ascii="宋体" w:hAnsi="宋体" w:eastAsia="宋体" w:cs="宋体"/>
                <w:sz w:val="24"/>
                <w:szCs w:val="24"/>
              </w:rPr>
            </w:pPr>
            <w:r>
              <w:rPr>
                <w:rFonts w:hint="eastAsia" w:ascii="宋体" w:hAnsi="宋体" w:eastAsia="宋体"/>
              </w:rPr>
              <w:t>-</w:t>
            </w:r>
          </w:p>
        </w:tc>
      </w:tr>
      <w:tr w14:paraId="7AE27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360A4D">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5584E4F3">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03C426F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65FB687">
            <w:pPr>
              <w:jc w:val="right"/>
              <w:rPr>
                <w:rFonts w:ascii="宋体" w:hAnsi="宋体" w:eastAsia="宋体" w:cs="宋体"/>
                <w:sz w:val="24"/>
                <w:szCs w:val="24"/>
              </w:rPr>
            </w:pPr>
            <w:r>
              <w:rPr>
                <w:rFonts w:hint="eastAsia" w:ascii="宋体" w:hAnsi="宋体" w:eastAsia="宋体"/>
              </w:rPr>
              <w:t>-</w:t>
            </w:r>
          </w:p>
        </w:tc>
      </w:tr>
      <w:tr w14:paraId="14526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EDEB6B">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5D1EE84E">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74A4EFD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5B59CE2">
            <w:pPr>
              <w:jc w:val="right"/>
              <w:rPr>
                <w:rFonts w:ascii="宋体" w:hAnsi="宋体" w:eastAsia="宋体" w:cs="宋体"/>
                <w:sz w:val="24"/>
                <w:szCs w:val="24"/>
              </w:rPr>
            </w:pPr>
            <w:r>
              <w:rPr>
                <w:rFonts w:hint="eastAsia" w:ascii="宋体" w:hAnsi="宋体" w:eastAsia="宋体"/>
              </w:rPr>
              <w:t>-</w:t>
            </w:r>
          </w:p>
        </w:tc>
      </w:tr>
      <w:tr w14:paraId="0EC0C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40F629">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30F706BF">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248E83B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1752177">
            <w:pPr>
              <w:jc w:val="right"/>
              <w:rPr>
                <w:rFonts w:ascii="宋体" w:hAnsi="宋体" w:eastAsia="宋体" w:cs="宋体"/>
                <w:sz w:val="24"/>
                <w:szCs w:val="24"/>
              </w:rPr>
            </w:pPr>
            <w:r>
              <w:rPr>
                <w:rFonts w:hint="eastAsia" w:ascii="宋体" w:hAnsi="宋体" w:eastAsia="宋体"/>
              </w:rPr>
              <w:t>-</w:t>
            </w:r>
          </w:p>
        </w:tc>
      </w:tr>
      <w:tr w14:paraId="1AC43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977B27">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11E61080">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59E665A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4D34409">
            <w:pPr>
              <w:jc w:val="right"/>
              <w:rPr>
                <w:rFonts w:ascii="宋体" w:hAnsi="宋体" w:eastAsia="宋体" w:cs="宋体"/>
                <w:sz w:val="24"/>
                <w:szCs w:val="24"/>
              </w:rPr>
            </w:pPr>
            <w:r>
              <w:rPr>
                <w:rFonts w:hint="eastAsia" w:ascii="宋体" w:hAnsi="宋体" w:eastAsia="宋体"/>
              </w:rPr>
              <w:t>-</w:t>
            </w:r>
          </w:p>
        </w:tc>
      </w:tr>
      <w:tr w14:paraId="2C5BC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1884C1">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1A011B92">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594F52C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B1F3B3E">
            <w:pPr>
              <w:jc w:val="right"/>
              <w:rPr>
                <w:rFonts w:ascii="宋体" w:hAnsi="宋体" w:eastAsia="宋体" w:cs="宋体"/>
                <w:sz w:val="24"/>
                <w:szCs w:val="24"/>
              </w:rPr>
            </w:pPr>
            <w:r>
              <w:rPr>
                <w:rFonts w:hint="eastAsia" w:ascii="宋体" w:hAnsi="宋体" w:eastAsia="宋体"/>
              </w:rPr>
              <w:t>-</w:t>
            </w:r>
          </w:p>
        </w:tc>
      </w:tr>
      <w:tr w14:paraId="1AC01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9CFF80">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637762AA">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6E94EB7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B81A913">
            <w:pPr>
              <w:jc w:val="right"/>
              <w:rPr>
                <w:rFonts w:ascii="宋体" w:hAnsi="宋体" w:eastAsia="宋体" w:cs="宋体"/>
                <w:sz w:val="24"/>
                <w:szCs w:val="24"/>
              </w:rPr>
            </w:pPr>
            <w:r>
              <w:rPr>
                <w:rFonts w:hint="eastAsia" w:ascii="宋体" w:hAnsi="宋体" w:eastAsia="宋体"/>
              </w:rPr>
              <w:t>-</w:t>
            </w:r>
          </w:p>
        </w:tc>
      </w:tr>
      <w:tr w14:paraId="39B36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933792">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5BBAD93F">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2CF8FDA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BC051A6">
            <w:pPr>
              <w:jc w:val="right"/>
              <w:rPr>
                <w:rFonts w:ascii="宋体" w:hAnsi="宋体" w:eastAsia="宋体" w:cs="宋体"/>
                <w:sz w:val="24"/>
                <w:szCs w:val="24"/>
              </w:rPr>
            </w:pPr>
            <w:r>
              <w:rPr>
                <w:rFonts w:hint="eastAsia" w:ascii="宋体" w:hAnsi="宋体" w:eastAsia="宋体"/>
              </w:rPr>
              <w:t>-</w:t>
            </w:r>
          </w:p>
        </w:tc>
      </w:tr>
      <w:tr w14:paraId="7DED3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5E6D5A">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408E91B3">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21F4D8C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3320404">
            <w:pPr>
              <w:jc w:val="right"/>
              <w:rPr>
                <w:rFonts w:ascii="宋体" w:hAnsi="宋体" w:eastAsia="宋体" w:cs="宋体"/>
                <w:sz w:val="24"/>
                <w:szCs w:val="24"/>
              </w:rPr>
            </w:pPr>
            <w:r>
              <w:rPr>
                <w:rFonts w:hint="eastAsia" w:ascii="宋体" w:hAnsi="宋体" w:eastAsia="宋体"/>
              </w:rPr>
              <w:t>-</w:t>
            </w:r>
          </w:p>
        </w:tc>
      </w:tr>
      <w:tr w14:paraId="2640A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F18311">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0C9AF7DF">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4A8988C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AC3E88D">
            <w:pPr>
              <w:jc w:val="right"/>
              <w:rPr>
                <w:rFonts w:ascii="宋体" w:hAnsi="宋体" w:eastAsia="宋体" w:cs="宋体"/>
                <w:sz w:val="24"/>
                <w:szCs w:val="24"/>
              </w:rPr>
            </w:pPr>
            <w:r>
              <w:rPr>
                <w:rFonts w:hint="eastAsia" w:ascii="宋体" w:hAnsi="宋体" w:eastAsia="宋体"/>
              </w:rPr>
              <w:t>-</w:t>
            </w:r>
          </w:p>
        </w:tc>
      </w:tr>
      <w:tr w14:paraId="7DE53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71409D">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46293991">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1F3948A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FF1852E">
            <w:pPr>
              <w:jc w:val="right"/>
              <w:rPr>
                <w:rFonts w:ascii="宋体" w:hAnsi="宋体" w:eastAsia="宋体" w:cs="宋体"/>
                <w:sz w:val="24"/>
                <w:szCs w:val="24"/>
              </w:rPr>
            </w:pPr>
            <w:r>
              <w:rPr>
                <w:rFonts w:hint="eastAsia" w:ascii="宋体" w:hAnsi="宋体" w:eastAsia="宋体"/>
              </w:rPr>
              <w:t>-</w:t>
            </w:r>
          </w:p>
        </w:tc>
      </w:tr>
      <w:tr w14:paraId="7FAB5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1BAD97">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2FF536F5">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79813A6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D387242">
            <w:pPr>
              <w:jc w:val="right"/>
              <w:rPr>
                <w:rFonts w:ascii="宋体" w:hAnsi="宋体" w:eastAsia="宋体" w:cs="宋体"/>
                <w:sz w:val="24"/>
                <w:szCs w:val="24"/>
              </w:rPr>
            </w:pPr>
            <w:r>
              <w:rPr>
                <w:rFonts w:hint="eastAsia" w:ascii="宋体" w:hAnsi="宋体" w:eastAsia="宋体"/>
              </w:rPr>
              <w:t>-</w:t>
            </w:r>
          </w:p>
        </w:tc>
      </w:tr>
      <w:tr w14:paraId="2251C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37CBE0">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6F0BC77F">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62FCA68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7D8DE2C">
            <w:pPr>
              <w:jc w:val="right"/>
              <w:rPr>
                <w:rFonts w:ascii="宋体" w:hAnsi="宋体" w:eastAsia="宋体" w:cs="宋体"/>
                <w:sz w:val="24"/>
                <w:szCs w:val="24"/>
              </w:rPr>
            </w:pPr>
            <w:r>
              <w:rPr>
                <w:rFonts w:hint="eastAsia" w:ascii="宋体" w:hAnsi="宋体" w:eastAsia="宋体"/>
              </w:rPr>
              <w:t>-</w:t>
            </w:r>
          </w:p>
        </w:tc>
      </w:tr>
      <w:tr w14:paraId="78519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646FC3">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38F84400">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6EBCF04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5AD5145">
            <w:pPr>
              <w:jc w:val="right"/>
              <w:rPr>
                <w:rFonts w:ascii="宋体" w:hAnsi="宋体" w:eastAsia="宋体" w:cs="宋体"/>
                <w:sz w:val="24"/>
                <w:szCs w:val="24"/>
              </w:rPr>
            </w:pPr>
            <w:r>
              <w:rPr>
                <w:rFonts w:hint="eastAsia" w:ascii="宋体" w:hAnsi="宋体" w:eastAsia="宋体"/>
              </w:rPr>
              <w:t>-</w:t>
            </w:r>
          </w:p>
        </w:tc>
      </w:tr>
      <w:tr w14:paraId="13A63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3BED82">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4E1F896B">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1F0047C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CE3267D">
            <w:pPr>
              <w:jc w:val="right"/>
              <w:rPr>
                <w:rFonts w:ascii="宋体" w:hAnsi="宋体" w:eastAsia="宋体" w:cs="宋体"/>
                <w:sz w:val="24"/>
                <w:szCs w:val="24"/>
              </w:rPr>
            </w:pPr>
            <w:r>
              <w:rPr>
                <w:rFonts w:hint="eastAsia" w:ascii="宋体" w:hAnsi="宋体" w:eastAsia="宋体"/>
              </w:rPr>
              <w:t>-</w:t>
            </w:r>
          </w:p>
        </w:tc>
      </w:tr>
      <w:tr w14:paraId="7C6CE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033200">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642B8A93">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2474172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786DE54">
            <w:pPr>
              <w:jc w:val="right"/>
              <w:rPr>
                <w:rFonts w:ascii="宋体" w:hAnsi="宋体" w:eastAsia="宋体" w:cs="宋体"/>
                <w:sz w:val="24"/>
                <w:szCs w:val="24"/>
              </w:rPr>
            </w:pPr>
            <w:r>
              <w:rPr>
                <w:rFonts w:hint="eastAsia" w:ascii="宋体" w:hAnsi="宋体" w:eastAsia="宋体"/>
              </w:rPr>
              <w:t>-</w:t>
            </w:r>
          </w:p>
        </w:tc>
      </w:tr>
      <w:tr w14:paraId="17E6B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84B7F9">
            <w:pPr>
              <w:jc w:val="center"/>
              <w:rPr>
                <w:rFonts w:ascii="宋体" w:hAnsi="宋体" w:eastAsia="宋体" w:cs="宋体"/>
                <w:sz w:val="24"/>
                <w:szCs w:val="24"/>
              </w:rPr>
            </w:pPr>
          </w:p>
        </w:tc>
        <w:tc>
          <w:tcPr>
            <w:tcW w:w="0" w:type="auto"/>
            <w:shd w:val="clear" w:color="auto" w:fill="auto"/>
          </w:tcPr>
          <w:p w14:paraId="75224EC7">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7F44C852">
            <w:pPr>
              <w:jc w:val="right"/>
              <w:rPr>
                <w:rFonts w:ascii="宋体" w:hAnsi="宋体" w:eastAsia="宋体" w:cs="宋体"/>
                <w:sz w:val="24"/>
                <w:szCs w:val="24"/>
              </w:rPr>
            </w:pPr>
            <w:r>
              <w:rPr>
                <w:rFonts w:hint="eastAsia" w:ascii="宋体" w:hAnsi="宋体" w:eastAsia="宋体"/>
              </w:rPr>
              <w:t>14,970,911.56</w:t>
            </w:r>
          </w:p>
        </w:tc>
        <w:tc>
          <w:tcPr>
            <w:tcW w:w="0" w:type="auto"/>
            <w:shd w:val="clear" w:color="auto" w:fill="auto"/>
          </w:tcPr>
          <w:p w14:paraId="4EBD225D">
            <w:pPr>
              <w:jc w:val="right"/>
              <w:rPr>
                <w:rFonts w:ascii="宋体" w:hAnsi="宋体" w:eastAsia="宋体" w:cs="宋体"/>
                <w:sz w:val="24"/>
                <w:szCs w:val="24"/>
              </w:rPr>
            </w:pPr>
            <w:r>
              <w:rPr>
                <w:rFonts w:hint="eastAsia" w:ascii="宋体" w:hAnsi="宋体" w:eastAsia="宋体"/>
              </w:rPr>
              <w:t>15.26</w:t>
            </w:r>
          </w:p>
        </w:tc>
      </w:tr>
    </w:tbl>
    <w:p w14:paraId="0640C822">
      <w:pPr>
        <w:pStyle w:val="8"/>
        <w:spacing w:before="0" w:beforeAutospacing="0" w:after="0" w:afterAutospacing="0" w:line="360" w:lineRule="auto"/>
        <w:ind w:firstLine="420"/>
        <w:rPr>
          <w:sz w:val="21"/>
          <w:szCs w:val="21"/>
        </w:rPr>
      </w:pPr>
      <w:r>
        <w:rPr>
          <w:rStyle w:val="12"/>
          <w:rFonts w:hint="eastAsia"/>
          <w:sz w:val="21"/>
          <w:szCs w:val="21"/>
        </w:rPr>
        <w:t>2.2报告期末按行业分类的港股通投资股票投资组合</w:t>
      </w:r>
    </w:p>
    <w:p w14:paraId="0754D462">
      <w:pPr>
        <w:pStyle w:val="8"/>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4D48EF56">
      <w:pPr>
        <w:pStyle w:val="8"/>
        <w:spacing w:before="0" w:beforeAutospacing="0" w:after="0" w:afterAutospacing="0" w:line="360" w:lineRule="auto"/>
        <w:ind w:firstLine="420"/>
        <w:rPr>
          <w:sz w:val="21"/>
          <w:szCs w:val="21"/>
        </w:rPr>
      </w:pPr>
      <w:r>
        <w:rPr>
          <w:rStyle w:val="12"/>
          <w:rFonts w:hint="eastAsia"/>
          <w:sz w:val="21"/>
          <w:szCs w:val="21"/>
        </w:rPr>
        <w:t>3报告期末按公允价值占基金资产净值比例大小排序的前十名股票投资明细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152"/>
        <w:gridCol w:w="1152"/>
        <w:gridCol w:w="1152"/>
        <w:gridCol w:w="1610"/>
        <w:gridCol w:w="2756"/>
      </w:tblGrid>
      <w:tr w14:paraId="5B0E0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B65EF6">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3BF5D38B">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69AD086A">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381E6D19">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1F03FCF4">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3485EAA9">
            <w:pPr>
              <w:jc w:val="center"/>
              <w:rPr>
                <w:rFonts w:ascii="宋体" w:hAnsi="宋体" w:eastAsia="宋体" w:cs="宋体"/>
                <w:sz w:val="24"/>
                <w:szCs w:val="24"/>
              </w:rPr>
            </w:pPr>
            <w:r>
              <w:rPr>
                <w:rFonts w:hint="eastAsia" w:ascii="宋体" w:hAnsi="宋体" w:eastAsia="宋体"/>
              </w:rPr>
              <w:t>占基金资产净值比例(％)</w:t>
            </w:r>
          </w:p>
        </w:tc>
      </w:tr>
      <w:tr w14:paraId="0B4A5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FBD521">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346CB072">
            <w:pPr>
              <w:jc w:val="center"/>
              <w:rPr>
                <w:rFonts w:ascii="宋体" w:hAnsi="宋体" w:eastAsia="宋体" w:cs="宋体"/>
                <w:sz w:val="24"/>
                <w:szCs w:val="24"/>
              </w:rPr>
            </w:pPr>
            <w:r>
              <w:rPr>
                <w:rFonts w:hint="eastAsia" w:ascii="宋体" w:hAnsi="宋体" w:eastAsia="宋体"/>
              </w:rPr>
              <w:t>600879</w:t>
            </w:r>
          </w:p>
        </w:tc>
        <w:tc>
          <w:tcPr>
            <w:tcW w:w="0" w:type="auto"/>
            <w:shd w:val="clear" w:color="auto" w:fill="auto"/>
          </w:tcPr>
          <w:p w14:paraId="61DF425D">
            <w:pPr>
              <w:jc w:val="center"/>
              <w:rPr>
                <w:rFonts w:ascii="宋体" w:hAnsi="宋体" w:eastAsia="宋体" w:cs="宋体"/>
                <w:sz w:val="24"/>
                <w:szCs w:val="24"/>
              </w:rPr>
            </w:pPr>
            <w:r>
              <w:rPr>
                <w:rFonts w:hint="eastAsia" w:ascii="宋体" w:hAnsi="宋体" w:eastAsia="宋体"/>
              </w:rPr>
              <w:t>航天电子</w:t>
            </w:r>
          </w:p>
        </w:tc>
        <w:tc>
          <w:tcPr>
            <w:tcW w:w="0" w:type="auto"/>
            <w:shd w:val="clear" w:color="auto" w:fill="auto"/>
          </w:tcPr>
          <w:p w14:paraId="43645443">
            <w:pPr>
              <w:jc w:val="right"/>
              <w:rPr>
                <w:rFonts w:ascii="宋体" w:hAnsi="宋体" w:eastAsia="宋体" w:cs="宋体"/>
                <w:sz w:val="24"/>
                <w:szCs w:val="24"/>
              </w:rPr>
            </w:pPr>
            <w:r>
              <w:rPr>
                <w:rFonts w:hint="eastAsia" w:ascii="宋体" w:hAnsi="宋体" w:eastAsia="宋体"/>
              </w:rPr>
              <w:t>260,000</w:t>
            </w:r>
          </w:p>
        </w:tc>
        <w:tc>
          <w:tcPr>
            <w:tcW w:w="0" w:type="auto"/>
            <w:shd w:val="clear" w:color="auto" w:fill="auto"/>
          </w:tcPr>
          <w:p w14:paraId="292FFD98">
            <w:pPr>
              <w:jc w:val="right"/>
              <w:rPr>
                <w:rFonts w:ascii="宋体" w:hAnsi="宋体" w:eastAsia="宋体" w:cs="宋体"/>
                <w:sz w:val="24"/>
                <w:szCs w:val="24"/>
              </w:rPr>
            </w:pPr>
            <w:r>
              <w:rPr>
                <w:rFonts w:hint="eastAsia" w:ascii="宋体" w:hAnsi="宋体" w:eastAsia="宋体"/>
              </w:rPr>
              <w:t>3,034,200.00</w:t>
            </w:r>
          </w:p>
        </w:tc>
        <w:tc>
          <w:tcPr>
            <w:tcW w:w="0" w:type="auto"/>
            <w:shd w:val="clear" w:color="auto" w:fill="auto"/>
          </w:tcPr>
          <w:p w14:paraId="4DCBEA84">
            <w:pPr>
              <w:jc w:val="right"/>
              <w:rPr>
                <w:rFonts w:ascii="宋体" w:hAnsi="宋体" w:eastAsia="宋体" w:cs="宋体"/>
                <w:sz w:val="24"/>
                <w:szCs w:val="24"/>
              </w:rPr>
            </w:pPr>
            <w:r>
              <w:rPr>
                <w:rFonts w:hint="eastAsia" w:ascii="宋体" w:hAnsi="宋体" w:eastAsia="宋体"/>
              </w:rPr>
              <w:t>3.09</w:t>
            </w:r>
          </w:p>
        </w:tc>
      </w:tr>
      <w:tr w14:paraId="0A0C7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A66AB6">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04920DEA">
            <w:pPr>
              <w:jc w:val="center"/>
              <w:rPr>
                <w:rFonts w:ascii="宋体" w:hAnsi="宋体" w:eastAsia="宋体" w:cs="宋体"/>
                <w:sz w:val="24"/>
                <w:szCs w:val="24"/>
              </w:rPr>
            </w:pPr>
            <w:r>
              <w:rPr>
                <w:rFonts w:hint="eastAsia" w:ascii="宋体" w:hAnsi="宋体" w:eastAsia="宋体"/>
              </w:rPr>
              <w:t>301155</w:t>
            </w:r>
          </w:p>
        </w:tc>
        <w:tc>
          <w:tcPr>
            <w:tcW w:w="0" w:type="auto"/>
            <w:shd w:val="clear" w:color="auto" w:fill="auto"/>
          </w:tcPr>
          <w:p w14:paraId="1FFBF704">
            <w:pPr>
              <w:jc w:val="center"/>
              <w:rPr>
                <w:rFonts w:ascii="宋体" w:hAnsi="宋体" w:eastAsia="宋体" w:cs="宋体"/>
                <w:sz w:val="24"/>
                <w:szCs w:val="24"/>
              </w:rPr>
            </w:pPr>
            <w:r>
              <w:rPr>
                <w:rFonts w:hint="eastAsia" w:ascii="宋体" w:hAnsi="宋体" w:eastAsia="宋体"/>
              </w:rPr>
              <w:t>海力风电</w:t>
            </w:r>
          </w:p>
        </w:tc>
        <w:tc>
          <w:tcPr>
            <w:tcW w:w="0" w:type="auto"/>
            <w:shd w:val="clear" w:color="auto" w:fill="auto"/>
          </w:tcPr>
          <w:p w14:paraId="649234C0">
            <w:pPr>
              <w:jc w:val="right"/>
              <w:rPr>
                <w:rFonts w:ascii="宋体" w:hAnsi="宋体" w:eastAsia="宋体" w:cs="宋体"/>
                <w:sz w:val="24"/>
                <w:szCs w:val="24"/>
              </w:rPr>
            </w:pPr>
            <w:r>
              <w:rPr>
                <w:rFonts w:hint="eastAsia" w:ascii="宋体" w:hAnsi="宋体" w:eastAsia="宋体"/>
              </w:rPr>
              <w:t>29,700</w:t>
            </w:r>
          </w:p>
        </w:tc>
        <w:tc>
          <w:tcPr>
            <w:tcW w:w="0" w:type="auto"/>
            <w:shd w:val="clear" w:color="auto" w:fill="auto"/>
          </w:tcPr>
          <w:p w14:paraId="77A2A734">
            <w:pPr>
              <w:jc w:val="right"/>
              <w:rPr>
                <w:rFonts w:ascii="宋体" w:hAnsi="宋体" w:eastAsia="宋体" w:cs="宋体"/>
                <w:sz w:val="24"/>
                <w:szCs w:val="24"/>
              </w:rPr>
            </w:pPr>
            <w:r>
              <w:rPr>
                <w:rFonts w:hint="eastAsia" w:ascii="宋体" w:hAnsi="宋体" w:eastAsia="宋体"/>
              </w:rPr>
              <w:t>2,836,944.00</w:t>
            </w:r>
          </w:p>
        </w:tc>
        <w:tc>
          <w:tcPr>
            <w:tcW w:w="0" w:type="auto"/>
            <w:shd w:val="clear" w:color="auto" w:fill="auto"/>
          </w:tcPr>
          <w:p w14:paraId="2C369460">
            <w:pPr>
              <w:jc w:val="right"/>
              <w:rPr>
                <w:rFonts w:ascii="宋体" w:hAnsi="宋体" w:eastAsia="宋体" w:cs="宋体"/>
                <w:sz w:val="24"/>
                <w:szCs w:val="24"/>
              </w:rPr>
            </w:pPr>
            <w:r>
              <w:rPr>
                <w:rFonts w:hint="eastAsia" w:ascii="宋体" w:hAnsi="宋体" w:eastAsia="宋体"/>
              </w:rPr>
              <w:t>2.89</w:t>
            </w:r>
          </w:p>
        </w:tc>
      </w:tr>
      <w:tr w14:paraId="1CBEB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201918">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4346AC5">
            <w:pPr>
              <w:jc w:val="center"/>
              <w:rPr>
                <w:rFonts w:ascii="宋体" w:hAnsi="宋体" w:eastAsia="宋体" w:cs="宋体"/>
                <w:sz w:val="24"/>
                <w:szCs w:val="24"/>
              </w:rPr>
            </w:pPr>
            <w:r>
              <w:rPr>
                <w:rFonts w:hint="eastAsia" w:ascii="宋体" w:hAnsi="宋体" w:eastAsia="宋体"/>
              </w:rPr>
              <w:t>600562</w:t>
            </w:r>
          </w:p>
        </w:tc>
        <w:tc>
          <w:tcPr>
            <w:tcW w:w="0" w:type="auto"/>
            <w:shd w:val="clear" w:color="auto" w:fill="auto"/>
          </w:tcPr>
          <w:p w14:paraId="2B6EBA79">
            <w:pPr>
              <w:jc w:val="center"/>
              <w:rPr>
                <w:rFonts w:ascii="宋体" w:hAnsi="宋体" w:eastAsia="宋体" w:cs="宋体"/>
                <w:sz w:val="24"/>
                <w:szCs w:val="24"/>
              </w:rPr>
            </w:pPr>
            <w:r>
              <w:rPr>
                <w:rFonts w:hint="eastAsia" w:ascii="宋体" w:hAnsi="宋体" w:eastAsia="宋体"/>
              </w:rPr>
              <w:t>国睿科技</w:t>
            </w:r>
          </w:p>
        </w:tc>
        <w:tc>
          <w:tcPr>
            <w:tcW w:w="0" w:type="auto"/>
            <w:shd w:val="clear" w:color="auto" w:fill="auto"/>
          </w:tcPr>
          <w:p w14:paraId="5DE2E823">
            <w:pPr>
              <w:jc w:val="right"/>
              <w:rPr>
                <w:rFonts w:ascii="宋体" w:hAnsi="宋体" w:eastAsia="宋体" w:cs="宋体"/>
                <w:sz w:val="24"/>
                <w:szCs w:val="24"/>
              </w:rPr>
            </w:pPr>
            <w:r>
              <w:rPr>
                <w:rFonts w:hint="eastAsia" w:ascii="宋体" w:hAnsi="宋体" w:eastAsia="宋体"/>
              </w:rPr>
              <w:t>61,500</w:t>
            </w:r>
          </w:p>
        </w:tc>
        <w:tc>
          <w:tcPr>
            <w:tcW w:w="0" w:type="auto"/>
            <w:shd w:val="clear" w:color="auto" w:fill="auto"/>
          </w:tcPr>
          <w:p w14:paraId="412615E7">
            <w:pPr>
              <w:jc w:val="right"/>
              <w:rPr>
                <w:rFonts w:ascii="宋体" w:hAnsi="宋体" w:eastAsia="宋体" w:cs="宋体"/>
                <w:sz w:val="24"/>
                <w:szCs w:val="24"/>
              </w:rPr>
            </w:pPr>
            <w:r>
              <w:rPr>
                <w:rFonts w:hint="eastAsia" w:ascii="宋体" w:hAnsi="宋体" w:eastAsia="宋体"/>
              </w:rPr>
              <w:t>2,116,830.00</w:t>
            </w:r>
          </w:p>
        </w:tc>
        <w:tc>
          <w:tcPr>
            <w:tcW w:w="0" w:type="auto"/>
            <w:shd w:val="clear" w:color="auto" w:fill="auto"/>
          </w:tcPr>
          <w:p w14:paraId="41B92D6A">
            <w:pPr>
              <w:jc w:val="right"/>
              <w:rPr>
                <w:rFonts w:ascii="宋体" w:hAnsi="宋体" w:eastAsia="宋体" w:cs="宋体"/>
                <w:sz w:val="24"/>
                <w:szCs w:val="24"/>
              </w:rPr>
            </w:pPr>
            <w:r>
              <w:rPr>
                <w:rFonts w:hint="eastAsia" w:ascii="宋体" w:hAnsi="宋体" w:eastAsia="宋体"/>
              </w:rPr>
              <w:t>2.16</w:t>
            </w:r>
          </w:p>
        </w:tc>
      </w:tr>
      <w:tr w14:paraId="1E570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F68D5A">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5329839">
            <w:pPr>
              <w:jc w:val="center"/>
              <w:rPr>
                <w:rFonts w:ascii="宋体" w:hAnsi="宋体" w:eastAsia="宋体" w:cs="宋体"/>
                <w:sz w:val="24"/>
                <w:szCs w:val="24"/>
              </w:rPr>
            </w:pPr>
            <w:r>
              <w:rPr>
                <w:rFonts w:hint="eastAsia" w:ascii="宋体" w:hAnsi="宋体" w:eastAsia="宋体"/>
              </w:rPr>
              <w:t>600764</w:t>
            </w:r>
          </w:p>
        </w:tc>
        <w:tc>
          <w:tcPr>
            <w:tcW w:w="0" w:type="auto"/>
            <w:shd w:val="clear" w:color="auto" w:fill="auto"/>
          </w:tcPr>
          <w:p w14:paraId="2F06F24C">
            <w:pPr>
              <w:jc w:val="center"/>
              <w:rPr>
                <w:rFonts w:ascii="宋体" w:hAnsi="宋体" w:eastAsia="宋体" w:cs="宋体"/>
                <w:sz w:val="24"/>
                <w:szCs w:val="24"/>
              </w:rPr>
            </w:pPr>
            <w:r>
              <w:rPr>
                <w:rFonts w:hint="eastAsia" w:ascii="宋体" w:hAnsi="宋体" w:eastAsia="宋体"/>
              </w:rPr>
              <w:t>中国海防</w:t>
            </w:r>
          </w:p>
        </w:tc>
        <w:tc>
          <w:tcPr>
            <w:tcW w:w="0" w:type="auto"/>
            <w:shd w:val="clear" w:color="auto" w:fill="auto"/>
          </w:tcPr>
          <w:p w14:paraId="7E80C6FE">
            <w:pPr>
              <w:jc w:val="right"/>
              <w:rPr>
                <w:rFonts w:ascii="宋体" w:hAnsi="宋体" w:eastAsia="宋体" w:cs="宋体"/>
                <w:sz w:val="24"/>
                <w:szCs w:val="24"/>
              </w:rPr>
            </w:pPr>
            <w:r>
              <w:rPr>
                <w:rFonts w:hint="eastAsia" w:ascii="宋体" w:hAnsi="宋体" w:eastAsia="宋体"/>
              </w:rPr>
              <w:t>64,700</w:t>
            </w:r>
          </w:p>
        </w:tc>
        <w:tc>
          <w:tcPr>
            <w:tcW w:w="0" w:type="auto"/>
            <w:shd w:val="clear" w:color="auto" w:fill="auto"/>
          </w:tcPr>
          <w:p w14:paraId="716AAAF6">
            <w:pPr>
              <w:jc w:val="right"/>
              <w:rPr>
                <w:rFonts w:ascii="宋体" w:hAnsi="宋体" w:eastAsia="宋体" w:cs="宋体"/>
                <w:sz w:val="24"/>
                <w:szCs w:val="24"/>
              </w:rPr>
            </w:pPr>
            <w:r>
              <w:rPr>
                <w:rFonts w:hint="eastAsia" w:ascii="宋体" w:hAnsi="宋体" w:eastAsia="宋体"/>
              </w:rPr>
              <w:t>2,025,757.00</w:t>
            </w:r>
          </w:p>
        </w:tc>
        <w:tc>
          <w:tcPr>
            <w:tcW w:w="0" w:type="auto"/>
            <w:shd w:val="clear" w:color="auto" w:fill="auto"/>
          </w:tcPr>
          <w:p w14:paraId="7AD23470">
            <w:pPr>
              <w:jc w:val="right"/>
              <w:rPr>
                <w:rFonts w:ascii="宋体" w:hAnsi="宋体" w:eastAsia="宋体" w:cs="宋体"/>
                <w:sz w:val="24"/>
                <w:szCs w:val="24"/>
              </w:rPr>
            </w:pPr>
            <w:r>
              <w:rPr>
                <w:rFonts w:hint="eastAsia" w:ascii="宋体" w:hAnsi="宋体" w:eastAsia="宋体"/>
              </w:rPr>
              <w:t>2.07</w:t>
            </w:r>
          </w:p>
        </w:tc>
      </w:tr>
      <w:tr w14:paraId="0D427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E851DA">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3F54240A">
            <w:pPr>
              <w:jc w:val="center"/>
              <w:rPr>
                <w:rFonts w:ascii="宋体" w:hAnsi="宋体" w:eastAsia="宋体" w:cs="宋体"/>
                <w:sz w:val="24"/>
                <w:szCs w:val="24"/>
              </w:rPr>
            </w:pPr>
            <w:r>
              <w:rPr>
                <w:rFonts w:hint="eastAsia" w:ascii="宋体" w:hAnsi="宋体" w:eastAsia="宋体"/>
              </w:rPr>
              <w:t>688084</w:t>
            </w:r>
          </w:p>
        </w:tc>
        <w:tc>
          <w:tcPr>
            <w:tcW w:w="0" w:type="auto"/>
            <w:shd w:val="clear" w:color="auto" w:fill="auto"/>
          </w:tcPr>
          <w:p w14:paraId="6DB6888A">
            <w:pPr>
              <w:jc w:val="center"/>
              <w:rPr>
                <w:rFonts w:ascii="宋体" w:hAnsi="宋体" w:eastAsia="宋体" w:cs="宋体"/>
                <w:sz w:val="24"/>
                <w:szCs w:val="24"/>
              </w:rPr>
            </w:pPr>
            <w:r>
              <w:rPr>
                <w:rFonts w:hint="eastAsia" w:ascii="宋体" w:hAnsi="宋体" w:eastAsia="宋体"/>
              </w:rPr>
              <w:t>晶品特装</w:t>
            </w:r>
          </w:p>
        </w:tc>
        <w:tc>
          <w:tcPr>
            <w:tcW w:w="0" w:type="auto"/>
            <w:shd w:val="clear" w:color="auto" w:fill="auto"/>
          </w:tcPr>
          <w:p w14:paraId="54928CD4">
            <w:pPr>
              <w:jc w:val="right"/>
              <w:rPr>
                <w:rFonts w:ascii="宋体" w:hAnsi="宋体" w:eastAsia="宋体" w:cs="宋体"/>
                <w:sz w:val="24"/>
                <w:szCs w:val="24"/>
              </w:rPr>
            </w:pPr>
            <w:r>
              <w:rPr>
                <w:rFonts w:hint="eastAsia" w:ascii="宋体" w:hAnsi="宋体" w:eastAsia="宋体"/>
              </w:rPr>
              <w:t>22,356</w:t>
            </w:r>
          </w:p>
        </w:tc>
        <w:tc>
          <w:tcPr>
            <w:tcW w:w="0" w:type="auto"/>
            <w:shd w:val="clear" w:color="auto" w:fill="auto"/>
          </w:tcPr>
          <w:p w14:paraId="4CD53D30">
            <w:pPr>
              <w:jc w:val="right"/>
              <w:rPr>
                <w:rFonts w:ascii="宋体" w:hAnsi="宋体" w:eastAsia="宋体" w:cs="宋体"/>
                <w:sz w:val="24"/>
                <w:szCs w:val="24"/>
              </w:rPr>
            </w:pPr>
            <w:r>
              <w:rPr>
                <w:rFonts w:hint="eastAsia" w:ascii="宋体" w:hAnsi="宋体" w:eastAsia="宋体"/>
              </w:rPr>
              <w:t>1,982,082.96</w:t>
            </w:r>
          </w:p>
        </w:tc>
        <w:tc>
          <w:tcPr>
            <w:tcW w:w="0" w:type="auto"/>
            <w:shd w:val="clear" w:color="auto" w:fill="auto"/>
          </w:tcPr>
          <w:p w14:paraId="1E5EB000">
            <w:pPr>
              <w:jc w:val="right"/>
              <w:rPr>
                <w:rFonts w:ascii="宋体" w:hAnsi="宋体" w:eastAsia="宋体" w:cs="宋体"/>
                <w:sz w:val="24"/>
                <w:szCs w:val="24"/>
              </w:rPr>
            </w:pPr>
            <w:r>
              <w:rPr>
                <w:rFonts w:hint="eastAsia" w:ascii="宋体" w:hAnsi="宋体" w:eastAsia="宋体"/>
              </w:rPr>
              <w:t>2.02</w:t>
            </w:r>
          </w:p>
        </w:tc>
      </w:tr>
      <w:tr w14:paraId="17FE3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F7EA7B">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278D3615">
            <w:pPr>
              <w:jc w:val="center"/>
              <w:rPr>
                <w:rFonts w:ascii="宋体" w:hAnsi="宋体" w:eastAsia="宋体" w:cs="宋体"/>
                <w:sz w:val="24"/>
                <w:szCs w:val="24"/>
              </w:rPr>
            </w:pPr>
            <w:r>
              <w:rPr>
                <w:rFonts w:hint="eastAsia" w:ascii="宋体" w:hAnsi="宋体" w:eastAsia="宋体"/>
              </w:rPr>
              <w:t>300747</w:t>
            </w:r>
          </w:p>
        </w:tc>
        <w:tc>
          <w:tcPr>
            <w:tcW w:w="0" w:type="auto"/>
            <w:shd w:val="clear" w:color="auto" w:fill="auto"/>
          </w:tcPr>
          <w:p w14:paraId="1561BEE7">
            <w:pPr>
              <w:jc w:val="center"/>
              <w:rPr>
                <w:rFonts w:ascii="宋体" w:hAnsi="宋体" w:eastAsia="宋体" w:cs="宋体"/>
                <w:sz w:val="24"/>
                <w:szCs w:val="24"/>
              </w:rPr>
            </w:pPr>
            <w:r>
              <w:rPr>
                <w:rFonts w:hint="eastAsia" w:ascii="宋体" w:hAnsi="宋体" w:eastAsia="宋体"/>
              </w:rPr>
              <w:t>锐科激光</w:t>
            </w:r>
          </w:p>
        </w:tc>
        <w:tc>
          <w:tcPr>
            <w:tcW w:w="0" w:type="auto"/>
            <w:shd w:val="clear" w:color="auto" w:fill="auto"/>
          </w:tcPr>
          <w:p w14:paraId="2849D75E">
            <w:pPr>
              <w:jc w:val="right"/>
              <w:rPr>
                <w:rFonts w:ascii="宋体" w:hAnsi="宋体" w:eastAsia="宋体" w:cs="宋体"/>
                <w:sz w:val="24"/>
                <w:szCs w:val="24"/>
              </w:rPr>
            </w:pPr>
            <w:r>
              <w:rPr>
                <w:rFonts w:hint="eastAsia" w:ascii="宋体" w:hAnsi="宋体" w:eastAsia="宋体"/>
              </w:rPr>
              <w:t>37,700</w:t>
            </w:r>
          </w:p>
        </w:tc>
        <w:tc>
          <w:tcPr>
            <w:tcW w:w="0" w:type="auto"/>
            <w:shd w:val="clear" w:color="auto" w:fill="auto"/>
          </w:tcPr>
          <w:p w14:paraId="0ACF4CB6">
            <w:pPr>
              <w:jc w:val="right"/>
              <w:rPr>
                <w:rFonts w:ascii="宋体" w:hAnsi="宋体" w:eastAsia="宋体" w:cs="宋体"/>
                <w:sz w:val="24"/>
                <w:szCs w:val="24"/>
              </w:rPr>
            </w:pPr>
            <w:r>
              <w:rPr>
                <w:rFonts w:hint="eastAsia" w:ascii="宋体" w:hAnsi="宋体" w:eastAsia="宋体"/>
              </w:rPr>
              <w:t>1,006,590.00</w:t>
            </w:r>
          </w:p>
        </w:tc>
        <w:tc>
          <w:tcPr>
            <w:tcW w:w="0" w:type="auto"/>
            <w:shd w:val="clear" w:color="auto" w:fill="auto"/>
          </w:tcPr>
          <w:p w14:paraId="5BB3A090">
            <w:pPr>
              <w:jc w:val="right"/>
              <w:rPr>
                <w:rFonts w:ascii="宋体" w:hAnsi="宋体" w:eastAsia="宋体" w:cs="宋体"/>
                <w:sz w:val="24"/>
                <w:szCs w:val="24"/>
              </w:rPr>
            </w:pPr>
            <w:r>
              <w:rPr>
                <w:rFonts w:hint="eastAsia" w:ascii="宋体" w:hAnsi="宋体" w:eastAsia="宋体"/>
              </w:rPr>
              <w:t>1.03</w:t>
            </w:r>
          </w:p>
        </w:tc>
      </w:tr>
      <w:tr w14:paraId="15002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F989E9">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2BF50B55">
            <w:pPr>
              <w:jc w:val="center"/>
              <w:rPr>
                <w:rFonts w:ascii="宋体" w:hAnsi="宋体" w:eastAsia="宋体" w:cs="宋体"/>
                <w:sz w:val="24"/>
                <w:szCs w:val="24"/>
              </w:rPr>
            </w:pPr>
            <w:r>
              <w:rPr>
                <w:rFonts w:hint="eastAsia" w:ascii="宋体" w:hAnsi="宋体" w:eastAsia="宋体"/>
              </w:rPr>
              <w:t>301571</w:t>
            </w:r>
          </w:p>
        </w:tc>
        <w:tc>
          <w:tcPr>
            <w:tcW w:w="0" w:type="auto"/>
            <w:shd w:val="clear" w:color="auto" w:fill="auto"/>
          </w:tcPr>
          <w:p w14:paraId="5755B895">
            <w:pPr>
              <w:jc w:val="center"/>
              <w:rPr>
                <w:rFonts w:ascii="宋体" w:hAnsi="宋体" w:eastAsia="宋体" w:cs="宋体"/>
                <w:sz w:val="24"/>
                <w:szCs w:val="24"/>
              </w:rPr>
            </w:pPr>
            <w:r>
              <w:rPr>
                <w:rFonts w:hint="eastAsia" w:ascii="宋体" w:hAnsi="宋体" w:eastAsia="宋体"/>
              </w:rPr>
              <w:t>国科天成</w:t>
            </w:r>
          </w:p>
        </w:tc>
        <w:tc>
          <w:tcPr>
            <w:tcW w:w="0" w:type="auto"/>
            <w:shd w:val="clear" w:color="auto" w:fill="auto"/>
          </w:tcPr>
          <w:p w14:paraId="7FAC3FED">
            <w:pPr>
              <w:jc w:val="right"/>
              <w:rPr>
                <w:rFonts w:ascii="宋体" w:hAnsi="宋体" w:eastAsia="宋体" w:cs="宋体"/>
                <w:sz w:val="24"/>
                <w:szCs w:val="24"/>
              </w:rPr>
            </w:pPr>
            <w:r>
              <w:rPr>
                <w:rFonts w:hint="eastAsia" w:ascii="宋体" w:hAnsi="宋体" w:eastAsia="宋体"/>
              </w:rPr>
              <w:t>21,500</w:t>
            </w:r>
          </w:p>
        </w:tc>
        <w:tc>
          <w:tcPr>
            <w:tcW w:w="0" w:type="auto"/>
            <w:shd w:val="clear" w:color="auto" w:fill="auto"/>
          </w:tcPr>
          <w:p w14:paraId="09E8006B">
            <w:pPr>
              <w:jc w:val="right"/>
              <w:rPr>
                <w:rFonts w:ascii="宋体" w:hAnsi="宋体" w:eastAsia="宋体" w:cs="宋体"/>
                <w:sz w:val="24"/>
                <w:szCs w:val="24"/>
              </w:rPr>
            </w:pPr>
            <w:r>
              <w:rPr>
                <w:rFonts w:hint="eastAsia" w:ascii="宋体" w:hAnsi="宋体" w:eastAsia="宋体"/>
              </w:rPr>
              <w:t>986,850.00</w:t>
            </w:r>
          </w:p>
        </w:tc>
        <w:tc>
          <w:tcPr>
            <w:tcW w:w="0" w:type="auto"/>
            <w:shd w:val="clear" w:color="auto" w:fill="auto"/>
          </w:tcPr>
          <w:p w14:paraId="7AE0E37C">
            <w:pPr>
              <w:jc w:val="right"/>
              <w:rPr>
                <w:rFonts w:ascii="宋体" w:hAnsi="宋体" w:eastAsia="宋体" w:cs="宋体"/>
                <w:sz w:val="24"/>
                <w:szCs w:val="24"/>
              </w:rPr>
            </w:pPr>
            <w:r>
              <w:rPr>
                <w:rFonts w:hint="eastAsia" w:ascii="宋体" w:hAnsi="宋体" w:eastAsia="宋体"/>
              </w:rPr>
              <w:t>1.01</w:t>
            </w:r>
          </w:p>
        </w:tc>
      </w:tr>
      <w:tr w14:paraId="723EE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3468AE">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7E30655F">
            <w:pPr>
              <w:jc w:val="center"/>
              <w:rPr>
                <w:rFonts w:ascii="宋体" w:hAnsi="宋体" w:eastAsia="宋体" w:cs="宋体"/>
                <w:sz w:val="24"/>
                <w:szCs w:val="24"/>
              </w:rPr>
            </w:pPr>
            <w:r>
              <w:rPr>
                <w:rFonts w:hint="eastAsia" w:ascii="宋体" w:hAnsi="宋体" w:eastAsia="宋体"/>
              </w:rPr>
              <w:t>688750</w:t>
            </w:r>
          </w:p>
        </w:tc>
        <w:tc>
          <w:tcPr>
            <w:tcW w:w="0" w:type="auto"/>
            <w:shd w:val="clear" w:color="auto" w:fill="auto"/>
          </w:tcPr>
          <w:p w14:paraId="2407F897">
            <w:pPr>
              <w:jc w:val="center"/>
              <w:rPr>
                <w:rFonts w:ascii="宋体" w:hAnsi="宋体" w:eastAsia="宋体" w:cs="宋体"/>
                <w:sz w:val="24"/>
                <w:szCs w:val="24"/>
              </w:rPr>
            </w:pPr>
            <w:r>
              <w:rPr>
                <w:rFonts w:hint="eastAsia" w:ascii="宋体" w:hAnsi="宋体" w:eastAsia="宋体"/>
              </w:rPr>
              <w:t>金天钛业</w:t>
            </w:r>
          </w:p>
        </w:tc>
        <w:tc>
          <w:tcPr>
            <w:tcW w:w="0" w:type="auto"/>
            <w:shd w:val="clear" w:color="auto" w:fill="auto"/>
          </w:tcPr>
          <w:p w14:paraId="52CCC2B8">
            <w:pPr>
              <w:jc w:val="right"/>
              <w:rPr>
                <w:rFonts w:ascii="宋体" w:hAnsi="宋体" w:eastAsia="宋体" w:cs="宋体"/>
                <w:sz w:val="24"/>
                <w:szCs w:val="24"/>
              </w:rPr>
            </w:pPr>
            <w:r>
              <w:rPr>
                <w:rFonts w:hint="eastAsia" w:ascii="宋体" w:hAnsi="宋体" w:eastAsia="宋体"/>
              </w:rPr>
              <w:t>46,480</w:t>
            </w:r>
          </w:p>
        </w:tc>
        <w:tc>
          <w:tcPr>
            <w:tcW w:w="0" w:type="auto"/>
            <w:shd w:val="clear" w:color="auto" w:fill="auto"/>
          </w:tcPr>
          <w:p w14:paraId="1D1C847A">
            <w:pPr>
              <w:jc w:val="right"/>
              <w:rPr>
                <w:rFonts w:ascii="宋体" w:hAnsi="宋体" w:eastAsia="宋体" w:cs="宋体"/>
                <w:sz w:val="24"/>
                <w:szCs w:val="24"/>
              </w:rPr>
            </w:pPr>
            <w:r>
              <w:rPr>
                <w:rFonts w:hint="eastAsia" w:ascii="宋体" w:hAnsi="宋体" w:eastAsia="宋体"/>
              </w:rPr>
              <w:t>981,657.60</w:t>
            </w:r>
          </w:p>
        </w:tc>
        <w:tc>
          <w:tcPr>
            <w:tcW w:w="0" w:type="auto"/>
            <w:shd w:val="clear" w:color="auto" w:fill="auto"/>
          </w:tcPr>
          <w:p w14:paraId="7E9AA82C">
            <w:pPr>
              <w:jc w:val="right"/>
              <w:rPr>
                <w:rFonts w:ascii="宋体" w:hAnsi="宋体" w:eastAsia="宋体" w:cs="宋体"/>
                <w:sz w:val="24"/>
                <w:szCs w:val="24"/>
              </w:rPr>
            </w:pPr>
            <w:r>
              <w:rPr>
                <w:rFonts w:hint="eastAsia" w:ascii="宋体" w:hAnsi="宋体" w:eastAsia="宋体"/>
              </w:rPr>
              <w:t>1.00</w:t>
            </w:r>
          </w:p>
        </w:tc>
      </w:tr>
    </w:tbl>
    <w:p w14:paraId="7D349FA5">
      <w:pPr>
        <w:pStyle w:val="8"/>
        <w:spacing w:before="0" w:beforeAutospacing="0" w:after="0" w:afterAutospacing="0" w:line="360" w:lineRule="auto"/>
        <w:ind w:firstLine="420"/>
        <w:rPr>
          <w:sz w:val="21"/>
          <w:szCs w:val="21"/>
        </w:rPr>
      </w:pPr>
      <w:r>
        <w:rPr>
          <w:rStyle w:val="12"/>
          <w:rFonts w:hint="eastAsia"/>
          <w:sz w:val="21"/>
          <w:szCs w:val="21"/>
        </w:rPr>
        <w:t>4报告期末按债券品种分类的债券投资组合</w:t>
      </w:r>
    </w:p>
    <w:p w14:paraId="79A76EBB">
      <w:pPr>
        <w:pStyle w:val="8"/>
        <w:spacing w:before="0" w:beforeAutospacing="0" w:after="0" w:afterAutospacing="0" w:line="360" w:lineRule="auto"/>
        <w:ind w:firstLine="420"/>
        <w:rPr>
          <w:sz w:val="21"/>
          <w:szCs w:val="21"/>
        </w:rPr>
      </w:pPr>
      <w:r>
        <w:rPr>
          <w:rFonts w:hint="eastAsia"/>
          <w:sz w:val="21"/>
          <w:szCs w:val="21"/>
        </w:rPr>
        <w:t>本基金本报告期末未持有债券。</w:t>
      </w:r>
    </w:p>
    <w:p w14:paraId="5E4D28F9">
      <w:pPr>
        <w:pStyle w:val="8"/>
        <w:spacing w:before="0" w:beforeAutospacing="0" w:after="0" w:afterAutospacing="0" w:line="360" w:lineRule="auto"/>
        <w:ind w:firstLine="420"/>
        <w:rPr>
          <w:sz w:val="21"/>
          <w:szCs w:val="21"/>
        </w:rPr>
      </w:pPr>
      <w:r>
        <w:rPr>
          <w:rStyle w:val="12"/>
          <w:rFonts w:hint="eastAsia"/>
          <w:sz w:val="21"/>
          <w:szCs w:val="21"/>
        </w:rPr>
        <w:t>5报告期末按公允价值占基金资产净值比例大小排序的前五名债券投资明细</w:t>
      </w:r>
    </w:p>
    <w:p w14:paraId="6078E671">
      <w:pPr>
        <w:pStyle w:val="8"/>
        <w:spacing w:before="0" w:beforeAutospacing="0" w:after="0" w:afterAutospacing="0" w:line="360" w:lineRule="auto"/>
        <w:ind w:firstLine="420"/>
        <w:rPr>
          <w:sz w:val="21"/>
          <w:szCs w:val="21"/>
        </w:rPr>
      </w:pPr>
      <w:r>
        <w:rPr>
          <w:rFonts w:hint="eastAsia"/>
          <w:sz w:val="21"/>
          <w:szCs w:val="21"/>
        </w:rPr>
        <w:t>本基金本报告期末未持有债券。</w:t>
      </w:r>
    </w:p>
    <w:p w14:paraId="4859703A">
      <w:pPr>
        <w:pStyle w:val="8"/>
        <w:spacing w:before="0" w:beforeAutospacing="0" w:after="0" w:afterAutospacing="0" w:line="360" w:lineRule="auto"/>
        <w:ind w:firstLine="420"/>
        <w:rPr>
          <w:sz w:val="21"/>
          <w:szCs w:val="21"/>
        </w:rPr>
      </w:pPr>
      <w:r>
        <w:rPr>
          <w:rStyle w:val="12"/>
          <w:rFonts w:hint="eastAsia"/>
          <w:sz w:val="21"/>
          <w:szCs w:val="21"/>
        </w:rPr>
        <w:t>6报告期末按公允价值占基金资产净值比例大小排序的前十名资产支持证券投资明细</w:t>
      </w:r>
    </w:p>
    <w:p w14:paraId="313CA6AF">
      <w:pPr>
        <w:pStyle w:val="8"/>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3900E3EC">
      <w:pPr>
        <w:pStyle w:val="8"/>
        <w:spacing w:before="0" w:beforeAutospacing="0" w:after="0" w:afterAutospacing="0" w:line="360" w:lineRule="auto"/>
        <w:ind w:firstLine="420"/>
        <w:rPr>
          <w:sz w:val="21"/>
          <w:szCs w:val="21"/>
        </w:rPr>
      </w:pPr>
      <w:r>
        <w:rPr>
          <w:rStyle w:val="12"/>
          <w:rFonts w:hint="eastAsia"/>
          <w:sz w:val="21"/>
          <w:szCs w:val="21"/>
        </w:rPr>
        <w:t>7报告期末按公允价值占基金资产净值比例大小排序的前五名贵金属投资明细</w:t>
      </w:r>
    </w:p>
    <w:p w14:paraId="73E6A471">
      <w:pPr>
        <w:pStyle w:val="8"/>
        <w:spacing w:before="0" w:beforeAutospacing="0" w:after="0" w:afterAutospacing="0" w:line="360" w:lineRule="auto"/>
        <w:ind w:firstLine="420"/>
        <w:rPr>
          <w:sz w:val="21"/>
          <w:szCs w:val="21"/>
        </w:rPr>
      </w:pPr>
      <w:r>
        <w:rPr>
          <w:rFonts w:hint="eastAsia"/>
          <w:sz w:val="21"/>
          <w:szCs w:val="21"/>
        </w:rPr>
        <w:t>本基金本报告期末未持有贵金属。</w:t>
      </w:r>
    </w:p>
    <w:p w14:paraId="3A624D3C">
      <w:pPr>
        <w:pStyle w:val="8"/>
        <w:spacing w:before="0" w:beforeAutospacing="0" w:after="0" w:afterAutospacing="0" w:line="360" w:lineRule="auto"/>
        <w:ind w:firstLine="420"/>
        <w:rPr>
          <w:sz w:val="21"/>
          <w:szCs w:val="21"/>
        </w:rPr>
      </w:pPr>
      <w:r>
        <w:rPr>
          <w:rStyle w:val="12"/>
          <w:rFonts w:hint="eastAsia"/>
          <w:sz w:val="21"/>
          <w:szCs w:val="21"/>
        </w:rPr>
        <w:t>8报告期末按公允价值占基金资产净值比例大小排序的前五名权证投资明细</w:t>
      </w:r>
    </w:p>
    <w:p w14:paraId="16364995">
      <w:pPr>
        <w:pStyle w:val="8"/>
        <w:spacing w:before="0" w:beforeAutospacing="0" w:after="0" w:afterAutospacing="0" w:line="360" w:lineRule="auto"/>
        <w:ind w:firstLine="420"/>
        <w:rPr>
          <w:sz w:val="21"/>
          <w:szCs w:val="21"/>
        </w:rPr>
      </w:pPr>
      <w:r>
        <w:rPr>
          <w:rFonts w:hint="eastAsia"/>
          <w:sz w:val="21"/>
          <w:szCs w:val="21"/>
        </w:rPr>
        <w:t>本基金本报告期末未持有权证。</w:t>
      </w:r>
    </w:p>
    <w:p w14:paraId="25C2C4FE">
      <w:pPr>
        <w:pStyle w:val="8"/>
        <w:spacing w:before="0" w:beforeAutospacing="0" w:after="0" w:afterAutospacing="0" w:line="360" w:lineRule="auto"/>
        <w:ind w:firstLine="420"/>
        <w:rPr>
          <w:sz w:val="21"/>
          <w:szCs w:val="21"/>
        </w:rPr>
      </w:pPr>
      <w:r>
        <w:rPr>
          <w:rStyle w:val="12"/>
          <w:rFonts w:hint="eastAsia"/>
          <w:sz w:val="21"/>
          <w:szCs w:val="21"/>
        </w:rPr>
        <w:t>9报告期末本基金投资的股指期货交易情况说明</w:t>
      </w:r>
    </w:p>
    <w:p w14:paraId="24982086">
      <w:pPr>
        <w:pStyle w:val="8"/>
        <w:spacing w:before="0" w:beforeAutospacing="0" w:after="0" w:afterAutospacing="0" w:line="360" w:lineRule="auto"/>
        <w:ind w:firstLine="420"/>
        <w:rPr>
          <w:sz w:val="21"/>
          <w:szCs w:val="21"/>
        </w:rPr>
      </w:pPr>
      <w:r>
        <w:rPr>
          <w:rStyle w:val="12"/>
          <w:rFonts w:hint="eastAsia"/>
          <w:sz w:val="21"/>
          <w:szCs w:val="21"/>
        </w:rPr>
        <w:t>9.1报告期末本基金投资的股指期货持仓和损益明细</w:t>
      </w:r>
    </w:p>
    <w:p w14:paraId="459FA569">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4B7B1D22">
      <w:pPr>
        <w:pStyle w:val="8"/>
        <w:spacing w:before="0" w:beforeAutospacing="0" w:after="0" w:afterAutospacing="0" w:line="360" w:lineRule="auto"/>
        <w:ind w:firstLine="420"/>
        <w:rPr>
          <w:sz w:val="21"/>
          <w:szCs w:val="21"/>
        </w:rPr>
      </w:pPr>
      <w:r>
        <w:rPr>
          <w:rStyle w:val="12"/>
          <w:rFonts w:hint="eastAsia"/>
          <w:sz w:val="21"/>
          <w:szCs w:val="21"/>
        </w:rPr>
        <w:t>9.2本基金投资股指期货的投资政策</w:t>
      </w:r>
    </w:p>
    <w:p w14:paraId="296722BA">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7AF5BF93">
      <w:pPr>
        <w:pStyle w:val="8"/>
        <w:spacing w:before="0" w:beforeAutospacing="0" w:after="0" w:afterAutospacing="0" w:line="360" w:lineRule="auto"/>
        <w:ind w:firstLine="420"/>
        <w:rPr>
          <w:sz w:val="21"/>
          <w:szCs w:val="21"/>
        </w:rPr>
      </w:pPr>
      <w:r>
        <w:rPr>
          <w:rStyle w:val="12"/>
          <w:rFonts w:hint="eastAsia"/>
          <w:sz w:val="21"/>
          <w:szCs w:val="21"/>
        </w:rPr>
        <w:t>10报告期末本基金投资的国债期货交易情况说明</w:t>
      </w:r>
    </w:p>
    <w:p w14:paraId="69367E7C">
      <w:pPr>
        <w:pStyle w:val="8"/>
        <w:spacing w:before="0" w:beforeAutospacing="0" w:after="0" w:afterAutospacing="0" w:line="360" w:lineRule="auto"/>
        <w:ind w:firstLine="420"/>
        <w:rPr>
          <w:sz w:val="21"/>
          <w:szCs w:val="21"/>
        </w:rPr>
      </w:pPr>
      <w:r>
        <w:rPr>
          <w:rStyle w:val="12"/>
          <w:rFonts w:hint="eastAsia"/>
          <w:sz w:val="21"/>
          <w:szCs w:val="21"/>
        </w:rPr>
        <w:t>10.1本期国债期货投资政策</w:t>
      </w:r>
    </w:p>
    <w:p w14:paraId="0ECAA2C2">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1FE10FC2">
      <w:pPr>
        <w:pStyle w:val="8"/>
        <w:spacing w:before="0" w:beforeAutospacing="0" w:after="0" w:afterAutospacing="0" w:line="360" w:lineRule="auto"/>
        <w:ind w:firstLine="420"/>
        <w:rPr>
          <w:sz w:val="21"/>
          <w:szCs w:val="21"/>
        </w:rPr>
      </w:pPr>
      <w:r>
        <w:rPr>
          <w:rStyle w:val="12"/>
          <w:rFonts w:hint="eastAsia"/>
          <w:sz w:val="21"/>
          <w:szCs w:val="21"/>
        </w:rPr>
        <w:t>10.2报告期末本基金投资的国债期货持仓和损益明细</w:t>
      </w:r>
    </w:p>
    <w:p w14:paraId="5D807B6B">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2DE22B8D">
      <w:pPr>
        <w:pStyle w:val="8"/>
        <w:spacing w:before="0" w:beforeAutospacing="0" w:after="0" w:afterAutospacing="0" w:line="360" w:lineRule="auto"/>
        <w:ind w:firstLine="420"/>
        <w:rPr>
          <w:sz w:val="21"/>
          <w:szCs w:val="21"/>
        </w:rPr>
      </w:pPr>
      <w:r>
        <w:rPr>
          <w:rStyle w:val="12"/>
          <w:rFonts w:hint="eastAsia"/>
          <w:sz w:val="21"/>
          <w:szCs w:val="21"/>
        </w:rPr>
        <w:t>11投资组合报告附注</w:t>
      </w:r>
    </w:p>
    <w:p w14:paraId="0BB737FC">
      <w:pPr>
        <w:pStyle w:val="8"/>
        <w:spacing w:before="0" w:beforeAutospacing="0" w:after="0" w:afterAutospacing="0" w:line="360" w:lineRule="auto"/>
        <w:ind w:firstLine="420"/>
        <w:rPr>
          <w:sz w:val="21"/>
          <w:szCs w:val="21"/>
        </w:rPr>
      </w:pPr>
      <w:r>
        <w:rPr>
          <w:rStyle w:val="12"/>
          <w:rFonts w:hint="eastAsia"/>
          <w:sz w:val="21"/>
          <w:szCs w:val="21"/>
        </w:rPr>
        <w:t>11.1基金投资前十名证券的发行主体被监管部门立案调查或编制日前一年内受到公开谴责、处罚的投资决策程序说明</w:t>
      </w:r>
    </w:p>
    <w:p w14:paraId="0206552B">
      <w:pPr>
        <w:pStyle w:val="8"/>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14:paraId="45F706DC">
      <w:pPr>
        <w:pStyle w:val="8"/>
        <w:spacing w:before="0" w:beforeAutospacing="0" w:after="0" w:afterAutospacing="0" w:line="360" w:lineRule="auto"/>
        <w:ind w:firstLine="420"/>
        <w:rPr>
          <w:sz w:val="21"/>
          <w:szCs w:val="21"/>
        </w:rPr>
      </w:pPr>
      <w:r>
        <w:rPr>
          <w:rStyle w:val="12"/>
          <w:rFonts w:hint="eastAsia"/>
          <w:sz w:val="21"/>
          <w:szCs w:val="21"/>
        </w:rPr>
        <w:t>11.2报告期内基金投资的前十名股票中，没有投资超出基金合同规定备选股票库之外的股票。本基金管理人从制度和流程上要求股票必须先入库再买入。</w:t>
      </w:r>
    </w:p>
    <w:p w14:paraId="2E9B71AF">
      <w:pPr>
        <w:pStyle w:val="8"/>
        <w:spacing w:before="0" w:beforeAutospacing="0" w:after="0" w:afterAutospacing="0" w:line="360" w:lineRule="auto"/>
        <w:ind w:firstLine="420"/>
        <w:rPr>
          <w:sz w:val="21"/>
          <w:szCs w:val="21"/>
        </w:rPr>
      </w:pPr>
      <w:r>
        <w:rPr>
          <w:rStyle w:val="12"/>
          <w:rFonts w:hint="eastAsia"/>
          <w:sz w:val="21"/>
          <w:szCs w:val="21"/>
        </w:rPr>
        <w:t>11.3其他资产构成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3679"/>
        <w:gridCol w:w="3450"/>
      </w:tblGrid>
      <w:tr w14:paraId="05FCE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822131">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15947549">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781C6226">
            <w:pPr>
              <w:jc w:val="center"/>
              <w:rPr>
                <w:rFonts w:ascii="宋体" w:hAnsi="宋体" w:eastAsia="宋体" w:cs="宋体"/>
                <w:sz w:val="24"/>
                <w:szCs w:val="24"/>
              </w:rPr>
            </w:pPr>
            <w:r>
              <w:rPr>
                <w:rFonts w:hint="eastAsia" w:ascii="宋体" w:hAnsi="宋体" w:eastAsia="宋体"/>
              </w:rPr>
              <w:t>金额(元)</w:t>
            </w:r>
          </w:p>
        </w:tc>
      </w:tr>
      <w:tr w14:paraId="13294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97EE3F">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2478EAC">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7DA4CB7A">
            <w:pPr>
              <w:jc w:val="right"/>
              <w:rPr>
                <w:rFonts w:ascii="宋体" w:hAnsi="宋体" w:eastAsia="宋体" w:cs="宋体"/>
                <w:sz w:val="24"/>
                <w:szCs w:val="24"/>
              </w:rPr>
            </w:pPr>
            <w:r>
              <w:rPr>
                <w:rFonts w:hint="eastAsia" w:ascii="宋体" w:hAnsi="宋体" w:eastAsia="宋体"/>
              </w:rPr>
              <w:t>8,608.17</w:t>
            </w:r>
          </w:p>
        </w:tc>
      </w:tr>
      <w:tr w14:paraId="3D72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752756">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148318C">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1F003679">
            <w:pPr>
              <w:jc w:val="right"/>
              <w:rPr>
                <w:rFonts w:ascii="宋体" w:hAnsi="宋体" w:eastAsia="宋体" w:cs="宋体"/>
                <w:sz w:val="24"/>
                <w:szCs w:val="24"/>
              </w:rPr>
            </w:pPr>
            <w:r>
              <w:rPr>
                <w:rFonts w:hint="eastAsia" w:ascii="宋体" w:hAnsi="宋体" w:eastAsia="宋体"/>
              </w:rPr>
              <w:t>18,270,667.54</w:t>
            </w:r>
          </w:p>
        </w:tc>
      </w:tr>
      <w:tr w14:paraId="02306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3FA5B4">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D7443F8">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58DEADCC">
            <w:pPr>
              <w:jc w:val="right"/>
              <w:rPr>
                <w:rFonts w:ascii="宋体" w:hAnsi="宋体" w:eastAsia="宋体" w:cs="宋体"/>
                <w:sz w:val="24"/>
                <w:szCs w:val="24"/>
              </w:rPr>
            </w:pPr>
            <w:r>
              <w:rPr>
                <w:rFonts w:hint="eastAsia" w:ascii="宋体" w:hAnsi="宋体" w:eastAsia="宋体"/>
              </w:rPr>
              <w:t>-</w:t>
            </w:r>
          </w:p>
        </w:tc>
      </w:tr>
      <w:tr w14:paraId="720A2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0EE69E">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3A97CCDA">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076DFE26">
            <w:pPr>
              <w:jc w:val="right"/>
              <w:rPr>
                <w:rFonts w:ascii="宋体" w:hAnsi="宋体" w:eastAsia="宋体" w:cs="宋体"/>
                <w:sz w:val="24"/>
                <w:szCs w:val="24"/>
              </w:rPr>
            </w:pPr>
            <w:r>
              <w:rPr>
                <w:rFonts w:hint="eastAsia" w:ascii="宋体" w:hAnsi="宋体" w:eastAsia="宋体"/>
              </w:rPr>
              <w:t>-</w:t>
            </w:r>
          </w:p>
        </w:tc>
      </w:tr>
      <w:tr w14:paraId="24091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3CA842">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C5AE917">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1F7E67BA">
            <w:pPr>
              <w:jc w:val="right"/>
              <w:rPr>
                <w:rFonts w:ascii="宋体" w:hAnsi="宋体" w:eastAsia="宋体" w:cs="宋体"/>
                <w:sz w:val="24"/>
                <w:szCs w:val="24"/>
              </w:rPr>
            </w:pPr>
            <w:r>
              <w:rPr>
                <w:rFonts w:hint="eastAsia" w:ascii="宋体" w:hAnsi="宋体" w:eastAsia="宋体"/>
              </w:rPr>
              <w:t>699.52</w:t>
            </w:r>
          </w:p>
        </w:tc>
      </w:tr>
      <w:tr w14:paraId="133DF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C9EB4E">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9D60261">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7CA0CC05">
            <w:pPr>
              <w:jc w:val="right"/>
              <w:rPr>
                <w:rFonts w:ascii="宋体" w:hAnsi="宋体" w:eastAsia="宋体" w:cs="宋体"/>
                <w:sz w:val="24"/>
                <w:szCs w:val="24"/>
              </w:rPr>
            </w:pPr>
            <w:r>
              <w:rPr>
                <w:rFonts w:hint="eastAsia" w:ascii="宋体" w:hAnsi="宋体" w:eastAsia="宋体"/>
              </w:rPr>
              <w:t>-</w:t>
            </w:r>
          </w:p>
        </w:tc>
      </w:tr>
      <w:tr w14:paraId="5A6B2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A14781">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47BF3383">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7BA7C76C">
            <w:pPr>
              <w:jc w:val="right"/>
              <w:rPr>
                <w:rFonts w:ascii="宋体" w:hAnsi="宋体" w:eastAsia="宋体" w:cs="宋体"/>
                <w:sz w:val="24"/>
                <w:szCs w:val="24"/>
              </w:rPr>
            </w:pPr>
            <w:r>
              <w:rPr>
                <w:rFonts w:hint="eastAsia" w:ascii="宋体" w:hAnsi="宋体" w:eastAsia="宋体"/>
              </w:rPr>
              <w:t>-</w:t>
            </w:r>
          </w:p>
        </w:tc>
      </w:tr>
      <w:tr w14:paraId="5E829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301130">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4F722610">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7559F58D">
            <w:pPr>
              <w:jc w:val="right"/>
              <w:rPr>
                <w:rFonts w:ascii="宋体" w:hAnsi="宋体" w:eastAsia="宋体" w:cs="宋体"/>
                <w:sz w:val="24"/>
                <w:szCs w:val="24"/>
              </w:rPr>
            </w:pPr>
            <w:r>
              <w:rPr>
                <w:rFonts w:hint="eastAsia" w:ascii="宋体" w:hAnsi="宋体" w:eastAsia="宋体"/>
              </w:rPr>
              <w:t>-</w:t>
            </w:r>
          </w:p>
        </w:tc>
      </w:tr>
      <w:tr w14:paraId="327F9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A3CFA9">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10630335">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25975A4">
            <w:pPr>
              <w:jc w:val="right"/>
              <w:rPr>
                <w:rFonts w:ascii="宋体" w:hAnsi="宋体" w:eastAsia="宋体" w:cs="宋体"/>
                <w:sz w:val="24"/>
                <w:szCs w:val="24"/>
              </w:rPr>
            </w:pPr>
            <w:r>
              <w:rPr>
                <w:rFonts w:hint="eastAsia" w:ascii="宋体" w:hAnsi="宋体" w:eastAsia="宋体"/>
              </w:rPr>
              <w:t>18,279,975.23</w:t>
            </w:r>
          </w:p>
        </w:tc>
      </w:tr>
    </w:tbl>
    <w:p w14:paraId="3165F2D3">
      <w:pPr>
        <w:pStyle w:val="8"/>
        <w:spacing w:before="0" w:beforeAutospacing="0" w:after="0" w:afterAutospacing="0" w:line="360" w:lineRule="auto"/>
        <w:ind w:firstLine="420"/>
        <w:rPr>
          <w:sz w:val="21"/>
          <w:szCs w:val="21"/>
        </w:rPr>
      </w:pPr>
      <w:r>
        <w:rPr>
          <w:rStyle w:val="12"/>
          <w:rFonts w:hint="eastAsia"/>
          <w:sz w:val="21"/>
          <w:szCs w:val="21"/>
        </w:rPr>
        <w:t>11.4报告期末持有的处于转股期的可转换债券明细</w:t>
      </w:r>
    </w:p>
    <w:p w14:paraId="57DEF89C">
      <w:pPr>
        <w:pStyle w:val="8"/>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4356182C">
      <w:pPr>
        <w:pStyle w:val="8"/>
        <w:spacing w:before="0" w:beforeAutospacing="0" w:after="0" w:afterAutospacing="0" w:line="360" w:lineRule="auto"/>
        <w:ind w:firstLine="420"/>
        <w:rPr>
          <w:sz w:val="21"/>
          <w:szCs w:val="21"/>
        </w:rPr>
      </w:pPr>
      <w:r>
        <w:rPr>
          <w:rStyle w:val="12"/>
          <w:rFonts w:hint="eastAsia"/>
          <w:sz w:val="21"/>
          <w:szCs w:val="21"/>
        </w:rPr>
        <w:t>11.5报告期末前十名股票中存在流通受限情况的说明</w:t>
      </w:r>
    </w:p>
    <w:p w14:paraId="73973D77">
      <w:pPr>
        <w:pStyle w:val="8"/>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41A2E011">
      <w:pPr>
        <w:pStyle w:val="8"/>
        <w:spacing w:before="0" w:beforeAutospacing="0" w:after="0" w:afterAutospacing="0" w:line="360" w:lineRule="auto"/>
        <w:ind w:firstLine="420"/>
        <w:rPr>
          <w:sz w:val="21"/>
          <w:szCs w:val="21"/>
        </w:rPr>
      </w:pPr>
      <w:r>
        <w:rPr>
          <w:rStyle w:val="12"/>
          <w:rFonts w:hint="eastAsia"/>
          <w:sz w:val="21"/>
          <w:szCs w:val="21"/>
        </w:rPr>
        <w:t>11.6投资组合报告附注的其他文字描述部分</w:t>
      </w:r>
    </w:p>
    <w:p w14:paraId="73A6A2D0">
      <w:pPr>
        <w:pStyle w:val="8"/>
        <w:spacing w:before="0" w:beforeAutospacing="0" w:after="0" w:afterAutospacing="0" w:line="360" w:lineRule="auto"/>
        <w:ind w:firstLine="420"/>
        <w:rPr>
          <w:sz w:val="21"/>
          <w:szCs w:val="21"/>
        </w:rPr>
      </w:pPr>
      <w:bookmarkStart w:id="122" w:name="chapter_level1_11_60_section_2_end"/>
      <w:bookmarkEnd w:id="122"/>
      <w:r>
        <w:rPr>
          <w:rFonts w:hint="eastAsia"/>
          <w:sz w:val="21"/>
          <w:szCs w:val="21"/>
        </w:rPr>
        <w:t>由于四舍五入的原因，分项之和与合计项之间可能存在尾差。</w:t>
      </w:r>
      <w:bookmarkStart w:id="123" w:name="field_0_fundportfolio_1_end"/>
      <w:bookmarkEnd w:id="123"/>
      <w:r>
        <w:rPr>
          <w:rFonts w:hint="eastAsia"/>
          <w:sz w:val="21"/>
          <w:szCs w:val="21"/>
        </w:rPr>
        <w:t xml:space="preserve"> </w:t>
      </w:r>
    </w:p>
    <w:p w14:paraId="67CE719F">
      <w:pPr>
        <w:widowControl/>
        <w:jc w:val="left"/>
        <w:rPr>
          <w:rFonts w:ascii="宋体" w:hAnsi="宋体" w:eastAsia="宋体"/>
        </w:rPr>
      </w:pPr>
      <w:r>
        <w:rPr>
          <w:rFonts w:ascii="宋体" w:hAnsi="宋体" w:eastAsia="宋体"/>
        </w:rPr>
        <w:br w:type="page"/>
      </w:r>
    </w:p>
    <w:p w14:paraId="75CA96AB">
      <w:pPr>
        <w:pStyle w:val="3"/>
        <w:jc w:val="center"/>
        <w:rPr>
          <w:rFonts w:ascii="宋体" w:hAnsi="宋体" w:eastAsia="宋体"/>
          <w:sz w:val="30"/>
        </w:rPr>
      </w:pPr>
      <w:bookmarkStart w:id="124" w:name="chapter_level1_12_3500"/>
      <w:bookmarkStart w:id="125" w:name="_Toc213857123"/>
      <w:r>
        <w:rPr>
          <w:rFonts w:hint="eastAsia" w:ascii="宋体" w:hAnsi="宋体" w:eastAsia="宋体"/>
          <w:sz w:val="30"/>
        </w:rPr>
        <w:t>第九部分 基金的业绩</w:t>
      </w:r>
      <w:bookmarkEnd w:id="124"/>
      <w:bookmarkEnd w:id="125"/>
    </w:p>
    <w:p w14:paraId="49B5D0D4">
      <w:pPr>
        <w:pStyle w:val="8"/>
        <w:spacing w:before="0" w:beforeAutospacing="0" w:after="0" w:afterAutospacing="0" w:line="360" w:lineRule="auto"/>
        <w:ind w:firstLine="420"/>
        <w:rPr>
          <w:sz w:val="21"/>
          <w:szCs w:val="21"/>
        </w:rPr>
      </w:pPr>
      <w:bookmarkStart w:id="126" w:name="chapter_level1_12_3500_section_1"/>
      <w:bookmarkEnd w:id="126"/>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415332D3">
      <w:pPr>
        <w:pStyle w:val="8"/>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702E9C64">
      <w:pPr>
        <w:pStyle w:val="8"/>
        <w:spacing w:before="0" w:beforeAutospacing="0" w:after="0" w:afterAutospacing="0" w:line="360" w:lineRule="auto"/>
        <w:ind w:firstLine="420"/>
        <w:rPr>
          <w:sz w:val="21"/>
          <w:szCs w:val="21"/>
        </w:rPr>
      </w:pPr>
      <w:bookmarkStart w:id="127" w:name="field_0_indatatable_1_start"/>
      <w:bookmarkEnd w:id="127"/>
      <w:r>
        <w:rPr>
          <w:rFonts w:hint="eastAsia"/>
          <w:sz w:val="21"/>
          <w:szCs w:val="21"/>
        </w:rPr>
        <w:t>博时卓越优选混合A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11"/>
        <w:gridCol w:w="1056"/>
        <w:gridCol w:w="1186"/>
        <w:gridCol w:w="1250"/>
        <w:gridCol w:w="951"/>
        <w:gridCol w:w="741"/>
      </w:tblGrid>
      <w:tr w14:paraId="41CA5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3175BE">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45EF7F9F">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722D0265">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3118E1A6">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6223632A">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67653312">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10BEC400">
            <w:pPr>
              <w:jc w:val="center"/>
              <w:rPr>
                <w:rFonts w:ascii="宋体" w:hAnsi="宋体" w:eastAsia="宋体" w:cs="宋体"/>
                <w:sz w:val="24"/>
                <w:szCs w:val="24"/>
              </w:rPr>
            </w:pPr>
            <w:r>
              <w:rPr>
                <w:rFonts w:hint="eastAsia" w:ascii="宋体" w:hAnsi="宋体" w:eastAsia="宋体"/>
              </w:rPr>
              <w:t>②-④</w:t>
            </w:r>
          </w:p>
        </w:tc>
      </w:tr>
      <w:tr w14:paraId="4773C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7E177C">
            <w:pPr>
              <w:jc w:val="center"/>
              <w:rPr>
                <w:rFonts w:ascii="宋体" w:hAnsi="宋体" w:eastAsia="宋体" w:cs="宋体"/>
                <w:sz w:val="24"/>
                <w:szCs w:val="24"/>
              </w:rPr>
            </w:pPr>
            <w:r>
              <w:rPr>
                <w:rFonts w:hint="eastAsia" w:ascii="宋体" w:hAnsi="宋体" w:eastAsia="宋体"/>
              </w:rPr>
              <w:t>2025.06.27-2025.09.30</w:t>
            </w:r>
          </w:p>
        </w:tc>
        <w:tc>
          <w:tcPr>
            <w:tcW w:w="0" w:type="auto"/>
            <w:shd w:val="clear" w:color="auto" w:fill="auto"/>
          </w:tcPr>
          <w:p w14:paraId="41F5CFE9">
            <w:pPr>
              <w:jc w:val="center"/>
              <w:rPr>
                <w:rFonts w:ascii="宋体" w:hAnsi="宋体" w:eastAsia="宋体" w:cs="宋体"/>
                <w:sz w:val="24"/>
                <w:szCs w:val="24"/>
              </w:rPr>
            </w:pPr>
            <w:r>
              <w:rPr>
                <w:rFonts w:hint="eastAsia" w:ascii="宋体" w:hAnsi="宋体" w:eastAsia="宋体"/>
              </w:rPr>
              <w:t>1.96%</w:t>
            </w:r>
          </w:p>
        </w:tc>
        <w:tc>
          <w:tcPr>
            <w:tcW w:w="0" w:type="auto"/>
            <w:shd w:val="clear" w:color="auto" w:fill="auto"/>
          </w:tcPr>
          <w:p w14:paraId="1D42746F">
            <w:pPr>
              <w:jc w:val="center"/>
              <w:rPr>
                <w:rFonts w:ascii="宋体" w:hAnsi="宋体" w:eastAsia="宋体" w:cs="宋体"/>
                <w:sz w:val="24"/>
                <w:szCs w:val="24"/>
              </w:rPr>
            </w:pPr>
            <w:r>
              <w:rPr>
                <w:rFonts w:hint="eastAsia" w:ascii="宋体" w:hAnsi="宋体" w:eastAsia="宋体"/>
              </w:rPr>
              <w:t>0.68%</w:t>
            </w:r>
          </w:p>
        </w:tc>
        <w:tc>
          <w:tcPr>
            <w:tcW w:w="0" w:type="auto"/>
            <w:shd w:val="clear" w:color="auto" w:fill="auto"/>
          </w:tcPr>
          <w:p w14:paraId="7626E453">
            <w:pPr>
              <w:jc w:val="center"/>
              <w:rPr>
                <w:rFonts w:ascii="宋体" w:hAnsi="宋体" w:eastAsia="宋体" w:cs="宋体"/>
                <w:sz w:val="24"/>
                <w:szCs w:val="24"/>
              </w:rPr>
            </w:pPr>
            <w:r>
              <w:rPr>
                <w:rFonts w:hint="eastAsia" w:ascii="宋体" w:hAnsi="宋体" w:eastAsia="宋体"/>
              </w:rPr>
              <w:t>15.09%</w:t>
            </w:r>
          </w:p>
        </w:tc>
        <w:tc>
          <w:tcPr>
            <w:tcW w:w="0" w:type="auto"/>
            <w:shd w:val="clear" w:color="auto" w:fill="auto"/>
          </w:tcPr>
          <w:p w14:paraId="5449A1D2">
            <w:pPr>
              <w:jc w:val="center"/>
              <w:rPr>
                <w:rFonts w:ascii="宋体" w:hAnsi="宋体" w:eastAsia="宋体" w:cs="宋体"/>
                <w:sz w:val="24"/>
                <w:szCs w:val="24"/>
              </w:rPr>
            </w:pPr>
            <w:r>
              <w:rPr>
                <w:rFonts w:hint="eastAsia" w:ascii="宋体" w:hAnsi="宋体" w:eastAsia="宋体"/>
              </w:rPr>
              <w:t>0.67%</w:t>
            </w:r>
          </w:p>
        </w:tc>
        <w:tc>
          <w:tcPr>
            <w:tcW w:w="0" w:type="auto"/>
            <w:shd w:val="clear" w:color="auto" w:fill="auto"/>
          </w:tcPr>
          <w:p w14:paraId="074D79A2">
            <w:pPr>
              <w:jc w:val="center"/>
              <w:rPr>
                <w:rFonts w:ascii="宋体" w:hAnsi="宋体" w:eastAsia="宋体" w:cs="宋体"/>
                <w:sz w:val="24"/>
                <w:szCs w:val="24"/>
              </w:rPr>
            </w:pPr>
            <w:r>
              <w:rPr>
                <w:rFonts w:hint="eastAsia" w:ascii="宋体" w:hAnsi="宋体" w:eastAsia="宋体"/>
              </w:rPr>
              <w:t>-13.13%</w:t>
            </w:r>
          </w:p>
        </w:tc>
        <w:tc>
          <w:tcPr>
            <w:tcW w:w="0" w:type="auto"/>
            <w:shd w:val="clear" w:color="auto" w:fill="auto"/>
          </w:tcPr>
          <w:p w14:paraId="49BC6EB2">
            <w:pPr>
              <w:jc w:val="center"/>
              <w:rPr>
                <w:rFonts w:ascii="宋体" w:hAnsi="宋体" w:eastAsia="宋体" w:cs="宋体"/>
                <w:sz w:val="24"/>
                <w:szCs w:val="24"/>
              </w:rPr>
            </w:pPr>
            <w:r>
              <w:rPr>
                <w:rFonts w:hint="eastAsia" w:ascii="宋体" w:hAnsi="宋体" w:eastAsia="宋体"/>
              </w:rPr>
              <w:t>0.01%</w:t>
            </w:r>
          </w:p>
        </w:tc>
      </w:tr>
    </w:tbl>
    <w:p w14:paraId="52C34918">
      <w:pPr>
        <w:pStyle w:val="8"/>
        <w:spacing w:before="0" w:beforeAutospacing="0" w:after="0" w:afterAutospacing="0" w:line="360" w:lineRule="auto"/>
        <w:ind w:firstLine="420"/>
        <w:rPr>
          <w:sz w:val="21"/>
          <w:szCs w:val="21"/>
        </w:rPr>
      </w:pPr>
      <w:r>
        <w:rPr>
          <w:rFonts w:hint="eastAsia"/>
          <w:sz w:val="21"/>
          <w:szCs w:val="21"/>
        </w:rPr>
        <w:t>博时卓越优选混合C</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11"/>
        <w:gridCol w:w="1056"/>
        <w:gridCol w:w="1186"/>
        <w:gridCol w:w="1250"/>
        <w:gridCol w:w="951"/>
        <w:gridCol w:w="741"/>
      </w:tblGrid>
      <w:tr w14:paraId="0F5B2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27EFE4">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448E1BB3">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01F3B2AD">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3838636D">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4D406096">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746A65F8">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2B6E9A0E">
            <w:pPr>
              <w:jc w:val="center"/>
              <w:rPr>
                <w:rFonts w:ascii="宋体" w:hAnsi="宋体" w:eastAsia="宋体" w:cs="宋体"/>
                <w:sz w:val="24"/>
                <w:szCs w:val="24"/>
              </w:rPr>
            </w:pPr>
            <w:r>
              <w:rPr>
                <w:rFonts w:hint="eastAsia" w:ascii="宋体" w:hAnsi="宋体" w:eastAsia="宋体"/>
              </w:rPr>
              <w:t>②-④</w:t>
            </w:r>
          </w:p>
        </w:tc>
      </w:tr>
      <w:tr w14:paraId="6F4F4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3A7D5C">
            <w:pPr>
              <w:jc w:val="center"/>
              <w:rPr>
                <w:rFonts w:ascii="宋体" w:hAnsi="宋体" w:eastAsia="宋体" w:cs="宋体"/>
                <w:sz w:val="24"/>
                <w:szCs w:val="24"/>
              </w:rPr>
            </w:pPr>
            <w:r>
              <w:rPr>
                <w:rFonts w:hint="eastAsia" w:ascii="宋体" w:hAnsi="宋体" w:eastAsia="宋体"/>
              </w:rPr>
              <w:t>2025.06.27-2025.09.30</w:t>
            </w:r>
          </w:p>
        </w:tc>
        <w:tc>
          <w:tcPr>
            <w:tcW w:w="0" w:type="auto"/>
            <w:shd w:val="clear" w:color="auto" w:fill="auto"/>
          </w:tcPr>
          <w:p w14:paraId="3780A7D1">
            <w:pPr>
              <w:jc w:val="center"/>
              <w:rPr>
                <w:rFonts w:ascii="宋体" w:hAnsi="宋体" w:eastAsia="宋体" w:cs="宋体"/>
                <w:sz w:val="24"/>
                <w:szCs w:val="24"/>
              </w:rPr>
            </w:pPr>
            <w:r>
              <w:rPr>
                <w:rFonts w:hint="eastAsia" w:ascii="宋体" w:hAnsi="宋体" w:eastAsia="宋体"/>
              </w:rPr>
              <w:t>1.80%</w:t>
            </w:r>
          </w:p>
        </w:tc>
        <w:tc>
          <w:tcPr>
            <w:tcW w:w="0" w:type="auto"/>
            <w:shd w:val="clear" w:color="auto" w:fill="auto"/>
          </w:tcPr>
          <w:p w14:paraId="6A51FE04">
            <w:pPr>
              <w:jc w:val="center"/>
              <w:rPr>
                <w:rFonts w:ascii="宋体" w:hAnsi="宋体" w:eastAsia="宋体" w:cs="宋体"/>
                <w:sz w:val="24"/>
                <w:szCs w:val="24"/>
              </w:rPr>
            </w:pPr>
            <w:r>
              <w:rPr>
                <w:rFonts w:hint="eastAsia" w:ascii="宋体" w:hAnsi="宋体" w:eastAsia="宋体"/>
              </w:rPr>
              <w:t>0.68%</w:t>
            </w:r>
          </w:p>
        </w:tc>
        <w:tc>
          <w:tcPr>
            <w:tcW w:w="0" w:type="auto"/>
            <w:shd w:val="clear" w:color="auto" w:fill="auto"/>
          </w:tcPr>
          <w:p w14:paraId="2EB98710">
            <w:pPr>
              <w:jc w:val="center"/>
              <w:rPr>
                <w:rFonts w:ascii="宋体" w:hAnsi="宋体" w:eastAsia="宋体" w:cs="宋体"/>
                <w:sz w:val="24"/>
                <w:szCs w:val="24"/>
              </w:rPr>
            </w:pPr>
            <w:r>
              <w:rPr>
                <w:rFonts w:hint="eastAsia" w:ascii="宋体" w:hAnsi="宋体" w:eastAsia="宋体"/>
              </w:rPr>
              <w:t>15.09%</w:t>
            </w:r>
          </w:p>
        </w:tc>
        <w:tc>
          <w:tcPr>
            <w:tcW w:w="0" w:type="auto"/>
            <w:shd w:val="clear" w:color="auto" w:fill="auto"/>
          </w:tcPr>
          <w:p w14:paraId="45C7BE60">
            <w:pPr>
              <w:jc w:val="center"/>
              <w:rPr>
                <w:rFonts w:ascii="宋体" w:hAnsi="宋体" w:eastAsia="宋体" w:cs="宋体"/>
                <w:sz w:val="24"/>
                <w:szCs w:val="24"/>
              </w:rPr>
            </w:pPr>
            <w:r>
              <w:rPr>
                <w:rFonts w:hint="eastAsia" w:ascii="宋体" w:hAnsi="宋体" w:eastAsia="宋体"/>
              </w:rPr>
              <w:t>0.67%</w:t>
            </w:r>
          </w:p>
        </w:tc>
        <w:tc>
          <w:tcPr>
            <w:tcW w:w="0" w:type="auto"/>
            <w:shd w:val="clear" w:color="auto" w:fill="auto"/>
          </w:tcPr>
          <w:p w14:paraId="19544A4E">
            <w:pPr>
              <w:jc w:val="center"/>
              <w:rPr>
                <w:rFonts w:ascii="宋体" w:hAnsi="宋体" w:eastAsia="宋体" w:cs="宋体"/>
                <w:sz w:val="24"/>
                <w:szCs w:val="24"/>
              </w:rPr>
            </w:pPr>
            <w:r>
              <w:rPr>
                <w:rFonts w:hint="eastAsia" w:ascii="宋体" w:hAnsi="宋体" w:eastAsia="宋体"/>
              </w:rPr>
              <w:t>-13.29%</w:t>
            </w:r>
          </w:p>
        </w:tc>
        <w:tc>
          <w:tcPr>
            <w:tcW w:w="0" w:type="auto"/>
            <w:shd w:val="clear" w:color="auto" w:fill="auto"/>
          </w:tcPr>
          <w:p w14:paraId="4EBA0BF4">
            <w:pPr>
              <w:jc w:val="center"/>
              <w:rPr>
                <w:rFonts w:ascii="宋体" w:hAnsi="宋体" w:eastAsia="宋体" w:cs="宋体"/>
                <w:sz w:val="24"/>
                <w:szCs w:val="24"/>
              </w:rPr>
            </w:pPr>
            <w:r>
              <w:rPr>
                <w:rFonts w:hint="eastAsia" w:ascii="宋体" w:hAnsi="宋体" w:eastAsia="宋体"/>
              </w:rPr>
              <w:t>0.01%</w:t>
            </w:r>
          </w:p>
        </w:tc>
      </w:tr>
    </w:tbl>
    <w:p w14:paraId="633EE5FF">
      <w:pPr>
        <w:pStyle w:val="8"/>
        <w:spacing w:before="0" w:beforeAutospacing="0" w:after="0" w:afterAutospacing="0" w:line="360" w:lineRule="auto"/>
        <w:ind w:firstLine="420"/>
        <w:rPr>
          <w:sz w:val="21"/>
          <w:szCs w:val="21"/>
        </w:rPr>
      </w:pPr>
      <w:bookmarkStart w:id="128" w:name="chapter_level1_12_3500_section_1_end"/>
      <w:bookmarkEnd w:id="128"/>
      <w:bookmarkStart w:id="129" w:name="field_0_indatatable_1_end"/>
      <w:bookmarkEnd w:id="129"/>
      <w:r>
        <w:rPr>
          <w:rFonts w:hint="eastAsia"/>
          <w:sz w:val="21"/>
          <w:szCs w:val="21"/>
        </w:rPr>
        <w:t xml:space="preserve">  </w:t>
      </w:r>
    </w:p>
    <w:p w14:paraId="413E5127">
      <w:pPr>
        <w:widowControl/>
        <w:jc w:val="left"/>
        <w:rPr>
          <w:rFonts w:ascii="宋体" w:hAnsi="宋体" w:eastAsia="宋体"/>
        </w:rPr>
      </w:pPr>
      <w:r>
        <w:rPr>
          <w:rFonts w:ascii="宋体" w:hAnsi="宋体" w:eastAsia="宋体"/>
        </w:rPr>
        <w:br w:type="page"/>
      </w:r>
    </w:p>
    <w:p w14:paraId="27D2AA0D">
      <w:pPr>
        <w:pStyle w:val="3"/>
        <w:jc w:val="center"/>
        <w:rPr>
          <w:rFonts w:ascii="宋体" w:hAnsi="宋体" w:eastAsia="宋体"/>
          <w:sz w:val="30"/>
        </w:rPr>
      </w:pPr>
      <w:bookmarkStart w:id="130" w:name="chapter_level1_13_62"/>
      <w:bookmarkStart w:id="131" w:name="_Toc213857124"/>
      <w:r>
        <w:rPr>
          <w:rFonts w:hint="eastAsia" w:ascii="宋体" w:hAnsi="宋体" w:eastAsia="宋体"/>
          <w:sz w:val="30"/>
        </w:rPr>
        <w:t>第十部分  基金的财产</w:t>
      </w:r>
      <w:bookmarkEnd w:id="130"/>
      <w:bookmarkEnd w:id="131"/>
    </w:p>
    <w:p w14:paraId="59D2A49B">
      <w:pPr>
        <w:pStyle w:val="8"/>
        <w:spacing w:before="0" w:beforeAutospacing="0" w:after="0" w:afterAutospacing="0" w:line="360" w:lineRule="auto"/>
        <w:ind w:firstLine="420"/>
        <w:rPr>
          <w:sz w:val="21"/>
          <w:szCs w:val="21"/>
        </w:rPr>
      </w:pPr>
      <w:bookmarkStart w:id="132" w:name="chapter_level1_13_62_section_1"/>
      <w:bookmarkEnd w:id="132"/>
      <w:r>
        <w:rPr>
          <w:rStyle w:val="12"/>
          <w:rFonts w:hint="eastAsia"/>
          <w:sz w:val="21"/>
          <w:szCs w:val="21"/>
        </w:rPr>
        <w:t>一、基金资产总值</w:t>
      </w:r>
    </w:p>
    <w:p w14:paraId="3382F439">
      <w:pPr>
        <w:pStyle w:val="8"/>
        <w:spacing w:before="0" w:beforeAutospacing="0" w:after="0" w:afterAutospacing="0" w:line="360" w:lineRule="auto"/>
        <w:ind w:firstLine="420"/>
        <w:rPr>
          <w:sz w:val="21"/>
          <w:szCs w:val="21"/>
        </w:rPr>
      </w:pPr>
      <w:r>
        <w:rPr>
          <w:rFonts w:hint="eastAsia"/>
          <w:sz w:val="21"/>
          <w:szCs w:val="21"/>
        </w:rPr>
        <w:t>基金资产总值是指基金拥有的各类有价证券、银行存款本息、基金应收款项以及其他资产的价值总和。</w:t>
      </w:r>
    </w:p>
    <w:p w14:paraId="59F66C63">
      <w:pPr>
        <w:pStyle w:val="8"/>
        <w:spacing w:before="0" w:beforeAutospacing="0" w:after="0" w:afterAutospacing="0" w:line="360" w:lineRule="auto"/>
        <w:ind w:firstLine="420"/>
        <w:rPr>
          <w:sz w:val="21"/>
          <w:szCs w:val="21"/>
        </w:rPr>
      </w:pPr>
      <w:r>
        <w:rPr>
          <w:rStyle w:val="12"/>
          <w:rFonts w:hint="eastAsia"/>
          <w:sz w:val="21"/>
          <w:szCs w:val="21"/>
        </w:rPr>
        <w:t>二、基金资产净值</w:t>
      </w:r>
    </w:p>
    <w:p w14:paraId="6AF3AA25">
      <w:pPr>
        <w:pStyle w:val="8"/>
        <w:spacing w:before="0" w:beforeAutospacing="0" w:after="0" w:afterAutospacing="0" w:line="360" w:lineRule="auto"/>
        <w:ind w:firstLine="420"/>
        <w:rPr>
          <w:sz w:val="21"/>
          <w:szCs w:val="21"/>
        </w:rPr>
      </w:pPr>
      <w:r>
        <w:rPr>
          <w:rFonts w:hint="eastAsia"/>
          <w:sz w:val="21"/>
          <w:szCs w:val="21"/>
        </w:rPr>
        <w:t>基金资产净值是指基金资产总值减去基金负债后的价值。</w:t>
      </w:r>
    </w:p>
    <w:p w14:paraId="627B243B">
      <w:pPr>
        <w:pStyle w:val="8"/>
        <w:spacing w:before="0" w:beforeAutospacing="0" w:after="0" w:afterAutospacing="0" w:line="360" w:lineRule="auto"/>
        <w:ind w:firstLine="420"/>
        <w:rPr>
          <w:sz w:val="21"/>
          <w:szCs w:val="21"/>
        </w:rPr>
      </w:pPr>
      <w:r>
        <w:rPr>
          <w:rStyle w:val="12"/>
          <w:rFonts w:hint="eastAsia"/>
          <w:sz w:val="21"/>
          <w:szCs w:val="21"/>
        </w:rPr>
        <w:t>三、基金财产的账户</w:t>
      </w:r>
    </w:p>
    <w:p w14:paraId="4FC6190F">
      <w:pPr>
        <w:pStyle w:val="8"/>
        <w:spacing w:before="0" w:beforeAutospacing="0" w:after="0" w:afterAutospacing="0" w:line="360" w:lineRule="auto"/>
        <w:ind w:firstLine="420"/>
        <w:rPr>
          <w:sz w:val="21"/>
          <w:szCs w:val="21"/>
        </w:rPr>
      </w:pPr>
      <w:r>
        <w:rPr>
          <w:rFonts w:hint="eastAsia"/>
          <w:sz w:val="21"/>
          <w:szCs w:val="21"/>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6FA2A818">
      <w:pPr>
        <w:pStyle w:val="8"/>
        <w:spacing w:before="0" w:beforeAutospacing="0" w:after="0" w:afterAutospacing="0" w:line="360" w:lineRule="auto"/>
        <w:ind w:firstLine="420"/>
        <w:rPr>
          <w:sz w:val="21"/>
          <w:szCs w:val="21"/>
        </w:rPr>
      </w:pPr>
      <w:r>
        <w:rPr>
          <w:rStyle w:val="12"/>
          <w:rFonts w:hint="eastAsia"/>
          <w:sz w:val="21"/>
          <w:szCs w:val="21"/>
        </w:rPr>
        <w:t>四、基金财产的保管和处分</w:t>
      </w:r>
    </w:p>
    <w:p w14:paraId="0BA846E7">
      <w:pPr>
        <w:pStyle w:val="8"/>
        <w:spacing w:before="0" w:beforeAutospacing="0" w:after="0" w:afterAutospacing="0" w:line="360" w:lineRule="auto"/>
        <w:ind w:firstLine="420"/>
        <w:rPr>
          <w:sz w:val="21"/>
          <w:szCs w:val="21"/>
        </w:rPr>
      </w:pPr>
      <w:r>
        <w:rPr>
          <w:rFonts w:hint="eastAsia"/>
          <w:sz w:val="21"/>
          <w:szCs w:val="21"/>
        </w:rPr>
        <w:t>本基金财产独立于基金管理人、基金托管人和基金销售机构的财产，并由基金托管人进行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2DFE5F61">
      <w:pPr>
        <w:pStyle w:val="8"/>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3" w:name="chapter_level1_13_62_section_1_end"/>
      <w:bookmarkEnd w:id="133"/>
      <w:r>
        <w:rPr>
          <w:rFonts w:hint="eastAsia"/>
          <w:sz w:val="21"/>
          <w:szCs w:val="21"/>
        </w:rPr>
        <w:t>得相互抵销。非因基金财产本身承担的债务，不得对基金财产强制执行。</w:t>
      </w:r>
    </w:p>
    <w:p w14:paraId="528774EF">
      <w:pPr>
        <w:widowControl/>
        <w:jc w:val="left"/>
        <w:rPr>
          <w:rFonts w:ascii="宋体" w:hAnsi="宋体" w:eastAsia="宋体"/>
        </w:rPr>
      </w:pPr>
      <w:r>
        <w:rPr>
          <w:rFonts w:ascii="宋体" w:hAnsi="宋体" w:eastAsia="宋体"/>
        </w:rPr>
        <w:br w:type="page"/>
      </w:r>
    </w:p>
    <w:p w14:paraId="0624B640">
      <w:pPr>
        <w:pStyle w:val="3"/>
        <w:jc w:val="center"/>
        <w:rPr>
          <w:rFonts w:ascii="宋体" w:hAnsi="宋体" w:eastAsia="宋体"/>
          <w:sz w:val="30"/>
        </w:rPr>
      </w:pPr>
      <w:bookmarkStart w:id="134" w:name="chapter_level1_14_63"/>
      <w:bookmarkStart w:id="135" w:name="_Toc213857125"/>
      <w:r>
        <w:rPr>
          <w:rFonts w:hint="eastAsia" w:ascii="宋体" w:hAnsi="宋体" w:eastAsia="宋体"/>
          <w:sz w:val="30"/>
        </w:rPr>
        <w:t>第十一部分  基金资产的估值</w:t>
      </w:r>
      <w:bookmarkEnd w:id="134"/>
      <w:bookmarkEnd w:id="135"/>
    </w:p>
    <w:p w14:paraId="20FE3E75">
      <w:pPr>
        <w:pStyle w:val="8"/>
        <w:spacing w:before="0" w:beforeAutospacing="0" w:after="0" w:afterAutospacing="0" w:line="360" w:lineRule="auto"/>
        <w:ind w:firstLine="420"/>
        <w:rPr>
          <w:sz w:val="21"/>
          <w:szCs w:val="21"/>
        </w:rPr>
      </w:pPr>
      <w:bookmarkStart w:id="136" w:name="chapter_level1_14_63_section_1"/>
      <w:bookmarkEnd w:id="136"/>
      <w:r>
        <w:rPr>
          <w:rStyle w:val="12"/>
          <w:rFonts w:hint="eastAsia"/>
          <w:sz w:val="21"/>
          <w:szCs w:val="21"/>
        </w:rPr>
        <w:t>一、估值日</w:t>
      </w:r>
    </w:p>
    <w:p w14:paraId="5172BB30">
      <w:pPr>
        <w:pStyle w:val="8"/>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67CE2CF2">
      <w:pPr>
        <w:pStyle w:val="8"/>
        <w:spacing w:before="0" w:beforeAutospacing="0" w:after="0" w:afterAutospacing="0" w:line="360" w:lineRule="auto"/>
        <w:ind w:firstLine="420"/>
        <w:rPr>
          <w:sz w:val="21"/>
          <w:szCs w:val="21"/>
        </w:rPr>
      </w:pPr>
      <w:r>
        <w:rPr>
          <w:rStyle w:val="12"/>
          <w:rFonts w:hint="eastAsia"/>
          <w:sz w:val="21"/>
          <w:szCs w:val="21"/>
        </w:rPr>
        <w:t>二、估值对象</w:t>
      </w:r>
    </w:p>
    <w:p w14:paraId="7EAD03EE">
      <w:pPr>
        <w:pStyle w:val="8"/>
        <w:spacing w:before="0" w:beforeAutospacing="0" w:after="0" w:afterAutospacing="0" w:line="360" w:lineRule="auto"/>
        <w:ind w:firstLine="420"/>
        <w:rPr>
          <w:sz w:val="21"/>
          <w:szCs w:val="21"/>
        </w:rPr>
      </w:pPr>
      <w:r>
        <w:rPr>
          <w:rFonts w:hint="eastAsia"/>
          <w:sz w:val="21"/>
          <w:szCs w:val="21"/>
        </w:rPr>
        <w:t xml:space="preserve">基金所拥有的股票（含存托凭证）、国债期货合约、股指期货合约、股票期权合约、信用衍生品、债券和银行存款本息、应收款项、资产支持证券、其它投资等资产及负债。 </w:t>
      </w:r>
    </w:p>
    <w:p w14:paraId="77402043">
      <w:pPr>
        <w:pStyle w:val="8"/>
        <w:spacing w:before="0" w:beforeAutospacing="0" w:after="0" w:afterAutospacing="0" w:line="360" w:lineRule="auto"/>
        <w:ind w:firstLine="420"/>
        <w:rPr>
          <w:sz w:val="21"/>
          <w:szCs w:val="21"/>
        </w:rPr>
      </w:pPr>
      <w:r>
        <w:rPr>
          <w:rStyle w:val="12"/>
          <w:rFonts w:hint="eastAsia"/>
          <w:sz w:val="21"/>
          <w:szCs w:val="21"/>
        </w:rPr>
        <w:t>三、估值原则</w:t>
      </w:r>
    </w:p>
    <w:p w14:paraId="5C4D2359">
      <w:pPr>
        <w:pStyle w:val="8"/>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290F69C7">
      <w:pPr>
        <w:pStyle w:val="8"/>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076F6E83">
      <w:pPr>
        <w:pStyle w:val="8"/>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1247698C">
      <w:pPr>
        <w:pStyle w:val="8"/>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63677388">
      <w:pPr>
        <w:pStyle w:val="8"/>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65A284B4">
      <w:pPr>
        <w:pStyle w:val="8"/>
        <w:spacing w:before="0" w:beforeAutospacing="0" w:after="0" w:afterAutospacing="0" w:line="360" w:lineRule="auto"/>
        <w:ind w:firstLine="420"/>
        <w:rPr>
          <w:sz w:val="21"/>
          <w:szCs w:val="21"/>
        </w:rPr>
      </w:pPr>
      <w:r>
        <w:rPr>
          <w:rStyle w:val="12"/>
          <w:rFonts w:hint="eastAsia"/>
          <w:sz w:val="21"/>
          <w:szCs w:val="21"/>
        </w:rPr>
        <w:t>四、估值方法</w:t>
      </w:r>
    </w:p>
    <w:p w14:paraId="33FF16ED">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68C9BFB2">
      <w:pPr>
        <w:pStyle w:val="8"/>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318B87D2">
      <w:pPr>
        <w:pStyle w:val="8"/>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（2）交易所上市交易或挂牌转让的固定收益品种（基金合同另有规定的除外），选取估值日第三方估值机构提供的相应品种对应的估值全价估值，具体估值机构由基金管理人与基金托管人另行协商约定； </w:t>
      </w:r>
    </w:p>
    <w:p w14:paraId="5F4C439D">
      <w:pPr>
        <w:pStyle w:val="8"/>
        <w:spacing w:before="0" w:beforeAutospacing="0" w:after="0" w:afterAutospacing="0" w:line="360" w:lineRule="auto"/>
        <w:ind w:firstLine="420"/>
        <w:rPr>
          <w:sz w:val="21"/>
          <w:szCs w:val="21"/>
        </w:rPr>
      </w:pPr>
      <w:r>
        <w:rPr>
          <w:rFonts w:hint="eastAsia"/>
          <w:sz w:val="21"/>
          <w:szCs w:val="21"/>
        </w:rPr>
        <w:t xml:space="preserve">（3）交易所上市交易的可转换债券以每日收盘价作为估值全价； </w:t>
      </w:r>
    </w:p>
    <w:p w14:paraId="516641D7">
      <w:pPr>
        <w:pStyle w:val="8"/>
        <w:spacing w:before="0" w:beforeAutospacing="0" w:after="0" w:afterAutospacing="0" w:line="360" w:lineRule="auto"/>
        <w:ind w:firstLine="420"/>
        <w:rPr>
          <w:sz w:val="21"/>
          <w:szCs w:val="21"/>
        </w:rPr>
      </w:pPr>
      <w:r>
        <w:rPr>
          <w:rFonts w:hint="eastAsia"/>
          <w:sz w:val="21"/>
          <w:szCs w:val="21"/>
        </w:rPr>
        <w:t xml:space="preserve">（4）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 </w:t>
      </w:r>
    </w:p>
    <w:p w14:paraId="5BACE0BB">
      <w:pPr>
        <w:pStyle w:val="8"/>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5FE657EA">
      <w:pPr>
        <w:pStyle w:val="8"/>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0686DDC2">
      <w:pPr>
        <w:pStyle w:val="8"/>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14:paraId="43254AD9">
      <w:pPr>
        <w:pStyle w:val="8"/>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121F79EA">
      <w:pPr>
        <w:pStyle w:val="8"/>
        <w:spacing w:before="0" w:beforeAutospacing="0" w:after="0" w:afterAutospacing="0" w:line="360" w:lineRule="auto"/>
        <w:ind w:firstLine="420"/>
        <w:rPr>
          <w:sz w:val="21"/>
          <w:szCs w:val="21"/>
        </w:rPr>
      </w:pPr>
      <w:r>
        <w:rPr>
          <w:rFonts w:hint="eastAsia"/>
          <w:sz w:val="21"/>
          <w:szCs w:val="21"/>
        </w:rPr>
        <w:t xml:space="preserve">3、本基金投资存托凭证的估值核算，依照境内上市交易的股票执行。 </w:t>
      </w:r>
    </w:p>
    <w:p w14:paraId="7BD8148D">
      <w:pPr>
        <w:pStyle w:val="8"/>
        <w:spacing w:before="0" w:beforeAutospacing="0" w:after="0" w:afterAutospacing="0" w:line="360" w:lineRule="auto"/>
        <w:ind w:firstLine="420"/>
        <w:rPr>
          <w:sz w:val="21"/>
          <w:szCs w:val="21"/>
        </w:rPr>
      </w:pPr>
      <w:r>
        <w:rPr>
          <w:rFonts w:hint="eastAsia"/>
          <w:sz w:val="21"/>
          <w:szCs w:val="21"/>
        </w:rPr>
        <w:t xml:space="preserve">4、银行间的有价证券的估值 </w:t>
      </w:r>
    </w:p>
    <w:p w14:paraId="05621975">
      <w:pPr>
        <w:pStyle w:val="8"/>
        <w:spacing w:before="0" w:beforeAutospacing="0" w:after="0" w:afterAutospacing="0" w:line="360" w:lineRule="auto"/>
        <w:ind w:firstLine="420"/>
        <w:rPr>
          <w:sz w:val="21"/>
          <w:szCs w:val="21"/>
        </w:rPr>
      </w:pPr>
      <w:r>
        <w:rPr>
          <w:rFonts w:hint="eastAsia"/>
          <w:sz w:val="21"/>
          <w:szCs w:val="21"/>
        </w:rPr>
        <w:t xml:space="preserve">（1）对全国银行间市场上不含权的固定收益品种，按照第三方估值机构提供的相应品种当日的估值全价确定公允价值； </w:t>
      </w:r>
    </w:p>
    <w:p w14:paraId="3A13194E">
      <w:pPr>
        <w:pStyle w:val="8"/>
        <w:spacing w:before="0" w:beforeAutospacing="0" w:after="0" w:afterAutospacing="0" w:line="360" w:lineRule="auto"/>
        <w:ind w:firstLine="420"/>
        <w:rPr>
          <w:sz w:val="21"/>
          <w:szCs w:val="21"/>
        </w:rPr>
      </w:pPr>
      <w:r>
        <w:rPr>
          <w:rFonts w:hint="eastAsia"/>
          <w:sz w:val="21"/>
          <w:szCs w:val="21"/>
        </w:rPr>
        <w:t xml:space="preserve">（2）对银行间市场上含权的固定收益品种，按照第三方估值机构提供的相应品种当日的唯一估值全价或推荐估值全价确定公允价值。对于含投资人回售权的固定收益品种，回售登记期截止日（含当日）后未行使回售权的按照长待偿期所对应的价格进行估值； </w:t>
      </w:r>
    </w:p>
    <w:p w14:paraId="365666A1">
      <w:pPr>
        <w:pStyle w:val="8"/>
        <w:spacing w:before="0" w:beforeAutospacing="0" w:after="0" w:afterAutospacing="0" w:line="360" w:lineRule="auto"/>
        <w:ind w:firstLine="420"/>
        <w:rPr>
          <w:sz w:val="21"/>
          <w:szCs w:val="21"/>
        </w:rPr>
      </w:pPr>
      <w:r>
        <w:rPr>
          <w:rFonts w:hint="eastAsia"/>
          <w:sz w:val="21"/>
          <w:szCs w:val="21"/>
        </w:rPr>
        <w:t xml:space="preserve">（3）对银行间市场未上市，且第三方估值机构未提供估值价格的债券，在发行利率与二级市场利率不存在明显差异、未上市期间市场利率没有发生大的变动的情况下，按成本估值。 </w:t>
      </w:r>
    </w:p>
    <w:p w14:paraId="78603C71">
      <w:pPr>
        <w:pStyle w:val="8"/>
        <w:spacing w:before="0" w:beforeAutospacing="0" w:after="0" w:afterAutospacing="0" w:line="360" w:lineRule="auto"/>
        <w:ind w:firstLine="420"/>
        <w:rPr>
          <w:sz w:val="21"/>
          <w:szCs w:val="21"/>
        </w:rPr>
      </w:pPr>
      <w:r>
        <w:rPr>
          <w:rFonts w:hint="eastAsia"/>
          <w:sz w:val="21"/>
          <w:szCs w:val="21"/>
        </w:rPr>
        <w:t xml:space="preserve">5、资产支持证券的估值 </w:t>
      </w:r>
    </w:p>
    <w:p w14:paraId="28C21A3A">
      <w:pPr>
        <w:pStyle w:val="8"/>
        <w:spacing w:before="0" w:beforeAutospacing="0" w:after="0" w:afterAutospacing="0" w:line="360" w:lineRule="auto"/>
        <w:ind w:firstLine="420"/>
        <w:rPr>
          <w:sz w:val="21"/>
          <w:szCs w:val="21"/>
        </w:rPr>
      </w:pPr>
      <w:r>
        <w:rPr>
          <w:rFonts w:hint="eastAsia"/>
          <w:sz w:val="21"/>
          <w:szCs w:val="21"/>
        </w:rPr>
        <w:t xml:space="preserve">（1）交易所上市的资产支持证券，采用估值技术确定公允价值。 </w:t>
      </w:r>
    </w:p>
    <w:p w14:paraId="38E45A67">
      <w:pPr>
        <w:pStyle w:val="8"/>
        <w:spacing w:before="0" w:beforeAutospacing="0" w:after="0" w:afterAutospacing="0" w:line="360" w:lineRule="auto"/>
        <w:ind w:firstLine="420"/>
        <w:rPr>
          <w:sz w:val="21"/>
          <w:szCs w:val="21"/>
        </w:rPr>
      </w:pPr>
      <w:r>
        <w:rPr>
          <w:rFonts w:hint="eastAsia"/>
          <w:sz w:val="21"/>
          <w:szCs w:val="21"/>
        </w:rPr>
        <w:t xml:space="preserve">（2）对全国银行间市场上的资产支持证券，按照第三方估值机构提供的相应品种当日的估值全价确定公允价值。 </w:t>
      </w:r>
    </w:p>
    <w:p w14:paraId="0E770074">
      <w:pPr>
        <w:pStyle w:val="8"/>
        <w:spacing w:before="0" w:beforeAutospacing="0" w:after="0" w:afterAutospacing="0" w:line="360" w:lineRule="auto"/>
        <w:ind w:firstLine="420"/>
        <w:rPr>
          <w:sz w:val="21"/>
          <w:szCs w:val="21"/>
        </w:rPr>
      </w:pPr>
      <w:r>
        <w:rPr>
          <w:rFonts w:hint="eastAsia"/>
          <w:sz w:val="21"/>
          <w:szCs w:val="21"/>
        </w:rPr>
        <w:t xml:space="preserve">6、同一证券同时在两个或两个以上市场交易的，按证券所处的市场分别估值。 </w:t>
      </w:r>
    </w:p>
    <w:p w14:paraId="5C3F2EA4">
      <w:pPr>
        <w:pStyle w:val="8"/>
        <w:spacing w:before="0" w:beforeAutospacing="0" w:after="0" w:afterAutospacing="0" w:line="360" w:lineRule="auto"/>
        <w:ind w:firstLine="420"/>
        <w:rPr>
          <w:sz w:val="21"/>
          <w:szCs w:val="21"/>
        </w:rPr>
      </w:pPr>
      <w:r>
        <w:rPr>
          <w:rFonts w:hint="eastAsia"/>
          <w:sz w:val="21"/>
          <w:szCs w:val="21"/>
        </w:rPr>
        <w:t xml:space="preserve">7、本基金参与股指期货合约、国债期货合约交易，一般以估值当日结算价进行估值，估值当日无结算价的，且最近交易日后经济环境未发生重大变化的，采用最近交易日结算价估值。 </w:t>
      </w:r>
    </w:p>
    <w:p w14:paraId="4953093C">
      <w:pPr>
        <w:pStyle w:val="8"/>
        <w:spacing w:before="0" w:beforeAutospacing="0" w:after="0" w:afterAutospacing="0" w:line="360" w:lineRule="auto"/>
        <w:ind w:firstLine="420"/>
        <w:rPr>
          <w:sz w:val="21"/>
          <w:szCs w:val="21"/>
        </w:rPr>
      </w:pPr>
      <w:r>
        <w:rPr>
          <w:rFonts w:hint="eastAsia"/>
          <w:sz w:val="21"/>
          <w:szCs w:val="21"/>
        </w:rPr>
        <w:t xml:space="preserve">8、本基金投资股票期权，根据相关法律法规以及监管部门的规定估值。 </w:t>
      </w:r>
    </w:p>
    <w:p w14:paraId="43B88552">
      <w:pPr>
        <w:pStyle w:val="8"/>
        <w:spacing w:before="0" w:beforeAutospacing="0" w:after="0" w:afterAutospacing="0" w:line="360" w:lineRule="auto"/>
        <w:ind w:firstLine="420"/>
        <w:rPr>
          <w:sz w:val="21"/>
          <w:szCs w:val="21"/>
        </w:rPr>
      </w:pPr>
      <w:r>
        <w:rPr>
          <w:rFonts w:hint="eastAsia"/>
          <w:sz w:val="21"/>
          <w:szCs w:val="21"/>
        </w:rPr>
        <w:t xml:space="preserve">9、信用衍生品按第三方估值机构提供的当日估值价格进行估值，但基金管理人依法应当承担的估值责任不因委托而免除，选定的第三方估值机构未提供估值价格的，依照有关法律法规及企业会计准则要求采用合理估值技术，确定公允价值。 </w:t>
      </w:r>
    </w:p>
    <w:p w14:paraId="2D338F12">
      <w:pPr>
        <w:pStyle w:val="8"/>
        <w:spacing w:before="0" w:beforeAutospacing="0" w:after="0" w:afterAutospacing="0" w:line="360" w:lineRule="auto"/>
        <w:ind w:firstLine="420"/>
        <w:rPr>
          <w:sz w:val="21"/>
          <w:szCs w:val="21"/>
        </w:rPr>
      </w:pPr>
      <w:r>
        <w:rPr>
          <w:rFonts w:hint="eastAsia"/>
          <w:sz w:val="21"/>
          <w:szCs w:val="21"/>
        </w:rPr>
        <w:t xml:space="preserve">10、汇率 </w:t>
      </w:r>
    </w:p>
    <w:p w14:paraId="5D73070B">
      <w:pPr>
        <w:pStyle w:val="8"/>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 </w:t>
      </w:r>
    </w:p>
    <w:p w14:paraId="6EBBA335">
      <w:pPr>
        <w:pStyle w:val="8"/>
        <w:spacing w:before="0" w:beforeAutospacing="0" w:after="0" w:afterAutospacing="0" w:line="360" w:lineRule="auto"/>
        <w:ind w:firstLine="420"/>
        <w:rPr>
          <w:sz w:val="21"/>
          <w:szCs w:val="21"/>
        </w:rPr>
      </w:pPr>
      <w:r>
        <w:rPr>
          <w:rFonts w:hint="eastAsia"/>
          <w:sz w:val="21"/>
          <w:szCs w:val="21"/>
        </w:rPr>
        <w:t xml:space="preserve">11、本基金参与融资业务，按照相关法律法规和行业协会的相关规定进行估值。 </w:t>
      </w:r>
    </w:p>
    <w:p w14:paraId="39BC0E37">
      <w:pPr>
        <w:pStyle w:val="8"/>
        <w:spacing w:before="0" w:beforeAutospacing="0" w:after="0" w:afterAutospacing="0" w:line="360" w:lineRule="auto"/>
        <w:ind w:firstLine="420"/>
        <w:rPr>
          <w:sz w:val="21"/>
          <w:szCs w:val="21"/>
        </w:rPr>
      </w:pPr>
      <w:r>
        <w:rPr>
          <w:rFonts w:hint="eastAsia"/>
          <w:sz w:val="21"/>
          <w:szCs w:val="21"/>
        </w:rPr>
        <w:t xml:space="preserve">12、如有确凿证据表明按上述方法进行估值不能客观反映其公允价值的，基金管理人可根据具体情况与基金托管人商定后，按最能反映公允价值的价格估值。 </w:t>
      </w:r>
    </w:p>
    <w:p w14:paraId="5E03CEFB">
      <w:pPr>
        <w:pStyle w:val="8"/>
        <w:spacing w:before="0" w:beforeAutospacing="0" w:after="0" w:afterAutospacing="0" w:line="360" w:lineRule="auto"/>
        <w:ind w:firstLine="420"/>
        <w:rPr>
          <w:sz w:val="21"/>
          <w:szCs w:val="21"/>
        </w:rPr>
      </w:pPr>
      <w:r>
        <w:rPr>
          <w:rFonts w:hint="eastAsia"/>
          <w:sz w:val="21"/>
          <w:szCs w:val="21"/>
        </w:rPr>
        <w:t xml:space="preserve">13、当发生大额申购或赎回情形时，基金管理人可以采用摆动定价机制，以确保基金估值的公平性。具体处理原则与操作规范遵循相关法律法规以及监管部门、自律规则的规定。 </w:t>
      </w:r>
    </w:p>
    <w:p w14:paraId="17E633E5">
      <w:pPr>
        <w:pStyle w:val="8"/>
        <w:spacing w:before="0" w:beforeAutospacing="0" w:after="0" w:afterAutospacing="0" w:line="360" w:lineRule="auto"/>
        <w:ind w:firstLine="420"/>
        <w:rPr>
          <w:sz w:val="21"/>
          <w:szCs w:val="21"/>
        </w:rPr>
      </w:pPr>
      <w:r>
        <w:rPr>
          <w:rFonts w:hint="eastAsia"/>
          <w:sz w:val="21"/>
          <w:szCs w:val="21"/>
        </w:rPr>
        <w:t xml:space="preserve">14、相关法律法规以及监管部门有强制规定的，从其规定。如有新增事项，按国家最新规定估值。 </w:t>
      </w:r>
    </w:p>
    <w:p w14:paraId="1011DFD6">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11C11BD8">
      <w:pPr>
        <w:pStyle w:val="8"/>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37" w:name="chapter_level1_14_63_section_1_end"/>
      <w:bookmarkEnd w:id="137"/>
      <w:r>
        <w:rPr>
          <w:rFonts w:hint="eastAsia"/>
          <w:sz w:val="21"/>
          <w:szCs w:val="21"/>
        </w:rPr>
        <w:t xml:space="preserve">对外予以公布。 </w:t>
      </w:r>
    </w:p>
    <w:p w14:paraId="0F45F42C">
      <w:pPr>
        <w:pStyle w:val="8"/>
        <w:spacing w:before="0" w:beforeAutospacing="0" w:after="0" w:afterAutospacing="0" w:line="360" w:lineRule="auto"/>
        <w:ind w:firstLine="420"/>
        <w:rPr>
          <w:sz w:val="21"/>
          <w:szCs w:val="21"/>
        </w:rPr>
      </w:pPr>
      <w:bookmarkStart w:id="138" w:name="chapter_level1_14_63_section_2"/>
      <w:bookmarkEnd w:id="138"/>
      <w:r>
        <w:rPr>
          <w:rStyle w:val="12"/>
          <w:rFonts w:hint="eastAsia"/>
          <w:sz w:val="21"/>
          <w:szCs w:val="21"/>
        </w:rPr>
        <w:t>五、估值程序</w:t>
      </w:r>
    </w:p>
    <w:p w14:paraId="4731718E">
      <w:pPr>
        <w:pStyle w:val="8"/>
        <w:spacing w:before="0" w:beforeAutospacing="0" w:after="0" w:afterAutospacing="0" w:line="360" w:lineRule="auto"/>
        <w:ind w:firstLine="420"/>
        <w:rPr>
          <w:sz w:val="21"/>
          <w:szCs w:val="21"/>
        </w:rPr>
      </w:pPr>
      <w:r>
        <w:rPr>
          <w:rFonts w:hint="eastAsia"/>
          <w:sz w:val="21"/>
          <w:szCs w:val="21"/>
        </w:rPr>
        <w:t>1、各类基金份额净值是按照每个工作日闭市后，各类基金资产净值除以当日该类基金份额的余额数量计算，均精确到</w:t>
      </w:r>
      <w:bookmarkStart w:id="139" w:name="field_63_netdecimalvalue_1"/>
      <w:r>
        <w:rPr>
          <w:sz w:val="21"/>
          <w:szCs w:val="21"/>
        </w:rPr>
        <w:t>0.0001</w:t>
      </w:r>
      <w:bookmarkEnd w:id="139"/>
      <w:r>
        <w:rPr>
          <w:rFonts w:hint="eastAsia"/>
          <w:sz w:val="21"/>
          <w:szCs w:val="21"/>
        </w:rPr>
        <w:t>元，小数点后第</w:t>
      </w:r>
      <w:bookmarkStart w:id="140" w:name="field_0_netdecimaladd1_2"/>
      <w:r>
        <w:rPr>
          <w:sz w:val="21"/>
          <w:szCs w:val="21"/>
        </w:rPr>
        <w:t>5</w:t>
      </w:r>
      <w:bookmarkEnd w:id="140"/>
      <w:r>
        <w:rPr>
          <w:rFonts w:hint="eastAsia"/>
          <w:sz w:val="21"/>
          <w:szCs w:val="21"/>
        </w:rPr>
        <w:t xml:space="preserve">位四舍五入，由此产生的收益或损失由基金财产承担。基金管理人可以设立大额赎回情形下的净值精度应急调整机制。国家另有规定的，从其规定。 </w:t>
      </w:r>
    </w:p>
    <w:p w14:paraId="121DE1FD">
      <w:pPr>
        <w:pStyle w:val="8"/>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4751FE7F">
      <w:pPr>
        <w:pStyle w:val="8"/>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1D9F7758">
      <w:pPr>
        <w:pStyle w:val="8"/>
        <w:spacing w:before="0" w:beforeAutospacing="0" w:after="0" w:afterAutospacing="0" w:line="360" w:lineRule="auto"/>
        <w:ind w:firstLine="420"/>
        <w:rPr>
          <w:sz w:val="21"/>
          <w:szCs w:val="21"/>
        </w:rPr>
      </w:pPr>
      <w:r>
        <w:rPr>
          <w:rStyle w:val="12"/>
          <w:rFonts w:hint="eastAsia"/>
          <w:sz w:val="21"/>
          <w:szCs w:val="21"/>
        </w:rPr>
        <w:t>六、估值错误的处理</w:t>
      </w:r>
    </w:p>
    <w:p w14:paraId="493B167D">
      <w:pPr>
        <w:pStyle w:val="8"/>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41" w:name="field_63_netdecimal_2"/>
      <w:r>
        <w:rPr>
          <w:sz w:val="21"/>
          <w:szCs w:val="21"/>
        </w:rPr>
        <w:t>4</w:t>
      </w:r>
      <w:bookmarkEnd w:id="141"/>
      <w:r>
        <w:rPr>
          <w:rFonts w:hint="eastAsia"/>
          <w:sz w:val="21"/>
          <w:szCs w:val="21"/>
        </w:rPr>
        <w:t>位以内(含第</w:t>
      </w:r>
      <w:bookmarkStart w:id="142" w:name="field_63_netdecimal_3"/>
      <w:r>
        <w:rPr>
          <w:sz w:val="21"/>
          <w:szCs w:val="21"/>
        </w:rPr>
        <w:t>4</w:t>
      </w:r>
      <w:bookmarkEnd w:id="142"/>
      <w:r>
        <w:rPr>
          <w:rFonts w:hint="eastAsia"/>
          <w:sz w:val="21"/>
          <w:szCs w:val="21"/>
        </w:rPr>
        <w:t xml:space="preserve">位)发生估值错误时，视为该类基金份额净值错误。 </w:t>
      </w:r>
    </w:p>
    <w:p w14:paraId="6429A0F3">
      <w:pPr>
        <w:pStyle w:val="8"/>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13D9EF5D">
      <w:pPr>
        <w:pStyle w:val="8"/>
        <w:spacing w:before="0" w:beforeAutospacing="0" w:after="0" w:afterAutospacing="0" w:line="360" w:lineRule="auto"/>
        <w:ind w:firstLine="420"/>
        <w:rPr>
          <w:sz w:val="21"/>
          <w:szCs w:val="21"/>
        </w:rPr>
      </w:pPr>
      <w:r>
        <w:rPr>
          <w:rFonts w:hint="eastAsia"/>
          <w:sz w:val="21"/>
          <w:szCs w:val="21"/>
        </w:rPr>
        <w:t xml:space="preserve">1、估值错误类型 </w:t>
      </w:r>
    </w:p>
    <w:p w14:paraId="4A88134D">
      <w:pPr>
        <w:pStyle w:val="8"/>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033A5A61">
      <w:pPr>
        <w:pStyle w:val="8"/>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4861ECD8">
      <w:pPr>
        <w:pStyle w:val="8"/>
        <w:spacing w:before="0" w:beforeAutospacing="0" w:after="0" w:afterAutospacing="0" w:line="360" w:lineRule="auto"/>
        <w:ind w:firstLine="420"/>
        <w:rPr>
          <w:sz w:val="21"/>
          <w:szCs w:val="21"/>
        </w:rPr>
      </w:pPr>
      <w:r>
        <w:rPr>
          <w:rFonts w:hint="eastAsia"/>
          <w:sz w:val="21"/>
          <w:szCs w:val="21"/>
        </w:rPr>
        <w:t xml:space="preserve">2、估值错误处理原则 </w:t>
      </w:r>
    </w:p>
    <w:p w14:paraId="427A3614">
      <w:pPr>
        <w:pStyle w:val="8"/>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1B5DE291">
      <w:pPr>
        <w:pStyle w:val="8"/>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2F711B11">
      <w:pPr>
        <w:pStyle w:val="8"/>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3AB06183">
      <w:pPr>
        <w:pStyle w:val="8"/>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587216A2">
      <w:pPr>
        <w:pStyle w:val="8"/>
        <w:spacing w:before="0" w:beforeAutospacing="0" w:after="0" w:afterAutospacing="0" w:line="360" w:lineRule="auto"/>
        <w:ind w:firstLine="420"/>
        <w:rPr>
          <w:sz w:val="21"/>
          <w:szCs w:val="21"/>
        </w:rPr>
      </w:pPr>
      <w:r>
        <w:rPr>
          <w:rFonts w:hint="eastAsia"/>
          <w:sz w:val="21"/>
          <w:szCs w:val="21"/>
        </w:rPr>
        <w:t xml:space="preserve">3、估值错误处理程序 </w:t>
      </w:r>
    </w:p>
    <w:p w14:paraId="3DF2916D">
      <w:pPr>
        <w:pStyle w:val="8"/>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08FDA662">
      <w:pPr>
        <w:pStyle w:val="8"/>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5F5A244B">
      <w:pPr>
        <w:pStyle w:val="8"/>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6CC6D3A3">
      <w:pPr>
        <w:pStyle w:val="8"/>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477033D1">
      <w:pPr>
        <w:pStyle w:val="8"/>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74F03CFD">
      <w:pPr>
        <w:pStyle w:val="8"/>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661EDB08">
      <w:pPr>
        <w:pStyle w:val="8"/>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6F84631D">
      <w:pPr>
        <w:pStyle w:val="8"/>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4BE0DFAF">
      <w:pPr>
        <w:pStyle w:val="8"/>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14:paraId="06692E92">
      <w:pPr>
        <w:pStyle w:val="8"/>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19075A85">
      <w:pPr>
        <w:pStyle w:val="8"/>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 </w:t>
      </w:r>
    </w:p>
    <w:p w14:paraId="4EE20E00">
      <w:pPr>
        <w:pStyle w:val="8"/>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0A552FC5">
      <w:pPr>
        <w:pStyle w:val="8"/>
        <w:spacing w:before="0" w:beforeAutospacing="0" w:after="0" w:afterAutospacing="0" w:line="360" w:lineRule="auto"/>
        <w:ind w:firstLine="420"/>
        <w:rPr>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14:paraId="2FA494E7">
      <w:pPr>
        <w:pStyle w:val="8"/>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474BBB76">
      <w:pPr>
        <w:pStyle w:val="8"/>
        <w:spacing w:before="0" w:beforeAutospacing="0" w:after="0" w:afterAutospacing="0" w:line="360" w:lineRule="auto"/>
        <w:ind w:firstLine="420"/>
        <w:rPr>
          <w:sz w:val="21"/>
          <w:szCs w:val="21"/>
        </w:rPr>
      </w:pPr>
      <w:r>
        <w:rPr>
          <w:rStyle w:val="12"/>
          <w:rFonts w:hint="eastAsia"/>
          <w:sz w:val="21"/>
          <w:szCs w:val="21"/>
        </w:rPr>
        <w:t>七、暂停估值的情形</w:t>
      </w:r>
    </w:p>
    <w:p w14:paraId="2583ABE8">
      <w:pPr>
        <w:pStyle w:val="8"/>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6FBC2641">
      <w:pPr>
        <w:pStyle w:val="8"/>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0F771165">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78ADFBA8">
      <w:pPr>
        <w:pStyle w:val="8"/>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50B4583A">
      <w:pPr>
        <w:pStyle w:val="8"/>
        <w:spacing w:before="0" w:beforeAutospacing="0" w:after="0" w:afterAutospacing="0" w:line="360" w:lineRule="auto"/>
        <w:ind w:firstLine="420"/>
        <w:rPr>
          <w:sz w:val="21"/>
          <w:szCs w:val="21"/>
        </w:rPr>
      </w:pPr>
      <w:r>
        <w:rPr>
          <w:rStyle w:val="12"/>
          <w:rFonts w:hint="eastAsia"/>
          <w:sz w:val="21"/>
          <w:szCs w:val="21"/>
        </w:rPr>
        <w:t>八、基金净值的确认</w:t>
      </w:r>
    </w:p>
    <w:p w14:paraId="78C84529">
      <w:pPr>
        <w:pStyle w:val="8"/>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32A909F6">
      <w:pPr>
        <w:pStyle w:val="8"/>
        <w:spacing w:before="0" w:beforeAutospacing="0" w:after="0" w:afterAutospacing="0" w:line="360" w:lineRule="auto"/>
        <w:ind w:firstLine="420"/>
        <w:rPr>
          <w:sz w:val="21"/>
          <w:szCs w:val="21"/>
        </w:rPr>
      </w:pPr>
      <w:r>
        <w:rPr>
          <w:rStyle w:val="12"/>
          <w:rFonts w:hint="eastAsia"/>
          <w:sz w:val="21"/>
          <w:szCs w:val="21"/>
        </w:rPr>
        <w:t>九、特殊情况的处理</w:t>
      </w:r>
    </w:p>
    <w:p w14:paraId="7EE0251C">
      <w:pPr>
        <w:pStyle w:val="8"/>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1、基金管理人或基金托管人按估值方法的第12项进行估值时，所造成的误差不作为基金资产估值错误处理。 </w:t>
      </w:r>
    </w:p>
    <w:p w14:paraId="009F2A4D">
      <w:pPr>
        <w:pStyle w:val="8"/>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58C84DCB">
      <w:pPr>
        <w:pStyle w:val="8"/>
        <w:spacing w:before="0" w:beforeAutospacing="0" w:after="0" w:afterAutospacing="0" w:line="360" w:lineRule="auto"/>
        <w:ind w:firstLine="420"/>
        <w:rPr>
          <w:sz w:val="21"/>
          <w:szCs w:val="21"/>
        </w:rPr>
      </w:pPr>
      <w:r>
        <w:rPr>
          <w:rStyle w:val="12"/>
          <w:rFonts w:hint="eastAsia"/>
          <w:sz w:val="21"/>
          <w:szCs w:val="21"/>
        </w:rPr>
        <w:t>十、实施侧袋机制期间的基金资产估值</w:t>
      </w:r>
    </w:p>
    <w:p w14:paraId="5B9BEC79">
      <w:pPr>
        <w:pStyle w:val="8"/>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43" w:name="chapter_level1_14_63_section_2_end"/>
      <w:bookmarkEnd w:id="143"/>
      <w:r>
        <w:rPr>
          <w:rFonts w:hint="eastAsia"/>
          <w:sz w:val="21"/>
          <w:szCs w:val="21"/>
        </w:rPr>
        <w:t xml:space="preserve">的基金净值信息，暂停披露侧袋账户基金净值信息。 </w:t>
      </w:r>
    </w:p>
    <w:p w14:paraId="2B2412CA">
      <w:pPr>
        <w:widowControl/>
        <w:jc w:val="left"/>
        <w:rPr>
          <w:rFonts w:ascii="宋体" w:hAnsi="宋体" w:eastAsia="宋体"/>
        </w:rPr>
      </w:pPr>
      <w:r>
        <w:rPr>
          <w:rFonts w:ascii="宋体" w:hAnsi="宋体" w:eastAsia="宋体"/>
        </w:rPr>
        <w:br w:type="page"/>
      </w:r>
    </w:p>
    <w:p w14:paraId="067D8A7E">
      <w:pPr>
        <w:pStyle w:val="3"/>
        <w:jc w:val="center"/>
        <w:rPr>
          <w:rFonts w:ascii="宋体" w:hAnsi="宋体" w:eastAsia="宋体"/>
          <w:sz w:val="30"/>
        </w:rPr>
      </w:pPr>
      <w:bookmarkStart w:id="144" w:name="_Toc213857126"/>
      <w:bookmarkStart w:id="145" w:name="chapter_level1_15_64"/>
      <w:r>
        <w:rPr>
          <w:rFonts w:hint="eastAsia" w:ascii="宋体" w:hAnsi="宋体" w:eastAsia="宋体"/>
          <w:sz w:val="30"/>
        </w:rPr>
        <w:t>第十二部分  基金的收益与分配</w:t>
      </w:r>
      <w:bookmarkEnd w:id="144"/>
      <w:bookmarkEnd w:id="145"/>
    </w:p>
    <w:p w14:paraId="7D9D40DF">
      <w:pPr>
        <w:pStyle w:val="8"/>
        <w:spacing w:before="0" w:beforeAutospacing="0" w:after="0" w:afterAutospacing="0" w:line="360" w:lineRule="auto"/>
        <w:ind w:firstLine="420"/>
        <w:rPr>
          <w:sz w:val="21"/>
          <w:szCs w:val="21"/>
        </w:rPr>
      </w:pPr>
      <w:bookmarkStart w:id="146" w:name="chapter_level1_15_64_section_1"/>
      <w:bookmarkEnd w:id="146"/>
      <w:r>
        <w:rPr>
          <w:rStyle w:val="12"/>
          <w:rFonts w:hint="eastAsia"/>
          <w:sz w:val="21"/>
          <w:szCs w:val="21"/>
        </w:rPr>
        <w:t>一、基金利润的构成</w:t>
      </w:r>
    </w:p>
    <w:p w14:paraId="2FB87BCE">
      <w:pPr>
        <w:pStyle w:val="8"/>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4C8CFC5B">
      <w:pPr>
        <w:pStyle w:val="8"/>
        <w:spacing w:before="0" w:beforeAutospacing="0" w:after="0" w:afterAutospacing="0" w:line="360" w:lineRule="auto"/>
        <w:ind w:firstLine="420"/>
        <w:rPr>
          <w:sz w:val="21"/>
          <w:szCs w:val="21"/>
        </w:rPr>
      </w:pPr>
      <w:r>
        <w:rPr>
          <w:rStyle w:val="12"/>
          <w:rFonts w:hint="eastAsia"/>
          <w:sz w:val="21"/>
          <w:szCs w:val="21"/>
        </w:rPr>
        <w:t>二、基金可供分配利润</w:t>
      </w:r>
    </w:p>
    <w:p w14:paraId="13BE7F47">
      <w:pPr>
        <w:pStyle w:val="8"/>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2C3F8B26">
      <w:pPr>
        <w:pStyle w:val="8"/>
        <w:spacing w:before="0" w:beforeAutospacing="0" w:after="0" w:afterAutospacing="0" w:line="360" w:lineRule="auto"/>
        <w:ind w:firstLine="420"/>
        <w:rPr>
          <w:sz w:val="21"/>
          <w:szCs w:val="21"/>
        </w:rPr>
      </w:pPr>
      <w:r>
        <w:rPr>
          <w:rStyle w:val="12"/>
          <w:rFonts w:hint="eastAsia"/>
          <w:sz w:val="21"/>
          <w:szCs w:val="21"/>
        </w:rPr>
        <w:t>三、基金收益分配原则</w:t>
      </w:r>
    </w:p>
    <w:p w14:paraId="4C3EA32A">
      <w:pPr>
        <w:pStyle w:val="8"/>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70618DCB">
      <w:pPr>
        <w:pStyle w:val="8"/>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6F2D35F9">
      <w:pPr>
        <w:pStyle w:val="8"/>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3、由于本基金A类基金份额不收取销售服务费，而C类基金份额收取销售服务费，各基金份额类别对应的可供分配利润将有所不同，本基金同一类别的每一基金份额享有同等分配权； </w:t>
      </w:r>
    </w:p>
    <w:p w14:paraId="2B7FBC33">
      <w:pPr>
        <w:pStyle w:val="8"/>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6976C29C">
      <w:pPr>
        <w:pStyle w:val="8"/>
        <w:spacing w:before="0" w:beforeAutospacing="0" w:after="0" w:afterAutospacing="0" w:line="360" w:lineRule="auto"/>
        <w:ind w:firstLine="420"/>
        <w:rPr>
          <w:sz w:val="21"/>
          <w:szCs w:val="21"/>
        </w:rPr>
      </w:pPr>
      <w:r>
        <w:rPr>
          <w:rFonts w:hint="eastAsia"/>
          <w:sz w:val="21"/>
          <w:szCs w:val="21"/>
        </w:rPr>
        <w:t xml:space="preserve">在不违反法律法规及基金合同约定，并对基金份额持有人利益无实质不利影响的前提下，基金管理人与基金托管人协商一致后可对基金收益分配原则和支付方式进行调整，不需召开基金份额持有人大会。 </w:t>
      </w:r>
    </w:p>
    <w:p w14:paraId="3DDC546F">
      <w:pPr>
        <w:pStyle w:val="8"/>
        <w:spacing w:before="0" w:beforeAutospacing="0" w:after="0" w:afterAutospacing="0" w:line="360" w:lineRule="auto"/>
        <w:ind w:firstLine="420"/>
        <w:rPr>
          <w:sz w:val="21"/>
          <w:szCs w:val="21"/>
        </w:rPr>
      </w:pPr>
      <w:r>
        <w:rPr>
          <w:rStyle w:val="12"/>
          <w:rFonts w:hint="eastAsia"/>
          <w:sz w:val="21"/>
          <w:szCs w:val="21"/>
        </w:rPr>
        <w:t>四、收益分配方案</w:t>
      </w:r>
    </w:p>
    <w:p w14:paraId="59BBF0B9">
      <w:pPr>
        <w:pStyle w:val="8"/>
        <w:spacing w:before="0" w:beforeAutospacing="0" w:after="0" w:afterAutospacing="0" w:line="360" w:lineRule="auto"/>
        <w:ind w:firstLine="420"/>
        <w:rPr>
          <w:sz w:val="21"/>
          <w:szCs w:val="21"/>
        </w:rPr>
      </w:pPr>
      <w:r>
        <w:rPr>
          <w:rFonts w:hint="eastAsia"/>
          <w:sz w:val="21"/>
          <w:szCs w:val="21"/>
        </w:rPr>
        <w:t xml:space="preserve">基金收益分配方案中应载明截至收益分配基准日的可供分配利润、基金收益分配对象、分配时间、分配数额及比例、分配方式等内容。 </w:t>
      </w:r>
    </w:p>
    <w:p w14:paraId="7D164B5E">
      <w:pPr>
        <w:pStyle w:val="8"/>
        <w:spacing w:before="0" w:beforeAutospacing="0" w:after="0" w:afterAutospacing="0" w:line="360" w:lineRule="auto"/>
        <w:ind w:firstLine="420"/>
        <w:rPr>
          <w:sz w:val="21"/>
          <w:szCs w:val="21"/>
        </w:rPr>
      </w:pPr>
      <w:r>
        <w:rPr>
          <w:rStyle w:val="12"/>
          <w:rFonts w:hint="eastAsia"/>
          <w:sz w:val="21"/>
          <w:szCs w:val="21"/>
        </w:rPr>
        <w:t>五、收益分配方案的确定、公告与实施</w:t>
      </w:r>
    </w:p>
    <w:p w14:paraId="36586C1C">
      <w:pPr>
        <w:pStyle w:val="8"/>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本基金收益分配方案由基金管理人拟定，并由基金托管人复核，按规定在规定媒介公告。 </w:t>
      </w:r>
    </w:p>
    <w:p w14:paraId="65632E03">
      <w:pPr>
        <w:pStyle w:val="8"/>
        <w:spacing w:before="0" w:beforeAutospacing="0" w:after="0" w:afterAutospacing="0" w:line="360" w:lineRule="auto"/>
        <w:ind w:firstLine="420"/>
        <w:rPr>
          <w:sz w:val="21"/>
          <w:szCs w:val="21"/>
        </w:rPr>
      </w:pPr>
      <w:r>
        <w:rPr>
          <w:rStyle w:val="12"/>
          <w:rFonts w:hint="eastAsia"/>
          <w:sz w:val="21"/>
          <w:szCs w:val="21"/>
        </w:rPr>
        <w:t>六、基金收益分配中发生的费用</w:t>
      </w:r>
    </w:p>
    <w:p w14:paraId="06E3EFBC">
      <w:pPr>
        <w:pStyle w:val="8"/>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14:paraId="5EC4409B">
      <w:pPr>
        <w:pStyle w:val="8"/>
        <w:spacing w:before="0" w:beforeAutospacing="0" w:after="0" w:afterAutospacing="0" w:line="360" w:lineRule="auto"/>
        <w:ind w:firstLine="420"/>
        <w:rPr>
          <w:sz w:val="21"/>
          <w:szCs w:val="21"/>
        </w:rPr>
      </w:pPr>
      <w:r>
        <w:rPr>
          <w:rStyle w:val="12"/>
          <w:rFonts w:hint="eastAsia"/>
          <w:sz w:val="21"/>
          <w:szCs w:val="21"/>
        </w:rPr>
        <w:t>七、实施侧袋机制期间的收益分配</w:t>
      </w:r>
    </w:p>
    <w:p w14:paraId="0FFB7C6C">
      <w:pPr>
        <w:pStyle w:val="8"/>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47" w:name="chapter_level1_15_64_section_1_end"/>
      <w:bookmarkEnd w:id="147"/>
      <w:r>
        <w:rPr>
          <w:rFonts w:hint="eastAsia"/>
          <w:sz w:val="21"/>
          <w:szCs w:val="21"/>
        </w:rPr>
        <w:t xml:space="preserve">节的规定。 </w:t>
      </w:r>
    </w:p>
    <w:p w14:paraId="531BF3AA">
      <w:pPr>
        <w:widowControl/>
        <w:jc w:val="left"/>
        <w:rPr>
          <w:rFonts w:ascii="宋体" w:hAnsi="宋体" w:eastAsia="宋体"/>
        </w:rPr>
      </w:pPr>
      <w:r>
        <w:rPr>
          <w:rFonts w:ascii="宋体" w:hAnsi="宋体" w:eastAsia="宋体"/>
        </w:rPr>
        <w:br w:type="page"/>
      </w:r>
    </w:p>
    <w:p w14:paraId="06321F1F">
      <w:pPr>
        <w:pStyle w:val="3"/>
        <w:jc w:val="center"/>
        <w:rPr>
          <w:rFonts w:ascii="宋体" w:hAnsi="宋体" w:eastAsia="宋体"/>
          <w:sz w:val="30"/>
        </w:rPr>
      </w:pPr>
      <w:bookmarkStart w:id="148" w:name="chapter_level1_16_65"/>
      <w:bookmarkStart w:id="149" w:name="_Toc213857127"/>
      <w:r>
        <w:rPr>
          <w:rFonts w:hint="eastAsia" w:ascii="宋体" w:hAnsi="宋体" w:eastAsia="宋体"/>
          <w:sz w:val="30"/>
        </w:rPr>
        <w:t>第十三部分  基金的费用与税收</w:t>
      </w:r>
      <w:bookmarkEnd w:id="148"/>
      <w:bookmarkEnd w:id="149"/>
    </w:p>
    <w:p w14:paraId="2D167F3A">
      <w:pPr>
        <w:pStyle w:val="8"/>
        <w:spacing w:before="0" w:beforeAutospacing="0" w:after="0" w:afterAutospacing="0" w:line="360" w:lineRule="auto"/>
        <w:ind w:firstLine="420"/>
        <w:rPr>
          <w:sz w:val="21"/>
          <w:szCs w:val="21"/>
        </w:rPr>
      </w:pPr>
      <w:bookmarkStart w:id="150" w:name="chapter_level1_16_65_section_1"/>
      <w:bookmarkEnd w:id="150"/>
      <w:r>
        <w:rPr>
          <w:rStyle w:val="12"/>
          <w:rFonts w:hint="eastAsia"/>
          <w:sz w:val="21"/>
          <w:szCs w:val="21"/>
        </w:rPr>
        <w:t>一、基金费用的种类</w:t>
      </w:r>
    </w:p>
    <w:p w14:paraId="5A0E9CDB">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23453946">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6AA4FE3D">
      <w:pPr>
        <w:pStyle w:val="8"/>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6129B0E5">
      <w:pPr>
        <w:pStyle w:val="8"/>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568555E6">
      <w:pPr>
        <w:pStyle w:val="8"/>
        <w:spacing w:before="0" w:beforeAutospacing="0" w:after="0" w:afterAutospacing="0" w:line="360" w:lineRule="auto"/>
        <w:ind w:firstLine="420"/>
        <w:rPr>
          <w:sz w:val="21"/>
          <w:szCs w:val="21"/>
        </w:rPr>
      </w:pPr>
      <w:r>
        <w:rPr>
          <w:rFonts w:hint="eastAsia"/>
          <w:sz w:val="21"/>
          <w:szCs w:val="21"/>
        </w:rPr>
        <w:t xml:space="preserve">5、《基金合同》生效后与基金相关的会计师费、公证费、律师费、诉讼费和仲裁费； </w:t>
      </w:r>
    </w:p>
    <w:p w14:paraId="675F23D9">
      <w:pPr>
        <w:pStyle w:val="8"/>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75842085">
      <w:pPr>
        <w:pStyle w:val="8"/>
        <w:spacing w:before="0" w:beforeAutospacing="0" w:after="0" w:afterAutospacing="0" w:line="360" w:lineRule="auto"/>
        <w:ind w:firstLine="420"/>
        <w:rPr>
          <w:sz w:val="21"/>
          <w:szCs w:val="21"/>
        </w:rPr>
      </w:pPr>
      <w:r>
        <w:rPr>
          <w:rFonts w:hint="eastAsia"/>
          <w:sz w:val="21"/>
          <w:szCs w:val="21"/>
        </w:rPr>
        <w:t xml:space="preserve">7、基金的证券、期货、股票期权交易费用； </w:t>
      </w:r>
    </w:p>
    <w:p w14:paraId="68C63D99">
      <w:pPr>
        <w:pStyle w:val="8"/>
        <w:spacing w:before="0" w:beforeAutospacing="0" w:after="0" w:afterAutospacing="0" w:line="360" w:lineRule="auto"/>
        <w:ind w:firstLine="420"/>
        <w:rPr>
          <w:sz w:val="21"/>
          <w:szCs w:val="21"/>
        </w:rPr>
      </w:pPr>
      <w:r>
        <w:rPr>
          <w:rFonts w:hint="eastAsia"/>
          <w:sz w:val="21"/>
          <w:szCs w:val="21"/>
        </w:rPr>
        <w:t xml:space="preserve">8、基金的银行汇划费用； </w:t>
      </w:r>
    </w:p>
    <w:p w14:paraId="72A0F631">
      <w:pPr>
        <w:pStyle w:val="8"/>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0BAA147A">
      <w:pPr>
        <w:pStyle w:val="8"/>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14:paraId="74C2BE78">
      <w:pPr>
        <w:pStyle w:val="8"/>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14:paraId="258299C0">
      <w:pPr>
        <w:pStyle w:val="8"/>
        <w:spacing w:before="0" w:beforeAutospacing="0" w:after="0" w:afterAutospacing="0" w:line="360" w:lineRule="auto"/>
        <w:ind w:firstLine="420"/>
        <w:rPr>
          <w:sz w:val="21"/>
          <w:szCs w:val="21"/>
        </w:rPr>
      </w:pPr>
      <w:r>
        <w:rPr>
          <w:rStyle w:val="12"/>
          <w:rFonts w:hint="eastAsia"/>
          <w:sz w:val="21"/>
          <w:szCs w:val="21"/>
        </w:rPr>
        <w:t>二、基金费用计提方法、计提标准和支付方式</w:t>
      </w:r>
    </w:p>
    <w:p w14:paraId="4AF5A977">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37BF8DDC">
      <w:pPr>
        <w:pStyle w:val="8"/>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51" w:name="field_0_managementrate_1"/>
      <w:r>
        <w:rPr>
          <w:sz w:val="21"/>
          <w:szCs w:val="21"/>
        </w:rPr>
        <w:t>1.20</w:t>
      </w:r>
      <w:bookmarkEnd w:id="151"/>
      <w:r>
        <w:rPr>
          <w:rFonts w:hint="eastAsia"/>
          <w:sz w:val="21"/>
          <w:szCs w:val="21"/>
        </w:rPr>
        <w:t xml:space="preserve">%年费率计提。管理费的计算方法如下： </w:t>
      </w:r>
    </w:p>
    <w:p w14:paraId="3B0021A9">
      <w:pPr>
        <w:pStyle w:val="8"/>
        <w:spacing w:before="0" w:beforeAutospacing="0" w:after="0" w:afterAutospacing="0" w:line="360" w:lineRule="auto"/>
        <w:ind w:firstLine="420"/>
        <w:rPr>
          <w:sz w:val="21"/>
          <w:szCs w:val="21"/>
        </w:rPr>
      </w:pPr>
      <w:r>
        <w:rPr>
          <w:rFonts w:hint="eastAsia"/>
          <w:sz w:val="21"/>
          <w:szCs w:val="21"/>
        </w:rPr>
        <w:t>H＝E×</w:t>
      </w:r>
      <w:bookmarkStart w:id="152" w:name="field_0_managementrate_2"/>
      <w:r>
        <w:rPr>
          <w:sz w:val="21"/>
          <w:szCs w:val="21"/>
        </w:rPr>
        <w:t>1.20</w:t>
      </w:r>
      <w:bookmarkEnd w:id="152"/>
      <w:r>
        <w:rPr>
          <w:rFonts w:hint="eastAsia"/>
          <w:sz w:val="21"/>
          <w:szCs w:val="21"/>
        </w:rPr>
        <w:t xml:space="preserve">%÷当年天数 </w:t>
      </w:r>
    </w:p>
    <w:p w14:paraId="7404896E">
      <w:pPr>
        <w:pStyle w:val="8"/>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14BB0ECB">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41F5C292">
      <w:pPr>
        <w:pStyle w:val="8"/>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基金托管人根据与基金管理人核对一致的财务数据，按照协商一致的方式于次月月初5个工作日内从基金财产中一次性支付给基金管理人。若遇法定节假日、公休日等，支付日期顺延。 </w:t>
      </w:r>
    </w:p>
    <w:p w14:paraId="1D6F41C7">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521086E6">
      <w:pPr>
        <w:pStyle w:val="8"/>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53" w:name="field_0_trusteerate_1"/>
      <w:r>
        <w:rPr>
          <w:sz w:val="21"/>
          <w:szCs w:val="21"/>
        </w:rPr>
        <w:t>0.20</w:t>
      </w:r>
      <w:bookmarkEnd w:id="153"/>
      <w:r>
        <w:rPr>
          <w:rFonts w:hint="eastAsia"/>
          <w:sz w:val="21"/>
          <w:szCs w:val="21"/>
        </w:rPr>
        <w:t xml:space="preserve">%年费率计提。托管费的计算方法如下： </w:t>
      </w:r>
    </w:p>
    <w:p w14:paraId="74DC9577">
      <w:pPr>
        <w:pStyle w:val="8"/>
        <w:spacing w:before="0" w:beforeAutospacing="0" w:after="0" w:afterAutospacing="0" w:line="360" w:lineRule="auto"/>
        <w:ind w:firstLine="420"/>
        <w:rPr>
          <w:sz w:val="21"/>
          <w:szCs w:val="21"/>
        </w:rPr>
      </w:pPr>
      <w:r>
        <w:rPr>
          <w:rFonts w:hint="eastAsia"/>
          <w:sz w:val="21"/>
          <w:szCs w:val="21"/>
        </w:rPr>
        <w:t>H＝E×</w:t>
      </w:r>
      <w:bookmarkStart w:id="154" w:name="field_0_trusteerate_2"/>
      <w:r>
        <w:rPr>
          <w:sz w:val="21"/>
          <w:szCs w:val="21"/>
        </w:rPr>
        <w:t>0.20</w:t>
      </w:r>
      <w:bookmarkEnd w:id="154"/>
      <w:r>
        <w:rPr>
          <w:rFonts w:hint="eastAsia"/>
          <w:sz w:val="21"/>
          <w:szCs w:val="21"/>
        </w:rPr>
        <w:t xml:space="preserve">%÷当年天数 </w:t>
      </w:r>
    </w:p>
    <w:p w14:paraId="6CDF2469">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57D9EE5A">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1EA8D80C">
      <w:pPr>
        <w:pStyle w:val="8"/>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基金托管人根据与基金管理人核对一致的财务数据，按照协商一致的方式于次月月初5个工作日内从基金财产中一次性支取。若遇法定节假日、公休日等，支付日期顺延。 </w:t>
      </w:r>
    </w:p>
    <w:p w14:paraId="12A8589B">
      <w:pPr>
        <w:pStyle w:val="8"/>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5657FE57">
      <w:pPr>
        <w:pStyle w:val="8"/>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本基金A类基金份额不收取销售服务费，C类基金份额的销售服务费按前一日C类基金份额基金资产净值的0.60%年费率计提。计算方法如下： </w:t>
      </w:r>
    </w:p>
    <w:p w14:paraId="31C8723E">
      <w:pPr>
        <w:pStyle w:val="8"/>
        <w:spacing w:before="0" w:beforeAutospacing="0" w:after="0" w:afterAutospacing="0" w:line="360" w:lineRule="auto"/>
        <w:ind w:firstLine="420"/>
        <w:rPr>
          <w:sz w:val="21"/>
          <w:szCs w:val="21"/>
        </w:rPr>
      </w:pPr>
      <w:r>
        <w:rPr>
          <w:rFonts w:hint="eastAsia"/>
          <w:sz w:val="21"/>
          <w:szCs w:val="21"/>
        </w:rPr>
        <w:t xml:space="preserve">H＝E×0.60%÷当年天数 </w:t>
      </w:r>
    </w:p>
    <w:p w14:paraId="67BC468A">
      <w:pPr>
        <w:pStyle w:val="8"/>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4B5E9C48">
      <w:pPr>
        <w:pStyle w:val="8"/>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14:paraId="4AA508EC">
      <w:pPr>
        <w:pStyle w:val="8"/>
        <w:spacing w:before="0" w:beforeAutospacing="0" w:after="0" w:afterAutospacing="0" w:line="360" w:lineRule="auto"/>
        <w:ind w:firstLine="420"/>
        <w:rPr>
          <w:sz w:val="21"/>
          <w:szCs w:val="21"/>
        </w:rPr>
      </w:pPr>
      <w:r>
        <w:rPr>
          <w:rFonts w:hint="eastAsia"/>
          <w:sz w:val="21"/>
          <w:szCs w:val="21"/>
        </w:rPr>
        <w:t xml:space="preserve">基金销售服务费每日计算，逐日累计至每月月末，按月支付。基金托管人根据与基金管理人核对一致的财务数据，按照协商一致的方式于次月月初5个工作日内从基金财产中一次性划出，由登记机构代收，登记机构收到后按相关合同规定支付给基金销售机构等。若遇法定节假日、公休日等，支付日期顺延。 </w:t>
      </w:r>
    </w:p>
    <w:p w14:paraId="1DFBE415">
      <w:pPr>
        <w:pStyle w:val="8"/>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1C8B3486">
      <w:pPr>
        <w:pStyle w:val="8"/>
        <w:spacing w:before="0" w:beforeAutospacing="0" w:after="0" w:afterAutospacing="0" w:line="360" w:lineRule="auto"/>
        <w:ind w:firstLine="420"/>
        <w:rPr>
          <w:sz w:val="21"/>
          <w:szCs w:val="21"/>
        </w:rPr>
      </w:pPr>
      <w:r>
        <w:rPr>
          <w:rStyle w:val="12"/>
          <w:rFonts w:hint="eastAsia"/>
          <w:sz w:val="21"/>
          <w:szCs w:val="21"/>
        </w:rPr>
        <w:t>三、不列入基金费用的项目</w:t>
      </w:r>
    </w:p>
    <w:p w14:paraId="336D4F2E">
      <w:pPr>
        <w:pStyle w:val="8"/>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355F63DF">
      <w:pPr>
        <w:pStyle w:val="8"/>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6824CE08">
      <w:pPr>
        <w:pStyle w:val="8"/>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5CCA569E">
      <w:pPr>
        <w:pStyle w:val="8"/>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25BFB1CB">
      <w:pPr>
        <w:pStyle w:val="8"/>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08B5EAF9">
      <w:pPr>
        <w:pStyle w:val="8"/>
        <w:spacing w:before="0" w:beforeAutospacing="0" w:after="0" w:afterAutospacing="0" w:line="360" w:lineRule="auto"/>
        <w:ind w:firstLine="420"/>
        <w:rPr>
          <w:sz w:val="21"/>
          <w:szCs w:val="21"/>
        </w:rPr>
      </w:pPr>
      <w:r>
        <w:rPr>
          <w:rStyle w:val="12"/>
          <w:rFonts w:hint="eastAsia"/>
          <w:sz w:val="21"/>
          <w:szCs w:val="21"/>
        </w:rPr>
        <w:t>四、实施侧袋机制期间的基金费用</w:t>
      </w:r>
    </w:p>
    <w:p w14:paraId="3173E30A">
      <w:pPr>
        <w:pStyle w:val="8"/>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本基金实施侧袋机制的，与侧袋账户有关的费用可以从侧袋账户中列支，但应待侧袋账户资产变现后方可列支，有关费用可酌情收取或减免，但不得收取基金管理费，详见本招募说明书“侧袋机制”章节的规定。 </w:t>
      </w:r>
    </w:p>
    <w:p w14:paraId="22C7240C">
      <w:pPr>
        <w:pStyle w:val="8"/>
        <w:spacing w:before="0" w:beforeAutospacing="0" w:after="0" w:afterAutospacing="0" w:line="360" w:lineRule="auto"/>
        <w:ind w:firstLine="420"/>
        <w:rPr>
          <w:sz w:val="21"/>
          <w:szCs w:val="21"/>
        </w:rPr>
      </w:pPr>
      <w:r>
        <w:rPr>
          <w:rStyle w:val="12"/>
          <w:rFonts w:hint="eastAsia"/>
          <w:sz w:val="21"/>
          <w:szCs w:val="21"/>
        </w:rPr>
        <w:t>五、基金税收</w:t>
      </w:r>
    </w:p>
    <w:p w14:paraId="44063867">
      <w:pPr>
        <w:pStyle w:val="8"/>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55" w:name="chapter_level1_16_65_section_1_end"/>
      <w:bookmarkEnd w:id="155"/>
      <w:r>
        <w:rPr>
          <w:rFonts w:hint="eastAsia"/>
          <w:sz w:val="21"/>
          <w:szCs w:val="21"/>
        </w:rPr>
        <w:t xml:space="preserve">税收征收的规定代扣代缴。 </w:t>
      </w:r>
    </w:p>
    <w:p w14:paraId="0AA3BB8B">
      <w:pPr>
        <w:widowControl/>
        <w:jc w:val="left"/>
        <w:rPr>
          <w:rFonts w:ascii="宋体" w:hAnsi="宋体" w:eastAsia="宋体"/>
        </w:rPr>
      </w:pPr>
      <w:r>
        <w:rPr>
          <w:rFonts w:ascii="宋体" w:hAnsi="宋体" w:eastAsia="宋体"/>
        </w:rPr>
        <w:br w:type="page"/>
      </w:r>
    </w:p>
    <w:p w14:paraId="37E3A47E">
      <w:pPr>
        <w:pStyle w:val="3"/>
        <w:jc w:val="center"/>
        <w:rPr>
          <w:rFonts w:ascii="宋体" w:hAnsi="宋体" w:eastAsia="宋体"/>
          <w:sz w:val="30"/>
        </w:rPr>
      </w:pPr>
      <w:bookmarkStart w:id="156" w:name="_Toc213857128"/>
      <w:bookmarkStart w:id="157" w:name="chapter_level1_17_66"/>
      <w:r>
        <w:rPr>
          <w:rFonts w:hint="eastAsia" w:ascii="宋体" w:hAnsi="宋体" w:eastAsia="宋体"/>
          <w:sz w:val="30"/>
        </w:rPr>
        <w:t>第十四部分  基金的会计与审计</w:t>
      </w:r>
      <w:bookmarkEnd w:id="156"/>
      <w:bookmarkEnd w:id="157"/>
    </w:p>
    <w:p w14:paraId="6466BD89">
      <w:pPr>
        <w:pStyle w:val="8"/>
        <w:spacing w:before="0" w:beforeAutospacing="0" w:after="0" w:afterAutospacing="0" w:line="360" w:lineRule="auto"/>
        <w:ind w:firstLine="420"/>
        <w:rPr>
          <w:sz w:val="21"/>
          <w:szCs w:val="21"/>
        </w:rPr>
      </w:pPr>
      <w:bookmarkStart w:id="158" w:name="chapter_level1_17_66_section_1"/>
      <w:bookmarkEnd w:id="158"/>
      <w:r>
        <w:rPr>
          <w:rStyle w:val="12"/>
          <w:rFonts w:hint="eastAsia"/>
          <w:sz w:val="21"/>
          <w:szCs w:val="21"/>
        </w:rPr>
        <w:t>一、基金会计政策</w:t>
      </w:r>
    </w:p>
    <w:p w14:paraId="0345B516">
      <w:pPr>
        <w:pStyle w:val="8"/>
        <w:spacing w:before="0" w:beforeAutospacing="0" w:after="0" w:afterAutospacing="0" w:line="360" w:lineRule="auto"/>
        <w:ind w:firstLine="420"/>
        <w:rPr>
          <w:sz w:val="21"/>
          <w:szCs w:val="21"/>
        </w:rPr>
      </w:pPr>
      <w:r>
        <w:rPr>
          <w:rFonts w:hint="eastAsia"/>
          <w:sz w:val="21"/>
          <w:szCs w:val="21"/>
        </w:rPr>
        <w:t>1、基金管理人为本基金的基金会计责任方；</w:t>
      </w:r>
    </w:p>
    <w:p w14:paraId="6DE5A6CD">
      <w:pPr>
        <w:pStyle w:val="8"/>
        <w:spacing w:before="0" w:beforeAutospacing="0" w:after="0" w:afterAutospacing="0" w:line="360" w:lineRule="auto"/>
        <w:ind w:firstLine="420"/>
        <w:rPr>
          <w:sz w:val="21"/>
          <w:szCs w:val="21"/>
        </w:rPr>
      </w:pPr>
      <w:r>
        <w:rPr>
          <w:rFonts w:hint="eastAsia"/>
          <w:sz w:val="21"/>
          <w:szCs w:val="21"/>
        </w:rPr>
        <w:t>2、基金的会计年度为公历年度的1月1日至12月31日；基金首次募集的会计年度按如下原则：如果《基金合同》生效少于2个月，可以并入下一个会计年度披露；</w:t>
      </w:r>
    </w:p>
    <w:p w14:paraId="556FFBAF">
      <w:pPr>
        <w:pStyle w:val="8"/>
        <w:spacing w:before="0" w:beforeAutospacing="0" w:after="0" w:afterAutospacing="0" w:line="360" w:lineRule="auto"/>
        <w:ind w:firstLine="420"/>
        <w:rPr>
          <w:sz w:val="21"/>
          <w:szCs w:val="21"/>
        </w:rPr>
      </w:pPr>
      <w:r>
        <w:rPr>
          <w:rFonts w:hint="eastAsia"/>
          <w:sz w:val="21"/>
          <w:szCs w:val="21"/>
        </w:rPr>
        <w:t>3、基金核算以人民币为记账本位币，以人民币元为记账单位；</w:t>
      </w:r>
    </w:p>
    <w:p w14:paraId="54A85B94">
      <w:pPr>
        <w:pStyle w:val="8"/>
        <w:spacing w:before="0" w:beforeAutospacing="0" w:after="0" w:afterAutospacing="0" w:line="360" w:lineRule="auto"/>
        <w:ind w:firstLine="420"/>
        <w:rPr>
          <w:sz w:val="21"/>
          <w:szCs w:val="21"/>
        </w:rPr>
      </w:pPr>
      <w:r>
        <w:rPr>
          <w:rFonts w:hint="eastAsia"/>
          <w:sz w:val="21"/>
          <w:szCs w:val="21"/>
        </w:rPr>
        <w:t>4、会计制度执行国家有关会计制度；</w:t>
      </w:r>
    </w:p>
    <w:p w14:paraId="66987BB5">
      <w:pPr>
        <w:pStyle w:val="8"/>
        <w:spacing w:before="0" w:beforeAutospacing="0" w:after="0" w:afterAutospacing="0" w:line="360" w:lineRule="auto"/>
        <w:ind w:firstLine="420"/>
        <w:rPr>
          <w:sz w:val="21"/>
          <w:szCs w:val="21"/>
        </w:rPr>
      </w:pPr>
      <w:r>
        <w:rPr>
          <w:rFonts w:hint="eastAsia"/>
          <w:sz w:val="21"/>
          <w:szCs w:val="21"/>
        </w:rPr>
        <w:t>5、本基金独立建账、独立核算；</w:t>
      </w:r>
    </w:p>
    <w:p w14:paraId="4AA198C3">
      <w:pPr>
        <w:pStyle w:val="8"/>
        <w:spacing w:before="0" w:beforeAutospacing="0" w:after="0" w:afterAutospacing="0" w:line="360" w:lineRule="auto"/>
        <w:ind w:firstLine="420"/>
        <w:rPr>
          <w:sz w:val="21"/>
          <w:szCs w:val="21"/>
        </w:rPr>
      </w:pPr>
      <w:r>
        <w:rPr>
          <w:rFonts w:hint="eastAsia"/>
          <w:sz w:val="21"/>
          <w:szCs w:val="21"/>
        </w:rPr>
        <w:t>6、基金管理人及基金托管人各自保留完整的会计账目、凭证并进行日常的会计核算，按照有关规定编制基金会计报表；</w:t>
      </w:r>
    </w:p>
    <w:p w14:paraId="2EEBD7DA">
      <w:pPr>
        <w:pStyle w:val="8"/>
        <w:spacing w:before="0" w:beforeAutospacing="0" w:after="0" w:afterAutospacing="0" w:line="360" w:lineRule="auto"/>
        <w:ind w:firstLine="420"/>
        <w:rPr>
          <w:sz w:val="21"/>
          <w:szCs w:val="21"/>
        </w:rPr>
      </w:pPr>
      <w:r>
        <w:rPr>
          <w:rFonts w:hint="eastAsia"/>
          <w:sz w:val="21"/>
          <w:szCs w:val="21"/>
        </w:rPr>
        <w:t>7、基金托管人每月与基金管理人就基金的会计核算、报表编制等进行核对并以书面方式确认。 </w:t>
      </w:r>
    </w:p>
    <w:p w14:paraId="524F4AEA">
      <w:pPr>
        <w:pStyle w:val="8"/>
        <w:spacing w:before="0" w:beforeAutospacing="0" w:after="0" w:afterAutospacing="0" w:line="360" w:lineRule="auto"/>
        <w:ind w:firstLine="420"/>
        <w:rPr>
          <w:sz w:val="21"/>
          <w:szCs w:val="21"/>
        </w:rPr>
      </w:pPr>
      <w:r>
        <w:rPr>
          <w:rStyle w:val="12"/>
          <w:rFonts w:hint="eastAsia"/>
          <w:sz w:val="21"/>
          <w:szCs w:val="21"/>
        </w:rPr>
        <w:t>二、基金的年度审计</w:t>
      </w:r>
    </w:p>
    <w:p w14:paraId="12EBD55F">
      <w:pPr>
        <w:pStyle w:val="8"/>
        <w:spacing w:before="0" w:beforeAutospacing="0" w:after="0" w:afterAutospacing="0" w:line="360" w:lineRule="auto"/>
        <w:ind w:firstLine="420"/>
        <w:rPr>
          <w:sz w:val="21"/>
          <w:szCs w:val="21"/>
        </w:rPr>
      </w:pPr>
      <w:r>
        <w:rPr>
          <w:rFonts w:hint="eastAsia"/>
          <w:sz w:val="21"/>
          <w:szCs w:val="21"/>
        </w:rPr>
        <w:t>1、基金管理人聘请与基金管理人、基金托管人相互独立且符合《中华人民共和国证券法》规定的会计师事务所及其注册会计师对本基金的年度财务报表进行审计。</w:t>
      </w:r>
    </w:p>
    <w:p w14:paraId="2F5EA376">
      <w:pPr>
        <w:pStyle w:val="8"/>
        <w:spacing w:before="0" w:beforeAutospacing="0" w:after="0" w:afterAutospacing="0" w:line="360" w:lineRule="auto"/>
        <w:ind w:firstLine="420"/>
        <w:rPr>
          <w:sz w:val="21"/>
          <w:szCs w:val="21"/>
        </w:rPr>
      </w:pPr>
      <w:r>
        <w:rPr>
          <w:rFonts w:hint="eastAsia"/>
          <w:sz w:val="21"/>
          <w:szCs w:val="21"/>
        </w:rPr>
        <w:t>2、会计师事务所更换经办注册会计师，应事先征得基金管理人同意。</w:t>
      </w:r>
    </w:p>
    <w:p w14:paraId="6C2551AA">
      <w:pPr>
        <w:pStyle w:val="8"/>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59" w:name="chapter_level1_17_66_section_1_end"/>
      <w:bookmarkEnd w:id="159"/>
      <w:r>
        <w:rPr>
          <w:rFonts w:hint="eastAsia"/>
          <w:sz w:val="21"/>
          <w:szCs w:val="21"/>
        </w:rPr>
        <w:t>务所需按规定在规定媒介公告。</w:t>
      </w:r>
    </w:p>
    <w:p w14:paraId="7959886C">
      <w:pPr>
        <w:widowControl/>
        <w:jc w:val="left"/>
        <w:rPr>
          <w:rFonts w:ascii="宋体" w:hAnsi="宋体" w:eastAsia="宋体"/>
        </w:rPr>
      </w:pPr>
      <w:r>
        <w:rPr>
          <w:rFonts w:ascii="宋体" w:hAnsi="宋体" w:eastAsia="宋体"/>
        </w:rPr>
        <w:br w:type="page"/>
      </w:r>
    </w:p>
    <w:p w14:paraId="2821ECEC">
      <w:pPr>
        <w:pStyle w:val="3"/>
        <w:jc w:val="center"/>
        <w:rPr>
          <w:rFonts w:ascii="宋体" w:hAnsi="宋体" w:eastAsia="宋体"/>
          <w:sz w:val="30"/>
        </w:rPr>
      </w:pPr>
      <w:bookmarkStart w:id="160" w:name="chapter_level1_18_67"/>
      <w:bookmarkStart w:id="161" w:name="_Toc213857129"/>
      <w:r>
        <w:rPr>
          <w:rFonts w:hint="eastAsia" w:ascii="宋体" w:hAnsi="宋体" w:eastAsia="宋体"/>
          <w:sz w:val="30"/>
        </w:rPr>
        <w:t>第十五部分  基金的信息披露</w:t>
      </w:r>
      <w:bookmarkEnd w:id="160"/>
      <w:bookmarkEnd w:id="161"/>
    </w:p>
    <w:p w14:paraId="533DA135">
      <w:pPr>
        <w:pStyle w:val="8"/>
        <w:spacing w:before="0" w:beforeAutospacing="0" w:after="0" w:afterAutospacing="0" w:line="360" w:lineRule="auto"/>
        <w:ind w:firstLine="420"/>
        <w:rPr>
          <w:sz w:val="21"/>
          <w:szCs w:val="21"/>
        </w:rPr>
      </w:pPr>
      <w:bookmarkStart w:id="162" w:name="chapter_level1_18_67_section_1"/>
      <w:bookmarkEnd w:id="162"/>
      <w:r>
        <w:rPr>
          <w:rStyle w:val="12"/>
          <w:rFonts w:hint="eastAsia"/>
          <w:sz w:val="21"/>
          <w:szCs w:val="21"/>
        </w:rPr>
        <w:t>一、本基金的信息披露应符合《基金法》、《运作办法》、《信息披露办法》、《流动性风险管理规定》、《基金合同》及其他有关规定。相关法律法规关于信息披露的规定发生变化时，本基金从其最新规定。 </w:t>
      </w:r>
    </w:p>
    <w:p w14:paraId="76FB184F">
      <w:pPr>
        <w:pStyle w:val="8"/>
        <w:spacing w:before="0" w:beforeAutospacing="0" w:after="0" w:afterAutospacing="0" w:line="360" w:lineRule="auto"/>
        <w:ind w:firstLine="420"/>
        <w:rPr>
          <w:sz w:val="21"/>
          <w:szCs w:val="21"/>
        </w:rPr>
      </w:pPr>
      <w:r>
        <w:rPr>
          <w:rStyle w:val="12"/>
          <w:rFonts w:hint="eastAsia"/>
          <w:sz w:val="21"/>
          <w:szCs w:val="21"/>
        </w:rPr>
        <w:t>二、信息披露义务人 </w:t>
      </w:r>
    </w:p>
    <w:p w14:paraId="0E25CE6E">
      <w:pPr>
        <w:pStyle w:val="8"/>
        <w:spacing w:before="0" w:beforeAutospacing="0" w:after="0" w:afterAutospacing="0" w:line="360" w:lineRule="auto"/>
        <w:ind w:firstLine="420"/>
        <w:rPr>
          <w:sz w:val="21"/>
          <w:szCs w:val="21"/>
        </w:rPr>
      </w:pPr>
      <w:r>
        <w:rPr>
          <w:rFonts w:hint="eastAsia"/>
          <w:sz w:val="21"/>
          <w:szCs w:val="21"/>
        </w:rPr>
        <w:t>本基金信息披露义务人包括基金管理人、基金托管人、召集基金份额持有人大会的基金份额持有人等法律、行政法规和中国证监会规定的自然人、法人和非法人组织。 </w:t>
      </w:r>
    </w:p>
    <w:p w14:paraId="02FD2C11">
      <w:pPr>
        <w:pStyle w:val="8"/>
        <w:spacing w:before="0" w:beforeAutospacing="0" w:after="0" w:afterAutospacing="0" w:line="360" w:lineRule="auto"/>
        <w:ind w:firstLine="420"/>
        <w:rPr>
          <w:sz w:val="21"/>
          <w:szCs w:val="21"/>
        </w:rPr>
      </w:pPr>
      <w:r>
        <w:rPr>
          <w:rFonts w:hint="eastAsia"/>
          <w:sz w:val="21"/>
          <w:szCs w:val="21"/>
        </w:rPr>
        <w:t>本基金信息披露义务人以保护基金份额持有人利益为根本出发点，按照法律法规和中国证监会的规定披露基金信息，并保证所披露信息的真实性、准确性、完整性、及时性、简明性和易得性。 </w:t>
      </w:r>
    </w:p>
    <w:p w14:paraId="7539D041">
      <w:pPr>
        <w:pStyle w:val="8"/>
        <w:spacing w:before="0" w:beforeAutospacing="0" w:after="0" w:afterAutospacing="0" w:line="360" w:lineRule="auto"/>
        <w:ind w:firstLine="420"/>
        <w:rPr>
          <w:sz w:val="21"/>
          <w:szCs w:val="21"/>
        </w:rPr>
      </w:pPr>
      <w:r>
        <w:rPr>
          <w:rFonts w:hint="eastAsia"/>
          <w:sz w:val="21"/>
          <w:szCs w:val="21"/>
        </w:rPr>
        <w:t>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 </w:t>
      </w:r>
    </w:p>
    <w:p w14:paraId="0E825B2B">
      <w:pPr>
        <w:pStyle w:val="8"/>
        <w:spacing w:before="0" w:beforeAutospacing="0" w:after="0" w:afterAutospacing="0" w:line="360" w:lineRule="auto"/>
        <w:ind w:firstLine="420"/>
        <w:rPr>
          <w:sz w:val="21"/>
          <w:szCs w:val="21"/>
        </w:rPr>
      </w:pPr>
      <w:r>
        <w:rPr>
          <w:rStyle w:val="12"/>
          <w:rFonts w:hint="eastAsia"/>
          <w:sz w:val="21"/>
          <w:szCs w:val="21"/>
        </w:rPr>
        <w:t>三、本基金信息披露义务人承诺公开披露的基金信息，不得有下列行为： </w:t>
      </w:r>
    </w:p>
    <w:p w14:paraId="5542E455">
      <w:pPr>
        <w:pStyle w:val="8"/>
        <w:spacing w:before="0" w:beforeAutospacing="0" w:after="0" w:afterAutospacing="0" w:line="360" w:lineRule="auto"/>
        <w:ind w:firstLine="420"/>
        <w:rPr>
          <w:sz w:val="21"/>
          <w:szCs w:val="21"/>
        </w:rPr>
      </w:pPr>
      <w:r>
        <w:rPr>
          <w:rFonts w:hint="eastAsia"/>
          <w:sz w:val="21"/>
          <w:szCs w:val="21"/>
        </w:rPr>
        <w:t>1、虚假记载、误导性陈述或者重大遗漏； </w:t>
      </w:r>
    </w:p>
    <w:p w14:paraId="0D9D017C">
      <w:pPr>
        <w:pStyle w:val="8"/>
        <w:spacing w:before="0" w:beforeAutospacing="0" w:after="0" w:afterAutospacing="0" w:line="360" w:lineRule="auto"/>
        <w:ind w:firstLine="420"/>
        <w:rPr>
          <w:sz w:val="21"/>
          <w:szCs w:val="21"/>
        </w:rPr>
      </w:pPr>
      <w:r>
        <w:rPr>
          <w:rFonts w:hint="eastAsia"/>
          <w:sz w:val="21"/>
          <w:szCs w:val="21"/>
        </w:rPr>
        <w:t>2、对证券投资业绩进行预测； </w:t>
      </w:r>
    </w:p>
    <w:p w14:paraId="4ED345E4">
      <w:pPr>
        <w:pStyle w:val="8"/>
        <w:spacing w:before="0" w:beforeAutospacing="0" w:after="0" w:afterAutospacing="0" w:line="360" w:lineRule="auto"/>
        <w:ind w:firstLine="420"/>
        <w:rPr>
          <w:sz w:val="21"/>
          <w:szCs w:val="21"/>
        </w:rPr>
      </w:pPr>
      <w:r>
        <w:rPr>
          <w:rFonts w:hint="eastAsia"/>
          <w:sz w:val="21"/>
          <w:szCs w:val="21"/>
        </w:rPr>
        <w:t>3、违规承诺收益或者承担损失； </w:t>
      </w:r>
    </w:p>
    <w:p w14:paraId="6E7FDB29">
      <w:pPr>
        <w:pStyle w:val="8"/>
        <w:spacing w:before="0" w:beforeAutospacing="0" w:after="0" w:afterAutospacing="0" w:line="360" w:lineRule="auto"/>
        <w:ind w:firstLine="420"/>
        <w:rPr>
          <w:sz w:val="21"/>
          <w:szCs w:val="21"/>
        </w:rPr>
      </w:pPr>
      <w:r>
        <w:rPr>
          <w:rFonts w:hint="eastAsia"/>
          <w:sz w:val="21"/>
          <w:szCs w:val="21"/>
        </w:rPr>
        <w:t>4、诋毁其他基金管理人、基金托管人或者基金销售机构； </w:t>
      </w:r>
    </w:p>
    <w:p w14:paraId="7BD0B11B">
      <w:pPr>
        <w:pStyle w:val="8"/>
        <w:spacing w:before="0" w:beforeAutospacing="0" w:after="0" w:afterAutospacing="0" w:line="360" w:lineRule="auto"/>
        <w:ind w:firstLine="420"/>
        <w:rPr>
          <w:sz w:val="21"/>
          <w:szCs w:val="21"/>
        </w:rPr>
      </w:pPr>
      <w:r>
        <w:rPr>
          <w:rFonts w:hint="eastAsia"/>
          <w:sz w:val="21"/>
          <w:szCs w:val="21"/>
        </w:rPr>
        <w:t>5、登载任何自然人、法人和非法人组织的祝贺性、恭维性或推荐性的文字； </w:t>
      </w:r>
    </w:p>
    <w:p w14:paraId="2984ABAE">
      <w:pPr>
        <w:pStyle w:val="8"/>
        <w:spacing w:before="0" w:beforeAutospacing="0" w:after="0" w:afterAutospacing="0" w:line="360" w:lineRule="auto"/>
        <w:ind w:firstLine="420"/>
        <w:rPr>
          <w:sz w:val="21"/>
          <w:szCs w:val="21"/>
        </w:rPr>
      </w:pPr>
      <w:r>
        <w:rPr>
          <w:rFonts w:hint="eastAsia"/>
          <w:sz w:val="21"/>
          <w:szCs w:val="21"/>
        </w:rPr>
        <w:t>6、中国证监会禁止的其他行为。 </w:t>
      </w:r>
    </w:p>
    <w:p w14:paraId="67B3CD37">
      <w:pPr>
        <w:pStyle w:val="8"/>
        <w:spacing w:before="0" w:beforeAutospacing="0" w:after="0" w:afterAutospacing="0" w:line="360" w:lineRule="auto"/>
        <w:ind w:firstLine="420"/>
        <w:rPr>
          <w:sz w:val="21"/>
          <w:szCs w:val="21"/>
        </w:rPr>
      </w:pPr>
      <w:r>
        <w:rPr>
          <w:rStyle w:val="12"/>
          <w:rFonts w:hint="eastAsia"/>
          <w:sz w:val="21"/>
          <w:szCs w:val="21"/>
        </w:rPr>
        <w:t>四、本基金公开披露的信息应采用中文文本。如同时采用外文文本的，基金信息披露义务人应保证不同文本的内容一致。不同文本之间发生歧义的，以中文文本为准。 </w:t>
      </w:r>
    </w:p>
    <w:p w14:paraId="74B294DE">
      <w:pPr>
        <w:pStyle w:val="8"/>
        <w:spacing w:before="0" w:beforeAutospacing="0" w:after="0" w:afterAutospacing="0" w:line="360" w:lineRule="auto"/>
        <w:ind w:firstLine="420"/>
        <w:rPr>
          <w:sz w:val="21"/>
          <w:szCs w:val="21"/>
        </w:rPr>
      </w:pPr>
      <w:r>
        <w:rPr>
          <w:rFonts w:hint="eastAsia"/>
          <w:sz w:val="21"/>
          <w:szCs w:val="21"/>
        </w:rPr>
        <w:t>本基金公开披露的信息采用阿拉伯数字；除特别说明外，货币单位为人民币元。 </w:t>
      </w:r>
    </w:p>
    <w:p w14:paraId="60B43076">
      <w:pPr>
        <w:pStyle w:val="8"/>
        <w:spacing w:before="0" w:beforeAutospacing="0" w:after="0" w:afterAutospacing="0" w:line="360" w:lineRule="auto"/>
        <w:ind w:firstLine="420"/>
        <w:rPr>
          <w:sz w:val="21"/>
          <w:szCs w:val="21"/>
        </w:rPr>
      </w:pPr>
      <w:r>
        <w:rPr>
          <w:rStyle w:val="12"/>
          <w:rFonts w:hint="eastAsia"/>
          <w:sz w:val="21"/>
          <w:szCs w:val="21"/>
        </w:rPr>
        <w:t>五、公开披露的基金信息 </w:t>
      </w:r>
    </w:p>
    <w:p w14:paraId="3FD1F361">
      <w:pPr>
        <w:pStyle w:val="8"/>
        <w:spacing w:before="0" w:beforeAutospacing="0" w:after="0" w:afterAutospacing="0" w:line="360" w:lineRule="auto"/>
        <w:ind w:firstLine="420"/>
        <w:rPr>
          <w:sz w:val="21"/>
          <w:szCs w:val="21"/>
        </w:rPr>
      </w:pPr>
      <w:r>
        <w:rPr>
          <w:rFonts w:hint="eastAsia"/>
          <w:sz w:val="21"/>
          <w:szCs w:val="21"/>
        </w:rPr>
        <w:t>公开披露的基金信息包括： </w:t>
      </w:r>
    </w:p>
    <w:p w14:paraId="32DF67AE">
      <w:pPr>
        <w:pStyle w:val="8"/>
        <w:spacing w:before="0" w:beforeAutospacing="0" w:after="0" w:afterAutospacing="0" w:line="360" w:lineRule="auto"/>
        <w:ind w:firstLine="420"/>
        <w:rPr>
          <w:sz w:val="21"/>
          <w:szCs w:val="21"/>
        </w:rPr>
      </w:pPr>
      <w:r>
        <w:rPr>
          <w:rFonts w:hint="eastAsia"/>
          <w:sz w:val="21"/>
          <w:szCs w:val="21"/>
        </w:rPr>
        <w:t>（一）基金招募说明书、《基金合同》、基金托管协议、基金产品资料概要 </w:t>
      </w:r>
    </w:p>
    <w:p w14:paraId="18F9A7CC">
      <w:pPr>
        <w:pStyle w:val="8"/>
        <w:spacing w:before="0" w:beforeAutospacing="0" w:after="0" w:afterAutospacing="0" w:line="360" w:lineRule="auto"/>
        <w:ind w:firstLine="420"/>
        <w:rPr>
          <w:sz w:val="21"/>
          <w:szCs w:val="21"/>
        </w:rPr>
      </w:pPr>
      <w:r>
        <w:rPr>
          <w:rFonts w:hint="eastAsia"/>
          <w:sz w:val="21"/>
          <w:szCs w:val="21"/>
        </w:rPr>
        <w:t>1、《基金合同》是界定《基金合同》当事人的各项权利、义务关系，明确基金份额持有人大会召开的规则及具体程序，说明基金产品的特性等涉及基金投资者重大利益的事项的法律文件。 </w:t>
      </w:r>
    </w:p>
    <w:p w14:paraId="043CE384">
      <w:pPr>
        <w:pStyle w:val="8"/>
        <w:spacing w:before="0" w:beforeAutospacing="0" w:after="0" w:afterAutospacing="0" w:line="360" w:lineRule="auto"/>
        <w:ind w:firstLine="420"/>
        <w:rPr>
          <w:sz w:val="21"/>
          <w:szCs w:val="21"/>
        </w:rPr>
      </w:pPr>
      <w:r>
        <w:rPr>
          <w:rFonts w:hint="eastAsia"/>
          <w:sz w:val="21"/>
          <w:szCs w:val="21"/>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 </w:t>
      </w:r>
    </w:p>
    <w:p w14:paraId="2790BCD4">
      <w:pPr>
        <w:pStyle w:val="8"/>
        <w:spacing w:before="0" w:beforeAutospacing="0" w:after="0" w:afterAutospacing="0" w:line="360" w:lineRule="auto"/>
        <w:ind w:firstLine="420"/>
        <w:rPr>
          <w:sz w:val="21"/>
          <w:szCs w:val="21"/>
        </w:rPr>
      </w:pPr>
      <w:r>
        <w:rPr>
          <w:rFonts w:hint="eastAsia"/>
          <w:sz w:val="21"/>
          <w:szCs w:val="21"/>
        </w:rPr>
        <w:t>3、基金托管协议是界定基金托管人和基金管理人在基金财产保管及基金运作监督等活动中的权利、义务关系的法律文件。 </w:t>
      </w:r>
    </w:p>
    <w:p w14:paraId="70D8E25D">
      <w:pPr>
        <w:pStyle w:val="8"/>
        <w:spacing w:before="0" w:beforeAutospacing="0" w:after="0" w:afterAutospacing="0" w:line="360" w:lineRule="auto"/>
        <w:ind w:firstLine="420"/>
        <w:rPr>
          <w:sz w:val="21"/>
          <w:szCs w:val="21"/>
        </w:rPr>
      </w:pPr>
      <w:r>
        <w:rPr>
          <w:rFonts w:hint="eastAsia"/>
          <w:sz w:val="21"/>
          <w:szCs w:val="21"/>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 </w:t>
      </w:r>
    </w:p>
    <w:p w14:paraId="38846769">
      <w:pPr>
        <w:pStyle w:val="8"/>
        <w:spacing w:before="0" w:beforeAutospacing="0" w:after="0" w:afterAutospacing="0" w:line="360" w:lineRule="auto"/>
        <w:ind w:firstLine="420"/>
        <w:rPr>
          <w:sz w:val="21"/>
          <w:szCs w:val="21"/>
        </w:rPr>
      </w:pPr>
      <w:r>
        <w:rPr>
          <w:rFonts w:hint="eastAsia"/>
          <w:sz w:val="21"/>
          <w:szCs w:val="21"/>
        </w:rPr>
        <w:t>5、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 </w:t>
      </w:r>
    </w:p>
    <w:p w14:paraId="5F3128BD">
      <w:pPr>
        <w:pStyle w:val="8"/>
        <w:spacing w:before="0" w:beforeAutospacing="0" w:after="0" w:afterAutospacing="0" w:line="360" w:lineRule="auto"/>
        <w:ind w:firstLine="420"/>
        <w:rPr>
          <w:sz w:val="21"/>
          <w:szCs w:val="21"/>
        </w:rPr>
      </w:pPr>
      <w:r>
        <w:rPr>
          <w:rFonts w:hint="eastAsia"/>
          <w:sz w:val="21"/>
          <w:szCs w:val="21"/>
        </w:rPr>
        <w:t>（二）基金份额发售公告 </w:t>
      </w:r>
    </w:p>
    <w:p w14:paraId="1E0EA571">
      <w:pPr>
        <w:pStyle w:val="8"/>
        <w:spacing w:before="0" w:beforeAutospacing="0" w:after="0" w:afterAutospacing="0" w:line="360" w:lineRule="auto"/>
        <w:ind w:firstLine="420"/>
        <w:rPr>
          <w:sz w:val="21"/>
          <w:szCs w:val="21"/>
        </w:rPr>
      </w:pPr>
      <w:r>
        <w:rPr>
          <w:rFonts w:hint="eastAsia"/>
          <w:sz w:val="21"/>
          <w:szCs w:val="21"/>
        </w:rPr>
        <w:t>基金管理人应当就基金份额发售的具体事宜编制基金份额发售公告，并在披露招募说明书的当日登载于规定媒介上。 </w:t>
      </w:r>
    </w:p>
    <w:p w14:paraId="609B014B">
      <w:pPr>
        <w:pStyle w:val="8"/>
        <w:spacing w:before="0" w:beforeAutospacing="0" w:after="0" w:afterAutospacing="0" w:line="360" w:lineRule="auto"/>
        <w:ind w:firstLine="420"/>
        <w:rPr>
          <w:sz w:val="21"/>
          <w:szCs w:val="21"/>
        </w:rPr>
      </w:pPr>
      <w:r>
        <w:rPr>
          <w:rFonts w:hint="eastAsia"/>
          <w:sz w:val="21"/>
          <w:szCs w:val="21"/>
        </w:rPr>
        <w:t>（三）《基金合同》生效公告 </w:t>
      </w:r>
    </w:p>
    <w:p w14:paraId="6BD36794">
      <w:pPr>
        <w:pStyle w:val="8"/>
        <w:spacing w:before="0" w:beforeAutospacing="0" w:after="0" w:afterAutospacing="0" w:line="360" w:lineRule="auto"/>
        <w:ind w:firstLine="420"/>
        <w:rPr>
          <w:sz w:val="21"/>
          <w:szCs w:val="21"/>
        </w:rPr>
      </w:pPr>
      <w:r>
        <w:rPr>
          <w:rFonts w:hint="eastAsia"/>
          <w:sz w:val="21"/>
          <w:szCs w:val="21"/>
        </w:rPr>
        <w:t>基金管理人应当在收到中国证监会确认文件的次日在规定媒介上登载《基金合同》生效公告。    </w:t>
      </w:r>
    </w:p>
    <w:p w14:paraId="4045CC5E">
      <w:pPr>
        <w:pStyle w:val="8"/>
        <w:spacing w:before="0" w:beforeAutospacing="0" w:after="0" w:afterAutospacing="0" w:line="360" w:lineRule="auto"/>
        <w:ind w:firstLine="420"/>
        <w:rPr>
          <w:sz w:val="21"/>
          <w:szCs w:val="21"/>
        </w:rPr>
      </w:pPr>
      <w:r>
        <w:rPr>
          <w:rFonts w:hint="eastAsia"/>
          <w:sz w:val="21"/>
          <w:szCs w:val="21"/>
        </w:rPr>
        <w:t>（四）基金净值信息 </w:t>
      </w:r>
    </w:p>
    <w:p w14:paraId="26BD0C4C">
      <w:pPr>
        <w:pStyle w:val="8"/>
        <w:spacing w:before="0" w:beforeAutospacing="0" w:after="0" w:afterAutospacing="0" w:line="360" w:lineRule="auto"/>
        <w:ind w:firstLine="420"/>
        <w:rPr>
          <w:sz w:val="21"/>
          <w:szCs w:val="21"/>
        </w:rPr>
      </w:pPr>
      <w:r>
        <w:rPr>
          <w:rFonts w:hint="eastAsia"/>
          <w:sz w:val="21"/>
          <w:szCs w:val="21"/>
        </w:rPr>
        <w:t>《基金合同》生效后，在开始办理基金份额申购或者赎回前，基金管理人应当至少每周在规定网站披露一次各类基金份额净值和各类基金份额累计净值。 </w:t>
      </w:r>
    </w:p>
    <w:p w14:paraId="6E3797E9">
      <w:pPr>
        <w:pStyle w:val="8"/>
        <w:spacing w:before="0" w:beforeAutospacing="0" w:after="0" w:afterAutospacing="0" w:line="360" w:lineRule="auto"/>
        <w:ind w:firstLine="420"/>
        <w:rPr>
          <w:sz w:val="21"/>
          <w:szCs w:val="21"/>
        </w:rPr>
      </w:pPr>
      <w:r>
        <w:rPr>
          <w:rFonts w:hint="eastAsia"/>
          <w:sz w:val="21"/>
          <w:szCs w:val="21"/>
        </w:rPr>
        <w:t>在开始办理基金份额申购或者赎回后，基金管理人应当在不晚于每个开放日的次日，通过规定网站、基金销售机构网站或者营业网点披露开放日的各类基金份额净值和各类基金份额累计净值。 </w:t>
      </w:r>
    </w:p>
    <w:p w14:paraId="253C01C6">
      <w:pPr>
        <w:pStyle w:val="8"/>
        <w:spacing w:before="0" w:beforeAutospacing="0" w:after="0" w:afterAutospacing="0" w:line="360" w:lineRule="auto"/>
        <w:ind w:firstLine="420"/>
        <w:rPr>
          <w:sz w:val="21"/>
          <w:szCs w:val="21"/>
        </w:rPr>
      </w:pPr>
      <w:r>
        <w:rPr>
          <w:rFonts w:hint="eastAsia"/>
          <w:sz w:val="21"/>
          <w:szCs w:val="21"/>
        </w:rPr>
        <w:t>基金管理人应当在不晚于半年度和年度最后一日的次日，在规定网站披露半年度和年度最后一日的各类基金份额净值和各类基金份额累计净值。       </w:t>
      </w:r>
    </w:p>
    <w:p w14:paraId="0B5E0AE1">
      <w:pPr>
        <w:pStyle w:val="8"/>
        <w:spacing w:before="0" w:beforeAutospacing="0" w:after="0" w:afterAutospacing="0" w:line="360" w:lineRule="auto"/>
        <w:ind w:firstLine="420"/>
        <w:rPr>
          <w:sz w:val="21"/>
          <w:szCs w:val="21"/>
        </w:rPr>
      </w:pPr>
      <w:r>
        <w:rPr>
          <w:rFonts w:hint="eastAsia"/>
          <w:sz w:val="21"/>
          <w:szCs w:val="21"/>
        </w:rPr>
        <w:t>（五）基金份额申购、赎回价格 </w:t>
      </w:r>
    </w:p>
    <w:p w14:paraId="503BCC40">
      <w:pPr>
        <w:pStyle w:val="8"/>
        <w:spacing w:before="0" w:beforeAutospacing="0" w:after="0" w:afterAutospacing="0" w:line="360" w:lineRule="auto"/>
        <w:ind w:firstLine="420"/>
        <w:rPr>
          <w:sz w:val="21"/>
          <w:szCs w:val="21"/>
        </w:rPr>
      </w:pPr>
      <w:r>
        <w:rPr>
          <w:rFonts w:hint="eastAsia"/>
          <w:sz w:val="21"/>
          <w:szCs w:val="21"/>
        </w:rPr>
        <w:t>基金管理人应当在《基金合同》、招募说明书等信息披露文件上载明基金份额申购、赎回价格的计算方式及有关申购、赎回费率，并保证投资者能够在基金销售机构网站或营业网点查阅或者复制前述信息资料。 </w:t>
      </w:r>
    </w:p>
    <w:p w14:paraId="0BE34C71">
      <w:pPr>
        <w:pStyle w:val="8"/>
        <w:spacing w:before="0" w:beforeAutospacing="0" w:after="0" w:afterAutospacing="0" w:line="360" w:lineRule="auto"/>
        <w:ind w:firstLine="420"/>
        <w:rPr>
          <w:sz w:val="21"/>
          <w:szCs w:val="21"/>
        </w:rPr>
      </w:pPr>
      <w:r>
        <w:rPr>
          <w:rFonts w:hint="eastAsia"/>
          <w:sz w:val="21"/>
          <w:szCs w:val="21"/>
        </w:rPr>
        <w:t>（六）基金定期报告，包括基金年度报告、基金中期报告和基金季度报告 </w:t>
      </w:r>
    </w:p>
    <w:p w14:paraId="5EB93CAA">
      <w:pPr>
        <w:pStyle w:val="8"/>
        <w:spacing w:before="0" w:beforeAutospacing="0" w:after="0" w:afterAutospacing="0" w:line="360" w:lineRule="auto"/>
        <w:ind w:firstLine="420"/>
        <w:rPr>
          <w:sz w:val="21"/>
          <w:szCs w:val="21"/>
        </w:rPr>
      </w:pPr>
      <w:r>
        <w:rPr>
          <w:rFonts w:hint="eastAsia"/>
          <w:sz w:val="21"/>
          <w:szCs w:val="21"/>
        </w:rPr>
        <w:t>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 </w:t>
      </w:r>
    </w:p>
    <w:p w14:paraId="4F28D36B">
      <w:pPr>
        <w:pStyle w:val="8"/>
        <w:spacing w:before="0" w:beforeAutospacing="0" w:after="0" w:afterAutospacing="0" w:line="360" w:lineRule="auto"/>
        <w:ind w:firstLine="420"/>
        <w:rPr>
          <w:sz w:val="21"/>
          <w:szCs w:val="21"/>
        </w:rPr>
      </w:pPr>
      <w:r>
        <w:rPr>
          <w:rFonts w:hint="eastAsia"/>
          <w:sz w:val="21"/>
          <w:szCs w:val="21"/>
        </w:rPr>
        <w:t>基金管理人应当在上半年结束之日起两个月内，编制完成基金中期报告，将中期报告登载在规定网站上，并将中期报告提示性公告登载在规定报刊上。 </w:t>
      </w:r>
    </w:p>
    <w:p w14:paraId="6638709A">
      <w:pPr>
        <w:pStyle w:val="8"/>
        <w:spacing w:before="0" w:beforeAutospacing="0" w:after="0" w:afterAutospacing="0" w:line="360" w:lineRule="auto"/>
        <w:ind w:firstLine="420"/>
        <w:rPr>
          <w:sz w:val="21"/>
          <w:szCs w:val="21"/>
        </w:rPr>
      </w:pPr>
      <w:r>
        <w:rPr>
          <w:rFonts w:hint="eastAsia"/>
          <w:sz w:val="21"/>
          <w:szCs w:val="21"/>
        </w:rPr>
        <w:t>基金管理人应当在季度结束之日起15个工作日内，编制完成基金季度报告，将季度报告登载在规定网站上，并将季度报告提示性公告登载在规定报刊上。 </w:t>
      </w:r>
    </w:p>
    <w:p w14:paraId="21BD103B">
      <w:pPr>
        <w:pStyle w:val="8"/>
        <w:spacing w:before="0" w:beforeAutospacing="0" w:after="0" w:afterAutospacing="0" w:line="360" w:lineRule="auto"/>
        <w:ind w:firstLine="420"/>
        <w:rPr>
          <w:sz w:val="21"/>
          <w:szCs w:val="21"/>
        </w:rPr>
      </w:pPr>
      <w:r>
        <w:rPr>
          <w:rFonts w:hint="eastAsia"/>
          <w:sz w:val="21"/>
          <w:szCs w:val="21"/>
        </w:rPr>
        <w:t>《基金合同》生效不足2个月的，基金管理人可以不编制当期季度报告、中期报告或者年度报告。  </w:t>
      </w:r>
    </w:p>
    <w:p w14:paraId="36E87F02">
      <w:pPr>
        <w:pStyle w:val="8"/>
        <w:spacing w:before="0" w:beforeAutospacing="0" w:after="0" w:afterAutospacing="0" w:line="360" w:lineRule="auto"/>
        <w:ind w:firstLine="420"/>
        <w:rPr>
          <w:sz w:val="21"/>
          <w:szCs w:val="21"/>
        </w:rPr>
      </w:pPr>
      <w:r>
        <w:rPr>
          <w:rFonts w:hint="eastAsia"/>
          <w:sz w:val="21"/>
          <w:szCs w:val="21"/>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41F26516">
      <w:pPr>
        <w:pStyle w:val="8"/>
        <w:spacing w:before="0" w:beforeAutospacing="0" w:after="0" w:afterAutospacing="0" w:line="360" w:lineRule="auto"/>
        <w:ind w:firstLine="420"/>
        <w:rPr>
          <w:sz w:val="21"/>
          <w:szCs w:val="21"/>
        </w:rPr>
      </w:pPr>
      <w:r>
        <w:rPr>
          <w:rFonts w:hint="eastAsia"/>
          <w:sz w:val="21"/>
          <w:szCs w:val="21"/>
        </w:rPr>
        <w:t>基金管理人应当在基金年度报告和中期报告中披露基金组合资产情况及其流动性风险分析等。</w:t>
      </w:r>
    </w:p>
    <w:p w14:paraId="15D3B19D">
      <w:pPr>
        <w:pStyle w:val="8"/>
        <w:spacing w:before="0" w:beforeAutospacing="0" w:after="0" w:afterAutospacing="0" w:line="360" w:lineRule="auto"/>
        <w:ind w:firstLine="420"/>
        <w:rPr>
          <w:sz w:val="21"/>
          <w:szCs w:val="21"/>
        </w:rPr>
      </w:pPr>
      <w:r>
        <w:rPr>
          <w:rFonts w:hint="eastAsia"/>
          <w:sz w:val="21"/>
          <w:szCs w:val="21"/>
        </w:rPr>
        <w:t>（七）临时报告 </w:t>
      </w:r>
    </w:p>
    <w:p w14:paraId="0A05F7B7">
      <w:pPr>
        <w:pStyle w:val="8"/>
        <w:spacing w:before="0" w:beforeAutospacing="0" w:after="0" w:afterAutospacing="0" w:line="360" w:lineRule="auto"/>
        <w:ind w:firstLine="420"/>
        <w:rPr>
          <w:sz w:val="21"/>
          <w:szCs w:val="21"/>
        </w:rPr>
      </w:pPr>
      <w:r>
        <w:rPr>
          <w:rFonts w:hint="eastAsia"/>
          <w:sz w:val="21"/>
          <w:szCs w:val="21"/>
        </w:rPr>
        <w:t>本基金发生重大事件，有关信息披露义务人应当按规定编制临时报告书，并登载在规定报刊和规定网站上。 </w:t>
      </w:r>
    </w:p>
    <w:p w14:paraId="3692AFD9">
      <w:pPr>
        <w:pStyle w:val="8"/>
        <w:spacing w:before="0" w:beforeAutospacing="0" w:after="0" w:afterAutospacing="0" w:line="360" w:lineRule="auto"/>
        <w:ind w:firstLine="420"/>
        <w:rPr>
          <w:sz w:val="21"/>
          <w:szCs w:val="21"/>
        </w:rPr>
      </w:pPr>
      <w:r>
        <w:rPr>
          <w:rFonts w:hint="eastAsia"/>
          <w:sz w:val="21"/>
          <w:szCs w:val="21"/>
        </w:rPr>
        <w:t>前款所称重大事件，是指可能对基金份额持有人权益或者基金份额的价格产生重大影响的下列事件： </w:t>
      </w:r>
    </w:p>
    <w:p w14:paraId="00DC05CA">
      <w:pPr>
        <w:pStyle w:val="8"/>
        <w:spacing w:before="0" w:beforeAutospacing="0" w:after="0" w:afterAutospacing="0" w:line="360" w:lineRule="auto"/>
        <w:ind w:firstLine="420"/>
        <w:rPr>
          <w:sz w:val="21"/>
          <w:szCs w:val="21"/>
        </w:rPr>
      </w:pPr>
      <w:r>
        <w:rPr>
          <w:rFonts w:hint="eastAsia"/>
          <w:sz w:val="21"/>
          <w:szCs w:val="21"/>
        </w:rPr>
        <w:t>1、基金份额持有人大会的召开及决定的事项； </w:t>
      </w:r>
    </w:p>
    <w:p w14:paraId="31441C09">
      <w:pPr>
        <w:pStyle w:val="8"/>
        <w:spacing w:before="0" w:beforeAutospacing="0" w:after="0" w:afterAutospacing="0" w:line="360" w:lineRule="auto"/>
        <w:ind w:firstLine="420"/>
        <w:rPr>
          <w:sz w:val="21"/>
          <w:szCs w:val="21"/>
        </w:rPr>
      </w:pPr>
      <w:r>
        <w:rPr>
          <w:rFonts w:hint="eastAsia"/>
          <w:sz w:val="21"/>
          <w:szCs w:val="21"/>
        </w:rPr>
        <w:t>2、《基金合同》终止、基金清算； </w:t>
      </w:r>
    </w:p>
    <w:p w14:paraId="0218F87B">
      <w:pPr>
        <w:pStyle w:val="8"/>
        <w:spacing w:before="0" w:beforeAutospacing="0" w:after="0" w:afterAutospacing="0" w:line="360" w:lineRule="auto"/>
        <w:ind w:firstLine="420"/>
        <w:rPr>
          <w:sz w:val="21"/>
          <w:szCs w:val="21"/>
        </w:rPr>
      </w:pPr>
      <w:r>
        <w:rPr>
          <w:rFonts w:hint="eastAsia"/>
          <w:sz w:val="21"/>
          <w:szCs w:val="21"/>
        </w:rPr>
        <w:t>3、转换基金运作方式、基金合并；    </w:t>
      </w:r>
    </w:p>
    <w:p w14:paraId="53DD0131">
      <w:pPr>
        <w:pStyle w:val="8"/>
        <w:spacing w:before="0" w:beforeAutospacing="0" w:after="0" w:afterAutospacing="0" w:line="360" w:lineRule="auto"/>
        <w:ind w:firstLine="420"/>
        <w:rPr>
          <w:sz w:val="21"/>
          <w:szCs w:val="21"/>
        </w:rPr>
      </w:pPr>
      <w:r>
        <w:rPr>
          <w:rFonts w:hint="eastAsia"/>
          <w:sz w:val="21"/>
          <w:szCs w:val="21"/>
        </w:rPr>
        <w:t>4、更换基金管理人、基金托管人、基金份额登记机构，基金改聘会计师事务所； </w:t>
      </w:r>
    </w:p>
    <w:p w14:paraId="6D30EC59">
      <w:pPr>
        <w:pStyle w:val="8"/>
        <w:spacing w:before="0" w:beforeAutospacing="0" w:after="0" w:afterAutospacing="0" w:line="360" w:lineRule="auto"/>
        <w:ind w:firstLine="420"/>
        <w:rPr>
          <w:sz w:val="21"/>
          <w:szCs w:val="21"/>
        </w:rPr>
      </w:pPr>
      <w:r>
        <w:rPr>
          <w:rFonts w:hint="eastAsia"/>
          <w:sz w:val="21"/>
          <w:szCs w:val="21"/>
        </w:rPr>
        <w:t>5、基金管理人委托基金服务机构代为办理基金的份额登记、核算、估值等事项，基金托管人委托基金服务机构代为办理基金的核算、估值、复核等事项； </w:t>
      </w:r>
    </w:p>
    <w:p w14:paraId="6162C0AD">
      <w:pPr>
        <w:pStyle w:val="8"/>
        <w:spacing w:before="0" w:beforeAutospacing="0" w:after="0" w:afterAutospacing="0" w:line="360" w:lineRule="auto"/>
        <w:ind w:firstLine="420"/>
        <w:rPr>
          <w:sz w:val="21"/>
          <w:szCs w:val="21"/>
        </w:rPr>
      </w:pPr>
      <w:r>
        <w:rPr>
          <w:rFonts w:hint="eastAsia"/>
          <w:sz w:val="21"/>
          <w:szCs w:val="21"/>
        </w:rPr>
        <w:t>6、基金管理人、基金托管人的法定名称、住所发生变更； </w:t>
      </w:r>
    </w:p>
    <w:p w14:paraId="72CA8A3B">
      <w:pPr>
        <w:pStyle w:val="8"/>
        <w:spacing w:before="0" w:beforeAutospacing="0" w:after="0" w:afterAutospacing="0" w:line="360" w:lineRule="auto"/>
        <w:ind w:firstLine="420"/>
        <w:rPr>
          <w:sz w:val="21"/>
          <w:szCs w:val="21"/>
        </w:rPr>
      </w:pPr>
      <w:r>
        <w:rPr>
          <w:rFonts w:hint="eastAsia"/>
          <w:sz w:val="21"/>
          <w:szCs w:val="21"/>
        </w:rPr>
        <w:t>7、基金管理人变更持有百分之五以上股权的股东、基金管理人的实际控制人变更； </w:t>
      </w:r>
    </w:p>
    <w:p w14:paraId="1D4B5FE5">
      <w:pPr>
        <w:pStyle w:val="8"/>
        <w:spacing w:before="0" w:beforeAutospacing="0" w:after="0" w:afterAutospacing="0" w:line="360" w:lineRule="auto"/>
        <w:ind w:firstLine="420"/>
        <w:rPr>
          <w:sz w:val="21"/>
          <w:szCs w:val="21"/>
        </w:rPr>
      </w:pPr>
      <w:r>
        <w:rPr>
          <w:rFonts w:hint="eastAsia"/>
          <w:sz w:val="21"/>
          <w:szCs w:val="21"/>
        </w:rPr>
        <w:t>8、基金募集期延长或提前结束募集； </w:t>
      </w:r>
    </w:p>
    <w:p w14:paraId="4829359D">
      <w:pPr>
        <w:pStyle w:val="8"/>
        <w:spacing w:before="0" w:beforeAutospacing="0" w:after="0" w:afterAutospacing="0" w:line="360" w:lineRule="auto"/>
        <w:ind w:firstLine="420"/>
        <w:rPr>
          <w:sz w:val="21"/>
          <w:szCs w:val="21"/>
        </w:rPr>
      </w:pPr>
      <w:r>
        <w:rPr>
          <w:rFonts w:hint="eastAsia"/>
          <w:sz w:val="21"/>
          <w:szCs w:val="21"/>
        </w:rPr>
        <w:t>9、基金管理人的高级管理人员、基金经理和基金托管人专门基金托管部门负责人发生变动； </w:t>
      </w:r>
    </w:p>
    <w:p w14:paraId="4B2CDAF9">
      <w:pPr>
        <w:pStyle w:val="8"/>
        <w:spacing w:before="0" w:beforeAutospacing="0" w:after="0" w:afterAutospacing="0" w:line="360" w:lineRule="auto"/>
        <w:ind w:firstLine="420"/>
        <w:rPr>
          <w:sz w:val="21"/>
          <w:szCs w:val="21"/>
        </w:rPr>
      </w:pPr>
      <w:r>
        <w:rPr>
          <w:rFonts w:hint="eastAsia"/>
          <w:sz w:val="21"/>
          <w:szCs w:val="21"/>
        </w:rPr>
        <w:t>10、基金管理人的董事在最近12个月内变更超过百分之五十； </w:t>
      </w:r>
    </w:p>
    <w:p w14:paraId="46A57841">
      <w:pPr>
        <w:pStyle w:val="8"/>
        <w:spacing w:before="0" w:beforeAutospacing="0" w:after="0" w:afterAutospacing="0" w:line="360" w:lineRule="auto"/>
        <w:ind w:firstLine="420"/>
        <w:rPr>
          <w:sz w:val="21"/>
          <w:szCs w:val="21"/>
        </w:rPr>
      </w:pPr>
      <w:r>
        <w:rPr>
          <w:rFonts w:hint="eastAsia"/>
          <w:sz w:val="21"/>
          <w:szCs w:val="21"/>
        </w:rPr>
        <w:t>11、基金管理人、基金托管人专门基金托管部门的主要业务人员在最近12个月内变动超过百分之三十； </w:t>
      </w:r>
    </w:p>
    <w:p w14:paraId="41A5C37E">
      <w:pPr>
        <w:pStyle w:val="8"/>
        <w:spacing w:before="0" w:beforeAutospacing="0" w:after="0" w:afterAutospacing="0" w:line="360" w:lineRule="auto"/>
        <w:ind w:firstLine="420"/>
        <w:rPr>
          <w:sz w:val="21"/>
          <w:szCs w:val="21"/>
        </w:rPr>
      </w:pPr>
      <w:r>
        <w:rPr>
          <w:rFonts w:hint="eastAsia"/>
          <w:sz w:val="21"/>
          <w:szCs w:val="21"/>
        </w:rPr>
        <w:t>12、涉及基金财产、基金管理业务、基金托管业务的诉讼或仲裁； </w:t>
      </w:r>
    </w:p>
    <w:p w14:paraId="2E665328">
      <w:pPr>
        <w:pStyle w:val="8"/>
        <w:spacing w:before="0" w:beforeAutospacing="0" w:after="0" w:afterAutospacing="0" w:line="360" w:lineRule="auto"/>
        <w:ind w:firstLine="420"/>
        <w:rPr>
          <w:sz w:val="21"/>
          <w:szCs w:val="21"/>
        </w:rPr>
      </w:pPr>
      <w:r>
        <w:rPr>
          <w:rFonts w:hint="eastAsia"/>
          <w:sz w:val="21"/>
          <w:szCs w:val="21"/>
        </w:rPr>
        <w:t>13、基金管理人或其高级管理人员、基金经理因基金管理业务相关行为受到重大行政处罚、刑事处罚，基金托管人或其专门基金托管部门负责人因基金托管业务相关行为受到重大行政处罚、刑事处罚； </w:t>
      </w:r>
    </w:p>
    <w:p w14:paraId="3AA8152D">
      <w:pPr>
        <w:pStyle w:val="8"/>
        <w:spacing w:before="0" w:beforeAutospacing="0" w:after="0" w:afterAutospacing="0" w:line="360" w:lineRule="auto"/>
        <w:ind w:firstLine="420"/>
        <w:rPr>
          <w:sz w:val="21"/>
          <w:szCs w:val="21"/>
        </w:rPr>
      </w:pPr>
      <w:r>
        <w:rPr>
          <w:rFonts w:hint="eastAsia"/>
          <w:sz w:val="21"/>
          <w:szCs w:val="21"/>
        </w:rPr>
        <w:t>14、基金管理人运用基金财产买卖基金管理人、基金托管人及其控股股东、实际控制人或者与其有重大利害关系的公司发行的证券或者承销期内承销的证券，或者从事其他重大关联交易事项，但中国证监会另有规定的除外； </w:t>
      </w:r>
    </w:p>
    <w:p w14:paraId="3EE1C922">
      <w:pPr>
        <w:pStyle w:val="8"/>
        <w:spacing w:before="0" w:beforeAutospacing="0" w:after="0" w:afterAutospacing="0" w:line="360" w:lineRule="auto"/>
        <w:ind w:firstLine="420"/>
        <w:rPr>
          <w:sz w:val="21"/>
          <w:szCs w:val="21"/>
        </w:rPr>
      </w:pPr>
      <w:r>
        <w:rPr>
          <w:rFonts w:hint="eastAsia"/>
          <w:sz w:val="21"/>
          <w:szCs w:val="21"/>
        </w:rPr>
        <w:t>15、基金收益分配事项； </w:t>
      </w:r>
    </w:p>
    <w:p w14:paraId="1F17DA93">
      <w:pPr>
        <w:pStyle w:val="8"/>
        <w:spacing w:before="0" w:beforeAutospacing="0" w:after="0" w:afterAutospacing="0" w:line="360" w:lineRule="auto"/>
        <w:ind w:firstLine="420"/>
        <w:rPr>
          <w:sz w:val="21"/>
          <w:szCs w:val="21"/>
        </w:rPr>
      </w:pPr>
      <w:r>
        <w:rPr>
          <w:rFonts w:hint="eastAsia"/>
          <w:sz w:val="21"/>
          <w:szCs w:val="21"/>
        </w:rPr>
        <w:t>16、管理费、托管费、销售服务费、申购费、赎回费等费用计提标准、计提方式和费率发生变更；   </w:t>
      </w:r>
    </w:p>
    <w:p w14:paraId="68B69C3A">
      <w:pPr>
        <w:pStyle w:val="8"/>
        <w:spacing w:before="0" w:beforeAutospacing="0" w:after="0" w:afterAutospacing="0" w:line="360" w:lineRule="auto"/>
        <w:ind w:firstLine="420"/>
        <w:rPr>
          <w:sz w:val="21"/>
          <w:szCs w:val="21"/>
        </w:rPr>
      </w:pPr>
      <w:r>
        <w:rPr>
          <w:rFonts w:hint="eastAsia"/>
          <w:sz w:val="21"/>
          <w:szCs w:val="21"/>
        </w:rPr>
        <w:t>17、任一类基金份额净值估值错误达该类基金份额净值百分之零点五；    </w:t>
      </w:r>
    </w:p>
    <w:p w14:paraId="408BE29D">
      <w:pPr>
        <w:pStyle w:val="8"/>
        <w:spacing w:before="0" w:beforeAutospacing="0" w:after="0" w:afterAutospacing="0" w:line="360" w:lineRule="auto"/>
        <w:ind w:firstLine="420"/>
        <w:rPr>
          <w:sz w:val="21"/>
          <w:szCs w:val="21"/>
        </w:rPr>
      </w:pPr>
      <w:r>
        <w:rPr>
          <w:rFonts w:hint="eastAsia"/>
          <w:sz w:val="21"/>
          <w:szCs w:val="21"/>
        </w:rPr>
        <w:t>18、本基金开始办理申购、赎回；   </w:t>
      </w:r>
    </w:p>
    <w:p w14:paraId="0256203C">
      <w:pPr>
        <w:pStyle w:val="8"/>
        <w:spacing w:before="0" w:beforeAutospacing="0" w:after="0" w:afterAutospacing="0" w:line="360" w:lineRule="auto"/>
        <w:ind w:firstLine="420"/>
        <w:rPr>
          <w:sz w:val="21"/>
          <w:szCs w:val="21"/>
        </w:rPr>
      </w:pPr>
      <w:r>
        <w:rPr>
          <w:rFonts w:hint="eastAsia"/>
          <w:sz w:val="21"/>
          <w:szCs w:val="21"/>
        </w:rPr>
        <w:t>19、本基金发生巨额赎回并延期办理；  </w:t>
      </w:r>
    </w:p>
    <w:p w14:paraId="65D60507">
      <w:pPr>
        <w:pStyle w:val="8"/>
        <w:spacing w:before="0" w:beforeAutospacing="0" w:after="0" w:afterAutospacing="0" w:line="360" w:lineRule="auto"/>
        <w:ind w:firstLine="420"/>
        <w:rPr>
          <w:sz w:val="21"/>
          <w:szCs w:val="21"/>
        </w:rPr>
      </w:pPr>
      <w:r>
        <w:rPr>
          <w:rFonts w:hint="eastAsia"/>
          <w:sz w:val="21"/>
          <w:szCs w:val="21"/>
        </w:rPr>
        <w:t>20、本基金连续发生巨额赎回并暂停接受赎回申请或延缓支付赎回款项；  </w:t>
      </w:r>
    </w:p>
    <w:p w14:paraId="295603C7">
      <w:pPr>
        <w:pStyle w:val="8"/>
        <w:spacing w:before="0" w:beforeAutospacing="0" w:after="0" w:afterAutospacing="0" w:line="360" w:lineRule="auto"/>
        <w:ind w:firstLine="420"/>
        <w:rPr>
          <w:sz w:val="21"/>
          <w:szCs w:val="21"/>
        </w:rPr>
      </w:pPr>
      <w:r>
        <w:rPr>
          <w:rFonts w:hint="eastAsia"/>
          <w:sz w:val="21"/>
          <w:szCs w:val="21"/>
        </w:rPr>
        <w:t>21、本基金暂停接受申购、赎回申请或重新接受申购、赎回申请；  </w:t>
      </w:r>
    </w:p>
    <w:p w14:paraId="2325434D">
      <w:pPr>
        <w:pStyle w:val="8"/>
        <w:spacing w:before="0" w:beforeAutospacing="0" w:after="0" w:afterAutospacing="0" w:line="360" w:lineRule="auto"/>
        <w:ind w:firstLine="420"/>
        <w:rPr>
          <w:sz w:val="21"/>
          <w:szCs w:val="21"/>
        </w:rPr>
      </w:pPr>
      <w:r>
        <w:rPr>
          <w:rFonts w:hint="eastAsia"/>
          <w:sz w:val="21"/>
          <w:szCs w:val="21"/>
        </w:rPr>
        <w:t>22、调整基金份额类别的设置； </w:t>
      </w:r>
    </w:p>
    <w:p w14:paraId="76932FB6">
      <w:pPr>
        <w:pStyle w:val="8"/>
        <w:spacing w:before="0" w:beforeAutospacing="0" w:after="0" w:afterAutospacing="0" w:line="360" w:lineRule="auto"/>
        <w:ind w:firstLine="420"/>
        <w:rPr>
          <w:sz w:val="21"/>
          <w:szCs w:val="21"/>
        </w:rPr>
      </w:pPr>
      <w:r>
        <w:rPr>
          <w:rFonts w:hint="eastAsia"/>
          <w:sz w:val="21"/>
          <w:szCs w:val="21"/>
        </w:rPr>
        <w:t>23、基金推出新业务或服务； </w:t>
      </w:r>
    </w:p>
    <w:p w14:paraId="44CA0D6C">
      <w:pPr>
        <w:pStyle w:val="8"/>
        <w:spacing w:before="0" w:beforeAutospacing="0" w:after="0" w:afterAutospacing="0" w:line="360" w:lineRule="auto"/>
        <w:ind w:firstLine="420"/>
        <w:rPr>
          <w:sz w:val="21"/>
          <w:szCs w:val="21"/>
        </w:rPr>
      </w:pPr>
      <w:r>
        <w:rPr>
          <w:rFonts w:hint="eastAsia"/>
          <w:sz w:val="21"/>
          <w:szCs w:val="21"/>
        </w:rPr>
        <w:t>24、发生涉及本基金申购、赎回事项调整或潜在影响投资者赎回等重大事项时； </w:t>
      </w:r>
    </w:p>
    <w:p w14:paraId="7B272AE0">
      <w:pPr>
        <w:pStyle w:val="8"/>
        <w:spacing w:before="0" w:beforeAutospacing="0" w:after="0" w:afterAutospacing="0" w:line="360" w:lineRule="auto"/>
        <w:ind w:firstLine="420"/>
        <w:rPr>
          <w:sz w:val="21"/>
          <w:szCs w:val="21"/>
        </w:rPr>
      </w:pPr>
      <w:r>
        <w:rPr>
          <w:rFonts w:hint="eastAsia"/>
          <w:sz w:val="21"/>
          <w:szCs w:val="21"/>
        </w:rPr>
        <w:t>25、基金管理人采用摆动定价机制进行估值时；        </w:t>
      </w:r>
    </w:p>
    <w:p w14:paraId="28D6FB47">
      <w:pPr>
        <w:pStyle w:val="8"/>
        <w:spacing w:before="0" w:beforeAutospacing="0" w:after="0" w:afterAutospacing="0" w:line="360" w:lineRule="auto"/>
        <w:ind w:firstLine="420"/>
        <w:rPr>
          <w:sz w:val="21"/>
          <w:szCs w:val="21"/>
        </w:rPr>
      </w:pPr>
      <w:r>
        <w:rPr>
          <w:rFonts w:hint="eastAsia"/>
          <w:sz w:val="21"/>
          <w:szCs w:val="21"/>
        </w:rPr>
        <w:t>26、基金信息披露义务人认为可能对基金份额持有人权益或者基金份额的价格产生重大影响的其他事项或中国证监会规定的其他事项。  </w:t>
      </w:r>
    </w:p>
    <w:p w14:paraId="094515B1">
      <w:pPr>
        <w:pStyle w:val="8"/>
        <w:spacing w:before="0" w:beforeAutospacing="0" w:after="0" w:afterAutospacing="0" w:line="360" w:lineRule="auto"/>
        <w:ind w:firstLine="420"/>
        <w:rPr>
          <w:sz w:val="21"/>
          <w:szCs w:val="21"/>
        </w:rPr>
      </w:pPr>
      <w:r>
        <w:rPr>
          <w:rFonts w:hint="eastAsia"/>
          <w:sz w:val="21"/>
          <w:szCs w:val="21"/>
        </w:rPr>
        <w:t>（八）澄清公告 </w:t>
      </w:r>
    </w:p>
    <w:p w14:paraId="0F7DD3DE">
      <w:pPr>
        <w:pStyle w:val="8"/>
        <w:spacing w:before="0" w:beforeAutospacing="0" w:after="0" w:afterAutospacing="0" w:line="360" w:lineRule="auto"/>
        <w:ind w:firstLine="420"/>
        <w:rPr>
          <w:sz w:val="21"/>
          <w:szCs w:val="21"/>
        </w:rPr>
      </w:pPr>
      <w:r>
        <w:rPr>
          <w:rFonts w:hint="eastAsia"/>
          <w:sz w:val="21"/>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  </w:t>
      </w:r>
    </w:p>
    <w:p w14:paraId="10709C40">
      <w:pPr>
        <w:pStyle w:val="8"/>
        <w:spacing w:before="0" w:beforeAutospacing="0" w:after="0" w:afterAutospacing="0" w:line="360" w:lineRule="auto"/>
        <w:ind w:firstLine="420"/>
        <w:rPr>
          <w:sz w:val="21"/>
          <w:szCs w:val="21"/>
        </w:rPr>
      </w:pPr>
      <w:r>
        <w:rPr>
          <w:rFonts w:hint="eastAsia"/>
          <w:sz w:val="21"/>
          <w:szCs w:val="21"/>
        </w:rPr>
        <w:t>（九）基金份额持有人大会决议 </w:t>
      </w:r>
    </w:p>
    <w:p w14:paraId="478C9436">
      <w:pPr>
        <w:pStyle w:val="8"/>
        <w:spacing w:before="0" w:beforeAutospacing="0" w:after="0" w:afterAutospacing="0" w:line="360" w:lineRule="auto"/>
        <w:ind w:firstLine="420"/>
        <w:rPr>
          <w:sz w:val="21"/>
          <w:szCs w:val="21"/>
        </w:rPr>
      </w:pPr>
      <w:r>
        <w:rPr>
          <w:rFonts w:hint="eastAsia"/>
          <w:sz w:val="21"/>
          <w:szCs w:val="21"/>
        </w:rPr>
        <w:t>基金份额持有人大会决定的事项，应当依法报中国证监会备案，并予以公告。 </w:t>
      </w:r>
    </w:p>
    <w:p w14:paraId="7F24B3D8">
      <w:pPr>
        <w:pStyle w:val="8"/>
        <w:spacing w:before="0" w:beforeAutospacing="0" w:after="0" w:afterAutospacing="0" w:line="360" w:lineRule="auto"/>
        <w:ind w:firstLine="420"/>
        <w:rPr>
          <w:sz w:val="21"/>
          <w:szCs w:val="21"/>
        </w:rPr>
      </w:pPr>
      <w:r>
        <w:rPr>
          <w:rFonts w:hint="eastAsia"/>
          <w:sz w:val="21"/>
          <w:szCs w:val="21"/>
        </w:rPr>
        <w:t>（十）清算报告 </w:t>
      </w:r>
    </w:p>
    <w:p w14:paraId="72BBE601">
      <w:pPr>
        <w:pStyle w:val="8"/>
        <w:spacing w:before="0" w:beforeAutospacing="0" w:after="0" w:afterAutospacing="0" w:line="360" w:lineRule="auto"/>
        <w:ind w:firstLine="420"/>
        <w:rPr>
          <w:sz w:val="21"/>
          <w:szCs w:val="21"/>
        </w:rPr>
      </w:pPr>
      <w:r>
        <w:rPr>
          <w:rFonts w:hint="eastAsia"/>
          <w:sz w:val="21"/>
          <w:szCs w:val="21"/>
        </w:rPr>
        <w:t>基金终止运作的，基金管理人应当依法组织基金财产清算小组对基金财产进行清算并作出清算报告。基金财产清算小组应当将清算报告登载在规定网站上，并将清算报告提示性公告登载在规定报刊上。 </w:t>
      </w:r>
    </w:p>
    <w:p w14:paraId="1EE6CB3C">
      <w:pPr>
        <w:pStyle w:val="8"/>
        <w:spacing w:before="0" w:beforeAutospacing="0" w:after="0" w:afterAutospacing="0" w:line="360" w:lineRule="auto"/>
        <w:ind w:firstLine="420"/>
        <w:rPr>
          <w:sz w:val="21"/>
          <w:szCs w:val="21"/>
        </w:rPr>
      </w:pPr>
      <w:r>
        <w:rPr>
          <w:rFonts w:hint="eastAsia"/>
          <w:sz w:val="21"/>
          <w:szCs w:val="21"/>
        </w:rPr>
        <w:t>（十一）投资资产支持证券的信息披露 </w:t>
      </w:r>
    </w:p>
    <w:p w14:paraId="7F02FA9B">
      <w:pPr>
        <w:pStyle w:val="8"/>
        <w:spacing w:before="0" w:beforeAutospacing="0" w:after="0" w:afterAutospacing="0" w:line="360" w:lineRule="auto"/>
        <w:ind w:firstLine="420"/>
        <w:rPr>
          <w:sz w:val="21"/>
          <w:szCs w:val="21"/>
        </w:rPr>
      </w:pPr>
      <w:r>
        <w:rPr>
          <w:rFonts w:hint="eastAsia"/>
          <w:sz w:val="21"/>
          <w:szCs w:val="21"/>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69691350">
      <w:pPr>
        <w:pStyle w:val="8"/>
        <w:spacing w:before="0" w:beforeAutospacing="0" w:after="0" w:afterAutospacing="0" w:line="360" w:lineRule="auto"/>
        <w:ind w:firstLine="420"/>
        <w:rPr>
          <w:sz w:val="21"/>
          <w:szCs w:val="21"/>
        </w:rPr>
      </w:pPr>
      <w:r>
        <w:rPr>
          <w:rFonts w:hint="eastAsia"/>
          <w:sz w:val="21"/>
          <w:szCs w:val="21"/>
        </w:rPr>
        <w:t>（十二）参与股指期货交易的信息披露 </w:t>
      </w:r>
    </w:p>
    <w:p w14:paraId="7CCFCE2C">
      <w:pPr>
        <w:pStyle w:val="8"/>
        <w:spacing w:before="0" w:beforeAutospacing="0" w:after="0" w:afterAutospacing="0" w:line="360" w:lineRule="auto"/>
        <w:ind w:firstLine="420"/>
        <w:rPr>
          <w:sz w:val="21"/>
          <w:szCs w:val="21"/>
        </w:rPr>
      </w:pPr>
      <w:r>
        <w:rPr>
          <w:rFonts w:hint="eastAsia"/>
          <w:sz w:val="21"/>
          <w:szCs w:val="21"/>
        </w:rPr>
        <w:t>基金管理人应当在基金季度报告、基金中期报告、基金年度报告等定期报告和招募说明书（更新）等文件中披露参与股指期货交易情况，包括交易政策、持仓情况、损益情况、风险指标等，并充分揭示股指期货交易对基金总体风险的影响以及是否符合既定的交易政策和交易目标等。  </w:t>
      </w:r>
    </w:p>
    <w:p w14:paraId="534BB448">
      <w:pPr>
        <w:pStyle w:val="8"/>
        <w:spacing w:before="0" w:beforeAutospacing="0" w:after="0" w:afterAutospacing="0" w:line="360" w:lineRule="auto"/>
        <w:ind w:firstLine="420"/>
        <w:rPr>
          <w:sz w:val="21"/>
          <w:szCs w:val="21"/>
        </w:rPr>
      </w:pPr>
      <w:r>
        <w:rPr>
          <w:rFonts w:hint="eastAsia"/>
          <w:sz w:val="21"/>
          <w:szCs w:val="21"/>
        </w:rPr>
        <w:t>（十三）参与国债期货交易的信息披露 </w:t>
      </w:r>
    </w:p>
    <w:p w14:paraId="77B02ED0">
      <w:pPr>
        <w:pStyle w:val="8"/>
        <w:spacing w:before="0" w:beforeAutospacing="0" w:after="0" w:afterAutospacing="0" w:line="360" w:lineRule="auto"/>
        <w:ind w:firstLine="420"/>
        <w:rPr>
          <w:sz w:val="21"/>
          <w:szCs w:val="21"/>
        </w:rPr>
      </w:pPr>
      <w:r>
        <w:rPr>
          <w:rFonts w:hint="eastAsia"/>
          <w:sz w:val="21"/>
          <w:szCs w:val="21"/>
        </w:rPr>
        <w:t>基金管理人应当在基金季度报告、基金中期报告、基金年度报告等定期报告和招募说明书（更新）等文件中披露参与国债期货交易情况，包括交易政策、持仓情况、损益情况、风险指标等，并充分揭示国债期货交易对基金总体风险的影响以及是否符合既定的交易政策和交易目标等。  </w:t>
      </w:r>
    </w:p>
    <w:p w14:paraId="64079270">
      <w:pPr>
        <w:pStyle w:val="8"/>
        <w:spacing w:before="0" w:beforeAutospacing="0" w:after="0" w:afterAutospacing="0" w:line="360" w:lineRule="auto"/>
        <w:ind w:firstLine="420"/>
        <w:rPr>
          <w:sz w:val="21"/>
          <w:szCs w:val="21"/>
        </w:rPr>
      </w:pPr>
      <w:r>
        <w:rPr>
          <w:rFonts w:hint="eastAsia"/>
          <w:sz w:val="21"/>
          <w:szCs w:val="21"/>
        </w:rPr>
        <w:t>（十四）参与股票期权交易的信息披露 </w:t>
      </w:r>
    </w:p>
    <w:p w14:paraId="320D5DC7">
      <w:pPr>
        <w:pStyle w:val="8"/>
        <w:spacing w:before="0" w:beforeAutospacing="0" w:after="0" w:afterAutospacing="0" w:line="360" w:lineRule="auto"/>
        <w:ind w:firstLine="420"/>
        <w:rPr>
          <w:sz w:val="21"/>
          <w:szCs w:val="21"/>
        </w:rPr>
      </w:pPr>
      <w:r>
        <w:rPr>
          <w:rFonts w:hint="eastAsia"/>
          <w:sz w:val="21"/>
          <w:szCs w:val="21"/>
        </w:rPr>
        <w:t>基金管理人应当在基金季度报告、基金中期报告、基金年度报告等定期报告和招募说明书（更新）等文件中披露股票期权交易的有关情况，包括投资政策、持仓情况、损益情况、风险指标、估值方法等，并充分揭示股票期权交易对基金总体风险的影响以及是否符合既定的投资政策和投资目标等。  </w:t>
      </w:r>
    </w:p>
    <w:p w14:paraId="1EB6945A">
      <w:pPr>
        <w:pStyle w:val="8"/>
        <w:spacing w:before="0" w:beforeAutospacing="0" w:after="0" w:afterAutospacing="0" w:line="360" w:lineRule="auto"/>
        <w:ind w:firstLine="420"/>
        <w:rPr>
          <w:sz w:val="21"/>
          <w:szCs w:val="21"/>
        </w:rPr>
      </w:pPr>
      <w:r>
        <w:rPr>
          <w:rFonts w:hint="eastAsia"/>
          <w:sz w:val="21"/>
          <w:szCs w:val="21"/>
        </w:rPr>
        <w:t>（十五）投资港股通标的股票的信息披露 </w:t>
      </w:r>
    </w:p>
    <w:p w14:paraId="21B8A3FB">
      <w:pPr>
        <w:pStyle w:val="8"/>
        <w:spacing w:before="0" w:beforeAutospacing="0" w:after="0" w:afterAutospacing="0" w:line="360" w:lineRule="auto"/>
        <w:ind w:firstLine="420"/>
        <w:rPr>
          <w:sz w:val="21"/>
          <w:szCs w:val="21"/>
        </w:rPr>
      </w:pPr>
      <w:r>
        <w:rPr>
          <w:rFonts w:hint="eastAsia"/>
          <w:sz w:val="21"/>
          <w:szCs w:val="21"/>
        </w:rPr>
        <w:t>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p>
    <w:p w14:paraId="5B390A7B">
      <w:pPr>
        <w:pStyle w:val="8"/>
        <w:spacing w:before="0" w:beforeAutospacing="0" w:after="0" w:afterAutospacing="0" w:line="360" w:lineRule="auto"/>
        <w:ind w:firstLine="420"/>
        <w:rPr>
          <w:sz w:val="21"/>
          <w:szCs w:val="21"/>
        </w:rPr>
      </w:pPr>
      <w:r>
        <w:rPr>
          <w:rFonts w:hint="eastAsia"/>
          <w:sz w:val="21"/>
          <w:szCs w:val="21"/>
        </w:rPr>
        <w:t>（十六）投资信用衍生品的信息披露 </w:t>
      </w:r>
    </w:p>
    <w:p w14:paraId="6EFA1E80">
      <w:pPr>
        <w:pStyle w:val="8"/>
        <w:spacing w:before="0" w:beforeAutospacing="0" w:after="0" w:afterAutospacing="0" w:line="360" w:lineRule="auto"/>
        <w:ind w:firstLine="420"/>
        <w:rPr>
          <w:sz w:val="21"/>
          <w:szCs w:val="21"/>
        </w:rPr>
      </w:pPr>
      <w:r>
        <w:rPr>
          <w:rFonts w:hint="eastAsia"/>
          <w:sz w:val="21"/>
          <w:szCs w:val="21"/>
        </w:rPr>
        <w:t>基金管理人应当在定期报告及招募说明书（更新）等文件中详细披露信用衍生品的投资情况，包括投资策略、持仓情况等，并充分揭示投资信用衍生品对基金总体风险的影响以及是否符合既定的投资目标及策略。  </w:t>
      </w:r>
    </w:p>
    <w:p w14:paraId="25DC1066">
      <w:pPr>
        <w:pStyle w:val="8"/>
        <w:spacing w:before="0" w:beforeAutospacing="0" w:after="0" w:afterAutospacing="0" w:line="360" w:lineRule="auto"/>
        <w:ind w:firstLine="420"/>
        <w:rPr>
          <w:sz w:val="21"/>
          <w:szCs w:val="21"/>
        </w:rPr>
      </w:pPr>
      <w:r>
        <w:rPr>
          <w:rFonts w:hint="eastAsia"/>
          <w:sz w:val="21"/>
          <w:szCs w:val="21"/>
        </w:rPr>
        <w:t>（十七）参与融资业务的信息披露 </w:t>
      </w:r>
    </w:p>
    <w:p w14:paraId="38EBA037">
      <w:pPr>
        <w:pStyle w:val="8"/>
        <w:spacing w:before="0" w:beforeAutospacing="0" w:after="0" w:afterAutospacing="0" w:line="360" w:lineRule="auto"/>
        <w:ind w:firstLine="420"/>
        <w:rPr>
          <w:sz w:val="21"/>
          <w:szCs w:val="21"/>
        </w:rPr>
      </w:pPr>
      <w:r>
        <w:rPr>
          <w:rFonts w:hint="eastAsia"/>
          <w:sz w:val="21"/>
          <w:szCs w:val="21"/>
        </w:rPr>
        <w:t>本基金参与融资业务，基金管理人应在季度报告、中期报告、年度报告等定期报告和招募说明书（更新）等文件中披露参与融资交易情况，包括投资策略、业务开展情况、损益情况、风险及其管理情况等。     </w:t>
      </w:r>
    </w:p>
    <w:p w14:paraId="604D5A0C">
      <w:pPr>
        <w:pStyle w:val="8"/>
        <w:spacing w:before="0" w:beforeAutospacing="0" w:after="0" w:afterAutospacing="0" w:line="360" w:lineRule="auto"/>
        <w:ind w:firstLine="420"/>
        <w:rPr>
          <w:sz w:val="21"/>
          <w:szCs w:val="21"/>
        </w:rPr>
      </w:pPr>
      <w:r>
        <w:rPr>
          <w:rFonts w:hint="eastAsia"/>
          <w:sz w:val="21"/>
          <w:szCs w:val="21"/>
        </w:rPr>
        <w:t>（十八）实施侧袋机制期间的信息披露 </w:t>
      </w:r>
    </w:p>
    <w:p w14:paraId="5595FFA3">
      <w:pPr>
        <w:pStyle w:val="8"/>
        <w:spacing w:before="0" w:beforeAutospacing="0" w:after="0" w:afterAutospacing="0" w:line="360" w:lineRule="auto"/>
        <w:ind w:firstLine="420"/>
        <w:rPr>
          <w:sz w:val="21"/>
          <w:szCs w:val="21"/>
        </w:rPr>
      </w:pPr>
      <w:r>
        <w:rPr>
          <w:rFonts w:hint="eastAsia"/>
          <w:sz w:val="21"/>
          <w:szCs w:val="21"/>
        </w:rPr>
        <w:t>本基金实施侧袋机制的，相关信息披露义务人应当根据法律法规、基金合同和招募说明书的规定进行信息披露，详见招募说明书的规定。 </w:t>
      </w:r>
    </w:p>
    <w:p w14:paraId="78A9837F">
      <w:pPr>
        <w:pStyle w:val="8"/>
        <w:spacing w:before="0" w:beforeAutospacing="0" w:after="0" w:afterAutospacing="0" w:line="360" w:lineRule="auto"/>
        <w:ind w:firstLine="420"/>
        <w:rPr>
          <w:sz w:val="21"/>
          <w:szCs w:val="21"/>
        </w:rPr>
      </w:pPr>
      <w:r>
        <w:rPr>
          <w:rFonts w:hint="eastAsia"/>
          <w:sz w:val="21"/>
          <w:szCs w:val="21"/>
        </w:rPr>
        <w:t>（十九）中国证监会规定的其他信息   </w:t>
      </w:r>
    </w:p>
    <w:p w14:paraId="5A6027BA">
      <w:pPr>
        <w:pStyle w:val="8"/>
        <w:spacing w:before="0" w:beforeAutospacing="0" w:after="0" w:afterAutospacing="0" w:line="360" w:lineRule="auto"/>
        <w:ind w:firstLine="420"/>
        <w:rPr>
          <w:sz w:val="21"/>
          <w:szCs w:val="21"/>
        </w:rPr>
      </w:pPr>
      <w:r>
        <w:rPr>
          <w:rStyle w:val="12"/>
          <w:rFonts w:hint="eastAsia"/>
          <w:sz w:val="21"/>
          <w:szCs w:val="21"/>
        </w:rPr>
        <w:t>六、信息披露事务管理 </w:t>
      </w:r>
    </w:p>
    <w:p w14:paraId="6C010902">
      <w:pPr>
        <w:pStyle w:val="8"/>
        <w:spacing w:before="0" w:beforeAutospacing="0" w:after="0" w:afterAutospacing="0" w:line="360" w:lineRule="auto"/>
        <w:ind w:firstLine="420"/>
        <w:rPr>
          <w:sz w:val="21"/>
          <w:szCs w:val="21"/>
        </w:rPr>
      </w:pPr>
      <w:r>
        <w:rPr>
          <w:rFonts w:hint="eastAsia"/>
          <w:sz w:val="21"/>
          <w:szCs w:val="21"/>
        </w:rPr>
        <w:t>基金管理人、基金托管人应当建立健全信息披露管理制度，指定专门部门及高级管理人员负责管理信息披露事务。 </w:t>
      </w:r>
    </w:p>
    <w:p w14:paraId="3F71CBD6">
      <w:pPr>
        <w:pStyle w:val="8"/>
        <w:spacing w:before="0" w:beforeAutospacing="0" w:after="0" w:afterAutospacing="0" w:line="360" w:lineRule="auto"/>
        <w:ind w:firstLine="420"/>
        <w:rPr>
          <w:sz w:val="21"/>
          <w:szCs w:val="21"/>
        </w:rPr>
      </w:pPr>
      <w:r>
        <w:rPr>
          <w:rFonts w:hint="eastAsia"/>
          <w:sz w:val="21"/>
          <w:szCs w:val="21"/>
        </w:rPr>
        <w:t>基金信息披露义务人公开披露基金信息，应当符合中国证监会相关基金信息披露内容与格式准则等法规规定。  </w:t>
      </w:r>
    </w:p>
    <w:p w14:paraId="26335CBF">
      <w:pPr>
        <w:pStyle w:val="8"/>
        <w:spacing w:before="0" w:beforeAutospacing="0" w:after="0" w:afterAutospacing="0" w:line="360" w:lineRule="auto"/>
        <w:ind w:firstLine="420"/>
        <w:rPr>
          <w:sz w:val="21"/>
          <w:szCs w:val="21"/>
        </w:rPr>
      </w:pPr>
      <w:r>
        <w:rPr>
          <w:rFonts w:hint="eastAsia"/>
          <w:sz w:val="21"/>
          <w:szCs w:val="21"/>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  </w:t>
      </w:r>
    </w:p>
    <w:p w14:paraId="2F5C1C07">
      <w:pPr>
        <w:pStyle w:val="8"/>
        <w:spacing w:before="0" w:beforeAutospacing="0" w:after="0" w:afterAutospacing="0" w:line="360" w:lineRule="auto"/>
        <w:ind w:firstLine="420"/>
        <w:rPr>
          <w:sz w:val="21"/>
          <w:szCs w:val="21"/>
        </w:rPr>
      </w:pPr>
      <w:r>
        <w:rPr>
          <w:rFonts w:hint="eastAsia"/>
          <w:sz w:val="21"/>
          <w:szCs w:val="21"/>
        </w:rPr>
        <w:t>基金管理人、基金托管人应当在规定媒介中选择披露本基金信息的媒介。基金管理人、基金托管人应当向中国证监会基金电子披露网站报送拟披露的基金信息，并保证相关报送信息的真实、准确、完整、及时。  </w:t>
      </w:r>
    </w:p>
    <w:p w14:paraId="2460D974">
      <w:pPr>
        <w:pStyle w:val="8"/>
        <w:spacing w:before="0" w:beforeAutospacing="0" w:after="0" w:afterAutospacing="0" w:line="360" w:lineRule="auto"/>
        <w:ind w:firstLine="420"/>
        <w:rPr>
          <w:sz w:val="21"/>
          <w:szCs w:val="21"/>
        </w:rPr>
      </w:pPr>
      <w:r>
        <w:rPr>
          <w:rFonts w:hint="eastAsia"/>
          <w:sz w:val="21"/>
          <w:szCs w:val="21"/>
        </w:rPr>
        <w:t>为基金信息披露义务人公开披露的基金信息出具审计报告、法律意见书的专业机构，应当制作工作底稿，并将相关档案至少保存到《基金合同》终止后10年。 </w:t>
      </w:r>
    </w:p>
    <w:p w14:paraId="6B66FA22">
      <w:pPr>
        <w:pStyle w:val="8"/>
        <w:spacing w:before="0" w:beforeAutospacing="0" w:after="0" w:afterAutospacing="0" w:line="360" w:lineRule="auto"/>
        <w:ind w:firstLine="420"/>
        <w:rPr>
          <w:sz w:val="21"/>
          <w:szCs w:val="21"/>
        </w:rPr>
      </w:pPr>
      <w:r>
        <w:rPr>
          <w:rStyle w:val="12"/>
          <w:rFonts w:hint="eastAsia"/>
          <w:sz w:val="21"/>
          <w:szCs w:val="21"/>
        </w:rPr>
        <w:t>七、信息披露文件的存放与查阅 </w:t>
      </w:r>
    </w:p>
    <w:p w14:paraId="2CA80589">
      <w:pPr>
        <w:pStyle w:val="8"/>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依法必须披露的信息发布后，基金管理人、基金托管人应当按照相关法律法规规定将信息置备于各自住所，供社会公众查阅、复制。   </w:t>
      </w:r>
    </w:p>
    <w:p w14:paraId="662FC1D5">
      <w:pPr>
        <w:pStyle w:val="8"/>
        <w:spacing w:before="0" w:beforeAutospacing="0" w:after="0" w:afterAutospacing="0" w:line="360" w:lineRule="auto"/>
        <w:ind w:firstLine="420"/>
        <w:rPr>
          <w:sz w:val="21"/>
          <w:szCs w:val="21"/>
        </w:rPr>
      </w:pPr>
      <w:r>
        <w:rPr>
          <w:rStyle w:val="12"/>
          <w:rFonts w:hint="eastAsia"/>
          <w:sz w:val="21"/>
          <w:szCs w:val="21"/>
        </w:rPr>
        <w:t>八、暂停或延迟信息披露的情形 </w:t>
      </w:r>
    </w:p>
    <w:p w14:paraId="4CF7A9AF">
      <w:pPr>
        <w:pStyle w:val="8"/>
        <w:spacing w:before="0" w:beforeAutospacing="0" w:after="0" w:afterAutospacing="0" w:line="360" w:lineRule="auto"/>
        <w:ind w:firstLine="420"/>
        <w:rPr>
          <w:sz w:val="21"/>
          <w:szCs w:val="21"/>
        </w:rPr>
      </w:pPr>
      <w:r>
        <w:rPr>
          <w:rFonts w:hint="eastAsia"/>
          <w:sz w:val="21"/>
          <w:szCs w:val="21"/>
        </w:rPr>
        <w:t>1、不可抗力； </w:t>
      </w:r>
    </w:p>
    <w:p w14:paraId="16FD6F3E">
      <w:pPr>
        <w:pStyle w:val="8"/>
        <w:spacing w:before="0" w:beforeAutospacing="0" w:after="0" w:afterAutospacing="0" w:line="360" w:lineRule="auto"/>
        <w:ind w:firstLine="420"/>
        <w:rPr>
          <w:sz w:val="21"/>
          <w:szCs w:val="21"/>
        </w:rPr>
      </w:pPr>
      <w:r>
        <w:rPr>
          <w:rFonts w:hint="eastAsia"/>
          <w:sz w:val="21"/>
          <w:szCs w:val="21"/>
        </w:rPr>
        <w:t>2、发生暂停估值的情形； </w:t>
      </w:r>
    </w:p>
    <w:p w14:paraId="4B10A064">
      <w:pPr>
        <w:pStyle w:val="8"/>
        <w:spacing w:before="0" w:beforeAutospacing="0" w:after="0" w:afterAutospacing="0" w:line="360" w:lineRule="auto"/>
        <w:ind w:firstLine="420"/>
        <w:rPr>
          <w:sz w:val="21"/>
          <w:szCs w:val="21"/>
        </w:rPr>
      </w:pPr>
      <w:bookmarkStart w:id="163" w:name="chapter_level1_18_67_section_1_end"/>
      <w:bookmarkEnd w:id="163"/>
      <w:r>
        <w:rPr>
          <w:rFonts w:hint="eastAsia"/>
          <w:sz w:val="21"/>
          <w:szCs w:val="21"/>
        </w:rPr>
        <w:t>3、法律法规规定、中国证监会或基金合同认定的其他情形。 </w:t>
      </w:r>
    </w:p>
    <w:p w14:paraId="488B9C06">
      <w:pPr>
        <w:widowControl/>
        <w:jc w:val="left"/>
        <w:rPr>
          <w:rFonts w:ascii="宋体" w:hAnsi="宋体" w:eastAsia="宋体"/>
        </w:rPr>
      </w:pPr>
      <w:r>
        <w:rPr>
          <w:rFonts w:ascii="宋体" w:hAnsi="宋体" w:eastAsia="宋体"/>
        </w:rPr>
        <w:br w:type="page"/>
      </w:r>
    </w:p>
    <w:p w14:paraId="09809079">
      <w:pPr>
        <w:pStyle w:val="3"/>
        <w:jc w:val="center"/>
        <w:rPr>
          <w:rFonts w:ascii="宋体" w:hAnsi="宋体" w:eastAsia="宋体"/>
          <w:sz w:val="30"/>
        </w:rPr>
      </w:pPr>
      <w:bookmarkStart w:id="164" w:name="_Toc213857130"/>
      <w:bookmarkStart w:id="165" w:name="chapter_level1_19_74784"/>
      <w:r>
        <w:rPr>
          <w:rFonts w:hint="eastAsia" w:ascii="宋体" w:hAnsi="宋体" w:eastAsia="宋体"/>
          <w:sz w:val="30"/>
        </w:rPr>
        <w:t>第十六部分 侧袋机制</w:t>
      </w:r>
      <w:bookmarkEnd w:id="164"/>
      <w:bookmarkEnd w:id="165"/>
    </w:p>
    <w:p w14:paraId="77245684">
      <w:pPr>
        <w:pStyle w:val="8"/>
        <w:spacing w:before="0" w:beforeAutospacing="0" w:after="0" w:afterAutospacing="0" w:line="360" w:lineRule="auto"/>
        <w:ind w:firstLine="420"/>
        <w:rPr>
          <w:sz w:val="21"/>
          <w:szCs w:val="21"/>
        </w:rPr>
      </w:pPr>
      <w:bookmarkStart w:id="166" w:name="chapter_level1_19_74784_section_1"/>
      <w:bookmarkEnd w:id="166"/>
      <w:r>
        <w:rPr>
          <w:rStyle w:val="12"/>
          <w:rFonts w:hint="eastAsia"/>
          <w:sz w:val="21"/>
          <w:szCs w:val="21"/>
        </w:rPr>
        <w:t>一、侧袋机制的实施条件、实施程序和特定资产范围  </w:t>
      </w:r>
    </w:p>
    <w:p w14:paraId="7FFB507D">
      <w:pPr>
        <w:pStyle w:val="8"/>
        <w:spacing w:before="0" w:beforeAutospacing="0" w:after="0" w:afterAutospacing="0" w:line="360" w:lineRule="auto"/>
        <w:ind w:firstLine="420"/>
        <w:rPr>
          <w:sz w:val="21"/>
          <w:szCs w:val="21"/>
        </w:rPr>
      </w:pPr>
      <w:r>
        <w:rPr>
          <w:rFonts w:hint="eastAsia"/>
          <w:sz w:val="21"/>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w:t>
      </w:r>
    </w:p>
    <w:p w14:paraId="1CC4382A">
      <w:pPr>
        <w:pStyle w:val="8"/>
        <w:spacing w:before="0" w:beforeAutospacing="0" w:after="0" w:afterAutospacing="0" w:line="360" w:lineRule="auto"/>
        <w:ind w:firstLine="420"/>
        <w:rPr>
          <w:sz w:val="21"/>
          <w:szCs w:val="21"/>
        </w:rPr>
      </w:pPr>
      <w:r>
        <w:rPr>
          <w:rFonts w:hint="eastAsia"/>
          <w:sz w:val="21"/>
          <w:szCs w:val="21"/>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13DBEC00">
      <w:pPr>
        <w:pStyle w:val="8"/>
        <w:spacing w:before="0" w:beforeAutospacing="0" w:after="0" w:afterAutospacing="0" w:line="360" w:lineRule="auto"/>
        <w:ind w:firstLine="420"/>
        <w:rPr>
          <w:sz w:val="21"/>
          <w:szCs w:val="21"/>
        </w:rPr>
      </w:pPr>
      <w:r>
        <w:rPr>
          <w:rStyle w:val="12"/>
          <w:rFonts w:hint="eastAsia"/>
          <w:sz w:val="21"/>
          <w:szCs w:val="21"/>
        </w:rPr>
        <w:t>二、侧袋机制实施期间的基金运作安排</w:t>
      </w:r>
    </w:p>
    <w:p w14:paraId="1C960990">
      <w:pPr>
        <w:pStyle w:val="8"/>
        <w:spacing w:before="0" w:beforeAutospacing="0" w:after="0" w:afterAutospacing="0" w:line="360" w:lineRule="auto"/>
        <w:ind w:firstLine="420"/>
        <w:rPr>
          <w:sz w:val="21"/>
          <w:szCs w:val="21"/>
        </w:rPr>
      </w:pPr>
      <w:r>
        <w:rPr>
          <w:rFonts w:hint="eastAsia"/>
          <w:sz w:val="21"/>
          <w:szCs w:val="21"/>
        </w:rPr>
        <w:t>（一）基金份额的申购与赎回</w:t>
      </w:r>
    </w:p>
    <w:p w14:paraId="28D98900">
      <w:pPr>
        <w:pStyle w:val="8"/>
        <w:spacing w:before="0" w:beforeAutospacing="0" w:after="0" w:afterAutospacing="0" w:line="360" w:lineRule="auto"/>
        <w:ind w:firstLine="420"/>
        <w:rPr>
          <w:sz w:val="21"/>
          <w:szCs w:val="21"/>
        </w:rPr>
      </w:pPr>
      <w:r>
        <w:rPr>
          <w:rFonts w:hint="eastAsia"/>
          <w:sz w:val="21"/>
          <w:szCs w:val="21"/>
        </w:rPr>
        <w:t>1、侧袋机制实施期间，基金管理人不办理侧袋账户基金份额的申购、赎回和转换。基金份额持有人申请申购、赎回或转换侧袋账户份额的，该申购、赎回或转换申请将被拒绝。</w:t>
      </w:r>
    </w:p>
    <w:p w14:paraId="447EA9DA">
      <w:pPr>
        <w:pStyle w:val="8"/>
        <w:spacing w:before="0" w:beforeAutospacing="0" w:after="0" w:afterAutospacing="0" w:line="360" w:lineRule="auto"/>
        <w:ind w:firstLine="420"/>
        <w:rPr>
          <w:sz w:val="21"/>
          <w:szCs w:val="21"/>
        </w:rPr>
      </w:pPr>
      <w:r>
        <w:rPr>
          <w:rFonts w:hint="eastAsia"/>
          <w:sz w:val="21"/>
          <w:szCs w:val="21"/>
        </w:rPr>
        <w:t>2、当特定资产占前一估值日基金资产净值50%以上的，经与基金托管人协商确认后，基金管理人应当暂停基金估值，并暂停接受基金申购赎回申请或延缓支付赎回款项。</w:t>
      </w:r>
    </w:p>
    <w:p w14:paraId="2224E0CC">
      <w:pPr>
        <w:pStyle w:val="8"/>
        <w:spacing w:before="0" w:beforeAutospacing="0" w:after="0" w:afterAutospacing="0" w:line="360" w:lineRule="auto"/>
        <w:ind w:firstLine="420"/>
        <w:rPr>
          <w:sz w:val="21"/>
          <w:szCs w:val="21"/>
        </w:rPr>
      </w:pPr>
      <w:r>
        <w:rPr>
          <w:rFonts w:hint="eastAsia"/>
          <w:sz w:val="21"/>
          <w:szCs w:val="21"/>
        </w:rPr>
        <w:t>3、基金管理人依法保障主袋账户份额持有人享有基金合同约定的赎回权利，并根据主袋账户运作情况合理确定申购事项，具体事项届时由基金管理人在相关公告中规定。</w:t>
      </w:r>
    </w:p>
    <w:p w14:paraId="6F21F581">
      <w:pPr>
        <w:pStyle w:val="8"/>
        <w:spacing w:before="0" w:beforeAutospacing="0" w:after="0" w:afterAutospacing="0" w:line="360" w:lineRule="auto"/>
        <w:ind w:firstLine="420"/>
        <w:rPr>
          <w:sz w:val="21"/>
          <w:szCs w:val="21"/>
        </w:rPr>
      </w:pPr>
      <w:r>
        <w:rPr>
          <w:rFonts w:hint="eastAsia"/>
          <w:sz w:val="21"/>
          <w:szCs w:val="21"/>
        </w:rPr>
        <w:t>对于启用侧袋机制当日收到的赎回申请，基金管理人仅办理主袋账户的赎回申请并支付赎回款项。在启用侧袋机制当日收到的申购申请，视为投资者对侧袋机制启用后的主袋账户提交的申购申请。</w:t>
      </w:r>
    </w:p>
    <w:p w14:paraId="55635ADC">
      <w:pPr>
        <w:pStyle w:val="8"/>
        <w:spacing w:before="0" w:beforeAutospacing="0" w:after="0" w:afterAutospacing="0" w:line="360" w:lineRule="auto"/>
        <w:ind w:firstLine="420"/>
        <w:rPr>
          <w:sz w:val="21"/>
          <w:szCs w:val="21"/>
        </w:rPr>
      </w:pPr>
      <w:r>
        <w:rPr>
          <w:rFonts w:hint="eastAsia"/>
          <w:sz w:val="21"/>
          <w:szCs w:val="21"/>
        </w:rPr>
        <w:t>（二）基金份额的登记</w:t>
      </w:r>
    </w:p>
    <w:p w14:paraId="10E81366">
      <w:pPr>
        <w:pStyle w:val="8"/>
        <w:spacing w:before="0" w:beforeAutospacing="0" w:after="0" w:afterAutospacing="0" w:line="360" w:lineRule="auto"/>
        <w:ind w:firstLine="420"/>
        <w:rPr>
          <w:sz w:val="21"/>
          <w:szCs w:val="21"/>
        </w:rPr>
      </w:pPr>
      <w:r>
        <w:rPr>
          <w:rFonts w:hint="eastAsia"/>
          <w:sz w:val="21"/>
          <w:szCs w:val="21"/>
        </w:rPr>
        <w:t>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w:t>
      </w:r>
    </w:p>
    <w:p w14:paraId="6291C9B0">
      <w:pPr>
        <w:pStyle w:val="8"/>
        <w:spacing w:before="0" w:beforeAutospacing="0" w:after="0" w:afterAutospacing="0" w:line="360" w:lineRule="auto"/>
        <w:ind w:firstLine="420"/>
        <w:rPr>
          <w:sz w:val="21"/>
          <w:szCs w:val="21"/>
        </w:rPr>
      </w:pPr>
      <w:r>
        <w:rPr>
          <w:rFonts w:hint="eastAsia"/>
          <w:sz w:val="21"/>
          <w:szCs w:val="21"/>
        </w:rPr>
        <w:t>启用侧袋机制当日，基金管理人和基金服务机构将以基金份额持有人的原有账户份额为基础，确认相应侧袋账户持有人名册和份额。</w:t>
      </w:r>
    </w:p>
    <w:p w14:paraId="37F3D3DD">
      <w:pPr>
        <w:pStyle w:val="8"/>
        <w:spacing w:before="0" w:beforeAutospacing="0" w:after="0" w:afterAutospacing="0" w:line="360" w:lineRule="auto"/>
        <w:ind w:firstLine="420"/>
        <w:rPr>
          <w:sz w:val="21"/>
          <w:szCs w:val="21"/>
        </w:rPr>
      </w:pPr>
      <w:r>
        <w:rPr>
          <w:rFonts w:hint="eastAsia"/>
          <w:sz w:val="21"/>
          <w:szCs w:val="21"/>
        </w:rPr>
        <w:t>侧袋账户资产完全清算后，基金管理人将注销侧袋账户。</w:t>
      </w:r>
    </w:p>
    <w:p w14:paraId="7DB5D8BD">
      <w:pPr>
        <w:pStyle w:val="8"/>
        <w:spacing w:before="0" w:beforeAutospacing="0" w:after="0" w:afterAutospacing="0" w:line="360" w:lineRule="auto"/>
        <w:ind w:firstLine="420"/>
        <w:rPr>
          <w:sz w:val="21"/>
          <w:szCs w:val="21"/>
        </w:rPr>
      </w:pPr>
      <w:r>
        <w:rPr>
          <w:rFonts w:hint="eastAsia"/>
          <w:sz w:val="21"/>
          <w:szCs w:val="21"/>
        </w:rPr>
        <w:t>（三）基金的投资及业绩</w:t>
      </w:r>
    </w:p>
    <w:p w14:paraId="320EC69C">
      <w:pPr>
        <w:pStyle w:val="8"/>
        <w:spacing w:before="0" w:beforeAutospacing="0" w:after="0" w:afterAutospacing="0" w:line="360" w:lineRule="auto"/>
        <w:ind w:firstLine="420"/>
        <w:rPr>
          <w:sz w:val="21"/>
          <w:szCs w:val="21"/>
        </w:rPr>
      </w:pPr>
      <w:r>
        <w:rPr>
          <w:rFonts w:hint="eastAsia"/>
          <w:sz w:val="21"/>
          <w:szCs w:val="21"/>
        </w:rPr>
        <w:t>侧袋机制实施期间，本基金的各项投资运作指标和基金业绩指标应当以主袋账户资产为基准。基金管理人不得在侧袋账户中进行除特定资产处置变现以外的其他投资操作。</w:t>
      </w:r>
    </w:p>
    <w:p w14:paraId="516EC1C7">
      <w:pPr>
        <w:pStyle w:val="8"/>
        <w:spacing w:before="0" w:beforeAutospacing="0" w:after="0" w:afterAutospacing="0" w:line="360" w:lineRule="auto"/>
        <w:ind w:firstLine="420"/>
        <w:rPr>
          <w:sz w:val="21"/>
          <w:szCs w:val="21"/>
        </w:rPr>
      </w:pPr>
      <w:r>
        <w:rPr>
          <w:rFonts w:hint="eastAsia"/>
          <w:sz w:val="21"/>
          <w:szCs w:val="21"/>
        </w:rPr>
        <w:t>基金管理人、基金服务机构在展示基金业绩时，将就前述情况进行充分的解释说明，避免引起投资者误解。</w:t>
      </w:r>
    </w:p>
    <w:p w14:paraId="73734E25">
      <w:pPr>
        <w:pStyle w:val="8"/>
        <w:spacing w:before="0" w:beforeAutospacing="0" w:after="0" w:afterAutospacing="0" w:line="360" w:lineRule="auto"/>
        <w:ind w:firstLine="420"/>
        <w:rPr>
          <w:sz w:val="21"/>
          <w:szCs w:val="21"/>
        </w:rPr>
      </w:pPr>
      <w:r>
        <w:rPr>
          <w:rFonts w:hint="eastAsia"/>
          <w:sz w:val="21"/>
          <w:szCs w:val="21"/>
        </w:rPr>
        <w:t>基金管理人原则上应当在侧袋机制启用后20个交易日内完成对主袋账户投资组合的调整，但因资产流动性受限等中国证监会规定的情形除外。</w:t>
      </w:r>
    </w:p>
    <w:p w14:paraId="0C6B492A">
      <w:pPr>
        <w:pStyle w:val="8"/>
        <w:spacing w:before="0" w:beforeAutospacing="0" w:after="0" w:afterAutospacing="0" w:line="360" w:lineRule="auto"/>
        <w:ind w:firstLine="420"/>
        <w:rPr>
          <w:sz w:val="21"/>
          <w:szCs w:val="21"/>
        </w:rPr>
      </w:pPr>
      <w:r>
        <w:rPr>
          <w:rFonts w:hint="eastAsia"/>
          <w:sz w:val="21"/>
          <w:szCs w:val="21"/>
        </w:rPr>
        <w:t>（四）基金的估值</w:t>
      </w:r>
    </w:p>
    <w:p w14:paraId="4E86A593">
      <w:pPr>
        <w:pStyle w:val="8"/>
        <w:spacing w:before="0" w:beforeAutospacing="0" w:after="0" w:afterAutospacing="0" w:line="360" w:lineRule="auto"/>
        <w:ind w:firstLine="420"/>
        <w:rPr>
          <w:sz w:val="21"/>
          <w:szCs w:val="21"/>
        </w:rPr>
      </w:pPr>
      <w:r>
        <w:rPr>
          <w:rFonts w:hint="eastAsia"/>
          <w:sz w:val="21"/>
          <w:szCs w:val="21"/>
        </w:rPr>
        <w:t>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w:t>
      </w:r>
    </w:p>
    <w:p w14:paraId="2044D936">
      <w:pPr>
        <w:pStyle w:val="8"/>
        <w:spacing w:before="0" w:beforeAutospacing="0" w:after="0" w:afterAutospacing="0" w:line="360" w:lineRule="auto"/>
        <w:ind w:firstLine="420"/>
        <w:rPr>
          <w:sz w:val="21"/>
          <w:szCs w:val="21"/>
        </w:rPr>
      </w:pPr>
      <w:r>
        <w:rPr>
          <w:rFonts w:hint="eastAsia"/>
          <w:sz w:val="21"/>
          <w:szCs w:val="21"/>
        </w:rPr>
        <w:t>侧袋机制实施期间，基金管理人将对侧袋账户单独设置账套，实行独立核算。如果本基金同时存在多个侧袋账户，不同侧袋账户将分开进行核算。侧袋账户的会计核算应符合《企业会计准则》的相关要求。</w:t>
      </w:r>
    </w:p>
    <w:p w14:paraId="4CFCA6DA">
      <w:pPr>
        <w:pStyle w:val="8"/>
        <w:spacing w:before="0" w:beforeAutospacing="0" w:after="0" w:afterAutospacing="0" w:line="360" w:lineRule="auto"/>
        <w:ind w:firstLine="420"/>
        <w:rPr>
          <w:sz w:val="21"/>
          <w:szCs w:val="21"/>
        </w:rPr>
      </w:pPr>
      <w:r>
        <w:rPr>
          <w:rFonts w:hint="eastAsia"/>
          <w:sz w:val="21"/>
          <w:szCs w:val="21"/>
        </w:rPr>
        <w:t>（五）基金的费用</w:t>
      </w:r>
    </w:p>
    <w:p w14:paraId="511F4C7E">
      <w:pPr>
        <w:pStyle w:val="8"/>
        <w:spacing w:before="0" w:beforeAutospacing="0" w:after="0" w:afterAutospacing="0" w:line="360" w:lineRule="auto"/>
        <w:ind w:firstLine="420"/>
        <w:rPr>
          <w:sz w:val="21"/>
          <w:szCs w:val="21"/>
        </w:rPr>
      </w:pPr>
      <w:r>
        <w:rPr>
          <w:rFonts w:hint="eastAsia"/>
          <w:sz w:val="21"/>
          <w:szCs w:val="21"/>
        </w:rPr>
        <w:t>侧袋机制实施期间，侧袋账户资产不收取基金管理费。如法律法规或监管机构对于侧袋账户基金托管费和销售服务费的收取另有规定的，以法律法规或监管机构最新要求为准。因启用侧袋机制产生的咨询、审计费用等由基金管理人承担。</w:t>
      </w:r>
    </w:p>
    <w:p w14:paraId="4C6018E2">
      <w:pPr>
        <w:pStyle w:val="8"/>
        <w:spacing w:before="0" w:beforeAutospacing="0" w:after="0" w:afterAutospacing="0" w:line="360" w:lineRule="auto"/>
        <w:ind w:firstLine="420"/>
        <w:rPr>
          <w:sz w:val="21"/>
          <w:szCs w:val="21"/>
        </w:rPr>
      </w:pPr>
      <w:r>
        <w:rPr>
          <w:rFonts w:hint="eastAsia"/>
          <w:sz w:val="21"/>
          <w:szCs w:val="21"/>
        </w:rPr>
        <w:t>基金管理人可以将与侧袋账户有关的费用从侧袋账户资产中列支，但应待特定资产变现后方可列支。</w:t>
      </w:r>
    </w:p>
    <w:p w14:paraId="4323712A">
      <w:pPr>
        <w:pStyle w:val="8"/>
        <w:spacing w:before="0" w:beforeAutospacing="0" w:after="0" w:afterAutospacing="0" w:line="360" w:lineRule="auto"/>
        <w:ind w:firstLine="420"/>
        <w:rPr>
          <w:sz w:val="21"/>
          <w:szCs w:val="21"/>
        </w:rPr>
      </w:pPr>
      <w:r>
        <w:rPr>
          <w:rFonts w:hint="eastAsia"/>
          <w:sz w:val="21"/>
          <w:szCs w:val="21"/>
        </w:rPr>
        <w:t>（六）基金的收益分配</w:t>
      </w:r>
    </w:p>
    <w:p w14:paraId="0F337E6F">
      <w:pPr>
        <w:pStyle w:val="8"/>
        <w:spacing w:before="0" w:beforeAutospacing="0" w:after="0" w:afterAutospacing="0" w:line="360" w:lineRule="auto"/>
        <w:ind w:firstLine="420"/>
        <w:rPr>
          <w:sz w:val="21"/>
          <w:szCs w:val="21"/>
        </w:rPr>
      </w:pPr>
      <w:r>
        <w:rPr>
          <w:rFonts w:hint="eastAsia"/>
          <w:sz w:val="21"/>
          <w:szCs w:val="21"/>
        </w:rPr>
        <w:t>侧袋机制实施期间，在主袋账户份额满足基金合同收益分配条件的情形下，基金管理人可对主袋账户份额进行收益分配。侧袋账户份额不再适用基金合同的收益与分配条款。</w:t>
      </w:r>
    </w:p>
    <w:p w14:paraId="7F86F346">
      <w:pPr>
        <w:pStyle w:val="8"/>
        <w:spacing w:before="0" w:beforeAutospacing="0" w:after="0" w:afterAutospacing="0" w:line="360" w:lineRule="auto"/>
        <w:ind w:firstLine="420"/>
        <w:rPr>
          <w:sz w:val="21"/>
          <w:szCs w:val="21"/>
        </w:rPr>
      </w:pPr>
      <w:r>
        <w:rPr>
          <w:rFonts w:hint="eastAsia"/>
          <w:sz w:val="21"/>
          <w:szCs w:val="21"/>
        </w:rPr>
        <w:t>（七）基金的信息披露</w:t>
      </w:r>
    </w:p>
    <w:p w14:paraId="693C218B">
      <w:pPr>
        <w:pStyle w:val="8"/>
        <w:spacing w:before="0" w:beforeAutospacing="0" w:after="0" w:afterAutospacing="0" w:line="360" w:lineRule="auto"/>
        <w:ind w:firstLine="420"/>
        <w:rPr>
          <w:sz w:val="21"/>
          <w:szCs w:val="21"/>
        </w:rPr>
      </w:pPr>
      <w:r>
        <w:rPr>
          <w:rFonts w:hint="eastAsia"/>
          <w:sz w:val="21"/>
          <w:szCs w:val="21"/>
        </w:rPr>
        <w:t>1、基金净值信息</w:t>
      </w:r>
    </w:p>
    <w:p w14:paraId="1D2CCA7E">
      <w:pPr>
        <w:pStyle w:val="8"/>
        <w:spacing w:before="0" w:beforeAutospacing="0" w:after="0" w:afterAutospacing="0" w:line="360" w:lineRule="auto"/>
        <w:ind w:firstLine="420"/>
        <w:rPr>
          <w:sz w:val="21"/>
          <w:szCs w:val="21"/>
        </w:rPr>
      </w:pPr>
      <w:r>
        <w:rPr>
          <w:rFonts w:hint="eastAsia"/>
          <w:sz w:val="21"/>
          <w:szCs w:val="21"/>
        </w:rPr>
        <w:t>侧袋机制实施期间，基金管理人应当暂停披露侧袋账户的基金净值信息。</w:t>
      </w:r>
    </w:p>
    <w:p w14:paraId="38B86581">
      <w:pPr>
        <w:pStyle w:val="8"/>
        <w:spacing w:before="0" w:beforeAutospacing="0" w:after="0" w:afterAutospacing="0" w:line="360" w:lineRule="auto"/>
        <w:ind w:firstLine="420"/>
        <w:rPr>
          <w:sz w:val="21"/>
          <w:szCs w:val="21"/>
        </w:rPr>
      </w:pPr>
      <w:r>
        <w:rPr>
          <w:rFonts w:hint="eastAsia"/>
          <w:sz w:val="21"/>
          <w:szCs w:val="21"/>
        </w:rPr>
        <w:t>2、定期报告</w:t>
      </w:r>
    </w:p>
    <w:p w14:paraId="3B5686D7">
      <w:pPr>
        <w:pStyle w:val="8"/>
        <w:spacing w:before="0" w:beforeAutospacing="0" w:after="0" w:afterAutospacing="0" w:line="360" w:lineRule="auto"/>
        <w:ind w:firstLine="420"/>
        <w:rPr>
          <w:sz w:val="21"/>
          <w:szCs w:val="21"/>
        </w:rPr>
      </w:pPr>
      <w:r>
        <w:rPr>
          <w:rFonts w:hint="eastAsia"/>
          <w:sz w:val="21"/>
          <w:szCs w:val="21"/>
        </w:rPr>
        <w:t>侧袋机制实施期间，基金定期报告中的基金会计报表仅需针对主袋账户进行编制。侧袋账户相关信息在定期报告中单独进行披露，包括但不限于：</w:t>
      </w:r>
    </w:p>
    <w:p w14:paraId="359197FD">
      <w:pPr>
        <w:pStyle w:val="8"/>
        <w:spacing w:before="0" w:beforeAutospacing="0" w:after="0" w:afterAutospacing="0" w:line="360" w:lineRule="auto"/>
        <w:ind w:firstLine="420"/>
        <w:rPr>
          <w:sz w:val="21"/>
          <w:szCs w:val="21"/>
        </w:rPr>
      </w:pPr>
      <w:r>
        <w:rPr>
          <w:rFonts w:hint="eastAsia"/>
          <w:sz w:val="21"/>
          <w:szCs w:val="21"/>
        </w:rPr>
        <w:t>（1）侧袋账户的基金代码、基金名称、侧袋账户成立日期等基本信息；</w:t>
      </w:r>
    </w:p>
    <w:p w14:paraId="329A270B">
      <w:pPr>
        <w:pStyle w:val="8"/>
        <w:spacing w:before="0" w:beforeAutospacing="0" w:after="0" w:afterAutospacing="0" w:line="360" w:lineRule="auto"/>
        <w:ind w:firstLine="420"/>
        <w:rPr>
          <w:sz w:val="21"/>
          <w:szCs w:val="21"/>
        </w:rPr>
      </w:pPr>
      <w:r>
        <w:rPr>
          <w:rFonts w:hint="eastAsia"/>
          <w:sz w:val="21"/>
          <w:szCs w:val="21"/>
        </w:rPr>
        <w:t>（2）侧袋账户的初始资产、初始负债；</w:t>
      </w:r>
    </w:p>
    <w:p w14:paraId="62DAC7FA">
      <w:pPr>
        <w:pStyle w:val="8"/>
        <w:spacing w:before="0" w:beforeAutospacing="0" w:after="0" w:afterAutospacing="0" w:line="360" w:lineRule="auto"/>
        <w:ind w:firstLine="420"/>
        <w:rPr>
          <w:sz w:val="21"/>
          <w:szCs w:val="21"/>
        </w:rPr>
      </w:pPr>
      <w:r>
        <w:rPr>
          <w:rFonts w:hint="eastAsia"/>
          <w:sz w:val="21"/>
          <w:szCs w:val="21"/>
        </w:rPr>
        <w:t>（3）特定资产的名称、代码、发行人等基本信息；</w:t>
      </w:r>
    </w:p>
    <w:p w14:paraId="006A8D10">
      <w:pPr>
        <w:pStyle w:val="8"/>
        <w:spacing w:before="0" w:beforeAutospacing="0" w:after="0" w:afterAutospacing="0" w:line="360" w:lineRule="auto"/>
        <w:ind w:firstLine="420"/>
        <w:rPr>
          <w:sz w:val="21"/>
          <w:szCs w:val="21"/>
        </w:rPr>
      </w:pPr>
      <w:r>
        <w:rPr>
          <w:rFonts w:hint="eastAsia"/>
          <w:sz w:val="21"/>
          <w:szCs w:val="21"/>
        </w:rPr>
        <w:t>（4）报告期内的特定资产处置进展情况、与处置特定资产相关的费用情况及其他与特定资产状况相关的信息；</w:t>
      </w:r>
    </w:p>
    <w:p w14:paraId="00C7761C">
      <w:pPr>
        <w:pStyle w:val="8"/>
        <w:spacing w:before="0" w:beforeAutospacing="0" w:after="0" w:afterAutospacing="0" w:line="360" w:lineRule="auto"/>
        <w:ind w:firstLine="420"/>
        <w:rPr>
          <w:sz w:val="21"/>
          <w:szCs w:val="21"/>
        </w:rPr>
      </w:pPr>
      <w:r>
        <w:rPr>
          <w:rFonts w:hint="eastAsia"/>
          <w:sz w:val="21"/>
          <w:szCs w:val="21"/>
        </w:rPr>
        <w:t>（5）可根据特定资产处置进展情况披露特定资产的可变现净值或净值参考区间，该净值或净值区间并不代表特定资产最终的变现价格，不作为基金管理人对特定资产最终变现价格的承诺；</w:t>
      </w:r>
    </w:p>
    <w:p w14:paraId="783B6DFC">
      <w:pPr>
        <w:pStyle w:val="8"/>
        <w:spacing w:before="0" w:beforeAutospacing="0" w:after="0" w:afterAutospacing="0" w:line="360" w:lineRule="auto"/>
        <w:ind w:firstLine="420"/>
        <w:rPr>
          <w:sz w:val="21"/>
          <w:szCs w:val="21"/>
        </w:rPr>
      </w:pPr>
      <w:r>
        <w:rPr>
          <w:rFonts w:hint="eastAsia"/>
          <w:sz w:val="21"/>
          <w:szCs w:val="21"/>
        </w:rPr>
        <w:t>（6）可能对投资者利益存在重大影响的其他情况及相关风险提示。</w:t>
      </w:r>
    </w:p>
    <w:p w14:paraId="5151EEC0">
      <w:pPr>
        <w:pStyle w:val="8"/>
        <w:spacing w:before="0" w:beforeAutospacing="0" w:after="0" w:afterAutospacing="0" w:line="360" w:lineRule="auto"/>
        <w:ind w:firstLine="420"/>
        <w:rPr>
          <w:sz w:val="21"/>
          <w:szCs w:val="21"/>
        </w:rPr>
      </w:pPr>
      <w:r>
        <w:rPr>
          <w:rFonts w:hint="eastAsia"/>
          <w:sz w:val="21"/>
          <w:szCs w:val="21"/>
        </w:rPr>
        <w:t>3、临时报告</w:t>
      </w:r>
    </w:p>
    <w:p w14:paraId="46D4918F">
      <w:pPr>
        <w:pStyle w:val="8"/>
        <w:spacing w:before="0" w:beforeAutospacing="0" w:after="0" w:afterAutospacing="0" w:line="360" w:lineRule="auto"/>
        <w:ind w:firstLine="420"/>
        <w:rPr>
          <w:sz w:val="21"/>
          <w:szCs w:val="21"/>
        </w:rPr>
      </w:pPr>
      <w:r>
        <w:rPr>
          <w:rFonts w:hint="eastAsia"/>
          <w:sz w:val="21"/>
          <w:szCs w:val="21"/>
        </w:rPr>
        <w:t>基金管理人在启用侧袋机制、处置特定资产、终止侧袋机制以及发生其他可能对投资者利益产生重大影响的事项后应及时发布临时公告。</w:t>
      </w:r>
    </w:p>
    <w:p w14:paraId="11A71691">
      <w:pPr>
        <w:pStyle w:val="8"/>
        <w:spacing w:before="0" w:beforeAutospacing="0" w:after="0" w:afterAutospacing="0" w:line="360" w:lineRule="auto"/>
        <w:ind w:firstLine="420"/>
        <w:rPr>
          <w:sz w:val="21"/>
          <w:szCs w:val="21"/>
        </w:rPr>
      </w:pPr>
      <w:r>
        <w:rPr>
          <w:rFonts w:hint="eastAsia"/>
          <w:sz w:val="21"/>
          <w:szCs w:val="21"/>
        </w:rPr>
        <w:t>启用侧袋机制的临时公告内容应当包括启用原因及程序、特定资产流动性和估值情况、对投资者申购赎回的影响、风险提示等重要信息。</w:t>
      </w:r>
    </w:p>
    <w:p w14:paraId="3663B110">
      <w:pPr>
        <w:pStyle w:val="8"/>
        <w:spacing w:before="0" w:beforeAutospacing="0" w:after="0" w:afterAutospacing="0" w:line="360" w:lineRule="auto"/>
        <w:ind w:firstLine="420"/>
        <w:rPr>
          <w:sz w:val="21"/>
          <w:szCs w:val="21"/>
        </w:rPr>
      </w:pPr>
      <w:r>
        <w:rPr>
          <w:rFonts w:hint="eastAsia"/>
          <w:sz w:val="21"/>
          <w:szCs w:val="21"/>
        </w:rPr>
        <w:t>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w:t>
      </w:r>
    </w:p>
    <w:p w14:paraId="1370BB66">
      <w:pPr>
        <w:pStyle w:val="8"/>
        <w:spacing w:before="0" w:beforeAutospacing="0" w:after="0" w:afterAutospacing="0" w:line="360" w:lineRule="auto"/>
        <w:ind w:firstLine="420"/>
        <w:rPr>
          <w:sz w:val="21"/>
          <w:szCs w:val="21"/>
        </w:rPr>
      </w:pPr>
      <w:r>
        <w:rPr>
          <w:rFonts w:hint="eastAsia"/>
          <w:sz w:val="21"/>
          <w:szCs w:val="21"/>
        </w:rPr>
        <w:t>（八）特定资产处置清算</w:t>
      </w:r>
    </w:p>
    <w:p w14:paraId="79BA7C99">
      <w:pPr>
        <w:pStyle w:val="8"/>
        <w:spacing w:before="0" w:beforeAutospacing="0" w:after="0" w:afterAutospacing="0" w:line="360" w:lineRule="auto"/>
        <w:ind w:firstLine="420"/>
        <w:rPr>
          <w:sz w:val="21"/>
          <w:szCs w:val="21"/>
        </w:rPr>
      </w:pPr>
      <w:r>
        <w:rPr>
          <w:rFonts w:hint="eastAsia"/>
          <w:sz w:val="21"/>
          <w:szCs w:val="21"/>
        </w:rPr>
        <w:t>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w:t>
      </w:r>
    </w:p>
    <w:p w14:paraId="1709B2D3">
      <w:pPr>
        <w:pStyle w:val="8"/>
        <w:spacing w:before="0" w:beforeAutospacing="0" w:after="0" w:afterAutospacing="0" w:line="360" w:lineRule="auto"/>
        <w:ind w:firstLine="420"/>
        <w:rPr>
          <w:sz w:val="21"/>
          <w:szCs w:val="21"/>
        </w:rPr>
      </w:pPr>
      <w:r>
        <w:rPr>
          <w:rFonts w:hint="eastAsia"/>
          <w:sz w:val="21"/>
          <w:szCs w:val="21"/>
        </w:rPr>
        <w:t>（九）侧袋的审计</w:t>
      </w:r>
    </w:p>
    <w:p w14:paraId="45F8BCE8">
      <w:pPr>
        <w:pStyle w:val="8"/>
        <w:spacing w:before="0" w:beforeAutospacing="0" w:after="0" w:afterAutospacing="0" w:line="360" w:lineRule="auto"/>
        <w:ind w:firstLine="420"/>
        <w:rPr>
          <w:sz w:val="21"/>
          <w:szCs w:val="21"/>
        </w:rPr>
      </w:pPr>
      <w:r>
        <w:rPr>
          <w:rFonts w:hint="eastAsia"/>
          <w:sz w:val="21"/>
          <w:szCs w:val="21"/>
        </w:rPr>
        <w:t>基金管理人应当在启用侧袋机制和终止侧袋机制后，及时聘请符合《证券法》规定的会计师事务所进行审计并披露专项审计意见，具体如下：</w:t>
      </w:r>
    </w:p>
    <w:p w14:paraId="5E6C5E06">
      <w:pPr>
        <w:pStyle w:val="8"/>
        <w:spacing w:before="0" w:beforeAutospacing="0" w:after="0" w:afterAutospacing="0" w:line="360" w:lineRule="auto"/>
        <w:ind w:firstLine="420"/>
        <w:rPr>
          <w:sz w:val="21"/>
          <w:szCs w:val="21"/>
        </w:rPr>
      </w:pPr>
      <w:r>
        <w:rPr>
          <w:rFonts w:hint="eastAsia"/>
          <w:sz w:val="21"/>
          <w:szCs w:val="21"/>
        </w:rPr>
        <w:t>基金管理人应当在启用侧袋机制时，就特定资产认定的相关事宜取得符合《证券法》规定的会计师事务所的专业意见。</w:t>
      </w:r>
    </w:p>
    <w:p w14:paraId="21D633B8">
      <w:pPr>
        <w:pStyle w:val="8"/>
        <w:spacing w:before="0" w:beforeAutospacing="0" w:after="0" w:afterAutospacing="0" w:line="360" w:lineRule="auto"/>
        <w:ind w:firstLine="420"/>
        <w:rPr>
          <w:sz w:val="21"/>
          <w:szCs w:val="21"/>
        </w:rPr>
      </w:pPr>
      <w:r>
        <w:rPr>
          <w:rFonts w:hint="eastAsia"/>
          <w:sz w:val="21"/>
          <w:szCs w:val="21"/>
        </w:rPr>
        <w:t>基金管理人应当在启用侧袋机制后五个工作日内，聘请于侧袋机制启用日发表意见的会计师事务所针对侧袋机制启用日本基金持有的特定资产情况出具专项审计意见，内容应包含侧袋账户的初始资产、份额、净资产等信息。</w:t>
      </w:r>
    </w:p>
    <w:p w14:paraId="691990F2">
      <w:pPr>
        <w:pStyle w:val="8"/>
        <w:spacing w:before="0" w:beforeAutospacing="0" w:after="0" w:afterAutospacing="0" w:line="360" w:lineRule="auto"/>
        <w:ind w:firstLine="420"/>
        <w:rPr>
          <w:sz w:val="21"/>
          <w:szCs w:val="21"/>
        </w:rPr>
      </w:pPr>
      <w:r>
        <w:rPr>
          <w:rFonts w:hint="eastAsia"/>
          <w:sz w:val="21"/>
          <w:szCs w:val="21"/>
        </w:rPr>
        <w:t>会计师事务所对基金年度报告进行审计时，应对报告期间基金侧袋机制运行相关的会计核算和年报披露，执行适当程序并发表审计意见。</w:t>
      </w:r>
    </w:p>
    <w:p w14:paraId="18C50ABE">
      <w:pPr>
        <w:pStyle w:val="8"/>
        <w:spacing w:before="0" w:beforeAutospacing="0" w:after="0" w:afterAutospacing="0" w:line="360" w:lineRule="auto"/>
        <w:ind w:firstLine="420"/>
        <w:rPr>
          <w:sz w:val="21"/>
          <w:szCs w:val="21"/>
        </w:rPr>
      </w:pPr>
      <w:r>
        <w:rPr>
          <w:rFonts w:hint="eastAsia"/>
          <w:sz w:val="21"/>
          <w:szCs w:val="21"/>
        </w:rPr>
        <w:t>当侧袋账户资产全部完成变现后，基金管理人应参照基金清算报告的相关要求，聘请符合《证券法》规定的会计师事务所对侧袋账户进行审计并披露专项审计意见。</w:t>
      </w:r>
    </w:p>
    <w:p w14:paraId="4851C9E1">
      <w:pPr>
        <w:pStyle w:val="8"/>
        <w:spacing w:before="0" w:beforeAutospacing="0" w:after="0" w:afterAutospacing="0" w:line="360" w:lineRule="auto"/>
        <w:ind w:firstLine="420"/>
        <w:rPr>
          <w:sz w:val="21"/>
          <w:szCs w:val="21"/>
        </w:rPr>
      </w:pPr>
      <w:r>
        <w:rPr>
          <w:rStyle w:val="12"/>
          <w:rFonts w:hint="eastAsia"/>
          <w:sz w:val="21"/>
          <w:szCs w:val="21"/>
        </w:rPr>
        <w:t>三、本部分关于侧袋机制的相关规定，凡是直接引用法律法规的部分，如将来法律法规修改导致相关内容被取消或变更的，或将来法律法规针对侧袋机制的内容有进一步规定的，基金管理人经与基金托管人协商一致并履行适当程序后，在对基金份额持有人利益无实质性不利影响的前提下，可直接对本部分内容进行修改、调整或补充，无需召开基金份</w:t>
      </w:r>
      <w:bookmarkStart w:id="167" w:name="chapter_level1_19_74784_section_1_end"/>
      <w:bookmarkEnd w:id="167"/>
      <w:r>
        <w:rPr>
          <w:rStyle w:val="12"/>
          <w:rFonts w:hint="eastAsia"/>
          <w:sz w:val="21"/>
          <w:szCs w:val="21"/>
        </w:rPr>
        <w:t>额持有人大会审议。</w:t>
      </w:r>
    </w:p>
    <w:p w14:paraId="53D2CBB2">
      <w:pPr>
        <w:widowControl/>
        <w:jc w:val="left"/>
        <w:rPr>
          <w:rFonts w:ascii="宋体" w:hAnsi="宋体" w:eastAsia="宋体"/>
        </w:rPr>
      </w:pPr>
      <w:r>
        <w:rPr>
          <w:rFonts w:ascii="宋体" w:hAnsi="宋体" w:eastAsia="宋体"/>
        </w:rPr>
        <w:br w:type="page"/>
      </w:r>
    </w:p>
    <w:p w14:paraId="6ECCAA87">
      <w:pPr>
        <w:pStyle w:val="3"/>
        <w:jc w:val="center"/>
        <w:rPr>
          <w:rFonts w:ascii="宋体" w:hAnsi="宋体" w:eastAsia="宋体"/>
          <w:sz w:val="30"/>
        </w:rPr>
      </w:pPr>
      <w:bookmarkStart w:id="168" w:name="_Toc213857131"/>
      <w:bookmarkStart w:id="169" w:name="chapter_level1_20_68"/>
      <w:r>
        <w:rPr>
          <w:rFonts w:hint="eastAsia" w:ascii="宋体" w:hAnsi="宋体" w:eastAsia="宋体"/>
          <w:sz w:val="30"/>
        </w:rPr>
        <w:t>第十七部分  风险揭示</w:t>
      </w:r>
      <w:bookmarkEnd w:id="168"/>
      <w:bookmarkEnd w:id="169"/>
    </w:p>
    <w:p w14:paraId="4A346A54">
      <w:pPr>
        <w:pStyle w:val="8"/>
        <w:spacing w:before="0" w:beforeAutospacing="0" w:after="0" w:afterAutospacing="0" w:line="360" w:lineRule="auto"/>
        <w:ind w:firstLine="420"/>
        <w:rPr>
          <w:sz w:val="21"/>
          <w:szCs w:val="21"/>
        </w:rPr>
      </w:pPr>
      <w:bookmarkStart w:id="170" w:name="chapter_level1_20_68_section_1"/>
      <w:bookmarkEnd w:id="170"/>
      <w:r>
        <w:rPr>
          <w:rStyle w:val="12"/>
          <w:rFonts w:hint="eastAsia"/>
          <w:sz w:val="21"/>
          <w:szCs w:val="21"/>
        </w:rPr>
        <w:t>一、投资于本基金的主要风险</w:t>
      </w:r>
    </w:p>
    <w:p w14:paraId="17F546EE">
      <w:pPr>
        <w:pStyle w:val="8"/>
        <w:spacing w:before="0" w:beforeAutospacing="0" w:after="0" w:afterAutospacing="0" w:line="360" w:lineRule="auto"/>
        <w:ind w:firstLine="420"/>
        <w:rPr>
          <w:sz w:val="21"/>
          <w:szCs w:val="21"/>
        </w:rPr>
      </w:pPr>
      <w:r>
        <w:rPr>
          <w:rFonts w:hint="eastAsia"/>
          <w:sz w:val="21"/>
          <w:szCs w:val="21"/>
        </w:rPr>
        <w:t>投资于本基金的主要风险有：</w:t>
      </w:r>
    </w:p>
    <w:p w14:paraId="718F8C0B">
      <w:pPr>
        <w:pStyle w:val="8"/>
        <w:spacing w:before="0" w:beforeAutospacing="0" w:after="0" w:afterAutospacing="0" w:line="360" w:lineRule="auto"/>
        <w:ind w:firstLine="420"/>
        <w:rPr>
          <w:sz w:val="21"/>
          <w:szCs w:val="21"/>
        </w:rPr>
      </w:pPr>
      <w:r>
        <w:rPr>
          <w:rFonts w:hint="eastAsia"/>
          <w:sz w:val="21"/>
          <w:szCs w:val="21"/>
        </w:rPr>
        <w:t>1、市场风险</w:t>
      </w:r>
    </w:p>
    <w:p w14:paraId="7FD6E70C">
      <w:pPr>
        <w:pStyle w:val="8"/>
        <w:spacing w:before="0" w:beforeAutospacing="0" w:after="0" w:afterAutospacing="0" w:line="360" w:lineRule="auto"/>
        <w:ind w:firstLine="420"/>
        <w:rPr>
          <w:sz w:val="21"/>
          <w:szCs w:val="21"/>
        </w:rPr>
      </w:pPr>
      <w:r>
        <w:rPr>
          <w:rFonts w:hint="eastAsia"/>
          <w:sz w:val="21"/>
          <w:szCs w:val="21"/>
        </w:rPr>
        <w:t>证券市场价格受到各种因素的影响，导致基金收益水平变化而产生风险，主要包括：</w:t>
      </w:r>
    </w:p>
    <w:p w14:paraId="7A97533F">
      <w:pPr>
        <w:pStyle w:val="8"/>
        <w:spacing w:before="0" w:beforeAutospacing="0" w:after="0" w:afterAutospacing="0" w:line="360" w:lineRule="auto"/>
        <w:ind w:firstLine="420"/>
        <w:rPr>
          <w:sz w:val="21"/>
          <w:szCs w:val="21"/>
        </w:rPr>
      </w:pPr>
      <w:r>
        <w:rPr>
          <w:rFonts w:hint="eastAsia"/>
          <w:sz w:val="21"/>
          <w:szCs w:val="21"/>
        </w:rPr>
        <w:t>（1）政策风险。因国家宏观政策（如货币政策、财政政策、行业政策、地区发展政策等）发生变化，导致市场价格波动而产生风险。</w:t>
      </w:r>
    </w:p>
    <w:p w14:paraId="49C1576E">
      <w:pPr>
        <w:pStyle w:val="8"/>
        <w:spacing w:before="0" w:beforeAutospacing="0" w:after="0" w:afterAutospacing="0" w:line="360" w:lineRule="auto"/>
        <w:ind w:firstLine="420"/>
        <w:rPr>
          <w:sz w:val="21"/>
          <w:szCs w:val="21"/>
        </w:rPr>
      </w:pPr>
      <w:r>
        <w:rPr>
          <w:rFonts w:hint="eastAsia"/>
          <w:sz w:val="21"/>
          <w:szCs w:val="21"/>
        </w:rPr>
        <w:t>（2）经济周期风险。随着经济运行的周期性变化，证券市场的收益水平也呈周期性变化。本基金主要投资于股票，收益水平也会随之变化，从而产生风险。</w:t>
      </w:r>
    </w:p>
    <w:p w14:paraId="044EABAC">
      <w:pPr>
        <w:pStyle w:val="8"/>
        <w:spacing w:before="0" w:beforeAutospacing="0" w:after="0" w:afterAutospacing="0" w:line="360" w:lineRule="auto"/>
        <w:ind w:firstLine="420"/>
        <w:rPr>
          <w:sz w:val="21"/>
          <w:szCs w:val="21"/>
        </w:rPr>
      </w:pPr>
      <w:r>
        <w:rPr>
          <w:rFonts w:hint="eastAsia"/>
          <w:sz w:val="21"/>
          <w:szCs w:val="21"/>
        </w:rPr>
        <w:t>（3）利率风险。金融市场利率的波动会导致证券市场价格和收益率的变动。</w:t>
      </w:r>
    </w:p>
    <w:p w14:paraId="0B6B8DB4">
      <w:pPr>
        <w:pStyle w:val="8"/>
        <w:spacing w:before="0" w:beforeAutospacing="0" w:after="0" w:afterAutospacing="0" w:line="360" w:lineRule="auto"/>
        <w:ind w:firstLine="420"/>
        <w:rPr>
          <w:sz w:val="21"/>
          <w:szCs w:val="21"/>
        </w:rPr>
      </w:pPr>
      <w:r>
        <w:rPr>
          <w:rFonts w:hint="eastAsia"/>
          <w:sz w:val="21"/>
          <w:szCs w:val="21"/>
        </w:rPr>
        <w:t>（4）通货膨胀风险。如果发生通货膨胀，基金投资于证券所获得的收益可能会被通货膨胀抵消，从而影响基金资产的保值增值。</w:t>
      </w:r>
    </w:p>
    <w:p w14:paraId="628FD53C">
      <w:pPr>
        <w:pStyle w:val="8"/>
        <w:spacing w:before="0" w:beforeAutospacing="0" w:after="0" w:afterAutospacing="0" w:line="360" w:lineRule="auto"/>
        <w:ind w:firstLine="420"/>
        <w:rPr>
          <w:sz w:val="21"/>
          <w:szCs w:val="21"/>
        </w:rPr>
      </w:pPr>
      <w:r>
        <w:rPr>
          <w:rFonts w:hint="eastAsia"/>
          <w:sz w:val="21"/>
          <w:szCs w:val="21"/>
        </w:rPr>
        <w:t>（5）再投资风险。再投资风险反映了利率下降对固定收益证券利息收入再投资收益的影响，这与利率上升所带来的价格风险（即利率风险）互为消长。</w:t>
      </w:r>
    </w:p>
    <w:p w14:paraId="4340AF9B">
      <w:pPr>
        <w:pStyle w:val="8"/>
        <w:spacing w:before="0" w:beforeAutospacing="0" w:after="0" w:afterAutospacing="0" w:line="360" w:lineRule="auto"/>
        <w:ind w:firstLine="420"/>
        <w:rPr>
          <w:sz w:val="21"/>
          <w:szCs w:val="21"/>
        </w:rPr>
      </w:pPr>
      <w:r>
        <w:rPr>
          <w:rFonts w:hint="eastAsia"/>
          <w:sz w:val="21"/>
          <w:szCs w:val="21"/>
        </w:rPr>
        <w:t>（6）杠杆风险 </w:t>
      </w:r>
    </w:p>
    <w:p w14:paraId="2B62D709">
      <w:pPr>
        <w:pStyle w:val="8"/>
        <w:spacing w:before="0" w:beforeAutospacing="0" w:after="0" w:afterAutospacing="0" w:line="360" w:lineRule="auto"/>
        <w:ind w:firstLine="420"/>
        <w:rPr>
          <w:sz w:val="21"/>
          <w:szCs w:val="21"/>
        </w:rPr>
      </w:pPr>
      <w:r>
        <w:rPr>
          <w:rFonts w:hint="eastAsia"/>
          <w:sz w:val="21"/>
          <w:szCs w:val="21"/>
        </w:rPr>
        <w:t>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w:t>
      </w:r>
    </w:p>
    <w:p w14:paraId="61C1199C">
      <w:pPr>
        <w:pStyle w:val="8"/>
        <w:spacing w:before="0" w:beforeAutospacing="0" w:after="0" w:afterAutospacing="0" w:line="360" w:lineRule="auto"/>
        <w:ind w:firstLine="420"/>
        <w:rPr>
          <w:sz w:val="21"/>
          <w:szCs w:val="21"/>
        </w:rPr>
      </w:pPr>
      <w:r>
        <w:rPr>
          <w:rFonts w:hint="eastAsia"/>
          <w:sz w:val="21"/>
          <w:szCs w:val="21"/>
        </w:rPr>
        <w:t>（7）波动性风险</w:t>
      </w:r>
    </w:p>
    <w:p w14:paraId="770836E2">
      <w:pPr>
        <w:pStyle w:val="8"/>
        <w:spacing w:before="0" w:beforeAutospacing="0" w:after="0" w:afterAutospacing="0" w:line="360" w:lineRule="auto"/>
        <w:ind w:firstLine="420"/>
        <w:rPr>
          <w:sz w:val="21"/>
          <w:szCs w:val="21"/>
        </w:rPr>
      </w:pPr>
      <w:r>
        <w:rPr>
          <w:rFonts w:hint="eastAsia"/>
          <w:sz w:val="21"/>
          <w:szCs w:val="21"/>
        </w:rPr>
        <w:t>波动性风险主要存在于可转债的投资中，具体表现为可转债的价格受到其相对应股票价格波动的影响，同时可转债还有信用风险与转股风险。转股风险指相对应股票价格跌破转股价，不能获得转股收益，从而无法弥补当初付出的转股期权价值。</w:t>
      </w:r>
    </w:p>
    <w:p w14:paraId="67555F39">
      <w:pPr>
        <w:pStyle w:val="8"/>
        <w:spacing w:before="0" w:beforeAutospacing="0" w:after="0" w:afterAutospacing="0" w:line="360" w:lineRule="auto"/>
        <w:ind w:firstLine="420"/>
        <w:rPr>
          <w:sz w:val="21"/>
          <w:szCs w:val="21"/>
        </w:rPr>
      </w:pPr>
      <w:r>
        <w:rPr>
          <w:rFonts w:hint="eastAsia"/>
          <w:sz w:val="21"/>
          <w:szCs w:val="21"/>
        </w:rPr>
        <w:t>（8）上市公司经营风险</w:t>
      </w:r>
    </w:p>
    <w:p w14:paraId="24027F07">
      <w:pPr>
        <w:pStyle w:val="8"/>
        <w:spacing w:before="0" w:beforeAutospacing="0" w:after="0" w:afterAutospacing="0" w:line="360" w:lineRule="auto"/>
        <w:ind w:firstLine="420"/>
        <w:rPr>
          <w:sz w:val="21"/>
          <w:szCs w:val="21"/>
        </w:rPr>
      </w:pPr>
      <w:r>
        <w:rPr>
          <w:rFonts w:hint="eastAsia"/>
          <w:sz w:val="21"/>
          <w:szCs w:val="21"/>
        </w:rPr>
        <w:t>上市公司的经营状况受多种因素的影响，如管理能力、行业竞争、市场前景、技术更新、财务状况、新产品研究开发等都会导致公司盈利发生变化。如果基金所投资的上市公司经营不善，其股票价格可能下跌，或者能够用于分配的利润减少，使基金投资收益下降。上市公司还可能出现难以预见的变化。虽然基金可以通过投资多样化来分散这种非系统风险，但不能完全避免。</w:t>
      </w:r>
    </w:p>
    <w:p w14:paraId="5F998B5C">
      <w:pPr>
        <w:pStyle w:val="8"/>
        <w:spacing w:before="0" w:beforeAutospacing="0" w:after="0" w:afterAutospacing="0" w:line="360" w:lineRule="auto"/>
        <w:ind w:firstLine="420"/>
        <w:rPr>
          <w:sz w:val="21"/>
          <w:szCs w:val="21"/>
        </w:rPr>
      </w:pPr>
      <w:r>
        <w:rPr>
          <w:rFonts w:hint="eastAsia"/>
          <w:sz w:val="21"/>
          <w:szCs w:val="21"/>
        </w:rPr>
        <w:t>2、信用风险</w:t>
      </w:r>
    </w:p>
    <w:p w14:paraId="05A77D72">
      <w:pPr>
        <w:pStyle w:val="8"/>
        <w:spacing w:before="0" w:beforeAutospacing="0" w:after="0" w:afterAutospacing="0" w:line="360" w:lineRule="auto"/>
        <w:ind w:firstLine="420"/>
        <w:rPr>
          <w:sz w:val="21"/>
          <w:szCs w:val="21"/>
        </w:rPr>
      </w:pPr>
      <w:r>
        <w:rPr>
          <w:rFonts w:hint="eastAsia"/>
          <w:sz w:val="21"/>
          <w:szCs w:val="21"/>
        </w:rPr>
        <w:t>信用风险主要指债券、资产支持证券等信用证券发行主体信用状况恶化，导致信用评级下降甚至到期不能履行合约进行兑付的风险，另外，信用风险也包括证券交易对手因违约而产生的证券交割风险。</w:t>
      </w:r>
    </w:p>
    <w:p w14:paraId="38C3EBDD">
      <w:pPr>
        <w:pStyle w:val="8"/>
        <w:spacing w:before="0" w:beforeAutospacing="0" w:after="0" w:afterAutospacing="0" w:line="360" w:lineRule="auto"/>
        <w:ind w:firstLine="420"/>
        <w:rPr>
          <w:sz w:val="21"/>
          <w:szCs w:val="21"/>
        </w:rPr>
      </w:pPr>
      <w:r>
        <w:rPr>
          <w:rFonts w:hint="eastAsia"/>
          <w:sz w:val="21"/>
          <w:szCs w:val="21"/>
        </w:rPr>
        <w:t>3、流动性风险</w:t>
      </w:r>
    </w:p>
    <w:p w14:paraId="63AC6BAC">
      <w:pPr>
        <w:pStyle w:val="8"/>
        <w:spacing w:before="0" w:beforeAutospacing="0" w:after="0" w:afterAutospacing="0" w:line="360" w:lineRule="auto"/>
        <w:ind w:firstLine="420"/>
        <w:rPr>
          <w:sz w:val="21"/>
          <w:szCs w:val="21"/>
        </w:rPr>
      </w:pPr>
      <w:r>
        <w:rPr>
          <w:rFonts w:hint="eastAsia"/>
          <w:sz w:val="21"/>
          <w:szCs w:val="21"/>
        </w:rPr>
        <w:t>流动性风险是指因证券市场交易量不足，导致证券不能迅速、低成本地变现的风险。流动性风险还包括基金出现巨额赎回，致使没有足够的现金应付赎回支付所引致的风险。</w:t>
      </w:r>
    </w:p>
    <w:p w14:paraId="7503C43D">
      <w:pPr>
        <w:pStyle w:val="8"/>
        <w:spacing w:before="0" w:beforeAutospacing="0" w:after="0" w:afterAutospacing="0" w:line="360" w:lineRule="auto"/>
        <w:ind w:firstLine="420"/>
        <w:rPr>
          <w:sz w:val="21"/>
          <w:szCs w:val="21"/>
        </w:rPr>
      </w:pPr>
      <w:r>
        <w:rPr>
          <w:rFonts w:hint="eastAsia"/>
          <w:sz w:val="21"/>
          <w:szCs w:val="21"/>
        </w:rPr>
        <w:t>（1）基金申购、赎回安排</w:t>
      </w:r>
    </w:p>
    <w:p w14:paraId="72CF1681">
      <w:pPr>
        <w:pStyle w:val="8"/>
        <w:spacing w:before="0" w:beforeAutospacing="0" w:after="0" w:afterAutospacing="0" w:line="360" w:lineRule="auto"/>
        <w:ind w:firstLine="420"/>
        <w:rPr>
          <w:sz w:val="21"/>
          <w:szCs w:val="21"/>
        </w:rPr>
      </w:pPr>
      <w:r>
        <w:rPr>
          <w:rFonts w:hint="eastAsia"/>
          <w:sz w:val="21"/>
          <w:szCs w:val="21"/>
        </w:rPr>
        <w:t>本基金基于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w:t>
      </w:r>
    </w:p>
    <w:p w14:paraId="447DC843">
      <w:pPr>
        <w:pStyle w:val="8"/>
        <w:spacing w:before="0" w:beforeAutospacing="0" w:after="0" w:afterAutospacing="0" w:line="360" w:lineRule="auto"/>
        <w:ind w:firstLine="420"/>
        <w:rPr>
          <w:sz w:val="21"/>
          <w:szCs w:val="21"/>
        </w:rPr>
      </w:pPr>
      <w:r>
        <w:rPr>
          <w:rFonts w:hint="eastAsia"/>
          <w:sz w:val="21"/>
          <w:szCs w:val="21"/>
        </w:rPr>
        <w:t>（2）拟投资市场、行业及资产的流动性风险评估</w:t>
      </w:r>
    </w:p>
    <w:p w14:paraId="22B77E09">
      <w:pPr>
        <w:pStyle w:val="8"/>
        <w:spacing w:before="0" w:beforeAutospacing="0" w:after="0" w:afterAutospacing="0" w:line="360" w:lineRule="auto"/>
        <w:ind w:firstLine="420"/>
        <w:rPr>
          <w:sz w:val="21"/>
          <w:szCs w:val="21"/>
        </w:rPr>
      </w:pPr>
      <w:r>
        <w:rPr>
          <w:rFonts w:hint="eastAsia"/>
          <w:sz w:val="21"/>
          <w:szCs w:val="21"/>
        </w:rPr>
        <w:t>本基金的投资市场主要为证券交易所、期货交易所、全国银行间债券市场等流动性较好的规范型交易场所，主要投资对象为具有良好流动性的金融工具（包括国内依法发行上市的股票（含存托凭证）、港股通标的股票、债券、资产支持证券、债券回购、银行存款、同业存单、货币市场工具、股指期货、股票期权、国债期货和信用衍生品等），本基金可根据相关法律法规和基金合同的约定参与融资业务。同时本基金基于分散投资的原则在行业和个券方面未有高集中度的特征，综合评估在正常市场环境下本基金的流动性风险适中。</w:t>
      </w:r>
    </w:p>
    <w:p w14:paraId="5AD18884">
      <w:pPr>
        <w:pStyle w:val="8"/>
        <w:spacing w:before="0" w:beforeAutospacing="0" w:after="0" w:afterAutospacing="0" w:line="360" w:lineRule="auto"/>
        <w:ind w:firstLine="420"/>
        <w:rPr>
          <w:sz w:val="21"/>
          <w:szCs w:val="21"/>
        </w:rPr>
      </w:pPr>
      <w:r>
        <w:rPr>
          <w:rFonts w:hint="eastAsia"/>
          <w:sz w:val="21"/>
          <w:szCs w:val="21"/>
        </w:rPr>
        <w:t>（3）巨额赎回情形下的流动性风险管理措施</w:t>
      </w:r>
    </w:p>
    <w:p w14:paraId="066DEF09">
      <w:pPr>
        <w:pStyle w:val="8"/>
        <w:spacing w:before="0" w:beforeAutospacing="0" w:after="0" w:afterAutospacing="0" w:line="360" w:lineRule="auto"/>
        <w:ind w:firstLine="420"/>
        <w:rPr>
          <w:sz w:val="21"/>
          <w:szCs w:val="21"/>
        </w:rPr>
      </w:pPr>
      <w:r>
        <w:rPr>
          <w:rFonts w:hint="eastAsia"/>
          <w:sz w:val="21"/>
          <w:szCs w:val="21"/>
        </w:rPr>
        <w:t>基金出现巨额赎回情形下，基金管理人可以根据基金当时的资产组合状况或巨额赎回份额占比情况决定全额赎回、部分延期赎回、暂停赎回。同时，如本基金单个基金份额持有人在单个开放日申请赎回基金份额超过基金总份额一定比例以上的，基金管理人有权对其采取延期办理赎回申请的措施。</w:t>
      </w:r>
    </w:p>
    <w:p w14:paraId="30E3F5BF">
      <w:pPr>
        <w:pStyle w:val="8"/>
        <w:spacing w:before="0" w:beforeAutospacing="0" w:after="0" w:afterAutospacing="0" w:line="360" w:lineRule="auto"/>
        <w:ind w:firstLine="420"/>
        <w:rPr>
          <w:sz w:val="21"/>
          <w:szCs w:val="21"/>
        </w:rPr>
      </w:pPr>
      <w:r>
        <w:rPr>
          <w:rFonts w:hint="eastAsia"/>
          <w:sz w:val="21"/>
          <w:szCs w:val="21"/>
        </w:rPr>
        <w:t>（4）实施备用的流动性风险管理工具的情形、程序及对投资者的潜在影响</w:t>
      </w:r>
    </w:p>
    <w:p w14:paraId="28F34CEF">
      <w:pPr>
        <w:pStyle w:val="8"/>
        <w:spacing w:before="0" w:beforeAutospacing="0" w:after="0" w:afterAutospacing="0" w:line="360" w:lineRule="auto"/>
        <w:ind w:firstLine="420"/>
        <w:rPr>
          <w:sz w:val="21"/>
          <w:szCs w:val="21"/>
        </w:rPr>
      </w:pPr>
      <w:r>
        <w:rPr>
          <w:rFonts w:hint="eastAsia"/>
          <w:sz w:val="21"/>
          <w:szCs w:val="21"/>
        </w:rPr>
        <w:t>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摆动定价、暂停基金估值、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w:t>
      </w:r>
    </w:p>
    <w:p w14:paraId="7866E59F">
      <w:pPr>
        <w:pStyle w:val="8"/>
        <w:spacing w:before="0" w:beforeAutospacing="0" w:after="0" w:afterAutospacing="0" w:line="360" w:lineRule="auto"/>
        <w:ind w:firstLine="420"/>
        <w:rPr>
          <w:sz w:val="21"/>
          <w:szCs w:val="21"/>
        </w:rPr>
      </w:pPr>
      <w:r>
        <w:rPr>
          <w:rFonts w:hint="eastAsia"/>
          <w:sz w:val="21"/>
          <w:szCs w:val="21"/>
        </w:rPr>
        <w:t>（5）启用侧袋机制的风险</w:t>
      </w:r>
    </w:p>
    <w:p w14:paraId="29671353">
      <w:pPr>
        <w:pStyle w:val="8"/>
        <w:spacing w:before="0" w:beforeAutospacing="0" w:after="0" w:afterAutospacing="0" w:line="360" w:lineRule="auto"/>
        <w:ind w:firstLine="420"/>
        <w:rPr>
          <w:sz w:val="21"/>
          <w:szCs w:val="21"/>
        </w:rPr>
      </w:pPr>
      <w:r>
        <w:rPr>
          <w:rFonts w:hint="eastAsia"/>
          <w:sz w:val="21"/>
          <w:szCs w:val="21"/>
        </w:rPr>
        <w:t>当本基金启用侧袋机制时，实施侧袋机制期间，侧袋账户份额将停止披露基金净值信息，并不得办理申购、赎回和转换。因特定资产的变现时间具有不确定性，最终变现价格也具有不确定性并且有可能大幅低于启用侧袋机制时的特定资产的估值，基金份额持有人可能因此面临损失。</w:t>
      </w:r>
    </w:p>
    <w:p w14:paraId="17149768">
      <w:pPr>
        <w:pStyle w:val="8"/>
        <w:spacing w:before="0" w:beforeAutospacing="0" w:after="0" w:afterAutospacing="0" w:line="360" w:lineRule="auto"/>
        <w:ind w:firstLine="420"/>
        <w:rPr>
          <w:sz w:val="21"/>
          <w:szCs w:val="21"/>
        </w:rPr>
      </w:pPr>
      <w:r>
        <w:rPr>
          <w:rFonts w:hint="eastAsia"/>
          <w:sz w:val="21"/>
          <w:szCs w:val="21"/>
        </w:rPr>
        <w:t>4、操作风险</w:t>
      </w:r>
    </w:p>
    <w:p w14:paraId="5A8A0079">
      <w:pPr>
        <w:pStyle w:val="8"/>
        <w:spacing w:before="0" w:beforeAutospacing="0" w:after="0" w:afterAutospacing="0" w:line="360" w:lineRule="auto"/>
        <w:ind w:firstLine="420"/>
        <w:rPr>
          <w:sz w:val="21"/>
          <w:szCs w:val="21"/>
        </w:rPr>
      </w:pPr>
      <w:r>
        <w:rPr>
          <w:rFonts w:hint="eastAsia"/>
          <w:sz w:val="21"/>
          <w:szCs w:val="21"/>
        </w:rPr>
        <w:t>操作风险是指基金运作过程中，因内部控制存在缺陷或者人为因素造成操作失误或违反操作规程等引致的风险，例如，越权违规交易、会计部门欺诈、交易错误、IT系统故障等风险。</w:t>
      </w:r>
    </w:p>
    <w:p w14:paraId="51894917">
      <w:pPr>
        <w:pStyle w:val="8"/>
        <w:spacing w:before="0" w:beforeAutospacing="0" w:after="0" w:afterAutospacing="0" w:line="360" w:lineRule="auto"/>
        <w:ind w:firstLine="420"/>
        <w:rPr>
          <w:sz w:val="21"/>
          <w:szCs w:val="21"/>
        </w:rPr>
      </w:pPr>
      <w:r>
        <w:rPr>
          <w:rFonts w:hint="eastAsia"/>
          <w:sz w:val="21"/>
          <w:szCs w:val="21"/>
        </w:rPr>
        <w:t>5、管理风险</w:t>
      </w:r>
    </w:p>
    <w:p w14:paraId="44B28BA9">
      <w:pPr>
        <w:pStyle w:val="8"/>
        <w:spacing w:before="0" w:beforeAutospacing="0" w:after="0" w:afterAutospacing="0" w:line="360" w:lineRule="auto"/>
        <w:ind w:firstLine="420"/>
        <w:rPr>
          <w:sz w:val="21"/>
          <w:szCs w:val="21"/>
        </w:rPr>
      </w:pPr>
      <w:r>
        <w:rPr>
          <w:rFonts w:hint="eastAsia"/>
          <w:sz w:val="21"/>
          <w:szCs w:val="21"/>
        </w:rPr>
        <w:t>在基金管理运作过程中，基金管理人的研究水平、投资管理水平直接影响基金收益水平，如果基金管理人对经济形势和证券市场判断不准确、获取的信息不充分、投资操作出现失误等，都会影响基金的收益水平。</w:t>
      </w:r>
    </w:p>
    <w:p w14:paraId="491A34DF">
      <w:pPr>
        <w:pStyle w:val="8"/>
        <w:spacing w:before="0" w:beforeAutospacing="0" w:after="0" w:afterAutospacing="0" w:line="360" w:lineRule="auto"/>
        <w:ind w:firstLine="420"/>
        <w:rPr>
          <w:sz w:val="21"/>
          <w:szCs w:val="21"/>
        </w:rPr>
      </w:pPr>
      <w:r>
        <w:rPr>
          <w:rFonts w:hint="eastAsia"/>
          <w:sz w:val="21"/>
          <w:szCs w:val="21"/>
        </w:rPr>
        <w:t>6、合规风险</w:t>
      </w:r>
    </w:p>
    <w:p w14:paraId="17381546">
      <w:pPr>
        <w:pStyle w:val="8"/>
        <w:spacing w:before="0" w:beforeAutospacing="0" w:after="0" w:afterAutospacing="0" w:line="360" w:lineRule="auto"/>
        <w:ind w:firstLine="420"/>
        <w:rPr>
          <w:sz w:val="21"/>
          <w:szCs w:val="21"/>
        </w:rPr>
      </w:pPr>
      <w:r>
        <w:rPr>
          <w:rFonts w:hint="eastAsia"/>
          <w:sz w:val="21"/>
          <w:szCs w:val="21"/>
        </w:rPr>
        <w:t>合规风险指基金管理或运作过程中，违反国家法律、法规的规定，或者违反《基金合同》有关规定的风险。</w:t>
      </w:r>
    </w:p>
    <w:p w14:paraId="5A39EBF6">
      <w:pPr>
        <w:pStyle w:val="8"/>
        <w:spacing w:before="0" w:beforeAutospacing="0" w:after="0" w:afterAutospacing="0" w:line="360" w:lineRule="auto"/>
        <w:ind w:firstLine="420"/>
        <w:rPr>
          <w:sz w:val="21"/>
          <w:szCs w:val="21"/>
        </w:rPr>
      </w:pPr>
      <w:r>
        <w:rPr>
          <w:rFonts w:hint="eastAsia"/>
          <w:sz w:val="21"/>
          <w:szCs w:val="21"/>
        </w:rPr>
        <w:t>7、本基金的特有风险</w:t>
      </w:r>
    </w:p>
    <w:p w14:paraId="6EBB8771">
      <w:pPr>
        <w:pStyle w:val="8"/>
        <w:spacing w:before="0" w:beforeAutospacing="0" w:after="0" w:afterAutospacing="0" w:line="360" w:lineRule="auto"/>
        <w:ind w:firstLine="420"/>
        <w:rPr>
          <w:sz w:val="21"/>
          <w:szCs w:val="21"/>
        </w:rPr>
      </w:pPr>
      <w:r>
        <w:rPr>
          <w:rFonts w:hint="eastAsia"/>
          <w:sz w:val="21"/>
          <w:szCs w:val="21"/>
        </w:rPr>
        <w:t>（1）本基金为混合型证券投资基金，存在大类资产配置风险，有可能因为受到经济周期、市场环境或管理人能力等因素的影响，导致基金的大类资产配置比例偏离最优化水平，给基金投资组合的绩效带来风险。</w:t>
      </w:r>
    </w:p>
    <w:p w14:paraId="0D2F82FE">
      <w:pPr>
        <w:pStyle w:val="8"/>
        <w:spacing w:before="0" w:beforeAutospacing="0" w:after="0" w:afterAutospacing="0" w:line="360" w:lineRule="auto"/>
        <w:ind w:firstLine="420"/>
        <w:rPr>
          <w:sz w:val="21"/>
          <w:szCs w:val="21"/>
        </w:rPr>
      </w:pPr>
      <w:r>
        <w:rPr>
          <w:rFonts w:hint="eastAsia"/>
          <w:sz w:val="21"/>
          <w:szCs w:val="21"/>
        </w:rPr>
        <w:t>（2）港股通机制下，港股投资风险</w:t>
      </w:r>
    </w:p>
    <w:p w14:paraId="12B025B1">
      <w:pPr>
        <w:pStyle w:val="8"/>
        <w:spacing w:before="0" w:beforeAutospacing="0" w:after="0" w:afterAutospacing="0" w:line="360" w:lineRule="auto"/>
        <w:ind w:firstLine="420"/>
        <w:rPr>
          <w:sz w:val="21"/>
          <w:szCs w:val="21"/>
        </w:rPr>
      </w:pPr>
      <w:r>
        <w:rPr>
          <w:rFonts w:hint="eastAsia"/>
          <w:sz w:val="21"/>
          <w:szCs w:val="21"/>
        </w:rPr>
        <w:t>本基金投资范围为具有良好流动性的金融工具，包括内地与香港股票市场交易互联互通机制下允许投资的香港联合交易所（以下简称：“香港联交所”或“联交所”）上市的股票，除与其他投资于内地市场股票的基金所面临的共同风险外，本基金还面临港股通机制下因投资环境、投资者结构、投资标的构成、市场制度以及交易规则等差异所带来的特有风险，包括但不限于：</w:t>
      </w:r>
    </w:p>
    <w:p w14:paraId="119D850D">
      <w:pPr>
        <w:pStyle w:val="8"/>
        <w:spacing w:before="0" w:beforeAutospacing="0" w:after="0" w:afterAutospacing="0" w:line="360" w:lineRule="auto"/>
        <w:ind w:firstLine="420"/>
        <w:rPr>
          <w:sz w:val="21"/>
          <w:szCs w:val="21"/>
        </w:rPr>
      </w:pPr>
      <w:r>
        <w:rPr>
          <w:rFonts w:hint="eastAsia"/>
          <w:sz w:val="21"/>
          <w:szCs w:val="21"/>
        </w:rPr>
        <w:t>1）市场联动的风险</w:t>
      </w:r>
    </w:p>
    <w:p w14:paraId="7382A58B">
      <w:pPr>
        <w:pStyle w:val="8"/>
        <w:spacing w:before="0" w:beforeAutospacing="0" w:after="0" w:afterAutospacing="0" w:line="360" w:lineRule="auto"/>
        <w:ind w:firstLine="420"/>
        <w:rPr>
          <w:sz w:val="21"/>
          <w:szCs w:val="21"/>
        </w:rPr>
      </w:pPr>
      <w:r>
        <w:rPr>
          <w:rFonts w:hint="eastAsia"/>
          <w:sz w:val="21"/>
          <w:szCs w:val="21"/>
        </w:rPr>
        <w:t>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w:t>
      </w:r>
    </w:p>
    <w:p w14:paraId="2D47728C">
      <w:pPr>
        <w:pStyle w:val="8"/>
        <w:spacing w:before="0" w:beforeAutospacing="0" w:after="0" w:afterAutospacing="0" w:line="360" w:lineRule="auto"/>
        <w:ind w:firstLine="420"/>
        <w:rPr>
          <w:sz w:val="21"/>
          <w:szCs w:val="21"/>
        </w:rPr>
      </w:pPr>
      <w:r>
        <w:rPr>
          <w:rFonts w:hint="eastAsia"/>
          <w:sz w:val="21"/>
          <w:szCs w:val="21"/>
        </w:rPr>
        <w:t>2）股价波动的风险</w:t>
      </w:r>
    </w:p>
    <w:p w14:paraId="2026AB6E">
      <w:pPr>
        <w:pStyle w:val="8"/>
        <w:spacing w:before="0" w:beforeAutospacing="0" w:after="0" w:afterAutospacing="0" w:line="360" w:lineRule="auto"/>
        <w:ind w:firstLine="420"/>
        <w:rPr>
          <w:sz w:val="21"/>
          <w:szCs w:val="21"/>
        </w:rPr>
      </w:pPr>
      <w:r>
        <w:rPr>
          <w:rFonts w:hint="eastAsia"/>
          <w:sz w:val="21"/>
          <w:szCs w:val="21"/>
        </w:rPr>
        <w:t>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w:t>
      </w:r>
    </w:p>
    <w:p w14:paraId="275BD119">
      <w:pPr>
        <w:pStyle w:val="8"/>
        <w:spacing w:before="0" w:beforeAutospacing="0" w:after="0" w:afterAutospacing="0" w:line="360" w:lineRule="auto"/>
        <w:ind w:firstLine="420"/>
        <w:rPr>
          <w:sz w:val="21"/>
          <w:szCs w:val="21"/>
        </w:rPr>
      </w:pPr>
      <w:r>
        <w:rPr>
          <w:rFonts w:hint="eastAsia"/>
          <w:sz w:val="21"/>
          <w:szCs w:val="21"/>
        </w:rPr>
        <w:t>3）汇率风险</w:t>
      </w:r>
    </w:p>
    <w:p w14:paraId="2C5B1B9A">
      <w:pPr>
        <w:pStyle w:val="8"/>
        <w:spacing w:before="0" w:beforeAutospacing="0" w:after="0" w:afterAutospacing="0" w:line="360" w:lineRule="auto"/>
        <w:ind w:firstLine="420"/>
        <w:rPr>
          <w:sz w:val="21"/>
          <w:szCs w:val="21"/>
        </w:rPr>
      </w:pPr>
      <w:r>
        <w:rPr>
          <w:rFonts w:hint="eastAsia"/>
          <w:sz w:val="21"/>
          <w:szCs w:val="21"/>
        </w:rPr>
        <w:t>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w:t>
      </w:r>
    </w:p>
    <w:p w14:paraId="04480179">
      <w:pPr>
        <w:pStyle w:val="8"/>
        <w:spacing w:before="0" w:beforeAutospacing="0" w:after="0" w:afterAutospacing="0" w:line="360" w:lineRule="auto"/>
        <w:ind w:firstLine="420"/>
        <w:rPr>
          <w:sz w:val="21"/>
          <w:szCs w:val="21"/>
        </w:rPr>
      </w:pPr>
      <w:r>
        <w:rPr>
          <w:rFonts w:hint="eastAsia"/>
          <w:sz w:val="21"/>
          <w:szCs w:val="21"/>
        </w:rPr>
        <w:t>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w:t>
      </w:r>
    </w:p>
    <w:p w14:paraId="12C4ECB7">
      <w:pPr>
        <w:pStyle w:val="8"/>
        <w:spacing w:before="0" w:beforeAutospacing="0" w:after="0" w:afterAutospacing="0" w:line="360" w:lineRule="auto"/>
        <w:ind w:firstLine="420"/>
        <w:rPr>
          <w:sz w:val="21"/>
          <w:szCs w:val="21"/>
        </w:rPr>
      </w:pPr>
      <w:r>
        <w:rPr>
          <w:rFonts w:hint="eastAsia"/>
          <w:sz w:val="21"/>
          <w:szCs w:val="21"/>
        </w:rPr>
        <w:t>4）港股通额度限制</w:t>
      </w:r>
    </w:p>
    <w:p w14:paraId="1EA99C5C">
      <w:pPr>
        <w:pStyle w:val="8"/>
        <w:spacing w:before="0" w:beforeAutospacing="0" w:after="0" w:afterAutospacing="0" w:line="360" w:lineRule="auto"/>
        <w:ind w:firstLine="420"/>
        <w:rPr>
          <w:sz w:val="21"/>
          <w:szCs w:val="21"/>
        </w:rPr>
      </w:pPr>
      <w:r>
        <w:rPr>
          <w:rFonts w:hint="eastAsia"/>
          <w:sz w:val="21"/>
          <w:szCs w:val="21"/>
        </w:rPr>
        <w:t>现行的港股通规则，对港股通设有每日额度上限的限制；本基金可能因为港股通市场每日额度不足，而不能买入看好之投资标的进而错失投资机会的风险。</w:t>
      </w:r>
    </w:p>
    <w:p w14:paraId="545457A7">
      <w:pPr>
        <w:pStyle w:val="8"/>
        <w:spacing w:before="0" w:beforeAutospacing="0" w:after="0" w:afterAutospacing="0" w:line="360" w:lineRule="auto"/>
        <w:ind w:firstLine="420"/>
        <w:rPr>
          <w:sz w:val="21"/>
          <w:szCs w:val="21"/>
        </w:rPr>
      </w:pPr>
      <w:r>
        <w:rPr>
          <w:rFonts w:hint="eastAsia"/>
          <w:sz w:val="21"/>
          <w:szCs w:val="21"/>
        </w:rPr>
        <w:t>5）港股通可投资标的范围调整带来的风险</w:t>
      </w:r>
    </w:p>
    <w:p w14:paraId="1160DEE1">
      <w:pPr>
        <w:pStyle w:val="8"/>
        <w:spacing w:before="0" w:beforeAutospacing="0" w:after="0" w:afterAutospacing="0" w:line="360" w:lineRule="auto"/>
        <w:ind w:firstLine="420"/>
        <w:rPr>
          <w:sz w:val="21"/>
          <w:szCs w:val="21"/>
        </w:rPr>
      </w:pPr>
      <w:r>
        <w:rPr>
          <w:rFonts w:hint="eastAsia"/>
          <w:sz w:val="21"/>
          <w:szCs w:val="21"/>
        </w:rPr>
        <w:t>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w:t>
      </w:r>
    </w:p>
    <w:p w14:paraId="04FEC09F">
      <w:pPr>
        <w:pStyle w:val="8"/>
        <w:spacing w:before="0" w:beforeAutospacing="0" w:after="0" w:afterAutospacing="0" w:line="360" w:lineRule="auto"/>
        <w:ind w:firstLine="420"/>
        <w:rPr>
          <w:sz w:val="21"/>
          <w:szCs w:val="21"/>
        </w:rPr>
      </w:pPr>
      <w:r>
        <w:rPr>
          <w:rFonts w:hint="eastAsia"/>
          <w:sz w:val="21"/>
          <w:szCs w:val="21"/>
        </w:rPr>
        <w:t>6）港股通交易日设定的风险</w:t>
      </w:r>
    </w:p>
    <w:p w14:paraId="601809C4">
      <w:pPr>
        <w:pStyle w:val="8"/>
        <w:spacing w:before="0" w:beforeAutospacing="0" w:after="0" w:afterAutospacing="0" w:line="360" w:lineRule="auto"/>
        <w:ind w:firstLine="420"/>
        <w:rPr>
          <w:sz w:val="21"/>
          <w:szCs w:val="21"/>
        </w:rPr>
      </w:pPr>
      <w:r>
        <w:rPr>
          <w:rFonts w:hint="eastAsia"/>
          <w:sz w:val="21"/>
          <w:szCs w:val="21"/>
        </w:rPr>
        <w:t>根据现行的港股通规则，只有内地与香港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w:t>
      </w:r>
    </w:p>
    <w:p w14:paraId="4B95DB62">
      <w:pPr>
        <w:pStyle w:val="8"/>
        <w:spacing w:before="0" w:beforeAutospacing="0" w:after="0" w:afterAutospacing="0" w:line="360" w:lineRule="auto"/>
        <w:ind w:firstLine="420"/>
        <w:rPr>
          <w:sz w:val="21"/>
          <w:szCs w:val="21"/>
        </w:rPr>
      </w:pPr>
      <w:r>
        <w:rPr>
          <w:rFonts w:hint="eastAsia"/>
          <w:sz w:val="21"/>
          <w:szCs w:val="21"/>
        </w:rPr>
        <w:t>7）交收制度带来的基金流动性风险</w:t>
      </w:r>
    </w:p>
    <w:p w14:paraId="3B0A3396">
      <w:pPr>
        <w:pStyle w:val="8"/>
        <w:spacing w:before="0" w:beforeAutospacing="0" w:after="0" w:afterAutospacing="0" w:line="360" w:lineRule="auto"/>
        <w:ind w:firstLine="420"/>
        <w:rPr>
          <w:sz w:val="21"/>
          <w:szCs w:val="21"/>
        </w:rPr>
      </w:pPr>
      <w:r>
        <w:rPr>
          <w:rFonts w:hint="eastAsia"/>
          <w:sz w:val="21"/>
          <w:szCs w:val="21"/>
        </w:rPr>
        <w:t>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w:t>
      </w:r>
    </w:p>
    <w:p w14:paraId="2D1625ED">
      <w:pPr>
        <w:pStyle w:val="8"/>
        <w:spacing w:before="0" w:beforeAutospacing="0" w:after="0" w:afterAutospacing="0" w:line="360" w:lineRule="auto"/>
        <w:ind w:firstLine="420"/>
        <w:rPr>
          <w:sz w:val="21"/>
          <w:szCs w:val="21"/>
        </w:rPr>
      </w:pPr>
      <w:r>
        <w:rPr>
          <w:rFonts w:hint="eastAsia"/>
          <w:sz w:val="21"/>
          <w:szCs w:val="21"/>
        </w:rPr>
        <w:t>8）港股通下对公司行为的处理规则带来的风险</w:t>
      </w:r>
    </w:p>
    <w:p w14:paraId="499F88B2">
      <w:pPr>
        <w:pStyle w:val="8"/>
        <w:spacing w:before="0" w:beforeAutospacing="0" w:after="0" w:afterAutospacing="0" w:line="360" w:lineRule="auto"/>
        <w:ind w:firstLine="420"/>
        <w:rPr>
          <w:sz w:val="21"/>
          <w:szCs w:val="21"/>
        </w:rPr>
      </w:pPr>
      <w:r>
        <w:rPr>
          <w:rFonts w:hint="eastAsia"/>
          <w:sz w:val="21"/>
          <w:szCs w:val="21"/>
        </w:rPr>
        <w:t>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w:t>
      </w:r>
    </w:p>
    <w:p w14:paraId="2D11F760">
      <w:pPr>
        <w:pStyle w:val="8"/>
        <w:spacing w:before="0" w:beforeAutospacing="0" w:after="0" w:afterAutospacing="0" w:line="360" w:lineRule="auto"/>
        <w:ind w:firstLine="420"/>
        <w:rPr>
          <w:sz w:val="21"/>
          <w:szCs w:val="21"/>
        </w:rPr>
      </w:pPr>
      <w:r>
        <w:rPr>
          <w:rFonts w:hint="eastAsia"/>
          <w:sz w:val="21"/>
          <w:szCs w:val="21"/>
        </w:rPr>
        <w:t>本基金存在因上述规则，利益得不到最大化甚至受损的风险。</w:t>
      </w:r>
    </w:p>
    <w:p w14:paraId="4387451E">
      <w:pPr>
        <w:pStyle w:val="8"/>
        <w:spacing w:before="0" w:beforeAutospacing="0" w:after="0" w:afterAutospacing="0" w:line="360" w:lineRule="auto"/>
        <w:ind w:firstLine="420"/>
        <w:rPr>
          <w:sz w:val="21"/>
          <w:szCs w:val="21"/>
        </w:rPr>
      </w:pPr>
      <w:r>
        <w:rPr>
          <w:rFonts w:hint="eastAsia"/>
          <w:sz w:val="21"/>
          <w:szCs w:val="21"/>
        </w:rPr>
        <w:t>9）香港联合交易所停牌、退市等制度性差异带来的风险</w:t>
      </w:r>
    </w:p>
    <w:p w14:paraId="22A77B96">
      <w:pPr>
        <w:pStyle w:val="8"/>
        <w:spacing w:before="0" w:beforeAutospacing="0" w:after="0" w:afterAutospacing="0" w:line="360" w:lineRule="auto"/>
        <w:ind w:firstLine="420"/>
        <w:rPr>
          <w:sz w:val="21"/>
          <w:szCs w:val="21"/>
        </w:rPr>
      </w:pPr>
      <w:r>
        <w:rPr>
          <w:rFonts w:hint="eastAsia"/>
          <w:sz w:val="21"/>
          <w:szCs w:val="21"/>
        </w:rPr>
        <w:t>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w:t>
      </w:r>
    </w:p>
    <w:p w14:paraId="4E4C8895">
      <w:pPr>
        <w:pStyle w:val="8"/>
        <w:spacing w:before="0" w:beforeAutospacing="0" w:after="0" w:afterAutospacing="0" w:line="360" w:lineRule="auto"/>
        <w:ind w:firstLine="420"/>
        <w:rPr>
          <w:sz w:val="21"/>
          <w:szCs w:val="21"/>
        </w:rPr>
      </w:pPr>
      <w:r>
        <w:rPr>
          <w:rFonts w:hint="eastAsia"/>
          <w:sz w:val="21"/>
          <w:szCs w:val="21"/>
        </w:rPr>
        <w:t>因该等制度性差异，本基金可能存在因所持个股遭遇非预期性的停牌甚至退市而给基金带来损失的风险。</w:t>
      </w:r>
    </w:p>
    <w:p w14:paraId="39AB27C0">
      <w:pPr>
        <w:pStyle w:val="8"/>
        <w:spacing w:before="0" w:beforeAutospacing="0" w:after="0" w:afterAutospacing="0" w:line="360" w:lineRule="auto"/>
        <w:ind w:firstLine="420"/>
        <w:rPr>
          <w:sz w:val="21"/>
          <w:szCs w:val="21"/>
        </w:rPr>
      </w:pPr>
      <w:r>
        <w:rPr>
          <w:rFonts w:hint="eastAsia"/>
          <w:sz w:val="21"/>
          <w:szCs w:val="21"/>
        </w:rPr>
        <w:t>10）港股通规则变动带来的风险</w:t>
      </w:r>
    </w:p>
    <w:p w14:paraId="1F0E9A55">
      <w:pPr>
        <w:pStyle w:val="8"/>
        <w:spacing w:before="0" w:beforeAutospacing="0" w:after="0" w:afterAutospacing="0" w:line="360" w:lineRule="auto"/>
        <w:ind w:firstLine="420"/>
        <w:rPr>
          <w:sz w:val="21"/>
          <w:szCs w:val="21"/>
        </w:rPr>
      </w:pPr>
      <w:r>
        <w:rPr>
          <w:rFonts w:hint="eastAsia"/>
          <w:sz w:val="21"/>
          <w:szCs w:val="21"/>
        </w:rPr>
        <w:t>本基金是在港股通机制和规则下参与香港联交所证券的投资，受港股通规则的限制和影响；本基金存在因港股通规则变动而带来基金投资受阻或所持资产组合价值发生波动的风险。</w:t>
      </w:r>
    </w:p>
    <w:p w14:paraId="0CD05485">
      <w:pPr>
        <w:pStyle w:val="8"/>
        <w:spacing w:before="0" w:beforeAutospacing="0" w:after="0" w:afterAutospacing="0" w:line="360" w:lineRule="auto"/>
        <w:ind w:firstLine="420"/>
        <w:rPr>
          <w:sz w:val="21"/>
          <w:szCs w:val="21"/>
        </w:rPr>
      </w:pPr>
      <w:r>
        <w:rPr>
          <w:rFonts w:hint="eastAsia"/>
          <w:sz w:val="21"/>
          <w:szCs w:val="21"/>
        </w:rPr>
        <w:t>11）其他可能的风险</w:t>
      </w:r>
    </w:p>
    <w:p w14:paraId="45E55495">
      <w:pPr>
        <w:pStyle w:val="8"/>
        <w:spacing w:before="0" w:beforeAutospacing="0" w:after="0" w:afterAutospacing="0" w:line="360" w:lineRule="auto"/>
        <w:ind w:firstLine="420"/>
        <w:rPr>
          <w:sz w:val="21"/>
          <w:szCs w:val="21"/>
        </w:rPr>
      </w:pPr>
      <w:r>
        <w:rPr>
          <w:rFonts w:hint="eastAsia"/>
          <w:sz w:val="21"/>
          <w:szCs w:val="21"/>
        </w:rPr>
        <w:t>除上述显著风险外，本基金参与港股通投资，还可能面临的其他风险，包括但不限于：</w:t>
      </w:r>
    </w:p>
    <w:p w14:paraId="00ECF65C">
      <w:pPr>
        <w:pStyle w:val="8"/>
        <w:spacing w:before="0" w:beforeAutospacing="0" w:after="0" w:afterAutospacing="0" w:line="360" w:lineRule="auto"/>
        <w:ind w:firstLine="420"/>
        <w:rPr>
          <w:sz w:val="21"/>
          <w:szCs w:val="21"/>
        </w:rPr>
      </w:pPr>
      <w:r>
        <w:rPr>
          <w:rFonts w:hint="eastAsia"/>
          <w:sz w:val="21"/>
          <w:szCs w:val="21"/>
        </w:rPr>
        <w:t>①除因股票交易而发生的佣金、交易征费、交易费、交易系统费、印花税、过户费等税费外，在不进行交易时也可能要继续缴纳证券组合费等各项费用，本基金存在因费用估算不准而导致账户透支的风险；</w:t>
      </w:r>
    </w:p>
    <w:p w14:paraId="47087225">
      <w:pPr>
        <w:pStyle w:val="8"/>
        <w:spacing w:before="0" w:beforeAutospacing="0" w:after="0" w:afterAutospacing="0" w:line="360" w:lineRule="auto"/>
        <w:ind w:firstLine="420"/>
        <w:rPr>
          <w:sz w:val="21"/>
          <w:szCs w:val="21"/>
        </w:rPr>
      </w:pPr>
      <w:r>
        <w:rPr>
          <w:rFonts w:hint="eastAsia"/>
          <w:sz w:val="21"/>
          <w:szCs w:val="21"/>
        </w:rPr>
        <w:t>②在香港市场，部分中小市值港股成交量则相对较少，流动性较为缺乏，本基金投资此类股票可能因缺乏交易对手而面临个股流动性风险；</w:t>
      </w:r>
    </w:p>
    <w:p w14:paraId="6C10EA98">
      <w:pPr>
        <w:pStyle w:val="8"/>
        <w:spacing w:before="0" w:beforeAutospacing="0" w:after="0" w:afterAutospacing="0" w:line="360" w:lineRule="auto"/>
        <w:ind w:firstLine="420"/>
        <w:rPr>
          <w:sz w:val="21"/>
          <w:szCs w:val="21"/>
        </w:rPr>
      </w:pPr>
      <w:r>
        <w:rPr>
          <w:rFonts w:hint="eastAsia"/>
          <w:sz w:val="21"/>
          <w:szCs w:val="21"/>
        </w:rPr>
        <w:t>③在本基金参与港股通交易中若香港联交所与内地交易所的证券交易服务公司之间的报盘系统或者通信链路出现故障，可能导致15分钟以上不能申报和撤销申报的交易中断风险；</w:t>
      </w:r>
    </w:p>
    <w:p w14:paraId="56A683F3">
      <w:pPr>
        <w:pStyle w:val="8"/>
        <w:spacing w:before="0" w:beforeAutospacing="0" w:after="0" w:afterAutospacing="0" w:line="360" w:lineRule="auto"/>
        <w:ind w:firstLine="420"/>
        <w:rPr>
          <w:sz w:val="21"/>
          <w:szCs w:val="21"/>
        </w:rPr>
      </w:pPr>
      <w:r>
        <w:rPr>
          <w:rFonts w:hint="eastAsia"/>
          <w:sz w:val="21"/>
          <w:szCs w:val="21"/>
        </w:rPr>
        <w:t>④存在港股通香港结算机构因极端情况下无法交付证券和资金的结算风险；另外港股通境内结算实施分级结算原则，本基金可能面临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w:t>
      </w:r>
    </w:p>
    <w:p w14:paraId="45FB5B92">
      <w:pPr>
        <w:pStyle w:val="8"/>
        <w:spacing w:before="0" w:beforeAutospacing="0" w:after="0" w:afterAutospacing="0" w:line="360" w:lineRule="auto"/>
        <w:ind w:firstLine="420"/>
        <w:rPr>
          <w:sz w:val="21"/>
          <w:szCs w:val="21"/>
        </w:rPr>
      </w:pPr>
      <w:r>
        <w:rPr>
          <w:rFonts w:hint="eastAsia"/>
          <w:sz w:val="21"/>
          <w:szCs w:val="21"/>
        </w:rPr>
        <w:t>本基金可根据投资策略需要或不同配置地市场环境的变化，选择将部分基金资产投资于港股或选择不将基金资产投资于港股，基金资产并非必然投资港股。</w:t>
      </w:r>
    </w:p>
    <w:p w14:paraId="1F9576CF">
      <w:pPr>
        <w:pStyle w:val="8"/>
        <w:spacing w:before="0" w:beforeAutospacing="0" w:after="0" w:afterAutospacing="0" w:line="360" w:lineRule="auto"/>
        <w:ind w:firstLine="420"/>
        <w:rPr>
          <w:sz w:val="21"/>
          <w:szCs w:val="21"/>
        </w:rPr>
      </w:pPr>
      <w:r>
        <w:rPr>
          <w:rFonts w:hint="eastAsia"/>
          <w:sz w:val="21"/>
          <w:szCs w:val="21"/>
        </w:rPr>
        <w:t>（3）股指期货、国债期货、股票期权等金融衍生品投资风险</w:t>
      </w:r>
    </w:p>
    <w:p w14:paraId="10155ED9">
      <w:pPr>
        <w:pStyle w:val="8"/>
        <w:spacing w:before="0" w:beforeAutospacing="0" w:after="0" w:afterAutospacing="0" w:line="360" w:lineRule="auto"/>
        <w:ind w:firstLine="420"/>
        <w:rPr>
          <w:sz w:val="21"/>
          <w:szCs w:val="21"/>
        </w:rPr>
      </w:pPr>
      <w:r>
        <w:rPr>
          <w:rFonts w:hint="eastAsia"/>
          <w:sz w:val="21"/>
          <w:szCs w:val="21"/>
        </w:rPr>
        <w:t>金融衍生品是一种金融合约，其价值取决于一种或多种基础资产或指数，其评价主要源自于对挂钩资产的价格与价格波动的预期。投资于衍生品需承受市场风险、信用风险、流动性风险、操作风险和法律风险等。由于衍生品通常具有杠杆效应，价格波动比标的工具更为剧烈，有时候比投资标的资产要承担更高的风险。并且由于衍生品定价相当复杂，不适当的估值有可能使基金资产面临损失风险。</w:t>
      </w:r>
    </w:p>
    <w:p w14:paraId="28E91104">
      <w:pPr>
        <w:pStyle w:val="8"/>
        <w:spacing w:before="0" w:beforeAutospacing="0" w:after="0" w:afterAutospacing="0" w:line="360" w:lineRule="auto"/>
        <w:ind w:firstLine="420"/>
        <w:rPr>
          <w:sz w:val="21"/>
          <w:szCs w:val="21"/>
        </w:rPr>
      </w:pPr>
      <w:r>
        <w:rPr>
          <w:rFonts w:hint="eastAsia"/>
          <w:sz w:val="21"/>
          <w:szCs w:val="21"/>
        </w:rPr>
        <w:t>本基金将股指期货纳入到投资范围中，股指期货采用保证金交易制度，由于保证金交易具有杠杆性，当出现不利行情时，微小的变动就可能会使投资人权益遭受较大损失。同时，股指期货采用每日无负债结算制度，如果没有在规定的时间内补足保证金，按规定将被强制平仓，可能给基金净值带来重大损失。</w:t>
      </w:r>
    </w:p>
    <w:p w14:paraId="6E071162">
      <w:pPr>
        <w:pStyle w:val="8"/>
        <w:spacing w:before="0" w:beforeAutospacing="0" w:after="0" w:afterAutospacing="0" w:line="360" w:lineRule="auto"/>
        <w:ind w:firstLine="420"/>
        <w:rPr>
          <w:sz w:val="21"/>
          <w:szCs w:val="21"/>
        </w:rPr>
      </w:pPr>
      <w:r>
        <w:rPr>
          <w:rFonts w:hint="eastAsia"/>
          <w:sz w:val="21"/>
          <w:szCs w:val="21"/>
        </w:rPr>
        <w:t>本基金投资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w:t>
      </w:r>
    </w:p>
    <w:p w14:paraId="29FB6308">
      <w:pPr>
        <w:pStyle w:val="8"/>
        <w:spacing w:before="0" w:beforeAutospacing="0" w:after="0" w:afterAutospacing="0" w:line="360" w:lineRule="auto"/>
        <w:ind w:firstLine="420"/>
        <w:rPr>
          <w:sz w:val="21"/>
          <w:szCs w:val="21"/>
        </w:rPr>
      </w:pPr>
      <w:r>
        <w:rPr>
          <w:rFonts w:hint="eastAsia"/>
          <w:sz w:val="21"/>
          <w:szCs w:val="21"/>
        </w:rPr>
        <w:t>本基金参与股票期权交易以套期保值为主要目的，投资股票期权的主要风险包括价格波动风险、市场流动性风险、强制平仓风险、合约到期风险、行权失败风险、交易违约风险等。影响期权价格的因素较多，有时会出现价格较大波动，而且期权有到期日，不同的期权合约又有不同的到期日，若到期日当天没有做好行权准备，期权合约就会作废，不再有任何价值。此外，行权失败和交收违约也是股票期权交易可能出现的风险，期权义务方无法在较首日备齐足额资金或证券用于交收履约，会被判为交收违约并受罚，相应地，行权投资者就会面临行权失败而失去交易机会。</w:t>
      </w:r>
    </w:p>
    <w:p w14:paraId="687D0026">
      <w:pPr>
        <w:pStyle w:val="8"/>
        <w:spacing w:before="0" w:beforeAutospacing="0" w:after="0" w:afterAutospacing="0" w:line="360" w:lineRule="auto"/>
        <w:ind w:firstLine="420"/>
        <w:rPr>
          <w:sz w:val="21"/>
          <w:szCs w:val="21"/>
        </w:rPr>
      </w:pPr>
      <w:r>
        <w:rPr>
          <w:rFonts w:hint="eastAsia"/>
          <w:sz w:val="21"/>
          <w:szCs w:val="21"/>
        </w:rPr>
        <w:t>（4）投资资产支持证券（ABS）的风险</w:t>
      </w:r>
    </w:p>
    <w:p w14:paraId="3763E624">
      <w:pPr>
        <w:pStyle w:val="8"/>
        <w:spacing w:before="0" w:beforeAutospacing="0" w:after="0" w:afterAutospacing="0" w:line="360" w:lineRule="auto"/>
        <w:ind w:firstLine="420"/>
        <w:rPr>
          <w:sz w:val="21"/>
          <w:szCs w:val="21"/>
        </w:rPr>
      </w:pPr>
      <w:r>
        <w:rPr>
          <w:rFonts w:hint="eastAsia"/>
          <w:sz w:val="21"/>
          <w:szCs w:val="21"/>
        </w:rPr>
        <w:t>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14:paraId="2F6C7A84">
      <w:pPr>
        <w:pStyle w:val="8"/>
        <w:spacing w:before="0" w:beforeAutospacing="0" w:after="0" w:afterAutospacing="0" w:line="360" w:lineRule="auto"/>
        <w:ind w:firstLine="420"/>
        <w:rPr>
          <w:sz w:val="21"/>
          <w:szCs w:val="21"/>
        </w:rPr>
      </w:pPr>
      <w:r>
        <w:rPr>
          <w:rFonts w:hint="eastAsia"/>
          <w:sz w:val="21"/>
          <w:szCs w:val="21"/>
        </w:rPr>
        <w:t>（5）投资信用衍生品的风险</w:t>
      </w:r>
    </w:p>
    <w:p w14:paraId="697FFF02">
      <w:pPr>
        <w:pStyle w:val="8"/>
        <w:spacing w:before="0" w:beforeAutospacing="0" w:after="0" w:afterAutospacing="0" w:line="360" w:lineRule="auto"/>
        <w:ind w:firstLine="420"/>
        <w:rPr>
          <w:sz w:val="21"/>
          <w:szCs w:val="21"/>
        </w:rPr>
      </w:pPr>
      <w:r>
        <w:rPr>
          <w:rFonts w:hint="eastAsia"/>
          <w:sz w:val="21"/>
          <w:szCs w:val="21"/>
        </w:rPr>
        <w:t>为对冲信用风险，本基金可能投资信用衍生品，信用衍生品的投资可能面临流动性风险、偿付风险以及价格波动风险。</w:t>
      </w:r>
    </w:p>
    <w:p w14:paraId="0E0F8336">
      <w:pPr>
        <w:pStyle w:val="8"/>
        <w:spacing w:before="0" w:beforeAutospacing="0" w:after="0" w:afterAutospacing="0" w:line="360" w:lineRule="auto"/>
        <w:ind w:firstLine="420"/>
        <w:rPr>
          <w:sz w:val="21"/>
          <w:szCs w:val="21"/>
        </w:rPr>
      </w:pPr>
      <w:r>
        <w:rPr>
          <w:rFonts w:hint="eastAsia"/>
          <w:sz w:val="21"/>
          <w:szCs w:val="21"/>
        </w:rPr>
        <w:t>1）流动性风险</w:t>
      </w:r>
    </w:p>
    <w:p w14:paraId="14AF70CE">
      <w:pPr>
        <w:pStyle w:val="8"/>
        <w:spacing w:before="0" w:beforeAutospacing="0" w:after="0" w:afterAutospacing="0" w:line="360" w:lineRule="auto"/>
        <w:ind w:firstLine="420"/>
        <w:rPr>
          <w:sz w:val="21"/>
          <w:szCs w:val="21"/>
        </w:rPr>
      </w:pPr>
      <w:r>
        <w:rPr>
          <w:rFonts w:hint="eastAsia"/>
          <w:sz w:val="21"/>
          <w:szCs w:val="21"/>
        </w:rPr>
        <w:t>信用衍生品在交易转让过程中因无法找到交易对手或交易对手较少，导致难以将信用衍生品以合理价格变现的风险。</w:t>
      </w:r>
    </w:p>
    <w:p w14:paraId="20E8F8D9">
      <w:pPr>
        <w:pStyle w:val="8"/>
        <w:spacing w:before="0" w:beforeAutospacing="0" w:after="0" w:afterAutospacing="0" w:line="360" w:lineRule="auto"/>
        <w:ind w:firstLine="420"/>
        <w:rPr>
          <w:sz w:val="21"/>
          <w:szCs w:val="21"/>
        </w:rPr>
      </w:pPr>
      <w:r>
        <w:rPr>
          <w:rFonts w:hint="eastAsia"/>
          <w:sz w:val="21"/>
          <w:szCs w:val="21"/>
        </w:rPr>
        <w:t>2）偿付风险</w:t>
      </w:r>
    </w:p>
    <w:p w14:paraId="51356D86">
      <w:pPr>
        <w:pStyle w:val="8"/>
        <w:spacing w:before="0" w:beforeAutospacing="0" w:after="0" w:afterAutospacing="0" w:line="360" w:lineRule="auto"/>
        <w:ind w:firstLine="420"/>
        <w:rPr>
          <w:sz w:val="21"/>
          <w:szCs w:val="21"/>
        </w:rPr>
      </w:pPr>
      <w:r>
        <w:rPr>
          <w:rFonts w:hint="eastAsia"/>
          <w:sz w:val="21"/>
          <w:szCs w:val="21"/>
        </w:rPr>
        <w:t>在信用衍生品存续期间，由于不可控制的市场及环境变化，创设机构可能出现经营状况不佳或创设机构的现金流与预期发生一定偏差，从而影响信用衍生品结算的风险。</w:t>
      </w:r>
    </w:p>
    <w:p w14:paraId="2D4E28EE">
      <w:pPr>
        <w:pStyle w:val="8"/>
        <w:spacing w:before="0" w:beforeAutospacing="0" w:after="0" w:afterAutospacing="0" w:line="360" w:lineRule="auto"/>
        <w:ind w:firstLine="420"/>
        <w:rPr>
          <w:sz w:val="21"/>
          <w:szCs w:val="21"/>
        </w:rPr>
      </w:pPr>
      <w:r>
        <w:rPr>
          <w:rFonts w:hint="eastAsia"/>
          <w:sz w:val="21"/>
          <w:szCs w:val="21"/>
        </w:rPr>
        <w:t>3）价格波动风险</w:t>
      </w:r>
    </w:p>
    <w:p w14:paraId="4515A063">
      <w:pPr>
        <w:pStyle w:val="8"/>
        <w:spacing w:before="0" w:beforeAutospacing="0" w:after="0" w:afterAutospacing="0" w:line="360" w:lineRule="auto"/>
        <w:ind w:firstLine="420"/>
        <w:rPr>
          <w:sz w:val="21"/>
          <w:szCs w:val="21"/>
        </w:rPr>
      </w:pPr>
      <w:r>
        <w:rPr>
          <w:rFonts w:hint="eastAsia"/>
          <w:sz w:val="21"/>
          <w:szCs w:val="21"/>
        </w:rPr>
        <w:t>由于创设机构或所受保护的债券主体经营状况或利率环境发生变化，引起信用衍生品价格出现波动的风险。</w:t>
      </w:r>
    </w:p>
    <w:p w14:paraId="01E01AA4">
      <w:pPr>
        <w:pStyle w:val="8"/>
        <w:spacing w:before="0" w:beforeAutospacing="0" w:after="0" w:afterAutospacing="0" w:line="360" w:lineRule="auto"/>
        <w:ind w:firstLine="420"/>
        <w:rPr>
          <w:sz w:val="21"/>
          <w:szCs w:val="21"/>
        </w:rPr>
      </w:pPr>
      <w:r>
        <w:rPr>
          <w:rFonts w:hint="eastAsia"/>
          <w:sz w:val="21"/>
          <w:szCs w:val="21"/>
        </w:rPr>
        <w:t>（6）投资于存托凭证的风险</w:t>
      </w:r>
    </w:p>
    <w:p w14:paraId="4466B3A2">
      <w:pPr>
        <w:pStyle w:val="8"/>
        <w:spacing w:before="0" w:beforeAutospacing="0" w:after="0" w:afterAutospacing="0" w:line="360" w:lineRule="auto"/>
        <w:ind w:firstLine="420"/>
        <w:rPr>
          <w:sz w:val="21"/>
          <w:szCs w:val="21"/>
        </w:rPr>
      </w:pPr>
      <w:r>
        <w:rPr>
          <w:rFonts w:hint="eastAsia"/>
          <w:sz w:val="21"/>
          <w:szCs w:val="21"/>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57700951">
      <w:pPr>
        <w:pStyle w:val="8"/>
        <w:spacing w:before="0" w:beforeAutospacing="0" w:after="0" w:afterAutospacing="0" w:line="360" w:lineRule="auto"/>
        <w:ind w:firstLine="420"/>
        <w:rPr>
          <w:sz w:val="21"/>
          <w:szCs w:val="21"/>
        </w:rPr>
      </w:pPr>
      <w:r>
        <w:rPr>
          <w:rFonts w:hint="eastAsia"/>
          <w:sz w:val="21"/>
          <w:szCs w:val="21"/>
        </w:rPr>
        <w:t>（7）参与融资业务的风险</w:t>
      </w:r>
    </w:p>
    <w:p w14:paraId="3578433D">
      <w:pPr>
        <w:pStyle w:val="8"/>
        <w:spacing w:before="0" w:beforeAutospacing="0" w:after="0" w:afterAutospacing="0" w:line="360" w:lineRule="auto"/>
        <w:ind w:firstLine="420"/>
        <w:rPr>
          <w:sz w:val="21"/>
          <w:szCs w:val="21"/>
        </w:rPr>
      </w:pPr>
      <w:r>
        <w:rPr>
          <w:rFonts w:hint="eastAsia"/>
          <w:sz w:val="21"/>
          <w:szCs w:val="21"/>
        </w:rPr>
        <w:t>本基金可根据法律法规的规定参与融资业务。本基金将在充分考虑风险和收益特征的基础上，审慎参与融资业务。投资者需承担相应的风险。</w:t>
      </w:r>
    </w:p>
    <w:p w14:paraId="5847FDD0">
      <w:pPr>
        <w:pStyle w:val="8"/>
        <w:spacing w:before="0" w:beforeAutospacing="0" w:after="0" w:afterAutospacing="0" w:line="360" w:lineRule="auto"/>
        <w:ind w:firstLine="420"/>
        <w:rPr>
          <w:sz w:val="21"/>
          <w:szCs w:val="21"/>
        </w:rPr>
      </w:pPr>
      <w:r>
        <w:rPr>
          <w:rFonts w:hint="eastAsia"/>
          <w:sz w:val="21"/>
          <w:szCs w:val="21"/>
        </w:rPr>
        <w:t>8、操作或技术风险</w:t>
      </w:r>
    </w:p>
    <w:p w14:paraId="6C383EBB">
      <w:pPr>
        <w:pStyle w:val="8"/>
        <w:spacing w:before="0" w:beforeAutospacing="0" w:after="0" w:afterAutospacing="0" w:line="360" w:lineRule="auto"/>
        <w:ind w:firstLine="420"/>
        <w:rPr>
          <w:sz w:val="21"/>
          <w:szCs w:val="21"/>
        </w:rPr>
      </w:pPr>
      <w:r>
        <w:rPr>
          <w:rFonts w:hint="eastAsia"/>
          <w:sz w:val="21"/>
          <w:szCs w:val="21"/>
        </w:rPr>
        <w:t>（1）技术风险：在定向资产管理业务的日常交易中，可能因为技术系统的故障或者差错而影响交易的正常进行或者导致投资者的利益受到影响。这种技术风险可能来自管理人、托管人、证券交易所、期货交易所、证券登记结算机构等。</w:t>
      </w:r>
    </w:p>
    <w:p w14:paraId="7ECCB4F4">
      <w:pPr>
        <w:pStyle w:val="8"/>
        <w:spacing w:before="0" w:beforeAutospacing="0" w:after="0" w:afterAutospacing="0" w:line="360" w:lineRule="auto"/>
        <w:ind w:firstLine="420"/>
        <w:rPr>
          <w:sz w:val="21"/>
          <w:szCs w:val="21"/>
        </w:rPr>
      </w:pPr>
      <w:r>
        <w:rPr>
          <w:rFonts w:hint="eastAsia"/>
          <w:sz w:val="21"/>
          <w:szCs w:val="21"/>
        </w:rPr>
        <w:t>（2）操作风险：证券交易所、期货交易所、证券登记结算机构等在业务操作过程中，因操作失误或违反操作规程而引起的风险。</w:t>
      </w:r>
    </w:p>
    <w:p w14:paraId="470B7655">
      <w:pPr>
        <w:pStyle w:val="8"/>
        <w:spacing w:before="0" w:beforeAutospacing="0" w:after="0" w:afterAutospacing="0" w:line="360" w:lineRule="auto"/>
        <w:ind w:firstLine="420"/>
        <w:rPr>
          <w:sz w:val="21"/>
          <w:szCs w:val="21"/>
        </w:rPr>
      </w:pPr>
      <w:r>
        <w:rPr>
          <w:rFonts w:hint="eastAsia"/>
          <w:sz w:val="21"/>
          <w:szCs w:val="21"/>
        </w:rPr>
        <w:t>9、其它风险 </w:t>
      </w:r>
    </w:p>
    <w:p w14:paraId="2E32CBB4">
      <w:pPr>
        <w:pStyle w:val="8"/>
        <w:spacing w:before="0" w:beforeAutospacing="0" w:after="0" w:afterAutospacing="0" w:line="360" w:lineRule="auto"/>
        <w:ind w:firstLine="420"/>
        <w:rPr>
          <w:sz w:val="21"/>
          <w:szCs w:val="21"/>
        </w:rPr>
      </w:pPr>
      <w:r>
        <w:rPr>
          <w:rFonts w:hint="eastAsia"/>
          <w:sz w:val="21"/>
          <w:szCs w:val="21"/>
        </w:rPr>
        <w:t>（1）战争、自然灾害等不可抗力因素的出现，将会严重影响证券市场的运行，可能导致委托财产的损失； </w:t>
      </w:r>
    </w:p>
    <w:p w14:paraId="4465BF82">
      <w:pPr>
        <w:pStyle w:val="8"/>
        <w:spacing w:before="0" w:beforeAutospacing="0" w:after="0" w:afterAutospacing="0" w:line="360" w:lineRule="auto"/>
        <w:ind w:firstLine="420"/>
        <w:rPr>
          <w:sz w:val="21"/>
          <w:szCs w:val="21"/>
        </w:rPr>
      </w:pPr>
      <w:r>
        <w:rPr>
          <w:rFonts w:hint="eastAsia"/>
          <w:sz w:val="21"/>
          <w:szCs w:val="21"/>
        </w:rPr>
        <w:t>（2）金融市场危机、行业竞争、代理商违约等超出基金管理人自身直接控制能力之外的风险，也可能导致资产委托人利益受损。</w:t>
      </w:r>
    </w:p>
    <w:p w14:paraId="7D520DC9">
      <w:pPr>
        <w:pStyle w:val="8"/>
        <w:spacing w:before="0" w:beforeAutospacing="0" w:after="0" w:afterAutospacing="0" w:line="360" w:lineRule="auto"/>
        <w:ind w:firstLine="420"/>
        <w:rPr>
          <w:sz w:val="21"/>
          <w:szCs w:val="21"/>
        </w:rPr>
      </w:pPr>
      <w:r>
        <w:rPr>
          <w:rStyle w:val="12"/>
          <w:rFonts w:hint="eastAsia"/>
          <w:sz w:val="21"/>
          <w:szCs w:val="21"/>
        </w:rPr>
        <w:t>二、声明</w:t>
      </w:r>
    </w:p>
    <w:p w14:paraId="055DCA8B">
      <w:pPr>
        <w:pStyle w:val="8"/>
        <w:spacing w:before="0" w:beforeAutospacing="0" w:after="0" w:afterAutospacing="0" w:line="360" w:lineRule="auto"/>
        <w:ind w:firstLine="420"/>
        <w:rPr>
          <w:sz w:val="21"/>
          <w:szCs w:val="21"/>
        </w:rPr>
      </w:pPr>
      <w:r>
        <w:rPr>
          <w:rFonts w:hint="eastAsia"/>
          <w:sz w:val="21"/>
          <w:szCs w:val="21"/>
        </w:rPr>
        <w:t>1、投资者投资于本基金，须自行承担投资风险；</w:t>
      </w:r>
    </w:p>
    <w:p w14:paraId="607B821C">
      <w:pPr>
        <w:pStyle w:val="8"/>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2、除基金管理人直接办理本基金的销售外，本基金还通过基金销售机构销售，基金管</w:t>
      </w:r>
      <w:bookmarkStart w:id="171" w:name="chapter_level1_20_68_section_1_end"/>
      <w:bookmarkEnd w:id="171"/>
      <w:r>
        <w:rPr>
          <w:rFonts w:hint="eastAsia"/>
          <w:sz w:val="21"/>
          <w:szCs w:val="21"/>
        </w:rPr>
        <w:t>理人与其他销售机构都不能保证其收益或本金安全。</w:t>
      </w:r>
    </w:p>
    <w:p w14:paraId="56342019">
      <w:pPr>
        <w:widowControl/>
        <w:jc w:val="left"/>
        <w:rPr>
          <w:rFonts w:ascii="宋体" w:hAnsi="宋体" w:eastAsia="宋体"/>
        </w:rPr>
      </w:pPr>
      <w:r>
        <w:rPr>
          <w:rFonts w:ascii="宋体" w:hAnsi="宋体" w:eastAsia="宋体"/>
        </w:rPr>
        <w:br w:type="page"/>
      </w:r>
    </w:p>
    <w:p w14:paraId="791F71E0">
      <w:pPr>
        <w:pStyle w:val="3"/>
        <w:jc w:val="center"/>
        <w:rPr>
          <w:rFonts w:ascii="宋体" w:hAnsi="宋体" w:eastAsia="宋体"/>
          <w:sz w:val="30"/>
        </w:rPr>
      </w:pPr>
      <w:bookmarkStart w:id="172" w:name="chapter_level1_21_69"/>
      <w:bookmarkStart w:id="173" w:name="_Toc213857132"/>
      <w:r>
        <w:rPr>
          <w:rFonts w:hint="eastAsia" w:ascii="宋体" w:hAnsi="宋体" w:eastAsia="宋体"/>
          <w:sz w:val="30"/>
        </w:rPr>
        <w:t>第十八部分  基金合同的变更、终止与基金财产的清算</w:t>
      </w:r>
      <w:bookmarkEnd w:id="172"/>
      <w:bookmarkEnd w:id="173"/>
    </w:p>
    <w:p w14:paraId="4BD49B7A">
      <w:pPr>
        <w:pStyle w:val="8"/>
        <w:spacing w:before="0" w:beforeAutospacing="0" w:after="0" w:afterAutospacing="0" w:line="360" w:lineRule="auto"/>
        <w:ind w:firstLine="420"/>
        <w:rPr>
          <w:sz w:val="21"/>
          <w:szCs w:val="21"/>
        </w:rPr>
      </w:pPr>
      <w:bookmarkStart w:id="174" w:name="chapter_level1_21_69_section_1"/>
      <w:bookmarkEnd w:id="174"/>
      <w:r>
        <w:rPr>
          <w:rStyle w:val="12"/>
          <w:rFonts w:hint="eastAsia"/>
          <w:sz w:val="21"/>
          <w:szCs w:val="21"/>
        </w:rPr>
        <w:t>一、《基金合同》的变更</w:t>
      </w:r>
    </w:p>
    <w:p w14:paraId="52ECC422">
      <w:pPr>
        <w:pStyle w:val="8"/>
        <w:spacing w:before="0" w:beforeAutospacing="0" w:after="0" w:afterAutospacing="0" w:line="360" w:lineRule="auto"/>
        <w:ind w:firstLine="420"/>
        <w:rPr>
          <w:sz w:val="21"/>
          <w:szCs w:val="21"/>
        </w:rPr>
      </w:pPr>
      <w:r>
        <w:rPr>
          <w:rFonts w:hint="eastAsia"/>
          <w:sz w:val="21"/>
          <w:szCs w:val="21"/>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7452F86D">
      <w:pPr>
        <w:pStyle w:val="8"/>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14:paraId="443CED0E">
      <w:pPr>
        <w:pStyle w:val="8"/>
        <w:spacing w:before="0" w:beforeAutospacing="0" w:after="0" w:afterAutospacing="0" w:line="360" w:lineRule="auto"/>
        <w:ind w:firstLine="420"/>
        <w:rPr>
          <w:sz w:val="21"/>
          <w:szCs w:val="21"/>
        </w:rPr>
      </w:pPr>
      <w:r>
        <w:rPr>
          <w:rStyle w:val="12"/>
          <w:rFonts w:hint="eastAsia"/>
          <w:sz w:val="21"/>
          <w:szCs w:val="21"/>
        </w:rPr>
        <w:t>二、《基金合同》的终止事由</w:t>
      </w:r>
    </w:p>
    <w:p w14:paraId="15C1BE5C">
      <w:pPr>
        <w:pStyle w:val="8"/>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14:paraId="7190B41C">
      <w:pPr>
        <w:pStyle w:val="8"/>
        <w:spacing w:before="0" w:beforeAutospacing="0" w:after="0" w:afterAutospacing="0" w:line="360" w:lineRule="auto"/>
        <w:ind w:firstLine="420"/>
        <w:rPr>
          <w:sz w:val="21"/>
          <w:szCs w:val="21"/>
        </w:rPr>
      </w:pPr>
      <w:r>
        <w:rPr>
          <w:rFonts w:hint="eastAsia"/>
          <w:sz w:val="21"/>
          <w:szCs w:val="21"/>
        </w:rPr>
        <w:t>1、基金份额持有人大会决定终止的；</w:t>
      </w:r>
    </w:p>
    <w:p w14:paraId="58BAC8B8">
      <w:pPr>
        <w:pStyle w:val="8"/>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14:paraId="6683497F">
      <w:pPr>
        <w:pStyle w:val="8"/>
        <w:spacing w:before="0" w:beforeAutospacing="0" w:after="0" w:afterAutospacing="0" w:line="360" w:lineRule="auto"/>
        <w:ind w:firstLine="420"/>
        <w:rPr>
          <w:sz w:val="21"/>
          <w:szCs w:val="21"/>
        </w:rPr>
      </w:pPr>
      <w:r>
        <w:rPr>
          <w:rFonts w:hint="eastAsia"/>
          <w:sz w:val="21"/>
          <w:szCs w:val="21"/>
        </w:rPr>
        <w:t>3、《基金合同》约定的其他情形；</w:t>
      </w:r>
    </w:p>
    <w:p w14:paraId="53DBD294">
      <w:pPr>
        <w:pStyle w:val="8"/>
        <w:spacing w:before="0" w:beforeAutospacing="0" w:after="0" w:afterAutospacing="0" w:line="360" w:lineRule="auto"/>
        <w:ind w:firstLine="420"/>
        <w:rPr>
          <w:sz w:val="21"/>
          <w:szCs w:val="21"/>
        </w:rPr>
      </w:pPr>
      <w:r>
        <w:rPr>
          <w:rFonts w:hint="eastAsia"/>
          <w:sz w:val="21"/>
          <w:szCs w:val="21"/>
        </w:rPr>
        <w:t>4、相关法律法规和中国证监会规定的其他情况。</w:t>
      </w:r>
    </w:p>
    <w:p w14:paraId="37A78EA3">
      <w:pPr>
        <w:pStyle w:val="8"/>
        <w:spacing w:before="0" w:beforeAutospacing="0" w:after="0" w:afterAutospacing="0" w:line="360" w:lineRule="auto"/>
        <w:ind w:firstLine="420"/>
        <w:rPr>
          <w:sz w:val="21"/>
          <w:szCs w:val="21"/>
        </w:rPr>
      </w:pPr>
      <w:r>
        <w:rPr>
          <w:rStyle w:val="12"/>
          <w:rFonts w:hint="eastAsia"/>
          <w:sz w:val="21"/>
          <w:szCs w:val="21"/>
        </w:rPr>
        <w:t>三、基金财产的清算</w:t>
      </w:r>
    </w:p>
    <w:p w14:paraId="39C612D2">
      <w:pPr>
        <w:pStyle w:val="8"/>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w:t>
      </w:r>
    </w:p>
    <w:p w14:paraId="39794A83">
      <w:pPr>
        <w:pStyle w:val="8"/>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14:paraId="49F0045D">
      <w:pPr>
        <w:pStyle w:val="8"/>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15E32E47">
      <w:pPr>
        <w:pStyle w:val="8"/>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14:paraId="2D82F74A">
      <w:pPr>
        <w:pStyle w:val="8"/>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14:paraId="2B34222B">
      <w:pPr>
        <w:pStyle w:val="8"/>
        <w:spacing w:before="0" w:beforeAutospacing="0" w:after="0" w:afterAutospacing="0" w:line="360" w:lineRule="auto"/>
        <w:ind w:firstLine="420"/>
        <w:rPr>
          <w:sz w:val="21"/>
          <w:szCs w:val="21"/>
        </w:rPr>
      </w:pPr>
      <w:r>
        <w:rPr>
          <w:rFonts w:hint="eastAsia"/>
          <w:sz w:val="21"/>
          <w:szCs w:val="21"/>
        </w:rPr>
        <w:t>6、基金财产清算程序：</w:t>
      </w:r>
    </w:p>
    <w:p w14:paraId="10768A9D">
      <w:pPr>
        <w:pStyle w:val="8"/>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（1）《基金合同》终止情形出现时，由基金财产清算小组统一接管基金财产；</w:t>
      </w:r>
    </w:p>
    <w:p w14:paraId="01474672">
      <w:pPr>
        <w:pStyle w:val="8"/>
        <w:spacing w:before="0" w:beforeAutospacing="0" w:after="0" w:afterAutospacing="0" w:line="360" w:lineRule="auto"/>
        <w:ind w:firstLine="420"/>
        <w:rPr>
          <w:sz w:val="21"/>
          <w:szCs w:val="21"/>
        </w:rPr>
      </w:pPr>
      <w:r>
        <w:rPr>
          <w:rFonts w:hint="eastAsia"/>
          <w:sz w:val="21"/>
          <w:szCs w:val="21"/>
        </w:rPr>
        <w:t>（2）对基金财产和债权债务进行清理和确认；</w:t>
      </w:r>
    </w:p>
    <w:p w14:paraId="4A6EE71F">
      <w:pPr>
        <w:pStyle w:val="8"/>
        <w:spacing w:before="0" w:beforeAutospacing="0" w:after="0" w:afterAutospacing="0" w:line="360" w:lineRule="auto"/>
        <w:ind w:firstLine="420"/>
        <w:rPr>
          <w:sz w:val="21"/>
          <w:szCs w:val="21"/>
        </w:rPr>
      </w:pPr>
      <w:r>
        <w:rPr>
          <w:rFonts w:hint="eastAsia"/>
          <w:sz w:val="21"/>
          <w:szCs w:val="21"/>
        </w:rPr>
        <w:t>（3）对基金财产进行估值和变现；</w:t>
      </w:r>
    </w:p>
    <w:p w14:paraId="3F917476">
      <w:pPr>
        <w:pStyle w:val="8"/>
        <w:spacing w:before="0" w:beforeAutospacing="0" w:after="0" w:afterAutospacing="0" w:line="360" w:lineRule="auto"/>
        <w:ind w:firstLine="420"/>
        <w:rPr>
          <w:sz w:val="21"/>
          <w:szCs w:val="21"/>
        </w:rPr>
      </w:pPr>
      <w:r>
        <w:rPr>
          <w:rFonts w:hint="eastAsia"/>
          <w:sz w:val="21"/>
          <w:szCs w:val="21"/>
        </w:rPr>
        <w:t>（4）制作清算报告；</w:t>
      </w:r>
    </w:p>
    <w:p w14:paraId="0C312565">
      <w:pPr>
        <w:pStyle w:val="8"/>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14:paraId="113C4E7B">
      <w:pPr>
        <w:pStyle w:val="8"/>
        <w:spacing w:before="0" w:beforeAutospacing="0" w:after="0" w:afterAutospacing="0" w:line="360" w:lineRule="auto"/>
        <w:ind w:firstLine="420"/>
        <w:rPr>
          <w:sz w:val="21"/>
          <w:szCs w:val="21"/>
        </w:rPr>
      </w:pPr>
      <w:r>
        <w:rPr>
          <w:rFonts w:hint="eastAsia"/>
          <w:sz w:val="21"/>
          <w:szCs w:val="21"/>
        </w:rPr>
        <w:t>（6）将清算报告报中国证监会备案并公告；</w:t>
      </w:r>
    </w:p>
    <w:p w14:paraId="0983ACDA">
      <w:pPr>
        <w:pStyle w:val="8"/>
        <w:spacing w:before="0" w:beforeAutospacing="0" w:after="0" w:afterAutospacing="0" w:line="360" w:lineRule="auto"/>
        <w:ind w:firstLine="420"/>
        <w:rPr>
          <w:sz w:val="21"/>
          <w:szCs w:val="21"/>
        </w:rPr>
      </w:pPr>
      <w:r>
        <w:rPr>
          <w:rFonts w:hint="eastAsia"/>
          <w:sz w:val="21"/>
          <w:szCs w:val="21"/>
        </w:rPr>
        <w:t>（7）对基金剩余财产进行分配。</w:t>
      </w:r>
    </w:p>
    <w:p w14:paraId="51D6E318">
      <w:pPr>
        <w:pStyle w:val="8"/>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7、基金财产清算的期限为6个月，但因本基金所持证券的流动性受到限制而不能及时变现的，清算期限相应顺延。</w:t>
      </w:r>
    </w:p>
    <w:p w14:paraId="294D1C24">
      <w:pPr>
        <w:pStyle w:val="8"/>
        <w:spacing w:before="0" w:beforeAutospacing="0" w:after="0" w:afterAutospacing="0" w:line="360" w:lineRule="auto"/>
        <w:ind w:firstLine="420"/>
        <w:rPr>
          <w:sz w:val="21"/>
          <w:szCs w:val="21"/>
        </w:rPr>
      </w:pPr>
      <w:r>
        <w:rPr>
          <w:rStyle w:val="12"/>
          <w:rFonts w:hint="eastAsia"/>
          <w:sz w:val="21"/>
          <w:szCs w:val="21"/>
        </w:rPr>
        <w:t>四、清算费用</w:t>
      </w:r>
    </w:p>
    <w:p w14:paraId="7C84B83F">
      <w:pPr>
        <w:pStyle w:val="8"/>
        <w:spacing w:before="0" w:beforeAutospacing="0" w:after="0" w:afterAutospacing="0" w:line="360" w:lineRule="auto"/>
        <w:ind w:firstLine="420"/>
        <w:rPr>
          <w:sz w:val="21"/>
          <w:szCs w:val="21"/>
        </w:rPr>
      </w:pPr>
      <w:r>
        <w:rPr>
          <w:rFonts w:hint="eastAsia"/>
          <w:sz w:val="21"/>
          <w:szCs w:val="21"/>
        </w:rPr>
        <w:t>清算费用是指基金财产清算小组在进行基金财产清算过程中发生的所有合理费用，清算费用由基金财产清算小组优先从基金剩余财产中支付。</w:t>
      </w:r>
    </w:p>
    <w:p w14:paraId="7C19626E">
      <w:pPr>
        <w:pStyle w:val="8"/>
        <w:spacing w:before="0" w:beforeAutospacing="0" w:after="0" w:afterAutospacing="0" w:line="360" w:lineRule="auto"/>
        <w:ind w:firstLine="420"/>
        <w:rPr>
          <w:sz w:val="21"/>
          <w:szCs w:val="21"/>
        </w:rPr>
      </w:pPr>
      <w:r>
        <w:rPr>
          <w:rStyle w:val="12"/>
          <w:rFonts w:hint="eastAsia"/>
          <w:sz w:val="21"/>
          <w:szCs w:val="21"/>
        </w:rPr>
        <w:t>五、基金财产清算剩余资产的分配</w:t>
      </w:r>
    </w:p>
    <w:p w14:paraId="3BA1EAFD">
      <w:pPr>
        <w:pStyle w:val="8"/>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14:paraId="107EE64F">
      <w:pPr>
        <w:pStyle w:val="8"/>
        <w:spacing w:before="0" w:beforeAutospacing="0" w:after="0" w:afterAutospacing="0" w:line="360" w:lineRule="auto"/>
        <w:ind w:firstLine="420"/>
        <w:rPr>
          <w:sz w:val="21"/>
          <w:szCs w:val="21"/>
        </w:rPr>
      </w:pPr>
      <w:r>
        <w:rPr>
          <w:rStyle w:val="12"/>
          <w:rFonts w:hint="eastAsia"/>
          <w:sz w:val="21"/>
          <w:szCs w:val="21"/>
        </w:rPr>
        <w:t>六、基金财产清算的公告</w:t>
      </w:r>
    </w:p>
    <w:p w14:paraId="5FBD5520">
      <w:pPr>
        <w:pStyle w:val="8"/>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45F3A3A2">
      <w:pPr>
        <w:pStyle w:val="8"/>
        <w:spacing w:before="0" w:beforeAutospacing="0" w:after="0" w:afterAutospacing="0" w:line="360" w:lineRule="auto"/>
        <w:ind w:firstLine="420"/>
        <w:rPr>
          <w:sz w:val="21"/>
          <w:szCs w:val="21"/>
        </w:rPr>
      </w:pPr>
      <w:r>
        <w:rPr>
          <w:rStyle w:val="12"/>
          <w:rFonts w:hint="eastAsia"/>
          <w:sz w:val="21"/>
          <w:szCs w:val="21"/>
        </w:rPr>
        <w:t>七、基金财产清算账册及文件的保存</w:t>
      </w:r>
    </w:p>
    <w:p w14:paraId="31D61E9E">
      <w:pPr>
        <w:pStyle w:val="8"/>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基金财产清算账册及有关文件由基金托管人保存，保存期限不低于法律法规规定的最低期限。</w:t>
      </w:r>
    </w:p>
    <w:p w14:paraId="65BFC9CC">
      <w:pPr>
        <w:pStyle w:val="8"/>
        <w:spacing w:before="0" w:beforeAutospacing="0" w:after="0" w:afterAutospacing="0" w:line="360" w:lineRule="auto"/>
        <w:ind w:firstLine="420"/>
        <w:rPr>
          <w:sz w:val="21"/>
          <w:szCs w:val="21"/>
        </w:rPr>
      </w:pPr>
      <w:r>
        <w:rPr>
          <w:rStyle w:val="12"/>
          <w:rFonts w:hint="eastAsia"/>
          <w:sz w:val="21"/>
          <w:szCs w:val="21"/>
        </w:rPr>
        <w:t>八、基金合并</w:t>
      </w:r>
    </w:p>
    <w:p w14:paraId="59FCBC62">
      <w:pPr>
        <w:pStyle w:val="8"/>
        <w:spacing w:before="0" w:beforeAutospacing="0" w:after="0" w:afterAutospacing="0" w:line="360" w:lineRule="auto"/>
        <w:ind w:firstLine="420"/>
        <w:rPr>
          <w:sz w:val="21"/>
          <w:szCs w:val="21"/>
        </w:rPr>
      </w:pPr>
      <w:bookmarkStart w:id="175" w:name="chapter_level1_21_69_section_1_end"/>
      <w:bookmarkEnd w:id="175"/>
      <w:r>
        <w:rPr>
          <w:rFonts w:hint="eastAsia"/>
          <w:sz w:val="21"/>
          <w:szCs w:val="21"/>
        </w:rPr>
        <w:t>本基金与其他基金的合并应当按照法律法规规定的程序进行。</w:t>
      </w:r>
    </w:p>
    <w:p w14:paraId="4BAF9820">
      <w:pPr>
        <w:widowControl/>
        <w:jc w:val="left"/>
        <w:rPr>
          <w:rFonts w:ascii="宋体" w:hAnsi="宋体" w:eastAsia="宋体"/>
        </w:rPr>
      </w:pPr>
      <w:r>
        <w:rPr>
          <w:rFonts w:ascii="宋体" w:hAnsi="宋体" w:eastAsia="宋体"/>
        </w:rPr>
        <w:br w:type="page"/>
      </w:r>
    </w:p>
    <w:p w14:paraId="1FB6F83D">
      <w:pPr>
        <w:pStyle w:val="3"/>
        <w:jc w:val="center"/>
        <w:rPr>
          <w:rFonts w:ascii="宋体" w:hAnsi="宋体" w:eastAsia="宋体"/>
          <w:sz w:val="30"/>
        </w:rPr>
      </w:pPr>
      <w:bookmarkStart w:id="176" w:name="chapter_level1_22_71"/>
      <w:bookmarkStart w:id="177" w:name="_Toc213857133"/>
      <w:r>
        <w:rPr>
          <w:rFonts w:hint="eastAsia" w:ascii="宋体" w:hAnsi="宋体" w:eastAsia="宋体"/>
          <w:sz w:val="30"/>
        </w:rPr>
        <w:t>第十九部分  基金合同的内容摘要</w:t>
      </w:r>
      <w:bookmarkEnd w:id="176"/>
      <w:bookmarkEnd w:id="177"/>
    </w:p>
    <w:p w14:paraId="57FE96FE">
      <w:pPr>
        <w:pStyle w:val="8"/>
        <w:spacing w:before="0" w:beforeAutospacing="0" w:after="0" w:afterAutospacing="0" w:line="360" w:lineRule="auto"/>
        <w:ind w:firstLine="420"/>
        <w:rPr>
          <w:sz w:val="21"/>
          <w:szCs w:val="21"/>
        </w:rPr>
      </w:pPr>
      <w:bookmarkStart w:id="178" w:name="chapter_level1_22_71_section_1"/>
      <w:bookmarkEnd w:id="178"/>
      <w:r>
        <w:rPr>
          <w:rStyle w:val="12"/>
          <w:rFonts w:hint="eastAsia"/>
          <w:sz w:val="21"/>
          <w:szCs w:val="21"/>
        </w:rPr>
        <w:t>一、基金份额持有人、基金管理人和基金托管人的权利、义务 </w:t>
      </w:r>
    </w:p>
    <w:p w14:paraId="02532B90">
      <w:pPr>
        <w:pStyle w:val="8"/>
        <w:spacing w:before="0" w:beforeAutospacing="0" w:after="0" w:afterAutospacing="0" w:line="360" w:lineRule="auto"/>
        <w:ind w:firstLine="420"/>
        <w:rPr>
          <w:sz w:val="21"/>
          <w:szCs w:val="21"/>
        </w:rPr>
      </w:pPr>
      <w:r>
        <w:rPr>
          <w:rFonts w:hint="eastAsia"/>
          <w:sz w:val="21"/>
          <w:szCs w:val="21"/>
        </w:rPr>
        <w:t>（一）基金管理人的权利与义务 </w:t>
      </w:r>
    </w:p>
    <w:p w14:paraId="1A0E9081">
      <w:pPr>
        <w:pStyle w:val="8"/>
        <w:spacing w:before="0" w:beforeAutospacing="0" w:after="0" w:afterAutospacing="0" w:line="360" w:lineRule="auto"/>
        <w:ind w:firstLine="420"/>
        <w:rPr>
          <w:sz w:val="21"/>
          <w:szCs w:val="21"/>
        </w:rPr>
      </w:pPr>
      <w:r>
        <w:rPr>
          <w:rFonts w:hint="eastAsia"/>
          <w:sz w:val="21"/>
          <w:szCs w:val="21"/>
        </w:rPr>
        <w:t>1、根据《基金法》、《运作办法》及其他有关规定，基金管理人的权利包括但不限于： </w:t>
      </w:r>
    </w:p>
    <w:p w14:paraId="6D19BFD2">
      <w:pPr>
        <w:pStyle w:val="8"/>
        <w:spacing w:before="0" w:beforeAutospacing="0" w:after="0" w:afterAutospacing="0" w:line="360" w:lineRule="auto"/>
        <w:ind w:firstLine="420"/>
        <w:rPr>
          <w:sz w:val="21"/>
          <w:szCs w:val="21"/>
        </w:rPr>
      </w:pPr>
      <w:r>
        <w:rPr>
          <w:rFonts w:hint="eastAsia"/>
          <w:sz w:val="21"/>
          <w:szCs w:val="21"/>
        </w:rPr>
        <w:t>（1）依法募集资金； </w:t>
      </w:r>
    </w:p>
    <w:p w14:paraId="53ACD1DC">
      <w:pPr>
        <w:pStyle w:val="8"/>
        <w:spacing w:before="0" w:beforeAutospacing="0" w:after="0" w:afterAutospacing="0" w:line="360" w:lineRule="auto"/>
        <w:ind w:firstLine="420"/>
        <w:rPr>
          <w:sz w:val="21"/>
          <w:szCs w:val="21"/>
        </w:rPr>
      </w:pPr>
      <w:r>
        <w:rPr>
          <w:rFonts w:hint="eastAsia"/>
          <w:sz w:val="21"/>
          <w:szCs w:val="21"/>
        </w:rPr>
        <w:t>（2）自《基金合同》生效之日起，根据法律法规和《基金合同》独立运用并管理基金财产； </w:t>
      </w:r>
    </w:p>
    <w:p w14:paraId="49FAC3FA">
      <w:pPr>
        <w:pStyle w:val="8"/>
        <w:spacing w:before="0" w:beforeAutospacing="0" w:after="0" w:afterAutospacing="0" w:line="360" w:lineRule="auto"/>
        <w:ind w:firstLine="420"/>
        <w:rPr>
          <w:sz w:val="21"/>
          <w:szCs w:val="21"/>
        </w:rPr>
      </w:pPr>
      <w:r>
        <w:rPr>
          <w:rFonts w:hint="eastAsia"/>
          <w:sz w:val="21"/>
          <w:szCs w:val="21"/>
        </w:rPr>
        <w:t>（3）依照《基金合同》收取基金管理费以及法律法规规定或中国证监会批准的其他费用； </w:t>
      </w:r>
    </w:p>
    <w:p w14:paraId="6C598151">
      <w:pPr>
        <w:pStyle w:val="8"/>
        <w:spacing w:before="0" w:beforeAutospacing="0" w:after="0" w:afterAutospacing="0" w:line="360" w:lineRule="auto"/>
        <w:ind w:firstLine="420"/>
        <w:rPr>
          <w:sz w:val="21"/>
          <w:szCs w:val="21"/>
        </w:rPr>
      </w:pPr>
      <w:r>
        <w:rPr>
          <w:rFonts w:hint="eastAsia"/>
          <w:sz w:val="21"/>
          <w:szCs w:val="21"/>
        </w:rPr>
        <w:t>（4）销售基金份额； </w:t>
      </w:r>
    </w:p>
    <w:p w14:paraId="2A3CD229">
      <w:pPr>
        <w:pStyle w:val="8"/>
        <w:spacing w:before="0" w:beforeAutospacing="0" w:after="0" w:afterAutospacing="0" w:line="360" w:lineRule="auto"/>
        <w:ind w:firstLine="420"/>
        <w:rPr>
          <w:sz w:val="21"/>
          <w:szCs w:val="21"/>
        </w:rPr>
      </w:pPr>
      <w:r>
        <w:rPr>
          <w:rFonts w:hint="eastAsia"/>
          <w:sz w:val="21"/>
          <w:szCs w:val="21"/>
        </w:rPr>
        <w:t>（5）按照规定召集基金份额持有人大会； </w:t>
      </w:r>
    </w:p>
    <w:p w14:paraId="4968E582">
      <w:pPr>
        <w:pStyle w:val="8"/>
        <w:spacing w:before="0" w:beforeAutospacing="0" w:after="0" w:afterAutospacing="0" w:line="360" w:lineRule="auto"/>
        <w:ind w:firstLine="420"/>
        <w:rPr>
          <w:sz w:val="21"/>
          <w:szCs w:val="21"/>
        </w:rPr>
      </w:pPr>
      <w:r>
        <w:rPr>
          <w:rFonts w:hint="eastAsia"/>
          <w:sz w:val="21"/>
          <w:szCs w:val="21"/>
        </w:rPr>
        <w:t>（6）依据《基金合同》及有关法律规定监督基金托管人，如认为基金托管人违反了《基金合同》及国家有关法律规定，应呈报中国证监会和其他监管部门，并采取必要措施保护基金投资者的利益； </w:t>
      </w:r>
    </w:p>
    <w:p w14:paraId="409D9825">
      <w:pPr>
        <w:pStyle w:val="8"/>
        <w:spacing w:before="0" w:beforeAutospacing="0" w:after="0" w:afterAutospacing="0" w:line="360" w:lineRule="auto"/>
        <w:ind w:firstLine="420"/>
        <w:rPr>
          <w:sz w:val="21"/>
          <w:szCs w:val="21"/>
        </w:rPr>
      </w:pPr>
      <w:r>
        <w:rPr>
          <w:rFonts w:hint="eastAsia"/>
          <w:sz w:val="21"/>
          <w:szCs w:val="21"/>
        </w:rPr>
        <w:t>（7）在基金托管人更换时，提名新的基金托管人； </w:t>
      </w:r>
    </w:p>
    <w:p w14:paraId="378E5DD3">
      <w:pPr>
        <w:pStyle w:val="8"/>
        <w:spacing w:before="0" w:beforeAutospacing="0" w:after="0" w:afterAutospacing="0" w:line="360" w:lineRule="auto"/>
        <w:ind w:firstLine="420"/>
        <w:rPr>
          <w:sz w:val="21"/>
          <w:szCs w:val="21"/>
        </w:rPr>
      </w:pPr>
      <w:r>
        <w:rPr>
          <w:rFonts w:hint="eastAsia"/>
          <w:sz w:val="21"/>
          <w:szCs w:val="21"/>
        </w:rPr>
        <w:t>（8）选择、更换基金销售机构，对基金销售机构的相关行为进行监督和处理； </w:t>
      </w:r>
    </w:p>
    <w:p w14:paraId="2CF9FC1A">
      <w:pPr>
        <w:pStyle w:val="8"/>
        <w:spacing w:before="0" w:beforeAutospacing="0" w:after="0" w:afterAutospacing="0" w:line="360" w:lineRule="auto"/>
        <w:ind w:firstLine="420"/>
        <w:rPr>
          <w:sz w:val="21"/>
          <w:szCs w:val="21"/>
        </w:rPr>
      </w:pPr>
      <w:r>
        <w:rPr>
          <w:rFonts w:hint="eastAsia"/>
          <w:sz w:val="21"/>
          <w:szCs w:val="21"/>
        </w:rPr>
        <w:t>（9）担任或委托其他符合条件的机构担任基金登记机构办理基金登记业务并获得《基金合同》规定的费用； </w:t>
      </w:r>
    </w:p>
    <w:p w14:paraId="3B465A67">
      <w:pPr>
        <w:pStyle w:val="8"/>
        <w:spacing w:before="0" w:beforeAutospacing="0" w:after="0" w:afterAutospacing="0" w:line="360" w:lineRule="auto"/>
        <w:ind w:firstLine="420"/>
        <w:rPr>
          <w:sz w:val="21"/>
          <w:szCs w:val="21"/>
        </w:rPr>
      </w:pPr>
      <w:r>
        <w:rPr>
          <w:rFonts w:hint="eastAsia"/>
          <w:sz w:val="21"/>
          <w:szCs w:val="21"/>
        </w:rPr>
        <w:t>（10）依据《基金合同》及有关法律规定决定基金收益的分配方案； </w:t>
      </w:r>
    </w:p>
    <w:p w14:paraId="4D6C040B">
      <w:pPr>
        <w:pStyle w:val="8"/>
        <w:spacing w:before="0" w:beforeAutospacing="0" w:after="0" w:afterAutospacing="0" w:line="360" w:lineRule="auto"/>
        <w:ind w:firstLine="420"/>
        <w:rPr>
          <w:sz w:val="21"/>
          <w:szCs w:val="21"/>
        </w:rPr>
      </w:pPr>
      <w:r>
        <w:rPr>
          <w:rFonts w:hint="eastAsia"/>
          <w:sz w:val="21"/>
          <w:szCs w:val="21"/>
        </w:rPr>
        <w:t>（11）在《基金合同》约定的范围内，拒绝或暂停受理申购、赎回与转换申请； </w:t>
      </w:r>
    </w:p>
    <w:p w14:paraId="3E8966A6">
      <w:pPr>
        <w:pStyle w:val="8"/>
        <w:spacing w:before="0" w:beforeAutospacing="0" w:after="0" w:afterAutospacing="0" w:line="360" w:lineRule="auto"/>
        <w:ind w:firstLine="420"/>
        <w:rPr>
          <w:sz w:val="21"/>
          <w:szCs w:val="21"/>
        </w:rPr>
      </w:pPr>
      <w:r>
        <w:rPr>
          <w:rFonts w:hint="eastAsia"/>
          <w:sz w:val="21"/>
          <w:szCs w:val="21"/>
        </w:rPr>
        <w:t>（12）依照法律法规为基金的利益对被投资公司行使股东权利，为基金的利益行使因基金财产投资于证券所产生的权利；   </w:t>
      </w:r>
    </w:p>
    <w:p w14:paraId="02383F96">
      <w:pPr>
        <w:pStyle w:val="8"/>
        <w:spacing w:before="0" w:beforeAutospacing="0" w:after="0" w:afterAutospacing="0" w:line="360" w:lineRule="auto"/>
        <w:ind w:firstLine="420"/>
        <w:rPr>
          <w:sz w:val="21"/>
          <w:szCs w:val="21"/>
        </w:rPr>
      </w:pPr>
      <w:r>
        <w:rPr>
          <w:rFonts w:hint="eastAsia"/>
          <w:sz w:val="21"/>
          <w:szCs w:val="21"/>
        </w:rPr>
        <w:t>（13）在法律法规允许的前提下，为基金的利益依法为基金进行融资； </w:t>
      </w:r>
    </w:p>
    <w:p w14:paraId="09E13643">
      <w:pPr>
        <w:pStyle w:val="8"/>
        <w:spacing w:before="0" w:beforeAutospacing="0" w:after="0" w:afterAutospacing="0" w:line="360" w:lineRule="auto"/>
        <w:ind w:firstLine="420"/>
        <w:rPr>
          <w:sz w:val="21"/>
          <w:szCs w:val="21"/>
        </w:rPr>
      </w:pPr>
      <w:r>
        <w:rPr>
          <w:rFonts w:hint="eastAsia"/>
          <w:sz w:val="21"/>
          <w:szCs w:val="21"/>
        </w:rPr>
        <w:t>（14）以基金管理人的名义，代表基金份额持有人的利益行使诉讼权利或者实施其他法律行为； </w:t>
      </w:r>
    </w:p>
    <w:p w14:paraId="28CB2963">
      <w:pPr>
        <w:pStyle w:val="8"/>
        <w:spacing w:before="0" w:beforeAutospacing="0" w:after="0" w:afterAutospacing="0" w:line="360" w:lineRule="auto"/>
        <w:ind w:firstLine="420"/>
        <w:rPr>
          <w:sz w:val="21"/>
          <w:szCs w:val="21"/>
        </w:rPr>
      </w:pPr>
      <w:r>
        <w:rPr>
          <w:rFonts w:hint="eastAsia"/>
          <w:sz w:val="21"/>
          <w:szCs w:val="21"/>
        </w:rPr>
        <w:t>（15）选择、更换律师事务所、会计师事务所、证券、期货经纪商或其他为基金提供服务的外部机构； </w:t>
      </w:r>
    </w:p>
    <w:p w14:paraId="41DDAAB4">
      <w:pPr>
        <w:pStyle w:val="8"/>
        <w:spacing w:before="0" w:beforeAutospacing="0" w:after="0" w:afterAutospacing="0" w:line="360" w:lineRule="auto"/>
        <w:ind w:firstLine="420"/>
        <w:rPr>
          <w:sz w:val="21"/>
          <w:szCs w:val="21"/>
        </w:rPr>
      </w:pPr>
      <w:r>
        <w:rPr>
          <w:rFonts w:hint="eastAsia"/>
          <w:sz w:val="21"/>
          <w:szCs w:val="21"/>
        </w:rPr>
        <w:t>（16）在符合有关法律、法规的前提下，制订和调整有关基金认购、申购、赎回、转换、定期定额投资和非交易过户等业务规则；  </w:t>
      </w:r>
    </w:p>
    <w:p w14:paraId="33F876BF">
      <w:pPr>
        <w:pStyle w:val="8"/>
        <w:spacing w:before="0" w:beforeAutospacing="0" w:after="0" w:afterAutospacing="0" w:line="360" w:lineRule="auto"/>
        <w:ind w:firstLine="420"/>
        <w:rPr>
          <w:sz w:val="21"/>
          <w:szCs w:val="21"/>
        </w:rPr>
      </w:pPr>
      <w:r>
        <w:rPr>
          <w:rFonts w:hint="eastAsia"/>
          <w:sz w:val="21"/>
          <w:szCs w:val="21"/>
        </w:rPr>
        <w:t>（17）法律法规及中国证监会规定的和《基金合同》约定的其他权利。 </w:t>
      </w:r>
    </w:p>
    <w:p w14:paraId="1C3DD29B">
      <w:pPr>
        <w:pStyle w:val="8"/>
        <w:spacing w:before="0" w:beforeAutospacing="0" w:after="0" w:afterAutospacing="0" w:line="360" w:lineRule="auto"/>
        <w:ind w:firstLine="420"/>
        <w:rPr>
          <w:sz w:val="21"/>
          <w:szCs w:val="21"/>
        </w:rPr>
      </w:pPr>
      <w:r>
        <w:rPr>
          <w:rFonts w:hint="eastAsia"/>
          <w:sz w:val="21"/>
          <w:szCs w:val="21"/>
        </w:rPr>
        <w:t>2、根据《基金法》、《运作办法》及其他有关规定，基金管理人的义务包括但不限于： </w:t>
      </w:r>
    </w:p>
    <w:p w14:paraId="15E81F78">
      <w:pPr>
        <w:pStyle w:val="8"/>
        <w:spacing w:before="0" w:beforeAutospacing="0" w:after="0" w:afterAutospacing="0" w:line="360" w:lineRule="auto"/>
        <w:ind w:firstLine="420"/>
        <w:rPr>
          <w:sz w:val="21"/>
          <w:szCs w:val="21"/>
        </w:rPr>
      </w:pPr>
      <w:r>
        <w:rPr>
          <w:rFonts w:hint="eastAsia"/>
          <w:sz w:val="21"/>
          <w:szCs w:val="21"/>
        </w:rPr>
        <w:t>（1）依法募集资金，办理或者委托经中国证监会认定的其他机构代为办理基金份额的发售、申购、赎回和登记事宜； </w:t>
      </w:r>
    </w:p>
    <w:p w14:paraId="3A2FFF83">
      <w:pPr>
        <w:pStyle w:val="8"/>
        <w:spacing w:before="0" w:beforeAutospacing="0" w:after="0" w:afterAutospacing="0" w:line="360" w:lineRule="auto"/>
        <w:ind w:firstLine="420"/>
        <w:rPr>
          <w:sz w:val="21"/>
          <w:szCs w:val="21"/>
        </w:rPr>
      </w:pPr>
      <w:r>
        <w:rPr>
          <w:rFonts w:hint="eastAsia"/>
          <w:sz w:val="21"/>
          <w:szCs w:val="21"/>
        </w:rPr>
        <w:t>（2）办理基金备案手续； </w:t>
      </w:r>
    </w:p>
    <w:p w14:paraId="1C4410F6">
      <w:pPr>
        <w:pStyle w:val="8"/>
        <w:spacing w:before="0" w:beforeAutospacing="0" w:after="0" w:afterAutospacing="0" w:line="360" w:lineRule="auto"/>
        <w:ind w:firstLine="420"/>
        <w:rPr>
          <w:sz w:val="21"/>
          <w:szCs w:val="21"/>
        </w:rPr>
      </w:pPr>
      <w:r>
        <w:rPr>
          <w:rFonts w:hint="eastAsia"/>
          <w:sz w:val="21"/>
          <w:szCs w:val="21"/>
        </w:rPr>
        <w:t>（3）自《基金合同》生效之日起，以诚实信用、谨慎勤勉的原则管理和运用基金财产； </w:t>
      </w:r>
    </w:p>
    <w:p w14:paraId="45EC78A3">
      <w:pPr>
        <w:pStyle w:val="8"/>
        <w:spacing w:before="0" w:beforeAutospacing="0" w:after="0" w:afterAutospacing="0" w:line="360" w:lineRule="auto"/>
        <w:ind w:firstLine="420"/>
        <w:rPr>
          <w:sz w:val="21"/>
          <w:szCs w:val="21"/>
        </w:rPr>
      </w:pPr>
      <w:r>
        <w:rPr>
          <w:rFonts w:hint="eastAsia"/>
          <w:sz w:val="21"/>
          <w:szCs w:val="21"/>
        </w:rPr>
        <w:t>（4）配备足够的具有专业资格的人员进行基金投资分析、决策，以专业化的经营方式管理和运作基金财产； </w:t>
      </w:r>
    </w:p>
    <w:p w14:paraId="7FE07045">
      <w:pPr>
        <w:pStyle w:val="8"/>
        <w:spacing w:before="0" w:beforeAutospacing="0" w:after="0" w:afterAutospacing="0" w:line="360" w:lineRule="auto"/>
        <w:ind w:firstLine="420"/>
        <w:rPr>
          <w:sz w:val="21"/>
          <w:szCs w:val="21"/>
        </w:rPr>
      </w:pPr>
      <w:r>
        <w:rPr>
          <w:rFonts w:hint="eastAsia"/>
          <w:sz w:val="21"/>
          <w:szCs w:val="21"/>
        </w:rPr>
        <w:t>（5）建立健全内部风险控制、监察与稽核、财务管理及人事管理等制度，保证所管理的基金财产和基金管理人的财产相互独立，对所管理的不同基金分别管理，分别记账，进行证券投资；   </w:t>
      </w:r>
    </w:p>
    <w:p w14:paraId="2FB73004">
      <w:pPr>
        <w:pStyle w:val="8"/>
        <w:spacing w:before="0" w:beforeAutospacing="0" w:after="0" w:afterAutospacing="0" w:line="360" w:lineRule="auto"/>
        <w:ind w:firstLine="420"/>
        <w:rPr>
          <w:sz w:val="21"/>
          <w:szCs w:val="21"/>
        </w:rPr>
      </w:pPr>
      <w:r>
        <w:rPr>
          <w:rFonts w:hint="eastAsia"/>
          <w:sz w:val="21"/>
          <w:szCs w:val="21"/>
        </w:rPr>
        <w:t>（6）除依据《基金法》、《基金合同》及其他有关规定外，不得利用基金财产为自己及任何第三人谋取利益，不得委托第三人运作基金财产； </w:t>
      </w:r>
    </w:p>
    <w:p w14:paraId="12B89D80">
      <w:pPr>
        <w:pStyle w:val="8"/>
        <w:spacing w:before="0" w:beforeAutospacing="0" w:after="0" w:afterAutospacing="0" w:line="360" w:lineRule="auto"/>
        <w:ind w:firstLine="420"/>
        <w:rPr>
          <w:sz w:val="21"/>
          <w:szCs w:val="21"/>
        </w:rPr>
      </w:pPr>
      <w:r>
        <w:rPr>
          <w:rFonts w:hint="eastAsia"/>
          <w:sz w:val="21"/>
          <w:szCs w:val="21"/>
        </w:rPr>
        <w:t>（7）依法接受基金托管人的监督； </w:t>
      </w:r>
    </w:p>
    <w:p w14:paraId="3747FA93">
      <w:pPr>
        <w:pStyle w:val="8"/>
        <w:spacing w:before="0" w:beforeAutospacing="0" w:after="0" w:afterAutospacing="0" w:line="360" w:lineRule="auto"/>
        <w:ind w:firstLine="420"/>
        <w:rPr>
          <w:sz w:val="21"/>
          <w:szCs w:val="21"/>
        </w:rPr>
      </w:pPr>
      <w:r>
        <w:rPr>
          <w:rFonts w:hint="eastAsia"/>
          <w:sz w:val="21"/>
          <w:szCs w:val="21"/>
        </w:rPr>
        <w:t>（8）采取适当合理的措施使计算基金份额认购、申购、赎回和注销价格的方法符合《基金合同》等法律文件的规定，按有关规定计算并公告基金净值信息，确定基金份额申购、赎回的价格； </w:t>
      </w:r>
    </w:p>
    <w:p w14:paraId="4BB9D048">
      <w:pPr>
        <w:pStyle w:val="8"/>
        <w:spacing w:before="0" w:beforeAutospacing="0" w:after="0" w:afterAutospacing="0" w:line="360" w:lineRule="auto"/>
        <w:ind w:firstLine="420"/>
        <w:rPr>
          <w:sz w:val="21"/>
          <w:szCs w:val="21"/>
        </w:rPr>
      </w:pPr>
      <w:r>
        <w:rPr>
          <w:rFonts w:hint="eastAsia"/>
          <w:sz w:val="21"/>
          <w:szCs w:val="21"/>
        </w:rPr>
        <w:t>（9）进行基金会计核算并编制基金财务会计报告； </w:t>
      </w:r>
    </w:p>
    <w:p w14:paraId="2815EE94">
      <w:pPr>
        <w:pStyle w:val="8"/>
        <w:spacing w:before="0" w:beforeAutospacing="0" w:after="0" w:afterAutospacing="0" w:line="360" w:lineRule="auto"/>
        <w:ind w:firstLine="420"/>
        <w:rPr>
          <w:sz w:val="21"/>
          <w:szCs w:val="21"/>
        </w:rPr>
      </w:pPr>
      <w:r>
        <w:rPr>
          <w:rFonts w:hint="eastAsia"/>
          <w:sz w:val="21"/>
          <w:szCs w:val="21"/>
        </w:rPr>
        <w:t>（10）编制季度报告、中期报告和年度报告； </w:t>
      </w:r>
    </w:p>
    <w:p w14:paraId="19C5DED2">
      <w:pPr>
        <w:pStyle w:val="8"/>
        <w:spacing w:before="0" w:beforeAutospacing="0" w:after="0" w:afterAutospacing="0" w:line="360" w:lineRule="auto"/>
        <w:ind w:firstLine="420"/>
        <w:rPr>
          <w:sz w:val="21"/>
          <w:szCs w:val="21"/>
        </w:rPr>
      </w:pPr>
      <w:r>
        <w:rPr>
          <w:rFonts w:hint="eastAsia"/>
          <w:sz w:val="21"/>
          <w:szCs w:val="21"/>
        </w:rPr>
        <w:t>（11）严格按照《基金法》、《基金合同》及其他有关规定，履行信息披露及报告义务； </w:t>
      </w:r>
    </w:p>
    <w:p w14:paraId="34CF1887">
      <w:pPr>
        <w:pStyle w:val="8"/>
        <w:spacing w:before="0" w:beforeAutospacing="0" w:after="0" w:afterAutospacing="0" w:line="360" w:lineRule="auto"/>
        <w:ind w:firstLine="420"/>
        <w:rPr>
          <w:sz w:val="21"/>
          <w:szCs w:val="21"/>
        </w:rPr>
      </w:pPr>
      <w:r>
        <w:rPr>
          <w:rFonts w:hint="eastAsia"/>
          <w:sz w:val="21"/>
          <w:szCs w:val="21"/>
        </w:rPr>
        <w:t>（12）保守基金商业秘密，不泄露基金投资计划、投资意向等。除《基金法》、《基金合同》及其他有关规定另有规定外，在基金信息公开披露前应予保密，不向他人泄露，但因监管机构、司法机关等有权机关、行业自律组织的要求提供，或因审计、法律等外部专业顾问提供服务需要提供的情况除外； </w:t>
      </w:r>
    </w:p>
    <w:p w14:paraId="22BF5F00">
      <w:pPr>
        <w:pStyle w:val="8"/>
        <w:spacing w:before="0" w:beforeAutospacing="0" w:after="0" w:afterAutospacing="0" w:line="360" w:lineRule="auto"/>
        <w:ind w:firstLine="420"/>
        <w:rPr>
          <w:sz w:val="21"/>
          <w:szCs w:val="21"/>
        </w:rPr>
      </w:pPr>
      <w:r>
        <w:rPr>
          <w:rFonts w:hint="eastAsia"/>
          <w:sz w:val="21"/>
          <w:szCs w:val="21"/>
        </w:rPr>
        <w:t>（13）按《基金合同》的约定确定基金收益分配方案，及时向基金份额持有人分配基金收益； </w:t>
      </w:r>
    </w:p>
    <w:p w14:paraId="36D2C23F">
      <w:pPr>
        <w:pStyle w:val="8"/>
        <w:spacing w:before="0" w:beforeAutospacing="0" w:after="0" w:afterAutospacing="0" w:line="360" w:lineRule="auto"/>
        <w:ind w:firstLine="420"/>
        <w:rPr>
          <w:sz w:val="21"/>
          <w:szCs w:val="21"/>
        </w:rPr>
      </w:pPr>
      <w:r>
        <w:rPr>
          <w:rFonts w:hint="eastAsia"/>
          <w:sz w:val="21"/>
          <w:szCs w:val="21"/>
        </w:rPr>
        <w:t>（14）按规定受理申购与赎回申请，及时、足额支付赎回款项； </w:t>
      </w:r>
    </w:p>
    <w:p w14:paraId="738F9B31">
      <w:pPr>
        <w:pStyle w:val="8"/>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（15）依据《基金法》、《基金合同》及其他有关规定召集基金份额持有人大会或配合基金托管人、基金份额持有人依法召集基金份额持有人大会； </w:t>
      </w:r>
    </w:p>
    <w:p w14:paraId="0D892EE5">
      <w:pPr>
        <w:pStyle w:val="8"/>
        <w:spacing w:before="0" w:beforeAutospacing="0" w:after="0" w:afterAutospacing="0" w:line="360" w:lineRule="auto"/>
        <w:ind w:firstLine="420"/>
        <w:rPr>
          <w:sz w:val="21"/>
          <w:szCs w:val="21"/>
        </w:rPr>
      </w:pPr>
      <w:r>
        <w:rPr>
          <w:rFonts w:hint="eastAsia"/>
          <w:sz w:val="21"/>
          <w:szCs w:val="21"/>
        </w:rPr>
        <w:t>（16）按规定保存基金财产管理业务活动的会计账册、报表、记录和其他相关资料，保存期限不低于法律法规规定的最低期限； </w:t>
      </w:r>
    </w:p>
    <w:p w14:paraId="52A096F7">
      <w:pPr>
        <w:pStyle w:val="8"/>
        <w:spacing w:before="0" w:beforeAutospacing="0" w:after="0" w:afterAutospacing="0" w:line="360" w:lineRule="auto"/>
        <w:ind w:firstLine="420"/>
        <w:rPr>
          <w:sz w:val="21"/>
          <w:szCs w:val="21"/>
        </w:rPr>
      </w:pPr>
      <w:r>
        <w:rPr>
          <w:rFonts w:hint="eastAsia"/>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426BA5E1">
      <w:pPr>
        <w:pStyle w:val="8"/>
        <w:spacing w:before="0" w:beforeAutospacing="0" w:after="0" w:afterAutospacing="0" w:line="360" w:lineRule="auto"/>
        <w:ind w:firstLine="420"/>
        <w:rPr>
          <w:sz w:val="21"/>
          <w:szCs w:val="21"/>
        </w:rPr>
      </w:pPr>
      <w:r>
        <w:rPr>
          <w:rFonts w:hint="eastAsia"/>
          <w:sz w:val="21"/>
          <w:szCs w:val="21"/>
        </w:rPr>
        <w:t>（18）组织并参加基金财产清算小组，参与基金财产的保管、清理、估价、变现和分配； </w:t>
      </w:r>
    </w:p>
    <w:p w14:paraId="2BC54AE5">
      <w:pPr>
        <w:pStyle w:val="8"/>
        <w:spacing w:before="0" w:beforeAutospacing="0" w:after="0" w:afterAutospacing="0" w:line="360" w:lineRule="auto"/>
        <w:ind w:firstLine="420"/>
        <w:rPr>
          <w:sz w:val="21"/>
          <w:szCs w:val="21"/>
        </w:rPr>
      </w:pPr>
      <w:r>
        <w:rPr>
          <w:rFonts w:hint="eastAsia"/>
          <w:sz w:val="21"/>
          <w:szCs w:val="21"/>
        </w:rPr>
        <w:t>（19）面临解散、依法被撤销或者被依法宣告破产时，及时报告中国证监会并通知基金托管人； </w:t>
      </w:r>
    </w:p>
    <w:p w14:paraId="5DFF403C">
      <w:pPr>
        <w:pStyle w:val="8"/>
        <w:spacing w:before="0" w:beforeAutospacing="0" w:after="0" w:afterAutospacing="0" w:line="360" w:lineRule="auto"/>
        <w:ind w:firstLine="420"/>
        <w:rPr>
          <w:sz w:val="21"/>
          <w:szCs w:val="21"/>
        </w:rPr>
      </w:pPr>
      <w:r>
        <w:rPr>
          <w:rFonts w:hint="eastAsia"/>
          <w:sz w:val="21"/>
          <w:szCs w:val="21"/>
        </w:rPr>
        <w:t>（20）因违反《基金合同》导致基金财产的损失或损害基金份额持有人合法权益时，应当承担赔偿责任，其赔偿责任不因其退任而免除； </w:t>
      </w:r>
    </w:p>
    <w:p w14:paraId="72CED195">
      <w:pPr>
        <w:pStyle w:val="8"/>
        <w:spacing w:before="0" w:beforeAutospacing="0" w:after="0" w:afterAutospacing="0" w:line="360" w:lineRule="auto"/>
        <w:ind w:firstLine="420"/>
        <w:rPr>
          <w:sz w:val="21"/>
          <w:szCs w:val="21"/>
        </w:rPr>
      </w:pPr>
      <w:r>
        <w:rPr>
          <w:rFonts w:hint="eastAsia"/>
          <w:sz w:val="21"/>
          <w:szCs w:val="21"/>
        </w:rPr>
        <w:t>（21）监督基金托管人按法律法规和《基金合同》规定履行自己的义务，基金托管人违反《基金合同》造成基金财产损失时，基金管理人应为基金份额持有人利益向基金托管人追偿； </w:t>
      </w:r>
    </w:p>
    <w:p w14:paraId="5D03FBB9">
      <w:pPr>
        <w:pStyle w:val="8"/>
        <w:spacing w:before="0" w:beforeAutospacing="0" w:after="0" w:afterAutospacing="0" w:line="360" w:lineRule="auto"/>
        <w:ind w:firstLine="420"/>
        <w:rPr>
          <w:sz w:val="21"/>
          <w:szCs w:val="21"/>
        </w:rPr>
      </w:pPr>
      <w:r>
        <w:rPr>
          <w:rFonts w:hint="eastAsia"/>
          <w:sz w:val="21"/>
          <w:szCs w:val="21"/>
        </w:rPr>
        <w:t>（22）当基金管理人将其义务委托第三方处理时，应当对第三方处理有关基金事务的行为承担责任； </w:t>
      </w:r>
    </w:p>
    <w:p w14:paraId="30AEDC96">
      <w:pPr>
        <w:pStyle w:val="8"/>
        <w:spacing w:before="0" w:beforeAutospacing="0" w:after="0" w:afterAutospacing="0" w:line="360" w:lineRule="auto"/>
        <w:ind w:firstLine="420"/>
        <w:rPr>
          <w:sz w:val="21"/>
          <w:szCs w:val="21"/>
        </w:rPr>
      </w:pPr>
      <w:r>
        <w:rPr>
          <w:rFonts w:hint="eastAsia"/>
          <w:sz w:val="21"/>
          <w:szCs w:val="21"/>
        </w:rPr>
        <w:t>（23）以基金管理人名义，代表基金份额持有人利益行使诉讼权利或实施其他法律行为； </w:t>
      </w:r>
    </w:p>
    <w:p w14:paraId="41DC1FB1">
      <w:pPr>
        <w:pStyle w:val="8"/>
        <w:spacing w:before="0" w:beforeAutospacing="0" w:after="0" w:afterAutospacing="0" w:line="360" w:lineRule="auto"/>
        <w:ind w:firstLine="420"/>
        <w:rPr>
          <w:sz w:val="21"/>
          <w:szCs w:val="21"/>
        </w:rPr>
      </w:pPr>
      <w:r>
        <w:rPr>
          <w:rFonts w:hint="eastAsia"/>
          <w:sz w:val="21"/>
          <w:szCs w:val="21"/>
        </w:rPr>
        <w:t>（24）基金在募集期间未能达到基金的备案条件，《基金合同》不能生效，基金管理人承担全部募集费用，将已募集资金并加计银行同期活期存款利息在基金募集期结束后30日内退还基金认购人； </w:t>
      </w:r>
    </w:p>
    <w:p w14:paraId="547003D4">
      <w:pPr>
        <w:pStyle w:val="8"/>
        <w:spacing w:before="0" w:beforeAutospacing="0" w:after="0" w:afterAutospacing="0" w:line="360" w:lineRule="auto"/>
        <w:ind w:firstLine="420"/>
        <w:rPr>
          <w:sz w:val="21"/>
          <w:szCs w:val="21"/>
        </w:rPr>
      </w:pPr>
      <w:r>
        <w:rPr>
          <w:rFonts w:hint="eastAsia"/>
          <w:sz w:val="21"/>
          <w:szCs w:val="21"/>
        </w:rPr>
        <w:t>（25）执行生效的基金份额持有人大会的决议； </w:t>
      </w:r>
    </w:p>
    <w:p w14:paraId="21AF5D76">
      <w:pPr>
        <w:pStyle w:val="8"/>
        <w:spacing w:before="0" w:beforeAutospacing="0" w:after="0" w:afterAutospacing="0" w:line="360" w:lineRule="auto"/>
        <w:ind w:firstLine="420"/>
        <w:rPr>
          <w:sz w:val="21"/>
          <w:szCs w:val="21"/>
        </w:rPr>
      </w:pPr>
      <w:r>
        <w:rPr>
          <w:rFonts w:hint="eastAsia"/>
          <w:sz w:val="21"/>
          <w:szCs w:val="21"/>
        </w:rPr>
        <w:t>（26）建立并保存基金份额持有人名册； </w:t>
      </w:r>
    </w:p>
    <w:p w14:paraId="331449F7">
      <w:pPr>
        <w:pStyle w:val="8"/>
        <w:spacing w:before="0" w:beforeAutospacing="0" w:after="0" w:afterAutospacing="0" w:line="360" w:lineRule="auto"/>
        <w:ind w:firstLine="420"/>
        <w:rPr>
          <w:sz w:val="21"/>
          <w:szCs w:val="21"/>
        </w:rPr>
      </w:pPr>
      <w:r>
        <w:rPr>
          <w:rFonts w:hint="eastAsia"/>
          <w:sz w:val="21"/>
          <w:szCs w:val="21"/>
        </w:rPr>
        <w:t>（27）法律法规及中国证监会规定的和《基金合同》约定的其他义务。 </w:t>
      </w:r>
    </w:p>
    <w:p w14:paraId="046D1CA7">
      <w:pPr>
        <w:pStyle w:val="8"/>
        <w:spacing w:before="0" w:beforeAutospacing="0" w:after="0" w:afterAutospacing="0" w:line="360" w:lineRule="auto"/>
        <w:ind w:firstLine="420"/>
        <w:rPr>
          <w:sz w:val="21"/>
          <w:szCs w:val="21"/>
        </w:rPr>
      </w:pPr>
      <w:r>
        <w:rPr>
          <w:rFonts w:hint="eastAsia"/>
          <w:sz w:val="21"/>
          <w:szCs w:val="21"/>
        </w:rPr>
        <w:t>（二）基金托管人的权利与义务 </w:t>
      </w:r>
    </w:p>
    <w:p w14:paraId="455A32FC">
      <w:pPr>
        <w:pStyle w:val="8"/>
        <w:spacing w:before="0" w:beforeAutospacing="0" w:after="0" w:afterAutospacing="0" w:line="360" w:lineRule="auto"/>
        <w:ind w:firstLine="420"/>
        <w:rPr>
          <w:sz w:val="21"/>
          <w:szCs w:val="21"/>
        </w:rPr>
      </w:pPr>
      <w:r>
        <w:rPr>
          <w:rFonts w:hint="eastAsia"/>
          <w:sz w:val="21"/>
          <w:szCs w:val="21"/>
        </w:rPr>
        <w:t>1、根据《基金法》、《运作办法》及其他有关规定，基金托管人的权利包括但不限于： </w:t>
      </w:r>
    </w:p>
    <w:p w14:paraId="40ACDE1F">
      <w:pPr>
        <w:pStyle w:val="8"/>
        <w:spacing w:before="0" w:beforeAutospacing="0" w:after="0" w:afterAutospacing="0" w:line="360" w:lineRule="auto"/>
        <w:ind w:firstLine="420"/>
        <w:rPr>
          <w:sz w:val="21"/>
          <w:szCs w:val="21"/>
        </w:rPr>
      </w:pPr>
      <w:r>
        <w:rPr>
          <w:rFonts w:hint="eastAsia"/>
          <w:sz w:val="21"/>
          <w:szCs w:val="21"/>
        </w:rPr>
        <w:t>（1）自《基金合同》生效之日起，依法律法规和《基金合同》的规定安全保管基金财产； </w:t>
      </w:r>
    </w:p>
    <w:p w14:paraId="77C3D39C">
      <w:pPr>
        <w:pStyle w:val="8"/>
        <w:spacing w:before="0" w:beforeAutospacing="0" w:after="0" w:afterAutospacing="0" w:line="360" w:lineRule="auto"/>
        <w:ind w:firstLine="420"/>
        <w:rPr>
          <w:sz w:val="21"/>
          <w:szCs w:val="21"/>
        </w:rPr>
      </w:pPr>
      <w:r>
        <w:rPr>
          <w:rFonts w:hint="eastAsia"/>
          <w:sz w:val="21"/>
          <w:szCs w:val="21"/>
        </w:rPr>
        <w:t>（2）依《基金合同》约定获得基金托管费以及法律法规规定或监管部门批准的其他费用； </w:t>
      </w:r>
    </w:p>
    <w:p w14:paraId="1D2684C5">
      <w:pPr>
        <w:pStyle w:val="8"/>
        <w:spacing w:before="0" w:beforeAutospacing="0" w:after="0" w:afterAutospacing="0" w:line="360" w:lineRule="auto"/>
        <w:ind w:firstLine="420"/>
        <w:rPr>
          <w:sz w:val="21"/>
          <w:szCs w:val="21"/>
        </w:rPr>
      </w:pPr>
      <w:r>
        <w:rPr>
          <w:rFonts w:hint="eastAsia"/>
          <w:sz w:val="21"/>
          <w:szCs w:val="21"/>
        </w:rPr>
        <w:t>（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61119B40">
      <w:pPr>
        <w:pStyle w:val="8"/>
        <w:spacing w:before="0" w:beforeAutospacing="0" w:after="0" w:afterAutospacing="0" w:line="360" w:lineRule="auto"/>
        <w:ind w:firstLine="420"/>
        <w:rPr>
          <w:sz w:val="21"/>
          <w:szCs w:val="21"/>
        </w:rPr>
      </w:pPr>
      <w:r>
        <w:rPr>
          <w:rFonts w:hint="eastAsia"/>
          <w:sz w:val="21"/>
          <w:szCs w:val="21"/>
        </w:rPr>
        <w:t>（4）根据相关市场规则，为基金开设资金账户、证券账户等投资所需账户，为基金办理证券交易资金清算； </w:t>
      </w:r>
    </w:p>
    <w:p w14:paraId="194CEABF">
      <w:pPr>
        <w:pStyle w:val="8"/>
        <w:spacing w:before="0" w:beforeAutospacing="0" w:after="0" w:afterAutospacing="0" w:line="360" w:lineRule="auto"/>
        <w:ind w:firstLine="420"/>
        <w:rPr>
          <w:sz w:val="21"/>
          <w:szCs w:val="21"/>
        </w:rPr>
      </w:pPr>
      <w:r>
        <w:rPr>
          <w:rFonts w:hint="eastAsia"/>
          <w:sz w:val="21"/>
          <w:szCs w:val="21"/>
        </w:rPr>
        <w:t>（5）提议召开或召集基金份额持有人大会； </w:t>
      </w:r>
    </w:p>
    <w:p w14:paraId="7B23A12E">
      <w:pPr>
        <w:pStyle w:val="8"/>
        <w:spacing w:before="0" w:beforeAutospacing="0" w:after="0" w:afterAutospacing="0" w:line="360" w:lineRule="auto"/>
        <w:ind w:firstLine="420"/>
        <w:rPr>
          <w:sz w:val="21"/>
          <w:szCs w:val="21"/>
        </w:rPr>
      </w:pPr>
      <w:r>
        <w:rPr>
          <w:rFonts w:hint="eastAsia"/>
          <w:sz w:val="21"/>
          <w:szCs w:val="21"/>
        </w:rPr>
        <w:t>（6）在基金管理人更换时，提名新的基金管理人； </w:t>
      </w:r>
    </w:p>
    <w:p w14:paraId="1363EBBC">
      <w:pPr>
        <w:pStyle w:val="8"/>
        <w:spacing w:before="0" w:beforeAutospacing="0" w:after="0" w:afterAutospacing="0" w:line="360" w:lineRule="auto"/>
        <w:ind w:firstLine="420"/>
        <w:rPr>
          <w:sz w:val="21"/>
          <w:szCs w:val="21"/>
        </w:rPr>
      </w:pPr>
      <w:r>
        <w:rPr>
          <w:rFonts w:hint="eastAsia"/>
          <w:sz w:val="21"/>
          <w:szCs w:val="21"/>
        </w:rPr>
        <w:t>（7）法律法规及中国证监会规定的和《基金合同》约定的其他权利。 </w:t>
      </w:r>
    </w:p>
    <w:p w14:paraId="00339196">
      <w:pPr>
        <w:pStyle w:val="8"/>
        <w:spacing w:before="0" w:beforeAutospacing="0" w:after="0" w:afterAutospacing="0" w:line="360" w:lineRule="auto"/>
        <w:ind w:firstLine="420"/>
        <w:rPr>
          <w:sz w:val="21"/>
          <w:szCs w:val="21"/>
        </w:rPr>
      </w:pPr>
      <w:r>
        <w:rPr>
          <w:rFonts w:hint="eastAsia"/>
          <w:sz w:val="21"/>
          <w:szCs w:val="21"/>
        </w:rPr>
        <w:t>2、根据《基金法》、《运作办法》及其他有关规定，基金托管人的义务包括但不限于： </w:t>
      </w:r>
    </w:p>
    <w:p w14:paraId="1235ACF5">
      <w:pPr>
        <w:pStyle w:val="8"/>
        <w:spacing w:before="0" w:beforeAutospacing="0" w:after="0" w:afterAutospacing="0" w:line="360" w:lineRule="auto"/>
        <w:ind w:firstLine="420"/>
        <w:rPr>
          <w:sz w:val="21"/>
          <w:szCs w:val="21"/>
        </w:rPr>
      </w:pPr>
      <w:r>
        <w:rPr>
          <w:rFonts w:hint="eastAsia"/>
          <w:sz w:val="21"/>
          <w:szCs w:val="21"/>
        </w:rPr>
        <w:t>（1）以诚实信用、勤勉尽责的原则持有并安全保管基金财产； </w:t>
      </w:r>
    </w:p>
    <w:p w14:paraId="63DE764A">
      <w:pPr>
        <w:pStyle w:val="8"/>
        <w:spacing w:before="0" w:beforeAutospacing="0" w:after="0" w:afterAutospacing="0" w:line="360" w:lineRule="auto"/>
        <w:ind w:firstLine="420"/>
        <w:rPr>
          <w:sz w:val="21"/>
          <w:szCs w:val="21"/>
        </w:rPr>
      </w:pPr>
      <w:r>
        <w:rPr>
          <w:rFonts w:hint="eastAsia"/>
          <w:sz w:val="21"/>
          <w:szCs w:val="21"/>
        </w:rPr>
        <w:t>（2）设立专门的基金托管部门，具有符合要求的营业场所，配备足够的、合格的熟悉基金托管业务的专职人员，负责基金财产托管事宜； </w:t>
      </w:r>
    </w:p>
    <w:p w14:paraId="145C50C4">
      <w:pPr>
        <w:pStyle w:val="8"/>
        <w:spacing w:before="0" w:beforeAutospacing="0" w:after="0" w:afterAutospacing="0" w:line="360" w:lineRule="auto"/>
        <w:ind w:firstLine="420"/>
        <w:rPr>
          <w:sz w:val="21"/>
          <w:szCs w:val="21"/>
        </w:rPr>
      </w:pPr>
      <w:r>
        <w:rPr>
          <w:rFonts w:hint="eastAsia"/>
          <w:sz w:val="21"/>
          <w:szCs w:val="21"/>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1C4939F1">
      <w:pPr>
        <w:pStyle w:val="8"/>
        <w:spacing w:before="0" w:beforeAutospacing="0" w:after="0" w:afterAutospacing="0" w:line="360" w:lineRule="auto"/>
        <w:ind w:firstLine="420"/>
        <w:rPr>
          <w:sz w:val="21"/>
          <w:szCs w:val="21"/>
        </w:rPr>
      </w:pPr>
      <w:r>
        <w:rPr>
          <w:rFonts w:hint="eastAsia"/>
          <w:sz w:val="21"/>
          <w:szCs w:val="21"/>
        </w:rPr>
        <w:t>（4）除依据《基金法》、《基金合同》及其他有关规定外，不得利用基金财产为自己及任何第三人谋取利益，不得委托第三人托管基金财产； </w:t>
      </w:r>
    </w:p>
    <w:p w14:paraId="1B34C366">
      <w:pPr>
        <w:pStyle w:val="8"/>
        <w:spacing w:before="0" w:beforeAutospacing="0" w:after="0" w:afterAutospacing="0" w:line="360" w:lineRule="auto"/>
        <w:ind w:firstLine="420"/>
        <w:rPr>
          <w:sz w:val="21"/>
          <w:szCs w:val="21"/>
        </w:rPr>
      </w:pPr>
      <w:r>
        <w:rPr>
          <w:rFonts w:hint="eastAsia"/>
          <w:sz w:val="21"/>
          <w:szCs w:val="21"/>
        </w:rPr>
        <w:t>（5）保管由基金管理人代表基金签订的与基金有关的重大合同及有关凭证； </w:t>
      </w:r>
    </w:p>
    <w:p w14:paraId="18718EFD">
      <w:pPr>
        <w:pStyle w:val="8"/>
        <w:spacing w:before="0" w:beforeAutospacing="0" w:after="0" w:afterAutospacing="0" w:line="360" w:lineRule="auto"/>
        <w:ind w:firstLine="420"/>
        <w:rPr>
          <w:sz w:val="21"/>
          <w:szCs w:val="21"/>
        </w:rPr>
      </w:pPr>
      <w:r>
        <w:rPr>
          <w:rFonts w:hint="eastAsia"/>
          <w:sz w:val="21"/>
          <w:szCs w:val="21"/>
        </w:rPr>
        <w:t>（6）按规定开设基金财产的资金账户、证券账户等投资所需账户，按照《基金合同》的约定，根据基金管理人的投资指令，及时办理清算、交割事宜； </w:t>
      </w:r>
    </w:p>
    <w:p w14:paraId="7DE0B228">
      <w:pPr>
        <w:pStyle w:val="8"/>
        <w:spacing w:before="0" w:beforeAutospacing="0" w:after="0" w:afterAutospacing="0" w:line="360" w:lineRule="auto"/>
        <w:ind w:firstLine="420"/>
        <w:rPr>
          <w:sz w:val="21"/>
          <w:szCs w:val="21"/>
        </w:rPr>
      </w:pPr>
      <w:r>
        <w:rPr>
          <w:rFonts w:hint="eastAsia"/>
          <w:sz w:val="21"/>
          <w:szCs w:val="21"/>
        </w:rPr>
        <w:t>（7）保守基金商业秘密，除《基金法》、《基金合同》及其他有关规定另有规定外，在基金信息公开披露前予以保密，不得向他人泄露，但因监管机构、司法机关等有权机关、行业自律组织的要求提供，或因审计、法律等外部专业顾问提供服务需要提供的情况除外； </w:t>
      </w:r>
    </w:p>
    <w:p w14:paraId="10DD54E0">
      <w:pPr>
        <w:pStyle w:val="8"/>
        <w:spacing w:before="0" w:beforeAutospacing="0" w:after="0" w:afterAutospacing="0" w:line="360" w:lineRule="auto"/>
        <w:ind w:firstLine="420"/>
        <w:rPr>
          <w:sz w:val="21"/>
          <w:szCs w:val="21"/>
        </w:rPr>
      </w:pPr>
      <w:r>
        <w:rPr>
          <w:rFonts w:hint="eastAsia"/>
          <w:sz w:val="21"/>
          <w:szCs w:val="21"/>
        </w:rPr>
        <w:t>（8）复核、审查基金管理人计算的基金资产净值、各类基金份额净值、基金份额申购、赎回价格；   </w:t>
      </w:r>
    </w:p>
    <w:p w14:paraId="2321ED25">
      <w:pPr>
        <w:pStyle w:val="8"/>
        <w:spacing w:before="0" w:beforeAutospacing="0" w:after="0" w:afterAutospacing="0" w:line="360" w:lineRule="auto"/>
        <w:ind w:firstLine="420"/>
        <w:rPr>
          <w:sz w:val="21"/>
          <w:szCs w:val="21"/>
        </w:rPr>
      </w:pPr>
      <w:r>
        <w:rPr>
          <w:rFonts w:hint="eastAsia"/>
          <w:sz w:val="21"/>
          <w:szCs w:val="21"/>
        </w:rPr>
        <w:t>（9）办理与基金托管业务活动有关的信息披露事项； </w:t>
      </w:r>
    </w:p>
    <w:p w14:paraId="4CEECA58">
      <w:pPr>
        <w:pStyle w:val="8"/>
        <w:spacing w:before="0" w:beforeAutospacing="0" w:after="0" w:afterAutospacing="0" w:line="360" w:lineRule="auto"/>
        <w:ind w:firstLine="420"/>
        <w:rPr>
          <w:sz w:val="21"/>
          <w:szCs w:val="21"/>
        </w:rPr>
      </w:pPr>
      <w:r>
        <w:rPr>
          <w:rFonts w:hint="eastAsia"/>
          <w:sz w:val="21"/>
          <w:szCs w:val="21"/>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4EB49185">
      <w:pPr>
        <w:pStyle w:val="8"/>
        <w:spacing w:before="0" w:beforeAutospacing="0" w:after="0" w:afterAutospacing="0" w:line="360" w:lineRule="auto"/>
        <w:ind w:firstLine="420"/>
        <w:rPr>
          <w:sz w:val="21"/>
          <w:szCs w:val="21"/>
        </w:rPr>
      </w:pPr>
      <w:r>
        <w:rPr>
          <w:rFonts w:hint="eastAsia"/>
          <w:sz w:val="21"/>
          <w:szCs w:val="21"/>
        </w:rPr>
        <w:t>（11）保存基金托管业务活动的记录、账册、报表和其他相关资料，保存期限不低于法律法规规定的最低期限； </w:t>
      </w:r>
    </w:p>
    <w:p w14:paraId="47EFD961">
      <w:pPr>
        <w:pStyle w:val="8"/>
        <w:spacing w:before="0" w:beforeAutospacing="0" w:after="0" w:afterAutospacing="0" w:line="360" w:lineRule="auto"/>
        <w:ind w:firstLine="420"/>
        <w:rPr>
          <w:sz w:val="21"/>
          <w:szCs w:val="21"/>
        </w:rPr>
      </w:pPr>
      <w:r>
        <w:rPr>
          <w:rFonts w:hint="eastAsia"/>
          <w:sz w:val="21"/>
          <w:szCs w:val="21"/>
        </w:rPr>
        <w:t>（12）从基金管理人或其委托的登记机构处接收并保存基金份额持有人名册； </w:t>
      </w:r>
    </w:p>
    <w:p w14:paraId="1E949C1C">
      <w:pPr>
        <w:pStyle w:val="8"/>
        <w:spacing w:before="0" w:beforeAutospacing="0" w:after="0" w:afterAutospacing="0" w:line="360" w:lineRule="auto"/>
        <w:ind w:firstLine="420"/>
        <w:rPr>
          <w:sz w:val="21"/>
          <w:szCs w:val="21"/>
        </w:rPr>
      </w:pPr>
      <w:r>
        <w:rPr>
          <w:rFonts w:hint="eastAsia"/>
          <w:sz w:val="21"/>
          <w:szCs w:val="21"/>
        </w:rPr>
        <w:t>（13）按规定制作相关账册并与基金管理人核对； </w:t>
      </w:r>
    </w:p>
    <w:p w14:paraId="3B9A6F97">
      <w:pPr>
        <w:pStyle w:val="8"/>
        <w:spacing w:before="0" w:beforeAutospacing="0" w:after="0" w:afterAutospacing="0" w:line="360" w:lineRule="auto"/>
        <w:ind w:firstLine="420"/>
        <w:rPr>
          <w:sz w:val="21"/>
          <w:szCs w:val="21"/>
        </w:rPr>
      </w:pPr>
      <w:r>
        <w:rPr>
          <w:rFonts w:hint="eastAsia"/>
          <w:sz w:val="21"/>
          <w:szCs w:val="21"/>
        </w:rPr>
        <w:t>（14）依据基金管理人的指令或有关规定向基金份额持有人支付基金收益和赎回款项； </w:t>
      </w:r>
    </w:p>
    <w:p w14:paraId="3A6D772A">
      <w:pPr>
        <w:pStyle w:val="8"/>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（15）依据《基金法》、《基金合同》及其他有关规定，召集基金份额持有人大会或配合基金管理人、基金份额持有人依法召集基金份额持有人大会； </w:t>
      </w:r>
    </w:p>
    <w:p w14:paraId="0B9E0886">
      <w:pPr>
        <w:pStyle w:val="8"/>
        <w:spacing w:before="0" w:beforeAutospacing="0" w:after="0" w:afterAutospacing="0" w:line="360" w:lineRule="auto"/>
        <w:ind w:firstLine="420"/>
        <w:rPr>
          <w:sz w:val="21"/>
          <w:szCs w:val="21"/>
        </w:rPr>
      </w:pPr>
      <w:r>
        <w:rPr>
          <w:rFonts w:hint="eastAsia"/>
          <w:sz w:val="21"/>
          <w:szCs w:val="21"/>
        </w:rPr>
        <w:t>（16）按照法律法规和《基金合同》的规定监督基金管理人的投资运作； </w:t>
      </w:r>
    </w:p>
    <w:p w14:paraId="6A66551B">
      <w:pPr>
        <w:pStyle w:val="8"/>
        <w:spacing w:before="0" w:beforeAutospacing="0" w:after="0" w:afterAutospacing="0" w:line="360" w:lineRule="auto"/>
        <w:ind w:firstLine="420"/>
        <w:rPr>
          <w:sz w:val="21"/>
          <w:szCs w:val="21"/>
        </w:rPr>
      </w:pPr>
      <w:r>
        <w:rPr>
          <w:rFonts w:hint="eastAsia"/>
          <w:sz w:val="21"/>
          <w:szCs w:val="21"/>
        </w:rPr>
        <w:t>（17）参加基金财产清算小组，参与基金财产的保管、清理、估价、变现和分配； </w:t>
      </w:r>
    </w:p>
    <w:p w14:paraId="4CACA25A">
      <w:pPr>
        <w:pStyle w:val="8"/>
        <w:spacing w:before="0" w:beforeAutospacing="0" w:after="0" w:afterAutospacing="0" w:line="360" w:lineRule="auto"/>
        <w:ind w:firstLine="420"/>
        <w:rPr>
          <w:sz w:val="21"/>
          <w:szCs w:val="21"/>
        </w:rPr>
      </w:pPr>
      <w:r>
        <w:rPr>
          <w:rFonts w:hint="eastAsia"/>
          <w:sz w:val="21"/>
          <w:szCs w:val="21"/>
        </w:rPr>
        <w:t>（18）面临解散、依法被撤销或者被依法宣告破产时，及时报告中国证监会和银行业监督管理机构，并通知基金管理人； </w:t>
      </w:r>
    </w:p>
    <w:p w14:paraId="7092B03E">
      <w:pPr>
        <w:pStyle w:val="8"/>
        <w:spacing w:before="0" w:beforeAutospacing="0" w:after="0" w:afterAutospacing="0" w:line="360" w:lineRule="auto"/>
        <w:ind w:firstLine="420"/>
        <w:rPr>
          <w:sz w:val="21"/>
          <w:szCs w:val="21"/>
        </w:rPr>
      </w:pPr>
      <w:r>
        <w:rPr>
          <w:rFonts w:hint="eastAsia"/>
          <w:sz w:val="21"/>
          <w:szCs w:val="21"/>
        </w:rPr>
        <w:t>（19）因违反《基金合同》导致基金财产损失时，应承担赔偿责任，其赔偿责任不因其退任而免除； </w:t>
      </w:r>
    </w:p>
    <w:p w14:paraId="60C6AE77">
      <w:pPr>
        <w:pStyle w:val="8"/>
        <w:spacing w:before="0" w:beforeAutospacing="0" w:after="0" w:afterAutospacing="0" w:line="360" w:lineRule="auto"/>
        <w:ind w:firstLine="420"/>
        <w:rPr>
          <w:sz w:val="21"/>
          <w:szCs w:val="21"/>
        </w:rPr>
      </w:pPr>
      <w:r>
        <w:rPr>
          <w:rFonts w:hint="eastAsia"/>
          <w:sz w:val="21"/>
          <w:szCs w:val="21"/>
        </w:rPr>
        <w:t>（20）按规定监督基金管理人按法律法规和《基金合同》规定履行自己的义务，基金管理人因违反《基金合同》造成基金财产损失时，应为基金份额持有人利益向基金管理人追偿； </w:t>
      </w:r>
    </w:p>
    <w:p w14:paraId="713A54E0">
      <w:pPr>
        <w:pStyle w:val="8"/>
        <w:spacing w:before="0" w:beforeAutospacing="0" w:after="0" w:afterAutospacing="0" w:line="360" w:lineRule="auto"/>
        <w:ind w:firstLine="420"/>
        <w:rPr>
          <w:sz w:val="21"/>
          <w:szCs w:val="21"/>
        </w:rPr>
      </w:pPr>
      <w:r>
        <w:rPr>
          <w:rFonts w:hint="eastAsia"/>
          <w:sz w:val="21"/>
          <w:szCs w:val="21"/>
        </w:rPr>
        <w:t>（21）执行生效的基金份额持有人大会的决议； </w:t>
      </w:r>
    </w:p>
    <w:p w14:paraId="03398045">
      <w:pPr>
        <w:pStyle w:val="8"/>
        <w:spacing w:before="0" w:beforeAutospacing="0" w:after="0" w:afterAutospacing="0" w:line="360" w:lineRule="auto"/>
        <w:ind w:firstLine="420"/>
        <w:rPr>
          <w:sz w:val="21"/>
          <w:szCs w:val="21"/>
        </w:rPr>
      </w:pPr>
      <w:r>
        <w:rPr>
          <w:rFonts w:hint="eastAsia"/>
          <w:sz w:val="21"/>
          <w:szCs w:val="21"/>
        </w:rPr>
        <w:t>（22）法律法规及中国证监会规定的和《基金合同》约定的其他义务。 </w:t>
      </w:r>
    </w:p>
    <w:p w14:paraId="653CA55D">
      <w:pPr>
        <w:pStyle w:val="8"/>
        <w:spacing w:before="0" w:beforeAutospacing="0" w:after="0" w:afterAutospacing="0" w:line="360" w:lineRule="auto"/>
        <w:ind w:firstLine="420"/>
        <w:rPr>
          <w:sz w:val="21"/>
          <w:szCs w:val="21"/>
        </w:rPr>
      </w:pPr>
      <w:r>
        <w:rPr>
          <w:rFonts w:hint="eastAsia"/>
          <w:sz w:val="21"/>
          <w:szCs w:val="21"/>
        </w:rPr>
        <w:t>（三）基金份额持有人的权利、义务 </w:t>
      </w:r>
    </w:p>
    <w:p w14:paraId="5BB1C4B9">
      <w:pPr>
        <w:pStyle w:val="8"/>
        <w:spacing w:before="0" w:beforeAutospacing="0" w:after="0" w:afterAutospacing="0" w:line="360" w:lineRule="auto"/>
        <w:ind w:firstLine="420"/>
        <w:rPr>
          <w:sz w:val="21"/>
          <w:szCs w:val="21"/>
        </w:rPr>
      </w:pPr>
      <w:r>
        <w:rPr>
          <w:rFonts w:hint="eastAsia"/>
          <w:sz w:val="21"/>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62EE728A">
      <w:pPr>
        <w:pStyle w:val="8"/>
        <w:spacing w:before="0" w:beforeAutospacing="0" w:after="0" w:afterAutospacing="0" w:line="360" w:lineRule="auto"/>
        <w:ind w:firstLine="420"/>
        <w:rPr>
          <w:sz w:val="21"/>
          <w:szCs w:val="21"/>
        </w:rPr>
      </w:pPr>
      <w:r>
        <w:rPr>
          <w:rFonts w:hint="eastAsia"/>
          <w:sz w:val="21"/>
          <w:szCs w:val="21"/>
        </w:rPr>
        <w:t>除法律法规另有规定或本基金合同另有约定外，同一类别每份基金份额具有同等的合法权益。   </w:t>
      </w:r>
    </w:p>
    <w:p w14:paraId="1CDEC8A4">
      <w:pPr>
        <w:pStyle w:val="8"/>
        <w:spacing w:before="0" w:beforeAutospacing="0" w:after="0" w:afterAutospacing="0" w:line="360" w:lineRule="auto"/>
        <w:ind w:firstLine="420"/>
        <w:rPr>
          <w:sz w:val="21"/>
          <w:szCs w:val="21"/>
        </w:rPr>
      </w:pPr>
      <w:r>
        <w:rPr>
          <w:rFonts w:hint="eastAsia"/>
          <w:sz w:val="21"/>
          <w:szCs w:val="21"/>
        </w:rPr>
        <w:t>1、根据《基金法》、《运作办法》及其他有关规定，基金份额持有人的权利包括但不限于： </w:t>
      </w:r>
    </w:p>
    <w:p w14:paraId="47CFA14F">
      <w:pPr>
        <w:pStyle w:val="8"/>
        <w:spacing w:before="0" w:beforeAutospacing="0" w:after="0" w:afterAutospacing="0" w:line="360" w:lineRule="auto"/>
        <w:ind w:firstLine="420"/>
        <w:rPr>
          <w:sz w:val="21"/>
          <w:szCs w:val="21"/>
        </w:rPr>
      </w:pPr>
      <w:r>
        <w:rPr>
          <w:rFonts w:hint="eastAsia"/>
          <w:sz w:val="21"/>
          <w:szCs w:val="21"/>
        </w:rPr>
        <w:t>（1）分享基金财产收益； </w:t>
      </w:r>
    </w:p>
    <w:p w14:paraId="32EA7D85">
      <w:pPr>
        <w:pStyle w:val="8"/>
        <w:spacing w:before="0" w:beforeAutospacing="0" w:after="0" w:afterAutospacing="0" w:line="360" w:lineRule="auto"/>
        <w:ind w:firstLine="420"/>
        <w:rPr>
          <w:sz w:val="21"/>
          <w:szCs w:val="21"/>
        </w:rPr>
      </w:pPr>
      <w:r>
        <w:rPr>
          <w:rFonts w:hint="eastAsia"/>
          <w:sz w:val="21"/>
          <w:szCs w:val="21"/>
        </w:rPr>
        <w:t>（2）参与分配清算后的剩余基金财产； </w:t>
      </w:r>
    </w:p>
    <w:p w14:paraId="663C11C5">
      <w:pPr>
        <w:pStyle w:val="8"/>
        <w:spacing w:before="0" w:beforeAutospacing="0" w:after="0" w:afterAutospacing="0" w:line="360" w:lineRule="auto"/>
        <w:ind w:firstLine="420"/>
        <w:rPr>
          <w:sz w:val="21"/>
          <w:szCs w:val="21"/>
        </w:rPr>
      </w:pPr>
      <w:r>
        <w:rPr>
          <w:rFonts w:hint="eastAsia"/>
          <w:sz w:val="21"/>
          <w:szCs w:val="21"/>
        </w:rPr>
        <w:t>（3）依法转让或者申请赎回其持有的基金份额； </w:t>
      </w:r>
    </w:p>
    <w:p w14:paraId="04A76913">
      <w:pPr>
        <w:pStyle w:val="8"/>
        <w:spacing w:before="0" w:beforeAutospacing="0" w:after="0" w:afterAutospacing="0" w:line="360" w:lineRule="auto"/>
        <w:ind w:firstLine="420"/>
        <w:rPr>
          <w:sz w:val="21"/>
          <w:szCs w:val="21"/>
        </w:rPr>
      </w:pPr>
      <w:r>
        <w:rPr>
          <w:rFonts w:hint="eastAsia"/>
          <w:sz w:val="21"/>
          <w:szCs w:val="21"/>
        </w:rPr>
        <w:t>（4）按照规定要求召开基金份额持有人大会或者召集基金份额持有人大会；  </w:t>
      </w:r>
    </w:p>
    <w:p w14:paraId="6DF9EF0C">
      <w:pPr>
        <w:pStyle w:val="8"/>
        <w:spacing w:before="0" w:beforeAutospacing="0" w:after="0" w:afterAutospacing="0" w:line="360" w:lineRule="auto"/>
        <w:ind w:firstLine="420"/>
        <w:rPr>
          <w:sz w:val="21"/>
          <w:szCs w:val="21"/>
        </w:rPr>
      </w:pPr>
      <w:r>
        <w:rPr>
          <w:rFonts w:hint="eastAsia"/>
          <w:sz w:val="21"/>
          <w:szCs w:val="21"/>
        </w:rPr>
        <w:t>（5）出席或者委派代表出席基金份额持有人大会，对基金份额持有人大会审议事项行使表决权；</w:t>
      </w:r>
    </w:p>
    <w:p w14:paraId="323477A1">
      <w:pPr>
        <w:pStyle w:val="8"/>
        <w:spacing w:before="0" w:beforeAutospacing="0" w:after="0" w:afterAutospacing="0" w:line="360" w:lineRule="auto"/>
        <w:ind w:firstLine="420"/>
        <w:rPr>
          <w:sz w:val="21"/>
          <w:szCs w:val="21"/>
        </w:rPr>
      </w:pPr>
      <w:r>
        <w:rPr>
          <w:rFonts w:hint="eastAsia"/>
          <w:sz w:val="21"/>
          <w:szCs w:val="21"/>
        </w:rPr>
        <w:t>（6）查阅或者复制公开披露的基金信息资料； </w:t>
      </w:r>
    </w:p>
    <w:p w14:paraId="6A003C17">
      <w:pPr>
        <w:pStyle w:val="8"/>
        <w:spacing w:before="0" w:beforeAutospacing="0" w:after="0" w:afterAutospacing="0" w:line="360" w:lineRule="auto"/>
        <w:ind w:firstLine="420"/>
        <w:rPr>
          <w:sz w:val="21"/>
          <w:szCs w:val="21"/>
        </w:rPr>
      </w:pPr>
      <w:r>
        <w:rPr>
          <w:rFonts w:hint="eastAsia"/>
          <w:sz w:val="21"/>
          <w:szCs w:val="21"/>
        </w:rPr>
        <w:t>（7）监督基金管理人的投资运作； </w:t>
      </w:r>
    </w:p>
    <w:p w14:paraId="09531D0E">
      <w:pPr>
        <w:pStyle w:val="8"/>
        <w:spacing w:before="0" w:beforeAutospacing="0" w:after="0" w:afterAutospacing="0" w:line="360" w:lineRule="auto"/>
        <w:ind w:firstLine="420"/>
        <w:rPr>
          <w:sz w:val="21"/>
          <w:szCs w:val="21"/>
        </w:rPr>
      </w:pPr>
      <w:r>
        <w:rPr>
          <w:rFonts w:hint="eastAsia"/>
          <w:sz w:val="21"/>
          <w:szCs w:val="21"/>
        </w:rPr>
        <w:t>（8）对基金管理人、基金托管人、基金服务机构损害其合法权益的行为依法提起诉讼或仲裁； </w:t>
      </w:r>
    </w:p>
    <w:p w14:paraId="7FD6FE6D">
      <w:pPr>
        <w:pStyle w:val="8"/>
        <w:spacing w:before="0" w:beforeAutospacing="0" w:after="0" w:afterAutospacing="0" w:line="360" w:lineRule="auto"/>
        <w:ind w:firstLine="420"/>
        <w:rPr>
          <w:sz w:val="21"/>
          <w:szCs w:val="21"/>
        </w:rPr>
      </w:pPr>
      <w:r>
        <w:rPr>
          <w:rFonts w:hint="eastAsia"/>
          <w:sz w:val="21"/>
          <w:szCs w:val="21"/>
        </w:rPr>
        <w:t>（9）法律法规及中国证监会规定的和《基金合同》约定的其他权利。 </w:t>
      </w:r>
    </w:p>
    <w:p w14:paraId="684A49F3">
      <w:pPr>
        <w:pStyle w:val="8"/>
        <w:spacing w:before="0" w:beforeAutospacing="0" w:after="0" w:afterAutospacing="0" w:line="360" w:lineRule="auto"/>
        <w:ind w:firstLine="420"/>
        <w:rPr>
          <w:sz w:val="21"/>
          <w:szCs w:val="21"/>
        </w:rPr>
      </w:pPr>
      <w:r>
        <w:rPr>
          <w:rFonts w:hint="eastAsia"/>
          <w:sz w:val="21"/>
          <w:szCs w:val="21"/>
        </w:rPr>
        <w:t>2、根据《基金法》、《运作办法》及其他有关规定，基金份额持有人的义务包括但不限于： </w:t>
      </w:r>
    </w:p>
    <w:p w14:paraId="1801C18C">
      <w:pPr>
        <w:pStyle w:val="8"/>
        <w:spacing w:before="0" w:beforeAutospacing="0" w:after="0" w:afterAutospacing="0" w:line="360" w:lineRule="auto"/>
        <w:ind w:firstLine="420"/>
        <w:rPr>
          <w:sz w:val="21"/>
          <w:szCs w:val="21"/>
        </w:rPr>
      </w:pPr>
      <w:r>
        <w:rPr>
          <w:rFonts w:hint="eastAsia"/>
          <w:sz w:val="21"/>
          <w:szCs w:val="21"/>
        </w:rPr>
        <w:t>（1）认真阅读并遵守《基金合同》、招募说明书等信息披露文件； </w:t>
      </w:r>
    </w:p>
    <w:p w14:paraId="00AC9BBA">
      <w:pPr>
        <w:pStyle w:val="8"/>
        <w:spacing w:before="0" w:beforeAutospacing="0" w:after="0" w:afterAutospacing="0" w:line="360" w:lineRule="auto"/>
        <w:ind w:firstLine="420"/>
        <w:rPr>
          <w:sz w:val="21"/>
          <w:szCs w:val="21"/>
        </w:rPr>
      </w:pPr>
      <w:r>
        <w:rPr>
          <w:rFonts w:hint="eastAsia"/>
          <w:sz w:val="21"/>
          <w:szCs w:val="21"/>
        </w:rPr>
        <w:t>（2）了解所投资基金产品，了解自身风险承受能力，自主判断基金的投资价值，自主做出投资决策，自行承担投资风险； </w:t>
      </w:r>
    </w:p>
    <w:p w14:paraId="7CC56434">
      <w:pPr>
        <w:pStyle w:val="8"/>
        <w:spacing w:before="0" w:beforeAutospacing="0" w:after="0" w:afterAutospacing="0" w:line="360" w:lineRule="auto"/>
        <w:ind w:firstLine="420"/>
        <w:rPr>
          <w:sz w:val="21"/>
          <w:szCs w:val="21"/>
        </w:rPr>
      </w:pPr>
      <w:r>
        <w:rPr>
          <w:rFonts w:hint="eastAsia"/>
          <w:sz w:val="21"/>
          <w:szCs w:val="21"/>
        </w:rPr>
        <w:t>（3）关注基金信息披露，及时行使权利和履行义务； </w:t>
      </w:r>
    </w:p>
    <w:p w14:paraId="50162AA8">
      <w:pPr>
        <w:pStyle w:val="8"/>
        <w:spacing w:before="0" w:beforeAutospacing="0" w:after="0" w:afterAutospacing="0" w:line="360" w:lineRule="auto"/>
        <w:ind w:firstLine="420"/>
        <w:rPr>
          <w:sz w:val="21"/>
          <w:szCs w:val="21"/>
        </w:rPr>
      </w:pPr>
      <w:r>
        <w:rPr>
          <w:rFonts w:hint="eastAsia"/>
          <w:sz w:val="21"/>
          <w:szCs w:val="21"/>
        </w:rPr>
        <w:t>（4）交纳基金认购、申购款项及法律法规和《基金合同》所规定的费用； </w:t>
      </w:r>
    </w:p>
    <w:p w14:paraId="1DEF9670">
      <w:pPr>
        <w:pStyle w:val="8"/>
        <w:spacing w:before="0" w:beforeAutospacing="0" w:after="0" w:afterAutospacing="0" w:line="360" w:lineRule="auto"/>
        <w:ind w:firstLine="420"/>
        <w:rPr>
          <w:sz w:val="21"/>
          <w:szCs w:val="21"/>
        </w:rPr>
      </w:pPr>
      <w:r>
        <w:rPr>
          <w:rFonts w:hint="eastAsia"/>
          <w:sz w:val="21"/>
          <w:szCs w:val="21"/>
        </w:rPr>
        <w:t>（5）在其持有的基金份额范围内，承担基金亏损或者《基金合同》终止的有限责任； </w:t>
      </w:r>
    </w:p>
    <w:p w14:paraId="4DE68968">
      <w:pPr>
        <w:pStyle w:val="8"/>
        <w:spacing w:before="0" w:beforeAutospacing="0" w:after="0" w:afterAutospacing="0" w:line="360" w:lineRule="auto"/>
        <w:ind w:firstLine="420"/>
        <w:rPr>
          <w:sz w:val="21"/>
          <w:szCs w:val="21"/>
        </w:rPr>
      </w:pPr>
      <w:r>
        <w:rPr>
          <w:rFonts w:hint="eastAsia"/>
          <w:sz w:val="21"/>
          <w:szCs w:val="21"/>
        </w:rPr>
        <w:t>（6）不从事任何有损基金及其他《基金合同》当事人合法权益的活动； </w:t>
      </w:r>
    </w:p>
    <w:p w14:paraId="41916CCB">
      <w:pPr>
        <w:pStyle w:val="8"/>
        <w:spacing w:before="0" w:beforeAutospacing="0" w:after="0" w:afterAutospacing="0" w:line="360" w:lineRule="auto"/>
        <w:ind w:firstLine="420"/>
        <w:rPr>
          <w:sz w:val="21"/>
          <w:szCs w:val="21"/>
        </w:rPr>
      </w:pPr>
      <w:r>
        <w:rPr>
          <w:rFonts w:hint="eastAsia"/>
          <w:sz w:val="21"/>
          <w:szCs w:val="21"/>
        </w:rPr>
        <w:t>（7）执行生效的基金份额持有人大会的决议； </w:t>
      </w:r>
    </w:p>
    <w:p w14:paraId="0E801030">
      <w:pPr>
        <w:pStyle w:val="8"/>
        <w:spacing w:before="0" w:beforeAutospacing="0" w:after="0" w:afterAutospacing="0" w:line="360" w:lineRule="auto"/>
        <w:ind w:firstLine="420"/>
        <w:rPr>
          <w:sz w:val="21"/>
          <w:szCs w:val="21"/>
        </w:rPr>
      </w:pPr>
      <w:r>
        <w:rPr>
          <w:rFonts w:hint="eastAsia"/>
          <w:sz w:val="21"/>
          <w:szCs w:val="21"/>
        </w:rPr>
        <w:t>（8）返还在基金交易过程中因任何原因获得的不当得利；  </w:t>
      </w:r>
    </w:p>
    <w:p w14:paraId="49B61F03">
      <w:pPr>
        <w:pStyle w:val="8"/>
        <w:spacing w:before="0" w:beforeAutospacing="0" w:after="0" w:afterAutospacing="0" w:line="360" w:lineRule="auto"/>
        <w:ind w:firstLine="420"/>
        <w:rPr>
          <w:sz w:val="21"/>
          <w:szCs w:val="21"/>
        </w:rPr>
      </w:pPr>
      <w:r>
        <w:rPr>
          <w:rFonts w:hint="eastAsia"/>
          <w:sz w:val="21"/>
          <w:szCs w:val="21"/>
        </w:rPr>
        <w:t>（9）法律法规及中国证监会规定的和《基金合同》约定的其他义务。 </w:t>
      </w:r>
    </w:p>
    <w:p w14:paraId="34BEAC44">
      <w:pPr>
        <w:pStyle w:val="8"/>
        <w:spacing w:before="0" w:beforeAutospacing="0" w:after="0" w:afterAutospacing="0" w:line="360" w:lineRule="auto"/>
        <w:ind w:firstLine="420"/>
        <w:rPr>
          <w:sz w:val="21"/>
          <w:szCs w:val="21"/>
        </w:rPr>
      </w:pPr>
      <w:r>
        <w:rPr>
          <w:rStyle w:val="12"/>
          <w:rFonts w:hint="eastAsia"/>
          <w:sz w:val="21"/>
          <w:szCs w:val="21"/>
        </w:rPr>
        <w:t>二、基金份额持有人大会召集、议事及表决的程序和规则 </w:t>
      </w:r>
    </w:p>
    <w:p w14:paraId="4ECF7658">
      <w:pPr>
        <w:pStyle w:val="8"/>
        <w:spacing w:before="0" w:beforeAutospacing="0" w:after="0" w:afterAutospacing="0" w:line="360" w:lineRule="auto"/>
        <w:ind w:firstLine="420"/>
        <w:rPr>
          <w:sz w:val="21"/>
          <w:szCs w:val="21"/>
        </w:rPr>
      </w:pPr>
      <w:r>
        <w:rPr>
          <w:rFonts w:hint="eastAsia"/>
          <w:sz w:val="21"/>
          <w:szCs w:val="21"/>
        </w:rPr>
        <w:t>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 </w:t>
      </w:r>
    </w:p>
    <w:p w14:paraId="0A6F8D46">
      <w:pPr>
        <w:pStyle w:val="8"/>
        <w:spacing w:before="0" w:beforeAutospacing="0" w:after="0" w:afterAutospacing="0" w:line="360" w:lineRule="auto"/>
        <w:ind w:firstLine="420"/>
        <w:rPr>
          <w:sz w:val="21"/>
          <w:szCs w:val="21"/>
        </w:rPr>
      </w:pPr>
      <w:r>
        <w:rPr>
          <w:rFonts w:hint="eastAsia"/>
          <w:sz w:val="21"/>
          <w:szCs w:val="21"/>
        </w:rPr>
        <w:t>本基金份额持有人大会不设日常机构。 </w:t>
      </w:r>
    </w:p>
    <w:p w14:paraId="1A5A66BD">
      <w:pPr>
        <w:pStyle w:val="8"/>
        <w:spacing w:before="0" w:beforeAutospacing="0" w:after="0" w:afterAutospacing="0" w:line="360" w:lineRule="auto"/>
        <w:ind w:firstLine="420"/>
        <w:rPr>
          <w:sz w:val="21"/>
          <w:szCs w:val="21"/>
        </w:rPr>
      </w:pPr>
      <w:r>
        <w:rPr>
          <w:rFonts w:hint="eastAsia"/>
          <w:sz w:val="21"/>
          <w:szCs w:val="21"/>
        </w:rPr>
        <w:t>（一）召开事由 </w:t>
      </w:r>
    </w:p>
    <w:p w14:paraId="764F0EB2">
      <w:pPr>
        <w:pStyle w:val="8"/>
        <w:spacing w:before="0" w:beforeAutospacing="0" w:after="0" w:afterAutospacing="0" w:line="360" w:lineRule="auto"/>
        <w:ind w:firstLine="420"/>
        <w:rPr>
          <w:sz w:val="21"/>
          <w:szCs w:val="21"/>
        </w:rPr>
      </w:pPr>
      <w:r>
        <w:rPr>
          <w:rFonts w:hint="eastAsia"/>
          <w:sz w:val="21"/>
          <w:szCs w:val="21"/>
        </w:rPr>
        <w:t>1、除法律法规和中国证监会另有规定或《基金合同》另有约定外，当出现或需要决定下列事由之一的，应当召开基金份额持有人大会： </w:t>
      </w:r>
    </w:p>
    <w:p w14:paraId="5A71FD0C">
      <w:pPr>
        <w:pStyle w:val="8"/>
        <w:spacing w:before="0" w:beforeAutospacing="0" w:after="0" w:afterAutospacing="0" w:line="360" w:lineRule="auto"/>
        <w:ind w:firstLine="420"/>
        <w:rPr>
          <w:sz w:val="21"/>
          <w:szCs w:val="21"/>
        </w:rPr>
      </w:pPr>
      <w:r>
        <w:rPr>
          <w:rFonts w:hint="eastAsia"/>
          <w:sz w:val="21"/>
          <w:szCs w:val="21"/>
        </w:rPr>
        <w:t>（1）终止《基金合同》； </w:t>
      </w:r>
    </w:p>
    <w:p w14:paraId="16593ECC">
      <w:pPr>
        <w:pStyle w:val="8"/>
        <w:spacing w:before="0" w:beforeAutospacing="0" w:after="0" w:afterAutospacing="0" w:line="360" w:lineRule="auto"/>
        <w:ind w:firstLine="420"/>
        <w:rPr>
          <w:sz w:val="21"/>
          <w:szCs w:val="21"/>
        </w:rPr>
      </w:pPr>
      <w:r>
        <w:rPr>
          <w:rFonts w:hint="eastAsia"/>
          <w:sz w:val="21"/>
          <w:szCs w:val="21"/>
        </w:rPr>
        <w:t>（2）更换基金管理人； </w:t>
      </w:r>
    </w:p>
    <w:p w14:paraId="5E1F4507">
      <w:pPr>
        <w:pStyle w:val="8"/>
        <w:spacing w:before="0" w:beforeAutospacing="0" w:after="0" w:afterAutospacing="0" w:line="360" w:lineRule="auto"/>
        <w:ind w:firstLine="420"/>
        <w:rPr>
          <w:sz w:val="21"/>
          <w:szCs w:val="21"/>
        </w:rPr>
      </w:pPr>
      <w:r>
        <w:rPr>
          <w:rFonts w:hint="eastAsia"/>
          <w:sz w:val="21"/>
          <w:szCs w:val="21"/>
        </w:rPr>
        <w:t>（3）更换基金托管人； </w:t>
      </w:r>
    </w:p>
    <w:p w14:paraId="2BAA9145">
      <w:pPr>
        <w:pStyle w:val="8"/>
        <w:spacing w:before="0" w:beforeAutospacing="0" w:after="0" w:afterAutospacing="0" w:line="360" w:lineRule="auto"/>
        <w:ind w:firstLine="420"/>
        <w:rPr>
          <w:sz w:val="21"/>
          <w:szCs w:val="21"/>
        </w:rPr>
      </w:pPr>
      <w:r>
        <w:rPr>
          <w:rFonts w:hint="eastAsia"/>
          <w:sz w:val="21"/>
          <w:szCs w:val="21"/>
        </w:rPr>
        <w:t>（4）转换基金运作方式；    </w:t>
      </w:r>
    </w:p>
    <w:p w14:paraId="36BAA17A">
      <w:pPr>
        <w:pStyle w:val="8"/>
        <w:spacing w:before="0" w:beforeAutospacing="0" w:after="0" w:afterAutospacing="0" w:line="360" w:lineRule="auto"/>
        <w:ind w:firstLine="420"/>
        <w:rPr>
          <w:sz w:val="21"/>
          <w:szCs w:val="21"/>
        </w:rPr>
      </w:pPr>
      <w:r>
        <w:rPr>
          <w:rFonts w:hint="eastAsia"/>
          <w:sz w:val="21"/>
          <w:szCs w:val="21"/>
        </w:rPr>
        <w:t>（5）调整基金管理人、基金托管人的报酬标准或提高销售服务费率；   </w:t>
      </w:r>
    </w:p>
    <w:p w14:paraId="08242A66">
      <w:pPr>
        <w:pStyle w:val="8"/>
        <w:spacing w:before="0" w:beforeAutospacing="0" w:after="0" w:afterAutospacing="0" w:line="360" w:lineRule="auto"/>
        <w:ind w:firstLine="420"/>
        <w:rPr>
          <w:sz w:val="21"/>
          <w:szCs w:val="21"/>
        </w:rPr>
      </w:pPr>
      <w:r>
        <w:rPr>
          <w:rFonts w:hint="eastAsia"/>
          <w:sz w:val="21"/>
          <w:szCs w:val="21"/>
        </w:rPr>
        <w:t>（6）变更基金类别； </w:t>
      </w:r>
    </w:p>
    <w:p w14:paraId="1C76491B">
      <w:pPr>
        <w:pStyle w:val="8"/>
        <w:spacing w:before="0" w:beforeAutospacing="0" w:after="0" w:afterAutospacing="0" w:line="360" w:lineRule="auto"/>
        <w:ind w:firstLine="420"/>
        <w:rPr>
          <w:sz w:val="21"/>
          <w:szCs w:val="21"/>
        </w:rPr>
      </w:pPr>
      <w:r>
        <w:rPr>
          <w:rFonts w:hint="eastAsia"/>
          <w:sz w:val="21"/>
          <w:szCs w:val="21"/>
        </w:rPr>
        <w:t>（7）本基金与其他基金的合并； </w:t>
      </w:r>
    </w:p>
    <w:p w14:paraId="1B7A7993">
      <w:pPr>
        <w:pStyle w:val="8"/>
        <w:spacing w:before="0" w:beforeAutospacing="0" w:after="0" w:afterAutospacing="0" w:line="360" w:lineRule="auto"/>
        <w:ind w:firstLine="420"/>
        <w:rPr>
          <w:sz w:val="21"/>
          <w:szCs w:val="21"/>
        </w:rPr>
      </w:pPr>
      <w:r>
        <w:rPr>
          <w:rFonts w:hint="eastAsia"/>
          <w:sz w:val="21"/>
          <w:szCs w:val="21"/>
        </w:rPr>
        <w:t>（8）变更基金投资目标、范围或策略； </w:t>
      </w:r>
    </w:p>
    <w:p w14:paraId="060CFBAB">
      <w:pPr>
        <w:pStyle w:val="8"/>
        <w:spacing w:before="0" w:beforeAutospacing="0" w:after="0" w:afterAutospacing="0" w:line="360" w:lineRule="auto"/>
        <w:ind w:firstLine="420"/>
        <w:rPr>
          <w:sz w:val="21"/>
          <w:szCs w:val="21"/>
        </w:rPr>
      </w:pPr>
      <w:r>
        <w:rPr>
          <w:rFonts w:hint="eastAsia"/>
          <w:sz w:val="21"/>
          <w:szCs w:val="21"/>
        </w:rPr>
        <w:t>（9）变更基金份额持有人大会程序； </w:t>
      </w:r>
    </w:p>
    <w:p w14:paraId="4F76D521">
      <w:pPr>
        <w:pStyle w:val="8"/>
        <w:spacing w:before="0" w:beforeAutospacing="0" w:after="0" w:afterAutospacing="0" w:line="360" w:lineRule="auto"/>
        <w:ind w:firstLine="420"/>
        <w:rPr>
          <w:sz w:val="21"/>
          <w:szCs w:val="21"/>
        </w:rPr>
      </w:pPr>
      <w:r>
        <w:rPr>
          <w:rFonts w:hint="eastAsia"/>
          <w:sz w:val="21"/>
          <w:szCs w:val="21"/>
        </w:rPr>
        <w:t>（10）基金管理人或基金托管人要求召开基金份额持有人大会； </w:t>
      </w:r>
    </w:p>
    <w:p w14:paraId="6933BF77">
      <w:pPr>
        <w:pStyle w:val="8"/>
        <w:spacing w:before="0" w:beforeAutospacing="0" w:after="0" w:afterAutospacing="0" w:line="360" w:lineRule="auto"/>
        <w:ind w:firstLine="420"/>
        <w:rPr>
          <w:sz w:val="21"/>
          <w:szCs w:val="21"/>
        </w:rPr>
      </w:pPr>
      <w:r>
        <w:rPr>
          <w:rFonts w:hint="eastAsia"/>
          <w:sz w:val="21"/>
          <w:szCs w:val="21"/>
        </w:rPr>
        <w:t>（11）单独或合计持有本基金总份额10%以上（含10%）基金份额的基金份额持有人（以基金管理人收到提议当日的基金份额计算，下同）就同一事项书面要求召开基金份额持有人大会； </w:t>
      </w:r>
    </w:p>
    <w:p w14:paraId="4F75A1CD">
      <w:pPr>
        <w:pStyle w:val="8"/>
        <w:spacing w:before="0" w:beforeAutospacing="0" w:after="0" w:afterAutospacing="0" w:line="360" w:lineRule="auto"/>
        <w:ind w:firstLine="420"/>
        <w:rPr>
          <w:sz w:val="21"/>
          <w:szCs w:val="21"/>
        </w:rPr>
      </w:pPr>
      <w:r>
        <w:rPr>
          <w:rFonts w:hint="eastAsia"/>
          <w:sz w:val="21"/>
          <w:szCs w:val="21"/>
        </w:rPr>
        <w:t>（12）对基金合同当事人权利和义务产生重大影响的其他事项； </w:t>
      </w:r>
    </w:p>
    <w:p w14:paraId="004C7CA3">
      <w:pPr>
        <w:pStyle w:val="8"/>
        <w:spacing w:before="0" w:beforeAutospacing="0" w:after="0" w:afterAutospacing="0" w:line="360" w:lineRule="auto"/>
        <w:ind w:firstLine="420"/>
        <w:rPr>
          <w:sz w:val="21"/>
          <w:szCs w:val="21"/>
        </w:rPr>
      </w:pPr>
      <w:r>
        <w:rPr>
          <w:rFonts w:hint="eastAsia"/>
          <w:sz w:val="21"/>
          <w:szCs w:val="21"/>
        </w:rPr>
        <w:t>（13）法律法规、《基金合同》或中国证监会规定的其他应当召开基金份额持有人大会的事项。 </w:t>
      </w:r>
    </w:p>
    <w:p w14:paraId="0DAF6F89">
      <w:pPr>
        <w:pStyle w:val="8"/>
        <w:spacing w:before="0" w:beforeAutospacing="0" w:after="0" w:afterAutospacing="0" w:line="360" w:lineRule="auto"/>
        <w:ind w:firstLine="420"/>
        <w:rPr>
          <w:sz w:val="21"/>
          <w:szCs w:val="21"/>
        </w:rPr>
      </w:pPr>
      <w:r>
        <w:rPr>
          <w:rFonts w:hint="eastAsia"/>
          <w:sz w:val="21"/>
          <w:szCs w:val="21"/>
        </w:rPr>
        <w:t>2、在法律法规规定和《基金合同》约定的范围内且对基金份额持有人利益无实质性不利影响的前提下，以下情况可由基金管理人和基金托管人协商后修改，不需召开基金份额持有人大会： </w:t>
      </w:r>
    </w:p>
    <w:p w14:paraId="151B4DBD">
      <w:pPr>
        <w:pStyle w:val="8"/>
        <w:spacing w:before="0" w:beforeAutospacing="0" w:after="0" w:afterAutospacing="0" w:line="360" w:lineRule="auto"/>
        <w:ind w:firstLine="420"/>
        <w:rPr>
          <w:sz w:val="21"/>
          <w:szCs w:val="21"/>
        </w:rPr>
      </w:pPr>
      <w:r>
        <w:rPr>
          <w:rFonts w:hint="eastAsia"/>
          <w:sz w:val="21"/>
          <w:szCs w:val="21"/>
        </w:rPr>
        <w:t>（1）法律法规要求增加的基金费用的收取； </w:t>
      </w:r>
    </w:p>
    <w:p w14:paraId="1D5A0ECC">
      <w:pPr>
        <w:pStyle w:val="8"/>
        <w:spacing w:before="0" w:beforeAutospacing="0" w:after="0" w:afterAutospacing="0" w:line="360" w:lineRule="auto"/>
        <w:ind w:firstLine="420"/>
        <w:rPr>
          <w:sz w:val="21"/>
          <w:szCs w:val="21"/>
        </w:rPr>
      </w:pPr>
      <w:r>
        <w:rPr>
          <w:rFonts w:hint="eastAsia"/>
          <w:sz w:val="21"/>
          <w:szCs w:val="21"/>
        </w:rPr>
        <w:t>（2）调整本基金的申购费率、调低赎回费率、调低销售服务费率或变更收费方式，调整基金份额类别设置、对基金份额分类办法及规则进行调整；    </w:t>
      </w:r>
    </w:p>
    <w:p w14:paraId="3D02D478">
      <w:pPr>
        <w:pStyle w:val="8"/>
        <w:spacing w:before="0" w:beforeAutospacing="0" w:after="0" w:afterAutospacing="0" w:line="360" w:lineRule="auto"/>
        <w:ind w:firstLine="420"/>
        <w:rPr>
          <w:sz w:val="21"/>
          <w:szCs w:val="21"/>
        </w:rPr>
      </w:pPr>
      <w:r>
        <w:rPr>
          <w:rFonts w:hint="eastAsia"/>
          <w:sz w:val="21"/>
          <w:szCs w:val="21"/>
        </w:rPr>
        <w:t>（3）因相应的法律法规发生变动而应当对《基金合同》进行修改；  </w:t>
      </w:r>
    </w:p>
    <w:p w14:paraId="726C3FE0">
      <w:pPr>
        <w:pStyle w:val="8"/>
        <w:spacing w:before="0" w:beforeAutospacing="0" w:after="0" w:afterAutospacing="0" w:line="360" w:lineRule="auto"/>
        <w:ind w:firstLine="420"/>
        <w:rPr>
          <w:sz w:val="21"/>
          <w:szCs w:val="21"/>
        </w:rPr>
      </w:pPr>
      <w:r>
        <w:rPr>
          <w:rFonts w:hint="eastAsia"/>
          <w:sz w:val="21"/>
          <w:szCs w:val="21"/>
        </w:rPr>
        <w:t>（4）对《基金合同》的修改对基金份额持有人利益无实质性不利影响或修改不涉及《基金合同》当事人权利义务关系发生重大变化； </w:t>
      </w:r>
    </w:p>
    <w:p w14:paraId="79326769">
      <w:pPr>
        <w:pStyle w:val="8"/>
        <w:spacing w:before="0" w:beforeAutospacing="0" w:after="0" w:afterAutospacing="0" w:line="360" w:lineRule="auto"/>
        <w:ind w:firstLine="420"/>
        <w:rPr>
          <w:sz w:val="21"/>
          <w:szCs w:val="21"/>
        </w:rPr>
      </w:pPr>
      <w:r>
        <w:rPr>
          <w:rFonts w:hint="eastAsia"/>
          <w:sz w:val="21"/>
          <w:szCs w:val="21"/>
        </w:rPr>
        <w:t>（5）基金管理人、登记机构、基金销售机构调整有关申购、赎回、转换、基金交易、非交易过户、转托管等业务规则； </w:t>
      </w:r>
    </w:p>
    <w:p w14:paraId="22F290D5">
      <w:pPr>
        <w:pStyle w:val="8"/>
        <w:spacing w:before="0" w:beforeAutospacing="0" w:after="0" w:afterAutospacing="0" w:line="360" w:lineRule="auto"/>
        <w:ind w:firstLine="420"/>
        <w:rPr>
          <w:sz w:val="21"/>
          <w:szCs w:val="21"/>
        </w:rPr>
      </w:pPr>
      <w:r>
        <w:rPr>
          <w:rFonts w:hint="eastAsia"/>
          <w:sz w:val="21"/>
          <w:szCs w:val="21"/>
        </w:rPr>
        <w:t>（6）履行相关程序后，基金推出新业务或服务；   </w:t>
      </w:r>
    </w:p>
    <w:p w14:paraId="38AC8CF4">
      <w:pPr>
        <w:pStyle w:val="8"/>
        <w:spacing w:before="0" w:beforeAutospacing="0" w:after="0" w:afterAutospacing="0" w:line="360" w:lineRule="auto"/>
        <w:ind w:firstLine="420"/>
        <w:rPr>
          <w:sz w:val="21"/>
          <w:szCs w:val="21"/>
        </w:rPr>
      </w:pPr>
      <w:r>
        <w:rPr>
          <w:rFonts w:hint="eastAsia"/>
          <w:sz w:val="21"/>
          <w:szCs w:val="21"/>
        </w:rPr>
        <w:t>（7）按照法律法规和《基金合同》规定不需召开基金份额持有人大会的其他情形。 </w:t>
      </w:r>
    </w:p>
    <w:p w14:paraId="757256D7">
      <w:pPr>
        <w:pStyle w:val="8"/>
        <w:spacing w:before="0" w:beforeAutospacing="0" w:after="0" w:afterAutospacing="0" w:line="360" w:lineRule="auto"/>
        <w:ind w:firstLine="420"/>
        <w:rPr>
          <w:sz w:val="21"/>
          <w:szCs w:val="21"/>
        </w:rPr>
      </w:pPr>
      <w:r>
        <w:rPr>
          <w:rFonts w:hint="eastAsia"/>
          <w:sz w:val="21"/>
          <w:szCs w:val="21"/>
        </w:rPr>
        <w:t>（二）会议召集人及召集方式 </w:t>
      </w:r>
    </w:p>
    <w:p w14:paraId="31969B9B">
      <w:pPr>
        <w:pStyle w:val="8"/>
        <w:spacing w:before="0" w:beforeAutospacing="0" w:after="0" w:afterAutospacing="0" w:line="360" w:lineRule="auto"/>
        <w:ind w:firstLine="420"/>
        <w:rPr>
          <w:sz w:val="21"/>
          <w:szCs w:val="21"/>
        </w:rPr>
      </w:pPr>
      <w:r>
        <w:rPr>
          <w:rFonts w:hint="eastAsia"/>
          <w:sz w:val="21"/>
          <w:szCs w:val="21"/>
        </w:rPr>
        <w:t>1、除法律法规规定或《基金合同》另有约定外，基金份额持有人大会由基金管理人召集。 </w:t>
      </w:r>
    </w:p>
    <w:p w14:paraId="383BB099">
      <w:pPr>
        <w:pStyle w:val="8"/>
        <w:spacing w:before="0" w:beforeAutospacing="0" w:after="0" w:afterAutospacing="0" w:line="360" w:lineRule="auto"/>
        <w:ind w:firstLine="420"/>
        <w:rPr>
          <w:sz w:val="21"/>
          <w:szCs w:val="21"/>
        </w:rPr>
      </w:pPr>
      <w:r>
        <w:rPr>
          <w:rFonts w:hint="eastAsia"/>
          <w:sz w:val="21"/>
          <w:szCs w:val="21"/>
        </w:rPr>
        <w:t>2、基金管理人未按规定召集或不能召集时，由基金托管人召集。 </w:t>
      </w:r>
    </w:p>
    <w:p w14:paraId="0B017910">
      <w:pPr>
        <w:pStyle w:val="8"/>
        <w:spacing w:before="0" w:beforeAutospacing="0" w:after="0" w:afterAutospacing="0" w:line="360" w:lineRule="auto"/>
        <w:ind w:firstLine="420"/>
        <w:rPr>
          <w:sz w:val="21"/>
          <w:szCs w:val="21"/>
        </w:rPr>
      </w:pPr>
      <w:r>
        <w:rPr>
          <w:rFonts w:hint="eastAsia"/>
          <w:sz w:val="21"/>
          <w:szCs w:val="21"/>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22D64403">
      <w:pPr>
        <w:pStyle w:val="8"/>
        <w:spacing w:before="0" w:beforeAutospacing="0" w:after="0" w:afterAutospacing="0" w:line="360" w:lineRule="auto"/>
        <w:ind w:firstLine="420"/>
        <w:rPr>
          <w:sz w:val="21"/>
          <w:szCs w:val="21"/>
        </w:rPr>
      </w:pPr>
      <w:r>
        <w:rPr>
          <w:rFonts w:hint="eastAsia"/>
          <w:sz w:val="21"/>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2874E7FC">
      <w:pPr>
        <w:pStyle w:val="8"/>
        <w:spacing w:before="0" w:beforeAutospacing="0" w:after="0" w:afterAutospacing="0" w:line="360" w:lineRule="auto"/>
        <w:ind w:firstLine="420"/>
        <w:rPr>
          <w:sz w:val="21"/>
          <w:szCs w:val="21"/>
        </w:rPr>
      </w:pPr>
      <w:r>
        <w:rPr>
          <w:rFonts w:hint="eastAsia"/>
          <w:sz w:val="21"/>
          <w:szCs w:val="21"/>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51298BB5">
      <w:pPr>
        <w:pStyle w:val="8"/>
        <w:spacing w:before="0" w:beforeAutospacing="0" w:after="0" w:afterAutospacing="0" w:line="360" w:lineRule="auto"/>
        <w:ind w:firstLine="420"/>
        <w:rPr>
          <w:sz w:val="21"/>
          <w:szCs w:val="21"/>
        </w:rPr>
      </w:pPr>
      <w:r>
        <w:rPr>
          <w:rFonts w:hint="eastAsia"/>
          <w:sz w:val="21"/>
          <w:szCs w:val="21"/>
        </w:rPr>
        <w:t>6、基金份额持有人会议的召集人负责选择确定开会时间、地点、方式和权益登记日。 </w:t>
      </w:r>
    </w:p>
    <w:p w14:paraId="744A80A0">
      <w:pPr>
        <w:pStyle w:val="8"/>
        <w:spacing w:before="0" w:beforeAutospacing="0" w:after="0" w:afterAutospacing="0" w:line="360" w:lineRule="auto"/>
        <w:ind w:firstLine="420"/>
        <w:rPr>
          <w:sz w:val="21"/>
          <w:szCs w:val="21"/>
        </w:rPr>
      </w:pPr>
      <w:r>
        <w:rPr>
          <w:rFonts w:hint="eastAsia"/>
          <w:sz w:val="21"/>
          <w:szCs w:val="21"/>
        </w:rPr>
        <w:t>（三）召开基金份额持有人大会的通知时间、通知内容、通知方式 </w:t>
      </w:r>
    </w:p>
    <w:p w14:paraId="07737E39">
      <w:pPr>
        <w:pStyle w:val="8"/>
        <w:spacing w:before="0" w:beforeAutospacing="0" w:after="0" w:afterAutospacing="0" w:line="360" w:lineRule="auto"/>
        <w:ind w:firstLine="420"/>
        <w:rPr>
          <w:sz w:val="21"/>
          <w:szCs w:val="21"/>
        </w:rPr>
      </w:pPr>
      <w:r>
        <w:rPr>
          <w:rFonts w:hint="eastAsia"/>
          <w:sz w:val="21"/>
          <w:szCs w:val="21"/>
        </w:rPr>
        <w:t>1、召开基金份额持有人大会，召集人应于会议召开前30日，在规定媒介公告。基金份额持有人大会通知应至少载明以下内容： </w:t>
      </w:r>
    </w:p>
    <w:p w14:paraId="327C6CFD">
      <w:pPr>
        <w:pStyle w:val="8"/>
        <w:spacing w:before="0" w:beforeAutospacing="0" w:after="0" w:afterAutospacing="0" w:line="360" w:lineRule="auto"/>
        <w:ind w:firstLine="420"/>
        <w:rPr>
          <w:sz w:val="21"/>
          <w:szCs w:val="21"/>
        </w:rPr>
      </w:pPr>
      <w:r>
        <w:rPr>
          <w:rFonts w:hint="eastAsia"/>
          <w:sz w:val="21"/>
          <w:szCs w:val="21"/>
        </w:rPr>
        <w:t>（1）会议召开的时间、地点和会议形式； </w:t>
      </w:r>
    </w:p>
    <w:p w14:paraId="4DE035FD">
      <w:pPr>
        <w:pStyle w:val="8"/>
        <w:spacing w:before="0" w:beforeAutospacing="0" w:after="0" w:afterAutospacing="0" w:line="360" w:lineRule="auto"/>
        <w:ind w:firstLine="420"/>
        <w:rPr>
          <w:sz w:val="21"/>
          <w:szCs w:val="21"/>
        </w:rPr>
      </w:pPr>
      <w:r>
        <w:rPr>
          <w:rFonts w:hint="eastAsia"/>
          <w:sz w:val="21"/>
          <w:szCs w:val="21"/>
        </w:rPr>
        <w:t>（2）会议拟审议的事项、议事程序和表决方式； </w:t>
      </w:r>
    </w:p>
    <w:p w14:paraId="26A77A3B">
      <w:pPr>
        <w:pStyle w:val="8"/>
        <w:spacing w:before="0" w:beforeAutospacing="0" w:after="0" w:afterAutospacing="0" w:line="360" w:lineRule="auto"/>
        <w:ind w:firstLine="420"/>
        <w:rPr>
          <w:sz w:val="21"/>
          <w:szCs w:val="21"/>
        </w:rPr>
      </w:pPr>
      <w:r>
        <w:rPr>
          <w:rFonts w:hint="eastAsia"/>
          <w:sz w:val="21"/>
          <w:szCs w:val="21"/>
        </w:rPr>
        <w:t>（3）有权出席基金份额持有人大会的基金份额持有人的权益登记日； </w:t>
      </w:r>
    </w:p>
    <w:p w14:paraId="32A2792C">
      <w:pPr>
        <w:pStyle w:val="8"/>
        <w:spacing w:before="0" w:beforeAutospacing="0" w:after="0" w:afterAutospacing="0" w:line="360" w:lineRule="auto"/>
        <w:ind w:firstLine="420"/>
        <w:rPr>
          <w:sz w:val="21"/>
          <w:szCs w:val="21"/>
        </w:rPr>
      </w:pPr>
      <w:r>
        <w:rPr>
          <w:rFonts w:hint="eastAsia"/>
          <w:sz w:val="21"/>
          <w:szCs w:val="21"/>
        </w:rPr>
        <w:t>（4）授权委托证明的内容要求（包括但不限于代理人身份，代理权限和代理有效期限等）、送达时间和地点； </w:t>
      </w:r>
    </w:p>
    <w:p w14:paraId="0C519342">
      <w:pPr>
        <w:pStyle w:val="8"/>
        <w:spacing w:before="0" w:beforeAutospacing="0" w:after="0" w:afterAutospacing="0" w:line="360" w:lineRule="auto"/>
        <w:ind w:firstLine="420"/>
        <w:rPr>
          <w:sz w:val="21"/>
          <w:szCs w:val="21"/>
        </w:rPr>
      </w:pPr>
      <w:r>
        <w:rPr>
          <w:rFonts w:hint="eastAsia"/>
          <w:sz w:val="21"/>
          <w:szCs w:val="21"/>
        </w:rPr>
        <w:t>（5）会务常设联系人姓名及联系电话； </w:t>
      </w:r>
    </w:p>
    <w:p w14:paraId="1B6A168A">
      <w:pPr>
        <w:pStyle w:val="8"/>
        <w:spacing w:before="0" w:beforeAutospacing="0" w:after="0" w:afterAutospacing="0" w:line="360" w:lineRule="auto"/>
        <w:ind w:firstLine="420"/>
        <w:rPr>
          <w:sz w:val="21"/>
          <w:szCs w:val="21"/>
        </w:rPr>
      </w:pPr>
      <w:r>
        <w:rPr>
          <w:rFonts w:hint="eastAsia"/>
          <w:sz w:val="21"/>
          <w:szCs w:val="21"/>
        </w:rPr>
        <w:t>（6）出席会议者必须准备的文件和必须履行的手续； </w:t>
      </w:r>
    </w:p>
    <w:p w14:paraId="73D67801">
      <w:pPr>
        <w:pStyle w:val="8"/>
        <w:spacing w:before="0" w:beforeAutospacing="0" w:after="0" w:afterAutospacing="0" w:line="360" w:lineRule="auto"/>
        <w:ind w:firstLine="420"/>
        <w:rPr>
          <w:sz w:val="21"/>
          <w:szCs w:val="21"/>
        </w:rPr>
      </w:pPr>
      <w:r>
        <w:rPr>
          <w:rFonts w:hint="eastAsia"/>
          <w:sz w:val="21"/>
          <w:szCs w:val="21"/>
        </w:rPr>
        <w:t>（7）召集人需要通知的其他事项。 </w:t>
      </w:r>
    </w:p>
    <w:p w14:paraId="44BDF078">
      <w:pPr>
        <w:pStyle w:val="8"/>
        <w:spacing w:before="0" w:beforeAutospacing="0" w:after="0" w:afterAutospacing="0" w:line="360" w:lineRule="auto"/>
        <w:ind w:firstLine="420"/>
        <w:rPr>
          <w:sz w:val="21"/>
          <w:szCs w:val="21"/>
        </w:rPr>
      </w:pPr>
      <w:r>
        <w:rPr>
          <w:rFonts w:hint="eastAsia"/>
          <w:sz w:val="21"/>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4A54422E">
      <w:pPr>
        <w:pStyle w:val="8"/>
        <w:spacing w:before="0" w:beforeAutospacing="0" w:after="0" w:afterAutospacing="0" w:line="360" w:lineRule="auto"/>
        <w:ind w:firstLine="420"/>
        <w:rPr>
          <w:sz w:val="21"/>
          <w:szCs w:val="21"/>
        </w:rPr>
      </w:pPr>
      <w:r>
        <w:rPr>
          <w:rFonts w:hint="eastAsia"/>
          <w:sz w:val="21"/>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03D98FE2">
      <w:pPr>
        <w:pStyle w:val="8"/>
        <w:spacing w:before="0" w:beforeAutospacing="0" w:after="0" w:afterAutospacing="0" w:line="360" w:lineRule="auto"/>
        <w:ind w:firstLine="420"/>
        <w:rPr>
          <w:sz w:val="21"/>
          <w:szCs w:val="21"/>
        </w:rPr>
      </w:pPr>
      <w:r>
        <w:rPr>
          <w:rFonts w:hint="eastAsia"/>
          <w:sz w:val="21"/>
          <w:szCs w:val="21"/>
        </w:rPr>
        <w:t>（四）基金份额持有人出席会议的方式 </w:t>
      </w:r>
    </w:p>
    <w:p w14:paraId="32F044E8">
      <w:pPr>
        <w:pStyle w:val="8"/>
        <w:spacing w:before="0" w:beforeAutospacing="0" w:after="0" w:afterAutospacing="0" w:line="360" w:lineRule="auto"/>
        <w:ind w:firstLine="420"/>
        <w:rPr>
          <w:sz w:val="21"/>
          <w:szCs w:val="21"/>
        </w:rPr>
      </w:pPr>
      <w:r>
        <w:rPr>
          <w:rFonts w:hint="eastAsia"/>
          <w:sz w:val="21"/>
          <w:szCs w:val="21"/>
        </w:rPr>
        <w:t>基金份额持有人大会可通过现场开会方式、通讯开会方式或法律法规、监管机构允许的其他方式召开，会议的召开方式由会议召集人确定。 </w:t>
      </w:r>
    </w:p>
    <w:p w14:paraId="40CDEEC7">
      <w:pPr>
        <w:pStyle w:val="8"/>
        <w:spacing w:before="0" w:beforeAutospacing="0" w:after="0" w:afterAutospacing="0" w:line="360" w:lineRule="auto"/>
        <w:ind w:firstLine="420"/>
        <w:rPr>
          <w:sz w:val="21"/>
          <w:szCs w:val="21"/>
        </w:rPr>
      </w:pPr>
      <w:r>
        <w:rPr>
          <w:rFonts w:hint="eastAsia"/>
          <w:sz w:val="21"/>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5291D955">
      <w:pPr>
        <w:pStyle w:val="8"/>
        <w:spacing w:before="0" w:beforeAutospacing="0" w:after="0" w:afterAutospacing="0" w:line="360" w:lineRule="auto"/>
        <w:ind w:firstLine="420"/>
        <w:rPr>
          <w:sz w:val="21"/>
          <w:szCs w:val="21"/>
        </w:rPr>
      </w:pPr>
      <w:r>
        <w:rPr>
          <w:rFonts w:hint="eastAsia"/>
          <w:sz w:val="21"/>
          <w:szCs w:val="21"/>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390D64B2">
      <w:pPr>
        <w:pStyle w:val="8"/>
        <w:spacing w:before="0" w:beforeAutospacing="0" w:after="0" w:afterAutospacing="0" w:line="360" w:lineRule="auto"/>
        <w:ind w:firstLine="420"/>
        <w:rPr>
          <w:sz w:val="21"/>
          <w:szCs w:val="21"/>
        </w:rPr>
      </w:pPr>
      <w:r>
        <w:rPr>
          <w:rFonts w:hint="eastAsia"/>
          <w:sz w:val="21"/>
          <w:szCs w:val="21"/>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43B5A24F">
      <w:pPr>
        <w:pStyle w:val="8"/>
        <w:spacing w:before="0" w:beforeAutospacing="0" w:after="0" w:afterAutospacing="0" w:line="360" w:lineRule="auto"/>
        <w:ind w:firstLine="420"/>
        <w:rPr>
          <w:sz w:val="21"/>
          <w:szCs w:val="21"/>
        </w:rPr>
      </w:pPr>
      <w:r>
        <w:rPr>
          <w:rFonts w:hint="eastAsia"/>
          <w:sz w:val="21"/>
          <w:szCs w:val="21"/>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 </w:t>
      </w:r>
    </w:p>
    <w:p w14:paraId="58FDD27B">
      <w:pPr>
        <w:pStyle w:val="8"/>
        <w:spacing w:before="0" w:beforeAutospacing="0" w:after="0" w:afterAutospacing="0" w:line="360" w:lineRule="auto"/>
        <w:ind w:firstLine="420"/>
        <w:rPr>
          <w:sz w:val="21"/>
          <w:szCs w:val="21"/>
        </w:rPr>
      </w:pPr>
      <w:r>
        <w:rPr>
          <w:rFonts w:hint="eastAsia"/>
          <w:sz w:val="21"/>
          <w:szCs w:val="21"/>
        </w:rPr>
        <w:t>在同时符合以下条件时，通讯开会的方式视为有效： </w:t>
      </w:r>
    </w:p>
    <w:p w14:paraId="52F1AEF6">
      <w:pPr>
        <w:pStyle w:val="8"/>
        <w:spacing w:before="0" w:beforeAutospacing="0" w:after="0" w:afterAutospacing="0" w:line="360" w:lineRule="auto"/>
        <w:ind w:firstLine="420"/>
        <w:rPr>
          <w:sz w:val="21"/>
          <w:szCs w:val="21"/>
        </w:rPr>
      </w:pPr>
      <w:r>
        <w:rPr>
          <w:rFonts w:hint="eastAsia"/>
          <w:sz w:val="21"/>
          <w:szCs w:val="21"/>
        </w:rPr>
        <w:t>（1）会议召集人按《基金合同》约定公布会议通知后，在2个工作日内连续公布相关提示性公告； </w:t>
      </w:r>
    </w:p>
    <w:p w14:paraId="3FABCA2F">
      <w:pPr>
        <w:pStyle w:val="8"/>
        <w:spacing w:before="0" w:beforeAutospacing="0" w:after="0" w:afterAutospacing="0" w:line="360" w:lineRule="auto"/>
        <w:ind w:firstLine="420"/>
        <w:rPr>
          <w:sz w:val="21"/>
          <w:szCs w:val="21"/>
        </w:rPr>
      </w:pPr>
      <w:r>
        <w:rPr>
          <w:rFonts w:hint="eastAsia"/>
          <w:sz w:val="21"/>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26BF3990">
      <w:pPr>
        <w:pStyle w:val="8"/>
        <w:spacing w:before="0" w:beforeAutospacing="0" w:after="0" w:afterAutospacing="0" w:line="360" w:lineRule="auto"/>
        <w:ind w:firstLine="420"/>
        <w:rPr>
          <w:sz w:val="21"/>
          <w:szCs w:val="21"/>
        </w:rPr>
      </w:pPr>
      <w:r>
        <w:rPr>
          <w:rFonts w:hint="eastAsia"/>
          <w:sz w:val="21"/>
          <w:szCs w:val="21"/>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31FD4576">
      <w:pPr>
        <w:pStyle w:val="8"/>
        <w:spacing w:before="0" w:beforeAutospacing="0" w:after="0" w:afterAutospacing="0" w:line="360" w:lineRule="auto"/>
        <w:ind w:firstLine="420"/>
        <w:rPr>
          <w:sz w:val="21"/>
          <w:szCs w:val="21"/>
        </w:rPr>
      </w:pPr>
      <w:r>
        <w:rPr>
          <w:rFonts w:hint="eastAsia"/>
          <w:sz w:val="21"/>
          <w:szCs w:val="21"/>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4BEC36EF">
      <w:pPr>
        <w:pStyle w:val="8"/>
        <w:spacing w:before="0" w:beforeAutospacing="0" w:after="0" w:afterAutospacing="0" w:line="360" w:lineRule="auto"/>
        <w:ind w:firstLine="420"/>
        <w:rPr>
          <w:sz w:val="21"/>
          <w:szCs w:val="21"/>
        </w:rPr>
      </w:pPr>
      <w:r>
        <w:rPr>
          <w:rFonts w:hint="eastAsia"/>
          <w:sz w:val="21"/>
          <w:szCs w:val="21"/>
        </w:rPr>
        <w:t>3、在授权方式上，本基金的基金份额持有人亦可采用其他非书面方式授权其代理人出席基金份额持有人大会，授权方式可以采用书面、网络、电话、短信或其他方式，具体方式由会议召集人确定并在会议通知中列明。 </w:t>
      </w:r>
    </w:p>
    <w:p w14:paraId="025CF7B0">
      <w:pPr>
        <w:pStyle w:val="8"/>
        <w:spacing w:before="0" w:beforeAutospacing="0" w:after="0" w:afterAutospacing="0" w:line="360" w:lineRule="auto"/>
        <w:ind w:firstLine="420"/>
        <w:rPr>
          <w:sz w:val="21"/>
          <w:szCs w:val="21"/>
        </w:rPr>
      </w:pPr>
      <w:r>
        <w:rPr>
          <w:rFonts w:hint="eastAsia"/>
          <w:sz w:val="21"/>
          <w:szCs w:val="21"/>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618D0F8C">
      <w:pPr>
        <w:pStyle w:val="8"/>
        <w:spacing w:before="0" w:beforeAutospacing="0" w:after="0" w:afterAutospacing="0" w:line="360" w:lineRule="auto"/>
        <w:ind w:firstLine="420"/>
        <w:rPr>
          <w:sz w:val="21"/>
          <w:szCs w:val="21"/>
        </w:rPr>
      </w:pPr>
      <w:r>
        <w:rPr>
          <w:rFonts w:hint="eastAsia"/>
          <w:sz w:val="21"/>
          <w:szCs w:val="21"/>
        </w:rPr>
        <w:t>（五）议事内容与程序 </w:t>
      </w:r>
    </w:p>
    <w:p w14:paraId="2C421196">
      <w:pPr>
        <w:pStyle w:val="8"/>
        <w:spacing w:before="0" w:beforeAutospacing="0" w:after="0" w:afterAutospacing="0" w:line="360" w:lineRule="auto"/>
        <w:ind w:firstLine="420"/>
        <w:rPr>
          <w:sz w:val="21"/>
          <w:szCs w:val="21"/>
        </w:rPr>
      </w:pPr>
      <w:r>
        <w:rPr>
          <w:rFonts w:hint="eastAsia"/>
          <w:sz w:val="21"/>
          <w:szCs w:val="21"/>
        </w:rPr>
        <w:t>1、议事内容及提案权 </w:t>
      </w:r>
    </w:p>
    <w:p w14:paraId="3F483385">
      <w:pPr>
        <w:pStyle w:val="8"/>
        <w:spacing w:before="0" w:beforeAutospacing="0" w:after="0" w:afterAutospacing="0" w:line="360" w:lineRule="auto"/>
        <w:ind w:firstLine="420"/>
        <w:rPr>
          <w:sz w:val="21"/>
          <w:szCs w:val="21"/>
        </w:rPr>
      </w:pPr>
      <w:r>
        <w:rPr>
          <w:rFonts w:hint="eastAsia"/>
          <w:sz w:val="21"/>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50D979C9">
      <w:pPr>
        <w:pStyle w:val="8"/>
        <w:spacing w:before="0" w:beforeAutospacing="0" w:after="0" w:afterAutospacing="0" w:line="360" w:lineRule="auto"/>
        <w:ind w:firstLine="420"/>
        <w:rPr>
          <w:sz w:val="21"/>
          <w:szCs w:val="21"/>
        </w:rPr>
      </w:pPr>
      <w:r>
        <w:rPr>
          <w:rFonts w:hint="eastAsia"/>
          <w:sz w:val="21"/>
          <w:szCs w:val="21"/>
        </w:rPr>
        <w:t>基金份额持有人大会的召集人发出召集会议的通知后，对原有提案的修改应当在基金份额持有人大会召开前及时公告。 </w:t>
      </w:r>
    </w:p>
    <w:p w14:paraId="30230D6C">
      <w:pPr>
        <w:pStyle w:val="8"/>
        <w:spacing w:before="0" w:beforeAutospacing="0" w:after="0" w:afterAutospacing="0" w:line="360" w:lineRule="auto"/>
        <w:ind w:firstLine="420"/>
        <w:rPr>
          <w:sz w:val="21"/>
          <w:szCs w:val="21"/>
        </w:rPr>
      </w:pPr>
      <w:r>
        <w:rPr>
          <w:rFonts w:hint="eastAsia"/>
          <w:sz w:val="21"/>
          <w:szCs w:val="21"/>
        </w:rPr>
        <w:t>基金份额持有人大会不得对未事先公告的议事内容进行表决。 </w:t>
      </w:r>
    </w:p>
    <w:p w14:paraId="33A7A7D3">
      <w:pPr>
        <w:pStyle w:val="8"/>
        <w:spacing w:before="0" w:beforeAutospacing="0" w:after="0" w:afterAutospacing="0" w:line="360" w:lineRule="auto"/>
        <w:ind w:firstLine="420"/>
        <w:rPr>
          <w:sz w:val="21"/>
          <w:szCs w:val="21"/>
        </w:rPr>
      </w:pPr>
      <w:r>
        <w:rPr>
          <w:rFonts w:hint="eastAsia"/>
          <w:sz w:val="21"/>
          <w:szCs w:val="21"/>
        </w:rPr>
        <w:t>2、议事程序 </w:t>
      </w:r>
    </w:p>
    <w:p w14:paraId="6ECC5BB2">
      <w:pPr>
        <w:pStyle w:val="8"/>
        <w:spacing w:before="0" w:beforeAutospacing="0" w:after="0" w:afterAutospacing="0" w:line="360" w:lineRule="auto"/>
        <w:ind w:firstLine="420"/>
        <w:rPr>
          <w:sz w:val="21"/>
          <w:szCs w:val="21"/>
        </w:rPr>
      </w:pPr>
      <w:r>
        <w:rPr>
          <w:rFonts w:hint="eastAsia"/>
          <w:sz w:val="21"/>
          <w:szCs w:val="21"/>
        </w:rPr>
        <w:t>（1）现场开会 </w:t>
      </w:r>
    </w:p>
    <w:p w14:paraId="622B3548">
      <w:pPr>
        <w:pStyle w:val="8"/>
        <w:spacing w:before="0" w:beforeAutospacing="0" w:after="0" w:afterAutospacing="0" w:line="360" w:lineRule="auto"/>
        <w:ind w:firstLine="420"/>
        <w:rPr>
          <w:sz w:val="21"/>
          <w:szCs w:val="21"/>
        </w:rPr>
      </w:pPr>
      <w:r>
        <w:rPr>
          <w:rFonts w:hint="eastAsia"/>
          <w:sz w:val="21"/>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 </w:t>
      </w:r>
    </w:p>
    <w:p w14:paraId="7CD37CB6">
      <w:pPr>
        <w:pStyle w:val="8"/>
        <w:spacing w:before="0" w:beforeAutospacing="0" w:after="0" w:afterAutospacing="0" w:line="360" w:lineRule="auto"/>
        <w:ind w:firstLine="420"/>
        <w:rPr>
          <w:sz w:val="21"/>
          <w:szCs w:val="21"/>
        </w:rPr>
      </w:pPr>
      <w:r>
        <w:rPr>
          <w:rFonts w:hint="eastAsia"/>
          <w:sz w:val="21"/>
          <w:szCs w:val="21"/>
        </w:rPr>
        <w:t>会议召集人应当制作出席会议人员的签名册。签名册载明参加会议人员姓名（或单位名称）、身份证明文件号码、持有或代表有表决权的基金份额、委托人姓名（或单位名称）和联系方式等事项。 </w:t>
      </w:r>
    </w:p>
    <w:p w14:paraId="3BFA043F">
      <w:pPr>
        <w:pStyle w:val="8"/>
        <w:spacing w:before="0" w:beforeAutospacing="0" w:after="0" w:afterAutospacing="0" w:line="360" w:lineRule="auto"/>
        <w:ind w:firstLine="420"/>
        <w:rPr>
          <w:sz w:val="21"/>
          <w:szCs w:val="21"/>
        </w:rPr>
      </w:pPr>
      <w:r>
        <w:rPr>
          <w:rFonts w:hint="eastAsia"/>
          <w:sz w:val="21"/>
          <w:szCs w:val="21"/>
        </w:rPr>
        <w:t>（2）通讯开会 </w:t>
      </w:r>
    </w:p>
    <w:p w14:paraId="2FC5D23C">
      <w:pPr>
        <w:pStyle w:val="8"/>
        <w:spacing w:before="0" w:beforeAutospacing="0" w:after="0" w:afterAutospacing="0" w:line="360" w:lineRule="auto"/>
        <w:ind w:firstLine="420"/>
        <w:rPr>
          <w:sz w:val="21"/>
          <w:szCs w:val="21"/>
        </w:rPr>
      </w:pPr>
      <w:r>
        <w:rPr>
          <w:rFonts w:hint="eastAsia"/>
          <w:sz w:val="21"/>
          <w:szCs w:val="21"/>
        </w:rPr>
        <w:t>在通讯开会的情况下，首先由召集人提前30日公布提案，在所通知的表决截止日期后2个工作日内在公证机关监督下由召集人统计全部有效表决，在公证机关监督下形成决议。 </w:t>
      </w:r>
    </w:p>
    <w:p w14:paraId="0AF7184D">
      <w:pPr>
        <w:pStyle w:val="8"/>
        <w:spacing w:before="0" w:beforeAutospacing="0" w:after="0" w:afterAutospacing="0" w:line="360" w:lineRule="auto"/>
        <w:ind w:firstLine="420"/>
        <w:rPr>
          <w:sz w:val="21"/>
          <w:szCs w:val="21"/>
        </w:rPr>
      </w:pPr>
      <w:r>
        <w:rPr>
          <w:rFonts w:hint="eastAsia"/>
          <w:sz w:val="21"/>
          <w:szCs w:val="21"/>
        </w:rPr>
        <w:t>（六）表决 </w:t>
      </w:r>
    </w:p>
    <w:p w14:paraId="6842188E">
      <w:pPr>
        <w:pStyle w:val="8"/>
        <w:spacing w:before="0" w:beforeAutospacing="0" w:after="0" w:afterAutospacing="0" w:line="360" w:lineRule="auto"/>
        <w:ind w:firstLine="420"/>
        <w:rPr>
          <w:sz w:val="21"/>
          <w:szCs w:val="21"/>
        </w:rPr>
      </w:pPr>
      <w:r>
        <w:rPr>
          <w:rFonts w:hint="eastAsia"/>
          <w:sz w:val="21"/>
          <w:szCs w:val="21"/>
        </w:rPr>
        <w:t>基金份额持有人所持每份基金份额有一票表决权。 </w:t>
      </w:r>
    </w:p>
    <w:p w14:paraId="555D9A83">
      <w:pPr>
        <w:pStyle w:val="8"/>
        <w:spacing w:before="0" w:beforeAutospacing="0" w:after="0" w:afterAutospacing="0" w:line="360" w:lineRule="auto"/>
        <w:ind w:firstLine="420"/>
        <w:rPr>
          <w:sz w:val="21"/>
          <w:szCs w:val="21"/>
        </w:rPr>
      </w:pPr>
      <w:r>
        <w:rPr>
          <w:rFonts w:hint="eastAsia"/>
          <w:sz w:val="21"/>
          <w:szCs w:val="21"/>
        </w:rPr>
        <w:t>基金份额持有人大会决议分为一般决议和特别决议： </w:t>
      </w:r>
    </w:p>
    <w:p w14:paraId="23AB6A0A">
      <w:pPr>
        <w:pStyle w:val="8"/>
        <w:spacing w:before="0" w:beforeAutospacing="0" w:after="0" w:afterAutospacing="0" w:line="360" w:lineRule="auto"/>
        <w:ind w:firstLine="420"/>
        <w:rPr>
          <w:sz w:val="21"/>
          <w:szCs w:val="21"/>
        </w:rPr>
      </w:pPr>
      <w:r>
        <w:rPr>
          <w:rFonts w:hint="eastAsia"/>
          <w:sz w:val="21"/>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4285694B">
      <w:pPr>
        <w:pStyle w:val="8"/>
        <w:spacing w:before="0" w:beforeAutospacing="0" w:after="0" w:afterAutospacing="0" w:line="360" w:lineRule="auto"/>
        <w:ind w:firstLine="420"/>
        <w:rPr>
          <w:sz w:val="21"/>
          <w:szCs w:val="21"/>
        </w:rPr>
      </w:pPr>
      <w:r>
        <w:rPr>
          <w:rFonts w:hint="eastAsia"/>
          <w:sz w:val="21"/>
          <w:szCs w:val="21"/>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46C1DBC7">
      <w:pPr>
        <w:pStyle w:val="8"/>
        <w:spacing w:before="0" w:beforeAutospacing="0" w:after="0" w:afterAutospacing="0" w:line="360" w:lineRule="auto"/>
        <w:ind w:firstLine="420"/>
        <w:rPr>
          <w:sz w:val="21"/>
          <w:szCs w:val="21"/>
        </w:rPr>
      </w:pPr>
      <w:r>
        <w:rPr>
          <w:rFonts w:hint="eastAsia"/>
          <w:sz w:val="21"/>
          <w:szCs w:val="21"/>
        </w:rPr>
        <w:t>基金份额持有人大会采取记名方式进行投票表决。 </w:t>
      </w:r>
    </w:p>
    <w:p w14:paraId="70AB3625">
      <w:pPr>
        <w:pStyle w:val="8"/>
        <w:spacing w:before="0" w:beforeAutospacing="0" w:after="0" w:afterAutospacing="0" w:line="360" w:lineRule="auto"/>
        <w:ind w:firstLine="420"/>
        <w:rPr>
          <w:sz w:val="21"/>
          <w:szCs w:val="21"/>
        </w:rPr>
      </w:pPr>
      <w:r>
        <w:rPr>
          <w:rFonts w:hint="eastAsia"/>
          <w:sz w:val="21"/>
          <w:szCs w:val="21"/>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457A7AB9">
      <w:pPr>
        <w:pStyle w:val="8"/>
        <w:spacing w:before="0" w:beforeAutospacing="0" w:after="0" w:afterAutospacing="0" w:line="360" w:lineRule="auto"/>
        <w:ind w:firstLine="420"/>
        <w:rPr>
          <w:sz w:val="21"/>
          <w:szCs w:val="21"/>
        </w:rPr>
      </w:pPr>
      <w:r>
        <w:rPr>
          <w:rFonts w:hint="eastAsia"/>
          <w:sz w:val="21"/>
          <w:szCs w:val="21"/>
        </w:rPr>
        <w:t>基金份额持有人大会的各项提案或同一项提案内并列的各项议题应当分开审议、逐项表决。 </w:t>
      </w:r>
    </w:p>
    <w:p w14:paraId="2BA4ECBD">
      <w:pPr>
        <w:pStyle w:val="8"/>
        <w:spacing w:before="0" w:beforeAutospacing="0" w:after="0" w:afterAutospacing="0" w:line="360" w:lineRule="auto"/>
        <w:ind w:firstLine="420"/>
        <w:rPr>
          <w:sz w:val="21"/>
          <w:szCs w:val="21"/>
        </w:rPr>
      </w:pPr>
      <w:r>
        <w:rPr>
          <w:rFonts w:hint="eastAsia"/>
          <w:sz w:val="21"/>
          <w:szCs w:val="21"/>
        </w:rPr>
        <w:t>（七）计票 </w:t>
      </w:r>
    </w:p>
    <w:p w14:paraId="239368A8">
      <w:pPr>
        <w:pStyle w:val="8"/>
        <w:spacing w:before="0" w:beforeAutospacing="0" w:after="0" w:afterAutospacing="0" w:line="360" w:lineRule="auto"/>
        <w:ind w:firstLine="420"/>
        <w:rPr>
          <w:sz w:val="21"/>
          <w:szCs w:val="21"/>
        </w:rPr>
      </w:pPr>
      <w:r>
        <w:rPr>
          <w:rFonts w:hint="eastAsia"/>
          <w:sz w:val="21"/>
          <w:szCs w:val="21"/>
        </w:rPr>
        <w:t>1、现场开会 </w:t>
      </w:r>
    </w:p>
    <w:p w14:paraId="3E6B5CD0">
      <w:pPr>
        <w:pStyle w:val="8"/>
        <w:spacing w:before="0" w:beforeAutospacing="0" w:after="0" w:afterAutospacing="0" w:line="360" w:lineRule="auto"/>
        <w:ind w:firstLine="420"/>
        <w:rPr>
          <w:sz w:val="21"/>
          <w:szCs w:val="21"/>
        </w:rPr>
      </w:pPr>
      <w:r>
        <w:rPr>
          <w:rFonts w:hint="eastAsia"/>
          <w:sz w:val="21"/>
          <w:szCs w:val="21"/>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47AC7A13">
      <w:pPr>
        <w:pStyle w:val="8"/>
        <w:spacing w:before="0" w:beforeAutospacing="0" w:after="0" w:afterAutospacing="0" w:line="360" w:lineRule="auto"/>
        <w:ind w:firstLine="420"/>
        <w:rPr>
          <w:sz w:val="21"/>
          <w:szCs w:val="21"/>
        </w:rPr>
      </w:pPr>
      <w:r>
        <w:rPr>
          <w:rFonts w:hint="eastAsia"/>
          <w:sz w:val="21"/>
          <w:szCs w:val="21"/>
        </w:rPr>
        <w:t>（2）监票人应当在基金份额持有人表决后立即进行清点并由大会主持人当场公布计票结果。 </w:t>
      </w:r>
    </w:p>
    <w:p w14:paraId="6A96167C">
      <w:pPr>
        <w:pStyle w:val="8"/>
        <w:spacing w:before="0" w:beforeAutospacing="0" w:after="0" w:afterAutospacing="0" w:line="360" w:lineRule="auto"/>
        <w:ind w:firstLine="420"/>
        <w:rPr>
          <w:sz w:val="21"/>
          <w:szCs w:val="21"/>
        </w:rPr>
      </w:pPr>
      <w:r>
        <w:rPr>
          <w:rFonts w:hint="eastAsia"/>
          <w:sz w:val="21"/>
          <w:szCs w:val="21"/>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517C03A6">
      <w:pPr>
        <w:pStyle w:val="8"/>
        <w:spacing w:before="0" w:beforeAutospacing="0" w:after="0" w:afterAutospacing="0" w:line="360" w:lineRule="auto"/>
        <w:ind w:firstLine="420"/>
        <w:rPr>
          <w:sz w:val="21"/>
          <w:szCs w:val="21"/>
        </w:rPr>
      </w:pPr>
      <w:r>
        <w:rPr>
          <w:rFonts w:hint="eastAsia"/>
          <w:sz w:val="21"/>
          <w:szCs w:val="21"/>
        </w:rPr>
        <w:t>（4）计票过程应由公证机关予以公证，基金管理人或基金托管人拒不出席大会的，不影响计票的效力。 </w:t>
      </w:r>
    </w:p>
    <w:p w14:paraId="27A0CD8B">
      <w:pPr>
        <w:pStyle w:val="8"/>
        <w:spacing w:before="0" w:beforeAutospacing="0" w:after="0" w:afterAutospacing="0" w:line="360" w:lineRule="auto"/>
        <w:ind w:firstLine="420"/>
        <w:rPr>
          <w:sz w:val="21"/>
          <w:szCs w:val="21"/>
        </w:rPr>
      </w:pPr>
      <w:r>
        <w:rPr>
          <w:rFonts w:hint="eastAsia"/>
          <w:sz w:val="21"/>
          <w:szCs w:val="21"/>
        </w:rPr>
        <w:t>2、通讯开会 </w:t>
      </w:r>
    </w:p>
    <w:p w14:paraId="0A488C70">
      <w:pPr>
        <w:pStyle w:val="8"/>
        <w:spacing w:before="0" w:beforeAutospacing="0" w:after="0" w:afterAutospacing="0" w:line="360" w:lineRule="auto"/>
        <w:ind w:firstLine="420"/>
        <w:rPr>
          <w:sz w:val="21"/>
          <w:szCs w:val="21"/>
        </w:rPr>
      </w:pPr>
      <w:r>
        <w:rPr>
          <w:rFonts w:hint="eastAsia"/>
          <w:sz w:val="21"/>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306999B4">
      <w:pPr>
        <w:pStyle w:val="8"/>
        <w:spacing w:before="0" w:beforeAutospacing="0" w:after="0" w:afterAutospacing="0" w:line="360" w:lineRule="auto"/>
        <w:ind w:firstLine="420"/>
        <w:rPr>
          <w:sz w:val="21"/>
          <w:szCs w:val="21"/>
        </w:rPr>
      </w:pPr>
      <w:r>
        <w:rPr>
          <w:rFonts w:hint="eastAsia"/>
          <w:sz w:val="21"/>
          <w:szCs w:val="21"/>
        </w:rPr>
        <w:t>（八）生效与公告 </w:t>
      </w:r>
    </w:p>
    <w:p w14:paraId="6D23E6EA">
      <w:pPr>
        <w:pStyle w:val="8"/>
        <w:spacing w:before="0" w:beforeAutospacing="0" w:after="0" w:afterAutospacing="0" w:line="360" w:lineRule="auto"/>
        <w:ind w:firstLine="420"/>
        <w:rPr>
          <w:sz w:val="21"/>
          <w:szCs w:val="21"/>
        </w:rPr>
      </w:pPr>
      <w:r>
        <w:rPr>
          <w:rFonts w:hint="eastAsia"/>
          <w:sz w:val="21"/>
          <w:szCs w:val="21"/>
        </w:rPr>
        <w:t>基金份额持有人大会的决议，召集人应当自通过之日起5日内报中国证监会备案。 </w:t>
      </w:r>
    </w:p>
    <w:p w14:paraId="0237FFE9">
      <w:pPr>
        <w:pStyle w:val="8"/>
        <w:spacing w:before="0" w:beforeAutospacing="0" w:after="0" w:afterAutospacing="0" w:line="360" w:lineRule="auto"/>
        <w:ind w:firstLine="420"/>
        <w:rPr>
          <w:sz w:val="21"/>
          <w:szCs w:val="21"/>
        </w:rPr>
      </w:pPr>
      <w:r>
        <w:rPr>
          <w:rFonts w:hint="eastAsia"/>
          <w:sz w:val="21"/>
          <w:szCs w:val="21"/>
        </w:rPr>
        <w:t>基金份额持有人大会的决议自表决通过之日起生效。 </w:t>
      </w:r>
    </w:p>
    <w:p w14:paraId="329D7993">
      <w:pPr>
        <w:pStyle w:val="8"/>
        <w:spacing w:before="0" w:beforeAutospacing="0" w:after="0" w:afterAutospacing="0" w:line="360" w:lineRule="auto"/>
        <w:ind w:firstLine="420"/>
        <w:rPr>
          <w:sz w:val="21"/>
          <w:szCs w:val="21"/>
        </w:rPr>
      </w:pPr>
      <w:r>
        <w:rPr>
          <w:rFonts w:hint="eastAsia"/>
          <w:sz w:val="21"/>
          <w:szCs w:val="21"/>
        </w:rPr>
        <w:t>基金份额持有人大会决议自生效之日起按规定在规定媒介上公告。如果采用通讯方式进行表决，在公告基金份额持有人大会决议时，必须将公证书全文、公证机构、公证员姓名等一同公告。 </w:t>
      </w:r>
    </w:p>
    <w:p w14:paraId="79AC547D">
      <w:pPr>
        <w:pStyle w:val="8"/>
        <w:spacing w:before="0" w:beforeAutospacing="0" w:after="0" w:afterAutospacing="0" w:line="360" w:lineRule="auto"/>
        <w:ind w:firstLine="420"/>
        <w:rPr>
          <w:sz w:val="21"/>
          <w:szCs w:val="21"/>
        </w:rPr>
      </w:pPr>
      <w:r>
        <w:rPr>
          <w:rFonts w:hint="eastAsia"/>
          <w:sz w:val="21"/>
          <w:szCs w:val="21"/>
        </w:rPr>
        <w:t>基金管理人、基金托管人和基金份额持有人应当执行生效的基金份额持有人大会的决议。生效的基金份额持有人大会决议对全体基金份额持有人、基金管理人、基金托管人均有约束力。 </w:t>
      </w:r>
    </w:p>
    <w:p w14:paraId="09DED373">
      <w:pPr>
        <w:pStyle w:val="8"/>
        <w:spacing w:before="0" w:beforeAutospacing="0" w:after="0" w:afterAutospacing="0" w:line="360" w:lineRule="auto"/>
        <w:ind w:firstLine="420"/>
        <w:rPr>
          <w:sz w:val="21"/>
          <w:szCs w:val="21"/>
        </w:rPr>
      </w:pPr>
      <w:r>
        <w:rPr>
          <w:rFonts w:hint="eastAsia"/>
          <w:sz w:val="21"/>
          <w:szCs w:val="21"/>
        </w:rPr>
        <w:t>（九）实施侧袋机制期间基金份额持有人大会的特殊约定 </w:t>
      </w:r>
    </w:p>
    <w:p w14:paraId="4DC142FA">
      <w:pPr>
        <w:pStyle w:val="8"/>
        <w:spacing w:before="0" w:beforeAutospacing="0" w:after="0" w:afterAutospacing="0" w:line="360" w:lineRule="auto"/>
        <w:ind w:firstLine="420"/>
        <w:rPr>
          <w:sz w:val="21"/>
          <w:szCs w:val="21"/>
        </w:rPr>
      </w:pPr>
      <w:r>
        <w:rPr>
          <w:rFonts w:hint="eastAsia"/>
          <w:sz w:val="21"/>
          <w:szCs w:val="21"/>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0294D38E">
      <w:pPr>
        <w:pStyle w:val="8"/>
        <w:spacing w:before="0" w:beforeAutospacing="0" w:after="0" w:afterAutospacing="0" w:line="360" w:lineRule="auto"/>
        <w:ind w:firstLine="420"/>
        <w:rPr>
          <w:sz w:val="21"/>
          <w:szCs w:val="21"/>
        </w:rPr>
      </w:pPr>
      <w:r>
        <w:rPr>
          <w:rFonts w:hint="eastAsia"/>
          <w:sz w:val="21"/>
          <w:szCs w:val="21"/>
        </w:rPr>
        <w:t>1、基金份额持有人行使提议权、召集权、提名权所需单独或合计代表相关基金份额10%以上（含10%）； </w:t>
      </w:r>
    </w:p>
    <w:p w14:paraId="09A86D9A">
      <w:pPr>
        <w:pStyle w:val="8"/>
        <w:spacing w:before="0" w:beforeAutospacing="0" w:after="0" w:afterAutospacing="0" w:line="360" w:lineRule="auto"/>
        <w:ind w:firstLine="420"/>
        <w:rPr>
          <w:sz w:val="21"/>
          <w:szCs w:val="21"/>
        </w:rPr>
      </w:pPr>
      <w:r>
        <w:rPr>
          <w:rFonts w:hint="eastAsia"/>
          <w:sz w:val="21"/>
          <w:szCs w:val="21"/>
        </w:rPr>
        <w:t>2、现场开会的到会者在权益登记日代表的基金份额不少于本基金在权益登记日相关基金份额的二分之一（含二分之一）； </w:t>
      </w:r>
    </w:p>
    <w:p w14:paraId="7BA9CF59">
      <w:pPr>
        <w:pStyle w:val="8"/>
        <w:spacing w:before="0" w:beforeAutospacing="0" w:after="0" w:afterAutospacing="0" w:line="360" w:lineRule="auto"/>
        <w:ind w:firstLine="420"/>
        <w:rPr>
          <w:sz w:val="21"/>
          <w:szCs w:val="21"/>
        </w:rPr>
      </w:pPr>
      <w:r>
        <w:rPr>
          <w:rFonts w:hint="eastAsia"/>
          <w:sz w:val="21"/>
          <w:szCs w:val="21"/>
        </w:rPr>
        <w:t>3、通讯开会的直接出具表决意见或授权他人代表出具表决意见的基金份额持有人所持有的基金份额不小于在权益登记日相关基金份额的二分之一（含二分之一）； </w:t>
      </w:r>
    </w:p>
    <w:p w14:paraId="6317C9E0">
      <w:pPr>
        <w:pStyle w:val="8"/>
        <w:spacing w:before="0" w:beforeAutospacing="0" w:after="0" w:afterAutospacing="0" w:line="360" w:lineRule="auto"/>
        <w:ind w:firstLine="420"/>
        <w:rPr>
          <w:sz w:val="21"/>
          <w:szCs w:val="21"/>
        </w:rPr>
      </w:pPr>
      <w:r>
        <w:rPr>
          <w:rFonts w:hint="eastAsia"/>
          <w:sz w:val="21"/>
          <w:szCs w:val="21"/>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66F2DA7D">
      <w:pPr>
        <w:pStyle w:val="8"/>
        <w:spacing w:before="0" w:beforeAutospacing="0" w:after="0" w:afterAutospacing="0" w:line="360" w:lineRule="auto"/>
        <w:ind w:firstLine="420"/>
        <w:rPr>
          <w:sz w:val="21"/>
          <w:szCs w:val="21"/>
        </w:rPr>
      </w:pPr>
      <w:r>
        <w:rPr>
          <w:rFonts w:hint="eastAsia"/>
          <w:sz w:val="21"/>
          <w:szCs w:val="21"/>
        </w:rPr>
        <w:t>5、现场开会由出席大会的基金份额持有人和代理人所持表决权的50%以上（含50%）选举产生一名基金份额持有人作为该次基金份额持有人大会的主持人； </w:t>
      </w:r>
    </w:p>
    <w:p w14:paraId="18E726EA">
      <w:pPr>
        <w:pStyle w:val="8"/>
        <w:spacing w:before="0" w:beforeAutospacing="0" w:after="0" w:afterAutospacing="0" w:line="360" w:lineRule="auto"/>
        <w:ind w:firstLine="420"/>
        <w:rPr>
          <w:sz w:val="21"/>
          <w:szCs w:val="21"/>
        </w:rPr>
      </w:pPr>
      <w:r>
        <w:rPr>
          <w:rFonts w:hint="eastAsia"/>
          <w:sz w:val="21"/>
          <w:szCs w:val="21"/>
        </w:rPr>
        <w:t>6、一般决议须经参加大会的基金份额持有人或其代理人所持表决权的二分之一以上（含二分之一）通过； </w:t>
      </w:r>
    </w:p>
    <w:p w14:paraId="74BB2FA9">
      <w:pPr>
        <w:pStyle w:val="8"/>
        <w:spacing w:before="0" w:beforeAutospacing="0" w:after="0" w:afterAutospacing="0" w:line="360" w:lineRule="auto"/>
        <w:ind w:firstLine="420"/>
        <w:rPr>
          <w:sz w:val="21"/>
          <w:szCs w:val="21"/>
        </w:rPr>
      </w:pPr>
      <w:r>
        <w:rPr>
          <w:rFonts w:hint="eastAsia"/>
          <w:sz w:val="21"/>
          <w:szCs w:val="21"/>
        </w:rPr>
        <w:t>7、特别决议应当经参加大会的基金份额持有人或其代理人所持表决权的三分之二以上（含三分之二）通过。 </w:t>
      </w:r>
    </w:p>
    <w:p w14:paraId="4A306EF8">
      <w:pPr>
        <w:pStyle w:val="8"/>
        <w:spacing w:before="0" w:beforeAutospacing="0" w:after="0" w:afterAutospacing="0" w:line="360" w:lineRule="auto"/>
        <w:ind w:firstLine="420"/>
        <w:rPr>
          <w:sz w:val="21"/>
          <w:szCs w:val="21"/>
        </w:rPr>
      </w:pPr>
      <w:r>
        <w:rPr>
          <w:rFonts w:hint="eastAsia"/>
          <w:sz w:val="21"/>
          <w:szCs w:val="21"/>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 </w:t>
      </w:r>
    </w:p>
    <w:p w14:paraId="16F30CDB">
      <w:pPr>
        <w:pStyle w:val="8"/>
        <w:spacing w:before="0" w:beforeAutospacing="0" w:after="0" w:afterAutospacing="0" w:line="360" w:lineRule="auto"/>
        <w:ind w:firstLine="420"/>
        <w:rPr>
          <w:sz w:val="21"/>
          <w:szCs w:val="21"/>
        </w:rPr>
      </w:pPr>
      <w:r>
        <w:rPr>
          <w:rFonts w:hint="eastAsia"/>
          <w:sz w:val="21"/>
          <w:szCs w:val="21"/>
        </w:rPr>
        <w:t>侧袋机制实施期间，关于基金份额持有人大会的相关规定以本节特殊约定内容为准，本节没有规定的适用本部分相关约定。 </w:t>
      </w:r>
    </w:p>
    <w:p w14:paraId="405C3D9E">
      <w:pPr>
        <w:pStyle w:val="8"/>
        <w:spacing w:before="0" w:beforeAutospacing="0" w:after="0" w:afterAutospacing="0" w:line="360" w:lineRule="auto"/>
        <w:ind w:firstLine="420"/>
        <w:rPr>
          <w:sz w:val="21"/>
          <w:szCs w:val="21"/>
        </w:rPr>
      </w:pPr>
      <w:r>
        <w:rPr>
          <w:rFonts w:hint="eastAsia"/>
          <w:sz w:val="21"/>
          <w:szCs w:val="21"/>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14:paraId="1DB33204">
      <w:pPr>
        <w:pStyle w:val="8"/>
        <w:spacing w:before="0" w:beforeAutospacing="0" w:after="0" w:afterAutospacing="0" w:line="360" w:lineRule="auto"/>
        <w:ind w:firstLine="420"/>
        <w:rPr>
          <w:sz w:val="21"/>
          <w:szCs w:val="21"/>
        </w:rPr>
      </w:pPr>
      <w:r>
        <w:rPr>
          <w:rFonts w:hint="eastAsia"/>
          <w:sz w:val="21"/>
          <w:szCs w:val="21"/>
        </w:rPr>
        <w:t>三、基金合同解除和终止的事由、程序以及基金财产清算方式 </w:t>
      </w:r>
    </w:p>
    <w:p w14:paraId="720BE3F0">
      <w:pPr>
        <w:pStyle w:val="8"/>
        <w:spacing w:before="0" w:beforeAutospacing="0" w:after="0" w:afterAutospacing="0" w:line="360" w:lineRule="auto"/>
        <w:ind w:firstLine="420"/>
        <w:rPr>
          <w:sz w:val="21"/>
          <w:szCs w:val="21"/>
        </w:rPr>
      </w:pPr>
      <w:r>
        <w:rPr>
          <w:rFonts w:hint="eastAsia"/>
          <w:sz w:val="21"/>
          <w:szCs w:val="21"/>
        </w:rPr>
        <w:t>（一）《基金合同》的变更 </w:t>
      </w:r>
    </w:p>
    <w:p w14:paraId="08236C95">
      <w:pPr>
        <w:pStyle w:val="8"/>
        <w:spacing w:before="0" w:beforeAutospacing="0" w:after="0" w:afterAutospacing="0" w:line="360" w:lineRule="auto"/>
        <w:ind w:firstLine="420"/>
        <w:rPr>
          <w:sz w:val="21"/>
          <w:szCs w:val="21"/>
        </w:rPr>
      </w:pPr>
      <w:r>
        <w:rPr>
          <w:rFonts w:hint="eastAsia"/>
          <w:sz w:val="21"/>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3ECD40DE">
      <w:pPr>
        <w:pStyle w:val="8"/>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 </w:t>
      </w:r>
    </w:p>
    <w:p w14:paraId="57986838">
      <w:pPr>
        <w:pStyle w:val="8"/>
        <w:spacing w:before="0" w:beforeAutospacing="0" w:after="0" w:afterAutospacing="0" w:line="360" w:lineRule="auto"/>
        <w:ind w:firstLine="420"/>
        <w:rPr>
          <w:sz w:val="21"/>
          <w:szCs w:val="21"/>
        </w:rPr>
      </w:pPr>
      <w:r>
        <w:rPr>
          <w:rFonts w:hint="eastAsia"/>
          <w:sz w:val="21"/>
          <w:szCs w:val="21"/>
        </w:rPr>
        <w:t>（二）《基金合同》的终止事由 </w:t>
      </w:r>
    </w:p>
    <w:p w14:paraId="74228433">
      <w:pPr>
        <w:pStyle w:val="8"/>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 </w:t>
      </w:r>
    </w:p>
    <w:p w14:paraId="13839B35">
      <w:pPr>
        <w:pStyle w:val="8"/>
        <w:spacing w:before="0" w:beforeAutospacing="0" w:after="0" w:afterAutospacing="0" w:line="360" w:lineRule="auto"/>
        <w:ind w:firstLine="420"/>
        <w:rPr>
          <w:sz w:val="21"/>
          <w:szCs w:val="21"/>
        </w:rPr>
      </w:pPr>
      <w:r>
        <w:rPr>
          <w:rFonts w:hint="eastAsia"/>
          <w:sz w:val="21"/>
          <w:szCs w:val="21"/>
        </w:rPr>
        <w:t>1、基金份额持有人大会决定终止的； </w:t>
      </w:r>
    </w:p>
    <w:p w14:paraId="7D64B16F">
      <w:pPr>
        <w:pStyle w:val="8"/>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 </w:t>
      </w:r>
    </w:p>
    <w:p w14:paraId="6066A18D">
      <w:pPr>
        <w:pStyle w:val="8"/>
        <w:spacing w:before="0" w:beforeAutospacing="0" w:after="0" w:afterAutospacing="0" w:line="360" w:lineRule="auto"/>
        <w:ind w:firstLine="420"/>
        <w:rPr>
          <w:sz w:val="21"/>
          <w:szCs w:val="21"/>
        </w:rPr>
      </w:pPr>
      <w:r>
        <w:rPr>
          <w:rFonts w:hint="eastAsia"/>
          <w:sz w:val="21"/>
          <w:szCs w:val="21"/>
        </w:rPr>
        <w:t>3、《基金合同》约定的其他情形； </w:t>
      </w:r>
    </w:p>
    <w:p w14:paraId="45E0A34F">
      <w:pPr>
        <w:pStyle w:val="8"/>
        <w:spacing w:before="0" w:beforeAutospacing="0" w:after="0" w:afterAutospacing="0" w:line="360" w:lineRule="auto"/>
        <w:ind w:firstLine="420"/>
        <w:rPr>
          <w:sz w:val="21"/>
          <w:szCs w:val="21"/>
        </w:rPr>
      </w:pPr>
      <w:r>
        <w:rPr>
          <w:rFonts w:hint="eastAsia"/>
          <w:sz w:val="21"/>
          <w:szCs w:val="21"/>
        </w:rPr>
        <w:t>4、相关法律法规和中国证监会规定的其他情况。 </w:t>
      </w:r>
    </w:p>
    <w:p w14:paraId="23E1914C">
      <w:pPr>
        <w:pStyle w:val="8"/>
        <w:spacing w:before="0" w:beforeAutospacing="0" w:after="0" w:afterAutospacing="0" w:line="360" w:lineRule="auto"/>
        <w:ind w:firstLine="420"/>
        <w:rPr>
          <w:sz w:val="21"/>
          <w:szCs w:val="21"/>
        </w:rPr>
      </w:pPr>
      <w:r>
        <w:rPr>
          <w:rFonts w:hint="eastAsia"/>
          <w:sz w:val="21"/>
          <w:szCs w:val="21"/>
        </w:rPr>
        <w:t>（三）基金财产的清算 </w:t>
      </w:r>
    </w:p>
    <w:p w14:paraId="69F7CF1B">
      <w:pPr>
        <w:pStyle w:val="8"/>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 </w:t>
      </w:r>
    </w:p>
    <w:p w14:paraId="532CF2D4">
      <w:pPr>
        <w:pStyle w:val="8"/>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 </w:t>
      </w:r>
    </w:p>
    <w:p w14:paraId="0D4EDA79">
      <w:pPr>
        <w:pStyle w:val="8"/>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48FF92CF">
      <w:pPr>
        <w:pStyle w:val="8"/>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 </w:t>
      </w:r>
    </w:p>
    <w:p w14:paraId="79A92292">
      <w:pPr>
        <w:pStyle w:val="8"/>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 </w:t>
      </w:r>
    </w:p>
    <w:p w14:paraId="0341768A">
      <w:pPr>
        <w:pStyle w:val="8"/>
        <w:spacing w:before="0" w:beforeAutospacing="0" w:after="0" w:afterAutospacing="0" w:line="360" w:lineRule="auto"/>
        <w:ind w:firstLine="420"/>
        <w:rPr>
          <w:sz w:val="21"/>
          <w:szCs w:val="21"/>
        </w:rPr>
      </w:pPr>
      <w:r>
        <w:rPr>
          <w:rFonts w:hint="eastAsia"/>
          <w:sz w:val="21"/>
          <w:szCs w:val="21"/>
        </w:rPr>
        <w:t>6、基金财产清算程序： </w:t>
      </w:r>
    </w:p>
    <w:p w14:paraId="7BBD41F4">
      <w:pPr>
        <w:pStyle w:val="8"/>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（1）《基金合同》终止情形出现时，由基金财产清算小组统一接管基金财产； </w:t>
      </w:r>
    </w:p>
    <w:p w14:paraId="491B861B">
      <w:pPr>
        <w:pStyle w:val="8"/>
        <w:spacing w:before="0" w:beforeAutospacing="0" w:after="0" w:afterAutospacing="0" w:line="360" w:lineRule="auto"/>
        <w:ind w:firstLine="420"/>
        <w:rPr>
          <w:sz w:val="21"/>
          <w:szCs w:val="21"/>
        </w:rPr>
      </w:pPr>
      <w:r>
        <w:rPr>
          <w:rFonts w:hint="eastAsia"/>
          <w:sz w:val="21"/>
          <w:szCs w:val="21"/>
        </w:rPr>
        <w:t>（2）对基金财产和债权债务进行清理和确认； </w:t>
      </w:r>
    </w:p>
    <w:p w14:paraId="1398FFE6">
      <w:pPr>
        <w:pStyle w:val="8"/>
        <w:spacing w:before="0" w:beforeAutospacing="0" w:after="0" w:afterAutospacing="0" w:line="360" w:lineRule="auto"/>
        <w:ind w:firstLine="420"/>
        <w:rPr>
          <w:sz w:val="21"/>
          <w:szCs w:val="21"/>
        </w:rPr>
      </w:pPr>
      <w:r>
        <w:rPr>
          <w:rFonts w:hint="eastAsia"/>
          <w:sz w:val="21"/>
          <w:szCs w:val="21"/>
        </w:rPr>
        <w:t>（3）对基金财产进行估值和变现； </w:t>
      </w:r>
    </w:p>
    <w:p w14:paraId="53590EDE">
      <w:pPr>
        <w:pStyle w:val="8"/>
        <w:spacing w:before="0" w:beforeAutospacing="0" w:after="0" w:afterAutospacing="0" w:line="360" w:lineRule="auto"/>
        <w:ind w:firstLine="420"/>
        <w:rPr>
          <w:sz w:val="21"/>
          <w:szCs w:val="21"/>
        </w:rPr>
      </w:pPr>
      <w:r>
        <w:rPr>
          <w:rFonts w:hint="eastAsia"/>
          <w:sz w:val="21"/>
          <w:szCs w:val="21"/>
        </w:rPr>
        <w:t>（4）制作清算报告； </w:t>
      </w:r>
    </w:p>
    <w:p w14:paraId="4AA86D4B">
      <w:pPr>
        <w:pStyle w:val="8"/>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 </w:t>
      </w:r>
    </w:p>
    <w:p w14:paraId="49D78AAF">
      <w:pPr>
        <w:pStyle w:val="8"/>
        <w:spacing w:before="0" w:beforeAutospacing="0" w:after="0" w:afterAutospacing="0" w:line="360" w:lineRule="auto"/>
        <w:ind w:firstLine="420"/>
        <w:rPr>
          <w:sz w:val="21"/>
          <w:szCs w:val="21"/>
        </w:rPr>
      </w:pPr>
      <w:r>
        <w:rPr>
          <w:rFonts w:hint="eastAsia"/>
          <w:sz w:val="21"/>
          <w:szCs w:val="21"/>
        </w:rPr>
        <w:t>（6）将清算报告报中国证监会备案并公告； </w:t>
      </w:r>
    </w:p>
    <w:p w14:paraId="386CD356">
      <w:pPr>
        <w:pStyle w:val="8"/>
        <w:spacing w:before="0" w:beforeAutospacing="0" w:after="0" w:afterAutospacing="0" w:line="360" w:lineRule="auto"/>
        <w:ind w:firstLine="420"/>
        <w:rPr>
          <w:sz w:val="21"/>
          <w:szCs w:val="21"/>
        </w:rPr>
      </w:pPr>
      <w:r>
        <w:rPr>
          <w:rFonts w:hint="eastAsia"/>
          <w:sz w:val="21"/>
          <w:szCs w:val="21"/>
        </w:rPr>
        <w:t>（7）对基金剩余财产进行分配。 </w:t>
      </w:r>
    </w:p>
    <w:p w14:paraId="60E45C06">
      <w:pPr>
        <w:pStyle w:val="8"/>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7、基金财产清算的期限为6个月，但因本基金所持证券的流动性受到限制而不能及时变现的，清算期限相应顺延。 </w:t>
      </w:r>
    </w:p>
    <w:p w14:paraId="2892336D">
      <w:pPr>
        <w:pStyle w:val="8"/>
        <w:spacing w:before="0" w:beforeAutospacing="0" w:after="0" w:afterAutospacing="0" w:line="360" w:lineRule="auto"/>
        <w:ind w:firstLine="420"/>
        <w:rPr>
          <w:sz w:val="21"/>
          <w:szCs w:val="21"/>
        </w:rPr>
      </w:pPr>
      <w:r>
        <w:rPr>
          <w:rFonts w:hint="eastAsia"/>
          <w:sz w:val="21"/>
          <w:szCs w:val="21"/>
        </w:rPr>
        <w:t>（四）清算费用 </w:t>
      </w:r>
    </w:p>
    <w:p w14:paraId="380C0161">
      <w:pPr>
        <w:pStyle w:val="8"/>
        <w:spacing w:before="0" w:beforeAutospacing="0" w:after="0" w:afterAutospacing="0" w:line="360" w:lineRule="auto"/>
        <w:ind w:firstLine="420"/>
        <w:rPr>
          <w:sz w:val="21"/>
          <w:szCs w:val="21"/>
        </w:rPr>
      </w:pPr>
      <w:r>
        <w:rPr>
          <w:rFonts w:hint="eastAsia"/>
          <w:sz w:val="21"/>
          <w:szCs w:val="21"/>
        </w:rPr>
        <w:t>清算费用是指基金财产清算小组在进行基金财产清算过程中发生的所有合理费用，清算费用由基金财产清算小组优先从基金剩余财产中支付。 </w:t>
      </w:r>
    </w:p>
    <w:p w14:paraId="22EF3B9C">
      <w:pPr>
        <w:pStyle w:val="8"/>
        <w:spacing w:before="0" w:beforeAutospacing="0" w:after="0" w:afterAutospacing="0" w:line="360" w:lineRule="auto"/>
        <w:ind w:firstLine="420"/>
        <w:rPr>
          <w:sz w:val="21"/>
          <w:szCs w:val="21"/>
        </w:rPr>
      </w:pPr>
      <w:r>
        <w:rPr>
          <w:rFonts w:hint="eastAsia"/>
          <w:sz w:val="21"/>
          <w:szCs w:val="21"/>
        </w:rPr>
        <w:t>（五）基金财产清算剩余资产的分配 </w:t>
      </w:r>
    </w:p>
    <w:p w14:paraId="50D1748D">
      <w:pPr>
        <w:pStyle w:val="8"/>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 </w:t>
      </w:r>
    </w:p>
    <w:p w14:paraId="262FF250">
      <w:pPr>
        <w:pStyle w:val="8"/>
        <w:spacing w:before="0" w:beforeAutospacing="0" w:after="0" w:afterAutospacing="0" w:line="360" w:lineRule="auto"/>
        <w:ind w:firstLine="420"/>
        <w:rPr>
          <w:sz w:val="21"/>
          <w:szCs w:val="21"/>
        </w:rPr>
      </w:pPr>
      <w:r>
        <w:rPr>
          <w:rFonts w:hint="eastAsia"/>
          <w:sz w:val="21"/>
          <w:szCs w:val="21"/>
        </w:rPr>
        <w:t>（六）基金财产清算的公告 </w:t>
      </w:r>
    </w:p>
    <w:p w14:paraId="0A197149">
      <w:pPr>
        <w:pStyle w:val="8"/>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075E9886">
      <w:pPr>
        <w:pStyle w:val="8"/>
        <w:spacing w:before="0" w:beforeAutospacing="0" w:after="0" w:afterAutospacing="0" w:line="360" w:lineRule="auto"/>
        <w:ind w:firstLine="420"/>
        <w:rPr>
          <w:sz w:val="21"/>
          <w:szCs w:val="21"/>
        </w:rPr>
      </w:pPr>
      <w:r>
        <w:rPr>
          <w:rFonts w:hint="eastAsia"/>
          <w:sz w:val="21"/>
          <w:szCs w:val="21"/>
        </w:rPr>
        <w:t>（七）基金财产清算账册及文件的保存 </w:t>
      </w:r>
    </w:p>
    <w:p w14:paraId="5F131837">
      <w:pPr>
        <w:pStyle w:val="8"/>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基金财产清算账册及有关文件由基金托管人保存，保存期限不低于法律法规规定的最低期限。 </w:t>
      </w:r>
    </w:p>
    <w:p w14:paraId="04AC1507">
      <w:pPr>
        <w:pStyle w:val="8"/>
        <w:spacing w:before="0" w:beforeAutospacing="0" w:after="0" w:afterAutospacing="0" w:line="360" w:lineRule="auto"/>
        <w:ind w:firstLine="420"/>
        <w:rPr>
          <w:sz w:val="21"/>
          <w:szCs w:val="21"/>
        </w:rPr>
      </w:pPr>
      <w:r>
        <w:rPr>
          <w:rFonts w:hint="eastAsia"/>
          <w:sz w:val="21"/>
          <w:szCs w:val="21"/>
        </w:rPr>
        <w:t>（八）基金合并 </w:t>
      </w:r>
    </w:p>
    <w:p w14:paraId="0CE6D16C">
      <w:pPr>
        <w:pStyle w:val="8"/>
        <w:spacing w:before="0" w:beforeAutospacing="0" w:after="0" w:afterAutospacing="0" w:line="360" w:lineRule="auto"/>
        <w:ind w:firstLine="420"/>
        <w:rPr>
          <w:sz w:val="21"/>
          <w:szCs w:val="21"/>
        </w:rPr>
      </w:pPr>
      <w:r>
        <w:rPr>
          <w:rFonts w:hint="eastAsia"/>
          <w:sz w:val="21"/>
          <w:szCs w:val="21"/>
        </w:rPr>
        <w:t>本基金与其他基金的合并应当按照法律法规规定的程序进行。 </w:t>
      </w:r>
    </w:p>
    <w:p w14:paraId="5B60D14C">
      <w:pPr>
        <w:pStyle w:val="8"/>
        <w:spacing w:before="0" w:beforeAutospacing="0" w:after="0" w:afterAutospacing="0" w:line="360" w:lineRule="auto"/>
        <w:ind w:firstLine="420"/>
        <w:rPr>
          <w:sz w:val="21"/>
          <w:szCs w:val="21"/>
        </w:rPr>
      </w:pPr>
      <w:r>
        <w:rPr>
          <w:rStyle w:val="12"/>
          <w:rFonts w:hint="eastAsia"/>
          <w:sz w:val="21"/>
          <w:szCs w:val="21"/>
        </w:rPr>
        <w:t>四、争议的处理和适用的法律 </w:t>
      </w:r>
    </w:p>
    <w:p w14:paraId="62E6F633">
      <w:pPr>
        <w:pStyle w:val="8"/>
        <w:spacing w:before="0" w:beforeAutospacing="0" w:after="0" w:afterAutospacing="0" w:line="360" w:lineRule="auto"/>
        <w:ind w:firstLine="420"/>
        <w:rPr>
          <w:sz w:val="21"/>
          <w:szCs w:val="21"/>
        </w:rPr>
      </w:pPr>
      <w:r>
        <w:rPr>
          <w:rFonts w:hint="eastAsia"/>
          <w:sz w:val="21"/>
          <w:szCs w:val="21"/>
        </w:rPr>
        <w:t>各方当事人同意，因《基金合同》而产生的或与《基金合同》有关的一切争议，如不愿或者不能通过协商、调解解决的，应将争议提交深圳国际仲裁院，按照深圳国际仲裁院届时有效的仲裁规则进行仲裁。仲裁地点为深圳市。仲裁裁决是终局的，对各方当事人均有约束力。除非仲裁裁决另有规定，仲裁费用、律师费用由败诉方承担。 </w:t>
      </w:r>
    </w:p>
    <w:p w14:paraId="04A3E68F">
      <w:pPr>
        <w:pStyle w:val="8"/>
        <w:spacing w:before="0" w:beforeAutospacing="0" w:after="0" w:afterAutospacing="0" w:line="360" w:lineRule="auto"/>
        <w:ind w:firstLine="420"/>
        <w:rPr>
          <w:sz w:val="21"/>
          <w:szCs w:val="21"/>
        </w:rPr>
      </w:pPr>
      <w:r>
        <w:rPr>
          <w:rFonts w:hint="eastAsia"/>
          <w:sz w:val="21"/>
          <w:szCs w:val="21"/>
        </w:rPr>
        <w:t>争议处理期间，基金合同当事人应恪守各自的职责，继续忠实、勤勉、尽责地履行基金合同规定的义务，维护基金份额持有人的合法权益。 </w:t>
      </w:r>
    </w:p>
    <w:p w14:paraId="0EA712BD">
      <w:pPr>
        <w:pStyle w:val="8"/>
        <w:spacing w:before="0" w:beforeAutospacing="0" w:after="0" w:afterAutospacing="0" w:line="360" w:lineRule="auto"/>
        <w:ind w:firstLine="420"/>
        <w:rPr>
          <w:sz w:val="21"/>
          <w:szCs w:val="21"/>
        </w:rPr>
      </w:pPr>
      <w:r>
        <w:rPr>
          <w:rFonts w:hint="eastAsia"/>
          <w:sz w:val="21"/>
          <w:szCs w:val="21"/>
        </w:rPr>
        <w:t>《基金合同》受中国法律（为本基金合同之目的，在此不包括香港、澳门特别行政区和台湾地区法律）管辖并从其解释。 </w:t>
      </w:r>
    </w:p>
    <w:p w14:paraId="504603CE">
      <w:pPr>
        <w:pStyle w:val="8"/>
        <w:spacing w:before="0" w:beforeAutospacing="0" w:after="0" w:afterAutospacing="0" w:line="360" w:lineRule="auto"/>
        <w:ind w:firstLine="420"/>
        <w:rPr>
          <w:sz w:val="21"/>
          <w:szCs w:val="21"/>
        </w:rPr>
      </w:pPr>
      <w:r>
        <w:rPr>
          <w:rStyle w:val="12"/>
          <w:rFonts w:hint="eastAsia"/>
          <w:sz w:val="21"/>
          <w:szCs w:val="21"/>
        </w:rPr>
        <w:t>五、基金合同存放地和投资人取得基金合同的方式 </w:t>
      </w:r>
    </w:p>
    <w:p w14:paraId="23508E7D">
      <w:pPr>
        <w:pStyle w:val="8"/>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79" w:name="chapter_level1_22_71_section_1_end"/>
      <w:bookmarkEnd w:id="179"/>
      <w:r>
        <w:rPr>
          <w:rFonts w:hint="eastAsia"/>
          <w:sz w:val="21"/>
          <w:szCs w:val="21"/>
        </w:rPr>
        <w:t>和营业场所查阅。 </w:t>
      </w:r>
    </w:p>
    <w:p w14:paraId="533056BF">
      <w:pPr>
        <w:widowControl/>
        <w:jc w:val="left"/>
        <w:rPr>
          <w:rFonts w:ascii="宋体" w:hAnsi="宋体" w:eastAsia="宋体"/>
        </w:rPr>
      </w:pPr>
      <w:r>
        <w:rPr>
          <w:rFonts w:ascii="宋体" w:hAnsi="宋体" w:eastAsia="宋体"/>
        </w:rPr>
        <w:br w:type="page"/>
      </w:r>
    </w:p>
    <w:p w14:paraId="6B1416D8">
      <w:pPr>
        <w:pStyle w:val="3"/>
        <w:jc w:val="center"/>
        <w:rPr>
          <w:rFonts w:ascii="宋体" w:hAnsi="宋体" w:eastAsia="宋体"/>
          <w:sz w:val="30"/>
        </w:rPr>
      </w:pPr>
      <w:bookmarkStart w:id="180" w:name="chapter_level1_23_72"/>
      <w:bookmarkStart w:id="181" w:name="_Toc213857134"/>
      <w:r>
        <w:rPr>
          <w:rFonts w:hint="eastAsia" w:ascii="宋体" w:hAnsi="宋体" w:eastAsia="宋体"/>
          <w:sz w:val="30"/>
        </w:rPr>
        <w:t>第二十部分  基金托管协议的内容摘要</w:t>
      </w:r>
      <w:bookmarkEnd w:id="180"/>
      <w:bookmarkEnd w:id="181"/>
    </w:p>
    <w:p w14:paraId="769354D7">
      <w:pPr>
        <w:pStyle w:val="8"/>
        <w:spacing w:before="0" w:beforeAutospacing="0" w:after="0" w:afterAutospacing="0" w:line="360" w:lineRule="auto"/>
        <w:ind w:firstLine="420"/>
        <w:rPr>
          <w:sz w:val="21"/>
          <w:szCs w:val="21"/>
        </w:rPr>
      </w:pPr>
      <w:bookmarkStart w:id="182" w:name="chapter_level1_23_72_section_1"/>
      <w:bookmarkEnd w:id="182"/>
      <w:r>
        <w:rPr>
          <w:rStyle w:val="12"/>
          <w:rFonts w:hint="eastAsia"/>
          <w:sz w:val="21"/>
          <w:szCs w:val="21"/>
        </w:rPr>
        <w:t>一、托管协议当事人</w:t>
      </w:r>
    </w:p>
    <w:p w14:paraId="6ACE273C">
      <w:pPr>
        <w:pStyle w:val="8"/>
        <w:spacing w:before="0" w:beforeAutospacing="0" w:after="0" w:afterAutospacing="0" w:line="360" w:lineRule="auto"/>
        <w:ind w:firstLine="420"/>
        <w:rPr>
          <w:sz w:val="21"/>
          <w:szCs w:val="21"/>
        </w:rPr>
      </w:pPr>
      <w:r>
        <w:rPr>
          <w:rFonts w:hint="eastAsia"/>
          <w:sz w:val="21"/>
          <w:szCs w:val="21"/>
        </w:rPr>
        <w:t>（一）基金管理人（也可称资产管理人）</w:t>
      </w:r>
    </w:p>
    <w:p w14:paraId="26BF3A04">
      <w:pPr>
        <w:pStyle w:val="8"/>
        <w:spacing w:before="0" w:beforeAutospacing="0" w:after="0" w:afterAutospacing="0" w:line="360" w:lineRule="auto"/>
        <w:ind w:firstLine="420"/>
        <w:rPr>
          <w:sz w:val="21"/>
          <w:szCs w:val="21"/>
        </w:rPr>
      </w:pPr>
      <w:r>
        <w:rPr>
          <w:rFonts w:hint="eastAsia"/>
          <w:sz w:val="21"/>
          <w:szCs w:val="21"/>
        </w:rPr>
        <w:t>名称：博时基金管理有限公司</w:t>
      </w:r>
    </w:p>
    <w:p w14:paraId="65A65E9B">
      <w:pPr>
        <w:pStyle w:val="8"/>
        <w:spacing w:before="0" w:beforeAutospacing="0" w:after="0" w:afterAutospacing="0" w:line="360" w:lineRule="auto"/>
        <w:ind w:firstLine="420"/>
        <w:rPr>
          <w:sz w:val="21"/>
          <w:szCs w:val="21"/>
        </w:rPr>
      </w:pPr>
      <w:r>
        <w:rPr>
          <w:rFonts w:hint="eastAsia"/>
          <w:sz w:val="21"/>
          <w:szCs w:val="21"/>
        </w:rPr>
        <w:t>住所：深圳市福田区莲花街道福新社区益田路5999号基金大厦21层</w:t>
      </w:r>
    </w:p>
    <w:p w14:paraId="32721408">
      <w:pPr>
        <w:pStyle w:val="8"/>
        <w:spacing w:before="0" w:beforeAutospacing="0" w:after="0" w:afterAutospacing="0" w:line="360" w:lineRule="auto"/>
        <w:ind w:firstLine="420"/>
        <w:rPr>
          <w:sz w:val="21"/>
          <w:szCs w:val="21"/>
        </w:rPr>
      </w:pPr>
      <w:r>
        <w:rPr>
          <w:rFonts w:hint="eastAsia"/>
          <w:sz w:val="21"/>
          <w:szCs w:val="21"/>
        </w:rPr>
        <w:t>办公地址：广东省深圳市福田区益田路5999号基金大厦21层</w:t>
      </w:r>
    </w:p>
    <w:p w14:paraId="25C6570F">
      <w:pPr>
        <w:pStyle w:val="8"/>
        <w:spacing w:before="0" w:beforeAutospacing="0" w:after="0" w:afterAutospacing="0" w:line="360" w:lineRule="auto"/>
        <w:ind w:firstLine="420"/>
        <w:rPr>
          <w:sz w:val="21"/>
          <w:szCs w:val="21"/>
        </w:rPr>
      </w:pPr>
      <w:r>
        <w:rPr>
          <w:rFonts w:hint="eastAsia"/>
          <w:sz w:val="21"/>
          <w:szCs w:val="21"/>
        </w:rPr>
        <w:t>邮政编码：518040</w:t>
      </w:r>
    </w:p>
    <w:p w14:paraId="45BA3498">
      <w:pPr>
        <w:pStyle w:val="8"/>
        <w:spacing w:before="0" w:beforeAutospacing="0" w:after="0" w:afterAutospacing="0" w:line="360" w:lineRule="auto"/>
        <w:ind w:firstLine="420"/>
        <w:rPr>
          <w:sz w:val="21"/>
          <w:szCs w:val="21"/>
        </w:rPr>
      </w:pPr>
      <w:r>
        <w:rPr>
          <w:rFonts w:hint="eastAsia"/>
          <w:sz w:val="21"/>
          <w:szCs w:val="21"/>
        </w:rPr>
        <w:t>法定代表人：张东</w:t>
      </w:r>
    </w:p>
    <w:p w14:paraId="4619693B">
      <w:pPr>
        <w:pStyle w:val="8"/>
        <w:spacing w:before="0" w:beforeAutospacing="0" w:after="0" w:afterAutospacing="0" w:line="360" w:lineRule="auto"/>
        <w:ind w:firstLine="420"/>
        <w:rPr>
          <w:sz w:val="21"/>
          <w:szCs w:val="21"/>
        </w:rPr>
      </w:pPr>
      <w:r>
        <w:rPr>
          <w:rFonts w:hint="eastAsia"/>
          <w:sz w:val="21"/>
          <w:szCs w:val="21"/>
        </w:rPr>
        <w:t>成立时间：1998年7月13日</w:t>
      </w:r>
    </w:p>
    <w:p w14:paraId="5E0C4BF5">
      <w:pPr>
        <w:pStyle w:val="8"/>
        <w:spacing w:before="0" w:beforeAutospacing="0" w:after="0" w:afterAutospacing="0" w:line="360" w:lineRule="auto"/>
        <w:ind w:firstLine="420"/>
        <w:rPr>
          <w:sz w:val="21"/>
          <w:szCs w:val="21"/>
        </w:rPr>
      </w:pPr>
      <w:r>
        <w:rPr>
          <w:rFonts w:hint="eastAsia"/>
          <w:sz w:val="21"/>
          <w:szCs w:val="21"/>
        </w:rPr>
        <w:t>批准设立机关：中国证券监督管理委员会</w:t>
      </w:r>
    </w:p>
    <w:p w14:paraId="59975E89">
      <w:pPr>
        <w:pStyle w:val="8"/>
        <w:spacing w:before="0" w:beforeAutospacing="0" w:after="0" w:afterAutospacing="0" w:line="360" w:lineRule="auto"/>
        <w:ind w:firstLine="420"/>
        <w:rPr>
          <w:sz w:val="21"/>
          <w:szCs w:val="21"/>
        </w:rPr>
      </w:pPr>
      <w:r>
        <w:rPr>
          <w:rFonts w:hint="eastAsia"/>
          <w:sz w:val="21"/>
          <w:szCs w:val="21"/>
        </w:rPr>
        <w:t>批准设立文号：中国证监会证监基字【1998】26号</w:t>
      </w:r>
    </w:p>
    <w:p w14:paraId="5968CD9D">
      <w:pPr>
        <w:pStyle w:val="8"/>
        <w:spacing w:before="0" w:beforeAutospacing="0" w:after="0" w:afterAutospacing="0" w:line="360" w:lineRule="auto"/>
        <w:ind w:firstLine="420"/>
        <w:rPr>
          <w:sz w:val="21"/>
          <w:szCs w:val="21"/>
        </w:rPr>
      </w:pPr>
      <w:r>
        <w:rPr>
          <w:rFonts w:hint="eastAsia"/>
          <w:sz w:val="21"/>
          <w:szCs w:val="21"/>
        </w:rPr>
        <w:t>组织形式：有限责任公司</w:t>
      </w:r>
    </w:p>
    <w:p w14:paraId="682AB296">
      <w:pPr>
        <w:pStyle w:val="8"/>
        <w:spacing w:before="0" w:beforeAutospacing="0" w:after="0" w:afterAutospacing="0" w:line="360" w:lineRule="auto"/>
        <w:ind w:firstLine="420"/>
        <w:rPr>
          <w:sz w:val="21"/>
          <w:szCs w:val="21"/>
        </w:rPr>
      </w:pPr>
      <w:r>
        <w:rPr>
          <w:rFonts w:hint="eastAsia"/>
          <w:sz w:val="21"/>
          <w:szCs w:val="21"/>
        </w:rPr>
        <w:t>注册资本：2.5亿元人民币</w:t>
      </w:r>
    </w:p>
    <w:p w14:paraId="5C4A536D">
      <w:pPr>
        <w:pStyle w:val="8"/>
        <w:spacing w:before="0" w:beforeAutospacing="0" w:after="0" w:afterAutospacing="0" w:line="360" w:lineRule="auto"/>
        <w:ind w:firstLine="420"/>
        <w:rPr>
          <w:sz w:val="21"/>
          <w:szCs w:val="21"/>
        </w:rPr>
      </w:pPr>
      <w:r>
        <w:rPr>
          <w:rFonts w:hint="eastAsia"/>
          <w:sz w:val="21"/>
          <w:szCs w:val="21"/>
        </w:rPr>
        <w:t>存续期间：持续经营</w:t>
      </w:r>
    </w:p>
    <w:p w14:paraId="6F6A7C97">
      <w:pPr>
        <w:pStyle w:val="8"/>
        <w:spacing w:before="0" w:beforeAutospacing="0" w:after="0" w:afterAutospacing="0" w:line="360" w:lineRule="auto"/>
        <w:ind w:firstLine="420"/>
        <w:rPr>
          <w:sz w:val="21"/>
          <w:szCs w:val="21"/>
        </w:rPr>
      </w:pPr>
      <w:r>
        <w:rPr>
          <w:rFonts w:hint="eastAsia"/>
          <w:sz w:val="21"/>
          <w:szCs w:val="21"/>
        </w:rPr>
        <w:t>经营范围：基金募集；基金销售；资产管理以及中国证监会许可的其它业务。</w:t>
      </w:r>
    </w:p>
    <w:p w14:paraId="6BD918B2">
      <w:pPr>
        <w:pStyle w:val="8"/>
        <w:spacing w:before="0" w:beforeAutospacing="0" w:after="0" w:afterAutospacing="0" w:line="360" w:lineRule="auto"/>
        <w:ind w:firstLine="420"/>
        <w:rPr>
          <w:sz w:val="21"/>
          <w:szCs w:val="21"/>
        </w:rPr>
      </w:pPr>
      <w:r>
        <w:rPr>
          <w:rFonts w:hint="eastAsia"/>
          <w:sz w:val="21"/>
          <w:szCs w:val="21"/>
        </w:rPr>
        <w:t>（二）基金托管人（也可称资产托管人）</w:t>
      </w:r>
    </w:p>
    <w:p w14:paraId="3500113F">
      <w:pPr>
        <w:pStyle w:val="8"/>
        <w:spacing w:before="0" w:beforeAutospacing="0" w:after="0" w:afterAutospacing="0" w:line="360" w:lineRule="auto"/>
        <w:ind w:firstLine="420"/>
        <w:rPr>
          <w:sz w:val="21"/>
          <w:szCs w:val="21"/>
        </w:rPr>
      </w:pPr>
      <w:r>
        <w:rPr>
          <w:rFonts w:hint="eastAsia"/>
          <w:sz w:val="21"/>
          <w:szCs w:val="21"/>
        </w:rPr>
        <w:t>名称：招商银行股份有限公司(简称：招商银行)</w:t>
      </w:r>
    </w:p>
    <w:p w14:paraId="468993DC">
      <w:pPr>
        <w:pStyle w:val="8"/>
        <w:spacing w:before="0" w:beforeAutospacing="0" w:after="0" w:afterAutospacing="0" w:line="360" w:lineRule="auto"/>
        <w:ind w:firstLine="420"/>
        <w:rPr>
          <w:sz w:val="21"/>
          <w:szCs w:val="21"/>
        </w:rPr>
      </w:pPr>
      <w:r>
        <w:rPr>
          <w:rFonts w:hint="eastAsia"/>
          <w:sz w:val="21"/>
          <w:szCs w:val="21"/>
        </w:rPr>
        <w:t>住所：深圳市深南大道7088号招商银行大厦</w:t>
      </w:r>
    </w:p>
    <w:p w14:paraId="3A36D034">
      <w:pPr>
        <w:pStyle w:val="8"/>
        <w:spacing w:before="0" w:beforeAutospacing="0" w:after="0" w:afterAutospacing="0" w:line="360" w:lineRule="auto"/>
        <w:ind w:firstLine="420"/>
        <w:rPr>
          <w:sz w:val="21"/>
          <w:szCs w:val="21"/>
        </w:rPr>
      </w:pPr>
      <w:r>
        <w:rPr>
          <w:rFonts w:hint="eastAsia"/>
          <w:sz w:val="21"/>
          <w:szCs w:val="21"/>
        </w:rPr>
        <w:t>办公地址：深圳市深南大道7088号招商银行大厦</w:t>
      </w:r>
    </w:p>
    <w:p w14:paraId="67CED978">
      <w:pPr>
        <w:pStyle w:val="8"/>
        <w:spacing w:before="0" w:beforeAutospacing="0" w:after="0" w:afterAutospacing="0" w:line="360" w:lineRule="auto"/>
        <w:ind w:firstLine="420"/>
        <w:rPr>
          <w:sz w:val="21"/>
          <w:szCs w:val="21"/>
        </w:rPr>
      </w:pPr>
      <w:r>
        <w:rPr>
          <w:rFonts w:hint="eastAsia"/>
          <w:sz w:val="21"/>
          <w:szCs w:val="21"/>
        </w:rPr>
        <w:t>邮政编码：518040</w:t>
      </w:r>
    </w:p>
    <w:p w14:paraId="654D6E56">
      <w:pPr>
        <w:pStyle w:val="8"/>
        <w:spacing w:before="0" w:beforeAutospacing="0" w:after="0" w:afterAutospacing="0" w:line="360" w:lineRule="auto"/>
        <w:ind w:firstLine="420"/>
        <w:rPr>
          <w:sz w:val="21"/>
          <w:szCs w:val="21"/>
        </w:rPr>
      </w:pPr>
      <w:r>
        <w:rPr>
          <w:rFonts w:hint="eastAsia"/>
          <w:sz w:val="21"/>
          <w:szCs w:val="21"/>
        </w:rPr>
        <w:t>法定代表人：缪建民</w:t>
      </w:r>
    </w:p>
    <w:p w14:paraId="119164C7">
      <w:pPr>
        <w:pStyle w:val="8"/>
        <w:spacing w:before="0" w:beforeAutospacing="0" w:after="0" w:afterAutospacing="0" w:line="360" w:lineRule="auto"/>
        <w:ind w:firstLine="420"/>
        <w:rPr>
          <w:sz w:val="21"/>
          <w:szCs w:val="21"/>
        </w:rPr>
      </w:pPr>
      <w:r>
        <w:rPr>
          <w:rFonts w:hint="eastAsia"/>
          <w:sz w:val="21"/>
          <w:szCs w:val="21"/>
        </w:rPr>
        <w:t>成立时间：1987年4月8日</w:t>
      </w:r>
    </w:p>
    <w:p w14:paraId="0A19291F">
      <w:pPr>
        <w:pStyle w:val="8"/>
        <w:spacing w:before="0" w:beforeAutospacing="0" w:after="0" w:afterAutospacing="0" w:line="360" w:lineRule="auto"/>
        <w:ind w:firstLine="420"/>
        <w:rPr>
          <w:sz w:val="21"/>
          <w:szCs w:val="21"/>
        </w:rPr>
      </w:pPr>
      <w:r>
        <w:rPr>
          <w:rFonts w:hint="eastAsia"/>
          <w:sz w:val="21"/>
          <w:szCs w:val="21"/>
        </w:rPr>
        <w:t>批准设立机关及批准设立文号：中国人民银行银复字（1986）175号文、银复（1987）86号文</w:t>
      </w:r>
    </w:p>
    <w:p w14:paraId="6AF45F24">
      <w:pPr>
        <w:pStyle w:val="8"/>
        <w:spacing w:before="0" w:beforeAutospacing="0" w:after="0" w:afterAutospacing="0" w:line="360" w:lineRule="auto"/>
        <w:ind w:firstLine="420"/>
        <w:rPr>
          <w:sz w:val="21"/>
          <w:szCs w:val="21"/>
        </w:rPr>
      </w:pPr>
      <w:r>
        <w:rPr>
          <w:rFonts w:hint="eastAsia"/>
          <w:sz w:val="21"/>
          <w:szCs w:val="21"/>
        </w:rPr>
        <w:t>基金托管业务批准文号：证监基金字[2002]83号</w:t>
      </w:r>
    </w:p>
    <w:p w14:paraId="0F001BFB">
      <w:pPr>
        <w:pStyle w:val="8"/>
        <w:spacing w:before="0" w:beforeAutospacing="0" w:after="0" w:afterAutospacing="0" w:line="360" w:lineRule="auto"/>
        <w:ind w:firstLine="420"/>
        <w:rPr>
          <w:sz w:val="21"/>
          <w:szCs w:val="21"/>
        </w:rPr>
      </w:pPr>
      <w:r>
        <w:rPr>
          <w:rFonts w:hint="eastAsia"/>
          <w:sz w:val="21"/>
          <w:szCs w:val="21"/>
        </w:rPr>
        <w:t>组织形式：股份有限公司</w:t>
      </w:r>
    </w:p>
    <w:p w14:paraId="4A245ED4">
      <w:pPr>
        <w:pStyle w:val="8"/>
        <w:spacing w:before="0" w:beforeAutospacing="0" w:after="0" w:afterAutospacing="0" w:line="360" w:lineRule="auto"/>
        <w:ind w:firstLine="420"/>
        <w:rPr>
          <w:sz w:val="21"/>
          <w:szCs w:val="21"/>
        </w:rPr>
      </w:pPr>
      <w:r>
        <w:rPr>
          <w:rFonts w:hint="eastAsia"/>
          <w:sz w:val="21"/>
          <w:szCs w:val="21"/>
        </w:rPr>
        <w:t>注册资本：人民币252.20亿元</w:t>
      </w:r>
    </w:p>
    <w:p w14:paraId="1AA8EDA4">
      <w:pPr>
        <w:pStyle w:val="8"/>
        <w:spacing w:before="0" w:beforeAutospacing="0" w:after="0" w:afterAutospacing="0" w:line="360" w:lineRule="auto"/>
        <w:ind w:firstLine="420"/>
        <w:rPr>
          <w:sz w:val="21"/>
          <w:szCs w:val="21"/>
        </w:rPr>
      </w:pPr>
      <w:r>
        <w:rPr>
          <w:rFonts w:hint="eastAsia"/>
          <w:sz w:val="21"/>
          <w:szCs w:val="21"/>
        </w:rPr>
        <w:t>存续期间：持续经营</w:t>
      </w:r>
    </w:p>
    <w:p w14:paraId="3A92CE9D">
      <w:pPr>
        <w:pStyle w:val="8"/>
        <w:spacing w:before="0" w:beforeAutospacing="0" w:after="0" w:afterAutospacing="0" w:line="360" w:lineRule="auto"/>
        <w:ind w:firstLine="420"/>
        <w:rPr>
          <w:sz w:val="21"/>
          <w:szCs w:val="21"/>
        </w:rPr>
      </w:pPr>
      <w:r>
        <w:rPr>
          <w:rStyle w:val="12"/>
          <w:rFonts w:hint="eastAsia"/>
          <w:sz w:val="21"/>
          <w:szCs w:val="21"/>
        </w:rPr>
        <w:t>二、基金托管人对基金管理人的业务监督和核查</w:t>
      </w:r>
    </w:p>
    <w:p w14:paraId="093D683D">
      <w:pPr>
        <w:pStyle w:val="8"/>
        <w:spacing w:before="0" w:beforeAutospacing="0" w:after="0" w:afterAutospacing="0" w:line="360" w:lineRule="auto"/>
        <w:ind w:firstLine="420"/>
        <w:rPr>
          <w:sz w:val="21"/>
          <w:szCs w:val="21"/>
        </w:rPr>
      </w:pPr>
      <w:r>
        <w:rPr>
          <w:rFonts w:hint="eastAsia"/>
          <w:sz w:val="21"/>
          <w:szCs w:val="21"/>
        </w:rPr>
        <w:t>（一）基金托管人根据有关法律法规的规定以及《基金合同》的约定，对基金投资范围、投资比例、投资限制、关联方交易等进行监督。</w:t>
      </w:r>
    </w:p>
    <w:p w14:paraId="2EBDADF2">
      <w:pPr>
        <w:pStyle w:val="8"/>
        <w:spacing w:before="0" w:beforeAutospacing="0" w:after="0" w:afterAutospacing="0" w:line="360" w:lineRule="auto"/>
        <w:ind w:firstLine="420"/>
        <w:rPr>
          <w:sz w:val="21"/>
          <w:szCs w:val="21"/>
        </w:rPr>
      </w:pPr>
      <w:r>
        <w:rPr>
          <w:rFonts w:hint="eastAsia"/>
          <w:sz w:val="21"/>
          <w:szCs w:val="21"/>
        </w:rPr>
        <w:t>1.本基金的投资范围：</w:t>
      </w:r>
    </w:p>
    <w:p w14:paraId="035AB644">
      <w:pPr>
        <w:pStyle w:val="8"/>
        <w:spacing w:before="0" w:beforeAutospacing="0" w:after="0" w:afterAutospacing="0" w:line="360" w:lineRule="auto"/>
        <w:ind w:firstLine="420"/>
        <w:rPr>
          <w:sz w:val="21"/>
          <w:szCs w:val="21"/>
        </w:rPr>
      </w:pPr>
      <w:r>
        <w:rPr>
          <w:rFonts w:hint="eastAsia"/>
          <w:sz w:val="21"/>
          <w:szCs w:val="21"/>
        </w:rPr>
        <w:t>本基金的投资范围主要为具有良好流动性的金融工具，包括国内依法发行上市的股票（包括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政府支持债券、企业债、公司债、央行票据、中期票据、短期融资券、超短期融资券、可转换债券（含可分离交易可转债）、可交换债、次级债等）、资产支持证券、债券回购、银行存款、同业存单、货币市场工具、股指期货、股票期权、国债期货、信用衍生品及法律法规或中国证监会允许基金投资的其他金融工具（但须符合中国证监会相关规定）。</w:t>
      </w:r>
    </w:p>
    <w:p w14:paraId="6DDE449B">
      <w:pPr>
        <w:pStyle w:val="8"/>
        <w:spacing w:before="0" w:beforeAutospacing="0" w:after="0" w:afterAutospacing="0" w:line="360" w:lineRule="auto"/>
        <w:ind w:firstLine="420"/>
        <w:rPr>
          <w:sz w:val="21"/>
          <w:szCs w:val="21"/>
        </w:rPr>
      </w:pPr>
      <w:r>
        <w:rPr>
          <w:rFonts w:hint="eastAsia"/>
          <w:sz w:val="21"/>
          <w:szCs w:val="21"/>
        </w:rPr>
        <w:t>本基金可根据相关法律法规和基金合同的约定参与融资业务。</w:t>
      </w:r>
    </w:p>
    <w:p w14:paraId="179C05FF">
      <w:pPr>
        <w:pStyle w:val="8"/>
        <w:spacing w:before="0" w:beforeAutospacing="0" w:after="0" w:afterAutospacing="0" w:line="360" w:lineRule="auto"/>
        <w:ind w:firstLine="420"/>
        <w:rPr>
          <w:sz w:val="21"/>
          <w:szCs w:val="21"/>
        </w:rPr>
      </w:pPr>
      <w:r>
        <w:rPr>
          <w:rFonts w:hint="eastAsia"/>
          <w:sz w:val="21"/>
          <w:szCs w:val="21"/>
        </w:rPr>
        <w:t>如法律法规或中国证监会以后允许基金投资其他品种，本基金管理人在履行适当程序后，可以将其纳入本基金的投资范围。</w:t>
      </w:r>
    </w:p>
    <w:p w14:paraId="6619F384">
      <w:pPr>
        <w:pStyle w:val="8"/>
        <w:spacing w:before="0" w:beforeAutospacing="0" w:after="0" w:afterAutospacing="0" w:line="360" w:lineRule="auto"/>
        <w:ind w:firstLine="420"/>
        <w:rPr>
          <w:sz w:val="21"/>
          <w:szCs w:val="21"/>
        </w:rPr>
      </w:pPr>
      <w:r>
        <w:rPr>
          <w:rFonts w:hint="eastAsia"/>
          <w:sz w:val="21"/>
          <w:szCs w:val="21"/>
        </w:rPr>
        <w:t>基金的投资组合比例为：本基金的股票资产（含存托凭证）投资比例为基金资产的60%-95%，港股通标的股票的投资比例为股票资产的0%-50%。本基金每个交易日日终在扣除股指期货、国债期货、股票期权合约需缴纳的交易保证金以后，现金或者到期日在一年以内的政府债券不低于基金资产净值的5%，其中现金不包括结算备付金、存出保证金、应收申购款等。</w:t>
      </w:r>
    </w:p>
    <w:p w14:paraId="5019AAE8">
      <w:pPr>
        <w:pStyle w:val="8"/>
        <w:spacing w:before="0" w:beforeAutospacing="0" w:after="0" w:afterAutospacing="0" w:line="360" w:lineRule="auto"/>
        <w:ind w:firstLine="420"/>
        <w:rPr>
          <w:sz w:val="21"/>
          <w:szCs w:val="21"/>
        </w:rPr>
      </w:pPr>
      <w:r>
        <w:rPr>
          <w:rFonts w:hint="eastAsia"/>
          <w:sz w:val="21"/>
          <w:szCs w:val="21"/>
        </w:rPr>
        <w:t>若法律法规的相关规定发生变更或监管机构允许，本基金管理人在履行适当程序后，可对上述资产配置比例进行调整。</w:t>
      </w:r>
    </w:p>
    <w:p w14:paraId="63742296">
      <w:pPr>
        <w:pStyle w:val="8"/>
        <w:spacing w:before="0" w:beforeAutospacing="0" w:after="0" w:afterAutospacing="0" w:line="360" w:lineRule="auto"/>
        <w:ind w:firstLine="420"/>
        <w:rPr>
          <w:sz w:val="21"/>
          <w:szCs w:val="21"/>
        </w:rPr>
      </w:pPr>
      <w:r>
        <w:rPr>
          <w:rFonts w:hint="eastAsia"/>
          <w:sz w:val="21"/>
          <w:szCs w:val="21"/>
        </w:rPr>
        <w:t>2.本基金各类品种的投资比例、投资限制为：</w:t>
      </w:r>
    </w:p>
    <w:p w14:paraId="0A6F323B">
      <w:pPr>
        <w:pStyle w:val="8"/>
        <w:spacing w:before="0" w:beforeAutospacing="0" w:after="0" w:afterAutospacing="0" w:line="360" w:lineRule="auto"/>
        <w:ind w:firstLine="420"/>
        <w:rPr>
          <w:sz w:val="21"/>
          <w:szCs w:val="21"/>
        </w:rPr>
      </w:pPr>
      <w:r>
        <w:rPr>
          <w:rFonts w:hint="eastAsia"/>
          <w:sz w:val="21"/>
          <w:szCs w:val="21"/>
        </w:rPr>
        <w:t>基金的投资组合应遵循以下限制：</w:t>
      </w:r>
    </w:p>
    <w:p w14:paraId="35760016">
      <w:pPr>
        <w:pStyle w:val="8"/>
        <w:spacing w:before="0" w:beforeAutospacing="0" w:after="0" w:afterAutospacing="0" w:line="360" w:lineRule="auto"/>
        <w:ind w:firstLine="420"/>
        <w:rPr>
          <w:sz w:val="21"/>
          <w:szCs w:val="21"/>
        </w:rPr>
      </w:pPr>
      <w:r>
        <w:rPr>
          <w:rFonts w:hint="eastAsia"/>
          <w:sz w:val="21"/>
          <w:szCs w:val="21"/>
        </w:rPr>
        <w:t>（1）股票（含存托凭证）资产占基金资产的比例为60%—95%；港股通标的股票的投资比例为股票资产的0%-50%； </w:t>
      </w:r>
    </w:p>
    <w:p w14:paraId="1B482307">
      <w:pPr>
        <w:pStyle w:val="8"/>
        <w:spacing w:before="0" w:beforeAutospacing="0" w:after="0" w:afterAutospacing="0" w:line="360" w:lineRule="auto"/>
        <w:ind w:firstLine="420"/>
        <w:rPr>
          <w:sz w:val="21"/>
          <w:szCs w:val="21"/>
        </w:rPr>
      </w:pPr>
      <w:r>
        <w:rPr>
          <w:rFonts w:hint="eastAsia"/>
          <w:sz w:val="21"/>
          <w:szCs w:val="21"/>
        </w:rPr>
        <w:t>（2）每个交易日日终在扣除股指期货合约、股票期权合约、国债期货合约所需缴纳的交易保证金后，现金或到期日在一年以内的政府债券不低于基金资产净值的5%。前述现金不包括结算备付金、存出保证金、应收申购款等； </w:t>
      </w:r>
    </w:p>
    <w:p w14:paraId="763F44DF">
      <w:pPr>
        <w:pStyle w:val="8"/>
        <w:spacing w:before="0" w:beforeAutospacing="0" w:after="0" w:afterAutospacing="0" w:line="360" w:lineRule="auto"/>
        <w:ind w:firstLine="420"/>
        <w:rPr>
          <w:sz w:val="21"/>
          <w:szCs w:val="21"/>
        </w:rPr>
      </w:pPr>
      <w:r>
        <w:rPr>
          <w:rFonts w:hint="eastAsia"/>
          <w:sz w:val="21"/>
          <w:szCs w:val="21"/>
        </w:rPr>
        <w:t>（3）本基金持有一家公司发行的证券，其市值（若同时持有一家公司发行的A股和H股，则为A股与H股合计市值）不超过基金资产净值的10％； </w:t>
      </w:r>
    </w:p>
    <w:p w14:paraId="4EE9B1D7">
      <w:pPr>
        <w:pStyle w:val="8"/>
        <w:spacing w:before="0" w:beforeAutospacing="0" w:after="0" w:afterAutospacing="0" w:line="360" w:lineRule="auto"/>
        <w:ind w:firstLine="420"/>
        <w:rPr>
          <w:sz w:val="21"/>
          <w:szCs w:val="21"/>
        </w:rPr>
      </w:pPr>
      <w:r>
        <w:rPr>
          <w:rFonts w:hint="eastAsia"/>
          <w:sz w:val="21"/>
          <w:szCs w:val="21"/>
        </w:rPr>
        <w:t>（4）本基金管理人管理的全部基金持有一家公司发行的证券，不超过该证券（若同时持有一家公司发行的A股和H股，则为A股与H股合计）的10％； </w:t>
      </w:r>
    </w:p>
    <w:p w14:paraId="705B8044">
      <w:pPr>
        <w:pStyle w:val="8"/>
        <w:spacing w:before="0" w:beforeAutospacing="0" w:after="0" w:afterAutospacing="0" w:line="360" w:lineRule="auto"/>
        <w:ind w:firstLine="420"/>
        <w:rPr>
          <w:sz w:val="21"/>
          <w:szCs w:val="21"/>
        </w:rPr>
      </w:pPr>
      <w:r>
        <w:rPr>
          <w:rFonts w:hint="eastAsia"/>
          <w:sz w:val="21"/>
          <w:szCs w:val="21"/>
        </w:rPr>
        <w:t>（5）本基金投资于同一原始权益人的各类资产支持证券的比例，不得超过基金资产净值的10％； </w:t>
      </w:r>
    </w:p>
    <w:p w14:paraId="543E1111">
      <w:pPr>
        <w:pStyle w:val="8"/>
        <w:spacing w:before="0" w:beforeAutospacing="0" w:after="0" w:afterAutospacing="0" w:line="360" w:lineRule="auto"/>
        <w:ind w:firstLine="420"/>
        <w:rPr>
          <w:sz w:val="21"/>
          <w:szCs w:val="21"/>
        </w:rPr>
      </w:pPr>
      <w:r>
        <w:rPr>
          <w:rFonts w:hint="eastAsia"/>
          <w:sz w:val="21"/>
          <w:szCs w:val="21"/>
        </w:rPr>
        <w:t>（6）本基金持有的全部资产支持证券，其市值不得超过基金资产净值的20％； </w:t>
      </w:r>
    </w:p>
    <w:p w14:paraId="64A36073">
      <w:pPr>
        <w:pStyle w:val="8"/>
        <w:spacing w:before="0" w:beforeAutospacing="0" w:after="0" w:afterAutospacing="0" w:line="360" w:lineRule="auto"/>
        <w:ind w:firstLine="420"/>
        <w:rPr>
          <w:sz w:val="21"/>
          <w:szCs w:val="21"/>
        </w:rPr>
      </w:pPr>
      <w:r>
        <w:rPr>
          <w:rFonts w:hint="eastAsia"/>
          <w:sz w:val="21"/>
          <w:szCs w:val="21"/>
        </w:rPr>
        <w:t>（7）本基金持有的同一(指同一信用级别)资产支持证券的比例，不得超过该资产支持证券规模的10％； </w:t>
      </w:r>
    </w:p>
    <w:p w14:paraId="051E79B7">
      <w:pPr>
        <w:pStyle w:val="8"/>
        <w:spacing w:before="0" w:beforeAutospacing="0" w:after="0" w:afterAutospacing="0" w:line="360" w:lineRule="auto"/>
        <w:ind w:firstLine="420"/>
        <w:rPr>
          <w:sz w:val="21"/>
          <w:szCs w:val="21"/>
        </w:rPr>
      </w:pPr>
      <w:r>
        <w:rPr>
          <w:rFonts w:hint="eastAsia"/>
          <w:sz w:val="21"/>
          <w:szCs w:val="21"/>
        </w:rPr>
        <w:t>（8）本基金管理人管理的全部基金投资于同一原始权益人的各类资产支持证券，不得超过其各类资产支持证券合计规模的10％； </w:t>
      </w:r>
    </w:p>
    <w:p w14:paraId="3C119B8E">
      <w:pPr>
        <w:pStyle w:val="8"/>
        <w:spacing w:before="0" w:beforeAutospacing="0" w:after="0" w:afterAutospacing="0" w:line="360" w:lineRule="auto"/>
        <w:ind w:firstLine="420"/>
        <w:rPr>
          <w:sz w:val="21"/>
          <w:szCs w:val="21"/>
        </w:rPr>
      </w:pPr>
      <w:r>
        <w:rPr>
          <w:rFonts w:hint="eastAsia"/>
          <w:sz w:val="21"/>
          <w:szCs w:val="21"/>
        </w:rPr>
        <w:t>（9）本基金应投资于信用级别评级为BBB以上(含BBB)的资产支持证券。基金持有资产支持证券期间，如果其信用等级下降、不再符合投资标准，应在评级报告发布之日起3个月内予以全部卖出； </w:t>
      </w:r>
    </w:p>
    <w:p w14:paraId="688A9F14">
      <w:pPr>
        <w:pStyle w:val="8"/>
        <w:spacing w:before="0" w:beforeAutospacing="0" w:after="0" w:afterAutospacing="0" w:line="360" w:lineRule="auto"/>
        <w:ind w:firstLine="420"/>
        <w:rPr>
          <w:sz w:val="21"/>
          <w:szCs w:val="21"/>
        </w:rPr>
      </w:pPr>
      <w:r>
        <w:rPr>
          <w:rFonts w:hint="eastAsia"/>
          <w:sz w:val="21"/>
          <w:szCs w:val="21"/>
        </w:rPr>
        <w:t>（10）基金财产参与股票发行申购，本基金所申报的金额不超过本基金的总资产，本基金所申报的股票数量不超过拟发行股票公司本次发行股票的总量； </w:t>
      </w:r>
    </w:p>
    <w:p w14:paraId="1458E4DE">
      <w:pPr>
        <w:pStyle w:val="8"/>
        <w:spacing w:before="0" w:beforeAutospacing="0" w:after="0" w:afterAutospacing="0" w:line="360" w:lineRule="auto"/>
        <w:ind w:firstLine="420"/>
        <w:rPr>
          <w:sz w:val="21"/>
          <w:szCs w:val="21"/>
        </w:rPr>
      </w:pPr>
      <w:r>
        <w:rPr>
          <w:rFonts w:hint="eastAsia"/>
          <w:sz w:val="21"/>
          <w:szCs w:val="21"/>
        </w:rPr>
        <w:t>（11）本基金参与股指期货、国债期货投资的，应遵循下列限制： </w:t>
      </w:r>
    </w:p>
    <w:p w14:paraId="1A20BB47">
      <w:pPr>
        <w:pStyle w:val="8"/>
        <w:spacing w:before="0" w:beforeAutospacing="0" w:after="0" w:afterAutospacing="0" w:line="360" w:lineRule="auto"/>
        <w:ind w:firstLine="420"/>
        <w:rPr>
          <w:sz w:val="21"/>
          <w:szCs w:val="21"/>
        </w:rPr>
      </w:pPr>
      <w:r>
        <w:rPr>
          <w:rFonts w:hint="eastAsia"/>
          <w:sz w:val="21"/>
          <w:szCs w:val="21"/>
        </w:rPr>
        <w:t>1）本基金在任何交易日日终，持有的买入股指期货合约价值，不得超过基金资产净值的10%； </w:t>
      </w:r>
    </w:p>
    <w:p w14:paraId="0DDCA61F">
      <w:pPr>
        <w:pStyle w:val="8"/>
        <w:spacing w:before="0" w:beforeAutospacing="0" w:after="0" w:afterAutospacing="0" w:line="360" w:lineRule="auto"/>
        <w:ind w:firstLine="420"/>
        <w:rPr>
          <w:sz w:val="21"/>
          <w:szCs w:val="21"/>
        </w:rPr>
      </w:pPr>
      <w:r>
        <w:rPr>
          <w:rFonts w:hint="eastAsia"/>
          <w:sz w:val="21"/>
          <w:szCs w:val="21"/>
        </w:rPr>
        <w:t>2）每个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7011D366">
      <w:pPr>
        <w:pStyle w:val="8"/>
        <w:spacing w:before="0" w:beforeAutospacing="0" w:after="0" w:afterAutospacing="0" w:line="360" w:lineRule="auto"/>
        <w:ind w:firstLine="420"/>
        <w:rPr>
          <w:sz w:val="21"/>
          <w:szCs w:val="21"/>
        </w:rPr>
      </w:pPr>
      <w:r>
        <w:rPr>
          <w:rFonts w:hint="eastAsia"/>
          <w:sz w:val="21"/>
          <w:szCs w:val="21"/>
        </w:rPr>
        <w:t>3）本基金在任何交易日日终，持有的卖出股指期货合约价值不得超过基金持有的股票总市值的20%； </w:t>
      </w:r>
    </w:p>
    <w:p w14:paraId="4BEFBDBB">
      <w:pPr>
        <w:pStyle w:val="8"/>
        <w:spacing w:before="0" w:beforeAutospacing="0" w:after="0" w:afterAutospacing="0" w:line="360" w:lineRule="auto"/>
        <w:ind w:firstLine="420"/>
        <w:rPr>
          <w:sz w:val="21"/>
          <w:szCs w:val="21"/>
        </w:rPr>
      </w:pPr>
      <w:r>
        <w:rPr>
          <w:rFonts w:hint="eastAsia"/>
          <w:sz w:val="21"/>
          <w:szCs w:val="21"/>
        </w:rPr>
        <w:t>4）本基金在任何交易日内交易（不包括平仓）的股指期货合约的成交金额不得超过上一交易日基金资产净值的20%； </w:t>
      </w:r>
    </w:p>
    <w:p w14:paraId="22DDCDDA">
      <w:pPr>
        <w:pStyle w:val="8"/>
        <w:spacing w:before="0" w:beforeAutospacing="0" w:after="0" w:afterAutospacing="0" w:line="360" w:lineRule="auto"/>
        <w:ind w:firstLine="420"/>
        <w:rPr>
          <w:sz w:val="21"/>
          <w:szCs w:val="21"/>
        </w:rPr>
      </w:pPr>
      <w:r>
        <w:rPr>
          <w:rFonts w:hint="eastAsia"/>
          <w:sz w:val="21"/>
          <w:szCs w:val="21"/>
        </w:rPr>
        <w:t>5）本基金所持有的股票市值和买入、卖出股指期货合约价值，合计（轧差计算）应当符合基金合同关于股票投资比例的有关规定； </w:t>
      </w:r>
    </w:p>
    <w:p w14:paraId="030C5E6E">
      <w:pPr>
        <w:pStyle w:val="8"/>
        <w:spacing w:before="0" w:beforeAutospacing="0" w:after="0" w:afterAutospacing="0" w:line="360" w:lineRule="auto"/>
        <w:ind w:firstLine="420"/>
        <w:rPr>
          <w:sz w:val="21"/>
          <w:szCs w:val="21"/>
        </w:rPr>
      </w:pPr>
      <w:r>
        <w:rPr>
          <w:rFonts w:hint="eastAsia"/>
          <w:sz w:val="21"/>
          <w:szCs w:val="21"/>
        </w:rPr>
        <w:t>6）本基金在任何交易日日终，持有的买入国债期货合约价值，不得超过基金资产净值的15%； </w:t>
      </w:r>
    </w:p>
    <w:p w14:paraId="7EF7DE34">
      <w:pPr>
        <w:pStyle w:val="8"/>
        <w:spacing w:before="0" w:beforeAutospacing="0" w:after="0" w:afterAutospacing="0" w:line="360" w:lineRule="auto"/>
        <w:ind w:firstLine="420"/>
        <w:rPr>
          <w:sz w:val="21"/>
          <w:szCs w:val="21"/>
        </w:rPr>
      </w:pPr>
      <w:r>
        <w:rPr>
          <w:rFonts w:hint="eastAsia"/>
          <w:sz w:val="21"/>
          <w:szCs w:val="21"/>
        </w:rPr>
        <w:t>7）本基金在任何交易日日终，持有的卖出国债期货合约价值不得超过基金持有的债券总市值的30%； </w:t>
      </w:r>
    </w:p>
    <w:p w14:paraId="7480D7CD">
      <w:pPr>
        <w:pStyle w:val="8"/>
        <w:spacing w:before="0" w:beforeAutospacing="0" w:after="0" w:afterAutospacing="0" w:line="360" w:lineRule="auto"/>
        <w:ind w:firstLine="420"/>
        <w:rPr>
          <w:sz w:val="21"/>
          <w:szCs w:val="21"/>
        </w:rPr>
      </w:pPr>
      <w:r>
        <w:rPr>
          <w:rFonts w:hint="eastAsia"/>
          <w:sz w:val="21"/>
          <w:szCs w:val="21"/>
        </w:rPr>
        <w:t>8）本基金在任何交易日内交易（不包括平仓）的国债期货合约的成交金额不得超过上一交易日基金资产净值的30%； </w:t>
      </w:r>
    </w:p>
    <w:p w14:paraId="3AB7C2FE">
      <w:pPr>
        <w:pStyle w:val="8"/>
        <w:spacing w:before="0" w:beforeAutospacing="0" w:after="0" w:afterAutospacing="0" w:line="360" w:lineRule="auto"/>
        <w:ind w:firstLine="420"/>
        <w:rPr>
          <w:sz w:val="21"/>
          <w:szCs w:val="21"/>
        </w:rPr>
      </w:pPr>
      <w:r>
        <w:rPr>
          <w:rFonts w:hint="eastAsia"/>
          <w:sz w:val="21"/>
          <w:szCs w:val="21"/>
        </w:rPr>
        <w:t>9）本基金所持有的债券（不含到期日在一年以内的政府债券）市值和买入、卖出国债期货合约价值，合计（轧差计算）应当符合基金合同关于债券投资比例的有关约定； </w:t>
      </w:r>
    </w:p>
    <w:p w14:paraId="000ABC82">
      <w:pPr>
        <w:pStyle w:val="8"/>
        <w:spacing w:before="0" w:beforeAutospacing="0" w:after="0" w:afterAutospacing="0" w:line="360" w:lineRule="auto"/>
        <w:ind w:firstLine="420"/>
        <w:rPr>
          <w:sz w:val="21"/>
          <w:szCs w:val="21"/>
        </w:rPr>
      </w:pPr>
      <w:r>
        <w:rPr>
          <w:rFonts w:hint="eastAsia"/>
          <w:sz w:val="21"/>
          <w:szCs w:val="21"/>
        </w:rPr>
        <w:t>（12）本基金参与股票期权交易的，需遵守下列规定： </w:t>
      </w:r>
    </w:p>
    <w:p w14:paraId="2135A08D">
      <w:pPr>
        <w:pStyle w:val="8"/>
        <w:spacing w:before="0" w:beforeAutospacing="0" w:after="0" w:afterAutospacing="0" w:line="360" w:lineRule="auto"/>
        <w:ind w:firstLine="420"/>
        <w:rPr>
          <w:sz w:val="21"/>
          <w:szCs w:val="21"/>
        </w:rPr>
      </w:pPr>
      <w:r>
        <w:rPr>
          <w:rFonts w:hint="eastAsia"/>
          <w:sz w:val="21"/>
          <w:szCs w:val="21"/>
        </w:rPr>
        <w:t>1）因未平仓的股票期权合约支付和收取的权利金总额不得超过基金资产净值的10%； </w:t>
      </w:r>
    </w:p>
    <w:p w14:paraId="14DB4BF8">
      <w:pPr>
        <w:pStyle w:val="8"/>
        <w:spacing w:before="0" w:beforeAutospacing="0" w:after="0" w:afterAutospacing="0" w:line="360" w:lineRule="auto"/>
        <w:ind w:firstLine="420"/>
        <w:rPr>
          <w:sz w:val="21"/>
          <w:szCs w:val="21"/>
        </w:rPr>
      </w:pPr>
      <w:r>
        <w:rPr>
          <w:rFonts w:hint="eastAsia"/>
          <w:sz w:val="21"/>
          <w:szCs w:val="21"/>
        </w:rPr>
        <w:t>2）开仓卖出认购股票期权的，应持有足额标的证券；开仓卖出认沽股票期权的，应持有合约行权所需的全额现金或交易所规则认可的可冲抵股票期权保证金的现金等价物； </w:t>
      </w:r>
    </w:p>
    <w:p w14:paraId="03FE2A44">
      <w:pPr>
        <w:pStyle w:val="8"/>
        <w:spacing w:before="0" w:beforeAutospacing="0" w:after="0" w:afterAutospacing="0" w:line="360" w:lineRule="auto"/>
        <w:ind w:firstLine="420"/>
        <w:rPr>
          <w:sz w:val="21"/>
          <w:szCs w:val="21"/>
        </w:rPr>
      </w:pPr>
      <w:r>
        <w:rPr>
          <w:rFonts w:hint="eastAsia"/>
          <w:sz w:val="21"/>
          <w:szCs w:val="21"/>
        </w:rPr>
        <w:t>3）未平仓的股票期权合约面值不得超过基金资产净值的20%。其中，合约面值按照行权价乘以合约乘数计算； </w:t>
      </w:r>
    </w:p>
    <w:p w14:paraId="4BA555D8">
      <w:pPr>
        <w:pStyle w:val="8"/>
        <w:spacing w:before="0" w:beforeAutospacing="0" w:after="0" w:afterAutospacing="0" w:line="360" w:lineRule="auto"/>
        <w:ind w:firstLine="420"/>
        <w:rPr>
          <w:sz w:val="21"/>
          <w:szCs w:val="21"/>
        </w:rPr>
      </w:pPr>
      <w:r>
        <w:rPr>
          <w:rFonts w:hint="eastAsia"/>
          <w:sz w:val="21"/>
          <w:szCs w:val="21"/>
        </w:rPr>
        <w:t>4）基金投资股票期权应符合基金合同约定的比例限制（如股票仓位、个股占比等）、投资目标和风险收益特征； </w:t>
      </w:r>
    </w:p>
    <w:p w14:paraId="51EFF0CB">
      <w:pPr>
        <w:pStyle w:val="8"/>
        <w:spacing w:before="0" w:beforeAutospacing="0" w:after="0" w:afterAutospacing="0" w:line="360" w:lineRule="auto"/>
        <w:ind w:firstLine="420"/>
        <w:rPr>
          <w:sz w:val="21"/>
          <w:szCs w:val="21"/>
        </w:rPr>
      </w:pPr>
      <w:r>
        <w:rPr>
          <w:rFonts w:hint="eastAsia"/>
          <w:sz w:val="21"/>
          <w:szCs w:val="21"/>
        </w:rPr>
        <w:t>（13）本基金资产总值不得超过基金资产净值的140%； </w:t>
      </w:r>
    </w:p>
    <w:p w14:paraId="75004274">
      <w:pPr>
        <w:pStyle w:val="8"/>
        <w:spacing w:before="0" w:beforeAutospacing="0" w:after="0" w:afterAutospacing="0" w:line="360" w:lineRule="auto"/>
        <w:ind w:firstLine="420"/>
        <w:rPr>
          <w:sz w:val="21"/>
          <w:szCs w:val="21"/>
        </w:rPr>
      </w:pPr>
      <w:r>
        <w:rPr>
          <w:rFonts w:hint="eastAsia"/>
          <w:sz w:val="21"/>
          <w:szCs w:val="21"/>
        </w:rPr>
        <w:t>（14）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31148B4C">
      <w:pPr>
        <w:pStyle w:val="8"/>
        <w:spacing w:before="0" w:beforeAutospacing="0" w:after="0" w:afterAutospacing="0" w:line="360" w:lineRule="auto"/>
        <w:ind w:firstLine="420"/>
        <w:rPr>
          <w:sz w:val="21"/>
          <w:szCs w:val="21"/>
        </w:rPr>
      </w:pPr>
      <w:r>
        <w:rPr>
          <w:rFonts w:hint="eastAsia"/>
          <w:sz w:val="21"/>
          <w:szCs w:val="21"/>
        </w:rPr>
        <w:t>（15）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6D1246B3">
      <w:pPr>
        <w:pStyle w:val="8"/>
        <w:spacing w:before="0" w:beforeAutospacing="0" w:after="0" w:afterAutospacing="0" w:line="360" w:lineRule="auto"/>
        <w:ind w:firstLine="420"/>
        <w:rPr>
          <w:sz w:val="21"/>
          <w:szCs w:val="21"/>
        </w:rPr>
      </w:pPr>
      <w:r>
        <w:rPr>
          <w:rFonts w:hint="eastAsia"/>
          <w:sz w:val="21"/>
          <w:szCs w:val="21"/>
        </w:rPr>
        <w:t>（16）本基金与私募类证券资管产品及中国证监会认定的其他主体为交易对手开展逆回购交易的，可接受质押品的资质要求应当与基金合同约定的投资范围保持一致； </w:t>
      </w:r>
    </w:p>
    <w:p w14:paraId="518B87DD">
      <w:pPr>
        <w:pStyle w:val="8"/>
        <w:spacing w:before="0" w:beforeAutospacing="0" w:after="0" w:afterAutospacing="0" w:line="360" w:lineRule="auto"/>
        <w:ind w:firstLine="420"/>
        <w:rPr>
          <w:sz w:val="21"/>
          <w:szCs w:val="21"/>
        </w:rPr>
      </w:pPr>
      <w:r>
        <w:rPr>
          <w:rFonts w:hint="eastAsia"/>
          <w:sz w:val="21"/>
          <w:szCs w:val="21"/>
        </w:rPr>
        <w:t>（17）本基金参与融资的，每个交易日日终，本基金持有的融资买入股票与其他有价证券市值之和，不得超过基金资产净值的95%； </w:t>
      </w:r>
    </w:p>
    <w:p w14:paraId="7C661E96">
      <w:pPr>
        <w:pStyle w:val="8"/>
        <w:spacing w:before="0" w:beforeAutospacing="0" w:after="0" w:afterAutospacing="0" w:line="360" w:lineRule="auto"/>
        <w:ind w:firstLine="420"/>
        <w:rPr>
          <w:sz w:val="21"/>
          <w:szCs w:val="21"/>
        </w:rPr>
      </w:pPr>
      <w:r>
        <w:rPr>
          <w:rFonts w:hint="eastAsia"/>
          <w:sz w:val="21"/>
          <w:szCs w:val="21"/>
        </w:rPr>
        <w:t>（18）本基金不持有具有信用保护卖方属性的信用衍生品，不持有合约类信用衍生品，本基金持有的信用衍生品名义本金不得超过本基金中所对应受保护债券面值的100%； </w:t>
      </w:r>
    </w:p>
    <w:p w14:paraId="3DCC84E2">
      <w:pPr>
        <w:pStyle w:val="8"/>
        <w:spacing w:before="0" w:beforeAutospacing="0" w:after="0" w:afterAutospacing="0" w:line="360" w:lineRule="auto"/>
        <w:ind w:firstLine="420"/>
        <w:rPr>
          <w:sz w:val="21"/>
          <w:szCs w:val="21"/>
        </w:rPr>
      </w:pPr>
      <w:r>
        <w:rPr>
          <w:rFonts w:hint="eastAsia"/>
          <w:sz w:val="21"/>
          <w:szCs w:val="21"/>
        </w:rPr>
        <w:t>（19）本基金投资于同一信用保护卖方各类信用衍生品名义本金合计不得超过基金资产净值的10%； </w:t>
      </w:r>
    </w:p>
    <w:p w14:paraId="798B8A81">
      <w:pPr>
        <w:pStyle w:val="8"/>
        <w:spacing w:before="0" w:beforeAutospacing="0" w:after="0" w:afterAutospacing="0" w:line="360" w:lineRule="auto"/>
        <w:ind w:firstLine="420"/>
        <w:rPr>
          <w:sz w:val="21"/>
          <w:szCs w:val="21"/>
        </w:rPr>
      </w:pPr>
      <w:r>
        <w:rPr>
          <w:rFonts w:hint="eastAsia"/>
          <w:sz w:val="21"/>
          <w:szCs w:val="21"/>
        </w:rPr>
        <w:t>（20）本基金投资存托凭证的比例限制依照境内上市交易的股票执行，与境内上市交易的股票合并计算； </w:t>
      </w:r>
    </w:p>
    <w:p w14:paraId="1E309CD6">
      <w:pPr>
        <w:pStyle w:val="8"/>
        <w:spacing w:before="0" w:beforeAutospacing="0" w:after="0" w:afterAutospacing="0" w:line="360" w:lineRule="auto"/>
        <w:ind w:firstLine="420"/>
        <w:rPr>
          <w:sz w:val="21"/>
          <w:szCs w:val="21"/>
        </w:rPr>
      </w:pPr>
      <w:r>
        <w:rPr>
          <w:rFonts w:hint="eastAsia"/>
          <w:sz w:val="21"/>
          <w:szCs w:val="21"/>
        </w:rPr>
        <w:t>（21）法律法规及中国证监会规定的和《基金合同》约定的其他投资限制。 </w:t>
      </w:r>
    </w:p>
    <w:p w14:paraId="207D282C">
      <w:pPr>
        <w:pStyle w:val="8"/>
        <w:spacing w:before="0" w:beforeAutospacing="0" w:after="0" w:afterAutospacing="0" w:line="360" w:lineRule="auto"/>
        <w:ind w:firstLine="420"/>
        <w:rPr>
          <w:sz w:val="21"/>
          <w:szCs w:val="21"/>
        </w:rPr>
      </w:pPr>
      <w:r>
        <w:rPr>
          <w:rFonts w:hint="eastAsia"/>
          <w:sz w:val="21"/>
          <w:szCs w:val="21"/>
        </w:rPr>
        <w:t>因证券、期货市场波动、证券发行人合并、基金规模变动等基金管理人之外的因素致使基金投资比例不符合上述（18）、（19）项规定投资比例的，基金管理人应在3个月内进行调整。 </w:t>
      </w:r>
    </w:p>
    <w:p w14:paraId="7D19A438">
      <w:pPr>
        <w:pStyle w:val="8"/>
        <w:spacing w:before="0" w:beforeAutospacing="0" w:after="0" w:afterAutospacing="0" w:line="360" w:lineRule="auto"/>
        <w:ind w:firstLine="420"/>
        <w:rPr>
          <w:sz w:val="21"/>
          <w:szCs w:val="21"/>
        </w:rPr>
      </w:pPr>
      <w:r>
        <w:rPr>
          <w:rFonts w:hint="eastAsia"/>
          <w:sz w:val="21"/>
          <w:szCs w:val="21"/>
        </w:rPr>
        <w:t>除上述（2）、（9）、（15）、（16）、（18）、（19）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302EF83B">
      <w:pPr>
        <w:pStyle w:val="8"/>
        <w:spacing w:before="0" w:beforeAutospacing="0" w:after="0" w:afterAutospacing="0" w:line="360" w:lineRule="auto"/>
        <w:ind w:firstLine="420"/>
        <w:rPr>
          <w:sz w:val="21"/>
          <w:szCs w:val="21"/>
        </w:rPr>
      </w:pPr>
      <w:r>
        <w:rPr>
          <w:rFonts w:hint="eastAsia"/>
          <w:sz w:val="21"/>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2421F39A">
      <w:pPr>
        <w:pStyle w:val="8"/>
        <w:spacing w:before="0" w:beforeAutospacing="0" w:after="0" w:afterAutospacing="0" w:line="360" w:lineRule="auto"/>
        <w:ind w:firstLine="420"/>
        <w:rPr>
          <w:sz w:val="21"/>
          <w:szCs w:val="21"/>
        </w:rPr>
      </w:pPr>
      <w:r>
        <w:rPr>
          <w:rFonts w:hint="eastAsia"/>
          <w:sz w:val="21"/>
          <w:szCs w:val="21"/>
        </w:rPr>
        <w:t>法律法规或监管部门取消或变更上述限制，如适用于本基金，基金管理人在履行适当程序后，则本基金投资不再受相关限制，或以变更后的规定为准。 </w:t>
      </w:r>
    </w:p>
    <w:p w14:paraId="6797AF1E">
      <w:pPr>
        <w:pStyle w:val="8"/>
        <w:spacing w:before="0" w:beforeAutospacing="0" w:after="0" w:afterAutospacing="0" w:line="360" w:lineRule="auto"/>
        <w:ind w:firstLine="420"/>
        <w:rPr>
          <w:sz w:val="21"/>
          <w:szCs w:val="21"/>
        </w:rPr>
      </w:pPr>
      <w:r>
        <w:rPr>
          <w:rFonts w:hint="eastAsia"/>
          <w:sz w:val="21"/>
          <w:szCs w:val="21"/>
        </w:rPr>
        <w:t>3.本基金财产不得用于以下投资或者活动：</w:t>
      </w:r>
    </w:p>
    <w:p w14:paraId="2D9731D0">
      <w:pPr>
        <w:pStyle w:val="8"/>
        <w:spacing w:before="0" w:beforeAutospacing="0" w:after="0" w:afterAutospacing="0" w:line="360" w:lineRule="auto"/>
        <w:ind w:firstLine="420"/>
        <w:rPr>
          <w:sz w:val="21"/>
          <w:szCs w:val="21"/>
        </w:rPr>
      </w:pPr>
      <w:r>
        <w:rPr>
          <w:rFonts w:hint="eastAsia"/>
          <w:sz w:val="21"/>
          <w:szCs w:val="21"/>
        </w:rPr>
        <w:t>为维护基金份额持有人的合法权益，基金财产不得用于下列投资或者活动：</w:t>
      </w:r>
    </w:p>
    <w:p w14:paraId="5C3C4DC0">
      <w:pPr>
        <w:pStyle w:val="8"/>
        <w:spacing w:before="0" w:beforeAutospacing="0" w:after="0" w:afterAutospacing="0" w:line="360" w:lineRule="auto"/>
        <w:ind w:firstLine="420"/>
        <w:rPr>
          <w:sz w:val="21"/>
          <w:szCs w:val="21"/>
        </w:rPr>
      </w:pPr>
      <w:r>
        <w:rPr>
          <w:rFonts w:hint="eastAsia"/>
          <w:sz w:val="21"/>
          <w:szCs w:val="21"/>
        </w:rPr>
        <w:t>（1）承销证券；</w:t>
      </w:r>
    </w:p>
    <w:p w14:paraId="2F388D0D">
      <w:pPr>
        <w:pStyle w:val="8"/>
        <w:spacing w:before="0" w:beforeAutospacing="0" w:after="0" w:afterAutospacing="0" w:line="360" w:lineRule="auto"/>
        <w:ind w:firstLine="420"/>
        <w:rPr>
          <w:sz w:val="21"/>
          <w:szCs w:val="21"/>
        </w:rPr>
      </w:pPr>
      <w:r>
        <w:rPr>
          <w:rFonts w:hint="eastAsia"/>
          <w:sz w:val="21"/>
          <w:szCs w:val="21"/>
        </w:rPr>
        <w:t>（2）违反规定向他人贷款或者提供担保；</w:t>
      </w:r>
    </w:p>
    <w:p w14:paraId="61FBA169">
      <w:pPr>
        <w:pStyle w:val="8"/>
        <w:spacing w:before="0" w:beforeAutospacing="0" w:after="0" w:afterAutospacing="0" w:line="360" w:lineRule="auto"/>
        <w:ind w:firstLine="420"/>
        <w:rPr>
          <w:sz w:val="21"/>
          <w:szCs w:val="21"/>
        </w:rPr>
      </w:pPr>
      <w:r>
        <w:rPr>
          <w:rFonts w:hint="eastAsia"/>
          <w:sz w:val="21"/>
          <w:szCs w:val="21"/>
        </w:rPr>
        <w:t>（3）从事承担无限责任的投资；</w:t>
      </w:r>
    </w:p>
    <w:p w14:paraId="7B2D1423">
      <w:pPr>
        <w:pStyle w:val="8"/>
        <w:spacing w:before="0" w:beforeAutospacing="0" w:after="0" w:afterAutospacing="0" w:line="360" w:lineRule="auto"/>
        <w:ind w:firstLine="420"/>
        <w:rPr>
          <w:sz w:val="21"/>
          <w:szCs w:val="21"/>
        </w:rPr>
      </w:pPr>
      <w:r>
        <w:rPr>
          <w:rFonts w:hint="eastAsia"/>
          <w:sz w:val="21"/>
          <w:szCs w:val="21"/>
        </w:rPr>
        <w:t>（4）买卖其他基金份额，但是中国证监会另有规定的除外；</w:t>
      </w:r>
    </w:p>
    <w:p w14:paraId="4ED6D7EC">
      <w:pPr>
        <w:pStyle w:val="8"/>
        <w:spacing w:before="0" w:beforeAutospacing="0" w:after="0" w:afterAutospacing="0" w:line="360" w:lineRule="auto"/>
        <w:ind w:firstLine="420"/>
        <w:rPr>
          <w:sz w:val="21"/>
          <w:szCs w:val="21"/>
        </w:rPr>
      </w:pPr>
      <w:r>
        <w:rPr>
          <w:rFonts w:hint="eastAsia"/>
          <w:sz w:val="21"/>
          <w:szCs w:val="21"/>
        </w:rPr>
        <w:t>（5）向其基金管理人、基金托管人出资；</w:t>
      </w:r>
    </w:p>
    <w:p w14:paraId="056D0B51">
      <w:pPr>
        <w:pStyle w:val="8"/>
        <w:spacing w:before="0" w:beforeAutospacing="0" w:after="0" w:afterAutospacing="0" w:line="360" w:lineRule="auto"/>
        <w:ind w:firstLine="420"/>
        <w:rPr>
          <w:sz w:val="21"/>
          <w:szCs w:val="21"/>
        </w:rPr>
      </w:pPr>
      <w:r>
        <w:rPr>
          <w:rFonts w:hint="eastAsia"/>
          <w:sz w:val="21"/>
          <w:szCs w:val="21"/>
        </w:rPr>
        <w:t>（6）从事内幕交易、操纵证券交易价格及其他不正当的证券交易活动；</w:t>
      </w:r>
    </w:p>
    <w:p w14:paraId="1BA4074E">
      <w:pPr>
        <w:pStyle w:val="8"/>
        <w:spacing w:before="0" w:beforeAutospacing="0" w:after="0" w:afterAutospacing="0" w:line="360" w:lineRule="auto"/>
        <w:ind w:firstLine="420"/>
        <w:rPr>
          <w:sz w:val="21"/>
          <w:szCs w:val="21"/>
        </w:rPr>
      </w:pPr>
      <w:r>
        <w:rPr>
          <w:rFonts w:hint="eastAsia"/>
          <w:sz w:val="21"/>
          <w:szCs w:val="21"/>
        </w:rPr>
        <w:t>（7）法律、行政法规和中国证监会规定禁止的其他活动。</w:t>
      </w:r>
    </w:p>
    <w:p w14:paraId="74874C97">
      <w:pPr>
        <w:pStyle w:val="8"/>
        <w:spacing w:before="0" w:beforeAutospacing="0" w:after="0" w:afterAutospacing="0" w:line="360" w:lineRule="auto"/>
        <w:ind w:firstLine="420"/>
        <w:rPr>
          <w:sz w:val="21"/>
          <w:szCs w:val="21"/>
        </w:rPr>
      </w:pPr>
      <w:r>
        <w:rPr>
          <w:rFonts w:hint="eastAsia"/>
          <w:sz w:val="21"/>
          <w:szCs w:val="21"/>
        </w:rPr>
        <w:t>4.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1E9D4028">
      <w:pPr>
        <w:pStyle w:val="8"/>
        <w:spacing w:before="0" w:beforeAutospacing="0" w:after="0" w:afterAutospacing="0" w:line="360" w:lineRule="auto"/>
        <w:ind w:firstLine="420"/>
        <w:rPr>
          <w:sz w:val="21"/>
          <w:szCs w:val="21"/>
        </w:rPr>
      </w:pPr>
      <w:r>
        <w:rPr>
          <w:rFonts w:hint="eastAsia"/>
          <w:sz w:val="21"/>
          <w:szCs w:val="21"/>
        </w:rPr>
        <w:t>法律、行政法规或监管部门取消或变更上述规定，如适用于本基金，基金管理人在履行适当程序后，则本基金投资不再受相关限制或以变更后的规定为准。</w:t>
      </w:r>
    </w:p>
    <w:p w14:paraId="1DE8949D">
      <w:pPr>
        <w:pStyle w:val="8"/>
        <w:spacing w:before="0" w:beforeAutospacing="0" w:after="0" w:afterAutospacing="0" w:line="360" w:lineRule="auto"/>
        <w:ind w:firstLine="420"/>
        <w:rPr>
          <w:sz w:val="21"/>
          <w:szCs w:val="21"/>
        </w:rPr>
      </w:pPr>
      <w:r>
        <w:rPr>
          <w:rFonts w:hint="eastAsia"/>
          <w:sz w:val="21"/>
          <w:szCs w:val="21"/>
        </w:rPr>
        <w:t>（二）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14:paraId="0EE33CB3">
      <w:pPr>
        <w:pStyle w:val="8"/>
        <w:spacing w:before="0" w:beforeAutospacing="0" w:after="0" w:afterAutospacing="0" w:line="360" w:lineRule="auto"/>
        <w:ind w:firstLine="420"/>
        <w:rPr>
          <w:sz w:val="21"/>
          <w:szCs w:val="21"/>
        </w:rPr>
      </w:pPr>
      <w:r>
        <w:rPr>
          <w:rFonts w:hint="eastAsia"/>
          <w:sz w:val="21"/>
          <w:szCs w:val="21"/>
        </w:rPr>
        <w:t>本基金投资银行存款应符合如下规定：</w:t>
      </w:r>
    </w:p>
    <w:p w14:paraId="791573C4">
      <w:pPr>
        <w:pStyle w:val="8"/>
        <w:spacing w:before="0" w:beforeAutospacing="0" w:after="0" w:afterAutospacing="0" w:line="360" w:lineRule="auto"/>
        <w:ind w:firstLine="420"/>
        <w:rPr>
          <w:sz w:val="21"/>
          <w:szCs w:val="21"/>
        </w:rPr>
      </w:pPr>
      <w:r>
        <w:rPr>
          <w:rFonts w:hint="eastAsia"/>
          <w:sz w:val="21"/>
          <w:szCs w:val="21"/>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14:paraId="5C800F83">
      <w:pPr>
        <w:pStyle w:val="8"/>
        <w:spacing w:before="0" w:beforeAutospacing="0" w:after="0" w:afterAutospacing="0" w:line="360" w:lineRule="auto"/>
        <w:ind w:firstLine="420"/>
        <w:rPr>
          <w:sz w:val="21"/>
          <w:szCs w:val="21"/>
        </w:rPr>
      </w:pPr>
      <w:r>
        <w:rPr>
          <w:rFonts w:hint="eastAsia"/>
          <w:sz w:val="21"/>
          <w:szCs w:val="21"/>
        </w:rPr>
        <w:t>有关法律法规或监管部门制定或修改新的定期存款投资政策，基金管理人履行适当程序后，可相应调整投资组合限制的规定。</w:t>
      </w:r>
    </w:p>
    <w:p w14:paraId="72BB193C">
      <w:pPr>
        <w:pStyle w:val="8"/>
        <w:spacing w:before="0" w:beforeAutospacing="0" w:after="0" w:afterAutospacing="0" w:line="360" w:lineRule="auto"/>
        <w:ind w:firstLine="420"/>
        <w:rPr>
          <w:sz w:val="21"/>
          <w:szCs w:val="21"/>
        </w:rPr>
      </w:pPr>
      <w:r>
        <w:rPr>
          <w:rFonts w:hint="eastAsia"/>
          <w:sz w:val="21"/>
          <w:szCs w:val="21"/>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14:paraId="5E75D82F">
      <w:pPr>
        <w:pStyle w:val="8"/>
        <w:spacing w:before="0" w:beforeAutospacing="0" w:after="0" w:afterAutospacing="0" w:line="360" w:lineRule="auto"/>
        <w:ind w:firstLine="420"/>
        <w:rPr>
          <w:sz w:val="21"/>
          <w:szCs w:val="21"/>
        </w:rPr>
      </w:pPr>
      <w:r>
        <w:rPr>
          <w:rFonts w:hint="eastAsia"/>
          <w:sz w:val="21"/>
          <w:szCs w:val="21"/>
        </w:rPr>
        <w:t>（1）基金管理人负责控制信用风险。信用风险主要包括存款银行的信用等级、存款银行的支付能力等涉及到存款银行选择方面的风险。因选择存款银行不当造成基金财产损失的，由基金管理人承担责任。</w:t>
      </w:r>
    </w:p>
    <w:p w14:paraId="3F8480B3">
      <w:pPr>
        <w:pStyle w:val="8"/>
        <w:spacing w:before="0" w:beforeAutospacing="0" w:after="0" w:afterAutospacing="0" w:line="360" w:lineRule="auto"/>
        <w:ind w:firstLine="420"/>
        <w:rPr>
          <w:sz w:val="21"/>
          <w:szCs w:val="21"/>
        </w:rPr>
      </w:pPr>
      <w:r>
        <w:rPr>
          <w:rFonts w:hint="eastAsia"/>
          <w:sz w:val="21"/>
          <w:szCs w:val="21"/>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14:paraId="0B1F09D4">
      <w:pPr>
        <w:pStyle w:val="8"/>
        <w:spacing w:before="0" w:beforeAutospacing="0" w:after="0" w:afterAutospacing="0" w:line="360" w:lineRule="auto"/>
        <w:ind w:firstLine="420"/>
        <w:rPr>
          <w:sz w:val="21"/>
          <w:szCs w:val="21"/>
        </w:rPr>
      </w:pPr>
      <w:r>
        <w:rPr>
          <w:rFonts w:hint="eastAsia"/>
          <w:sz w:val="21"/>
          <w:szCs w:val="21"/>
        </w:rPr>
        <w:t>（3）基金管理人须加强内部风险控制制度的建设。如因基金管理人员工职务行为导致基金财产受到损失的，需由基金管理人承担由此造成的损失。</w:t>
      </w:r>
    </w:p>
    <w:p w14:paraId="24024FDE">
      <w:pPr>
        <w:pStyle w:val="8"/>
        <w:spacing w:before="0" w:beforeAutospacing="0" w:after="0" w:afterAutospacing="0" w:line="360" w:lineRule="auto"/>
        <w:ind w:firstLine="420"/>
        <w:rPr>
          <w:sz w:val="21"/>
          <w:szCs w:val="21"/>
        </w:rPr>
      </w:pPr>
      <w:r>
        <w:rPr>
          <w:rFonts w:hint="eastAsia"/>
          <w:sz w:val="21"/>
          <w:szCs w:val="21"/>
        </w:rPr>
        <w:t>（4）基金管理人与基金托管人在开展基金存款业务时，应严格遵守《基金法》、《运作办法》等有关法律法规，以及国家有关账户管理、利率管理、支付结算等的各项规定。</w:t>
      </w:r>
    </w:p>
    <w:p w14:paraId="3A6B7CDB">
      <w:pPr>
        <w:pStyle w:val="8"/>
        <w:spacing w:before="0" w:beforeAutospacing="0" w:after="0" w:afterAutospacing="0" w:line="360" w:lineRule="auto"/>
        <w:ind w:firstLine="420"/>
        <w:rPr>
          <w:sz w:val="21"/>
          <w:szCs w:val="21"/>
        </w:rPr>
      </w:pPr>
      <w:r>
        <w:rPr>
          <w:rFonts w:hint="eastAsia"/>
          <w:sz w:val="21"/>
          <w:szCs w:val="21"/>
        </w:rPr>
        <w:t>（三）基金投资银行存款协议的签订、账户开设与管理、投资指令与资金划付、账目核对、到期兑付、提前支取</w:t>
      </w:r>
    </w:p>
    <w:p w14:paraId="47BD8DE0">
      <w:pPr>
        <w:pStyle w:val="8"/>
        <w:spacing w:before="0" w:beforeAutospacing="0" w:after="0" w:afterAutospacing="0" w:line="360" w:lineRule="auto"/>
        <w:ind w:firstLine="420"/>
        <w:rPr>
          <w:sz w:val="21"/>
          <w:szCs w:val="21"/>
        </w:rPr>
      </w:pPr>
      <w:r>
        <w:rPr>
          <w:rFonts w:hint="eastAsia"/>
          <w:sz w:val="21"/>
          <w:szCs w:val="21"/>
        </w:rPr>
        <w:t>1.基金投资银行存款协议的签订</w:t>
      </w:r>
    </w:p>
    <w:p w14:paraId="38DCFFBA">
      <w:pPr>
        <w:pStyle w:val="8"/>
        <w:spacing w:before="0" w:beforeAutospacing="0" w:after="0" w:afterAutospacing="0" w:line="360" w:lineRule="auto"/>
        <w:ind w:firstLine="420"/>
        <w:rPr>
          <w:sz w:val="21"/>
          <w:szCs w:val="21"/>
        </w:rPr>
      </w:pPr>
      <w:r>
        <w:rPr>
          <w:rFonts w:hint="eastAsia"/>
          <w:sz w:val="21"/>
          <w:szCs w:val="21"/>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14:paraId="3219BFA0">
      <w:pPr>
        <w:pStyle w:val="8"/>
        <w:spacing w:before="0" w:beforeAutospacing="0" w:after="0" w:afterAutospacing="0" w:line="360" w:lineRule="auto"/>
        <w:ind w:firstLine="420"/>
        <w:rPr>
          <w:sz w:val="21"/>
          <w:szCs w:val="21"/>
        </w:rPr>
      </w:pPr>
      <w:r>
        <w:rPr>
          <w:rFonts w:hint="eastAsia"/>
          <w:sz w:val="21"/>
          <w:szCs w:val="21"/>
        </w:rPr>
        <w:t>（2）基金托管人依据相关法规对《总体合作协议》和《存款协议书》的内容进行复核，审查存款银行资格等。</w:t>
      </w:r>
    </w:p>
    <w:p w14:paraId="53A80DCF">
      <w:pPr>
        <w:pStyle w:val="8"/>
        <w:spacing w:before="0" w:beforeAutospacing="0" w:after="0" w:afterAutospacing="0" w:line="360" w:lineRule="auto"/>
        <w:ind w:firstLine="420"/>
        <w:rPr>
          <w:sz w:val="21"/>
          <w:szCs w:val="21"/>
        </w:rPr>
      </w:pPr>
      <w:r>
        <w:rPr>
          <w:rFonts w:hint="eastAsia"/>
          <w:sz w:val="21"/>
          <w:szCs w:val="21"/>
        </w:rPr>
        <w:t>（3）基金管理人应在《存款协议书》中明确存款证实书或其他有效存款凭证的办理方式、邮寄地址、联系人和联系电话，以及存款证实书或其他有效凭证在邮寄过程中遗失后，存款余额的确认及兑付办法等。</w:t>
      </w:r>
    </w:p>
    <w:p w14:paraId="70C75607">
      <w:pPr>
        <w:pStyle w:val="8"/>
        <w:spacing w:before="0" w:beforeAutospacing="0" w:after="0" w:afterAutospacing="0" w:line="360" w:lineRule="auto"/>
        <w:ind w:firstLine="420"/>
        <w:rPr>
          <w:sz w:val="21"/>
          <w:szCs w:val="21"/>
        </w:rPr>
      </w:pPr>
      <w:r>
        <w:rPr>
          <w:rFonts w:hint="eastAsia"/>
          <w:sz w:val="21"/>
          <w:szCs w:val="21"/>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14:paraId="404DC243">
      <w:pPr>
        <w:pStyle w:val="8"/>
        <w:spacing w:before="0" w:beforeAutospacing="0" w:after="0" w:afterAutospacing="0" w:line="360" w:lineRule="auto"/>
        <w:ind w:firstLine="420"/>
        <w:rPr>
          <w:sz w:val="21"/>
          <w:szCs w:val="21"/>
        </w:rPr>
      </w:pPr>
      <w:r>
        <w:rPr>
          <w:rFonts w:hint="eastAsia"/>
          <w:sz w:val="21"/>
          <w:szCs w:val="21"/>
        </w:rPr>
        <w:t>（5）基金管理人应在《存款协议书》中规定，基金存放到期或提前兑付的资金应全部划转到指定的基金托管账户，并在《存款协议书》写明账户名称和账号，未划入指定账户的，由存款银行承担一切责任。</w:t>
      </w:r>
    </w:p>
    <w:p w14:paraId="2C2739C0">
      <w:pPr>
        <w:pStyle w:val="8"/>
        <w:spacing w:before="0" w:beforeAutospacing="0" w:after="0" w:afterAutospacing="0" w:line="360" w:lineRule="auto"/>
        <w:ind w:firstLine="420"/>
        <w:rPr>
          <w:sz w:val="21"/>
          <w:szCs w:val="21"/>
        </w:rPr>
      </w:pPr>
      <w:r>
        <w:rPr>
          <w:rFonts w:hint="eastAsia"/>
          <w:sz w:val="21"/>
          <w:szCs w:val="21"/>
        </w:rPr>
        <w:t>（6）基金管理人应在《存款协议书》中规定，在存期内，如本基金银行账户、预留印鉴发生变更，基金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14:paraId="189BA90E">
      <w:pPr>
        <w:pStyle w:val="8"/>
        <w:spacing w:before="0" w:beforeAutospacing="0" w:after="0" w:afterAutospacing="0" w:line="360" w:lineRule="auto"/>
        <w:ind w:firstLine="420"/>
        <w:rPr>
          <w:sz w:val="21"/>
          <w:szCs w:val="21"/>
        </w:rPr>
      </w:pPr>
      <w:r>
        <w:rPr>
          <w:rFonts w:hint="eastAsia"/>
          <w:sz w:val="21"/>
          <w:szCs w:val="21"/>
        </w:rPr>
        <w:t>（7）基金管理人应在《存款协议书》中规定，因定期存款产生的存单不得被质押或以任何方式被抵押，不得用于转让和背书。</w:t>
      </w:r>
    </w:p>
    <w:p w14:paraId="01A780FB">
      <w:pPr>
        <w:pStyle w:val="8"/>
        <w:spacing w:before="0" w:beforeAutospacing="0" w:after="0" w:afterAutospacing="0" w:line="360" w:lineRule="auto"/>
        <w:ind w:firstLine="420"/>
        <w:rPr>
          <w:sz w:val="21"/>
          <w:szCs w:val="21"/>
        </w:rPr>
      </w:pPr>
      <w:r>
        <w:rPr>
          <w:rFonts w:hint="eastAsia"/>
          <w:sz w:val="21"/>
          <w:szCs w:val="21"/>
        </w:rPr>
        <w:t>2.基金投资银行存款时的账户开设与管理</w:t>
      </w:r>
    </w:p>
    <w:p w14:paraId="1EB96165">
      <w:pPr>
        <w:pStyle w:val="8"/>
        <w:spacing w:before="0" w:beforeAutospacing="0" w:after="0" w:afterAutospacing="0" w:line="360" w:lineRule="auto"/>
        <w:ind w:firstLine="420"/>
        <w:rPr>
          <w:sz w:val="21"/>
          <w:szCs w:val="21"/>
        </w:rPr>
      </w:pPr>
      <w:r>
        <w:rPr>
          <w:rFonts w:hint="eastAsia"/>
          <w:sz w:val="21"/>
          <w:szCs w:val="21"/>
        </w:rPr>
        <w:t>（1）基金投资于银行存款时，基金管理人应当依据基金管理人与存款银行签订的《总体合作协议》、《存款协议书》等，以基金的名义在存款银行总行或授权分行指定的分支机构开立银行账户。</w:t>
      </w:r>
    </w:p>
    <w:p w14:paraId="1C0A9354">
      <w:pPr>
        <w:pStyle w:val="8"/>
        <w:spacing w:before="0" w:beforeAutospacing="0" w:after="0" w:afterAutospacing="0" w:line="360" w:lineRule="auto"/>
        <w:ind w:firstLine="420"/>
        <w:rPr>
          <w:sz w:val="21"/>
          <w:szCs w:val="21"/>
        </w:rPr>
      </w:pPr>
      <w:r>
        <w:rPr>
          <w:rFonts w:hint="eastAsia"/>
          <w:sz w:val="21"/>
          <w:szCs w:val="21"/>
        </w:rPr>
        <w:t>（2）基金投资于银行存款时的预留印鉴由基金托管人保管和使用。</w:t>
      </w:r>
    </w:p>
    <w:p w14:paraId="0AFD3BCC">
      <w:pPr>
        <w:pStyle w:val="8"/>
        <w:spacing w:before="0" w:beforeAutospacing="0" w:after="0" w:afterAutospacing="0" w:line="360" w:lineRule="auto"/>
        <w:ind w:firstLine="420"/>
        <w:rPr>
          <w:sz w:val="21"/>
          <w:szCs w:val="21"/>
        </w:rPr>
      </w:pPr>
      <w:r>
        <w:rPr>
          <w:rFonts w:hint="eastAsia"/>
          <w:sz w:val="21"/>
          <w:szCs w:val="21"/>
        </w:rPr>
        <w:t>3.存款凭证传递、账目核对及到期兑付</w:t>
      </w:r>
    </w:p>
    <w:p w14:paraId="4A15DC04">
      <w:pPr>
        <w:pStyle w:val="8"/>
        <w:spacing w:before="0" w:beforeAutospacing="0" w:after="0" w:afterAutospacing="0" w:line="360" w:lineRule="auto"/>
        <w:ind w:firstLine="420"/>
        <w:rPr>
          <w:sz w:val="21"/>
          <w:szCs w:val="21"/>
        </w:rPr>
      </w:pPr>
      <w:r>
        <w:rPr>
          <w:rFonts w:hint="eastAsia"/>
          <w:sz w:val="21"/>
          <w:szCs w:val="21"/>
        </w:rPr>
        <w:t>（1）存款证实书等存款凭证传递</w:t>
      </w:r>
    </w:p>
    <w:p w14:paraId="6A9A1802">
      <w:pPr>
        <w:pStyle w:val="8"/>
        <w:spacing w:before="0" w:beforeAutospacing="0" w:after="0" w:afterAutospacing="0" w:line="360" w:lineRule="auto"/>
        <w:ind w:firstLine="420"/>
        <w:rPr>
          <w:sz w:val="21"/>
          <w:szCs w:val="21"/>
        </w:rPr>
      </w:pPr>
      <w:r>
        <w:rPr>
          <w:rFonts w:hint="eastAsia"/>
          <w:sz w:val="21"/>
          <w:szCs w:val="21"/>
        </w:rPr>
        <w:t>存款资金只能存放于存款银行总行或者其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14:paraId="380CB239">
      <w:pPr>
        <w:pStyle w:val="8"/>
        <w:spacing w:before="0" w:beforeAutospacing="0" w:after="0" w:afterAutospacing="0" w:line="360" w:lineRule="auto"/>
        <w:ind w:firstLine="420"/>
        <w:rPr>
          <w:sz w:val="21"/>
          <w:szCs w:val="21"/>
        </w:rPr>
      </w:pPr>
      <w:r>
        <w:rPr>
          <w:rFonts w:hint="eastAsia"/>
          <w:sz w:val="21"/>
          <w:szCs w:val="21"/>
        </w:rPr>
        <w:t>（2）存款凭证的遗失补办</w:t>
      </w:r>
    </w:p>
    <w:p w14:paraId="70855C3D">
      <w:pPr>
        <w:pStyle w:val="8"/>
        <w:spacing w:before="0" w:beforeAutospacing="0" w:after="0" w:afterAutospacing="0" w:line="360" w:lineRule="auto"/>
        <w:ind w:firstLine="420"/>
        <w:rPr>
          <w:sz w:val="21"/>
          <w:szCs w:val="21"/>
        </w:rPr>
      </w:pPr>
      <w:r>
        <w:rPr>
          <w:rFonts w:hint="eastAsia"/>
          <w:sz w:val="21"/>
          <w:szCs w:val="21"/>
        </w:rPr>
        <w:t>存款凭证在邮寄过程中遗失的，由基金管理人向存款银行提出补办申请，基金管理人应督促存款银行尽快补办存款凭证，并按以上（1）的方式快递或上门交付至基金托管人，原存款凭证自动作废。</w:t>
      </w:r>
    </w:p>
    <w:p w14:paraId="30810965">
      <w:pPr>
        <w:pStyle w:val="8"/>
        <w:spacing w:before="0" w:beforeAutospacing="0" w:after="0" w:afterAutospacing="0" w:line="360" w:lineRule="auto"/>
        <w:ind w:firstLine="420"/>
        <w:rPr>
          <w:sz w:val="21"/>
          <w:szCs w:val="21"/>
        </w:rPr>
      </w:pPr>
      <w:r>
        <w:rPr>
          <w:rFonts w:hint="eastAsia"/>
          <w:sz w:val="21"/>
          <w:szCs w:val="21"/>
        </w:rPr>
        <w:t>（3）账目核对</w:t>
      </w:r>
    </w:p>
    <w:p w14:paraId="7871224C">
      <w:pPr>
        <w:pStyle w:val="8"/>
        <w:spacing w:before="0" w:beforeAutospacing="0" w:after="0" w:afterAutospacing="0" w:line="360" w:lineRule="auto"/>
        <w:ind w:firstLine="420"/>
        <w:rPr>
          <w:sz w:val="21"/>
          <w:szCs w:val="21"/>
        </w:rPr>
      </w:pPr>
      <w:r>
        <w:rPr>
          <w:rFonts w:hint="eastAsia"/>
          <w:sz w:val="21"/>
          <w:szCs w:val="21"/>
        </w:rPr>
        <w:t>每个工作日，基金管理人应与基金托管人核对各项银行存款投资余额及应计利息。</w:t>
      </w:r>
    </w:p>
    <w:p w14:paraId="6EEACDE0">
      <w:pPr>
        <w:pStyle w:val="8"/>
        <w:spacing w:before="0" w:beforeAutospacing="0" w:after="0" w:afterAutospacing="0" w:line="360" w:lineRule="auto"/>
        <w:ind w:firstLine="420"/>
        <w:rPr>
          <w:sz w:val="21"/>
          <w:szCs w:val="21"/>
        </w:rPr>
      </w:pPr>
      <w:r>
        <w:rPr>
          <w:rFonts w:hint="eastAsia"/>
          <w:sz w:val="21"/>
          <w:szCs w:val="21"/>
        </w:rPr>
        <w:t>基金管理人应在《存款协议书》中规定，对于存期超过3个月的定期存款，基金托管人于每季度向存款银行发起查询查复，存款银行应按照人行查询查复的有关时限要求及时回复。基金管理人有责任督促存款银行及时回复查询查复。因存款银行未及时回复造成的资金被挪用、盗取的责任由存款银行承担。</w:t>
      </w:r>
    </w:p>
    <w:p w14:paraId="0803C2EB">
      <w:pPr>
        <w:pStyle w:val="8"/>
        <w:spacing w:before="0" w:beforeAutospacing="0" w:after="0" w:afterAutospacing="0" w:line="360" w:lineRule="auto"/>
        <w:ind w:firstLine="420"/>
        <w:rPr>
          <w:sz w:val="21"/>
          <w:szCs w:val="21"/>
        </w:rPr>
      </w:pPr>
      <w:r>
        <w:rPr>
          <w:rFonts w:hint="eastAsia"/>
          <w:sz w:val="21"/>
          <w:szCs w:val="21"/>
        </w:rPr>
        <w:t>存款银行应配合基金托管人对存款凭证的询证，并在询证函上加盖存款银行公章寄送至基金托管人指定联系人。</w:t>
      </w:r>
    </w:p>
    <w:p w14:paraId="32E795E5">
      <w:pPr>
        <w:pStyle w:val="8"/>
        <w:spacing w:before="0" w:beforeAutospacing="0" w:after="0" w:afterAutospacing="0" w:line="360" w:lineRule="auto"/>
        <w:ind w:firstLine="420"/>
        <w:rPr>
          <w:sz w:val="21"/>
          <w:szCs w:val="21"/>
        </w:rPr>
      </w:pPr>
      <w:r>
        <w:rPr>
          <w:rFonts w:hint="eastAsia"/>
          <w:sz w:val="21"/>
          <w:szCs w:val="21"/>
        </w:rPr>
        <w:t>（4）到期兑付</w:t>
      </w:r>
    </w:p>
    <w:p w14:paraId="61D618AE">
      <w:pPr>
        <w:pStyle w:val="8"/>
        <w:spacing w:before="0" w:beforeAutospacing="0" w:after="0" w:afterAutospacing="0" w:line="360" w:lineRule="auto"/>
        <w:ind w:firstLine="420"/>
        <w:rPr>
          <w:sz w:val="21"/>
          <w:szCs w:val="21"/>
        </w:rPr>
      </w:pPr>
      <w:r>
        <w:rPr>
          <w:rFonts w:hint="eastAsia"/>
          <w:sz w:val="21"/>
          <w:szCs w:val="21"/>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14:paraId="778DAA3B">
      <w:pPr>
        <w:pStyle w:val="8"/>
        <w:spacing w:before="0" w:beforeAutospacing="0" w:after="0" w:afterAutospacing="0" w:line="360" w:lineRule="auto"/>
        <w:ind w:firstLine="420"/>
        <w:rPr>
          <w:sz w:val="21"/>
          <w:szCs w:val="21"/>
        </w:rPr>
      </w:pPr>
      <w:r>
        <w:rPr>
          <w:rFonts w:hint="eastAsia"/>
          <w:sz w:val="21"/>
          <w:szCs w:val="21"/>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14:paraId="5653B440">
      <w:pPr>
        <w:pStyle w:val="8"/>
        <w:spacing w:before="0" w:beforeAutospacing="0" w:after="0" w:afterAutospacing="0" w:line="360" w:lineRule="auto"/>
        <w:ind w:firstLine="420"/>
        <w:rPr>
          <w:sz w:val="21"/>
          <w:szCs w:val="21"/>
        </w:rPr>
      </w:pPr>
      <w:r>
        <w:rPr>
          <w:rFonts w:hint="eastAsia"/>
          <w:sz w:val="21"/>
          <w:szCs w:val="21"/>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如果存款到期日为法定节假日，存款银行顺延至到期后第一个工作日支付，存款银行需按《存款协议书》约定利率和实际延期天数支付延期利息。</w:t>
      </w:r>
    </w:p>
    <w:p w14:paraId="447AFE60">
      <w:pPr>
        <w:pStyle w:val="8"/>
        <w:spacing w:before="0" w:beforeAutospacing="0" w:after="0" w:afterAutospacing="0" w:line="360" w:lineRule="auto"/>
        <w:ind w:firstLine="420"/>
        <w:rPr>
          <w:sz w:val="21"/>
          <w:szCs w:val="21"/>
        </w:rPr>
      </w:pPr>
      <w:r>
        <w:rPr>
          <w:rFonts w:hint="eastAsia"/>
          <w:sz w:val="21"/>
          <w:szCs w:val="21"/>
        </w:rPr>
        <w:t>4.提前支取</w:t>
      </w:r>
    </w:p>
    <w:p w14:paraId="0E6CB593">
      <w:pPr>
        <w:pStyle w:val="8"/>
        <w:spacing w:before="0" w:beforeAutospacing="0" w:after="0" w:afterAutospacing="0" w:line="360" w:lineRule="auto"/>
        <w:ind w:firstLine="420"/>
        <w:rPr>
          <w:sz w:val="21"/>
          <w:szCs w:val="21"/>
        </w:rPr>
      </w:pPr>
      <w:r>
        <w:rPr>
          <w:rFonts w:hint="eastAsia"/>
          <w:sz w:val="21"/>
          <w:szCs w:val="21"/>
        </w:rPr>
        <w:t>如果在存款期限内，由于基金规模发生缩减的原因或者出于流动性管理的需要等原因，基金管理人可以提前支取全部或部分资金。</w:t>
      </w:r>
    </w:p>
    <w:p w14:paraId="43CCBF78">
      <w:pPr>
        <w:pStyle w:val="8"/>
        <w:spacing w:before="0" w:beforeAutospacing="0" w:after="0" w:afterAutospacing="0" w:line="360" w:lineRule="auto"/>
        <w:ind w:firstLine="420"/>
        <w:rPr>
          <w:sz w:val="21"/>
          <w:szCs w:val="21"/>
        </w:rPr>
      </w:pPr>
      <w:r>
        <w:rPr>
          <w:rFonts w:hint="eastAsia"/>
          <w:sz w:val="21"/>
          <w:szCs w:val="21"/>
        </w:rPr>
        <w:t>提前支取的具体事项按照基金管理人与存款银行签订的《存款协议书》执行。</w:t>
      </w:r>
    </w:p>
    <w:p w14:paraId="329FFBB7">
      <w:pPr>
        <w:pStyle w:val="8"/>
        <w:spacing w:before="0" w:beforeAutospacing="0" w:after="0" w:afterAutospacing="0" w:line="360" w:lineRule="auto"/>
        <w:ind w:firstLine="420"/>
        <w:rPr>
          <w:sz w:val="21"/>
          <w:szCs w:val="21"/>
        </w:rPr>
      </w:pPr>
      <w:r>
        <w:rPr>
          <w:rFonts w:hint="eastAsia"/>
          <w:sz w:val="21"/>
          <w:szCs w:val="21"/>
        </w:rPr>
        <w:t>5.基金投资银行存款的监督</w:t>
      </w:r>
    </w:p>
    <w:p w14:paraId="53FC5323">
      <w:pPr>
        <w:pStyle w:val="8"/>
        <w:spacing w:before="0" w:beforeAutospacing="0" w:after="0" w:afterAutospacing="0" w:line="360" w:lineRule="auto"/>
        <w:ind w:firstLine="420"/>
        <w:rPr>
          <w:sz w:val="21"/>
          <w:szCs w:val="21"/>
        </w:rPr>
      </w:pPr>
      <w:r>
        <w:rPr>
          <w:rFonts w:hint="eastAsia"/>
          <w:sz w:val="21"/>
          <w:szCs w:val="21"/>
        </w:rPr>
        <w:t>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因基金管理人拒不执行造成基金财产损失的，相关损失由基金管理人承担，基金托管人不承担相应责任。</w:t>
      </w:r>
    </w:p>
    <w:p w14:paraId="47D59330">
      <w:pPr>
        <w:pStyle w:val="8"/>
        <w:spacing w:before="0" w:beforeAutospacing="0" w:after="0" w:afterAutospacing="0" w:line="360" w:lineRule="auto"/>
        <w:ind w:firstLine="420"/>
        <w:rPr>
          <w:sz w:val="21"/>
          <w:szCs w:val="21"/>
        </w:rPr>
      </w:pPr>
      <w:r>
        <w:rPr>
          <w:rFonts w:hint="eastAsia"/>
          <w:sz w:val="21"/>
          <w:szCs w:val="21"/>
        </w:rPr>
        <w:t>（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如基金管理人在基金投资运作之前未向基金托管人提供银行间债券市场交易对手名单的，视为基金管理人认可全市场交易对手。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14:paraId="6841E4BC">
      <w:pPr>
        <w:pStyle w:val="8"/>
        <w:spacing w:before="0" w:beforeAutospacing="0" w:after="0" w:afterAutospacing="0" w:line="360" w:lineRule="auto"/>
        <w:ind w:firstLine="420"/>
        <w:rPr>
          <w:sz w:val="21"/>
          <w:szCs w:val="21"/>
        </w:rPr>
      </w:pPr>
      <w:r>
        <w:rPr>
          <w:rFonts w:hint="eastAsia"/>
          <w:sz w:val="21"/>
          <w:szCs w:val="21"/>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相应损失和责任。</w:t>
      </w:r>
    </w:p>
    <w:p w14:paraId="3E665328">
      <w:pPr>
        <w:pStyle w:val="8"/>
        <w:spacing w:before="0" w:beforeAutospacing="0" w:after="0" w:afterAutospacing="0" w:line="360" w:lineRule="auto"/>
        <w:ind w:firstLine="420"/>
        <w:rPr>
          <w:sz w:val="21"/>
          <w:szCs w:val="21"/>
        </w:rPr>
      </w:pPr>
      <w:r>
        <w:rPr>
          <w:rFonts w:hint="eastAsia"/>
          <w:sz w:val="21"/>
          <w:szCs w:val="21"/>
        </w:rPr>
        <w:t>（五）本基金投资流通受限证券，应遵守《关于基金投资非公开发行股票等流通受限证券有关问题的通知》等有关监管规定。</w:t>
      </w:r>
    </w:p>
    <w:p w14:paraId="3D892022">
      <w:pPr>
        <w:pStyle w:val="8"/>
        <w:spacing w:before="0" w:beforeAutospacing="0" w:after="0" w:afterAutospacing="0" w:line="360" w:lineRule="auto"/>
        <w:ind w:firstLine="420"/>
        <w:rPr>
          <w:sz w:val="21"/>
          <w:szCs w:val="21"/>
        </w:rPr>
      </w:pPr>
      <w:r>
        <w:rPr>
          <w:rFonts w:hint="eastAsia"/>
          <w:sz w:val="21"/>
          <w:szCs w:val="21"/>
        </w:rPr>
        <w:t>1.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14:paraId="7A805955">
      <w:pPr>
        <w:pStyle w:val="8"/>
        <w:spacing w:before="0" w:beforeAutospacing="0" w:after="0" w:afterAutospacing="0" w:line="360" w:lineRule="auto"/>
        <w:ind w:firstLine="420"/>
        <w:rPr>
          <w:sz w:val="21"/>
          <w:szCs w:val="21"/>
        </w:rPr>
      </w:pPr>
      <w:r>
        <w:rPr>
          <w:rFonts w:hint="eastAsia"/>
          <w:sz w:val="21"/>
          <w:szCs w:val="21"/>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14:paraId="00625CE9">
      <w:pPr>
        <w:pStyle w:val="8"/>
        <w:spacing w:before="0" w:beforeAutospacing="0" w:after="0" w:afterAutospacing="0" w:line="360" w:lineRule="auto"/>
        <w:ind w:firstLine="420"/>
        <w:rPr>
          <w:sz w:val="21"/>
          <w:szCs w:val="21"/>
        </w:rPr>
      </w:pPr>
      <w:r>
        <w:rPr>
          <w:rFonts w:hint="eastAsia"/>
          <w:sz w:val="21"/>
          <w:szCs w:val="21"/>
        </w:rPr>
        <w:t>本基金不得投资未经中国证监会批准的非公开发行证券。</w:t>
      </w:r>
    </w:p>
    <w:p w14:paraId="1FDAF2DF">
      <w:pPr>
        <w:pStyle w:val="8"/>
        <w:spacing w:before="0" w:beforeAutospacing="0" w:after="0" w:afterAutospacing="0" w:line="360" w:lineRule="auto"/>
        <w:ind w:firstLine="420"/>
        <w:rPr>
          <w:sz w:val="21"/>
          <w:szCs w:val="21"/>
        </w:rPr>
      </w:pPr>
      <w:r>
        <w:rPr>
          <w:rFonts w:hint="eastAsia"/>
          <w:sz w:val="21"/>
          <w:szCs w:val="21"/>
        </w:rPr>
        <w:t>本基金不得投资有锁定期但锁定期不明确的证券。</w:t>
      </w:r>
    </w:p>
    <w:p w14:paraId="61D1540B">
      <w:pPr>
        <w:pStyle w:val="8"/>
        <w:spacing w:before="0" w:beforeAutospacing="0" w:after="0" w:afterAutospacing="0" w:line="360" w:lineRule="auto"/>
        <w:ind w:firstLine="420"/>
        <w:rPr>
          <w:sz w:val="21"/>
          <w:szCs w:val="21"/>
        </w:rPr>
      </w:pPr>
      <w:r>
        <w:rPr>
          <w:rFonts w:hint="eastAsia"/>
          <w:sz w:val="21"/>
          <w:szCs w:val="21"/>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14:paraId="352A3C43">
      <w:pPr>
        <w:pStyle w:val="8"/>
        <w:spacing w:before="0" w:beforeAutospacing="0" w:after="0" w:afterAutospacing="0" w:line="360" w:lineRule="auto"/>
        <w:ind w:firstLine="420"/>
        <w:rPr>
          <w:sz w:val="21"/>
          <w:szCs w:val="21"/>
        </w:rPr>
      </w:pPr>
      <w:r>
        <w:rPr>
          <w:rFonts w:hint="eastAsia"/>
          <w:sz w:val="21"/>
          <w:szCs w:val="21"/>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14:paraId="35C4B067">
      <w:pPr>
        <w:pStyle w:val="8"/>
        <w:spacing w:before="0" w:beforeAutospacing="0" w:after="0" w:afterAutospacing="0" w:line="360" w:lineRule="auto"/>
        <w:ind w:firstLine="420"/>
        <w:rPr>
          <w:sz w:val="21"/>
          <w:szCs w:val="21"/>
        </w:rPr>
      </w:pPr>
      <w:r>
        <w:rPr>
          <w:rFonts w:hint="eastAsia"/>
          <w:sz w:val="21"/>
          <w:szCs w:val="21"/>
        </w:rPr>
        <w:t>基金管理人对本基金投资流通受限证券的流动性风险负责，确保对相关风险采取积极有效的措施，在合理的时间内有效解决基金运作的流动性问题。如巨额赎回或因市场发生剧烈变动等原因而导致基金现金周转困难时，基金管理人应保证提供足额现金确保基金的支付结算，并承担所有损失。对本基金因投资流通受限证券导致的流动性风险，基金托管人不承担相应责任。</w:t>
      </w:r>
    </w:p>
    <w:p w14:paraId="6A567BFF">
      <w:pPr>
        <w:pStyle w:val="8"/>
        <w:spacing w:before="0" w:beforeAutospacing="0" w:after="0" w:afterAutospacing="0" w:line="360" w:lineRule="auto"/>
        <w:ind w:firstLine="420"/>
        <w:rPr>
          <w:sz w:val="21"/>
          <w:szCs w:val="21"/>
        </w:rPr>
      </w:pPr>
      <w:r>
        <w:rPr>
          <w:rFonts w:hint="eastAsia"/>
          <w:sz w:val="21"/>
          <w:szCs w:val="21"/>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14:paraId="78C764D5">
      <w:pPr>
        <w:pStyle w:val="8"/>
        <w:spacing w:before="0" w:beforeAutospacing="0" w:after="0" w:afterAutospacing="0" w:line="360" w:lineRule="auto"/>
        <w:ind w:firstLine="420"/>
        <w:rPr>
          <w:sz w:val="21"/>
          <w:szCs w:val="21"/>
        </w:rPr>
      </w:pPr>
      <w:r>
        <w:rPr>
          <w:rFonts w:hint="eastAsia"/>
          <w:sz w:val="21"/>
          <w:szCs w:val="21"/>
        </w:rPr>
        <w:t>由于基金管理人未及时提供有关证券的具体的必要的信息，致使基金托管人无法审核认购指令而影响认购款项划拨的，基金托管人免于承担责任。</w:t>
      </w:r>
    </w:p>
    <w:p w14:paraId="56060321">
      <w:pPr>
        <w:pStyle w:val="8"/>
        <w:spacing w:before="0" w:beforeAutospacing="0" w:after="0" w:afterAutospacing="0" w:line="360" w:lineRule="auto"/>
        <w:ind w:firstLine="420"/>
        <w:rPr>
          <w:sz w:val="21"/>
          <w:szCs w:val="21"/>
        </w:rPr>
      </w:pPr>
      <w:r>
        <w:rPr>
          <w:rFonts w:hint="eastAsia"/>
          <w:sz w:val="21"/>
          <w:szCs w:val="21"/>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14:paraId="247BEC75">
      <w:pPr>
        <w:pStyle w:val="8"/>
        <w:spacing w:before="0" w:beforeAutospacing="0" w:after="0" w:afterAutospacing="0" w:line="360" w:lineRule="auto"/>
        <w:ind w:firstLine="420"/>
        <w:rPr>
          <w:sz w:val="21"/>
          <w:szCs w:val="21"/>
        </w:rPr>
      </w:pPr>
      <w:r>
        <w:rPr>
          <w:rFonts w:hint="eastAsia"/>
          <w:sz w:val="21"/>
          <w:szCs w:val="21"/>
        </w:rPr>
        <w:t>5.基金管理人应在基金投资非公开发行股票后两个交易日内，在中国证监会规定媒介披露所投资非公开发行股票的名称、数量、总成本、账面价值，以及总成本和账面价值占基金资产净值的比例、锁定期等信息。</w:t>
      </w:r>
    </w:p>
    <w:p w14:paraId="69779D83">
      <w:pPr>
        <w:pStyle w:val="8"/>
        <w:spacing w:before="0" w:beforeAutospacing="0" w:after="0" w:afterAutospacing="0" w:line="360" w:lineRule="auto"/>
        <w:ind w:firstLine="420"/>
        <w:rPr>
          <w:sz w:val="21"/>
          <w:szCs w:val="21"/>
        </w:rPr>
      </w:pPr>
      <w:r>
        <w:rPr>
          <w:rFonts w:hint="eastAsia"/>
          <w:sz w:val="21"/>
          <w:szCs w:val="21"/>
        </w:rPr>
        <w:t>（六）基金管理人应当对投资中期票据业务进行研究，认真评估中期票据投资业务的风险，本着审慎、勤勉尽责的原则进行中期票据的投资业务，并应符合法律法规及监管机构的相关规定。</w:t>
      </w:r>
    </w:p>
    <w:p w14:paraId="2C073F13">
      <w:pPr>
        <w:pStyle w:val="8"/>
        <w:spacing w:before="0" w:beforeAutospacing="0" w:after="0" w:afterAutospacing="0" w:line="360" w:lineRule="auto"/>
        <w:ind w:firstLine="420"/>
        <w:rPr>
          <w:sz w:val="21"/>
          <w:szCs w:val="21"/>
        </w:rPr>
      </w:pPr>
      <w:r>
        <w:rPr>
          <w:rFonts w:hint="eastAsia"/>
          <w:sz w:val="21"/>
          <w:szCs w:val="21"/>
        </w:rPr>
        <w:t>（七）基金托管人根据有关法律法规的规定及《基金合同》的约定，对基金资产净值计算、各类基金份额净值计算、基金费用开支及收入确定、基金收益分配、相关信息披露、基金宣传推介材料中登载基金业绩表现数据等进行监督和核查。</w:t>
      </w:r>
    </w:p>
    <w:p w14:paraId="5AA9A73B">
      <w:pPr>
        <w:pStyle w:val="8"/>
        <w:spacing w:before="0" w:beforeAutospacing="0" w:after="0" w:afterAutospacing="0" w:line="360" w:lineRule="auto"/>
        <w:ind w:firstLine="420"/>
        <w:rPr>
          <w:sz w:val="21"/>
          <w:szCs w:val="21"/>
        </w:rPr>
      </w:pPr>
      <w:r>
        <w:rPr>
          <w:rFonts w:hint="eastAsia"/>
          <w:sz w:val="21"/>
          <w:szCs w:val="21"/>
        </w:rPr>
        <w:t>（八）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合理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14:paraId="610C5B90">
      <w:pPr>
        <w:pStyle w:val="8"/>
        <w:spacing w:before="0" w:beforeAutospacing="0" w:after="0" w:afterAutospacing="0" w:line="360" w:lineRule="auto"/>
        <w:ind w:firstLine="420"/>
        <w:rPr>
          <w:sz w:val="21"/>
          <w:szCs w:val="21"/>
        </w:rPr>
      </w:pPr>
      <w:r>
        <w:rPr>
          <w:rFonts w:hint="eastAsia"/>
          <w:sz w:val="21"/>
          <w:szCs w:val="21"/>
        </w:rPr>
        <w:t>（九）基金管理人有义务配合和协助基金托管人依照法律法规、《基金合同》和本托管协议对基金业务执行核查。包括但不限于：对基金托管人发出的提示，基金管理人应在规定时间内答复并改正，或就基金托管人的合理疑义进行解释或举证；对基金托管人按照法律法规、基金合同和本托管协议的要求需向中国证监会报送基金监督报告的事项，基金管理人应积极配合提供相关数据资料和制度等。</w:t>
      </w:r>
    </w:p>
    <w:p w14:paraId="4029BF71">
      <w:pPr>
        <w:pStyle w:val="8"/>
        <w:spacing w:before="0" w:beforeAutospacing="0" w:after="0" w:afterAutospacing="0" w:line="360" w:lineRule="auto"/>
        <w:ind w:firstLine="420"/>
        <w:rPr>
          <w:sz w:val="21"/>
          <w:szCs w:val="21"/>
        </w:rPr>
      </w:pPr>
      <w:r>
        <w:rPr>
          <w:rFonts w:hint="eastAsia"/>
          <w:sz w:val="21"/>
          <w:szCs w:val="21"/>
        </w:rPr>
        <w:t>（十）若基金托管人发现基金管理人依据交易程序已经生效的指令违反法律、行政法规和其他有关规定，或者违反基金合同约定的，应当立即通知基金管理人及时纠正，由此造成的损失由基金管理人承担，基金托管人在履行其通知义务后，予以免责。</w:t>
      </w:r>
    </w:p>
    <w:p w14:paraId="181A22BB">
      <w:pPr>
        <w:pStyle w:val="8"/>
        <w:spacing w:before="0" w:beforeAutospacing="0" w:after="0" w:afterAutospacing="0" w:line="360" w:lineRule="auto"/>
        <w:ind w:firstLine="420"/>
        <w:rPr>
          <w:sz w:val="21"/>
          <w:szCs w:val="21"/>
        </w:rPr>
      </w:pPr>
      <w:r>
        <w:rPr>
          <w:rFonts w:hint="eastAsia"/>
          <w:sz w:val="21"/>
          <w:szCs w:val="21"/>
        </w:rPr>
        <w:t>（十一）基金托管人发现基金管理人有重大违规行为，应及时报告中国证监会，同时通知基金管理人限期纠正。</w:t>
      </w:r>
    </w:p>
    <w:p w14:paraId="15E962CF">
      <w:pPr>
        <w:pStyle w:val="8"/>
        <w:spacing w:before="0" w:beforeAutospacing="0" w:after="0" w:afterAutospacing="0" w:line="360" w:lineRule="auto"/>
        <w:ind w:firstLine="420"/>
        <w:rPr>
          <w:sz w:val="21"/>
          <w:szCs w:val="21"/>
        </w:rPr>
      </w:pPr>
      <w:r>
        <w:rPr>
          <w:rStyle w:val="12"/>
          <w:rFonts w:hint="eastAsia"/>
          <w:sz w:val="21"/>
          <w:szCs w:val="21"/>
        </w:rPr>
        <w:t>三、基金管理人对基金托管人的业务核查</w:t>
      </w:r>
    </w:p>
    <w:p w14:paraId="29E93708">
      <w:pPr>
        <w:pStyle w:val="8"/>
        <w:spacing w:before="0" w:beforeAutospacing="0" w:after="0" w:afterAutospacing="0" w:line="360" w:lineRule="auto"/>
        <w:ind w:firstLine="420"/>
        <w:rPr>
          <w:sz w:val="21"/>
          <w:szCs w:val="21"/>
        </w:rPr>
      </w:pPr>
      <w:r>
        <w:rPr>
          <w:rFonts w:hint="eastAsia"/>
          <w:sz w:val="21"/>
          <w:szCs w:val="21"/>
        </w:rPr>
        <w:t>（一）基金管理人对基金托管人履行托管职责情况进行核查，核查事项包括基金托管人安全保管基金财产、开设基金财产的资金账户、证券账户等投资所需账户、复核基金管理人计算的基金资产净值和各类基金份额净值、根据基金管理人指令办理清算交收、相关信息披露和监督基金投资运作等行为。</w:t>
      </w:r>
    </w:p>
    <w:p w14:paraId="1C95F62A">
      <w:pPr>
        <w:pStyle w:val="8"/>
        <w:spacing w:before="0" w:beforeAutospacing="0" w:after="0" w:afterAutospacing="0" w:line="360" w:lineRule="auto"/>
        <w:ind w:firstLine="420"/>
        <w:rPr>
          <w:sz w:val="21"/>
          <w:szCs w:val="21"/>
        </w:rPr>
      </w:pPr>
      <w:r>
        <w:rPr>
          <w:rFonts w:hint="eastAsia"/>
          <w:sz w:val="21"/>
          <w:szCs w:val="21"/>
        </w:rPr>
        <w:t>（二）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14:paraId="08B8F1F3">
      <w:pPr>
        <w:pStyle w:val="8"/>
        <w:spacing w:before="0" w:beforeAutospacing="0" w:after="0" w:afterAutospacing="0" w:line="360" w:lineRule="auto"/>
        <w:ind w:firstLine="420"/>
        <w:rPr>
          <w:sz w:val="21"/>
          <w:szCs w:val="21"/>
        </w:rPr>
      </w:pPr>
      <w:r>
        <w:rPr>
          <w:rFonts w:hint="eastAsia"/>
          <w:sz w:val="21"/>
          <w:szCs w:val="21"/>
        </w:rPr>
        <w:t>（三）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14:paraId="7E62D2A2">
      <w:pPr>
        <w:pStyle w:val="8"/>
        <w:spacing w:before="0" w:beforeAutospacing="0" w:after="0" w:afterAutospacing="0" w:line="360" w:lineRule="auto"/>
        <w:ind w:firstLine="420"/>
        <w:rPr>
          <w:sz w:val="21"/>
          <w:szCs w:val="21"/>
        </w:rPr>
      </w:pPr>
      <w:r>
        <w:rPr>
          <w:rFonts w:hint="eastAsia"/>
          <w:sz w:val="21"/>
          <w:szCs w:val="21"/>
        </w:rPr>
        <w:t>（四）基金管理人发现基金托管人有重大违规行为，应及时报告中国证监会，同时通知基金托管人限期纠正，并将纠正结果报告中国证监会。</w:t>
      </w:r>
    </w:p>
    <w:p w14:paraId="2CAAA94D">
      <w:pPr>
        <w:pStyle w:val="8"/>
        <w:spacing w:before="0" w:beforeAutospacing="0" w:after="0" w:afterAutospacing="0" w:line="360" w:lineRule="auto"/>
        <w:ind w:firstLine="420"/>
        <w:rPr>
          <w:sz w:val="21"/>
          <w:szCs w:val="21"/>
        </w:rPr>
      </w:pPr>
      <w:r>
        <w:rPr>
          <w:rStyle w:val="12"/>
          <w:rFonts w:hint="eastAsia"/>
          <w:sz w:val="21"/>
          <w:szCs w:val="21"/>
        </w:rPr>
        <w:t>四、基金财产保管</w:t>
      </w:r>
    </w:p>
    <w:p w14:paraId="24F52FDF">
      <w:pPr>
        <w:pStyle w:val="8"/>
        <w:spacing w:before="0" w:beforeAutospacing="0" w:after="0" w:afterAutospacing="0" w:line="360" w:lineRule="auto"/>
        <w:ind w:firstLine="420"/>
        <w:rPr>
          <w:sz w:val="21"/>
          <w:szCs w:val="21"/>
        </w:rPr>
      </w:pPr>
      <w:r>
        <w:rPr>
          <w:rFonts w:hint="eastAsia"/>
          <w:sz w:val="21"/>
          <w:szCs w:val="21"/>
        </w:rPr>
        <w:t>（一）基金财产保管的原则</w:t>
      </w:r>
    </w:p>
    <w:p w14:paraId="1C785B3B">
      <w:pPr>
        <w:pStyle w:val="8"/>
        <w:spacing w:before="0" w:beforeAutospacing="0" w:after="0" w:afterAutospacing="0" w:line="360" w:lineRule="auto"/>
        <w:ind w:firstLine="420"/>
        <w:rPr>
          <w:sz w:val="21"/>
          <w:szCs w:val="21"/>
        </w:rPr>
      </w:pPr>
      <w:r>
        <w:rPr>
          <w:rFonts w:hint="eastAsia"/>
          <w:sz w:val="21"/>
          <w:szCs w:val="21"/>
        </w:rPr>
        <w:t>1.基金财产应独立于基金管理人、基金托管人的固有财产。</w:t>
      </w:r>
    </w:p>
    <w:p w14:paraId="70A3E004">
      <w:pPr>
        <w:pStyle w:val="8"/>
        <w:spacing w:before="0" w:beforeAutospacing="0" w:after="0" w:afterAutospacing="0" w:line="360" w:lineRule="auto"/>
        <w:ind w:firstLine="420"/>
        <w:rPr>
          <w:sz w:val="21"/>
          <w:szCs w:val="21"/>
        </w:rPr>
      </w:pPr>
      <w:r>
        <w:rPr>
          <w:rFonts w:hint="eastAsia"/>
          <w:sz w:val="21"/>
          <w:szCs w:val="21"/>
        </w:rPr>
        <w:t>2.基金托管人应安全保管基金财产。</w:t>
      </w:r>
    </w:p>
    <w:p w14:paraId="09F2A0D1">
      <w:pPr>
        <w:pStyle w:val="8"/>
        <w:spacing w:before="0" w:beforeAutospacing="0" w:after="0" w:afterAutospacing="0" w:line="360" w:lineRule="auto"/>
        <w:ind w:firstLine="420"/>
        <w:rPr>
          <w:sz w:val="21"/>
          <w:szCs w:val="21"/>
        </w:rPr>
      </w:pPr>
      <w:r>
        <w:rPr>
          <w:rFonts w:hint="eastAsia"/>
          <w:sz w:val="21"/>
          <w:szCs w:val="21"/>
        </w:rPr>
        <w:t>3.基金托管人按照规定开设资金账户、证券账户等投资所需的相关账户。</w:t>
      </w:r>
    </w:p>
    <w:p w14:paraId="20495A53">
      <w:pPr>
        <w:pStyle w:val="8"/>
        <w:spacing w:before="0" w:beforeAutospacing="0" w:after="0" w:afterAutospacing="0" w:line="360" w:lineRule="auto"/>
        <w:ind w:firstLine="420"/>
        <w:rPr>
          <w:sz w:val="21"/>
          <w:szCs w:val="21"/>
        </w:rPr>
      </w:pPr>
      <w:r>
        <w:rPr>
          <w:rFonts w:hint="eastAsia"/>
          <w:sz w:val="21"/>
          <w:szCs w:val="21"/>
        </w:rPr>
        <w:t>4.基金托管人对所托管的不同基金财产分别设置账户，分账管理，独立核算，确保基金财产的完整与独立。</w:t>
      </w:r>
    </w:p>
    <w:p w14:paraId="56672AE9">
      <w:pPr>
        <w:pStyle w:val="8"/>
        <w:spacing w:before="0" w:beforeAutospacing="0" w:after="0" w:afterAutospacing="0" w:line="360" w:lineRule="auto"/>
        <w:ind w:firstLine="420"/>
        <w:rPr>
          <w:sz w:val="21"/>
          <w:szCs w:val="21"/>
        </w:rPr>
      </w:pPr>
      <w:r>
        <w:rPr>
          <w:rFonts w:hint="eastAsia"/>
          <w:sz w:val="21"/>
          <w:szCs w:val="21"/>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14:paraId="7292843C">
      <w:pPr>
        <w:pStyle w:val="8"/>
        <w:spacing w:before="0" w:beforeAutospacing="0" w:after="0" w:afterAutospacing="0" w:line="360" w:lineRule="auto"/>
        <w:ind w:firstLine="420"/>
        <w:rPr>
          <w:sz w:val="21"/>
          <w:szCs w:val="21"/>
        </w:rPr>
      </w:pPr>
      <w:r>
        <w:rPr>
          <w:rFonts w:hint="eastAsia"/>
          <w:sz w:val="21"/>
          <w:szCs w:val="21"/>
        </w:rPr>
        <w:t>6.对于因为基金投资产生的应收资产，应由基金管理人负责与有关当事人确定到账日期并通知基金托管人，到账日基金财产没有到达基金资金账户的，基金托管人应及时通知基金管理人采取措施进行催收，由此给基金财产造成损失的，基金管理人应负责向有关当事人追偿基金财产的损失，基金托管人应给予必要的协助。</w:t>
      </w:r>
    </w:p>
    <w:p w14:paraId="2952939A">
      <w:pPr>
        <w:pStyle w:val="8"/>
        <w:spacing w:before="0" w:beforeAutospacing="0" w:after="0" w:afterAutospacing="0" w:line="360" w:lineRule="auto"/>
        <w:ind w:firstLine="420"/>
        <w:rPr>
          <w:sz w:val="21"/>
          <w:szCs w:val="21"/>
        </w:rPr>
      </w:pPr>
      <w:r>
        <w:rPr>
          <w:rFonts w:hint="eastAsia"/>
          <w:sz w:val="21"/>
          <w:szCs w:val="21"/>
        </w:rPr>
        <w:t>7.基金托管人对因为基金管理人投资产生的存放或存管在基金托管人以外机构的基金资产，或交由期货公司或证券公司负责清算交收的基金资产（包括但不限于期货保证金账户内的资金、期货合约等）及其收益，由于该等机构或该机构会员单位等本协议当事人外第三方的欺诈、疏忽、过失或破产等原因给基金资产造成的损失等不承担相应责任。</w:t>
      </w:r>
    </w:p>
    <w:p w14:paraId="76D62CC0">
      <w:pPr>
        <w:pStyle w:val="8"/>
        <w:spacing w:before="0" w:beforeAutospacing="0" w:after="0" w:afterAutospacing="0" w:line="360" w:lineRule="auto"/>
        <w:ind w:firstLine="420"/>
        <w:rPr>
          <w:sz w:val="21"/>
          <w:szCs w:val="21"/>
        </w:rPr>
      </w:pPr>
      <w:r>
        <w:rPr>
          <w:rFonts w:hint="eastAsia"/>
          <w:sz w:val="21"/>
          <w:szCs w:val="21"/>
        </w:rPr>
        <w:t>8.除依据法律法规和基金合同的规定外，基金托管人不得委托第三人托管基金财产。</w:t>
      </w:r>
    </w:p>
    <w:p w14:paraId="59A5A5DF">
      <w:pPr>
        <w:pStyle w:val="8"/>
        <w:spacing w:before="0" w:beforeAutospacing="0" w:after="0" w:afterAutospacing="0" w:line="360" w:lineRule="auto"/>
        <w:ind w:firstLine="420"/>
        <w:rPr>
          <w:sz w:val="21"/>
          <w:szCs w:val="21"/>
        </w:rPr>
      </w:pPr>
      <w:r>
        <w:rPr>
          <w:rFonts w:hint="eastAsia"/>
          <w:sz w:val="21"/>
          <w:szCs w:val="21"/>
        </w:rPr>
        <w:t>（二）基金募集期间及募集资金的验资</w:t>
      </w:r>
    </w:p>
    <w:p w14:paraId="400DEDA2">
      <w:pPr>
        <w:pStyle w:val="8"/>
        <w:spacing w:before="0" w:beforeAutospacing="0" w:after="0" w:afterAutospacing="0" w:line="360" w:lineRule="auto"/>
        <w:ind w:firstLine="420"/>
        <w:rPr>
          <w:sz w:val="21"/>
          <w:szCs w:val="21"/>
        </w:rPr>
      </w:pPr>
      <w:r>
        <w:rPr>
          <w:rFonts w:hint="eastAsia"/>
          <w:sz w:val="21"/>
          <w:szCs w:val="21"/>
        </w:rPr>
        <w:t>1.基金募集期间募集的资金应开立“基金募集专户”。该账户由基金管理人开立并管理。</w:t>
      </w:r>
    </w:p>
    <w:p w14:paraId="3A351820">
      <w:pPr>
        <w:pStyle w:val="8"/>
        <w:spacing w:before="0" w:beforeAutospacing="0" w:after="0" w:afterAutospacing="0" w:line="360" w:lineRule="auto"/>
        <w:ind w:firstLine="420"/>
        <w:rPr>
          <w:sz w:val="21"/>
          <w:szCs w:val="21"/>
        </w:rPr>
      </w:pPr>
      <w:r>
        <w:rPr>
          <w:rFonts w:hint="eastAsia"/>
          <w:sz w:val="21"/>
          <w:szCs w:val="21"/>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w:t>
      </w:r>
    </w:p>
    <w:p w14:paraId="2015410B">
      <w:pPr>
        <w:pStyle w:val="8"/>
        <w:spacing w:before="0" w:beforeAutospacing="0" w:after="0" w:afterAutospacing="0" w:line="360" w:lineRule="auto"/>
        <w:ind w:firstLine="420"/>
        <w:rPr>
          <w:sz w:val="21"/>
          <w:szCs w:val="21"/>
        </w:rPr>
      </w:pPr>
      <w:r>
        <w:rPr>
          <w:rFonts w:hint="eastAsia"/>
          <w:sz w:val="21"/>
          <w:szCs w:val="21"/>
        </w:rPr>
        <w:t>3.若基金募集期限届满，未能达到基金合同生效的条件，由基金管理人按规定办理退款等事宜，基金托管人应当予以必要的协助和配合。</w:t>
      </w:r>
    </w:p>
    <w:p w14:paraId="65A478C0">
      <w:pPr>
        <w:pStyle w:val="8"/>
        <w:spacing w:before="0" w:beforeAutospacing="0" w:after="0" w:afterAutospacing="0" w:line="360" w:lineRule="auto"/>
        <w:ind w:firstLine="420"/>
        <w:rPr>
          <w:sz w:val="21"/>
          <w:szCs w:val="21"/>
        </w:rPr>
      </w:pPr>
      <w:r>
        <w:rPr>
          <w:rFonts w:hint="eastAsia"/>
          <w:sz w:val="21"/>
          <w:szCs w:val="21"/>
        </w:rPr>
        <w:t>（三）基金资金账户的开立和管理</w:t>
      </w:r>
    </w:p>
    <w:p w14:paraId="50A171C9">
      <w:pPr>
        <w:pStyle w:val="8"/>
        <w:spacing w:before="0" w:beforeAutospacing="0" w:after="0" w:afterAutospacing="0" w:line="360" w:lineRule="auto"/>
        <w:ind w:firstLine="420"/>
        <w:rPr>
          <w:sz w:val="21"/>
          <w:szCs w:val="21"/>
        </w:rPr>
      </w:pPr>
      <w:r>
        <w:rPr>
          <w:rFonts w:hint="eastAsia"/>
          <w:sz w:val="21"/>
          <w:szCs w:val="21"/>
        </w:rPr>
        <w:t>1.基金托管人以本基金的名义在其营业机构开立基金的资金账户（也可称为“托管账户”），保管基金的银行存款，并根据基金管理人的指令办理资金收付。托管账户名称应为“博时卓越优选混合型证券投资基金”，预留印鉴为基金托管人印章。</w:t>
      </w:r>
    </w:p>
    <w:p w14:paraId="3D19D01B">
      <w:pPr>
        <w:pStyle w:val="8"/>
        <w:spacing w:before="0" w:beforeAutospacing="0" w:after="0" w:afterAutospacing="0" w:line="360" w:lineRule="auto"/>
        <w:ind w:firstLine="420"/>
        <w:rPr>
          <w:sz w:val="21"/>
          <w:szCs w:val="21"/>
        </w:rPr>
      </w:pPr>
      <w:r>
        <w:rPr>
          <w:rFonts w:hint="eastAsia"/>
          <w:sz w:val="21"/>
          <w:szCs w:val="21"/>
        </w:rPr>
        <w:t>2.基金资金账户的开立和使用，限于满足开展本基金业务的需要。基金托管人和基金管理人不得假借本基金的名义开立任何其他银行账户；亦不得使用基金的任何账户进行本基金业务以外的活动。</w:t>
      </w:r>
    </w:p>
    <w:p w14:paraId="4798E408">
      <w:pPr>
        <w:pStyle w:val="8"/>
        <w:spacing w:before="0" w:beforeAutospacing="0" w:after="0" w:afterAutospacing="0" w:line="360" w:lineRule="auto"/>
        <w:ind w:firstLine="420"/>
        <w:rPr>
          <w:sz w:val="21"/>
          <w:szCs w:val="21"/>
        </w:rPr>
      </w:pPr>
      <w:r>
        <w:rPr>
          <w:rFonts w:hint="eastAsia"/>
          <w:sz w:val="21"/>
          <w:szCs w:val="21"/>
        </w:rPr>
        <w:t>3.基金资金账户的开立和管理应符合法律法规及银行业监督管理机构的有关规定。</w:t>
      </w:r>
    </w:p>
    <w:p w14:paraId="787CDBFC">
      <w:pPr>
        <w:pStyle w:val="8"/>
        <w:spacing w:before="0" w:beforeAutospacing="0" w:after="0" w:afterAutospacing="0" w:line="360" w:lineRule="auto"/>
        <w:ind w:firstLine="420"/>
        <w:rPr>
          <w:sz w:val="21"/>
          <w:szCs w:val="21"/>
        </w:rPr>
      </w:pPr>
      <w:r>
        <w:rPr>
          <w:rFonts w:hint="eastAsia"/>
          <w:sz w:val="21"/>
          <w:szCs w:val="21"/>
        </w:rPr>
        <w:t>（四）基金证券账户和结算备付金账户的开立和管理</w:t>
      </w:r>
    </w:p>
    <w:p w14:paraId="48862331">
      <w:pPr>
        <w:pStyle w:val="8"/>
        <w:spacing w:before="0" w:beforeAutospacing="0" w:after="0" w:afterAutospacing="0" w:line="360" w:lineRule="auto"/>
        <w:ind w:firstLine="420"/>
        <w:rPr>
          <w:sz w:val="21"/>
          <w:szCs w:val="21"/>
        </w:rPr>
      </w:pPr>
      <w:r>
        <w:rPr>
          <w:rFonts w:hint="eastAsia"/>
          <w:sz w:val="21"/>
          <w:szCs w:val="21"/>
        </w:rPr>
        <w:t>1.基金托管人在中国证券登记结算有限责任公司为基金开立基金托管人与基金联名的证券账户。</w:t>
      </w:r>
    </w:p>
    <w:p w14:paraId="7314E8DC">
      <w:pPr>
        <w:pStyle w:val="8"/>
        <w:spacing w:before="0" w:beforeAutospacing="0" w:after="0" w:afterAutospacing="0" w:line="360" w:lineRule="auto"/>
        <w:ind w:firstLine="420"/>
        <w:rPr>
          <w:sz w:val="21"/>
          <w:szCs w:val="21"/>
        </w:rPr>
      </w:pPr>
      <w:r>
        <w:rPr>
          <w:rFonts w:hint="eastAsia"/>
          <w:sz w:val="21"/>
          <w:szCs w:val="21"/>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14:paraId="078E0AFF">
      <w:pPr>
        <w:pStyle w:val="8"/>
        <w:spacing w:before="0" w:beforeAutospacing="0" w:after="0" w:afterAutospacing="0" w:line="360" w:lineRule="auto"/>
        <w:ind w:firstLine="420"/>
        <w:rPr>
          <w:sz w:val="21"/>
          <w:szCs w:val="21"/>
        </w:rPr>
      </w:pPr>
      <w:r>
        <w:rPr>
          <w:rFonts w:hint="eastAsia"/>
          <w:sz w:val="21"/>
          <w:szCs w:val="21"/>
        </w:rPr>
        <w:t>3.基金证券账户的开立和证券账户卡的保管由基金托管人负责，账户资产的管理和运用由基金管理人负责。</w:t>
      </w:r>
    </w:p>
    <w:p w14:paraId="5DE47A7F">
      <w:pPr>
        <w:pStyle w:val="8"/>
        <w:spacing w:before="0" w:beforeAutospacing="0" w:after="0" w:afterAutospacing="0" w:line="360" w:lineRule="auto"/>
        <w:ind w:firstLine="420"/>
        <w:rPr>
          <w:sz w:val="21"/>
          <w:szCs w:val="21"/>
        </w:rPr>
      </w:pPr>
      <w:r>
        <w:rPr>
          <w:rFonts w:hint="eastAsia"/>
          <w:sz w:val="21"/>
          <w:szCs w:val="21"/>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14:paraId="3CC5DF97">
      <w:pPr>
        <w:pStyle w:val="8"/>
        <w:spacing w:before="0" w:beforeAutospacing="0" w:after="0" w:afterAutospacing="0" w:line="360" w:lineRule="auto"/>
        <w:ind w:firstLine="420"/>
        <w:rPr>
          <w:sz w:val="21"/>
          <w:szCs w:val="21"/>
        </w:rPr>
      </w:pPr>
      <w:r>
        <w:rPr>
          <w:rFonts w:hint="eastAsia"/>
          <w:sz w:val="21"/>
          <w:szCs w:val="21"/>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14:paraId="74E22145">
      <w:pPr>
        <w:pStyle w:val="8"/>
        <w:spacing w:before="0" w:beforeAutospacing="0" w:after="0" w:afterAutospacing="0" w:line="360" w:lineRule="auto"/>
        <w:ind w:firstLine="420"/>
        <w:rPr>
          <w:sz w:val="21"/>
          <w:szCs w:val="21"/>
        </w:rPr>
      </w:pPr>
      <w:r>
        <w:rPr>
          <w:rFonts w:hint="eastAsia"/>
          <w:sz w:val="21"/>
          <w:szCs w:val="21"/>
        </w:rPr>
        <w:t>（五）债券托管账户的开设和管理</w:t>
      </w:r>
    </w:p>
    <w:p w14:paraId="0FDD9AB2">
      <w:pPr>
        <w:pStyle w:val="8"/>
        <w:spacing w:before="0" w:beforeAutospacing="0" w:after="0" w:afterAutospacing="0" w:line="360" w:lineRule="auto"/>
        <w:ind w:firstLine="420"/>
        <w:rPr>
          <w:sz w:val="21"/>
          <w:szCs w:val="21"/>
        </w:rPr>
      </w:pPr>
      <w:r>
        <w:rPr>
          <w:rFonts w:hint="eastAsia"/>
          <w:sz w:val="21"/>
          <w:szCs w:val="21"/>
        </w:rPr>
        <w:t>基金合同生效后，基金托管人根据中国人民银行、中央国债登记结算有限责任公司和银行间市场清算所股份有限公司的有关规定，以基金的名义在中央国债登记结算有限责任公司、银行间市场登记结算机构开立债券托管账户，并代表基金进行银行间市场债券的结算。</w:t>
      </w:r>
    </w:p>
    <w:p w14:paraId="1410858B">
      <w:pPr>
        <w:pStyle w:val="8"/>
        <w:spacing w:before="0" w:beforeAutospacing="0" w:after="0" w:afterAutospacing="0" w:line="360" w:lineRule="auto"/>
        <w:ind w:firstLine="420"/>
        <w:rPr>
          <w:sz w:val="21"/>
          <w:szCs w:val="21"/>
        </w:rPr>
      </w:pPr>
      <w:r>
        <w:rPr>
          <w:rFonts w:hint="eastAsia"/>
          <w:sz w:val="21"/>
          <w:szCs w:val="21"/>
        </w:rPr>
        <w:t>（六）其他账户的开立和管理</w:t>
      </w:r>
    </w:p>
    <w:p w14:paraId="76AF4CC3">
      <w:pPr>
        <w:pStyle w:val="8"/>
        <w:spacing w:before="0" w:beforeAutospacing="0" w:after="0" w:afterAutospacing="0" w:line="360" w:lineRule="auto"/>
        <w:ind w:firstLine="420"/>
        <w:rPr>
          <w:sz w:val="21"/>
          <w:szCs w:val="21"/>
        </w:rPr>
      </w:pPr>
      <w:r>
        <w:rPr>
          <w:rFonts w:hint="eastAsia"/>
          <w:sz w:val="21"/>
          <w:szCs w:val="21"/>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基金托管人。</w:t>
      </w:r>
    </w:p>
    <w:p w14:paraId="48F1E85C">
      <w:pPr>
        <w:pStyle w:val="8"/>
        <w:spacing w:before="0" w:beforeAutospacing="0" w:after="0" w:afterAutospacing="0" w:line="360" w:lineRule="auto"/>
        <w:ind w:firstLine="420"/>
        <w:rPr>
          <w:sz w:val="21"/>
          <w:szCs w:val="21"/>
        </w:rPr>
      </w:pPr>
      <w:r>
        <w:rPr>
          <w:rFonts w:hint="eastAsia"/>
          <w:sz w:val="21"/>
          <w:szCs w:val="21"/>
        </w:rPr>
        <w:t>基金托管人和基金管理人应当在开户过程中相互配合，并提供所需资料。基金管理人保证所提供的账户开户材料的真实性和有效性，且在相关资料变更后及时将变更的资料提供给基金托管人。</w:t>
      </w:r>
    </w:p>
    <w:p w14:paraId="5A25E20C">
      <w:pPr>
        <w:pStyle w:val="8"/>
        <w:spacing w:before="0" w:beforeAutospacing="0" w:after="0" w:afterAutospacing="0" w:line="360" w:lineRule="auto"/>
        <w:ind w:firstLine="420"/>
        <w:rPr>
          <w:sz w:val="21"/>
          <w:szCs w:val="21"/>
        </w:rPr>
      </w:pPr>
      <w:r>
        <w:rPr>
          <w:rFonts w:hint="eastAsia"/>
          <w:sz w:val="21"/>
          <w:szCs w:val="21"/>
        </w:rPr>
        <w:t>2.因业务发展需要而开立的其他账户，可以根据法律法规和基金合同的规定，由基金管理人协助基金托管人按照有关法律法规和本协议的约定协商后开立。新账户按有关规定使用并管理。</w:t>
      </w:r>
    </w:p>
    <w:p w14:paraId="1010CD4A">
      <w:pPr>
        <w:pStyle w:val="8"/>
        <w:spacing w:before="0" w:beforeAutospacing="0" w:after="0" w:afterAutospacing="0" w:line="360" w:lineRule="auto"/>
        <w:ind w:firstLine="420"/>
        <w:rPr>
          <w:sz w:val="21"/>
          <w:szCs w:val="21"/>
        </w:rPr>
      </w:pPr>
      <w:r>
        <w:rPr>
          <w:rFonts w:hint="eastAsia"/>
          <w:sz w:val="21"/>
          <w:szCs w:val="21"/>
        </w:rPr>
        <w:t>3.法律法规等有关规定对相关账户的开立和管理另有规定的，从其规定办理。</w:t>
      </w:r>
    </w:p>
    <w:p w14:paraId="4165CE89">
      <w:pPr>
        <w:pStyle w:val="8"/>
        <w:spacing w:before="0" w:beforeAutospacing="0" w:after="0" w:afterAutospacing="0" w:line="360" w:lineRule="auto"/>
        <w:ind w:firstLine="420"/>
        <w:rPr>
          <w:sz w:val="21"/>
          <w:szCs w:val="21"/>
        </w:rPr>
      </w:pPr>
      <w:r>
        <w:rPr>
          <w:rFonts w:hint="eastAsia"/>
          <w:sz w:val="21"/>
          <w:szCs w:val="21"/>
        </w:rPr>
        <w:t>（七）基金财产投资的有关有价凭证等的保管</w:t>
      </w:r>
    </w:p>
    <w:p w14:paraId="45D37E4C">
      <w:pPr>
        <w:pStyle w:val="8"/>
        <w:spacing w:before="0" w:beforeAutospacing="0" w:after="0" w:afterAutospacing="0" w:line="360" w:lineRule="auto"/>
        <w:ind w:firstLine="420"/>
        <w:rPr>
          <w:sz w:val="21"/>
          <w:szCs w:val="21"/>
        </w:rPr>
      </w:pPr>
      <w:r>
        <w:rPr>
          <w:rFonts w:hint="eastAsia"/>
          <w:sz w:val="21"/>
          <w:szCs w:val="21"/>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14:paraId="7A97C10B">
      <w:pPr>
        <w:pStyle w:val="8"/>
        <w:spacing w:before="0" w:beforeAutospacing="0" w:after="0" w:afterAutospacing="0" w:line="360" w:lineRule="auto"/>
        <w:ind w:firstLine="420"/>
        <w:rPr>
          <w:sz w:val="21"/>
          <w:szCs w:val="21"/>
        </w:rPr>
      </w:pPr>
      <w:r>
        <w:rPr>
          <w:rFonts w:hint="eastAsia"/>
          <w:sz w:val="21"/>
          <w:szCs w:val="21"/>
        </w:rPr>
        <w:t>（八）与基金财产有关的重大合同的保管</w:t>
      </w:r>
    </w:p>
    <w:p w14:paraId="0872FC4A">
      <w:pPr>
        <w:pStyle w:val="8"/>
        <w:spacing w:before="0" w:beforeAutospacing="0" w:after="0" w:afterAutospacing="0" w:line="360" w:lineRule="auto"/>
        <w:ind w:firstLine="420"/>
        <w:rPr>
          <w:sz w:val="21"/>
          <w:szCs w:val="21"/>
        </w:rPr>
      </w:pPr>
      <w:r>
        <w:rPr>
          <w:rFonts w:hint="eastAsia"/>
          <w:sz w:val="21"/>
          <w:szCs w:val="21"/>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不低于法律法规规定的最低期限。</w:t>
      </w:r>
    </w:p>
    <w:p w14:paraId="6120E54D">
      <w:pPr>
        <w:pStyle w:val="8"/>
        <w:spacing w:before="0" w:beforeAutospacing="0" w:after="0" w:afterAutospacing="0" w:line="360" w:lineRule="auto"/>
        <w:ind w:firstLine="420"/>
        <w:rPr>
          <w:sz w:val="21"/>
          <w:szCs w:val="21"/>
        </w:rPr>
      </w:pPr>
      <w:r>
        <w:rPr>
          <w:rFonts w:hint="eastAsia"/>
          <w:sz w:val="21"/>
          <w:szCs w:val="21"/>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14:paraId="6B0223C1">
      <w:pPr>
        <w:pStyle w:val="8"/>
        <w:spacing w:before="0" w:beforeAutospacing="0" w:after="0" w:afterAutospacing="0" w:line="360" w:lineRule="auto"/>
        <w:ind w:firstLine="420"/>
        <w:rPr>
          <w:sz w:val="21"/>
          <w:szCs w:val="21"/>
        </w:rPr>
      </w:pPr>
      <w:r>
        <w:rPr>
          <w:rStyle w:val="12"/>
          <w:rFonts w:hint="eastAsia"/>
          <w:sz w:val="21"/>
          <w:szCs w:val="21"/>
        </w:rPr>
        <w:t>五、基金资产净值计算和会计核算</w:t>
      </w:r>
    </w:p>
    <w:p w14:paraId="08EEE72D">
      <w:pPr>
        <w:pStyle w:val="8"/>
        <w:spacing w:before="0" w:beforeAutospacing="0" w:after="0" w:afterAutospacing="0" w:line="360" w:lineRule="auto"/>
        <w:ind w:firstLine="420"/>
        <w:rPr>
          <w:sz w:val="21"/>
          <w:szCs w:val="21"/>
        </w:rPr>
      </w:pPr>
      <w:r>
        <w:rPr>
          <w:rFonts w:hint="eastAsia"/>
          <w:sz w:val="21"/>
          <w:szCs w:val="21"/>
        </w:rPr>
        <w:t>（一）基金资产净值的计算、复核与完成的时间及程序</w:t>
      </w:r>
    </w:p>
    <w:p w14:paraId="2965EB1E">
      <w:pPr>
        <w:pStyle w:val="8"/>
        <w:spacing w:before="0" w:beforeAutospacing="0" w:after="0" w:afterAutospacing="0" w:line="360" w:lineRule="auto"/>
        <w:ind w:firstLine="420"/>
        <w:rPr>
          <w:sz w:val="21"/>
          <w:szCs w:val="21"/>
        </w:rPr>
      </w:pPr>
      <w:r>
        <w:rPr>
          <w:rFonts w:hint="eastAsia"/>
          <w:sz w:val="21"/>
          <w:szCs w:val="21"/>
        </w:rPr>
        <w:t>1.基金资产净值</w:t>
      </w:r>
    </w:p>
    <w:p w14:paraId="4A9EBFDA">
      <w:pPr>
        <w:pStyle w:val="8"/>
        <w:spacing w:before="0" w:beforeAutospacing="0" w:after="0" w:afterAutospacing="0" w:line="360" w:lineRule="auto"/>
        <w:ind w:firstLine="420"/>
        <w:rPr>
          <w:sz w:val="21"/>
          <w:szCs w:val="21"/>
        </w:rPr>
      </w:pPr>
      <w:r>
        <w:rPr>
          <w:rFonts w:hint="eastAsia"/>
          <w:sz w:val="21"/>
          <w:szCs w:val="21"/>
        </w:rPr>
        <w:t>基金资产净值是指基金资产总值减去基金负债后的价值。</w:t>
      </w:r>
    </w:p>
    <w:p w14:paraId="2F976D41">
      <w:pPr>
        <w:pStyle w:val="8"/>
        <w:spacing w:before="0" w:beforeAutospacing="0" w:after="0" w:afterAutospacing="0" w:line="360" w:lineRule="auto"/>
        <w:ind w:firstLine="420"/>
        <w:rPr>
          <w:sz w:val="21"/>
          <w:szCs w:val="21"/>
        </w:rPr>
      </w:pPr>
      <w:r>
        <w:rPr>
          <w:rFonts w:hint="eastAsia"/>
          <w:sz w:val="21"/>
          <w:szCs w:val="21"/>
        </w:rPr>
        <w:t>各类基金份额净值是按照每个工作日闭市后，该类基金份额的基金资产净值除以当日该类基金份额的余额数量计算，均精确到0.0001元，小数点后第五位四舍五入，由此产生的收益或损失由基金财产承担。基金管理人可以设立大额赎回情形下的净值精度应急调整机制。国家另有规定的，从其规定。</w:t>
      </w:r>
    </w:p>
    <w:p w14:paraId="5F5D50D7">
      <w:pPr>
        <w:pStyle w:val="8"/>
        <w:spacing w:before="0" w:beforeAutospacing="0" w:after="0" w:afterAutospacing="0" w:line="360" w:lineRule="auto"/>
        <w:ind w:firstLine="420"/>
        <w:rPr>
          <w:sz w:val="21"/>
          <w:szCs w:val="21"/>
        </w:rPr>
      </w:pPr>
      <w:r>
        <w:rPr>
          <w:rFonts w:hint="eastAsia"/>
          <w:sz w:val="21"/>
          <w:szCs w:val="21"/>
        </w:rPr>
        <w:t>基金管理人于每个工作日计算基金资产净值及各类基金份额净值，经基金托管人复核，并按规定公告。</w:t>
      </w:r>
    </w:p>
    <w:p w14:paraId="7D4838A4">
      <w:pPr>
        <w:pStyle w:val="8"/>
        <w:spacing w:before="0" w:beforeAutospacing="0" w:after="0" w:afterAutospacing="0" w:line="360" w:lineRule="auto"/>
        <w:ind w:firstLine="420"/>
        <w:rPr>
          <w:sz w:val="21"/>
          <w:szCs w:val="21"/>
        </w:rPr>
      </w:pPr>
      <w:r>
        <w:rPr>
          <w:rFonts w:hint="eastAsia"/>
          <w:sz w:val="21"/>
          <w:szCs w:val="21"/>
        </w:rPr>
        <w:t>2.复核程序</w:t>
      </w:r>
    </w:p>
    <w:p w14:paraId="648D6791">
      <w:pPr>
        <w:pStyle w:val="8"/>
        <w:spacing w:before="0" w:beforeAutospacing="0" w:after="0" w:afterAutospacing="0" w:line="360" w:lineRule="auto"/>
        <w:ind w:firstLine="420"/>
        <w:rPr>
          <w:sz w:val="21"/>
          <w:szCs w:val="21"/>
        </w:rPr>
      </w:pPr>
      <w:r>
        <w:rPr>
          <w:rFonts w:hint="eastAsia"/>
          <w:sz w:val="21"/>
          <w:szCs w:val="21"/>
        </w:rPr>
        <w:t>基金管理人每个工作日对基金资产估值后，将各类基金份额净值结果发送基金托管人，经基金托管人复核无误后，由基金管理人按规定对外公布。</w:t>
      </w:r>
    </w:p>
    <w:p w14:paraId="4E3508F2">
      <w:pPr>
        <w:pStyle w:val="8"/>
        <w:spacing w:before="0" w:beforeAutospacing="0" w:after="0" w:afterAutospacing="0" w:line="360" w:lineRule="auto"/>
        <w:ind w:firstLine="420"/>
        <w:rPr>
          <w:sz w:val="21"/>
          <w:szCs w:val="21"/>
        </w:rPr>
      </w:pPr>
      <w:r>
        <w:rPr>
          <w:rFonts w:hint="eastAsia"/>
          <w:sz w:val="21"/>
          <w:szCs w:val="21"/>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4286D27C">
      <w:pPr>
        <w:pStyle w:val="8"/>
        <w:spacing w:before="0" w:beforeAutospacing="0" w:after="0" w:afterAutospacing="0" w:line="360" w:lineRule="auto"/>
        <w:ind w:firstLine="420"/>
        <w:rPr>
          <w:sz w:val="21"/>
          <w:szCs w:val="21"/>
        </w:rPr>
      </w:pPr>
      <w:r>
        <w:rPr>
          <w:rFonts w:hint="eastAsia"/>
          <w:sz w:val="21"/>
          <w:szCs w:val="21"/>
        </w:rPr>
        <w:t>（二）基金资产的估值</w:t>
      </w:r>
    </w:p>
    <w:p w14:paraId="1E9E7820">
      <w:pPr>
        <w:pStyle w:val="8"/>
        <w:spacing w:before="0" w:beforeAutospacing="0" w:after="0" w:afterAutospacing="0" w:line="360" w:lineRule="auto"/>
        <w:ind w:firstLine="420"/>
        <w:rPr>
          <w:sz w:val="21"/>
          <w:szCs w:val="21"/>
        </w:rPr>
      </w:pPr>
      <w:r>
        <w:rPr>
          <w:rFonts w:hint="eastAsia"/>
          <w:sz w:val="21"/>
          <w:szCs w:val="21"/>
        </w:rPr>
        <w:t>基金管理人及基金托管人应当按照《基金合同》的约定进行估值。</w:t>
      </w:r>
    </w:p>
    <w:p w14:paraId="0E852715">
      <w:pPr>
        <w:pStyle w:val="8"/>
        <w:spacing w:before="0" w:beforeAutospacing="0" w:after="0" w:afterAutospacing="0" w:line="360" w:lineRule="auto"/>
        <w:ind w:firstLine="420"/>
        <w:rPr>
          <w:sz w:val="21"/>
          <w:szCs w:val="21"/>
        </w:rPr>
      </w:pPr>
      <w:r>
        <w:rPr>
          <w:rFonts w:hint="eastAsia"/>
          <w:sz w:val="21"/>
          <w:szCs w:val="21"/>
        </w:rPr>
        <w:t>（三）基金份额净值错误的处理方式</w:t>
      </w:r>
    </w:p>
    <w:p w14:paraId="6A4823BB">
      <w:pPr>
        <w:pStyle w:val="8"/>
        <w:spacing w:before="0" w:beforeAutospacing="0" w:after="0" w:afterAutospacing="0" w:line="360" w:lineRule="auto"/>
        <w:ind w:firstLine="420"/>
        <w:rPr>
          <w:sz w:val="21"/>
          <w:szCs w:val="21"/>
        </w:rPr>
      </w:pPr>
      <w:r>
        <w:rPr>
          <w:rFonts w:hint="eastAsia"/>
          <w:sz w:val="21"/>
          <w:szCs w:val="21"/>
        </w:rPr>
        <w:t>基金管理人及基金托管人应当按照《基金合同》的约定处理份额净值错误。</w:t>
      </w:r>
    </w:p>
    <w:p w14:paraId="4B6756F1">
      <w:pPr>
        <w:pStyle w:val="8"/>
        <w:spacing w:before="0" w:beforeAutospacing="0" w:after="0" w:afterAutospacing="0" w:line="360" w:lineRule="auto"/>
        <w:ind w:firstLine="420"/>
        <w:rPr>
          <w:sz w:val="21"/>
          <w:szCs w:val="21"/>
        </w:rPr>
      </w:pPr>
      <w:r>
        <w:rPr>
          <w:rFonts w:hint="eastAsia"/>
          <w:sz w:val="21"/>
          <w:szCs w:val="21"/>
        </w:rPr>
        <w:t>（四）基金会计制度</w:t>
      </w:r>
    </w:p>
    <w:p w14:paraId="024F07C6">
      <w:pPr>
        <w:pStyle w:val="8"/>
        <w:spacing w:before="0" w:beforeAutospacing="0" w:after="0" w:afterAutospacing="0" w:line="360" w:lineRule="auto"/>
        <w:ind w:firstLine="420"/>
        <w:rPr>
          <w:sz w:val="21"/>
          <w:szCs w:val="21"/>
        </w:rPr>
      </w:pPr>
      <w:r>
        <w:rPr>
          <w:rFonts w:hint="eastAsia"/>
          <w:sz w:val="21"/>
          <w:szCs w:val="21"/>
        </w:rPr>
        <w:t>按国家有关部门规定的会计制度执行。</w:t>
      </w:r>
    </w:p>
    <w:p w14:paraId="62273DDA">
      <w:pPr>
        <w:pStyle w:val="8"/>
        <w:spacing w:before="0" w:beforeAutospacing="0" w:after="0" w:afterAutospacing="0" w:line="360" w:lineRule="auto"/>
        <w:ind w:firstLine="420"/>
        <w:rPr>
          <w:sz w:val="21"/>
          <w:szCs w:val="21"/>
        </w:rPr>
      </w:pPr>
      <w:r>
        <w:rPr>
          <w:rFonts w:hint="eastAsia"/>
          <w:sz w:val="21"/>
          <w:szCs w:val="21"/>
        </w:rPr>
        <w:t>（五）基金账册的建立</w:t>
      </w:r>
    </w:p>
    <w:p w14:paraId="444ACA86">
      <w:pPr>
        <w:pStyle w:val="8"/>
        <w:spacing w:before="0" w:beforeAutospacing="0" w:after="0" w:afterAutospacing="0" w:line="360" w:lineRule="auto"/>
        <w:ind w:firstLine="420"/>
        <w:rPr>
          <w:sz w:val="21"/>
          <w:szCs w:val="21"/>
        </w:rPr>
      </w:pPr>
      <w:r>
        <w:rPr>
          <w:rFonts w:hint="eastAsia"/>
          <w:sz w:val="21"/>
          <w:szCs w:val="21"/>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14:paraId="5C9B631F">
      <w:pPr>
        <w:pStyle w:val="8"/>
        <w:spacing w:before="0" w:beforeAutospacing="0" w:after="0" w:afterAutospacing="0" w:line="360" w:lineRule="auto"/>
        <w:ind w:firstLine="420"/>
        <w:rPr>
          <w:sz w:val="21"/>
          <w:szCs w:val="21"/>
        </w:rPr>
      </w:pPr>
      <w:r>
        <w:rPr>
          <w:rFonts w:hint="eastAsia"/>
          <w:sz w:val="21"/>
          <w:szCs w:val="21"/>
        </w:rPr>
        <w:t>（六）基金财务报表与报告的编制和复核</w:t>
      </w:r>
    </w:p>
    <w:p w14:paraId="65D4161F">
      <w:pPr>
        <w:pStyle w:val="8"/>
        <w:spacing w:before="0" w:beforeAutospacing="0" w:after="0" w:afterAutospacing="0" w:line="360" w:lineRule="auto"/>
        <w:ind w:firstLine="420"/>
        <w:rPr>
          <w:sz w:val="21"/>
          <w:szCs w:val="21"/>
        </w:rPr>
      </w:pPr>
      <w:r>
        <w:rPr>
          <w:rFonts w:hint="eastAsia"/>
          <w:sz w:val="21"/>
          <w:szCs w:val="21"/>
        </w:rPr>
        <w:t>1.财务报表的编制</w:t>
      </w:r>
    </w:p>
    <w:p w14:paraId="01538975">
      <w:pPr>
        <w:pStyle w:val="8"/>
        <w:spacing w:before="0" w:beforeAutospacing="0" w:after="0" w:afterAutospacing="0" w:line="360" w:lineRule="auto"/>
        <w:ind w:firstLine="420"/>
        <w:rPr>
          <w:sz w:val="21"/>
          <w:szCs w:val="21"/>
        </w:rPr>
      </w:pPr>
      <w:r>
        <w:rPr>
          <w:rFonts w:hint="eastAsia"/>
          <w:sz w:val="21"/>
          <w:szCs w:val="21"/>
        </w:rPr>
        <w:t>基金财务报表由基金管理人编制，基金托管人复核。</w:t>
      </w:r>
    </w:p>
    <w:p w14:paraId="7603A027">
      <w:pPr>
        <w:pStyle w:val="8"/>
        <w:spacing w:before="0" w:beforeAutospacing="0" w:after="0" w:afterAutospacing="0" w:line="360" w:lineRule="auto"/>
        <w:ind w:firstLine="420"/>
        <w:rPr>
          <w:sz w:val="21"/>
          <w:szCs w:val="21"/>
        </w:rPr>
      </w:pPr>
      <w:r>
        <w:rPr>
          <w:rFonts w:hint="eastAsia"/>
          <w:sz w:val="21"/>
          <w:szCs w:val="21"/>
        </w:rPr>
        <w:t>2.报表复核</w:t>
      </w:r>
    </w:p>
    <w:p w14:paraId="7ABCCB29">
      <w:pPr>
        <w:pStyle w:val="8"/>
        <w:spacing w:before="0" w:beforeAutospacing="0" w:after="0" w:afterAutospacing="0" w:line="360" w:lineRule="auto"/>
        <w:ind w:firstLine="420"/>
        <w:rPr>
          <w:sz w:val="21"/>
          <w:szCs w:val="21"/>
        </w:rPr>
      </w:pPr>
      <w:r>
        <w:rPr>
          <w:rFonts w:hint="eastAsia"/>
          <w:sz w:val="21"/>
          <w:szCs w:val="21"/>
        </w:rPr>
        <w:t>基金托管人在收到基金管理人编制的基金财务报表后，进行独立的复核。核对不符时，应及时通知基金管理人共同查出原因，进行调整，直至双方数据完全一致。</w:t>
      </w:r>
    </w:p>
    <w:p w14:paraId="1220E605">
      <w:pPr>
        <w:pStyle w:val="8"/>
        <w:spacing w:before="0" w:beforeAutospacing="0" w:after="0" w:afterAutospacing="0" w:line="360" w:lineRule="auto"/>
        <w:ind w:firstLine="420"/>
        <w:rPr>
          <w:sz w:val="21"/>
          <w:szCs w:val="21"/>
        </w:rPr>
      </w:pPr>
      <w:r>
        <w:rPr>
          <w:rFonts w:hint="eastAsia"/>
          <w:sz w:val="21"/>
          <w:szCs w:val="21"/>
        </w:rPr>
        <w:t>3.财务报表的编制与复核时间安排</w:t>
      </w:r>
    </w:p>
    <w:p w14:paraId="72705CEB">
      <w:pPr>
        <w:pStyle w:val="8"/>
        <w:spacing w:before="0" w:beforeAutospacing="0" w:after="0" w:afterAutospacing="0" w:line="360" w:lineRule="auto"/>
        <w:ind w:firstLine="420"/>
        <w:rPr>
          <w:sz w:val="21"/>
          <w:szCs w:val="21"/>
        </w:rPr>
      </w:pPr>
      <w:r>
        <w:rPr>
          <w:rFonts w:hint="eastAsia"/>
          <w:sz w:val="21"/>
          <w:szCs w:val="21"/>
        </w:rPr>
        <w:t>基金管理人、基金托管人应当在每月结束后5个工作日内完成月度报表的编制及复核；在每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的财务会计报告应当经过符合《中华人民共和国证券法》规定的会计师事务所审计。基金合同生效不足两个月的，基金管理人可以不编制当期季度报告、中期报告或者年度报告。</w:t>
      </w:r>
    </w:p>
    <w:p w14:paraId="4DD4B9A5">
      <w:pPr>
        <w:pStyle w:val="8"/>
        <w:spacing w:before="0" w:beforeAutospacing="0" w:after="0" w:afterAutospacing="0" w:line="360" w:lineRule="auto"/>
        <w:ind w:firstLine="420"/>
        <w:rPr>
          <w:sz w:val="21"/>
          <w:szCs w:val="21"/>
        </w:rPr>
      </w:pPr>
      <w:r>
        <w:rPr>
          <w:rFonts w:hint="eastAsia"/>
          <w:sz w:val="21"/>
          <w:szCs w:val="21"/>
        </w:rPr>
        <w:t>（七）在有需要时，基金管理人应每季度向基金托管人提供基金业绩比较基准的编制结果。</w:t>
      </w:r>
    </w:p>
    <w:p w14:paraId="463A931C">
      <w:pPr>
        <w:pStyle w:val="8"/>
        <w:spacing w:before="0" w:beforeAutospacing="0" w:after="0" w:afterAutospacing="0" w:line="360" w:lineRule="auto"/>
        <w:ind w:firstLine="420"/>
        <w:rPr>
          <w:sz w:val="21"/>
          <w:szCs w:val="21"/>
        </w:rPr>
      </w:pPr>
      <w:r>
        <w:rPr>
          <w:rStyle w:val="12"/>
          <w:rFonts w:hint="eastAsia"/>
          <w:sz w:val="21"/>
          <w:szCs w:val="21"/>
        </w:rPr>
        <w:t>六、基金份额持有人名册的保管</w:t>
      </w:r>
    </w:p>
    <w:p w14:paraId="4C1E0C2E">
      <w:pPr>
        <w:pStyle w:val="8"/>
        <w:spacing w:before="0" w:beforeAutospacing="0" w:after="0" w:afterAutospacing="0" w:line="360" w:lineRule="auto"/>
        <w:ind w:firstLine="420"/>
        <w:rPr>
          <w:sz w:val="21"/>
          <w:szCs w:val="21"/>
        </w:rPr>
      </w:pPr>
      <w:r>
        <w:rPr>
          <w:rFonts w:hint="eastAsia"/>
          <w:sz w:val="21"/>
          <w:szCs w:val="21"/>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限不低于法律法规规定的最低期限。如不能妥善保管，则按相关法律法规承担责任。</w:t>
      </w:r>
    </w:p>
    <w:p w14:paraId="1AAF800A">
      <w:pPr>
        <w:pStyle w:val="8"/>
        <w:spacing w:before="0" w:beforeAutospacing="0" w:after="0" w:afterAutospacing="0" w:line="360" w:lineRule="auto"/>
        <w:ind w:firstLine="420"/>
        <w:rPr>
          <w:sz w:val="21"/>
          <w:szCs w:val="21"/>
        </w:rPr>
      </w:pPr>
      <w:r>
        <w:rPr>
          <w:rFonts w:hint="eastAsia"/>
          <w:sz w:val="21"/>
          <w:szCs w:val="21"/>
        </w:rPr>
        <w:t>在基金托管人要求或编制中期报告和年度报告前，基金管理人应将有关资料送交基金托管人，不得无故拒绝或延误提供，并保证其的真实性、准确性和完整性。基金管理人和托管人不得将所保管的基金份额持有人名册用于基金托管业务以外的其他用途，并应遵守保密义务。</w:t>
      </w:r>
    </w:p>
    <w:p w14:paraId="2423F1B0">
      <w:pPr>
        <w:pStyle w:val="8"/>
        <w:spacing w:before="0" w:beforeAutospacing="0" w:after="0" w:afterAutospacing="0" w:line="360" w:lineRule="auto"/>
        <w:ind w:firstLine="420"/>
        <w:rPr>
          <w:sz w:val="21"/>
          <w:szCs w:val="21"/>
        </w:rPr>
      </w:pPr>
      <w:r>
        <w:rPr>
          <w:rStyle w:val="12"/>
          <w:rFonts w:hint="eastAsia"/>
          <w:sz w:val="21"/>
          <w:szCs w:val="21"/>
        </w:rPr>
        <w:t>七、争议解决方式</w:t>
      </w:r>
    </w:p>
    <w:p w14:paraId="2F822B9C">
      <w:pPr>
        <w:pStyle w:val="8"/>
        <w:spacing w:before="0" w:beforeAutospacing="0" w:after="0" w:afterAutospacing="0" w:line="360" w:lineRule="auto"/>
        <w:ind w:firstLine="420"/>
        <w:rPr>
          <w:sz w:val="21"/>
          <w:szCs w:val="21"/>
        </w:rPr>
      </w:pPr>
      <w:r>
        <w:rPr>
          <w:rStyle w:val="12"/>
          <w:rFonts w:hint="eastAsia"/>
          <w:sz w:val="21"/>
          <w:szCs w:val="21"/>
        </w:rPr>
        <w:t>双方当事人同意，因托管协议和《基金合同》而产生的或与本协议有关的一切争议，如不愿或者不能通过协商、调解解决的，应将争议提交深圳国际仲裁院（深圳仲裁委员会），按照深圳国际仲裁院（深圳仲裁委员会）届时有效的仲裁规则进行仲裁。仲裁地点为深圳市。仲裁裁决是终局的，对双方当事人均有约束力。除非仲裁裁决另有规定，仲裁费用、律师费用由败诉方承担。</w:t>
      </w:r>
    </w:p>
    <w:p w14:paraId="65E80E91">
      <w:pPr>
        <w:pStyle w:val="8"/>
        <w:spacing w:before="0" w:beforeAutospacing="0" w:after="0" w:afterAutospacing="0" w:line="360" w:lineRule="auto"/>
        <w:ind w:firstLine="420"/>
        <w:rPr>
          <w:sz w:val="21"/>
          <w:szCs w:val="21"/>
        </w:rPr>
      </w:pPr>
      <w:r>
        <w:rPr>
          <w:rStyle w:val="12"/>
          <w:rFonts w:hint="eastAsia"/>
          <w:sz w:val="21"/>
          <w:szCs w:val="21"/>
        </w:rPr>
        <w:t>争议处理期间，基金管理人、基金托管人应恪守基金管理人和基金托管人的职责，各自继续忠实、勤勉、尽责地履行基金合同和基金托管协议规定的义务，维护基金份额持有人的合法权益。</w:t>
      </w:r>
    </w:p>
    <w:p w14:paraId="0C26965D">
      <w:pPr>
        <w:pStyle w:val="8"/>
        <w:spacing w:before="0" w:beforeAutospacing="0" w:after="0" w:afterAutospacing="0" w:line="360" w:lineRule="auto"/>
        <w:ind w:firstLine="420"/>
        <w:rPr>
          <w:sz w:val="21"/>
          <w:szCs w:val="21"/>
        </w:rPr>
      </w:pPr>
      <w:r>
        <w:rPr>
          <w:rStyle w:val="12"/>
          <w:rFonts w:hint="eastAsia"/>
          <w:sz w:val="21"/>
          <w:szCs w:val="21"/>
        </w:rPr>
        <w:t>本协议受中国法律（为本协议之目的，在此不包括香港、澳门特别行政区和台湾地区法律）管辖并从其解释。</w:t>
      </w:r>
    </w:p>
    <w:p w14:paraId="2EBBB7A5">
      <w:pPr>
        <w:pStyle w:val="8"/>
        <w:spacing w:before="0" w:beforeAutospacing="0" w:after="0" w:afterAutospacing="0" w:line="360" w:lineRule="auto"/>
        <w:ind w:firstLine="420"/>
        <w:rPr>
          <w:sz w:val="21"/>
          <w:szCs w:val="21"/>
        </w:rPr>
      </w:pPr>
      <w:r>
        <w:rPr>
          <w:rStyle w:val="12"/>
          <w:rFonts w:hint="eastAsia"/>
          <w:sz w:val="21"/>
          <w:szCs w:val="21"/>
        </w:rPr>
        <w:t>八、基金托管协议的变更、终止与基金财产的清算</w:t>
      </w:r>
    </w:p>
    <w:p w14:paraId="46B603AA">
      <w:pPr>
        <w:pStyle w:val="8"/>
        <w:spacing w:before="0" w:beforeAutospacing="0" w:after="0" w:afterAutospacing="0" w:line="360" w:lineRule="auto"/>
        <w:ind w:firstLine="420"/>
        <w:rPr>
          <w:sz w:val="21"/>
          <w:szCs w:val="21"/>
        </w:rPr>
      </w:pPr>
      <w:r>
        <w:rPr>
          <w:rFonts w:hint="eastAsia"/>
          <w:sz w:val="21"/>
          <w:szCs w:val="21"/>
        </w:rPr>
        <w:t>（一）托管协议的变更程序</w:t>
      </w:r>
    </w:p>
    <w:p w14:paraId="6491204D">
      <w:pPr>
        <w:pStyle w:val="8"/>
        <w:spacing w:before="0" w:beforeAutospacing="0" w:after="0" w:afterAutospacing="0" w:line="360" w:lineRule="auto"/>
        <w:ind w:firstLine="420"/>
        <w:rPr>
          <w:sz w:val="21"/>
          <w:szCs w:val="21"/>
        </w:rPr>
      </w:pPr>
      <w:r>
        <w:rPr>
          <w:rFonts w:hint="eastAsia"/>
          <w:sz w:val="21"/>
          <w:szCs w:val="21"/>
        </w:rPr>
        <w:t>本协议双方当事人经协商一致，可以对协议进行修改。修改后的新协议，其内容不得与基金合同的规定有任何冲突。基金托管协议的变更应报中国证监会备案。</w:t>
      </w:r>
    </w:p>
    <w:p w14:paraId="0B302849">
      <w:pPr>
        <w:pStyle w:val="8"/>
        <w:spacing w:before="0" w:beforeAutospacing="0" w:after="0" w:afterAutospacing="0" w:line="360" w:lineRule="auto"/>
        <w:ind w:firstLine="420"/>
        <w:rPr>
          <w:sz w:val="21"/>
          <w:szCs w:val="21"/>
        </w:rPr>
      </w:pPr>
      <w:r>
        <w:rPr>
          <w:rFonts w:hint="eastAsia"/>
          <w:sz w:val="21"/>
          <w:szCs w:val="21"/>
        </w:rPr>
        <w:t>（二）基金托管协议终止的情形</w:t>
      </w:r>
    </w:p>
    <w:p w14:paraId="3577D8CB">
      <w:pPr>
        <w:pStyle w:val="8"/>
        <w:spacing w:before="0" w:beforeAutospacing="0" w:after="0" w:afterAutospacing="0" w:line="360" w:lineRule="auto"/>
        <w:ind w:firstLine="420"/>
        <w:rPr>
          <w:sz w:val="21"/>
          <w:szCs w:val="21"/>
        </w:rPr>
      </w:pPr>
      <w:r>
        <w:rPr>
          <w:rFonts w:hint="eastAsia"/>
          <w:sz w:val="21"/>
          <w:szCs w:val="21"/>
        </w:rPr>
        <w:t>1、《基金合同》终止；</w:t>
      </w:r>
    </w:p>
    <w:p w14:paraId="0C9B44EE">
      <w:pPr>
        <w:pStyle w:val="8"/>
        <w:spacing w:before="0" w:beforeAutospacing="0" w:after="0" w:afterAutospacing="0" w:line="360" w:lineRule="auto"/>
        <w:ind w:firstLine="420"/>
        <w:rPr>
          <w:sz w:val="21"/>
          <w:szCs w:val="21"/>
        </w:rPr>
      </w:pPr>
      <w:r>
        <w:rPr>
          <w:rFonts w:hint="eastAsia"/>
          <w:sz w:val="21"/>
          <w:szCs w:val="21"/>
        </w:rPr>
        <w:t>2、基金托管人因解散、破产、撤销等事由，不能继续担任基金托管人的职务，而在6个月内无其他适当的托管机构承接其原有权利义务；</w:t>
      </w:r>
    </w:p>
    <w:p w14:paraId="2050477A">
      <w:pPr>
        <w:pStyle w:val="8"/>
        <w:spacing w:before="0" w:beforeAutospacing="0" w:after="0" w:afterAutospacing="0" w:line="360" w:lineRule="auto"/>
        <w:ind w:firstLine="420"/>
        <w:rPr>
          <w:sz w:val="21"/>
          <w:szCs w:val="21"/>
        </w:rPr>
      </w:pPr>
      <w:r>
        <w:rPr>
          <w:rFonts w:hint="eastAsia"/>
          <w:sz w:val="21"/>
          <w:szCs w:val="21"/>
        </w:rPr>
        <w:t>3、基金管理人因解散、破产、撤销等事由，不能继续担任基金管理人的职务，而在6个月内无其他适当的基金管理公司承接其原有权利义务；</w:t>
      </w:r>
    </w:p>
    <w:p w14:paraId="5BBFD761">
      <w:pPr>
        <w:pStyle w:val="8"/>
        <w:spacing w:before="0" w:beforeAutospacing="0" w:after="0" w:afterAutospacing="0" w:line="360" w:lineRule="auto"/>
        <w:ind w:firstLine="420"/>
        <w:rPr>
          <w:sz w:val="21"/>
          <w:szCs w:val="21"/>
        </w:rPr>
      </w:pPr>
      <w:r>
        <w:rPr>
          <w:rFonts w:hint="eastAsia"/>
          <w:sz w:val="21"/>
          <w:szCs w:val="21"/>
        </w:rPr>
        <w:t>4、发生法律法规、中国证监会或《基金合同》规定的其他终止事项。</w:t>
      </w:r>
    </w:p>
    <w:p w14:paraId="7EF93429">
      <w:pPr>
        <w:pStyle w:val="8"/>
        <w:spacing w:before="0" w:beforeAutospacing="0" w:after="0" w:afterAutospacing="0" w:line="360" w:lineRule="auto"/>
        <w:ind w:firstLine="420"/>
        <w:rPr>
          <w:sz w:val="21"/>
          <w:szCs w:val="21"/>
        </w:rPr>
      </w:pPr>
      <w:r>
        <w:rPr>
          <w:rFonts w:hint="eastAsia"/>
          <w:sz w:val="21"/>
          <w:szCs w:val="21"/>
        </w:rPr>
        <w:t>（三）基金财产的清算</w:t>
      </w:r>
    </w:p>
    <w:p w14:paraId="3B32F215">
      <w:pPr>
        <w:pStyle w:val="8"/>
        <w:spacing w:before="0" w:beforeAutospacing="0" w:after="0" w:afterAutospacing="0" w:line="360" w:lineRule="auto"/>
        <w:ind w:firstLine="420"/>
        <w:rPr>
          <w:sz w:val="21"/>
          <w:szCs w:val="21"/>
        </w:rPr>
      </w:pPr>
      <w:bookmarkStart w:id="183" w:name="chapter_level1_23_72_section_1_end"/>
      <w:bookmarkEnd w:id="183"/>
      <w:r>
        <w:rPr>
          <w:rFonts w:hint="eastAsia"/>
          <w:sz w:val="21"/>
          <w:szCs w:val="21"/>
        </w:rPr>
        <w:t>基金管理人与基金托管人按照《基金合同》的约定处理基金财产的清算。</w:t>
      </w:r>
    </w:p>
    <w:p w14:paraId="7C0CB499">
      <w:pPr>
        <w:widowControl/>
        <w:jc w:val="left"/>
        <w:rPr>
          <w:rFonts w:ascii="宋体" w:hAnsi="宋体" w:eastAsia="宋体"/>
        </w:rPr>
      </w:pPr>
      <w:r>
        <w:rPr>
          <w:rFonts w:ascii="宋体" w:hAnsi="宋体" w:eastAsia="宋体"/>
        </w:rPr>
        <w:br w:type="page"/>
      </w:r>
    </w:p>
    <w:p w14:paraId="45182671">
      <w:pPr>
        <w:pStyle w:val="3"/>
        <w:jc w:val="center"/>
        <w:rPr>
          <w:rFonts w:ascii="宋体" w:hAnsi="宋体" w:eastAsia="宋体"/>
          <w:sz w:val="30"/>
        </w:rPr>
      </w:pPr>
      <w:bookmarkStart w:id="184" w:name="chapter_level1_24_75"/>
      <w:bookmarkStart w:id="185" w:name="_Toc213857135"/>
      <w:r>
        <w:rPr>
          <w:rFonts w:hint="eastAsia" w:ascii="宋体" w:hAnsi="宋体" w:eastAsia="宋体"/>
          <w:sz w:val="30"/>
        </w:rPr>
        <w:t>第二十一部分  对基金份额持有人的服务</w:t>
      </w:r>
      <w:bookmarkEnd w:id="184"/>
      <w:bookmarkEnd w:id="185"/>
    </w:p>
    <w:p w14:paraId="7D912485">
      <w:pPr>
        <w:pStyle w:val="8"/>
        <w:spacing w:before="0" w:beforeAutospacing="0" w:after="0" w:afterAutospacing="0" w:line="360" w:lineRule="auto"/>
        <w:ind w:firstLine="420"/>
        <w:rPr>
          <w:sz w:val="21"/>
          <w:szCs w:val="21"/>
        </w:rPr>
      </w:pPr>
      <w:bookmarkStart w:id="186" w:name="chapter_level1_24_75_section_1"/>
      <w:bookmarkEnd w:id="186"/>
      <w:r>
        <w:rPr>
          <w:rFonts w:hint="eastAsia"/>
          <w:sz w:val="21"/>
          <w:szCs w:val="21"/>
        </w:rPr>
        <w:t>对本基金份额持有人的服务主要由基金管理人、基金销售机构提供。基金管理人承诺为基金份额持有人提供一系列的服务，根据基金份额持有人的需要和市场的变化，有权增加或变更服务项目，主要服务内容如下：</w:t>
      </w:r>
    </w:p>
    <w:p w14:paraId="24A55F3A">
      <w:pPr>
        <w:pStyle w:val="8"/>
        <w:spacing w:before="0" w:beforeAutospacing="0" w:after="0" w:afterAutospacing="0" w:line="360" w:lineRule="auto"/>
        <w:ind w:firstLine="420"/>
        <w:rPr>
          <w:sz w:val="21"/>
          <w:szCs w:val="21"/>
        </w:rPr>
      </w:pPr>
      <w:r>
        <w:rPr>
          <w:rStyle w:val="12"/>
          <w:rFonts w:hint="eastAsia"/>
          <w:sz w:val="21"/>
          <w:szCs w:val="21"/>
        </w:rPr>
        <w:t>一、基金份额持有人交易资料的寄送服务</w:t>
      </w:r>
    </w:p>
    <w:p w14:paraId="0B8284D7">
      <w:pPr>
        <w:pStyle w:val="8"/>
        <w:spacing w:before="0" w:beforeAutospacing="0" w:after="0" w:afterAutospacing="0" w:line="360" w:lineRule="auto"/>
        <w:ind w:firstLine="420"/>
        <w:rPr>
          <w:sz w:val="21"/>
          <w:szCs w:val="21"/>
        </w:rPr>
      </w:pPr>
      <w:r>
        <w:rPr>
          <w:rFonts w:hint="eastAsia"/>
          <w:sz w:val="21"/>
          <w:szCs w:val="21"/>
        </w:rPr>
        <w:t>1、交易确认单</w:t>
      </w:r>
    </w:p>
    <w:p w14:paraId="4341482E">
      <w:pPr>
        <w:pStyle w:val="8"/>
        <w:spacing w:before="0" w:beforeAutospacing="0" w:after="0" w:afterAutospacing="0" w:line="360" w:lineRule="auto"/>
        <w:ind w:firstLine="420"/>
        <w:rPr>
          <w:sz w:val="21"/>
          <w:szCs w:val="21"/>
        </w:rPr>
      </w:pPr>
      <w:r>
        <w:rPr>
          <w:rFonts w:hint="eastAsia"/>
          <w:sz w:val="21"/>
          <w:szCs w:val="21"/>
        </w:rPr>
        <w:t>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电子对账单</w:t>
      </w:r>
    </w:p>
    <w:p w14:paraId="3F2BD577">
      <w:pPr>
        <w:pStyle w:val="8"/>
        <w:spacing w:before="0" w:beforeAutospacing="0" w:after="0" w:afterAutospacing="0" w:line="360" w:lineRule="auto"/>
        <w:ind w:firstLine="420"/>
        <w:rPr>
          <w:sz w:val="21"/>
          <w:szCs w:val="21"/>
        </w:rPr>
      </w:pPr>
      <w:r>
        <w:rPr>
          <w:rFonts w:hint="eastAsia"/>
          <w:sz w:val="21"/>
          <w:szCs w:val="21"/>
        </w:rPr>
        <w:t>每月结束后，基金管理人向所有订阅电子邮件对账单的投资者发送电子邮件对账单。</w:t>
      </w:r>
    </w:p>
    <w:p w14:paraId="2A9D1E66">
      <w:pPr>
        <w:pStyle w:val="8"/>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投资者可以登录基金管理人网站（http://www.bosera.com）自助订阅；或发送“订阅电子对账单”邮件到客服邮箱service@bosera.com；也可直接拨打博时一线通95105568（免长途话费）订阅。</w:t>
      </w:r>
    </w:p>
    <w:p w14:paraId="381B1D2D">
      <w:pPr>
        <w:pStyle w:val="8"/>
        <w:spacing w:before="0" w:beforeAutospacing="0" w:after="0" w:afterAutospacing="0" w:line="360" w:lineRule="auto"/>
        <w:ind w:firstLine="420"/>
        <w:rPr>
          <w:sz w:val="21"/>
          <w:szCs w:val="21"/>
        </w:rPr>
      </w:pPr>
      <w:r>
        <w:rPr>
          <w:rFonts w:hint="eastAsia"/>
          <w:sz w:val="21"/>
          <w:szCs w:val="21"/>
        </w:rPr>
        <w:t>2、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w:t>
      </w:r>
    </w:p>
    <w:p w14:paraId="3A3FB577">
      <w:pPr>
        <w:pStyle w:val="8"/>
        <w:spacing w:before="0" w:beforeAutospacing="0" w:after="0" w:afterAutospacing="0" w:line="360" w:lineRule="auto"/>
        <w:ind w:firstLine="420"/>
        <w:rPr>
          <w:sz w:val="21"/>
          <w:szCs w:val="21"/>
        </w:rPr>
      </w:pPr>
      <w:r>
        <w:rPr>
          <w:rFonts w:hint="eastAsia"/>
          <w:sz w:val="21"/>
          <w:szCs w:val="21"/>
        </w:rPr>
        <w:t>二、网上理财服务</w:t>
      </w:r>
    </w:p>
    <w:p w14:paraId="2C7572F9">
      <w:pPr>
        <w:pStyle w:val="8"/>
        <w:spacing w:before="0" w:beforeAutospacing="0" w:after="0" w:afterAutospacing="0" w:line="360" w:lineRule="auto"/>
        <w:ind w:firstLine="420"/>
        <w:rPr>
          <w:sz w:val="21"/>
          <w:szCs w:val="21"/>
        </w:rPr>
      </w:pPr>
      <w:r>
        <w:rPr>
          <w:rFonts w:hint="eastAsia"/>
          <w:sz w:val="21"/>
          <w:szCs w:val="21"/>
        </w:rPr>
        <w:t>通过基金管理人网站，投资者可获得如下服务：</w:t>
      </w:r>
    </w:p>
    <w:p w14:paraId="47C0634F">
      <w:pPr>
        <w:pStyle w:val="8"/>
        <w:spacing w:before="0" w:beforeAutospacing="0" w:after="0" w:afterAutospacing="0" w:line="360" w:lineRule="auto"/>
        <w:ind w:firstLine="420"/>
        <w:rPr>
          <w:sz w:val="21"/>
          <w:szCs w:val="21"/>
        </w:rPr>
      </w:pPr>
      <w:r>
        <w:rPr>
          <w:rFonts w:hint="eastAsia"/>
          <w:sz w:val="21"/>
          <w:szCs w:val="21"/>
        </w:rPr>
        <w:t>1、自助开户交易</w:t>
      </w:r>
    </w:p>
    <w:p w14:paraId="7628099E">
      <w:pPr>
        <w:pStyle w:val="8"/>
        <w:spacing w:before="0" w:beforeAutospacing="0" w:after="0" w:afterAutospacing="0" w:line="360" w:lineRule="auto"/>
        <w:ind w:firstLine="420"/>
        <w:rPr>
          <w:sz w:val="21"/>
          <w:szCs w:val="21"/>
        </w:rPr>
      </w:pPr>
      <w:r>
        <w:rPr>
          <w:rFonts w:hint="eastAsia"/>
          <w:sz w:val="21"/>
          <w:szCs w:val="21"/>
        </w:rPr>
        <w:t>投资者可登录基金管理人网站网上交易系统，与基金管理人达成电子交易的相关协议，接受基金管理人有关服务条款并办理相关手续后，即可自助开户并进行网上交易，如基金认/申购、定投、转换、赎回、赎回转申购及分红方式变更等。具体业务办理情况及业务规则请登录基金管理人网站查询。</w:t>
      </w:r>
    </w:p>
    <w:p w14:paraId="01DDEAFF">
      <w:pPr>
        <w:pStyle w:val="8"/>
        <w:spacing w:before="0" w:beforeAutospacing="0" w:after="0" w:afterAutospacing="0" w:line="360" w:lineRule="auto"/>
        <w:ind w:firstLine="420"/>
        <w:rPr>
          <w:sz w:val="21"/>
          <w:szCs w:val="21"/>
        </w:rPr>
      </w:pPr>
      <w:r>
        <w:rPr>
          <w:rFonts w:hint="eastAsia"/>
          <w:sz w:val="21"/>
          <w:szCs w:val="21"/>
        </w:rPr>
        <w:t>2、查询服务</w:t>
      </w:r>
    </w:p>
    <w:p w14:paraId="249507D6">
      <w:pPr>
        <w:pStyle w:val="8"/>
        <w:spacing w:before="0" w:beforeAutospacing="0" w:after="0" w:afterAutospacing="0" w:line="360" w:lineRule="auto"/>
        <w:ind w:firstLine="420"/>
        <w:rPr>
          <w:sz w:val="21"/>
          <w:szCs w:val="21"/>
        </w:rPr>
      </w:pPr>
      <w:r>
        <w:rPr>
          <w:rFonts w:hint="eastAsia"/>
          <w:sz w:val="21"/>
          <w:szCs w:val="21"/>
        </w:rPr>
        <w:t>投资者可以通过基金管理人网站查询所持有基金的基金份额、交易记录等信息，同时可以修改基金账户信息等基本资料。</w:t>
      </w:r>
    </w:p>
    <w:p w14:paraId="210107D4">
      <w:pPr>
        <w:pStyle w:val="8"/>
        <w:spacing w:before="0" w:beforeAutospacing="0" w:after="0" w:afterAutospacing="0" w:line="360" w:lineRule="auto"/>
        <w:ind w:firstLine="420"/>
        <w:rPr>
          <w:sz w:val="21"/>
          <w:szCs w:val="21"/>
        </w:rPr>
      </w:pPr>
      <w:r>
        <w:rPr>
          <w:rFonts w:hint="eastAsia"/>
          <w:sz w:val="21"/>
          <w:szCs w:val="21"/>
        </w:rPr>
        <w:t>3、信息资讯服务</w:t>
      </w:r>
    </w:p>
    <w:p w14:paraId="51775154">
      <w:pPr>
        <w:pStyle w:val="8"/>
        <w:spacing w:before="0" w:beforeAutospacing="0" w:after="0" w:afterAutospacing="0" w:line="360" w:lineRule="auto"/>
        <w:ind w:firstLine="420"/>
        <w:rPr>
          <w:sz w:val="21"/>
          <w:szCs w:val="21"/>
        </w:rPr>
      </w:pPr>
      <w:r>
        <w:rPr>
          <w:rFonts w:hint="eastAsia"/>
          <w:sz w:val="21"/>
          <w:szCs w:val="21"/>
        </w:rPr>
        <w:t>投资者可以利用基金管理人网站获取基金和基金管理人各类信息，包括基金法律文件、基金管理人最新动态、热点问题等。</w:t>
      </w:r>
    </w:p>
    <w:p w14:paraId="70F4DB23">
      <w:pPr>
        <w:pStyle w:val="8"/>
        <w:spacing w:before="0" w:beforeAutospacing="0" w:after="0" w:afterAutospacing="0" w:line="360" w:lineRule="auto"/>
        <w:ind w:firstLine="420"/>
        <w:rPr>
          <w:sz w:val="21"/>
          <w:szCs w:val="21"/>
        </w:rPr>
      </w:pPr>
      <w:r>
        <w:rPr>
          <w:rFonts w:hint="eastAsia"/>
          <w:sz w:val="21"/>
          <w:szCs w:val="21"/>
        </w:rPr>
        <w:t>4、在线客服</w:t>
      </w:r>
    </w:p>
    <w:p w14:paraId="550E3D5D">
      <w:pPr>
        <w:pStyle w:val="8"/>
        <w:spacing w:before="0" w:beforeAutospacing="0" w:after="0" w:afterAutospacing="0" w:line="360" w:lineRule="auto"/>
        <w:ind w:firstLine="420"/>
        <w:rPr>
          <w:sz w:val="21"/>
          <w:szCs w:val="21"/>
        </w:rPr>
      </w:pPr>
      <w:r>
        <w:rPr>
          <w:rFonts w:hint="eastAsia"/>
          <w:sz w:val="21"/>
          <w:szCs w:val="21"/>
        </w:rPr>
        <w:t>投资者可以通过基金管理人网站首页“在线客服”功能进行在线咨询。也可以在“您问我答”栏目中，直接提出有关本基金的问题和建议。</w:t>
      </w:r>
    </w:p>
    <w:p w14:paraId="7E4C266A">
      <w:pPr>
        <w:pStyle w:val="8"/>
        <w:spacing w:before="0" w:beforeAutospacing="0" w:after="0" w:afterAutospacing="0" w:line="360" w:lineRule="auto"/>
        <w:ind w:firstLine="420"/>
        <w:rPr>
          <w:sz w:val="21"/>
          <w:szCs w:val="21"/>
        </w:rPr>
      </w:pPr>
      <w:r>
        <w:rPr>
          <w:rStyle w:val="12"/>
          <w:rFonts w:hint="eastAsia"/>
          <w:sz w:val="21"/>
          <w:szCs w:val="21"/>
        </w:rPr>
        <w:t>三、短信服务</w:t>
      </w:r>
    </w:p>
    <w:p w14:paraId="10965DF0">
      <w:pPr>
        <w:pStyle w:val="8"/>
        <w:spacing w:before="0" w:beforeAutospacing="0" w:after="0" w:afterAutospacing="0" w:line="360" w:lineRule="auto"/>
        <w:ind w:firstLine="420"/>
        <w:rPr>
          <w:sz w:val="21"/>
          <w:szCs w:val="21"/>
        </w:rPr>
      </w:pPr>
      <w:r>
        <w:rPr>
          <w:rFonts w:hint="eastAsia"/>
          <w:sz w:val="21"/>
          <w:szCs w:val="21"/>
        </w:rPr>
        <w:t>基金管理人向订制短信服务的基金份额持有人提供相应短信服务。</w:t>
      </w:r>
    </w:p>
    <w:p w14:paraId="7467418A">
      <w:pPr>
        <w:pStyle w:val="8"/>
        <w:spacing w:before="0" w:beforeAutospacing="0" w:after="0" w:afterAutospacing="0" w:line="360" w:lineRule="auto"/>
        <w:ind w:firstLine="420"/>
        <w:rPr>
          <w:sz w:val="21"/>
          <w:szCs w:val="21"/>
        </w:rPr>
      </w:pPr>
      <w:r>
        <w:rPr>
          <w:rStyle w:val="12"/>
          <w:rFonts w:hint="eastAsia"/>
          <w:sz w:val="21"/>
          <w:szCs w:val="21"/>
        </w:rPr>
        <w:t>四、电子邮件服务</w:t>
      </w:r>
    </w:p>
    <w:p w14:paraId="41F7C99A">
      <w:pPr>
        <w:pStyle w:val="8"/>
        <w:spacing w:before="0" w:beforeAutospacing="0" w:after="0" w:afterAutospacing="0" w:line="360" w:lineRule="auto"/>
        <w:ind w:firstLine="420"/>
        <w:rPr>
          <w:sz w:val="21"/>
          <w:szCs w:val="21"/>
        </w:rPr>
      </w:pPr>
      <w:r>
        <w:rPr>
          <w:rFonts w:hint="eastAsia"/>
          <w:sz w:val="21"/>
          <w:szCs w:val="21"/>
        </w:rPr>
        <w:t>基金管理人为投资者提供电子邮件方式的业务咨询、投诉受理、基金份额净值等服务。</w:t>
      </w:r>
    </w:p>
    <w:p w14:paraId="67F6092D">
      <w:pPr>
        <w:pStyle w:val="8"/>
        <w:spacing w:before="0" w:beforeAutospacing="0" w:after="0" w:afterAutospacing="0" w:line="360" w:lineRule="auto"/>
        <w:ind w:firstLine="420"/>
        <w:rPr>
          <w:sz w:val="21"/>
          <w:szCs w:val="21"/>
        </w:rPr>
      </w:pPr>
      <w:r>
        <w:rPr>
          <w:rStyle w:val="12"/>
          <w:rFonts w:hint="eastAsia"/>
          <w:sz w:val="21"/>
          <w:szCs w:val="21"/>
        </w:rPr>
        <w:t>五、手机理财服务</w:t>
      </w:r>
    </w:p>
    <w:p w14:paraId="6655F581">
      <w:pPr>
        <w:pStyle w:val="8"/>
        <w:spacing w:before="0" w:beforeAutospacing="0" w:after="0" w:afterAutospacing="0" w:line="360" w:lineRule="auto"/>
        <w:ind w:firstLine="420"/>
        <w:rPr>
          <w:sz w:val="21"/>
          <w:szCs w:val="21"/>
        </w:rPr>
      </w:pPr>
      <w:r>
        <w:rPr>
          <w:rFonts w:hint="eastAsia"/>
          <w:sz w:val="21"/>
          <w:szCs w:val="21"/>
        </w:rPr>
        <w:t>投资者通过手机博时移动版直销网上交易系统（http://m.bosera.com）和博时App版直销网上交易系统，可以使用基金理财所需的基金交易、理财查询、账户管理、信息资讯等功能和服务。</w:t>
      </w:r>
    </w:p>
    <w:p w14:paraId="194190B3">
      <w:pPr>
        <w:pStyle w:val="8"/>
        <w:spacing w:before="0" w:beforeAutospacing="0" w:after="0" w:afterAutospacing="0" w:line="360" w:lineRule="auto"/>
        <w:ind w:firstLine="420"/>
        <w:rPr>
          <w:sz w:val="21"/>
          <w:szCs w:val="21"/>
        </w:rPr>
      </w:pPr>
      <w:r>
        <w:rPr>
          <w:rStyle w:val="12"/>
          <w:rFonts w:hint="eastAsia"/>
          <w:sz w:val="21"/>
          <w:szCs w:val="21"/>
        </w:rPr>
        <w:t>六、信息订阅服务</w:t>
      </w:r>
    </w:p>
    <w:p w14:paraId="3185272E">
      <w:pPr>
        <w:pStyle w:val="8"/>
        <w:spacing w:before="0" w:beforeAutospacing="0" w:after="0" w:afterAutospacing="0" w:line="360" w:lineRule="auto"/>
        <w:ind w:firstLine="420"/>
        <w:rPr>
          <w:sz w:val="21"/>
          <w:szCs w:val="21"/>
        </w:rPr>
      </w:pPr>
      <w:r>
        <w:rPr>
          <w:rFonts w:hint="eastAsia"/>
          <w:sz w:val="21"/>
          <w:szCs w:val="21"/>
        </w:rPr>
        <w:t>投资者可以通过基金管理人网站、客服中心提交信息订制的申请，基金管理人将以电子邮件、手机短信的形式定期为投资者发送所订制的信息。</w:t>
      </w:r>
    </w:p>
    <w:p w14:paraId="5FA7B056">
      <w:pPr>
        <w:pStyle w:val="8"/>
        <w:spacing w:before="0" w:beforeAutospacing="0" w:after="0" w:afterAutospacing="0" w:line="360" w:lineRule="auto"/>
        <w:ind w:firstLine="420"/>
        <w:rPr>
          <w:sz w:val="21"/>
          <w:szCs w:val="21"/>
        </w:rPr>
      </w:pPr>
      <w:r>
        <w:rPr>
          <w:rStyle w:val="12"/>
          <w:rFonts w:hint="eastAsia"/>
          <w:sz w:val="21"/>
          <w:szCs w:val="21"/>
        </w:rPr>
        <w:t>七、电话理财服务</w:t>
      </w:r>
    </w:p>
    <w:p w14:paraId="74FA5770">
      <w:pPr>
        <w:pStyle w:val="8"/>
        <w:spacing w:before="0" w:beforeAutospacing="0" w:after="0" w:afterAutospacing="0" w:line="360" w:lineRule="auto"/>
        <w:ind w:firstLine="420"/>
        <w:rPr>
          <w:sz w:val="21"/>
          <w:szCs w:val="21"/>
        </w:rPr>
      </w:pPr>
      <w:r>
        <w:rPr>
          <w:rFonts w:hint="eastAsia"/>
          <w:sz w:val="21"/>
          <w:szCs w:val="21"/>
        </w:rPr>
        <w:t>投资者拨打博时一线通：95105568（免长途话费）可享有投资理财交易的一站式综合服务：</w:t>
      </w:r>
    </w:p>
    <w:p w14:paraId="1E65519D">
      <w:pPr>
        <w:pStyle w:val="8"/>
        <w:spacing w:before="0" w:beforeAutospacing="0" w:after="0" w:afterAutospacing="0" w:line="360" w:lineRule="auto"/>
        <w:ind w:firstLine="420"/>
        <w:rPr>
          <w:sz w:val="21"/>
          <w:szCs w:val="21"/>
        </w:rPr>
      </w:pPr>
      <w:r>
        <w:rPr>
          <w:rFonts w:hint="eastAsia"/>
          <w:sz w:val="21"/>
          <w:szCs w:val="21"/>
        </w:rPr>
        <w:t>1、自助语音服务：基金管理人自助语音系统提供7×24小时的全天候服务，投资者可以自助查询账户余额、交易情况、基金净值等信息，也可以进行直销交易、密码修改、传真索取等操作。</w:t>
      </w:r>
    </w:p>
    <w:p w14:paraId="3DB326F3">
      <w:pPr>
        <w:pStyle w:val="8"/>
        <w:spacing w:before="0" w:beforeAutospacing="0" w:after="0" w:afterAutospacing="0" w:line="360" w:lineRule="auto"/>
        <w:ind w:firstLine="420"/>
        <w:rPr>
          <w:sz w:val="21"/>
          <w:szCs w:val="21"/>
        </w:rPr>
      </w:pPr>
      <w:r>
        <w:rPr>
          <w:rFonts w:hint="eastAsia"/>
          <w:sz w:val="21"/>
          <w:szCs w:val="21"/>
        </w:rPr>
        <w:t>2、电话交易服务：基金管理人直销投资者可通过博时一线通电话交易平台在线办理基金的赎回、变更分红方式、撤单等直销交易业务。</w:t>
      </w:r>
    </w:p>
    <w:p w14:paraId="20F4B3FF">
      <w:pPr>
        <w:pStyle w:val="8"/>
        <w:spacing w:before="0" w:beforeAutospacing="0" w:after="0" w:afterAutospacing="0" w:line="360" w:lineRule="auto"/>
        <w:ind w:firstLine="420"/>
        <w:rPr>
          <w:sz w:val="21"/>
          <w:szCs w:val="21"/>
        </w:rPr>
      </w:pPr>
      <w:r>
        <w:rPr>
          <w:rFonts w:hint="eastAsia"/>
          <w:sz w:val="21"/>
          <w:szCs w:val="21"/>
        </w:rPr>
        <w:t>3、人工电话服务：投资者可以获得业务咨询、信息查询、资料修改、投诉受理、信息订制、账户诊断等服务。</w:t>
      </w:r>
    </w:p>
    <w:p w14:paraId="7CBDD5E8">
      <w:pPr>
        <w:pStyle w:val="8"/>
        <w:spacing w:before="0" w:beforeAutospacing="0" w:after="0" w:afterAutospacing="0" w:line="360" w:lineRule="auto"/>
        <w:ind w:firstLine="420"/>
        <w:rPr>
          <w:sz w:val="21"/>
          <w:szCs w:val="21"/>
        </w:rPr>
      </w:pPr>
      <w:r>
        <w:rPr>
          <w:rFonts w:hint="eastAsia"/>
          <w:sz w:val="21"/>
          <w:szCs w:val="21"/>
        </w:rPr>
        <w:t>4、电话留言服务：非人工服务时间或线路繁忙时，投资者可进行电话留言。</w:t>
      </w:r>
    </w:p>
    <w:p w14:paraId="4B15CBC8">
      <w:pPr>
        <w:pStyle w:val="8"/>
        <w:spacing w:before="0" w:beforeAutospacing="0" w:after="0" w:afterAutospacing="0" w:line="360" w:lineRule="auto"/>
        <w:ind w:firstLine="420"/>
        <w:rPr>
          <w:sz w:val="21"/>
          <w:szCs w:val="21"/>
        </w:rPr>
      </w:pPr>
      <w:r>
        <w:rPr>
          <w:rStyle w:val="12"/>
          <w:rFonts w:hint="eastAsia"/>
          <w:sz w:val="21"/>
          <w:szCs w:val="21"/>
        </w:rPr>
        <w:t>八、基金管理人联系方式</w:t>
      </w:r>
    </w:p>
    <w:p w14:paraId="025EDFA3">
      <w:pPr>
        <w:pStyle w:val="8"/>
        <w:spacing w:before="0" w:beforeAutospacing="0" w:after="0" w:afterAutospacing="0" w:line="360" w:lineRule="auto"/>
        <w:ind w:firstLine="420"/>
        <w:rPr>
          <w:sz w:val="21"/>
          <w:szCs w:val="21"/>
        </w:rPr>
      </w:pPr>
      <w:r>
        <w:rPr>
          <w:rFonts w:hint="eastAsia"/>
          <w:sz w:val="21"/>
          <w:szCs w:val="21"/>
        </w:rPr>
        <w:t>网址： www.bosera.com </w:t>
      </w:r>
    </w:p>
    <w:p w14:paraId="4410DDB2">
      <w:pPr>
        <w:pStyle w:val="8"/>
        <w:spacing w:before="0" w:beforeAutospacing="0" w:after="0" w:afterAutospacing="0" w:line="360" w:lineRule="auto"/>
        <w:ind w:firstLine="420"/>
        <w:rPr>
          <w:sz w:val="21"/>
          <w:szCs w:val="21"/>
        </w:rPr>
      </w:pPr>
      <w:r>
        <w:rPr>
          <w:rFonts w:hint="eastAsia"/>
          <w:sz w:val="21"/>
          <w:szCs w:val="21"/>
        </w:rPr>
        <w:t>电子信箱：service@bosera.com</w:t>
      </w:r>
    </w:p>
    <w:p w14:paraId="73E438E0">
      <w:pPr>
        <w:pStyle w:val="8"/>
        <w:spacing w:before="0" w:beforeAutospacing="0" w:after="0" w:afterAutospacing="0" w:line="360" w:lineRule="auto"/>
        <w:ind w:firstLine="420"/>
        <w:rPr>
          <w:sz w:val="21"/>
          <w:szCs w:val="21"/>
        </w:rPr>
      </w:pPr>
      <w:r>
        <w:rPr>
          <w:rFonts w:hint="eastAsia"/>
          <w:sz w:val="21"/>
          <w:szCs w:val="21"/>
        </w:rPr>
        <w:t>博时一线通客服电话：95105568（免长途话费）</w:t>
      </w:r>
    </w:p>
    <w:p w14:paraId="2C3F10E2">
      <w:pPr>
        <w:pStyle w:val="8"/>
        <w:spacing w:before="0" w:beforeAutospacing="0" w:after="0" w:afterAutospacing="0" w:line="360" w:lineRule="auto"/>
        <w:ind w:firstLine="420"/>
        <w:rPr>
          <w:sz w:val="21"/>
          <w:szCs w:val="21"/>
        </w:rPr>
      </w:pPr>
      <w:r>
        <w:rPr>
          <w:rStyle w:val="12"/>
          <w:rFonts w:hint="eastAsia"/>
          <w:sz w:val="21"/>
          <w:szCs w:val="21"/>
        </w:rPr>
        <w:t>九、如本招募说明书存在任何您/贵机构无法理解的内容，请通过上述方式联系基金管</w:t>
      </w:r>
      <w:bookmarkStart w:id="187" w:name="chapter_level1_24_75_section_1_end"/>
      <w:bookmarkEnd w:id="187"/>
      <w:r>
        <w:rPr>
          <w:rStyle w:val="12"/>
          <w:rFonts w:hint="eastAsia"/>
          <w:sz w:val="21"/>
          <w:szCs w:val="21"/>
        </w:rPr>
        <w:t>理人。请确保投资前，您/贵机构已经全面理解了本招募说明书。</w:t>
      </w:r>
    </w:p>
    <w:p w14:paraId="44B5C5D5">
      <w:pPr>
        <w:widowControl/>
        <w:jc w:val="left"/>
        <w:rPr>
          <w:rFonts w:ascii="宋体" w:hAnsi="宋体" w:eastAsia="宋体"/>
        </w:rPr>
      </w:pPr>
      <w:r>
        <w:rPr>
          <w:rFonts w:ascii="宋体" w:hAnsi="宋体" w:eastAsia="宋体"/>
        </w:rPr>
        <w:br w:type="page"/>
      </w:r>
    </w:p>
    <w:p w14:paraId="28F51688">
      <w:pPr>
        <w:pStyle w:val="3"/>
        <w:jc w:val="center"/>
        <w:rPr>
          <w:rFonts w:ascii="宋体" w:hAnsi="宋体" w:eastAsia="宋体"/>
          <w:sz w:val="30"/>
        </w:rPr>
      </w:pPr>
      <w:bookmarkStart w:id="188" w:name="_Toc213857136"/>
      <w:bookmarkStart w:id="189" w:name="chapter_level1_25_3499"/>
      <w:r>
        <w:rPr>
          <w:rFonts w:hint="eastAsia" w:ascii="宋体" w:hAnsi="宋体" w:eastAsia="宋体"/>
          <w:sz w:val="30"/>
        </w:rPr>
        <w:t>第二十二部分 其他应披露的事项</w:t>
      </w:r>
      <w:bookmarkEnd w:id="188"/>
      <w:bookmarkEnd w:id="189"/>
    </w:p>
    <w:p w14:paraId="3D528224">
      <w:pPr>
        <w:pStyle w:val="8"/>
        <w:spacing w:before="0" w:beforeAutospacing="0" w:after="0" w:afterAutospacing="0" w:line="360" w:lineRule="auto"/>
        <w:ind w:firstLine="420"/>
        <w:rPr>
          <w:sz w:val="21"/>
          <w:szCs w:val="21"/>
        </w:rPr>
      </w:pPr>
      <w:bookmarkStart w:id="190" w:name="field_0_bsrevealinfo_1_start"/>
      <w:bookmarkEnd w:id="190"/>
      <w:bookmarkStart w:id="191" w:name="chapter_level1_25_3499_section_1"/>
      <w:bookmarkEnd w:id="191"/>
      <w:r>
        <w:rPr>
          <w:rFonts w:hint="eastAsia"/>
          <w:sz w:val="21"/>
          <w:szCs w:val="21"/>
        </w:rPr>
        <w:t>（一）、2025年10月28日，我公司公告了《博时卓越优选混合型证券投资基金2025年第3季度报告》；</w:t>
      </w:r>
    </w:p>
    <w:p w14:paraId="1A02C79F">
      <w:pPr>
        <w:pStyle w:val="8"/>
        <w:spacing w:before="0" w:beforeAutospacing="0" w:after="0" w:afterAutospacing="0" w:line="360" w:lineRule="auto"/>
        <w:ind w:firstLine="420"/>
        <w:rPr>
          <w:sz w:val="21"/>
          <w:szCs w:val="21"/>
        </w:rPr>
      </w:pPr>
      <w:r>
        <w:rPr>
          <w:rFonts w:hint="eastAsia"/>
          <w:sz w:val="21"/>
          <w:szCs w:val="21"/>
        </w:rPr>
        <w:t>（二）、2025年10月16日，我公司公告了《博时基金管理有限公司关于高级管理人员变更的公告》；</w:t>
      </w:r>
    </w:p>
    <w:p w14:paraId="739417FF">
      <w:pPr>
        <w:pStyle w:val="8"/>
        <w:spacing w:before="0" w:beforeAutospacing="0" w:after="0" w:afterAutospacing="0" w:line="360" w:lineRule="auto"/>
        <w:ind w:firstLine="420"/>
        <w:rPr>
          <w:sz w:val="21"/>
          <w:szCs w:val="21"/>
        </w:rPr>
      </w:pPr>
      <w:r>
        <w:rPr>
          <w:rFonts w:hint="eastAsia"/>
          <w:sz w:val="21"/>
          <w:szCs w:val="21"/>
        </w:rPr>
        <w:t>（三）、2025年9月4日，我公司公告了《博时基金管理有限公司关于旗下基金持有的长期停牌股票调整估值方法的公告》；</w:t>
      </w:r>
    </w:p>
    <w:p w14:paraId="4B9FCE5C">
      <w:pPr>
        <w:pStyle w:val="8"/>
        <w:spacing w:before="0" w:beforeAutospacing="0" w:after="0" w:afterAutospacing="0" w:line="360" w:lineRule="auto"/>
        <w:ind w:firstLine="420"/>
        <w:rPr>
          <w:sz w:val="21"/>
          <w:szCs w:val="21"/>
        </w:rPr>
      </w:pPr>
      <w:r>
        <w:rPr>
          <w:rFonts w:hint="eastAsia"/>
          <w:sz w:val="21"/>
          <w:szCs w:val="21"/>
        </w:rPr>
        <w:t>（四）、2025年7月29日，我公司公告了《关于博时卓越优选混合型证券投资基金开通直销网上交易定期投资业务的公告》；</w:t>
      </w:r>
    </w:p>
    <w:p w14:paraId="1D41634F">
      <w:pPr>
        <w:pStyle w:val="8"/>
        <w:spacing w:before="0" w:beforeAutospacing="0" w:after="0" w:afterAutospacing="0" w:line="360" w:lineRule="auto"/>
        <w:ind w:firstLine="420"/>
        <w:rPr>
          <w:sz w:val="21"/>
          <w:szCs w:val="21"/>
        </w:rPr>
      </w:pPr>
      <w:r>
        <w:rPr>
          <w:rFonts w:hint="eastAsia"/>
          <w:sz w:val="21"/>
          <w:szCs w:val="21"/>
        </w:rPr>
        <w:t>（五）、2025年7月25日，我公司公告了《博时卓越优选混合型证券投资基金开放日常申购、赎回、转换、定期定额投资业务的公告》；</w:t>
      </w:r>
    </w:p>
    <w:p w14:paraId="7CE77CF4">
      <w:pPr>
        <w:pStyle w:val="8"/>
        <w:spacing w:before="0" w:beforeAutospacing="0" w:after="0" w:afterAutospacing="0" w:line="360" w:lineRule="auto"/>
        <w:ind w:firstLine="420"/>
        <w:rPr>
          <w:sz w:val="21"/>
          <w:szCs w:val="21"/>
        </w:rPr>
      </w:pPr>
      <w:r>
        <w:rPr>
          <w:rFonts w:hint="eastAsia"/>
          <w:sz w:val="21"/>
          <w:szCs w:val="21"/>
        </w:rPr>
        <w:t>（六）、2025年7月1日，我公司公告了《博时卓越优选混合型证券投资基金（博时卓越优选混合C）基金产品资料概要更新》、《博时卓越优选混合型证券投资基金（博时卓越优选混合A）基金产品资料概要更新》；</w:t>
      </w:r>
    </w:p>
    <w:p w14:paraId="0E27A834">
      <w:pPr>
        <w:pStyle w:val="8"/>
        <w:spacing w:before="0" w:beforeAutospacing="0" w:after="0" w:afterAutospacing="0" w:line="360" w:lineRule="auto"/>
        <w:ind w:firstLine="420"/>
        <w:rPr>
          <w:sz w:val="21"/>
          <w:szCs w:val="21"/>
        </w:rPr>
      </w:pPr>
      <w:r>
        <w:rPr>
          <w:rFonts w:hint="eastAsia"/>
          <w:sz w:val="21"/>
          <w:szCs w:val="21"/>
        </w:rPr>
        <w:t>（七）、2025年6月28日，我公司公告了《博时卓越优选混合型证券投资基金基金合同生效公告》；</w:t>
      </w:r>
    </w:p>
    <w:p w14:paraId="30B47A1F">
      <w:pPr>
        <w:pStyle w:val="8"/>
        <w:spacing w:before="0" w:beforeAutospacing="0" w:after="0" w:afterAutospacing="0" w:line="360" w:lineRule="auto"/>
        <w:ind w:firstLine="420"/>
        <w:rPr>
          <w:sz w:val="21"/>
          <w:szCs w:val="21"/>
        </w:rPr>
      </w:pPr>
      <w:r>
        <w:rPr>
          <w:rFonts w:hint="eastAsia"/>
          <w:sz w:val="21"/>
          <w:szCs w:val="21"/>
        </w:rPr>
        <w:t>（八）、2025年6月6日，我公司公告了《博时基金管理有限公司关于旗下基金持有的长期停牌股票调整估值方法的公告-20250606》；</w:t>
      </w:r>
    </w:p>
    <w:p w14:paraId="089435BC">
      <w:pPr>
        <w:pStyle w:val="8"/>
        <w:spacing w:before="0" w:beforeAutospacing="0" w:after="0" w:afterAutospacing="0" w:line="360" w:lineRule="auto"/>
        <w:ind w:firstLine="420"/>
        <w:rPr>
          <w:sz w:val="21"/>
          <w:szCs w:val="21"/>
        </w:rPr>
      </w:pPr>
      <w:r>
        <w:rPr>
          <w:rFonts w:hint="eastAsia"/>
          <w:sz w:val="21"/>
          <w:szCs w:val="21"/>
        </w:rPr>
        <w:t>（九）、2025年6月3日，我公司公告了《博时基金管理有限公司关于旗下基金持有的长期停牌股票调整估值方法的公告-20250603》；</w:t>
      </w:r>
    </w:p>
    <w:p w14:paraId="150E8B77">
      <w:pPr>
        <w:pStyle w:val="8"/>
        <w:spacing w:before="0" w:beforeAutospacing="0" w:after="0" w:afterAutospacing="0" w:line="360" w:lineRule="auto"/>
        <w:ind w:firstLine="420"/>
        <w:rPr>
          <w:sz w:val="21"/>
          <w:szCs w:val="21"/>
        </w:rPr>
      </w:pPr>
      <w:r>
        <w:rPr>
          <w:rFonts w:hint="eastAsia"/>
          <w:sz w:val="21"/>
          <w:szCs w:val="21"/>
        </w:rPr>
        <w:t>（十）、2025年5月28日，我公司公告了《博时基金管理有限公司关于运用公司固有资金投资旗下权益基金的公告》；</w:t>
      </w:r>
    </w:p>
    <w:p w14:paraId="3E6FFB73">
      <w:pPr>
        <w:pStyle w:val="8"/>
        <w:spacing w:before="0" w:beforeAutospacing="0" w:after="0" w:afterAutospacing="0" w:line="360" w:lineRule="auto"/>
        <w:ind w:firstLine="420"/>
        <w:rPr>
          <w:sz w:val="21"/>
          <w:szCs w:val="21"/>
        </w:rPr>
      </w:pPr>
      <w:r>
        <w:rPr>
          <w:rFonts w:hint="eastAsia"/>
          <w:sz w:val="21"/>
          <w:szCs w:val="21"/>
        </w:rPr>
        <w:t>（十一）、2025年4月8日，我公司公告了《博时基金管理有限公司关于运用公司固有资金投资旗下公募基金的公告》、《博时基金管理有限公司关于旗下基金持有的长期停牌股票调整估值方法的公告-20250408》；</w:t>
      </w:r>
    </w:p>
    <w:p w14:paraId="469E1332">
      <w:pPr>
        <w:pStyle w:val="8"/>
        <w:spacing w:before="0" w:beforeAutospacing="0" w:after="0" w:afterAutospacing="0" w:line="360" w:lineRule="auto"/>
        <w:ind w:firstLine="420"/>
        <w:rPr>
          <w:sz w:val="21"/>
          <w:szCs w:val="21"/>
        </w:rPr>
      </w:pPr>
      <w:r>
        <w:rPr>
          <w:rFonts w:hint="eastAsia"/>
          <w:sz w:val="21"/>
          <w:szCs w:val="21"/>
        </w:rPr>
        <w:t>（十二）、2025年3月31日，我公司公告了《博时基金管理有限公司旗下公募基金通过证券公司证券交易及佣金支付情况（2024年度）》；</w:t>
      </w:r>
    </w:p>
    <w:p w14:paraId="71F75112">
      <w:pPr>
        <w:pStyle w:val="8"/>
        <w:spacing w:before="0" w:beforeAutospacing="0" w:after="0" w:afterAutospacing="0" w:line="360" w:lineRule="auto"/>
        <w:ind w:firstLine="420"/>
        <w:rPr>
          <w:sz w:val="21"/>
          <w:szCs w:val="21"/>
        </w:rPr>
      </w:pPr>
      <w:r>
        <w:rPr>
          <w:rFonts w:hint="eastAsia"/>
          <w:sz w:val="21"/>
          <w:szCs w:val="21"/>
        </w:rPr>
        <w:t>（十三）、2025年3月25日，我公司公告了《博时基金管理有限公司关于旗下基金持有的长期停牌股票调整估值方法的公告-20250325》；</w:t>
      </w:r>
    </w:p>
    <w:p w14:paraId="626F2CC1">
      <w:pPr>
        <w:pStyle w:val="8"/>
        <w:spacing w:before="0" w:beforeAutospacing="0" w:after="0" w:afterAutospacing="0" w:line="360" w:lineRule="auto"/>
        <w:ind w:firstLine="420"/>
        <w:rPr>
          <w:sz w:val="21"/>
          <w:szCs w:val="21"/>
        </w:rPr>
      </w:pPr>
      <w:r>
        <w:rPr>
          <w:rFonts w:hint="eastAsia"/>
          <w:sz w:val="21"/>
          <w:szCs w:val="21"/>
        </w:rPr>
        <w:t>（十四）、2025年3月22日，我公司公告了《博时卓越优选混合型证券投资基金托管协议》、《博时卓越优选混合型证券投资基金招募说明书》、《博时卓越优选混合型证券投资基金基金合同》、《博时卓越优选混合型证券投资基金基金份额发售公告》、《博时卓越优选混合型证券投资基金（博时卓越优选混合A）基金产品资料概要》、《博时卓越优选混</w:t>
      </w:r>
      <w:bookmarkStart w:id="192" w:name="chapter_level1_25_3499_section_1_end"/>
      <w:bookmarkEnd w:id="192"/>
      <w:r>
        <w:rPr>
          <w:rFonts w:hint="eastAsia"/>
          <w:sz w:val="21"/>
          <w:szCs w:val="21"/>
        </w:rPr>
        <w:t>合型证券投资基金（博时卓越优选混合C）基金产品资料概要》。</w:t>
      </w:r>
      <w:bookmarkStart w:id="193" w:name="field_0_bsrevealinfo_1_end"/>
      <w:bookmarkEnd w:id="193"/>
      <w:r>
        <w:rPr>
          <w:rFonts w:hint="eastAsia"/>
          <w:sz w:val="21"/>
          <w:szCs w:val="21"/>
        </w:rPr>
        <w:t xml:space="preserve"> </w:t>
      </w:r>
    </w:p>
    <w:p w14:paraId="0DFFC567">
      <w:pPr>
        <w:widowControl/>
        <w:jc w:val="left"/>
        <w:rPr>
          <w:rFonts w:ascii="宋体" w:hAnsi="宋体" w:eastAsia="宋体"/>
        </w:rPr>
      </w:pPr>
      <w:r>
        <w:rPr>
          <w:rFonts w:ascii="宋体" w:hAnsi="宋体" w:eastAsia="宋体"/>
        </w:rPr>
        <w:br w:type="page"/>
      </w:r>
    </w:p>
    <w:p w14:paraId="28037217">
      <w:pPr>
        <w:pStyle w:val="3"/>
        <w:jc w:val="center"/>
        <w:rPr>
          <w:rFonts w:ascii="宋体" w:hAnsi="宋体" w:eastAsia="宋体"/>
          <w:sz w:val="30"/>
        </w:rPr>
      </w:pPr>
      <w:bookmarkStart w:id="194" w:name="_Toc213857137"/>
      <w:bookmarkStart w:id="195" w:name="chapter_level1_26_77"/>
      <w:r>
        <w:rPr>
          <w:rFonts w:hint="eastAsia" w:ascii="宋体" w:hAnsi="宋体" w:eastAsia="宋体"/>
          <w:sz w:val="30"/>
        </w:rPr>
        <w:t>第二十三部分  招募说明书的存放及查阅方式</w:t>
      </w:r>
      <w:bookmarkEnd w:id="194"/>
      <w:bookmarkEnd w:id="195"/>
    </w:p>
    <w:p w14:paraId="57904089">
      <w:pPr>
        <w:pStyle w:val="8"/>
        <w:spacing w:before="0" w:beforeAutospacing="0" w:after="0" w:afterAutospacing="0" w:line="360" w:lineRule="auto"/>
        <w:ind w:firstLine="420"/>
        <w:rPr>
          <w:sz w:val="21"/>
          <w:szCs w:val="21"/>
        </w:rPr>
      </w:pPr>
      <w:bookmarkStart w:id="196" w:name="chapter_level1_26_77_section_1"/>
      <w:bookmarkEnd w:id="196"/>
      <w:r>
        <w:rPr>
          <w:rFonts w:hint="eastAsia"/>
          <w:sz w:val="21"/>
          <w:szCs w:val="21"/>
        </w:rPr>
        <w:t>招募说明书公布后，应当分别置备于基金管理人、基金托管人的住所，投资人可在办公时间查阅；投资人在支付工本费后，可在合理时间内取得上述文件复制件或复印件。对投资人按此种方式所获得的文件及其复印件，基金管理人保证文本的内容与所公告的内容完全一致。</w:t>
      </w:r>
    </w:p>
    <w:p w14:paraId="7BD75D67">
      <w:pPr>
        <w:pStyle w:val="8"/>
        <w:spacing w:before="0" w:beforeAutospacing="0" w:after="0" w:afterAutospacing="0" w:line="360" w:lineRule="auto"/>
        <w:ind w:firstLine="420"/>
        <w:rPr>
          <w:sz w:val="21"/>
          <w:szCs w:val="21"/>
        </w:rPr>
      </w:pPr>
      <w:bookmarkStart w:id="197" w:name="chapter_level1_26_77_section_1_end"/>
      <w:bookmarkEnd w:id="197"/>
      <w:r>
        <w:rPr>
          <w:rFonts w:hint="eastAsia"/>
          <w:sz w:val="21"/>
          <w:szCs w:val="21"/>
        </w:rPr>
        <w:t>投资人还可以直接登录基金管理人的网站（www.bosera.com）查阅和下载招募说明书。</w:t>
      </w:r>
    </w:p>
    <w:p w14:paraId="0E7F9836">
      <w:pPr>
        <w:widowControl/>
        <w:jc w:val="left"/>
        <w:rPr>
          <w:rFonts w:ascii="宋体" w:hAnsi="宋体" w:eastAsia="宋体"/>
        </w:rPr>
      </w:pPr>
      <w:r>
        <w:rPr>
          <w:rFonts w:ascii="宋体" w:hAnsi="宋体" w:eastAsia="宋体"/>
        </w:rPr>
        <w:br w:type="page"/>
      </w:r>
    </w:p>
    <w:p w14:paraId="29C9C6BF">
      <w:pPr>
        <w:pStyle w:val="3"/>
        <w:jc w:val="center"/>
        <w:rPr>
          <w:rFonts w:ascii="宋体" w:hAnsi="宋体" w:eastAsia="宋体"/>
          <w:sz w:val="30"/>
        </w:rPr>
      </w:pPr>
      <w:bookmarkStart w:id="198" w:name="chapter_level1_27_332"/>
      <w:bookmarkStart w:id="199" w:name="_Toc213857138"/>
      <w:r>
        <w:rPr>
          <w:rFonts w:hint="eastAsia" w:ascii="宋体" w:hAnsi="宋体" w:eastAsia="宋体"/>
          <w:sz w:val="30"/>
        </w:rPr>
        <w:t>第二十四部分  备查文件</w:t>
      </w:r>
      <w:bookmarkEnd w:id="198"/>
      <w:bookmarkEnd w:id="199"/>
    </w:p>
    <w:p w14:paraId="58FF15A3">
      <w:pPr>
        <w:pStyle w:val="8"/>
        <w:spacing w:before="0" w:beforeAutospacing="0" w:after="0" w:afterAutospacing="0" w:line="360" w:lineRule="auto"/>
        <w:ind w:firstLine="420"/>
        <w:rPr>
          <w:sz w:val="21"/>
          <w:szCs w:val="21"/>
        </w:rPr>
      </w:pPr>
      <w:bookmarkStart w:id="200" w:name="chapter_level1_27_332_section_1"/>
      <w:bookmarkEnd w:id="200"/>
      <w:r>
        <w:rPr>
          <w:rFonts w:hint="eastAsia"/>
          <w:sz w:val="21"/>
          <w:szCs w:val="21"/>
        </w:rPr>
        <w:t xml:space="preserve">以下备查文件存放在基金管理人的办公场所，在办公时间可供免费查阅。 </w:t>
      </w:r>
    </w:p>
    <w:p w14:paraId="554AB53A">
      <w:pPr>
        <w:pStyle w:val="8"/>
        <w:spacing w:before="0" w:beforeAutospacing="0" w:after="0" w:afterAutospacing="0" w:line="360" w:lineRule="auto"/>
        <w:ind w:firstLine="420"/>
        <w:rPr>
          <w:sz w:val="21"/>
          <w:szCs w:val="21"/>
        </w:rPr>
      </w:pPr>
      <w:r>
        <w:rPr>
          <w:rFonts w:hint="eastAsia"/>
          <w:sz w:val="21"/>
          <w:szCs w:val="21"/>
        </w:rPr>
        <w:t>（一）中国证监会准予</w:t>
      </w:r>
      <w:bookmarkStart w:id="201" w:name="field_0_productfullname_13"/>
      <w:r>
        <w:rPr>
          <w:rFonts w:hint="eastAsia"/>
          <w:sz w:val="21"/>
          <w:szCs w:val="21"/>
        </w:rPr>
        <w:t>博时卓越优选混合型证券投资基金</w:t>
      </w:r>
      <w:bookmarkEnd w:id="201"/>
      <w:r>
        <w:rPr>
          <w:rFonts w:hint="eastAsia"/>
          <w:sz w:val="21"/>
          <w:szCs w:val="21"/>
        </w:rPr>
        <w:t xml:space="preserve">募集的文件 </w:t>
      </w:r>
    </w:p>
    <w:p w14:paraId="665490C7">
      <w:pPr>
        <w:pStyle w:val="8"/>
        <w:spacing w:before="0" w:beforeAutospacing="0" w:after="0" w:afterAutospacing="0" w:line="360" w:lineRule="auto"/>
        <w:ind w:firstLine="420"/>
        <w:rPr>
          <w:sz w:val="21"/>
          <w:szCs w:val="21"/>
        </w:rPr>
      </w:pPr>
      <w:r>
        <w:rPr>
          <w:rFonts w:hint="eastAsia"/>
          <w:sz w:val="21"/>
          <w:szCs w:val="21"/>
        </w:rPr>
        <w:t>（二）《</w:t>
      </w:r>
      <w:bookmarkStart w:id="202" w:name="field_0_productfullname_14"/>
      <w:r>
        <w:rPr>
          <w:rFonts w:hint="eastAsia"/>
          <w:sz w:val="21"/>
          <w:szCs w:val="21"/>
        </w:rPr>
        <w:t>博时卓越优选混合型证券投资基金</w:t>
      </w:r>
      <w:bookmarkEnd w:id="202"/>
      <w:r>
        <w:rPr>
          <w:rFonts w:hint="eastAsia"/>
          <w:sz w:val="21"/>
          <w:szCs w:val="21"/>
        </w:rPr>
        <w:t xml:space="preserve">基金合同》 </w:t>
      </w:r>
    </w:p>
    <w:p w14:paraId="0295A0E1">
      <w:pPr>
        <w:pStyle w:val="8"/>
        <w:spacing w:before="0" w:beforeAutospacing="0" w:after="0" w:afterAutospacing="0" w:line="360" w:lineRule="auto"/>
        <w:ind w:firstLine="420"/>
        <w:rPr>
          <w:sz w:val="21"/>
          <w:szCs w:val="21"/>
        </w:rPr>
      </w:pPr>
      <w:r>
        <w:rPr>
          <w:rFonts w:hint="eastAsia"/>
          <w:sz w:val="21"/>
          <w:szCs w:val="21"/>
        </w:rPr>
        <w:t>（三）《</w:t>
      </w:r>
      <w:bookmarkStart w:id="203" w:name="field_0_productfullname_15"/>
      <w:r>
        <w:rPr>
          <w:rFonts w:hint="eastAsia"/>
          <w:sz w:val="21"/>
          <w:szCs w:val="21"/>
        </w:rPr>
        <w:t>博时卓越优选混合型证券投资基金</w:t>
      </w:r>
      <w:bookmarkEnd w:id="203"/>
      <w:r>
        <w:rPr>
          <w:rFonts w:hint="eastAsia"/>
          <w:sz w:val="21"/>
          <w:szCs w:val="21"/>
        </w:rPr>
        <w:t xml:space="preserve">托管协议》 </w:t>
      </w:r>
    </w:p>
    <w:p w14:paraId="2F06389A">
      <w:pPr>
        <w:pStyle w:val="8"/>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71DF9CEF">
      <w:pPr>
        <w:pStyle w:val="8"/>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43F5B36B">
      <w:pPr>
        <w:pStyle w:val="8"/>
        <w:spacing w:before="0" w:beforeAutospacing="0" w:after="0" w:afterAutospacing="0" w:line="360" w:lineRule="auto"/>
        <w:ind w:firstLine="420"/>
        <w:rPr>
          <w:sz w:val="21"/>
          <w:szCs w:val="21"/>
        </w:rPr>
      </w:pPr>
      <w:r>
        <w:rPr>
          <w:rFonts w:hint="eastAsia"/>
          <w:sz w:val="21"/>
          <w:szCs w:val="21"/>
        </w:rPr>
        <w:t>（六）关于申请募集</w:t>
      </w:r>
      <w:bookmarkStart w:id="204" w:name="field_0_productfullname_16"/>
      <w:r>
        <w:rPr>
          <w:rFonts w:hint="eastAsia"/>
          <w:sz w:val="21"/>
          <w:szCs w:val="21"/>
        </w:rPr>
        <w:t>博时卓越优选混合型证券投资基金</w:t>
      </w:r>
      <w:bookmarkEnd w:id="204"/>
      <w:r>
        <w:rPr>
          <w:rFonts w:hint="eastAsia"/>
          <w:sz w:val="21"/>
          <w:szCs w:val="21"/>
        </w:rPr>
        <w:t xml:space="preserve">之法律意见 </w:t>
      </w:r>
    </w:p>
    <w:p w14:paraId="7006D096">
      <w:pPr>
        <w:pStyle w:val="8"/>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2B408A4D">
      <w:pPr>
        <w:pStyle w:val="8"/>
        <w:spacing w:before="0" w:beforeAutospacing="0" w:after="0" w:afterAutospacing="0" w:line="360" w:lineRule="auto"/>
        <w:ind w:firstLine="420"/>
        <w:rPr>
          <w:sz w:val="21"/>
          <w:szCs w:val="21"/>
        </w:rPr>
      </w:pPr>
      <w:bookmarkStart w:id="205" w:name="chapter_level1_27_332_section_1_end"/>
      <w:bookmarkEnd w:id="205"/>
      <w:r>
        <w:rPr>
          <w:rFonts w:hint="eastAsia"/>
          <w:sz w:val="21"/>
          <w:szCs w:val="21"/>
        </w:rPr>
        <w:t xml:space="preserve">查阅方式：投资者可在营业时间免费查阅，也可按工本费购买复印件。 </w:t>
      </w:r>
    </w:p>
    <w:p w14:paraId="5D7B84F9">
      <w:pPr>
        <w:pStyle w:val="8"/>
        <w:spacing w:before="0" w:beforeAutospacing="0" w:after="0" w:afterAutospacing="0" w:line="360" w:lineRule="auto"/>
        <w:ind w:firstLine="420"/>
        <w:rPr>
          <w:sz w:val="21"/>
          <w:szCs w:val="21"/>
        </w:rPr>
      </w:pPr>
      <w:bookmarkStart w:id="206" w:name="chapter_level1_27_332_section_2"/>
      <w:bookmarkEnd w:id="206"/>
    </w:p>
    <w:p w14:paraId="1C601083">
      <w:pPr>
        <w:pStyle w:val="8"/>
        <w:spacing w:before="0" w:beforeAutospacing="0" w:after="0" w:afterAutospacing="0" w:line="360" w:lineRule="auto"/>
        <w:ind w:firstLine="420"/>
        <w:rPr>
          <w:sz w:val="21"/>
          <w:szCs w:val="21"/>
        </w:rPr>
      </w:pPr>
    </w:p>
    <w:p w14:paraId="2FBF38C2">
      <w:pPr>
        <w:pStyle w:val="8"/>
        <w:spacing w:before="0" w:beforeAutospacing="0" w:after="0" w:afterAutospacing="0" w:line="360" w:lineRule="auto"/>
        <w:ind w:firstLine="420"/>
        <w:rPr>
          <w:sz w:val="21"/>
          <w:szCs w:val="21"/>
        </w:rPr>
      </w:pPr>
    </w:p>
    <w:p w14:paraId="44BDD8F8">
      <w:pPr>
        <w:pStyle w:val="8"/>
        <w:spacing w:before="0" w:beforeAutospacing="0" w:after="0" w:afterAutospacing="0" w:line="360" w:lineRule="auto"/>
        <w:ind w:firstLine="420"/>
        <w:rPr>
          <w:sz w:val="21"/>
          <w:szCs w:val="21"/>
        </w:rPr>
      </w:pPr>
    </w:p>
    <w:p w14:paraId="67727BE3">
      <w:pPr>
        <w:pStyle w:val="8"/>
        <w:spacing w:before="0" w:beforeAutospacing="0" w:after="0" w:afterAutospacing="0" w:line="360" w:lineRule="auto"/>
        <w:ind w:firstLine="420"/>
        <w:jc w:val="right"/>
        <w:rPr>
          <w:sz w:val="21"/>
          <w:szCs w:val="21"/>
        </w:rPr>
      </w:pPr>
      <w:bookmarkStart w:id="207" w:name="field_0_managerorgfullname_1"/>
      <w:r>
        <w:rPr>
          <w:rFonts w:hint="eastAsia"/>
          <w:sz w:val="21"/>
          <w:szCs w:val="21"/>
        </w:rPr>
        <w:t>博时基金管理有限公司</w:t>
      </w:r>
      <w:bookmarkEnd w:id="207"/>
      <w:r>
        <w:rPr>
          <w:rFonts w:hint="eastAsia"/>
          <w:sz w:val="21"/>
          <w:szCs w:val="21"/>
        </w:rPr>
        <w:t xml:space="preserve">  </w:t>
      </w:r>
    </w:p>
    <w:p w14:paraId="14086B49">
      <w:pPr>
        <w:pStyle w:val="8"/>
        <w:spacing w:before="0" w:beforeAutospacing="0" w:after="0" w:afterAutospacing="0" w:line="360" w:lineRule="auto"/>
        <w:ind w:firstLine="420"/>
        <w:jc w:val="right"/>
        <w:rPr>
          <w:sz w:val="21"/>
          <w:szCs w:val="21"/>
        </w:rPr>
      </w:pPr>
      <w:bookmarkStart w:id="208" w:name="chapter_level1_27_332_section_2_end"/>
      <w:bookmarkEnd w:id="208"/>
      <w:bookmarkStart w:id="209" w:name="field_0_commitmenttime_1"/>
      <w:r>
        <w:rPr>
          <w:sz w:val="21"/>
          <w:szCs w:val="21"/>
        </w:rPr>
        <w:t>202</w:t>
      </w:r>
      <w:r>
        <w:rPr>
          <w:rFonts w:hint="eastAsia"/>
          <w:sz w:val="21"/>
          <w:szCs w:val="21"/>
        </w:rPr>
        <w:t>6</w:t>
      </w:r>
      <w:r>
        <w:rPr>
          <w:sz w:val="21"/>
          <w:szCs w:val="21"/>
        </w:rPr>
        <w:t>年</w:t>
      </w:r>
      <w:r>
        <w:rPr>
          <w:rFonts w:hint="eastAsia"/>
          <w:sz w:val="21"/>
          <w:szCs w:val="21"/>
        </w:rPr>
        <w:t>7</w:t>
      </w:r>
      <w:r>
        <w:rPr>
          <w:sz w:val="21"/>
          <w:szCs w:val="21"/>
        </w:rPr>
        <w:t>月</w:t>
      </w:r>
      <w:r>
        <w:rPr>
          <w:rFonts w:hint="eastAsia"/>
          <w:sz w:val="21"/>
          <w:szCs w:val="21"/>
          <w:lang w:val="en-US" w:eastAsia="zh-CN"/>
        </w:rPr>
        <w:t>15</w:t>
      </w:r>
      <w:r>
        <w:rPr>
          <w:sz w:val="21"/>
          <w:szCs w:val="21"/>
        </w:rPr>
        <w:t>日</w:t>
      </w:r>
      <w:bookmarkEnd w:id="209"/>
      <w:r>
        <w:rPr>
          <w:rFonts w:hint="eastAsia"/>
          <w:sz w:val="21"/>
          <w:szCs w:val="21"/>
        </w:rPr>
        <w:t xml:space="preserve">  </w:t>
      </w:r>
    </w:p>
    <w:p w14:paraId="331482FF">
      <w:pPr>
        <w:rPr>
          <w:rFonts w:ascii="宋体" w:hAnsi="宋体" w:eastAsia="宋体"/>
        </w:rPr>
      </w:pPr>
      <w:bookmarkStart w:id="210" w:name="end"/>
      <w:bookmarkEnd w:id="210"/>
      <w:bookmarkStart w:id="211" w:name="_GoBack"/>
      <w:bookmarkEnd w:id="211"/>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63A73">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32</w:t>
    </w:r>
    <w:r>
      <w:fldChar w:fldCharType="end"/>
    </w:r>
    <w:r>
      <w:rPr>
        <w:rFonts w:hint="eastAsia"/>
      </w:rPr>
      <w:t>页 共</w:t>
    </w:r>
    <w:r>
      <w:fldChar w:fldCharType="begin"/>
    </w:r>
    <w:r>
      <w:instrText xml:space="preserve"> NumPages \* MERGEFORMAT </w:instrText>
    </w:r>
    <w:r>
      <w:fldChar w:fldCharType="separate"/>
    </w:r>
    <w:r>
      <w:t>136</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1E1BD">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45C55B43">
    <w:pPr>
      <w:pStyle w:val="6"/>
      <w:jc w:val="right"/>
    </w:pPr>
    <w:r>
      <w:rPr>
        <w:rFonts w:hint="eastAsia"/>
      </w:rPr>
      <w:t>博时卓越优选混合型证券投资基金更新招募说明书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E8694D"/>
    <w:multiLevelType w:val="multilevel"/>
    <w:tmpl w:val="55E8694D"/>
    <w:lvl w:ilvl="0" w:tentative="0">
      <w:start w:val="1"/>
      <w:numFmt w:val="decimal"/>
      <w:lvlText w:val="%1、"/>
      <w:lvlJc w:val="left"/>
      <w:pPr>
        <w:ind w:left="560" w:hanging="360"/>
      </w:pPr>
      <w:rPr>
        <w:rFonts w:hint="default"/>
      </w:r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trackRevisions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184"/>
    <w:rsid w:val="00096447"/>
    <w:rsid w:val="00192B82"/>
    <w:rsid w:val="002E21BC"/>
    <w:rsid w:val="006305A2"/>
    <w:rsid w:val="00763184"/>
    <w:rsid w:val="00B46352"/>
    <w:rsid w:val="00D03534"/>
    <w:rsid w:val="05DA23A7"/>
    <w:rsid w:val="096174B2"/>
    <w:rsid w:val="0C30080D"/>
    <w:rsid w:val="15CB0FCE"/>
    <w:rsid w:val="1BDE341C"/>
    <w:rsid w:val="1C0C4BF4"/>
    <w:rsid w:val="207033FB"/>
    <w:rsid w:val="25B34D67"/>
    <w:rsid w:val="25B427E8"/>
    <w:rsid w:val="28554050"/>
    <w:rsid w:val="2AD208F8"/>
    <w:rsid w:val="3634327D"/>
    <w:rsid w:val="365D4F52"/>
    <w:rsid w:val="39630EB6"/>
    <w:rsid w:val="3B2F39E2"/>
    <w:rsid w:val="50851129"/>
    <w:rsid w:val="560778A1"/>
    <w:rsid w:val="5A3906F8"/>
    <w:rsid w:val="5FE61766"/>
    <w:rsid w:val="65C236F5"/>
    <w:rsid w:val="67DF6795"/>
    <w:rsid w:val="696E2591"/>
    <w:rsid w:val="69F313E7"/>
    <w:rsid w:val="6AAB6191"/>
    <w:rsid w:val="7DDF5E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autoSpaceDE w:val="0"/>
      <w:autoSpaceDN w:val="0"/>
      <w:adjustRightInd w:val="0"/>
      <w:spacing w:before="360" w:after="360"/>
      <w:jc w:val="center"/>
      <w:textAlignment w:val="baseline"/>
      <w:outlineLvl w:val="0"/>
    </w:pPr>
    <w:rPr>
      <w:rFonts w:ascii="宋体" w:eastAsia="黑体"/>
      <w:kern w:val="0"/>
      <w:sz w:val="24"/>
      <w:szCs w:val="20"/>
    </w:rPr>
  </w:style>
  <w:style w:type="paragraph" w:styleId="3">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22"/>
    <w:rPr>
      <w:b/>
      <w:bCs/>
    </w:rPr>
  </w:style>
  <w:style w:type="character" w:styleId="13">
    <w:name w:val="Hyperlink"/>
    <w:basedOn w:val="11"/>
    <w:unhideWhenUsed/>
    <w:uiPriority w:val="99"/>
    <w:rPr>
      <w:color w:val="0000FF" w:themeColor="hyperlink"/>
      <w:u w:val="single"/>
      <w14:textFill>
        <w14:solidFill>
          <w14:schemeClr w14:val="hlink"/>
        </w14:solidFill>
      </w14:textFill>
    </w:rPr>
  </w:style>
  <w:style w:type="character" w:customStyle="1" w:styleId="14">
    <w:name w:val="标题 2 Char"/>
    <w:basedOn w:val="11"/>
    <w:link w:val="3"/>
    <w:qFormat/>
    <w:uiPriority w:val="9"/>
    <w:rPr>
      <w:rFonts w:asciiTheme="majorHAnsi" w:hAnsiTheme="majorHAnsi" w:eastAsiaTheme="majorEastAsia" w:cstheme="majorBidi"/>
      <w:b/>
      <w:bCs/>
      <w:sz w:val="32"/>
      <w:szCs w:val="32"/>
    </w:rPr>
  </w:style>
  <w:style w:type="character" w:customStyle="1" w:styleId="15">
    <w:name w:val="页眉 Char"/>
    <w:basedOn w:val="11"/>
    <w:link w:val="6"/>
    <w:qFormat/>
    <w:uiPriority w:val="99"/>
    <w:rPr>
      <w:sz w:val="18"/>
      <w:szCs w:val="18"/>
    </w:rPr>
  </w:style>
  <w:style w:type="character" w:customStyle="1" w:styleId="16">
    <w:name w:val="页脚 Char"/>
    <w:basedOn w:val="11"/>
    <w:link w:val="5"/>
    <w:qFormat/>
    <w:uiPriority w:val="99"/>
    <w:rPr>
      <w:sz w:val="18"/>
      <w:szCs w:val="18"/>
    </w:rPr>
  </w:style>
  <w:style w:type="character" w:customStyle="1" w:styleId="17">
    <w:name w:val="批注框文本 Char"/>
    <w:basedOn w:val="11"/>
    <w:link w:val="4"/>
    <w:semiHidden/>
    <w:qFormat/>
    <w:uiPriority w:val="99"/>
    <w:rPr>
      <w:sz w:val="18"/>
      <w:szCs w:val="18"/>
    </w:rPr>
  </w:style>
  <w:style w:type="paragraph" w:customStyle="1" w:styleId="18">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mycompany</Company>
  <Pages>136</Pages>
  <Words>16442</Words>
  <Characters>93720</Characters>
  <Lines>781</Lines>
  <Paragraphs>219</Paragraphs>
  <TotalTime>2</TotalTime>
  <ScaleCrop>false</ScaleCrop>
  <LinksUpToDate>false</LinksUpToDate>
  <CharactersWithSpaces>109943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2025-11-12T08:24:00Z</dcterms:created>
  <dc:creator>BSKMadminDev</dc:creator>
  <cp:lastModifiedBy>fuxj</cp:lastModifiedBy>
  <dcterms:modified xsi:type="dcterms:W3CDTF">2026-07-14T07:27:20Z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B2D41624C3D4467A9D1A82F065E96599_13</vt:lpwstr>
  </property>
  <property fmtid="{D5CDD505-2E9C-101B-9397-08002B2CF9AE}" pid="4" name="KSOTemplateDocerSaveRecord">
    <vt:lpwstr>eyJoZGlkIjoiMmRkYTIwMzM0MWI0NzVmNTgwNTBmNWRlMzJiNDVmODIiLCJ1c2VySWQiOiIzNDE4OTgxMzMifQ==</vt:lpwstr>
  </property>
</Properties>
</file>