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9251C3"/>
    <w:p w14:paraId="274D20BD">
      <w:pPr>
        <w:spacing w:line="360" w:lineRule="auto"/>
        <w:jc w:val="center"/>
        <w:rPr>
          <w:rFonts w:hint="eastAsia" w:ascii="宋体" w:hAnsi="宋体" w:eastAsia="宋体"/>
          <w:b/>
          <w:sz w:val="24"/>
        </w:rPr>
      </w:pPr>
      <w:r>
        <w:rPr>
          <w:rFonts w:hint="eastAsia" w:ascii="宋体" w:hAnsi="宋体" w:eastAsia="宋体"/>
          <w:b/>
          <w:sz w:val="24"/>
        </w:rPr>
        <w:t>博时基金管理有限公司关于以通讯方式召开博时中证A100交易型开放式指数证券投资基金联接基金基金份额持有人大会的第二次提示性公告</w:t>
      </w:r>
    </w:p>
    <w:p w14:paraId="7CAF66BE">
      <w:pPr>
        <w:spacing w:line="360" w:lineRule="auto"/>
        <w:jc w:val="center"/>
        <w:rPr>
          <w:rFonts w:ascii="宋体" w:hAnsi="宋体" w:eastAsia="宋体"/>
          <w:b/>
          <w:sz w:val="24"/>
        </w:rPr>
      </w:pPr>
    </w:p>
    <w:p w14:paraId="31FD2B29">
      <w:pPr>
        <w:pStyle w:val="4"/>
        <w:spacing w:before="0" w:beforeAutospacing="0" w:after="0" w:afterAutospacing="0" w:line="360" w:lineRule="auto"/>
        <w:ind w:firstLine="420"/>
        <w:jc w:val="both"/>
        <w:rPr>
          <w:rFonts w:hint="eastAsia"/>
          <w:sz w:val="21"/>
          <w:szCs w:val="21"/>
        </w:rPr>
      </w:pPr>
      <w:r>
        <w:rPr>
          <w:rFonts w:hint="eastAsia"/>
          <w:sz w:val="21"/>
          <w:szCs w:val="21"/>
        </w:rPr>
        <w:t>博时基金管理有限公司决定以通讯方式召开博时中证A100交易型开放式指数证券投资</w:t>
      </w:r>
      <w:r>
        <w:rPr>
          <w:rFonts w:hint="eastAsia"/>
          <w:sz w:val="21"/>
          <w:szCs w:val="21"/>
        </w:rPr>
        <w:t>基金联接基金</w:t>
      </w:r>
      <w:r>
        <w:rPr>
          <w:rFonts w:hint="eastAsia"/>
          <w:sz w:val="21"/>
          <w:szCs w:val="21"/>
        </w:rPr>
        <w:t>基金份额持有人大会，并于2026年10月22日</w:t>
      </w:r>
      <w:r>
        <w:rPr>
          <w:rFonts w:hint="eastAsia"/>
          <w:sz w:val="21"/>
          <w:szCs w:val="21"/>
        </w:rPr>
        <w:t>、2026年10月23日</w:t>
      </w:r>
      <w:r>
        <w:rPr>
          <w:rFonts w:hint="eastAsia"/>
          <w:sz w:val="21"/>
          <w:szCs w:val="21"/>
        </w:rPr>
        <w:t>在《中国证券报</w:t>
      </w:r>
      <w:r>
        <w:rPr>
          <w:rFonts w:hint="eastAsia"/>
          <w:sz w:val="21"/>
          <w:szCs w:val="21"/>
        </w:rPr>
        <w:t>》、本公司网站（https://www.bosera.com）及中国证监会基金电子披露网站（http://eid.csrc.gov.cn/fund）发布了《博时基金管理有限公司关于以通讯方式召开博时中证A100交易型开放式指数证券投资基金联接基金基金份额持有人大会的公告</w:t>
      </w:r>
      <w:r>
        <w:rPr>
          <w:rFonts w:hint="eastAsia"/>
          <w:sz w:val="21"/>
          <w:szCs w:val="21"/>
        </w:rPr>
        <w:t>》、《博时基金管理有限公司关于以通讯方式召开博时中证A100交易型开放式指数证券投资基金联接基金基金份额持有人大会的第一次提示性公告</w:t>
      </w:r>
      <w:r>
        <w:rPr>
          <w:rFonts w:hint="eastAsia"/>
          <w:sz w:val="21"/>
          <w:szCs w:val="21"/>
        </w:rPr>
        <w:t>》。为使本次基金份额持有人大会顺利召开，现发布本次基金份额持有人大会的第二</w:t>
      </w:r>
      <w:r>
        <w:rPr>
          <w:rFonts w:hint="eastAsia"/>
          <w:sz w:val="21"/>
          <w:szCs w:val="21"/>
        </w:rPr>
        <w:t xml:space="preserve">次提示性公告。 </w:t>
      </w:r>
    </w:p>
    <w:p w14:paraId="70F8D2A5">
      <w:pPr>
        <w:pStyle w:val="4"/>
        <w:spacing w:before="0" w:beforeAutospacing="0" w:after="0" w:afterAutospacing="0" w:line="360" w:lineRule="auto"/>
        <w:ind w:firstLine="420"/>
        <w:jc w:val="both"/>
        <w:rPr>
          <w:sz w:val="21"/>
          <w:szCs w:val="21"/>
        </w:rPr>
      </w:pPr>
    </w:p>
    <w:p w14:paraId="02042D89">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一、召开会议基本情况</w:t>
      </w:r>
    </w:p>
    <w:p w14:paraId="035ECFC7">
      <w:pPr>
        <w:pStyle w:val="4"/>
        <w:spacing w:before="0" w:beforeAutospacing="0" w:after="0" w:afterAutospacing="0" w:line="360" w:lineRule="auto"/>
        <w:ind w:firstLine="420"/>
        <w:jc w:val="both"/>
        <w:rPr>
          <w:rFonts w:hint="eastAsia"/>
          <w:sz w:val="21"/>
          <w:szCs w:val="21"/>
        </w:rPr>
      </w:pPr>
      <w:r>
        <w:rPr>
          <w:rFonts w:hint="eastAsia"/>
          <w:sz w:val="21"/>
          <w:szCs w:val="21"/>
        </w:rPr>
        <w:t>根据《中华人民共和国证券投资基金法》、《公开募集证券投资基金运作管理办法》和《博时中证A100交易型开放式指数证券投资基金联接基金</w:t>
      </w:r>
      <w:r>
        <w:rPr>
          <w:rFonts w:hint="eastAsia"/>
          <w:sz w:val="21"/>
          <w:szCs w:val="21"/>
        </w:rPr>
        <w:t>基金合同》（以下简称“《基金合同》”或“基金合同”）的有关规定，博时中证A100交易型开放式指数证券投资基金联接基金</w:t>
      </w:r>
      <w:r>
        <w:rPr>
          <w:rFonts w:hint="eastAsia"/>
          <w:sz w:val="21"/>
          <w:szCs w:val="21"/>
        </w:rPr>
        <w:t>（以下简称“本基金”）的基金管理人博时基金管理有限公司（以下简称“基金管理人”或“本基金管理人”）经与本基金的基金托管人中国农业银行股份有限公司</w:t>
      </w:r>
      <w:r>
        <w:rPr>
          <w:rFonts w:hint="eastAsia"/>
          <w:sz w:val="21"/>
          <w:szCs w:val="21"/>
        </w:rPr>
        <w:t xml:space="preserve">协商一致，决定以通讯方式召开本基金的基金份额持有人大会，会议的具体安排如下： </w:t>
      </w:r>
    </w:p>
    <w:p w14:paraId="3EEAB611">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1、会议召开方式：通讯方式 </w:t>
      </w:r>
    </w:p>
    <w:p w14:paraId="551C28EB">
      <w:pPr>
        <w:pStyle w:val="4"/>
        <w:spacing w:before="0" w:beforeAutospacing="0" w:after="0" w:afterAutospacing="0" w:line="360" w:lineRule="auto"/>
        <w:ind w:firstLine="420"/>
        <w:jc w:val="both"/>
        <w:rPr>
          <w:rFonts w:hint="eastAsia"/>
          <w:sz w:val="21"/>
          <w:szCs w:val="21"/>
        </w:rPr>
      </w:pPr>
      <w:r>
        <w:rPr>
          <w:rFonts w:hint="eastAsia"/>
          <w:sz w:val="21"/>
          <w:szCs w:val="21"/>
        </w:rPr>
        <w:t>2、会议投票表决起止时间：自2026年10月27日</w:t>
      </w:r>
      <w:r>
        <w:rPr>
          <w:rFonts w:hint="eastAsia"/>
          <w:sz w:val="21"/>
          <w:szCs w:val="21"/>
        </w:rPr>
        <w:t>起，至2026年11月24日</w:t>
      </w:r>
      <w:r>
        <w:rPr>
          <w:rFonts w:hint="eastAsia"/>
          <w:sz w:val="21"/>
          <w:szCs w:val="21"/>
        </w:rPr>
        <w:t xml:space="preserve">17：00止（送达时间以本基金管理人收到表决票时间为准）。 </w:t>
      </w:r>
    </w:p>
    <w:p w14:paraId="4F04C0D7">
      <w:pPr>
        <w:pStyle w:val="4"/>
        <w:spacing w:before="0" w:beforeAutospacing="0" w:after="0" w:afterAutospacing="0" w:line="360" w:lineRule="auto"/>
        <w:ind w:firstLine="420"/>
        <w:jc w:val="both"/>
        <w:rPr>
          <w:rFonts w:hint="eastAsia"/>
          <w:sz w:val="21"/>
          <w:szCs w:val="21"/>
        </w:rPr>
      </w:pPr>
      <w:r>
        <w:rPr>
          <w:rFonts w:hint="eastAsia"/>
          <w:sz w:val="21"/>
          <w:szCs w:val="21"/>
        </w:rPr>
        <w:t>3、会议计票日：2026年11月26日</w:t>
      </w:r>
      <w:r>
        <w:rPr>
          <w:rFonts w:hint="eastAsia"/>
          <w:sz w:val="21"/>
          <w:szCs w:val="21"/>
        </w:rPr>
        <w:t xml:space="preserve">  </w:t>
      </w:r>
    </w:p>
    <w:p w14:paraId="15A6A46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4、会议表决票的寄达地点： </w:t>
      </w:r>
    </w:p>
    <w:p w14:paraId="1CD588F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基金管理人：博时基金管理有限公司 </w:t>
      </w:r>
    </w:p>
    <w:p w14:paraId="1614BB6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办公地址：北京市东城区建国门内大街8号中粮广场C座3层301（邮编100005） </w:t>
      </w:r>
    </w:p>
    <w:p w14:paraId="1A3BC56C">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联系人：翟青 </w:t>
      </w:r>
    </w:p>
    <w:p w14:paraId="158A6D35">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联系电话：010-65171166 </w:t>
      </w:r>
    </w:p>
    <w:p w14:paraId="24F9D176">
      <w:pPr>
        <w:pStyle w:val="4"/>
        <w:spacing w:before="0" w:beforeAutospacing="0" w:after="0" w:afterAutospacing="0" w:line="360" w:lineRule="auto"/>
        <w:ind w:firstLine="420"/>
        <w:jc w:val="both"/>
        <w:rPr>
          <w:rFonts w:hint="eastAsia"/>
          <w:sz w:val="21"/>
          <w:szCs w:val="21"/>
        </w:rPr>
      </w:pPr>
      <w:r>
        <w:rPr>
          <w:rFonts w:hint="eastAsia"/>
          <w:sz w:val="21"/>
          <w:szCs w:val="21"/>
        </w:rPr>
        <w:t>请在信封表面注明：“博时中证A100交易型开放式指数证券投资基金联接基金</w:t>
      </w:r>
      <w:r>
        <w:rPr>
          <w:rFonts w:hint="eastAsia"/>
          <w:sz w:val="21"/>
          <w:szCs w:val="21"/>
        </w:rPr>
        <w:t xml:space="preserve">基金份额持有人大会表决专用”。 </w:t>
      </w:r>
    </w:p>
    <w:p w14:paraId="74F9712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关于表决票的说明：上述表决的有效期自送达之日起至本次基金份额持有人大会会议结束之日止；如果本基金根据本公告“八、二次召集基金份额持有人大会及二次授权”章节的规定就相同审议事项重新召集持有人大会的，上述表决继续有效。 </w:t>
      </w:r>
    </w:p>
    <w:p w14:paraId="5A05EBA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6、本次基金份额持有人大会有关公告可通过基金管理人网站（https://www.bosera.com）查询，投资者如有任何疑问，可致电基金管理人客户服务电话博时一线通：95105568（免长途话费）咨询。 </w:t>
      </w:r>
    </w:p>
    <w:p w14:paraId="11A5E724">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二、会议审议事项</w:t>
      </w:r>
    </w:p>
    <w:p w14:paraId="5349454E">
      <w:pPr>
        <w:pStyle w:val="4"/>
        <w:spacing w:before="0" w:beforeAutospacing="0" w:after="0" w:afterAutospacing="0" w:line="360" w:lineRule="auto"/>
        <w:ind w:firstLine="420"/>
        <w:jc w:val="both"/>
        <w:rPr>
          <w:rFonts w:hint="eastAsia"/>
          <w:sz w:val="21"/>
          <w:szCs w:val="21"/>
        </w:rPr>
      </w:pPr>
      <w:r>
        <w:rPr>
          <w:rFonts w:hint="eastAsia"/>
          <w:sz w:val="21"/>
          <w:szCs w:val="21"/>
        </w:rPr>
        <w:t>《关于博时中证A100交易型开放式指数证券投资基金联接基金持续运作的议案</w:t>
      </w:r>
      <w:r>
        <w:rPr>
          <w:rFonts w:hint="eastAsia"/>
          <w:sz w:val="21"/>
          <w:szCs w:val="21"/>
        </w:rPr>
        <w:t xml:space="preserve">》（见附件一）。 </w:t>
      </w:r>
    </w:p>
    <w:p w14:paraId="3766548D">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三、基金份额持有人的权益登记日</w:t>
      </w:r>
    </w:p>
    <w:p w14:paraId="6AA144BD">
      <w:pPr>
        <w:pStyle w:val="4"/>
        <w:spacing w:before="0" w:beforeAutospacing="0" w:after="0" w:afterAutospacing="0" w:line="360" w:lineRule="auto"/>
        <w:ind w:firstLine="420"/>
        <w:jc w:val="both"/>
        <w:rPr>
          <w:rFonts w:hint="eastAsia"/>
          <w:sz w:val="21"/>
          <w:szCs w:val="21"/>
        </w:rPr>
      </w:pPr>
      <w:r>
        <w:rPr>
          <w:rFonts w:hint="eastAsia"/>
          <w:sz w:val="21"/>
          <w:szCs w:val="21"/>
        </w:rPr>
        <w:t>本次大会的权益登记日为2026年10月27日</w:t>
      </w:r>
      <w:r>
        <w:rPr>
          <w:rFonts w:hint="eastAsia"/>
          <w:sz w:val="21"/>
          <w:szCs w:val="21"/>
        </w:rPr>
        <w:t>，即2026年10月27日</w:t>
      </w:r>
      <w:r>
        <w:rPr>
          <w:rFonts w:hint="eastAsia"/>
          <w:sz w:val="21"/>
          <w:szCs w:val="21"/>
        </w:rPr>
        <w:t xml:space="preserve">在本基金登记机构登记在册的本基金全体基金份额持有人均有权参与本次基金份额持有人大会的表决。 </w:t>
      </w:r>
    </w:p>
    <w:p w14:paraId="2526ED67">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四、投票方式</w:t>
      </w:r>
    </w:p>
    <w:p w14:paraId="0B9FE09A">
      <w:pPr>
        <w:pStyle w:val="4"/>
        <w:spacing w:before="0" w:beforeAutospacing="0" w:after="0" w:afterAutospacing="0" w:line="360" w:lineRule="auto"/>
        <w:ind w:firstLine="420"/>
        <w:jc w:val="both"/>
        <w:rPr>
          <w:sz w:val="21"/>
          <w:szCs w:val="21"/>
        </w:rPr>
      </w:pPr>
      <w:r>
        <w:rPr>
          <w:rFonts w:hint="eastAsia"/>
          <w:sz w:val="21"/>
          <w:szCs w:val="21"/>
        </w:rPr>
        <w:t xml:space="preserve">1、本次会议表决票见附件二。基金份额持有人可从相关报纸上剪裁、复印附件二或登录本基金管理人网站（https://www.bosera.com）下载并打印表决票。 </w:t>
      </w:r>
    </w:p>
    <w:p w14:paraId="5FD2CA7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2、基金份额持有人应当按照表决票的要求填写相关内容，其中： </w:t>
      </w:r>
    </w:p>
    <w:p w14:paraId="01FA7ED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（1）个人投资者自行投票的，需在表决票上签字，并提供本人有效身份证件（包括使用的有效身份证或其他能够表明其身份的有效证件或证明）正反面复印件； </w:t>
      </w:r>
    </w:p>
    <w:p w14:paraId="54158ED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机构投资者自行投票的，需在表决票上加盖本单位公章或经授权的业务公章或基金管理人认可的其他印章（以下合称“公章”），并提供加盖公章的营业执照复印件（事业单位、社会团体或其他单位可使用加盖公章的有权部门的批文、开户证明或登记证书复印件等）； </w:t>
      </w:r>
    </w:p>
    <w:p w14:paraId="0BF62861">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合格境外机构投资者自行投票的，需在表决票上加盖本单位公章（如有）或由授权代表在表决票上签字（如无公章），并提供该授权代表的有效身份证件（包括使用的有效身份证或有效护照或其他能够表明其身份的有效证件或证明）正反面复印件，该合格境外机构投资者所签署的授权委托书或者证明该授权代表有权代表该合格境外机构投资者签署表决票的其他证明文件，以及该合格境外机构投资者的营业执照、商业登记证或者其他有效注册登记证明复印件，以及取得合格境外机构投资者资格的证明文件的复印件； </w:t>
      </w:r>
    </w:p>
    <w:p w14:paraId="6882BD6C">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（4）以上各项及本公告正文全文中的公章、批文、开户证明及登记证书等文件，以基金管理人的认可为准。 </w:t>
      </w:r>
    </w:p>
    <w:p w14:paraId="7F4AA188">
      <w:pPr>
        <w:pStyle w:val="4"/>
        <w:spacing w:before="0" w:beforeAutospacing="0" w:after="0" w:afterAutospacing="0" w:line="360" w:lineRule="auto"/>
        <w:ind w:firstLine="420"/>
        <w:jc w:val="both"/>
        <w:rPr>
          <w:rFonts w:hint="eastAsia"/>
          <w:sz w:val="21"/>
          <w:szCs w:val="21"/>
        </w:rPr>
      </w:pPr>
      <w:r>
        <w:rPr>
          <w:rFonts w:hint="eastAsia"/>
          <w:sz w:val="21"/>
          <w:szCs w:val="21"/>
        </w:rPr>
        <w:t>3、基金份额持有人或其代理人需将填妥的表决票和所需的相关文件自2026年10月27日</w:t>
      </w:r>
      <w:r>
        <w:rPr>
          <w:rFonts w:hint="eastAsia"/>
          <w:sz w:val="21"/>
          <w:szCs w:val="21"/>
        </w:rPr>
        <w:t>起，至2026年11月24日</w:t>
      </w:r>
      <w:r>
        <w:rPr>
          <w:rFonts w:hint="eastAsia"/>
          <w:sz w:val="21"/>
          <w:szCs w:val="21"/>
        </w:rPr>
        <w:t>17：00以前（送达时间以基金管理人收到表决票时间为准）通过专人送交、邮寄的方式送达至本公告第一条第4项所述的寄达地址，并请在信封表面注明：“博时中证A100交易型开放式指数证券投资基金联接基金</w:t>
      </w:r>
      <w:r>
        <w:rPr>
          <w:rFonts w:hint="eastAsia"/>
          <w:sz w:val="21"/>
          <w:szCs w:val="21"/>
        </w:rPr>
        <w:t xml:space="preserve">基金份额持有人大会表决专用”。 </w:t>
      </w:r>
    </w:p>
    <w:p w14:paraId="65B09A3C">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五、授权</w:t>
      </w:r>
    </w:p>
    <w:p w14:paraId="0F444086">
      <w:pPr>
        <w:pStyle w:val="4"/>
        <w:spacing w:before="0" w:beforeAutospacing="0" w:after="0" w:afterAutospacing="0" w:line="360" w:lineRule="auto"/>
        <w:ind w:firstLine="420"/>
        <w:jc w:val="both"/>
        <w:rPr>
          <w:sz w:val="21"/>
          <w:szCs w:val="21"/>
        </w:rPr>
      </w:pPr>
      <w:r>
        <w:rPr>
          <w:rFonts w:hint="eastAsia"/>
          <w:sz w:val="21"/>
          <w:szCs w:val="21"/>
        </w:rPr>
        <w:t xml:space="preserve">本基金的基金份额持有人如不能亲自参与本次大会，可以授权委托基金管理人、基金托管人、基金销售机构或其他符合法律规定的机构和个人等代理人参与大会并投票。 </w:t>
      </w:r>
    </w:p>
    <w:p w14:paraId="571A8BA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1、纸面授权方式 </w:t>
      </w:r>
    </w:p>
    <w:p w14:paraId="716F53F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个人投资者委托他人投票的，应由代理人在表决票上签字或盖章，并提供个人投资者有效身份证件（包括使用的有效身份证或其他能够表明其身份的有效证件或证明）正反面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2181706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机构投资者委托他人投票的，应由代理人在表决票上签字或盖章，并提供机构投资者加盖公章的营业执照复印件（事业单位、社会团体或其他单位可使用加盖公章的有权部门的批文、开户证明或登记证书复印件等），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243D0DF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合格境外机构投资者委托他人投票的，应由代理人在表决票上签字或盖章，并提供该合格境外机构投资者的营业执照、商业登记证或者其他有效注册登记证明复印件，以及取得合格境外机构投资者资格的证明文件的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71F921C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（4）如果代理人为基金管理人、基金托管人或基金销售机构，前述代理人将在取得基金份额持有人签署的授权委托书后统一办理委托投票手续（包括提供代理人有关证明文件）； </w:t>
      </w:r>
    </w:p>
    <w:p w14:paraId="7F55640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（5）以上各项及本公告正文全文中的公章、批文、开户证明及登记证书等文件，以基金管理人的认可为准。 </w:t>
      </w:r>
    </w:p>
    <w:p w14:paraId="3D559EA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2、电话授权方式（仅适用于个人投资者） </w:t>
      </w:r>
    </w:p>
    <w:p w14:paraId="53D389E4">
      <w:pPr>
        <w:pStyle w:val="4"/>
        <w:spacing w:before="0" w:beforeAutospacing="0" w:after="0" w:afterAutospacing="0" w:line="360" w:lineRule="auto"/>
        <w:ind w:firstLine="420"/>
        <w:jc w:val="both"/>
        <w:rPr>
          <w:rFonts w:hint="eastAsia"/>
          <w:sz w:val="21"/>
          <w:szCs w:val="21"/>
        </w:rPr>
      </w:pPr>
      <w:r>
        <w:rPr>
          <w:rFonts w:hint="eastAsia"/>
          <w:sz w:val="21"/>
          <w:szCs w:val="21"/>
        </w:rPr>
        <w:t>（1）个人基金份额持有人可以通过基金管理人的电话征集授权通道（95105568）授权基金管理人进行投票。基金管理人在核实基金份额持有人身份后，根据基金份额持有人意愿进行授权记录，从而完成授权。基金管理人开设的录音电话征集授权通道接受授权的截止时间为本次大会投票截止日前一工作日（即2026年11月23日</w:t>
      </w:r>
      <w:r>
        <w:rPr>
          <w:rFonts w:hint="eastAsia"/>
          <w:sz w:val="21"/>
          <w:szCs w:val="21"/>
        </w:rPr>
        <w:t xml:space="preserve">）17：00（授权时间以系统记录的电话接通时间为准）。 </w:t>
      </w:r>
    </w:p>
    <w:p w14:paraId="6C29096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（2）基金份额持有人通过电话授权委托基金管理人参与大会并进行投票时，请个人基金份额持有人明确具体表决意见，若无明确授权的表决意见，授权视为无效。 </w:t>
      </w:r>
    </w:p>
    <w:p w14:paraId="474ACAD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（3）基金份额持有人通过电话授权基金管理人进行投票方式仅适用于持有本基金的个人基金份额持有人，对机构持有人暂不开通。代理人仅为基金管理人。 </w:t>
      </w:r>
    </w:p>
    <w:p w14:paraId="1AA4F4B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（4）为保护基金份额持有人利益，上述通话过程将被录音。 </w:t>
      </w:r>
    </w:p>
    <w:p w14:paraId="41B8CE1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3、短信授权方式（仅适用于个人投资者） </w:t>
      </w:r>
    </w:p>
    <w:p w14:paraId="0285BA8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为方便基金份额持有人（个人投资者）参与本次基金份额持有人大会投票，基金管理人可提供短信通道供基金份额持有人进行授权。基金管理人或基金管理人委托的销售机构可通过短信平台向在基金管理人或销售机构处有效预留手机号码的基金份额持有人发送授权征集短信，基金份额持有人可回复符合要求的短信表明授权意见。短信授权的代理人仅为本基金管理人。 </w:t>
      </w:r>
    </w:p>
    <w:p w14:paraId="74F0A0F0">
      <w:pPr>
        <w:pStyle w:val="4"/>
        <w:spacing w:before="0" w:beforeAutospacing="0" w:after="0" w:afterAutospacing="0" w:line="360" w:lineRule="auto"/>
        <w:ind w:firstLine="420"/>
        <w:jc w:val="both"/>
        <w:rPr>
          <w:rFonts w:hint="eastAsia"/>
          <w:sz w:val="21"/>
          <w:szCs w:val="21"/>
        </w:rPr>
      </w:pPr>
      <w:r>
        <w:rPr>
          <w:rFonts w:hint="eastAsia"/>
          <w:sz w:val="21"/>
          <w:szCs w:val="21"/>
        </w:rPr>
        <w:t>短信授权的起止时间自2026年10月27日</w:t>
      </w:r>
      <w:r>
        <w:rPr>
          <w:rFonts w:hint="eastAsia"/>
          <w:sz w:val="21"/>
          <w:szCs w:val="21"/>
        </w:rPr>
        <w:t>起至2026年11月23日</w:t>
      </w:r>
      <w:r>
        <w:rPr>
          <w:rFonts w:hint="eastAsia"/>
          <w:sz w:val="21"/>
          <w:szCs w:val="21"/>
        </w:rPr>
        <w:t xml:space="preserve">（本次大会投票截止日前一工作日）17:00止（授权时间以系统记录的短信接收时间为准），敬请投资者注意。 </w:t>
      </w:r>
    </w:p>
    <w:p w14:paraId="22AE5B21">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基金份额持有人通过短信授权的方式仅适用于个人投资者，对机构投资者暂不开通。 </w:t>
      </w:r>
    </w:p>
    <w:p w14:paraId="154578A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基金份额持有人通过短信授权基金管理人进行投票时，应明确表示具体表决意见。若基金份额持有人回复短信的内容不符合要求或者无明确授权的表决意见，视为无效授权。 </w:t>
      </w:r>
    </w:p>
    <w:p w14:paraId="291C08E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基金份额持有人原预留手机号码已变更或已不再实际使用的，可选择其他方式进行授权。如因授权短信通道受阻或通讯故障等不可抗力或非基金管理人人为因素，导致基金管理人无法接收到或逾期接收到授权短信，视为短信授权无效，基金管理人不承担责任，基金份额持有人可以选择基金管理人认可的其他方式进行授权。 </w:t>
      </w:r>
    </w:p>
    <w:p w14:paraId="7001E62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4、授权效力确定规则 </w:t>
      </w:r>
    </w:p>
    <w:p w14:paraId="14E3364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（1）同一基金份额持有人送达了有效表决票，又存在有效纸面授权或有效的非纸面方式授权的，以其送达的有效表决票为准； </w:t>
      </w:r>
    </w:p>
    <w:p w14:paraId="21A0260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（2）同一基金份额存在有效纸面授权和有效非纸面授权（电话授权或短信授权）的，以有效纸面授权为准； </w:t>
      </w:r>
    </w:p>
    <w:p w14:paraId="5814A75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同一基金份额存在多次有效纸面授权的，以最后一次纸面授权为准。如最后时间收到的纸面授权有多次，不能确定最后一次授权的，按以下原则处理：若多次纸面授权的授权表示一致的，按照该相同的授权表示为准；若多次纸面授权同一代理人但授权表示不一致的，视为委托人授权代理人选择其中一种授权表示行使表决权；若授权不同代理人且授权表示不一致的，视为授权无效，不计入有效票； </w:t>
      </w:r>
    </w:p>
    <w:p w14:paraId="03257E1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如果委托人在授权委托书中明确其表决意见的，以委托人的表决意见为准；如果授权委托书中未明确委托人的表决意见的，即视为授权代理人按照代理人的意志全权行使表决权；如委托人在授权委托表示中表达多种表决意见的，视为委托人授权代理人选择其中一种表决意见行使表决权； </w:t>
      </w:r>
    </w:p>
    <w:p w14:paraId="58502CB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（5）同一基金份额存在以非纸面方式（电话授权或短信授权）进行多次有效授权的，以最后一次授权为准。电话授权时间以系统记录的电话接通时间为准；短信授权时间以系统记录的短信接收时间为准。 </w:t>
      </w:r>
    </w:p>
    <w:p w14:paraId="18682A7B">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六、计票</w:t>
      </w:r>
    </w:p>
    <w:p w14:paraId="0B709879">
      <w:pPr>
        <w:pStyle w:val="4"/>
        <w:spacing w:before="0" w:beforeAutospacing="0" w:after="0" w:afterAutospacing="0" w:line="360" w:lineRule="auto"/>
        <w:ind w:firstLine="420"/>
        <w:jc w:val="both"/>
        <w:rPr>
          <w:rFonts w:hint="eastAsia"/>
          <w:sz w:val="21"/>
          <w:szCs w:val="21"/>
        </w:rPr>
      </w:pPr>
      <w:r>
        <w:rPr>
          <w:rFonts w:hint="eastAsia"/>
          <w:sz w:val="21"/>
          <w:szCs w:val="21"/>
        </w:rPr>
        <w:t>1、本次通讯会议的计票方式为：由本基金管理人授权的两名监督员在基金托管人（中国农业银行股份有限公司</w:t>
      </w:r>
      <w:r>
        <w:rPr>
          <w:rFonts w:hint="eastAsia"/>
          <w:sz w:val="21"/>
          <w:szCs w:val="21"/>
        </w:rPr>
        <w:t xml:space="preserve">）授权代表的监督下于本次通讯会议表决截止日期后2个工作日内进行计票，并由公证机关对其计票过程予以公证。基金托管人拒派代表对表决意见的计票进行监督的，不影响计票和表决结果。 </w:t>
      </w:r>
    </w:p>
    <w:p w14:paraId="318BE74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2、基金份额持有人所持每份基金份额享有一票表决权。 </w:t>
      </w:r>
    </w:p>
    <w:p w14:paraId="57D2308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3、纸质表决票效力的认定如下： </w:t>
      </w:r>
    </w:p>
    <w:p w14:paraId="4A70F5A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表决票填写完整清晰，所提供文件符合本公告规定，且在规定时间之前送达指定联系地址的，为有效表决票；有效表决票按表决意见计入相应的表决结果，其所代表的基金份额计入参加本次基金份额持有人大会表决的基金份额总数。 </w:t>
      </w:r>
    </w:p>
    <w:p w14:paraId="317F988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（2）同一基金份额持有人送达了有效表决票，又存在有效纸面授权或有效非纸面授权的，以其送达的有效表决票为准。 </w:t>
      </w:r>
    </w:p>
    <w:p w14:paraId="045206EC">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如表决票上的表决意见未选、多选或无法辨认、表决意见模糊不清或相互矛盾，但其他各项符合本公告规定的，视为弃权表决，计入有效表决票，并按“弃权”计入对应的表决结果，其所代表的基金份额计入参加本次基金份额持有人大会表决的基金份额总数。 </w:t>
      </w:r>
    </w:p>
    <w:p w14:paraId="7AB4AB9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如表决票上的签字或盖章部分填写不完整、不清晰的，或未能提供有效证明基金份额持有人身份或代理人经有效授权的证明文件的，或未能在规定时间之前送达指定联系地址的，均为无效表决票；无效表决票不计入参加本次基金份额持有人大会表决的基金份额总数。 </w:t>
      </w:r>
    </w:p>
    <w:p w14:paraId="5C697F5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（5）同一基金份额持有人重复提交表决票的，如各表决票表决意见相同，则视为同一表决票；如各表决票表决意见不相同，则按如下原则处理： </w:t>
      </w:r>
    </w:p>
    <w:p w14:paraId="47C41C8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①送达时间不是同一天的，以最后送达的填写有效的表决票为准，先送达的表决票视为被撤回； </w:t>
      </w:r>
    </w:p>
    <w:p w14:paraId="336755F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②送达时间为同一天的，视为在同一表决票上做出了不同表决意见，计入弃权表决票； </w:t>
      </w:r>
    </w:p>
    <w:p w14:paraId="553F5E2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③送达时间按如下原则确定：专人送达的以实际递交时间为准，邮寄的以指定联系地址收到的时间为准。 </w:t>
      </w:r>
    </w:p>
    <w:p w14:paraId="641E8BFA">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七、决议生效条件</w:t>
      </w:r>
    </w:p>
    <w:p w14:paraId="0D08777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1、本人直接出具表决意见或授权他人代表出具表决意见的，基金份额持有人所持有的基金份额不小于在权益登记日基金总份额的二分之一（含二分之一）； </w:t>
      </w:r>
    </w:p>
    <w:p w14:paraId="4CBCA911">
      <w:pPr>
        <w:pStyle w:val="4"/>
        <w:spacing w:before="0" w:beforeAutospacing="0" w:after="0" w:afterAutospacing="0" w:line="360" w:lineRule="auto"/>
        <w:ind w:firstLine="420"/>
        <w:jc w:val="both"/>
        <w:rPr>
          <w:rFonts w:hint="eastAsia"/>
          <w:sz w:val="21"/>
          <w:szCs w:val="21"/>
        </w:rPr>
      </w:pPr>
      <w:r>
        <w:rPr>
          <w:rFonts w:hint="eastAsia"/>
          <w:sz w:val="21"/>
          <w:szCs w:val="21"/>
        </w:rPr>
        <w:t>2、《关于博时中证A100交易型开放式指数证券投资基金联接基金持续运作的议案</w:t>
      </w:r>
      <w:r>
        <w:rPr>
          <w:rFonts w:hint="eastAsia"/>
          <w:sz w:val="21"/>
          <w:szCs w:val="21"/>
        </w:rPr>
        <w:t xml:space="preserve">》应当由提交有效表决票的基金份额持有人或其代理人所持表决权的二分之一以上（含二分之一）通过； </w:t>
      </w:r>
    </w:p>
    <w:p w14:paraId="7C05749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直接出具表决意见的基金份额持有人或受托代表他人出具表决意见的代理人提交的持有基金份额的凭证和受托出席会议者出具的委托人持有基金份额的凭证和授权委托书等文件符合法律法规、《基金合同》和本公告的规定，并与登记机构记录相符； </w:t>
      </w:r>
    </w:p>
    <w:p w14:paraId="13E0D42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4、本次基金份额持有人大会的决议自表决通过之日起生效，基金管理人自决议通过之日起五日内报中国证监会备案。 </w:t>
      </w:r>
    </w:p>
    <w:p w14:paraId="76203B60">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八、二次召集基金份额持有人大会及二次授权</w:t>
      </w:r>
    </w:p>
    <w:p w14:paraId="75D8E604">
      <w:pPr>
        <w:pStyle w:val="4"/>
        <w:spacing w:before="0" w:beforeAutospacing="0" w:after="0" w:afterAutospacing="0" w:line="360" w:lineRule="auto"/>
        <w:ind w:firstLine="420"/>
        <w:jc w:val="both"/>
        <w:rPr>
          <w:rFonts w:hint="eastAsia"/>
          <w:sz w:val="21"/>
          <w:szCs w:val="21"/>
        </w:rPr>
      </w:pPr>
      <w:r>
        <w:rPr>
          <w:rFonts w:hint="eastAsia"/>
          <w:sz w:val="21"/>
          <w:szCs w:val="21"/>
        </w:rPr>
        <w:t>根据《中华人民共和国证券投资基金法》及《基金合同》的规定，本次基金份额持有人大会需要本人直接出具表决意见和授权他人代表出具表决意见的基金份额持有人所代表的基金份额不小于权益登记日基金总份额的二分之一(含二分之一)方可举行。如果本次基金份额持有人大会不符合前述要求而不能成功召开，根据《中华人民共和国证券投资基金法》的规定及《基金合同》的约定，基金管理人可另行确定并公告二次召集基金份额持有人大会的开会时间和地点，但权益登记日仍为2026年10月27日</w:t>
      </w:r>
      <w:r>
        <w:rPr>
          <w:rFonts w:hint="eastAsia"/>
          <w:sz w:val="21"/>
          <w:szCs w:val="21"/>
        </w:rPr>
        <w:t xml:space="preserve">。 </w:t>
      </w:r>
    </w:p>
    <w:p w14:paraId="1D42821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二次召集基金份额持有人大会时，对于投票而言，基金份额持有人在本次基金份额持有人大会所投的有效表决票依然有效；如果基金份额持有人重新进行投票的，则以最新的有效表决票为准；对于授权而言，除非授权文件另有载明，本次基金份额持有人大会基金份额持有人作出的各类授权依然有效，但如果授权方式发生变化或者基金份额持有人重新作出授权的，则以根据本公告规定的授权效力确定规则确定的最新有效授权为准。详细说明见届时发布的二次召集基金份额持有人大会的通知。 </w:t>
      </w:r>
    </w:p>
    <w:p w14:paraId="3C22B79D">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九、本次大会相关机构</w:t>
      </w:r>
    </w:p>
    <w:p w14:paraId="151FAFE3">
      <w:pPr>
        <w:pStyle w:val="4"/>
        <w:spacing w:before="0" w:beforeAutospacing="0" w:after="0" w:afterAutospacing="0" w:line="360" w:lineRule="auto"/>
        <w:ind w:firstLine="420"/>
        <w:jc w:val="both"/>
        <w:rPr>
          <w:sz w:val="21"/>
          <w:szCs w:val="21"/>
        </w:rPr>
      </w:pPr>
      <w:r>
        <w:rPr>
          <w:rFonts w:hint="eastAsia"/>
          <w:sz w:val="21"/>
          <w:szCs w:val="21"/>
        </w:rPr>
        <w:t xml:space="preserve">1、召集人：博时基金管理有限公司 </w:t>
      </w:r>
    </w:p>
    <w:p w14:paraId="7C5542DB">
      <w:pPr>
        <w:pStyle w:val="4"/>
        <w:spacing w:before="0" w:beforeAutospacing="0" w:after="0" w:afterAutospacing="0" w:line="360" w:lineRule="auto"/>
        <w:ind w:firstLine="420"/>
        <w:jc w:val="both"/>
        <w:rPr>
          <w:rFonts w:hint="eastAsia"/>
          <w:sz w:val="21"/>
          <w:szCs w:val="21"/>
        </w:rPr>
      </w:pPr>
      <w:r>
        <w:rPr>
          <w:rFonts w:hint="eastAsia"/>
          <w:sz w:val="21"/>
          <w:szCs w:val="21"/>
        </w:rPr>
        <w:t>2、基金托管人：中国农业银行股份有限公司</w:t>
      </w:r>
    </w:p>
    <w:p w14:paraId="000443F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3、公证机关：北京市长安公证处 </w:t>
      </w:r>
    </w:p>
    <w:p w14:paraId="58354C5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联系人：陆晓冬 </w:t>
      </w:r>
    </w:p>
    <w:p w14:paraId="4EC19E9C">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联系电话：010-65543888-8066 </w:t>
      </w:r>
    </w:p>
    <w:p w14:paraId="6349FDB0">
      <w:pPr>
        <w:pStyle w:val="4"/>
        <w:spacing w:before="0" w:beforeAutospacing="0" w:after="0" w:afterAutospacing="0" w:line="360" w:lineRule="auto"/>
        <w:ind w:firstLine="420"/>
        <w:jc w:val="both"/>
        <w:rPr>
          <w:rFonts w:hint="eastAsia"/>
          <w:sz w:val="21"/>
          <w:szCs w:val="21"/>
        </w:rPr>
      </w:pPr>
      <w:r>
        <w:rPr>
          <w:rFonts w:hint="eastAsia"/>
          <w:sz w:val="21"/>
          <w:szCs w:val="21"/>
        </w:rPr>
        <w:t>4、律师事务所：上海源泰律师事务所</w:t>
      </w:r>
    </w:p>
    <w:p w14:paraId="15EA8CC1">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十、重要提示</w:t>
      </w:r>
    </w:p>
    <w:p w14:paraId="78DE02F2">
      <w:pPr>
        <w:pStyle w:val="4"/>
        <w:spacing w:before="0" w:beforeAutospacing="0" w:after="0" w:afterAutospacing="0" w:line="360" w:lineRule="auto"/>
        <w:ind w:firstLine="420"/>
        <w:jc w:val="both"/>
        <w:rPr>
          <w:sz w:val="21"/>
          <w:szCs w:val="21"/>
        </w:rPr>
      </w:pPr>
      <w:r>
        <w:rPr>
          <w:rFonts w:hint="eastAsia"/>
          <w:sz w:val="21"/>
          <w:szCs w:val="21"/>
        </w:rPr>
        <w:t xml:space="preserve">1、请基金份额持有人在提交表决票时，充分考虑邮寄在途时间，确保表决票于表决截止时间前送达。 </w:t>
      </w:r>
    </w:p>
    <w:p w14:paraId="7E9E3B2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2、本次基金份额持有人大会有关公告可通过本基金管理人网站查阅，投资者如有任何疑问，可致电博时一线通95105568（免长途话费）咨询。 </w:t>
      </w:r>
    </w:p>
    <w:p w14:paraId="0F8533B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3、本公告的有关内容由博时基金管理有限公司负责解释。 </w:t>
      </w:r>
    </w:p>
    <w:p w14:paraId="54A15650">
      <w:pPr>
        <w:pStyle w:val="4"/>
        <w:spacing w:before="0" w:beforeAutospacing="0" w:after="0" w:afterAutospacing="0" w:line="360" w:lineRule="auto"/>
        <w:ind w:firstLine="420"/>
        <w:jc w:val="both"/>
        <w:rPr>
          <w:sz w:val="21"/>
          <w:szCs w:val="21"/>
        </w:rPr>
      </w:pPr>
    </w:p>
    <w:p w14:paraId="3823645C">
      <w:pPr>
        <w:pStyle w:val="4"/>
        <w:spacing w:before="0" w:beforeAutospacing="0" w:after="0" w:afterAutospacing="0" w:line="360" w:lineRule="auto"/>
        <w:ind w:firstLine="420"/>
        <w:jc w:val="both"/>
        <w:rPr>
          <w:sz w:val="21"/>
          <w:szCs w:val="21"/>
        </w:rPr>
      </w:pPr>
    </w:p>
    <w:p w14:paraId="3B58133C">
      <w:pPr>
        <w:pStyle w:val="4"/>
        <w:spacing w:before="0" w:beforeAutospacing="0" w:after="0" w:afterAutospacing="0" w:line="360" w:lineRule="auto"/>
        <w:ind w:firstLine="420"/>
        <w:jc w:val="both"/>
        <w:rPr>
          <w:sz w:val="21"/>
          <w:szCs w:val="21"/>
        </w:rPr>
      </w:pPr>
    </w:p>
    <w:p w14:paraId="1EC182A2">
      <w:pPr>
        <w:pStyle w:val="4"/>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08B48463">
      <w:pPr>
        <w:pStyle w:val="4"/>
        <w:spacing w:before="0" w:beforeAutospacing="0" w:after="0" w:afterAutospacing="0" w:line="360" w:lineRule="auto"/>
        <w:ind w:firstLine="420"/>
        <w:jc w:val="right"/>
        <w:rPr>
          <w:sz w:val="21"/>
          <w:szCs w:val="21"/>
        </w:rPr>
      </w:pPr>
      <w:r>
        <w:rPr>
          <w:sz w:val="21"/>
          <w:szCs w:val="21"/>
        </w:rPr>
        <w:t>2026年10月26日</w:t>
      </w:r>
    </w:p>
    <w:p w14:paraId="3D88CE5B">
      <w:pPr>
        <w:pStyle w:val="4"/>
        <w:spacing w:before="0" w:beforeAutospacing="0" w:after="0" w:afterAutospacing="0" w:line="360" w:lineRule="auto"/>
        <w:ind w:firstLine="420"/>
        <w:jc w:val="right"/>
        <w:rPr>
          <w:sz w:val="21"/>
          <w:szCs w:val="21"/>
        </w:rPr>
      </w:pPr>
    </w:p>
    <w:p w14:paraId="482DCD5E">
      <w:pPr>
        <w:adjustRightInd w:val="0"/>
        <w:snapToGrid w:val="0"/>
        <w:spacing w:line="360" w:lineRule="auto"/>
        <w:rPr>
          <w:rStyle w:val="10"/>
          <w:rFonts w:ascii="宋体" w:hAnsi="宋体" w:cs="宋体"/>
          <w:szCs w:val="21"/>
        </w:rPr>
      </w:pPr>
      <w:r>
        <w:rPr>
          <w:rStyle w:val="10"/>
          <w:rFonts w:hint="eastAsia" w:ascii="宋体" w:hAnsi="宋体" w:cs="宋体"/>
          <w:szCs w:val="21"/>
        </w:rPr>
        <w:t>附件一：《关于博时中证</w:t>
      </w:r>
      <w:r>
        <w:rPr>
          <w:rStyle w:val="10"/>
          <w:rFonts w:ascii="宋体" w:hAnsi="宋体" w:cs="宋体"/>
          <w:szCs w:val="21"/>
        </w:rPr>
        <w:t>A100交易型开放式指数证券投资基金联接基金持续运作的议案</w:t>
      </w:r>
      <w:r>
        <w:rPr>
          <w:rStyle w:val="10"/>
          <w:rFonts w:hint="eastAsia" w:ascii="宋体" w:hAnsi="宋体" w:cs="宋体"/>
          <w:szCs w:val="21"/>
        </w:rPr>
        <w:t>》</w:t>
      </w:r>
    </w:p>
    <w:p w14:paraId="3CC1A2E0">
      <w:pPr>
        <w:adjustRightInd w:val="0"/>
        <w:snapToGrid w:val="0"/>
        <w:spacing w:line="360" w:lineRule="auto"/>
        <w:rPr>
          <w:rStyle w:val="10"/>
          <w:rFonts w:ascii="宋体" w:hAnsi="宋体" w:cs="宋体"/>
          <w:szCs w:val="21"/>
        </w:rPr>
      </w:pPr>
      <w:r>
        <w:rPr>
          <w:rStyle w:val="10"/>
          <w:rFonts w:hint="eastAsia" w:ascii="宋体" w:hAnsi="宋体" w:cs="宋体"/>
          <w:szCs w:val="21"/>
        </w:rPr>
        <w:t>附件二：《博时中证</w:t>
      </w:r>
      <w:r>
        <w:rPr>
          <w:rStyle w:val="10"/>
          <w:rFonts w:ascii="宋体" w:hAnsi="宋体" w:cs="宋体"/>
          <w:szCs w:val="21"/>
        </w:rPr>
        <w:t>A100交易型开放式指数证券投资基金联接基金</w:t>
      </w:r>
      <w:r>
        <w:rPr>
          <w:rStyle w:val="10"/>
          <w:rFonts w:hint="eastAsia" w:ascii="宋体" w:hAnsi="宋体" w:cs="宋体"/>
          <w:szCs w:val="21"/>
        </w:rPr>
        <w:t>基金份额持有人大会表决票》</w:t>
      </w:r>
    </w:p>
    <w:p w14:paraId="41413386">
      <w:pPr>
        <w:adjustRightInd w:val="0"/>
        <w:snapToGrid w:val="0"/>
        <w:spacing w:line="360" w:lineRule="auto"/>
        <w:rPr>
          <w:rStyle w:val="10"/>
          <w:rFonts w:ascii="宋体" w:hAnsi="宋体" w:cs="宋体"/>
          <w:szCs w:val="21"/>
        </w:rPr>
      </w:pPr>
      <w:r>
        <w:rPr>
          <w:rStyle w:val="10"/>
          <w:rFonts w:hint="eastAsia" w:ascii="宋体" w:hAnsi="宋体" w:cs="宋体"/>
          <w:szCs w:val="21"/>
        </w:rPr>
        <w:t>附件三：《授权委托书》</w:t>
      </w:r>
    </w:p>
    <w:p w14:paraId="5046664B">
      <w:pPr>
        <w:rPr>
          <w:rStyle w:val="10"/>
          <w:rFonts w:ascii="宋体" w:hAnsi="宋体" w:cs="宋体"/>
          <w:szCs w:val="21"/>
        </w:rPr>
      </w:pPr>
      <w:r>
        <w:rPr>
          <w:rStyle w:val="10"/>
          <w:rFonts w:hint="eastAsia" w:ascii="宋体" w:hAnsi="宋体" w:cs="宋体"/>
          <w:szCs w:val="21"/>
        </w:rPr>
        <w:br w:type="page"/>
      </w:r>
    </w:p>
    <w:p w14:paraId="02C5BA9C">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附件一： </w:t>
      </w:r>
    </w:p>
    <w:p w14:paraId="5482C02D">
      <w:pPr>
        <w:adjustRightInd w:val="0"/>
        <w:snapToGrid w:val="0"/>
        <w:spacing w:line="360" w:lineRule="auto"/>
        <w:jc w:val="center"/>
        <w:rPr>
          <w:rStyle w:val="10"/>
          <w:rFonts w:ascii="宋体" w:hAnsi="宋体" w:cs="宋体"/>
          <w:b/>
          <w:bCs/>
          <w:szCs w:val="21"/>
        </w:rPr>
      </w:pPr>
      <w:r>
        <w:rPr>
          <w:rFonts w:hint="eastAsia" w:ascii="宋体" w:hAnsi="宋体" w:cs="宋体"/>
          <w:b/>
          <w:bCs/>
          <w:color w:val="000000"/>
          <w:szCs w:val="21"/>
        </w:rPr>
        <w:t>关于博时中证</w:t>
      </w:r>
      <w:r>
        <w:rPr>
          <w:rFonts w:ascii="宋体" w:hAnsi="宋体" w:cs="宋体"/>
          <w:b/>
          <w:bCs/>
          <w:color w:val="000000"/>
          <w:szCs w:val="21"/>
        </w:rPr>
        <w:t>A100交易型开放式指数证券投资基金联接基金持续运作的议案</w:t>
      </w:r>
    </w:p>
    <w:p w14:paraId="3545173A">
      <w:pPr>
        <w:adjustRightInd w:val="0"/>
        <w:snapToGrid w:val="0"/>
        <w:spacing w:line="360" w:lineRule="auto"/>
        <w:ind w:firstLine="480"/>
        <w:rPr>
          <w:rStyle w:val="10"/>
          <w:rFonts w:ascii="宋体" w:hAnsi="宋体" w:cs="宋体"/>
          <w:szCs w:val="21"/>
        </w:rPr>
      </w:pPr>
    </w:p>
    <w:p w14:paraId="2D5818B9">
      <w:pPr>
        <w:adjustRightInd w:val="0"/>
        <w:snapToGrid w:val="0"/>
        <w:spacing w:line="360" w:lineRule="auto"/>
        <w:rPr>
          <w:rFonts w:hint="eastAsia" w:ascii="宋体" w:hAnsi="宋体" w:eastAsia="宋体" w:cs="宋体"/>
          <w:kern w:val="0"/>
          <w:sz w:val="21"/>
          <w:szCs w:val="21"/>
          <w:lang w:val="en-US" w:eastAsia="zh-CN" w:bidi="ar-SA"/>
        </w:rPr>
      </w:pPr>
      <w:r>
        <w:rPr>
          <w:rFonts w:hint="eastAsia" w:ascii="宋体" w:hAnsi="宋体" w:cs="宋体"/>
          <w:color w:val="000000"/>
          <w:szCs w:val="21"/>
        </w:rPr>
        <w:t>博时中证</w:t>
      </w:r>
      <w:bookmarkStart w:id="0" w:name="_GoBack"/>
      <w:r>
        <w:rPr>
          <w:rFonts w:hint="eastAsia" w:ascii="宋体" w:hAnsi="宋体" w:eastAsia="宋体" w:cs="宋体"/>
          <w:kern w:val="0"/>
          <w:sz w:val="21"/>
          <w:szCs w:val="21"/>
          <w:lang w:val="en-US" w:eastAsia="zh-CN" w:bidi="ar-SA"/>
        </w:rPr>
        <w:t>A100交易型开放式指数证券投资基金联接基金基金份额持有人：</w:t>
      </w:r>
    </w:p>
    <w:p w14:paraId="2564843E">
      <w:pPr>
        <w:pStyle w:val="4"/>
        <w:spacing w:before="0" w:beforeAutospacing="0" w:after="0" w:afterAutospacing="0" w:line="360" w:lineRule="auto"/>
        <w:ind w:firstLine="420"/>
        <w:jc w:val="both"/>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按照《公开募集证券投资基金运作管理办法》及本基金基金合同的规定： </w:t>
      </w:r>
    </w:p>
    <w:p w14:paraId="550326FC">
      <w:pPr>
        <w:pStyle w:val="4"/>
        <w:spacing w:before="0" w:beforeAutospacing="0" w:after="0" w:afterAutospacing="0" w:line="360" w:lineRule="auto"/>
        <w:ind w:firstLine="420"/>
        <w:jc w:val="both"/>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开基金份额持有人大会。</w:t>
      </w:r>
    </w:p>
    <w:p w14:paraId="349E5C66">
      <w:pPr>
        <w:pStyle w:val="4"/>
        <w:spacing w:before="0" w:beforeAutospacing="0" w:after="0" w:afterAutospacing="0" w:line="360" w:lineRule="auto"/>
        <w:ind w:firstLine="420"/>
        <w:jc w:val="both"/>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法律法规或中国证监会另有规定时，从其规定。” </w:t>
      </w:r>
    </w:p>
    <w:p w14:paraId="3EA51085">
      <w:pPr>
        <w:pStyle w:val="4"/>
        <w:spacing w:before="0" w:beforeAutospacing="0" w:after="0" w:afterAutospacing="0" w:line="360" w:lineRule="auto"/>
        <w:ind w:firstLine="420"/>
        <w:jc w:val="both"/>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本基金已出现连续60个工作日资产净值低于5000万元的情形。 本基金管理人经与基金托管人中国农业银行股份有限公司协商一致，提议本基金持续运作。 </w:t>
      </w:r>
    </w:p>
    <w:p w14:paraId="2703511B">
      <w:pPr>
        <w:pStyle w:val="4"/>
        <w:spacing w:before="0" w:beforeAutospacing="0" w:after="0" w:afterAutospacing="0" w:line="360" w:lineRule="auto"/>
        <w:ind w:firstLine="420"/>
        <w:jc w:val="both"/>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为实施本次会议议案，提议授权基金管理人办理有关具体事宜，包括但不限于根据市场情况决定采取相关基金持续运作的措施以及确定基金持续运作各项工作的具体时间等。 </w:t>
      </w:r>
    </w:p>
    <w:p w14:paraId="6570F315">
      <w:pPr>
        <w:pStyle w:val="4"/>
        <w:spacing w:before="0" w:beforeAutospacing="0" w:after="0" w:afterAutospacing="0" w:line="360" w:lineRule="auto"/>
        <w:ind w:firstLine="420"/>
        <w:jc w:val="both"/>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以上议案，请予审议。 </w:t>
      </w:r>
    </w:p>
    <w:bookmarkEnd w:id="0"/>
    <w:p w14:paraId="02A2862D">
      <w:pPr>
        <w:adjustRightInd w:val="0"/>
        <w:snapToGrid w:val="0"/>
        <w:spacing w:line="360" w:lineRule="auto"/>
        <w:rPr>
          <w:rFonts w:ascii="宋体" w:hAnsi="宋体" w:cs="宋体"/>
          <w:color w:val="000000"/>
          <w:szCs w:val="21"/>
        </w:rPr>
      </w:pPr>
    </w:p>
    <w:p w14:paraId="58B3B6B2">
      <w:pPr>
        <w:adjustRightInd w:val="0"/>
        <w:snapToGrid w:val="0"/>
        <w:spacing w:line="360" w:lineRule="auto"/>
        <w:ind w:left="3220" w:firstLine="105" w:firstLineChars="50"/>
        <w:rPr>
          <w:rFonts w:ascii="宋体" w:hAnsi="宋体" w:cs="宋体"/>
          <w:szCs w:val="21"/>
        </w:rPr>
      </w:pPr>
    </w:p>
    <w:p w14:paraId="36A1402C">
      <w:pPr>
        <w:adjustRightInd w:val="0"/>
        <w:snapToGrid w:val="0"/>
        <w:spacing w:line="360" w:lineRule="auto"/>
        <w:ind w:left="3220" w:firstLine="105" w:firstLineChars="50"/>
        <w:rPr>
          <w:rFonts w:ascii="宋体" w:hAnsi="宋体" w:cs="宋体"/>
          <w:szCs w:val="21"/>
        </w:rPr>
      </w:pPr>
    </w:p>
    <w:p w14:paraId="22934314">
      <w:pPr>
        <w:adjustRightInd w:val="0"/>
        <w:snapToGrid w:val="0"/>
        <w:spacing w:line="360" w:lineRule="auto"/>
        <w:ind w:left="3220" w:firstLine="105" w:firstLineChars="50"/>
        <w:jc w:val="right"/>
        <w:rPr>
          <w:rFonts w:ascii="宋体" w:hAnsi="宋体" w:cs="宋体"/>
          <w:szCs w:val="21"/>
        </w:rPr>
      </w:pPr>
      <w:r>
        <w:rPr>
          <w:rFonts w:hint="eastAsia" w:ascii="宋体" w:hAnsi="宋体" w:cs="宋体"/>
          <w:szCs w:val="21"/>
        </w:rPr>
        <w:t>基金管理人：博时基金管理有限公司</w:t>
      </w:r>
    </w:p>
    <w:p w14:paraId="25A970C7">
      <w:pPr>
        <w:adjustRightInd w:val="0"/>
        <w:snapToGrid w:val="0"/>
        <w:spacing w:line="360" w:lineRule="auto"/>
        <w:ind w:firstLine="420" w:firstLineChars="200"/>
        <w:jc w:val="right"/>
        <w:rPr>
          <w:rStyle w:val="10"/>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ascii="宋体" w:hAnsi="宋体" w:cs="宋体"/>
          <w:color w:val="000000"/>
          <w:szCs w:val="21"/>
        </w:rPr>
        <w:t>2026年10月22日</w:t>
      </w:r>
      <w:r>
        <w:rPr>
          <w:rStyle w:val="10"/>
          <w:rFonts w:hint="eastAsia" w:ascii="宋体" w:hAnsi="宋体" w:cs="宋体"/>
          <w:szCs w:val="21"/>
        </w:rPr>
        <w:br w:type="page"/>
      </w:r>
    </w:p>
    <w:p w14:paraId="5A86542A">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附件二： </w:t>
      </w:r>
    </w:p>
    <w:tbl>
      <w:tblPr>
        <w:tblStyle w:val="5"/>
        <w:tblW w:w="8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8"/>
        <w:gridCol w:w="1260"/>
        <w:gridCol w:w="1260"/>
        <w:gridCol w:w="1455"/>
      </w:tblGrid>
      <w:tr w14:paraId="7B2C3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8583" w:type="dxa"/>
            <w:gridSpan w:val="4"/>
            <w:tcBorders>
              <w:top w:val="single" w:color="auto" w:sz="4" w:space="0"/>
              <w:left w:val="single" w:color="auto" w:sz="4" w:space="0"/>
              <w:right w:val="single" w:color="auto" w:sz="4" w:space="0"/>
            </w:tcBorders>
          </w:tcPr>
          <w:p w14:paraId="3E2EE0AE">
            <w:pPr>
              <w:pStyle w:val="3"/>
              <w:adjustRightInd w:val="0"/>
              <w:snapToGrid w:val="0"/>
              <w:spacing w:line="360" w:lineRule="auto"/>
              <w:jc w:val="center"/>
              <w:rPr>
                <w:rFonts w:ascii="宋体" w:hAnsi="宋体" w:cs="宋体"/>
                <w:bCs/>
                <w:kern w:val="2"/>
                <w:sz w:val="22"/>
                <w:lang w:val="en-US"/>
              </w:rPr>
            </w:pPr>
            <w:r>
              <w:rPr>
                <w:rFonts w:hint="eastAsia" w:ascii="宋体" w:hAnsi="宋体" w:cs="宋体"/>
                <w:color w:val="000000"/>
                <w:sz w:val="21"/>
                <w:szCs w:val="21"/>
                <w:lang w:val="en-US"/>
              </w:rPr>
              <w:t>博时中证</w:t>
            </w:r>
            <w:r>
              <w:rPr>
                <w:rFonts w:ascii="宋体" w:hAnsi="宋体" w:cs="宋体"/>
                <w:color w:val="000000"/>
                <w:sz w:val="21"/>
                <w:szCs w:val="21"/>
                <w:lang w:val="en-US"/>
              </w:rPr>
              <w:t>A100交易型开放式指数证券投资基金联接基金</w:t>
            </w:r>
            <w:r>
              <w:rPr>
                <w:rFonts w:hint="eastAsia" w:ascii="宋体" w:hAnsi="宋体" w:cs="宋体"/>
                <w:sz w:val="21"/>
                <w:szCs w:val="21"/>
              </w:rPr>
              <w:t>基金</w:t>
            </w:r>
            <w:r>
              <w:rPr>
                <w:rFonts w:hint="eastAsia" w:ascii="宋体" w:hAnsi="宋体" w:cs="宋体"/>
                <w:bCs/>
                <w:kern w:val="2"/>
                <w:sz w:val="21"/>
                <w:szCs w:val="21"/>
                <w:lang w:val="en-US"/>
              </w:rPr>
              <w:t>份额持有人大会表决票</w:t>
            </w:r>
          </w:p>
        </w:tc>
      </w:tr>
      <w:tr w14:paraId="49CE4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83" w:type="dxa"/>
            <w:gridSpan w:val="4"/>
          </w:tcPr>
          <w:p w14:paraId="33CD0CCB">
            <w:pPr>
              <w:adjustRightInd w:val="0"/>
              <w:snapToGrid w:val="0"/>
              <w:spacing w:line="360" w:lineRule="auto"/>
              <w:rPr>
                <w:rFonts w:ascii="宋体" w:hAnsi="宋体" w:cs="宋体"/>
                <w:szCs w:val="21"/>
              </w:rPr>
            </w:pPr>
            <w:r>
              <w:rPr>
                <w:rFonts w:hint="eastAsia" w:ascii="宋体" w:hAnsi="宋体" w:cs="宋体"/>
                <w:szCs w:val="21"/>
              </w:rPr>
              <w:t>基金份额持有人姓名/名称：</w:t>
            </w:r>
          </w:p>
        </w:tc>
      </w:tr>
      <w:tr w14:paraId="49ED1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Borders>
              <w:bottom w:val="single" w:color="auto" w:sz="4" w:space="0"/>
            </w:tcBorders>
          </w:tcPr>
          <w:p w14:paraId="15EFF83E">
            <w:pPr>
              <w:adjustRightInd w:val="0"/>
              <w:snapToGrid w:val="0"/>
              <w:spacing w:line="360" w:lineRule="auto"/>
              <w:rPr>
                <w:rFonts w:ascii="宋体" w:hAnsi="宋体" w:cs="宋体"/>
                <w:szCs w:val="21"/>
              </w:rPr>
            </w:pPr>
            <w:r>
              <w:rPr>
                <w:rFonts w:hint="eastAsia" w:ascii="宋体" w:hAnsi="宋体" w:cs="宋体"/>
                <w:szCs w:val="21"/>
              </w:rPr>
              <w:t>证件号码(身份证件号/营业执照号/统一社会信用代码)：</w:t>
            </w:r>
          </w:p>
        </w:tc>
        <w:tc>
          <w:tcPr>
            <w:tcW w:w="3975" w:type="dxa"/>
            <w:gridSpan w:val="3"/>
            <w:tcBorders>
              <w:bottom w:val="single" w:color="auto" w:sz="4" w:space="0"/>
            </w:tcBorders>
          </w:tcPr>
          <w:p w14:paraId="038F5DDE">
            <w:pPr>
              <w:adjustRightInd w:val="0"/>
              <w:snapToGrid w:val="0"/>
              <w:spacing w:line="360" w:lineRule="auto"/>
              <w:rPr>
                <w:rFonts w:ascii="宋体" w:hAnsi="宋体" w:cs="宋体"/>
                <w:szCs w:val="21"/>
              </w:rPr>
            </w:pPr>
            <w:r>
              <w:rPr>
                <w:rFonts w:hint="eastAsia" w:ascii="宋体" w:hAnsi="宋体" w:cs="宋体"/>
                <w:szCs w:val="21"/>
              </w:rPr>
              <w:t>基金账户号：</w:t>
            </w:r>
          </w:p>
        </w:tc>
      </w:tr>
      <w:tr w14:paraId="481D7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55E090FA">
            <w:pPr>
              <w:adjustRightInd w:val="0"/>
              <w:snapToGrid w:val="0"/>
              <w:spacing w:line="360" w:lineRule="auto"/>
              <w:rPr>
                <w:rFonts w:ascii="宋体" w:hAnsi="宋体" w:cs="宋体"/>
                <w:szCs w:val="21"/>
              </w:rPr>
            </w:pPr>
          </w:p>
        </w:tc>
        <w:tc>
          <w:tcPr>
            <w:tcW w:w="3975" w:type="dxa"/>
            <w:gridSpan w:val="3"/>
            <w:tcBorders>
              <w:bottom w:val="nil"/>
            </w:tcBorders>
          </w:tcPr>
          <w:p w14:paraId="40A08B81">
            <w:pPr>
              <w:adjustRightInd w:val="0"/>
              <w:snapToGrid w:val="0"/>
              <w:spacing w:line="360" w:lineRule="auto"/>
              <w:ind w:left="807"/>
              <w:rPr>
                <w:rFonts w:ascii="宋体" w:hAnsi="宋体" w:cs="宋体"/>
                <w:szCs w:val="21"/>
              </w:rPr>
            </w:pPr>
          </w:p>
        </w:tc>
      </w:tr>
      <w:tr w14:paraId="0B89D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608" w:type="dxa"/>
            <w:tcBorders>
              <w:bottom w:val="nil"/>
            </w:tcBorders>
          </w:tcPr>
          <w:p w14:paraId="7EF8020B">
            <w:pPr>
              <w:adjustRightInd w:val="0"/>
              <w:snapToGrid w:val="0"/>
              <w:spacing w:line="360" w:lineRule="auto"/>
              <w:rPr>
                <w:rFonts w:ascii="宋体" w:hAnsi="宋体" w:cs="宋体"/>
                <w:szCs w:val="21"/>
              </w:rPr>
            </w:pPr>
            <w:r>
              <w:rPr>
                <w:rFonts w:hint="eastAsia" w:ascii="宋体" w:hAnsi="宋体" w:cs="宋体"/>
                <w:szCs w:val="21"/>
              </w:rPr>
              <w:t>受托人（代理人）姓名/名称：</w:t>
            </w:r>
          </w:p>
        </w:tc>
        <w:tc>
          <w:tcPr>
            <w:tcW w:w="3975" w:type="dxa"/>
            <w:gridSpan w:val="3"/>
            <w:tcBorders>
              <w:bottom w:val="nil"/>
            </w:tcBorders>
          </w:tcPr>
          <w:p w14:paraId="11B8DC96">
            <w:pPr>
              <w:adjustRightInd w:val="0"/>
              <w:snapToGrid w:val="0"/>
              <w:spacing w:line="360" w:lineRule="auto"/>
              <w:rPr>
                <w:rFonts w:ascii="宋体" w:hAnsi="宋体" w:cs="宋体"/>
                <w:szCs w:val="21"/>
              </w:rPr>
            </w:pPr>
            <w:r>
              <w:rPr>
                <w:rFonts w:hint="eastAsia" w:ascii="宋体" w:hAnsi="宋体" w:cs="宋体"/>
                <w:szCs w:val="21"/>
              </w:rPr>
              <w:t>受托人（代理人）证件号码（身份证件号/营业执照号/统一社会信用代码）：</w:t>
            </w:r>
          </w:p>
        </w:tc>
      </w:tr>
      <w:tr w14:paraId="64579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3CC66067">
            <w:pPr>
              <w:adjustRightInd w:val="0"/>
              <w:snapToGrid w:val="0"/>
              <w:spacing w:line="360" w:lineRule="auto"/>
              <w:rPr>
                <w:rFonts w:ascii="宋体" w:hAnsi="宋体" w:cs="宋体"/>
                <w:szCs w:val="21"/>
              </w:rPr>
            </w:pPr>
          </w:p>
        </w:tc>
        <w:tc>
          <w:tcPr>
            <w:tcW w:w="3975" w:type="dxa"/>
            <w:gridSpan w:val="3"/>
            <w:tcBorders>
              <w:bottom w:val="nil"/>
            </w:tcBorders>
          </w:tcPr>
          <w:p w14:paraId="126DAF70">
            <w:pPr>
              <w:adjustRightInd w:val="0"/>
              <w:snapToGrid w:val="0"/>
              <w:spacing w:line="360" w:lineRule="auto"/>
              <w:ind w:left="807"/>
              <w:rPr>
                <w:rFonts w:ascii="宋体" w:hAnsi="宋体" w:cs="宋体"/>
                <w:szCs w:val="21"/>
              </w:rPr>
            </w:pPr>
          </w:p>
        </w:tc>
      </w:tr>
      <w:tr w14:paraId="6A96F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Pr>
          <w:p w14:paraId="19E1A2B6">
            <w:pPr>
              <w:adjustRightInd w:val="0"/>
              <w:snapToGrid w:val="0"/>
              <w:spacing w:line="360" w:lineRule="auto"/>
              <w:rPr>
                <w:rFonts w:ascii="宋体" w:hAnsi="宋体" w:cs="宋体"/>
                <w:szCs w:val="21"/>
              </w:rPr>
            </w:pPr>
            <w:r>
              <w:rPr>
                <w:rFonts w:hint="eastAsia" w:ascii="宋体" w:hAnsi="宋体" w:cs="宋体"/>
                <w:szCs w:val="21"/>
              </w:rPr>
              <w:t>审议事项</w:t>
            </w:r>
          </w:p>
        </w:tc>
        <w:tc>
          <w:tcPr>
            <w:tcW w:w="1260" w:type="dxa"/>
          </w:tcPr>
          <w:p w14:paraId="5AE74599">
            <w:pPr>
              <w:adjustRightInd w:val="0"/>
              <w:snapToGrid w:val="0"/>
              <w:spacing w:line="360" w:lineRule="auto"/>
              <w:ind w:firstLine="210" w:firstLineChars="100"/>
              <w:rPr>
                <w:rFonts w:ascii="宋体" w:hAnsi="宋体" w:cs="宋体"/>
                <w:szCs w:val="21"/>
              </w:rPr>
            </w:pPr>
            <w:r>
              <w:rPr>
                <w:rFonts w:hint="eastAsia" w:ascii="宋体" w:hAnsi="宋体" w:cs="宋体"/>
                <w:szCs w:val="21"/>
              </w:rPr>
              <w:t>同意</w:t>
            </w:r>
          </w:p>
        </w:tc>
        <w:tc>
          <w:tcPr>
            <w:tcW w:w="1260" w:type="dxa"/>
          </w:tcPr>
          <w:p w14:paraId="361F5262">
            <w:pPr>
              <w:adjustRightInd w:val="0"/>
              <w:snapToGrid w:val="0"/>
              <w:spacing w:line="360" w:lineRule="auto"/>
              <w:ind w:firstLine="210" w:firstLineChars="100"/>
              <w:rPr>
                <w:rFonts w:ascii="宋体" w:hAnsi="宋体" w:cs="宋体"/>
                <w:szCs w:val="21"/>
              </w:rPr>
            </w:pPr>
            <w:r>
              <w:rPr>
                <w:rFonts w:hint="eastAsia" w:ascii="宋体" w:hAnsi="宋体" w:cs="宋体"/>
                <w:szCs w:val="21"/>
              </w:rPr>
              <w:t>反对</w:t>
            </w:r>
          </w:p>
        </w:tc>
        <w:tc>
          <w:tcPr>
            <w:tcW w:w="1455" w:type="dxa"/>
          </w:tcPr>
          <w:p w14:paraId="75EC0CD9">
            <w:pPr>
              <w:adjustRightInd w:val="0"/>
              <w:snapToGrid w:val="0"/>
              <w:spacing w:line="360" w:lineRule="auto"/>
              <w:ind w:firstLine="210" w:firstLineChars="100"/>
              <w:rPr>
                <w:rFonts w:ascii="宋体" w:hAnsi="宋体" w:cs="宋体"/>
                <w:szCs w:val="21"/>
              </w:rPr>
            </w:pPr>
            <w:r>
              <w:rPr>
                <w:rFonts w:hint="eastAsia" w:ascii="宋体" w:hAnsi="宋体" w:cs="宋体"/>
                <w:szCs w:val="21"/>
              </w:rPr>
              <w:t>弃权</w:t>
            </w:r>
          </w:p>
        </w:tc>
      </w:tr>
      <w:tr w14:paraId="34A6C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4608" w:type="dxa"/>
          </w:tcPr>
          <w:p w14:paraId="1888D364">
            <w:pPr>
              <w:pStyle w:val="4"/>
              <w:adjustRightInd w:val="0"/>
              <w:snapToGrid w:val="0"/>
              <w:spacing w:line="360" w:lineRule="auto"/>
              <w:jc w:val="both"/>
              <w:rPr>
                <w:sz w:val="21"/>
                <w:szCs w:val="21"/>
              </w:rPr>
            </w:pPr>
            <w:r>
              <w:rPr>
                <w:rFonts w:hint="eastAsia"/>
                <w:b/>
                <w:bCs/>
                <w:color w:val="000000"/>
                <w:sz w:val="21"/>
                <w:szCs w:val="21"/>
              </w:rPr>
              <w:t>《关于博时中证</w:t>
            </w:r>
            <w:r>
              <w:rPr>
                <w:b/>
                <w:bCs/>
                <w:color w:val="000000"/>
                <w:sz w:val="21"/>
                <w:szCs w:val="21"/>
              </w:rPr>
              <w:t>A100交易型开放式指数证券投资基金联接基金持续运作的议案</w:t>
            </w:r>
            <w:r>
              <w:rPr>
                <w:rFonts w:hint="eastAsia"/>
                <w:b/>
                <w:bCs/>
                <w:color w:val="000000"/>
                <w:sz w:val="21"/>
                <w:szCs w:val="21"/>
              </w:rPr>
              <w:t>》</w:t>
            </w:r>
          </w:p>
        </w:tc>
        <w:tc>
          <w:tcPr>
            <w:tcW w:w="1260" w:type="dxa"/>
          </w:tcPr>
          <w:p w14:paraId="5011E9EC">
            <w:pPr>
              <w:adjustRightInd w:val="0"/>
              <w:snapToGrid w:val="0"/>
              <w:spacing w:line="360" w:lineRule="auto"/>
              <w:rPr>
                <w:rFonts w:ascii="宋体" w:hAnsi="宋体" w:cs="宋体"/>
                <w:szCs w:val="21"/>
              </w:rPr>
            </w:pPr>
          </w:p>
          <w:p w14:paraId="57AAD7F2">
            <w:pPr>
              <w:adjustRightInd w:val="0"/>
              <w:snapToGrid w:val="0"/>
              <w:spacing w:line="360" w:lineRule="auto"/>
              <w:rPr>
                <w:rFonts w:ascii="宋体" w:hAnsi="宋体" w:cs="宋体"/>
                <w:szCs w:val="21"/>
              </w:rPr>
            </w:pPr>
          </w:p>
        </w:tc>
        <w:tc>
          <w:tcPr>
            <w:tcW w:w="1260" w:type="dxa"/>
          </w:tcPr>
          <w:p w14:paraId="4A75A016">
            <w:pPr>
              <w:adjustRightInd w:val="0"/>
              <w:snapToGrid w:val="0"/>
              <w:spacing w:line="360" w:lineRule="auto"/>
              <w:rPr>
                <w:rFonts w:ascii="宋体" w:hAnsi="宋体" w:cs="宋体"/>
                <w:szCs w:val="21"/>
              </w:rPr>
            </w:pPr>
          </w:p>
          <w:p w14:paraId="5FFF449E">
            <w:pPr>
              <w:adjustRightInd w:val="0"/>
              <w:snapToGrid w:val="0"/>
              <w:spacing w:line="360" w:lineRule="auto"/>
              <w:rPr>
                <w:rFonts w:ascii="宋体" w:hAnsi="宋体" w:cs="宋体"/>
                <w:szCs w:val="21"/>
              </w:rPr>
            </w:pPr>
          </w:p>
        </w:tc>
        <w:tc>
          <w:tcPr>
            <w:tcW w:w="1455" w:type="dxa"/>
          </w:tcPr>
          <w:p w14:paraId="69B21531">
            <w:pPr>
              <w:adjustRightInd w:val="0"/>
              <w:snapToGrid w:val="0"/>
              <w:spacing w:line="360" w:lineRule="auto"/>
              <w:rPr>
                <w:rFonts w:ascii="宋体" w:hAnsi="宋体" w:cs="宋体"/>
                <w:szCs w:val="21"/>
              </w:rPr>
            </w:pPr>
          </w:p>
          <w:p w14:paraId="0530C30C">
            <w:pPr>
              <w:adjustRightInd w:val="0"/>
              <w:snapToGrid w:val="0"/>
              <w:spacing w:line="360" w:lineRule="auto"/>
              <w:rPr>
                <w:rFonts w:ascii="宋体" w:hAnsi="宋体" w:cs="宋体"/>
                <w:szCs w:val="21"/>
              </w:rPr>
            </w:pPr>
          </w:p>
        </w:tc>
      </w:tr>
      <w:tr w14:paraId="60239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8583" w:type="dxa"/>
            <w:gridSpan w:val="4"/>
            <w:tcBorders>
              <w:bottom w:val="single" w:color="auto" w:sz="4" w:space="0"/>
            </w:tcBorders>
          </w:tcPr>
          <w:p w14:paraId="322A202B">
            <w:pPr>
              <w:adjustRightInd w:val="0"/>
              <w:snapToGrid w:val="0"/>
              <w:spacing w:line="360" w:lineRule="auto"/>
              <w:rPr>
                <w:rFonts w:ascii="宋体" w:hAnsi="宋体" w:cs="宋体"/>
                <w:szCs w:val="21"/>
              </w:rPr>
            </w:pPr>
            <w:r>
              <w:rPr>
                <w:rFonts w:hint="eastAsia" w:ascii="宋体" w:hAnsi="宋体" w:cs="宋体"/>
                <w:szCs w:val="21"/>
              </w:rPr>
              <w:t>基金份额持有人/受托人（代理人）签名或盖章</w:t>
            </w:r>
          </w:p>
          <w:p w14:paraId="322354B3">
            <w:pPr>
              <w:adjustRightInd w:val="0"/>
              <w:snapToGrid w:val="0"/>
              <w:spacing w:line="360" w:lineRule="auto"/>
              <w:rPr>
                <w:rFonts w:ascii="宋体" w:hAnsi="宋体" w:cs="宋体"/>
                <w:szCs w:val="21"/>
              </w:rPr>
            </w:pPr>
          </w:p>
          <w:p w14:paraId="5427D3FB">
            <w:pPr>
              <w:adjustRightInd w:val="0"/>
              <w:snapToGrid w:val="0"/>
              <w:spacing w:line="360" w:lineRule="auto"/>
              <w:rPr>
                <w:rFonts w:ascii="宋体" w:hAnsi="宋体" w:cs="宋体"/>
                <w:szCs w:val="21"/>
              </w:rPr>
            </w:pPr>
          </w:p>
          <w:p w14:paraId="4F5DA213">
            <w:pPr>
              <w:adjustRightInd w:val="0"/>
              <w:snapToGrid w:val="0"/>
              <w:spacing w:line="360" w:lineRule="auto"/>
              <w:ind w:firstLine="4200" w:firstLineChars="2000"/>
              <w:jc w:val="right"/>
              <w:rPr>
                <w:rFonts w:ascii="宋体" w:hAnsi="宋体" w:cs="宋体"/>
                <w:szCs w:val="21"/>
              </w:rPr>
            </w:pPr>
            <w:r>
              <w:rPr>
                <w:rFonts w:hint="eastAsia" w:ascii="宋体" w:hAnsi="宋体" w:cs="宋体"/>
                <w:szCs w:val="21"/>
              </w:rPr>
              <w:t xml:space="preserve">  年  月  日</w:t>
            </w:r>
          </w:p>
        </w:tc>
      </w:tr>
      <w:tr w14:paraId="555DC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8583" w:type="dxa"/>
            <w:gridSpan w:val="4"/>
            <w:tcBorders>
              <w:bottom w:val="single" w:color="auto" w:sz="4" w:space="0"/>
            </w:tcBorders>
          </w:tcPr>
          <w:p w14:paraId="6E49D3EC">
            <w:pPr>
              <w:adjustRightInd w:val="0"/>
              <w:snapToGrid w:val="0"/>
              <w:spacing w:line="360" w:lineRule="auto"/>
              <w:rPr>
                <w:rFonts w:ascii="宋体" w:hAnsi="宋体" w:cs="宋体"/>
                <w:sz w:val="20"/>
                <w:szCs w:val="20"/>
              </w:rPr>
            </w:pPr>
            <w:r>
              <w:rPr>
                <w:rFonts w:hint="eastAsia" w:ascii="宋体" w:hAnsi="宋体" w:cs="宋体"/>
                <w:sz w:val="20"/>
                <w:szCs w:val="20"/>
              </w:rPr>
              <w:t>说明：</w:t>
            </w:r>
          </w:p>
          <w:p w14:paraId="383C905D">
            <w:pPr>
              <w:adjustRightInd w:val="0"/>
              <w:snapToGrid w:val="0"/>
              <w:spacing w:line="360" w:lineRule="auto"/>
              <w:ind w:firstLine="480"/>
              <w:rPr>
                <w:rFonts w:ascii="宋体" w:hAnsi="宋体" w:cs="宋体"/>
                <w:sz w:val="18"/>
                <w:szCs w:val="18"/>
              </w:rPr>
            </w:pPr>
            <w:r>
              <w:rPr>
                <w:rFonts w:hint="eastAsia" w:ascii="宋体" w:hAnsi="宋体" w:cs="宋体"/>
                <w:sz w:val="18"/>
                <w:szCs w:val="18"/>
              </w:rPr>
              <w:t>请以打“√”方式在审议事项后注明表决意见。持有人必须选择一种且只能选择一种表决意见。表决意见代表基金份额持有人所持全部基金份额的表决意见。</w:t>
            </w:r>
            <w:r>
              <w:rPr>
                <w:rStyle w:val="10"/>
                <w:rFonts w:hint="eastAsia" w:ascii="宋体" w:hAnsi="宋体" w:cs="宋体"/>
                <w:sz w:val="18"/>
                <w:szCs w:val="18"/>
              </w:rPr>
              <w:t>如表决票上的表决意见未选、多选或无法辨认、表决意见模糊不清或相互矛盾，但其他各项符合基金份额持有人大会公告规定的，视为弃权表决，计入有效表决票，并按“弃权”计入对应的表决结果，其所代表的基金份额计入参加本次基金份额持有人大会表决的基金份额总数</w:t>
            </w:r>
            <w:r>
              <w:rPr>
                <w:rFonts w:hint="eastAsia" w:ascii="宋体" w:hAnsi="宋体" w:cs="宋体"/>
                <w:sz w:val="18"/>
                <w:szCs w:val="18"/>
              </w:rPr>
              <w:t>。</w:t>
            </w:r>
          </w:p>
          <w:p w14:paraId="43A9B41F">
            <w:pPr>
              <w:adjustRightInd w:val="0"/>
              <w:snapToGrid w:val="0"/>
              <w:spacing w:line="360" w:lineRule="auto"/>
              <w:ind w:firstLine="480"/>
              <w:rPr>
                <w:rFonts w:ascii="宋体" w:hAnsi="宋体" w:cs="宋体"/>
                <w:sz w:val="18"/>
                <w:szCs w:val="18"/>
              </w:rPr>
            </w:pPr>
            <w:r>
              <w:rPr>
                <w:rFonts w:hint="eastAsia" w:ascii="宋体" w:hAnsi="宋体" w:cs="宋体"/>
                <w:sz w:val="18"/>
                <w:szCs w:val="18"/>
              </w:rPr>
              <w:t>“基金账户号”仅指持有本基金份额的基金账户号，同一基金份额持有人拥有多个此类账户且需要按照不同账户持有基金份额分别行使表决权的，应当填写基金账户号；其他情况可不必填写。此处空白、多填、错填、无法识别等情况的，将被默认为代表此基金份额持有人所持有的本基金所有份额。</w:t>
            </w:r>
          </w:p>
          <w:p w14:paraId="4A49185E">
            <w:pPr>
              <w:adjustRightInd w:val="0"/>
              <w:snapToGrid w:val="0"/>
              <w:spacing w:line="360" w:lineRule="auto"/>
              <w:ind w:firstLine="480"/>
              <w:rPr>
                <w:rFonts w:ascii="宋体" w:hAnsi="宋体" w:cs="宋体"/>
              </w:rPr>
            </w:pPr>
            <w:r>
              <w:rPr>
                <w:rFonts w:hint="eastAsia" w:ascii="宋体" w:hAnsi="宋体" w:cs="宋体"/>
                <w:b/>
                <w:sz w:val="18"/>
                <w:szCs w:val="18"/>
              </w:rPr>
              <w:t>如果本基金根据基金份额持有人大会公告“八、二次召集基金份额持有人大会及二次授权”章节的规定就相同审议事项重新召集基金份额持有人大会的，除有新的表决票，上述表决继续有效。</w:t>
            </w:r>
          </w:p>
        </w:tc>
      </w:tr>
    </w:tbl>
    <w:p w14:paraId="4DE09637">
      <w:pPr>
        <w:adjustRightInd w:val="0"/>
        <w:snapToGrid w:val="0"/>
        <w:spacing w:line="360" w:lineRule="auto"/>
        <w:ind w:firstLine="480"/>
        <w:rPr>
          <w:rFonts w:ascii="宋体" w:hAnsi="宋体" w:cs="宋体"/>
        </w:rPr>
      </w:pPr>
      <w:r>
        <w:rPr>
          <w:rFonts w:hint="eastAsia" w:ascii="宋体" w:hAnsi="宋体" w:cs="宋体"/>
          <w:sz w:val="18"/>
          <w:szCs w:val="18"/>
        </w:rPr>
        <w:t>（本表决票可剪报、复印或登录本基金管理人网站（https://www.bosera.com）下载并打印，在填写完整并签字或盖章后均为有效。）</w:t>
      </w:r>
      <w:r>
        <w:rPr>
          <w:rStyle w:val="10"/>
          <w:rFonts w:hint="eastAsia" w:ascii="宋体" w:hAnsi="宋体" w:cs="宋体"/>
        </w:rPr>
        <w:br w:type="page"/>
      </w:r>
      <w:r>
        <w:rPr>
          <w:rStyle w:val="10"/>
          <w:rFonts w:hint="eastAsia" w:ascii="宋体" w:hAnsi="宋体" w:cs="宋体"/>
          <w:szCs w:val="21"/>
        </w:rPr>
        <w:t xml:space="preserve">附件三： </w:t>
      </w:r>
    </w:p>
    <w:p w14:paraId="66ADB6E2">
      <w:pPr>
        <w:pStyle w:val="3"/>
        <w:adjustRightInd w:val="0"/>
        <w:snapToGrid w:val="0"/>
        <w:spacing w:line="360" w:lineRule="auto"/>
        <w:jc w:val="center"/>
        <w:rPr>
          <w:rFonts w:ascii="宋体" w:hAnsi="宋体" w:cs="宋体"/>
          <w:bCs/>
          <w:sz w:val="22"/>
        </w:rPr>
      </w:pPr>
      <w:r>
        <w:rPr>
          <w:rFonts w:hint="eastAsia" w:ascii="宋体" w:hAnsi="宋体" w:cs="宋体"/>
          <w:bCs/>
          <w:sz w:val="22"/>
        </w:rPr>
        <w:t>授权委托书</w:t>
      </w:r>
    </w:p>
    <w:p w14:paraId="677AADA8">
      <w:pPr>
        <w:adjustRightInd w:val="0"/>
        <w:snapToGrid w:val="0"/>
        <w:spacing w:line="360" w:lineRule="auto"/>
        <w:ind w:firstLine="480"/>
        <w:rPr>
          <w:rFonts w:ascii="宋体" w:hAnsi="宋体" w:cs="宋体"/>
        </w:rPr>
      </w:pPr>
    </w:p>
    <w:p w14:paraId="1FEA68B7">
      <w:pPr>
        <w:adjustRightInd w:val="0"/>
        <w:snapToGrid w:val="0"/>
        <w:spacing w:line="360" w:lineRule="auto"/>
        <w:ind w:left="-210" w:leftChars="-100" w:firstLine="420" w:firstLineChars="200"/>
        <w:rPr>
          <w:rFonts w:ascii="宋体" w:hAnsi="宋体" w:cs="宋体"/>
          <w:szCs w:val="21"/>
        </w:rPr>
      </w:pPr>
      <w:r>
        <w:rPr>
          <w:rFonts w:hint="eastAsia" w:ascii="宋体" w:hAnsi="宋体" w:cs="宋体"/>
          <w:szCs w:val="21"/>
        </w:rPr>
        <w:t>兹委托        代表本人（或本机构）参加投票截止日为    年  月  日的以通讯方式召开的</w:t>
      </w:r>
      <w:r>
        <w:rPr>
          <w:rFonts w:hint="eastAsia" w:ascii="宋体" w:hAnsi="宋体" w:cs="宋体"/>
          <w:color w:val="000000"/>
          <w:szCs w:val="21"/>
        </w:rPr>
        <w:t>博时中证</w:t>
      </w:r>
      <w:r>
        <w:rPr>
          <w:rFonts w:ascii="宋体" w:hAnsi="宋体" w:cs="宋体"/>
          <w:color w:val="000000"/>
          <w:szCs w:val="21"/>
        </w:rPr>
        <w:t>A100交易型开放式指数证券投资基金联接基金</w:t>
      </w:r>
      <w:r>
        <w:rPr>
          <w:rFonts w:hint="eastAsia" w:ascii="宋体" w:hAnsi="宋体" w:cs="宋体"/>
          <w:szCs w:val="21"/>
        </w:rPr>
        <w:t>基金份额持有人大会，并代为全权行使对所有议案的表决权。授权有效期自本授权委托书签署日起至本次基金份额持有人大会会议计票结束之日止。若</w:t>
      </w:r>
      <w:r>
        <w:rPr>
          <w:rFonts w:hint="eastAsia" w:ascii="宋体" w:hAnsi="宋体" w:cs="宋体"/>
          <w:color w:val="000000"/>
          <w:szCs w:val="21"/>
        </w:rPr>
        <w:t>博时中证</w:t>
      </w:r>
      <w:r>
        <w:rPr>
          <w:rFonts w:ascii="宋体" w:hAnsi="宋体" w:cs="宋体"/>
          <w:color w:val="000000"/>
          <w:szCs w:val="21"/>
        </w:rPr>
        <w:t>A100交易型开放式指数证券投资基金联接基金</w:t>
      </w:r>
      <w:r>
        <w:rPr>
          <w:rFonts w:hint="eastAsia" w:ascii="宋体" w:hAnsi="宋体" w:cs="宋体"/>
          <w:szCs w:val="21"/>
        </w:rPr>
        <w:t>二次召集审议相同议案的基金份额持有人大会的，除有新的授权外，本授权继续有效。</w:t>
      </w:r>
    </w:p>
    <w:p w14:paraId="461091C5">
      <w:pPr>
        <w:adjustRightInd w:val="0"/>
        <w:snapToGrid w:val="0"/>
        <w:spacing w:line="360" w:lineRule="auto"/>
        <w:ind w:firstLine="480"/>
        <w:rPr>
          <w:rFonts w:ascii="宋体" w:hAnsi="宋体" w:cs="宋体"/>
          <w:szCs w:val="21"/>
        </w:rPr>
      </w:pPr>
    </w:p>
    <w:p w14:paraId="34C34530">
      <w:pPr>
        <w:adjustRightInd w:val="0"/>
        <w:snapToGrid w:val="0"/>
        <w:spacing w:line="360" w:lineRule="auto"/>
        <w:ind w:firstLine="480"/>
        <w:rPr>
          <w:rFonts w:ascii="宋体" w:hAnsi="宋体" w:cs="宋体"/>
          <w:szCs w:val="21"/>
        </w:rPr>
      </w:pPr>
    </w:p>
    <w:p w14:paraId="7FF00F71">
      <w:pPr>
        <w:adjustRightInd w:val="0"/>
        <w:snapToGrid w:val="0"/>
        <w:spacing w:line="360" w:lineRule="auto"/>
        <w:rPr>
          <w:rFonts w:ascii="宋体" w:hAnsi="宋体" w:cs="宋体"/>
          <w:szCs w:val="21"/>
        </w:rPr>
      </w:pPr>
      <w:r>
        <w:rPr>
          <w:rFonts w:hint="eastAsia" w:ascii="宋体" w:hAnsi="宋体" w:cs="宋体"/>
          <w:szCs w:val="21"/>
        </w:rPr>
        <w:t xml:space="preserve">委托人（签字/盖章）： </w:t>
      </w:r>
      <w:r>
        <w:rPr>
          <w:rFonts w:hint="eastAsia" w:ascii="宋体" w:hAnsi="宋体" w:cs="宋体"/>
          <w:szCs w:val="21"/>
          <w:u w:val="single"/>
        </w:rPr>
        <w:t xml:space="preserve">　　　            　　　            </w:t>
      </w:r>
    </w:p>
    <w:p w14:paraId="4497039C">
      <w:pPr>
        <w:adjustRightInd w:val="0"/>
        <w:snapToGrid w:val="0"/>
        <w:spacing w:line="360" w:lineRule="auto"/>
        <w:rPr>
          <w:rFonts w:ascii="宋体" w:hAnsi="宋体" w:cs="宋体"/>
          <w:szCs w:val="21"/>
          <w:u w:val="single"/>
        </w:rPr>
      </w:pPr>
      <w:r>
        <w:rPr>
          <w:rFonts w:hint="eastAsia" w:ascii="宋体" w:hAnsi="宋体" w:cs="宋体"/>
          <w:szCs w:val="21"/>
        </w:rPr>
        <w:t>委托人身份证号或营业执照号/统一社会信用代码：</w:t>
      </w:r>
      <w:r>
        <w:rPr>
          <w:rFonts w:hint="eastAsia" w:ascii="宋体" w:hAnsi="宋体" w:cs="宋体"/>
          <w:szCs w:val="21"/>
          <w:u w:val="single"/>
        </w:rPr>
        <w:t xml:space="preserve">                        </w:t>
      </w:r>
    </w:p>
    <w:p w14:paraId="6E88EFCE">
      <w:pPr>
        <w:adjustRightInd w:val="0"/>
        <w:snapToGrid w:val="0"/>
        <w:spacing w:line="360" w:lineRule="auto"/>
        <w:rPr>
          <w:rFonts w:ascii="宋体" w:hAnsi="宋体" w:cs="宋体"/>
          <w:szCs w:val="21"/>
          <w:u w:val="single"/>
        </w:rPr>
      </w:pPr>
      <w:r>
        <w:rPr>
          <w:rFonts w:hint="eastAsia" w:ascii="宋体" w:hAnsi="宋体" w:cs="宋体"/>
          <w:szCs w:val="21"/>
        </w:rPr>
        <w:t>委托人基金账户号：</w:t>
      </w:r>
      <w:r>
        <w:rPr>
          <w:rFonts w:hint="eastAsia" w:ascii="宋体" w:hAnsi="宋体" w:cs="宋体"/>
          <w:szCs w:val="21"/>
          <w:u w:val="single"/>
        </w:rPr>
        <w:t xml:space="preserve">                                          </w:t>
      </w:r>
    </w:p>
    <w:p w14:paraId="7758E9AB">
      <w:pPr>
        <w:adjustRightInd w:val="0"/>
        <w:snapToGrid w:val="0"/>
        <w:spacing w:line="360" w:lineRule="auto"/>
        <w:rPr>
          <w:rFonts w:ascii="宋体" w:hAnsi="宋体" w:cs="宋体"/>
          <w:szCs w:val="21"/>
        </w:rPr>
      </w:pPr>
    </w:p>
    <w:p w14:paraId="46627097">
      <w:pPr>
        <w:adjustRightInd w:val="0"/>
        <w:snapToGrid w:val="0"/>
        <w:spacing w:line="360" w:lineRule="auto"/>
        <w:ind w:firstLine="5040"/>
        <w:rPr>
          <w:rFonts w:ascii="宋体" w:hAnsi="宋体" w:cs="宋体"/>
          <w:szCs w:val="21"/>
        </w:rPr>
      </w:pPr>
    </w:p>
    <w:p w14:paraId="1352326D">
      <w:pPr>
        <w:adjustRightInd w:val="0"/>
        <w:snapToGrid w:val="0"/>
        <w:spacing w:line="360" w:lineRule="auto"/>
        <w:rPr>
          <w:rFonts w:ascii="宋体" w:hAnsi="宋体" w:cs="宋体"/>
          <w:szCs w:val="21"/>
        </w:rPr>
      </w:pPr>
      <w:r>
        <w:rPr>
          <w:rFonts w:hint="eastAsia" w:ascii="宋体" w:hAnsi="宋体" w:cs="宋体"/>
          <w:szCs w:val="21"/>
        </w:rPr>
        <w:t>受托人（代理人）（签字/盖章）：</w:t>
      </w:r>
      <w:r>
        <w:rPr>
          <w:rFonts w:hint="eastAsia" w:ascii="宋体" w:hAnsi="宋体" w:cs="宋体"/>
          <w:szCs w:val="21"/>
          <w:u w:val="single"/>
        </w:rPr>
        <w:t xml:space="preserve">                                       </w:t>
      </w:r>
      <w:r>
        <w:rPr>
          <w:rFonts w:hint="eastAsia" w:ascii="宋体" w:hAnsi="宋体" w:cs="宋体"/>
          <w:szCs w:val="21"/>
        </w:rPr>
        <w:t xml:space="preserve"> </w:t>
      </w:r>
    </w:p>
    <w:p w14:paraId="59F131FB">
      <w:pPr>
        <w:adjustRightInd w:val="0"/>
        <w:snapToGrid w:val="0"/>
        <w:spacing w:line="360" w:lineRule="auto"/>
        <w:rPr>
          <w:rFonts w:ascii="宋体" w:hAnsi="宋体" w:cs="宋体"/>
          <w:szCs w:val="21"/>
          <w:u w:val="single"/>
        </w:rPr>
      </w:pPr>
      <w:r>
        <w:rPr>
          <w:rFonts w:hint="eastAsia" w:ascii="宋体" w:hAnsi="宋体" w:cs="宋体"/>
          <w:szCs w:val="21"/>
        </w:rPr>
        <w:t>受托人（代理人）身份证号或营业执照号/统一社会信用代码：</w:t>
      </w:r>
      <w:r>
        <w:rPr>
          <w:rFonts w:hint="eastAsia" w:ascii="宋体" w:hAnsi="宋体" w:cs="宋体"/>
          <w:szCs w:val="21"/>
          <w:u w:val="single"/>
        </w:rPr>
        <w:t xml:space="preserve">                                    </w:t>
      </w:r>
    </w:p>
    <w:p w14:paraId="751B7B3B">
      <w:pPr>
        <w:adjustRightInd w:val="0"/>
        <w:snapToGrid w:val="0"/>
        <w:spacing w:line="360" w:lineRule="auto"/>
        <w:ind w:firstLine="5040"/>
        <w:rPr>
          <w:rFonts w:ascii="宋体" w:hAnsi="宋体" w:cs="宋体"/>
          <w:szCs w:val="21"/>
        </w:rPr>
      </w:pPr>
    </w:p>
    <w:p w14:paraId="7632E1FC">
      <w:pPr>
        <w:adjustRightInd w:val="0"/>
        <w:snapToGrid w:val="0"/>
        <w:spacing w:line="360" w:lineRule="auto"/>
        <w:jc w:val="center"/>
        <w:rPr>
          <w:rFonts w:ascii="宋体" w:hAnsi="宋体" w:cs="宋体"/>
          <w:szCs w:val="21"/>
        </w:rPr>
      </w:pPr>
      <w:r>
        <w:rPr>
          <w:rFonts w:hint="eastAsia" w:ascii="宋体" w:hAnsi="宋体" w:cs="宋体"/>
          <w:szCs w:val="21"/>
        </w:rPr>
        <w:t xml:space="preserve">                          </w:t>
      </w:r>
    </w:p>
    <w:p w14:paraId="70D41AA1">
      <w:pPr>
        <w:adjustRightInd w:val="0"/>
        <w:snapToGrid w:val="0"/>
        <w:spacing w:line="360" w:lineRule="auto"/>
        <w:jc w:val="center"/>
        <w:rPr>
          <w:rFonts w:ascii="宋体" w:hAnsi="宋体" w:cs="宋体"/>
          <w:szCs w:val="21"/>
        </w:rPr>
      </w:pPr>
    </w:p>
    <w:p w14:paraId="284FF7B0">
      <w:pPr>
        <w:adjustRightInd w:val="0"/>
        <w:snapToGrid w:val="0"/>
        <w:spacing w:line="360" w:lineRule="auto"/>
        <w:jc w:val="center"/>
        <w:rPr>
          <w:rFonts w:ascii="宋体" w:hAnsi="宋体" w:cs="宋体"/>
          <w:szCs w:val="21"/>
        </w:rPr>
      </w:pPr>
      <w:r>
        <w:rPr>
          <w:rFonts w:hint="eastAsia" w:ascii="宋体" w:hAnsi="宋体" w:cs="宋体"/>
          <w:szCs w:val="21"/>
        </w:rPr>
        <w:t xml:space="preserve"> 委托日期：　　年　　　月　　日</w:t>
      </w:r>
    </w:p>
    <w:p w14:paraId="062024B0">
      <w:pPr>
        <w:adjustRightInd w:val="0"/>
        <w:snapToGrid w:val="0"/>
        <w:spacing w:line="360" w:lineRule="auto"/>
        <w:rPr>
          <w:rFonts w:ascii="宋体" w:hAnsi="宋体" w:cs="宋体"/>
          <w:szCs w:val="21"/>
        </w:rPr>
      </w:pPr>
    </w:p>
    <w:p w14:paraId="24C3C68C">
      <w:pPr>
        <w:adjustRightInd w:val="0"/>
        <w:snapToGrid w:val="0"/>
        <w:spacing w:line="360" w:lineRule="auto"/>
        <w:rPr>
          <w:rFonts w:ascii="宋体" w:hAnsi="宋体" w:cs="宋体"/>
          <w:szCs w:val="21"/>
        </w:rPr>
      </w:pPr>
    </w:p>
    <w:p w14:paraId="646A9C1B">
      <w:pPr>
        <w:adjustRightInd w:val="0"/>
        <w:snapToGrid w:val="0"/>
        <w:spacing w:line="360" w:lineRule="auto"/>
        <w:rPr>
          <w:rFonts w:ascii="宋体" w:hAnsi="宋体" w:cs="宋体"/>
          <w:szCs w:val="21"/>
        </w:rPr>
      </w:pPr>
      <w:r>
        <w:rPr>
          <w:rFonts w:hint="eastAsia" w:ascii="宋体" w:hAnsi="宋体" w:cs="宋体"/>
          <w:szCs w:val="21"/>
        </w:rPr>
        <w:t>附注：</w:t>
      </w:r>
    </w:p>
    <w:p w14:paraId="216CBD6A">
      <w:pPr>
        <w:adjustRightInd w:val="0"/>
        <w:snapToGrid w:val="0"/>
        <w:spacing w:line="360" w:lineRule="auto"/>
        <w:rPr>
          <w:rFonts w:ascii="宋体" w:hAnsi="宋体" w:cs="宋体"/>
          <w:szCs w:val="21"/>
        </w:rPr>
      </w:pPr>
      <w:r>
        <w:rPr>
          <w:rFonts w:hint="eastAsia" w:ascii="宋体" w:hAnsi="宋体" w:cs="宋体"/>
          <w:szCs w:val="21"/>
        </w:rPr>
        <w:t>1、此授权委托书可剪报、复印或按以上格式自制，在填写完整并签字盖章后均为有效。</w:t>
      </w:r>
    </w:p>
    <w:p w14:paraId="39144FEB">
      <w:pPr>
        <w:adjustRightInd w:val="0"/>
        <w:snapToGrid w:val="0"/>
        <w:spacing w:line="360" w:lineRule="auto"/>
        <w:rPr>
          <w:rFonts w:ascii="宋体" w:hAnsi="宋体" w:cs="宋体"/>
          <w:szCs w:val="21"/>
        </w:rPr>
      </w:pPr>
      <w:r>
        <w:rPr>
          <w:rFonts w:hint="eastAsia" w:ascii="宋体" w:hAnsi="宋体" w:cs="宋体"/>
          <w:szCs w:val="21"/>
        </w:rPr>
        <w:t>2、“基金账户号”，仅指持有本基金份额的基金账户号，同一基金份额持有人拥有多个此类账户且需要按照不同账户持有基金份额分别授权的，应当填写基金账户号；其他情况可不必填写。此处空白、多填、错填、无法识别等情况的，将被默认为代表此基金份额持有人所持有的本基金所有份额。</w:t>
      </w:r>
    </w:p>
    <w:p w14:paraId="5B07E681">
      <w:pPr>
        <w:adjustRightInd w:val="0"/>
        <w:snapToGrid w:val="0"/>
        <w:spacing w:line="360" w:lineRule="auto"/>
        <w:rPr>
          <w:rFonts w:ascii="宋体" w:hAnsi="宋体" w:cs="宋体"/>
          <w:szCs w:val="21"/>
        </w:rPr>
      </w:pPr>
      <w:r>
        <w:rPr>
          <w:rFonts w:hint="eastAsia" w:ascii="宋体" w:hAnsi="宋体" w:cs="宋体"/>
          <w:szCs w:val="21"/>
        </w:rPr>
        <w:t>3、受托人（代理人）的表决意见代表委托人本基金账户下全部基金份额的表决意见。</w:t>
      </w:r>
    </w:p>
    <w:p w14:paraId="06146336">
      <w:pPr>
        <w:rPr>
          <w:rFonts w:ascii="宋体" w:hAnsi="宋体" w:cs="宋体"/>
          <w:color w:val="000000"/>
          <w:szCs w:val="21"/>
        </w:rPr>
      </w:pPr>
    </w:p>
    <w:p w14:paraId="48B68177">
      <w:pPr>
        <w:pStyle w:val="4"/>
        <w:spacing w:before="0" w:beforeAutospacing="0" w:after="0" w:afterAutospacing="0" w:line="360" w:lineRule="auto"/>
        <w:ind w:firstLine="420"/>
        <w:jc w:val="right"/>
        <w:rPr>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3A2"/>
    <w:rsid w:val="000B23A2"/>
    <w:rsid w:val="00646A28"/>
    <w:rsid w:val="EBB467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9"/>
    <w:qFormat/>
    <w:uiPriority w:val="0"/>
    <w:rPr>
      <w:rFonts w:ascii="Times New Roman" w:hAnsi="Times New Roman" w:eastAsia="宋体" w:cs="Times New Roman"/>
      <w:b/>
      <w:kern w:val="0"/>
      <w:sz w:val="28"/>
      <w:szCs w:val="20"/>
      <w:lang w:val="zh-CN"/>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 w:type="character" w:customStyle="1" w:styleId="9">
    <w:name w:val="正文文本 Char"/>
    <w:basedOn w:val="6"/>
    <w:link w:val="3"/>
    <w:qFormat/>
    <w:uiPriority w:val="0"/>
    <w:rPr>
      <w:rFonts w:ascii="Times New Roman" w:hAnsi="Times New Roman" w:eastAsia="宋体" w:cs="Times New Roman"/>
      <w:b/>
      <w:kern w:val="0"/>
      <w:sz w:val="28"/>
      <w:szCs w:val="20"/>
      <w:lang w:val="zh-CN"/>
    </w:rPr>
  </w:style>
  <w:style w:type="character" w:customStyle="1" w:styleId="10">
    <w:name w:val="da"/>
    <w:basedOn w:val="6"/>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11</Pages>
  <Words>1258</Words>
  <Characters>7175</Characters>
  <Lines>59</Lines>
  <Paragraphs>16</Paragraphs>
  <TotalTime>0</TotalTime>
  <ScaleCrop>false</ScaleCrop>
  <LinksUpToDate>false</LinksUpToDate>
  <CharactersWithSpaces>8417</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2026-10-20T11:35:00Z</dcterms:created>
  <dc:creator>BSKMadminDev</dc:creator>
  <cp:lastModifiedBy>chenjy814</cp:lastModifiedBy>
  <dcterms:modified xsi:type="dcterms:W3CDTF">2026-10-20T11:42:43Z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106094C9617975B533E3D66A99191BF9_42</vt:lpwstr>
  </property>
</Properties>
</file>