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7C6077"/>
    <w:p w14:paraId="05800387">
      <w:pPr>
        <w:jc w:val="center"/>
        <w:rPr>
          <w:rFonts w:hint="eastAsia" w:ascii="宋体" w:hAnsi="宋体" w:eastAsia="宋体"/>
          <w:b/>
          <w:sz w:val="28"/>
        </w:rPr>
      </w:pPr>
      <w:r>
        <w:rPr>
          <w:rFonts w:hint="eastAsia" w:ascii="宋体" w:hAnsi="宋体" w:eastAsia="宋体"/>
          <w:b/>
          <w:sz w:val="28"/>
        </w:rPr>
        <w:t>博时基金管理有限公司关于博时招商蛇口产业园封闭式基础设施证券投资基金收益分配的公告</w:t>
      </w:r>
    </w:p>
    <w:p w14:paraId="7F1E0641">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2026年9月15日</w:t>
      </w:r>
    </w:p>
    <w:p w14:paraId="21F63282">
      <w:pPr>
        <w:jc w:val="center"/>
        <w:rPr>
          <w:rFonts w:ascii="宋体" w:hAnsi="宋体" w:eastAsia="宋体"/>
          <w:b/>
          <w:sz w:val="24"/>
        </w:rPr>
      </w:pPr>
    </w:p>
    <w:p w14:paraId="075A4068">
      <w:pPr>
        <w:pStyle w:val="2"/>
        <w:rPr>
          <w:rFonts w:ascii="宋体" w:hAnsi="宋体" w:eastAsia="宋体"/>
          <w:sz w:val="21"/>
        </w:rPr>
      </w:pPr>
      <w:r>
        <w:rPr>
          <w:rFonts w:ascii="宋体" w:hAnsi="宋体" w:eastAsia="宋体"/>
          <w:sz w:val="21"/>
        </w:rPr>
        <w:t>1 公募REITs基本信息</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20529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133414F">
            <w:pPr>
              <w:rPr>
                <w:rFonts w:ascii="宋体" w:hAnsi="宋体" w:eastAsia="宋体"/>
              </w:rPr>
            </w:pPr>
            <w:r>
              <w:rPr>
                <w:rFonts w:hint="eastAsia" w:ascii="宋体" w:hAnsi="宋体" w:eastAsia="宋体"/>
              </w:rPr>
              <w:t>公募</w:t>
            </w:r>
            <w:r>
              <w:rPr>
                <w:rFonts w:ascii="宋体" w:hAnsi="宋体" w:eastAsia="宋体"/>
              </w:rPr>
              <w:t>REITs名称</w:t>
            </w:r>
          </w:p>
        </w:tc>
        <w:tc>
          <w:tcPr>
            <w:tcW w:w="5682" w:type="dxa"/>
            <w:gridSpan w:val="2"/>
            <w:vAlign w:val="center"/>
          </w:tcPr>
          <w:p w14:paraId="70266C51">
            <w:pPr>
              <w:rPr>
                <w:rFonts w:ascii="宋体" w:hAnsi="宋体" w:eastAsia="宋体"/>
              </w:rPr>
            </w:pPr>
            <w:r>
              <w:rPr>
                <w:rFonts w:hint="eastAsia" w:ascii="宋体" w:hAnsi="宋体" w:eastAsia="宋体"/>
              </w:rPr>
              <w:t>博时招商蛇口产业园封闭式基础设施证券投资基金</w:t>
            </w:r>
          </w:p>
        </w:tc>
      </w:tr>
      <w:tr w14:paraId="7F544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4427DC95">
            <w:pPr>
              <w:rPr>
                <w:rFonts w:ascii="宋体" w:hAnsi="宋体" w:eastAsia="宋体"/>
              </w:rPr>
            </w:pPr>
            <w:r>
              <w:rPr>
                <w:rFonts w:hint="eastAsia" w:ascii="宋体" w:hAnsi="宋体" w:eastAsia="宋体"/>
              </w:rPr>
              <w:t>公募</w:t>
            </w:r>
            <w:r>
              <w:rPr>
                <w:rFonts w:ascii="宋体" w:hAnsi="宋体" w:eastAsia="宋体"/>
              </w:rPr>
              <w:t>REITs简称</w:t>
            </w:r>
          </w:p>
        </w:tc>
        <w:tc>
          <w:tcPr>
            <w:tcW w:w="5682" w:type="dxa"/>
            <w:gridSpan w:val="2"/>
            <w:vAlign w:val="center"/>
          </w:tcPr>
          <w:p w14:paraId="5493CCD3">
            <w:pPr>
              <w:rPr>
                <w:rFonts w:ascii="宋体" w:hAnsi="宋体" w:eastAsia="宋体"/>
              </w:rPr>
            </w:pPr>
            <w:r>
              <w:rPr>
                <w:rFonts w:hint="eastAsia" w:ascii="宋体" w:hAnsi="宋体" w:eastAsia="宋体"/>
              </w:rPr>
              <w:t>博时招商蛇口产业园</w:t>
            </w:r>
            <w:r>
              <w:rPr>
                <w:rFonts w:ascii="宋体" w:hAnsi="宋体" w:eastAsia="宋体"/>
              </w:rPr>
              <w:t>REIT</w:t>
            </w:r>
          </w:p>
        </w:tc>
      </w:tr>
      <w:tr w14:paraId="6B6A8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573E2F7">
            <w:pPr>
              <w:rPr>
                <w:rFonts w:ascii="宋体" w:hAnsi="宋体" w:eastAsia="宋体"/>
              </w:rPr>
            </w:pPr>
            <w:r>
              <w:rPr>
                <w:rFonts w:hint="eastAsia" w:ascii="宋体" w:hAnsi="宋体" w:eastAsia="宋体"/>
              </w:rPr>
              <w:t>公募</w:t>
            </w:r>
            <w:r>
              <w:rPr>
                <w:rFonts w:ascii="宋体" w:hAnsi="宋体" w:eastAsia="宋体"/>
              </w:rPr>
              <w:t>REITs代码</w:t>
            </w:r>
          </w:p>
        </w:tc>
        <w:tc>
          <w:tcPr>
            <w:tcW w:w="5682" w:type="dxa"/>
            <w:gridSpan w:val="2"/>
            <w:vAlign w:val="center"/>
          </w:tcPr>
          <w:p w14:paraId="64EAA5AF">
            <w:pPr>
              <w:rPr>
                <w:rFonts w:ascii="宋体" w:hAnsi="宋体" w:eastAsia="宋体"/>
              </w:rPr>
            </w:pPr>
            <w:r>
              <w:rPr>
                <w:rFonts w:ascii="宋体" w:hAnsi="宋体" w:eastAsia="宋体"/>
              </w:rPr>
              <w:t>180101</w:t>
            </w:r>
          </w:p>
        </w:tc>
      </w:tr>
      <w:tr w14:paraId="55250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0ED01AE">
            <w:pPr>
              <w:rPr>
                <w:rFonts w:ascii="宋体" w:hAnsi="宋体" w:eastAsia="宋体"/>
              </w:rPr>
            </w:pPr>
            <w:r>
              <w:rPr>
                <w:rFonts w:hint="eastAsia" w:ascii="宋体" w:hAnsi="宋体" w:eastAsia="宋体"/>
              </w:rPr>
              <w:t>公募</w:t>
            </w:r>
            <w:r>
              <w:rPr>
                <w:rFonts w:ascii="宋体" w:hAnsi="宋体" w:eastAsia="宋体"/>
              </w:rPr>
              <w:t>REITs合同生效日</w:t>
            </w:r>
          </w:p>
        </w:tc>
        <w:tc>
          <w:tcPr>
            <w:tcW w:w="5682" w:type="dxa"/>
            <w:gridSpan w:val="2"/>
            <w:vAlign w:val="center"/>
          </w:tcPr>
          <w:p w14:paraId="63D5314C">
            <w:pPr>
              <w:rPr>
                <w:rFonts w:ascii="宋体" w:hAnsi="宋体" w:eastAsia="宋体"/>
              </w:rPr>
            </w:pPr>
            <w:r>
              <w:rPr>
                <w:rFonts w:ascii="宋体" w:hAnsi="宋体" w:eastAsia="宋体"/>
              </w:rPr>
              <w:t>2021年6月7日</w:t>
            </w:r>
          </w:p>
        </w:tc>
      </w:tr>
      <w:tr w14:paraId="6FA5C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3954EB9">
            <w:pPr>
              <w:rPr>
                <w:rFonts w:ascii="宋体" w:hAnsi="宋体" w:eastAsia="宋体"/>
              </w:rPr>
            </w:pPr>
            <w:r>
              <w:rPr>
                <w:rFonts w:hint="eastAsia" w:ascii="宋体" w:hAnsi="宋体" w:eastAsia="宋体"/>
              </w:rPr>
              <w:t>基金管理人名称</w:t>
            </w:r>
          </w:p>
        </w:tc>
        <w:tc>
          <w:tcPr>
            <w:tcW w:w="5682" w:type="dxa"/>
            <w:gridSpan w:val="2"/>
            <w:vAlign w:val="center"/>
          </w:tcPr>
          <w:p w14:paraId="7DDD6543">
            <w:pPr>
              <w:rPr>
                <w:rFonts w:ascii="宋体" w:hAnsi="宋体" w:eastAsia="宋体"/>
              </w:rPr>
            </w:pPr>
            <w:r>
              <w:rPr>
                <w:rFonts w:hint="eastAsia" w:ascii="宋体" w:hAnsi="宋体" w:eastAsia="宋体"/>
              </w:rPr>
              <w:t>博时基金管理有限公司</w:t>
            </w:r>
          </w:p>
        </w:tc>
      </w:tr>
      <w:tr w14:paraId="49C7E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E14A396">
            <w:pPr>
              <w:rPr>
                <w:rFonts w:ascii="宋体" w:hAnsi="宋体" w:eastAsia="宋体"/>
              </w:rPr>
            </w:pPr>
            <w:r>
              <w:rPr>
                <w:rFonts w:hint="eastAsia" w:ascii="宋体" w:hAnsi="宋体" w:eastAsia="宋体"/>
              </w:rPr>
              <w:t>基金托管人名称</w:t>
            </w:r>
          </w:p>
        </w:tc>
        <w:tc>
          <w:tcPr>
            <w:tcW w:w="5682" w:type="dxa"/>
            <w:gridSpan w:val="2"/>
            <w:vAlign w:val="center"/>
          </w:tcPr>
          <w:p w14:paraId="2A53A369">
            <w:pPr>
              <w:rPr>
                <w:rFonts w:ascii="宋体" w:hAnsi="宋体" w:eastAsia="宋体"/>
              </w:rPr>
            </w:pPr>
            <w:r>
              <w:rPr>
                <w:rFonts w:hint="eastAsia" w:ascii="宋体" w:hAnsi="宋体" w:eastAsia="宋体"/>
              </w:rPr>
              <w:t>招商银行股份有限公司</w:t>
            </w:r>
          </w:p>
        </w:tc>
      </w:tr>
      <w:tr w14:paraId="69209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32D7BB8">
            <w:pPr>
              <w:rPr>
                <w:rFonts w:ascii="宋体" w:hAnsi="宋体" w:eastAsia="宋体"/>
              </w:rPr>
            </w:pPr>
            <w:r>
              <w:rPr>
                <w:rFonts w:hint="eastAsia" w:ascii="宋体" w:hAnsi="宋体" w:eastAsia="宋体"/>
              </w:rPr>
              <w:t>公告依据</w:t>
            </w:r>
          </w:p>
        </w:tc>
        <w:tc>
          <w:tcPr>
            <w:tcW w:w="5682" w:type="dxa"/>
            <w:gridSpan w:val="2"/>
            <w:vAlign w:val="center"/>
          </w:tcPr>
          <w:p w14:paraId="6877D027">
            <w:pPr>
              <w:rPr>
                <w:rFonts w:ascii="宋体" w:hAnsi="宋体" w:eastAsia="宋体"/>
              </w:rPr>
            </w:pPr>
            <w:r>
              <w:rPr>
                <w:rFonts w:hint="eastAsia" w:ascii="宋体" w:hAnsi="宋体" w:eastAsia="宋体"/>
              </w:rPr>
              <w:t>《中华人民共和国证券投资基金法》、《公开募集证券投资基金运作管理办法》、《公开募集基础设施证券投资基金指引（试行）》、《博时招商蛇口产业园封闭式基础设施证券投资基金基金合同》、《博时招商蛇口产业园封闭式基础设施证券投资基金招募说明书》、《博时招商蛇口产业园封闭式基础设施证券投资基金</w:t>
            </w:r>
            <w:r>
              <w:rPr>
                <w:rFonts w:ascii="宋体" w:hAnsi="宋体" w:eastAsia="宋体"/>
              </w:rPr>
              <w:t>2023年度扩募并新购入基础设施项目招募说明书》等</w:t>
            </w:r>
          </w:p>
        </w:tc>
      </w:tr>
      <w:tr w14:paraId="4E45E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49881A78">
            <w:pPr>
              <w:rPr>
                <w:rFonts w:ascii="宋体" w:hAnsi="宋体" w:eastAsia="宋体"/>
              </w:rPr>
            </w:pPr>
            <w:r>
              <w:rPr>
                <w:rFonts w:hint="eastAsia" w:ascii="宋体" w:hAnsi="宋体" w:eastAsia="宋体"/>
              </w:rPr>
              <w:t>收益分配基准日</w:t>
            </w:r>
          </w:p>
        </w:tc>
        <w:tc>
          <w:tcPr>
            <w:tcW w:w="5682" w:type="dxa"/>
            <w:gridSpan w:val="2"/>
            <w:vAlign w:val="center"/>
          </w:tcPr>
          <w:p w14:paraId="35711B7E">
            <w:pPr>
              <w:rPr>
                <w:rFonts w:ascii="宋体" w:hAnsi="宋体" w:eastAsia="宋体"/>
              </w:rPr>
            </w:pPr>
            <w:r>
              <w:rPr>
                <w:rFonts w:ascii="宋体" w:hAnsi="宋体" w:eastAsia="宋体"/>
              </w:rPr>
              <w:t>2026年6月30日</w:t>
            </w:r>
          </w:p>
        </w:tc>
      </w:tr>
      <w:tr w14:paraId="2CE32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restart"/>
            <w:vAlign w:val="center"/>
          </w:tcPr>
          <w:p w14:paraId="2668353B">
            <w:pPr>
              <w:rPr>
                <w:rFonts w:ascii="宋体" w:hAnsi="宋体" w:eastAsia="宋体"/>
              </w:rPr>
            </w:pPr>
            <w:r>
              <w:rPr>
                <w:rFonts w:hint="eastAsia" w:ascii="宋体" w:hAnsi="宋体" w:eastAsia="宋体"/>
              </w:rPr>
              <w:t>截止收益分配基准日的相关指标</w:t>
            </w:r>
          </w:p>
        </w:tc>
        <w:tc>
          <w:tcPr>
            <w:tcW w:w="2841" w:type="dxa"/>
            <w:vAlign w:val="center"/>
          </w:tcPr>
          <w:p w14:paraId="2306D3CE">
            <w:pPr>
              <w:rPr>
                <w:rFonts w:ascii="宋体" w:hAnsi="宋体" w:eastAsia="宋体"/>
              </w:rPr>
            </w:pPr>
            <w:r>
              <w:rPr>
                <w:rFonts w:hint="eastAsia" w:ascii="宋体" w:hAnsi="宋体" w:eastAsia="宋体"/>
              </w:rPr>
              <w:t>基准日公募</w:t>
            </w:r>
            <w:r>
              <w:rPr>
                <w:rFonts w:ascii="宋体" w:hAnsi="宋体" w:eastAsia="宋体"/>
              </w:rPr>
              <w:t>REITs份额净值（单位：元）</w:t>
            </w:r>
          </w:p>
        </w:tc>
        <w:tc>
          <w:tcPr>
            <w:tcW w:w="2841" w:type="dxa"/>
            <w:vAlign w:val="center"/>
          </w:tcPr>
          <w:p w14:paraId="2DE479DA">
            <w:pPr>
              <w:rPr>
                <w:rFonts w:ascii="宋体" w:hAnsi="宋体" w:eastAsia="宋体"/>
              </w:rPr>
            </w:pPr>
            <w:r>
              <w:rPr>
                <w:rFonts w:ascii="宋体" w:hAnsi="宋体" w:eastAsia="宋体"/>
              </w:rPr>
              <w:t>2.1141</w:t>
            </w:r>
          </w:p>
        </w:tc>
      </w:tr>
      <w:tr w14:paraId="6A8FA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vAlign w:val="center"/>
          </w:tcPr>
          <w:p w14:paraId="20A9A27D"/>
        </w:tc>
        <w:tc>
          <w:tcPr>
            <w:tcW w:w="2841" w:type="dxa"/>
            <w:vAlign w:val="center"/>
          </w:tcPr>
          <w:p w14:paraId="698E91F0">
            <w:pPr>
              <w:rPr>
                <w:rFonts w:ascii="宋体" w:hAnsi="宋体" w:eastAsia="宋体"/>
              </w:rPr>
            </w:pPr>
            <w:r>
              <w:rPr>
                <w:rFonts w:hint="eastAsia" w:ascii="宋体" w:hAnsi="宋体" w:eastAsia="宋体"/>
              </w:rPr>
              <w:t>基准日公募</w:t>
            </w:r>
            <w:r>
              <w:rPr>
                <w:rFonts w:ascii="宋体" w:hAnsi="宋体" w:eastAsia="宋体"/>
              </w:rPr>
              <w:t>REITs可供分配金额（单位：元）</w:t>
            </w:r>
          </w:p>
        </w:tc>
        <w:tc>
          <w:tcPr>
            <w:tcW w:w="2841" w:type="dxa"/>
            <w:vAlign w:val="center"/>
          </w:tcPr>
          <w:p w14:paraId="3BEA0990">
            <w:pPr>
              <w:rPr>
                <w:rFonts w:ascii="宋体" w:hAnsi="宋体" w:eastAsia="宋体"/>
              </w:rPr>
            </w:pPr>
            <w:r>
              <w:rPr>
                <w:rFonts w:ascii="宋体" w:hAnsi="宋体" w:eastAsia="宋体"/>
              </w:rPr>
              <w:t>51,519,742.36</w:t>
            </w:r>
          </w:p>
        </w:tc>
      </w:tr>
      <w:tr w14:paraId="0F8E0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vAlign w:val="center"/>
          </w:tcPr>
          <w:p w14:paraId="00C375D9"/>
        </w:tc>
        <w:tc>
          <w:tcPr>
            <w:tcW w:w="2841" w:type="dxa"/>
            <w:vAlign w:val="center"/>
          </w:tcPr>
          <w:p w14:paraId="63144393">
            <w:pPr>
              <w:rPr>
                <w:rFonts w:ascii="宋体" w:hAnsi="宋体" w:eastAsia="宋体"/>
                <w:highlight w:val="none"/>
              </w:rPr>
            </w:pPr>
            <w:r>
              <w:rPr>
                <w:rFonts w:hint="eastAsia" w:ascii="宋体" w:hAnsi="宋体" w:eastAsia="宋体"/>
                <w:highlight w:val="none"/>
              </w:rPr>
              <w:t>本次分红比例</w:t>
            </w:r>
          </w:p>
        </w:tc>
        <w:tc>
          <w:tcPr>
            <w:tcW w:w="2841" w:type="dxa"/>
            <w:vAlign w:val="center"/>
          </w:tcPr>
          <w:p w14:paraId="41B136BC">
            <w:pPr>
              <w:rPr>
                <w:rFonts w:hint="default" w:ascii="宋体" w:hAnsi="宋体" w:eastAsia="宋体"/>
                <w:highlight w:val="none"/>
                <w:lang w:val="en-US" w:eastAsia="zh-CN"/>
              </w:rPr>
            </w:pPr>
            <w:r>
              <w:rPr>
                <w:rFonts w:hint="eastAsia" w:ascii="宋体" w:hAnsi="宋体" w:eastAsia="宋体"/>
                <w:highlight w:val="none"/>
                <w:lang w:val="en-US" w:eastAsia="zh-CN"/>
              </w:rPr>
              <w:t>99.85%</w:t>
            </w:r>
          </w:p>
        </w:tc>
      </w:tr>
      <w:tr w14:paraId="30898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vAlign w:val="center"/>
          </w:tcPr>
          <w:p w14:paraId="7C21CA71"/>
        </w:tc>
        <w:tc>
          <w:tcPr>
            <w:tcW w:w="2841" w:type="dxa"/>
            <w:vAlign w:val="center"/>
          </w:tcPr>
          <w:p w14:paraId="49A1F87B">
            <w:pPr>
              <w:rPr>
                <w:rFonts w:ascii="宋体" w:hAnsi="宋体" w:eastAsia="宋体"/>
              </w:rPr>
            </w:pPr>
            <w:r>
              <w:rPr>
                <w:rFonts w:hint="eastAsia" w:ascii="宋体" w:hAnsi="宋体" w:eastAsia="宋体"/>
              </w:rPr>
              <w:t>截止基准日公募</w:t>
            </w:r>
            <w:r>
              <w:rPr>
                <w:rFonts w:ascii="宋体" w:hAnsi="宋体" w:eastAsia="宋体"/>
              </w:rPr>
              <w:t>REITs按照本次分红比例计算的应分配金额（单位：元）</w:t>
            </w:r>
          </w:p>
        </w:tc>
        <w:tc>
          <w:tcPr>
            <w:tcW w:w="2841" w:type="dxa"/>
            <w:vAlign w:val="center"/>
          </w:tcPr>
          <w:p w14:paraId="72AD54CB">
            <w:pPr>
              <w:rPr>
                <w:rFonts w:hint="eastAsia" w:ascii="宋体" w:hAnsi="宋体" w:eastAsia="宋体"/>
                <w:lang w:val="en-US" w:eastAsia="zh-CN"/>
              </w:rPr>
            </w:pPr>
            <w:r>
              <w:rPr>
                <w:rFonts w:hint="eastAsia" w:ascii="宋体" w:hAnsi="宋体" w:eastAsia="宋体"/>
                <w:lang w:val="en-US" w:eastAsia="zh-CN"/>
              </w:rPr>
              <w:t>51</w:t>
            </w:r>
            <w:r>
              <w:rPr>
                <w:rFonts w:ascii="宋体" w:hAnsi="宋体" w:eastAsia="宋体"/>
              </w:rPr>
              <w:t>,</w:t>
            </w:r>
            <w:r>
              <w:rPr>
                <w:rFonts w:hint="eastAsia" w:ascii="宋体" w:hAnsi="宋体" w:eastAsia="宋体"/>
                <w:lang w:val="en-US" w:eastAsia="zh-CN"/>
              </w:rPr>
              <w:t>444</w:t>
            </w:r>
            <w:r>
              <w:rPr>
                <w:rFonts w:ascii="宋体" w:hAnsi="宋体" w:eastAsia="宋体"/>
              </w:rPr>
              <w:t>,</w:t>
            </w:r>
            <w:r>
              <w:rPr>
                <w:rFonts w:hint="eastAsia" w:ascii="宋体" w:hAnsi="宋体" w:eastAsia="宋体"/>
                <w:lang w:val="en-US" w:eastAsia="zh-CN"/>
              </w:rPr>
              <w:t>937</w:t>
            </w:r>
            <w:r>
              <w:rPr>
                <w:rFonts w:ascii="宋体" w:hAnsi="宋体" w:eastAsia="宋体"/>
              </w:rPr>
              <w:t>.3</w:t>
            </w:r>
            <w:r>
              <w:rPr>
                <w:rFonts w:hint="eastAsia" w:ascii="宋体" w:hAnsi="宋体" w:eastAsia="宋体"/>
                <w:lang w:val="en-US" w:eastAsia="zh-CN"/>
              </w:rPr>
              <w:t>5</w:t>
            </w:r>
          </w:p>
        </w:tc>
      </w:tr>
      <w:tr w14:paraId="0563C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1F09905">
            <w:pPr>
              <w:rPr>
                <w:rFonts w:ascii="宋体" w:hAnsi="宋体" w:eastAsia="宋体"/>
              </w:rPr>
            </w:pPr>
            <w:r>
              <w:rPr>
                <w:rFonts w:hint="eastAsia" w:ascii="宋体" w:hAnsi="宋体" w:eastAsia="宋体"/>
              </w:rPr>
              <w:t>本次分红方案（单位：元</w:t>
            </w:r>
            <w:r>
              <w:rPr>
                <w:rFonts w:ascii="宋体" w:hAnsi="宋体" w:eastAsia="宋体"/>
              </w:rPr>
              <w:t>/10份基金份额）</w:t>
            </w:r>
          </w:p>
        </w:tc>
        <w:tc>
          <w:tcPr>
            <w:tcW w:w="5682" w:type="dxa"/>
            <w:gridSpan w:val="2"/>
            <w:vAlign w:val="center"/>
          </w:tcPr>
          <w:p w14:paraId="14A6D960">
            <w:pPr>
              <w:rPr>
                <w:rFonts w:ascii="宋体" w:hAnsi="宋体" w:eastAsia="宋体"/>
              </w:rPr>
            </w:pPr>
            <w:r>
              <w:rPr>
                <w:rFonts w:ascii="宋体" w:hAnsi="宋体" w:eastAsia="宋体"/>
              </w:rPr>
              <w:t>0.3620</w:t>
            </w:r>
          </w:p>
        </w:tc>
      </w:tr>
      <w:tr w14:paraId="46F3B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6CB38B5">
            <w:pPr>
              <w:rPr>
                <w:rFonts w:ascii="宋体" w:hAnsi="宋体" w:eastAsia="宋体"/>
              </w:rPr>
            </w:pPr>
            <w:r>
              <w:rPr>
                <w:rFonts w:hint="eastAsia" w:ascii="宋体" w:hAnsi="宋体" w:eastAsia="宋体"/>
              </w:rPr>
              <w:t>有关年度分红次数的说明</w:t>
            </w:r>
          </w:p>
        </w:tc>
        <w:tc>
          <w:tcPr>
            <w:tcW w:w="5682" w:type="dxa"/>
            <w:gridSpan w:val="2"/>
            <w:vAlign w:val="center"/>
          </w:tcPr>
          <w:p w14:paraId="4A020FBC">
            <w:pPr>
              <w:rPr>
                <w:rFonts w:ascii="宋体" w:hAnsi="宋体" w:eastAsia="宋体"/>
              </w:rPr>
            </w:pPr>
            <w:r>
              <w:rPr>
                <w:rFonts w:hint="eastAsia" w:ascii="宋体" w:hAnsi="宋体" w:eastAsia="宋体"/>
              </w:rPr>
              <w:t>本次分红为</w:t>
            </w:r>
            <w:r>
              <w:rPr>
                <w:rFonts w:ascii="宋体" w:hAnsi="宋体" w:eastAsia="宋体"/>
              </w:rPr>
              <w:t>2026年度的第1次分红</w:t>
            </w:r>
          </w:p>
        </w:tc>
      </w:tr>
    </w:tbl>
    <w:p w14:paraId="44C9BED7">
      <w:pPr>
        <w:pStyle w:val="3"/>
        <w:ind w:firstLine="0"/>
        <w:rPr>
          <w:rFonts w:hint="eastAsia" w:eastAsiaTheme="minorEastAsia"/>
          <w:sz w:val="24"/>
          <w:szCs w:val="24"/>
          <w:lang w:eastAsia="zh-CN"/>
        </w:rPr>
      </w:pPr>
      <w:r>
        <w:rPr>
          <w:rFonts w:hint="eastAsia"/>
          <w:sz w:val="21"/>
        </w:rPr>
        <w:t>注：</w:t>
      </w:r>
      <w:r>
        <w:rPr>
          <w:rFonts w:hint="eastAsia"/>
          <w:sz w:val="21"/>
          <w:szCs w:val="21"/>
        </w:rPr>
        <w:t>（1）本基金每10份基金份额发放红利0.3620元人民币。 </w:t>
      </w:r>
    </w:p>
    <w:p w14:paraId="1BE4FE20">
      <w:pPr>
        <w:pStyle w:val="3"/>
        <w:ind w:firstLine="420"/>
        <w:rPr>
          <w:rFonts w:hint="eastAsia"/>
          <w:sz w:val="24"/>
          <w:szCs w:val="24"/>
        </w:rPr>
      </w:pPr>
      <w:r>
        <w:rPr>
          <w:rFonts w:hint="eastAsia"/>
          <w:sz w:val="21"/>
          <w:szCs w:val="21"/>
        </w:rPr>
        <w:t> （2）本基金的场内简称为博时蛇口产园REIT。 </w:t>
      </w:r>
    </w:p>
    <w:p w14:paraId="0C0FCA5E">
      <w:pPr>
        <w:pStyle w:val="3"/>
        <w:spacing w:before="0" w:beforeAutospacing="0" w:after="0" w:afterAutospacing="0" w:line="240" w:lineRule="auto"/>
        <w:ind w:firstLine="420"/>
        <w:rPr>
          <w:rFonts w:hint="eastAsia"/>
          <w:sz w:val="21"/>
          <w:szCs w:val="21"/>
        </w:rPr>
      </w:pPr>
      <w:r>
        <w:rPr>
          <w:rFonts w:hint="eastAsia"/>
          <w:sz w:val="21"/>
          <w:szCs w:val="21"/>
        </w:rPr>
        <w:t> （3）本次收益分配方案已经基金托管人复核。 </w:t>
      </w:r>
      <w:bookmarkStart w:id="0" w:name="_GoBack"/>
      <w:bookmarkEnd w:id="0"/>
    </w:p>
    <w:p w14:paraId="77E5396C">
      <w:pPr>
        <w:pStyle w:val="2"/>
        <w:rPr>
          <w:rFonts w:ascii="宋体" w:hAnsi="宋体" w:eastAsia="宋体"/>
          <w:sz w:val="21"/>
        </w:rPr>
      </w:pPr>
      <w:r>
        <w:rPr>
          <w:rFonts w:ascii="宋体" w:hAnsi="宋体" w:eastAsia="宋体"/>
          <w:sz w:val="21"/>
        </w:rPr>
        <w:t>2 与分红相关的其他信息</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37230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62260A8">
            <w:pPr>
              <w:rPr>
                <w:rFonts w:ascii="宋体" w:hAnsi="宋体" w:eastAsia="宋体"/>
              </w:rPr>
            </w:pPr>
            <w:r>
              <w:rPr>
                <w:rFonts w:hint="eastAsia" w:ascii="宋体" w:hAnsi="宋体" w:eastAsia="宋体"/>
              </w:rPr>
              <w:t>权益登记日</w:t>
            </w:r>
          </w:p>
        </w:tc>
        <w:tc>
          <w:tcPr>
            <w:tcW w:w="5682" w:type="dxa"/>
            <w:gridSpan w:val="2"/>
            <w:vAlign w:val="center"/>
          </w:tcPr>
          <w:p w14:paraId="07314AB5">
            <w:pPr>
              <w:rPr>
                <w:rFonts w:ascii="宋体" w:hAnsi="宋体" w:eastAsia="宋体"/>
              </w:rPr>
            </w:pPr>
            <w:r>
              <w:rPr>
                <w:rFonts w:ascii="宋体" w:hAnsi="宋体" w:eastAsia="宋体"/>
              </w:rPr>
              <w:t>2026年9月17日</w:t>
            </w:r>
          </w:p>
        </w:tc>
      </w:tr>
      <w:tr w14:paraId="63B31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0EB1B0B">
            <w:pPr>
              <w:rPr>
                <w:rFonts w:ascii="宋体" w:hAnsi="宋体" w:eastAsia="宋体"/>
              </w:rPr>
            </w:pPr>
            <w:r>
              <w:rPr>
                <w:rFonts w:hint="eastAsia" w:ascii="宋体" w:hAnsi="宋体" w:eastAsia="宋体"/>
              </w:rPr>
              <w:t>除息日</w:t>
            </w:r>
          </w:p>
        </w:tc>
        <w:tc>
          <w:tcPr>
            <w:tcW w:w="2841" w:type="dxa"/>
            <w:vAlign w:val="center"/>
          </w:tcPr>
          <w:p w14:paraId="60611B1E">
            <w:pPr>
              <w:rPr>
                <w:rFonts w:ascii="宋体" w:hAnsi="宋体" w:eastAsia="宋体"/>
              </w:rPr>
            </w:pPr>
            <w:r>
              <w:rPr>
                <w:rFonts w:ascii="宋体" w:hAnsi="宋体" w:eastAsia="宋体"/>
              </w:rPr>
              <w:t>2026年9月18日（场内）</w:t>
            </w:r>
          </w:p>
        </w:tc>
        <w:tc>
          <w:tcPr>
            <w:tcW w:w="2841" w:type="dxa"/>
            <w:vAlign w:val="center"/>
          </w:tcPr>
          <w:p w14:paraId="085DBF4E">
            <w:pPr>
              <w:rPr>
                <w:rFonts w:ascii="宋体" w:hAnsi="宋体" w:eastAsia="宋体"/>
              </w:rPr>
            </w:pPr>
            <w:r>
              <w:rPr>
                <w:rFonts w:ascii="宋体" w:hAnsi="宋体" w:eastAsia="宋体"/>
              </w:rPr>
              <w:t>2026年9月17日（场外）</w:t>
            </w:r>
          </w:p>
        </w:tc>
      </w:tr>
      <w:tr w14:paraId="47924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1106C0D">
            <w:pPr>
              <w:rPr>
                <w:rFonts w:ascii="宋体" w:hAnsi="宋体" w:eastAsia="宋体"/>
              </w:rPr>
            </w:pPr>
            <w:r>
              <w:rPr>
                <w:rFonts w:hint="eastAsia" w:ascii="宋体" w:hAnsi="宋体" w:eastAsia="宋体"/>
              </w:rPr>
              <w:t>现金红利发放日</w:t>
            </w:r>
          </w:p>
        </w:tc>
        <w:tc>
          <w:tcPr>
            <w:tcW w:w="2841" w:type="dxa"/>
            <w:vAlign w:val="center"/>
          </w:tcPr>
          <w:p w14:paraId="044D6EE7">
            <w:pPr>
              <w:rPr>
                <w:rFonts w:ascii="宋体" w:hAnsi="宋体" w:eastAsia="宋体"/>
              </w:rPr>
            </w:pPr>
            <w:r>
              <w:rPr>
                <w:rFonts w:ascii="宋体" w:hAnsi="宋体" w:eastAsia="宋体"/>
              </w:rPr>
              <w:t>2026年9月22日（场内）</w:t>
            </w:r>
          </w:p>
        </w:tc>
        <w:tc>
          <w:tcPr>
            <w:tcW w:w="2841" w:type="dxa"/>
            <w:vAlign w:val="center"/>
          </w:tcPr>
          <w:p w14:paraId="702A2E01">
            <w:pPr>
              <w:rPr>
                <w:rFonts w:ascii="宋体" w:hAnsi="宋体" w:eastAsia="宋体"/>
              </w:rPr>
            </w:pPr>
            <w:r>
              <w:rPr>
                <w:rFonts w:ascii="宋体" w:hAnsi="宋体" w:eastAsia="宋体"/>
              </w:rPr>
              <w:t>2026年9月21日（场外）</w:t>
            </w:r>
          </w:p>
        </w:tc>
      </w:tr>
      <w:tr w14:paraId="18703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3C66BB4">
            <w:pPr>
              <w:rPr>
                <w:rFonts w:ascii="宋体" w:hAnsi="宋体" w:eastAsia="宋体"/>
              </w:rPr>
            </w:pPr>
            <w:r>
              <w:rPr>
                <w:rFonts w:hint="eastAsia" w:ascii="宋体" w:hAnsi="宋体" w:eastAsia="宋体"/>
              </w:rPr>
              <w:t>分红对象</w:t>
            </w:r>
          </w:p>
        </w:tc>
        <w:tc>
          <w:tcPr>
            <w:tcW w:w="5682" w:type="dxa"/>
            <w:gridSpan w:val="2"/>
            <w:vAlign w:val="center"/>
          </w:tcPr>
          <w:p w14:paraId="74FD3975">
            <w:pPr>
              <w:rPr>
                <w:rFonts w:ascii="宋体" w:hAnsi="宋体" w:eastAsia="宋体"/>
              </w:rPr>
            </w:pPr>
            <w:r>
              <w:rPr>
                <w:rFonts w:hint="eastAsia" w:ascii="宋体" w:hAnsi="宋体" w:eastAsia="宋体"/>
              </w:rPr>
              <w:t>权益登记日登记在册的本基金份额持有人</w:t>
            </w:r>
          </w:p>
        </w:tc>
      </w:tr>
      <w:tr w14:paraId="2C7B8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9E96741">
            <w:pPr>
              <w:rPr>
                <w:rFonts w:ascii="宋体" w:hAnsi="宋体" w:eastAsia="宋体"/>
              </w:rPr>
            </w:pPr>
            <w:r>
              <w:rPr>
                <w:rFonts w:hint="eastAsia" w:ascii="宋体" w:hAnsi="宋体" w:eastAsia="宋体"/>
              </w:rPr>
              <w:t>红利再投资相关事项的说明</w:t>
            </w:r>
          </w:p>
        </w:tc>
        <w:tc>
          <w:tcPr>
            <w:tcW w:w="5682" w:type="dxa"/>
            <w:gridSpan w:val="2"/>
            <w:vAlign w:val="center"/>
          </w:tcPr>
          <w:p w14:paraId="0F7C97F5">
            <w:pPr>
              <w:rPr>
                <w:rFonts w:ascii="宋体" w:hAnsi="宋体" w:eastAsia="宋体"/>
              </w:rPr>
            </w:pPr>
            <w:r>
              <w:rPr>
                <w:rFonts w:hint="eastAsia" w:ascii="宋体" w:hAnsi="宋体" w:eastAsia="宋体"/>
              </w:rPr>
              <w:t>本基金收益分配采取现金分红方式，不支持红利再投资。</w:t>
            </w:r>
          </w:p>
        </w:tc>
      </w:tr>
      <w:tr w14:paraId="1AC83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0B4321F">
            <w:pPr>
              <w:rPr>
                <w:rFonts w:ascii="宋体" w:hAnsi="宋体" w:eastAsia="宋体"/>
              </w:rPr>
            </w:pPr>
            <w:r>
              <w:rPr>
                <w:rFonts w:hint="eastAsia" w:ascii="宋体" w:hAnsi="宋体" w:eastAsia="宋体"/>
              </w:rPr>
              <w:t>税收相关事项的说明</w:t>
            </w:r>
          </w:p>
        </w:tc>
        <w:tc>
          <w:tcPr>
            <w:tcW w:w="5682" w:type="dxa"/>
            <w:gridSpan w:val="2"/>
            <w:vAlign w:val="center"/>
          </w:tcPr>
          <w:p w14:paraId="1C187227">
            <w:pPr>
              <w:rPr>
                <w:rFonts w:ascii="宋体" w:hAnsi="宋体" w:eastAsia="宋体"/>
              </w:rPr>
            </w:pPr>
            <w:r>
              <w:rPr>
                <w:rFonts w:hint="eastAsia" w:ascii="宋体" w:hAnsi="宋体" w:eastAsia="宋体"/>
              </w:rPr>
              <w:t>根据财政部、国家税务总局的财税</w:t>
            </w:r>
            <w:r>
              <w:rPr>
                <w:rFonts w:ascii="宋体" w:hAnsi="宋体" w:eastAsia="宋体"/>
              </w:rPr>
              <w:t>[2002]128号《财政部 国家税务总局关于开放式证券投资基金有关税收问题的通知》及财税[2008]1号《关于企业所得税若干优惠政策的通知》的规定，基金向投资者分配的基金利润，暂免征收所得税。</w:t>
            </w:r>
          </w:p>
        </w:tc>
      </w:tr>
      <w:tr w14:paraId="73FD7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018532B">
            <w:pPr>
              <w:rPr>
                <w:rFonts w:ascii="宋体" w:hAnsi="宋体" w:eastAsia="宋体"/>
              </w:rPr>
            </w:pPr>
            <w:r>
              <w:rPr>
                <w:rFonts w:hint="eastAsia" w:ascii="宋体" w:hAnsi="宋体" w:eastAsia="宋体"/>
              </w:rPr>
              <w:t>费用相关事项的说明</w:t>
            </w:r>
          </w:p>
        </w:tc>
        <w:tc>
          <w:tcPr>
            <w:tcW w:w="5682" w:type="dxa"/>
            <w:gridSpan w:val="2"/>
            <w:vAlign w:val="center"/>
          </w:tcPr>
          <w:p w14:paraId="47F1E86A">
            <w:pPr>
              <w:rPr>
                <w:rFonts w:ascii="宋体" w:hAnsi="宋体" w:eastAsia="宋体"/>
              </w:rPr>
            </w:pPr>
            <w:r>
              <w:rPr>
                <w:rFonts w:hint="eastAsia" w:ascii="宋体" w:hAnsi="宋体" w:eastAsia="宋体"/>
              </w:rPr>
              <w:t>本基金本次分红免收分红手续费。</w:t>
            </w:r>
          </w:p>
        </w:tc>
      </w:tr>
    </w:tbl>
    <w:p w14:paraId="68B6D2D5"/>
    <w:p w14:paraId="12E77267">
      <w:pPr>
        <w:pStyle w:val="2"/>
        <w:rPr>
          <w:rFonts w:hint="eastAsia" w:ascii="宋体" w:hAnsi="宋体" w:eastAsia="宋体"/>
          <w:sz w:val="21"/>
        </w:rPr>
      </w:pPr>
      <w:r>
        <w:rPr>
          <w:rFonts w:hint="eastAsia" w:ascii="宋体" w:hAnsi="宋体" w:eastAsia="宋体"/>
          <w:sz w:val="21"/>
        </w:rPr>
        <w:t>3 其他需要提示的事项</w:t>
      </w:r>
    </w:p>
    <w:p w14:paraId="60BBCE7D">
      <w:pPr>
        <w:pStyle w:val="3"/>
        <w:spacing w:before="0" w:beforeAutospacing="0" w:after="0" w:afterAutospacing="0" w:line="360" w:lineRule="auto"/>
        <w:ind w:firstLine="420"/>
        <w:rPr>
          <w:sz w:val="21"/>
          <w:szCs w:val="21"/>
        </w:rPr>
      </w:pPr>
      <w:r>
        <w:rPr>
          <w:rFonts w:hint="eastAsia"/>
          <w:sz w:val="21"/>
          <w:szCs w:val="21"/>
        </w:rPr>
        <w:t>（1）权益分派期间（2026年9月15日至2026年9月17日）暂停跨系统转</w:t>
      </w:r>
      <w:r>
        <w:rPr>
          <w:rFonts w:hint="eastAsia"/>
          <w:sz w:val="21"/>
          <w:szCs w:val="21"/>
          <w:lang w:val="en-US" w:eastAsia="zh-CN"/>
        </w:rPr>
        <w:t>登记</w:t>
      </w:r>
      <w:r>
        <w:rPr>
          <w:rFonts w:hint="eastAsia"/>
          <w:sz w:val="21"/>
          <w:szCs w:val="21"/>
        </w:rPr>
        <w:t xml:space="preserve">业务。 </w:t>
      </w:r>
    </w:p>
    <w:p w14:paraId="59A5D313">
      <w:pPr>
        <w:pStyle w:val="3"/>
        <w:spacing w:before="0" w:beforeAutospacing="0" w:after="0" w:afterAutospacing="0" w:line="360" w:lineRule="auto"/>
        <w:ind w:firstLine="420"/>
        <w:rPr>
          <w:rFonts w:hint="eastAsia"/>
          <w:sz w:val="21"/>
          <w:szCs w:val="21"/>
        </w:rPr>
      </w:pPr>
      <w:r>
        <w:rPr>
          <w:rFonts w:hint="eastAsia"/>
          <w:sz w:val="21"/>
          <w:szCs w:val="21"/>
        </w:rPr>
        <w:t xml:space="preserve">（2）根据《深圳证券交易所证券投资基金上市规则》，博时招商蛇口产业园封闭式基础设施证券投资基金于本收益分配公告披露当日上午开市起停牌一小时，上午十点三十分复牌。同时，根据《深圳证券交易所证券基金业务指引第3号——基金通平台份额转让》，本基金于本收益分配公告披露当日上午开市起暂停基金通平台份额转让业务一小时，上午十点三十分起恢复基金通平台份额转让业务。 </w:t>
      </w:r>
    </w:p>
    <w:p w14:paraId="62AE8216">
      <w:pPr>
        <w:pStyle w:val="3"/>
        <w:spacing w:before="0" w:beforeAutospacing="0" w:after="0" w:afterAutospacing="0" w:line="360" w:lineRule="auto"/>
        <w:ind w:firstLine="420"/>
        <w:rPr>
          <w:rFonts w:hint="eastAsia"/>
          <w:sz w:val="21"/>
          <w:szCs w:val="21"/>
        </w:rPr>
      </w:pPr>
      <w:r>
        <w:rPr>
          <w:rFonts w:hint="eastAsia"/>
          <w:sz w:val="21"/>
          <w:szCs w:val="21"/>
        </w:rPr>
        <w:t xml:space="preserve">（3）权益登记日当天买入的基金份额享有本次分红权益，权益登记日当天卖出的基金份额不享有本次分红权益。 </w:t>
      </w:r>
    </w:p>
    <w:p w14:paraId="288C54EA">
      <w:pPr>
        <w:pStyle w:val="3"/>
        <w:spacing w:before="0" w:beforeAutospacing="0" w:after="0" w:afterAutospacing="0" w:line="360" w:lineRule="auto"/>
        <w:ind w:firstLine="420"/>
        <w:rPr>
          <w:rFonts w:hint="eastAsia"/>
          <w:sz w:val="21"/>
          <w:szCs w:val="21"/>
        </w:rPr>
      </w:pPr>
      <w:r>
        <w:rPr>
          <w:rFonts w:hint="eastAsia"/>
          <w:sz w:val="21"/>
          <w:szCs w:val="21"/>
        </w:rPr>
        <w:t xml:space="preserve">（4）本基金收益分配采取现金分红方式。 </w:t>
      </w:r>
    </w:p>
    <w:p w14:paraId="68CAB8C9">
      <w:pPr>
        <w:pStyle w:val="3"/>
        <w:spacing w:before="0" w:beforeAutospacing="0" w:after="0" w:afterAutospacing="0" w:line="360" w:lineRule="auto"/>
        <w:ind w:firstLine="420"/>
        <w:rPr>
          <w:rFonts w:hint="eastAsia"/>
          <w:sz w:val="21"/>
          <w:szCs w:val="21"/>
        </w:rPr>
      </w:pPr>
      <w:r>
        <w:rPr>
          <w:rFonts w:hint="eastAsia"/>
          <w:sz w:val="21"/>
          <w:szCs w:val="21"/>
        </w:rPr>
        <w:t xml:space="preserve">（5）基金可供分配金额是在合并净利润基础上进行合理调整后的金额，可包括合并净利润和超出合并净利润的其他返还。 </w:t>
      </w:r>
    </w:p>
    <w:p w14:paraId="41A7AA4B">
      <w:pPr>
        <w:pStyle w:val="3"/>
        <w:spacing w:before="0" w:beforeAutospacing="0" w:after="0" w:afterAutospacing="0" w:line="360" w:lineRule="auto"/>
        <w:ind w:firstLine="420"/>
        <w:rPr>
          <w:rFonts w:hint="eastAsia"/>
          <w:sz w:val="21"/>
          <w:szCs w:val="21"/>
        </w:rPr>
      </w:pPr>
      <w:r>
        <w:rPr>
          <w:rFonts w:hint="eastAsia"/>
          <w:sz w:val="21"/>
          <w:szCs w:val="21"/>
        </w:rPr>
        <w:t xml:space="preserve">基金管理人在计算年度可供分配金额过程中，将合并净利润调整为息税折旧及摊销前利润（EBITDA），并在此基础上进行了以下项目的调整：本基金发行份额募集的资金、购买基础设施项目的支出、应收和应付项目的变动、支付的利息及所得税费用、未来合理的相关支出预留、期初现金余额等。 </w:t>
      </w:r>
    </w:p>
    <w:p w14:paraId="0C99A043">
      <w:pPr>
        <w:pStyle w:val="3"/>
        <w:spacing w:before="0" w:beforeAutospacing="0" w:after="0" w:afterAutospacing="0" w:line="360" w:lineRule="auto"/>
        <w:ind w:firstLine="420"/>
        <w:rPr>
          <w:rFonts w:hint="eastAsia"/>
          <w:sz w:val="21"/>
          <w:szCs w:val="21"/>
          <w:highlight w:val="none"/>
        </w:rPr>
      </w:pPr>
      <w:r>
        <w:rPr>
          <w:rFonts w:hint="eastAsia"/>
          <w:sz w:val="21"/>
          <w:szCs w:val="21"/>
          <w:highlight w:val="none"/>
        </w:rPr>
        <w:t>经上述项目调整后，本基金自</w:t>
      </w:r>
      <w:r>
        <w:rPr>
          <w:rFonts w:hint="eastAsia"/>
          <w:sz w:val="21"/>
          <w:szCs w:val="21"/>
          <w:highlight w:val="none"/>
          <w:lang w:eastAsia="zh-CN"/>
        </w:rPr>
        <w:t>2</w:t>
      </w:r>
      <w:r>
        <w:rPr>
          <w:rFonts w:hint="eastAsia"/>
          <w:sz w:val="21"/>
          <w:szCs w:val="21"/>
          <w:highlight w:val="none"/>
          <w:lang w:val="en-US" w:eastAsia="zh-CN"/>
        </w:rPr>
        <w:t>026</w:t>
      </w:r>
      <w:r>
        <w:rPr>
          <w:rFonts w:hint="eastAsia"/>
          <w:sz w:val="21"/>
          <w:szCs w:val="21"/>
          <w:highlight w:val="none"/>
        </w:rPr>
        <w:t>年</w:t>
      </w:r>
      <w:r>
        <w:rPr>
          <w:rFonts w:hint="eastAsia"/>
          <w:sz w:val="21"/>
          <w:szCs w:val="21"/>
          <w:highlight w:val="none"/>
          <w:lang w:eastAsia="zh-CN"/>
        </w:rPr>
        <w:t>1</w:t>
      </w:r>
      <w:r>
        <w:rPr>
          <w:rFonts w:hint="eastAsia"/>
          <w:sz w:val="21"/>
          <w:szCs w:val="21"/>
          <w:highlight w:val="none"/>
        </w:rPr>
        <w:t>月</w:t>
      </w:r>
      <w:r>
        <w:rPr>
          <w:rFonts w:hint="eastAsia"/>
          <w:sz w:val="21"/>
          <w:szCs w:val="21"/>
          <w:highlight w:val="none"/>
          <w:lang w:eastAsia="zh-CN"/>
        </w:rPr>
        <w:t>1</w:t>
      </w:r>
      <w:r>
        <w:rPr>
          <w:rFonts w:hint="eastAsia"/>
          <w:sz w:val="21"/>
          <w:szCs w:val="21"/>
          <w:highlight w:val="none"/>
        </w:rPr>
        <w:t>日至收益分配基准日</w:t>
      </w:r>
      <w:r>
        <w:rPr>
          <w:rFonts w:hint="eastAsia" w:ascii="宋体" w:hAnsi="宋体" w:eastAsia="宋体"/>
          <w:sz w:val="21"/>
          <w:szCs w:val="21"/>
          <w:highlight w:val="none"/>
        </w:rPr>
        <w:t>2026年6月30日</w:t>
      </w:r>
      <w:r>
        <w:rPr>
          <w:rFonts w:hint="eastAsia"/>
          <w:sz w:val="21"/>
          <w:szCs w:val="21"/>
          <w:highlight w:val="none"/>
        </w:rPr>
        <w:t>期间的可供分配金额为人民币</w:t>
      </w:r>
      <w:r>
        <w:rPr>
          <w:rFonts w:ascii="宋体" w:hAnsi="宋体" w:eastAsia="宋体"/>
          <w:sz w:val="21"/>
          <w:szCs w:val="21"/>
          <w:highlight w:val="none"/>
        </w:rPr>
        <w:t>51,519,742.36</w:t>
      </w:r>
      <w:r>
        <w:rPr>
          <w:rFonts w:hint="eastAsia"/>
          <w:sz w:val="21"/>
          <w:szCs w:val="21"/>
          <w:highlight w:val="none"/>
        </w:rPr>
        <w:t>元，本次拟分红金额为</w:t>
      </w:r>
      <w:r>
        <w:rPr>
          <w:rFonts w:hint="eastAsia" w:ascii="宋体" w:hAnsi="宋体" w:eastAsia="宋体"/>
          <w:sz w:val="21"/>
          <w:szCs w:val="21"/>
          <w:highlight w:val="none"/>
          <w:lang w:val="en-US" w:eastAsia="zh-CN"/>
        </w:rPr>
        <w:t>51</w:t>
      </w:r>
      <w:r>
        <w:rPr>
          <w:rFonts w:ascii="宋体" w:hAnsi="宋体" w:eastAsia="宋体"/>
          <w:sz w:val="21"/>
          <w:szCs w:val="21"/>
          <w:highlight w:val="none"/>
        </w:rPr>
        <w:t>,</w:t>
      </w:r>
      <w:r>
        <w:rPr>
          <w:rFonts w:hint="eastAsia" w:ascii="宋体" w:hAnsi="宋体" w:eastAsia="宋体"/>
          <w:sz w:val="21"/>
          <w:szCs w:val="21"/>
          <w:highlight w:val="none"/>
          <w:lang w:val="en-US" w:eastAsia="zh-CN"/>
        </w:rPr>
        <w:t>444</w:t>
      </w:r>
      <w:r>
        <w:rPr>
          <w:rFonts w:ascii="宋体" w:hAnsi="宋体" w:eastAsia="宋体"/>
          <w:sz w:val="21"/>
          <w:szCs w:val="21"/>
          <w:highlight w:val="none"/>
        </w:rPr>
        <w:t>,</w:t>
      </w:r>
      <w:r>
        <w:rPr>
          <w:rFonts w:hint="eastAsia" w:ascii="宋体" w:hAnsi="宋体" w:eastAsia="宋体"/>
          <w:sz w:val="21"/>
          <w:szCs w:val="21"/>
          <w:highlight w:val="none"/>
          <w:lang w:val="en-US" w:eastAsia="zh-CN"/>
        </w:rPr>
        <w:t>937</w:t>
      </w:r>
      <w:r>
        <w:rPr>
          <w:rFonts w:ascii="宋体" w:hAnsi="宋体" w:eastAsia="宋体"/>
          <w:sz w:val="21"/>
          <w:szCs w:val="21"/>
          <w:highlight w:val="none"/>
        </w:rPr>
        <w:t>.3</w:t>
      </w:r>
      <w:r>
        <w:rPr>
          <w:rFonts w:hint="eastAsia" w:ascii="宋体" w:hAnsi="宋体" w:eastAsia="宋体"/>
          <w:sz w:val="21"/>
          <w:szCs w:val="21"/>
          <w:highlight w:val="none"/>
          <w:lang w:val="en-US" w:eastAsia="zh-CN"/>
        </w:rPr>
        <w:t>5</w:t>
      </w:r>
      <w:r>
        <w:rPr>
          <w:rFonts w:hint="eastAsia"/>
          <w:sz w:val="21"/>
          <w:szCs w:val="21"/>
          <w:highlight w:val="none"/>
        </w:rPr>
        <w:t>元，分红比例为</w:t>
      </w:r>
      <w:r>
        <w:rPr>
          <w:rFonts w:hint="eastAsia"/>
          <w:sz w:val="21"/>
          <w:szCs w:val="21"/>
          <w:highlight w:val="none"/>
          <w:lang w:eastAsia="zh-CN"/>
        </w:rPr>
        <w:t>9</w:t>
      </w:r>
      <w:r>
        <w:rPr>
          <w:rFonts w:hint="eastAsia"/>
          <w:sz w:val="21"/>
          <w:szCs w:val="21"/>
          <w:highlight w:val="none"/>
          <w:lang w:val="en-US" w:eastAsia="zh-CN"/>
        </w:rPr>
        <w:t>9.85</w:t>
      </w:r>
      <w:r>
        <w:rPr>
          <w:rFonts w:hint="eastAsia"/>
          <w:sz w:val="21"/>
          <w:szCs w:val="21"/>
          <w:highlight w:val="none"/>
        </w:rPr>
        <w:t>%，每份基金份额发放红利</w:t>
      </w:r>
      <w:r>
        <w:rPr>
          <w:rFonts w:hint="eastAsia"/>
          <w:sz w:val="21"/>
          <w:szCs w:val="21"/>
          <w:highlight w:val="none"/>
          <w:lang w:eastAsia="zh-CN"/>
        </w:rPr>
        <w:t>0</w:t>
      </w:r>
      <w:r>
        <w:rPr>
          <w:rFonts w:hint="eastAsia"/>
          <w:sz w:val="21"/>
          <w:szCs w:val="21"/>
          <w:highlight w:val="none"/>
          <w:lang w:val="en-US" w:eastAsia="zh-CN"/>
        </w:rPr>
        <w:t>.0362</w:t>
      </w:r>
      <w:r>
        <w:rPr>
          <w:rFonts w:hint="eastAsia"/>
          <w:sz w:val="21"/>
          <w:szCs w:val="21"/>
          <w:highlight w:val="none"/>
        </w:rPr>
        <w:t>元人民币（小数点4位以后的部分舍位）。</w:t>
      </w:r>
    </w:p>
    <w:p w14:paraId="6ECC6A75">
      <w:pPr>
        <w:pStyle w:val="3"/>
        <w:spacing w:before="0" w:beforeAutospacing="0" w:after="0" w:afterAutospacing="0" w:line="360" w:lineRule="auto"/>
        <w:ind w:firstLine="420"/>
        <w:rPr>
          <w:rFonts w:hint="eastAsia"/>
          <w:sz w:val="21"/>
          <w:szCs w:val="21"/>
        </w:rPr>
      </w:pPr>
      <w:r>
        <w:rPr>
          <w:rFonts w:hint="eastAsia"/>
          <w:sz w:val="21"/>
          <w:szCs w:val="21"/>
        </w:rPr>
        <w:t xml:space="preserve">（6）本基金份额持有人及希望了解本基金其他有关信息的投资者，可以登录本基金管理人网站（https://www.bosera.com）或拨打博时一线通95105568（免长途费）咨询相关事宜。 </w:t>
      </w:r>
    </w:p>
    <w:p w14:paraId="6E279694">
      <w:pPr>
        <w:pStyle w:val="3"/>
        <w:spacing w:before="0" w:beforeAutospacing="0" w:after="0" w:afterAutospacing="0" w:line="360" w:lineRule="auto"/>
        <w:ind w:firstLine="420"/>
        <w:rPr>
          <w:rFonts w:hint="eastAsia"/>
          <w:sz w:val="21"/>
          <w:szCs w:val="21"/>
        </w:rPr>
      </w:pPr>
      <w:r>
        <w:rPr>
          <w:rFonts w:hint="eastAsia"/>
          <w:sz w:val="21"/>
          <w:szCs w:val="21"/>
        </w:rPr>
        <w:t xml:space="preserve">风险提示：本基金管理人承诺以诚实信用、勤勉尽责的原则管理和运用基金财产，但不保证基金一定盈利，也不保证最低收益。因基金分红导致基金份额净值变化，不会改变基金的风险收益特征，不会降低基金投资风险或提高基金投资收益。基金的过往业绩不代表未来表现，敬请投资者注意投资风险。 </w:t>
      </w:r>
    </w:p>
    <w:p w14:paraId="75FE8346">
      <w:pPr>
        <w:pStyle w:val="3"/>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2D23F4B2">
      <w:pPr>
        <w:pStyle w:val="3"/>
        <w:spacing w:before="0" w:beforeAutospacing="0" w:after="0" w:afterAutospacing="0" w:line="360" w:lineRule="auto"/>
        <w:ind w:firstLine="420"/>
        <w:rPr>
          <w:sz w:val="21"/>
          <w:szCs w:val="21"/>
        </w:rPr>
      </w:pPr>
    </w:p>
    <w:p w14:paraId="3272AD0E">
      <w:pPr>
        <w:pStyle w:val="3"/>
        <w:spacing w:before="0" w:beforeAutospacing="0" w:after="0" w:afterAutospacing="0" w:line="360" w:lineRule="auto"/>
        <w:ind w:firstLine="420"/>
        <w:rPr>
          <w:sz w:val="21"/>
          <w:szCs w:val="21"/>
        </w:rPr>
      </w:pPr>
    </w:p>
    <w:p w14:paraId="4C3C7462">
      <w:pPr>
        <w:pStyle w:val="3"/>
        <w:spacing w:before="0" w:beforeAutospacing="0" w:after="0" w:afterAutospacing="0" w:line="360" w:lineRule="auto"/>
        <w:ind w:firstLine="420"/>
        <w:rPr>
          <w:sz w:val="21"/>
          <w:szCs w:val="21"/>
        </w:rPr>
      </w:pPr>
    </w:p>
    <w:p w14:paraId="67411456">
      <w:pPr>
        <w:pStyle w:val="3"/>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2CFE8C55">
      <w:pPr>
        <w:pStyle w:val="3"/>
        <w:spacing w:before="0" w:beforeAutospacing="0" w:after="0" w:afterAutospacing="0" w:line="360" w:lineRule="auto"/>
        <w:ind w:firstLine="420"/>
        <w:jc w:val="right"/>
        <w:rPr>
          <w:sz w:val="21"/>
          <w:szCs w:val="21"/>
        </w:rPr>
      </w:pPr>
      <w:r>
        <w:rPr>
          <w:sz w:val="21"/>
          <w:szCs w:val="21"/>
        </w:rPr>
        <w:t>2026年9月15日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309"/>
    <w:rsid w:val="007C601B"/>
    <w:rsid w:val="00862309"/>
    <w:rsid w:val="13AA5AD0"/>
    <w:rsid w:val="15652CC4"/>
    <w:rsid w:val="2C3B17EC"/>
    <w:rsid w:val="345714D4"/>
    <w:rsid w:val="3B1F6246"/>
    <w:rsid w:val="508C2E4E"/>
    <w:rsid w:val="6BFC08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7"/>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标题 3 Char"/>
    <w:basedOn w:val="6"/>
    <w:link w:val="2"/>
    <w:qFormat/>
    <w:uiPriority w:val="9"/>
    <w:rPr>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3</Pages>
  <Words>298</Words>
  <Characters>1699</Characters>
  <Lines>14</Lines>
  <Paragraphs>3</Paragraphs>
  <TotalTime>10</TotalTime>
  <ScaleCrop>false</ScaleCrop>
  <LinksUpToDate>false</LinksUpToDate>
  <CharactersWithSpaces>1994</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2026-09-04T07:07:00Z</dcterms:created>
  <dc:creator>BSKMadminDev</dc:creator>
  <cp:lastModifiedBy>fuxj</cp:lastModifiedBy>
  <dcterms:modified xsi:type="dcterms:W3CDTF">2026-09-07T02:22:37Z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BB4BE8DC23C54A77BF7C0389696CBA7A_13</vt:lpwstr>
  </property>
</Properties>
</file>