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BD9346"/>
    <w:p w14:paraId="3A5C8C53">
      <w:pPr>
        <w:jc w:val="center"/>
        <w:rPr>
          <w:rFonts w:hint="eastAsia" w:ascii="宋体" w:hAnsi="宋体" w:eastAsia="宋体"/>
          <w:b/>
          <w:sz w:val="30"/>
        </w:rPr>
      </w:pPr>
      <w:r>
        <w:rPr>
          <w:rFonts w:hint="eastAsia" w:ascii="宋体" w:hAnsi="宋体" w:eastAsia="宋体"/>
          <w:b/>
          <w:sz w:val="30"/>
        </w:rPr>
        <w:t>博时基金管理有限公司关于博时优质精选混合型证券投资基金可能触发基金合同终止情形的提示性公告</w:t>
      </w:r>
    </w:p>
    <w:p w14:paraId="7E88D40D">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2026年8月21日</w:t>
      </w:r>
    </w:p>
    <w:p w14:paraId="505976F8">
      <w:pPr>
        <w:jc w:val="center"/>
        <w:rPr>
          <w:rFonts w:ascii="宋体" w:hAnsi="宋体" w:eastAsia="宋体"/>
          <w:b/>
          <w:sz w:val="24"/>
        </w:rPr>
      </w:pPr>
    </w:p>
    <w:p w14:paraId="3CF20D13">
      <w:pPr>
        <w:pStyle w:val="3"/>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根据《中华人民共和国证券投资基金法》、《公开募集证券投资基金运作管理办法》、《博时优质精选混合型证券投资基金</w:t>
      </w:r>
      <w:r>
        <w:rPr>
          <w:rFonts w:hint="eastAsia"/>
          <w:sz w:val="21"/>
          <w:szCs w:val="21"/>
        </w:rPr>
        <w:t>基金合同》（以下简称“《基金合同》”）的有关规定，博时优质精选混合型证券投资基金</w:t>
      </w:r>
      <w:r>
        <w:rPr>
          <w:rFonts w:hint="eastAsia"/>
          <w:sz w:val="21"/>
          <w:szCs w:val="21"/>
        </w:rPr>
        <w:t xml:space="preserve">（以下简称“本基金”）可能触发基金合同终止情形，现将相关事项提示公告如下： </w:t>
      </w:r>
    </w:p>
    <w:p w14:paraId="651827B3">
      <w:pPr>
        <w:pStyle w:val="2"/>
        <w:rPr>
          <w:rFonts w:hint="eastAsia" w:ascii="宋体" w:hAnsi="宋体" w:eastAsia="宋体"/>
          <w:sz w:val="21"/>
        </w:rPr>
      </w:pPr>
      <w:r>
        <w:rPr>
          <w:rFonts w:hint="eastAsia" w:ascii="宋体" w:hAnsi="宋体" w:eastAsia="宋体"/>
          <w:sz w:val="21"/>
        </w:rPr>
        <w:t>一、本基金基本信息</w:t>
      </w:r>
      <w:bookmarkStart w:id="0" w:name="_GoBack"/>
      <w:bookmarkEnd w:id="0"/>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7E0C7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7DE0F29">
            <w:pPr>
              <w:rPr>
                <w:rFonts w:ascii="宋体" w:hAnsi="宋体" w:eastAsia="宋体"/>
              </w:rPr>
            </w:pPr>
            <w:r>
              <w:rPr>
                <w:rFonts w:hint="eastAsia" w:ascii="宋体" w:hAnsi="宋体" w:eastAsia="宋体"/>
              </w:rPr>
              <w:t>基金名称</w:t>
            </w:r>
          </w:p>
        </w:tc>
        <w:tc>
          <w:tcPr>
            <w:tcW w:w="5682" w:type="dxa"/>
            <w:gridSpan w:val="2"/>
            <w:vAlign w:val="center"/>
          </w:tcPr>
          <w:p w14:paraId="47734E5A">
            <w:pPr>
              <w:rPr>
                <w:rFonts w:ascii="宋体" w:hAnsi="宋体" w:eastAsia="宋体"/>
              </w:rPr>
            </w:pPr>
            <w:r>
              <w:rPr>
                <w:rFonts w:hint="eastAsia" w:ascii="宋体" w:hAnsi="宋体" w:eastAsia="宋体"/>
              </w:rPr>
              <w:t>博时优质精选混合型证券投资基金</w:t>
            </w:r>
          </w:p>
        </w:tc>
      </w:tr>
      <w:tr w14:paraId="399D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F49B31D">
            <w:pPr>
              <w:rPr>
                <w:rFonts w:ascii="宋体" w:hAnsi="宋体" w:eastAsia="宋体"/>
              </w:rPr>
            </w:pPr>
            <w:r>
              <w:rPr>
                <w:rFonts w:hint="eastAsia" w:ascii="宋体" w:hAnsi="宋体" w:eastAsia="宋体"/>
              </w:rPr>
              <w:t>基金简称</w:t>
            </w:r>
          </w:p>
        </w:tc>
        <w:tc>
          <w:tcPr>
            <w:tcW w:w="5682" w:type="dxa"/>
            <w:gridSpan w:val="2"/>
            <w:vAlign w:val="center"/>
          </w:tcPr>
          <w:p w14:paraId="3D2298C7">
            <w:pPr>
              <w:rPr>
                <w:rFonts w:ascii="宋体" w:hAnsi="宋体" w:eastAsia="宋体"/>
              </w:rPr>
            </w:pPr>
            <w:r>
              <w:rPr>
                <w:rFonts w:hint="eastAsia" w:ascii="宋体" w:hAnsi="宋体" w:eastAsia="宋体"/>
              </w:rPr>
              <w:t>博时优质精选混合</w:t>
            </w:r>
          </w:p>
        </w:tc>
      </w:tr>
      <w:tr w14:paraId="12EBE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74D9A99">
            <w:pPr>
              <w:rPr>
                <w:rFonts w:ascii="宋体" w:hAnsi="宋体" w:eastAsia="宋体"/>
              </w:rPr>
            </w:pPr>
            <w:r>
              <w:rPr>
                <w:rFonts w:hint="eastAsia" w:ascii="宋体" w:hAnsi="宋体" w:eastAsia="宋体"/>
              </w:rPr>
              <w:t>基金主代码</w:t>
            </w:r>
          </w:p>
        </w:tc>
        <w:tc>
          <w:tcPr>
            <w:tcW w:w="5682" w:type="dxa"/>
            <w:gridSpan w:val="2"/>
            <w:vAlign w:val="center"/>
          </w:tcPr>
          <w:p w14:paraId="30FD6987">
            <w:pPr>
              <w:rPr>
                <w:rFonts w:ascii="宋体" w:hAnsi="宋体" w:eastAsia="宋体"/>
              </w:rPr>
            </w:pPr>
            <w:r>
              <w:rPr>
                <w:rFonts w:ascii="宋体" w:hAnsi="宋体" w:eastAsia="宋体"/>
              </w:rPr>
              <w:t>015902</w:t>
            </w:r>
          </w:p>
        </w:tc>
      </w:tr>
      <w:tr w14:paraId="56E63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EB037F7">
            <w:pPr>
              <w:rPr>
                <w:rFonts w:ascii="宋体" w:hAnsi="宋体" w:eastAsia="宋体"/>
              </w:rPr>
            </w:pPr>
            <w:r>
              <w:rPr>
                <w:rFonts w:hint="eastAsia" w:ascii="宋体" w:hAnsi="宋体" w:eastAsia="宋体"/>
              </w:rPr>
              <w:t>基金运作方式</w:t>
            </w:r>
          </w:p>
        </w:tc>
        <w:tc>
          <w:tcPr>
            <w:tcW w:w="5682" w:type="dxa"/>
            <w:gridSpan w:val="2"/>
            <w:vAlign w:val="center"/>
          </w:tcPr>
          <w:p w14:paraId="55FD2C0A">
            <w:pPr>
              <w:rPr>
                <w:rFonts w:ascii="宋体" w:hAnsi="宋体" w:eastAsia="宋体"/>
              </w:rPr>
            </w:pPr>
            <w:r>
              <w:rPr>
                <w:rFonts w:hint="eastAsia" w:ascii="宋体" w:hAnsi="宋体" w:eastAsia="宋体"/>
              </w:rPr>
              <w:t>契约型开放式</w:t>
            </w:r>
          </w:p>
        </w:tc>
      </w:tr>
      <w:tr w14:paraId="6084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2E69C11">
            <w:pPr>
              <w:rPr>
                <w:rFonts w:ascii="宋体" w:hAnsi="宋体" w:eastAsia="宋体"/>
              </w:rPr>
            </w:pPr>
            <w:r>
              <w:rPr>
                <w:rFonts w:hint="eastAsia" w:ascii="宋体" w:hAnsi="宋体" w:eastAsia="宋体"/>
              </w:rPr>
              <w:t>基金合同生效日</w:t>
            </w:r>
          </w:p>
        </w:tc>
        <w:tc>
          <w:tcPr>
            <w:tcW w:w="5682" w:type="dxa"/>
            <w:gridSpan w:val="2"/>
            <w:vAlign w:val="center"/>
          </w:tcPr>
          <w:p w14:paraId="5005E6BA">
            <w:pPr>
              <w:rPr>
                <w:rFonts w:ascii="宋体" w:hAnsi="宋体" w:eastAsia="宋体"/>
              </w:rPr>
            </w:pPr>
            <w:r>
              <w:rPr>
                <w:rFonts w:ascii="宋体" w:hAnsi="宋体" w:eastAsia="宋体"/>
              </w:rPr>
              <w:t>2022年8月22日</w:t>
            </w:r>
          </w:p>
        </w:tc>
      </w:tr>
      <w:tr w14:paraId="1A954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25DE93CB">
            <w:pPr>
              <w:rPr>
                <w:rFonts w:ascii="宋体" w:hAnsi="宋体" w:eastAsia="宋体"/>
              </w:rPr>
            </w:pPr>
            <w:r>
              <w:rPr>
                <w:rFonts w:hint="eastAsia" w:ascii="宋体" w:hAnsi="宋体" w:eastAsia="宋体"/>
              </w:rPr>
              <w:t>基金管理人名称</w:t>
            </w:r>
          </w:p>
        </w:tc>
        <w:tc>
          <w:tcPr>
            <w:tcW w:w="5682" w:type="dxa"/>
            <w:gridSpan w:val="2"/>
            <w:vAlign w:val="center"/>
          </w:tcPr>
          <w:p w14:paraId="07563611">
            <w:pPr>
              <w:rPr>
                <w:rFonts w:ascii="宋体" w:hAnsi="宋体" w:eastAsia="宋体"/>
              </w:rPr>
            </w:pPr>
            <w:r>
              <w:rPr>
                <w:rFonts w:hint="eastAsia" w:ascii="宋体" w:hAnsi="宋体" w:eastAsia="宋体"/>
              </w:rPr>
              <w:t>博时基金管理有限公司</w:t>
            </w:r>
          </w:p>
        </w:tc>
      </w:tr>
      <w:tr w14:paraId="5334F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BF2BD9F">
            <w:pPr>
              <w:rPr>
                <w:rFonts w:ascii="宋体" w:hAnsi="宋体" w:eastAsia="宋体"/>
              </w:rPr>
            </w:pPr>
            <w:r>
              <w:rPr>
                <w:rFonts w:hint="eastAsia" w:ascii="宋体" w:hAnsi="宋体" w:eastAsia="宋体"/>
              </w:rPr>
              <w:t>基金托管人名称</w:t>
            </w:r>
          </w:p>
        </w:tc>
        <w:tc>
          <w:tcPr>
            <w:tcW w:w="5682" w:type="dxa"/>
            <w:gridSpan w:val="2"/>
            <w:vAlign w:val="center"/>
          </w:tcPr>
          <w:p w14:paraId="56B7D2D1">
            <w:pPr>
              <w:rPr>
                <w:rFonts w:ascii="宋体" w:hAnsi="宋体" w:eastAsia="宋体"/>
              </w:rPr>
            </w:pPr>
            <w:r>
              <w:rPr>
                <w:rFonts w:hint="eastAsia" w:ascii="宋体" w:hAnsi="宋体" w:eastAsia="宋体"/>
              </w:rPr>
              <w:t>中国银行股份有限公司</w:t>
            </w:r>
          </w:p>
        </w:tc>
      </w:tr>
      <w:tr w14:paraId="0033E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7250E894">
            <w:pPr>
              <w:rPr>
                <w:rFonts w:ascii="宋体" w:hAnsi="宋体" w:eastAsia="宋体"/>
              </w:rPr>
            </w:pPr>
            <w:r>
              <w:rPr>
                <w:rFonts w:hint="eastAsia" w:ascii="宋体" w:hAnsi="宋体" w:eastAsia="宋体"/>
              </w:rPr>
              <w:t>基金注册登记机构名称</w:t>
            </w:r>
          </w:p>
        </w:tc>
        <w:tc>
          <w:tcPr>
            <w:tcW w:w="5682" w:type="dxa"/>
            <w:gridSpan w:val="2"/>
            <w:vAlign w:val="center"/>
          </w:tcPr>
          <w:p w14:paraId="0FA336BA">
            <w:pPr>
              <w:rPr>
                <w:rFonts w:ascii="宋体" w:hAnsi="宋体" w:eastAsia="宋体"/>
              </w:rPr>
            </w:pPr>
            <w:r>
              <w:rPr>
                <w:rFonts w:hint="eastAsia" w:ascii="宋体" w:hAnsi="宋体" w:eastAsia="宋体"/>
              </w:rPr>
              <w:t>博时基金管理有限公司</w:t>
            </w:r>
          </w:p>
        </w:tc>
      </w:tr>
      <w:tr w14:paraId="054C4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89D2596">
            <w:pPr>
              <w:rPr>
                <w:rFonts w:ascii="宋体" w:hAnsi="宋体" w:eastAsia="宋体"/>
              </w:rPr>
            </w:pPr>
            <w:r>
              <w:rPr>
                <w:rFonts w:hint="eastAsia" w:ascii="宋体" w:hAnsi="宋体" w:eastAsia="宋体"/>
              </w:rPr>
              <w:t>公告依据</w:t>
            </w:r>
          </w:p>
        </w:tc>
        <w:tc>
          <w:tcPr>
            <w:tcW w:w="5682" w:type="dxa"/>
            <w:gridSpan w:val="2"/>
            <w:vAlign w:val="center"/>
          </w:tcPr>
          <w:p w14:paraId="0EDA110C">
            <w:pPr>
              <w:rPr>
                <w:rFonts w:ascii="宋体" w:hAnsi="宋体" w:eastAsia="宋体"/>
              </w:rPr>
            </w:pPr>
            <w:r>
              <w:rPr>
                <w:rFonts w:hint="eastAsia" w:ascii="宋体" w:hAnsi="宋体" w:eastAsia="宋体"/>
              </w:rPr>
              <w:t>《中华人民共和国证券投资基金法》、《公开募集证券投资基金运作管理办法》、《公开募集证券投资基金信息披露管理办法》、《博时优质精选混合型证券投资基金基金合同》、《博时优质精选混合型证券投资基金招募说明书》（以下简称“《招募说明书》”）等</w:t>
            </w:r>
          </w:p>
        </w:tc>
      </w:tr>
      <w:tr w14:paraId="625A0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D835131">
            <w:pPr>
              <w:rPr>
                <w:rFonts w:ascii="宋体" w:hAnsi="宋体" w:eastAsia="宋体"/>
              </w:rPr>
            </w:pPr>
            <w:r>
              <w:rPr>
                <w:rFonts w:hint="eastAsia" w:ascii="宋体" w:hAnsi="宋体" w:eastAsia="宋体"/>
              </w:rPr>
              <w:t>下属类别基金的基金简称</w:t>
            </w:r>
          </w:p>
        </w:tc>
        <w:tc>
          <w:tcPr>
            <w:tcW w:w="2841" w:type="dxa"/>
            <w:vAlign w:val="center"/>
          </w:tcPr>
          <w:p w14:paraId="67D5778C">
            <w:pPr>
              <w:rPr>
                <w:rFonts w:ascii="宋体" w:hAnsi="宋体" w:eastAsia="宋体"/>
              </w:rPr>
            </w:pPr>
            <w:r>
              <w:rPr>
                <w:rFonts w:hint="eastAsia" w:ascii="宋体" w:hAnsi="宋体" w:eastAsia="宋体"/>
              </w:rPr>
              <w:t>博时优质精选混合</w:t>
            </w:r>
            <w:r>
              <w:rPr>
                <w:rFonts w:ascii="宋体" w:hAnsi="宋体" w:eastAsia="宋体"/>
              </w:rPr>
              <w:t>A</w:t>
            </w:r>
          </w:p>
        </w:tc>
        <w:tc>
          <w:tcPr>
            <w:tcW w:w="2841" w:type="dxa"/>
            <w:vAlign w:val="center"/>
          </w:tcPr>
          <w:p w14:paraId="3C1DED48">
            <w:pPr>
              <w:rPr>
                <w:rFonts w:ascii="宋体" w:hAnsi="宋体" w:eastAsia="宋体"/>
              </w:rPr>
            </w:pPr>
            <w:r>
              <w:rPr>
                <w:rFonts w:hint="eastAsia" w:ascii="宋体" w:hAnsi="宋体" w:eastAsia="宋体"/>
              </w:rPr>
              <w:t>博时优质精选混合</w:t>
            </w:r>
            <w:r>
              <w:rPr>
                <w:rFonts w:ascii="宋体" w:hAnsi="宋体" w:eastAsia="宋体"/>
              </w:rPr>
              <w:t>C</w:t>
            </w:r>
          </w:p>
        </w:tc>
      </w:tr>
      <w:tr w14:paraId="4A44D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6E320E5">
            <w:pPr>
              <w:rPr>
                <w:rFonts w:ascii="宋体" w:hAnsi="宋体" w:eastAsia="宋体"/>
              </w:rPr>
            </w:pPr>
            <w:r>
              <w:rPr>
                <w:rFonts w:hint="eastAsia" w:ascii="宋体" w:hAnsi="宋体" w:eastAsia="宋体"/>
              </w:rPr>
              <w:t>下属类别基金的交易代码</w:t>
            </w:r>
          </w:p>
        </w:tc>
        <w:tc>
          <w:tcPr>
            <w:tcW w:w="2841" w:type="dxa"/>
            <w:vAlign w:val="center"/>
          </w:tcPr>
          <w:p w14:paraId="24B38F57">
            <w:pPr>
              <w:rPr>
                <w:rFonts w:ascii="宋体" w:hAnsi="宋体" w:eastAsia="宋体"/>
              </w:rPr>
            </w:pPr>
            <w:r>
              <w:rPr>
                <w:rFonts w:ascii="宋体" w:hAnsi="宋体" w:eastAsia="宋体"/>
              </w:rPr>
              <w:t>015902</w:t>
            </w:r>
          </w:p>
        </w:tc>
        <w:tc>
          <w:tcPr>
            <w:tcW w:w="2841" w:type="dxa"/>
            <w:vAlign w:val="center"/>
          </w:tcPr>
          <w:p w14:paraId="53B46DBF">
            <w:pPr>
              <w:rPr>
                <w:rFonts w:ascii="宋体" w:hAnsi="宋体" w:eastAsia="宋体"/>
              </w:rPr>
            </w:pPr>
            <w:r>
              <w:rPr>
                <w:rFonts w:ascii="宋体" w:hAnsi="宋体" w:eastAsia="宋体"/>
              </w:rPr>
              <w:t>015903</w:t>
            </w:r>
          </w:p>
        </w:tc>
      </w:tr>
    </w:tbl>
    <w:p w14:paraId="5E27AF66"/>
    <w:p w14:paraId="349308E2">
      <w:pPr>
        <w:pStyle w:val="2"/>
        <w:rPr>
          <w:rFonts w:hint="eastAsia" w:ascii="宋体" w:hAnsi="宋体" w:eastAsia="宋体"/>
          <w:sz w:val="21"/>
        </w:rPr>
      </w:pPr>
      <w:r>
        <w:rPr>
          <w:rFonts w:hint="eastAsia" w:ascii="宋体" w:hAnsi="宋体" w:eastAsia="宋体"/>
          <w:sz w:val="21"/>
        </w:rPr>
        <w:t>二、可能触发基金合同终止的情形说明</w:t>
      </w:r>
    </w:p>
    <w:p w14:paraId="3A73A373">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79ABF1D8">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五十个工作日出现前述情形的，基金管理人应及时通知基金托管人，本基金将根据基金合同的约定进行基金财产清算并终止，而无需召开基金份额持有人大会。 </w:t>
      </w:r>
    </w:p>
    <w:p w14:paraId="27F64A4F">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法律法规或中国证监会另有规定时，从其规定。” </w:t>
      </w:r>
    </w:p>
    <w:p w14:paraId="0C46B8C5">
      <w:pPr>
        <w:pStyle w:val="3"/>
        <w:spacing w:before="0" w:beforeAutospacing="0" w:after="0" w:afterAutospacing="0" w:line="360" w:lineRule="auto"/>
        <w:ind w:firstLine="420"/>
        <w:rPr>
          <w:rFonts w:hint="eastAsia"/>
          <w:sz w:val="21"/>
          <w:szCs w:val="21"/>
        </w:rPr>
      </w:pPr>
      <w:r>
        <w:rPr>
          <w:rFonts w:hint="eastAsia"/>
          <w:sz w:val="21"/>
          <w:szCs w:val="21"/>
        </w:rPr>
        <w:t>若截至2026年9月17日</w:t>
      </w:r>
      <w:r>
        <w:rPr>
          <w:rFonts w:hint="eastAsia"/>
          <w:sz w:val="21"/>
          <w:szCs w:val="21"/>
        </w:rPr>
        <w:t>，本基金出现连续五十</w:t>
      </w:r>
      <w:r>
        <w:rPr>
          <w:rFonts w:hint="eastAsia"/>
          <w:sz w:val="21"/>
          <w:szCs w:val="21"/>
        </w:rPr>
        <w:t xml:space="preserve">个工作日基金资产净值低于五千万元的情形，本基金将根据《基金合同》约定进入清算程序，无需召开基金份额持有人大会进行表决。 </w:t>
      </w:r>
    </w:p>
    <w:p w14:paraId="37EEEC54">
      <w:pPr>
        <w:pStyle w:val="2"/>
        <w:rPr>
          <w:rFonts w:hint="eastAsia" w:ascii="宋体" w:hAnsi="宋体" w:eastAsia="宋体"/>
          <w:sz w:val="21"/>
        </w:rPr>
      </w:pPr>
      <w:r>
        <w:rPr>
          <w:rFonts w:hint="eastAsia" w:ascii="宋体" w:hAnsi="宋体" w:eastAsia="宋体"/>
          <w:sz w:val="21"/>
        </w:rPr>
        <w:t>三、其他需要提示的事项</w:t>
      </w:r>
    </w:p>
    <w:p w14:paraId="0CCEE2D6">
      <w:pPr>
        <w:pStyle w:val="3"/>
        <w:spacing w:before="0" w:beforeAutospacing="0" w:after="0" w:afterAutospacing="0" w:line="360" w:lineRule="auto"/>
        <w:ind w:firstLine="420"/>
        <w:rPr>
          <w:sz w:val="21"/>
          <w:szCs w:val="21"/>
        </w:rPr>
      </w:pPr>
      <w:r>
        <w:rPr>
          <w:rFonts w:hint="eastAsia"/>
          <w:sz w:val="21"/>
          <w:szCs w:val="21"/>
        </w:rPr>
        <w:t>1、若出现《基金合同》终止情形，基金管理人将根据相关法律法规、《基金合同》等规定成立基金财产清算小组，履行基金财产清算程序。本基金进入清算程序后，不再办理申购、赎回、定投、基金转换业务</w:t>
      </w:r>
      <w:r>
        <w:rPr>
          <w:rFonts w:hint="eastAsia"/>
          <w:sz w:val="21"/>
          <w:szCs w:val="21"/>
        </w:rPr>
        <w:t>，基金财产清算剩余资产将在基金财产清算小组履行完毕清算程序后进行分配。本基金进入清算程序前，申购、赎回、定投、基金转换业务</w:t>
      </w:r>
      <w:r>
        <w:rPr>
          <w:rFonts w:hint="eastAsia"/>
          <w:sz w:val="21"/>
          <w:szCs w:val="21"/>
        </w:rPr>
        <w:t xml:space="preserve">仍正常办理，敬请投资者注意投资风险，妥善做好投资安排。 </w:t>
      </w:r>
    </w:p>
    <w:p w14:paraId="68F5F664">
      <w:pPr>
        <w:pStyle w:val="3"/>
        <w:spacing w:before="0" w:beforeAutospacing="0" w:after="0" w:afterAutospacing="0" w:line="360" w:lineRule="auto"/>
        <w:ind w:firstLine="420"/>
        <w:rPr>
          <w:rFonts w:hint="eastAsia"/>
          <w:sz w:val="21"/>
          <w:szCs w:val="21"/>
        </w:rPr>
      </w:pPr>
      <w:r>
        <w:rPr>
          <w:rFonts w:hint="eastAsia"/>
          <w:sz w:val="21"/>
          <w:szCs w:val="21"/>
        </w:rPr>
        <w:t xml:space="preserve">2、投资者欲了解本基金的详细情况,请认真阅读本基金《基金合同》及本基金《招募说明书》，投资者可通过以下途径咨询： </w:t>
      </w:r>
    </w:p>
    <w:p w14:paraId="3A6AE133">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基金管理人网站：https://www.bosera.com </w:t>
      </w:r>
    </w:p>
    <w:p w14:paraId="67E70961">
      <w:pPr>
        <w:pStyle w:val="3"/>
        <w:spacing w:before="0" w:beforeAutospacing="0" w:after="0" w:afterAutospacing="0" w:line="360" w:lineRule="auto"/>
        <w:ind w:firstLine="420"/>
        <w:rPr>
          <w:rFonts w:hint="eastAsia"/>
          <w:sz w:val="21"/>
          <w:szCs w:val="21"/>
        </w:rPr>
      </w:pPr>
      <w:r>
        <w:rPr>
          <w:rFonts w:hint="eastAsia"/>
          <w:sz w:val="21"/>
          <w:szCs w:val="21"/>
        </w:rPr>
        <w:t xml:space="preserve">客服电话：95105568（免长途话费） </w:t>
      </w:r>
    </w:p>
    <w:p w14:paraId="108B45A0">
      <w:pPr>
        <w:pStyle w:val="3"/>
        <w:spacing w:before="0" w:beforeAutospacing="0" w:after="0" w:afterAutospacing="0" w:line="360" w:lineRule="auto"/>
        <w:ind w:firstLine="420"/>
        <w:rPr>
          <w:rFonts w:hint="eastAsia"/>
          <w:sz w:val="21"/>
          <w:szCs w:val="21"/>
        </w:rPr>
      </w:pPr>
      <w:r>
        <w:rPr>
          <w:rFonts w:hint="eastAsia"/>
          <w:sz w:val="21"/>
          <w:szCs w:val="21"/>
        </w:rPr>
        <w:t xml:space="preserve">3、本公告解释权归博时基金管理有限公司所有。 </w:t>
      </w:r>
    </w:p>
    <w:p w14:paraId="27C8D67C">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公司承诺以诚实信用、勤勉尽责的原则管理和运用基金财产，但不保证基金一定盈利，也不保证最低收益。投资人应认真阅读拟投资基金的《基金合同》、《招募说明书》等法律文件，了解所投资基金的风险收益特征，并根据自身情况购买与风险承受能力相匹配的产品。 </w:t>
      </w:r>
    </w:p>
    <w:p w14:paraId="23E6E11C">
      <w:pPr>
        <w:pStyle w:val="3"/>
        <w:spacing w:before="0" w:beforeAutospacing="0" w:after="0" w:afterAutospacing="0" w:line="360" w:lineRule="auto"/>
        <w:ind w:firstLine="420"/>
        <w:rPr>
          <w:rFonts w:hint="eastAsia"/>
          <w:sz w:val="21"/>
          <w:szCs w:val="21"/>
        </w:rPr>
      </w:pPr>
    </w:p>
    <w:p w14:paraId="507877BC">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3724CD65">
      <w:pPr>
        <w:pStyle w:val="3"/>
        <w:spacing w:before="0" w:beforeAutospacing="0" w:after="0" w:afterAutospacing="0" w:line="360" w:lineRule="auto"/>
        <w:ind w:firstLine="420"/>
        <w:rPr>
          <w:sz w:val="21"/>
          <w:szCs w:val="21"/>
        </w:rPr>
      </w:pPr>
    </w:p>
    <w:p w14:paraId="5861B32E">
      <w:pPr>
        <w:pStyle w:val="3"/>
        <w:spacing w:before="0" w:beforeAutospacing="0" w:after="0" w:afterAutospacing="0" w:line="360" w:lineRule="auto"/>
        <w:ind w:firstLine="420"/>
        <w:rPr>
          <w:sz w:val="21"/>
          <w:szCs w:val="21"/>
        </w:rPr>
      </w:pPr>
    </w:p>
    <w:p w14:paraId="41F35FBC">
      <w:pPr>
        <w:pStyle w:val="3"/>
        <w:spacing w:before="0" w:beforeAutospacing="0" w:after="0" w:afterAutospacing="0" w:line="360" w:lineRule="auto"/>
        <w:ind w:firstLine="420"/>
        <w:rPr>
          <w:sz w:val="21"/>
          <w:szCs w:val="21"/>
        </w:rPr>
      </w:pPr>
    </w:p>
    <w:p w14:paraId="1F6DA2E4">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099841D2">
      <w:pPr>
        <w:pStyle w:val="3"/>
        <w:spacing w:before="0" w:beforeAutospacing="0" w:after="0" w:afterAutospacing="0" w:line="360" w:lineRule="auto"/>
        <w:ind w:firstLine="420"/>
        <w:jc w:val="right"/>
        <w:rPr>
          <w:sz w:val="21"/>
          <w:szCs w:val="21"/>
        </w:rPr>
      </w:pPr>
      <w:r>
        <w:rPr>
          <w:sz w:val="21"/>
          <w:szCs w:val="21"/>
        </w:rPr>
        <w:t>2026年8月21日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BAE"/>
    <w:rsid w:val="00124BAE"/>
    <w:rsid w:val="00922CE9"/>
    <w:rsid w:val="EFEFB8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201</Words>
  <Characters>1151</Characters>
  <Lines>9</Lines>
  <Paragraphs>2</Paragraphs>
  <TotalTime>0</TotalTime>
  <ScaleCrop>false</ScaleCrop>
  <LinksUpToDate>false</LinksUpToDate>
  <CharactersWithSpaces>1350</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2026-08-20T14:17:00Z</dcterms:created>
  <dc:creator>BSKMadminDev</dc:creator>
  <cp:lastModifiedBy>yangxz285</cp:lastModifiedBy>
  <dcterms:modified xsi:type="dcterms:W3CDTF">2026-08-20T14:18:04Z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D3F5CB27E9B3DF711C9C866A5DCE4882_43</vt:lpwstr>
  </property>
</Properties>
</file>