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8C109">
      <w:pPr>
        <w:spacing w:after="156" w:afterLines="50" w:line="500" w:lineRule="exact"/>
        <w:jc w:val="center"/>
        <w:rPr>
          <w:rFonts w:ascii="宋体"/>
          <w:b/>
          <w:bCs/>
          <w:sz w:val="48"/>
          <w:szCs w:val="48"/>
        </w:rPr>
      </w:pPr>
      <w:bookmarkStart w:id="175" w:name="_GoBack"/>
      <w:bookmarkEnd w:id="175"/>
    </w:p>
    <w:p w14:paraId="4D76B2C1">
      <w:pPr>
        <w:spacing w:after="156" w:afterLines="50" w:line="500" w:lineRule="exact"/>
        <w:jc w:val="center"/>
        <w:rPr>
          <w:rFonts w:ascii="宋体"/>
          <w:b/>
          <w:bCs/>
          <w:sz w:val="48"/>
          <w:szCs w:val="48"/>
        </w:rPr>
      </w:pPr>
    </w:p>
    <w:p w14:paraId="4212BF0F">
      <w:pPr>
        <w:spacing w:after="156" w:afterLines="50" w:line="500" w:lineRule="exact"/>
        <w:jc w:val="center"/>
        <w:rPr>
          <w:rFonts w:ascii="宋体"/>
          <w:b/>
          <w:bCs/>
          <w:sz w:val="48"/>
          <w:szCs w:val="48"/>
        </w:rPr>
      </w:pPr>
    </w:p>
    <w:p w14:paraId="3A86AC0E">
      <w:pPr>
        <w:spacing w:after="156" w:afterLines="50" w:line="500" w:lineRule="exact"/>
        <w:jc w:val="center"/>
        <w:rPr>
          <w:rFonts w:ascii="宋体"/>
          <w:b/>
          <w:bCs/>
          <w:sz w:val="48"/>
          <w:szCs w:val="48"/>
        </w:rPr>
      </w:pPr>
    </w:p>
    <w:p w14:paraId="0EF8C81B">
      <w:pPr>
        <w:spacing w:after="156" w:afterLines="50" w:line="500" w:lineRule="exact"/>
        <w:jc w:val="center"/>
        <w:rPr>
          <w:rFonts w:hint="eastAsia" w:ascii="宋体"/>
          <w:b/>
          <w:bCs/>
          <w:sz w:val="48"/>
          <w:szCs w:val="48"/>
        </w:rPr>
      </w:pPr>
      <w:r>
        <w:rPr>
          <w:rFonts w:hint="eastAsia" w:ascii="宋体" w:hAnsi="宋体"/>
          <w:b/>
          <w:bCs/>
          <w:sz w:val="48"/>
          <w:szCs w:val="48"/>
        </w:rPr>
        <w:t>博时中证机器人交易型开放式指数证券投资基金发起式联接基金</w:t>
      </w:r>
    </w:p>
    <w:p w14:paraId="25CD86F8">
      <w:pPr>
        <w:spacing w:after="156" w:afterLines="50" w:line="360" w:lineRule="auto"/>
        <w:jc w:val="center"/>
        <w:rPr>
          <w:rFonts w:hint="eastAsia" w:ascii="宋体" w:hAnsi="宋体"/>
          <w:b/>
          <w:bCs/>
          <w:sz w:val="48"/>
          <w:szCs w:val="48"/>
        </w:rPr>
      </w:pPr>
      <w:r>
        <w:rPr>
          <w:rFonts w:hint="eastAsia" w:ascii="宋体" w:hAnsi="宋体"/>
          <w:b/>
          <w:bCs/>
          <w:sz w:val="48"/>
          <w:szCs w:val="48"/>
        </w:rPr>
        <w:t>托管协议（由博时中证机器人指数型发起式证券投资基金变更而来）</w:t>
      </w:r>
    </w:p>
    <w:p w14:paraId="3B86651E">
      <w:pPr>
        <w:spacing w:after="156" w:afterLines="50" w:line="360" w:lineRule="auto"/>
        <w:jc w:val="center"/>
        <w:rPr>
          <w:rFonts w:hint="eastAsia" w:ascii="宋体" w:hAnsi="宋体"/>
          <w:b/>
          <w:bCs/>
          <w:sz w:val="48"/>
          <w:szCs w:val="48"/>
        </w:rPr>
      </w:pPr>
    </w:p>
    <w:p w14:paraId="32EDF36F">
      <w:pPr>
        <w:spacing w:after="156" w:afterLines="50" w:line="500" w:lineRule="exact"/>
        <w:jc w:val="center"/>
        <w:rPr>
          <w:rFonts w:ascii="宋体"/>
          <w:bCs/>
          <w:sz w:val="44"/>
          <w:szCs w:val="44"/>
        </w:rPr>
      </w:pPr>
    </w:p>
    <w:p w14:paraId="317EC4EB">
      <w:pPr>
        <w:autoSpaceDE w:val="0"/>
        <w:autoSpaceDN w:val="0"/>
        <w:spacing w:line="360" w:lineRule="auto"/>
        <w:ind w:left="4709" w:right="25" w:rightChars="12" w:hanging="4709" w:hangingChars="1066"/>
        <w:jc w:val="center"/>
        <w:textAlignment w:val="bottom"/>
        <w:rPr>
          <w:rFonts w:ascii="宋体"/>
          <w:b/>
          <w:bCs/>
          <w:sz w:val="44"/>
        </w:rPr>
      </w:pPr>
    </w:p>
    <w:p w14:paraId="455A9B0E">
      <w:pPr>
        <w:autoSpaceDE w:val="0"/>
        <w:autoSpaceDN w:val="0"/>
        <w:spacing w:line="360" w:lineRule="auto"/>
        <w:ind w:left="4709" w:right="25" w:rightChars="12" w:hanging="4709" w:hangingChars="1066"/>
        <w:jc w:val="center"/>
        <w:textAlignment w:val="bottom"/>
        <w:rPr>
          <w:rFonts w:ascii="宋体"/>
          <w:b/>
          <w:bCs/>
          <w:sz w:val="44"/>
        </w:rPr>
      </w:pPr>
    </w:p>
    <w:p w14:paraId="4E505D6C">
      <w:pPr>
        <w:spacing w:line="360" w:lineRule="auto"/>
        <w:jc w:val="center"/>
        <w:rPr>
          <w:rFonts w:ascii="宋体"/>
          <w:b/>
          <w:sz w:val="30"/>
          <w:szCs w:val="30"/>
        </w:rPr>
      </w:pPr>
    </w:p>
    <w:p w14:paraId="6EF23CE2">
      <w:pPr>
        <w:spacing w:line="360" w:lineRule="auto"/>
        <w:jc w:val="center"/>
        <w:rPr>
          <w:rFonts w:ascii="宋体"/>
          <w:b/>
          <w:sz w:val="30"/>
          <w:szCs w:val="30"/>
        </w:rPr>
      </w:pPr>
    </w:p>
    <w:p w14:paraId="4E52B062">
      <w:pPr>
        <w:spacing w:line="360" w:lineRule="auto"/>
        <w:jc w:val="center"/>
        <w:rPr>
          <w:rFonts w:ascii="宋体"/>
          <w:b/>
          <w:sz w:val="30"/>
          <w:szCs w:val="30"/>
        </w:rPr>
      </w:pPr>
    </w:p>
    <w:p w14:paraId="031EA134">
      <w:pPr>
        <w:spacing w:line="360" w:lineRule="auto"/>
        <w:jc w:val="center"/>
        <w:rPr>
          <w:rFonts w:ascii="宋体"/>
          <w:b/>
          <w:sz w:val="30"/>
          <w:szCs w:val="30"/>
        </w:rPr>
      </w:pPr>
    </w:p>
    <w:p w14:paraId="1ABBBC09">
      <w:pPr>
        <w:spacing w:line="360" w:lineRule="auto"/>
        <w:rPr>
          <w:rFonts w:ascii="宋体"/>
          <w:b/>
          <w:sz w:val="30"/>
          <w:szCs w:val="30"/>
        </w:rPr>
      </w:pPr>
    </w:p>
    <w:p w14:paraId="5BB6ECD3">
      <w:pPr>
        <w:spacing w:after="156" w:afterLines="50" w:line="360" w:lineRule="auto"/>
        <w:ind w:left="1079" w:leftChars="514"/>
        <w:rPr>
          <w:rFonts w:ascii="宋体" w:hAnsi="宋体"/>
          <w:b/>
          <w:bCs/>
          <w:sz w:val="36"/>
          <w:szCs w:val="36"/>
        </w:rPr>
      </w:pPr>
      <w:r>
        <w:rPr>
          <w:rFonts w:hint="eastAsia" w:ascii="宋体" w:hAnsi="宋体"/>
          <w:b/>
          <w:bCs/>
          <w:sz w:val="36"/>
          <w:szCs w:val="36"/>
        </w:rPr>
        <w:t>基金管理人：博时基金管理有限公司</w:t>
      </w:r>
    </w:p>
    <w:p w14:paraId="452B3975">
      <w:pPr>
        <w:spacing w:line="360" w:lineRule="auto"/>
        <w:ind w:left="1079" w:leftChars="514"/>
        <w:sectPr>
          <w:footerReference r:id="rId6" w:type="first"/>
          <w:headerReference r:id="rId3" w:type="default"/>
          <w:footerReference r:id="rId4" w:type="default"/>
          <w:footerReference r:id="rId5" w:type="even"/>
          <w:pgSz w:w="11906" w:h="16838"/>
          <w:pgMar w:top="1440" w:right="1800" w:bottom="1440" w:left="1800" w:header="851" w:footer="992" w:gutter="0"/>
          <w:pgNumType w:start="1"/>
          <w:cols w:space="720" w:num="1"/>
          <w:titlePg/>
          <w:docGrid w:type="lines" w:linePitch="312" w:charSpace="0"/>
        </w:sectPr>
      </w:pPr>
      <w:r>
        <w:rPr>
          <w:rFonts w:hint="eastAsia" w:ascii="宋体" w:hAnsi="宋体"/>
          <w:b/>
          <w:bCs/>
          <w:sz w:val="36"/>
          <w:szCs w:val="36"/>
        </w:rPr>
        <w:t>基金托管人：宁波银行股份有限公司</w:t>
      </w:r>
    </w:p>
    <w:p w14:paraId="2592A659">
      <w:pPr>
        <w:spacing w:before="312" w:beforeLines="100" w:after="156" w:afterLines="50" w:line="360" w:lineRule="auto"/>
        <w:jc w:val="center"/>
        <w:rPr>
          <w:rFonts w:ascii="宋体"/>
          <w:b/>
          <w:sz w:val="30"/>
        </w:rPr>
      </w:pPr>
      <w:r>
        <w:rPr>
          <w:rFonts w:hint="eastAsia" w:ascii="宋体" w:hAnsi="宋体"/>
          <w:b/>
          <w:sz w:val="30"/>
        </w:rPr>
        <w:t>目</w:t>
      </w:r>
      <w:r>
        <w:rPr>
          <w:rFonts w:ascii="宋体" w:hAnsi="宋体"/>
          <w:b/>
          <w:sz w:val="30"/>
        </w:rPr>
        <w:t xml:space="preserve">  </w:t>
      </w:r>
      <w:r>
        <w:rPr>
          <w:rFonts w:hint="eastAsia" w:ascii="宋体" w:hAnsi="宋体"/>
          <w:b/>
          <w:sz w:val="30"/>
        </w:rPr>
        <w:t>录</w:t>
      </w:r>
    </w:p>
    <w:p w14:paraId="1BFDA542">
      <w:pPr>
        <w:pStyle w:val="17"/>
        <w:tabs>
          <w:tab w:val="right" w:leader="dot" w:pos="8312"/>
          <w:tab w:val="clear" w:pos="8455"/>
        </w:tabs>
      </w:pPr>
      <w:r>
        <w:rPr>
          <w:rFonts w:ascii="宋体" w:hAnsi="宋体"/>
          <w:sz w:val="24"/>
        </w:rPr>
        <w:fldChar w:fldCharType="begin"/>
      </w:r>
      <w:r>
        <w:rPr>
          <w:rStyle w:val="29"/>
          <w:rFonts w:ascii="宋体" w:hAnsi="宋体"/>
          <w:sz w:val="24"/>
        </w:rPr>
        <w:instrText xml:space="preserve"> TOC \h \z \t "</w:instrText>
      </w:r>
      <w:r>
        <w:rPr>
          <w:rStyle w:val="29"/>
          <w:rFonts w:hint="eastAsia" w:ascii="宋体" w:hAnsi="宋体"/>
          <w:sz w:val="24"/>
        </w:rPr>
        <w:instrText xml:space="preserve">标题</w:instrText>
      </w:r>
      <w:r>
        <w:rPr>
          <w:rStyle w:val="29"/>
          <w:rFonts w:ascii="宋体" w:hAnsi="宋体"/>
          <w:sz w:val="24"/>
        </w:rPr>
        <w:instrText xml:space="preserve"> 1,1" </w:instrText>
      </w:r>
      <w:r>
        <w:rPr>
          <w:rFonts w:ascii="宋体" w:hAnsi="宋体"/>
          <w:sz w:val="24"/>
        </w:rPr>
        <w:fldChar w:fldCharType="separate"/>
      </w:r>
      <w:r>
        <w:rPr>
          <w:rFonts w:ascii="宋体" w:hAnsi="宋体"/>
        </w:rPr>
        <w:fldChar w:fldCharType="begin"/>
      </w:r>
      <w:r>
        <w:rPr>
          <w:rFonts w:ascii="宋体" w:hAnsi="宋体"/>
        </w:rPr>
        <w:instrText xml:space="preserve"> HYPERLINK \l _Toc21675 </w:instrText>
      </w:r>
      <w:r>
        <w:rPr>
          <w:rFonts w:ascii="宋体" w:hAnsi="宋体"/>
        </w:rPr>
        <w:fldChar w:fldCharType="separate"/>
      </w:r>
      <w:r>
        <w:rPr>
          <w:rFonts w:hint="eastAsia"/>
        </w:rPr>
        <w:t>一、基金托管协议当事人</w:t>
      </w:r>
      <w:r>
        <w:tab/>
      </w:r>
      <w:r>
        <w:fldChar w:fldCharType="begin"/>
      </w:r>
      <w:r>
        <w:instrText xml:space="preserve"> PAGEREF _Toc21675 \h </w:instrText>
      </w:r>
      <w:r>
        <w:fldChar w:fldCharType="separate"/>
      </w:r>
      <w:r>
        <w:t>1</w:t>
      </w:r>
      <w:r>
        <w:fldChar w:fldCharType="end"/>
      </w:r>
      <w:r>
        <w:rPr>
          <w:rFonts w:ascii="宋体" w:hAnsi="宋体"/>
        </w:rPr>
        <w:fldChar w:fldCharType="end"/>
      </w:r>
    </w:p>
    <w:p w14:paraId="4411603F">
      <w:pPr>
        <w:pStyle w:val="17"/>
        <w:tabs>
          <w:tab w:val="right" w:leader="dot" w:pos="8312"/>
          <w:tab w:val="clear" w:pos="8455"/>
        </w:tabs>
      </w:pPr>
      <w:r>
        <w:rPr>
          <w:rFonts w:ascii="宋体" w:hAnsi="宋体"/>
        </w:rPr>
        <w:fldChar w:fldCharType="begin"/>
      </w:r>
      <w:r>
        <w:rPr>
          <w:rFonts w:ascii="宋体" w:hAnsi="宋体"/>
        </w:rPr>
        <w:instrText xml:space="preserve"> HYPERLINK \l _Toc12786 </w:instrText>
      </w:r>
      <w:r>
        <w:rPr>
          <w:rFonts w:ascii="宋体" w:hAnsi="宋体"/>
        </w:rPr>
        <w:fldChar w:fldCharType="separate"/>
      </w:r>
      <w:r>
        <w:rPr>
          <w:rFonts w:hint="eastAsia"/>
        </w:rPr>
        <w:t>二、基金托管协议的依据、目的和原则</w:t>
      </w:r>
      <w:r>
        <w:tab/>
      </w:r>
      <w:r>
        <w:fldChar w:fldCharType="begin"/>
      </w:r>
      <w:r>
        <w:instrText xml:space="preserve"> PAGEREF _Toc12786 \h </w:instrText>
      </w:r>
      <w:r>
        <w:fldChar w:fldCharType="separate"/>
      </w:r>
      <w:r>
        <w:t>2</w:t>
      </w:r>
      <w:r>
        <w:fldChar w:fldCharType="end"/>
      </w:r>
      <w:r>
        <w:rPr>
          <w:rFonts w:ascii="宋体" w:hAnsi="宋体"/>
        </w:rPr>
        <w:fldChar w:fldCharType="end"/>
      </w:r>
    </w:p>
    <w:p w14:paraId="4EFDABDA">
      <w:pPr>
        <w:pStyle w:val="17"/>
        <w:tabs>
          <w:tab w:val="right" w:leader="dot" w:pos="8312"/>
          <w:tab w:val="clear" w:pos="8455"/>
        </w:tabs>
      </w:pPr>
      <w:r>
        <w:rPr>
          <w:rFonts w:ascii="宋体" w:hAnsi="宋体"/>
        </w:rPr>
        <w:fldChar w:fldCharType="begin"/>
      </w:r>
      <w:r>
        <w:rPr>
          <w:rFonts w:ascii="宋体" w:hAnsi="宋体"/>
        </w:rPr>
        <w:instrText xml:space="preserve"> HYPERLINK \l _Toc17294 </w:instrText>
      </w:r>
      <w:r>
        <w:rPr>
          <w:rFonts w:ascii="宋体" w:hAnsi="宋体"/>
        </w:rPr>
        <w:fldChar w:fldCharType="separate"/>
      </w:r>
      <w:r>
        <w:rPr>
          <w:rFonts w:hint="eastAsia"/>
        </w:rPr>
        <w:t>三、基金托管人对基金管理人的业务监督和核查</w:t>
      </w:r>
      <w:r>
        <w:tab/>
      </w:r>
      <w:r>
        <w:fldChar w:fldCharType="begin"/>
      </w:r>
      <w:r>
        <w:instrText xml:space="preserve"> PAGEREF _Toc17294 \h </w:instrText>
      </w:r>
      <w:r>
        <w:fldChar w:fldCharType="separate"/>
      </w:r>
      <w:r>
        <w:t>2</w:t>
      </w:r>
      <w:r>
        <w:fldChar w:fldCharType="end"/>
      </w:r>
      <w:r>
        <w:rPr>
          <w:rFonts w:ascii="宋体" w:hAnsi="宋体"/>
        </w:rPr>
        <w:fldChar w:fldCharType="end"/>
      </w:r>
    </w:p>
    <w:p w14:paraId="768C9B56">
      <w:pPr>
        <w:pStyle w:val="17"/>
        <w:tabs>
          <w:tab w:val="right" w:leader="dot" w:pos="8312"/>
          <w:tab w:val="clear" w:pos="8455"/>
        </w:tabs>
      </w:pPr>
      <w:r>
        <w:rPr>
          <w:rFonts w:ascii="宋体" w:hAnsi="宋体"/>
        </w:rPr>
        <w:fldChar w:fldCharType="begin"/>
      </w:r>
      <w:r>
        <w:rPr>
          <w:rFonts w:ascii="宋体" w:hAnsi="宋体"/>
        </w:rPr>
        <w:instrText xml:space="preserve"> HYPERLINK \l _Toc5076 </w:instrText>
      </w:r>
      <w:r>
        <w:rPr>
          <w:rFonts w:ascii="宋体" w:hAnsi="宋体"/>
        </w:rPr>
        <w:fldChar w:fldCharType="separate"/>
      </w:r>
      <w:r>
        <w:rPr>
          <w:rFonts w:hint="eastAsia"/>
        </w:rPr>
        <w:t>四、基金管理人对基金托管人的业务核查</w:t>
      </w:r>
      <w:r>
        <w:tab/>
      </w:r>
      <w:r>
        <w:fldChar w:fldCharType="begin"/>
      </w:r>
      <w:r>
        <w:instrText xml:space="preserve"> PAGEREF _Toc5076 \h </w:instrText>
      </w:r>
      <w:r>
        <w:fldChar w:fldCharType="separate"/>
      </w:r>
      <w:r>
        <w:t>8</w:t>
      </w:r>
      <w:r>
        <w:fldChar w:fldCharType="end"/>
      </w:r>
      <w:r>
        <w:rPr>
          <w:rFonts w:ascii="宋体" w:hAnsi="宋体"/>
        </w:rPr>
        <w:fldChar w:fldCharType="end"/>
      </w:r>
    </w:p>
    <w:p w14:paraId="4D40430C">
      <w:pPr>
        <w:pStyle w:val="17"/>
        <w:tabs>
          <w:tab w:val="right" w:leader="dot" w:pos="8312"/>
          <w:tab w:val="clear" w:pos="8455"/>
        </w:tabs>
      </w:pPr>
      <w:r>
        <w:rPr>
          <w:rFonts w:ascii="宋体" w:hAnsi="宋体"/>
        </w:rPr>
        <w:fldChar w:fldCharType="begin"/>
      </w:r>
      <w:r>
        <w:rPr>
          <w:rFonts w:ascii="宋体" w:hAnsi="宋体"/>
        </w:rPr>
        <w:instrText xml:space="preserve"> HYPERLINK \l _Toc20320 </w:instrText>
      </w:r>
      <w:r>
        <w:rPr>
          <w:rFonts w:ascii="宋体" w:hAnsi="宋体"/>
        </w:rPr>
        <w:fldChar w:fldCharType="separate"/>
      </w:r>
      <w:r>
        <w:rPr>
          <w:rFonts w:hint="eastAsia"/>
        </w:rPr>
        <w:t>五、基金财产的保管</w:t>
      </w:r>
      <w:r>
        <w:tab/>
      </w:r>
      <w:r>
        <w:fldChar w:fldCharType="begin"/>
      </w:r>
      <w:r>
        <w:instrText xml:space="preserve"> PAGEREF _Toc20320 \h </w:instrText>
      </w:r>
      <w:r>
        <w:fldChar w:fldCharType="separate"/>
      </w:r>
      <w:r>
        <w:t>9</w:t>
      </w:r>
      <w:r>
        <w:fldChar w:fldCharType="end"/>
      </w:r>
      <w:r>
        <w:rPr>
          <w:rFonts w:ascii="宋体" w:hAnsi="宋体"/>
        </w:rPr>
        <w:fldChar w:fldCharType="end"/>
      </w:r>
    </w:p>
    <w:p w14:paraId="52E81D13">
      <w:pPr>
        <w:pStyle w:val="17"/>
        <w:tabs>
          <w:tab w:val="right" w:leader="dot" w:pos="8312"/>
          <w:tab w:val="clear" w:pos="8455"/>
        </w:tabs>
      </w:pPr>
      <w:r>
        <w:rPr>
          <w:rFonts w:ascii="宋体" w:hAnsi="宋体"/>
        </w:rPr>
        <w:fldChar w:fldCharType="begin"/>
      </w:r>
      <w:r>
        <w:rPr>
          <w:rFonts w:ascii="宋体" w:hAnsi="宋体"/>
        </w:rPr>
        <w:instrText xml:space="preserve"> HYPERLINK \l _Toc9361 </w:instrText>
      </w:r>
      <w:r>
        <w:rPr>
          <w:rFonts w:ascii="宋体" w:hAnsi="宋体"/>
        </w:rPr>
        <w:fldChar w:fldCharType="separate"/>
      </w:r>
      <w:r>
        <w:rPr>
          <w:rFonts w:hint="eastAsia"/>
        </w:rPr>
        <w:t>六、指令的发送、确认和执行</w:t>
      </w:r>
      <w:r>
        <w:tab/>
      </w:r>
      <w:r>
        <w:fldChar w:fldCharType="begin"/>
      </w:r>
      <w:r>
        <w:instrText xml:space="preserve"> PAGEREF _Toc9361 \h </w:instrText>
      </w:r>
      <w:r>
        <w:fldChar w:fldCharType="separate"/>
      </w:r>
      <w:r>
        <w:t>12</w:t>
      </w:r>
      <w:r>
        <w:fldChar w:fldCharType="end"/>
      </w:r>
      <w:r>
        <w:rPr>
          <w:rFonts w:ascii="宋体" w:hAnsi="宋体"/>
        </w:rPr>
        <w:fldChar w:fldCharType="end"/>
      </w:r>
    </w:p>
    <w:p w14:paraId="1371DC5F">
      <w:pPr>
        <w:pStyle w:val="17"/>
        <w:tabs>
          <w:tab w:val="right" w:leader="dot" w:pos="8312"/>
          <w:tab w:val="clear" w:pos="8455"/>
        </w:tabs>
      </w:pPr>
      <w:r>
        <w:rPr>
          <w:rFonts w:ascii="宋体" w:hAnsi="宋体"/>
        </w:rPr>
        <w:fldChar w:fldCharType="begin"/>
      </w:r>
      <w:r>
        <w:rPr>
          <w:rFonts w:ascii="宋体" w:hAnsi="宋体"/>
        </w:rPr>
        <w:instrText xml:space="preserve"> HYPERLINK \l _Toc9905 </w:instrText>
      </w:r>
      <w:r>
        <w:rPr>
          <w:rFonts w:ascii="宋体" w:hAnsi="宋体"/>
        </w:rPr>
        <w:fldChar w:fldCharType="separate"/>
      </w:r>
      <w:r>
        <w:rPr>
          <w:rFonts w:hint="eastAsia"/>
        </w:rPr>
        <w:t>七、交易及清算交收安排</w:t>
      </w:r>
      <w:r>
        <w:tab/>
      </w:r>
      <w:r>
        <w:fldChar w:fldCharType="begin"/>
      </w:r>
      <w:r>
        <w:instrText xml:space="preserve"> PAGEREF _Toc9905 \h </w:instrText>
      </w:r>
      <w:r>
        <w:fldChar w:fldCharType="separate"/>
      </w:r>
      <w:r>
        <w:t>15</w:t>
      </w:r>
      <w:r>
        <w:fldChar w:fldCharType="end"/>
      </w:r>
      <w:r>
        <w:rPr>
          <w:rFonts w:ascii="宋体" w:hAnsi="宋体"/>
        </w:rPr>
        <w:fldChar w:fldCharType="end"/>
      </w:r>
    </w:p>
    <w:p w14:paraId="4C5AE800">
      <w:pPr>
        <w:pStyle w:val="17"/>
        <w:tabs>
          <w:tab w:val="right" w:leader="dot" w:pos="8312"/>
          <w:tab w:val="clear" w:pos="8455"/>
        </w:tabs>
      </w:pPr>
      <w:r>
        <w:rPr>
          <w:rFonts w:ascii="宋体" w:hAnsi="宋体"/>
        </w:rPr>
        <w:fldChar w:fldCharType="begin"/>
      </w:r>
      <w:r>
        <w:rPr>
          <w:rFonts w:ascii="宋体" w:hAnsi="宋体"/>
        </w:rPr>
        <w:instrText xml:space="preserve"> HYPERLINK \l _Toc4009 </w:instrText>
      </w:r>
      <w:r>
        <w:rPr>
          <w:rFonts w:ascii="宋体" w:hAnsi="宋体"/>
        </w:rPr>
        <w:fldChar w:fldCharType="separate"/>
      </w:r>
      <w:r>
        <w:rPr>
          <w:rFonts w:hint="eastAsia"/>
        </w:rPr>
        <w:t>八、基金资产净值计算和会计核算</w:t>
      </w:r>
      <w:r>
        <w:tab/>
      </w:r>
      <w:r>
        <w:fldChar w:fldCharType="begin"/>
      </w:r>
      <w:r>
        <w:instrText xml:space="preserve"> PAGEREF _Toc4009 \h </w:instrText>
      </w:r>
      <w:r>
        <w:fldChar w:fldCharType="separate"/>
      </w:r>
      <w:r>
        <w:t>18</w:t>
      </w:r>
      <w:r>
        <w:fldChar w:fldCharType="end"/>
      </w:r>
      <w:r>
        <w:rPr>
          <w:rFonts w:ascii="宋体" w:hAnsi="宋体"/>
        </w:rPr>
        <w:fldChar w:fldCharType="end"/>
      </w:r>
    </w:p>
    <w:p w14:paraId="53ADB092">
      <w:pPr>
        <w:pStyle w:val="17"/>
        <w:tabs>
          <w:tab w:val="right" w:leader="dot" w:pos="8312"/>
          <w:tab w:val="clear" w:pos="8455"/>
        </w:tabs>
      </w:pPr>
      <w:r>
        <w:rPr>
          <w:rFonts w:ascii="宋体" w:hAnsi="宋体"/>
        </w:rPr>
        <w:fldChar w:fldCharType="begin"/>
      </w:r>
      <w:r>
        <w:rPr>
          <w:rFonts w:ascii="宋体" w:hAnsi="宋体"/>
        </w:rPr>
        <w:instrText xml:space="preserve"> HYPERLINK \l _Toc26982 </w:instrText>
      </w:r>
      <w:r>
        <w:rPr>
          <w:rFonts w:ascii="宋体" w:hAnsi="宋体"/>
        </w:rPr>
        <w:fldChar w:fldCharType="separate"/>
      </w:r>
      <w:r>
        <w:rPr>
          <w:rFonts w:hint="eastAsia"/>
        </w:rPr>
        <w:t>九、基金收益分配</w:t>
      </w:r>
      <w:r>
        <w:tab/>
      </w:r>
      <w:r>
        <w:fldChar w:fldCharType="begin"/>
      </w:r>
      <w:r>
        <w:instrText xml:space="preserve"> PAGEREF _Toc26982 \h </w:instrText>
      </w:r>
      <w:r>
        <w:fldChar w:fldCharType="separate"/>
      </w:r>
      <w:r>
        <w:t>24</w:t>
      </w:r>
      <w:r>
        <w:fldChar w:fldCharType="end"/>
      </w:r>
      <w:r>
        <w:rPr>
          <w:rFonts w:ascii="宋体" w:hAnsi="宋体"/>
        </w:rPr>
        <w:fldChar w:fldCharType="end"/>
      </w:r>
    </w:p>
    <w:p w14:paraId="2BEA81B7">
      <w:pPr>
        <w:pStyle w:val="17"/>
        <w:tabs>
          <w:tab w:val="right" w:leader="dot" w:pos="8312"/>
          <w:tab w:val="clear" w:pos="8455"/>
        </w:tabs>
      </w:pPr>
      <w:r>
        <w:rPr>
          <w:rFonts w:ascii="宋体" w:hAnsi="宋体"/>
        </w:rPr>
        <w:fldChar w:fldCharType="begin"/>
      </w:r>
      <w:r>
        <w:rPr>
          <w:rFonts w:ascii="宋体" w:hAnsi="宋体"/>
        </w:rPr>
        <w:instrText xml:space="preserve"> HYPERLINK \l _Toc13871 </w:instrText>
      </w:r>
      <w:r>
        <w:rPr>
          <w:rFonts w:ascii="宋体" w:hAnsi="宋体"/>
        </w:rPr>
        <w:fldChar w:fldCharType="separate"/>
      </w:r>
      <w:r>
        <w:rPr>
          <w:rFonts w:hint="eastAsia"/>
        </w:rPr>
        <w:t>十、基金信息披露</w:t>
      </w:r>
      <w:r>
        <w:tab/>
      </w:r>
      <w:r>
        <w:fldChar w:fldCharType="begin"/>
      </w:r>
      <w:r>
        <w:instrText xml:space="preserve"> PAGEREF _Toc13871 \h </w:instrText>
      </w:r>
      <w:r>
        <w:fldChar w:fldCharType="separate"/>
      </w:r>
      <w:r>
        <w:t>25</w:t>
      </w:r>
      <w:r>
        <w:fldChar w:fldCharType="end"/>
      </w:r>
      <w:r>
        <w:rPr>
          <w:rFonts w:ascii="宋体" w:hAnsi="宋体"/>
        </w:rPr>
        <w:fldChar w:fldCharType="end"/>
      </w:r>
    </w:p>
    <w:p w14:paraId="0E73DDFB">
      <w:pPr>
        <w:pStyle w:val="17"/>
        <w:tabs>
          <w:tab w:val="right" w:leader="dot" w:pos="8312"/>
          <w:tab w:val="clear" w:pos="8455"/>
        </w:tabs>
      </w:pPr>
      <w:r>
        <w:rPr>
          <w:rFonts w:ascii="宋体" w:hAnsi="宋体"/>
        </w:rPr>
        <w:fldChar w:fldCharType="begin"/>
      </w:r>
      <w:r>
        <w:rPr>
          <w:rFonts w:ascii="宋体" w:hAnsi="宋体"/>
        </w:rPr>
        <w:instrText xml:space="preserve"> HYPERLINK \l _Toc14851 </w:instrText>
      </w:r>
      <w:r>
        <w:rPr>
          <w:rFonts w:ascii="宋体" w:hAnsi="宋体"/>
        </w:rPr>
        <w:fldChar w:fldCharType="separate"/>
      </w:r>
      <w:r>
        <w:rPr>
          <w:rFonts w:hint="eastAsia"/>
        </w:rPr>
        <w:t>十一、基金费用</w:t>
      </w:r>
      <w:r>
        <w:tab/>
      </w:r>
      <w:r>
        <w:fldChar w:fldCharType="begin"/>
      </w:r>
      <w:r>
        <w:instrText xml:space="preserve"> PAGEREF _Toc14851 \h </w:instrText>
      </w:r>
      <w:r>
        <w:fldChar w:fldCharType="separate"/>
      </w:r>
      <w:r>
        <w:t>26</w:t>
      </w:r>
      <w:r>
        <w:fldChar w:fldCharType="end"/>
      </w:r>
      <w:r>
        <w:rPr>
          <w:rFonts w:ascii="宋体" w:hAnsi="宋体"/>
        </w:rPr>
        <w:fldChar w:fldCharType="end"/>
      </w:r>
    </w:p>
    <w:p w14:paraId="29E637AF">
      <w:pPr>
        <w:pStyle w:val="17"/>
        <w:tabs>
          <w:tab w:val="right" w:leader="dot" w:pos="8312"/>
          <w:tab w:val="clear" w:pos="8455"/>
        </w:tabs>
      </w:pPr>
      <w:r>
        <w:rPr>
          <w:rFonts w:ascii="宋体" w:hAnsi="宋体"/>
        </w:rPr>
        <w:fldChar w:fldCharType="begin"/>
      </w:r>
      <w:r>
        <w:rPr>
          <w:rFonts w:ascii="宋体" w:hAnsi="宋体"/>
        </w:rPr>
        <w:instrText xml:space="preserve"> HYPERLINK \l _Toc18283 </w:instrText>
      </w:r>
      <w:r>
        <w:rPr>
          <w:rFonts w:ascii="宋体" w:hAnsi="宋体"/>
        </w:rPr>
        <w:fldChar w:fldCharType="separate"/>
      </w:r>
      <w:r>
        <w:rPr>
          <w:rFonts w:hint="eastAsia"/>
        </w:rPr>
        <w:t>十二、基金份额持有人名册的保管</w:t>
      </w:r>
      <w:r>
        <w:tab/>
      </w:r>
      <w:r>
        <w:fldChar w:fldCharType="begin"/>
      </w:r>
      <w:r>
        <w:instrText xml:space="preserve"> PAGEREF _Toc18283 \h </w:instrText>
      </w:r>
      <w:r>
        <w:fldChar w:fldCharType="separate"/>
      </w:r>
      <w:r>
        <w:t>29</w:t>
      </w:r>
      <w:r>
        <w:fldChar w:fldCharType="end"/>
      </w:r>
      <w:r>
        <w:rPr>
          <w:rFonts w:ascii="宋体" w:hAnsi="宋体"/>
        </w:rPr>
        <w:fldChar w:fldCharType="end"/>
      </w:r>
    </w:p>
    <w:p w14:paraId="53A87227">
      <w:pPr>
        <w:pStyle w:val="17"/>
        <w:tabs>
          <w:tab w:val="right" w:leader="dot" w:pos="8312"/>
          <w:tab w:val="clear" w:pos="8455"/>
        </w:tabs>
      </w:pPr>
      <w:r>
        <w:rPr>
          <w:rFonts w:ascii="宋体" w:hAnsi="宋体"/>
        </w:rPr>
        <w:fldChar w:fldCharType="begin"/>
      </w:r>
      <w:r>
        <w:rPr>
          <w:rFonts w:ascii="宋体" w:hAnsi="宋体"/>
        </w:rPr>
        <w:instrText xml:space="preserve"> HYPERLINK \l _Toc3643 </w:instrText>
      </w:r>
      <w:r>
        <w:rPr>
          <w:rFonts w:ascii="宋体" w:hAnsi="宋体"/>
        </w:rPr>
        <w:fldChar w:fldCharType="separate"/>
      </w:r>
      <w:r>
        <w:rPr>
          <w:rFonts w:hint="eastAsia"/>
        </w:rPr>
        <w:t>十三、基金有关文件档案的保存</w:t>
      </w:r>
      <w:r>
        <w:tab/>
      </w:r>
      <w:r>
        <w:fldChar w:fldCharType="begin"/>
      </w:r>
      <w:r>
        <w:instrText xml:space="preserve"> PAGEREF _Toc3643 \h </w:instrText>
      </w:r>
      <w:r>
        <w:fldChar w:fldCharType="separate"/>
      </w:r>
      <w:r>
        <w:t>29</w:t>
      </w:r>
      <w:r>
        <w:fldChar w:fldCharType="end"/>
      </w:r>
      <w:r>
        <w:rPr>
          <w:rFonts w:ascii="宋体" w:hAnsi="宋体"/>
        </w:rPr>
        <w:fldChar w:fldCharType="end"/>
      </w:r>
    </w:p>
    <w:p w14:paraId="612D750F">
      <w:pPr>
        <w:pStyle w:val="17"/>
        <w:tabs>
          <w:tab w:val="right" w:leader="dot" w:pos="8312"/>
          <w:tab w:val="clear" w:pos="8455"/>
        </w:tabs>
      </w:pPr>
      <w:r>
        <w:rPr>
          <w:rFonts w:ascii="宋体" w:hAnsi="宋体"/>
        </w:rPr>
        <w:fldChar w:fldCharType="begin"/>
      </w:r>
      <w:r>
        <w:rPr>
          <w:rFonts w:ascii="宋体" w:hAnsi="宋体"/>
        </w:rPr>
        <w:instrText xml:space="preserve"> HYPERLINK \l _Toc32674 </w:instrText>
      </w:r>
      <w:r>
        <w:rPr>
          <w:rFonts w:ascii="宋体" w:hAnsi="宋体"/>
        </w:rPr>
        <w:fldChar w:fldCharType="separate"/>
      </w:r>
      <w:r>
        <w:rPr>
          <w:rFonts w:hint="eastAsia"/>
        </w:rPr>
        <w:t>十四、基金管理人和基金托管人的更换</w:t>
      </w:r>
      <w:r>
        <w:tab/>
      </w:r>
      <w:r>
        <w:fldChar w:fldCharType="begin"/>
      </w:r>
      <w:r>
        <w:instrText xml:space="preserve"> PAGEREF _Toc32674 \h </w:instrText>
      </w:r>
      <w:r>
        <w:fldChar w:fldCharType="separate"/>
      </w:r>
      <w:r>
        <w:t>30</w:t>
      </w:r>
      <w:r>
        <w:fldChar w:fldCharType="end"/>
      </w:r>
      <w:r>
        <w:rPr>
          <w:rFonts w:ascii="宋体" w:hAnsi="宋体"/>
        </w:rPr>
        <w:fldChar w:fldCharType="end"/>
      </w:r>
    </w:p>
    <w:p w14:paraId="1BA3AE24">
      <w:pPr>
        <w:pStyle w:val="17"/>
        <w:tabs>
          <w:tab w:val="right" w:leader="dot" w:pos="8312"/>
          <w:tab w:val="clear" w:pos="8455"/>
        </w:tabs>
      </w:pPr>
      <w:r>
        <w:rPr>
          <w:rFonts w:ascii="宋体" w:hAnsi="宋体"/>
        </w:rPr>
        <w:fldChar w:fldCharType="begin"/>
      </w:r>
      <w:r>
        <w:rPr>
          <w:rFonts w:ascii="宋体" w:hAnsi="宋体"/>
        </w:rPr>
        <w:instrText xml:space="preserve"> HYPERLINK \l _Toc24855 </w:instrText>
      </w:r>
      <w:r>
        <w:rPr>
          <w:rFonts w:ascii="宋体" w:hAnsi="宋体"/>
        </w:rPr>
        <w:fldChar w:fldCharType="separate"/>
      </w:r>
      <w:r>
        <w:rPr>
          <w:rFonts w:hint="eastAsia"/>
        </w:rPr>
        <w:t>十五、禁止行为</w:t>
      </w:r>
      <w:r>
        <w:tab/>
      </w:r>
      <w:r>
        <w:fldChar w:fldCharType="begin"/>
      </w:r>
      <w:r>
        <w:instrText xml:space="preserve"> PAGEREF _Toc24855 \h </w:instrText>
      </w:r>
      <w:r>
        <w:fldChar w:fldCharType="separate"/>
      </w:r>
      <w:r>
        <w:t>32</w:t>
      </w:r>
      <w:r>
        <w:fldChar w:fldCharType="end"/>
      </w:r>
      <w:r>
        <w:rPr>
          <w:rFonts w:ascii="宋体" w:hAnsi="宋体"/>
        </w:rPr>
        <w:fldChar w:fldCharType="end"/>
      </w:r>
    </w:p>
    <w:p w14:paraId="7C09DBB3">
      <w:pPr>
        <w:pStyle w:val="17"/>
        <w:tabs>
          <w:tab w:val="right" w:leader="dot" w:pos="8312"/>
          <w:tab w:val="clear" w:pos="8455"/>
        </w:tabs>
      </w:pPr>
      <w:r>
        <w:rPr>
          <w:rFonts w:ascii="宋体" w:hAnsi="宋体"/>
        </w:rPr>
        <w:fldChar w:fldCharType="begin"/>
      </w:r>
      <w:r>
        <w:rPr>
          <w:rFonts w:ascii="宋体" w:hAnsi="宋体"/>
        </w:rPr>
        <w:instrText xml:space="preserve"> HYPERLINK \l _Toc17967 </w:instrText>
      </w:r>
      <w:r>
        <w:rPr>
          <w:rFonts w:ascii="宋体" w:hAnsi="宋体"/>
        </w:rPr>
        <w:fldChar w:fldCharType="separate"/>
      </w:r>
      <w:r>
        <w:rPr>
          <w:rFonts w:hint="eastAsia"/>
        </w:rPr>
        <w:t>十六、基金托管协议的变更、终止与基金财产的清算</w:t>
      </w:r>
      <w:r>
        <w:tab/>
      </w:r>
      <w:r>
        <w:fldChar w:fldCharType="begin"/>
      </w:r>
      <w:r>
        <w:instrText xml:space="preserve"> PAGEREF _Toc17967 \h </w:instrText>
      </w:r>
      <w:r>
        <w:fldChar w:fldCharType="separate"/>
      </w:r>
      <w:r>
        <w:t>33</w:t>
      </w:r>
      <w:r>
        <w:fldChar w:fldCharType="end"/>
      </w:r>
      <w:r>
        <w:rPr>
          <w:rFonts w:ascii="宋体" w:hAnsi="宋体"/>
        </w:rPr>
        <w:fldChar w:fldCharType="end"/>
      </w:r>
    </w:p>
    <w:p w14:paraId="1E8F8996">
      <w:pPr>
        <w:pStyle w:val="17"/>
        <w:tabs>
          <w:tab w:val="right" w:leader="dot" w:pos="8312"/>
          <w:tab w:val="clear" w:pos="8455"/>
        </w:tabs>
      </w:pPr>
      <w:r>
        <w:rPr>
          <w:rFonts w:ascii="宋体" w:hAnsi="宋体"/>
        </w:rPr>
        <w:fldChar w:fldCharType="begin"/>
      </w:r>
      <w:r>
        <w:rPr>
          <w:rFonts w:ascii="宋体" w:hAnsi="宋体"/>
        </w:rPr>
        <w:instrText xml:space="preserve"> HYPERLINK \l _Toc15149 </w:instrText>
      </w:r>
      <w:r>
        <w:rPr>
          <w:rFonts w:ascii="宋体" w:hAnsi="宋体"/>
        </w:rPr>
        <w:fldChar w:fldCharType="separate"/>
      </w:r>
      <w:r>
        <w:rPr>
          <w:rFonts w:hint="eastAsia"/>
        </w:rPr>
        <w:t>十七、违约责任</w:t>
      </w:r>
      <w:r>
        <w:tab/>
      </w:r>
      <w:r>
        <w:fldChar w:fldCharType="begin"/>
      </w:r>
      <w:r>
        <w:instrText xml:space="preserve"> PAGEREF _Toc15149 \h </w:instrText>
      </w:r>
      <w:r>
        <w:fldChar w:fldCharType="separate"/>
      </w:r>
      <w:r>
        <w:t>35</w:t>
      </w:r>
      <w:r>
        <w:fldChar w:fldCharType="end"/>
      </w:r>
      <w:r>
        <w:rPr>
          <w:rFonts w:ascii="宋体" w:hAnsi="宋体"/>
        </w:rPr>
        <w:fldChar w:fldCharType="end"/>
      </w:r>
    </w:p>
    <w:p w14:paraId="5C4FB8E6">
      <w:pPr>
        <w:pStyle w:val="17"/>
        <w:tabs>
          <w:tab w:val="right" w:leader="dot" w:pos="8312"/>
          <w:tab w:val="clear" w:pos="8455"/>
        </w:tabs>
      </w:pPr>
      <w:r>
        <w:rPr>
          <w:rFonts w:ascii="宋体" w:hAnsi="宋体"/>
        </w:rPr>
        <w:fldChar w:fldCharType="begin"/>
      </w:r>
      <w:r>
        <w:rPr>
          <w:rFonts w:ascii="宋体" w:hAnsi="宋体"/>
        </w:rPr>
        <w:instrText xml:space="preserve"> HYPERLINK \l _Toc27985 </w:instrText>
      </w:r>
      <w:r>
        <w:rPr>
          <w:rFonts w:ascii="宋体" w:hAnsi="宋体"/>
        </w:rPr>
        <w:fldChar w:fldCharType="separate"/>
      </w:r>
      <w:r>
        <w:rPr>
          <w:rFonts w:hint="eastAsia"/>
        </w:rPr>
        <w:t>十八、争议解决方式</w:t>
      </w:r>
      <w:r>
        <w:tab/>
      </w:r>
      <w:r>
        <w:fldChar w:fldCharType="begin"/>
      </w:r>
      <w:r>
        <w:instrText xml:space="preserve"> PAGEREF _Toc27985 \h </w:instrText>
      </w:r>
      <w:r>
        <w:fldChar w:fldCharType="separate"/>
      </w:r>
      <w:r>
        <w:t>37</w:t>
      </w:r>
      <w:r>
        <w:fldChar w:fldCharType="end"/>
      </w:r>
      <w:r>
        <w:rPr>
          <w:rFonts w:ascii="宋体" w:hAnsi="宋体"/>
        </w:rPr>
        <w:fldChar w:fldCharType="end"/>
      </w:r>
    </w:p>
    <w:p w14:paraId="0BCABBAC">
      <w:pPr>
        <w:pStyle w:val="17"/>
        <w:tabs>
          <w:tab w:val="right" w:leader="dot" w:pos="8312"/>
          <w:tab w:val="clear" w:pos="8455"/>
        </w:tabs>
      </w:pPr>
      <w:r>
        <w:rPr>
          <w:rFonts w:ascii="宋体" w:hAnsi="宋体"/>
        </w:rPr>
        <w:fldChar w:fldCharType="begin"/>
      </w:r>
      <w:r>
        <w:rPr>
          <w:rFonts w:ascii="宋体" w:hAnsi="宋体"/>
        </w:rPr>
        <w:instrText xml:space="preserve"> HYPERLINK \l _Toc27072 </w:instrText>
      </w:r>
      <w:r>
        <w:rPr>
          <w:rFonts w:ascii="宋体" w:hAnsi="宋体"/>
        </w:rPr>
        <w:fldChar w:fldCharType="separate"/>
      </w:r>
      <w:r>
        <w:rPr>
          <w:rFonts w:hint="eastAsia"/>
        </w:rPr>
        <w:t>十九、基金托管协议的效力</w:t>
      </w:r>
      <w:r>
        <w:tab/>
      </w:r>
      <w:r>
        <w:fldChar w:fldCharType="begin"/>
      </w:r>
      <w:r>
        <w:instrText xml:space="preserve"> PAGEREF _Toc27072 \h </w:instrText>
      </w:r>
      <w:r>
        <w:fldChar w:fldCharType="separate"/>
      </w:r>
      <w:r>
        <w:t>37</w:t>
      </w:r>
      <w:r>
        <w:fldChar w:fldCharType="end"/>
      </w:r>
      <w:r>
        <w:rPr>
          <w:rFonts w:ascii="宋体" w:hAnsi="宋体"/>
        </w:rPr>
        <w:fldChar w:fldCharType="end"/>
      </w:r>
    </w:p>
    <w:p w14:paraId="540953F5">
      <w:pPr>
        <w:pStyle w:val="17"/>
        <w:tabs>
          <w:tab w:val="right" w:leader="dot" w:pos="8312"/>
          <w:tab w:val="clear" w:pos="8455"/>
        </w:tabs>
      </w:pPr>
      <w:r>
        <w:rPr>
          <w:rFonts w:ascii="宋体" w:hAnsi="宋体"/>
        </w:rPr>
        <w:fldChar w:fldCharType="begin"/>
      </w:r>
      <w:r>
        <w:rPr>
          <w:rFonts w:ascii="宋体" w:hAnsi="宋体"/>
        </w:rPr>
        <w:instrText xml:space="preserve"> HYPERLINK \l _Toc10573 </w:instrText>
      </w:r>
      <w:r>
        <w:rPr>
          <w:rFonts w:ascii="宋体" w:hAnsi="宋体"/>
        </w:rPr>
        <w:fldChar w:fldCharType="separate"/>
      </w:r>
      <w:r>
        <w:rPr>
          <w:rFonts w:hint="eastAsia"/>
        </w:rPr>
        <w:t>二十、其他事项</w:t>
      </w:r>
      <w:r>
        <w:tab/>
      </w:r>
      <w:r>
        <w:fldChar w:fldCharType="begin"/>
      </w:r>
      <w:r>
        <w:instrText xml:space="preserve"> PAGEREF _Toc10573 \h </w:instrText>
      </w:r>
      <w:r>
        <w:fldChar w:fldCharType="separate"/>
      </w:r>
      <w:r>
        <w:t>37</w:t>
      </w:r>
      <w:r>
        <w:fldChar w:fldCharType="end"/>
      </w:r>
      <w:r>
        <w:rPr>
          <w:rFonts w:ascii="宋体" w:hAnsi="宋体"/>
        </w:rPr>
        <w:fldChar w:fldCharType="end"/>
      </w:r>
    </w:p>
    <w:p w14:paraId="02456629">
      <w:pPr>
        <w:pStyle w:val="17"/>
        <w:tabs>
          <w:tab w:val="right" w:leader="dot" w:pos="8312"/>
          <w:tab w:val="clear" w:pos="8455"/>
        </w:tabs>
      </w:pPr>
      <w:r>
        <w:rPr>
          <w:rFonts w:ascii="宋体" w:hAnsi="宋体"/>
        </w:rPr>
        <w:fldChar w:fldCharType="begin"/>
      </w:r>
      <w:r>
        <w:rPr>
          <w:rFonts w:ascii="宋体" w:hAnsi="宋体"/>
        </w:rPr>
        <w:instrText xml:space="preserve"> HYPERLINK \l _Toc17353 </w:instrText>
      </w:r>
      <w:r>
        <w:rPr>
          <w:rFonts w:ascii="宋体" w:hAnsi="宋体"/>
        </w:rPr>
        <w:fldChar w:fldCharType="separate"/>
      </w:r>
      <w:r>
        <w:rPr>
          <w:rFonts w:hint="eastAsia"/>
        </w:rPr>
        <w:t>二十一、基金托管协议的签订</w:t>
      </w:r>
      <w:r>
        <w:tab/>
      </w:r>
      <w:r>
        <w:fldChar w:fldCharType="begin"/>
      </w:r>
      <w:r>
        <w:instrText xml:space="preserve"> PAGEREF _Toc17353 \h </w:instrText>
      </w:r>
      <w:r>
        <w:fldChar w:fldCharType="separate"/>
      </w:r>
      <w:r>
        <w:t>38</w:t>
      </w:r>
      <w:r>
        <w:fldChar w:fldCharType="end"/>
      </w:r>
      <w:r>
        <w:rPr>
          <w:rFonts w:ascii="宋体" w:hAnsi="宋体"/>
        </w:rPr>
        <w:fldChar w:fldCharType="end"/>
      </w:r>
    </w:p>
    <w:p w14:paraId="09675B17">
      <w:pPr>
        <w:pStyle w:val="17"/>
        <w:tabs>
          <w:tab w:val="right" w:leader="dot" w:pos="8296"/>
          <w:tab w:val="clear" w:pos="8455"/>
        </w:tabs>
        <w:spacing w:before="0"/>
        <w:ind w:firstLine="0"/>
        <w:rPr>
          <w:rStyle w:val="29"/>
          <w:rFonts w:ascii="宋体"/>
        </w:rPr>
      </w:pPr>
      <w:r>
        <w:rPr>
          <w:rFonts w:ascii="宋体" w:hAnsi="宋体"/>
        </w:rPr>
        <w:fldChar w:fldCharType="end"/>
      </w:r>
    </w:p>
    <w:p w14:paraId="0C383F63">
      <w:pPr>
        <w:spacing w:line="360" w:lineRule="auto"/>
        <w:ind w:firstLine="420" w:firstLineChars="200"/>
        <w:rPr>
          <w:rStyle w:val="29"/>
          <w:rFonts w:ascii="宋体"/>
        </w:rPr>
        <w:sectPr>
          <w:footerReference r:id="rId9" w:type="first"/>
          <w:headerReference r:id="rId7" w:type="default"/>
          <w:footerReference r:id="rId8" w:type="default"/>
          <w:pgSz w:w="11906" w:h="16838"/>
          <w:pgMar w:top="1440" w:right="1797" w:bottom="1440" w:left="1797" w:header="851" w:footer="992" w:gutter="0"/>
          <w:cols w:space="720" w:num="1"/>
          <w:titlePg/>
          <w:docGrid w:type="linesAndChars" w:linePitch="312" w:charSpace="0"/>
        </w:sectPr>
      </w:pPr>
    </w:p>
    <w:p w14:paraId="325ABD97">
      <w:pPr>
        <w:spacing w:line="360" w:lineRule="auto"/>
        <w:ind w:firstLine="480" w:firstLineChars="200"/>
        <w:rPr>
          <w:rFonts w:ascii="宋体" w:hAnsi="宋体"/>
          <w:kern w:val="0"/>
          <w:sz w:val="24"/>
        </w:rPr>
      </w:pPr>
      <w:r>
        <w:rPr>
          <w:rFonts w:hint="eastAsia" w:ascii="宋体" w:hAnsi="宋体"/>
          <w:kern w:val="0"/>
          <w:sz w:val="24"/>
        </w:rPr>
        <w:t>鉴于博时基金管理有限公司系一家依照中国法律合法成立并有效存续的有限责任公司，按照相关法律法规的规定具备担任基金管理人的资格和能力，拟管理博时中证机器人交易型开放式指数证券投资基金发起式联接基金（以下简称“本基金”或“基金”）；</w:t>
      </w:r>
    </w:p>
    <w:p w14:paraId="47145FCD">
      <w:pPr>
        <w:spacing w:line="360" w:lineRule="auto"/>
        <w:ind w:firstLine="480" w:firstLineChars="200"/>
        <w:rPr>
          <w:rFonts w:ascii="宋体"/>
          <w:kern w:val="0"/>
          <w:sz w:val="24"/>
        </w:rPr>
      </w:pPr>
      <w:bookmarkStart w:id="0" w:name="_Toc125892433"/>
      <w:bookmarkStart w:id="1" w:name="_Toc523829992"/>
      <w:bookmarkStart w:id="2" w:name="_Toc22454432"/>
      <w:r>
        <w:rPr>
          <w:rFonts w:hint="eastAsia" w:ascii="宋体" w:hAnsi="宋体"/>
          <w:kern w:val="0"/>
          <w:sz w:val="24"/>
        </w:rPr>
        <w:t>鉴于宁波银行股份有限公司系一家依照中国法律合法成立并有效存续的商业银行，按照相关法律法规的规定具备担任基金托管人的资格和能力；</w:t>
      </w:r>
      <w:bookmarkEnd w:id="0"/>
    </w:p>
    <w:p w14:paraId="23521B53">
      <w:pPr>
        <w:spacing w:line="360" w:lineRule="auto"/>
        <w:ind w:firstLine="480" w:firstLineChars="200"/>
        <w:rPr>
          <w:rFonts w:ascii="宋体"/>
          <w:kern w:val="0"/>
          <w:sz w:val="24"/>
        </w:rPr>
      </w:pPr>
      <w:bookmarkStart w:id="3" w:name="_Toc125892434"/>
      <w:r>
        <w:rPr>
          <w:rFonts w:hint="eastAsia" w:ascii="宋体" w:hAnsi="宋体"/>
          <w:kern w:val="0"/>
          <w:sz w:val="24"/>
        </w:rPr>
        <w:t>鉴于博时基金管理有限公司拟担任博时中证机器人交易型开放式指数证券投资基金发起式联接基金的基金管理人，宁波银行股份有限公司拟担任博时中证机器人交易型开放式指数证券投资基金发起式联接基金的基金托管人；</w:t>
      </w:r>
    </w:p>
    <w:p w14:paraId="71F8B056">
      <w:pPr>
        <w:spacing w:line="360" w:lineRule="auto"/>
        <w:ind w:firstLine="480" w:firstLineChars="200"/>
        <w:rPr>
          <w:rFonts w:ascii="宋体"/>
          <w:kern w:val="0"/>
          <w:sz w:val="24"/>
        </w:rPr>
      </w:pPr>
      <w:r>
        <w:rPr>
          <w:rFonts w:hint="eastAsia" w:ascii="宋体" w:hAnsi="宋体"/>
          <w:kern w:val="0"/>
          <w:sz w:val="24"/>
        </w:rPr>
        <w:t>为明确博时中证机器人交易型开放式指数证券投资基金发起式联接基金的基金管理人和基金托管人之间的权利义务关系，特制订本协议；</w:t>
      </w:r>
    </w:p>
    <w:p w14:paraId="27671989">
      <w:pPr>
        <w:spacing w:line="360" w:lineRule="auto"/>
        <w:ind w:firstLine="480" w:firstLineChars="200"/>
        <w:rPr>
          <w:rFonts w:ascii="宋体"/>
          <w:kern w:val="0"/>
          <w:sz w:val="24"/>
        </w:rPr>
      </w:pPr>
      <w:r>
        <w:rPr>
          <w:rFonts w:hint="eastAsia" w:ascii="宋体" w:hAnsi="宋体"/>
          <w:kern w:val="0"/>
          <w:sz w:val="24"/>
        </w:rPr>
        <w:t>除非文义另有所指，本协议的所有术语与《博时中证机器人交易型开放式指数证券投资基金发起式联接基金基金合同》（以下简称《基金合同》）中定义的相应术语具有相同的含义。若有抵触应以《基金合同》为准，并依其条款解释。</w:t>
      </w:r>
    </w:p>
    <w:bookmarkEnd w:id="3"/>
    <w:p w14:paraId="11D1322A">
      <w:pPr>
        <w:pStyle w:val="3"/>
        <w:jc w:val="center"/>
        <w:sectPr>
          <w:footerReference r:id="rId11" w:type="first"/>
          <w:footerReference r:id="rId10" w:type="default"/>
          <w:pgSz w:w="11906" w:h="16838"/>
          <w:pgMar w:top="1440" w:right="1797" w:bottom="1440" w:left="1797" w:header="851" w:footer="992" w:gutter="0"/>
          <w:cols w:space="720" w:num="1"/>
          <w:docGrid w:type="linesAndChars" w:linePitch="312" w:charSpace="0"/>
        </w:sectPr>
      </w:pPr>
      <w:bookmarkStart w:id="4" w:name="_Toc291504129"/>
      <w:bookmarkStart w:id="5" w:name="_Toc430854297"/>
      <w:bookmarkStart w:id="6" w:name="_Toc125892437"/>
    </w:p>
    <w:p w14:paraId="01A6A24F">
      <w:pPr>
        <w:pStyle w:val="3"/>
        <w:jc w:val="center"/>
        <w:rPr>
          <w:sz w:val="30"/>
        </w:rPr>
      </w:pPr>
      <w:bookmarkStart w:id="7" w:name="_Toc21675"/>
      <w:r>
        <w:rPr>
          <w:rFonts w:hint="eastAsia"/>
          <w:sz w:val="30"/>
        </w:rPr>
        <w:t>一、基金托管协议当事人</w:t>
      </w:r>
      <w:bookmarkEnd w:id="1"/>
      <w:bookmarkEnd w:id="2"/>
      <w:bookmarkEnd w:id="4"/>
      <w:bookmarkEnd w:id="5"/>
      <w:bookmarkEnd w:id="6"/>
      <w:bookmarkEnd w:id="7"/>
    </w:p>
    <w:p w14:paraId="061FB3B6">
      <w:pPr>
        <w:tabs>
          <w:tab w:val="left" w:pos="3780"/>
        </w:tabs>
        <w:autoSpaceDE w:val="0"/>
        <w:autoSpaceDN w:val="0"/>
        <w:spacing w:before="156" w:beforeLines="50" w:after="156" w:afterLines="50" w:line="360" w:lineRule="auto"/>
        <w:textAlignment w:val="bottom"/>
        <w:outlineLvl w:val="0"/>
        <w:rPr>
          <w:rFonts w:ascii="宋体"/>
          <w:b/>
          <w:bCs/>
          <w:sz w:val="24"/>
        </w:rPr>
      </w:pPr>
      <w:bookmarkStart w:id="8" w:name="_Toc22454433"/>
      <w:bookmarkStart w:id="9" w:name="_Toc77662992"/>
      <w:r>
        <w:rPr>
          <w:rFonts w:hint="eastAsia" w:ascii="宋体" w:hAnsi="宋体"/>
          <w:b/>
          <w:bCs/>
          <w:sz w:val="24"/>
        </w:rPr>
        <w:t>（一）基金管理人</w:t>
      </w:r>
      <w:bookmarkEnd w:id="8"/>
      <w:bookmarkEnd w:id="9"/>
    </w:p>
    <w:p w14:paraId="37C5FCB5">
      <w:pPr>
        <w:spacing w:line="360" w:lineRule="auto"/>
        <w:ind w:firstLine="480" w:firstLineChars="200"/>
        <w:rPr>
          <w:rFonts w:hAnsi="宋体" w:cs="宋体"/>
          <w:sz w:val="24"/>
        </w:rPr>
      </w:pPr>
      <w:r>
        <w:rPr>
          <w:rFonts w:hint="eastAsia" w:hAnsi="宋体" w:cs="宋体"/>
          <w:sz w:val="24"/>
        </w:rPr>
        <w:t>名称：博时基金管理有限公司</w:t>
      </w:r>
    </w:p>
    <w:p w14:paraId="4E6B48BA">
      <w:pPr>
        <w:spacing w:line="360" w:lineRule="auto"/>
        <w:ind w:firstLine="480" w:firstLineChars="200"/>
        <w:rPr>
          <w:rFonts w:hAnsi="宋体" w:cs="宋体"/>
          <w:sz w:val="24"/>
        </w:rPr>
      </w:pPr>
      <w:r>
        <w:rPr>
          <w:rFonts w:hint="eastAsia" w:hAnsi="宋体" w:cs="宋体"/>
          <w:sz w:val="24"/>
        </w:rPr>
        <w:t>住所：深圳市福田区莲花街道福新社区益田路5999号基金大厦21层</w:t>
      </w:r>
    </w:p>
    <w:p w14:paraId="6E62B11E">
      <w:pPr>
        <w:spacing w:line="360" w:lineRule="auto"/>
        <w:ind w:firstLine="480" w:firstLineChars="200"/>
        <w:rPr>
          <w:rFonts w:hAnsi="宋体" w:cs="宋体"/>
          <w:sz w:val="24"/>
        </w:rPr>
      </w:pPr>
      <w:r>
        <w:rPr>
          <w:rFonts w:hint="eastAsia" w:hAnsi="宋体" w:cs="宋体"/>
          <w:sz w:val="24"/>
        </w:rPr>
        <w:t>办公地址：广东省深圳市福田区益田路5999号基金大厦21层</w:t>
      </w:r>
    </w:p>
    <w:p w14:paraId="7B4E4A0F">
      <w:pPr>
        <w:spacing w:line="360" w:lineRule="auto"/>
        <w:ind w:firstLine="480" w:firstLineChars="200"/>
        <w:rPr>
          <w:rFonts w:hAnsi="宋体" w:cs="宋体"/>
          <w:sz w:val="24"/>
        </w:rPr>
      </w:pPr>
      <w:r>
        <w:rPr>
          <w:rFonts w:hint="eastAsia" w:hAnsi="宋体" w:cs="宋体"/>
          <w:sz w:val="24"/>
        </w:rPr>
        <w:t>邮政编码：518040</w:t>
      </w:r>
    </w:p>
    <w:p w14:paraId="42EA1D7C">
      <w:pPr>
        <w:spacing w:line="360" w:lineRule="auto"/>
        <w:ind w:firstLine="480" w:firstLineChars="200"/>
        <w:rPr>
          <w:rFonts w:hAnsi="宋体" w:cs="宋体"/>
          <w:sz w:val="24"/>
        </w:rPr>
      </w:pPr>
      <w:r>
        <w:rPr>
          <w:rFonts w:hint="eastAsia" w:hAnsi="宋体" w:cs="宋体"/>
          <w:sz w:val="24"/>
        </w:rPr>
        <w:t>法定代表人：张东</w:t>
      </w:r>
    </w:p>
    <w:p w14:paraId="01B41695">
      <w:pPr>
        <w:spacing w:line="360" w:lineRule="auto"/>
        <w:ind w:firstLine="480" w:firstLineChars="200"/>
        <w:rPr>
          <w:rFonts w:hAnsi="宋体" w:cs="宋体"/>
          <w:sz w:val="24"/>
        </w:rPr>
      </w:pPr>
      <w:r>
        <w:rPr>
          <w:rFonts w:hint="eastAsia" w:hAnsi="宋体" w:cs="宋体"/>
          <w:sz w:val="24"/>
        </w:rPr>
        <w:t>成立时间：1998年7月13日</w:t>
      </w:r>
    </w:p>
    <w:p w14:paraId="763EF45C">
      <w:pPr>
        <w:spacing w:line="360" w:lineRule="auto"/>
        <w:ind w:firstLine="480" w:firstLineChars="200"/>
        <w:rPr>
          <w:rFonts w:hAnsi="宋体" w:cs="宋体"/>
          <w:sz w:val="24"/>
        </w:rPr>
      </w:pPr>
      <w:r>
        <w:rPr>
          <w:rFonts w:hint="eastAsia" w:hAnsi="宋体" w:cs="宋体"/>
          <w:sz w:val="24"/>
        </w:rPr>
        <w:t>批准设立机关：中国证券监督管理委员会</w:t>
      </w:r>
    </w:p>
    <w:p w14:paraId="50E5269C">
      <w:pPr>
        <w:spacing w:line="360" w:lineRule="auto"/>
        <w:ind w:firstLine="480" w:firstLineChars="200"/>
        <w:rPr>
          <w:rFonts w:hAnsi="宋体" w:cs="宋体"/>
          <w:sz w:val="24"/>
        </w:rPr>
      </w:pPr>
      <w:r>
        <w:rPr>
          <w:rFonts w:hint="eastAsia" w:hAnsi="宋体" w:cs="宋体"/>
          <w:sz w:val="24"/>
        </w:rPr>
        <w:t>批准设立文号：中国证监会证监基字【1998】26号</w:t>
      </w:r>
    </w:p>
    <w:p w14:paraId="3322E4AF">
      <w:pPr>
        <w:spacing w:line="360" w:lineRule="auto"/>
        <w:ind w:firstLine="480" w:firstLineChars="200"/>
        <w:rPr>
          <w:rFonts w:hAnsi="宋体" w:cs="宋体"/>
          <w:sz w:val="24"/>
        </w:rPr>
      </w:pPr>
      <w:r>
        <w:rPr>
          <w:rFonts w:hint="eastAsia" w:hAnsi="宋体" w:cs="宋体"/>
          <w:sz w:val="24"/>
        </w:rPr>
        <w:t>组织形式：有限责任公司</w:t>
      </w:r>
    </w:p>
    <w:p w14:paraId="33DD0566">
      <w:pPr>
        <w:spacing w:line="360" w:lineRule="auto"/>
        <w:ind w:firstLine="480" w:firstLineChars="200"/>
        <w:rPr>
          <w:rFonts w:hAnsi="宋体" w:cs="宋体"/>
          <w:sz w:val="24"/>
        </w:rPr>
      </w:pPr>
      <w:r>
        <w:rPr>
          <w:rFonts w:hint="eastAsia" w:hAnsi="宋体" w:cs="宋体"/>
          <w:sz w:val="24"/>
        </w:rPr>
        <w:t>注册资本：2.5亿元人民币</w:t>
      </w:r>
    </w:p>
    <w:p w14:paraId="0206290A">
      <w:pPr>
        <w:spacing w:line="360" w:lineRule="auto"/>
        <w:ind w:firstLine="480" w:firstLineChars="200"/>
        <w:rPr>
          <w:rFonts w:hAnsi="宋体" w:cs="宋体"/>
          <w:sz w:val="24"/>
        </w:rPr>
      </w:pPr>
      <w:r>
        <w:rPr>
          <w:rFonts w:hint="eastAsia" w:hAnsi="宋体" w:cs="宋体"/>
          <w:sz w:val="24"/>
        </w:rPr>
        <w:t>存续期间：持续经营</w:t>
      </w:r>
    </w:p>
    <w:p w14:paraId="04859938">
      <w:pPr>
        <w:spacing w:line="360" w:lineRule="auto"/>
        <w:ind w:firstLine="480" w:firstLineChars="200"/>
        <w:rPr>
          <w:rFonts w:hAnsi="宋体" w:cs="宋体"/>
          <w:sz w:val="24"/>
        </w:rPr>
      </w:pPr>
      <w:r>
        <w:rPr>
          <w:rFonts w:hint="eastAsia" w:hAnsi="宋体" w:cs="宋体"/>
          <w:sz w:val="24"/>
        </w:rPr>
        <w:t>经营范围：基金募集；基金销售；资产管理以及中国证监会许可的其它业务</w:t>
      </w:r>
    </w:p>
    <w:p w14:paraId="29ABFEC3">
      <w:pPr>
        <w:tabs>
          <w:tab w:val="left" w:pos="3780"/>
        </w:tabs>
        <w:autoSpaceDE w:val="0"/>
        <w:autoSpaceDN w:val="0"/>
        <w:spacing w:before="156" w:beforeLines="50" w:after="156" w:afterLines="50" w:line="360" w:lineRule="auto"/>
        <w:textAlignment w:val="bottom"/>
        <w:outlineLvl w:val="0"/>
        <w:rPr>
          <w:rFonts w:ascii="宋体"/>
          <w:b/>
          <w:bCs/>
          <w:sz w:val="24"/>
        </w:rPr>
      </w:pPr>
      <w:bookmarkStart w:id="10" w:name="_Toc22454434"/>
      <w:bookmarkStart w:id="11" w:name="_Toc77662993"/>
      <w:r>
        <w:rPr>
          <w:rFonts w:hint="eastAsia" w:ascii="宋体" w:hAnsi="宋体"/>
          <w:b/>
          <w:bCs/>
          <w:sz w:val="24"/>
        </w:rPr>
        <w:t>（二）基金托管人</w:t>
      </w:r>
      <w:bookmarkEnd w:id="10"/>
      <w:bookmarkEnd w:id="11"/>
    </w:p>
    <w:p w14:paraId="577CE325">
      <w:pPr>
        <w:spacing w:line="360" w:lineRule="auto"/>
        <w:ind w:firstLine="480" w:firstLineChars="200"/>
        <w:rPr>
          <w:rFonts w:hAnsi="宋体" w:cs="宋体"/>
          <w:sz w:val="24"/>
        </w:rPr>
      </w:pPr>
      <w:r>
        <w:rPr>
          <w:rFonts w:hint="eastAsia" w:hAnsi="宋体" w:cs="宋体"/>
          <w:sz w:val="24"/>
        </w:rPr>
        <w:t>名称：宁波银行股份有限公司(简称：宁波银行)</w:t>
      </w:r>
    </w:p>
    <w:p w14:paraId="2599E57C">
      <w:pPr>
        <w:spacing w:line="360" w:lineRule="auto"/>
        <w:ind w:firstLine="480" w:firstLineChars="200"/>
        <w:rPr>
          <w:rFonts w:hAnsi="宋体" w:cs="宋体"/>
          <w:sz w:val="24"/>
        </w:rPr>
      </w:pPr>
      <w:r>
        <w:rPr>
          <w:rFonts w:hint="eastAsia" w:hAnsi="宋体" w:cs="宋体"/>
          <w:sz w:val="24"/>
        </w:rPr>
        <w:t>住所：浙江省宁波市鄞州区宁东路345号</w:t>
      </w:r>
    </w:p>
    <w:p w14:paraId="4922CED9">
      <w:pPr>
        <w:spacing w:line="360" w:lineRule="auto"/>
        <w:ind w:firstLine="480" w:firstLineChars="200"/>
        <w:rPr>
          <w:rFonts w:hAnsi="宋体" w:cs="宋体"/>
          <w:sz w:val="24"/>
        </w:rPr>
      </w:pPr>
      <w:r>
        <w:rPr>
          <w:rFonts w:hint="eastAsia" w:hAnsi="宋体" w:cs="宋体"/>
          <w:sz w:val="24"/>
        </w:rPr>
        <w:t>办公地址：浙江省宁波市鄞州区宁东路345号</w:t>
      </w:r>
    </w:p>
    <w:p w14:paraId="2A35D626">
      <w:pPr>
        <w:spacing w:line="360" w:lineRule="auto"/>
        <w:ind w:firstLine="480" w:firstLineChars="200"/>
        <w:rPr>
          <w:rFonts w:hAnsi="宋体" w:cs="宋体"/>
          <w:sz w:val="24"/>
        </w:rPr>
      </w:pPr>
      <w:r>
        <w:rPr>
          <w:rFonts w:hint="eastAsia" w:hAnsi="宋体" w:cs="宋体"/>
          <w:sz w:val="24"/>
        </w:rPr>
        <w:t>邮政编码：315100</w:t>
      </w:r>
    </w:p>
    <w:p w14:paraId="3C0DE37C">
      <w:pPr>
        <w:spacing w:line="360" w:lineRule="auto"/>
        <w:ind w:firstLine="480" w:firstLineChars="200"/>
        <w:rPr>
          <w:rFonts w:hAnsi="宋体" w:cs="宋体"/>
          <w:sz w:val="24"/>
        </w:rPr>
      </w:pPr>
      <w:r>
        <w:rPr>
          <w:rFonts w:hint="eastAsia" w:hAnsi="宋体" w:cs="宋体"/>
          <w:sz w:val="24"/>
        </w:rPr>
        <w:t>法定代表人：庄灵君</w:t>
      </w:r>
    </w:p>
    <w:p w14:paraId="17DB1880">
      <w:pPr>
        <w:spacing w:line="360" w:lineRule="auto"/>
        <w:ind w:firstLine="480" w:firstLineChars="200"/>
        <w:rPr>
          <w:rFonts w:hAnsi="宋体" w:cs="宋体"/>
          <w:sz w:val="24"/>
        </w:rPr>
      </w:pPr>
      <w:r>
        <w:rPr>
          <w:rFonts w:hint="eastAsia" w:hAnsi="宋体" w:cs="宋体"/>
          <w:sz w:val="24"/>
        </w:rPr>
        <w:t>成立时间：1997年04月10日</w:t>
      </w:r>
    </w:p>
    <w:p w14:paraId="2BE04CCB">
      <w:pPr>
        <w:spacing w:line="360" w:lineRule="auto"/>
        <w:ind w:firstLine="480" w:firstLineChars="200"/>
        <w:rPr>
          <w:rFonts w:hint="eastAsia" w:hAnsi="宋体" w:cs="宋体"/>
          <w:sz w:val="24"/>
        </w:rPr>
      </w:pPr>
      <w:r>
        <w:rPr>
          <w:rFonts w:hint="eastAsia" w:hAnsi="宋体" w:cs="宋体"/>
          <w:sz w:val="24"/>
        </w:rPr>
        <w:t>批准设立机关及批准设立文号：中国银行业监督管理委员会银监复【2007】64号</w:t>
      </w:r>
    </w:p>
    <w:p w14:paraId="41B65894">
      <w:pPr>
        <w:spacing w:line="360" w:lineRule="auto"/>
        <w:ind w:firstLine="480" w:firstLineChars="200"/>
        <w:rPr>
          <w:rFonts w:hAnsi="宋体" w:cs="宋体"/>
          <w:sz w:val="24"/>
        </w:rPr>
      </w:pPr>
      <w:r>
        <w:rPr>
          <w:rFonts w:hint="eastAsia" w:hAnsi="宋体" w:cs="宋体"/>
          <w:sz w:val="24"/>
        </w:rPr>
        <w:t>基金托管业务批准文号：证监许可【2012】1432号</w:t>
      </w:r>
    </w:p>
    <w:p w14:paraId="2480123F">
      <w:pPr>
        <w:spacing w:line="360" w:lineRule="auto"/>
        <w:ind w:firstLine="480" w:firstLineChars="200"/>
        <w:rPr>
          <w:rFonts w:hAnsi="宋体" w:cs="宋体"/>
          <w:sz w:val="24"/>
        </w:rPr>
      </w:pPr>
      <w:r>
        <w:rPr>
          <w:rFonts w:hint="eastAsia" w:hAnsi="宋体" w:cs="宋体"/>
          <w:sz w:val="24"/>
        </w:rPr>
        <w:t>组织形式：股份有限公司</w:t>
      </w:r>
    </w:p>
    <w:p w14:paraId="58857C5B">
      <w:pPr>
        <w:spacing w:line="360" w:lineRule="auto"/>
        <w:ind w:firstLine="480" w:firstLineChars="200"/>
        <w:rPr>
          <w:rFonts w:hAnsi="宋体" w:cs="宋体"/>
          <w:sz w:val="24"/>
        </w:rPr>
      </w:pPr>
      <w:r>
        <w:rPr>
          <w:rFonts w:hint="eastAsia" w:hAnsi="宋体" w:cs="宋体"/>
          <w:sz w:val="24"/>
        </w:rPr>
        <w:t>注册资本：</w:t>
      </w:r>
      <w:r>
        <w:rPr>
          <w:rFonts w:hAnsi="宋体" w:cs="宋体"/>
          <w:sz w:val="24"/>
        </w:rPr>
        <w:t>660359.0792</w:t>
      </w:r>
      <w:r>
        <w:rPr>
          <w:rFonts w:hint="eastAsia" w:hAnsi="宋体" w:cs="宋体"/>
          <w:sz w:val="24"/>
        </w:rPr>
        <w:t>万人民币</w:t>
      </w:r>
    </w:p>
    <w:p w14:paraId="3063C003">
      <w:pPr>
        <w:spacing w:line="360" w:lineRule="auto"/>
        <w:ind w:firstLine="480" w:firstLineChars="200"/>
        <w:rPr>
          <w:sz w:val="24"/>
        </w:rPr>
      </w:pPr>
      <w:r>
        <w:rPr>
          <w:rFonts w:hint="eastAsia" w:hAnsi="宋体" w:cs="宋体"/>
          <w:sz w:val="24"/>
        </w:rPr>
        <w:t>存续期间：持续经营</w:t>
      </w:r>
    </w:p>
    <w:p w14:paraId="4FD40E5F">
      <w:pPr>
        <w:spacing w:line="360" w:lineRule="auto"/>
        <w:ind w:firstLine="480" w:firstLineChars="200"/>
        <w:rPr>
          <w:sz w:val="24"/>
        </w:rPr>
      </w:pPr>
      <w:r>
        <w:rPr>
          <w:rFonts w:hint="eastAsia" w:hAnsi="宋体" w:cs="宋体"/>
          <w:sz w:val="24"/>
        </w:rPr>
        <w:t>经营范围：吸收公众存款；发放短期、中期和长期贷款；办理国内外结算；办理票据承兑与贴现；发行金融债券；代理发行、代理兑付、承销政府债券；买卖政府债券、金融债券等有价证券；从事同业拆借；提供信用证服务及担保；从事银行卡服务；代理收付款项及代理保险业务；提供保管箱服务；外汇存、贷款；经中国银行业监督管理机构等监管部门批准的其他业务。</w:t>
      </w:r>
    </w:p>
    <w:p w14:paraId="58223B72">
      <w:pPr>
        <w:pStyle w:val="3"/>
        <w:jc w:val="center"/>
        <w:rPr>
          <w:sz w:val="30"/>
        </w:rPr>
      </w:pPr>
      <w:bookmarkStart w:id="12" w:name="_Toc466788852"/>
      <w:bookmarkStart w:id="13" w:name="_Toc12786"/>
      <w:bookmarkStart w:id="14" w:name="_Toc22454435"/>
      <w:bookmarkStart w:id="15" w:name="_Toc125892438"/>
      <w:bookmarkStart w:id="16" w:name="_Toc430854298"/>
      <w:bookmarkStart w:id="17" w:name="_Toc291504130"/>
      <w:bookmarkStart w:id="18" w:name="_Toc523829993"/>
      <w:r>
        <w:rPr>
          <w:rFonts w:hint="eastAsia"/>
          <w:sz w:val="30"/>
        </w:rPr>
        <w:t>二、基金托管协议的依据、目的和原则</w:t>
      </w:r>
      <w:bookmarkEnd w:id="12"/>
      <w:bookmarkEnd w:id="13"/>
      <w:bookmarkEnd w:id="14"/>
      <w:bookmarkEnd w:id="15"/>
      <w:bookmarkEnd w:id="16"/>
      <w:bookmarkEnd w:id="17"/>
      <w:bookmarkEnd w:id="18"/>
    </w:p>
    <w:p w14:paraId="14BC8CA7">
      <w:pPr>
        <w:spacing w:line="360" w:lineRule="auto"/>
        <w:ind w:firstLine="480" w:firstLineChars="200"/>
        <w:rPr>
          <w:rFonts w:ascii="宋体"/>
          <w:kern w:val="0"/>
          <w:sz w:val="24"/>
        </w:rPr>
      </w:pPr>
      <w:r>
        <w:rPr>
          <w:rFonts w:hint="eastAsia" w:ascii="宋体" w:hAnsi="宋体"/>
          <w:kern w:val="0"/>
          <w:sz w:val="24"/>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w:t>
      </w:r>
      <w:r>
        <w:rPr>
          <w:rFonts w:hint="eastAsia" w:ascii="宋体" w:hAnsi="宋体" w:cs="Times New Roman"/>
          <w:kern w:val="0"/>
          <w:sz w:val="24"/>
        </w:rPr>
        <w:t>、《公开募集证券投资基金运作指引第2号——基金中基金指引》、《公开募集证券投资基金运作指引第3号——指数基金指引》</w:t>
      </w:r>
      <w:r>
        <w:rPr>
          <w:rFonts w:hint="eastAsia" w:ascii="宋体" w:hAnsi="宋体"/>
          <w:kern w:val="0"/>
          <w:sz w:val="24"/>
        </w:rPr>
        <w:t>、《博时中证机器人交易型开放式指数证券投资基金发起式联接基金基金合同》（以下简称《基金合同》）及其他有关规定订立。</w:t>
      </w:r>
    </w:p>
    <w:p w14:paraId="11C95AF1">
      <w:pPr>
        <w:spacing w:line="360" w:lineRule="auto"/>
        <w:ind w:firstLine="480" w:firstLineChars="200"/>
        <w:rPr>
          <w:rFonts w:ascii="宋体"/>
          <w:kern w:val="0"/>
          <w:sz w:val="24"/>
        </w:rPr>
      </w:pPr>
      <w:r>
        <w:rPr>
          <w:rFonts w:hint="eastAsia" w:ascii="宋体" w:hAnsi="宋体"/>
          <w:kern w:val="0"/>
          <w:sz w:val="24"/>
        </w:rPr>
        <w:t>本协议的目的是明确基金管理人和基金托管人之间在基金财产的保管、投资运作、净值计算、收益分配、信息披露及相互监督等有关事宜中的权利、义务及职责，以确保基金财产的安全，保护基金份额持有人的合法权益。</w:t>
      </w:r>
    </w:p>
    <w:p w14:paraId="2A37D3D3">
      <w:pPr>
        <w:spacing w:line="360" w:lineRule="auto"/>
        <w:ind w:firstLine="480" w:firstLineChars="200"/>
        <w:rPr>
          <w:rFonts w:ascii="宋体"/>
          <w:kern w:val="0"/>
          <w:sz w:val="24"/>
        </w:rPr>
      </w:pPr>
      <w:r>
        <w:rPr>
          <w:rFonts w:hint="eastAsia" w:ascii="宋体" w:hAnsi="宋体"/>
          <w:kern w:val="0"/>
          <w:sz w:val="24"/>
        </w:rPr>
        <w:t>基金管理人和基金托管人遵循平等自愿、诚实信用、充分保护投资者合法利益的原则，经协商一致，签订本协议。</w:t>
      </w:r>
    </w:p>
    <w:p w14:paraId="7110CA45">
      <w:pPr>
        <w:pStyle w:val="3"/>
        <w:jc w:val="center"/>
        <w:rPr>
          <w:rFonts w:hAnsi="宋体"/>
          <w:b w:val="0"/>
          <w:sz w:val="30"/>
        </w:rPr>
      </w:pPr>
      <w:bookmarkStart w:id="19" w:name="_Toc466788853"/>
      <w:bookmarkStart w:id="20" w:name="_Toc17294"/>
      <w:bookmarkStart w:id="21" w:name="_Toc430854299"/>
      <w:bookmarkStart w:id="22" w:name="_Toc291504131"/>
      <w:bookmarkStart w:id="23" w:name="_Toc22454436"/>
      <w:bookmarkStart w:id="24" w:name="_Toc523829994"/>
      <w:bookmarkStart w:id="25" w:name="_Toc125892439"/>
      <w:r>
        <w:rPr>
          <w:rFonts w:hint="eastAsia"/>
          <w:sz w:val="30"/>
        </w:rPr>
        <w:t>三、基金托管人对基金管理人</w:t>
      </w:r>
      <w:bookmarkEnd w:id="19"/>
      <w:r>
        <w:rPr>
          <w:rFonts w:hint="eastAsia"/>
          <w:sz w:val="30"/>
        </w:rPr>
        <w:t>的业务监督和核查</w:t>
      </w:r>
      <w:bookmarkEnd w:id="20"/>
      <w:bookmarkEnd w:id="21"/>
      <w:bookmarkEnd w:id="22"/>
      <w:bookmarkEnd w:id="23"/>
      <w:bookmarkEnd w:id="24"/>
      <w:bookmarkEnd w:id="25"/>
    </w:p>
    <w:p w14:paraId="31BCE9B4">
      <w:pPr>
        <w:tabs>
          <w:tab w:val="left" w:pos="3780"/>
        </w:tabs>
        <w:autoSpaceDE w:val="0"/>
        <w:autoSpaceDN w:val="0"/>
        <w:spacing w:before="156" w:beforeLines="50" w:after="156" w:afterLines="50" w:line="360" w:lineRule="auto"/>
        <w:ind w:firstLine="0" w:firstLineChars="0"/>
        <w:textAlignment w:val="bottom"/>
        <w:outlineLvl w:val="0"/>
        <w:rPr>
          <w:rFonts w:ascii="宋体"/>
          <w:b/>
          <w:bCs/>
          <w:sz w:val="24"/>
        </w:rPr>
      </w:pPr>
      <w:r>
        <w:rPr>
          <w:rFonts w:hint="eastAsia" w:ascii="宋体" w:hAnsi="宋体"/>
          <w:b/>
          <w:bCs/>
          <w:sz w:val="24"/>
        </w:rPr>
        <w:t>（一）基金托管人对基金管理人的投资行为行使监督权</w:t>
      </w:r>
    </w:p>
    <w:p w14:paraId="2405CDF3">
      <w:pPr>
        <w:tabs>
          <w:tab w:val="left" w:pos="3780"/>
        </w:tabs>
        <w:autoSpaceDE w:val="0"/>
        <w:autoSpaceDN w:val="0"/>
        <w:spacing w:before="156" w:beforeLines="50" w:after="156" w:afterLines="50" w:line="360" w:lineRule="auto"/>
        <w:ind w:firstLine="352" w:firstLineChars="147"/>
        <w:textAlignment w:val="bottom"/>
        <w:outlineLvl w:val="0"/>
        <w:rPr>
          <w:rFonts w:ascii="宋体" w:hAnsi="宋体"/>
          <w:bCs/>
          <w:sz w:val="24"/>
        </w:rPr>
      </w:pPr>
      <w:r>
        <w:rPr>
          <w:rFonts w:hint="eastAsia" w:ascii="宋体" w:hAnsi="宋体"/>
          <w:bCs/>
          <w:sz w:val="24"/>
        </w:rPr>
        <w:t>（</w:t>
      </w:r>
      <w:r>
        <w:rPr>
          <w:rFonts w:ascii="宋体" w:hAnsi="宋体"/>
          <w:bCs/>
          <w:sz w:val="24"/>
        </w:rPr>
        <w:t>1</w:t>
      </w:r>
      <w:r>
        <w:rPr>
          <w:rFonts w:hint="eastAsia" w:ascii="宋体" w:hAnsi="宋体"/>
          <w:bCs/>
          <w:sz w:val="24"/>
        </w:rPr>
        <w:t>）基金托管人根据有关法律法规的规定及《基金合同》和本协议的约定，对基金的投资范围进行监督。</w:t>
      </w:r>
    </w:p>
    <w:p w14:paraId="6737961C">
      <w:pPr>
        <w:spacing w:line="360" w:lineRule="auto"/>
        <w:ind w:firstLine="480" w:firstLineChars="200"/>
        <w:rPr>
          <w:rFonts w:hint="eastAsia" w:ascii="宋体" w:hAnsi="宋体"/>
          <w:kern w:val="0"/>
          <w:sz w:val="24"/>
        </w:rPr>
      </w:pPr>
      <w:r>
        <w:rPr>
          <w:rFonts w:hint="eastAsia" w:ascii="宋体" w:hAnsi="宋体"/>
          <w:kern w:val="0"/>
          <w:sz w:val="24"/>
        </w:rPr>
        <w:t>本基金主要投资于目标ETF、标的指数成份股和备选成份股（含存托凭证）。</w:t>
      </w:r>
    </w:p>
    <w:p w14:paraId="65C15053">
      <w:pPr>
        <w:spacing w:line="360" w:lineRule="auto"/>
        <w:ind w:firstLine="480" w:firstLineChars="200"/>
        <w:rPr>
          <w:rFonts w:hint="eastAsia" w:ascii="宋体" w:hAnsi="宋体"/>
          <w:kern w:val="0"/>
          <w:sz w:val="24"/>
        </w:rPr>
      </w:pPr>
      <w:r>
        <w:rPr>
          <w:rFonts w:hint="eastAsia" w:ascii="宋体" w:hAnsi="宋体"/>
          <w:kern w:val="0"/>
          <w:sz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3BD82F6F">
      <w:pPr>
        <w:spacing w:line="360" w:lineRule="auto"/>
        <w:ind w:firstLine="480" w:firstLineChars="200"/>
        <w:rPr>
          <w:rFonts w:hint="eastAsia" w:ascii="宋体" w:hAnsi="宋体"/>
          <w:kern w:val="0"/>
          <w:sz w:val="24"/>
        </w:rPr>
      </w:pPr>
      <w:r>
        <w:rPr>
          <w:rFonts w:hint="eastAsia" w:ascii="宋体" w:hAnsi="宋体"/>
          <w:kern w:val="0"/>
          <w:sz w:val="24"/>
        </w:rPr>
        <w:t>本基金将根据法律法规的规定参与融资及转融通证券出借业务。未来在法律法规允许的前提下，本基金可根据相关法律法规规定参与融券业务。</w:t>
      </w:r>
    </w:p>
    <w:p w14:paraId="34FF2D2D">
      <w:pPr>
        <w:spacing w:line="360" w:lineRule="auto"/>
        <w:ind w:firstLine="480" w:firstLineChars="200"/>
        <w:rPr>
          <w:rFonts w:hint="eastAsia" w:ascii="宋体" w:hAnsi="宋体"/>
          <w:kern w:val="0"/>
          <w:sz w:val="24"/>
        </w:rPr>
      </w:pPr>
      <w:r>
        <w:rPr>
          <w:rFonts w:hint="eastAsia" w:ascii="宋体" w:hAnsi="宋体"/>
          <w:kern w:val="0"/>
          <w:sz w:val="24"/>
        </w:rPr>
        <w:t>本基金根据相关法律法规或中国证监会要求履行适当程序后，还可以投资于法律法规或中国证监会未来允许基金投资的其他金融工具。</w:t>
      </w:r>
    </w:p>
    <w:p w14:paraId="4C4FAC26">
      <w:pPr>
        <w:spacing w:line="360" w:lineRule="auto"/>
        <w:ind w:firstLine="480" w:firstLineChars="200"/>
        <w:rPr>
          <w:rFonts w:ascii="宋体"/>
          <w:kern w:val="0"/>
          <w:sz w:val="24"/>
        </w:rPr>
      </w:pPr>
      <w:r>
        <w:rPr>
          <w:rFonts w:hint="eastAsia" w:ascii="宋体" w:hAnsi="宋体"/>
          <w:kern w:val="0"/>
          <w:sz w:val="24"/>
        </w:rPr>
        <w:t>基金托管人对基金管理人业务进行监督和核查的义务自基金合同生效日起开始履行。</w:t>
      </w:r>
    </w:p>
    <w:p w14:paraId="5E93290A">
      <w:pPr>
        <w:tabs>
          <w:tab w:val="left" w:pos="3780"/>
        </w:tabs>
        <w:autoSpaceDE w:val="0"/>
        <w:autoSpaceDN w:val="0"/>
        <w:spacing w:before="156" w:beforeLines="50" w:after="156" w:afterLines="50" w:line="360" w:lineRule="auto"/>
        <w:ind w:firstLine="352" w:firstLineChars="147"/>
        <w:textAlignment w:val="bottom"/>
        <w:outlineLvl w:val="0"/>
        <w:rPr>
          <w:rFonts w:hint="eastAsia"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）基金托管人根据有关法律法规的规定及《基金合同》和本协议的约定，对基金投资比例进行监督。</w:t>
      </w:r>
    </w:p>
    <w:p w14:paraId="6E59FCB1">
      <w:pPr>
        <w:tabs>
          <w:tab w:val="left" w:pos="3780"/>
        </w:tabs>
        <w:autoSpaceDE w:val="0"/>
        <w:autoSpaceDN w:val="0"/>
        <w:spacing w:before="156" w:beforeLines="50" w:after="156" w:afterLines="50" w:line="360" w:lineRule="auto"/>
        <w:ind w:firstLine="352" w:firstLineChars="147"/>
        <w:textAlignment w:val="bottom"/>
        <w:outlineLvl w:val="0"/>
        <w:rPr>
          <w:rFonts w:hint="eastAsia" w:ascii="宋体" w:hAnsi="宋体"/>
          <w:bCs/>
          <w:sz w:val="24"/>
        </w:rPr>
      </w:pPr>
      <w:r>
        <w:rPr>
          <w:rFonts w:hint="eastAsia" w:ascii="宋体" w:hAnsi="宋体"/>
          <w:bCs/>
          <w:sz w:val="24"/>
        </w:rPr>
        <w:t>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254BBDA6">
      <w:pPr>
        <w:tabs>
          <w:tab w:val="left" w:pos="3780"/>
        </w:tabs>
        <w:autoSpaceDE w:val="0"/>
        <w:autoSpaceDN w:val="0"/>
        <w:spacing w:before="156" w:beforeLines="50" w:after="156" w:afterLines="50" w:line="360" w:lineRule="auto"/>
        <w:ind w:firstLine="352" w:firstLineChars="147"/>
        <w:textAlignment w:val="bottom"/>
        <w:outlineLvl w:val="0"/>
        <w:rPr>
          <w:rFonts w:hint="eastAsia" w:ascii="宋体" w:hAnsi="宋体"/>
          <w:bCs/>
          <w:sz w:val="24"/>
        </w:rPr>
      </w:pPr>
      <w:r>
        <w:rPr>
          <w:rFonts w:hint="eastAsia" w:ascii="宋体" w:hAnsi="宋体"/>
          <w:bCs/>
          <w:sz w:val="24"/>
        </w:rPr>
        <w:t>若法律法规的相关规定发生变更或监管机构允许，本基金管理人在履行适当程序后，可对上述资产配置比例进行调整。</w:t>
      </w:r>
    </w:p>
    <w:p w14:paraId="5F05A84E">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基金的投资组合应遵循以下限制：</w:t>
      </w:r>
    </w:p>
    <w:p w14:paraId="09A98352">
      <w:pPr>
        <w:tabs>
          <w:tab w:val="left" w:pos="1260"/>
        </w:tabs>
        <w:spacing w:line="360" w:lineRule="auto"/>
        <w:ind w:firstLine="480" w:firstLineChars="200"/>
        <w:rPr>
          <w:rFonts w:hint="eastAsia" w:ascii="宋体" w:hAnsi="宋体"/>
          <w:kern w:val="0"/>
          <w:sz w:val="24"/>
        </w:rPr>
      </w:pPr>
      <w:bookmarkStart w:id="26" w:name="_Hlk112964338"/>
      <w:r>
        <w:rPr>
          <w:rFonts w:hint="eastAsia" w:ascii="宋体" w:hAnsi="宋体"/>
          <w:kern w:val="0"/>
          <w:sz w:val="24"/>
        </w:rPr>
        <w:t>1）本基金投资于目标ETF的资产比例不低于基金资产净值的90%，且不低于非现金基金资产的80%，投资港股通标的股票的比例不超过本基金股票资产的10%；</w:t>
      </w:r>
    </w:p>
    <w:p w14:paraId="76D7A4B9">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456299A9">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3）本基金持有一家公司发行的证券，其市值（若同时持有一家公司发行的A股和H股，则为A股与H股合计市值）不超过基金资产净值的10%，但完全按照标的指数的构成比例进行投资的基金品种不受此限制；</w:t>
      </w:r>
    </w:p>
    <w:p w14:paraId="012805B3">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4）本基金管理人管理的全部基金持有一家公司发行的证券，不超过该证券（若同时持有一家公司发行的A股和H股，则为A股与H股合计市值）的10%，但完全按照标的指数的构成比例进行投资的基金品种不受此限制；</w:t>
      </w:r>
    </w:p>
    <w:p w14:paraId="71A1E17D">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5）本基金资产总值不得超过基金资产净值的140%；</w:t>
      </w:r>
    </w:p>
    <w:p w14:paraId="46EE7CE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6）本基金进入全国银行间同业市场进行债券回购的资金余额不得超过基金资产净值的40%，在全国银行间同业市场中进行的债券回购期限不得超过1年，债券回购到期后不得展期；</w:t>
      </w:r>
    </w:p>
    <w:p w14:paraId="13AD5B8D">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7）本基金投资于同一原始权益人的各类资产支持证券的比例，不得超过基金资产净值的10%；</w:t>
      </w:r>
    </w:p>
    <w:p w14:paraId="05F7F5D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8）本基金持有的全部资产支持证券，其市值不得超过基金资产净值的20%；</w:t>
      </w:r>
    </w:p>
    <w:p w14:paraId="27F4A21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9）本基金持有的同一(指同一信用级别)资产支持证券的比例，不得超过该资产支持证券规模的10%；</w:t>
      </w:r>
    </w:p>
    <w:p w14:paraId="639C3584">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10）本基金管理人管理的全部基金投资于同一原始权益人的各类资产支持证券，不得超过其各类资产支持证券合计规模的10%；</w:t>
      </w:r>
    </w:p>
    <w:p w14:paraId="0D21CDD0">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11）本基金应投资于信用级别评级为BBB以上(含BBB)的资产支持证券。基金持有资产支持证券期间，如果其信用等级下降、不再符合投资标准，应在评级报告发布之日起3个月内予以全部卖出；</w:t>
      </w:r>
    </w:p>
    <w:p w14:paraId="7A1D7111">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12）基金财产参与股票发行申购，本基金所申报的金额不超过本基金的总资产，本基金所申报的股票数量不超过拟发行股票公司本次发行股票的总量；</w:t>
      </w:r>
    </w:p>
    <w:p w14:paraId="5E514719">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13）本基金参与融资的，在任何交易日日终，本基金融资买入股票与其他有价证券市值之和，不得超过基金资产净值的95%；</w:t>
      </w:r>
    </w:p>
    <w:p w14:paraId="4533C04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14）本基金投资于股指期货和国债期货，还应遵循如下投资组合限制：</w:t>
      </w:r>
    </w:p>
    <w:p w14:paraId="4C068059">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A.在任何交易日日终，本基金持有的买入股指期货合约价值不超过基金资产净值的10%；在任何交易日日终，持有的买入国债期货合约价值，不得超过基金资产净值15%；</w:t>
      </w:r>
    </w:p>
    <w:p w14:paraId="012853E7">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B.在任何交易日日终，持有的卖出股指期货合约价值不超过基金持有的股票总市值的20%；在任何交易日日终，持有的卖出国债期货合约价值不得超过基金持有的债券总市值的30%；</w:t>
      </w:r>
    </w:p>
    <w:p w14:paraId="1DA8BBD7">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C.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617B15F0">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D.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5D69B137">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E.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63D8855D">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15）本基金投资于股票期权，还应遵循如下投资组合限制：</w:t>
      </w:r>
    </w:p>
    <w:p w14:paraId="1DEB1BCB">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A.因未平仓的期权合约支付和收取的权利金总额不得超过基金资产净值的10%；</w:t>
      </w:r>
    </w:p>
    <w:p w14:paraId="01CAF162">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B.开仓卖出认购期权的，应持有足额标的证券；开仓卖出认沽期权的，应持有合约行权所需的全额现金或交易所规则认可的可冲抵期权保证金的现金等价物；</w:t>
      </w:r>
    </w:p>
    <w:p w14:paraId="4A7BCFDF">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C.未平仓的期权合约面值不得超过基金资产净值的20%。其中，合约面值按照行权价乘以合约乘数计算；</w:t>
      </w:r>
    </w:p>
    <w:p w14:paraId="6ABEE839">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16）本基金参与转融通证券出借业务，需遵守下列投资限制：</w:t>
      </w:r>
    </w:p>
    <w:p w14:paraId="4E3E392F">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A.出借证券资产不得超过基金资产净值的30%，出借期限在10 个交易日以上的出借证券应纳入《流动性风险管理规定》所述流动性受限证券的范围；</w:t>
      </w:r>
    </w:p>
    <w:p w14:paraId="625AE728">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B.参与出借业务的单只证券不得超过本基金持有该证券总量的50%；</w:t>
      </w:r>
    </w:p>
    <w:p w14:paraId="000BA6A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C.最近6个月内日均基金资产净值不得低于2亿元；</w:t>
      </w:r>
    </w:p>
    <w:p w14:paraId="4A5AF43B">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D.证券出借的平均剩余期限不得超过30天，平均剩余期限按照市值加权平均计算；</w:t>
      </w:r>
    </w:p>
    <w:p w14:paraId="7C201C26">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因证券市场波动、上市公司合并、基金规模变动等基金管理人之外的因素致使基金投资不符合上述规定的，基金管理人不得新增出借业务；</w:t>
      </w:r>
    </w:p>
    <w:p w14:paraId="45419990">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17）本基金主动投资于流动性受限资产的市值合计不得超过本基金资产净值的15%；</w:t>
      </w:r>
    </w:p>
    <w:p w14:paraId="294E4BD4">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因证券市场波动、上市公司股票停牌、基金规模变动等基金管理人之外的因素致使基金不符合该比例限制的，基金管理人不得主动新增流动性受限资产的投资；</w:t>
      </w:r>
    </w:p>
    <w:p w14:paraId="043946D2">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18）本基金与私募类证券资管产品及中国证监会认定的其他主体为交易对手开展逆回购交易的，可接受质押品的资质要求应当与基金合同约定的投资范围保持一致；</w:t>
      </w:r>
    </w:p>
    <w:p w14:paraId="43B4D144">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19）本基金投资存托凭证的比例限制依照境内上市交易的股票执行，与境内上市交易的股票合并计算；</w:t>
      </w:r>
    </w:p>
    <w:p w14:paraId="3E0CDB6D">
      <w:pPr>
        <w:spacing w:line="360" w:lineRule="auto"/>
        <w:ind w:firstLine="480" w:firstLineChars="200"/>
        <w:rPr>
          <w:rFonts w:hint="eastAsia" w:ascii="宋体" w:hAnsi="宋体"/>
          <w:bCs/>
          <w:sz w:val="24"/>
        </w:rPr>
      </w:pPr>
      <w:r>
        <w:rPr>
          <w:rFonts w:hint="eastAsia" w:ascii="宋体" w:hAnsi="宋体"/>
          <w:kern w:val="0"/>
          <w:sz w:val="24"/>
        </w:rPr>
        <w:t>20）相关法律法规以及监管部门规定的和基金合同约定的其它投资比例限制。</w:t>
      </w:r>
    </w:p>
    <w:p w14:paraId="5A876DE1">
      <w:pPr>
        <w:spacing w:line="360" w:lineRule="auto"/>
        <w:ind w:firstLine="480" w:firstLineChars="200"/>
        <w:rPr>
          <w:rFonts w:hint="eastAsia" w:ascii="宋体" w:hAnsi="宋体"/>
          <w:bCs/>
          <w:sz w:val="24"/>
        </w:rPr>
      </w:pPr>
      <w:r>
        <w:rPr>
          <w:rFonts w:hint="eastAsia" w:ascii="宋体" w:hAnsi="宋体"/>
          <w:bCs/>
          <w:sz w:val="24"/>
        </w:rPr>
        <w:t>除上述第1）、2）、11）、16）、17）、18）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78822961">
      <w:pPr>
        <w:spacing w:line="360" w:lineRule="auto"/>
        <w:ind w:firstLine="480" w:firstLineChars="200"/>
        <w:rPr>
          <w:rFonts w:ascii="宋体" w:hAnsi="宋体"/>
          <w:bCs/>
          <w:sz w:val="24"/>
        </w:rPr>
      </w:pPr>
      <w:bookmarkStart w:id="27" w:name="_Hlk112964544"/>
      <w:r>
        <w:rPr>
          <w:rFonts w:hint="eastAsia" w:ascii="宋体" w:hAnsi="宋体"/>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2AD80C14">
      <w:pPr>
        <w:spacing w:line="360" w:lineRule="auto"/>
        <w:ind w:firstLine="480" w:firstLineChars="200"/>
        <w:rPr>
          <w:rFonts w:hint="eastAsia" w:ascii="宋体" w:hAnsi="宋体"/>
          <w:bCs/>
          <w:sz w:val="24"/>
        </w:rPr>
      </w:pPr>
      <w:r>
        <w:rPr>
          <w:rFonts w:hint="eastAsia" w:ascii="宋体" w:hAnsi="宋体"/>
          <w:bCs/>
          <w:sz w:val="24"/>
        </w:rPr>
        <w:t>法律法规或监管部门取消或变更上述限制，如适用于本基金，基金管理人在履行适当程序后，则本基金投资不再受相关限制，或以变更后的规定为准。</w:t>
      </w:r>
    </w:p>
    <w:bookmarkEnd w:id="26"/>
    <w:bookmarkEnd w:id="27"/>
    <w:p w14:paraId="555E628C">
      <w:pPr>
        <w:tabs>
          <w:tab w:val="left" w:pos="1260"/>
        </w:tabs>
        <w:spacing w:line="360" w:lineRule="auto"/>
        <w:ind w:firstLine="480" w:firstLineChars="200"/>
        <w:rPr>
          <w:rFonts w:ascii="宋体"/>
          <w:kern w:val="0"/>
          <w:sz w:val="24"/>
        </w:rPr>
      </w:pPr>
      <w:r>
        <w:rPr>
          <w:rFonts w:hint="eastAsia" w:ascii="宋体" w:hAnsi="宋体"/>
          <w:kern w:val="0"/>
          <w:sz w:val="24"/>
        </w:rPr>
        <w:t>基金托管人依照上述规定对本基金的投资组合限制及调整期限进行监督。</w:t>
      </w:r>
    </w:p>
    <w:p w14:paraId="4D14B237">
      <w:pPr>
        <w:spacing w:line="360" w:lineRule="auto"/>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）基金托管人</w:t>
      </w:r>
      <w:bookmarkStart w:id="28" w:name="OLE_LINK1"/>
      <w:r>
        <w:rPr>
          <w:rFonts w:hint="eastAsia" w:ascii="宋体" w:hAnsi="宋体"/>
          <w:sz w:val="24"/>
        </w:rPr>
        <w:t>根据有关法律法规的规定及基金合同和本协议的约定，</w:t>
      </w:r>
      <w:bookmarkEnd w:id="28"/>
      <w:r>
        <w:rPr>
          <w:rFonts w:hint="eastAsia" w:ascii="宋体" w:hAnsi="宋体"/>
          <w:sz w:val="24"/>
        </w:rPr>
        <w:t>对基金投资禁止行为进行监督。基金财产不得用于下列投资或者活动。</w:t>
      </w:r>
    </w:p>
    <w:p w14:paraId="06F4C6CD">
      <w:pPr>
        <w:spacing w:line="360" w:lineRule="auto"/>
        <w:ind w:firstLine="480" w:firstLineChars="200"/>
        <w:rPr>
          <w:rFonts w:ascii="宋体" w:hAnsi="宋体"/>
          <w:bCs/>
          <w:kern w:val="0"/>
          <w:sz w:val="24"/>
        </w:rPr>
      </w:pPr>
      <w:bookmarkStart w:id="29" w:name="_Hlk112964572"/>
      <w:r>
        <w:rPr>
          <w:rFonts w:hint="eastAsia" w:ascii="宋体" w:hAnsi="宋体"/>
          <w:bCs/>
          <w:kern w:val="0"/>
          <w:sz w:val="24"/>
        </w:rPr>
        <w:t>1）承销证券；</w:t>
      </w:r>
    </w:p>
    <w:p w14:paraId="11F02D1C">
      <w:pPr>
        <w:spacing w:line="360" w:lineRule="auto"/>
        <w:ind w:firstLine="480" w:firstLineChars="200"/>
        <w:rPr>
          <w:rFonts w:ascii="宋体" w:hAnsi="宋体"/>
          <w:bCs/>
          <w:kern w:val="0"/>
          <w:sz w:val="24"/>
        </w:rPr>
      </w:pPr>
      <w:r>
        <w:rPr>
          <w:rFonts w:hint="eastAsia" w:ascii="宋体" w:hAnsi="宋体"/>
          <w:bCs/>
          <w:kern w:val="0"/>
          <w:sz w:val="24"/>
        </w:rPr>
        <w:t>2）违反规定向他人贷款或者提供担保；</w:t>
      </w:r>
    </w:p>
    <w:p w14:paraId="267481CB">
      <w:pPr>
        <w:spacing w:line="360" w:lineRule="auto"/>
        <w:ind w:firstLine="480" w:firstLineChars="200"/>
        <w:rPr>
          <w:rFonts w:ascii="宋体" w:hAnsi="宋体"/>
          <w:bCs/>
          <w:kern w:val="0"/>
          <w:sz w:val="24"/>
        </w:rPr>
      </w:pPr>
      <w:r>
        <w:rPr>
          <w:rFonts w:hint="eastAsia" w:ascii="宋体" w:hAnsi="宋体"/>
          <w:bCs/>
          <w:kern w:val="0"/>
          <w:sz w:val="24"/>
        </w:rPr>
        <w:t>3）从事承担无限责任的投资；</w:t>
      </w:r>
    </w:p>
    <w:p w14:paraId="5D761B5A">
      <w:pPr>
        <w:spacing w:line="360" w:lineRule="auto"/>
        <w:ind w:firstLine="480" w:firstLineChars="200"/>
        <w:rPr>
          <w:rFonts w:ascii="宋体" w:hAnsi="宋体"/>
          <w:bCs/>
          <w:kern w:val="0"/>
          <w:sz w:val="24"/>
        </w:rPr>
      </w:pPr>
      <w:r>
        <w:rPr>
          <w:rFonts w:hint="eastAsia" w:ascii="宋体" w:hAnsi="宋体"/>
          <w:bCs/>
          <w:kern w:val="0"/>
          <w:sz w:val="24"/>
        </w:rPr>
        <w:t>4）买卖除目标ETF外的其他基金份额，但是中国证监会另有规定的除外；</w:t>
      </w:r>
    </w:p>
    <w:p w14:paraId="4BAE0C2A">
      <w:pPr>
        <w:spacing w:line="360" w:lineRule="auto"/>
        <w:ind w:firstLine="480" w:firstLineChars="200"/>
        <w:rPr>
          <w:rFonts w:ascii="宋体" w:hAnsi="宋体"/>
          <w:bCs/>
          <w:kern w:val="0"/>
          <w:sz w:val="24"/>
        </w:rPr>
      </w:pPr>
      <w:r>
        <w:rPr>
          <w:rFonts w:hint="eastAsia" w:ascii="宋体" w:hAnsi="宋体"/>
          <w:bCs/>
          <w:kern w:val="0"/>
          <w:sz w:val="24"/>
        </w:rPr>
        <w:t>5）向其基金管理人、基金托管人出资；</w:t>
      </w:r>
    </w:p>
    <w:p w14:paraId="21D48231">
      <w:pPr>
        <w:spacing w:line="360" w:lineRule="auto"/>
        <w:ind w:firstLine="480" w:firstLineChars="200"/>
        <w:rPr>
          <w:rFonts w:ascii="宋体" w:hAnsi="宋体"/>
          <w:bCs/>
          <w:kern w:val="0"/>
          <w:sz w:val="24"/>
        </w:rPr>
      </w:pPr>
      <w:r>
        <w:rPr>
          <w:rFonts w:hint="eastAsia" w:ascii="宋体" w:hAnsi="宋体"/>
          <w:bCs/>
          <w:kern w:val="0"/>
          <w:sz w:val="24"/>
        </w:rPr>
        <w:t>6）从事内幕交易、操纵证券交易价格及其他不正当的证券交易活动；</w:t>
      </w:r>
    </w:p>
    <w:p w14:paraId="3A8A9AB9">
      <w:pPr>
        <w:spacing w:line="360" w:lineRule="auto"/>
        <w:ind w:firstLine="480" w:firstLineChars="200"/>
        <w:rPr>
          <w:bCs/>
          <w:sz w:val="24"/>
        </w:rPr>
      </w:pPr>
      <w:r>
        <w:rPr>
          <w:rFonts w:hint="eastAsia" w:ascii="宋体" w:hAnsi="宋体"/>
          <w:bCs/>
          <w:kern w:val="0"/>
          <w:sz w:val="24"/>
        </w:rPr>
        <w:t>7）法律、行政法规和中国证监会规定禁止的其他活动。</w:t>
      </w:r>
    </w:p>
    <w:p w14:paraId="06F2D55F">
      <w:pPr>
        <w:tabs>
          <w:tab w:val="left" w:pos="1260"/>
        </w:tabs>
        <w:spacing w:line="360" w:lineRule="auto"/>
        <w:ind w:firstLine="480" w:firstLineChars="200"/>
        <w:rPr>
          <w:rFonts w:hint="eastAsia" w:ascii="宋体" w:hAnsi="宋体"/>
          <w:bCs/>
          <w:kern w:val="0"/>
          <w:sz w:val="24"/>
        </w:rPr>
      </w:pPr>
      <w:r>
        <w:rPr>
          <w:rFonts w:hint="eastAsia" w:ascii="宋体" w:hAnsi="宋体"/>
          <w:bCs/>
          <w:kern w:val="0"/>
          <w:sz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bookmarkEnd w:id="29"/>
    <w:p w14:paraId="7A27458E">
      <w:pPr>
        <w:tabs>
          <w:tab w:val="left" w:pos="1260"/>
        </w:tabs>
        <w:spacing w:line="360" w:lineRule="auto"/>
        <w:ind w:firstLine="480" w:firstLineChars="200"/>
        <w:rPr>
          <w:rFonts w:ascii="宋体"/>
          <w:kern w:val="0"/>
          <w:sz w:val="24"/>
        </w:rPr>
      </w:pPr>
      <w:bookmarkStart w:id="30" w:name="_Hlk112964576"/>
      <w:r>
        <w:rPr>
          <w:rFonts w:hint="eastAsia" w:ascii="宋体" w:hAnsi="宋体"/>
          <w:bCs/>
          <w:kern w:val="0"/>
          <w:sz w:val="24"/>
        </w:rPr>
        <w:t>法律、行政法规或监管部门变更或取消上述规定，在履行适当程序后，本基金可按变更后的规定执行或不受上述规定的限制。</w:t>
      </w:r>
      <w:bookmarkEnd w:id="30"/>
    </w:p>
    <w:p w14:paraId="23BDA053">
      <w:pPr>
        <w:tabs>
          <w:tab w:val="left" w:pos="3780"/>
        </w:tabs>
        <w:autoSpaceDE w:val="0"/>
        <w:autoSpaceDN w:val="0"/>
        <w:spacing w:before="156" w:beforeLines="50" w:after="156" w:afterLines="50" w:line="360" w:lineRule="auto"/>
        <w:ind w:firstLine="0" w:firstLineChars="0"/>
        <w:textAlignment w:val="bottom"/>
        <w:outlineLvl w:val="0"/>
        <w:rPr>
          <w:rFonts w:ascii="宋体" w:hAnsi="宋体"/>
          <w:b/>
          <w:bCs/>
          <w:sz w:val="24"/>
        </w:rPr>
      </w:pPr>
      <w:r>
        <w:rPr>
          <w:rFonts w:hint="eastAsia" w:ascii="宋体" w:hAnsi="宋体"/>
          <w:b/>
          <w:bCs/>
          <w:sz w:val="24"/>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14F8C39B">
      <w:pPr>
        <w:tabs>
          <w:tab w:val="left" w:pos="3780"/>
        </w:tabs>
        <w:autoSpaceDE w:val="0"/>
        <w:autoSpaceDN w:val="0"/>
        <w:spacing w:before="156" w:beforeLines="50" w:after="156" w:afterLines="50" w:line="360" w:lineRule="auto"/>
        <w:ind w:firstLine="0" w:firstLineChars="0"/>
        <w:textAlignment w:val="bottom"/>
        <w:outlineLvl w:val="0"/>
        <w:rPr>
          <w:rFonts w:ascii="宋体" w:hAnsi="宋体"/>
          <w:b/>
          <w:bCs/>
          <w:sz w:val="24"/>
        </w:rPr>
      </w:pPr>
      <w:r>
        <w:rPr>
          <w:rFonts w:hint="eastAsia" w:ascii="宋体" w:hAnsi="宋体"/>
          <w:b/>
          <w:bCs/>
          <w:sz w:val="24"/>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452B1FF9">
      <w:pPr>
        <w:tabs>
          <w:tab w:val="left" w:pos="1260"/>
        </w:tabs>
        <w:spacing w:line="360" w:lineRule="auto"/>
        <w:ind w:firstLine="480" w:firstLineChars="200"/>
        <w:rPr>
          <w:rFonts w:ascii="宋体"/>
          <w:kern w:val="0"/>
          <w:sz w:val="24"/>
        </w:rPr>
      </w:pPr>
      <w:r>
        <w:rPr>
          <w:rFonts w:hint="eastAsia" w:ascii="宋体" w:hAnsi="宋体"/>
          <w:kern w:val="0"/>
          <w:sz w:val="24"/>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2B38AE11">
      <w:pPr>
        <w:tabs>
          <w:tab w:val="left" w:pos="1260"/>
        </w:tabs>
        <w:spacing w:line="360" w:lineRule="auto"/>
        <w:ind w:firstLine="480" w:firstLineChars="200"/>
        <w:rPr>
          <w:rFonts w:ascii="宋体"/>
          <w:kern w:val="0"/>
          <w:sz w:val="24"/>
        </w:rPr>
      </w:pPr>
      <w:r>
        <w:rPr>
          <w:rFonts w:hint="eastAsia" w:ascii="宋体" w:hAnsi="宋体"/>
          <w:kern w:val="0"/>
          <w:sz w:val="24"/>
        </w:rPr>
        <w:t>基金托管人发现基金管理人有重大违规行为，应立即报告中国证监会，同时通知基金管理人在限期内纠正。</w:t>
      </w:r>
    </w:p>
    <w:p w14:paraId="5C48BDFC">
      <w:pPr>
        <w:tabs>
          <w:tab w:val="left" w:pos="1260"/>
        </w:tabs>
        <w:spacing w:line="360" w:lineRule="auto"/>
        <w:ind w:firstLine="480" w:firstLineChars="200"/>
        <w:rPr>
          <w:rFonts w:ascii="宋体"/>
          <w:kern w:val="0"/>
          <w:sz w:val="24"/>
        </w:rPr>
      </w:pPr>
      <w:r>
        <w:rPr>
          <w:rFonts w:hint="eastAsia" w:ascii="宋体" w:hAnsi="宋体"/>
          <w:kern w:val="0"/>
          <w:sz w:val="24"/>
        </w:rPr>
        <w:t>基金托管人发现基金管理人的指令违反法律、行政法规和其他有关规定，或者违反《基金合同》约定的，应当视情况暂缓或拒绝执行，立即通知基金管理人，并有权向中国证监会报告。</w:t>
      </w:r>
    </w:p>
    <w:p w14:paraId="4B6E741A">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基金托管人发现基金管理人依据交易程序已经生效的指令违反法律、行政法规和其他有关规定，或者违反《基金合同》约定的，应当立即通知基金管理人，并有权向中国证监会报告。</w:t>
      </w:r>
      <w:bookmarkStart w:id="31" w:name="_Toc125892440"/>
    </w:p>
    <w:p w14:paraId="27C729E2">
      <w:pPr>
        <w:tabs>
          <w:tab w:val="left" w:pos="1260"/>
        </w:tabs>
        <w:spacing w:line="360" w:lineRule="auto"/>
        <w:ind w:firstLine="480" w:firstLineChars="200"/>
        <w:rPr>
          <w:rFonts w:ascii="宋体"/>
          <w:kern w:val="0"/>
          <w:sz w:val="24"/>
        </w:rPr>
      </w:pPr>
      <w:r>
        <w:rPr>
          <w:rFonts w:hint="eastAsia" w:ascii="宋体"/>
          <w:kern w:val="0"/>
          <w:sz w:val="24"/>
        </w:rPr>
        <w:t>基金管理人应对基金投资的合规性负责，包括但不限于遵守关联关系等外部法律法规的要求。</w:t>
      </w:r>
    </w:p>
    <w:p w14:paraId="6D186B9C">
      <w:pPr>
        <w:tabs>
          <w:tab w:val="left" w:pos="1260"/>
        </w:tabs>
        <w:spacing w:line="360" w:lineRule="auto"/>
        <w:ind w:firstLine="0" w:firstLineChars="0"/>
        <w:rPr>
          <w:rFonts w:ascii="宋体" w:hAnsi="宋体"/>
          <w:b/>
          <w:bCs/>
          <w:sz w:val="24"/>
        </w:rPr>
      </w:pPr>
      <w:r>
        <w:rPr>
          <w:rFonts w:hint="eastAsia" w:ascii="宋体" w:hAnsi="宋体"/>
          <w:b/>
          <w:bCs/>
          <w:sz w:val="24"/>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52BA7D4B">
      <w:pPr>
        <w:tabs>
          <w:tab w:val="left" w:pos="1260"/>
        </w:tabs>
        <w:spacing w:line="360" w:lineRule="auto"/>
        <w:ind w:firstLine="480" w:firstLineChars="200"/>
        <w:rPr>
          <w:rFonts w:ascii="宋体"/>
          <w:kern w:val="0"/>
          <w:sz w:val="24"/>
        </w:rPr>
      </w:pPr>
      <w:r>
        <w:rPr>
          <w:rFonts w:hint="eastAsia" w:ascii="宋体"/>
          <w:kern w:val="0"/>
          <w:sz w:val="24"/>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56F7B917">
      <w:pPr>
        <w:tabs>
          <w:tab w:val="left" w:pos="3780"/>
        </w:tabs>
        <w:autoSpaceDE w:val="0"/>
        <w:autoSpaceDN w:val="0"/>
        <w:spacing w:before="156" w:beforeLines="50" w:after="156" w:afterLines="50" w:line="360" w:lineRule="auto"/>
        <w:textAlignment w:val="bottom"/>
        <w:outlineLvl w:val="0"/>
        <w:rPr>
          <w:rFonts w:ascii="宋体"/>
          <w:kern w:val="0"/>
          <w:sz w:val="24"/>
        </w:rPr>
      </w:pPr>
    </w:p>
    <w:p w14:paraId="2878FE1C">
      <w:pPr>
        <w:pStyle w:val="3"/>
        <w:jc w:val="center"/>
        <w:rPr>
          <w:sz w:val="30"/>
        </w:rPr>
      </w:pPr>
      <w:bookmarkStart w:id="32" w:name="_Toc5076"/>
      <w:bookmarkStart w:id="33" w:name="_Toc430854300"/>
      <w:bookmarkStart w:id="34" w:name="_Toc291504132"/>
      <w:r>
        <w:rPr>
          <w:rFonts w:hint="eastAsia"/>
          <w:sz w:val="30"/>
        </w:rPr>
        <w:t>四、基金管理人对基金托管人的业务核查</w:t>
      </w:r>
      <w:bookmarkEnd w:id="31"/>
      <w:bookmarkEnd w:id="32"/>
      <w:bookmarkEnd w:id="33"/>
      <w:bookmarkEnd w:id="34"/>
    </w:p>
    <w:p w14:paraId="3A1836F6">
      <w:pPr>
        <w:tabs>
          <w:tab w:val="left" w:pos="1260"/>
        </w:tabs>
        <w:spacing w:line="360" w:lineRule="auto"/>
        <w:ind w:firstLine="480" w:firstLineChars="200"/>
        <w:rPr>
          <w:rFonts w:ascii="宋体"/>
          <w:kern w:val="0"/>
          <w:sz w:val="24"/>
        </w:rPr>
      </w:pPr>
      <w:r>
        <w:rPr>
          <w:rFonts w:hint="eastAsia" w:ascii="宋体" w:hAnsi="宋体"/>
          <w:kern w:val="0"/>
          <w:sz w:val="24"/>
        </w:rPr>
        <w:t>根据《基金法》及其他有关法规、《基金合同》和本协议规定，基金管理人对基金托管人履行托管职责的情况进行核查，核查事项包括但不限于基金托管人是否安全保管基金财产、是否开立基金财产的资金账户、证券账户及债券托管账户等</w:t>
      </w:r>
      <w:r>
        <w:rPr>
          <w:rFonts w:ascii="宋体" w:hAnsi="宋体"/>
          <w:kern w:val="0"/>
          <w:sz w:val="24"/>
        </w:rPr>
        <w:t>投资所需账户</w:t>
      </w:r>
      <w:r>
        <w:rPr>
          <w:rFonts w:hint="eastAsia" w:ascii="宋体" w:hAnsi="宋体"/>
          <w:kern w:val="0"/>
          <w:sz w:val="24"/>
        </w:rPr>
        <w:t>，是否及时、准确复核基金管理人计算的基金资产净值和各类基金份额净值，是否根据基金管理人指令办理清算交收，是否按照法规规定和《基金合同》规定进行相关信息披露和监督基金投资运作等行为。</w:t>
      </w:r>
    </w:p>
    <w:p w14:paraId="73A2969E">
      <w:pPr>
        <w:tabs>
          <w:tab w:val="left" w:pos="1260"/>
        </w:tabs>
        <w:spacing w:line="360" w:lineRule="auto"/>
        <w:ind w:firstLine="480" w:firstLineChars="200"/>
        <w:rPr>
          <w:rFonts w:ascii="宋体"/>
          <w:kern w:val="0"/>
          <w:sz w:val="24"/>
        </w:rPr>
      </w:pPr>
      <w:r>
        <w:rPr>
          <w:rFonts w:hint="eastAsia" w:ascii="宋体" w:hAnsi="宋体"/>
          <w:kern w:val="0"/>
          <w:sz w:val="24"/>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6A1D62CD">
      <w:pPr>
        <w:tabs>
          <w:tab w:val="left" w:pos="1260"/>
        </w:tabs>
        <w:spacing w:line="360" w:lineRule="auto"/>
        <w:ind w:firstLine="480" w:firstLineChars="200"/>
        <w:rPr>
          <w:rFonts w:ascii="宋体"/>
          <w:kern w:val="0"/>
          <w:sz w:val="24"/>
        </w:rPr>
      </w:pPr>
      <w:r>
        <w:rPr>
          <w:rFonts w:hint="eastAsia" w:ascii="宋体" w:hAnsi="宋体"/>
          <w:kern w:val="0"/>
          <w:sz w:val="24"/>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w:t>
      </w:r>
      <w:r>
        <w:rPr>
          <w:rFonts w:hint="eastAsia" w:ascii="宋体" w:hAnsi="宋体"/>
          <w:sz w:val="24"/>
        </w:rPr>
        <w:t>对基金管理人按照法规要求需向中国证监会报送基金监督报告的，基金托管人应积极配合提供相关数据资料和制度等。</w:t>
      </w:r>
    </w:p>
    <w:p w14:paraId="6685826A">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21CEFD97">
      <w:pPr>
        <w:tabs>
          <w:tab w:val="left" w:pos="1260"/>
        </w:tabs>
        <w:spacing w:line="360" w:lineRule="auto"/>
        <w:ind w:firstLine="480" w:firstLineChars="200"/>
        <w:rPr>
          <w:rFonts w:ascii="宋体"/>
          <w:kern w:val="0"/>
          <w:sz w:val="24"/>
        </w:rPr>
      </w:pPr>
      <w:r>
        <w:rPr>
          <w:rFonts w:hint="eastAsia" w:ascii="宋体" w:hAnsi="宋体"/>
          <w:kern w:val="0"/>
          <w:sz w:val="24"/>
        </w:rPr>
        <w:t>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35306BCA">
      <w:pPr>
        <w:pStyle w:val="3"/>
        <w:jc w:val="center"/>
        <w:rPr>
          <w:sz w:val="30"/>
        </w:rPr>
      </w:pPr>
      <w:bookmarkStart w:id="35" w:name="_Toc22454437"/>
      <w:bookmarkStart w:id="36" w:name="_Toc291504133"/>
      <w:bookmarkStart w:id="37" w:name="_Toc20320"/>
      <w:bookmarkStart w:id="38" w:name="_Toc125892441"/>
      <w:bookmarkStart w:id="39" w:name="_Toc466788854"/>
      <w:bookmarkStart w:id="40" w:name="_Toc430854301"/>
      <w:bookmarkStart w:id="41" w:name="_Toc523829995"/>
      <w:r>
        <w:rPr>
          <w:rFonts w:hint="eastAsia"/>
          <w:sz w:val="30"/>
        </w:rPr>
        <w:t>五、基金财产的保管</w:t>
      </w:r>
      <w:bookmarkEnd w:id="35"/>
      <w:bookmarkEnd w:id="36"/>
      <w:bookmarkEnd w:id="37"/>
      <w:bookmarkEnd w:id="38"/>
      <w:bookmarkEnd w:id="39"/>
      <w:bookmarkEnd w:id="40"/>
      <w:bookmarkEnd w:id="41"/>
    </w:p>
    <w:p w14:paraId="6CC04546">
      <w:pPr>
        <w:tabs>
          <w:tab w:val="left" w:pos="3780"/>
        </w:tabs>
        <w:autoSpaceDE w:val="0"/>
        <w:autoSpaceDN w:val="0"/>
        <w:spacing w:before="156" w:beforeLines="50" w:after="156" w:afterLines="50" w:line="360" w:lineRule="auto"/>
        <w:textAlignment w:val="bottom"/>
        <w:outlineLvl w:val="0"/>
        <w:rPr>
          <w:rFonts w:ascii="宋体"/>
          <w:b/>
          <w:bCs/>
          <w:sz w:val="24"/>
        </w:rPr>
      </w:pPr>
      <w:bookmarkStart w:id="42" w:name="_Toc77662997"/>
      <w:bookmarkStart w:id="43" w:name="_Toc37159173"/>
      <w:r>
        <w:rPr>
          <w:rFonts w:hint="eastAsia" w:ascii="宋体" w:hAnsi="宋体"/>
          <w:b/>
          <w:bCs/>
          <w:sz w:val="24"/>
        </w:rPr>
        <w:t>（一）基金财产保管的原则</w:t>
      </w:r>
      <w:bookmarkEnd w:id="42"/>
      <w:bookmarkEnd w:id="43"/>
    </w:p>
    <w:p w14:paraId="4A327AF7">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）基金托管人应安全保管基金财产，未经基金管理人的指令，不得自行运用、处分、分配基金的任何资产。</w:t>
      </w:r>
    </w:p>
    <w:p w14:paraId="30785DC0">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）基金财产应独立于基金管理人、基金托管人的固有财产。</w:t>
      </w:r>
    </w:p>
    <w:p w14:paraId="26A65E19">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）基金托管人按照规定开立基金财产的资金账户、证券账户和债券托管账户等</w:t>
      </w:r>
      <w:r>
        <w:rPr>
          <w:rFonts w:ascii="宋体" w:hAnsi="宋体"/>
          <w:kern w:val="0"/>
          <w:sz w:val="24"/>
        </w:rPr>
        <w:t>投资所需账户</w:t>
      </w:r>
      <w:r>
        <w:rPr>
          <w:rFonts w:hint="eastAsia" w:ascii="宋体" w:hAnsi="宋体"/>
          <w:kern w:val="0"/>
          <w:sz w:val="24"/>
        </w:rPr>
        <w:t>。</w:t>
      </w:r>
    </w:p>
    <w:p w14:paraId="7C0740E9">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4</w:t>
      </w:r>
      <w:r>
        <w:rPr>
          <w:rFonts w:hint="eastAsia" w:ascii="宋体" w:hAnsi="宋体"/>
          <w:kern w:val="0"/>
          <w:sz w:val="24"/>
        </w:rPr>
        <w:t>）基金托管人对所托管的不同基金财产分别设置账户，分账管理，独立核算，确保基金财产的完整和独立。</w:t>
      </w:r>
    </w:p>
    <w:p w14:paraId="659A1F7C">
      <w:pPr>
        <w:tabs>
          <w:tab w:val="left" w:pos="1260"/>
        </w:tabs>
        <w:spacing w:line="360" w:lineRule="auto"/>
        <w:ind w:firstLine="480" w:firstLineChars="200"/>
        <w:rPr>
          <w:rFonts w:ascii="宋体" w:hAnsi="宋体"/>
          <w:kern w:val="0"/>
          <w:sz w:val="24"/>
        </w:rPr>
      </w:pPr>
      <w:r>
        <w:rPr>
          <w:rFonts w:hint="eastAsia" w:ascii="宋体" w:hAnsi="宋体"/>
          <w:kern w:val="0"/>
          <w:sz w:val="24"/>
        </w:rPr>
        <w:t>（</w:t>
      </w:r>
      <w:r>
        <w:rPr>
          <w:rFonts w:ascii="宋体" w:hAnsi="宋体"/>
          <w:kern w:val="0"/>
          <w:sz w:val="24"/>
        </w:rPr>
        <w:t>5</w:t>
      </w:r>
      <w:r>
        <w:rPr>
          <w:rFonts w:hint="eastAsia" w:ascii="宋体" w:hAnsi="宋体"/>
          <w:kern w:val="0"/>
          <w:sz w:val="24"/>
        </w:rPr>
        <w:t>）对于因为基金投资产生的应收资产和基金申购过程中产生的应收资产，</w:t>
      </w:r>
      <w:r>
        <w:rPr>
          <w:rFonts w:hint="eastAsia" w:ascii="宋体" w:hAnsi="宋体"/>
          <w:sz w:val="24"/>
        </w:rPr>
        <w:t>如基金托管人无法从公开信息或基金管理人提供的书面资料中获取到账日期信息的，</w:t>
      </w:r>
      <w:r>
        <w:rPr>
          <w:rFonts w:hint="eastAsia" w:ascii="宋体" w:hAnsi="宋体"/>
          <w:kern w:val="0"/>
          <w:sz w:val="24"/>
        </w:rPr>
        <w:t>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w:t>
      </w:r>
      <w:bookmarkStart w:id="44" w:name="_Toc37159174"/>
      <w:bookmarkStart w:id="45" w:name="_Toc77662998"/>
      <w:r>
        <w:rPr>
          <w:rFonts w:hint="eastAsia" w:ascii="宋体" w:hAnsi="宋体"/>
          <w:kern w:val="0"/>
          <w:sz w:val="24"/>
        </w:rPr>
        <w:t>基金托管人对此不承担任何责任。</w:t>
      </w:r>
    </w:p>
    <w:p w14:paraId="5B0373EA">
      <w:pPr>
        <w:tabs>
          <w:tab w:val="left" w:pos="1260"/>
        </w:tabs>
        <w:spacing w:line="360" w:lineRule="auto"/>
        <w:ind w:firstLine="480" w:firstLineChars="200"/>
        <w:rPr>
          <w:rFonts w:ascii="宋体"/>
          <w:kern w:val="0"/>
          <w:sz w:val="24"/>
        </w:rPr>
      </w:pPr>
      <w:r>
        <w:rPr>
          <w:rFonts w:hint="eastAsia" w:ascii="宋体"/>
          <w:kern w:val="0"/>
          <w:sz w:val="24"/>
        </w:rPr>
        <w:t>（6）除法律法规和基金合同另有规定外，基金托管人不得委托第三人托管基金财产。</w:t>
      </w:r>
    </w:p>
    <w:bookmarkEnd w:id="44"/>
    <w:bookmarkEnd w:id="45"/>
    <w:p w14:paraId="78324137">
      <w:pPr>
        <w:tabs>
          <w:tab w:val="left" w:pos="3780"/>
        </w:tabs>
        <w:autoSpaceDE w:val="0"/>
        <w:autoSpaceDN w:val="0"/>
        <w:spacing w:before="156" w:beforeLines="50" w:after="156" w:afterLines="50" w:line="360" w:lineRule="auto"/>
        <w:textAlignment w:val="bottom"/>
        <w:outlineLvl w:val="0"/>
        <w:rPr>
          <w:rFonts w:ascii="宋体"/>
          <w:b/>
          <w:bCs/>
          <w:sz w:val="24"/>
        </w:rPr>
      </w:pPr>
      <w:bookmarkStart w:id="46" w:name="_Toc77663000"/>
      <w:bookmarkStart w:id="47" w:name="_Toc37159176"/>
      <w:r>
        <w:rPr>
          <w:rFonts w:hint="eastAsia" w:ascii="宋体" w:hAnsi="宋体"/>
          <w:b/>
          <w:bCs/>
          <w:sz w:val="24"/>
        </w:rPr>
        <w:t>（二）基金的银行存款账户的开立和管理</w:t>
      </w:r>
      <w:bookmarkEnd w:id="46"/>
      <w:bookmarkEnd w:id="47"/>
    </w:p>
    <w:p w14:paraId="3DDEB752">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）基金托管人应负责本基金银行存款账户的开立和管理。</w:t>
      </w:r>
    </w:p>
    <w:p w14:paraId="64E9A281">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w:t>
      </w:r>
    </w:p>
    <w:p w14:paraId="0E1E32AE">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4CF0AF0B">
      <w:pPr>
        <w:tabs>
          <w:tab w:val="left" w:pos="1260"/>
        </w:tabs>
        <w:spacing w:line="360" w:lineRule="auto"/>
        <w:ind w:firstLine="480" w:firstLineChars="200"/>
        <w:rPr>
          <w:rFonts w:ascii="宋体" w:hAnsi="宋体"/>
          <w:kern w:val="0"/>
          <w:sz w:val="24"/>
        </w:rPr>
      </w:pPr>
      <w:r>
        <w:rPr>
          <w:rFonts w:hint="eastAsia" w:ascii="宋体" w:hAnsi="宋体"/>
          <w:kern w:val="0"/>
          <w:sz w:val="24"/>
        </w:rPr>
        <w:t>（</w:t>
      </w:r>
      <w:r>
        <w:rPr>
          <w:rFonts w:ascii="宋体" w:hAnsi="宋体"/>
          <w:kern w:val="0"/>
          <w:sz w:val="24"/>
        </w:rPr>
        <w:t>4</w:t>
      </w:r>
      <w:r>
        <w:rPr>
          <w:rFonts w:hint="eastAsia" w:ascii="宋体" w:hAnsi="宋体"/>
          <w:kern w:val="0"/>
          <w:sz w:val="24"/>
        </w:rPr>
        <w:t>）托管账户预留印鉴为基金托管人的托管业务专用章1枚以及监管人名章1枚。</w:t>
      </w:r>
    </w:p>
    <w:p w14:paraId="195969FE">
      <w:pPr>
        <w:spacing w:line="360" w:lineRule="auto"/>
        <w:ind w:firstLine="480" w:firstLineChars="200"/>
        <w:rPr>
          <w:rFonts w:hint="eastAsia" w:ascii="宋体" w:hAnsi="宋体"/>
          <w:kern w:val="0"/>
          <w:sz w:val="24"/>
        </w:rPr>
      </w:pPr>
      <w:r>
        <w:rPr>
          <w:rFonts w:hint="eastAsia" w:ascii="宋体" w:hAnsi="宋体"/>
          <w:kern w:val="0"/>
          <w:sz w:val="24"/>
        </w:rPr>
        <w:t>（</w:t>
      </w:r>
      <w:r>
        <w:rPr>
          <w:rFonts w:ascii="宋体" w:hAnsi="宋体"/>
          <w:kern w:val="0"/>
          <w:sz w:val="24"/>
        </w:rPr>
        <w:t>5</w:t>
      </w:r>
      <w:r>
        <w:rPr>
          <w:rFonts w:hint="eastAsia" w:ascii="宋体" w:hAnsi="宋体"/>
          <w:kern w:val="0"/>
          <w:sz w:val="24"/>
        </w:rPr>
        <w:t>）基金银行存款账户的管理应符合《人民币银行账户结算管理办法》、《现金管理暂行条例实施细则》、《人民币利率管理规定》、《支付结算办法》以及银行业监督管理机构的其他规定。</w:t>
      </w:r>
      <w:bookmarkStart w:id="48" w:name="_Toc77663001"/>
      <w:bookmarkStart w:id="49" w:name="_Toc37159177"/>
    </w:p>
    <w:p w14:paraId="7BC1B6CE">
      <w:pPr>
        <w:spacing w:line="360" w:lineRule="auto"/>
        <w:ind w:firstLine="480" w:firstLineChars="200"/>
        <w:rPr>
          <w:rFonts w:ascii="宋体"/>
          <w:kern w:val="0"/>
          <w:sz w:val="24"/>
        </w:rPr>
      </w:pPr>
      <w:r>
        <w:rPr>
          <w:rFonts w:hint="eastAsia" w:ascii="宋体"/>
          <w:kern w:val="0"/>
          <w:sz w:val="24"/>
        </w:rPr>
        <w:t>（6）开立的托管账户，应遵循宁波银行《单位银行结算账户管理协议》的规定。托管账户内的银行存款利率每半年或遇到重大市场调整时，如有需要，基金管理人和基金托管人两方可对账户利率进行重新议价。</w:t>
      </w:r>
    </w:p>
    <w:p w14:paraId="2C7D5CEC">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（三）基金证券账户、资金交收账户的开立和管理</w:t>
      </w:r>
      <w:bookmarkEnd w:id="48"/>
      <w:bookmarkEnd w:id="49"/>
    </w:p>
    <w:p w14:paraId="56C71472">
      <w:pPr>
        <w:tabs>
          <w:tab w:val="left" w:pos="1260"/>
        </w:tabs>
        <w:spacing w:line="360" w:lineRule="auto"/>
        <w:ind w:firstLine="480" w:firstLineChars="200"/>
        <w:rPr>
          <w:rFonts w:ascii="宋体"/>
          <w:kern w:val="0"/>
          <w:sz w:val="24"/>
        </w:rPr>
      </w:pPr>
      <w:r>
        <w:rPr>
          <w:rFonts w:hint="eastAsia" w:ascii="宋体" w:hAnsi="宋体"/>
          <w:kern w:val="0"/>
          <w:sz w:val="24"/>
        </w:rPr>
        <w:t>基金托管人以基金托管人和本基金联名的方式在中国证券登记结算有限责任公司开立证券账户。</w:t>
      </w:r>
    </w:p>
    <w:p w14:paraId="6A24690F">
      <w:pPr>
        <w:tabs>
          <w:tab w:val="left" w:pos="1260"/>
        </w:tabs>
        <w:spacing w:line="360" w:lineRule="auto"/>
        <w:ind w:firstLine="480" w:firstLineChars="200"/>
        <w:rPr>
          <w:rFonts w:ascii="宋体"/>
          <w:kern w:val="0"/>
          <w:sz w:val="24"/>
        </w:rPr>
      </w:pPr>
      <w:r>
        <w:rPr>
          <w:rFonts w:hint="eastAsia" w:ascii="宋体" w:hAnsi="宋体"/>
          <w:kern w:val="0"/>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6F0B76F1">
      <w:pPr>
        <w:tabs>
          <w:tab w:val="left" w:pos="1260"/>
        </w:tabs>
        <w:spacing w:line="360" w:lineRule="auto"/>
        <w:ind w:firstLine="480" w:firstLineChars="200"/>
        <w:rPr>
          <w:rFonts w:ascii="宋体"/>
          <w:kern w:val="0"/>
          <w:sz w:val="24"/>
        </w:rPr>
      </w:pPr>
      <w:r>
        <w:rPr>
          <w:rFonts w:hint="eastAsia" w:ascii="宋体" w:hAnsi="宋体"/>
          <w:kern w:val="0"/>
          <w:sz w:val="24"/>
        </w:rPr>
        <w:t>基金管理人不得对基金证券账户、资金交收账户进行证券的超卖或超买。</w:t>
      </w:r>
    </w:p>
    <w:p w14:paraId="0526BFD2">
      <w:pPr>
        <w:tabs>
          <w:tab w:val="left" w:pos="1260"/>
        </w:tabs>
        <w:spacing w:line="360" w:lineRule="auto"/>
        <w:ind w:firstLine="480" w:firstLineChars="200"/>
        <w:rPr>
          <w:rFonts w:ascii="宋体"/>
          <w:kern w:val="0"/>
          <w:sz w:val="24"/>
        </w:rPr>
      </w:pPr>
      <w:r>
        <w:rPr>
          <w:rFonts w:hint="eastAsia" w:ascii="宋体" w:hAnsi="宋体"/>
          <w:kern w:val="0"/>
          <w:sz w:val="24"/>
        </w:rPr>
        <w:t>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w:t>
      </w:r>
      <w:bookmarkStart w:id="50" w:name="_Toc37159179"/>
      <w:bookmarkStart w:id="51" w:name="_Toc77663003"/>
    </w:p>
    <w:p w14:paraId="6A22F762">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（四）债券托管账户的开立和管理</w:t>
      </w:r>
    </w:p>
    <w:p w14:paraId="7DCC4CA2">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合同生效后，基金管理人负责向中国人民银行进行报备，并在备案通过后在中央国债登记结算有限责任公司、银行间市场清算所股份有限公司以本基金的名义开立债券托管账户，并由基金托管人负责基金的债券及资金的清算。</w:t>
      </w:r>
      <w:r>
        <w:rPr>
          <w:rFonts w:hint="eastAsia" w:ascii="宋体" w:hAnsi="宋体"/>
          <w:kern w:val="0"/>
          <w:sz w:val="24"/>
          <w:szCs w:val="21"/>
        </w:rPr>
        <w:t>基金管理人负责申请基金进入全国银行间同业拆借市场进行交易，由基金管理人在中国外汇交易中心开设同业拆借市场交易</w:t>
      </w:r>
      <w:r>
        <w:rPr>
          <w:rFonts w:hint="eastAsia" w:ascii="宋体" w:hAnsi="宋体"/>
          <w:sz w:val="24"/>
        </w:rPr>
        <w:t>账户</w:t>
      </w:r>
      <w:r>
        <w:rPr>
          <w:rFonts w:hint="eastAsia" w:ascii="宋体" w:hAnsi="宋体"/>
          <w:kern w:val="0"/>
          <w:sz w:val="24"/>
          <w:szCs w:val="21"/>
        </w:rPr>
        <w:t>。</w:t>
      </w:r>
    </w:p>
    <w:p w14:paraId="428F3C84">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）基金管理人代表基金签订全国银行间债券市场债券回购主协议。</w:t>
      </w:r>
    </w:p>
    <w:p w14:paraId="2ADBE6C5">
      <w:pPr>
        <w:tabs>
          <w:tab w:val="left" w:pos="1260"/>
        </w:tabs>
        <w:spacing w:line="360" w:lineRule="auto"/>
        <w:rPr>
          <w:rFonts w:ascii="宋体"/>
          <w:b/>
          <w:kern w:val="0"/>
          <w:sz w:val="24"/>
        </w:rPr>
      </w:pPr>
      <w:r>
        <w:rPr>
          <w:rFonts w:hint="eastAsia" w:ascii="宋体" w:hAnsi="宋体"/>
          <w:b/>
          <w:kern w:val="0"/>
          <w:sz w:val="24"/>
        </w:rPr>
        <w:t>（五）其他账户的开立和管理</w:t>
      </w:r>
    </w:p>
    <w:p w14:paraId="5E78AF98">
      <w:pPr>
        <w:pStyle w:val="13"/>
      </w:pPr>
      <w:r>
        <w:rPr>
          <w:rFonts w:hint="eastAsia"/>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53C3F4A0">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（六）基金财产投资的有关实物证券、银行存款定期存单等有价凭证的保管</w:t>
      </w:r>
      <w:bookmarkEnd w:id="50"/>
      <w:bookmarkEnd w:id="51"/>
    </w:p>
    <w:p w14:paraId="66F3F33E">
      <w:pPr>
        <w:tabs>
          <w:tab w:val="left" w:pos="1260"/>
        </w:tabs>
        <w:spacing w:line="360" w:lineRule="auto"/>
        <w:ind w:firstLine="480" w:firstLineChars="200"/>
        <w:rPr>
          <w:rFonts w:ascii="宋体"/>
          <w:color w:val="000000"/>
          <w:kern w:val="0"/>
          <w:sz w:val="24"/>
        </w:rPr>
      </w:pPr>
      <w:r>
        <w:rPr>
          <w:rFonts w:hint="eastAsia" w:ascii="宋体" w:hAnsi="宋体"/>
          <w:kern w:val="0"/>
          <w:sz w:val="24"/>
        </w:rPr>
        <w:t>实物证券由基金托管人存放于基金托管人的保管库。实物证券的购买和转让，由基金托管人根据基金管理人的指令办理。</w:t>
      </w:r>
      <w:r>
        <w:rPr>
          <w:rFonts w:hint="eastAsia" w:ascii="宋体" w:hAnsi="宋体"/>
          <w:color w:val="000000"/>
          <w:kern w:val="0"/>
          <w:sz w:val="24"/>
        </w:rPr>
        <w:t>基金托管人对由基金托管人以外机构实际有效控制的本基金资产不承担保管责任。</w:t>
      </w:r>
    </w:p>
    <w:p w14:paraId="02B42826">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银行存款定期存单等有价凭证正本由基金托管人负责保管。基金管理人应与存款机构签订定期存款协议，该协议作为划款指令附件</w:t>
      </w:r>
      <w:r>
        <w:rPr>
          <w:rFonts w:hint="eastAsia"/>
          <w:sz w:val="24"/>
        </w:rPr>
        <w:t>，该协议中必须有如下明确条款：</w:t>
      </w:r>
      <w:r>
        <w:rPr>
          <w:rFonts w:hint="eastAsia" w:ascii="宋体" w:hAnsi="宋体"/>
          <w:kern w:val="0"/>
          <w:sz w:val="24"/>
        </w:rPr>
        <w:t>存款证实书（或存单）不得以任何方式被质押，并不得用于转让和背书。本息到期归还或提前支取的所有款项必须划至托管账户，不得划入其他任何账户。</w:t>
      </w:r>
      <w:r>
        <w:rPr>
          <w:rFonts w:hint="eastAsia"/>
          <w:sz w:val="24"/>
        </w:rPr>
        <w:t>如定期存款协议中未体现前述条款，基金托管人有权拒绝定期存款投资的划款指令。存款机构开立的银行账户，包括实体或虚拟账户</w:t>
      </w:r>
      <w:r>
        <w:rPr>
          <w:rFonts w:hint="eastAsia" w:ascii="宋体" w:hAnsi="宋体"/>
          <w:kern w:val="0"/>
          <w:sz w:val="24"/>
        </w:rPr>
        <w:t>，其预留印鉴至少有一枚基金托管人监管印章。</w:t>
      </w:r>
    </w:p>
    <w:p w14:paraId="79DAEFBD">
      <w:pPr>
        <w:tabs>
          <w:tab w:val="left" w:pos="3780"/>
        </w:tabs>
        <w:autoSpaceDE w:val="0"/>
        <w:autoSpaceDN w:val="0"/>
        <w:spacing w:before="156" w:beforeLines="50" w:after="156" w:afterLines="50" w:line="360" w:lineRule="auto"/>
        <w:textAlignment w:val="bottom"/>
        <w:outlineLvl w:val="0"/>
        <w:rPr>
          <w:rFonts w:ascii="宋体"/>
          <w:b/>
          <w:bCs/>
          <w:sz w:val="24"/>
        </w:rPr>
      </w:pPr>
      <w:bookmarkStart w:id="52" w:name="_Toc37159180"/>
      <w:bookmarkStart w:id="53" w:name="_Toc77663004"/>
      <w:r>
        <w:rPr>
          <w:rFonts w:hint="eastAsia" w:ascii="宋体" w:hAnsi="宋体"/>
          <w:b/>
          <w:bCs/>
          <w:sz w:val="24"/>
        </w:rPr>
        <w:t>（七）与基金财产有关的重大合同的保管</w:t>
      </w:r>
      <w:bookmarkEnd w:id="52"/>
      <w:bookmarkEnd w:id="53"/>
    </w:p>
    <w:p w14:paraId="7A24DF27">
      <w:pPr>
        <w:tabs>
          <w:tab w:val="left" w:pos="1260"/>
        </w:tabs>
        <w:spacing w:line="360" w:lineRule="auto"/>
        <w:ind w:firstLine="480" w:firstLineChars="200"/>
        <w:rPr>
          <w:rFonts w:ascii="宋体"/>
          <w:kern w:val="0"/>
          <w:sz w:val="24"/>
        </w:rPr>
      </w:pPr>
      <w:r>
        <w:rPr>
          <w:rFonts w:hint="eastAsia" w:ascii="宋体" w:hAnsi="宋体"/>
          <w:kern w:val="0"/>
          <w:sz w:val="24"/>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3DD7AA38">
      <w:pPr>
        <w:tabs>
          <w:tab w:val="left" w:pos="1260"/>
        </w:tabs>
        <w:spacing w:line="360" w:lineRule="auto"/>
        <w:ind w:firstLine="480" w:firstLineChars="200"/>
        <w:rPr>
          <w:rFonts w:ascii="宋体"/>
          <w:kern w:val="0"/>
          <w:sz w:val="24"/>
        </w:rPr>
      </w:pPr>
      <w:r>
        <w:rPr>
          <w:rFonts w:hint="eastAsia" w:ascii="宋体" w:hAnsi="宋体"/>
          <w:kern w:val="0"/>
          <w:sz w:val="24"/>
        </w:rPr>
        <w:t>对于无法取得二份以上的正本的，基金管理人应向基金托管人提供加盖公章的合同传真件或</w:t>
      </w:r>
      <w:r>
        <w:rPr>
          <w:rFonts w:ascii="宋体" w:hAnsi="宋体"/>
          <w:kern w:val="0"/>
          <w:sz w:val="24"/>
        </w:rPr>
        <w:t>复印件</w:t>
      </w:r>
      <w:r>
        <w:rPr>
          <w:rFonts w:hint="eastAsia" w:ascii="宋体" w:hAnsi="宋体"/>
          <w:kern w:val="0"/>
          <w:sz w:val="24"/>
        </w:rPr>
        <w:t>并注明与原件一致，未经双方协商或未在合同约定范围内，合同原件不得转移。</w:t>
      </w:r>
    </w:p>
    <w:p w14:paraId="761BA6B1">
      <w:pPr>
        <w:pStyle w:val="3"/>
        <w:jc w:val="center"/>
        <w:rPr>
          <w:sz w:val="30"/>
        </w:rPr>
      </w:pPr>
      <w:bookmarkStart w:id="54" w:name="_Toc466788855"/>
      <w:bookmarkStart w:id="55" w:name="_Toc291504134"/>
      <w:bookmarkStart w:id="56" w:name="_Toc9361"/>
      <w:bookmarkStart w:id="57" w:name="_Toc523829996"/>
      <w:bookmarkStart w:id="58" w:name="_Toc430854302"/>
      <w:bookmarkStart w:id="59" w:name="_Toc125892442"/>
      <w:r>
        <w:rPr>
          <w:rFonts w:hint="eastAsia"/>
          <w:sz w:val="30"/>
        </w:rPr>
        <w:t>六、指令的发送、确认和执行</w:t>
      </w:r>
      <w:bookmarkEnd w:id="54"/>
      <w:bookmarkEnd w:id="55"/>
      <w:bookmarkEnd w:id="56"/>
      <w:bookmarkEnd w:id="57"/>
      <w:bookmarkEnd w:id="58"/>
      <w:bookmarkEnd w:id="59"/>
    </w:p>
    <w:p w14:paraId="117C5DC2">
      <w:pPr>
        <w:tabs>
          <w:tab w:val="left" w:pos="3780"/>
        </w:tabs>
        <w:autoSpaceDE w:val="0"/>
        <w:autoSpaceDN w:val="0"/>
        <w:spacing w:before="156" w:beforeLines="50" w:after="156" w:afterLines="50" w:line="360" w:lineRule="auto"/>
        <w:textAlignment w:val="bottom"/>
        <w:outlineLvl w:val="0"/>
        <w:rPr>
          <w:rFonts w:ascii="宋体"/>
          <w:b/>
          <w:bCs/>
          <w:sz w:val="24"/>
        </w:rPr>
      </w:pPr>
      <w:bookmarkStart w:id="60" w:name="_Toc77663006"/>
      <w:r>
        <w:rPr>
          <w:rFonts w:hint="eastAsia" w:ascii="宋体" w:hAnsi="宋体"/>
          <w:b/>
          <w:bCs/>
          <w:sz w:val="24"/>
        </w:rPr>
        <w:t>（一）基金管理人对发送指令人员的书面授权</w:t>
      </w:r>
      <w:bookmarkEnd w:id="60"/>
    </w:p>
    <w:p w14:paraId="5A79274A">
      <w:pPr>
        <w:tabs>
          <w:tab w:val="left" w:pos="0"/>
        </w:tabs>
        <w:adjustRightInd w:val="0"/>
        <w:snapToGrid w:val="0"/>
        <w:spacing w:line="360" w:lineRule="auto"/>
        <w:ind w:firstLine="424" w:firstLineChars="177"/>
        <w:rPr>
          <w:rFonts w:hint="eastAsia" w:ascii="宋体" w:hAnsi="宋体"/>
          <w:color w:val="000000"/>
          <w:kern w:val="0"/>
          <w:sz w:val="24"/>
        </w:rPr>
      </w:pPr>
      <w:r>
        <w:rPr>
          <w:rFonts w:hint="eastAsia" w:ascii="宋体" w:hAnsi="宋体"/>
          <w:kern w:val="0"/>
          <w:sz w:val="24"/>
        </w:rPr>
        <w:t>基金管理人应事先书面通知（以下简称“授权通知”）基金托管人有权发送指令的人员名单、签字样本、预留印鉴和启用日期，注明相应的权限，并规定基金管理人向基金托管人发送指令时基金托管人确认有权发送人员（以下简称“被授权人”）身份的方法。基金管理人向基金托管人发出的授权通知应加盖基金管理人公章。授权通知自其上面注明的启用日期开始生效，若该日期早于基金托管人确认收妥日期的，授权通知自基金托管人确认收妥时生效。</w:t>
      </w:r>
      <w:r>
        <w:rPr>
          <w:rFonts w:hint="eastAsia" w:ascii="宋体" w:hAnsi="宋体"/>
          <w:color w:val="000000"/>
          <w:sz w:val="24"/>
        </w:rPr>
        <w:t>授权通知应以原件形式</w:t>
      </w:r>
      <w:r>
        <w:rPr>
          <w:rFonts w:hint="eastAsia" w:ascii="宋体" w:hAnsi="宋体"/>
          <w:color w:val="000000"/>
          <w:kern w:val="0"/>
          <w:sz w:val="24"/>
        </w:rPr>
        <w:t>送达基金托管人。</w:t>
      </w:r>
    </w:p>
    <w:p w14:paraId="56EFA8A9">
      <w:pPr>
        <w:tabs>
          <w:tab w:val="left" w:pos="0"/>
        </w:tabs>
        <w:adjustRightInd w:val="0"/>
        <w:snapToGrid w:val="0"/>
        <w:spacing w:line="360" w:lineRule="auto"/>
        <w:ind w:firstLine="424" w:firstLineChars="177"/>
        <w:rPr>
          <w:rFonts w:ascii="宋体" w:hAnsi="宋体"/>
          <w:kern w:val="0"/>
          <w:sz w:val="24"/>
        </w:rPr>
      </w:pPr>
      <w:r>
        <w:rPr>
          <w:rFonts w:hint="eastAsia" w:ascii="宋体" w:hAnsi="宋体"/>
          <w:kern w:val="0"/>
          <w:sz w:val="24"/>
        </w:rPr>
        <w:t>基金管理人和基金托管人对授权文件负有保密义务，其内容不得向被授权人及相关操作人员以外的任何人泄露，法律法规或有权机关另有要求的除外。</w:t>
      </w:r>
    </w:p>
    <w:p w14:paraId="745D69F8">
      <w:pPr>
        <w:tabs>
          <w:tab w:val="left" w:pos="0"/>
        </w:tabs>
        <w:adjustRightInd w:val="0"/>
        <w:snapToGrid w:val="0"/>
        <w:spacing w:line="360" w:lineRule="auto"/>
        <w:ind w:firstLine="424" w:firstLineChars="177"/>
        <w:rPr>
          <w:rFonts w:ascii="宋体" w:hAnsi="宋体"/>
          <w:kern w:val="0"/>
          <w:sz w:val="24"/>
        </w:rPr>
      </w:pPr>
      <w:r>
        <w:rPr>
          <w:rFonts w:hint="eastAsia" w:ascii="宋体" w:hAnsi="宋体"/>
          <w:kern w:val="0"/>
          <w:sz w:val="24"/>
        </w:rPr>
        <w:t>若基金管理人同时向基金托管人出具了</w:t>
      </w:r>
      <w:r>
        <w:rPr>
          <w:rFonts w:ascii="宋体" w:hAnsi="宋体"/>
          <w:kern w:val="0"/>
          <w:sz w:val="24"/>
        </w:rPr>
        <w:t>基金</w:t>
      </w:r>
      <w:r>
        <w:rPr>
          <w:rFonts w:hint="eastAsia" w:ascii="宋体" w:hAnsi="宋体"/>
          <w:kern w:val="0"/>
          <w:sz w:val="24"/>
        </w:rPr>
        <w:t>管理业务统一交易清算授权书和单个基金产品交易清算授权书的，授权书以以下第1种方式为准：⑴统一授权书。⑵单个基金产品授权书。</w:t>
      </w:r>
    </w:p>
    <w:p w14:paraId="6B189278">
      <w:pPr>
        <w:tabs>
          <w:tab w:val="left" w:pos="3780"/>
        </w:tabs>
        <w:autoSpaceDE w:val="0"/>
        <w:autoSpaceDN w:val="0"/>
        <w:spacing w:before="156" w:beforeLines="50" w:after="156" w:afterLines="50" w:line="360" w:lineRule="auto"/>
        <w:textAlignment w:val="bottom"/>
        <w:outlineLvl w:val="0"/>
        <w:rPr>
          <w:rFonts w:ascii="宋体"/>
          <w:b/>
          <w:bCs/>
          <w:sz w:val="24"/>
        </w:rPr>
      </w:pPr>
      <w:bookmarkStart w:id="61" w:name="_Toc77663007"/>
      <w:r>
        <w:rPr>
          <w:rFonts w:hint="eastAsia" w:ascii="宋体" w:hAnsi="宋体"/>
          <w:b/>
          <w:bCs/>
          <w:sz w:val="24"/>
        </w:rPr>
        <w:t>（二）指令的内容</w:t>
      </w:r>
      <w:bookmarkEnd w:id="61"/>
    </w:p>
    <w:p w14:paraId="79F58164">
      <w:pPr>
        <w:tabs>
          <w:tab w:val="left" w:pos="1260"/>
        </w:tabs>
        <w:spacing w:line="360" w:lineRule="auto"/>
        <w:ind w:firstLine="480" w:firstLineChars="200"/>
        <w:rPr>
          <w:rFonts w:ascii="宋体"/>
          <w:kern w:val="0"/>
          <w:sz w:val="24"/>
        </w:rPr>
      </w:pPr>
      <w:r>
        <w:rPr>
          <w:rFonts w:hint="eastAsia" w:ascii="宋体" w:hAnsi="宋体"/>
          <w:kern w:val="0"/>
          <w:sz w:val="24"/>
        </w:rPr>
        <w:t>指令是基金管理人在运用基金资产时，向基金托管人发出的资金划拨及其他款项收付的指令。</w:t>
      </w:r>
      <w:bookmarkStart w:id="62" w:name="_Toc77663008"/>
      <w:r>
        <w:rPr>
          <w:rFonts w:hint="eastAsia" w:ascii="宋体" w:hAnsi="宋体"/>
          <w:kern w:val="0"/>
          <w:sz w:val="24"/>
        </w:rPr>
        <w:t>指令应写明款项事由、支付日期或时间、到账时间、金额、账户、大额支付号等执行支付所需内容，加盖预留印鉴。</w:t>
      </w:r>
    </w:p>
    <w:p w14:paraId="3C06D335">
      <w:pPr>
        <w:tabs>
          <w:tab w:val="left" w:pos="1260"/>
        </w:tabs>
        <w:spacing w:line="360" w:lineRule="auto"/>
        <w:rPr>
          <w:rFonts w:ascii="宋体"/>
          <w:b/>
          <w:bCs/>
          <w:sz w:val="24"/>
        </w:rPr>
      </w:pPr>
      <w:r>
        <w:rPr>
          <w:rFonts w:hint="eastAsia" w:ascii="宋体" w:hAnsi="宋体"/>
          <w:b/>
          <w:bCs/>
          <w:sz w:val="24"/>
        </w:rPr>
        <w:t>（三）指令的发送、确认和执行</w:t>
      </w:r>
      <w:bookmarkEnd w:id="62"/>
      <w:r>
        <w:rPr>
          <w:rFonts w:hint="eastAsia" w:ascii="宋体" w:hAnsi="宋体"/>
          <w:b/>
          <w:bCs/>
          <w:sz w:val="24"/>
        </w:rPr>
        <w:t>的时间和程序</w:t>
      </w:r>
    </w:p>
    <w:p w14:paraId="7E8B94CF">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按照《基金法》及其他有关法规、《基金合同》和本协议的规定，在其合法的经营权限和交易权限内发送指令，被授权人应按照其授权权限发送指令。指令由“授权通知”确定的被授权人代表基金管理人用传真或其他双方认可的方式（以授权通知书为准）向基金托管人发送，除此之外的传真号发送的指令，基金托管人有权拒绝执行。指令正本与传真件不一致的，以基金托管人收到的传真件为准。发送后基金管理人及时通过电话与基金托管人确认指令内容。</w:t>
      </w:r>
      <w:r>
        <w:rPr>
          <w:rFonts w:hint="eastAsia" w:hAnsi="宋体"/>
          <w:sz w:val="24"/>
        </w:rPr>
        <w:t>基金管理人必须在</w:t>
      </w:r>
      <w:r>
        <w:rPr>
          <w:rFonts w:hAnsi="宋体"/>
          <w:sz w:val="24"/>
        </w:rPr>
        <w:t>15:00</w:t>
      </w:r>
      <w:r>
        <w:rPr>
          <w:rFonts w:hint="eastAsia" w:hAnsi="宋体"/>
          <w:sz w:val="24"/>
        </w:rPr>
        <w:t>之前向基金托管人发送付款指令并</w:t>
      </w:r>
      <w:r>
        <w:rPr>
          <w:rFonts w:hint="eastAsia" w:hAnsi="宋体"/>
          <w:kern w:val="0"/>
          <w:sz w:val="24"/>
        </w:rPr>
        <w:t>确保基金银行账户有足够的资金余额</w:t>
      </w:r>
      <w:r>
        <w:rPr>
          <w:rFonts w:hint="eastAsia" w:hAnsi="宋体"/>
          <w:sz w:val="24"/>
        </w:rPr>
        <w:t>，</w:t>
      </w:r>
      <w:r>
        <w:rPr>
          <w:rFonts w:hAnsi="宋体"/>
          <w:sz w:val="24"/>
        </w:rPr>
        <w:t>15:00</w:t>
      </w:r>
      <w:r>
        <w:rPr>
          <w:rFonts w:hint="eastAsia" w:hAnsi="宋体"/>
          <w:sz w:val="24"/>
        </w:rPr>
        <w:t>之后发送付款指令或截止</w:t>
      </w:r>
      <w:r>
        <w:rPr>
          <w:rFonts w:hAnsi="宋体"/>
          <w:sz w:val="24"/>
        </w:rPr>
        <w:t>15:00</w:t>
      </w:r>
      <w:r>
        <w:rPr>
          <w:rFonts w:hint="eastAsia" w:hAnsi="宋体"/>
          <w:sz w:val="24"/>
        </w:rPr>
        <w:t>时账户资金不足的，基金托管人不能保证在当日完成划付。</w:t>
      </w:r>
      <w:r>
        <w:rPr>
          <w:rFonts w:hint="eastAsia" w:hAnsi="宋体"/>
          <w:kern w:val="0"/>
          <w:sz w:val="24"/>
        </w:rPr>
        <w:t>对基金管理人在没有充足资金的情况下向基金托管人发出的指令，基金托管人可不予执行，并立即通知基金管理人，基金托管人不承担因为不执行该指令而造成损失的责任。</w:t>
      </w:r>
      <w:r>
        <w:rPr>
          <w:rFonts w:hint="eastAsia" w:hAnsi="宋体"/>
          <w:sz w:val="24"/>
        </w:rPr>
        <w:t>如基金管理人要求当天某一时点到账，必须至少提前</w:t>
      </w:r>
      <w:r>
        <w:rPr>
          <w:rFonts w:hAnsi="宋体"/>
          <w:sz w:val="24"/>
        </w:rPr>
        <w:t>2</w:t>
      </w:r>
      <w:r>
        <w:rPr>
          <w:rFonts w:hint="eastAsia" w:hAnsi="宋体"/>
          <w:sz w:val="24"/>
        </w:rPr>
        <w:t>个工作小时向基金托管人发送付款指令并与基金托管人电话确认（基金托管人工作时间为8：30-11：30，13：30-17：00）。</w:t>
      </w:r>
      <w:r>
        <w:rPr>
          <w:rFonts w:hint="eastAsia" w:hAnsi="宋体"/>
          <w:kern w:val="0"/>
          <w:sz w:val="24"/>
        </w:rPr>
        <w:t>基金管理人指令传输不及时或账户资金不足，未能留出足够的执行时间，致使指令未能及时执行的，基金托管人不承担由此导致的损失。基金管理人应将银行间市场成交单加盖预留印鉴后传真给基金托管人。</w:t>
      </w:r>
      <w:r>
        <w:rPr>
          <w:rFonts w:hint="eastAsia" w:ascii="宋体" w:hAnsi="宋体"/>
          <w:kern w:val="0"/>
          <w:sz w:val="24"/>
        </w:rPr>
        <w:t>对于被授权人发出的指令，基金管理人不得否认其效力。基金托管人依照“授权通知”规定的方法确认指令的有效后，方可执行指令。基金管理人发送划款指令时应同时向基金托管人发送必要的投资合同、费用发票（如有）等划款证明文件的复印件。但基金托管人仅对基金管理人提交的划款指令按照本协议约定进行表面一致性审查，基金托管人不负责审查基金管理人发送指令同时提交的其他文件资料的合法性、真实性、完整性和有效性，基金管理人应保证上述文件资料合法、真实、完整和有效。如因基金管理人提供的上述文件不合法、不真实、不完整或失去效力而影响基金托管人的审核或给任何第三人带来损失，基金托管人不承担任何形式的责任。</w:t>
      </w:r>
    </w:p>
    <w:p w14:paraId="04DA99FE">
      <w:pPr>
        <w:tabs>
          <w:tab w:val="left" w:pos="1260"/>
        </w:tabs>
        <w:spacing w:line="360" w:lineRule="auto"/>
        <w:ind w:firstLine="480" w:firstLineChars="200"/>
        <w:rPr>
          <w:rFonts w:ascii="宋体"/>
          <w:kern w:val="0"/>
          <w:sz w:val="24"/>
        </w:rPr>
      </w:pPr>
      <w:r>
        <w:rPr>
          <w:rFonts w:hint="eastAsia" w:ascii="宋体" w:hAnsi="宋体" w:cs="Arial"/>
          <w:sz w:val="24"/>
        </w:rPr>
        <w:t>基金托管人仅根据基金管理人的授权文件对指令进行表面一致性的形式审查，对其真实性不承担责任。</w:t>
      </w:r>
    </w:p>
    <w:p w14:paraId="366A3A29">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（四）基金管理人发送错误指令的情形和处理程序</w:t>
      </w:r>
    </w:p>
    <w:p w14:paraId="63DCE42D">
      <w:pPr>
        <w:tabs>
          <w:tab w:val="left" w:pos="1260"/>
        </w:tabs>
        <w:spacing w:line="360" w:lineRule="auto"/>
        <w:ind w:firstLine="480" w:firstLineChars="200"/>
        <w:rPr>
          <w:rFonts w:ascii="宋体"/>
          <w:kern w:val="0"/>
          <w:sz w:val="24"/>
        </w:rPr>
      </w:pPr>
      <w:r>
        <w:rPr>
          <w:rFonts w:hint="eastAsia" w:ascii="宋体" w:hAnsi="宋体"/>
          <w:kern w:val="0"/>
          <w:sz w:val="24"/>
        </w:rPr>
        <w:t>基金管理人发送错误指令的情形包括指令发送人员无权或超越权限发送指令及交割信息错误，指令中重要信息模糊不清或不全</w:t>
      </w:r>
      <w:r>
        <w:rPr>
          <w:rFonts w:hint="eastAsia"/>
          <w:kern w:val="0"/>
          <w:sz w:val="24"/>
        </w:rPr>
        <w:t>，未按照本协议约定的传真号码或双方认可的其他形式发送划款指令</w:t>
      </w:r>
      <w:r>
        <w:rPr>
          <w:rFonts w:hint="eastAsia" w:ascii="宋体" w:hAnsi="宋体"/>
          <w:kern w:val="0"/>
          <w:sz w:val="24"/>
        </w:rPr>
        <w:t>等。基金托管人在履行监督职能时，发现基金管理人的指令错误时，有权视情况暂缓执行或者拒绝执行，并及时通知基金管理人改正。</w:t>
      </w:r>
      <w:r>
        <w:rPr>
          <w:rFonts w:ascii="宋体" w:hAnsi="宋体"/>
          <w:kern w:val="0"/>
          <w:sz w:val="24"/>
        </w:rPr>
        <w:t xml:space="preserve"> </w:t>
      </w:r>
    </w:p>
    <w:p w14:paraId="74589604">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（五）基金托管人依照法律法规暂缓、拒绝执行指令的情形和处理程序</w:t>
      </w:r>
    </w:p>
    <w:p w14:paraId="25BB6CCC">
      <w:pPr>
        <w:tabs>
          <w:tab w:val="left" w:pos="1260"/>
        </w:tabs>
        <w:spacing w:line="360" w:lineRule="auto"/>
        <w:ind w:firstLine="480" w:firstLineChars="200"/>
        <w:rPr>
          <w:rFonts w:ascii="宋体"/>
          <w:kern w:val="0"/>
          <w:sz w:val="24"/>
        </w:rPr>
      </w:pPr>
      <w:r>
        <w:rPr>
          <w:rFonts w:hint="eastAsia" w:ascii="宋体" w:hAnsi="宋体"/>
          <w:kern w:val="0"/>
          <w:sz w:val="24"/>
        </w:rPr>
        <w:t>基金托管人在对基金投资指令进行审核时，如发现基金管理人的投资指令违反有关基金的法律法规、《基金合同》、本协议的规定，如交易未生效，则不予执行并立即通知基金管理人；如交易已生效，则以书面形式通知基金管理人限期纠正。基金管理人收到通知后应及时核对，并以约定形式向基金托管人反馈，由此造成的损失不由基金托管人承担。</w:t>
      </w:r>
    </w:p>
    <w:p w14:paraId="311A360C">
      <w:pPr>
        <w:tabs>
          <w:tab w:val="left" w:pos="1260"/>
        </w:tabs>
        <w:spacing w:line="360" w:lineRule="auto"/>
        <w:ind w:firstLine="480" w:firstLineChars="200"/>
        <w:rPr>
          <w:rFonts w:ascii="宋体"/>
          <w:kern w:val="0"/>
          <w:sz w:val="24"/>
        </w:rPr>
      </w:pPr>
      <w:r>
        <w:rPr>
          <w:rFonts w:hint="eastAsia" w:ascii="宋体" w:hAnsi="宋体"/>
          <w:kern w:val="0"/>
          <w:sz w:val="24"/>
        </w:rPr>
        <w:t>基金托管人在对基金投资指令进行审核时，如发现投资指令有可能违反法律法规、《基金合同》、本协议的规定，应暂缓执行指令，通知基金管理人改正。如果基金管理人拒不改正，基金托管人有权向中国证监会报告。</w:t>
      </w:r>
    </w:p>
    <w:p w14:paraId="20D12CA3">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（六）基金托管人未按照基金管理人指令执行的处理方法</w:t>
      </w:r>
    </w:p>
    <w:p w14:paraId="19F8DF37">
      <w:pPr>
        <w:tabs>
          <w:tab w:val="left" w:pos="1260"/>
        </w:tabs>
        <w:spacing w:line="360" w:lineRule="auto"/>
        <w:ind w:firstLine="480" w:firstLineChars="200"/>
        <w:rPr>
          <w:rFonts w:ascii="宋体"/>
          <w:kern w:val="0"/>
          <w:sz w:val="24"/>
        </w:rPr>
      </w:pPr>
      <w:r>
        <w:rPr>
          <w:rFonts w:hint="eastAsia" w:ascii="宋体" w:hAnsi="宋体"/>
          <w:kern w:val="0"/>
          <w:sz w:val="24"/>
        </w:rPr>
        <w:t>基金托管人由于自身原因造成未按照基金管理人发送的正常指令执行，</w:t>
      </w:r>
      <w:r>
        <w:rPr>
          <w:rFonts w:hint="eastAsia" w:ascii="宋体" w:hAnsi="宋体"/>
          <w:sz w:val="24"/>
        </w:rPr>
        <w:t>应在发现后及时采取措施予以弥补，</w:t>
      </w:r>
      <w:r>
        <w:rPr>
          <w:rFonts w:hint="eastAsia" w:ascii="宋体" w:hAnsi="宋体"/>
          <w:kern w:val="0"/>
          <w:sz w:val="24"/>
        </w:rPr>
        <w:t>给基金份额持有人、基金管理人造成损失的，对由此造成的直接经济损失负赔偿责任。</w:t>
      </w:r>
    </w:p>
    <w:p w14:paraId="56929888">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（七）被授权人的更换</w:t>
      </w:r>
    </w:p>
    <w:p w14:paraId="54C1C56F">
      <w:pPr>
        <w:tabs>
          <w:tab w:val="left" w:pos="1260"/>
        </w:tabs>
        <w:spacing w:line="360" w:lineRule="auto"/>
        <w:ind w:firstLine="480" w:firstLineChars="200"/>
        <w:rPr>
          <w:rFonts w:ascii="宋体"/>
          <w:kern w:val="0"/>
          <w:sz w:val="24"/>
        </w:rPr>
      </w:pPr>
      <w:r>
        <w:rPr>
          <w:rFonts w:hint="eastAsia" w:ascii="宋体" w:hAnsi="宋体"/>
          <w:kern w:val="0"/>
          <w:sz w:val="24"/>
        </w:rPr>
        <w:t>基金管理人撤换被授权人或改变被授权人的权限，必须提前至少一个工作日，向基金托管人发出加盖基金管理人公章的被授权人变更通知原件，注明启用日期，同时电话通知基金托管人。被授权人变更通知自其上面注明的启用日期起开始生效。基金管理人对授权通知的内容的修改自启用日期起生效，若该日期早于基金托管人确认收妥日期的，授权通知自基金托管人确认收妥时生效。</w:t>
      </w:r>
    </w:p>
    <w:p w14:paraId="12C95878">
      <w:pPr>
        <w:tabs>
          <w:tab w:val="left" w:pos="1260"/>
        </w:tabs>
        <w:spacing w:line="360" w:lineRule="auto"/>
        <w:ind w:firstLine="480" w:firstLineChars="200"/>
        <w:rPr>
          <w:rFonts w:ascii="宋体" w:hAnsi="宋体"/>
          <w:kern w:val="0"/>
          <w:sz w:val="24"/>
        </w:rPr>
      </w:pPr>
      <w:r>
        <w:rPr>
          <w:rFonts w:hint="eastAsia" w:ascii="宋体" w:hAnsi="宋体"/>
          <w:kern w:val="0"/>
          <w:sz w:val="24"/>
        </w:rPr>
        <w:t>如果基金管理人已经撤销或更改对指令发送人员的授权，并且书面通知基金托管人，则对于在变更通知的启用日期后该指令发送人员无权发送的指令，或超权限发送的指令，基金管理人不承担责任。</w:t>
      </w:r>
    </w:p>
    <w:p w14:paraId="46AB8DD0">
      <w:pPr>
        <w:tabs>
          <w:tab w:val="left" w:pos="1260"/>
        </w:tabs>
        <w:spacing w:line="360" w:lineRule="auto"/>
        <w:rPr>
          <w:rFonts w:ascii="宋体" w:hAnsi="宋体"/>
          <w:b/>
          <w:kern w:val="0"/>
          <w:sz w:val="24"/>
        </w:rPr>
      </w:pPr>
      <w:r>
        <w:rPr>
          <w:rFonts w:hint="eastAsia" w:ascii="宋体" w:hAnsi="宋体"/>
          <w:b/>
          <w:kern w:val="0"/>
          <w:sz w:val="24"/>
        </w:rPr>
        <w:t>（八）指令的保管</w:t>
      </w:r>
    </w:p>
    <w:p w14:paraId="1BD57723">
      <w:pPr>
        <w:tabs>
          <w:tab w:val="left" w:pos="1260"/>
        </w:tabs>
        <w:spacing w:line="360" w:lineRule="auto"/>
        <w:ind w:firstLine="480" w:firstLineChars="200"/>
        <w:rPr>
          <w:rFonts w:ascii="宋体"/>
          <w:kern w:val="0"/>
          <w:sz w:val="24"/>
        </w:rPr>
      </w:pPr>
      <w:r>
        <w:rPr>
          <w:rFonts w:hint="eastAsia" w:ascii="宋体"/>
          <w:kern w:val="0"/>
          <w:sz w:val="24"/>
        </w:rPr>
        <w:t>指令若以传真形式发出，则正本由基金管理人保管，基金托管人保管指令传真件。当两者不一致时，以基金托管人收到的指令传真件为准。</w:t>
      </w:r>
    </w:p>
    <w:p w14:paraId="3E6D9155">
      <w:pPr>
        <w:pStyle w:val="3"/>
        <w:jc w:val="center"/>
        <w:rPr>
          <w:sz w:val="30"/>
        </w:rPr>
      </w:pPr>
      <w:bookmarkStart w:id="63" w:name="_Toc523829997"/>
      <w:bookmarkStart w:id="64" w:name="_Toc125892443"/>
      <w:bookmarkStart w:id="65" w:name="_Toc9905"/>
      <w:bookmarkStart w:id="66" w:name="_Toc430854303"/>
      <w:bookmarkStart w:id="67" w:name="_Toc466788856"/>
      <w:bookmarkStart w:id="68" w:name="_Toc22454451"/>
      <w:bookmarkStart w:id="69" w:name="_Toc291504135"/>
      <w:r>
        <w:rPr>
          <w:rFonts w:hint="eastAsia"/>
          <w:sz w:val="30"/>
        </w:rPr>
        <w:t>七、交易及清算交收安排</w:t>
      </w:r>
      <w:bookmarkEnd w:id="63"/>
      <w:bookmarkEnd w:id="64"/>
      <w:bookmarkEnd w:id="65"/>
      <w:bookmarkEnd w:id="66"/>
      <w:bookmarkEnd w:id="67"/>
      <w:bookmarkEnd w:id="68"/>
      <w:bookmarkEnd w:id="69"/>
    </w:p>
    <w:p w14:paraId="1A0E5F48">
      <w:pPr>
        <w:tabs>
          <w:tab w:val="left" w:pos="3780"/>
        </w:tabs>
        <w:autoSpaceDE w:val="0"/>
        <w:autoSpaceDN w:val="0"/>
        <w:spacing w:before="156" w:beforeLines="50" w:after="156" w:afterLines="50" w:line="360" w:lineRule="auto"/>
        <w:textAlignment w:val="bottom"/>
        <w:outlineLvl w:val="0"/>
        <w:rPr>
          <w:rFonts w:ascii="宋体"/>
          <w:b/>
          <w:bCs/>
          <w:sz w:val="24"/>
        </w:rPr>
      </w:pPr>
      <w:bookmarkStart w:id="70" w:name="_Toc77663011"/>
      <w:bookmarkStart w:id="71" w:name="_Toc22454452"/>
      <w:r>
        <w:rPr>
          <w:rFonts w:hint="eastAsia" w:ascii="宋体" w:hAnsi="宋体"/>
          <w:b/>
          <w:bCs/>
          <w:sz w:val="24"/>
        </w:rPr>
        <w:t>（一）选择代理证券、期货买卖的证券、期货经营机构的标准和程序</w:t>
      </w:r>
      <w:bookmarkEnd w:id="70"/>
      <w:bookmarkEnd w:id="71"/>
    </w:p>
    <w:p w14:paraId="6D0C95F1">
      <w:pPr>
        <w:tabs>
          <w:tab w:val="left" w:pos="1260"/>
        </w:tabs>
        <w:spacing w:line="360" w:lineRule="auto"/>
        <w:ind w:firstLine="480" w:firstLineChars="200"/>
        <w:rPr>
          <w:rFonts w:ascii="宋体"/>
          <w:kern w:val="0"/>
          <w:sz w:val="24"/>
        </w:rPr>
      </w:pPr>
      <w:r>
        <w:rPr>
          <w:rFonts w:hint="eastAsia" w:ascii="宋体" w:hAnsi="宋体"/>
          <w:kern w:val="0"/>
          <w:sz w:val="24"/>
        </w:rPr>
        <w:t>基金管理人负责选择代理本基金证券买卖的证券经营机构。</w:t>
      </w:r>
    </w:p>
    <w:p w14:paraId="4F969B79">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应代表基金与被选择的证券经营机构签订交易单元租用协议。基金管理人应及时将基金交易单元号、佣金费率等基本信息以及变更情况及时以书面形式通知基金托管人，并在法定信息披露公告中披露相关内容。</w:t>
      </w:r>
    </w:p>
    <w:p w14:paraId="393E2C41">
      <w:pPr>
        <w:tabs>
          <w:tab w:val="left" w:pos="1260"/>
        </w:tabs>
        <w:spacing w:line="360" w:lineRule="auto"/>
        <w:ind w:firstLine="480" w:firstLineChars="200"/>
        <w:rPr>
          <w:rFonts w:ascii="宋体"/>
          <w:kern w:val="0"/>
          <w:sz w:val="24"/>
        </w:rPr>
      </w:pPr>
      <w:r>
        <w:rPr>
          <w:rFonts w:hint="eastAsia" w:ascii="宋体"/>
          <w:kern w:val="0"/>
          <w:sz w:val="24"/>
        </w:rPr>
        <w:t>基金管理人负责选择代理本基金期货交易的期货经纪机构，并与其签订期货经纪合同，其他事宜根据法律法规、《基金合同》的相关规定执行，若无明确规定的，可参照有关证券买卖、证券经纪机构选择的规则执行。</w:t>
      </w:r>
    </w:p>
    <w:p w14:paraId="1BBFCD0C">
      <w:pPr>
        <w:tabs>
          <w:tab w:val="left" w:pos="1260"/>
        </w:tabs>
        <w:spacing w:line="360" w:lineRule="auto"/>
        <w:rPr>
          <w:rFonts w:ascii="宋体" w:hAnsi="宋体"/>
          <w:b/>
          <w:bCs/>
          <w:sz w:val="24"/>
        </w:rPr>
      </w:pPr>
      <w:bookmarkStart w:id="72" w:name="_Toc77663012"/>
      <w:r>
        <w:rPr>
          <w:rFonts w:hint="eastAsia" w:ascii="宋体" w:hAnsi="宋体"/>
          <w:b/>
          <w:bCs/>
          <w:sz w:val="24"/>
        </w:rPr>
        <w:t>（二）基金投资证券后的清算</w:t>
      </w:r>
      <w:bookmarkEnd w:id="72"/>
      <w:r>
        <w:rPr>
          <w:rFonts w:hint="eastAsia" w:ascii="宋体" w:hAnsi="宋体"/>
          <w:b/>
          <w:bCs/>
          <w:sz w:val="24"/>
        </w:rPr>
        <w:t>交收安排</w:t>
      </w:r>
    </w:p>
    <w:p w14:paraId="6E4EF827">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）资金划拨</w:t>
      </w:r>
    </w:p>
    <w:p w14:paraId="3C4C45C9">
      <w:pPr>
        <w:tabs>
          <w:tab w:val="left" w:pos="1260"/>
        </w:tabs>
        <w:spacing w:line="360" w:lineRule="auto"/>
        <w:ind w:firstLine="480" w:firstLineChars="200"/>
        <w:rPr>
          <w:rFonts w:ascii="宋体"/>
          <w:kern w:val="0"/>
          <w:sz w:val="24"/>
        </w:rPr>
      </w:pPr>
      <w:r>
        <w:rPr>
          <w:rFonts w:hint="eastAsia" w:ascii="宋体" w:hAnsi="宋体"/>
          <w:kern w:val="0"/>
          <w:sz w:val="24"/>
        </w:rPr>
        <w:t>对于基金管理人的资金划拨指令，基金托管人在复核无误后应在规定期限内执行，不得延误。基金管理人应保证基金托管人在执行基金管理人发送的资金划拨指令时，基金银行账户或资金交收账户上有充足的资金。基金的资金头寸不足时，基金托管人有权拒绝基金管理人发送的划款指令，并立即通知基金管理人。基金管理人在发送划款指令时应充分考虑基金托管人的划款处理时间和在途时间。在基金资金头寸充足的情况下，基金托管人对基金管理人符合法律法规、《基金合同》、本协议的指令不得拖延或拒绝执行。对超头寸的划款指令，基金托管人有权止付但应及时电话通知基金管理人，由此造成的损失由基金管理人承担。</w:t>
      </w:r>
    </w:p>
    <w:p w14:paraId="52158243">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）结算方式</w:t>
      </w:r>
    </w:p>
    <w:p w14:paraId="31DEAEA1">
      <w:pPr>
        <w:tabs>
          <w:tab w:val="left" w:pos="1260"/>
        </w:tabs>
        <w:spacing w:line="360" w:lineRule="auto"/>
        <w:ind w:firstLine="480" w:firstLineChars="200"/>
        <w:rPr>
          <w:rFonts w:ascii="宋体"/>
          <w:kern w:val="0"/>
          <w:sz w:val="24"/>
        </w:rPr>
      </w:pPr>
      <w:r>
        <w:rPr>
          <w:rFonts w:hint="eastAsia" w:ascii="宋体" w:hAnsi="宋体"/>
          <w:kern w:val="0"/>
          <w:sz w:val="24"/>
        </w:rPr>
        <w:t>支付结算以转账形式进行。如中国人民银行有更快捷、安全、可行的结算方式，基金托管人可根据需要进行调整。</w:t>
      </w:r>
    </w:p>
    <w:p w14:paraId="058BE519">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）证券交易资金的清算</w:t>
      </w:r>
    </w:p>
    <w:p w14:paraId="5CD48258">
      <w:pPr>
        <w:tabs>
          <w:tab w:val="left" w:pos="1260"/>
        </w:tabs>
        <w:spacing w:line="360" w:lineRule="auto"/>
        <w:ind w:firstLine="480" w:firstLineChars="200"/>
        <w:rPr>
          <w:rFonts w:ascii="宋体"/>
          <w:kern w:val="0"/>
          <w:sz w:val="24"/>
        </w:rPr>
      </w:pPr>
      <w:r>
        <w:rPr>
          <w:rFonts w:hint="eastAsia" w:ascii="宋体" w:hAnsi="宋体"/>
          <w:kern w:val="0"/>
          <w:sz w:val="24"/>
        </w:rPr>
        <w:t>本基金投资于证券而发生的场内、场外交易的清算交割，由基金托管人负责办理。</w:t>
      </w:r>
    </w:p>
    <w:p w14:paraId="4E712F46">
      <w:pPr>
        <w:tabs>
          <w:tab w:val="left" w:pos="1260"/>
        </w:tabs>
        <w:spacing w:line="360" w:lineRule="auto"/>
        <w:ind w:firstLine="480" w:firstLineChars="200"/>
        <w:rPr>
          <w:rFonts w:ascii="宋体"/>
          <w:kern w:val="0"/>
          <w:sz w:val="24"/>
        </w:rPr>
      </w:pPr>
      <w:r>
        <w:rPr>
          <w:rFonts w:hint="eastAsia" w:ascii="宋体" w:hAnsi="宋体"/>
          <w:kern w:val="0"/>
          <w:sz w:val="24"/>
        </w:rPr>
        <w:t>本基金证券投资的清算交割，由基金托管人通过登记结算机构办理。如因基金托管人的自身原因在清算上造成基金资产的损失，应由基金托管人负责赔偿基金的损失；如果因为基金管理人违反法律法规的规定进行证券投资而造成基金投资清算困难和风险的，基金托管人发现后应立即通知基金管理人，由基金管理人负责解决，基金托管人应给予必要的配合，由此给基金造成的损失由基金管理人承担。</w:t>
      </w:r>
    </w:p>
    <w:p w14:paraId="5E1D3B26">
      <w:pPr>
        <w:tabs>
          <w:tab w:val="left" w:pos="1260"/>
        </w:tabs>
        <w:spacing w:line="360" w:lineRule="auto"/>
        <w:ind w:firstLine="480" w:firstLineChars="200"/>
        <w:rPr>
          <w:rFonts w:ascii="宋体"/>
          <w:kern w:val="0"/>
          <w:sz w:val="24"/>
        </w:rPr>
      </w:pPr>
      <w:r>
        <w:rPr>
          <w:rFonts w:hint="eastAsia" w:ascii="宋体" w:hAnsi="宋体"/>
          <w:kern w:val="0"/>
          <w:sz w:val="24"/>
        </w:rPr>
        <w:t>基金托管人在完成相关登记结算公司通知的事项后应以书面形式通知基金管理人。</w:t>
      </w:r>
    </w:p>
    <w:p w14:paraId="5D9F9749">
      <w:pPr>
        <w:tabs>
          <w:tab w:val="left" w:pos="1260"/>
        </w:tabs>
        <w:spacing w:line="360" w:lineRule="auto"/>
        <w:ind w:firstLine="480" w:firstLineChars="200"/>
        <w:rPr>
          <w:rFonts w:ascii="宋体"/>
          <w:kern w:val="0"/>
          <w:sz w:val="24"/>
        </w:rPr>
      </w:pPr>
      <w:r>
        <w:rPr>
          <w:rFonts w:hint="eastAsia" w:ascii="宋体" w:hAnsi="宋体"/>
          <w:kern w:val="0"/>
          <w:sz w:val="24"/>
        </w:rPr>
        <w:t>由于基金管理人的原因造成基金无法按时支付证券清算款，按照登记结算机构的有关规定办理。</w:t>
      </w:r>
    </w:p>
    <w:p w14:paraId="346545CB">
      <w:pPr>
        <w:tabs>
          <w:tab w:val="left" w:pos="3780"/>
        </w:tabs>
        <w:autoSpaceDE w:val="0"/>
        <w:autoSpaceDN w:val="0"/>
        <w:spacing w:before="156" w:beforeLines="50" w:after="156" w:afterLines="50" w:line="360" w:lineRule="auto"/>
        <w:textAlignment w:val="bottom"/>
        <w:outlineLvl w:val="0"/>
        <w:rPr>
          <w:rFonts w:ascii="宋体"/>
          <w:b/>
          <w:bCs/>
          <w:sz w:val="24"/>
        </w:rPr>
      </w:pPr>
      <w:bookmarkStart w:id="73" w:name="_Toc77663013"/>
      <w:r>
        <w:rPr>
          <w:rFonts w:hint="eastAsia" w:ascii="宋体" w:hAnsi="宋体"/>
          <w:b/>
          <w:bCs/>
          <w:sz w:val="24"/>
        </w:rPr>
        <w:t>（三）基金管理人与基金托管人进行资金、证券账目和交易记录的核对</w:t>
      </w:r>
      <w:bookmarkEnd w:id="73"/>
    </w:p>
    <w:p w14:paraId="5A4A1614">
      <w:pPr>
        <w:tabs>
          <w:tab w:val="left" w:pos="1260"/>
        </w:tabs>
        <w:spacing w:line="360" w:lineRule="auto"/>
        <w:ind w:firstLine="480" w:firstLineChars="200"/>
        <w:rPr>
          <w:rFonts w:ascii="宋体"/>
          <w:kern w:val="0"/>
          <w:sz w:val="24"/>
        </w:rPr>
      </w:pPr>
      <w:r>
        <w:rPr>
          <w:rFonts w:hint="eastAsia" w:ascii="宋体" w:hAnsi="宋体"/>
          <w:kern w:val="0"/>
          <w:sz w:val="24"/>
        </w:rPr>
        <w:t>对外披露基金份额净值之前，必须保证当天所有实际交易记录与基金会计账簿上的交易记录完全一致。如果交易记录与会计账簿记录不一致，造成基金会计核算不完整或不真实，由此导致的损失由基金的责任方承担。基金管理人每一交易日以双方认可的方式在当日全部交易结束后，将编制的基金资金、证券账目传送给基金托管人，基金托管人按日进行账目核对。</w:t>
      </w:r>
    </w:p>
    <w:p w14:paraId="0919BAB1">
      <w:pPr>
        <w:tabs>
          <w:tab w:val="left" w:pos="1260"/>
        </w:tabs>
        <w:spacing w:line="360" w:lineRule="auto"/>
        <w:ind w:firstLine="480" w:firstLineChars="200"/>
        <w:rPr>
          <w:rFonts w:ascii="宋体"/>
          <w:kern w:val="0"/>
          <w:sz w:val="24"/>
        </w:rPr>
      </w:pPr>
      <w:r>
        <w:rPr>
          <w:rFonts w:hint="eastAsia" w:ascii="宋体" w:hAnsi="宋体"/>
          <w:kern w:val="0"/>
          <w:sz w:val="24"/>
        </w:rPr>
        <w:t>对实物券账目，相关各方定期进行账实核对。</w:t>
      </w:r>
    </w:p>
    <w:p w14:paraId="0EF42394">
      <w:pPr>
        <w:tabs>
          <w:tab w:val="left" w:pos="1260"/>
        </w:tabs>
        <w:spacing w:line="360" w:lineRule="auto"/>
        <w:ind w:firstLine="480" w:firstLineChars="200"/>
        <w:rPr>
          <w:rFonts w:ascii="宋体"/>
          <w:b/>
          <w:bCs/>
          <w:kern w:val="0"/>
          <w:sz w:val="24"/>
        </w:rPr>
      </w:pPr>
      <w:r>
        <w:rPr>
          <w:rFonts w:hint="eastAsia" w:ascii="宋体" w:hAnsi="宋体"/>
          <w:kern w:val="0"/>
          <w:sz w:val="24"/>
        </w:rPr>
        <w:t>基金托管人应定期核对证券账户中的证券数量和种类。</w:t>
      </w:r>
    </w:p>
    <w:p w14:paraId="2C74C1F5">
      <w:pPr>
        <w:tabs>
          <w:tab w:val="left" w:pos="1260"/>
        </w:tabs>
        <w:spacing w:line="360" w:lineRule="auto"/>
        <w:ind w:firstLine="480" w:firstLineChars="200"/>
        <w:rPr>
          <w:rFonts w:ascii="宋体"/>
          <w:kern w:val="0"/>
          <w:sz w:val="24"/>
        </w:rPr>
      </w:pPr>
      <w:r>
        <w:rPr>
          <w:rFonts w:hint="eastAsia" w:ascii="宋体" w:hAnsi="宋体"/>
          <w:kern w:val="0"/>
          <w:sz w:val="24"/>
        </w:rPr>
        <w:t>双方可协商采用电子对账方式进行账目核对。</w:t>
      </w:r>
    </w:p>
    <w:p w14:paraId="39C976DB">
      <w:pPr>
        <w:tabs>
          <w:tab w:val="left" w:pos="3780"/>
        </w:tabs>
        <w:autoSpaceDE w:val="0"/>
        <w:autoSpaceDN w:val="0"/>
        <w:spacing w:before="156" w:beforeLines="50" w:after="156" w:afterLines="50" w:line="360" w:lineRule="auto"/>
        <w:textAlignment w:val="bottom"/>
        <w:outlineLvl w:val="0"/>
        <w:rPr>
          <w:rFonts w:ascii="宋体"/>
          <w:b/>
          <w:bCs/>
          <w:sz w:val="24"/>
        </w:rPr>
      </w:pPr>
      <w:bookmarkStart w:id="74" w:name="_Toc466788858"/>
      <w:bookmarkStart w:id="75" w:name="_Toc523829999"/>
      <w:r>
        <w:rPr>
          <w:rFonts w:hint="eastAsia" w:ascii="宋体" w:hAnsi="宋体"/>
          <w:b/>
          <w:bCs/>
          <w:sz w:val="24"/>
        </w:rPr>
        <w:t>（四）申购、赎回、转换开放式基金的资金清算和数据传递的时间、程序及托管协议当事人的责任界定</w:t>
      </w:r>
    </w:p>
    <w:p w14:paraId="7A91C509">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）基金份额申购、赎回的确认，清算由基金管理人指定的登记机构负责。</w:t>
      </w:r>
    </w:p>
    <w:p w14:paraId="30C09553">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管理人应将每个开放日的申购、赎回、转换开放式基金的数据传送给基金托管人。基金管理人应对传递的申购、赎回、转换开放式基金的数据真实性、准确性、完整性负责。基金托管人应及时查收申购资金的到账情况并根据基金管理人指令及时划付赎回及转换款项。</w:t>
      </w:r>
    </w:p>
    <w:p w14:paraId="092000B5">
      <w:pPr>
        <w:adjustRightInd w:val="0"/>
        <w:snapToGrid w:val="0"/>
        <w:spacing w:before="50" w:after="50" w:line="360" w:lineRule="auto"/>
        <w:ind w:firstLine="480"/>
        <w:rPr>
          <w:rFonts w:ascii="宋体" w:hAnsi="宋体" w:cs="Arial"/>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宋体" w:hAnsi="宋体"/>
          <w:sz w:val="24"/>
        </w:rPr>
        <w:t>基金申购、赎回等款项采用</w:t>
      </w:r>
      <w:r>
        <w:rPr>
          <w:rFonts w:hint="eastAsia" w:ascii="宋体" w:hAnsi="宋体" w:cs="Arial"/>
          <w:sz w:val="24"/>
        </w:rPr>
        <w:t>基金托管账户与“</w:t>
      </w:r>
      <w:r>
        <w:rPr>
          <w:rFonts w:hint="eastAsia" w:ascii="宋体" w:hAnsi="宋体"/>
          <w:color w:val="000000"/>
          <w:sz w:val="24"/>
        </w:rPr>
        <w:t>基金清算账户</w:t>
      </w:r>
      <w:r>
        <w:rPr>
          <w:rFonts w:hint="eastAsia" w:ascii="宋体" w:hAnsi="宋体" w:cs="Arial"/>
          <w:sz w:val="24"/>
        </w:rPr>
        <w:t>”间</w:t>
      </w:r>
      <w:r>
        <w:rPr>
          <w:rFonts w:hint="eastAsia" w:ascii="宋体" w:hAnsi="宋体"/>
          <w:sz w:val="24"/>
        </w:rPr>
        <w:t>轧差交收的结算方式</w:t>
      </w:r>
      <w:r>
        <w:rPr>
          <w:rFonts w:hint="eastAsia" w:ascii="宋体" w:hAnsi="宋体" w:cs="Arial"/>
          <w:sz w:val="24"/>
        </w:rPr>
        <w:t xml:space="preserve">。 </w:t>
      </w:r>
    </w:p>
    <w:p w14:paraId="3DA82F22">
      <w:pPr>
        <w:spacing w:line="360" w:lineRule="auto"/>
        <w:ind w:firstLine="480" w:firstLineChars="200"/>
        <w:rPr>
          <w:rFonts w:ascii="宋体" w:hAnsi="宋体"/>
          <w:sz w:val="24"/>
        </w:rPr>
      </w:pPr>
      <w:r>
        <w:rPr>
          <w:rFonts w:hint="eastAsia" w:ascii="宋体" w:hAnsi="宋体"/>
          <w:color w:val="000000"/>
          <w:sz w:val="24"/>
        </w:rPr>
        <w:t>基金托管账户与“基金清算账户”间的资金结算遵循“全额清算、净额交收”的原则，每日按照托管账户应收资金</w:t>
      </w:r>
      <w:r>
        <w:rPr>
          <w:rFonts w:ascii="宋体" w:hAnsi="宋体"/>
          <w:color w:val="000000"/>
          <w:sz w:val="24"/>
        </w:rPr>
        <w:t>（</w:t>
      </w:r>
      <w:r>
        <w:rPr>
          <w:rFonts w:hint="eastAsia" w:ascii="宋体" w:hAnsi="宋体"/>
          <w:color w:val="000000"/>
          <w:sz w:val="24"/>
        </w:rPr>
        <w:t>申购申请对应申购净额与基金转换转入申请对应净额之和</w:t>
      </w:r>
      <w:r>
        <w:rPr>
          <w:rFonts w:ascii="宋体" w:hAnsi="宋体"/>
          <w:color w:val="000000"/>
          <w:sz w:val="24"/>
        </w:rPr>
        <w:t>）</w:t>
      </w:r>
      <w:r>
        <w:rPr>
          <w:rFonts w:hint="eastAsia" w:ascii="宋体" w:hAnsi="宋体"/>
          <w:color w:val="000000"/>
          <w:sz w:val="24"/>
        </w:rPr>
        <w:t>与应付资金</w:t>
      </w:r>
      <w:r>
        <w:rPr>
          <w:rFonts w:ascii="宋体" w:hAnsi="宋体"/>
          <w:color w:val="000000"/>
          <w:sz w:val="24"/>
        </w:rPr>
        <w:t>（</w:t>
      </w:r>
      <w:r>
        <w:rPr>
          <w:rFonts w:hint="eastAsia" w:ascii="宋体" w:hAnsi="宋体"/>
          <w:color w:val="000000"/>
          <w:sz w:val="24"/>
        </w:rPr>
        <w:t>赎回申请对应赎回金额扣除归基金资产的费用与基金转换转出申请对应金额扣除归基金资产的费用之和</w:t>
      </w:r>
      <w:r>
        <w:rPr>
          <w:rFonts w:ascii="宋体" w:hAnsi="宋体"/>
          <w:color w:val="000000"/>
          <w:sz w:val="24"/>
        </w:rPr>
        <w:t>）</w:t>
      </w:r>
      <w:r>
        <w:rPr>
          <w:rFonts w:hint="eastAsia" w:ascii="宋体" w:hAnsi="宋体"/>
          <w:color w:val="000000"/>
          <w:sz w:val="24"/>
        </w:rPr>
        <w:t>的差额来确定托管账户净应收额或净应付额，以此确定资金交收额。如存在托管账户净应收额时，基金管理人应在交收日 15:00之前从基金清算账户划往基金托管账户，基金托管人在资金到账后应立即通知基金管理人，并将有关书面凭证传真给基金管理人进行账务管理；如存在托管账户净应付额时，基金管理人应提前将划款指令发送给基金托管人，基金托管人按基金管理人的划款指令将托管账户净应付额在交收日12:00之前划往基金清算账户，基金托管人在资金划出后立即通知基金管理人，并将有关书面凭证交给基金管理人进行账务管理。</w:t>
      </w:r>
    </w:p>
    <w:p w14:paraId="382FBA2A">
      <w:pPr>
        <w:tabs>
          <w:tab w:val="left" w:pos="1260"/>
        </w:tabs>
        <w:spacing w:line="360" w:lineRule="auto"/>
        <w:ind w:firstLine="480" w:firstLineChars="200"/>
        <w:rPr>
          <w:rFonts w:ascii="宋体"/>
          <w:kern w:val="0"/>
          <w:sz w:val="24"/>
        </w:rPr>
      </w:pPr>
      <w:r>
        <w:rPr>
          <w:rFonts w:hint="eastAsia" w:ascii="宋体" w:hAnsi="宋体"/>
          <w:kern w:val="0"/>
          <w:sz w:val="24"/>
        </w:rPr>
        <w:t>如净应收额未能如期到账，基金托管人应及时通知基金管理人采取措施进行催收，由此给基金造成损失的，由责任方承担。基金管理人负责向责任方追偿基金的损失。若净应付额未能如期划拨，由此造成的损失，由责任方承担。基金管理人负责向责任方追偿基金的损失。</w:t>
      </w:r>
    </w:p>
    <w:p w14:paraId="23C4F68C">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（五）基金收益分配的清算交收安排</w:t>
      </w:r>
    </w:p>
    <w:p w14:paraId="64EC9D51">
      <w:pPr>
        <w:spacing w:line="360" w:lineRule="auto"/>
        <w:ind w:firstLine="480" w:firstLineChars="200"/>
        <w:rPr>
          <w:rFonts w:ascii="宋体" w:hAns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）基金管理人决定收益分配方案并通知基金托管人，经基金托管人复核后按规定公告。</w:t>
      </w:r>
    </w:p>
    <w:p w14:paraId="23B1D973">
      <w:pPr>
        <w:spacing w:line="360" w:lineRule="auto"/>
        <w:ind w:firstLine="480" w:firstLineChars="200"/>
        <w:rPr>
          <w:rFonts w:ascii="宋体" w:hAns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）基金托管人和基金管理人对基金收益分配进行账务处理并核对后，基金管理人应及时向基金托管人发送分发现金红利的划款指令，基金托管人依据划款指令在指定划付日及时将资金划至基金管理人指定账户。</w:t>
      </w:r>
      <w:r>
        <w:rPr>
          <w:rFonts w:ascii="宋体" w:hAnsi="宋体"/>
          <w:kern w:val="0"/>
          <w:sz w:val="24"/>
        </w:rPr>
        <w:t xml:space="preserve"> </w:t>
      </w:r>
    </w:p>
    <w:p w14:paraId="58D65775">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）基金管理人在下达分红款支付指令时，应给基金托管人留出必需的划款时间。</w:t>
      </w:r>
      <w:bookmarkStart w:id="76" w:name="_Toc125892444"/>
    </w:p>
    <w:p w14:paraId="631E85A1">
      <w:pPr>
        <w:pStyle w:val="3"/>
        <w:jc w:val="center"/>
        <w:rPr>
          <w:sz w:val="30"/>
        </w:rPr>
      </w:pPr>
      <w:bookmarkStart w:id="77" w:name="_Toc291504136"/>
      <w:bookmarkStart w:id="78" w:name="_Toc430854304"/>
      <w:bookmarkStart w:id="79" w:name="_Toc4009"/>
      <w:r>
        <w:rPr>
          <w:rFonts w:hint="eastAsia"/>
          <w:sz w:val="30"/>
        </w:rPr>
        <w:t>八、基金资产净值计算和会计核算</w:t>
      </w:r>
      <w:bookmarkEnd w:id="74"/>
      <w:bookmarkEnd w:id="75"/>
      <w:bookmarkEnd w:id="76"/>
      <w:bookmarkEnd w:id="77"/>
      <w:bookmarkEnd w:id="78"/>
      <w:bookmarkEnd w:id="79"/>
    </w:p>
    <w:p w14:paraId="60146E67">
      <w:pPr>
        <w:tabs>
          <w:tab w:val="left" w:pos="3780"/>
        </w:tabs>
        <w:autoSpaceDE w:val="0"/>
        <w:autoSpaceDN w:val="0"/>
        <w:spacing w:before="156" w:beforeLines="50" w:after="156" w:afterLines="50" w:line="360" w:lineRule="auto"/>
        <w:ind w:firstLine="240" w:firstLineChars="100"/>
        <w:textAlignment w:val="bottom"/>
        <w:outlineLvl w:val="0"/>
        <w:rPr>
          <w:rFonts w:ascii="宋体"/>
          <w:b/>
          <w:bCs/>
          <w:sz w:val="24"/>
        </w:rPr>
      </w:pPr>
      <w:bookmarkStart w:id="80" w:name="_Toc77663017"/>
      <w:r>
        <w:rPr>
          <w:rFonts w:hint="eastAsia" w:ascii="宋体" w:hAnsi="宋体"/>
          <w:b/>
          <w:bCs/>
          <w:sz w:val="24"/>
        </w:rPr>
        <w:t>（一）基金资产净值及基金份额净值的计算与复核</w:t>
      </w:r>
      <w:bookmarkEnd w:id="80"/>
    </w:p>
    <w:p w14:paraId="3E05F605">
      <w:pPr>
        <w:autoSpaceDE w:val="0"/>
        <w:autoSpaceDN w:val="0"/>
        <w:adjustRightInd w:val="0"/>
        <w:spacing w:line="360" w:lineRule="auto"/>
        <w:ind w:firstLine="420"/>
        <w:rPr>
          <w:rFonts w:ascii="宋体" w:cs="宋体"/>
          <w:kern w:val="0"/>
          <w:sz w:val="24"/>
        </w:rPr>
      </w:pPr>
      <w:r>
        <w:rPr>
          <w:rFonts w:hint="eastAsia" w:ascii="宋体" w:hAnsi="宋体"/>
          <w:kern w:val="0"/>
          <w:sz w:val="24"/>
        </w:rPr>
        <w:t>基金资产净值是指基金资产总值减去基金负债后的价值。各类基金份额净值是按照每个工作日闭市后，</w:t>
      </w:r>
      <w:r>
        <w:rPr>
          <w:rFonts w:ascii="宋体" w:hAnsi="宋体"/>
          <w:kern w:val="0"/>
          <w:sz w:val="24"/>
        </w:rPr>
        <w:t>各</w:t>
      </w:r>
      <w:r>
        <w:rPr>
          <w:rFonts w:hint="eastAsia" w:ascii="宋体" w:hAnsi="宋体"/>
          <w:kern w:val="0"/>
          <w:sz w:val="24"/>
        </w:rPr>
        <w:t>类基金份额的基金资产净值除以当日该类基金份额的余额数量计算，均精确到0.0001元，小数点后第5位四舍五入。基金管理人可以设立大额赎回情形下的净值精度应急调整机制。国家另有规定的，从其规定。</w:t>
      </w:r>
    </w:p>
    <w:p w14:paraId="38714AB4">
      <w:pPr>
        <w:spacing w:line="360" w:lineRule="auto"/>
        <w:ind w:firstLine="480" w:firstLineChars="200"/>
        <w:rPr>
          <w:rFonts w:ascii="宋体" w:cs="宋体"/>
          <w:color w:val="000000"/>
          <w:kern w:val="0"/>
          <w:sz w:val="24"/>
        </w:rPr>
      </w:pPr>
      <w:r>
        <w:rPr>
          <w:rFonts w:hint="eastAsia" w:ascii="宋体" w:hAnsi="宋体"/>
          <w:kern w:val="0"/>
          <w:sz w:val="24"/>
        </w:rPr>
        <w:t>基金管理人应每个</w:t>
      </w:r>
      <w:r>
        <w:rPr>
          <w:rFonts w:hint="eastAsia" w:ascii="宋体" w:hAnsi="宋体"/>
          <w:sz w:val="24"/>
          <w:szCs w:val="21"/>
        </w:rPr>
        <w:t>工作日</w:t>
      </w:r>
      <w:r>
        <w:rPr>
          <w:rFonts w:hint="eastAsia" w:ascii="宋体" w:hAnsi="宋体"/>
          <w:kern w:val="0"/>
          <w:sz w:val="24"/>
        </w:rPr>
        <w:t>对基金资产估值。但基金管理人根据法律法规或基金合同的规定暂停估值时除外。估值原则应符合《基金合同》、《</w:t>
      </w:r>
      <w:bookmarkStart w:id="81" w:name="_Toc187224006"/>
      <w:r>
        <w:rPr>
          <w:rFonts w:hint="eastAsia" w:ascii="黑体" w:hAnsi="宋体"/>
          <w:sz w:val="24"/>
        </w:rPr>
        <w:t>关于证券投资基金执行</w:t>
      </w:r>
      <w:r>
        <w:rPr>
          <w:rFonts w:ascii="黑体" w:hAnsi="宋体"/>
          <w:sz w:val="24"/>
        </w:rPr>
        <w:t>&lt;</w:t>
      </w:r>
      <w:r>
        <w:rPr>
          <w:rFonts w:hint="eastAsia" w:ascii="黑体" w:hAnsi="宋体"/>
          <w:sz w:val="24"/>
        </w:rPr>
        <w:t>企业会计准则</w:t>
      </w:r>
      <w:r>
        <w:rPr>
          <w:rFonts w:ascii="黑体" w:hAnsi="宋体"/>
          <w:sz w:val="24"/>
        </w:rPr>
        <w:t>&gt;</w:t>
      </w:r>
      <w:r>
        <w:rPr>
          <w:rFonts w:hint="eastAsia" w:ascii="黑体" w:hAnsi="宋体"/>
          <w:sz w:val="24"/>
        </w:rPr>
        <w:t>估值业务及份额净值计价有关事项的通知</w:t>
      </w:r>
      <w:bookmarkEnd w:id="81"/>
      <w:r>
        <w:rPr>
          <w:rFonts w:hint="eastAsia" w:ascii="宋体" w:hAnsi="宋体"/>
          <w:kern w:val="0"/>
          <w:sz w:val="24"/>
        </w:rPr>
        <w:t>》、《企业会计准则》及其他法律、法规的规定。基金资产净值和各类基金份额净值由基金管理人负责计算，基金托管人复核。基金管理人应于每个</w:t>
      </w:r>
      <w:r>
        <w:rPr>
          <w:rFonts w:hint="eastAsia" w:ascii="宋体" w:hAnsi="宋体"/>
          <w:sz w:val="24"/>
          <w:szCs w:val="21"/>
        </w:rPr>
        <w:t>工作日</w:t>
      </w:r>
      <w:r>
        <w:rPr>
          <w:rFonts w:hint="eastAsia" w:ascii="宋体" w:hAnsi="宋体"/>
          <w:kern w:val="0"/>
          <w:sz w:val="24"/>
        </w:rPr>
        <w:t>交易结束后计算当日的基金资产净值和各类基金份额净值，以约定方式发送给基金托管人。基金托管人对净值计算结果复核后，将复核结果反馈给基金管理人，由基金管理人按规定对基金净值予以公布。</w:t>
      </w:r>
    </w:p>
    <w:p w14:paraId="1C1BB4C4">
      <w:pPr>
        <w:tabs>
          <w:tab w:val="left" w:pos="1260"/>
        </w:tabs>
        <w:spacing w:line="360" w:lineRule="auto"/>
        <w:ind w:firstLine="480" w:firstLineChars="200"/>
        <w:rPr>
          <w:rFonts w:ascii="宋体" w:hAnsi="宋体"/>
          <w:kern w:val="0"/>
          <w:sz w:val="24"/>
        </w:rPr>
      </w:pPr>
      <w:r>
        <w:rPr>
          <w:rFonts w:hint="eastAsia" w:ascii="宋体" w:hAnsi="宋体"/>
          <w:kern w:val="0"/>
          <w:sz w:val="24"/>
        </w:rPr>
        <w:t>本基金按以下方法估值：</w:t>
      </w:r>
      <w:r>
        <w:rPr>
          <w:rFonts w:ascii="宋体" w:hAnsi="宋体"/>
          <w:kern w:val="0"/>
          <w:sz w:val="24"/>
        </w:rPr>
        <w:t xml:space="preserve"> </w:t>
      </w:r>
    </w:p>
    <w:p w14:paraId="0BDB9B59">
      <w:pPr>
        <w:spacing w:line="360" w:lineRule="auto"/>
        <w:ind w:firstLine="480" w:firstLineChars="200"/>
        <w:rPr>
          <w:rFonts w:hint="eastAsia" w:ascii="宋体" w:hAnsi="宋体"/>
          <w:color w:val="000000"/>
          <w:kern w:val="0"/>
          <w:sz w:val="24"/>
        </w:rPr>
      </w:pPr>
      <w:bookmarkStart w:id="82" w:name="_Hlk112965796"/>
      <w:r>
        <w:rPr>
          <w:rFonts w:hint="eastAsia" w:ascii="宋体" w:hAnsi="宋体"/>
          <w:color w:val="000000"/>
          <w:kern w:val="0"/>
          <w:sz w:val="24"/>
        </w:rPr>
        <w:t>1、本基金持有的目标ETF基金份额以其当日基金份额净值估值，当日无基金份额净值的，以最近工作日的基金份额净值估值。</w:t>
      </w:r>
    </w:p>
    <w:p w14:paraId="667DA45F">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8CBC4DB">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3、对于已上市或已挂牌转让的不含权固定收益品种，选取估值日第三方估值基准服务机构提供的相应品种当日的估值全价进行估值。</w:t>
      </w:r>
    </w:p>
    <w:p w14:paraId="6DEE0873">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4、对于已上市或已挂牌转让的含权固定收益品种，选取估值日第三方估值基准服务机构提供的相应品种当日的唯一估值全价或推荐估值全价进行估值。</w:t>
      </w:r>
    </w:p>
    <w:p w14:paraId="73E1A300">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7200ECF2">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5139FB54">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6、对于未上市或未挂牌转让且不存在活跃市场的固定收益品种，应采用在当前情况下适用并且有足够可利用数据和其他信息支持的估值技术确定其公允价值。</w:t>
      </w:r>
    </w:p>
    <w:p w14:paraId="63B14951">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7、处于未上市期间的有价证券应区分如下情况处理：</w:t>
      </w:r>
    </w:p>
    <w:p w14:paraId="02D4249F">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（1）送股、转增股、配股和公开增发的新股，按估值日在证券交易所挂牌的同一股票的估值方法估值；该日无交易的，以最近一日的市价（收盘价）估值；</w:t>
      </w:r>
    </w:p>
    <w:p w14:paraId="45F97610">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（2）首次公开发行未上市的股票，采用估值技术确定公允价值；</w:t>
      </w:r>
    </w:p>
    <w:p w14:paraId="0A679293">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7F7FFB29">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8、本基金投资存托凭证的估值核算，依照境内上市交易的股票执行。</w:t>
      </w:r>
    </w:p>
    <w:p w14:paraId="5061446F">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9、同一证券同时在两个或两个以上市场交易的，按证券所处的市场分别估值。</w:t>
      </w:r>
    </w:p>
    <w:p w14:paraId="31BD3F5C">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10、本基金参与股指期货合约、国债期货合约交易，一般以估值当日结算价进行估值，估值当日无结算价的，且最近交易日后经济环境未发生重大变化的，采用最近交易日结算价估值。</w:t>
      </w:r>
    </w:p>
    <w:p w14:paraId="7597637B">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11、本基金投资股票期权，根据相关法律法规以及监管部门的规定估值。</w:t>
      </w:r>
    </w:p>
    <w:p w14:paraId="051D233A">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12、本基金参与融资或转融通证券出借业务的，应参照行业协会的相关规定进行估值，确保估值的公允性。</w:t>
      </w:r>
    </w:p>
    <w:p w14:paraId="6F6A6F76">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13、汇率</w:t>
      </w:r>
    </w:p>
    <w:p w14:paraId="1C111BE0">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本基金外币资产价值计算中，涉及主要货币对人民币汇率的，应当以基金估值日中国人民银行或其授权机构公布的人民币汇率中间价为准。</w:t>
      </w:r>
    </w:p>
    <w:p w14:paraId="3EBE2C90">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14、如有确凿证据表明按上述方法进行估值不能客观反映其公允价值的，基金管理人可根据具体情况与基金托管人商定后，按最能反映公允价值的价格估值。</w:t>
      </w:r>
    </w:p>
    <w:p w14:paraId="15BEECA5">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15、当发生大额申购或赎回情形时，基金管理人可以采用摆动定价机制，以确保基金估值的公平性。具体处理原则与操作规范遵循相关法律法规以及监管部门、自律规则的规定。</w:t>
      </w:r>
    </w:p>
    <w:p w14:paraId="53487D03">
      <w:pPr>
        <w:spacing w:line="360" w:lineRule="auto"/>
        <w:ind w:firstLine="480" w:firstLineChars="200"/>
        <w:rPr>
          <w:rFonts w:hint="eastAsia" w:ascii="宋体" w:hAnsi="宋体"/>
          <w:color w:val="000000"/>
          <w:kern w:val="0"/>
          <w:sz w:val="24"/>
        </w:rPr>
      </w:pPr>
      <w:r>
        <w:rPr>
          <w:rFonts w:hint="eastAsia" w:ascii="宋体" w:hAnsi="宋体"/>
          <w:color w:val="000000"/>
          <w:kern w:val="0"/>
          <w:sz w:val="24"/>
        </w:rPr>
        <w:t>16、相关法律法规以及监管部门有强制规定的，从其规定。如有新增事项，按国家最新规定估值。</w:t>
      </w:r>
    </w:p>
    <w:p w14:paraId="685E0004">
      <w:pPr>
        <w:spacing w:line="360" w:lineRule="auto"/>
        <w:ind w:firstLine="480" w:firstLineChars="200"/>
        <w:rPr>
          <w:rFonts w:hint="eastAsia" w:ascii="Times New Roman" w:hAnsi="Times New Roman"/>
          <w:bCs/>
          <w:color w:val="000000"/>
          <w:kern w:val="2"/>
          <w:sz w:val="24"/>
        </w:rPr>
      </w:pPr>
      <w:r>
        <w:rPr>
          <w:rFonts w:hint="eastAsia" w:ascii="Times New Roman" w:hAnsi="Times New Roman"/>
          <w:bCs/>
          <w:color w:val="000000"/>
          <w:kern w:val="2"/>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E32ABE0">
      <w:pPr>
        <w:spacing w:line="360" w:lineRule="auto"/>
        <w:ind w:firstLine="480" w:firstLineChars="200"/>
        <w:rPr>
          <w:rFonts w:hint="eastAsia" w:ascii="宋体" w:hAnsi="宋体"/>
          <w:b/>
          <w:bCs/>
          <w:sz w:val="24"/>
        </w:rPr>
      </w:pPr>
      <w:r>
        <w:rPr>
          <w:rFonts w:hint="eastAsia" w:ascii="Times New Roman" w:hAnsi="Times New Roman"/>
          <w:bCs/>
          <w:color w:val="000000"/>
          <w:kern w:val="2"/>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但基金托管人有权向监管部门</w:t>
      </w:r>
      <w:r>
        <w:rPr>
          <w:rFonts w:hint="eastAsia" w:ascii="Times New Roman" w:hAnsi="Times New Roman"/>
          <w:bCs/>
          <w:color w:val="000000"/>
          <w:kern w:val="2"/>
          <w:sz w:val="24"/>
          <w:u w:val="none"/>
        </w:rPr>
        <w:t>报告</w:t>
      </w:r>
      <w:r>
        <w:rPr>
          <w:rFonts w:hint="eastAsia" w:ascii="Times New Roman" w:hAnsi="Times New Roman"/>
          <w:bCs/>
          <w:color w:val="000000"/>
          <w:kern w:val="2"/>
          <w:sz w:val="24"/>
        </w:rPr>
        <w:t>。</w:t>
      </w:r>
      <w:r>
        <w:rPr>
          <w:rFonts w:hint="eastAsia"/>
          <w:bCs/>
          <w:sz w:val="24"/>
        </w:rPr>
        <w:t>基金托管人估值结果与基金管理人无法达成一致的，基金托管人应当及时提示基金管理人按照有关法律法规进行信息披露。</w:t>
      </w:r>
    </w:p>
    <w:bookmarkEnd w:id="82"/>
    <w:p w14:paraId="204C7F8A">
      <w:pPr>
        <w:spacing w:line="360" w:lineRule="auto"/>
        <w:ind w:firstLine="480" w:firstLineChars="200"/>
        <w:rPr>
          <w:rFonts w:ascii="宋体" w:hAnsi="宋体"/>
          <w:b/>
          <w:bCs/>
          <w:sz w:val="24"/>
        </w:rPr>
      </w:pPr>
      <w:r>
        <w:rPr>
          <w:rFonts w:hint="eastAsia" w:ascii="宋体" w:hAnsi="宋体"/>
          <w:b/>
          <w:bCs/>
          <w:sz w:val="24"/>
        </w:rPr>
        <w:t>（二）估值错误的处理</w:t>
      </w:r>
    </w:p>
    <w:p w14:paraId="47474B26">
      <w:pPr>
        <w:spacing w:line="360" w:lineRule="auto"/>
        <w:ind w:firstLine="480" w:firstLineChars="200"/>
        <w:rPr>
          <w:rFonts w:hint="eastAsia"/>
          <w:bCs/>
          <w:sz w:val="24"/>
        </w:rPr>
      </w:pPr>
      <w:bookmarkStart w:id="83" w:name="_Hlk112965860"/>
      <w:r>
        <w:rPr>
          <w:rFonts w:hint="eastAsia"/>
          <w:bCs/>
          <w:sz w:val="24"/>
        </w:rPr>
        <w:t>基金管理人和基金托管人将采取必要、适当、合理的措施确保基金资产估值的准确性、及时性。当任一类基金份额净值小数点后4位以内(含第4位)发生估值错误时，视为该类基金份额净值错误。</w:t>
      </w:r>
    </w:p>
    <w:p w14:paraId="36848EC4">
      <w:pPr>
        <w:spacing w:line="360" w:lineRule="auto"/>
        <w:ind w:firstLine="480" w:firstLineChars="200"/>
        <w:rPr>
          <w:rFonts w:hint="eastAsia"/>
          <w:bCs/>
          <w:sz w:val="24"/>
        </w:rPr>
      </w:pPr>
      <w:r>
        <w:rPr>
          <w:rFonts w:hint="eastAsia"/>
          <w:bCs/>
          <w:sz w:val="24"/>
        </w:rPr>
        <w:t>基金合同的当事人应按照以下约定处理：</w:t>
      </w:r>
    </w:p>
    <w:p w14:paraId="02F5DECB">
      <w:pPr>
        <w:spacing w:line="360" w:lineRule="auto"/>
        <w:ind w:firstLine="480" w:firstLineChars="200"/>
        <w:rPr>
          <w:rFonts w:hint="eastAsia"/>
          <w:bCs/>
          <w:sz w:val="24"/>
        </w:rPr>
      </w:pPr>
      <w:r>
        <w:rPr>
          <w:rFonts w:hint="eastAsia"/>
          <w:bCs/>
          <w:sz w:val="24"/>
        </w:rPr>
        <w:t>1、估值错误类型</w:t>
      </w:r>
      <w:r>
        <w:rPr>
          <w:rFonts w:hint="eastAsia"/>
          <w:bCs/>
          <w:sz w:val="24"/>
        </w:rPr>
        <w:tab/>
      </w:r>
    </w:p>
    <w:p w14:paraId="43D48AD8">
      <w:pPr>
        <w:spacing w:line="360" w:lineRule="auto"/>
        <w:ind w:firstLine="480" w:firstLineChars="200"/>
        <w:rPr>
          <w:rFonts w:hint="eastAsia"/>
          <w:bCs/>
          <w:sz w:val="24"/>
        </w:rPr>
      </w:pPr>
      <w:r>
        <w:rPr>
          <w:rFonts w:hint="eastAsia"/>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B001536">
      <w:pPr>
        <w:spacing w:line="360" w:lineRule="auto"/>
        <w:ind w:firstLine="480" w:firstLineChars="200"/>
        <w:rPr>
          <w:rFonts w:hint="eastAsia"/>
          <w:bCs/>
          <w:sz w:val="24"/>
        </w:rPr>
      </w:pPr>
      <w:r>
        <w:rPr>
          <w:rFonts w:hint="eastAsia"/>
          <w:bCs/>
          <w:sz w:val="24"/>
        </w:rPr>
        <w:t>上述估值错误的主要类型包括但不限于：资料申报差错、数据传输差错、数据计算差错、系统故障差错、下达指令差错等。</w:t>
      </w:r>
    </w:p>
    <w:p w14:paraId="30437493">
      <w:pPr>
        <w:spacing w:line="360" w:lineRule="auto"/>
        <w:ind w:firstLine="480" w:firstLineChars="200"/>
        <w:rPr>
          <w:rFonts w:hint="eastAsia"/>
          <w:bCs/>
          <w:sz w:val="24"/>
        </w:rPr>
      </w:pPr>
      <w:r>
        <w:rPr>
          <w:rFonts w:hint="eastAsia"/>
          <w:bCs/>
          <w:sz w:val="24"/>
        </w:rPr>
        <w:t>2、估值错误处理原则</w:t>
      </w:r>
    </w:p>
    <w:p w14:paraId="01C0B610">
      <w:pPr>
        <w:spacing w:line="360" w:lineRule="auto"/>
        <w:ind w:firstLine="480" w:firstLineChars="200"/>
        <w:rPr>
          <w:rFonts w:hint="eastAsia"/>
          <w:bCs/>
          <w:sz w:val="24"/>
        </w:rPr>
      </w:pPr>
      <w:r>
        <w:rPr>
          <w:rFonts w:hint="eastAsia"/>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9A05CC8">
      <w:pPr>
        <w:spacing w:line="360" w:lineRule="auto"/>
        <w:ind w:firstLine="480" w:firstLineChars="200"/>
        <w:rPr>
          <w:rFonts w:hint="eastAsia"/>
          <w:bCs/>
          <w:sz w:val="24"/>
        </w:rPr>
      </w:pPr>
      <w:r>
        <w:rPr>
          <w:rFonts w:hint="eastAsia"/>
          <w:bCs/>
          <w:sz w:val="24"/>
        </w:rPr>
        <w:t>（2）估值错误的责任方对有关当事人的直接损失负责，不对间接损失负责，并且仅对估值错误的有关直接当事人负责，不对第三方负责。</w:t>
      </w:r>
    </w:p>
    <w:p w14:paraId="197BB5D5">
      <w:pPr>
        <w:spacing w:line="360" w:lineRule="auto"/>
        <w:ind w:firstLine="480" w:firstLineChars="200"/>
        <w:rPr>
          <w:rFonts w:hint="eastAsia"/>
          <w:bCs/>
          <w:sz w:val="24"/>
        </w:rPr>
      </w:pPr>
      <w:r>
        <w:rPr>
          <w:rFonts w:hint="eastAsia"/>
          <w:bCs/>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82364DA">
      <w:pPr>
        <w:spacing w:line="360" w:lineRule="auto"/>
        <w:ind w:firstLine="480" w:firstLineChars="200"/>
        <w:rPr>
          <w:rFonts w:hint="eastAsia"/>
          <w:bCs/>
          <w:sz w:val="24"/>
        </w:rPr>
      </w:pPr>
      <w:r>
        <w:rPr>
          <w:rFonts w:hint="eastAsia"/>
          <w:bCs/>
          <w:sz w:val="24"/>
        </w:rPr>
        <w:t>（4）估值错误调整采用尽量恢复至假设未发生估值错误的正确情形的方式。</w:t>
      </w:r>
    </w:p>
    <w:p w14:paraId="2EE14187">
      <w:pPr>
        <w:spacing w:line="360" w:lineRule="auto"/>
        <w:ind w:firstLine="480" w:firstLineChars="200"/>
        <w:rPr>
          <w:rFonts w:hint="eastAsia"/>
          <w:bCs/>
          <w:sz w:val="24"/>
        </w:rPr>
      </w:pPr>
      <w:r>
        <w:rPr>
          <w:rFonts w:hint="eastAsia"/>
          <w:bCs/>
          <w:sz w:val="24"/>
        </w:rPr>
        <w:t>3、估值错误处理程序</w:t>
      </w:r>
    </w:p>
    <w:p w14:paraId="3044D8F2">
      <w:pPr>
        <w:spacing w:line="360" w:lineRule="auto"/>
        <w:ind w:firstLine="480" w:firstLineChars="200"/>
        <w:rPr>
          <w:rFonts w:hint="eastAsia"/>
          <w:bCs/>
          <w:sz w:val="24"/>
        </w:rPr>
      </w:pPr>
      <w:r>
        <w:rPr>
          <w:rFonts w:hint="eastAsia"/>
          <w:bCs/>
          <w:sz w:val="24"/>
        </w:rPr>
        <w:t>估值错误被发现后，有关的当事人应当及时进行处理，处理的程序如下：</w:t>
      </w:r>
    </w:p>
    <w:p w14:paraId="282D8D57">
      <w:pPr>
        <w:spacing w:line="360" w:lineRule="auto"/>
        <w:ind w:firstLine="480" w:firstLineChars="200"/>
        <w:rPr>
          <w:rFonts w:hint="eastAsia"/>
          <w:bCs/>
          <w:sz w:val="24"/>
        </w:rPr>
      </w:pPr>
      <w:r>
        <w:rPr>
          <w:rFonts w:hint="eastAsia"/>
          <w:bCs/>
          <w:sz w:val="24"/>
        </w:rPr>
        <w:t>（1）查明估值错误发生的原因，列明所有的当事人，并根据估值错误发生的原因确定估值错误的责任方；</w:t>
      </w:r>
    </w:p>
    <w:p w14:paraId="2C51BE0F">
      <w:pPr>
        <w:spacing w:line="360" w:lineRule="auto"/>
        <w:ind w:firstLine="480" w:firstLineChars="200"/>
        <w:rPr>
          <w:rFonts w:hint="eastAsia"/>
          <w:bCs/>
          <w:sz w:val="24"/>
        </w:rPr>
      </w:pPr>
      <w:r>
        <w:rPr>
          <w:rFonts w:hint="eastAsia"/>
          <w:bCs/>
          <w:sz w:val="24"/>
        </w:rPr>
        <w:t>（2）根据估值错误处理原则或当事人协商的方法对因估值错误造成的损失进行评估；</w:t>
      </w:r>
    </w:p>
    <w:p w14:paraId="21321BF9">
      <w:pPr>
        <w:spacing w:line="360" w:lineRule="auto"/>
        <w:ind w:firstLine="480" w:firstLineChars="200"/>
        <w:rPr>
          <w:rFonts w:hint="eastAsia"/>
          <w:bCs/>
          <w:sz w:val="24"/>
        </w:rPr>
      </w:pPr>
      <w:r>
        <w:rPr>
          <w:rFonts w:hint="eastAsia"/>
          <w:bCs/>
          <w:sz w:val="24"/>
        </w:rPr>
        <w:t>（3）根据估值错误处理原则或当事人协商的方法由估值错误的责任方进行更正和赔偿损失；</w:t>
      </w:r>
    </w:p>
    <w:p w14:paraId="583E5F8E">
      <w:pPr>
        <w:spacing w:line="360" w:lineRule="auto"/>
        <w:ind w:firstLine="480" w:firstLineChars="200"/>
        <w:rPr>
          <w:rFonts w:hint="eastAsia"/>
          <w:bCs/>
          <w:sz w:val="24"/>
        </w:rPr>
      </w:pPr>
      <w:r>
        <w:rPr>
          <w:rFonts w:hint="eastAsia"/>
          <w:bCs/>
          <w:sz w:val="24"/>
        </w:rPr>
        <w:t>（4）根据估值错误处理的方法，需要修改基金登记机构交易数据的，由基金登记机构进行更正，并就估值错误的更正向有关当事人进行确认。</w:t>
      </w:r>
    </w:p>
    <w:p w14:paraId="619888A7">
      <w:pPr>
        <w:spacing w:line="360" w:lineRule="auto"/>
        <w:ind w:firstLine="480" w:firstLineChars="200"/>
        <w:rPr>
          <w:rFonts w:hint="eastAsia"/>
          <w:bCs/>
          <w:sz w:val="24"/>
        </w:rPr>
      </w:pPr>
      <w:r>
        <w:rPr>
          <w:rFonts w:hint="eastAsia"/>
          <w:bCs/>
          <w:sz w:val="24"/>
        </w:rPr>
        <w:t>4、基金份额净值估值错误处理的方法如下：</w:t>
      </w:r>
    </w:p>
    <w:p w14:paraId="2B9104C1">
      <w:pPr>
        <w:spacing w:line="360" w:lineRule="auto"/>
        <w:ind w:firstLine="480" w:firstLineChars="200"/>
        <w:rPr>
          <w:rFonts w:hint="eastAsia"/>
          <w:bCs/>
          <w:sz w:val="24"/>
        </w:rPr>
      </w:pPr>
      <w:r>
        <w:rPr>
          <w:rFonts w:hint="eastAsia"/>
          <w:bCs/>
          <w:sz w:val="24"/>
        </w:rPr>
        <w:t>（1）基金份额净值计算出现错误时，基金管理人应当立即予以纠正，通报基金托管人，并采取合理的措施防止损失进一步扩大。</w:t>
      </w:r>
    </w:p>
    <w:p w14:paraId="5D5FB988">
      <w:pPr>
        <w:spacing w:line="360" w:lineRule="auto"/>
        <w:ind w:firstLine="480" w:firstLineChars="200"/>
        <w:rPr>
          <w:rFonts w:hint="eastAsia"/>
          <w:bCs/>
          <w:sz w:val="24"/>
        </w:rPr>
      </w:pPr>
      <w:r>
        <w:rPr>
          <w:rFonts w:hint="eastAsia"/>
          <w:bCs/>
          <w:sz w:val="24"/>
        </w:rPr>
        <w:t>（2）错误偏差达到该类基金份额净值的0.25%时，基金管理人应当通报基金托管人并报中国证监会备案；错误偏差达到该类基金份额净值的0.5%时，基金管理人应当公告，并报中国证监会备案。</w:t>
      </w:r>
    </w:p>
    <w:p w14:paraId="0586FE00">
      <w:pPr>
        <w:spacing w:line="360" w:lineRule="auto"/>
        <w:ind w:firstLine="480" w:firstLineChars="200"/>
        <w:rPr>
          <w:rFonts w:hint="eastAsia"/>
          <w:bCs/>
          <w:sz w:val="24"/>
        </w:rPr>
      </w:pPr>
      <w:r>
        <w:rPr>
          <w:rFonts w:hint="eastAsia"/>
          <w:bCs/>
          <w:sz w:val="24"/>
        </w:rPr>
        <w:t>（3）基金管理人和基金托管人由于各自技术系统设置而产生的净值计算尾差，以基金管理人计算结果为准。</w:t>
      </w:r>
    </w:p>
    <w:p w14:paraId="431B0DD0">
      <w:pPr>
        <w:autoSpaceDE w:val="0"/>
        <w:autoSpaceDN w:val="0"/>
        <w:adjustRightInd w:val="0"/>
        <w:spacing w:line="360" w:lineRule="auto"/>
        <w:ind w:firstLine="480" w:firstLineChars="200"/>
        <w:jc w:val="left"/>
        <w:rPr>
          <w:rFonts w:hint="eastAsia" w:ascii="宋体" w:hAnsi="宋体"/>
          <w:b/>
          <w:kern w:val="0"/>
          <w:sz w:val="24"/>
        </w:rPr>
      </w:pPr>
      <w:r>
        <w:rPr>
          <w:rFonts w:hint="eastAsia"/>
          <w:bCs/>
          <w:sz w:val="24"/>
        </w:rPr>
        <w:t>（4）前述内容如法律法规或监管机关另有规定的，从其规定处理。如果行业另有通行做法，基金管理人、基金托管人应本着平等和保护基金份额持有人利益的原则进行协商。</w:t>
      </w:r>
    </w:p>
    <w:bookmarkEnd w:id="83"/>
    <w:p w14:paraId="53673D7A">
      <w:pPr>
        <w:autoSpaceDE w:val="0"/>
        <w:autoSpaceDN w:val="0"/>
        <w:adjustRightInd w:val="0"/>
        <w:spacing w:line="360" w:lineRule="auto"/>
        <w:ind w:firstLine="420"/>
        <w:jc w:val="left"/>
        <w:rPr>
          <w:rFonts w:ascii="宋体" w:hAnsi="宋体"/>
          <w:b/>
          <w:kern w:val="0"/>
          <w:sz w:val="24"/>
        </w:rPr>
      </w:pPr>
      <w:bookmarkStart w:id="84" w:name="_Hlk112965863"/>
      <w:r>
        <w:rPr>
          <w:rFonts w:hint="eastAsia" w:ascii="宋体" w:hAnsi="宋体"/>
          <w:b/>
          <w:kern w:val="0"/>
          <w:sz w:val="24"/>
        </w:rPr>
        <w:t>（三）暂停估值的情形</w:t>
      </w:r>
    </w:p>
    <w:p w14:paraId="51DB239E">
      <w:pPr>
        <w:autoSpaceDE w:val="0"/>
        <w:autoSpaceDN w:val="0"/>
        <w:adjustRightInd w:val="0"/>
        <w:spacing w:line="360" w:lineRule="auto"/>
        <w:ind w:firstLine="420"/>
        <w:jc w:val="left"/>
        <w:rPr>
          <w:rFonts w:hint="eastAsia" w:ascii="宋体" w:hAnsi="宋体"/>
          <w:bCs/>
          <w:kern w:val="0"/>
          <w:sz w:val="24"/>
        </w:rPr>
      </w:pPr>
      <w:r>
        <w:rPr>
          <w:rFonts w:hint="eastAsia" w:ascii="宋体" w:hAnsi="宋体"/>
          <w:bCs/>
          <w:kern w:val="0"/>
          <w:sz w:val="24"/>
        </w:rPr>
        <w:t>（1）基金投资所涉及的证券、期货交易市场或外汇市场遇法定节假日或因其他原因暂停营业时；</w:t>
      </w:r>
    </w:p>
    <w:p w14:paraId="6D591934">
      <w:pPr>
        <w:autoSpaceDE w:val="0"/>
        <w:autoSpaceDN w:val="0"/>
        <w:adjustRightInd w:val="0"/>
        <w:spacing w:line="360" w:lineRule="auto"/>
        <w:ind w:firstLine="420"/>
        <w:jc w:val="left"/>
        <w:rPr>
          <w:rFonts w:hint="eastAsia" w:ascii="宋体" w:hAnsi="宋体"/>
          <w:bCs/>
          <w:kern w:val="0"/>
          <w:sz w:val="24"/>
        </w:rPr>
      </w:pPr>
      <w:r>
        <w:rPr>
          <w:rFonts w:hint="eastAsia" w:ascii="宋体" w:hAnsi="宋体"/>
          <w:bCs/>
          <w:kern w:val="0"/>
          <w:sz w:val="24"/>
        </w:rPr>
        <w:t>（2）因不可抗力致使基金管理人、基金托管人无法准确评估基金资产价值时；</w:t>
      </w:r>
    </w:p>
    <w:p w14:paraId="28786ED4">
      <w:pPr>
        <w:autoSpaceDE w:val="0"/>
        <w:autoSpaceDN w:val="0"/>
        <w:adjustRightInd w:val="0"/>
        <w:spacing w:line="360" w:lineRule="auto"/>
        <w:ind w:firstLine="420"/>
        <w:jc w:val="left"/>
        <w:rPr>
          <w:rFonts w:hint="eastAsia" w:ascii="宋体" w:hAnsi="宋体"/>
          <w:bCs/>
          <w:kern w:val="0"/>
          <w:sz w:val="24"/>
        </w:rPr>
      </w:pPr>
      <w:r>
        <w:rPr>
          <w:rFonts w:hint="eastAsia" w:ascii="宋体" w:hAnsi="宋体"/>
          <w:bCs/>
          <w:kern w:val="0"/>
          <w:sz w:val="24"/>
        </w:rPr>
        <w:t>（3）所投资的目标ETF暂停估值、暂停公告基金份额净值时；</w:t>
      </w:r>
    </w:p>
    <w:p w14:paraId="5482E164">
      <w:pPr>
        <w:autoSpaceDE w:val="0"/>
        <w:autoSpaceDN w:val="0"/>
        <w:adjustRightInd w:val="0"/>
        <w:spacing w:line="360" w:lineRule="auto"/>
        <w:ind w:firstLine="420"/>
        <w:jc w:val="left"/>
        <w:rPr>
          <w:rFonts w:hint="eastAsia" w:ascii="宋体" w:hAnsi="宋体"/>
          <w:bCs/>
          <w:kern w:val="0"/>
          <w:sz w:val="24"/>
        </w:rPr>
      </w:pPr>
      <w:r>
        <w:rPr>
          <w:rFonts w:hint="eastAsia" w:ascii="宋体" w:hAnsi="宋体"/>
          <w:bCs/>
          <w:kern w:val="0"/>
          <w:sz w:val="24"/>
        </w:rPr>
        <w:t>（4）当特定资产占前一估值日基金资产净值50%以上的，经与基金托管人协商确认后，基金管理人应当暂停估值；</w:t>
      </w:r>
    </w:p>
    <w:p w14:paraId="541C00C0">
      <w:pPr>
        <w:autoSpaceDE w:val="0"/>
        <w:autoSpaceDN w:val="0"/>
        <w:adjustRightInd w:val="0"/>
        <w:spacing w:line="360" w:lineRule="auto"/>
        <w:ind w:firstLine="420"/>
        <w:jc w:val="left"/>
        <w:rPr>
          <w:rFonts w:ascii="宋体" w:hAnsi="宋体"/>
          <w:bCs/>
          <w:kern w:val="0"/>
          <w:sz w:val="24"/>
        </w:rPr>
      </w:pPr>
      <w:r>
        <w:rPr>
          <w:rFonts w:hint="eastAsia" w:ascii="宋体" w:hAnsi="宋体"/>
          <w:bCs/>
          <w:kern w:val="0"/>
          <w:sz w:val="24"/>
        </w:rPr>
        <w:t>（5）法律法规规定、中国证监会和基金合同认定的其它情形。</w:t>
      </w:r>
    </w:p>
    <w:bookmarkEnd w:id="84"/>
    <w:p w14:paraId="7BD29B66">
      <w:pPr>
        <w:tabs>
          <w:tab w:val="left" w:pos="3780"/>
        </w:tabs>
        <w:autoSpaceDE w:val="0"/>
        <w:autoSpaceDN w:val="0"/>
        <w:spacing w:before="156" w:beforeLines="50" w:after="156" w:afterLines="50" w:line="360" w:lineRule="auto"/>
        <w:ind w:firstLine="240" w:firstLineChars="100"/>
        <w:textAlignment w:val="bottom"/>
        <w:outlineLvl w:val="0"/>
        <w:rPr>
          <w:rFonts w:ascii="宋体" w:cs="宋体"/>
          <w:b/>
          <w:kern w:val="0"/>
          <w:sz w:val="24"/>
        </w:rPr>
      </w:pPr>
      <w:r>
        <w:rPr>
          <w:rFonts w:hint="eastAsia" w:ascii="宋体" w:cs="宋体"/>
          <w:b/>
          <w:kern w:val="0"/>
          <w:sz w:val="24"/>
        </w:rPr>
        <w:t>（四）基金</w:t>
      </w:r>
      <w:r>
        <w:rPr>
          <w:rFonts w:hint="eastAsia" w:ascii="宋体" w:hAnsi="宋体"/>
          <w:b/>
          <w:bCs/>
          <w:sz w:val="24"/>
        </w:rPr>
        <w:t>会计制度</w:t>
      </w:r>
    </w:p>
    <w:p w14:paraId="5A0EFE8B">
      <w:pPr>
        <w:autoSpaceDE w:val="0"/>
        <w:autoSpaceDN w:val="0"/>
        <w:adjustRightInd w:val="0"/>
        <w:spacing w:line="360" w:lineRule="auto"/>
        <w:ind w:firstLine="420"/>
        <w:jc w:val="left"/>
        <w:rPr>
          <w:rFonts w:ascii="宋体" w:cs="宋体"/>
          <w:kern w:val="0"/>
          <w:sz w:val="20"/>
          <w:szCs w:val="20"/>
        </w:rPr>
      </w:pPr>
      <w:r>
        <w:rPr>
          <w:rFonts w:hint="eastAsia" w:ascii="宋体" w:cs="宋体"/>
          <w:kern w:val="0"/>
          <w:sz w:val="24"/>
        </w:rPr>
        <w:t>按国家有关部门制定的会计制度执行。</w:t>
      </w:r>
    </w:p>
    <w:p w14:paraId="6728EE95">
      <w:pPr>
        <w:tabs>
          <w:tab w:val="left" w:pos="3780"/>
        </w:tabs>
        <w:autoSpaceDE w:val="0"/>
        <w:autoSpaceDN w:val="0"/>
        <w:spacing w:before="156" w:beforeLines="50" w:after="156" w:afterLines="50" w:line="360" w:lineRule="auto"/>
        <w:ind w:firstLine="240" w:firstLineChars="100"/>
        <w:textAlignment w:val="bottom"/>
        <w:outlineLvl w:val="0"/>
        <w:rPr>
          <w:rFonts w:ascii="宋体"/>
          <w:b/>
          <w:bCs/>
          <w:sz w:val="24"/>
        </w:rPr>
      </w:pPr>
      <w:r>
        <w:rPr>
          <w:rFonts w:hint="eastAsia" w:ascii="宋体" w:hAnsi="宋体"/>
          <w:b/>
          <w:bCs/>
          <w:sz w:val="24"/>
        </w:rPr>
        <w:t>（五）基金账册的建立</w:t>
      </w:r>
    </w:p>
    <w:p w14:paraId="0D8B2535">
      <w:pPr>
        <w:tabs>
          <w:tab w:val="left" w:pos="1260"/>
        </w:tabs>
        <w:spacing w:line="360" w:lineRule="auto"/>
        <w:ind w:firstLine="480" w:firstLineChars="200"/>
        <w:rPr>
          <w:rFonts w:ascii="宋体"/>
          <w:kern w:val="0"/>
          <w:sz w:val="24"/>
        </w:rPr>
      </w:pPr>
      <w:r>
        <w:rPr>
          <w:rFonts w:hint="eastAsia" w:ascii="宋体" w:hAnsi="宋体"/>
          <w:kern w:val="0"/>
          <w:sz w:val="24"/>
        </w:rPr>
        <w:t>基金管理人和基金托管人在《基金合同》生效后，应按照双方约定的同一记账方法和会计处理原则，分别独立地设置、登记和保管本基金的全套账册，对双方各自的账册定期进行核对，互相监督，以保证基金财产的安全。若双方对会计处理方法存在分歧，应以基金管理人的处理方法为准。</w:t>
      </w:r>
    </w:p>
    <w:p w14:paraId="0E8A9361">
      <w:pPr>
        <w:tabs>
          <w:tab w:val="left" w:pos="3780"/>
        </w:tabs>
        <w:autoSpaceDE w:val="0"/>
        <w:autoSpaceDN w:val="0"/>
        <w:spacing w:before="156" w:beforeLines="50" w:after="156" w:afterLines="50" w:line="360" w:lineRule="auto"/>
        <w:ind w:firstLine="240" w:firstLineChars="100"/>
        <w:textAlignment w:val="bottom"/>
        <w:outlineLvl w:val="0"/>
        <w:rPr>
          <w:rFonts w:ascii="宋体"/>
          <w:b/>
          <w:bCs/>
          <w:sz w:val="24"/>
        </w:rPr>
      </w:pPr>
      <w:r>
        <w:rPr>
          <w:rFonts w:hint="eastAsia" w:ascii="宋体" w:hAnsi="宋体"/>
          <w:b/>
          <w:bCs/>
          <w:sz w:val="24"/>
        </w:rPr>
        <w:t>（六）会计数据和财务指标的核对</w:t>
      </w:r>
    </w:p>
    <w:p w14:paraId="03B4A4A9">
      <w:pPr>
        <w:tabs>
          <w:tab w:val="left" w:pos="1260"/>
        </w:tabs>
        <w:spacing w:line="360" w:lineRule="auto"/>
        <w:ind w:firstLine="480" w:firstLineChars="200"/>
        <w:rPr>
          <w:rFonts w:ascii="宋体"/>
          <w:kern w:val="0"/>
          <w:sz w:val="24"/>
        </w:rPr>
      </w:pPr>
      <w:r>
        <w:rPr>
          <w:rFonts w:hint="eastAsia" w:ascii="宋体" w:hAnsi="宋体"/>
          <w:kern w:val="0"/>
          <w:sz w:val="24"/>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14:paraId="1D211DA2">
      <w:pPr>
        <w:tabs>
          <w:tab w:val="left" w:pos="3780"/>
        </w:tabs>
        <w:autoSpaceDE w:val="0"/>
        <w:autoSpaceDN w:val="0"/>
        <w:spacing w:before="156" w:beforeLines="50" w:after="156" w:afterLines="50" w:line="360" w:lineRule="auto"/>
        <w:ind w:firstLine="240" w:firstLineChars="100"/>
        <w:textAlignment w:val="bottom"/>
        <w:outlineLvl w:val="0"/>
        <w:rPr>
          <w:rFonts w:ascii="宋体"/>
          <w:b/>
          <w:bCs/>
          <w:sz w:val="24"/>
        </w:rPr>
      </w:pPr>
      <w:r>
        <w:rPr>
          <w:rFonts w:hint="eastAsia" w:ascii="宋体" w:hAnsi="宋体"/>
          <w:b/>
          <w:bCs/>
          <w:sz w:val="24"/>
        </w:rPr>
        <w:t>（七）基金定期报告的编制和复核</w:t>
      </w:r>
    </w:p>
    <w:p w14:paraId="12B88BC8">
      <w:pPr>
        <w:tabs>
          <w:tab w:val="left" w:pos="1260"/>
        </w:tabs>
        <w:spacing w:line="360" w:lineRule="auto"/>
        <w:ind w:firstLine="480" w:firstLineChars="200"/>
        <w:rPr>
          <w:rFonts w:ascii="宋体"/>
          <w:kern w:val="0"/>
          <w:sz w:val="24"/>
        </w:rPr>
      </w:pPr>
      <w:r>
        <w:rPr>
          <w:rFonts w:hint="eastAsia" w:ascii="宋体" w:hAnsi="宋体"/>
          <w:kern w:val="0"/>
          <w:sz w:val="24"/>
        </w:rPr>
        <w:t>基金财务报表由基金管理人和基金托管人每月分别独立编制。月度报表的编制，应于每月终了后</w:t>
      </w:r>
      <w:r>
        <w:rPr>
          <w:rFonts w:ascii="宋体" w:hAnsi="宋体"/>
          <w:kern w:val="0"/>
          <w:sz w:val="24"/>
        </w:rPr>
        <w:t>5</w:t>
      </w:r>
      <w:r>
        <w:rPr>
          <w:rFonts w:hint="eastAsia" w:ascii="宋体" w:hAnsi="宋体"/>
          <w:kern w:val="0"/>
          <w:sz w:val="24"/>
        </w:rPr>
        <w:t>个工作日内完成。定期报告文件应按中国证监会的要求公告。季度报表的编制，应于每季度终了后</w:t>
      </w:r>
      <w:r>
        <w:rPr>
          <w:rFonts w:ascii="宋体" w:hAnsi="宋体"/>
          <w:kern w:val="0"/>
          <w:sz w:val="24"/>
        </w:rPr>
        <w:t>15</w:t>
      </w:r>
      <w:r>
        <w:rPr>
          <w:rFonts w:hint="eastAsia" w:ascii="宋体" w:hAnsi="宋体"/>
          <w:kern w:val="0"/>
          <w:sz w:val="24"/>
        </w:rPr>
        <w:t>个工作日内完成。中期报告在基金会计年度前</w:t>
      </w:r>
      <w:r>
        <w:rPr>
          <w:rFonts w:ascii="宋体" w:hAnsi="宋体"/>
          <w:kern w:val="0"/>
          <w:sz w:val="24"/>
        </w:rPr>
        <w:t>6</w:t>
      </w:r>
      <w:r>
        <w:rPr>
          <w:rFonts w:hint="eastAsia" w:ascii="宋体" w:hAnsi="宋体"/>
          <w:kern w:val="0"/>
          <w:sz w:val="24"/>
        </w:rPr>
        <w:t>个月结束后的两个月内公告；年度报告在会计年度结束后三个月内公告。</w:t>
      </w:r>
    </w:p>
    <w:p w14:paraId="205A3C08">
      <w:pPr>
        <w:tabs>
          <w:tab w:val="left" w:pos="1260"/>
        </w:tabs>
        <w:spacing w:line="360" w:lineRule="auto"/>
        <w:ind w:firstLine="480" w:firstLineChars="200"/>
        <w:rPr>
          <w:rFonts w:ascii="宋体" w:hAnsi="宋体"/>
          <w:kern w:val="0"/>
          <w:sz w:val="24"/>
        </w:rPr>
      </w:pPr>
      <w:r>
        <w:rPr>
          <w:rFonts w:hint="eastAsia" w:ascii="宋体" w:hAnsi="宋体"/>
          <w:kern w:val="0"/>
          <w:sz w:val="24"/>
        </w:rPr>
        <w:t>基金管理人在月度报表完成当日，对报表盖章后，以传真或其他双方认可方式将有关报表提供基金托管人；基金托管人在</w:t>
      </w:r>
      <w:r>
        <w:rPr>
          <w:rFonts w:ascii="宋体" w:hAnsi="宋体"/>
          <w:kern w:val="0"/>
          <w:sz w:val="24"/>
        </w:rPr>
        <w:t>2</w:t>
      </w:r>
      <w:r>
        <w:rPr>
          <w:rFonts w:hint="eastAsia" w:ascii="宋体" w:hAnsi="宋体"/>
          <w:kern w:val="0"/>
          <w:sz w:val="24"/>
        </w:rPr>
        <w:t>个工作日内进行复核，并将复核结果及时书面通知基金管理人。</w:t>
      </w:r>
    </w:p>
    <w:p w14:paraId="02393AC0">
      <w:pPr>
        <w:tabs>
          <w:tab w:val="left" w:pos="1260"/>
        </w:tabs>
        <w:spacing w:line="360" w:lineRule="auto"/>
        <w:ind w:firstLine="480" w:firstLineChars="200"/>
        <w:rPr>
          <w:rFonts w:ascii="宋体"/>
          <w:kern w:val="0"/>
          <w:sz w:val="24"/>
        </w:rPr>
      </w:pPr>
      <w:r>
        <w:rPr>
          <w:rFonts w:hint="eastAsia" w:ascii="宋体" w:hAnsi="宋体"/>
          <w:kern w:val="0"/>
          <w:sz w:val="24"/>
        </w:rPr>
        <w:t>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3D703A71">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基金托管人在对财务报表、季度报告、中期报告或年度报告复核完毕后，可以出具复核确认书（盖章）或以其他双方约定的方式确认，以备有权机构对相关文件审核检查。</w:t>
      </w:r>
      <w:bookmarkStart w:id="85" w:name="_Toc523830000"/>
      <w:bookmarkStart w:id="86" w:name="_Toc466788859"/>
      <w:bookmarkStart w:id="87" w:name="_Toc125892445"/>
      <w:bookmarkStart w:id="88" w:name="_Toc22454461"/>
    </w:p>
    <w:p w14:paraId="152FF2D2">
      <w:pPr>
        <w:tabs>
          <w:tab w:val="left" w:pos="3780"/>
        </w:tabs>
        <w:autoSpaceDE w:val="0"/>
        <w:autoSpaceDN w:val="0"/>
        <w:spacing w:before="156" w:beforeLines="50" w:after="156" w:afterLines="50" w:line="360" w:lineRule="auto"/>
        <w:ind w:firstLine="482"/>
        <w:textAlignment w:val="bottom"/>
        <w:outlineLvl w:val="0"/>
        <w:rPr>
          <w:rFonts w:ascii="宋体" w:hAnsi="宋体"/>
          <w:b/>
          <w:bCs/>
          <w:sz w:val="24"/>
        </w:rPr>
      </w:pPr>
      <w:r>
        <w:rPr>
          <w:rFonts w:hint="eastAsia" w:ascii="宋体" w:hAnsi="宋体"/>
          <w:b/>
          <w:bCs/>
          <w:sz w:val="24"/>
        </w:rPr>
        <w:t>（八）实施侧袋机制期间的基金资产估值</w:t>
      </w:r>
    </w:p>
    <w:p w14:paraId="55BB2C06">
      <w:pPr>
        <w:spacing w:line="360" w:lineRule="auto"/>
        <w:ind w:firstLine="480" w:firstLineChars="200"/>
        <w:rPr>
          <w:bCs/>
          <w:sz w:val="24"/>
        </w:rPr>
      </w:pPr>
      <w:r>
        <w:rPr>
          <w:rFonts w:hint="eastAsia"/>
          <w:bCs/>
          <w:sz w:val="24"/>
        </w:rPr>
        <w:t>本基金实施侧袋机制的，应根据基金合同的约定对主袋账户资产进行估值并披露主袋账户的基金净值信息，暂停披露侧袋账户基金净值信息。</w:t>
      </w:r>
    </w:p>
    <w:p w14:paraId="5814321C">
      <w:pPr>
        <w:pStyle w:val="3"/>
        <w:jc w:val="center"/>
        <w:rPr>
          <w:sz w:val="30"/>
        </w:rPr>
      </w:pPr>
      <w:bookmarkStart w:id="89" w:name="_Toc26982"/>
      <w:bookmarkStart w:id="90" w:name="_Toc430854305"/>
      <w:bookmarkStart w:id="91" w:name="_Toc291504137"/>
      <w:r>
        <w:rPr>
          <w:rFonts w:hint="eastAsia"/>
          <w:sz w:val="30"/>
        </w:rPr>
        <w:t>九、基金收益分配</w:t>
      </w:r>
      <w:bookmarkEnd w:id="85"/>
      <w:bookmarkEnd w:id="86"/>
      <w:bookmarkEnd w:id="87"/>
      <w:bookmarkEnd w:id="88"/>
      <w:bookmarkEnd w:id="89"/>
      <w:bookmarkEnd w:id="90"/>
      <w:bookmarkEnd w:id="91"/>
    </w:p>
    <w:p w14:paraId="6F5F9BE6">
      <w:pPr>
        <w:tabs>
          <w:tab w:val="left" w:pos="1260"/>
        </w:tabs>
        <w:spacing w:line="360" w:lineRule="auto"/>
        <w:ind w:firstLine="480" w:firstLineChars="200"/>
        <w:rPr>
          <w:rFonts w:ascii="宋体"/>
          <w:kern w:val="0"/>
          <w:sz w:val="24"/>
        </w:rPr>
      </w:pPr>
      <w:r>
        <w:rPr>
          <w:rFonts w:hint="eastAsia" w:ascii="宋体" w:hAnsi="宋体"/>
          <w:kern w:val="0"/>
          <w:sz w:val="24"/>
        </w:rPr>
        <w:t>基金收益分配是指将本基金的可分配收益根据持有基金份额的数量按比例向基金份额持有人进行分配。</w:t>
      </w:r>
    </w:p>
    <w:p w14:paraId="24C9307A">
      <w:pPr>
        <w:tabs>
          <w:tab w:val="left" w:pos="3780"/>
        </w:tabs>
        <w:autoSpaceDE w:val="0"/>
        <w:autoSpaceDN w:val="0"/>
        <w:spacing w:before="156" w:beforeLines="50" w:after="156" w:afterLines="50" w:line="360" w:lineRule="auto"/>
        <w:ind w:firstLine="480" w:firstLineChars="200"/>
        <w:textAlignment w:val="bottom"/>
        <w:outlineLvl w:val="0"/>
        <w:rPr>
          <w:rFonts w:ascii="宋体"/>
          <w:b/>
          <w:bCs/>
          <w:sz w:val="24"/>
        </w:rPr>
      </w:pPr>
      <w:r>
        <w:rPr>
          <w:rFonts w:hint="eastAsia" w:ascii="宋体" w:hAnsi="宋体"/>
          <w:b/>
          <w:bCs/>
          <w:sz w:val="24"/>
        </w:rPr>
        <w:t>（一）基金收益分配应该符合基金合同中收益分配原则的规定，具体规定如下：</w:t>
      </w:r>
    </w:p>
    <w:p w14:paraId="059631BC">
      <w:pPr>
        <w:tabs>
          <w:tab w:val="left" w:pos="1260"/>
        </w:tabs>
        <w:spacing w:line="360" w:lineRule="auto"/>
        <w:ind w:firstLine="480" w:firstLineChars="200"/>
        <w:rPr>
          <w:rFonts w:hint="eastAsia" w:ascii="宋体" w:hAnsi="宋体"/>
          <w:kern w:val="0"/>
          <w:sz w:val="24"/>
        </w:rPr>
      </w:pPr>
      <w:bookmarkStart w:id="92" w:name="_Hlk112965962"/>
      <w:r>
        <w:rPr>
          <w:rFonts w:hint="eastAsia" w:ascii="宋体" w:hAnsi="宋体"/>
          <w:kern w:val="0"/>
          <w:sz w:val="24"/>
        </w:rPr>
        <w:t>（1）由于本基金A类基金份额不收取销售服务费，而C类基金份额收取销售服务费，各基金份额类别对应的可供分配利润将有所不同，本基金同一类别的每一基金份额享有同等分配权；</w:t>
      </w:r>
    </w:p>
    <w:p w14:paraId="1960D872">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C2D07F8">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（3）基金收益分配后各类基金份额净值不能低于面值，即基金收益分配基准日的各类基金份额净值减去每单位该类基金份额收益分配金额后不能低于面值；</w:t>
      </w:r>
    </w:p>
    <w:p w14:paraId="21B6ED6E">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（4）法律法规或监管机关另有规定的，从其规定。</w:t>
      </w:r>
    </w:p>
    <w:p w14:paraId="74E996E5">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在不违反法律法规及基金合同约定，并对基金份额持有人利益无实质不利影响的前提下，基金管理人经与基金托管人协商一致后，可对基金收益分配原则和支付方式进行调整，不需召开基金份额持有人大会。</w:t>
      </w:r>
    </w:p>
    <w:bookmarkEnd w:id="92"/>
    <w:p w14:paraId="631CC722">
      <w:pPr>
        <w:tabs>
          <w:tab w:val="left" w:pos="3780"/>
        </w:tabs>
        <w:autoSpaceDE w:val="0"/>
        <w:autoSpaceDN w:val="0"/>
        <w:spacing w:before="156" w:beforeLines="50" w:after="156" w:afterLines="50" w:line="360" w:lineRule="auto"/>
        <w:ind w:firstLine="480" w:firstLineChars="200"/>
        <w:textAlignment w:val="bottom"/>
        <w:outlineLvl w:val="0"/>
        <w:rPr>
          <w:rFonts w:ascii="宋体"/>
          <w:b/>
          <w:bCs/>
          <w:sz w:val="24"/>
        </w:rPr>
      </w:pPr>
      <w:r>
        <w:rPr>
          <w:rFonts w:hint="eastAsia" w:ascii="宋体" w:hAnsi="宋体"/>
          <w:b/>
          <w:bCs/>
          <w:sz w:val="24"/>
        </w:rPr>
        <w:t>（二）基金收益分配方案的确定与公告</w:t>
      </w:r>
    </w:p>
    <w:p w14:paraId="008C228B">
      <w:pPr>
        <w:tabs>
          <w:tab w:val="left" w:pos="1260"/>
        </w:tabs>
        <w:spacing w:line="360" w:lineRule="auto"/>
        <w:ind w:firstLine="480" w:firstLineChars="200"/>
        <w:rPr>
          <w:rFonts w:hint="eastAsia" w:ascii="宋体" w:hAnsi="宋体"/>
          <w:kern w:val="0"/>
          <w:sz w:val="24"/>
        </w:rPr>
      </w:pPr>
      <w:bookmarkStart w:id="93" w:name="_Toc466788861"/>
      <w:bookmarkStart w:id="94" w:name="_Toc523830002"/>
      <w:bookmarkStart w:id="95" w:name="_Toc22454465"/>
      <w:r>
        <w:rPr>
          <w:rFonts w:hint="eastAsia" w:ascii="宋体" w:hAnsi="宋体"/>
          <w:kern w:val="0"/>
          <w:sz w:val="24"/>
        </w:rPr>
        <w:t>基金收益分配方案由基金管理人拟定，并由基金托管人核实后确定，依照《信息披露办法》的有关规定在规定媒介公告。基金管理人向基金托管人下达收益分配的付款指令，基金托管人按指令将收益分配的全部资金划入基金管理人的指定账户，并由基金管理人负责分配。</w:t>
      </w:r>
      <w:bookmarkStart w:id="96" w:name="_Hlk112966044"/>
      <w:r>
        <w:rPr>
          <w:rFonts w:hint="eastAsia" w:ascii="宋体" w:hAnsi="宋体"/>
          <w:kern w:val="0"/>
          <w:sz w:val="24"/>
        </w:rPr>
        <w:t>基金收益分配方案须载明截至收益分配基准日的可供分配利润、基金收益分配对象、分配时间、分配数额及比例、分配方式等内容</w:t>
      </w:r>
      <w:bookmarkEnd w:id="96"/>
      <w:r>
        <w:rPr>
          <w:rFonts w:hint="eastAsia" w:ascii="宋体" w:hAnsi="宋体"/>
          <w:kern w:val="0"/>
          <w:sz w:val="24"/>
        </w:rPr>
        <w:t>。</w:t>
      </w:r>
      <w:bookmarkStart w:id="97" w:name="_Toc125892446"/>
    </w:p>
    <w:p w14:paraId="3B531F84">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基金托管人对于收益分配方案的复核内容仅限于对收益分配的总金额进行复核，对于在不同投资者之间分配的金额、分配顺序不承担复核义务，基金托管人不对向投资者划转资金本息的及时性、准确性负责。</w:t>
      </w:r>
    </w:p>
    <w:p w14:paraId="764901A4">
      <w:pPr>
        <w:tabs>
          <w:tab w:val="left" w:pos="3780"/>
        </w:tabs>
        <w:autoSpaceDE w:val="0"/>
        <w:autoSpaceDN w:val="0"/>
        <w:spacing w:before="156" w:beforeLines="50" w:after="156" w:afterLines="50" w:line="360" w:lineRule="auto"/>
        <w:ind w:firstLine="542"/>
        <w:textAlignment w:val="bottom"/>
        <w:outlineLvl w:val="0"/>
        <w:rPr>
          <w:rFonts w:ascii="宋体" w:hAnsi="宋体"/>
          <w:b/>
          <w:bCs/>
          <w:sz w:val="24"/>
        </w:rPr>
      </w:pPr>
      <w:r>
        <w:rPr>
          <w:rFonts w:hint="eastAsia" w:ascii="宋体" w:hAnsi="宋体"/>
          <w:b/>
          <w:bCs/>
          <w:sz w:val="24"/>
        </w:rPr>
        <w:t>（三）实施侧袋机制期间的收益分配</w:t>
      </w:r>
    </w:p>
    <w:p w14:paraId="73EDFF94">
      <w:pPr>
        <w:spacing w:line="360" w:lineRule="auto"/>
        <w:ind w:firstLine="540" w:firstLineChars="225"/>
        <w:rPr>
          <w:bCs/>
          <w:sz w:val="24"/>
        </w:rPr>
      </w:pPr>
      <w:r>
        <w:rPr>
          <w:rFonts w:hint="eastAsia"/>
          <w:bCs/>
          <w:sz w:val="24"/>
        </w:rPr>
        <w:t>本基金实施侧袋机制的，侧袋账户不进行收益分配，详见招募说明书的规定。</w:t>
      </w:r>
    </w:p>
    <w:p w14:paraId="26057C4C">
      <w:pPr>
        <w:pStyle w:val="3"/>
        <w:jc w:val="center"/>
        <w:rPr>
          <w:sz w:val="30"/>
        </w:rPr>
      </w:pPr>
      <w:bookmarkStart w:id="98" w:name="_Toc291504138"/>
      <w:bookmarkStart w:id="99" w:name="_Toc13871"/>
      <w:bookmarkStart w:id="100" w:name="_Toc430854306"/>
      <w:r>
        <w:rPr>
          <w:rFonts w:hint="eastAsia"/>
          <w:sz w:val="30"/>
        </w:rPr>
        <w:t>十、基金信息披露</w:t>
      </w:r>
      <w:bookmarkEnd w:id="93"/>
      <w:bookmarkEnd w:id="94"/>
      <w:bookmarkEnd w:id="95"/>
      <w:bookmarkEnd w:id="97"/>
      <w:bookmarkEnd w:id="98"/>
      <w:bookmarkEnd w:id="99"/>
      <w:bookmarkEnd w:id="100"/>
    </w:p>
    <w:p w14:paraId="3C72A36D">
      <w:pPr>
        <w:tabs>
          <w:tab w:val="left" w:pos="3780"/>
        </w:tabs>
        <w:autoSpaceDE w:val="0"/>
        <w:autoSpaceDN w:val="0"/>
        <w:spacing w:before="156" w:beforeLines="50" w:after="156" w:afterLines="50" w:line="360" w:lineRule="auto"/>
        <w:textAlignment w:val="bottom"/>
        <w:outlineLvl w:val="0"/>
        <w:rPr>
          <w:rFonts w:ascii="宋体"/>
          <w:b/>
          <w:bCs/>
          <w:sz w:val="24"/>
        </w:rPr>
      </w:pPr>
      <w:bookmarkStart w:id="101" w:name="_Toc22454466"/>
      <w:bookmarkStart w:id="102" w:name="_Toc77663026"/>
      <w:r>
        <w:rPr>
          <w:rFonts w:hint="eastAsia" w:ascii="宋体" w:hAnsi="宋体"/>
          <w:b/>
          <w:bCs/>
          <w:sz w:val="24"/>
        </w:rPr>
        <w:t>（一）保密义务</w:t>
      </w:r>
      <w:bookmarkEnd w:id="101"/>
      <w:bookmarkEnd w:id="102"/>
    </w:p>
    <w:p w14:paraId="07CACB2C">
      <w:pPr>
        <w:tabs>
          <w:tab w:val="left" w:pos="1260"/>
        </w:tabs>
        <w:spacing w:line="360" w:lineRule="auto"/>
        <w:ind w:firstLine="480" w:firstLineChars="200"/>
        <w:rPr>
          <w:rFonts w:ascii="宋体"/>
          <w:kern w:val="0"/>
          <w:sz w:val="24"/>
        </w:rPr>
      </w:pPr>
      <w:r>
        <w:rPr>
          <w:rFonts w:hint="eastAsia" w:ascii="宋体" w:hAnsi="宋体"/>
          <w:kern w:val="0"/>
          <w:sz w:val="24"/>
        </w:rPr>
        <w:t>除按照《基金法》、《基金合同》、《信息披露办法》及中国证监会关于基金信息披露的有关规定进行披露以外，基金管理人和基金托管人对公开披露前的基金信息、从对方获得的业务信息及其他不宜公开披露的基金信息应予保密，不得向任何第三方泄露。法律法规另有规定的以及审计需要的除外。</w:t>
      </w:r>
    </w:p>
    <w:p w14:paraId="242D1410">
      <w:pPr>
        <w:tabs>
          <w:tab w:val="left" w:pos="1260"/>
        </w:tabs>
        <w:spacing w:line="360" w:lineRule="auto"/>
        <w:ind w:firstLine="480" w:firstLineChars="200"/>
        <w:rPr>
          <w:rFonts w:ascii="宋体"/>
          <w:kern w:val="0"/>
          <w:sz w:val="24"/>
        </w:rPr>
      </w:pPr>
      <w:r>
        <w:rPr>
          <w:rFonts w:hint="eastAsia" w:ascii="宋体" w:hAnsi="宋体"/>
          <w:kern w:val="0"/>
          <w:sz w:val="24"/>
        </w:rPr>
        <w:t>如下情况不应视为基金管理人或基金托管人违反保密义务：</w:t>
      </w:r>
    </w:p>
    <w:p w14:paraId="0596898B">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）非因基金管理人和基金托管人的原因导致保密信息被披露、泄露或公开；</w:t>
      </w:r>
    </w:p>
    <w:p w14:paraId="436A8EA1">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）基金管理人和基金托管人为遵守和服从法院判决、仲裁裁决或中国证监会等监管机构的命令决定所做出的信息披露或公开。</w:t>
      </w:r>
      <w:bookmarkStart w:id="103" w:name="_Toc77663027"/>
      <w:bookmarkStart w:id="104" w:name="_Toc22454467"/>
    </w:p>
    <w:p w14:paraId="0E2B6A94">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（二）基金管理人和基金托管人在基金信息披露中的职责和信息披露程序</w:t>
      </w:r>
      <w:bookmarkEnd w:id="103"/>
      <w:bookmarkEnd w:id="104"/>
    </w:p>
    <w:p w14:paraId="75B31185">
      <w:pPr>
        <w:tabs>
          <w:tab w:val="left" w:pos="1260"/>
        </w:tabs>
        <w:spacing w:line="360" w:lineRule="auto"/>
        <w:ind w:firstLine="480" w:firstLineChars="200"/>
        <w:rPr>
          <w:rFonts w:ascii="宋体"/>
          <w:kern w:val="0"/>
          <w:sz w:val="24"/>
        </w:rPr>
      </w:pPr>
      <w:r>
        <w:rPr>
          <w:rFonts w:hint="eastAsia" w:ascii="宋体" w:hAnsi="宋体"/>
          <w:kern w:val="0"/>
          <w:sz w:val="24"/>
        </w:rPr>
        <w:t>基金管理人和基金托管人应根据相关法律法规、《基金合同》的规定各自承担相应的信息披露职责。基金管理人和基金托管人负有积极配合、互相督促、彼此监督，保证其履行按照法定方式和时限披露的义务。</w:t>
      </w:r>
    </w:p>
    <w:p w14:paraId="3EA310B4">
      <w:pPr>
        <w:tabs>
          <w:tab w:val="left" w:pos="1260"/>
        </w:tabs>
        <w:spacing w:line="360" w:lineRule="auto"/>
        <w:ind w:firstLine="480" w:firstLineChars="200"/>
        <w:rPr>
          <w:rFonts w:ascii="宋体"/>
          <w:kern w:val="0"/>
          <w:sz w:val="24"/>
        </w:rPr>
      </w:pPr>
      <w:r>
        <w:rPr>
          <w:rFonts w:hint="eastAsia" w:ascii="宋体" w:hAnsi="宋体"/>
          <w:kern w:val="0"/>
          <w:sz w:val="24"/>
        </w:rPr>
        <w:t>本基金信息披露的文件，包括《基金合同》规定的定期报告、临时报告、基金净值信息公告及中国证监会规定的其他必要的公告文件，由基金管理人拟定并公布。</w:t>
      </w:r>
    </w:p>
    <w:p w14:paraId="2441276A">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基金托管人应按本协议第八条第（七）款的规定对相关报告进行复核。基金年度报告中的财务会计报告应当经</w:t>
      </w:r>
      <w:r>
        <w:rPr>
          <w:rFonts w:hint="eastAsia"/>
          <w:bCs/>
          <w:sz w:val="24"/>
        </w:rPr>
        <w:t>符合《中华人民共和国证券法》规定</w:t>
      </w:r>
      <w:r>
        <w:rPr>
          <w:rFonts w:hint="eastAsia" w:ascii="宋体" w:hAnsi="宋体"/>
          <w:kern w:val="0"/>
          <w:sz w:val="24"/>
        </w:rPr>
        <w:t>的会计师事务所审计后方可披露。</w:t>
      </w:r>
    </w:p>
    <w:p w14:paraId="168890CB">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本基金的信息披露公告，必须在规定媒介发布。</w:t>
      </w:r>
      <w:bookmarkStart w:id="105" w:name="_Toc466788862"/>
    </w:p>
    <w:p w14:paraId="01CCDA0C">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基金托管人应对下述由基金管理人编制的、向投资者披露的信息，根据自身能够获取的数据和信息进行复核：基金份额净值等财务数据、收益分配、财务会计报告以及其他法律法规规定的需要基金托管人复核的信息。基金管理人应在信息披露时说明基金托管人复核的数据和信息范围。</w:t>
      </w:r>
    </w:p>
    <w:p w14:paraId="02384F53">
      <w:pPr>
        <w:tabs>
          <w:tab w:val="left" w:pos="1260"/>
        </w:tabs>
        <w:autoSpaceDE/>
        <w:autoSpaceDN/>
        <w:spacing w:before="0" w:beforeLines="0" w:after="0" w:afterLines="0" w:line="360" w:lineRule="auto"/>
        <w:textAlignment w:val="auto"/>
        <w:outlineLvl w:val="9"/>
        <w:rPr>
          <w:rFonts w:ascii="宋体"/>
          <w:b/>
          <w:bCs/>
          <w:sz w:val="24"/>
        </w:rPr>
      </w:pPr>
      <w:r>
        <w:rPr>
          <w:rFonts w:hint="eastAsia" w:ascii="宋体" w:hAnsi="宋体"/>
          <w:b/>
          <w:bCs/>
          <w:sz w:val="24"/>
        </w:rPr>
        <w:t>（三）暂停或延迟信息披露的情形</w:t>
      </w:r>
    </w:p>
    <w:p w14:paraId="2D33D950">
      <w:pPr>
        <w:tabs>
          <w:tab w:val="left" w:pos="1260"/>
        </w:tabs>
        <w:spacing w:line="360" w:lineRule="auto"/>
        <w:ind w:firstLine="480" w:firstLineChars="200"/>
        <w:rPr>
          <w:rFonts w:ascii="宋体" w:hAnsi="宋体"/>
          <w:kern w:val="0"/>
          <w:sz w:val="24"/>
        </w:rPr>
      </w:pPr>
      <w:r>
        <w:rPr>
          <w:rFonts w:hint="eastAsia" w:ascii="宋体" w:hAnsi="宋体"/>
          <w:kern w:val="0"/>
          <w:sz w:val="24"/>
        </w:rPr>
        <w:t>（1）不可抗力；</w:t>
      </w:r>
    </w:p>
    <w:p w14:paraId="590F3E34">
      <w:pPr>
        <w:tabs>
          <w:tab w:val="left" w:pos="1260"/>
        </w:tabs>
        <w:spacing w:line="360" w:lineRule="auto"/>
        <w:ind w:firstLine="480" w:firstLineChars="200"/>
        <w:rPr>
          <w:rFonts w:hint="eastAsia" w:ascii="宋体" w:hAns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）发生暂停估值的情形；</w:t>
      </w:r>
    </w:p>
    <w:p w14:paraId="587BA1CB">
      <w:pPr>
        <w:tabs>
          <w:tab w:val="left" w:pos="1260"/>
        </w:tabs>
        <w:spacing w:line="360" w:lineRule="auto"/>
        <w:ind w:firstLine="480" w:firstLineChars="200"/>
        <w:rPr>
          <w:rFonts w:ascii="宋体" w:hAns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）法律法规规定、《基金合同》或中国证监会</w:t>
      </w:r>
      <w:r>
        <w:rPr>
          <w:rFonts w:ascii="宋体" w:hAnsi="宋体"/>
          <w:kern w:val="0"/>
          <w:sz w:val="24"/>
        </w:rPr>
        <w:t>认</w:t>
      </w:r>
      <w:r>
        <w:rPr>
          <w:rFonts w:hint="eastAsia" w:ascii="宋体" w:hAnsi="宋体"/>
          <w:kern w:val="0"/>
          <w:sz w:val="24"/>
        </w:rPr>
        <w:t>定的其他情形。</w:t>
      </w:r>
    </w:p>
    <w:p w14:paraId="6A371970">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（四）基金托管人报告</w:t>
      </w:r>
    </w:p>
    <w:p w14:paraId="3E33B3F7">
      <w:pPr>
        <w:tabs>
          <w:tab w:val="left" w:pos="1260"/>
        </w:tabs>
        <w:spacing w:line="360" w:lineRule="auto"/>
        <w:ind w:firstLine="480" w:firstLineChars="200"/>
        <w:rPr>
          <w:rFonts w:ascii="宋体" w:hAnsi="宋体"/>
          <w:kern w:val="0"/>
          <w:sz w:val="24"/>
        </w:rPr>
      </w:pPr>
      <w:r>
        <w:rPr>
          <w:rFonts w:hint="eastAsia" w:ascii="宋体" w:hAnsi="宋体"/>
          <w:kern w:val="0"/>
          <w:sz w:val="24"/>
        </w:rPr>
        <w:t>基金托管人应按《基金法》和中国证监会的有关规定出具基金托管情况报告。基金托管人报告说明该半年度</w:t>
      </w:r>
      <w:r>
        <w:rPr>
          <w:rFonts w:ascii="宋体" w:hAnsi="宋体"/>
          <w:kern w:val="0"/>
          <w:sz w:val="24"/>
        </w:rPr>
        <w:t>/</w:t>
      </w:r>
      <w:r>
        <w:rPr>
          <w:rFonts w:hint="eastAsia" w:ascii="宋体" w:hAnsi="宋体"/>
          <w:kern w:val="0"/>
          <w:sz w:val="24"/>
        </w:rPr>
        <w:t>年度基金托管人和基金管理人履行《基金合同》的情况，是基金中期报告和年度报告的组成部分。</w:t>
      </w:r>
      <w:bookmarkStart w:id="106" w:name="_Toc125892447"/>
    </w:p>
    <w:p w14:paraId="590C620D">
      <w:pPr>
        <w:tabs>
          <w:tab w:val="left" w:pos="3780"/>
        </w:tabs>
        <w:autoSpaceDE w:val="0"/>
        <w:autoSpaceDN w:val="0"/>
        <w:spacing w:before="156" w:beforeLines="50" w:after="156" w:afterLines="50" w:line="360" w:lineRule="auto"/>
        <w:textAlignment w:val="bottom"/>
        <w:outlineLvl w:val="0"/>
        <w:rPr>
          <w:rFonts w:ascii="宋体" w:hAnsi="宋体"/>
          <w:b/>
          <w:bCs/>
          <w:sz w:val="24"/>
        </w:rPr>
      </w:pPr>
      <w:r>
        <w:rPr>
          <w:rFonts w:hint="eastAsia" w:ascii="宋体" w:hAnsi="宋体"/>
          <w:b/>
          <w:bCs/>
          <w:sz w:val="24"/>
        </w:rPr>
        <w:t>（五）实施侧袋机制期间的信息披露</w:t>
      </w:r>
    </w:p>
    <w:p w14:paraId="6405F6B0">
      <w:pPr>
        <w:spacing w:line="360" w:lineRule="auto"/>
        <w:ind w:firstLine="480" w:firstLineChars="200"/>
        <w:rPr>
          <w:rFonts w:ascii="宋体"/>
          <w:kern w:val="0"/>
          <w:sz w:val="24"/>
        </w:rPr>
      </w:pPr>
      <w:r>
        <w:rPr>
          <w:rFonts w:hint="eastAsia"/>
          <w:sz w:val="24"/>
        </w:rPr>
        <w:t>本基金实施侧袋机制的，相关信息披露义务人应当根据法律法规、基金合同和招募说明书的规定进行信息披露，详见招募说明书的规定。</w:t>
      </w:r>
    </w:p>
    <w:p w14:paraId="78A149FA">
      <w:pPr>
        <w:pStyle w:val="3"/>
        <w:jc w:val="center"/>
        <w:rPr>
          <w:sz w:val="30"/>
        </w:rPr>
      </w:pPr>
      <w:bookmarkStart w:id="107" w:name="_Toc430854307"/>
      <w:bookmarkStart w:id="108" w:name="_Toc291504139"/>
      <w:bookmarkStart w:id="109" w:name="_Toc14851"/>
      <w:r>
        <w:rPr>
          <w:rFonts w:hint="eastAsia"/>
          <w:sz w:val="30"/>
        </w:rPr>
        <w:t>十一、基金费用</w:t>
      </w:r>
      <w:bookmarkEnd w:id="106"/>
      <w:bookmarkEnd w:id="107"/>
      <w:bookmarkEnd w:id="108"/>
      <w:bookmarkEnd w:id="109"/>
    </w:p>
    <w:p w14:paraId="3DBE213B">
      <w:pPr>
        <w:tabs>
          <w:tab w:val="left" w:pos="1260"/>
        </w:tabs>
        <w:spacing w:line="360" w:lineRule="auto"/>
        <w:rPr>
          <w:rFonts w:ascii="宋体"/>
          <w:b/>
          <w:kern w:val="0"/>
          <w:sz w:val="24"/>
        </w:rPr>
      </w:pPr>
      <w:r>
        <w:rPr>
          <w:rFonts w:hint="eastAsia" w:ascii="宋体" w:hAnsi="宋体"/>
          <w:b/>
          <w:kern w:val="0"/>
          <w:sz w:val="24"/>
        </w:rPr>
        <w:t>（一）基金管理人的管理费</w:t>
      </w:r>
    </w:p>
    <w:p w14:paraId="00A67FC1">
      <w:pPr>
        <w:spacing w:line="360" w:lineRule="auto"/>
        <w:ind w:firstLine="480" w:firstLineChars="200"/>
        <w:rPr>
          <w:rFonts w:hint="eastAsia"/>
          <w:bCs/>
          <w:sz w:val="24"/>
        </w:rPr>
      </w:pPr>
      <w:r>
        <w:rPr>
          <w:rFonts w:hint="eastAsia"/>
          <w:bCs/>
          <w:sz w:val="24"/>
        </w:rPr>
        <w:t>本基金的管理费按前一日基金资产净值的0.50%年费率计提。管理费的计算方法如下：</w:t>
      </w:r>
    </w:p>
    <w:p w14:paraId="1112CD9C">
      <w:pPr>
        <w:spacing w:line="360" w:lineRule="auto"/>
        <w:ind w:firstLine="480" w:firstLineChars="200"/>
        <w:rPr>
          <w:rFonts w:hint="eastAsia"/>
          <w:bCs/>
          <w:sz w:val="24"/>
        </w:rPr>
      </w:pPr>
      <w:r>
        <w:rPr>
          <w:rFonts w:hint="eastAsia"/>
          <w:bCs/>
          <w:sz w:val="24"/>
        </w:rPr>
        <w:t>H＝E×0.50%÷当年实际天数</w:t>
      </w:r>
    </w:p>
    <w:p w14:paraId="53CE0FEF">
      <w:pPr>
        <w:spacing w:line="360" w:lineRule="auto"/>
        <w:ind w:firstLine="480" w:firstLineChars="200"/>
        <w:rPr>
          <w:rFonts w:hint="eastAsia"/>
          <w:bCs/>
          <w:sz w:val="24"/>
        </w:rPr>
      </w:pPr>
      <w:r>
        <w:rPr>
          <w:rFonts w:hint="eastAsia"/>
          <w:bCs/>
          <w:sz w:val="24"/>
        </w:rPr>
        <w:t>H为每日应计提的基金管理费</w:t>
      </w:r>
    </w:p>
    <w:p w14:paraId="3A9DB770">
      <w:pPr>
        <w:spacing w:line="360" w:lineRule="auto"/>
        <w:ind w:firstLine="480" w:firstLineChars="200"/>
        <w:rPr>
          <w:rFonts w:hint="eastAsia"/>
          <w:bCs/>
          <w:sz w:val="24"/>
        </w:rPr>
      </w:pPr>
      <w:r>
        <w:rPr>
          <w:rFonts w:hint="eastAsia"/>
          <w:bCs/>
          <w:sz w:val="24"/>
        </w:rPr>
        <w:t>E为前一日的基金资产净值</w:t>
      </w:r>
    </w:p>
    <w:p w14:paraId="181B0EE1">
      <w:pPr>
        <w:tabs>
          <w:tab w:val="left" w:pos="1260"/>
        </w:tabs>
        <w:spacing w:line="360" w:lineRule="auto"/>
        <w:ind w:firstLine="480" w:firstLineChars="200"/>
        <w:rPr>
          <w:rFonts w:hint="eastAsia"/>
          <w:bCs/>
          <w:sz w:val="24"/>
        </w:rPr>
      </w:pPr>
      <w:r>
        <w:rPr>
          <w:rFonts w:hint="eastAsia"/>
          <w:bCs/>
          <w:sz w:val="24"/>
        </w:rPr>
        <w:t>基金管理人对本基金投资组合中投资于目标ETF部分的基金资产净值不计提基金管理费。</w:t>
      </w:r>
    </w:p>
    <w:p w14:paraId="38CBE8C8">
      <w:pPr>
        <w:tabs>
          <w:tab w:val="left" w:pos="1260"/>
        </w:tabs>
        <w:spacing w:line="360" w:lineRule="auto"/>
        <w:ind w:firstLine="480" w:firstLineChars="200"/>
        <w:rPr>
          <w:rFonts w:hint="eastAsia"/>
          <w:bCs/>
          <w:sz w:val="24"/>
        </w:rPr>
      </w:pPr>
      <w:r>
        <w:rPr>
          <w:rFonts w:hint="eastAsia"/>
          <w:bCs/>
          <w:sz w:val="24"/>
        </w:rPr>
        <w:t>前一日的基金资产净值为已扣除本基金投资于目标ETF部分基金资产净值后的净额，金额为负时以零计。</w:t>
      </w:r>
    </w:p>
    <w:p w14:paraId="34026F08">
      <w:pPr>
        <w:tabs>
          <w:tab w:val="left" w:pos="1260"/>
        </w:tabs>
        <w:spacing w:line="360" w:lineRule="auto"/>
        <w:ind w:firstLine="480" w:firstLineChars="200"/>
        <w:rPr>
          <w:rFonts w:hint="eastAsia" w:ascii="宋体" w:hAnsi="宋体"/>
          <w:b/>
          <w:kern w:val="0"/>
          <w:sz w:val="24"/>
        </w:rPr>
      </w:pPr>
      <w:r>
        <w:rPr>
          <w:rFonts w:hint="eastAsia"/>
          <w:bCs/>
          <w:sz w:val="24"/>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071FD2BE">
      <w:pPr>
        <w:tabs>
          <w:tab w:val="left" w:pos="1260"/>
        </w:tabs>
        <w:spacing w:line="360" w:lineRule="auto"/>
        <w:rPr>
          <w:rFonts w:ascii="宋体"/>
          <w:b/>
          <w:kern w:val="0"/>
          <w:sz w:val="24"/>
        </w:rPr>
      </w:pPr>
      <w:r>
        <w:rPr>
          <w:rFonts w:hint="eastAsia" w:ascii="宋体" w:hAnsi="宋体"/>
          <w:b/>
          <w:kern w:val="0"/>
          <w:sz w:val="24"/>
        </w:rPr>
        <w:t>（二）基金托管人的托管费</w:t>
      </w:r>
    </w:p>
    <w:p w14:paraId="019C395D">
      <w:pPr>
        <w:spacing w:line="360" w:lineRule="auto"/>
        <w:ind w:firstLine="480" w:firstLineChars="200"/>
        <w:rPr>
          <w:rFonts w:hint="eastAsia"/>
          <w:bCs/>
          <w:sz w:val="24"/>
        </w:rPr>
      </w:pPr>
      <w:r>
        <w:rPr>
          <w:rFonts w:hint="eastAsia"/>
          <w:bCs/>
          <w:sz w:val="24"/>
        </w:rPr>
        <w:t>本基金的托管费按前一日基金资产净值的0.10%年费率计提。托管费的计算方法如下：</w:t>
      </w:r>
    </w:p>
    <w:p w14:paraId="304832E8">
      <w:pPr>
        <w:spacing w:line="360" w:lineRule="auto"/>
        <w:ind w:firstLine="480" w:firstLineChars="200"/>
        <w:rPr>
          <w:rFonts w:hint="eastAsia"/>
          <w:bCs/>
          <w:sz w:val="24"/>
        </w:rPr>
      </w:pPr>
      <w:r>
        <w:rPr>
          <w:rFonts w:hint="eastAsia"/>
          <w:bCs/>
          <w:sz w:val="24"/>
        </w:rPr>
        <w:t>H＝E×0.10%÷当年实际天数</w:t>
      </w:r>
    </w:p>
    <w:p w14:paraId="02D72536">
      <w:pPr>
        <w:spacing w:line="360" w:lineRule="auto"/>
        <w:ind w:firstLine="480" w:firstLineChars="200"/>
        <w:rPr>
          <w:rFonts w:hint="eastAsia"/>
          <w:bCs/>
          <w:sz w:val="24"/>
        </w:rPr>
      </w:pPr>
      <w:r>
        <w:rPr>
          <w:rFonts w:hint="eastAsia"/>
          <w:bCs/>
          <w:sz w:val="24"/>
        </w:rPr>
        <w:t>H为每日应计提的基金托管费</w:t>
      </w:r>
    </w:p>
    <w:p w14:paraId="7003BE1D">
      <w:pPr>
        <w:spacing w:line="360" w:lineRule="auto"/>
        <w:ind w:firstLine="480" w:firstLineChars="200"/>
        <w:rPr>
          <w:rFonts w:hint="eastAsia"/>
          <w:bCs/>
          <w:sz w:val="24"/>
        </w:rPr>
      </w:pPr>
      <w:r>
        <w:rPr>
          <w:rFonts w:hint="eastAsia"/>
          <w:bCs/>
          <w:sz w:val="24"/>
        </w:rPr>
        <w:t>E为前一日的基金资产净值</w:t>
      </w:r>
    </w:p>
    <w:p w14:paraId="4536F51F">
      <w:pPr>
        <w:spacing w:line="360" w:lineRule="auto"/>
        <w:ind w:firstLine="480" w:firstLineChars="200"/>
        <w:rPr>
          <w:rFonts w:hint="eastAsia"/>
          <w:bCs/>
          <w:sz w:val="24"/>
        </w:rPr>
      </w:pPr>
      <w:r>
        <w:rPr>
          <w:rFonts w:hint="eastAsia"/>
          <w:bCs/>
          <w:sz w:val="24"/>
        </w:rPr>
        <w:t>基金托管人对本基金投资组合中投资于目标ETF部分的基金资产净值不计提基金托管费。</w:t>
      </w:r>
    </w:p>
    <w:p w14:paraId="682A9ACC">
      <w:pPr>
        <w:spacing w:line="360" w:lineRule="auto"/>
        <w:ind w:firstLine="480" w:firstLineChars="200"/>
        <w:rPr>
          <w:rFonts w:hint="eastAsia"/>
          <w:bCs/>
          <w:sz w:val="24"/>
        </w:rPr>
      </w:pPr>
      <w:r>
        <w:rPr>
          <w:rFonts w:hint="eastAsia"/>
          <w:bCs/>
          <w:sz w:val="24"/>
        </w:rPr>
        <w:t>前一日的基金资产净值为已扣除本基金投资于目标ETF部分基金资产净值后的净额，金额为负时以零计。</w:t>
      </w:r>
    </w:p>
    <w:p w14:paraId="7D887C32">
      <w:pPr>
        <w:spacing w:line="360" w:lineRule="auto"/>
        <w:ind w:firstLine="480" w:firstLineChars="200"/>
        <w:rPr>
          <w:rFonts w:hint="eastAsia"/>
          <w:bCs/>
          <w:sz w:val="24"/>
        </w:rPr>
      </w:pPr>
      <w:r>
        <w:rPr>
          <w:rFonts w:hint="eastAsia"/>
          <w:bCs/>
          <w:sz w:val="24"/>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14:paraId="67BD0544">
      <w:pPr>
        <w:tabs>
          <w:tab w:val="left" w:pos="1260"/>
        </w:tabs>
        <w:spacing w:line="360" w:lineRule="auto"/>
        <w:rPr>
          <w:rFonts w:ascii="宋体"/>
          <w:b/>
          <w:kern w:val="0"/>
          <w:sz w:val="24"/>
        </w:rPr>
      </w:pPr>
      <w:r>
        <w:rPr>
          <w:rFonts w:hint="eastAsia" w:ascii="宋体" w:hAnsi="宋体"/>
          <w:b/>
          <w:kern w:val="0"/>
          <w:sz w:val="24"/>
        </w:rPr>
        <w:t>（三）C类份额的销售服务费</w:t>
      </w:r>
    </w:p>
    <w:p w14:paraId="4E56DD88">
      <w:pPr>
        <w:spacing w:line="360" w:lineRule="auto"/>
        <w:ind w:firstLine="480" w:firstLineChars="200"/>
        <w:rPr>
          <w:rFonts w:hint="eastAsia" w:ascii="宋体" w:hAnsi="宋体"/>
          <w:sz w:val="24"/>
        </w:rPr>
      </w:pPr>
      <w:r>
        <w:rPr>
          <w:rFonts w:hint="eastAsia" w:ascii="宋体" w:hAnsi="宋体"/>
          <w:sz w:val="24"/>
        </w:rPr>
        <w:t>本基金A类基金份额不收取销售服务费，C类基金份额的销售服务费年费率为0.30%。</w:t>
      </w:r>
    </w:p>
    <w:p w14:paraId="34235034">
      <w:pPr>
        <w:spacing w:line="360" w:lineRule="auto"/>
        <w:ind w:firstLine="480" w:firstLineChars="200"/>
        <w:rPr>
          <w:rFonts w:hint="eastAsia" w:ascii="宋体" w:hAnsi="宋体"/>
          <w:sz w:val="24"/>
        </w:rPr>
      </w:pPr>
      <w:r>
        <w:rPr>
          <w:rFonts w:hint="eastAsia" w:ascii="宋体" w:hAnsi="宋体"/>
          <w:sz w:val="24"/>
        </w:rPr>
        <w:t xml:space="preserve">本基金销售服务费按前一日C类基金资产净值的0.30%年费率计提。计算方法如下： </w:t>
      </w:r>
    </w:p>
    <w:p w14:paraId="43E8F951">
      <w:pPr>
        <w:spacing w:line="360" w:lineRule="auto"/>
        <w:ind w:firstLine="480" w:firstLineChars="200"/>
        <w:rPr>
          <w:rFonts w:hint="eastAsia" w:ascii="宋体" w:hAnsi="宋体"/>
          <w:sz w:val="24"/>
        </w:rPr>
      </w:pPr>
      <w:r>
        <w:rPr>
          <w:rFonts w:hint="eastAsia" w:ascii="宋体" w:hAnsi="宋体"/>
          <w:sz w:val="24"/>
        </w:rPr>
        <w:t>H＝E×0.30%÷当年</w:t>
      </w:r>
      <w:r>
        <w:rPr>
          <w:rFonts w:hint="eastAsia"/>
          <w:bCs/>
          <w:sz w:val="24"/>
        </w:rPr>
        <w:t>实际</w:t>
      </w:r>
      <w:r>
        <w:rPr>
          <w:rFonts w:hint="eastAsia" w:ascii="宋体" w:hAnsi="宋体"/>
          <w:sz w:val="24"/>
        </w:rPr>
        <w:t xml:space="preserve">天数 </w:t>
      </w:r>
    </w:p>
    <w:p w14:paraId="574D9177">
      <w:pPr>
        <w:spacing w:line="360" w:lineRule="auto"/>
        <w:ind w:firstLine="480" w:firstLineChars="200"/>
        <w:rPr>
          <w:rFonts w:hint="eastAsia" w:ascii="宋体" w:hAnsi="宋体"/>
          <w:sz w:val="24"/>
        </w:rPr>
      </w:pPr>
      <w:r>
        <w:rPr>
          <w:rFonts w:hint="eastAsia" w:ascii="宋体" w:hAnsi="宋体"/>
          <w:sz w:val="24"/>
        </w:rPr>
        <w:t>H为C类基金份额每日应计提的销售服务费</w:t>
      </w:r>
    </w:p>
    <w:p w14:paraId="1A8D1F5B">
      <w:pPr>
        <w:spacing w:line="360" w:lineRule="auto"/>
        <w:ind w:firstLine="480" w:firstLineChars="200"/>
        <w:rPr>
          <w:rFonts w:hint="eastAsia" w:ascii="宋体" w:hAnsi="宋体"/>
          <w:sz w:val="24"/>
        </w:rPr>
      </w:pPr>
      <w:r>
        <w:rPr>
          <w:rFonts w:hint="eastAsia" w:ascii="宋体" w:hAnsi="宋体"/>
          <w:sz w:val="24"/>
        </w:rPr>
        <w:t>E为C类基金份额前一日基金资产净值</w:t>
      </w:r>
    </w:p>
    <w:p w14:paraId="74E65BB3">
      <w:pPr>
        <w:autoSpaceDE w:val="0"/>
        <w:autoSpaceDN w:val="0"/>
        <w:adjustRightInd w:val="0"/>
        <w:spacing w:line="360" w:lineRule="auto"/>
        <w:ind w:firstLine="480" w:firstLineChars="200"/>
        <w:jc w:val="left"/>
        <w:rPr>
          <w:rFonts w:hint="eastAsia"/>
          <w:bCs/>
          <w:sz w:val="24"/>
        </w:rPr>
      </w:pPr>
      <w:r>
        <w:rPr>
          <w:rFonts w:hint="eastAsia" w:ascii="宋体" w:hAnsi="宋体"/>
          <w:sz w:val="24"/>
        </w:rPr>
        <w:t>基金销售服务费每日计提，逐日累计至每月月末，按月支付，经基金管理人与基金托管人双方核对无误后，基金托管人按照与基金管理人协商一致的方式于次月月初5个工作日内从基金财产中一次性支付</w:t>
      </w:r>
      <w:r>
        <w:rPr>
          <w:rFonts w:hint="eastAsia"/>
          <w:bCs/>
          <w:sz w:val="24"/>
        </w:rPr>
        <w:t>给销售机构</w:t>
      </w:r>
      <w:r>
        <w:rPr>
          <w:rFonts w:hint="eastAsia" w:ascii="宋体" w:hAnsi="宋体"/>
          <w:sz w:val="24"/>
        </w:rPr>
        <w:t>。若遇法定节假日、公休假或不可抗力等，支付日期顺延。</w:t>
      </w:r>
    </w:p>
    <w:p w14:paraId="274E5544">
      <w:pPr>
        <w:autoSpaceDE w:val="0"/>
        <w:autoSpaceDN w:val="0"/>
        <w:adjustRightInd w:val="0"/>
        <w:spacing w:line="360" w:lineRule="auto"/>
        <w:jc w:val="left"/>
        <w:rPr>
          <w:rFonts w:ascii="宋体" w:hAnsi="宋体"/>
          <w:kern w:val="0"/>
          <w:sz w:val="24"/>
        </w:rPr>
      </w:pPr>
      <w:r>
        <w:rPr>
          <w:rFonts w:hint="eastAsia"/>
          <w:bCs/>
          <w:sz w:val="24"/>
        </w:rPr>
        <w:t>（四）</w:t>
      </w:r>
      <w:r>
        <w:rPr>
          <w:rFonts w:hint="eastAsia" w:ascii="宋体" w:hAnsi="宋体"/>
          <w:kern w:val="0"/>
          <w:sz w:val="24"/>
        </w:rPr>
        <w:t>从基金资产中列支基金管理人的管理费、基金托管人的托管费、C类基金份额的销售服务费之外的其他基金费用，应当依据有关法律法规、《基金合同》的规定，按费用实际支出金额列入当期费用，由基金托管人从基金财产中支付；</w:t>
      </w:r>
    </w:p>
    <w:p w14:paraId="43E258E4">
      <w:pPr>
        <w:autoSpaceDE w:val="0"/>
        <w:autoSpaceDN w:val="0"/>
        <w:adjustRightInd w:val="0"/>
        <w:spacing w:line="360" w:lineRule="auto"/>
        <w:jc w:val="left"/>
        <w:rPr>
          <w:rFonts w:ascii="宋体" w:hAnsi="宋体"/>
          <w:kern w:val="0"/>
          <w:sz w:val="24"/>
        </w:rPr>
      </w:pPr>
      <w:r>
        <w:rPr>
          <w:rFonts w:hint="eastAsia" w:ascii="宋体" w:hAnsi="宋体"/>
          <w:kern w:val="0"/>
          <w:sz w:val="24"/>
        </w:rPr>
        <w:t>基金管理人和基金托管人因未履行或未完全履行义务导致的费用支出或基金财产的损失，以及处理与基金运作无关的事项发生的费用等不列入基金费用。指数许可使用费、基金合同生效之前的律师费、会计师费和信息披露费用等相关费用根据《博时中证机器人指数型发起式证券投资基金基金合同》的约定执行，不得从基金财产中列支；基金托管人对不符合《基金法》、《运作办法》等有关规定以及《基金合同》的其他费用有权拒绝执行。如果基金托管人发现基金管理人违反有关法律法规的有关规定和《基金合同》、本协议的约定，从基金财产中列支费用，有权要求基金管理人做出书面解释，如果基金托管人认为基金管理人无正当或合理的理由，可以拒绝支付。</w:t>
      </w:r>
      <w:bookmarkStart w:id="110" w:name="_Toc125892448"/>
    </w:p>
    <w:p w14:paraId="41E90A90">
      <w:pPr>
        <w:spacing w:line="360" w:lineRule="auto"/>
        <w:rPr>
          <w:rFonts w:ascii="宋体" w:hAnsi="宋体"/>
          <w:kern w:val="0"/>
          <w:sz w:val="24"/>
        </w:rPr>
      </w:pPr>
      <w:r>
        <w:rPr>
          <w:rFonts w:hint="eastAsia" w:ascii="宋体" w:hAnsi="宋体"/>
          <w:kern w:val="0"/>
          <w:sz w:val="24"/>
        </w:rPr>
        <w:t>（五）银行间费用（如有）：基金管理人应根据银行间费用相关法律法规及本协议约定，将账户开户、结算管理等各项费用列入或摊入当期基金财产运作费用，经基金管理人和基金托管人核对无误后，由基金管理人授权后划付，基金管理人收到基金托管人通知后一个月内未授权划付的，由基金托管人从基金资产中扣划，无须基金管理人出具指令。基金投资者和基金管理人在此申明已了解基金资产投资会产生的银行间费用，并确保账户中有足够资金用于银行间费用的支付，如因托管账户中的资金不足以支付银行间费用影响到指令的执行，基金托管人不承担由此产生的损失和责任。如基金资产未起始运作，由基金管理人在收到基金托管人的缴费通知后完成支付，基金托管人不承担垫付费用义务。</w:t>
      </w:r>
    </w:p>
    <w:p w14:paraId="6504CFBC">
      <w:pPr>
        <w:tabs>
          <w:tab w:val="left" w:pos="1260"/>
        </w:tabs>
        <w:spacing w:line="360" w:lineRule="auto"/>
        <w:rPr>
          <w:rFonts w:ascii="宋体" w:hAnsi="宋体"/>
          <w:b/>
          <w:kern w:val="0"/>
          <w:sz w:val="24"/>
        </w:rPr>
      </w:pPr>
      <w:r>
        <w:rPr>
          <w:rFonts w:hint="eastAsia" w:ascii="宋体" w:hAnsi="宋体"/>
          <w:b/>
          <w:kern w:val="0"/>
          <w:sz w:val="24"/>
        </w:rPr>
        <w:t>（六）实施侧袋机制期间的基金费用</w:t>
      </w:r>
    </w:p>
    <w:p w14:paraId="38245214">
      <w:pPr>
        <w:spacing w:line="360" w:lineRule="auto"/>
        <w:ind w:firstLine="480" w:firstLineChars="200"/>
        <w:rPr>
          <w:sz w:val="24"/>
        </w:rPr>
      </w:pPr>
      <w:r>
        <w:rPr>
          <w:rFonts w:hint="eastAsia"/>
          <w:sz w:val="24"/>
        </w:rPr>
        <w:t>本基金实施侧袋机制的，与侧袋账户有关的费用可以从侧袋账户中列支，但应待侧袋账户资产变现后方可列支，有关费用可酌情收取或减免，但不得收取管理费，详见招募说明书的规定。</w:t>
      </w:r>
    </w:p>
    <w:p w14:paraId="5C672BD0">
      <w:pPr>
        <w:pStyle w:val="3"/>
        <w:jc w:val="center"/>
        <w:rPr>
          <w:sz w:val="30"/>
        </w:rPr>
      </w:pPr>
      <w:bookmarkStart w:id="111" w:name="_Toc430854308"/>
      <w:bookmarkStart w:id="112" w:name="_Toc18283"/>
      <w:bookmarkStart w:id="113" w:name="_Toc291504140"/>
      <w:r>
        <w:rPr>
          <w:rFonts w:hint="eastAsia"/>
          <w:sz w:val="30"/>
        </w:rPr>
        <w:t>十二、基金份额持有人名册的保管</w:t>
      </w:r>
      <w:bookmarkEnd w:id="110"/>
      <w:bookmarkEnd w:id="111"/>
      <w:bookmarkEnd w:id="112"/>
      <w:bookmarkEnd w:id="113"/>
    </w:p>
    <w:p w14:paraId="5135A67F">
      <w:pPr>
        <w:tabs>
          <w:tab w:val="left" w:pos="1260"/>
        </w:tabs>
        <w:spacing w:line="360" w:lineRule="auto"/>
        <w:ind w:firstLine="480" w:firstLineChars="200"/>
        <w:rPr>
          <w:rFonts w:ascii="宋体"/>
          <w:kern w:val="0"/>
          <w:sz w:val="24"/>
        </w:rPr>
      </w:pPr>
      <w:r>
        <w:rPr>
          <w:rFonts w:hint="eastAsia" w:ascii="宋体" w:hAnsi="宋体"/>
          <w:kern w:val="0"/>
          <w:sz w:val="24"/>
        </w:rPr>
        <w:t>基金管理人可委托基金登记机构登记和保管基金份额持有人名册。基金份额持有人名册的内容包括但不限于基金份额持有人的名称和持有的基金份额。</w:t>
      </w:r>
    </w:p>
    <w:p w14:paraId="327E7A80">
      <w:pPr>
        <w:tabs>
          <w:tab w:val="left" w:pos="1260"/>
        </w:tabs>
        <w:spacing w:line="360" w:lineRule="auto"/>
        <w:ind w:firstLine="480" w:firstLineChars="200"/>
        <w:rPr>
          <w:rFonts w:ascii="宋体"/>
          <w:kern w:val="0"/>
          <w:sz w:val="24"/>
        </w:rPr>
      </w:pPr>
      <w:r>
        <w:rPr>
          <w:rFonts w:hint="eastAsia" w:ascii="宋体" w:hAnsi="宋体"/>
          <w:kern w:val="0"/>
          <w:sz w:val="24"/>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w:t>
      </w:r>
    </w:p>
    <w:p w14:paraId="47696F4D">
      <w:pPr>
        <w:tabs>
          <w:tab w:val="left" w:pos="1260"/>
        </w:tabs>
        <w:spacing w:line="360" w:lineRule="auto"/>
        <w:ind w:firstLine="480" w:firstLineChars="200"/>
        <w:rPr>
          <w:rFonts w:ascii="宋体"/>
          <w:kern w:val="0"/>
          <w:sz w:val="24"/>
        </w:rPr>
      </w:pPr>
      <w:r>
        <w:rPr>
          <w:rFonts w:hint="eastAsia" w:ascii="宋体" w:hAnsi="宋体"/>
          <w:kern w:val="0"/>
          <w:sz w:val="24"/>
        </w:rPr>
        <w:t>基金管理人应根据基金托管人的要求定期和不定期向基金托管人提供基金份额持有人名册。</w:t>
      </w:r>
    </w:p>
    <w:p w14:paraId="3422017C">
      <w:pPr>
        <w:tabs>
          <w:tab w:val="left" w:pos="1260"/>
        </w:tabs>
        <w:spacing w:line="360" w:lineRule="auto"/>
        <w:ind w:firstLine="480" w:firstLineChars="200"/>
        <w:rPr>
          <w:rFonts w:ascii="宋体"/>
          <w:kern w:val="0"/>
          <w:sz w:val="24"/>
        </w:rPr>
      </w:pPr>
      <w:r>
        <w:rPr>
          <w:rFonts w:hint="eastAsia" w:ascii="宋体" w:hAnsi="宋体"/>
          <w:kern w:val="0"/>
          <w:sz w:val="24"/>
        </w:rPr>
        <w:t>（一）基金管理人于《基金合同》生效日及《基金合同》终止日后</w:t>
      </w:r>
      <w:r>
        <w:rPr>
          <w:rFonts w:ascii="宋体" w:hAnsi="宋体"/>
          <w:kern w:val="0"/>
          <w:sz w:val="24"/>
        </w:rPr>
        <w:t>10</w:t>
      </w:r>
      <w:r>
        <w:rPr>
          <w:rFonts w:hint="eastAsia" w:ascii="宋体" w:hAnsi="宋体"/>
          <w:kern w:val="0"/>
          <w:sz w:val="24"/>
        </w:rPr>
        <w:t>个工作日内向基金托管人提供由登记机构编制的基金份额持有人名册；</w:t>
      </w:r>
    </w:p>
    <w:p w14:paraId="73B2969B">
      <w:pPr>
        <w:tabs>
          <w:tab w:val="left" w:pos="1260"/>
        </w:tabs>
        <w:spacing w:line="360" w:lineRule="auto"/>
        <w:ind w:firstLine="480" w:firstLineChars="200"/>
        <w:rPr>
          <w:rFonts w:ascii="宋体"/>
          <w:kern w:val="0"/>
          <w:sz w:val="24"/>
        </w:rPr>
      </w:pPr>
      <w:r>
        <w:rPr>
          <w:rFonts w:hint="eastAsia" w:ascii="宋体" w:hAnsi="宋体"/>
          <w:kern w:val="0"/>
          <w:sz w:val="24"/>
        </w:rPr>
        <w:t>（二）基金管理人于基金份额持有人大会权益登记日后</w:t>
      </w:r>
      <w:r>
        <w:rPr>
          <w:rFonts w:ascii="宋体" w:hAnsi="宋体"/>
          <w:kern w:val="0"/>
          <w:sz w:val="24"/>
        </w:rPr>
        <w:t>5</w:t>
      </w:r>
      <w:r>
        <w:rPr>
          <w:rFonts w:hint="eastAsia" w:ascii="宋体" w:hAnsi="宋体"/>
          <w:kern w:val="0"/>
          <w:sz w:val="24"/>
        </w:rPr>
        <w:t>个工作日内向基金托管人提供由登记机构编制的基金份额持有人名册；</w:t>
      </w:r>
    </w:p>
    <w:p w14:paraId="3C3BC342">
      <w:pPr>
        <w:tabs>
          <w:tab w:val="left" w:pos="1260"/>
        </w:tabs>
        <w:spacing w:line="360" w:lineRule="auto"/>
        <w:ind w:firstLine="480" w:firstLineChars="200"/>
        <w:rPr>
          <w:rFonts w:ascii="宋体"/>
          <w:kern w:val="0"/>
          <w:sz w:val="24"/>
        </w:rPr>
      </w:pPr>
      <w:r>
        <w:rPr>
          <w:rFonts w:hint="eastAsia" w:ascii="宋体" w:hAnsi="宋体"/>
          <w:kern w:val="0"/>
          <w:sz w:val="24"/>
        </w:rPr>
        <w:t>（三）基金管理人于每年最后一个交易日后</w:t>
      </w:r>
      <w:r>
        <w:rPr>
          <w:rFonts w:ascii="宋体" w:hAnsi="宋体"/>
          <w:kern w:val="0"/>
          <w:sz w:val="24"/>
        </w:rPr>
        <w:t>10</w:t>
      </w:r>
      <w:r>
        <w:rPr>
          <w:rFonts w:hint="eastAsia" w:ascii="宋体" w:hAnsi="宋体"/>
          <w:kern w:val="0"/>
          <w:sz w:val="24"/>
        </w:rPr>
        <w:t>个工作日内向基金托管人提供由登记机构编制的基金份额持有人名册；</w:t>
      </w:r>
    </w:p>
    <w:p w14:paraId="54D3AB88">
      <w:pPr>
        <w:tabs>
          <w:tab w:val="left" w:pos="1260"/>
        </w:tabs>
        <w:spacing w:line="360" w:lineRule="auto"/>
        <w:ind w:firstLine="480" w:firstLineChars="200"/>
        <w:rPr>
          <w:rFonts w:ascii="宋体"/>
          <w:kern w:val="0"/>
          <w:sz w:val="24"/>
        </w:rPr>
      </w:pPr>
      <w:r>
        <w:rPr>
          <w:rFonts w:hint="eastAsia" w:ascii="宋体" w:hAnsi="宋体"/>
          <w:kern w:val="0"/>
          <w:sz w:val="24"/>
        </w:rPr>
        <w:t>（四）除上述约定时间外，如果确因业务需要，基金托管人与基金管理人商议一致后，由基金管理人向基金托管人提供由登记机构编制的基金份额持有人名册。</w:t>
      </w:r>
    </w:p>
    <w:p w14:paraId="3832905B">
      <w:pPr>
        <w:tabs>
          <w:tab w:val="left" w:pos="1260"/>
        </w:tabs>
        <w:spacing w:line="360" w:lineRule="auto"/>
        <w:ind w:firstLine="480" w:firstLineChars="200"/>
        <w:rPr>
          <w:rFonts w:ascii="宋体"/>
          <w:kern w:val="0"/>
          <w:sz w:val="24"/>
        </w:rPr>
      </w:pPr>
      <w:r>
        <w:rPr>
          <w:rFonts w:hint="eastAsia" w:ascii="宋体" w:hAnsi="宋体"/>
          <w:kern w:val="0"/>
          <w:sz w:val="24"/>
        </w:rPr>
        <w:t>基金托管人以电子版形式妥善保管基金份额持有人名册，并定期刻成光盘备份，保存期限为</w:t>
      </w:r>
      <w:r>
        <w:rPr>
          <w:rFonts w:ascii="宋体" w:hAnsi="宋体"/>
          <w:kern w:val="0"/>
          <w:sz w:val="24"/>
        </w:rPr>
        <w:t>20</w:t>
      </w:r>
      <w:r>
        <w:rPr>
          <w:rFonts w:hint="eastAsia" w:ascii="宋体" w:hAnsi="宋体"/>
          <w:kern w:val="0"/>
          <w:sz w:val="24"/>
        </w:rPr>
        <w:t>年，法律法规或</w:t>
      </w:r>
      <w:r>
        <w:rPr>
          <w:rFonts w:ascii="宋体" w:hAnsi="宋体"/>
          <w:kern w:val="0"/>
          <w:sz w:val="24"/>
        </w:rPr>
        <w:t>监管机构</w:t>
      </w:r>
      <w:r>
        <w:rPr>
          <w:rFonts w:hint="eastAsia" w:ascii="宋体" w:hAnsi="宋体"/>
          <w:kern w:val="0"/>
          <w:sz w:val="24"/>
        </w:rPr>
        <w:t>另有规定除外。基金托管人不得将所保管的基金份额持有人名册用于基金托管业务以外的其他用途，并应遵守保密义务。</w:t>
      </w:r>
      <w:bookmarkStart w:id="114" w:name="_Toc22454468"/>
      <w:bookmarkStart w:id="115" w:name="_Toc125892449"/>
      <w:bookmarkStart w:id="116" w:name="_Toc523830003"/>
      <w:r>
        <w:rPr>
          <w:rFonts w:hint="eastAsia" w:ascii="宋体" w:hAnsi="宋体"/>
          <w:kern w:val="0"/>
          <w:sz w:val="24"/>
        </w:rPr>
        <w:t>若基金管理人或基金托管人由于自身原因无法妥善保管基金份额持有人名册，应按有关法规规定各自承担相应的责任。</w:t>
      </w:r>
    </w:p>
    <w:p w14:paraId="1FC17788">
      <w:pPr>
        <w:pStyle w:val="3"/>
        <w:jc w:val="center"/>
        <w:rPr>
          <w:sz w:val="30"/>
        </w:rPr>
      </w:pPr>
      <w:bookmarkStart w:id="117" w:name="_Toc291504141"/>
      <w:bookmarkStart w:id="118" w:name="_Toc3643"/>
      <w:bookmarkStart w:id="119" w:name="_Toc430854309"/>
      <w:r>
        <w:rPr>
          <w:rFonts w:hint="eastAsia"/>
          <w:sz w:val="30"/>
        </w:rPr>
        <w:t>十三、基金有关文件档案的保存</w:t>
      </w:r>
      <w:bookmarkEnd w:id="105"/>
      <w:bookmarkEnd w:id="114"/>
      <w:bookmarkEnd w:id="115"/>
      <w:bookmarkEnd w:id="116"/>
      <w:bookmarkEnd w:id="117"/>
      <w:bookmarkEnd w:id="118"/>
      <w:bookmarkEnd w:id="119"/>
    </w:p>
    <w:p w14:paraId="07073219">
      <w:pPr>
        <w:tabs>
          <w:tab w:val="left" w:pos="1260"/>
        </w:tabs>
        <w:spacing w:line="360" w:lineRule="auto"/>
        <w:ind w:firstLine="480" w:firstLineChars="200"/>
        <w:rPr>
          <w:rFonts w:ascii="宋体"/>
          <w:kern w:val="0"/>
          <w:sz w:val="24"/>
        </w:rPr>
      </w:pPr>
      <w:r>
        <w:rPr>
          <w:rFonts w:hint="eastAsia" w:ascii="宋体" w:hAnsi="宋体"/>
          <w:kern w:val="0"/>
          <w:sz w:val="24"/>
        </w:rPr>
        <w:t>基金管理人应保存基金财产管理业务活动的记录、账册、报表和其他相关资料，基金托管人应保存基金托管业务活动的记录、账册、报表和其他相关资料。</w:t>
      </w:r>
    </w:p>
    <w:p w14:paraId="5B258EBD">
      <w:pPr>
        <w:tabs>
          <w:tab w:val="left" w:pos="1260"/>
        </w:tabs>
        <w:spacing w:line="360" w:lineRule="auto"/>
        <w:ind w:firstLine="480" w:firstLineChars="200"/>
        <w:rPr>
          <w:rFonts w:ascii="宋体"/>
          <w:kern w:val="0"/>
          <w:sz w:val="24"/>
        </w:rPr>
      </w:pPr>
      <w:r>
        <w:rPr>
          <w:rFonts w:hint="eastAsia" w:ascii="宋体" w:hAnsi="宋体"/>
          <w:kern w:val="0"/>
          <w:sz w:val="24"/>
        </w:rPr>
        <w:t>基金管理人和基金托管人应按各自职责完整保存原始凭证、记账凭证、基金账册、会计报告、交易记录和重要合同等，基金托管人保存期限不少于</w:t>
      </w:r>
      <w:r>
        <w:rPr>
          <w:rFonts w:ascii="宋体" w:hAnsi="宋体"/>
          <w:kern w:val="0"/>
          <w:sz w:val="24"/>
        </w:rPr>
        <w:t>20</w:t>
      </w:r>
      <w:r>
        <w:rPr>
          <w:rFonts w:hint="eastAsia" w:ascii="宋体" w:hAnsi="宋体"/>
          <w:kern w:val="0"/>
          <w:sz w:val="24"/>
        </w:rPr>
        <w:t>年，法律法规或监管机构另有规定除外。</w:t>
      </w:r>
    </w:p>
    <w:p w14:paraId="0D145C22">
      <w:pPr>
        <w:tabs>
          <w:tab w:val="left" w:pos="1260"/>
        </w:tabs>
        <w:spacing w:line="360" w:lineRule="auto"/>
        <w:ind w:firstLine="480" w:firstLineChars="200"/>
        <w:rPr>
          <w:rFonts w:ascii="宋体"/>
          <w:kern w:val="0"/>
          <w:sz w:val="24"/>
        </w:rPr>
      </w:pPr>
      <w:r>
        <w:rPr>
          <w:rFonts w:hint="eastAsia" w:ascii="宋体" w:hAnsi="宋体"/>
          <w:kern w:val="0"/>
          <w:sz w:val="24"/>
        </w:rPr>
        <w:t>基金管理人签署重大合同文本后，应及时将合同文本正本送达基金托管人处。基金管理人应及时将与本基金账务处理、资金划拨等有关的合同、协议传真给基金托管人。</w:t>
      </w:r>
    </w:p>
    <w:p w14:paraId="4D7D4BD8">
      <w:pPr>
        <w:tabs>
          <w:tab w:val="left" w:pos="1260"/>
        </w:tabs>
        <w:spacing w:line="360" w:lineRule="auto"/>
        <w:ind w:firstLine="480" w:firstLineChars="200"/>
        <w:rPr>
          <w:rFonts w:ascii="宋体"/>
          <w:kern w:val="0"/>
          <w:sz w:val="24"/>
        </w:rPr>
      </w:pPr>
      <w:r>
        <w:rPr>
          <w:rFonts w:hint="eastAsia" w:ascii="宋体" w:hAnsi="宋体"/>
          <w:kern w:val="0"/>
          <w:sz w:val="24"/>
        </w:rPr>
        <w:t>基金管理人或基金托管人变更后，未变更的一方有义务协助接任人接收基金的有关文件。</w:t>
      </w:r>
      <w:bookmarkStart w:id="120" w:name="_Toc523830005"/>
      <w:bookmarkStart w:id="121" w:name="_Toc22454470"/>
      <w:bookmarkStart w:id="122" w:name="_Toc466788864"/>
      <w:bookmarkStart w:id="123" w:name="_Toc125892450"/>
    </w:p>
    <w:p w14:paraId="7E37923C">
      <w:pPr>
        <w:pStyle w:val="3"/>
        <w:jc w:val="center"/>
        <w:rPr>
          <w:sz w:val="30"/>
        </w:rPr>
      </w:pPr>
      <w:bookmarkStart w:id="124" w:name="_Toc291504142"/>
      <w:bookmarkStart w:id="125" w:name="_Toc32674"/>
      <w:bookmarkStart w:id="126" w:name="_Toc430854310"/>
      <w:r>
        <w:rPr>
          <w:rFonts w:hint="eastAsia"/>
          <w:sz w:val="30"/>
        </w:rPr>
        <w:t>十四、基金管理人和基金托管人的更换</w:t>
      </w:r>
      <w:bookmarkEnd w:id="120"/>
      <w:bookmarkEnd w:id="121"/>
      <w:bookmarkEnd w:id="122"/>
      <w:bookmarkEnd w:id="123"/>
      <w:bookmarkEnd w:id="124"/>
      <w:bookmarkEnd w:id="125"/>
      <w:bookmarkEnd w:id="126"/>
    </w:p>
    <w:p w14:paraId="3B40458D">
      <w:pPr>
        <w:tabs>
          <w:tab w:val="left" w:pos="3780"/>
        </w:tabs>
        <w:autoSpaceDE w:val="0"/>
        <w:autoSpaceDN w:val="0"/>
        <w:spacing w:before="156" w:beforeLines="50" w:after="156" w:afterLines="50" w:line="360" w:lineRule="auto"/>
        <w:textAlignment w:val="bottom"/>
        <w:outlineLvl w:val="0"/>
        <w:rPr>
          <w:rFonts w:ascii="宋体"/>
          <w:b/>
          <w:bCs/>
          <w:sz w:val="24"/>
        </w:rPr>
      </w:pPr>
      <w:bookmarkStart w:id="127" w:name="_Toc77663031"/>
      <w:bookmarkStart w:id="128" w:name="_Toc22454471"/>
      <w:bookmarkStart w:id="129" w:name="_Hlk112966316"/>
      <w:r>
        <w:rPr>
          <w:rFonts w:hint="eastAsia" w:ascii="宋体" w:hAnsi="宋体"/>
          <w:b/>
          <w:bCs/>
          <w:sz w:val="24"/>
        </w:rPr>
        <w:t>（一）基金管理人的更换</w:t>
      </w:r>
    </w:p>
    <w:p w14:paraId="0349523C">
      <w:pPr>
        <w:tabs>
          <w:tab w:val="left" w:pos="1260"/>
        </w:tabs>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）基金管理人职责终止的</w:t>
      </w:r>
      <w:r>
        <w:rPr>
          <w:rFonts w:hint="eastAsia"/>
          <w:sz w:val="24"/>
        </w:rPr>
        <w:t>情形</w:t>
      </w:r>
    </w:p>
    <w:p w14:paraId="29491141">
      <w:pPr>
        <w:spacing w:line="360" w:lineRule="auto"/>
        <w:ind w:firstLine="480" w:firstLineChars="200"/>
        <w:rPr>
          <w:rFonts w:ascii="宋体"/>
          <w:kern w:val="0"/>
          <w:sz w:val="24"/>
        </w:rPr>
      </w:pPr>
      <w:r>
        <w:rPr>
          <w:rFonts w:hint="eastAsia" w:ascii="宋体" w:hAnsi="宋体"/>
          <w:kern w:val="0"/>
          <w:sz w:val="24"/>
        </w:rPr>
        <w:t>有下列情形之一的，基金管理人职责终止：</w:t>
      </w:r>
    </w:p>
    <w:p w14:paraId="53F22C2B">
      <w:pPr>
        <w:spacing w:line="360" w:lineRule="auto"/>
        <w:ind w:firstLine="480" w:firstLineChars="200"/>
        <w:rPr>
          <w:sz w:val="24"/>
        </w:rPr>
      </w:pPr>
      <w:r>
        <w:rPr>
          <w:sz w:val="24"/>
        </w:rPr>
        <w:t>1）</w:t>
      </w:r>
      <w:r>
        <w:rPr>
          <w:rFonts w:hint="eastAsia"/>
          <w:sz w:val="24"/>
        </w:rPr>
        <w:t>被依法取消基金管理资格；</w:t>
      </w:r>
    </w:p>
    <w:p w14:paraId="40D64A74">
      <w:pPr>
        <w:spacing w:line="360" w:lineRule="auto"/>
        <w:ind w:firstLine="480" w:firstLineChars="200"/>
        <w:rPr>
          <w:sz w:val="24"/>
        </w:rPr>
      </w:pPr>
      <w:r>
        <w:rPr>
          <w:sz w:val="24"/>
        </w:rPr>
        <w:t>2）</w:t>
      </w:r>
      <w:r>
        <w:rPr>
          <w:rFonts w:hint="eastAsia"/>
          <w:sz w:val="24"/>
        </w:rPr>
        <w:t>被基金份额持有人大会解任；</w:t>
      </w:r>
    </w:p>
    <w:p w14:paraId="197A86D0">
      <w:pPr>
        <w:spacing w:line="360" w:lineRule="auto"/>
        <w:ind w:firstLine="480" w:firstLineChars="200"/>
        <w:rPr>
          <w:sz w:val="24"/>
        </w:rPr>
      </w:pPr>
      <w:r>
        <w:rPr>
          <w:sz w:val="24"/>
        </w:rPr>
        <w:t>3）</w:t>
      </w:r>
      <w:r>
        <w:rPr>
          <w:rFonts w:hint="eastAsia"/>
          <w:sz w:val="24"/>
        </w:rPr>
        <w:t>依法解散、被依法撤销或被依法宣告破产；</w:t>
      </w:r>
    </w:p>
    <w:p w14:paraId="5AFDF32A">
      <w:pPr>
        <w:spacing w:line="360" w:lineRule="auto"/>
        <w:ind w:firstLine="480" w:firstLineChars="200"/>
        <w:rPr>
          <w:sz w:val="24"/>
        </w:rPr>
      </w:pPr>
      <w:r>
        <w:rPr>
          <w:sz w:val="24"/>
        </w:rPr>
        <w:t>4）</w:t>
      </w:r>
      <w:r>
        <w:rPr>
          <w:rFonts w:hint="eastAsia"/>
          <w:sz w:val="24"/>
        </w:rPr>
        <w:t>法律法规及中国证监会规定的和《基金合同》约定的其他情形。</w:t>
      </w:r>
    </w:p>
    <w:p w14:paraId="6D9F3D95">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）基金管理人的更换程序</w:t>
      </w:r>
    </w:p>
    <w:p w14:paraId="16E68A9F">
      <w:pPr>
        <w:spacing w:line="360" w:lineRule="auto"/>
        <w:ind w:firstLine="480" w:firstLineChars="200"/>
        <w:rPr>
          <w:sz w:val="24"/>
        </w:rPr>
      </w:pPr>
      <w:r>
        <w:rPr>
          <w:sz w:val="24"/>
        </w:rPr>
        <w:t>1）</w:t>
      </w:r>
      <w:r>
        <w:rPr>
          <w:rFonts w:hint="eastAsia"/>
          <w:sz w:val="24"/>
        </w:rPr>
        <w:t>提名：新任基金管理人由基金托管人或由单独或合计持有</w:t>
      </w:r>
      <w:r>
        <w:rPr>
          <w:sz w:val="24"/>
        </w:rPr>
        <w:t>10%</w:t>
      </w:r>
      <w:r>
        <w:rPr>
          <w:rFonts w:hint="eastAsia"/>
          <w:sz w:val="24"/>
        </w:rPr>
        <w:t>以上（含</w:t>
      </w:r>
      <w:r>
        <w:rPr>
          <w:sz w:val="24"/>
        </w:rPr>
        <w:t>10%</w:t>
      </w:r>
      <w:r>
        <w:rPr>
          <w:rFonts w:hint="eastAsia"/>
          <w:sz w:val="24"/>
        </w:rPr>
        <w:t>）</w:t>
      </w:r>
      <w:r>
        <w:rPr>
          <w:rFonts w:hint="eastAsia"/>
          <w:bCs/>
          <w:sz w:val="24"/>
        </w:rPr>
        <w:t>基金份额</w:t>
      </w:r>
      <w:r>
        <w:rPr>
          <w:rFonts w:hint="eastAsia"/>
          <w:sz w:val="24"/>
        </w:rPr>
        <w:t>的基金份额持有人提名；</w:t>
      </w:r>
    </w:p>
    <w:p w14:paraId="5DDFB92D">
      <w:pPr>
        <w:spacing w:line="360" w:lineRule="auto"/>
        <w:ind w:firstLine="480" w:firstLineChars="200"/>
        <w:rPr>
          <w:sz w:val="24"/>
        </w:rPr>
      </w:pPr>
      <w:r>
        <w:rPr>
          <w:sz w:val="24"/>
        </w:rPr>
        <w:t>2）</w:t>
      </w:r>
      <w:r>
        <w:rPr>
          <w:rFonts w:hint="eastAsia"/>
          <w:sz w:val="24"/>
        </w:rPr>
        <w:t>决议：基金份额持有人大会在基金管理人职责终止后</w:t>
      </w:r>
      <w:r>
        <w:rPr>
          <w:sz w:val="24"/>
        </w:rPr>
        <w:t>6</w:t>
      </w:r>
      <w:r>
        <w:rPr>
          <w:rFonts w:hint="eastAsia"/>
          <w:sz w:val="24"/>
        </w:rPr>
        <w:t>个月内对被提名的基金管理人形成决议，该决议需经参加大会的基金份额持有人所持表决权的三分之二以上（含三分之二）表决通过</w:t>
      </w:r>
      <w:r>
        <w:rPr>
          <w:rFonts w:hint="eastAsia"/>
          <w:bCs/>
          <w:sz w:val="24"/>
        </w:rPr>
        <w:t>，决议自表决通过之日起生效</w:t>
      </w:r>
      <w:r>
        <w:rPr>
          <w:rFonts w:hint="eastAsia"/>
          <w:sz w:val="24"/>
        </w:rPr>
        <w:t>；</w:t>
      </w:r>
    </w:p>
    <w:p w14:paraId="3FD8ADC0">
      <w:pPr>
        <w:spacing w:line="360" w:lineRule="auto"/>
        <w:ind w:firstLine="480" w:firstLineChars="200"/>
        <w:rPr>
          <w:sz w:val="24"/>
        </w:rPr>
      </w:pPr>
      <w:r>
        <w:rPr>
          <w:sz w:val="24"/>
        </w:rPr>
        <w:t>3）</w:t>
      </w:r>
      <w:r>
        <w:rPr>
          <w:rFonts w:hint="eastAsia"/>
          <w:sz w:val="24"/>
        </w:rPr>
        <w:t>临时基金管理人：新任基金管理人产生之前，由中国证监会指定临时基金管理人；</w:t>
      </w:r>
    </w:p>
    <w:p w14:paraId="6CDDFAF1">
      <w:pPr>
        <w:spacing w:line="360" w:lineRule="auto"/>
        <w:ind w:firstLine="480" w:firstLineChars="200"/>
        <w:rPr>
          <w:sz w:val="24"/>
        </w:rPr>
      </w:pPr>
      <w:r>
        <w:rPr>
          <w:sz w:val="24"/>
        </w:rPr>
        <w:t>4）</w:t>
      </w:r>
      <w:r>
        <w:rPr>
          <w:rFonts w:hint="eastAsia"/>
          <w:sz w:val="24"/>
        </w:rPr>
        <w:t>备案：基金份额持有人大会</w:t>
      </w:r>
      <w:r>
        <w:rPr>
          <w:rFonts w:hint="eastAsia"/>
          <w:bCs/>
          <w:sz w:val="24"/>
        </w:rPr>
        <w:t>更换</w:t>
      </w:r>
      <w:r>
        <w:rPr>
          <w:rFonts w:hint="eastAsia"/>
          <w:sz w:val="24"/>
        </w:rPr>
        <w:t>基金管理人的决议须报中国证监会备案；</w:t>
      </w:r>
    </w:p>
    <w:p w14:paraId="75E2C5D4">
      <w:pPr>
        <w:spacing w:line="360" w:lineRule="auto"/>
        <w:ind w:firstLine="480" w:firstLineChars="200"/>
        <w:rPr>
          <w:bCs/>
          <w:sz w:val="24"/>
        </w:rPr>
      </w:pPr>
      <w:r>
        <w:rPr>
          <w:sz w:val="24"/>
        </w:rPr>
        <w:t>5）</w:t>
      </w:r>
      <w:r>
        <w:rPr>
          <w:rFonts w:hint="eastAsia"/>
          <w:sz w:val="24"/>
        </w:rPr>
        <w:t>公告：基金管理人更换后，</w:t>
      </w:r>
      <w:r>
        <w:rPr>
          <w:bCs/>
          <w:sz w:val="24"/>
        </w:rPr>
        <w:t>由基金托管人在更换基金管理人的基金份额持有人大会决议生效后</w:t>
      </w:r>
      <w:r>
        <w:rPr>
          <w:rFonts w:hint="eastAsia"/>
          <w:bCs/>
          <w:sz w:val="24"/>
        </w:rPr>
        <w:t>按规定</w:t>
      </w:r>
      <w:r>
        <w:rPr>
          <w:bCs/>
          <w:sz w:val="24"/>
        </w:rPr>
        <w:t>在</w:t>
      </w:r>
      <w:r>
        <w:rPr>
          <w:rFonts w:hint="eastAsia"/>
          <w:bCs/>
          <w:sz w:val="24"/>
        </w:rPr>
        <w:t>规定媒介</w:t>
      </w:r>
      <w:r>
        <w:rPr>
          <w:bCs/>
          <w:sz w:val="24"/>
        </w:rPr>
        <w:t>公告；</w:t>
      </w:r>
    </w:p>
    <w:p w14:paraId="1D2A9A2C">
      <w:pPr>
        <w:spacing w:line="360" w:lineRule="auto"/>
        <w:ind w:firstLine="480" w:firstLineChars="200"/>
        <w:rPr>
          <w:sz w:val="24"/>
        </w:rPr>
      </w:pPr>
      <w:r>
        <w:rPr>
          <w:sz w:val="24"/>
        </w:rPr>
        <w:t>6）</w:t>
      </w:r>
      <w:r>
        <w:rPr>
          <w:rFonts w:hint="eastAsia"/>
          <w:sz w:val="24"/>
        </w:rPr>
        <w:t>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70168203">
      <w:pPr>
        <w:spacing w:line="360" w:lineRule="auto"/>
        <w:ind w:firstLine="480" w:firstLineChars="200"/>
        <w:rPr>
          <w:sz w:val="24"/>
        </w:rPr>
      </w:pPr>
      <w:r>
        <w:rPr>
          <w:sz w:val="24"/>
        </w:rPr>
        <w:t>7）</w:t>
      </w:r>
      <w:r>
        <w:rPr>
          <w:rFonts w:hint="eastAsia"/>
          <w:sz w:val="24"/>
        </w:rPr>
        <w:t>审计：基金管理人职责终止的，应当按照法律法规规定聘请会计师事务所对基金财产进行审计，并将审计结果予以公告，同时报中国证监会备案</w:t>
      </w:r>
      <w:r>
        <w:rPr>
          <w:sz w:val="24"/>
        </w:rPr>
        <w:t>，</w:t>
      </w:r>
      <w:r>
        <w:rPr>
          <w:rFonts w:hint="eastAsia"/>
          <w:sz w:val="24"/>
        </w:rPr>
        <w:t>审计费用</w:t>
      </w:r>
      <w:r>
        <w:rPr>
          <w:rFonts w:hint="eastAsia"/>
          <w:bCs/>
          <w:color w:val="000000"/>
          <w:sz w:val="24"/>
        </w:rPr>
        <w:t>在</w:t>
      </w:r>
      <w:r>
        <w:rPr>
          <w:rFonts w:hint="eastAsia"/>
          <w:sz w:val="24"/>
        </w:rPr>
        <w:t>基金财产</w:t>
      </w:r>
      <w:r>
        <w:rPr>
          <w:rFonts w:hint="eastAsia"/>
          <w:bCs/>
          <w:color w:val="000000"/>
          <w:sz w:val="24"/>
        </w:rPr>
        <w:t>中列支</w:t>
      </w:r>
      <w:r>
        <w:rPr>
          <w:rFonts w:hint="eastAsia"/>
          <w:sz w:val="24"/>
        </w:rPr>
        <w:t>；</w:t>
      </w:r>
    </w:p>
    <w:p w14:paraId="3A773F78">
      <w:pPr>
        <w:spacing w:line="360" w:lineRule="auto"/>
        <w:ind w:firstLine="480" w:firstLineChars="200"/>
        <w:rPr>
          <w:sz w:val="24"/>
        </w:rPr>
      </w:pPr>
      <w:r>
        <w:rPr>
          <w:sz w:val="24"/>
        </w:rPr>
        <w:t>8）</w:t>
      </w:r>
      <w:r>
        <w:rPr>
          <w:rFonts w:hint="eastAsia"/>
          <w:sz w:val="24"/>
        </w:rPr>
        <w:t>基金名称变更：基金管理人更换后，如果原任或新任基金管理人要求，应按其要求替换或删除基金名称中与原基金管理人有关的名称字样。</w:t>
      </w:r>
    </w:p>
    <w:p w14:paraId="723E8689">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原基金管理人职责终止后，新任基金管理人或临时基金管理人接受基金管理业务前，原基金管理人和基金托管人需采取审慎措施确保基金财产的安全，不对基金份额持有人的利益造成损失，并有义务协助新任基金管理人或临时基金管理人尽快恢复基金财产的投资运作。</w:t>
      </w:r>
    </w:p>
    <w:p w14:paraId="1B38D051">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（二）基金托管人的更换</w:t>
      </w:r>
    </w:p>
    <w:p w14:paraId="00311145">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）基金托管人职责终止的</w:t>
      </w:r>
      <w:r>
        <w:rPr>
          <w:rFonts w:hint="eastAsia"/>
          <w:sz w:val="24"/>
        </w:rPr>
        <w:t>情形</w:t>
      </w:r>
    </w:p>
    <w:p w14:paraId="34D195FE">
      <w:pPr>
        <w:spacing w:line="360" w:lineRule="auto"/>
        <w:ind w:firstLine="480" w:firstLineChars="200"/>
        <w:rPr>
          <w:sz w:val="24"/>
        </w:rPr>
      </w:pPr>
      <w:r>
        <w:rPr>
          <w:rFonts w:hint="eastAsia"/>
          <w:sz w:val="24"/>
        </w:rPr>
        <w:t>有下列情形之一的，基金托管人职责终止：</w:t>
      </w:r>
    </w:p>
    <w:p w14:paraId="6BF28FF0">
      <w:pPr>
        <w:spacing w:line="360" w:lineRule="auto"/>
        <w:ind w:firstLine="480" w:firstLineChars="200"/>
        <w:rPr>
          <w:sz w:val="24"/>
        </w:rPr>
      </w:pPr>
      <w:r>
        <w:rPr>
          <w:sz w:val="24"/>
        </w:rPr>
        <w:t>1）</w:t>
      </w:r>
      <w:r>
        <w:rPr>
          <w:rFonts w:hint="eastAsia"/>
          <w:sz w:val="24"/>
        </w:rPr>
        <w:t>被依法取消基金托管资格；</w:t>
      </w:r>
    </w:p>
    <w:p w14:paraId="3A2A5901">
      <w:pPr>
        <w:spacing w:line="360" w:lineRule="auto"/>
        <w:ind w:firstLine="480" w:firstLineChars="200"/>
        <w:rPr>
          <w:sz w:val="24"/>
        </w:rPr>
      </w:pPr>
      <w:r>
        <w:rPr>
          <w:sz w:val="24"/>
        </w:rPr>
        <w:t>2）</w:t>
      </w:r>
      <w:r>
        <w:rPr>
          <w:rFonts w:hint="eastAsia"/>
          <w:sz w:val="24"/>
        </w:rPr>
        <w:t>被基金份额持有人大会解任；</w:t>
      </w:r>
    </w:p>
    <w:p w14:paraId="5D62FB69">
      <w:pPr>
        <w:spacing w:line="360" w:lineRule="auto"/>
        <w:ind w:firstLine="480" w:firstLineChars="200"/>
        <w:rPr>
          <w:sz w:val="24"/>
        </w:rPr>
      </w:pPr>
      <w:r>
        <w:rPr>
          <w:sz w:val="24"/>
        </w:rPr>
        <w:t>3）</w:t>
      </w:r>
      <w:r>
        <w:rPr>
          <w:rFonts w:hint="eastAsia"/>
          <w:sz w:val="24"/>
        </w:rPr>
        <w:t>依法解散、被依法撤销或被依法宣告破产；</w:t>
      </w:r>
    </w:p>
    <w:p w14:paraId="3BC490BD">
      <w:pPr>
        <w:spacing w:line="360" w:lineRule="auto"/>
        <w:ind w:firstLine="480" w:firstLineChars="200"/>
        <w:rPr>
          <w:sz w:val="24"/>
        </w:rPr>
      </w:pPr>
      <w:r>
        <w:rPr>
          <w:sz w:val="24"/>
        </w:rPr>
        <w:t>4）</w:t>
      </w:r>
      <w:r>
        <w:rPr>
          <w:rFonts w:hint="eastAsia"/>
          <w:sz w:val="24"/>
        </w:rPr>
        <w:t>法律法规及中国证监会规定的和《基金合同》约定的其他情形。</w:t>
      </w:r>
    </w:p>
    <w:p w14:paraId="722E9EEB">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）基金托管人的更换程序</w:t>
      </w:r>
    </w:p>
    <w:p w14:paraId="3C659FC8">
      <w:pPr>
        <w:spacing w:line="360" w:lineRule="auto"/>
        <w:ind w:firstLine="480" w:firstLineChars="200"/>
        <w:rPr>
          <w:sz w:val="24"/>
        </w:rPr>
      </w:pPr>
      <w:r>
        <w:rPr>
          <w:sz w:val="24"/>
        </w:rPr>
        <w:t>1）</w:t>
      </w:r>
      <w:r>
        <w:rPr>
          <w:rFonts w:hint="eastAsia"/>
          <w:sz w:val="24"/>
        </w:rPr>
        <w:t>提名：新任基金托管人由基金管理人或由单独或合计持有</w:t>
      </w:r>
      <w:r>
        <w:rPr>
          <w:sz w:val="24"/>
        </w:rPr>
        <w:t>10%</w:t>
      </w:r>
      <w:r>
        <w:rPr>
          <w:rFonts w:hint="eastAsia"/>
          <w:sz w:val="24"/>
        </w:rPr>
        <w:t>以上（含</w:t>
      </w:r>
      <w:r>
        <w:rPr>
          <w:sz w:val="24"/>
        </w:rPr>
        <w:t>10%</w:t>
      </w:r>
      <w:r>
        <w:rPr>
          <w:rFonts w:hint="eastAsia"/>
          <w:sz w:val="24"/>
        </w:rPr>
        <w:t>）</w:t>
      </w:r>
      <w:r>
        <w:rPr>
          <w:rFonts w:hint="eastAsia"/>
          <w:bCs/>
          <w:sz w:val="24"/>
        </w:rPr>
        <w:t>基金份额的基金份额</w:t>
      </w:r>
      <w:r>
        <w:rPr>
          <w:rFonts w:hint="eastAsia"/>
          <w:sz w:val="24"/>
        </w:rPr>
        <w:t>持有人提名；</w:t>
      </w:r>
    </w:p>
    <w:p w14:paraId="0DC6EA29">
      <w:pPr>
        <w:spacing w:line="360" w:lineRule="auto"/>
        <w:ind w:firstLine="480" w:firstLineChars="200"/>
        <w:rPr>
          <w:sz w:val="24"/>
        </w:rPr>
      </w:pPr>
      <w:r>
        <w:rPr>
          <w:sz w:val="24"/>
        </w:rPr>
        <w:t>2）</w:t>
      </w:r>
      <w:r>
        <w:rPr>
          <w:rFonts w:hint="eastAsia"/>
          <w:sz w:val="24"/>
        </w:rPr>
        <w:t>决议：基金份额持有人大会在基金托管人职责终止后</w:t>
      </w:r>
      <w:r>
        <w:rPr>
          <w:sz w:val="24"/>
        </w:rPr>
        <w:t>6</w:t>
      </w:r>
      <w:r>
        <w:rPr>
          <w:rFonts w:hint="eastAsia"/>
          <w:sz w:val="24"/>
        </w:rPr>
        <w:t>个月内对被提名的基金托管人形成决议，该决议需经参加大会的基金份额持有人所持表决权的三分之二以上（含三分之二）表决通过</w:t>
      </w:r>
      <w:r>
        <w:rPr>
          <w:rFonts w:hint="eastAsia"/>
          <w:bCs/>
          <w:sz w:val="24"/>
        </w:rPr>
        <w:t>，决议自表决通过之日起生效</w:t>
      </w:r>
      <w:r>
        <w:rPr>
          <w:rFonts w:hint="eastAsia"/>
          <w:sz w:val="24"/>
        </w:rPr>
        <w:t>；</w:t>
      </w:r>
    </w:p>
    <w:p w14:paraId="7DC2961C">
      <w:pPr>
        <w:spacing w:line="360" w:lineRule="auto"/>
        <w:ind w:firstLine="480" w:firstLineChars="200"/>
        <w:rPr>
          <w:sz w:val="24"/>
        </w:rPr>
      </w:pPr>
      <w:r>
        <w:rPr>
          <w:sz w:val="24"/>
        </w:rPr>
        <w:t>3）</w:t>
      </w:r>
      <w:r>
        <w:rPr>
          <w:rFonts w:hint="eastAsia"/>
          <w:sz w:val="24"/>
        </w:rPr>
        <w:t>临时基金托管人：新任基金托管人产生之前，由中国证监会指定临时基金托管人；</w:t>
      </w:r>
    </w:p>
    <w:p w14:paraId="464775C1">
      <w:pPr>
        <w:spacing w:line="360" w:lineRule="auto"/>
        <w:ind w:firstLine="480" w:firstLineChars="200"/>
        <w:rPr>
          <w:sz w:val="24"/>
        </w:rPr>
      </w:pPr>
      <w:r>
        <w:rPr>
          <w:sz w:val="24"/>
        </w:rPr>
        <w:t>4）</w:t>
      </w:r>
      <w:r>
        <w:rPr>
          <w:rFonts w:hint="eastAsia"/>
          <w:sz w:val="24"/>
        </w:rPr>
        <w:t>备案：基金份额持有人大会更换基金托管人的决议须报中国证监会备案；</w:t>
      </w:r>
    </w:p>
    <w:p w14:paraId="7C6DA86F">
      <w:pPr>
        <w:spacing w:line="360" w:lineRule="auto"/>
        <w:ind w:firstLine="480" w:firstLineChars="200"/>
        <w:rPr>
          <w:sz w:val="24"/>
        </w:rPr>
      </w:pPr>
      <w:r>
        <w:rPr>
          <w:sz w:val="24"/>
        </w:rPr>
        <w:t>5）</w:t>
      </w:r>
      <w:r>
        <w:rPr>
          <w:rFonts w:hint="eastAsia"/>
          <w:sz w:val="24"/>
        </w:rPr>
        <w:t>公告：基金托管人更换后，</w:t>
      </w:r>
      <w:r>
        <w:rPr>
          <w:bCs/>
          <w:sz w:val="24"/>
        </w:rPr>
        <w:t>由基金管理人在更换基金托管人的基金份额持有人大会决议生效后</w:t>
      </w:r>
      <w:r>
        <w:rPr>
          <w:rFonts w:hint="eastAsia"/>
          <w:sz w:val="24"/>
        </w:rPr>
        <w:t>按规定在规定媒介公告；</w:t>
      </w:r>
    </w:p>
    <w:p w14:paraId="20C46305">
      <w:pPr>
        <w:spacing w:line="360" w:lineRule="auto"/>
        <w:ind w:firstLine="480" w:firstLineChars="200"/>
        <w:rPr>
          <w:sz w:val="24"/>
        </w:rPr>
      </w:pPr>
      <w:r>
        <w:rPr>
          <w:sz w:val="24"/>
        </w:rPr>
        <w:t>6）</w:t>
      </w:r>
      <w:r>
        <w:rPr>
          <w:rFonts w:hint="eastAsia"/>
          <w:sz w:val="24"/>
        </w:rPr>
        <w:t>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w:t>
      </w:r>
    </w:p>
    <w:p w14:paraId="3FDAC2B5">
      <w:pPr>
        <w:spacing w:line="360" w:lineRule="auto"/>
        <w:ind w:firstLine="480" w:firstLineChars="200"/>
        <w:rPr>
          <w:sz w:val="24"/>
        </w:rPr>
      </w:pPr>
      <w:r>
        <w:rPr>
          <w:sz w:val="24"/>
        </w:rPr>
        <w:t>7）</w:t>
      </w:r>
      <w:r>
        <w:rPr>
          <w:rFonts w:hint="eastAsia"/>
          <w:sz w:val="24"/>
        </w:rPr>
        <w:t>审计：基金托管人职责终止的，应当按照法律法规规定聘请会计师事务所对基金财产进行审计，并将审计结果予以公告，同时报中国证监会备案</w:t>
      </w:r>
      <w:r>
        <w:rPr>
          <w:bCs/>
          <w:sz w:val="24"/>
        </w:rPr>
        <w:t>，</w:t>
      </w:r>
      <w:r>
        <w:rPr>
          <w:rFonts w:hint="eastAsia"/>
          <w:sz w:val="24"/>
        </w:rPr>
        <w:t>审计费用</w:t>
      </w:r>
      <w:r>
        <w:rPr>
          <w:rFonts w:hint="eastAsia"/>
          <w:bCs/>
          <w:color w:val="000000"/>
          <w:sz w:val="24"/>
        </w:rPr>
        <w:t>在</w:t>
      </w:r>
      <w:r>
        <w:rPr>
          <w:rFonts w:hint="eastAsia"/>
          <w:sz w:val="24"/>
        </w:rPr>
        <w:t>基金财产</w:t>
      </w:r>
      <w:r>
        <w:rPr>
          <w:rFonts w:hint="eastAsia"/>
          <w:bCs/>
          <w:color w:val="000000"/>
          <w:sz w:val="24"/>
        </w:rPr>
        <w:t>中列支</w:t>
      </w:r>
      <w:r>
        <w:rPr>
          <w:rFonts w:hint="eastAsia"/>
          <w:sz w:val="24"/>
        </w:rPr>
        <w:t>。</w:t>
      </w:r>
    </w:p>
    <w:bookmarkEnd w:id="127"/>
    <w:bookmarkEnd w:id="128"/>
    <w:p w14:paraId="0828937F">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原基金托管人职责终止后，新任基金托管人或临时基金托管人接受基金财产和基金托管业务前，原基金托管人和基金管理人需采取审慎措施确保基金财产的安全，不对基金份额持有人的利益造成损失，并有义务协助新任基金托管人或临时基金托管人尽快交接基金资产。</w:t>
      </w:r>
    </w:p>
    <w:p w14:paraId="1BB0E2A3">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（三）基金管理人与基金托管人同时更换</w:t>
      </w:r>
    </w:p>
    <w:p w14:paraId="71700A3D">
      <w:pPr>
        <w:spacing w:line="360" w:lineRule="auto"/>
        <w:ind w:firstLine="480" w:firstLineChars="200"/>
        <w:rPr>
          <w:rFonts w:ascii="宋体" w:hAnsi="宋体"/>
          <w:kern w:val="0"/>
          <w:sz w:val="24"/>
        </w:rPr>
      </w:pPr>
      <w:r>
        <w:rPr>
          <w:rFonts w:ascii="宋体" w:hAnsi="宋体"/>
          <w:kern w:val="0"/>
          <w:sz w:val="24"/>
        </w:rPr>
        <w:t>（1）</w:t>
      </w:r>
      <w:r>
        <w:rPr>
          <w:rFonts w:hint="eastAsia" w:ascii="宋体" w:hAnsi="宋体"/>
          <w:kern w:val="0"/>
          <w:sz w:val="24"/>
        </w:rPr>
        <w:t>提名：如果基金管理人和基金托管人同时更换，由单独或合计持有基金总份额</w:t>
      </w:r>
      <w:r>
        <w:rPr>
          <w:rFonts w:ascii="宋体" w:hAnsi="宋体"/>
          <w:kern w:val="0"/>
          <w:sz w:val="24"/>
        </w:rPr>
        <w:t>10%</w:t>
      </w:r>
      <w:r>
        <w:rPr>
          <w:rFonts w:hint="eastAsia" w:ascii="宋体" w:hAnsi="宋体"/>
          <w:kern w:val="0"/>
          <w:sz w:val="24"/>
        </w:rPr>
        <w:t>以上（含</w:t>
      </w:r>
      <w:r>
        <w:rPr>
          <w:rFonts w:ascii="宋体" w:hAnsi="宋体"/>
          <w:kern w:val="0"/>
          <w:sz w:val="24"/>
        </w:rPr>
        <w:t>10%</w:t>
      </w:r>
      <w:r>
        <w:rPr>
          <w:rFonts w:hint="eastAsia" w:ascii="宋体" w:hAnsi="宋体"/>
          <w:kern w:val="0"/>
          <w:sz w:val="24"/>
        </w:rPr>
        <w:t>）的基金份额持有人提名新的基金管理人和基金托管人；</w:t>
      </w:r>
    </w:p>
    <w:p w14:paraId="3C3062F7">
      <w:pPr>
        <w:spacing w:line="360" w:lineRule="auto"/>
        <w:ind w:firstLine="480" w:firstLineChars="200"/>
        <w:rPr>
          <w:rFonts w:ascii="宋体" w:hAnsi="宋体"/>
          <w:kern w:val="0"/>
          <w:sz w:val="24"/>
        </w:rPr>
      </w:pPr>
      <w:r>
        <w:rPr>
          <w:rFonts w:ascii="宋体" w:hAnsi="宋体"/>
          <w:kern w:val="0"/>
          <w:sz w:val="24"/>
        </w:rPr>
        <w:t>（2）</w:t>
      </w:r>
      <w:r>
        <w:rPr>
          <w:rFonts w:hint="eastAsia" w:ascii="宋体" w:hAnsi="宋体"/>
          <w:kern w:val="0"/>
          <w:sz w:val="24"/>
        </w:rPr>
        <w:t>基金管理人和基金托管人的更换分别按上述程序进行；</w:t>
      </w:r>
    </w:p>
    <w:p w14:paraId="489F9C27">
      <w:pPr>
        <w:spacing w:line="360" w:lineRule="auto"/>
        <w:ind w:firstLine="480" w:firstLineChars="200"/>
        <w:rPr>
          <w:rFonts w:ascii="宋体" w:hAnsi="宋体"/>
          <w:kern w:val="0"/>
          <w:sz w:val="24"/>
        </w:rPr>
      </w:pPr>
      <w:r>
        <w:rPr>
          <w:rFonts w:ascii="宋体" w:hAnsi="宋体"/>
          <w:kern w:val="0"/>
          <w:sz w:val="24"/>
        </w:rPr>
        <w:t>（3）</w:t>
      </w:r>
      <w:r>
        <w:rPr>
          <w:rFonts w:hint="eastAsia" w:ascii="宋体" w:hAnsi="宋体"/>
          <w:kern w:val="0"/>
          <w:sz w:val="24"/>
        </w:rPr>
        <w:t>公告：新任基金管理人和新任基金托管人应在更换基金管理人和基金托管人的基金份额持有人大会决议生效后按规定在规定媒介上联合公告。</w:t>
      </w:r>
    </w:p>
    <w:p w14:paraId="60E7EA82">
      <w:pPr>
        <w:spacing w:line="360" w:lineRule="auto"/>
        <w:ind w:left="1"/>
        <w:rPr>
          <w:rFonts w:ascii="宋体" w:hAnsi="宋体"/>
          <w:b/>
          <w:kern w:val="0"/>
          <w:sz w:val="24"/>
        </w:rPr>
      </w:pPr>
      <w:r>
        <w:rPr>
          <w:rFonts w:hint="eastAsia" w:ascii="宋体" w:hAnsi="宋体"/>
          <w:b/>
          <w:kern w:val="0"/>
          <w:sz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bookmarkEnd w:id="129"/>
    <w:p w14:paraId="11F5313E">
      <w:pPr>
        <w:pStyle w:val="3"/>
        <w:jc w:val="center"/>
        <w:rPr>
          <w:sz w:val="30"/>
        </w:rPr>
      </w:pPr>
      <w:bookmarkStart w:id="130" w:name="_Toc291504143"/>
      <w:bookmarkStart w:id="131" w:name="_Toc125892451"/>
      <w:bookmarkStart w:id="132" w:name="_Toc466788866"/>
      <w:bookmarkStart w:id="133" w:name="_Toc523830007"/>
      <w:bookmarkStart w:id="134" w:name="_Toc22454478"/>
      <w:bookmarkStart w:id="135" w:name="_Toc430854311"/>
      <w:bookmarkStart w:id="136" w:name="_Toc24855"/>
      <w:r>
        <w:rPr>
          <w:rFonts w:hint="eastAsia"/>
          <w:sz w:val="30"/>
        </w:rPr>
        <w:t>十五、禁止行为</w:t>
      </w:r>
      <w:bookmarkEnd w:id="130"/>
      <w:bookmarkEnd w:id="131"/>
      <w:bookmarkEnd w:id="132"/>
      <w:bookmarkEnd w:id="133"/>
      <w:bookmarkEnd w:id="134"/>
      <w:bookmarkEnd w:id="135"/>
      <w:bookmarkEnd w:id="136"/>
    </w:p>
    <w:p w14:paraId="5E471202">
      <w:pPr>
        <w:spacing w:line="360" w:lineRule="auto"/>
        <w:ind w:firstLine="480" w:firstLineChars="200"/>
        <w:rPr>
          <w:rFonts w:ascii="宋体"/>
          <w:kern w:val="0"/>
          <w:sz w:val="24"/>
        </w:rPr>
      </w:pPr>
      <w:r>
        <w:rPr>
          <w:rFonts w:hint="eastAsia" w:ascii="宋体" w:hAnsi="宋体"/>
          <w:kern w:val="0"/>
          <w:sz w:val="24"/>
        </w:rPr>
        <w:t>本协议项下的基金管理人和基金托管人禁止行为如下：</w:t>
      </w:r>
    </w:p>
    <w:p w14:paraId="0AA06DEB">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（一）《基金法》第二十条、第三十八条禁止的行为。</w:t>
      </w:r>
    </w:p>
    <w:p w14:paraId="474E1767">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（二）除非法律法规及中国证监会另有规定，托管协议当事人不得用基金财产从事《基金法》第七十三条禁止的投资或活动。</w:t>
      </w:r>
    </w:p>
    <w:p w14:paraId="36041259">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（三）除《基金法》及其他有关法规、《基金合同》及中国证监会另有规定，基金管理人、基金托管人不得利用基金财产或职务之便为自身和任何人谋取利益。</w:t>
      </w:r>
    </w:p>
    <w:p w14:paraId="06C9978C">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（四）基金管理人与基金托管人对基金运作过程中任何尚未按有关法规规定的方式公开披露的信息，不得对他人泄露。</w:t>
      </w:r>
    </w:p>
    <w:p w14:paraId="735B7CAB">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（五）基金管理人不得在资金头寸不足的情况下，向基金托管人发送划款指令。</w:t>
      </w:r>
    </w:p>
    <w:p w14:paraId="26570F49">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（六）在资金头寸充足且为基金托管人执行指令留出足够时间的情况下，基金托管人对基金管理人符合法律法规、《基金合同》、本协议的指令不得拖延或拒绝执行。</w:t>
      </w:r>
    </w:p>
    <w:p w14:paraId="09CDD39C">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（七）除根据基金管理人指令或《基金合同》另有规定的，基金托管人不得动用或处分基金财产。</w:t>
      </w:r>
    </w:p>
    <w:p w14:paraId="10B3BFD6">
      <w:pPr>
        <w:tabs>
          <w:tab w:val="left" w:pos="3780"/>
        </w:tabs>
        <w:autoSpaceDE w:val="0"/>
        <w:autoSpaceDN w:val="0"/>
        <w:spacing w:before="156" w:beforeLines="50" w:after="156" w:afterLines="50" w:line="360" w:lineRule="auto"/>
        <w:ind w:firstLine="480" w:firstLineChars="200"/>
        <w:textAlignment w:val="bottom"/>
        <w:outlineLvl w:val="0"/>
        <w:rPr>
          <w:rFonts w:ascii="宋体"/>
          <w:bCs/>
          <w:sz w:val="24"/>
        </w:rPr>
      </w:pPr>
      <w:r>
        <w:rPr>
          <w:rFonts w:hint="eastAsia" w:ascii="宋体" w:hAnsi="宋体"/>
          <w:bCs/>
          <w:sz w:val="24"/>
        </w:rPr>
        <w:t>（八）基金管理人与基金托管人不得为同一机构，不得相互出资或者持有股份。基金托管人、基金管理人应在行政上、财务上互相独立，其高级基金管理人员或其他从业人员不得相互兼职。</w:t>
      </w:r>
    </w:p>
    <w:p w14:paraId="3D721A22">
      <w:pPr>
        <w:tabs>
          <w:tab w:val="left" w:pos="3780"/>
        </w:tabs>
        <w:autoSpaceDE w:val="0"/>
        <w:autoSpaceDN w:val="0"/>
        <w:spacing w:before="156" w:beforeLines="50" w:after="156" w:afterLines="50" w:line="360" w:lineRule="auto"/>
        <w:ind w:firstLine="480" w:firstLineChars="200"/>
        <w:textAlignment w:val="bottom"/>
        <w:outlineLvl w:val="0"/>
        <w:rPr>
          <w:rFonts w:ascii="宋体"/>
          <w:sz w:val="24"/>
        </w:rPr>
      </w:pPr>
      <w:r>
        <w:rPr>
          <w:rFonts w:hint="eastAsia" w:ascii="宋体" w:hAnsi="宋体"/>
          <w:sz w:val="24"/>
        </w:rPr>
        <w:t>（九）《基金合同》投资限制中禁止投资的行为。</w:t>
      </w:r>
    </w:p>
    <w:p w14:paraId="742C17FA">
      <w:pPr>
        <w:tabs>
          <w:tab w:val="left" w:pos="3780"/>
        </w:tabs>
        <w:autoSpaceDE w:val="0"/>
        <w:autoSpaceDN w:val="0"/>
        <w:spacing w:before="156" w:beforeLines="50" w:after="156" w:afterLines="50" w:line="360" w:lineRule="auto"/>
        <w:ind w:firstLine="480" w:firstLineChars="200"/>
        <w:textAlignment w:val="bottom"/>
        <w:outlineLvl w:val="0"/>
        <w:rPr>
          <w:rFonts w:ascii="宋体"/>
          <w:sz w:val="24"/>
        </w:rPr>
      </w:pPr>
      <w:r>
        <w:rPr>
          <w:rFonts w:hint="eastAsia" w:ascii="宋体" w:hAnsi="宋体"/>
          <w:sz w:val="24"/>
        </w:rPr>
        <w:t>（十）法律法规、《基金合同》和本协议禁止的其他行为。</w:t>
      </w:r>
    </w:p>
    <w:p w14:paraId="69AF2E31">
      <w:pPr>
        <w:tabs>
          <w:tab w:val="left" w:pos="3780"/>
        </w:tabs>
        <w:autoSpaceDE w:val="0"/>
        <w:autoSpaceDN w:val="0"/>
        <w:spacing w:before="156" w:beforeLines="50" w:after="156" w:afterLines="50" w:line="360" w:lineRule="auto"/>
        <w:ind w:firstLine="720" w:firstLineChars="300"/>
        <w:textAlignment w:val="bottom"/>
        <w:outlineLvl w:val="0"/>
        <w:rPr>
          <w:rFonts w:ascii="宋体"/>
          <w:sz w:val="24"/>
        </w:rPr>
      </w:pPr>
      <w:r>
        <w:rPr>
          <w:rFonts w:hint="eastAsia" w:ascii="宋体" w:hAnsi="宋体"/>
          <w:sz w:val="24"/>
        </w:rPr>
        <w:t>法律法规和监管部门取消或变更上述禁止性规定的，</w:t>
      </w:r>
      <w:r>
        <w:rPr>
          <w:rFonts w:hint="eastAsia"/>
          <w:bCs/>
          <w:sz w:val="24"/>
        </w:rPr>
        <w:t>基金管理人在履行适当程序后，</w:t>
      </w:r>
      <w:r>
        <w:rPr>
          <w:rFonts w:hint="eastAsia" w:ascii="宋体" w:hAnsi="宋体"/>
          <w:sz w:val="24"/>
        </w:rPr>
        <w:t>则本基金不受上述相关限制或以变更后的规定为准。</w:t>
      </w:r>
    </w:p>
    <w:p w14:paraId="7445786D">
      <w:pPr>
        <w:pStyle w:val="3"/>
        <w:jc w:val="center"/>
        <w:rPr>
          <w:sz w:val="30"/>
        </w:rPr>
      </w:pPr>
      <w:bookmarkStart w:id="137" w:name="_Toc291504144"/>
      <w:bookmarkStart w:id="138" w:name="_Toc430854312"/>
      <w:bookmarkStart w:id="139" w:name="_Toc125892452"/>
      <w:bookmarkStart w:id="140" w:name="_Toc17967"/>
      <w:bookmarkStart w:id="141" w:name="_Toc466788867"/>
      <w:bookmarkStart w:id="142" w:name="_Toc523830008"/>
      <w:bookmarkStart w:id="143" w:name="_Toc22454479"/>
      <w:r>
        <w:rPr>
          <w:rFonts w:hint="eastAsia"/>
          <w:sz w:val="30"/>
        </w:rPr>
        <w:t>十六、基金托管协议的变更、终止与基金财产的清算</w:t>
      </w:r>
      <w:bookmarkEnd w:id="137"/>
      <w:bookmarkEnd w:id="138"/>
      <w:bookmarkEnd w:id="139"/>
      <w:bookmarkEnd w:id="140"/>
    </w:p>
    <w:p w14:paraId="06802A49">
      <w:pPr>
        <w:tabs>
          <w:tab w:val="left" w:pos="3780"/>
        </w:tabs>
        <w:autoSpaceDE w:val="0"/>
        <w:autoSpaceDN w:val="0"/>
        <w:spacing w:before="156" w:beforeLines="50" w:after="156" w:afterLines="50" w:line="360" w:lineRule="auto"/>
        <w:textAlignment w:val="bottom"/>
        <w:outlineLvl w:val="0"/>
        <w:rPr>
          <w:rFonts w:ascii="宋体"/>
          <w:b/>
          <w:bCs/>
          <w:sz w:val="24"/>
        </w:rPr>
      </w:pPr>
      <w:bookmarkStart w:id="144" w:name="_Toc510842757"/>
      <w:r>
        <w:rPr>
          <w:rFonts w:hint="eastAsia" w:ascii="宋体" w:hAnsi="宋体"/>
          <w:b/>
          <w:bCs/>
          <w:sz w:val="24"/>
        </w:rPr>
        <w:t>（一）基金托管协议的变更</w:t>
      </w:r>
    </w:p>
    <w:bookmarkEnd w:id="144"/>
    <w:p w14:paraId="62041D91">
      <w:pPr>
        <w:spacing w:line="360" w:lineRule="auto"/>
        <w:ind w:firstLine="480" w:firstLineChars="200"/>
        <w:rPr>
          <w:rFonts w:ascii="宋体"/>
          <w:kern w:val="0"/>
          <w:sz w:val="24"/>
        </w:rPr>
      </w:pPr>
      <w:r>
        <w:rPr>
          <w:rFonts w:hint="eastAsia" w:ascii="宋体" w:hAnsi="宋体"/>
          <w:kern w:val="0"/>
          <w:sz w:val="24"/>
        </w:rPr>
        <w:t>本协议双方当事人经协商一致，可以对协议进行修改。修改后的新协议，其内容不得与《基金合同》的规定有任何冲突。修改后的新协议，应按法律法规报中国证监会备案。</w:t>
      </w:r>
    </w:p>
    <w:p w14:paraId="14C2E211">
      <w:pPr>
        <w:tabs>
          <w:tab w:val="left" w:pos="3780"/>
        </w:tabs>
        <w:autoSpaceDE w:val="0"/>
        <w:autoSpaceDN w:val="0"/>
        <w:spacing w:before="156" w:beforeLines="50" w:after="156" w:afterLines="50" w:line="360" w:lineRule="auto"/>
        <w:textAlignment w:val="bottom"/>
        <w:outlineLvl w:val="0"/>
        <w:rPr>
          <w:rFonts w:ascii="宋体"/>
          <w:b/>
          <w:bCs/>
          <w:sz w:val="24"/>
        </w:rPr>
      </w:pPr>
      <w:r>
        <w:rPr>
          <w:rFonts w:hint="eastAsia" w:ascii="宋体" w:hAnsi="宋体"/>
          <w:b/>
          <w:bCs/>
          <w:sz w:val="24"/>
        </w:rPr>
        <w:t>（二）基金托管协议的终止</w:t>
      </w:r>
    </w:p>
    <w:p w14:paraId="4547611B">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）《基金合同》终止；</w:t>
      </w:r>
    </w:p>
    <w:p w14:paraId="28894507">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）基金托管人解散、依法被撤销、破产，被依法取消基金托管资格或因其他事由造成其他基金托管人接管基金财产；</w:t>
      </w:r>
    </w:p>
    <w:p w14:paraId="03DBF838">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）基金管理人解散、依法被撤销、破产，被依法取消基金管理资格或因其他事由造成其他基金管理人接管基金管理业务；</w:t>
      </w:r>
    </w:p>
    <w:p w14:paraId="6E6F03D7">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4</w:t>
      </w:r>
      <w:r>
        <w:rPr>
          <w:rFonts w:hint="eastAsia" w:ascii="宋体" w:hAnsi="宋体"/>
          <w:kern w:val="0"/>
          <w:sz w:val="24"/>
        </w:rPr>
        <w:t>）发生《基金法》、《销售办法》、《运作办法》或其他法律法规规定的终止事项。</w:t>
      </w:r>
    </w:p>
    <w:p w14:paraId="343AB49E">
      <w:pPr>
        <w:spacing w:before="156" w:beforeLines="50" w:after="156" w:afterLines="50" w:line="360" w:lineRule="auto"/>
        <w:rPr>
          <w:b/>
          <w:sz w:val="24"/>
        </w:rPr>
      </w:pPr>
      <w:bookmarkStart w:id="145" w:name="_Hlk112966527"/>
      <w:r>
        <w:rPr>
          <w:rFonts w:hint="eastAsia"/>
          <w:b/>
          <w:sz w:val="24"/>
        </w:rPr>
        <w:t>（三）基金财产的清算</w:t>
      </w:r>
    </w:p>
    <w:p w14:paraId="782158EA">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1</w:t>
      </w:r>
      <w:r>
        <w:rPr>
          <w:rFonts w:hint="eastAsia" w:ascii="宋体" w:hAnsi="宋体"/>
          <w:kern w:val="0"/>
          <w:sz w:val="24"/>
        </w:rPr>
        <w:t>）基金财产清算小组</w:t>
      </w:r>
    </w:p>
    <w:p w14:paraId="52A277EB">
      <w:pPr>
        <w:spacing w:line="360" w:lineRule="auto"/>
        <w:ind w:left="1436" w:leftChars="528" w:hanging="328" w:hangingChars="137"/>
        <w:rPr>
          <w:rFonts w:ascii="宋体" w:hAnsi="宋体"/>
          <w:kern w:val="0"/>
          <w:sz w:val="24"/>
        </w:rPr>
      </w:pPr>
      <w:r>
        <w:rPr>
          <w:rFonts w:hint="eastAsia" w:ascii="宋体" w:hAnsi="宋体"/>
          <w:kern w:val="0"/>
          <w:sz w:val="24"/>
        </w:rPr>
        <w:t>1）基金财产清算小组：自出现《基金合同》终止事由之日起30个工作日内由基金管理人发起成立基金财产清算小组，基金管理人组织基金财产清算小组并在中国证监会的监督下进行基金清算。</w:t>
      </w:r>
    </w:p>
    <w:p w14:paraId="75435008">
      <w:pPr>
        <w:spacing w:line="360" w:lineRule="auto"/>
        <w:ind w:left="1436" w:leftChars="528" w:hanging="328" w:hangingChars="137"/>
        <w:rPr>
          <w:rFonts w:ascii="宋体" w:hAnsi="宋体"/>
          <w:kern w:val="0"/>
          <w:sz w:val="24"/>
        </w:rPr>
      </w:pPr>
      <w:r>
        <w:rPr>
          <w:rFonts w:hint="eastAsia" w:ascii="宋体" w:hAnsi="宋体"/>
          <w:kern w:val="0"/>
          <w:sz w:val="24"/>
        </w:rPr>
        <w:t>2）在基金财产清算小组接管基金财产之前，基金管理人和基金托管人应按照《基金合同》和托管协议的规定继续履行保护基金财产安全的职责。</w:t>
      </w:r>
    </w:p>
    <w:p w14:paraId="7C450EFC">
      <w:pPr>
        <w:spacing w:line="360" w:lineRule="auto"/>
        <w:ind w:left="1436" w:leftChars="528" w:hanging="328" w:hangingChars="137"/>
        <w:rPr>
          <w:rFonts w:ascii="宋体" w:hAnsi="宋体"/>
          <w:kern w:val="0"/>
          <w:sz w:val="24"/>
        </w:rPr>
      </w:pPr>
      <w:r>
        <w:rPr>
          <w:rFonts w:ascii="宋体" w:hAnsi="宋体"/>
          <w:kern w:val="0"/>
          <w:sz w:val="24"/>
        </w:rPr>
        <w:t>3</w:t>
      </w:r>
      <w:r>
        <w:rPr>
          <w:rFonts w:hint="eastAsia" w:ascii="宋体" w:hAnsi="宋体"/>
          <w:kern w:val="0"/>
          <w:sz w:val="24"/>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D475AA8">
      <w:pPr>
        <w:spacing w:line="360" w:lineRule="auto"/>
        <w:ind w:left="1436" w:leftChars="528" w:hanging="328" w:hangingChars="137"/>
        <w:rPr>
          <w:rFonts w:ascii="宋体"/>
          <w:kern w:val="0"/>
          <w:sz w:val="24"/>
        </w:rPr>
      </w:pPr>
      <w:r>
        <w:rPr>
          <w:rFonts w:ascii="宋体"/>
          <w:kern w:val="0"/>
          <w:sz w:val="24"/>
        </w:rPr>
        <w:t>4</w:t>
      </w:r>
      <w:r>
        <w:rPr>
          <w:rFonts w:hint="eastAsia" w:ascii="宋体" w:hAnsi="宋体"/>
          <w:kern w:val="0"/>
          <w:sz w:val="24"/>
        </w:rPr>
        <w:t>）</w:t>
      </w:r>
      <w:r>
        <w:rPr>
          <w:rFonts w:hint="eastAsia" w:ascii="宋体"/>
          <w:kern w:val="0"/>
          <w:sz w:val="24"/>
        </w:rPr>
        <w:t>基金财产清算小组职责：基金财产清算小组负责基金财产的保管、清理、估价、变现和分配。基金财产清算小组可以依法进行必要的民事活动。</w:t>
      </w:r>
    </w:p>
    <w:p w14:paraId="363FD7BA">
      <w:pPr>
        <w:spacing w:line="360" w:lineRule="auto"/>
        <w:ind w:left="1436" w:leftChars="528" w:hanging="328" w:hangingChars="137"/>
        <w:rPr>
          <w:rFonts w:ascii="宋体"/>
          <w:kern w:val="0"/>
          <w:sz w:val="24"/>
        </w:rPr>
      </w:pPr>
      <w:r>
        <w:rPr>
          <w:rFonts w:ascii="宋体"/>
          <w:kern w:val="0"/>
          <w:sz w:val="24"/>
        </w:rPr>
        <w:t>5</w:t>
      </w:r>
      <w:bookmarkStart w:id="146" w:name="_Hlk112755314"/>
      <w:r>
        <w:rPr>
          <w:rFonts w:hint="eastAsia" w:ascii="宋体" w:hAnsi="宋体"/>
          <w:kern w:val="0"/>
          <w:sz w:val="24"/>
        </w:rPr>
        <w:t>）</w:t>
      </w:r>
      <w:r>
        <w:rPr>
          <w:rFonts w:hint="eastAsia" w:ascii="宋体"/>
          <w:kern w:val="0"/>
          <w:sz w:val="24"/>
        </w:rPr>
        <w:t>在基金财产清算过程中，基金管理人和基金托管人应各自履行职责，继续忠实、勤勉、尽责地履行基金合同和托管协议规定的义务，维护基金份额持有人的合法权益。</w:t>
      </w:r>
      <w:bookmarkEnd w:id="146"/>
    </w:p>
    <w:p w14:paraId="05BEC362">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2</w:t>
      </w:r>
      <w:r>
        <w:rPr>
          <w:rFonts w:hint="eastAsia" w:ascii="宋体" w:hAnsi="宋体"/>
          <w:kern w:val="0"/>
          <w:sz w:val="24"/>
        </w:rPr>
        <w:t>）基金财产清算程序</w:t>
      </w:r>
    </w:p>
    <w:p w14:paraId="65EFB402">
      <w:pPr>
        <w:spacing w:line="360" w:lineRule="auto"/>
        <w:ind w:left="1436" w:leftChars="528" w:hanging="328" w:hangingChars="137"/>
        <w:rPr>
          <w:rFonts w:ascii="宋体" w:hAnsi="宋体"/>
          <w:kern w:val="0"/>
          <w:sz w:val="24"/>
        </w:rPr>
      </w:pPr>
      <w:r>
        <w:rPr>
          <w:rFonts w:hint="eastAsia" w:ascii="宋体" w:hAnsi="宋体"/>
          <w:kern w:val="0"/>
          <w:sz w:val="24"/>
        </w:rPr>
        <w:t>1）《基金合同》终止情形出现时，由基金财产清算小组统一接管基金；</w:t>
      </w:r>
    </w:p>
    <w:p w14:paraId="4A3B543B">
      <w:pPr>
        <w:spacing w:line="360" w:lineRule="auto"/>
        <w:ind w:left="1436" w:leftChars="528" w:hanging="328" w:hangingChars="137"/>
        <w:rPr>
          <w:rFonts w:ascii="宋体" w:hAnsi="宋体"/>
          <w:kern w:val="0"/>
          <w:sz w:val="24"/>
        </w:rPr>
      </w:pPr>
      <w:r>
        <w:rPr>
          <w:rFonts w:hint="eastAsia" w:ascii="宋体" w:hAnsi="宋体"/>
          <w:kern w:val="0"/>
          <w:sz w:val="24"/>
        </w:rPr>
        <w:t>2）对基金财产和债权债务进行清理和确认；</w:t>
      </w:r>
    </w:p>
    <w:p w14:paraId="69D25B71">
      <w:pPr>
        <w:spacing w:line="360" w:lineRule="auto"/>
        <w:ind w:left="1436" w:leftChars="528" w:hanging="328" w:hangingChars="137"/>
        <w:rPr>
          <w:rFonts w:ascii="宋体" w:hAnsi="宋体"/>
          <w:kern w:val="0"/>
          <w:sz w:val="24"/>
        </w:rPr>
      </w:pPr>
      <w:r>
        <w:rPr>
          <w:rFonts w:hint="eastAsia" w:ascii="宋体" w:hAnsi="宋体"/>
          <w:kern w:val="0"/>
          <w:sz w:val="24"/>
        </w:rPr>
        <w:t>3）对基金财产进行估值和变现；</w:t>
      </w:r>
    </w:p>
    <w:p w14:paraId="6D6CC6D9">
      <w:pPr>
        <w:spacing w:line="360" w:lineRule="auto"/>
        <w:ind w:left="1436" w:leftChars="528" w:hanging="328" w:hangingChars="137"/>
        <w:rPr>
          <w:rFonts w:ascii="宋体" w:hAnsi="宋体"/>
          <w:kern w:val="0"/>
          <w:sz w:val="24"/>
        </w:rPr>
      </w:pPr>
      <w:r>
        <w:rPr>
          <w:rFonts w:hint="eastAsia" w:ascii="宋体" w:hAnsi="宋体"/>
          <w:kern w:val="0"/>
          <w:sz w:val="24"/>
        </w:rPr>
        <w:t>4）制作清算报告；</w:t>
      </w:r>
    </w:p>
    <w:p w14:paraId="3E95A4D5">
      <w:pPr>
        <w:spacing w:line="360" w:lineRule="auto"/>
        <w:ind w:left="1436" w:leftChars="528" w:hanging="328" w:hangingChars="137"/>
        <w:rPr>
          <w:rFonts w:ascii="宋体" w:hAnsi="宋体"/>
          <w:kern w:val="0"/>
          <w:sz w:val="24"/>
        </w:rPr>
      </w:pPr>
      <w:r>
        <w:rPr>
          <w:rFonts w:hint="eastAsia" w:ascii="宋体" w:hAnsi="宋体"/>
          <w:kern w:val="0"/>
          <w:sz w:val="24"/>
        </w:rPr>
        <w:t>5）聘请会计师事务所对清算报告进行外部审计，聘请律师事务所对清算报告出具法律意见书；</w:t>
      </w:r>
    </w:p>
    <w:p w14:paraId="651DF173">
      <w:pPr>
        <w:spacing w:line="360" w:lineRule="auto"/>
        <w:ind w:left="1436" w:leftChars="528" w:hanging="328" w:hangingChars="137"/>
        <w:rPr>
          <w:rFonts w:ascii="宋体" w:hAnsi="宋体"/>
          <w:kern w:val="0"/>
          <w:sz w:val="24"/>
        </w:rPr>
      </w:pPr>
      <w:r>
        <w:rPr>
          <w:rFonts w:hint="eastAsia" w:ascii="宋体" w:hAnsi="宋体"/>
          <w:kern w:val="0"/>
          <w:sz w:val="24"/>
        </w:rPr>
        <w:t>6）将清算报告报中国证监会备案并公告；</w:t>
      </w:r>
    </w:p>
    <w:p w14:paraId="2C5C00D1">
      <w:pPr>
        <w:spacing w:line="360" w:lineRule="auto"/>
        <w:ind w:left="1436" w:leftChars="528" w:hanging="328" w:hangingChars="137"/>
        <w:rPr>
          <w:rFonts w:ascii="宋体" w:hAnsi="宋体"/>
          <w:kern w:val="0"/>
          <w:sz w:val="24"/>
        </w:rPr>
      </w:pPr>
      <w:r>
        <w:rPr>
          <w:rFonts w:hint="eastAsia" w:ascii="宋体" w:hAnsi="宋体"/>
          <w:kern w:val="0"/>
          <w:sz w:val="24"/>
        </w:rPr>
        <w:t>7）对基金剩余财产进行分配。</w:t>
      </w:r>
    </w:p>
    <w:p w14:paraId="2F019764">
      <w:pPr>
        <w:spacing w:line="360" w:lineRule="auto"/>
        <w:ind w:firstLine="480" w:firstLineChars="200"/>
        <w:rPr>
          <w:rFonts w:ascii="宋体" w:hAnsi="宋体"/>
          <w:kern w:val="0"/>
          <w:sz w:val="24"/>
        </w:rPr>
      </w:pPr>
      <w:r>
        <w:rPr>
          <w:rFonts w:ascii="宋体" w:hAnsi="宋体"/>
          <w:bCs/>
          <w:kern w:val="0"/>
          <w:sz w:val="24"/>
        </w:rPr>
        <w:t>基金财产清算的期限为</w:t>
      </w:r>
      <w:r>
        <w:rPr>
          <w:rFonts w:hint="eastAsia" w:ascii="宋体" w:hAnsi="宋体"/>
          <w:bCs/>
          <w:kern w:val="0"/>
          <w:sz w:val="24"/>
        </w:rPr>
        <w:t>6</w:t>
      </w:r>
      <w:r>
        <w:rPr>
          <w:rFonts w:ascii="宋体" w:hAnsi="宋体"/>
          <w:bCs/>
          <w:kern w:val="0"/>
          <w:sz w:val="24"/>
        </w:rPr>
        <w:t>个月</w:t>
      </w:r>
      <w:r>
        <w:rPr>
          <w:rFonts w:hint="eastAsia" w:ascii="宋体" w:hAnsi="宋体"/>
          <w:bCs/>
          <w:kern w:val="0"/>
          <w:sz w:val="24"/>
        </w:rPr>
        <w:t>，但因本基金所持证券的流动性受到限制而不能及时变现的，清算期限可相应顺延</w:t>
      </w:r>
      <w:r>
        <w:rPr>
          <w:rFonts w:ascii="宋体" w:hAnsi="宋体"/>
          <w:bCs/>
          <w:kern w:val="0"/>
          <w:sz w:val="24"/>
        </w:rPr>
        <w:t>。</w:t>
      </w:r>
    </w:p>
    <w:p w14:paraId="4600BCDF">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）清算费用</w:t>
      </w:r>
    </w:p>
    <w:p w14:paraId="23C634E2">
      <w:pPr>
        <w:spacing w:line="360" w:lineRule="auto"/>
        <w:ind w:firstLine="480" w:firstLineChars="200"/>
        <w:rPr>
          <w:rFonts w:ascii="宋体"/>
          <w:kern w:val="0"/>
          <w:sz w:val="24"/>
        </w:rPr>
      </w:pPr>
      <w:r>
        <w:rPr>
          <w:rFonts w:hint="eastAsia" w:ascii="宋体" w:hAnsi="宋体"/>
          <w:kern w:val="0"/>
          <w:sz w:val="24"/>
        </w:rPr>
        <w:t>清算费用是指基金财产清算小组在进行基金清算过程中发生的所有合理费用，清算费用由基金财产清算小组优先从基金剩余财产中支付。</w:t>
      </w:r>
    </w:p>
    <w:p w14:paraId="3BB77CCF">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4</w:t>
      </w:r>
      <w:r>
        <w:rPr>
          <w:rFonts w:hint="eastAsia" w:ascii="宋体" w:hAnsi="宋体"/>
          <w:kern w:val="0"/>
          <w:sz w:val="24"/>
        </w:rPr>
        <w:t>）基金剩余财产的分配</w:t>
      </w:r>
    </w:p>
    <w:p w14:paraId="0FEB0097">
      <w:pPr>
        <w:spacing w:line="360" w:lineRule="auto"/>
        <w:ind w:firstLine="480" w:firstLineChars="200"/>
        <w:rPr>
          <w:rFonts w:ascii="宋体" w:hAnsi="宋体"/>
          <w:kern w:val="0"/>
          <w:sz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依据基金财产清算的分配方案，将基金财产清算后的全部剩余资产扣除基金财产清算费用、交纳所欠税款并清偿基金债务后，按基金份额持有人持有的各类基金份额比例进行分配。</w:t>
      </w:r>
    </w:p>
    <w:p w14:paraId="02DB370B">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5</w:t>
      </w:r>
      <w:r>
        <w:rPr>
          <w:rFonts w:hint="eastAsia" w:ascii="宋体" w:hAnsi="宋体"/>
          <w:kern w:val="0"/>
          <w:sz w:val="24"/>
        </w:rPr>
        <w:t>）基金财产清算的公告</w:t>
      </w:r>
    </w:p>
    <w:p w14:paraId="5A66490C">
      <w:pPr>
        <w:spacing w:line="360" w:lineRule="auto"/>
        <w:ind w:firstLine="480" w:firstLineChars="200"/>
        <w:rPr>
          <w:rFonts w:hint="eastAsia" w:ascii="宋体" w:hAnsi="宋体"/>
          <w:kern w:val="0"/>
          <w:sz w:val="24"/>
        </w:rPr>
      </w:pPr>
      <w:r>
        <w:rPr>
          <w:rFonts w:hint="eastAsia" w:ascii="宋体" w:hAnsi="宋体"/>
          <w:kern w:val="0"/>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A002F50">
      <w:pPr>
        <w:spacing w:line="360" w:lineRule="auto"/>
        <w:ind w:firstLine="480" w:firstLineChars="200"/>
        <w:rPr>
          <w:rFonts w:ascii="宋体"/>
          <w:kern w:val="0"/>
          <w:sz w:val="24"/>
        </w:rPr>
      </w:pPr>
      <w:r>
        <w:rPr>
          <w:rFonts w:hint="eastAsia" w:ascii="宋体" w:hAnsi="宋体"/>
          <w:kern w:val="0"/>
          <w:sz w:val="24"/>
        </w:rPr>
        <w:t>（</w:t>
      </w:r>
      <w:r>
        <w:rPr>
          <w:rFonts w:ascii="宋体" w:hAnsi="宋体"/>
          <w:kern w:val="0"/>
          <w:sz w:val="24"/>
        </w:rPr>
        <w:t>6</w:t>
      </w:r>
      <w:r>
        <w:rPr>
          <w:rFonts w:hint="eastAsia" w:ascii="宋体" w:hAnsi="宋体"/>
          <w:kern w:val="0"/>
          <w:sz w:val="24"/>
        </w:rPr>
        <w:t>）基金财产清算账册及文件的保存</w:t>
      </w:r>
    </w:p>
    <w:p w14:paraId="51D9C91F">
      <w:pPr>
        <w:spacing w:line="360" w:lineRule="auto"/>
        <w:ind w:firstLine="480" w:firstLineChars="200"/>
        <w:rPr>
          <w:rFonts w:ascii="宋体"/>
          <w:kern w:val="0"/>
          <w:sz w:val="24"/>
        </w:rPr>
      </w:pPr>
      <w:bookmarkStart w:id="147" w:name="_Toc125892453"/>
      <w:r>
        <w:rPr>
          <w:rFonts w:hint="eastAsia" w:ascii="宋体" w:hAnsi="宋体"/>
          <w:kern w:val="0"/>
          <w:sz w:val="24"/>
        </w:rPr>
        <w:t>基金财产清算账册及有关文件由基金托管人保存，保存期限不低于法律法规规定的最低期限。</w:t>
      </w:r>
    </w:p>
    <w:bookmarkEnd w:id="145"/>
    <w:p w14:paraId="67DEB7CC">
      <w:pPr>
        <w:pStyle w:val="3"/>
        <w:jc w:val="center"/>
        <w:rPr>
          <w:sz w:val="30"/>
        </w:rPr>
      </w:pPr>
      <w:bookmarkStart w:id="148" w:name="_Toc430854313"/>
      <w:bookmarkStart w:id="149" w:name="_Toc291504145"/>
      <w:bookmarkStart w:id="150" w:name="_Toc15149"/>
      <w:r>
        <w:rPr>
          <w:rFonts w:hint="eastAsia"/>
          <w:sz w:val="30"/>
        </w:rPr>
        <w:t>十七、违约责任</w:t>
      </w:r>
      <w:bookmarkEnd w:id="141"/>
      <w:bookmarkEnd w:id="142"/>
      <w:bookmarkEnd w:id="143"/>
      <w:bookmarkEnd w:id="147"/>
      <w:bookmarkEnd w:id="148"/>
      <w:bookmarkEnd w:id="149"/>
      <w:bookmarkEnd w:id="150"/>
    </w:p>
    <w:p w14:paraId="3080789B">
      <w:pPr>
        <w:spacing w:before="156" w:beforeLines="50" w:after="156" w:afterLines="50" w:line="360" w:lineRule="auto"/>
        <w:rPr>
          <w:sz w:val="24"/>
        </w:rPr>
      </w:pPr>
      <w:r>
        <w:rPr>
          <w:rFonts w:hint="eastAsia"/>
          <w:sz w:val="24"/>
        </w:rPr>
        <w:t>（一）基金管理人或基金托管人不履行本协议或履行本协议不符合约定的，应当承担违约责任。</w:t>
      </w:r>
    </w:p>
    <w:p w14:paraId="40AD9F41">
      <w:pPr>
        <w:spacing w:before="156" w:beforeLines="50" w:after="156" w:afterLines="50" w:line="360" w:lineRule="auto"/>
        <w:rPr>
          <w:sz w:val="24"/>
        </w:rPr>
      </w:pPr>
      <w:r>
        <w:rPr>
          <w:rFonts w:hint="eastAsia"/>
          <w:sz w:val="24"/>
        </w:rPr>
        <w:t>（二）</w:t>
      </w:r>
      <w:bookmarkStart w:id="151" w:name="OLE_LINK3"/>
      <w:r>
        <w:rPr>
          <w:rFonts w:hint="eastAsia"/>
          <w:sz w:val="24"/>
        </w:rPr>
        <w:t>基金管理人、基金托管人在履行各自职责的过程中，违反《基金法》等法律法规的规定或者本托管协议约定，给基金财产或者基金份额持有人造成损害的，应当分别对各自的行为依法承担赔偿责任；因共同行为给基金财产或者基金份额持有人造成损害的，应当承担连带赔偿责任，对损失的赔偿，仅限于直接经济损失。</w:t>
      </w:r>
      <w:bookmarkEnd w:id="151"/>
      <w:r>
        <w:rPr>
          <w:rFonts w:hint="eastAsia"/>
          <w:sz w:val="24"/>
        </w:rPr>
        <w:t>但是发生下列情况，当事人免责：</w:t>
      </w:r>
    </w:p>
    <w:p w14:paraId="0AA0FA39">
      <w:pPr>
        <w:spacing w:line="360" w:lineRule="auto"/>
        <w:ind w:firstLine="480" w:firstLineChars="200"/>
        <w:rPr>
          <w:rFonts w:ascii="宋体" w:hAnsi="宋体"/>
          <w:bCs/>
          <w:kern w:val="0"/>
          <w:sz w:val="24"/>
        </w:rPr>
      </w:pPr>
      <w:r>
        <w:rPr>
          <w:rFonts w:hint="eastAsia" w:ascii="宋体" w:hAnsi="宋体"/>
          <w:bCs/>
          <w:kern w:val="0"/>
          <w:sz w:val="24"/>
        </w:rPr>
        <w:t>1、基金管理人和/或基金托管人按照当时有效的法律法规或中国证监会的规定作为或不作为而造成的损失等；</w:t>
      </w:r>
    </w:p>
    <w:p w14:paraId="1F7E7642">
      <w:pPr>
        <w:spacing w:line="360" w:lineRule="auto"/>
        <w:ind w:firstLine="480" w:firstLineChars="200"/>
        <w:rPr>
          <w:rFonts w:ascii="宋体" w:hAnsi="宋体"/>
          <w:bCs/>
          <w:kern w:val="0"/>
          <w:sz w:val="24"/>
        </w:rPr>
      </w:pPr>
      <w:r>
        <w:rPr>
          <w:rFonts w:hint="eastAsia" w:ascii="宋体" w:hAnsi="宋体"/>
          <w:bCs/>
          <w:kern w:val="0"/>
          <w:sz w:val="24"/>
        </w:rPr>
        <w:t>2、基金管理人由于按照《基金合同》规定的投资原则</w:t>
      </w:r>
      <w:r>
        <w:rPr>
          <w:rFonts w:hint="eastAsia"/>
          <w:sz w:val="24"/>
        </w:rPr>
        <w:t>行使或不行使其投资权而</w:t>
      </w:r>
      <w:r>
        <w:rPr>
          <w:rFonts w:hint="eastAsia" w:ascii="宋体" w:hAnsi="宋体"/>
          <w:bCs/>
          <w:kern w:val="0"/>
          <w:sz w:val="24"/>
        </w:rPr>
        <w:t>造成的损失等；</w:t>
      </w:r>
      <w:r>
        <w:rPr>
          <w:rFonts w:ascii="宋体" w:hAnsi="宋体"/>
          <w:bCs/>
          <w:kern w:val="0"/>
          <w:sz w:val="24"/>
        </w:rPr>
        <w:t xml:space="preserve"> </w:t>
      </w:r>
    </w:p>
    <w:p w14:paraId="3319FEBF">
      <w:pPr>
        <w:spacing w:line="360" w:lineRule="auto"/>
        <w:ind w:firstLine="480" w:firstLineChars="200"/>
        <w:rPr>
          <w:rFonts w:hint="eastAsia" w:ascii="宋体" w:hAnsi="宋体"/>
          <w:bCs/>
          <w:kern w:val="0"/>
          <w:sz w:val="24"/>
        </w:rPr>
      </w:pPr>
      <w:r>
        <w:rPr>
          <w:rFonts w:hint="eastAsia" w:ascii="宋体" w:hAnsi="宋体"/>
          <w:bCs/>
          <w:kern w:val="0"/>
          <w:sz w:val="24"/>
        </w:rPr>
        <w:t>3、不可抗力；</w:t>
      </w:r>
    </w:p>
    <w:p w14:paraId="2E465868">
      <w:pPr>
        <w:spacing w:line="360" w:lineRule="auto"/>
        <w:ind w:firstLine="480" w:firstLineChars="200"/>
      </w:pPr>
      <w:r>
        <w:rPr>
          <w:rFonts w:hint="eastAsia" w:ascii="宋体" w:hAnsi="宋体"/>
          <w:bCs/>
          <w:kern w:val="0"/>
          <w:sz w:val="24"/>
        </w:rPr>
        <w:t>4、基金</w:t>
      </w:r>
      <w:r>
        <w:rPr>
          <w:rFonts w:hint="eastAsia" w:ascii="宋体" w:hAnsi="宋体"/>
          <w:bCs/>
          <w:kern w:val="0"/>
          <w:sz w:val="24"/>
        </w:rPr>
        <w:t>托管人应主要从第三方机构获取可靠数据进行会计核算。对于部分场外交易、费用及非交易数据等完全依赖</w:t>
      </w:r>
      <w:r>
        <w:rPr>
          <w:rFonts w:hint="eastAsia" w:ascii="宋体" w:hAnsi="宋体"/>
          <w:bCs/>
          <w:kern w:val="0"/>
          <w:sz w:val="24"/>
        </w:rPr>
        <w:t>基金</w:t>
      </w:r>
      <w:r>
        <w:rPr>
          <w:rFonts w:hint="eastAsia" w:ascii="宋体" w:hAnsi="宋体"/>
          <w:bCs/>
          <w:kern w:val="0"/>
          <w:sz w:val="24"/>
        </w:rPr>
        <w:t>管理人提供且无法从其他渠道获取可靠数据的情形，</w:t>
      </w:r>
      <w:r>
        <w:rPr>
          <w:rFonts w:hint="eastAsia" w:ascii="宋体" w:hAnsi="宋体"/>
          <w:bCs/>
          <w:kern w:val="0"/>
          <w:sz w:val="24"/>
        </w:rPr>
        <w:t>基金</w:t>
      </w:r>
      <w:r>
        <w:rPr>
          <w:rFonts w:hint="eastAsia" w:ascii="宋体" w:hAnsi="宋体"/>
          <w:bCs/>
          <w:kern w:val="0"/>
          <w:sz w:val="24"/>
        </w:rPr>
        <w:t>托管人不承担由此导致的责任或损失。</w:t>
      </w:r>
    </w:p>
    <w:p w14:paraId="6CD3E16B">
      <w:pPr>
        <w:spacing w:line="360" w:lineRule="auto"/>
        <w:ind w:firstLine="480" w:firstLineChars="200"/>
        <w:rPr>
          <w:rFonts w:ascii="宋体"/>
          <w:kern w:val="0"/>
          <w:sz w:val="24"/>
        </w:rPr>
      </w:pPr>
      <w:r>
        <w:rPr>
          <w:rFonts w:hint="eastAsia" w:ascii="宋体" w:hAnsi="宋体"/>
          <w:kern w:val="0"/>
          <w:sz w:val="24"/>
        </w:rPr>
        <w:t>如果由于本协议一方当事人（“违约方”）的违约行为给基金资产或基金投资者造成损失，而另一方当事人（“非违约方”）赔偿了基金资产或基金投资者的损失，则非违约方有权向违约方追索由此遭受的所有直接损失。</w:t>
      </w:r>
    </w:p>
    <w:p w14:paraId="330C09A7">
      <w:pPr>
        <w:spacing w:line="360" w:lineRule="auto"/>
        <w:ind w:firstLine="480" w:firstLineChars="200"/>
        <w:rPr>
          <w:rFonts w:ascii="宋体"/>
          <w:kern w:val="0"/>
          <w:sz w:val="24"/>
        </w:rPr>
      </w:pPr>
      <w:r>
        <w:rPr>
          <w:rFonts w:hint="eastAsia" w:ascii="宋体" w:hAnsi="宋体"/>
          <w:kern w:val="0"/>
          <w:sz w:val="24"/>
        </w:rPr>
        <w:t>一方当事人违约，非违约方在职责范围内有义务及时采取必要的措施，尽力防止损失的扩大。没有采取适当措施致使损失进一步扩大的，不得就扩大的损失要求赔偿。非违约方因防止损失扩大而支出的合理费用由违约方承担。</w:t>
      </w:r>
    </w:p>
    <w:p w14:paraId="5DD22B00">
      <w:pPr>
        <w:spacing w:line="360" w:lineRule="auto"/>
        <w:ind w:firstLine="480" w:firstLineChars="200"/>
        <w:rPr>
          <w:rFonts w:ascii="宋体"/>
          <w:kern w:val="0"/>
          <w:sz w:val="24"/>
        </w:rPr>
      </w:pPr>
      <w:bookmarkStart w:id="152" w:name="_Hlk112966854"/>
      <w:r>
        <w:rPr>
          <w:rFonts w:hint="eastAsia" w:ascii="宋体" w:hAnsi="宋体"/>
          <w:kern w:val="0"/>
          <w:sz w:val="24"/>
        </w:rPr>
        <w:t>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bookmarkEnd w:id="152"/>
      <w:r>
        <w:rPr>
          <w:rFonts w:hint="eastAsia" w:ascii="宋体" w:hAnsi="宋体"/>
          <w:kern w:val="0"/>
          <w:sz w:val="24"/>
        </w:rPr>
        <w:t>。</w:t>
      </w:r>
    </w:p>
    <w:p w14:paraId="3E2E4A23">
      <w:pPr>
        <w:spacing w:before="156" w:beforeLines="50" w:after="156" w:afterLines="50" w:line="360" w:lineRule="auto"/>
        <w:rPr>
          <w:sz w:val="24"/>
        </w:rPr>
      </w:pPr>
      <w:r>
        <w:rPr>
          <w:rFonts w:hint="eastAsia"/>
          <w:sz w:val="24"/>
        </w:rPr>
        <w:t>（三）托管协议当事人违反托管协议，给另一方当事人造成损失的，应承担赔偿责任。</w:t>
      </w:r>
    </w:p>
    <w:p w14:paraId="55866BDC">
      <w:pPr>
        <w:spacing w:before="156" w:beforeLines="50" w:after="156" w:afterLines="50" w:line="360" w:lineRule="auto"/>
        <w:rPr>
          <w:sz w:val="24"/>
        </w:rPr>
      </w:pPr>
      <w:r>
        <w:rPr>
          <w:rFonts w:hint="eastAsia"/>
          <w:sz w:val="24"/>
        </w:rPr>
        <w:t>（四）违约行为虽已发生，但本托管协议能够继续履行的，在最大限度地保护基金份额持有人利益的前提下，基金管理人和基金托管人应当继续履行本协议。</w:t>
      </w:r>
      <w:bookmarkStart w:id="153" w:name="_Toc466788868"/>
      <w:bookmarkStart w:id="154" w:name="_Toc523830010"/>
      <w:bookmarkStart w:id="155" w:name="_Toc22454480"/>
      <w:bookmarkStart w:id="156" w:name="_Toc125892454"/>
    </w:p>
    <w:p w14:paraId="3E831F34">
      <w:pPr>
        <w:spacing w:before="156" w:beforeLines="50" w:after="156" w:afterLines="50" w:line="360" w:lineRule="auto"/>
        <w:rPr>
          <w:b/>
          <w:sz w:val="24"/>
        </w:rPr>
      </w:pPr>
      <w:r>
        <w:rPr>
          <w:rFonts w:hint="eastAsia"/>
          <w:sz w:val="24"/>
        </w:rPr>
        <w:t>（五）本协议所指损失均为直接经济损失。</w:t>
      </w:r>
    </w:p>
    <w:p w14:paraId="5FE0F358">
      <w:pPr>
        <w:pStyle w:val="3"/>
        <w:jc w:val="center"/>
        <w:rPr>
          <w:sz w:val="30"/>
        </w:rPr>
      </w:pPr>
      <w:bookmarkStart w:id="157" w:name="_Toc291504146"/>
      <w:bookmarkStart w:id="158" w:name="_Toc430854314"/>
      <w:bookmarkStart w:id="159" w:name="_Toc27985"/>
      <w:r>
        <w:rPr>
          <w:rFonts w:hint="eastAsia"/>
          <w:sz w:val="30"/>
        </w:rPr>
        <w:t>十八、争议</w:t>
      </w:r>
      <w:bookmarkEnd w:id="153"/>
      <w:bookmarkEnd w:id="154"/>
      <w:bookmarkEnd w:id="155"/>
      <w:r>
        <w:rPr>
          <w:rFonts w:hint="eastAsia"/>
          <w:sz w:val="30"/>
        </w:rPr>
        <w:t>解决方式</w:t>
      </w:r>
      <w:bookmarkEnd w:id="156"/>
      <w:bookmarkEnd w:id="157"/>
      <w:bookmarkEnd w:id="158"/>
      <w:bookmarkEnd w:id="159"/>
    </w:p>
    <w:p w14:paraId="072FCD30">
      <w:pPr>
        <w:spacing w:line="360" w:lineRule="auto"/>
        <w:ind w:firstLine="480" w:firstLineChars="200"/>
        <w:rPr>
          <w:rFonts w:ascii="宋体"/>
          <w:b/>
          <w:bCs w:val="0"/>
          <w:i/>
          <w:iCs w:val="0"/>
          <w:kern w:val="0"/>
          <w:sz w:val="24"/>
        </w:rPr>
      </w:pPr>
      <w:r>
        <w:rPr>
          <w:rFonts w:hint="eastAsia" w:ascii="宋体" w:hAnsi="宋体"/>
          <w:b/>
          <w:bCs w:val="0"/>
          <w:i/>
          <w:iCs w:val="0"/>
          <w:kern w:val="0"/>
          <w:sz w:val="24"/>
        </w:rPr>
        <w:t>双方当事人同意，因本协议而产生的或与本协议有关的一切争议，应通过友好协商或者调解解决。托管协议当事人不愿通过协商、调解解决或者协商、调解不成的，任何一方当事人均有权将争议提交</w:t>
      </w:r>
      <w:r>
        <w:rPr>
          <w:rFonts w:hint="eastAsia"/>
          <w:b/>
          <w:bCs w:val="0"/>
          <w:i/>
          <w:iCs w:val="0"/>
          <w:sz w:val="24"/>
        </w:rPr>
        <w:t>深圳国际仲裁院（深圳仲裁委员会）</w:t>
      </w:r>
      <w:r>
        <w:rPr>
          <w:rFonts w:hint="eastAsia" w:ascii="宋体" w:hAnsi="宋体"/>
          <w:b/>
          <w:bCs w:val="0"/>
          <w:i/>
          <w:iCs w:val="0"/>
          <w:kern w:val="0"/>
          <w:sz w:val="24"/>
        </w:rPr>
        <w:t>，根据该会当时有效的仲裁规则进行仲裁，仲裁的地点在深圳市，仲裁裁决是终局的，并对双方当事人均有约束力。除非仲裁裁决另有决定，仲裁费、律师费用由败诉方承担。</w:t>
      </w:r>
    </w:p>
    <w:p w14:paraId="2EABC3B6">
      <w:pPr>
        <w:spacing w:line="360" w:lineRule="auto"/>
        <w:ind w:firstLine="480" w:firstLineChars="200"/>
        <w:rPr>
          <w:rFonts w:ascii="宋体"/>
          <w:b/>
          <w:bCs w:val="0"/>
          <w:i/>
          <w:iCs w:val="0"/>
          <w:kern w:val="0"/>
          <w:sz w:val="24"/>
        </w:rPr>
      </w:pPr>
      <w:r>
        <w:rPr>
          <w:rFonts w:hint="eastAsia" w:ascii="宋体" w:hAnsi="宋体"/>
          <w:b/>
          <w:bCs w:val="0"/>
          <w:i/>
          <w:iCs w:val="0"/>
          <w:kern w:val="0"/>
          <w:sz w:val="24"/>
        </w:rPr>
        <w:t>争议处理期间，双方当事人应恪守基金管理人和基金托管人职责，继续忠实、勤勉、尽责地履行《基金合同》和本协议规定的义务，维护基金份额持有人的合法权益。</w:t>
      </w:r>
    </w:p>
    <w:p w14:paraId="01053D99">
      <w:pPr>
        <w:spacing w:line="360" w:lineRule="auto"/>
        <w:ind w:firstLine="480" w:firstLineChars="200"/>
        <w:rPr>
          <w:rFonts w:ascii="宋体"/>
          <w:b/>
          <w:bCs w:val="0"/>
          <w:i/>
          <w:iCs w:val="0"/>
          <w:kern w:val="0"/>
          <w:sz w:val="24"/>
        </w:rPr>
      </w:pPr>
      <w:r>
        <w:rPr>
          <w:rFonts w:hint="eastAsia" w:ascii="宋体" w:hAnsi="宋体"/>
          <w:b/>
          <w:bCs w:val="0"/>
          <w:i/>
          <w:iCs w:val="0"/>
          <w:kern w:val="0"/>
          <w:sz w:val="24"/>
        </w:rPr>
        <w:t>本协议受中华人民共和国法律（为本协议之目的，在此不包括香港、澳门特别行政区和台湾地区的有关规定）管辖并按其解释。</w:t>
      </w:r>
    </w:p>
    <w:p w14:paraId="4FA45951">
      <w:pPr>
        <w:pStyle w:val="3"/>
        <w:jc w:val="center"/>
        <w:rPr>
          <w:sz w:val="30"/>
        </w:rPr>
      </w:pPr>
      <w:bookmarkStart w:id="160" w:name="_Toc466788869"/>
      <w:bookmarkStart w:id="161" w:name="_Toc430854315"/>
      <w:bookmarkStart w:id="162" w:name="_Toc523830011"/>
      <w:bookmarkStart w:id="163" w:name="_Toc125892455"/>
      <w:bookmarkStart w:id="164" w:name="_Toc291504147"/>
      <w:bookmarkStart w:id="165" w:name="_Toc27072"/>
      <w:bookmarkStart w:id="166" w:name="_Toc22454481"/>
      <w:r>
        <w:rPr>
          <w:rFonts w:hint="eastAsia"/>
          <w:sz w:val="30"/>
        </w:rPr>
        <w:t>十九、基金托管协议的效力</w:t>
      </w:r>
      <w:bookmarkEnd w:id="160"/>
      <w:bookmarkEnd w:id="161"/>
      <w:bookmarkEnd w:id="162"/>
      <w:bookmarkEnd w:id="163"/>
      <w:bookmarkEnd w:id="164"/>
      <w:bookmarkEnd w:id="165"/>
      <w:bookmarkEnd w:id="166"/>
    </w:p>
    <w:p w14:paraId="4B94B734">
      <w:pPr>
        <w:pStyle w:val="4"/>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（一）基金托管协议经托管协议当事人双方加盖公章（基金托管人可加盖托管业务合同专用章）以及双方法定代表人或授权代表签字或加盖名章之日成立。</w:t>
      </w:r>
    </w:p>
    <w:p w14:paraId="0DCF4DDD">
      <w:pPr>
        <w:spacing w:before="156" w:beforeLines="50" w:after="156" w:afterLines="50" w:line="360" w:lineRule="auto"/>
        <w:rPr>
          <w:sz w:val="24"/>
        </w:rPr>
      </w:pPr>
      <w:r>
        <w:rPr>
          <w:rFonts w:hint="eastAsia"/>
          <w:sz w:val="24"/>
        </w:rPr>
        <w:t>（二）基金托管协议自《基金合同》生效之日起生效。《基金合同》是规定基金合同当事人之间权利义务关系的基本法律文件，基金托管协议的有效期自其生效之日起至基金财产清算结果报中国证监会备案并公告之日止。</w:t>
      </w:r>
    </w:p>
    <w:p w14:paraId="629D567F">
      <w:pPr>
        <w:spacing w:before="156" w:beforeLines="50" w:after="156" w:afterLines="50" w:line="360" w:lineRule="auto"/>
        <w:rPr>
          <w:sz w:val="24"/>
        </w:rPr>
      </w:pPr>
      <w:r>
        <w:rPr>
          <w:rFonts w:hint="eastAsia"/>
          <w:sz w:val="24"/>
        </w:rPr>
        <w:t>（三）基金托管协议自生效之日起对托管协议当事人具有同等的法律约束力。</w:t>
      </w:r>
    </w:p>
    <w:p w14:paraId="6D3AB8F2">
      <w:pPr>
        <w:spacing w:before="156" w:beforeLines="50" w:after="156" w:afterLines="50" w:line="360" w:lineRule="auto"/>
        <w:rPr>
          <w:sz w:val="24"/>
        </w:rPr>
      </w:pPr>
      <w:r>
        <w:rPr>
          <w:rFonts w:hint="eastAsia"/>
          <w:sz w:val="24"/>
        </w:rPr>
        <w:t>（四）基金托管协议一式三份，除上报</w:t>
      </w:r>
      <w:r>
        <w:rPr>
          <w:bCs/>
          <w:sz w:val="24"/>
        </w:rPr>
        <w:t>有关监管机构一式</w:t>
      </w:r>
      <w:r>
        <w:rPr>
          <w:rFonts w:hint="eastAsia"/>
          <w:bCs/>
          <w:sz w:val="24"/>
        </w:rPr>
        <w:t>一</w:t>
      </w:r>
      <w:r>
        <w:rPr>
          <w:bCs/>
          <w:sz w:val="24"/>
        </w:rPr>
        <w:t>份外</w:t>
      </w:r>
      <w:r>
        <w:rPr>
          <w:rFonts w:hint="eastAsia"/>
          <w:sz w:val="24"/>
        </w:rPr>
        <w:t>，基金管理人和基金托管人分别持有一份，每份具有同等的法律效力。</w:t>
      </w:r>
    </w:p>
    <w:p w14:paraId="389F99DE">
      <w:pPr>
        <w:pStyle w:val="3"/>
        <w:jc w:val="center"/>
        <w:rPr>
          <w:sz w:val="30"/>
        </w:rPr>
      </w:pPr>
      <w:bookmarkStart w:id="167" w:name="_Toc10573"/>
      <w:bookmarkStart w:id="168" w:name="_Toc430854316"/>
      <w:bookmarkStart w:id="169" w:name="_Toc291504148"/>
      <w:r>
        <w:rPr>
          <w:rFonts w:hint="eastAsia"/>
          <w:sz w:val="30"/>
        </w:rPr>
        <w:t>二十、其他事项</w:t>
      </w:r>
      <w:bookmarkEnd w:id="167"/>
      <w:bookmarkEnd w:id="168"/>
      <w:bookmarkEnd w:id="169"/>
    </w:p>
    <w:p w14:paraId="5C43FD1B">
      <w:pPr>
        <w:spacing w:before="156" w:beforeLines="50" w:after="156" w:afterLines="50" w:line="360" w:lineRule="auto"/>
        <w:rPr>
          <w:sz w:val="24"/>
        </w:rPr>
      </w:pPr>
      <w:r>
        <w:rPr>
          <w:rFonts w:hint="eastAsia"/>
          <w:sz w:val="24"/>
        </w:rPr>
        <w:t xml:space="preserve">    本协议项下的所有文件、文本，如开展业务时仅发送传真件的，基金管理人应定期将相关原件寄送给基金托管人，并应确保原件与传真件保持一致。在原件未寄达基金托管人之前，传真件效力等同于原件，如其与原件不一致，以传真件为准。</w:t>
      </w:r>
    </w:p>
    <w:p w14:paraId="52DBD19A">
      <w:pPr>
        <w:spacing w:before="156" w:beforeLines="50" w:after="156" w:afterLines="50" w:line="360" w:lineRule="auto"/>
        <w:ind w:left="420" w:leftChars="200"/>
        <w:rPr>
          <w:sz w:val="24"/>
        </w:rPr>
      </w:pPr>
      <w:r>
        <w:rPr>
          <w:b/>
          <w:sz w:val="24"/>
        </w:rPr>
        <w:t xml:space="preserve"> </w:t>
      </w:r>
      <w:r>
        <w:rPr>
          <w:sz w:val="24"/>
        </w:rPr>
        <w:t xml:space="preserve"> </w:t>
      </w:r>
    </w:p>
    <w:p w14:paraId="3A8E92F4">
      <w:pPr>
        <w:spacing w:before="156" w:beforeLines="50" w:after="156" w:afterLines="50" w:line="360" w:lineRule="auto"/>
        <w:ind w:left="420" w:leftChars="200"/>
        <w:rPr>
          <w:sz w:val="24"/>
        </w:rPr>
      </w:pPr>
      <w:r>
        <w:rPr>
          <w:rFonts w:hint="eastAsia"/>
          <w:sz w:val="24"/>
        </w:rPr>
        <w:t>本协议未尽事宜，当事人依据基金合同、有关法律法规等规定协商办理。</w:t>
      </w:r>
    </w:p>
    <w:p w14:paraId="15F18D94">
      <w:pPr>
        <w:pStyle w:val="3"/>
        <w:jc w:val="center"/>
        <w:rPr>
          <w:sz w:val="30"/>
        </w:rPr>
      </w:pPr>
      <w:bookmarkStart w:id="170" w:name="_Toc22454484"/>
      <w:bookmarkStart w:id="171" w:name="_Toc291504149"/>
      <w:bookmarkStart w:id="172" w:name="_Toc523830014"/>
      <w:bookmarkStart w:id="173" w:name="_Toc430854317"/>
      <w:bookmarkStart w:id="174" w:name="_Toc17353"/>
      <w:r>
        <w:rPr>
          <w:rFonts w:hint="eastAsia"/>
          <w:sz w:val="30"/>
        </w:rPr>
        <w:t>二十一、基金托管协议的签订</w:t>
      </w:r>
      <w:bookmarkEnd w:id="170"/>
      <w:bookmarkEnd w:id="171"/>
      <w:bookmarkEnd w:id="172"/>
      <w:bookmarkEnd w:id="173"/>
      <w:bookmarkEnd w:id="174"/>
    </w:p>
    <w:p w14:paraId="04493A44">
      <w:pPr>
        <w:spacing w:line="360" w:lineRule="auto"/>
        <w:ind w:firstLine="480" w:firstLineChars="200"/>
        <w:rPr>
          <w:rFonts w:hint="eastAsia"/>
        </w:rPr>
      </w:pPr>
      <w:r>
        <w:rPr>
          <w:sz w:val="24"/>
        </w:rPr>
        <w:t>本托管协议经基金管理人和基金托管人认可后，由该双方当事人在基金托管协议上</w:t>
      </w:r>
      <w:r>
        <w:rPr>
          <w:rFonts w:hint="eastAsia"/>
          <w:sz w:val="24"/>
        </w:rPr>
        <w:t>加</w:t>
      </w:r>
      <w:r>
        <w:rPr>
          <w:sz w:val="24"/>
        </w:rPr>
        <w:t>盖</w:t>
      </w:r>
      <w:r>
        <w:rPr>
          <w:rFonts w:hint="eastAsia"/>
          <w:sz w:val="24"/>
        </w:rPr>
        <w:t>公</w:t>
      </w:r>
      <w:r>
        <w:rPr>
          <w:sz w:val="24"/>
        </w:rPr>
        <w:t>章</w:t>
      </w:r>
      <w:r>
        <w:rPr>
          <w:rFonts w:hint="eastAsia"/>
          <w:sz w:val="24"/>
        </w:rPr>
        <w:t>（基金托管人可加盖托管业务合同专用章）</w:t>
      </w:r>
      <w:r>
        <w:rPr>
          <w:sz w:val="24"/>
        </w:rPr>
        <w:t>，并由各自的法定代表人或授权代表签字</w:t>
      </w:r>
      <w:r>
        <w:rPr>
          <w:rFonts w:hint="eastAsia"/>
          <w:sz w:val="24"/>
        </w:rPr>
        <w:t>或盖章</w:t>
      </w:r>
      <w:r>
        <w:rPr>
          <w:sz w:val="24"/>
        </w:rPr>
        <w:t>，并注明基金托管协议的签订地点和签订日期。</w:t>
      </w:r>
    </w:p>
    <w:sectPr>
      <w:footerReference r:id="rId12" w:type="default"/>
      <w:pgSz w:w="11906" w:h="16838"/>
      <w:pgMar w:top="1440" w:right="1797" w:bottom="1440" w:left="1797" w:header="851" w:footer="1020"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D6780">
    <w:pPr>
      <w:pStyle w:val="15"/>
      <w:jc w:val="center"/>
    </w:pPr>
  </w:p>
  <w:p w14:paraId="60A875F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33237">
    <w:pPr>
      <w:pStyle w:val="15"/>
      <w:framePr w:wrap="around" w:vAnchor="text" w:hAnchor="margin" w:xAlign="center" w:y="1"/>
      <w:rPr>
        <w:rStyle w:val="27"/>
      </w:rPr>
    </w:pPr>
    <w:r>
      <w:fldChar w:fldCharType="begin"/>
    </w:r>
    <w:r>
      <w:rPr>
        <w:rStyle w:val="27"/>
      </w:rPr>
      <w:instrText xml:space="preserve">PAGE  </w:instrText>
    </w:r>
    <w:r>
      <w:fldChar w:fldCharType="end"/>
    </w:r>
  </w:p>
  <w:p w14:paraId="368C3CA2">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A6784">
    <w:pPr>
      <w:pStyle w:val="1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6417E">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C0B54">
    <w:pPr>
      <w:pStyle w:val="15"/>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B8729">
    <w:pPr>
      <w:pStyle w:val="1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2E32C">
    <w:pPr>
      <w:pStyle w:val="1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A18025">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jwVlMkBAACZ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gIljlsc+Pnnj/Ovx/PDd/I2&#10;y9MHqDHrLmBeGt77IadOfkBnZj2oaPMX+RCMo7ini7hySETkR6vlalVhSGBsviAOe3oeIqQP0luS&#10;jYZGnF4RlR8/QRpT55RczflbbQz6eW3cXw7EzB6Wex97zFYadsPU+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iPBWUyQEAAJkDAAAOAAAAAAAAAAEAIAAAAB4BAABkcnMvZTJvRG9j&#10;LnhtbFBLBQYAAAAABgAGAFkBAABZBQAAAAA=&#10;">
              <v:fill on="f" focussize="0,0"/>
              <v:stroke on="f"/>
              <v:imagedata o:title=""/>
              <o:lock v:ext="edit" aspectratio="f"/>
              <v:textbox inset="0mm,0mm,0mm,0mm" style="mso-fit-shape-to-text:t;">
                <w:txbxContent>
                  <w:p w14:paraId="39A18025">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3DF22">
    <w:pPr>
      <w:pStyle w:val="15"/>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73F9B8">
                          <w:pPr>
                            <w:pStyle w:val="15"/>
                          </w:pPr>
                          <w:r>
                            <w:fldChar w:fldCharType="begin"/>
                          </w:r>
                          <w:r>
                            <w:instrText xml:space="preserve"> PAGE  \* MERGEFORMAT </w:instrText>
                          </w:r>
                          <w:r>
                            <w:fldChar w:fldCharType="separate"/>
                          </w:r>
                          <w:r>
                            <w:rPr>
                              <w:lang/>
                            </w:rPr>
                            <w:t>22</w:t>
                          </w:r>
                          <w:r>
                            <w:fldChar w:fldCharType="end"/>
                          </w:r>
                        </w:p>
                      </w:txbxContent>
                    </wps:txbx>
                    <wps:bodyPr wrap="none" lIns="0" tIns="0" rIns="0" bIns="0" upright="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sbe8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dE2J4xYHfvnx/fLz9+XXN1Jn&#10;eYYADWbdB8xL41s/4tIsfkBnZj2qaPMX+RCMo7jnq7hyTETkR/W6ri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qsbe8cBAACZAwAADgAAAAAAAAABACAAAAAeAQAAZHJzL2Uyb0RvYy54&#10;bWxQSwUGAAAAAAYABgBZAQAAVwUAAAAA&#10;">
              <v:fill on="f" focussize="0,0"/>
              <v:stroke on="f"/>
              <v:imagedata o:title=""/>
              <o:lock v:ext="edit" aspectratio="f"/>
              <v:textbox inset="0mm,0mm,0mm,0mm" style="mso-fit-shape-to-text:t;">
                <w:txbxContent>
                  <w:p w14:paraId="5173F9B8">
                    <w:pPr>
                      <w:pStyle w:val="15"/>
                    </w:pPr>
                    <w:r>
                      <w:fldChar w:fldCharType="begin"/>
                    </w:r>
                    <w:r>
                      <w:instrText xml:space="preserve"> PAGE  \* MERGEFORMAT </w:instrText>
                    </w:r>
                    <w:r>
                      <w:fldChar w:fldCharType="separate"/>
                    </w:r>
                    <w:r>
                      <w:rPr>
                        <w:lang/>
                      </w:rP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30B1">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8108B">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A5631E"/>
    <w:multiLevelType w:val="multilevel"/>
    <w:tmpl w:val="34A5631E"/>
    <w:lvl w:ilvl="0" w:tentative="0">
      <w:start w:val="1"/>
      <w:numFmt w:val="decimal"/>
      <w:pStyle w:val="58"/>
      <w:lvlText w:val="(%1)"/>
      <w:lvlJc w:val="left"/>
      <w:pPr>
        <w:tabs>
          <w:tab w:val="left" w:pos="1941"/>
        </w:tabs>
        <w:ind w:left="1941" w:hanging="681"/>
      </w:pPr>
      <w:rPr>
        <w:rFonts w:hint="default" w:ascii="Arial" w:hAnsi="Arial" w:cs="Times New Roman"/>
        <w:b w:val="0"/>
        <w:i w:val="0"/>
        <w:sz w:val="20"/>
      </w:rPr>
    </w:lvl>
    <w:lvl w:ilvl="1" w:tentative="0">
      <w:start w:val="1"/>
      <w:numFmt w:val="lowerLetter"/>
      <w:lvlText w:val="%2."/>
      <w:lvlJc w:val="left"/>
      <w:pPr>
        <w:tabs>
          <w:tab w:val="left" w:pos="1620"/>
        </w:tabs>
        <w:ind w:left="1620" w:hanging="360"/>
      </w:pPr>
      <w:rPr>
        <w:rFonts w:hint="default" w:cs="Times New Roman"/>
      </w:rPr>
    </w:lvl>
    <w:lvl w:ilvl="2" w:tentative="0">
      <w:start w:val="1"/>
      <w:numFmt w:val="lowerRoman"/>
      <w:lvlText w:val="%3."/>
      <w:lvlJc w:val="right"/>
      <w:pPr>
        <w:tabs>
          <w:tab w:val="left" w:pos="2340"/>
        </w:tabs>
        <w:ind w:left="2340" w:hanging="180"/>
      </w:pPr>
      <w:rPr>
        <w:rFonts w:hint="default" w:cs="Times New Roman"/>
      </w:rPr>
    </w:lvl>
    <w:lvl w:ilvl="3" w:tentative="0">
      <w:start w:val="1"/>
      <w:numFmt w:val="decimal"/>
      <w:lvlText w:val="%4."/>
      <w:lvlJc w:val="left"/>
      <w:pPr>
        <w:tabs>
          <w:tab w:val="left" w:pos="3060"/>
        </w:tabs>
        <w:ind w:left="3060" w:hanging="360"/>
      </w:pPr>
      <w:rPr>
        <w:rFonts w:hint="default" w:cs="Times New Roman"/>
      </w:rPr>
    </w:lvl>
    <w:lvl w:ilvl="4" w:tentative="0">
      <w:start w:val="1"/>
      <w:numFmt w:val="lowerLetter"/>
      <w:lvlText w:val="%5."/>
      <w:lvlJc w:val="left"/>
      <w:pPr>
        <w:tabs>
          <w:tab w:val="left" w:pos="3780"/>
        </w:tabs>
        <w:ind w:left="3780" w:hanging="360"/>
      </w:pPr>
      <w:rPr>
        <w:rFonts w:hint="default" w:cs="Times New Roman"/>
      </w:rPr>
    </w:lvl>
    <w:lvl w:ilvl="5" w:tentative="0">
      <w:start w:val="1"/>
      <w:numFmt w:val="lowerRoman"/>
      <w:lvlText w:val="%6."/>
      <w:lvlJc w:val="right"/>
      <w:pPr>
        <w:tabs>
          <w:tab w:val="left" w:pos="4500"/>
        </w:tabs>
        <w:ind w:left="4500" w:hanging="180"/>
      </w:pPr>
      <w:rPr>
        <w:rFonts w:hint="default" w:cs="Times New Roman"/>
      </w:rPr>
    </w:lvl>
    <w:lvl w:ilvl="6" w:tentative="0">
      <w:start w:val="1"/>
      <w:numFmt w:val="decimal"/>
      <w:lvlText w:val="%7."/>
      <w:lvlJc w:val="left"/>
      <w:pPr>
        <w:tabs>
          <w:tab w:val="left" w:pos="5220"/>
        </w:tabs>
        <w:ind w:left="5220" w:hanging="360"/>
      </w:pPr>
      <w:rPr>
        <w:rFonts w:hint="default" w:cs="Times New Roman"/>
      </w:rPr>
    </w:lvl>
    <w:lvl w:ilvl="7" w:tentative="0">
      <w:start w:val="1"/>
      <w:numFmt w:val="lowerLetter"/>
      <w:lvlText w:val="%8."/>
      <w:lvlJc w:val="left"/>
      <w:pPr>
        <w:tabs>
          <w:tab w:val="left" w:pos="5940"/>
        </w:tabs>
        <w:ind w:left="5940" w:hanging="360"/>
      </w:pPr>
      <w:rPr>
        <w:rFonts w:hint="default" w:cs="Times New Roman"/>
      </w:rPr>
    </w:lvl>
    <w:lvl w:ilvl="8" w:tentative="0">
      <w:start w:val="1"/>
      <w:numFmt w:val="lowerRoman"/>
      <w:lvlText w:val="%9."/>
      <w:lvlJc w:val="right"/>
      <w:pPr>
        <w:tabs>
          <w:tab w:val="left" w:pos="6660"/>
        </w:tabs>
        <w:ind w:left="6660" w:hanging="180"/>
      </w:pPr>
      <w:rPr>
        <w:rFonts w:hint="default"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B04"/>
    <w:rsid w:val="00054D72"/>
    <w:rsid w:val="00080751"/>
    <w:rsid w:val="00085754"/>
    <w:rsid w:val="000A15C3"/>
    <w:rsid w:val="000F5BBD"/>
    <w:rsid w:val="00162203"/>
    <w:rsid w:val="00166A6F"/>
    <w:rsid w:val="001A3955"/>
    <w:rsid w:val="001A4968"/>
    <w:rsid w:val="001C3225"/>
    <w:rsid w:val="001D42A1"/>
    <w:rsid w:val="00212C11"/>
    <w:rsid w:val="00221AC6"/>
    <w:rsid w:val="002A7308"/>
    <w:rsid w:val="002C34FE"/>
    <w:rsid w:val="002E6245"/>
    <w:rsid w:val="002F3511"/>
    <w:rsid w:val="00304119"/>
    <w:rsid w:val="003434AD"/>
    <w:rsid w:val="003547E2"/>
    <w:rsid w:val="00357A42"/>
    <w:rsid w:val="00371A07"/>
    <w:rsid w:val="00376CCB"/>
    <w:rsid w:val="003D05B1"/>
    <w:rsid w:val="003E41D2"/>
    <w:rsid w:val="00400857"/>
    <w:rsid w:val="004517D9"/>
    <w:rsid w:val="00452F82"/>
    <w:rsid w:val="004A345E"/>
    <w:rsid w:val="004C17ED"/>
    <w:rsid w:val="004C3200"/>
    <w:rsid w:val="004C67D5"/>
    <w:rsid w:val="004D2325"/>
    <w:rsid w:val="004D60C4"/>
    <w:rsid w:val="005526B9"/>
    <w:rsid w:val="00584749"/>
    <w:rsid w:val="005D6B81"/>
    <w:rsid w:val="005E0BB3"/>
    <w:rsid w:val="005F7BF6"/>
    <w:rsid w:val="0062205B"/>
    <w:rsid w:val="006B4AA0"/>
    <w:rsid w:val="006E56E6"/>
    <w:rsid w:val="00712E98"/>
    <w:rsid w:val="007154C1"/>
    <w:rsid w:val="00716B04"/>
    <w:rsid w:val="00766000"/>
    <w:rsid w:val="00767234"/>
    <w:rsid w:val="007B4DEB"/>
    <w:rsid w:val="007C68F1"/>
    <w:rsid w:val="007D3058"/>
    <w:rsid w:val="007F2740"/>
    <w:rsid w:val="00853152"/>
    <w:rsid w:val="008617A7"/>
    <w:rsid w:val="008A4E9C"/>
    <w:rsid w:val="008C32D4"/>
    <w:rsid w:val="008E0D6B"/>
    <w:rsid w:val="00904FD1"/>
    <w:rsid w:val="00925225"/>
    <w:rsid w:val="00937112"/>
    <w:rsid w:val="0097531A"/>
    <w:rsid w:val="00993948"/>
    <w:rsid w:val="00995FD8"/>
    <w:rsid w:val="00A04624"/>
    <w:rsid w:val="00A11CCB"/>
    <w:rsid w:val="00A22DB3"/>
    <w:rsid w:val="00A42083"/>
    <w:rsid w:val="00A632CB"/>
    <w:rsid w:val="00A65833"/>
    <w:rsid w:val="00A7044C"/>
    <w:rsid w:val="00AB097F"/>
    <w:rsid w:val="00AC1EB5"/>
    <w:rsid w:val="00AD2671"/>
    <w:rsid w:val="00AD7D58"/>
    <w:rsid w:val="00B35D8D"/>
    <w:rsid w:val="00B424BA"/>
    <w:rsid w:val="00B56ABA"/>
    <w:rsid w:val="00B720C6"/>
    <w:rsid w:val="00B85FCF"/>
    <w:rsid w:val="00BB7462"/>
    <w:rsid w:val="00BE404F"/>
    <w:rsid w:val="00BE565D"/>
    <w:rsid w:val="00C20CFE"/>
    <w:rsid w:val="00C3756B"/>
    <w:rsid w:val="00C5759C"/>
    <w:rsid w:val="00CC1909"/>
    <w:rsid w:val="00CD6C48"/>
    <w:rsid w:val="00CD7424"/>
    <w:rsid w:val="00CF0002"/>
    <w:rsid w:val="00CF216E"/>
    <w:rsid w:val="00CF2406"/>
    <w:rsid w:val="00CF308F"/>
    <w:rsid w:val="00D07E30"/>
    <w:rsid w:val="00D436AA"/>
    <w:rsid w:val="00DA260E"/>
    <w:rsid w:val="00DB6252"/>
    <w:rsid w:val="00DE48F1"/>
    <w:rsid w:val="00E97AB4"/>
    <w:rsid w:val="00EA3FA5"/>
    <w:rsid w:val="00F31A28"/>
    <w:rsid w:val="00F847B1"/>
    <w:rsid w:val="00FB7587"/>
    <w:rsid w:val="00FC1FFD"/>
    <w:rsid w:val="00FE7A3A"/>
    <w:rsid w:val="00FF1F2D"/>
    <w:rsid w:val="024244DA"/>
    <w:rsid w:val="024D5B77"/>
    <w:rsid w:val="033C4CA3"/>
    <w:rsid w:val="04834818"/>
    <w:rsid w:val="062F1F5B"/>
    <w:rsid w:val="064E27CC"/>
    <w:rsid w:val="06D3496D"/>
    <w:rsid w:val="0B1452B6"/>
    <w:rsid w:val="0B92052D"/>
    <w:rsid w:val="0EEA2643"/>
    <w:rsid w:val="0F0E70BF"/>
    <w:rsid w:val="0FEB6D02"/>
    <w:rsid w:val="11661FAD"/>
    <w:rsid w:val="123C4D70"/>
    <w:rsid w:val="13240093"/>
    <w:rsid w:val="13CD75F1"/>
    <w:rsid w:val="17224E98"/>
    <w:rsid w:val="173D56B1"/>
    <w:rsid w:val="178414EF"/>
    <w:rsid w:val="1A003DB9"/>
    <w:rsid w:val="1C6E3566"/>
    <w:rsid w:val="1CA64C54"/>
    <w:rsid w:val="1D0E5A6A"/>
    <w:rsid w:val="1FA15DD4"/>
    <w:rsid w:val="1FC20B17"/>
    <w:rsid w:val="22394541"/>
    <w:rsid w:val="227B77C8"/>
    <w:rsid w:val="236D439B"/>
    <w:rsid w:val="240B5320"/>
    <w:rsid w:val="24615EE4"/>
    <w:rsid w:val="25D91AC2"/>
    <w:rsid w:val="2676315D"/>
    <w:rsid w:val="267F7218"/>
    <w:rsid w:val="26DE38C5"/>
    <w:rsid w:val="283A5C64"/>
    <w:rsid w:val="297B25F1"/>
    <w:rsid w:val="298628AF"/>
    <w:rsid w:val="2C4C2A48"/>
    <w:rsid w:val="2CEC0714"/>
    <w:rsid w:val="2E5946AF"/>
    <w:rsid w:val="2F7277B2"/>
    <w:rsid w:val="31C3158F"/>
    <w:rsid w:val="3382558D"/>
    <w:rsid w:val="343F6DED"/>
    <w:rsid w:val="348453F9"/>
    <w:rsid w:val="36FB7072"/>
    <w:rsid w:val="37332EFF"/>
    <w:rsid w:val="379F5B29"/>
    <w:rsid w:val="3A7D7292"/>
    <w:rsid w:val="3AF0363B"/>
    <w:rsid w:val="3C585A10"/>
    <w:rsid w:val="3CE14642"/>
    <w:rsid w:val="3CEA01F8"/>
    <w:rsid w:val="3CEA3956"/>
    <w:rsid w:val="3DD1203D"/>
    <w:rsid w:val="3E643DEB"/>
    <w:rsid w:val="3EBA744F"/>
    <w:rsid w:val="3EC3658C"/>
    <w:rsid w:val="3FF04D34"/>
    <w:rsid w:val="40E50B15"/>
    <w:rsid w:val="41116D02"/>
    <w:rsid w:val="413B7E07"/>
    <w:rsid w:val="41BF5DD7"/>
    <w:rsid w:val="41CC238E"/>
    <w:rsid w:val="42134FC2"/>
    <w:rsid w:val="427A34CE"/>
    <w:rsid w:val="431E5F59"/>
    <w:rsid w:val="439A04E3"/>
    <w:rsid w:val="44384795"/>
    <w:rsid w:val="4C321ECE"/>
    <w:rsid w:val="4D1B6AD3"/>
    <w:rsid w:val="4EB15D2B"/>
    <w:rsid w:val="4FF06C1E"/>
    <w:rsid w:val="506468DD"/>
    <w:rsid w:val="50EA23C7"/>
    <w:rsid w:val="51FC7CA2"/>
    <w:rsid w:val="54200DC7"/>
    <w:rsid w:val="54306993"/>
    <w:rsid w:val="57440A8F"/>
    <w:rsid w:val="57BB6DCE"/>
    <w:rsid w:val="58465C95"/>
    <w:rsid w:val="5A0815C5"/>
    <w:rsid w:val="5A4955E5"/>
    <w:rsid w:val="5B6F2100"/>
    <w:rsid w:val="5C2E6A59"/>
    <w:rsid w:val="5CEB33AA"/>
    <w:rsid w:val="5D425407"/>
    <w:rsid w:val="5DDD7D46"/>
    <w:rsid w:val="5F0F17E6"/>
    <w:rsid w:val="60120847"/>
    <w:rsid w:val="625E099D"/>
    <w:rsid w:val="64254F1A"/>
    <w:rsid w:val="68585682"/>
    <w:rsid w:val="68E524AD"/>
    <w:rsid w:val="69E809B1"/>
    <w:rsid w:val="6CBD35F3"/>
    <w:rsid w:val="6FD05A0D"/>
    <w:rsid w:val="71555D7D"/>
    <w:rsid w:val="72062A99"/>
    <w:rsid w:val="720C038B"/>
    <w:rsid w:val="72F76C3D"/>
    <w:rsid w:val="73034590"/>
    <w:rsid w:val="73266F71"/>
    <w:rsid w:val="73983DD4"/>
    <w:rsid w:val="75C06F70"/>
    <w:rsid w:val="76611105"/>
    <w:rsid w:val="77EA194E"/>
    <w:rsid w:val="781444DE"/>
    <w:rsid w:val="78BC492E"/>
    <w:rsid w:val="79B30112"/>
    <w:rsid w:val="79D91711"/>
    <w:rsid w:val="7A020586"/>
    <w:rsid w:val="7CA13291"/>
    <w:rsid w:val="7D741E98"/>
    <w:rsid w:val="7E8A4678"/>
    <w:rsid w:val="7EF46F1B"/>
    <w:rsid w:val="7FA73366"/>
    <w:rsid w:val="7FC06F8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kern w:val="2"/>
      <w:sz w:val="21"/>
      <w:szCs w:val="24"/>
      <w:lang w:val="en-US" w:eastAsia="zh-CN" w:bidi="ar-SA"/>
    </w:rPr>
  </w:style>
  <w:style w:type="paragraph" w:styleId="3">
    <w:name w:val="heading 1"/>
    <w:basedOn w:val="1"/>
    <w:next w:val="1"/>
    <w:link w:val="31"/>
    <w:qFormat/>
    <w:uiPriority w:val="99"/>
    <w:pPr>
      <w:keepNext/>
      <w:keepLines/>
      <w:spacing w:before="120" w:after="120" w:line="360" w:lineRule="auto"/>
      <w:outlineLvl w:val="0"/>
    </w:pPr>
    <w:rPr>
      <w:b/>
      <w:bCs/>
      <w:kern w:val="44"/>
      <w:sz w:val="44"/>
      <w:szCs w:val="44"/>
    </w:rPr>
  </w:style>
  <w:style w:type="paragraph" w:styleId="4">
    <w:name w:val="heading 2"/>
    <w:basedOn w:val="1"/>
    <w:next w:val="1"/>
    <w:link w:val="32"/>
    <w:qFormat/>
    <w:uiPriority w:val="99"/>
    <w:pPr>
      <w:keepNext/>
      <w:keepLines/>
      <w:spacing w:before="120" w:after="120" w:line="360" w:lineRule="auto"/>
      <w:outlineLvl w:val="1"/>
    </w:pPr>
    <w:rPr>
      <w:rFonts w:ascii="Cambria" w:hAnsi="Cambria"/>
      <w:b/>
      <w:bCs/>
      <w:kern w:val="0"/>
      <w:sz w:val="32"/>
      <w:szCs w:val="32"/>
    </w:rPr>
  </w:style>
  <w:style w:type="character" w:default="1" w:styleId="26">
    <w:name w:val="Default Paragraph Font"/>
    <w:unhideWhenUsed/>
    <w:uiPriority w:val="1"/>
  </w:style>
  <w:style w:type="table" w:default="1" w:styleId="25">
    <w:name w:val="Normal Table"/>
    <w:unhideWhenUsed/>
    <w:uiPriority w:val="99"/>
    <w:tblPr>
      <w:tblStyle w:val="25"/>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toc 7"/>
    <w:basedOn w:val="1"/>
    <w:next w:val="1"/>
    <w:semiHidden/>
    <w:qFormat/>
    <w:uiPriority w:val="99"/>
    <w:pPr>
      <w:ind w:left="2520" w:leftChars="1200"/>
    </w:pPr>
  </w:style>
  <w:style w:type="paragraph" w:styleId="6">
    <w:name w:val="Document Map"/>
    <w:basedOn w:val="1"/>
    <w:link w:val="33"/>
    <w:unhideWhenUsed/>
    <w:qFormat/>
    <w:uiPriority w:val="99"/>
    <w:rPr>
      <w:rFonts w:ascii="宋体"/>
      <w:sz w:val="18"/>
      <w:szCs w:val="18"/>
    </w:rPr>
  </w:style>
  <w:style w:type="paragraph" w:styleId="7">
    <w:name w:val="annotation text"/>
    <w:basedOn w:val="1"/>
    <w:link w:val="34"/>
    <w:unhideWhenUsed/>
    <w:qFormat/>
    <w:uiPriority w:val="0"/>
    <w:pPr>
      <w:jc w:val="left"/>
    </w:pPr>
  </w:style>
  <w:style w:type="paragraph" w:styleId="8">
    <w:name w:val="Body Text"/>
    <w:basedOn w:val="1"/>
    <w:link w:val="35"/>
    <w:qFormat/>
    <w:uiPriority w:val="99"/>
    <w:pPr>
      <w:tabs>
        <w:tab w:val="left" w:pos="3780"/>
      </w:tabs>
      <w:autoSpaceDE w:val="0"/>
      <w:autoSpaceDN w:val="0"/>
      <w:spacing w:beforeLines="50" w:afterLines="50" w:line="360" w:lineRule="auto"/>
      <w:textAlignment w:val="bottom"/>
      <w:outlineLvl w:val="0"/>
    </w:pPr>
    <w:rPr>
      <w:kern w:val="0"/>
      <w:sz w:val="24"/>
    </w:rPr>
  </w:style>
  <w:style w:type="paragraph" w:styleId="9">
    <w:name w:val="Body Text Indent"/>
    <w:basedOn w:val="1"/>
    <w:link w:val="36"/>
    <w:qFormat/>
    <w:uiPriority w:val="99"/>
    <w:pPr>
      <w:spacing w:line="360" w:lineRule="auto"/>
      <w:ind w:firstLine="420"/>
    </w:pPr>
    <w:rPr>
      <w:kern w:val="0"/>
      <w:sz w:val="24"/>
    </w:rPr>
  </w:style>
  <w:style w:type="paragraph" w:styleId="10">
    <w:name w:val="toc 5"/>
    <w:basedOn w:val="1"/>
    <w:next w:val="1"/>
    <w:semiHidden/>
    <w:qFormat/>
    <w:uiPriority w:val="99"/>
    <w:pPr>
      <w:ind w:left="1680" w:leftChars="800"/>
    </w:pPr>
  </w:style>
  <w:style w:type="paragraph" w:styleId="11">
    <w:name w:val="toc 3"/>
    <w:basedOn w:val="1"/>
    <w:next w:val="1"/>
    <w:semiHidden/>
    <w:qFormat/>
    <w:uiPriority w:val="99"/>
    <w:pPr>
      <w:ind w:left="840" w:leftChars="400"/>
    </w:pPr>
  </w:style>
  <w:style w:type="paragraph" w:styleId="12">
    <w:name w:val="toc 8"/>
    <w:basedOn w:val="1"/>
    <w:next w:val="1"/>
    <w:semiHidden/>
    <w:qFormat/>
    <w:uiPriority w:val="99"/>
    <w:pPr>
      <w:ind w:left="2940" w:leftChars="1400"/>
    </w:pPr>
  </w:style>
  <w:style w:type="paragraph" w:styleId="13">
    <w:name w:val="Body Text Indent 2"/>
    <w:basedOn w:val="1"/>
    <w:link w:val="37"/>
    <w:qFormat/>
    <w:uiPriority w:val="99"/>
    <w:pPr>
      <w:tabs>
        <w:tab w:val="left" w:pos="1260"/>
      </w:tabs>
      <w:spacing w:line="360" w:lineRule="auto"/>
      <w:ind w:firstLine="480" w:firstLineChars="200"/>
    </w:pPr>
    <w:rPr>
      <w:kern w:val="0"/>
      <w:sz w:val="24"/>
    </w:rPr>
  </w:style>
  <w:style w:type="paragraph" w:styleId="14">
    <w:name w:val="Balloon Text"/>
    <w:basedOn w:val="1"/>
    <w:link w:val="38"/>
    <w:unhideWhenUsed/>
    <w:qFormat/>
    <w:uiPriority w:val="99"/>
    <w:rPr>
      <w:sz w:val="18"/>
      <w:szCs w:val="18"/>
    </w:rPr>
  </w:style>
  <w:style w:type="paragraph" w:styleId="15">
    <w:name w:val="footer"/>
    <w:basedOn w:val="1"/>
    <w:link w:val="39"/>
    <w:unhideWhenUsed/>
    <w:qFormat/>
    <w:uiPriority w:val="99"/>
    <w:pPr>
      <w:tabs>
        <w:tab w:val="center" w:pos="4153"/>
        <w:tab w:val="right" w:pos="8306"/>
      </w:tabs>
      <w:snapToGrid w:val="0"/>
      <w:jc w:val="left"/>
    </w:pPr>
    <w:rPr>
      <w:sz w:val="18"/>
      <w:szCs w:val="18"/>
    </w:rPr>
  </w:style>
  <w:style w:type="paragraph" w:styleId="16">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tabs>
        <w:tab w:val="right" w:leader="dot" w:pos="8455"/>
      </w:tabs>
      <w:spacing w:before="120" w:line="360" w:lineRule="auto"/>
      <w:ind w:firstLine="425"/>
      <w:jc w:val="left"/>
    </w:pPr>
    <w:rPr>
      <w:b/>
      <w:caps/>
      <w:sz w:val="20"/>
      <w:szCs w:val="20"/>
    </w:rPr>
  </w:style>
  <w:style w:type="paragraph" w:styleId="18">
    <w:name w:val="toc 4"/>
    <w:basedOn w:val="1"/>
    <w:next w:val="1"/>
    <w:semiHidden/>
    <w:qFormat/>
    <w:uiPriority w:val="99"/>
    <w:pPr>
      <w:ind w:left="1260" w:leftChars="600"/>
    </w:pPr>
  </w:style>
  <w:style w:type="paragraph" w:styleId="19">
    <w:name w:val="toc 6"/>
    <w:basedOn w:val="1"/>
    <w:next w:val="1"/>
    <w:semiHidden/>
    <w:qFormat/>
    <w:uiPriority w:val="99"/>
    <w:pPr>
      <w:ind w:left="2100" w:leftChars="1000"/>
    </w:pPr>
  </w:style>
  <w:style w:type="paragraph" w:styleId="20">
    <w:name w:val="toc 2"/>
    <w:basedOn w:val="1"/>
    <w:next w:val="1"/>
    <w:semiHidden/>
    <w:qFormat/>
    <w:uiPriority w:val="99"/>
    <w:pPr>
      <w:ind w:left="420" w:leftChars="200"/>
    </w:pPr>
  </w:style>
  <w:style w:type="paragraph" w:styleId="21">
    <w:name w:val="toc 9"/>
    <w:basedOn w:val="1"/>
    <w:next w:val="1"/>
    <w:semiHidden/>
    <w:qFormat/>
    <w:uiPriority w:val="99"/>
    <w:pPr>
      <w:ind w:left="3360" w:leftChars="1600"/>
    </w:pPr>
  </w:style>
  <w:style w:type="paragraph" w:styleId="22">
    <w:name w:val="Body Text 2"/>
    <w:basedOn w:val="1"/>
    <w:link w:val="41"/>
    <w:qFormat/>
    <w:uiPriority w:val="99"/>
    <w:pPr>
      <w:tabs>
        <w:tab w:val="left" w:pos="3780"/>
      </w:tabs>
      <w:autoSpaceDE w:val="0"/>
      <w:autoSpaceDN w:val="0"/>
      <w:spacing w:beforeLines="50" w:afterLines="50" w:line="300" w:lineRule="auto"/>
      <w:textAlignment w:val="bottom"/>
      <w:outlineLvl w:val="0"/>
    </w:pPr>
    <w:rPr>
      <w:kern w:val="0"/>
      <w:sz w:val="24"/>
    </w:rPr>
  </w:style>
  <w:style w:type="paragraph" w:styleId="23">
    <w:name w:val="Title"/>
    <w:basedOn w:val="1"/>
    <w:next w:val="1"/>
    <w:link w:val="42"/>
    <w:qFormat/>
    <w:uiPriority w:val="0"/>
    <w:pPr>
      <w:spacing w:before="240" w:after="60"/>
      <w:jc w:val="center"/>
      <w:outlineLvl w:val="0"/>
    </w:pPr>
    <w:rPr>
      <w:rFonts w:ascii="Cambria" w:hAnsi="Cambria"/>
      <w:b/>
      <w:sz w:val="32"/>
      <w:szCs w:val="22"/>
    </w:rPr>
  </w:style>
  <w:style w:type="paragraph" w:styleId="24">
    <w:name w:val="annotation subject"/>
    <w:basedOn w:val="7"/>
    <w:next w:val="7"/>
    <w:link w:val="43"/>
    <w:semiHidden/>
    <w:qFormat/>
    <w:uiPriority w:val="99"/>
    <w:rPr>
      <w:b/>
      <w:bCs/>
      <w:kern w:val="0"/>
      <w:sz w:val="24"/>
    </w:rPr>
  </w:style>
  <w:style w:type="character" w:styleId="27">
    <w:name w:val="page number"/>
    <w:qFormat/>
    <w:uiPriority w:val="99"/>
    <w:rPr>
      <w:rFonts w:cs="Times New Roman"/>
    </w:rPr>
  </w:style>
  <w:style w:type="character" w:styleId="28">
    <w:name w:val="FollowedHyperlink"/>
    <w:unhideWhenUsed/>
    <w:qFormat/>
    <w:uiPriority w:val="99"/>
    <w:rPr>
      <w:color w:val="800080"/>
      <w:u w:val="single"/>
    </w:rPr>
  </w:style>
  <w:style w:type="character" w:styleId="29">
    <w:name w:val="Hyperlink"/>
    <w:qFormat/>
    <w:uiPriority w:val="99"/>
    <w:rPr>
      <w:rFonts w:cs="Times New Roman"/>
      <w:color w:val="0000FF"/>
      <w:u w:val="single"/>
    </w:rPr>
  </w:style>
  <w:style w:type="character" w:styleId="30">
    <w:name w:val="annotation reference"/>
    <w:qFormat/>
    <w:uiPriority w:val="99"/>
    <w:rPr>
      <w:rFonts w:cs="Times New Roman"/>
      <w:sz w:val="21"/>
    </w:rPr>
  </w:style>
  <w:style w:type="character" w:customStyle="1" w:styleId="31">
    <w:name w:val="标题 1 Char"/>
    <w:link w:val="3"/>
    <w:qFormat/>
    <w:uiPriority w:val="99"/>
    <w:rPr>
      <w:rFonts w:ascii="Times New Roman" w:hAnsi="Times New Roman" w:eastAsia="宋体" w:cs="Times New Roman"/>
      <w:b/>
      <w:bCs/>
      <w:kern w:val="44"/>
      <w:sz w:val="44"/>
      <w:szCs w:val="44"/>
    </w:rPr>
  </w:style>
  <w:style w:type="character" w:customStyle="1" w:styleId="32">
    <w:name w:val="标题 2 Char"/>
    <w:link w:val="4"/>
    <w:qFormat/>
    <w:uiPriority w:val="99"/>
    <w:rPr>
      <w:rFonts w:ascii="Cambria" w:hAnsi="Cambria" w:eastAsia="宋体" w:cs="Times New Roman"/>
      <w:b/>
      <w:bCs/>
      <w:kern w:val="0"/>
      <w:sz w:val="32"/>
      <w:szCs w:val="32"/>
    </w:rPr>
  </w:style>
  <w:style w:type="character" w:customStyle="1" w:styleId="33">
    <w:name w:val="文档结构图 Char"/>
    <w:link w:val="6"/>
    <w:semiHidden/>
    <w:qFormat/>
    <w:uiPriority w:val="99"/>
    <w:rPr>
      <w:rFonts w:ascii="宋体" w:hAnsi="Times New Roman" w:eastAsia="宋体" w:cs="Times New Roman"/>
      <w:sz w:val="18"/>
      <w:szCs w:val="18"/>
    </w:rPr>
  </w:style>
  <w:style w:type="character" w:customStyle="1" w:styleId="34">
    <w:name w:val="批注文字 Char1"/>
    <w:link w:val="7"/>
    <w:qFormat/>
    <w:uiPriority w:val="0"/>
    <w:rPr>
      <w:rFonts w:ascii="Times New Roman" w:hAnsi="Times New Roman" w:eastAsia="宋体" w:cs="Times New Roman"/>
      <w:szCs w:val="24"/>
    </w:rPr>
  </w:style>
  <w:style w:type="character" w:customStyle="1" w:styleId="35">
    <w:name w:val="正文文本 Char"/>
    <w:link w:val="8"/>
    <w:qFormat/>
    <w:uiPriority w:val="99"/>
    <w:rPr>
      <w:rFonts w:ascii="Times New Roman" w:hAnsi="Times New Roman" w:eastAsia="宋体" w:cs="Times New Roman"/>
      <w:kern w:val="0"/>
      <w:sz w:val="24"/>
      <w:szCs w:val="24"/>
    </w:rPr>
  </w:style>
  <w:style w:type="character" w:customStyle="1" w:styleId="36">
    <w:name w:val="正文文本缩进 Char"/>
    <w:link w:val="9"/>
    <w:qFormat/>
    <w:uiPriority w:val="99"/>
    <w:rPr>
      <w:rFonts w:ascii="Times New Roman" w:hAnsi="Times New Roman" w:eastAsia="宋体" w:cs="Times New Roman"/>
      <w:kern w:val="0"/>
      <w:sz w:val="24"/>
      <w:szCs w:val="24"/>
    </w:rPr>
  </w:style>
  <w:style w:type="character" w:customStyle="1" w:styleId="37">
    <w:name w:val="正文文本缩进 2 Char"/>
    <w:link w:val="13"/>
    <w:qFormat/>
    <w:uiPriority w:val="99"/>
    <w:rPr>
      <w:rFonts w:ascii="Times New Roman" w:hAnsi="Times New Roman" w:eastAsia="宋体" w:cs="Times New Roman"/>
      <w:kern w:val="0"/>
      <w:sz w:val="24"/>
      <w:szCs w:val="24"/>
    </w:rPr>
  </w:style>
  <w:style w:type="character" w:customStyle="1" w:styleId="38">
    <w:name w:val="批注框文本 Char"/>
    <w:link w:val="14"/>
    <w:semiHidden/>
    <w:qFormat/>
    <w:uiPriority w:val="99"/>
    <w:rPr>
      <w:rFonts w:ascii="Times New Roman" w:hAnsi="Times New Roman" w:eastAsia="宋体" w:cs="Times New Roman"/>
      <w:sz w:val="18"/>
      <w:szCs w:val="18"/>
    </w:rPr>
  </w:style>
  <w:style w:type="character" w:customStyle="1" w:styleId="39">
    <w:name w:val="页脚 Char"/>
    <w:link w:val="15"/>
    <w:qFormat/>
    <w:uiPriority w:val="99"/>
    <w:rPr>
      <w:sz w:val="18"/>
      <w:szCs w:val="18"/>
    </w:rPr>
  </w:style>
  <w:style w:type="character" w:customStyle="1" w:styleId="40">
    <w:name w:val="页眉 Char"/>
    <w:link w:val="16"/>
    <w:qFormat/>
    <w:uiPriority w:val="99"/>
    <w:rPr>
      <w:sz w:val="18"/>
      <w:szCs w:val="18"/>
    </w:rPr>
  </w:style>
  <w:style w:type="character" w:customStyle="1" w:styleId="41">
    <w:name w:val="正文文本 2 Char"/>
    <w:link w:val="22"/>
    <w:uiPriority w:val="99"/>
    <w:rPr>
      <w:rFonts w:ascii="Times New Roman" w:hAnsi="Times New Roman" w:eastAsia="宋体" w:cs="Times New Roman"/>
      <w:kern w:val="0"/>
      <w:sz w:val="24"/>
      <w:szCs w:val="24"/>
    </w:rPr>
  </w:style>
  <w:style w:type="character" w:customStyle="1" w:styleId="42">
    <w:name w:val="标题 Char"/>
    <w:link w:val="23"/>
    <w:qFormat/>
    <w:uiPriority w:val="0"/>
    <w:rPr>
      <w:rFonts w:ascii="Cambria" w:hAnsi="Cambria" w:eastAsia="宋体" w:cs="Times New Roman"/>
      <w:b/>
      <w:sz w:val="32"/>
    </w:rPr>
  </w:style>
  <w:style w:type="character" w:customStyle="1" w:styleId="43">
    <w:name w:val="批注主题 Char"/>
    <w:link w:val="24"/>
    <w:semiHidden/>
    <w:qFormat/>
    <w:uiPriority w:val="99"/>
    <w:rPr>
      <w:rFonts w:ascii="Times New Roman" w:hAnsi="Times New Roman" w:eastAsia="宋体" w:cs="Times New Roman"/>
      <w:b/>
      <w:bCs/>
      <w:kern w:val="0"/>
      <w:sz w:val="24"/>
      <w:szCs w:val="24"/>
    </w:rPr>
  </w:style>
  <w:style w:type="character" w:customStyle="1" w:styleId="44">
    <w:name w:val="标题 Char1"/>
    <w:qFormat/>
    <w:uiPriority w:val="0"/>
    <w:rPr>
      <w:rFonts w:ascii="Cambria" w:hAnsi="Cambria" w:eastAsia="宋体" w:cs="Times New Roman"/>
      <w:b/>
      <w:bCs/>
      <w:sz w:val="32"/>
      <w:szCs w:val="32"/>
    </w:rPr>
  </w:style>
  <w:style w:type="character" w:customStyle="1" w:styleId="45">
    <w:name w:val="合同正文 Char"/>
    <w:link w:val="46"/>
    <w:locked/>
    <w:uiPriority w:val="0"/>
    <w:rPr>
      <w:rFonts w:ascii="Times New Roman" w:hAnsi="Times New Roman" w:eastAsia="宋体" w:cs="Times New Roman"/>
      <w:bCs/>
      <w:sz w:val="24"/>
    </w:rPr>
  </w:style>
  <w:style w:type="paragraph" w:customStyle="1" w:styleId="46">
    <w:name w:val="合同正文"/>
    <w:basedOn w:val="1"/>
    <w:link w:val="45"/>
    <w:qFormat/>
    <w:uiPriority w:val="0"/>
    <w:pPr>
      <w:spacing w:line="360" w:lineRule="auto"/>
      <w:ind w:firstLine="200" w:firstLineChars="200"/>
    </w:pPr>
    <w:rPr>
      <w:bCs/>
      <w:sz w:val="24"/>
      <w:szCs w:val="22"/>
    </w:rPr>
  </w:style>
  <w:style w:type="character" w:customStyle="1" w:styleId="47">
    <w:name w:val="批注文字 Char"/>
    <w:uiPriority w:val="0"/>
    <w:rPr>
      <w:rFonts w:ascii="Times New Roman" w:hAnsi="Times New Roman"/>
      <w:kern w:val="2"/>
      <w:sz w:val="21"/>
      <w:szCs w:val="24"/>
    </w:rPr>
  </w:style>
  <w:style w:type="paragraph" w:customStyle="1" w:styleId="48">
    <w:name w:val="Char"/>
    <w:basedOn w:val="1"/>
    <w:qFormat/>
    <w:uiPriority w:val="99"/>
  </w:style>
  <w:style w:type="paragraph" w:customStyle="1" w:styleId="49">
    <w:name w:val="Char Char Char Char"/>
    <w:basedOn w:val="1"/>
    <w:qFormat/>
    <w:uiPriority w:val="0"/>
    <w:pPr>
      <w:tabs>
        <w:tab w:val="left" w:pos="360"/>
      </w:tabs>
      <w:adjustRightInd w:val="0"/>
    </w:pPr>
  </w:style>
  <w:style w:type="paragraph" w:customStyle="1" w:styleId="50">
    <w:name w:val="页脚1"/>
    <w:basedOn w:val="1"/>
    <w:qFormat/>
    <w:uiPriority w:val="99"/>
    <w:pPr>
      <w:tabs>
        <w:tab w:val="center" w:pos="4153"/>
        <w:tab w:val="right" w:pos="8306"/>
      </w:tabs>
      <w:jc w:val="left"/>
    </w:pPr>
    <w:rPr>
      <w:sz w:val="18"/>
      <w:szCs w:val="18"/>
    </w:rPr>
  </w:style>
  <w:style w:type="paragraph" w:styleId="51">
    <w:name w:val=""/>
    <w:unhideWhenUsed/>
    <w:uiPriority w:val="99"/>
    <w:rPr>
      <w:rFonts w:ascii="Times New Roman" w:hAnsi="Times New Roman"/>
      <w:kern w:val="2"/>
      <w:sz w:val="21"/>
      <w:szCs w:val="24"/>
      <w:lang w:val="en-US" w:eastAsia="zh-CN" w:bidi="ar-SA"/>
    </w:rPr>
  </w:style>
  <w:style w:type="paragraph" w:customStyle="1" w:styleId="52">
    <w:name w:val="修订3"/>
    <w:unhideWhenUsed/>
    <w:uiPriority w:val="99"/>
    <w:rPr>
      <w:rFonts w:ascii="Times New Roman" w:hAnsi="Times New Roman"/>
      <w:kern w:val="2"/>
      <w:sz w:val="21"/>
      <w:szCs w:val="24"/>
      <w:lang w:val="en-US" w:eastAsia="zh-CN" w:bidi="ar-SA"/>
    </w:rPr>
  </w:style>
  <w:style w:type="paragraph" w:customStyle="1" w:styleId="53">
    <w:name w:val="默认段落字体 Para Char"/>
    <w:basedOn w:val="1"/>
    <w:qFormat/>
    <w:uiPriority w:val="99"/>
  </w:style>
  <w:style w:type="paragraph" w:customStyle="1" w:styleId="54">
    <w:name w:val="修订1"/>
    <w:semiHidden/>
    <w:qFormat/>
    <w:uiPriority w:val="99"/>
    <w:rPr>
      <w:rFonts w:ascii="Times New Roman" w:hAnsi="Times New Roman"/>
      <w:szCs w:val="24"/>
      <w:lang w:val="en-US" w:eastAsia="zh-CN" w:bidi="ar-SA"/>
    </w:rPr>
  </w:style>
  <w:style w:type="paragraph" w:customStyle="1" w:styleId="55">
    <w:name w:val="Default"/>
    <w:qFormat/>
    <w:uiPriority w:val="99"/>
    <w:pPr>
      <w:widowControl w:val="0"/>
      <w:autoSpaceDE w:val="0"/>
      <w:autoSpaceDN w:val="0"/>
      <w:adjustRightInd w:val="0"/>
    </w:pPr>
    <w:rPr>
      <w:rFonts w:ascii="宋体" w:hAnsi="Times New Roman" w:cs="宋体"/>
      <w:color w:val="000000"/>
      <w:sz w:val="24"/>
      <w:szCs w:val="24"/>
      <w:lang w:val="en-US" w:eastAsia="zh-CN" w:bidi="ar-SA"/>
    </w:rPr>
  </w:style>
  <w:style w:type="paragraph" w:customStyle="1" w:styleId="56">
    <w:name w:val="正文所"/>
    <w:basedOn w:val="1"/>
    <w:qFormat/>
    <w:uiPriority w:val="99"/>
    <w:pPr>
      <w:spacing w:line="360" w:lineRule="auto"/>
      <w:ind w:firstLine="420"/>
    </w:pPr>
  </w:style>
  <w:style w:type="paragraph" w:customStyle="1" w:styleId="57">
    <w:name w:val="Char Char"/>
    <w:basedOn w:val="1"/>
    <w:qFormat/>
    <w:uiPriority w:val="0"/>
    <w:rPr>
      <w:szCs w:val="20"/>
    </w:rPr>
  </w:style>
  <w:style w:type="paragraph" w:customStyle="1" w:styleId="58">
    <w:name w:val="UCAlpha 2"/>
    <w:basedOn w:val="1"/>
    <w:qFormat/>
    <w:uiPriority w:val="99"/>
    <w:pPr>
      <w:widowControl/>
      <w:numPr>
        <w:ilvl w:val="0"/>
        <w:numId w:val="1"/>
      </w:numPr>
      <w:spacing w:after="140" w:line="290" w:lineRule="auto"/>
    </w:pPr>
    <w:rPr>
      <w:rFonts w:ascii="Arial" w:hAnsi="Arial"/>
      <w:kern w:val="20"/>
      <w:sz w:val="20"/>
      <w:lang w:eastAsia="en-US"/>
    </w:rPr>
  </w:style>
  <w:style w:type="paragraph" w:customStyle="1" w:styleId="59">
    <w:name w:val="样式 首行缩进:  2 字符 段前: 0.25 行 段后: 0.25 行"/>
    <w:basedOn w:val="1"/>
    <w:qFormat/>
    <w:uiPriority w:val="99"/>
    <w:pPr>
      <w:spacing w:beforeLines="25" w:afterLines="25" w:line="300" w:lineRule="auto"/>
      <w:ind w:firstLine="420" w:firstLineChars="200"/>
    </w:pPr>
    <w:rPr>
      <w:szCs w:val="21"/>
    </w:rPr>
  </w:style>
  <w:style w:type="paragraph" w:customStyle="1" w:styleId="60">
    <w:name w:val="修订2"/>
    <w:semiHidden/>
    <w:qFormat/>
    <w:uiPriority w:val="99"/>
    <w:rPr>
      <w:rFonts w:ascii="Times New Roman" w:hAnsi="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4821</Words>
  <Characters>27481</Characters>
  <Lines>229</Lines>
  <Paragraphs>64</Paragraphs>
  <TotalTime>2</TotalTime>
  <ScaleCrop>false</ScaleCrop>
  <LinksUpToDate>false</LinksUpToDate>
  <CharactersWithSpaces>32238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2022-08-30T04:02:00Z</dcterms:created>
  <dc:creator>NTKO</dc:creator>
  <cp:lastModifiedBy>zhaiq</cp:lastModifiedBy>
  <cp:lastPrinted>2020-12-08T05:38:00Z</cp:lastPrinted>
  <dcterms:modified xsi:type="dcterms:W3CDTF">2026-10-13T02:23:59Z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926E53E2D94F4D0A956F05DFF449B302_13</vt:lpwstr>
  </property>
</Properties>
</file>