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2B99BD"/>
    <w:p w14:paraId="476544B0">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博时基金管理有限公司关于以通讯方式召开博时稳欣39个月定期开放债券型证</w:t>
      </w:r>
      <w:bookmarkStart w:id="0" w:name="OLE_LINK4"/>
      <w:bookmarkStart w:id="1" w:name="OLE_LINK5"/>
      <w:r>
        <w:rPr>
          <w:rFonts w:hint="eastAsia" w:ascii="宋体" w:hAnsi="宋体" w:eastAsia="宋体"/>
          <w:b/>
          <w:sz w:val="24"/>
        </w:rPr>
        <w:t>券投资基金基金份额持有人大会的公告</w:t>
      </w:r>
      <w:bookmarkEnd w:id="0"/>
      <w:bookmarkEnd w:id="1"/>
    </w:p>
    <w:p w14:paraId="1D92CA4E">
      <w:pPr>
        <w:spacing w:line="360" w:lineRule="auto"/>
        <w:jc w:val="center"/>
        <w:rPr>
          <w:rFonts w:hint="eastAsia" w:ascii="宋体" w:hAnsi="宋体" w:eastAsia="宋体"/>
          <w:b/>
          <w:sz w:val="24"/>
        </w:rPr>
      </w:pPr>
    </w:p>
    <w:p w14:paraId="26D490A5">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095876A6">
      <w:pPr>
        <w:pStyle w:val="8"/>
        <w:spacing w:before="0" w:beforeAutospacing="0" w:after="0" w:afterAutospacing="0" w:line="360" w:lineRule="auto"/>
        <w:ind w:firstLine="420"/>
        <w:rPr>
          <w:rFonts w:hint="eastAsia"/>
          <w:sz w:val="21"/>
          <w:szCs w:val="21"/>
        </w:rPr>
      </w:pPr>
      <w:r>
        <w:rPr>
          <w:rFonts w:hint="eastAsia"/>
          <w:sz w:val="21"/>
          <w:szCs w:val="21"/>
        </w:rPr>
        <w:t>根据《中华人民共和国证券投资基金法》、《公开募集证券投资基金运作管理办法》和《</w:t>
      </w:r>
      <w:r>
        <w:rPr>
          <w:rStyle w:val="13"/>
          <w:rFonts w:hint="eastAsia"/>
          <w:i w:val="0"/>
          <w:iCs w:val="0"/>
          <w:sz w:val="21"/>
          <w:szCs w:val="21"/>
        </w:rPr>
        <w:t>博时稳欣39个月定期开放债券型证券投资基金</w:t>
      </w:r>
      <w:r>
        <w:rPr>
          <w:rFonts w:hint="eastAsia"/>
          <w:sz w:val="21"/>
          <w:szCs w:val="21"/>
        </w:rPr>
        <w:t>基金合同》（以下简称“《基金合同》”或“基金合同”）的有关规定，</w:t>
      </w:r>
      <w:r>
        <w:rPr>
          <w:rStyle w:val="13"/>
          <w:rFonts w:hint="eastAsia"/>
          <w:i w:val="0"/>
          <w:iCs w:val="0"/>
          <w:sz w:val="21"/>
          <w:szCs w:val="21"/>
        </w:rPr>
        <w:t>博时稳欣39个月定期开放债券型证券投资基金</w:t>
      </w:r>
      <w:r>
        <w:rPr>
          <w:rFonts w:hint="eastAsia"/>
          <w:sz w:val="21"/>
          <w:szCs w:val="21"/>
        </w:rPr>
        <w:t>（以下简称“本基金”）的基金管理人博时基金管理有限公司（以下简称“基金管理人”或“本基金管理人”）经与本基金的基金托管人</w:t>
      </w:r>
      <w:r>
        <w:rPr>
          <w:rStyle w:val="13"/>
          <w:rFonts w:hint="eastAsia"/>
          <w:i w:val="0"/>
          <w:iCs w:val="0"/>
          <w:sz w:val="21"/>
          <w:szCs w:val="21"/>
        </w:rPr>
        <w:t>上海浦东发展银行股份有限公司</w:t>
      </w:r>
      <w:r>
        <w:rPr>
          <w:rFonts w:hint="eastAsia"/>
          <w:sz w:val="21"/>
          <w:szCs w:val="21"/>
        </w:rPr>
        <w:t xml:space="preserve">协商一致，决定以通讯方式召开本基金的基金份额持有人大会，会议的具体安排如下： </w:t>
      </w:r>
    </w:p>
    <w:p w14:paraId="36226413">
      <w:pPr>
        <w:pStyle w:val="8"/>
        <w:spacing w:before="0" w:beforeAutospacing="0" w:after="0" w:afterAutospacing="0" w:line="360" w:lineRule="auto"/>
        <w:ind w:firstLine="420"/>
        <w:rPr>
          <w:rFonts w:hint="eastAsia"/>
          <w:sz w:val="21"/>
          <w:szCs w:val="21"/>
        </w:rPr>
      </w:pPr>
      <w:r>
        <w:rPr>
          <w:rFonts w:hint="eastAsia"/>
          <w:sz w:val="21"/>
          <w:szCs w:val="21"/>
        </w:rPr>
        <w:t xml:space="preserve">1、会议召开方式：通讯方式 </w:t>
      </w:r>
    </w:p>
    <w:p w14:paraId="05D63480">
      <w:pPr>
        <w:pStyle w:val="8"/>
        <w:spacing w:before="0" w:beforeAutospacing="0" w:after="0" w:afterAutospacing="0" w:line="360" w:lineRule="auto"/>
        <w:ind w:firstLine="420"/>
        <w:rPr>
          <w:rFonts w:hint="eastAsia"/>
          <w:sz w:val="21"/>
          <w:szCs w:val="21"/>
        </w:rPr>
      </w:pPr>
      <w:r>
        <w:rPr>
          <w:rFonts w:hint="eastAsia"/>
          <w:sz w:val="21"/>
          <w:szCs w:val="21"/>
        </w:rPr>
        <w:t>2、会议投票表决起止时间：自</w:t>
      </w:r>
      <w:r>
        <w:rPr>
          <w:rStyle w:val="13"/>
          <w:rFonts w:hint="eastAsia"/>
          <w:i w:val="0"/>
          <w:iCs w:val="0"/>
          <w:sz w:val="21"/>
          <w:szCs w:val="21"/>
          <w:lang w:eastAsia="zh-CN"/>
        </w:rPr>
        <w:t>2026年7月3日</w:t>
      </w:r>
      <w:r>
        <w:rPr>
          <w:rFonts w:hint="eastAsia"/>
          <w:sz w:val="21"/>
          <w:szCs w:val="21"/>
        </w:rPr>
        <w:t>起，至</w:t>
      </w:r>
      <w:r>
        <w:rPr>
          <w:rStyle w:val="13"/>
          <w:rFonts w:hint="eastAsia"/>
          <w:i w:val="0"/>
          <w:iCs w:val="0"/>
          <w:sz w:val="21"/>
          <w:szCs w:val="21"/>
          <w:lang w:eastAsia="zh-CN"/>
        </w:rPr>
        <w:t>2026年8月3日</w:t>
      </w:r>
      <w:r>
        <w:rPr>
          <w:rFonts w:hint="eastAsia"/>
          <w:sz w:val="21"/>
          <w:szCs w:val="21"/>
        </w:rPr>
        <w:t xml:space="preserve">17：00止（送达时间以本基金管理人收到表决票时间为准）。 </w:t>
      </w:r>
    </w:p>
    <w:p w14:paraId="5E46D372">
      <w:pPr>
        <w:pStyle w:val="8"/>
        <w:spacing w:before="0" w:beforeAutospacing="0" w:after="0" w:afterAutospacing="0" w:line="360" w:lineRule="auto"/>
        <w:ind w:firstLine="420"/>
        <w:rPr>
          <w:rFonts w:hint="eastAsia"/>
          <w:sz w:val="21"/>
          <w:szCs w:val="21"/>
        </w:rPr>
      </w:pPr>
      <w:r>
        <w:rPr>
          <w:rFonts w:hint="eastAsia"/>
          <w:sz w:val="21"/>
          <w:szCs w:val="21"/>
        </w:rPr>
        <w:t>3、会议计票日：</w:t>
      </w:r>
      <w:r>
        <w:rPr>
          <w:rStyle w:val="13"/>
          <w:rFonts w:hint="eastAsia"/>
          <w:i w:val="0"/>
          <w:iCs w:val="0"/>
          <w:sz w:val="21"/>
          <w:szCs w:val="21"/>
          <w:lang w:eastAsia="zh-CN"/>
        </w:rPr>
        <w:t>2026年8月4日</w:t>
      </w:r>
      <w:r>
        <w:rPr>
          <w:rFonts w:hint="eastAsia"/>
          <w:sz w:val="21"/>
          <w:szCs w:val="21"/>
        </w:rPr>
        <w:t xml:space="preserve">  </w:t>
      </w:r>
    </w:p>
    <w:p w14:paraId="65759AB5">
      <w:pPr>
        <w:pStyle w:val="8"/>
        <w:spacing w:before="0" w:beforeAutospacing="0" w:after="0" w:afterAutospacing="0" w:line="360" w:lineRule="auto"/>
        <w:ind w:firstLine="420"/>
        <w:rPr>
          <w:rFonts w:hint="eastAsia"/>
          <w:sz w:val="21"/>
          <w:szCs w:val="21"/>
        </w:rPr>
      </w:pPr>
      <w:r>
        <w:rPr>
          <w:rFonts w:hint="eastAsia"/>
          <w:sz w:val="21"/>
          <w:szCs w:val="21"/>
        </w:rPr>
        <w:t xml:space="preserve">4、会议表决票的寄达地点： </w:t>
      </w:r>
    </w:p>
    <w:p w14:paraId="7004A883">
      <w:pPr>
        <w:pStyle w:val="8"/>
        <w:spacing w:before="0" w:beforeAutospacing="0" w:after="0" w:afterAutospacing="0" w:line="360" w:lineRule="auto"/>
        <w:ind w:firstLine="420"/>
        <w:rPr>
          <w:rFonts w:hint="eastAsia"/>
          <w:sz w:val="21"/>
          <w:szCs w:val="21"/>
        </w:rPr>
      </w:pPr>
      <w:r>
        <w:rPr>
          <w:rFonts w:hint="eastAsia"/>
          <w:sz w:val="21"/>
          <w:szCs w:val="21"/>
        </w:rPr>
        <w:t xml:space="preserve">基金管理人：博时基金管理有限公司 </w:t>
      </w:r>
    </w:p>
    <w:p w14:paraId="48D6D669">
      <w:pPr>
        <w:pStyle w:val="8"/>
        <w:spacing w:before="0" w:beforeAutospacing="0" w:after="0" w:afterAutospacing="0" w:line="360" w:lineRule="auto"/>
        <w:ind w:firstLine="420"/>
        <w:rPr>
          <w:rFonts w:hint="eastAsia"/>
          <w:sz w:val="21"/>
          <w:szCs w:val="21"/>
        </w:rPr>
      </w:pPr>
      <w:r>
        <w:rPr>
          <w:rFonts w:hint="eastAsia"/>
          <w:sz w:val="21"/>
          <w:szCs w:val="21"/>
        </w:rPr>
        <w:t xml:space="preserve">办公地址：北京市东城区建国门内大街8号中粮广场C座3层301（邮编100005） </w:t>
      </w:r>
    </w:p>
    <w:p w14:paraId="671EAB02">
      <w:pPr>
        <w:pStyle w:val="8"/>
        <w:spacing w:before="0" w:beforeAutospacing="0" w:after="0" w:afterAutospacing="0" w:line="360" w:lineRule="auto"/>
        <w:ind w:firstLine="420"/>
        <w:rPr>
          <w:rFonts w:hint="eastAsia"/>
          <w:sz w:val="21"/>
          <w:szCs w:val="21"/>
        </w:rPr>
      </w:pPr>
      <w:r>
        <w:rPr>
          <w:rFonts w:hint="eastAsia"/>
          <w:sz w:val="21"/>
          <w:szCs w:val="21"/>
        </w:rPr>
        <w:t xml:space="preserve">联系人：翟青 </w:t>
      </w:r>
    </w:p>
    <w:p w14:paraId="177D4F58">
      <w:pPr>
        <w:pStyle w:val="8"/>
        <w:spacing w:before="0" w:beforeAutospacing="0" w:after="0" w:afterAutospacing="0" w:line="360" w:lineRule="auto"/>
        <w:ind w:firstLine="420"/>
        <w:rPr>
          <w:rFonts w:hint="eastAsia"/>
          <w:sz w:val="21"/>
          <w:szCs w:val="21"/>
        </w:rPr>
      </w:pPr>
      <w:r>
        <w:rPr>
          <w:rFonts w:hint="eastAsia"/>
          <w:sz w:val="21"/>
          <w:szCs w:val="21"/>
        </w:rPr>
        <w:t xml:space="preserve">联系电话：010-65171166 </w:t>
      </w:r>
    </w:p>
    <w:p w14:paraId="1C621539">
      <w:pPr>
        <w:pStyle w:val="8"/>
        <w:spacing w:before="0" w:beforeAutospacing="0" w:after="0" w:afterAutospacing="0" w:line="360" w:lineRule="auto"/>
        <w:ind w:firstLine="420"/>
        <w:rPr>
          <w:rFonts w:hint="eastAsia"/>
          <w:sz w:val="21"/>
          <w:szCs w:val="21"/>
        </w:rPr>
      </w:pPr>
      <w:r>
        <w:rPr>
          <w:rFonts w:hint="eastAsia"/>
          <w:sz w:val="21"/>
          <w:szCs w:val="21"/>
        </w:rPr>
        <w:t>请在信封表面注明：“</w:t>
      </w:r>
      <w:r>
        <w:rPr>
          <w:rStyle w:val="13"/>
          <w:rFonts w:hint="eastAsia"/>
          <w:i w:val="0"/>
          <w:iCs w:val="0"/>
          <w:sz w:val="21"/>
          <w:szCs w:val="21"/>
        </w:rPr>
        <w:t>博时稳欣39个月定期开放债券型证券投资基金</w:t>
      </w:r>
      <w:r>
        <w:rPr>
          <w:rFonts w:hint="eastAsia"/>
          <w:sz w:val="21"/>
          <w:szCs w:val="21"/>
        </w:rPr>
        <w:t xml:space="preserve">基金份额持有人大会表决专用”。 </w:t>
      </w:r>
    </w:p>
    <w:p w14:paraId="1EF42318">
      <w:pPr>
        <w:pStyle w:val="8"/>
        <w:spacing w:before="0" w:beforeAutospacing="0" w:after="0" w:afterAutospacing="0" w:line="360" w:lineRule="auto"/>
        <w:ind w:firstLine="420"/>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3042804C">
      <w:pPr>
        <w:pStyle w:val="8"/>
        <w:spacing w:before="0" w:beforeAutospacing="0" w:after="0" w:afterAutospacing="0" w:line="360" w:lineRule="auto"/>
        <w:ind w:firstLine="420"/>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5DA459E5">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3E2D0C61">
      <w:pPr>
        <w:pStyle w:val="8"/>
        <w:spacing w:before="0" w:beforeAutospacing="0" w:after="0" w:afterAutospacing="0" w:line="360" w:lineRule="auto"/>
        <w:ind w:firstLine="420"/>
        <w:rPr>
          <w:rFonts w:hint="eastAsia"/>
          <w:sz w:val="21"/>
          <w:szCs w:val="21"/>
        </w:rPr>
      </w:pPr>
      <w:r>
        <w:rPr>
          <w:rFonts w:hint="eastAsia"/>
          <w:sz w:val="21"/>
          <w:szCs w:val="21"/>
        </w:rPr>
        <w:t>《</w:t>
      </w:r>
      <w:r>
        <w:rPr>
          <w:rStyle w:val="13"/>
          <w:rFonts w:hint="eastAsia"/>
          <w:i w:val="0"/>
          <w:iCs w:val="0"/>
          <w:sz w:val="21"/>
          <w:szCs w:val="21"/>
        </w:rPr>
        <w:t>关于博时稳欣39个月定期开放债券型证券投资基金修改基金合同条款的议案</w:t>
      </w:r>
      <w:r>
        <w:rPr>
          <w:rFonts w:hint="eastAsia"/>
          <w:sz w:val="21"/>
          <w:szCs w:val="21"/>
        </w:rPr>
        <w:t xml:space="preserve">》（见附件一）。 </w:t>
      </w:r>
    </w:p>
    <w:p w14:paraId="0B545C21">
      <w:pPr>
        <w:pStyle w:val="8"/>
        <w:spacing w:before="0" w:beforeAutospacing="0" w:after="0" w:afterAutospacing="0" w:line="360" w:lineRule="auto"/>
        <w:ind w:firstLine="420"/>
        <w:rPr>
          <w:rFonts w:hint="eastAsia"/>
          <w:sz w:val="21"/>
          <w:szCs w:val="21"/>
        </w:rPr>
      </w:pPr>
      <w:r>
        <w:rPr>
          <w:rFonts w:hint="eastAsia"/>
          <w:sz w:val="21"/>
          <w:szCs w:val="21"/>
        </w:rPr>
        <w:t xml:space="preserve">上述议案的内容说明请参见《博时稳欣39个月定期开放债券型证券投资基金修改基金合同条款的议案》说明书（见附件四）。 </w:t>
      </w:r>
    </w:p>
    <w:p w14:paraId="3BB6039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3512BAEA">
      <w:pPr>
        <w:pStyle w:val="8"/>
        <w:spacing w:before="0" w:beforeAutospacing="0" w:after="0" w:afterAutospacing="0" w:line="360" w:lineRule="auto"/>
        <w:ind w:firstLine="420"/>
        <w:rPr>
          <w:rFonts w:hint="eastAsia"/>
          <w:sz w:val="21"/>
          <w:szCs w:val="21"/>
        </w:rPr>
      </w:pPr>
      <w:r>
        <w:rPr>
          <w:rFonts w:hint="eastAsia"/>
          <w:sz w:val="21"/>
          <w:szCs w:val="21"/>
        </w:rPr>
        <w:t>本次大会的权益登记日为</w:t>
      </w:r>
      <w:r>
        <w:rPr>
          <w:rStyle w:val="13"/>
          <w:rFonts w:hint="eastAsia"/>
          <w:i w:val="0"/>
          <w:iCs w:val="0"/>
          <w:sz w:val="21"/>
          <w:szCs w:val="21"/>
          <w:lang w:eastAsia="zh-CN"/>
        </w:rPr>
        <w:t>2026年7月3日</w:t>
      </w:r>
      <w:r>
        <w:rPr>
          <w:rFonts w:hint="eastAsia"/>
          <w:sz w:val="21"/>
          <w:szCs w:val="21"/>
        </w:rPr>
        <w:t>，即</w:t>
      </w:r>
      <w:r>
        <w:rPr>
          <w:rStyle w:val="13"/>
          <w:rFonts w:hint="eastAsia"/>
          <w:i w:val="0"/>
          <w:iCs w:val="0"/>
          <w:sz w:val="21"/>
          <w:szCs w:val="21"/>
          <w:lang w:eastAsia="zh-CN"/>
        </w:rPr>
        <w:t>2026年7月3日</w:t>
      </w:r>
      <w:r>
        <w:rPr>
          <w:rFonts w:hint="eastAsia"/>
          <w:sz w:val="21"/>
          <w:szCs w:val="21"/>
        </w:rPr>
        <w:t xml:space="preserve">在本基金登记机构登记在册的本基金全体基金份额持有人均有权参与本次基金份额持有人大会的表决。 </w:t>
      </w:r>
    </w:p>
    <w:p w14:paraId="5E64994E">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12EC140C">
      <w:pPr>
        <w:pStyle w:val="8"/>
        <w:spacing w:before="0" w:beforeAutospacing="0" w:after="0" w:afterAutospacing="0" w:line="360" w:lineRule="auto"/>
        <w:ind w:firstLine="420"/>
        <w:rPr>
          <w:rFonts w:hint="eastAsia"/>
          <w:sz w:val="21"/>
          <w:szCs w:val="21"/>
        </w:rPr>
      </w:pPr>
      <w:r>
        <w:rPr>
          <w:rFonts w:hint="eastAsia"/>
          <w:sz w:val="21"/>
          <w:szCs w:val="21"/>
        </w:rPr>
        <w:t xml:space="preserve">（一）纸质投票的填写和寄交方式 </w:t>
      </w:r>
    </w:p>
    <w:p w14:paraId="2A0EEAC9">
      <w:pPr>
        <w:pStyle w:val="8"/>
        <w:spacing w:before="0" w:beforeAutospacing="0" w:after="0" w:afterAutospacing="0" w:line="360" w:lineRule="auto"/>
        <w:ind w:firstLine="420"/>
        <w:rPr>
          <w:rFonts w:hint="eastAsia"/>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109C689F">
      <w:pPr>
        <w:pStyle w:val="8"/>
        <w:spacing w:before="0" w:beforeAutospacing="0" w:after="0" w:afterAutospacing="0" w:line="360" w:lineRule="auto"/>
        <w:ind w:firstLine="420"/>
        <w:rPr>
          <w:rFonts w:hint="eastAsia"/>
          <w:sz w:val="21"/>
          <w:szCs w:val="21"/>
        </w:rPr>
      </w:pPr>
      <w:r>
        <w:rPr>
          <w:rFonts w:hint="eastAsia"/>
          <w:sz w:val="21"/>
          <w:szCs w:val="21"/>
        </w:rPr>
        <w:t xml:space="preserve">2、基金份额持有人应当按照表决票的要求填写相关内容，其中： </w:t>
      </w:r>
    </w:p>
    <w:p w14:paraId="7801B168">
      <w:pPr>
        <w:pStyle w:val="8"/>
        <w:spacing w:before="0" w:beforeAutospacing="0" w:after="0" w:afterAutospacing="0" w:line="360" w:lineRule="auto"/>
        <w:ind w:firstLine="420"/>
        <w:rPr>
          <w:rFonts w:hint="eastAsia"/>
          <w:sz w:val="21"/>
          <w:szCs w:val="21"/>
        </w:rPr>
      </w:pPr>
      <w:r>
        <w:rPr>
          <w:rFonts w:hint="eastAsia"/>
          <w:sz w:val="21"/>
          <w:szCs w:val="21"/>
        </w:rPr>
        <w:t xml:space="preserve">（1）个人投资者自行投票的，需在表决票上签字，并提供本人有效身份证件（包括使用的有效身份证或其他能够表明其身份的有效证件或证明）正反面复印件； </w:t>
      </w:r>
    </w:p>
    <w:p w14:paraId="1092F13D">
      <w:pPr>
        <w:pStyle w:val="8"/>
        <w:spacing w:before="0" w:beforeAutospacing="0" w:after="0" w:afterAutospacing="0" w:line="360" w:lineRule="auto"/>
        <w:ind w:firstLine="420"/>
        <w:rPr>
          <w:rFonts w:hint="eastAsia"/>
          <w:sz w:val="21"/>
          <w:szCs w:val="21"/>
        </w:rPr>
      </w:pPr>
      <w:r>
        <w:rPr>
          <w:rFonts w:hint="eastAsia"/>
          <w:sz w:val="21"/>
          <w:szCs w:val="21"/>
        </w:rPr>
        <w:t xml:space="preserve">（2）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16BE0EF4">
      <w:pPr>
        <w:pStyle w:val="8"/>
        <w:spacing w:before="0" w:beforeAutospacing="0" w:after="0" w:afterAutospacing="0" w:line="360" w:lineRule="auto"/>
        <w:ind w:firstLine="420"/>
        <w:rPr>
          <w:rFonts w:hint="eastAsia"/>
          <w:sz w:val="21"/>
          <w:szCs w:val="21"/>
        </w:rPr>
      </w:pPr>
      <w:r>
        <w:rPr>
          <w:rFonts w:hint="eastAsia"/>
          <w:sz w:val="21"/>
          <w:szCs w:val="21"/>
        </w:rPr>
        <w:t xml:space="preserve">（3）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5ADE42CA">
      <w:pPr>
        <w:pStyle w:val="8"/>
        <w:spacing w:before="0" w:beforeAutospacing="0" w:after="0" w:afterAutospacing="0" w:line="360" w:lineRule="auto"/>
        <w:ind w:firstLine="420"/>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37DC27F7">
      <w:pPr>
        <w:pStyle w:val="8"/>
        <w:spacing w:before="0" w:beforeAutospacing="0" w:after="0" w:afterAutospacing="0" w:line="360" w:lineRule="auto"/>
        <w:ind w:firstLine="420"/>
        <w:rPr>
          <w:rFonts w:hint="eastAsia"/>
          <w:sz w:val="21"/>
          <w:szCs w:val="21"/>
        </w:rPr>
      </w:pPr>
      <w:r>
        <w:rPr>
          <w:rFonts w:hint="eastAsia"/>
          <w:sz w:val="21"/>
          <w:szCs w:val="21"/>
        </w:rPr>
        <w:t>3、基金份额持有人或其代理人需将填妥的表决票和所需的相关文件自</w:t>
      </w:r>
      <w:r>
        <w:rPr>
          <w:rStyle w:val="13"/>
          <w:rFonts w:hint="eastAsia"/>
          <w:i w:val="0"/>
          <w:iCs w:val="0"/>
          <w:sz w:val="21"/>
          <w:szCs w:val="21"/>
          <w:lang w:eastAsia="zh-CN"/>
        </w:rPr>
        <w:t>2026年7月3日</w:t>
      </w:r>
      <w:r>
        <w:rPr>
          <w:rFonts w:hint="eastAsia"/>
          <w:sz w:val="21"/>
          <w:szCs w:val="21"/>
        </w:rPr>
        <w:t>起，至</w:t>
      </w:r>
      <w:r>
        <w:rPr>
          <w:rStyle w:val="13"/>
          <w:rFonts w:hint="eastAsia"/>
          <w:i w:val="0"/>
          <w:iCs w:val="0"/>
          <w:sz w:val="21"/>
          <w:szCs w:val="21"/>
          <w:lang w:eastAsia="zh-CN"/>
        </w:rPr>
        <w:t>2026年8月3日</w:t>
      </w:r>
      <w:r>
        <w:rPr>
          <w:rFonts w:hint="eastAsia"/>
          <w:sz w:val="21"/>
          <w:szCs w:val="21"/>
        </w:rPr>
        <w:t>17：00以前（送达时间以基金管理人收到表决票时间为准）通过专人送交、邮寄的方式送达至本公告第一条第4项所述的寄达地址，并请在信封表面注明：“</w:t>
      </w:r>
      <w:r>
        <w:rPr>
          <w:rStyle w:val="13"/>
          <w:rFonts w:hint="eastAsia"/>
          <w:i w:val="0"/>
          <w:iCs w:val="0"/>
          <w:sz w:val="21"/>
          <w:szCs w:val="21"/>
        </w:rPr>
        <w:t>博时稳欣39个月定期开放债券型证券投资基金</w:t>
      </w:r>
      <w:r>
        <w:rPr>
          <w:rFonts w:hint="eastAsia"/>
          <w:sz w:val="21"/>
          <w:szCs w:val="21"/>
        </w:rPr>
        <w:t xml:space="preserve">基金份额持有人大会表决专用”。 </w:t>
      </w:r>
    </w:p>
    <w:p w14:paraId="2CFA0A40">
      <w:pPr>
        <w:pStyle w:val="8"/>
        <w:spacing w:before="0" w:beforeAutospacing="0" w:after="0" w:afterAutospacing="0" w:line="360" w:lineRule="auto"/>
        <w:ind w:firstLine="420"/>
        <w:rPr>
          <w:rFonts w:hint="eastAsia"/>
          <w:sz w:val="21"/>
          <w:szCs w:val="21"/>
        </w:rPr>
      </w:pPr>
      <w:r>
        <w:rPr>
          <w:rFonts w:hint="eastAsia"/>
          <w:sz w:val="21"/>
          <w:szCs w:val="21"/>
        </w:rPr>
        <w:t xml:space="preserve">（二）网络投票方式表决票的提交（仅适用于个人投资者） </w:t>
      </w:r>
    </w:p>
    <w:p w14:paraId="036F4D87">
      <w:pPr>
        <w:pStyle w:val="8"/>
        <w:spacing w:before="0" w:beforeAutospacing="0" w:after="0" w:afterAutospacing="0" w:line="360" w:lineRule="auto"/>
        <w:ind w:firstLine="420"/>
        <w:rPr>
          <w:rFonts w:hint="eastAsia"/>
          <w:sz w:val="21"/>
          <w:szCs w:val="21"/>
        </w:rPr>
      </w:pPr>
      <w:r>
        <w:rPr>
          <w:rFonts w:hint="eastAsia"/>
          <w:sz w:val="21"/>
          <w:szCs w:val="21"/>
        </w:rPr>
        <w:t>为方便基金份额持有人（个人投资者）参与本次大会投票，在本次基金份额持有人大会会议投票表决起止时间内，基金管理人在本基金管理人网站（https://www.bosera.com）设立投票专区（</w:t>
      </w:r>
      <w:r>
        <w:rPr>
          <w:rStyle w:val="13"/>
          <w:rFonts w:hint="eastAsia"/>
          <w:i w:val="0"/>
          <w:iCs w:val="0"/>
          <w:sz w:val="21"/>
          <w:szCs w:val="21"/>
        </w:rPr>
        <w:t>博时稳欣39个月定期开放债券型证券投资基金</w:t>
      </w:r>
      <w:r>
        <w:rPr>
          <w:rFonts w:hint="eastAsia"/>
          <w:sz w:val="21"/>
          <w:szCs w:val="21"/>
        </w:rPr>
        <w:t xml:space="preserve">：https://www.bosera.com/fundvote/list.do）供个人投资者进行投票。权益登记日登记在册的基金份额持有人，通过投票专区进行投票的，应准确填写姓名、证件号码、基金账号等相关内容，并按系统要求进行操作，以核实基金份额持有人的身份，确保基金份额持有人的权益。 </w:t>
      </w:r>
    </w:p>
    <w:p w14:paraId="32E38BE2">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447F9B48">
      <w:pPr>
        <w:pStyle w:val="8"/>
        <w:spacing w:before="0" w:beforeAutospacing="0" w:after="0" w:afterAutospacing="0" w:line="360" w:lineRule="auto"/>
        <w:ind w:firstLine="420"/>
        <w:rPr>
          <w:rFonts w:hint="eastAsia"/>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4F736339">
      <w:pPr>
        <w:pStyle w:val="8"/>
        <w:spacing w:before="0" w:beforeAutospacing="0" w:after="0" w:afterAutospacing="0" w:line="360" w:lineRule="auto"/>
        <w:ind w:firstLine="420"/>
        <w:rPr>
          <w:rFonts w:hint="eastAsia"/>
          <w:sz w:val="21"/>
          <w:szCs w:val="21"/>
        </w:rPr>
      </w:pPr>
      <w:r>
        <w:rPr>
          <w:rFonts w:hint="eastAsia"/>
          <w:sz w:val="21"/>
          <w:szCs w:val="21"/>
        </w:rPr>
        <w:t xml:space="preserve">1、纸面授权方式 </w:t>
      </w:r>
    </w:p>
    <w:p w14:paraId="10417C7A">
      <w:pPr>
        <w:pStyle w:val="8"/>
        <w:spacing w:before="0" w:beforeAutospacing="0" w:after="0" w:afterAutospacing="0" w:line="360" w:lineRule="auto"/>
        <w:ind w:firstLine="420"/>
        <w:rPr>
          <w:rFonts w:hint="eastAsia"/>
          <w:sz w:val="21"/>
          <w:szCs w:val="21"/>
        </w:rPr>
      </w:pPr>
      <w:r>
        <w:rPr>
          <w:rFonts w:hint="eastAsia"/>
          <w:sz w:val="21"/>
          <w:szCs w:val="21"/>
        </w:rPr>
        <w:t xml:space="preserve">（1）个人投资者委托他人投票的，应由代理人在表决票上签字或盖章，并提供个人投资者有效身份证件（包括使用的有效身份证或其他能够表明其身份的有效证件或证明）正反面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10B762E0">
      <w:pPr>
        <w:pStyle w:val="8"/>
        <w:spacing w:before="0" w:beforeAutospacing="0" w:after="0" w:afterAutospacing="0" w:line="360" w:lineRule="auto"/>
        <w:ind w:firstLine="420"/>
        <w:rPr>
          <w:rFonts w:hint="eastAsia"/>
          <w:sz w:val="21"/>
          <w:szCs w:val="21"/>
        </w:rPr>
      </w:pPr>
      <w:r>
        <w:rPr>
          <w:rFonts w:hint="eastAsia"/>
          <w:sz w:val="21"/>
          <w:szCs w:val="21"/>
        </w:rPr>
        <w:t xml:space="preserve">（2）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4B155D8B">
      <w:pPr>
        <w:pStyle w:val="8"/>
        <w:spacing w:before="0" w:beforeAutospacing="0" w:after="0" w:afterAutospacing="0" w:line="360" w:lineRule="auto"/>
        <w:ind w:firstLine="420"/>
        <w:rPr>
          <w:rFonts w:hint="eastAsia"/>
          <w:sz w:val="21"/>
          <w:szCs w:val="21"/>
        </w:rPr>
      </w:pPr>
      <w:r>
        <w:rPr>
          <w:rFonts w:hint="eastAsia"/>
          <w:sz w:val="21"/>
          <w:szCs w:val="21"/>
        </w:rPr>
        <w:t xml:space="preserve">（3）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5C6420E7">
      <w:pPr>
        <w:pStyle w:val="8"/>
        <w:spacing w:before="0" w:beforeAutospacing="0" w:after="0" w:afterAutospacing="0" w:line="360" w:lineRule="auto"/>
        <w:ind w:firstLine="420"/>
        <w:rPr>
          <w:rFonts w:hint="eastAsia"/>
          <w:sz w:val="21"/>
          <w:szCs w:val="21"/>
        </w:rPr>
      </w:pPr>
      <w:r>
        <w:rPr>
          <w:rFonts w:hint="eastAsia"/>
          <w:sz w:val="21"/>
          <w:szCs w:val="21"/>
        </w:rPr>
        <w:t xml:space="preserve">（4）如果代理人为基金管理人、基金托管人或基金销售机构，前述代理人将在取得基金份额持有人签署的授权委托书后统一办理委托投票手续（包括提供代理人有关证明文件）； </w:t>
      </w:r>
    </w:p>
    <w:p w14:paraId="6BF25722">
      <w:pPr>
        <w:pStyle w:val="8"/>
        <w:spacing w:before="0" w:beforeAutospacing="0" w:after="0" w:afterAutospacing="0" w:line="360" w:lineRule="auto"/>
        <w:ind w:firstLine="420"/>
        <w:rPr>
          <w:rFonts w:hint="eastAsia"/>
          <w:sz w:val="21"/>
          <w:szCs w:val="21"/>
        </w:rPr>
      </w:pPr>
      <w:r>
        <w:rPr>
          <w:rFonts w:hint="eastAsia"/>
          <w:sz w:val="21"/>
          <w:szCs w:val="21"/>
        </w:rPr>
        <w:t xml:space="preserve">（5）以上各项及本公告正文全文中的公章、批文、开户证明及登记证书等文件，以基金管理人的认可为准。 </w:t>
      </w:r>
    </w:p>
    <w:p w14:paraId="004EDD96">
      <w:pPr>
        <w:pStyle w:val="8"/>
        <w:spacing w:before="0" w:beforeAutospacing="0" w:after="0" w:afterAutospacing="0" w:line="360" w:lineRule="auto"/>
        <w:ind w:firstLine="420"/>
        <w:rPr>
          <w:rFonts w:hint="eastAsia"/>
          <w:sz w:val="21"/>
          <w:szCs w:val="21"/>
        </w:rPr>
      </w:pPr>
      <w:r>
        <w:rPr>
          <w:rFonts w:hint="eastAsia"/>
          <w:sz w:val="21"/>
          <w:szCs w:val="21"/>
        </w:rPr>
        <w:t xml:space="preserve">2、电话授权方式（仅适用于个人投资者） </w:t>
      </w:r>
    </w:p>
    <w:p w14:paraId="3E8B1C6D">
      <w:pPr>
        <w:pStyle w:val="8"/>
        <w:spacing w:before="0" w:beforeAutospacing="0" w:after="0" w:afterAutospacing="0" w:line="360" w:lineRule="auto"/>
        <w:ind w:firstLine="420"/>
        <w:rPr>
          <w:rFonts w:hint="eastAsia"/>
          <w:sz w:val="21"/>
          <w:szCs w:val="21"/>
        </w:rPr>
      </w:pPr>
      <w:r>
        <w:rPr>
          <w:rFonts w:hint="eastAsia"/>
          <w:sz w:val="21"/>
          <w:szCs w:val="21"/>
        </w:rPr>
        <w:t>（1）个人基金份额持有人可以通过基金管理人的电话征集授权通道（95105568）授权基金管理人进行投票。基金管理人在核实基金份额持有人身份后，根据基金份额持有人意愿进行授权记录，从而完成授权。基金管理人开设的录音电话征集授权通道接受授权的截止时间为本次大会投票截止日前一工作日（即</w:t>
      </w:r>
      <w:r>
        <w:rPr>
          <w:rStyle w:val="13"/>
          <w:rFonts w:hint="eastAsia"/>
          <w:i w:val="0"/>
          <w:iCs w:val="0"/>
          <w:sz w:val="21"/>
          <w:szCs w:val="21"/>
          <w:lang w:eastAsia="zh-CN"/>
        </w:rPr>
        <w:t>2026年7月31日</w:t>
      </w:r>
      <w:r>
        <w:rPr>
          <w:rFonts w:hint="eastAsia"/>
          <w:sz w:val="21"/>
          <w:szCs w:val="21"/>
        </w:rPr>
        <w:t xml:space="preserve">）17：00（授权时间以系统记录的电话接通时间为准）。 </w:t>
      </w:r>
    </w:p>
    <w:p w14:paraId="6031F1BC">
      <w:pPr>
        <w:pStyle w:val="8"/>
        <w:spacing w:before="0" w:beforeAutospacing="0" w:after="0" w:afterAutospacing="0" w:line="360" w:lineRule="auto"/>
        <w:ind w:firstLine="420"/>
        <w:rPr>
          <w:rFonts w:hint="eastAsia"/>
          <w:sz w:val="21"/>
          <w:szCs w:val="21"/>
        </w:rPr>
      </w:pPr>
      <w:r>
        <w:rPr>
          <w:rFonts w:hint="eastAsia"/>
          <w:sz w:val="21"/>
          <w:szCs w:val="21"/>
        </w:rPr>
        <w:t xml:space="preserve">（2）基金份额持有人通过电话授权委托基金管理人参与大会并进行投票时，请个人基金份额持有人明确具体表决意见，若无明确授权的表决意见，授权视为无效。 </w:t>
      </w:r>
    </w:p>
    <w:p w14:paraId="3F523250">
      <w:pPr>
        <w:pStyle w:val="8"/>
        <w:spacing w:before="0" w:beforeAutospacing="0" w:after="0" w:afterAutospacing="0" w:line="360" w:lineRule="auto"/>
        <w:ind w:firstLine="420"/>
        <w:rPr>
          <w:rFonts w:hint="eastAsia"/>
          <w:sz w:val="21"/>
          <w:szCs w:val="21"/>
        </w:rPr>
      </w:pPr>
      <w:r>
        <w:rPr>
          <w:rFonts w:hint="eastAsia"/>
          <w:sz w:val="21"/>
          <w:szCs w:val="21"/>
        </w:rPr>
        <w:t xml:space="preserve">（3）基金份额持有人通过电话授权基金管理人进行投票方式仅适用于持有本基金的个人基金份额持有人，对机构持有人暂不开通。代理人仅为基金管理人。 </w:t>
      </w:r>
    </w:p>
    <w:p w14:paraId="1813ACE5">
      <w:pPr>
        <w:pStyle w:val="8"/>
        <w:spacing w:before="0" w:beforeAutospacing="0" w:after="0" w:afterAutospacing="0" w:line="360" w:lineRule="auto"/>
        <w:ind w:firstLine="420"/>
        <w:rPr>
          <w:rFonts w:hint="eastAsia"/>
          <w:sz w:val="21"/>
          <w:szCs w:val="21"/>
        </w:rPr>
      </w:pPr>
      <w:r>
        <w:rPr>
          <w:rFonts w:hint="eastAsia"/>
          <w:sz w:val="21"/>
          <w:szCs w:val="21"/>
        </w:rPr>
        <w:t xml:space="preserve">（4）为保护基金份额持有人利益，上述通话过程将被录音。 </w:t>
      </w:r>
    </w:p>
    <w:p w14:paraId="71D7C98B">
      <w:pPr>
        <w:pStyle w:val="8"/>
        <w:spacing w:before="0" w:beforeAutospacing="0" w:after="0" w:afterAutospacing="0" w:line="360" w:lineRule="auto"/>
        <w:ind w:firstLine="420"/>
        <w:rPr>
          <w:rFonts w:hint="eastAsia"/>
          <w:sz w:val="21"/>
          <w:szCs w:val="21"/>
        </w:rPr>
      </w:pPr>
      <w:r>
        <w:rPr>
          <w:rFonts w:hint="eastAsia"/>
          <w:sz w:val="21"/>
          <w:szCs w:val="21"/>
        </w:rPr>
        <w:t xml:space="preserve">3、授权效力确定规则 </w:t>
      </w:r>
    </w:p>
    <w:p w14:paraId="2B6EBE5D">
      <w:pPr>
        <w:pStyle w:val="8"/>
        <w:spacing w:before="0" w:beforeAutospacing="0" w:after="0" w:afterAutospacing="0" w:line="360" w:lineRule="auto"/>
        <w:ind w:firstLine="420"/>
        <w:rPr>
          <w:rFonts w:hint="eastAsia"/>
          <w:sz w:val="21"/>
          <w:szCs w:val="21"/>
        </w:rPr>
      </w:pPr>
      <w:r>
        <w:rPr>
          <w:rFonts w:hint="eastAsia"/>
          <w:sz w:val="21"/>
          <w:szCs w:val="21"/>
        </w:rPr>
        <w:t xml:space="preserve">（1）同一基金份额持有人送达了有效表决票，又存在有效纸面授权或有效的非纸面方式授权的，以其送达的有效表决票为准； </w:t>
      </w:r>
    </w:p>
    <w:p w14:paraId="5BA7F94B">
      <w:pPr>
        <w:pStyle w:val="8"/>
        <w:spacing w:before="0" w:beforeAutospacing="0" w:after="0" w:afterAutospacing="0" w:line="360" w:lineRule="auto"/>
        <w:ind w:firstLine="420"/>
        <w:rPr>
          <w:rFonts w:hint="eastAsia"/>
          <w:sz w:val="21"/>
          <w:szCs w:val="21"/>
        </w:rPr>
      </w:pPr>
      <w:r>
        <w:rPr>
          <w:rFonts w:hint="eastAsia"/>
          <w:sz w:val="21"/>
          <w:szCs w:val="21"/>
        </w:rPr>
        <w:t xml:space="preserve">（2）同一基金份额存在有效纸面授权和有效非纸面授权（电话授权）的，以有效纸面授权为准； </w:t>
      </w:r>
    </w:p>
    <w:p w14:paraId="2F8B5C2B">
      <w:pPr>
        <w:pStyle w:val="8"/>
        <w:spacing w:before="0" w:beforeAutospacing="0" w:after="0" w:afterAutospacing="0" w:line="360" w:lineRule="auto"/>
        <w:ind w:firstLine="420"/>
        <w:rPr>
          <w:rFonts w:hint="eastAsia"/>
          <w:sz w:val="21"/>
          <w:szCs w:val="21"/>
        </w:rPr>
      </w:pPr>
      <w:r>
        <w:rPr>
          <w:rFonts w:hint="eastAsia"/>
          <w:sz w:val="21"/>
          <w:szCs w:val="21"/>
        </w:rPr>
        <w:t xml:space="preserve">（3）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0ED95C63">
      <w:pPr>
        <w:pStyle w:val="8"/>
        <w:spacing w:before="0" w:beforeAutospacing="0" w:after="0" w:afterAutospacing="0" w:line="360" w:lineRule="auto"/>
        <w:ind w:firstLine="420"/>
        <w:rPr>
          <w:rFonts w:hint="eastAsia"/>
          <w:sz w:val="21"/>
          <w:szCs w:val="21"/>
        </w:rPr>
      </w:pPr>
      <w:r>
        <w:rPr>
          <w:rFonts w:hint="eastAsia"/>
          <w:sz w:val="21"/>
          <w:szCs w:val="21"/>
        </w:rPr>
        <w:t xml:space="preserve">（4）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77CD230B">
      <w:pPr>
        <w:pStyle w:val="8"/>
        <w:spacing w:before="0" w:beforeAutospacing="0" w:after="0" w:afterAutospacing="0" w:line="360" w:lineRule="auto"/>
        <w:ind w:firstLine="420"/>
        <w:rPr>
          <w:rFonts w:hint="eastAsia"/>
          <w:sz w:val="21"/>
          <w:szCs w:val="21"/>
        </w:rPr>
      </w:pPr>
      <w:r>
        <w:rPr>
          <w:rFonts w:hint="eastAsia"/>
          <w:sz w:val="21"/>
          <w:szCs w:val="21"/>
        </w:rPr>
        <w:t xml:space="preserve">（5）同一基金份额存在以非纸面方式（电话授权）进行多次有效授权的，以最后一次授权为准。电话授权时间以系统记录的电话接通时间为准。 </w:t>
      </w:r>
    </w:p>
    <w:p w14:paraId="1319D410">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4D4126DC">
      <w:pPr>
        <w:pStyle w:val="8"/>
        <w:spacing w:before="0" w:beforeAutospacing="0" w:after="0" w:afterAutospacing="0" w:line="360" w:lineRule="auto"/>
        <w:ind w:firstLine="420"/>
        <w:rPr>
          <w:rFonts w:hint="eastAsia"/>
          <w:sz w:val="21"/>
          <w:szCs w:val="21"/>
        </w:rPr>
      </w:pPr>
      <w:r>
        <w:rPr>
          <w:rFonts w:hint="eastAsia"/>
          <w:sz w:val="21"/>
          <w:szCs w:val="21"/>
        </w:rPr>
        <w:t>1、本次通讯会议的计票方式为：由本基金管理人授权的两名监督员在基金托管人（</w:t>
      </w:r>
      <w:r>
        <w:rPr>
          <w:rStyle w:val="13"/>
          <w:rFonts w:hint="eastAsia"/>
          <w:i w:val="0"/>
          <w:iCs w:val="0"/>
          <w:sz w:val="21"/>
          <w:szCs w:val="21"/>
        </w:rPr>
        <w:t>上海浦东发展银行股份有限公司</w:t>
      </w:r>
      <w:r>
        <w:rPr>
          <w:rFonts w:hint="eastAsia"/>
          <w:sz w:val="21"/>
          <w:szCs w:val="21"/>
        </w:rPr>
        <w:t xml:space="preserve">）授权代表的监督下于本次通讯会议表决截止日期后2个工作日内进行计票，并由公证机关对其计票过程予以公证。基金托管人拒派代表对表决意见的计票进行监督的，不影响计票和表决结果。 </w:t>
      </w:r>
    </w:p>
    <w:p w14:paraId="5FB527D9">
      <w:pPr>
        <w:pStyle w:val="8"/>
        <w:spacing w:before="0" w:beforeAutospacing="0" w:after="0" w:afterAutospacing="0" w:line="360" w:lineRule="auto"/>
        <w:ind w:firstLine="420"/>
        <w:rPr>
          <w:rFonts w:hint="eastAsia"/>
          <w:sz w:val="21"/>
          <w:szCs w:val="21"/>
        </w:rPr>
      </w:pPr>
      <w:r>
        <w:rPr>
          <w:rFonts w:hint="eastAsia"/>
          <w:sz w:val="21"/>
          <w:szCs w:val="21"/>
        </w:rPr>
        <w:t xml:space="preserve">2、基金份额持有人所持每份基金份额享有一票表决权。 </w:t>
      </w:r>
    </w:p>
    <w:p w14:paraId="1455256F">
      <w:pPr>
        <w:pStyle w:val="8"/>
        <w:spacing w:before="0" w:beforeAutospacing="0" w:after="0" w:afterAutospacing="0" w:line="360" w:lineRule="auto"/>
        <w:ind w:firstLine="420"/>
        <w:rPr>
          <w:rFonts w:hint="eastAsia"/>
          <w:sz w:val="21"/>
          <w:szCs w:val="21"/>
        </w:rPr>
      </w:pPr>
      <w:r>
        <w:rPr>
          <w:rFonts w:hint="eastAsia"/>
          <w:sz w:val="21"/>
          <w:szCs w:val="21"/>
        </w:rPr>
        <w:t xml:space="preserve">3、纸质表决票效力的认定如下： </w:t>
      </w:r>
    </w:p>
    <w:p w14:paraId="6E3968F7">
      <w:pPr>
        <w:pStyle w:val="8"/>
        <w:spacing w:before="0" w:beforeAutospacing="0" w:after="0" w:afterAutospacing="0" w:line="360" w:lineRule="auto"/>
        <w:ind w:firstLine="420"/>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170197B2">
      <w:pPr>
        <w:pStyle w:val="8"/>
        <w:spacing w:before="0" w:beforeAutospacing="0" w:after="0" w:afterAutospacing="0" w:line="360" w:lineRule="auto"/>
        <w:ind w:firstLine="420"/>
        <w:rPr>
          <w:rFonts w:hint="eastAsia"/>
          <w:sz w:val="21"/>
          <w:szCs w:val="21"/>
        </w:rPr>
      </w:pPr>
      <w:r>
        <w:rPr>
          <w:rFonts w:hint="eastAsia"/>
          <w:sz w:val="21"/>
          <w:szCs w:val="21"/>
        </w:rPr>
        <w:t xml:space="preserve">（2）同一基金份额持有人送达了有效表决票，又存在有效纸面授权或有效非纸面授权的，以其送达的有效表决票为准。 </w:t>
      </w:r>
    </w:p>
    <w:p w14:paraId="19694C93">
      <w:pPr>
        <w:pStyle w:val="8"/>
        <w:spacing w:before="0" w:beforeAutospacing="0" w:after="0" w:afterAutospacing="0" w:line="360" w:lineRule="auto"/>
        <w:ind w:firstLine="420"/>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2B815CD6">
      <w:pPr>
        <w:pStyle w:val="8"/>
        <w:spacing w:before="0" w:beforeAutospacing="0" w:after="0" w:afterAutospacing="0" w:line="360" w:lineRule="auto"/>
        <w:ind w:firstLine="420"/>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1238D30F">
      <w:pPr>
        <w:pStyle w:val="8"/>
        <w:spacing w:before="0" w:beforeAutospacing="0" w:after="0" w:afterAutospacing="0" w:line="360" w:lineRule="auto"/>
        <w:ind w:firstLine="420"/>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23A64557">
      <w:pPr>
        <w:pStyle w:val="8"/>
        <w:spacing w:before="0" w:beforeAutospacing="0" w:after="0" w:afterAutospacing="0" w:line="360" w:lineRule="auto"/>
        <w:ind w:firstLine="420"/>
        <w:rPr>
          <w:rFonts w:hint="eastAsia"/>
          <w:sz w:val="21"/>
          <w:szCs w:val="21"/>
        </w:rPr>
      </w:pPr>
      <w:r>
        <w:rPr>
          <w:rFonts w:hint="eastAsia"/>
          <w:sz w:val="21"/>
          <w:szCs w:val="21"/>
        </w:rPr>
        <w:t xml:space="preserve">①送达时间不是同一天的，以最后送达的填写有效的表决票为准，先送达的表决票视为被撤回； </w:t>
      </w:r>
    </w:p>
    <w:p w14:paraId="5D226964">
      <w:pPr>
        <w:pStyle w:val="8"/>
        <w:spacing w:before="0" w:beforeAutospacing="0" w:after="0" w:afterAutospacing="0" w:line="360" w:lineRule="auto"/>
        <w:ind w:firstLine="420"/>
        <w:rPr>
          <w:rFonts w:hint="eastAsia"/>
          <w:sz w:val="21"/>
          <w:szCs w:val="21"/>
        </w:rPr>
      </w:pPr>
      <w:r>
        <w:rPr>
          <w:rFonts w:hint="eastAsia"/>
          <w:sz w:val="21"/>
          <w:szCs w:val="21"/>
        </w:rPr>
        <w:t xml:space="preserve">②送达时间为同一天的，视为在同一表决票上做出了不同表决意见，计入弃权表决票； </w:t>
      </w:r>
    </w:p>
    <w:p w14:paraId="00DEE77B">
      <w:pPr>
        <w:pStyle w:val="8"/>
        <w:spacing w:before="0" w:beforeAutospacing="0" w:after="0" w:afterAutospacing="0" w:line="360" w:lineRule="auto"/>
        <w:ind w:firstLine="420"/>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381B5F02">
      <w:pPr>
        <w:pStyle w:val="8"/>
        <w:spacing w:before="0" w:beforeAutospacing="0" w:after="0" w:afterAutospacing="0" w:line="360" w:lineRule="auto"/>
        <w:ind w:firstLine="420"/>
        <w:rPr>
          <w:rFonts w:hint="eastAsia"/>
          <w:sz w:val="21"/>
          <w:szCs w:val="21"/>
        </w:rPr>
      </w:pPr>
      <w:r>
        <w:rPr>
          <w:rFonts w:hint="eastAsia"/>
          <w:sz w:val="21"/>
          <w:szCs w:val="21"/>
        </w:rPr>
        <w:t xml:space="preserve">4、网络投票表决的效力认定 </w:t>
      </w:r>
    </w:p>
    <w:p w14:paraId="47F84E62">
      <w:pPr>
        <w:pStyle w:val="8"/>
        <w:spacing w:before="0" w:beforeAutospacing="0" w:after="0" w:afterAutospacing="0" w:line="360" w:lineRule="auto"/>
        <w:ind w:firstLine="420"/>
        <w:rPr>
          <w:rFonts w:hint="eastAsia"/>
          <w:sz w:val="21"/>
          <w:szCs w:val="21"/>
        </w:rPr>
      </w:pPr>
      <w:r>
        <w:rPr>
          <w:rFonts w:hint="eastAsia"/>
          <w:sz w:val="21"/>
          <w:szCs w:val="21"/>
        </w:rPr>
        <w:t xml:space="preserve">（1）如果同一基金份额持有人以网络投票方式进行多次表决的，以最后一次有效投票结果为准； </w:t>
      </w:r>
    </w:p>
    <w:p w14:paraId="10D0ED60">
      <w:pPr>
        <w:pStyle w:val="8"/>
        <w:spacing w:before="0" w:beforeAutospacing="0" w:after="0" w:afterAutospacing="0" w:line="360" w:lineRule="auto"/>
        <w:ind w:firstLine="420"/>
        <w:rPr>
          <w:rFonts w:hint="eastAsia"/>
          <w:sz w:val="21"/>
          <w:szCs w:val="21"/>
        </w:rPr>
      </w:pPr>
      <w:r>
        <w:rPr>
          <w:rFonts w:hint="eastAsia"/>
          <w:sz w:val="21"/>
          <w:szCs w:val="21"/>
        </w:rPr>
        <w:t xml:space="preserve">（2）网络表决投票送达时间以基金管理人系统记录时间为准。 </w:t>
      </w:r>
    </w:p>
    <w:p w14:paraId="7F111005">
      <w:pPr>
        <w:pStyle w:val="8"/>
        <w:spacing w:before="0" w:beforeAutospacing="0" w:after="0" w:afterAutospacing="0" w:line="360" w:lineRule="auto"/>
        <w:ind w:firstLine="420"/>
        <w:rPr>
          <w:rFonts w:hint="eastAsia"/>
          <w:sz w:val="21"/>
          <w:szCs w:val="21"/>
        </w:rPr>
      </w:pPr>
      <w:r>
        <w:rPr>
          <w:rFonts w:hint="eastAsia"/>
          <w:sz w:val="21"/>
          <w:szCs w:val="21"/>
        </w:rPr>
        <w:t xml:space="preserve">5、如果同一基金份额持有人存在包括有效纸质方式表决和网络投票（非纸质方式）有效表决的，以有效的纸质表决为准。 </w:t>
      </w:r>
    </w:p>
    <w:p w14:paraId="19565EC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605FB79A">
      <w:pPr>
        <w:pStyle w:val="8"/>
        <w:spacing w:before="0" w:beforeAutospacing="0" w:after="0" w:afterAutospacing="0" w:line="360" w:lineRule="auto"/>
        <w:ind w:firstLine="420"/>
        <w:rPr>
          <w:rFonts w:hint="eastAsia"/>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05343AC1">
      <w:pPr>
        <w:pStyle w:val="8"/>
        <w:spacing w:before="0" w:beforeAutospacing="0" w:after="0" w:afterAutospacing="0" w:line="360" w:lineRule="auto"/>
        <w:ind w:firstLine="420"/>
        <w:rPr>
          <w:rFonts w:hint="eastAsia"/>
          <w:sz w:val="21"/>
          <w:szCs w:val="21"/>
        </w:rPr>
      </w:pPr>
      <w:r>
        <w:rPr>
          <w:rFonts w:hint="eastAsia"/>
          <w:sz w:val="21"/>
          <w:szCs w:val="21"/>
        </w:rPr>
        <w:t>2、《</w:t>
      </w:r>
      <w:r>
        <w:rPr>
          <w:rStyle w:val="13"/>
          <w:rFonts w:hint="eastAsia"/>
          <w:i w:val="0"/>
          <w:iCs w:val="0"/>
          <w:sz w:val="21"/>
          <w:szCs w:val="21"/>
        </w:rPr>
        <w:t>关于博时稳欣39个月定期开放债券型证券投资基金修改基金合同条款的议案</w:t>
      </w:r>
      <w:r>
        <w:rPr>
          <w:rFonts w:hint="eastAsia"/>
          <w:sz w:val="21"/>
          <w:szCs w:val="21"/>
        </w:rPr>
        <w:t xml:space="preserve">》应当由提交有效表决票的基金份额持有人或其代理人所持表决权的二分之一以上（含二分之一）通过； </w:t>
      </w:r>
    </w:p>
    <w:p w14:paraId="25E50099">
      <w:pPr>
        <w:pStyle w:val="8"/>
        <w:spacing w:before="0" w:beforeAutospacing="0" w:after="0" w:afterAutospacing="0" w:line="360" w:lineRule="auto"/>
        <w:ind w:firstLine="420"/>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7C8F0C4E">
      <w:pPr>
        <w:pStyle w:val="8"/>
        <w:spacing w:before="0" w:beforeAutospacing="0" w:after="0" w:afterAutospacing="0" w:line="360" w:lineRule="auto"/>
        <w:ind w:firstLine="420"/>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59CA8DD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1F01AF4E">
      <w:pPr>
        <w:pStyle w:val="8"/>
        <w:spacing w:before="0" w:beforeAutospacing="0" w:after="0" w:afterAutospacing="0" w:line="360" w:lineRule="auto"/>
        <w:ind w:firstLine="420"/>
        <w:rPr>
          <w:rFonts w:hint="eastAsia"/>
          <w:sz w:val="21"/>
          <w:szCs w:val="21"/>
        </w:rPr>
      </w:pPr>
      <w:r>
        <w:rPr>
          <w:rFonts w:hint="eastAsia"/>
          <w:sz w:val="21"/>
          <w:szCs w:val="21"/>
        </w:rPr>
        <w:t>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w:t>
      </w:r>
      <w:r>
        <w:rPr>
          <w:rStyle w:val="13"/>
          <w:rFonts w:hint="eastAsia"/>
          <w:i w:val="0"/>
          <w:iCs w:val="0"/>
          <w:sz w:val="21"/>
          <w:szCs w:val="21"/>
          <w:lang w:eastAsia="zh-CN"/>
        </w:rPr>
        <w:t>2026年7月3日</w:t>
      </w:r>
      <w:r>
        <w:rPr>
          <w:rFonts w:hint="eastAsia"/>
          <w:sz w:val="21"/>
          <w:szCs w:val="21"/>
        </w:rPr>
        <w:t xml:space="preserve">。 </w:t>
      </w:r>
    </w:p>
    <w:p w14:paraId="7F4CF342">
      <w:pPr>
        <w:pStyle w:val="8"/>
        <w:spacing w:before="0" w:beforeAutospacing="0" w:after="0" w:afterAutospacing="0" w:line="360" w:lineRule="auto"/>
        <w:ind w:firstLine="420"/>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432F299B">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50682BF5">
      <w:pPr>
        <w:pStyle w:val="8"/>
        <w:spacing w:before="0" w:beforeAutospacing="0" w:after="0" w:afterAutospacing="0" w:line="360" w:lineRule="auto"/>
        <w:ind w:firstLine="420"/>
        <w:rPr>
          <w:rFonts w:hint="eastAsia"/>
          <w:sz w:val="21"/>
          <w:szCs w:val="21"/>
        </w:rPr>
      </w:pPr>
      <w:r>
        <w:rPr>
          <w:rFonts w:hint="eastAsia"/>
          <w:sz w:val="21"/>
          <w:szCs w:val="21"/>
        </w:rPr>
        <w:t xml:space="preserve">1、召集人：博时基金管理有限公司 </w:t>
      </w:r>
    </w:p>
    <w:p w14:paraId="5F99AC4B">
      <w:pPr>
        <w:pStyle w:val="8"/>
        <w:spacing w:before="0" w:beforeAutospacing="0" w:after="0" w:afterAutospacing="0" w:line="360" w:lineRule="auto"/>
        <w:ind w:firstLine="420"/>
        <w:rPr>
          <w:rFonts w:hint="eastAsia"/>
          <w:sz w:val="21"/>
          <w:szCs w:val="21"/>
        </w:rPr>
      </w:pPr>
      <w:r>
        <w:rPr>
          <w:rFonts w:hint="eastAsia"/>
          <w:sz w:val="21"/>
          <w:szCs w:val="21"/>
        </w:rPr>
        <w:t>2、基金托管人：</w:t>
      </w:r>
      <w:r>
        <w:rPr>
          <w:rStyle w:val="13"/>
          <w:rFonts w:hint="eastAsia"/>
          <w:i w:val="0"/>
          <w:iCs w:val="0"/>
          <w:sz w:val="21"/>
          <w:szCs w:val="21"/>
        </w:rPr>
        <w:t>上海浦东发展银行股份有限公司</w:t>
      </w:r>
      <w:r>
        <w:rPr>
          <w:rFonts w:hint="eastAsia"/>
          <w:sz w:val="21"/>
          <w:szCs w:val="21"/>
        </w:rPr>
        <w:t xml:space="preserve">  </w:t>
      </w:r>
    </w:p>
    <w:p w14:paraId="207C1F8B">
      <w:pPr>
        <w:pStyle w:val="8"/>
        <w:spacing w:before="0" w:beforeAutospacing="0" w:after="0" w:afterAutospacing="0" w:line="360" w:lineRule="auto"/>
        <w:ind w:firstLine="420"/>
        <w:rPr>
          <w:rFonts w:hint="eastAsia"/>
          <w:sz w:val="21"/>
          <w:szCs w:val="21"/>
        </w:rPr>
      </w:pPr>
      <w:r>
        <w:rPr>
          <w:rFonts w:hint="eastAsia"/>
          <w:sz w:val="21"/>
          <w:szCs w:val="21"/>
        </w:rPr>
        <w:t xml:space="preserve">3、公证机关：北京市长安公证处 </w:t>
      </w:r>
    </w:p>
    <w:p w14:paraId="4D822A58">
      <w:pPr>
        <w:pStyle w:val="8"/>
        <w:spacing w:before="0" w:beforeAutospacing="0" w:after="0" w:afterAutospacing="0" w:line="360" w:lineRule="auto"/>
        <w:ind w:firstLine="420"/>
        <w:rPr>
          <w:rFonts w:hint="eastAsia"/>
          <w:sz w:val="21"/>
          <w:szCs w:val="21"/>
        </w:rPr>
      </w:pPr>
      <w:r>
        <w:rPr>
          <w:rFonts w:hint="eastAsia"/>
          <w:sz w:val="21"/>
          <w:szCs w:val="21"/>
        </w:rPr>
        <w:t xml:space="preserve">联系人：陆晓冬 </w:t>
      </w:r>
    </w:p>
    <w:p w14:paraId="7D0BBB1B">
      <w:pPr>
        <w:pStyle w:val="8"/>
        <w:spacing w:before="0" w:beforeAutospacing="0" w:after="0" w:afterAutospacing="0" w:line="360" w:lineRule="auto"/>
        <w:ind w:firstLine="420"/>
        <w:rPr>
          <w:rFonts w:hint="eastAsia"/>
          <w:sz w:val="21"/>
          <w:szCs w:val="21"/>
        </w:rPr>
      </w:pPr>
      <w:r>
        <w:rPr>
          <w:rFonts w:hint="eastAsia"/>
          <w:sz w:val="21"/>
          <w:szCs w:val="21"/>
        </w:rPr>
        <w:t xml:space="preserve">联系电话：010-65543888-8066 </w:t>
      </w:r>
    </w:p>
    <w:p w14:paraId="28BB5B65">
      <w:pPr>
        <w:pStyle w:val="8"/>
        <w:spacing w:before="0" w:beforeAutospacing="0" w:after="0" w:afterAutospacing="0" w:line="360" w:lineRule="auto"/>
        <w:ind w:firstLine="420"/>
        <w:rPr>
          <w:rFonts w:hint="eastAsia"/>
          <w:sz w:val="21"/>
          <w:szCs w:val="21"/>
        </w:rPr>
      </w:pPr>
      <w:r>
        <w:rPr>
          <w:rFonts w:hint="eastAsia"/>
          <w:sz w:val="21"/>
          <w:szCs w:val="21"/>
        </w:rPr>
        <w:t xml:space="preserve">4、律师事务所：上海源泰律师事务所 </w:t>
      </w:r>
    </w:p>
    <w:p w14:paraId="061068DA">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0BC3050D">
      <w:pPr>
        <w:pStyle w:val="8"/>
        <w:spacing w:before="0" w:beforeAutospacing="0" w:after="0" w:afterAutospacing="0" w:line="360" w:lineRule="auto"/>
        <w:ind w:firstLine="420"/>
        <w:rPr>
          <w:rFonts w:hint="eastAsia"/>
          <w:sz w:val="21"/>
          <w:szCs w:val="21"/>
        </w:rPr>
      </w:pPr>
      <w:r>
        <w:rPr>
          <w:rFonts w:hint="eastAsia"/>
          <w:sz w:val="21"/>
          <w:szCs w:val="21"/>
        </w:rPr>
        <w:t xml:space="preserve">1、请基金份额持有人在提交表决票时，充分考虑邮寄在途时间，确保表决票于表决截止时间前送达。 </w:t>
      </w:r>
    </w:p>
    <w:p w14:paraId="48826A6B">
      <w:pPr>
        <w:pStyle w:val="8"/>
        <w:spacing w:before="0" w:beforeAutospacing="0" w:after="0" w:afterAutospacing="0" w:line="360" w:lineRule="auto"/>
        <w:ind w:firstLine="420"/>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25DA8462">
      <w:pPr>
        <w:pStyle w:val="8"/>
        <w:spacing w:before="0" w:beforeAutospacing="0" w:after="0" w:afterAutospacing="0" w:line="360" w:lineRule="auto"/>
        <w:ind w:firstLine="420"/>
        <w:rPr>
          <w:rFonts w:hint="eastAsia"/>
          <w:sz w:val="21"/>
          <w:szCs w:val="21"/>
        </w:rPr>
      </w:pPr>
      <w:r>
        <w:rPr>
          <w:rFonts w:hint="eastAsia"/>
          <w:sz w:val="21"/>
          <w:szCs w:val="21"/>
        </w:rPr>
        <w:t xml:space="preserve">3、基金管理人将在发布本公告后，在2个工作日内连续公布相关提示性公告，就基金份额持有人大会相关情况做必要说明，请予以留意。 </w:t>
      </w:r>
    </w:p>
    <w:p w14:paraId="19A7DB46">
      <w:pPr>
        <w:pStyle w:val="8"/>
        <w:spacing w:before="0" w:beforeAutospacing="0" w:after="0" w:afterAutospacing="0" w:line="360" w:lineRule="auto"/>
        <w:ind w:firstLine="420"/>
        <w:rPr>
          <w:rFonts w:hint="eastAsia"/>
          <w:sz w:val="21"/>
          <w:szCs w:val="21"/>
        </w:rPr>
      </w:pPr>
      <w:r>
        <w:rPr>
          <w:rFonts w:hint="eastAsia"/>
          <w:sz w:val="21"/>
          <w:szCs w:val="21"/>
        </w:rPr>
        <w:t xml:space="preserve">4、本公告的有关内容由博时基金管理有限公司负责解释。 </w:t>
      </w:r>
    </w:p>
    <w:p w14:paraId="1CE60C35">
      <w:pPr>
        <w:pStyle w:val="8"/>
        <w:spacing w:before="0" w:beforeAutospacing="0" w:after="0" w:afterAutospacing="0" w:line="360" w:lineRule="auto"/>
        <w:ind w:firstLine="420"/>
        <w:rPr>
          <w:rFonts w:hint="eastAsia"/>
          <w:sz w:val="21"/>
          <w:szCs w:val="21"/>
        </w:rPr>
      </w:pPr>
    </w:p>
    <w:p w14:paraId="6E74982B">
      <w:pPr>
        <w:pStyle w:val="8"/>
        <w:spacing w:before="0" w:beforeAutospacing="0" w:after="0" w:afterAutospacing="0" w:line="360" w:lineRule="auto"/>
        <w:ind w:firstLine="420"/>
        <w:rPr>
          <w:rFonts w:hint="eastAsia"/>
          <w:sz w:val="21"/>
          <w:szCs w:val="21"/>
        </w:rPr>
      </w:pPr>
    </w:p>
    <w:p w14:paraId="239B69A6">
      <w:pPr>
        <w:pStyle w:val="8"/>
        <w:spacing w:before="0" w:beforeAutospacing="0" w:after="0" w:afterAutospacing="0" w:line="360" w:lineRule="auto"/>
        <w:ind w:firstLine="420"/>
        <w:rPr>
          <w:rFonts w:hint="eastAsia"/>
          <w:sz w:val="21"/>
          <w:szCs w:val="21"/>
        </w:rPr>
      </w:pPr>
    </w:p>
    <w:p w14:paraId="03855D74">
      <w:pPr>
        <w:pStyle w:val="8"/>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3206DEF7">
      <w:pPr>
        <w:pStyle w:val="8"/>
        <w:spacing w:before="0" w:beforeAutospacing="0" w:after="0" w:afterAutospacing="0" w:line="360" w:lineRule="auto"/>
        <w:ind w:firstLine="420"/>
        <w:jc w:val="right"/>
        <w:rPr>
          <w:rFonts w:hint="eastAsia" w:eastAsia="宋体"/>
          <w:sz w:val="21"/>
          <w:szCs w:val="21"/>
          <w:lang w:eastAsia="zh-CN"/>
        </w:rPr>
      </w:pPr>
      <w:r>
        <w:rPr>
          <w:rFonts w:hint="eastAsia"/>
          <w:sz w:val="21"/>
          <w:szCs w:val="21"/>
          <w:lang w:eastAsia="zh-CN"/>
        </w:rPr>
        <w:t>2026年7月3日</w:t>
      </w:r>
    </w:p>
    <w:p w14:paraId="0D0707E0">
      <w:pPr>
        <w:pStyle w:val="8"/>
        <w:spacing w:before="0" w:beforeAutospacing="0" w:after="0" w:afterAutospacing="0" w:line="360" w:lineRule="auto"/>
        <w:ind w:firstLine="420"/>
        <w:jc w:val="right"/>
        <w:rPr>
          <w:rFonts w:hint="eastAsia"/>
          <w:sz w:val="21"/>
          <w:szCs w:val="21"/>
        </w:rPr>
      </w:pPr>
    </w:p>
    <w:p w14:paraId="1AF12B4E">
      <w:pPr>
        <w:adjustRightInd w:val="0"/>
        <w:snapToGrid w:val="0"/>
        <w:spacing w:line="360" w:lineRule="auto"/>
        <w:rPr>
          <w:rStyle w:val="17"/>
          <w:rFonts w:hint="eastAsia" w:ascii="宋体" w:hAnsi="宋体" w:cs="宋体"/>
          <w:szCs w:val="21"/>
        </w:rPr>
      </w:pPr>
      <w:r>
        <w:rPr>
          <w:rStyle w:val="17"/>
          <w:rFonts w:hint="eastAsia" w:ascii="宋体" w:hAnsi="宋体" w:cs="宋体"/>
          <w:szCs w:val="21"/>
        </w:rPr>
        <w:t>附件一：《关于博时稳欣39个月定期开放债券型证券投资基金修改基金合同条款的议案》</w:t>
      </w:r>
    </w:p>
    <w:p w14:paraId="26897EC6">
      <w:pPr>
        <w:adjustRightInd w:val="0"/>
        <w:snapToGrid w:val="0"/>
        <w:spacing w:line="360" w:lineRule="auto"/>
        <w:rPr>
          <w:rStyle w:val="17"/>
          <w:rFonts w:hint="eastAsia" w:ascii="宋体" w:hAnsi="宋体" w:cs="宋体"/>
          <w:szCs w:val="21"/>
        </w:rPr>
      </w:pPr>
      <w:r>
        <w:rPr>
          <w:rStyle w:val="17"/>
          <w:rFonts w:hint="eastAsia" w:ascii="宋体" w:hAnsi="宋体" w:cs="宋体"/>
          <w:szCs w:val="21"/>
        </w:rPr>
        <w:t>附件二：《博时稳欣39个月定期开放债券型证券投资基金基金份额持有人大会表决票》</w:t>
      </w:r>
    </w:p>
    <w:p w14:paraId="55513C1E">
      <w:pPr>
        <w:adjustRightInd w:val="0"/>
        <w:snapToGrid w:val="0"/>
        <w:spacing w:line="360" w:lineRule="auto"/>
        <w:rPr>
          <w:rStyle w:val="17"/>
          <w:rFonts w:hint="eastAsia" w:ascii="宋体" w:hAnsi="宋体" w:cs="宋体"/>
          <w:szCs w:val="21"/>
        </w:rPr>
      </w:pPr>
      <w:r>
        <w:rPr>
          <w:rStyle w:val="17"/>
          <w:rFonts w:hint="eastAsia" w:ascii="宋体" w:hAnsi="宋体" w:cs="宋体"/>
          <w:szCs w:val="21"/>
        </w:rPr>
        <w:t>附件三：《授权委托书》</w:t>
      </w:r>
    </w:p>
    <w:p w14:paraId="4F719412">
      <w:pPr>
        <w:adjustRightInd w:val="0"/>
        <w:snapToGrid w:val="0"/>
        <w:spacing w:line="360" w:lineRule="auto"/>
        <w:rPr>
          <w:rStyle w:val="17"/>
          <w:rFonts w:hint="eastAsia" w:ascii="宋体" w:hAnsi="宋体" w:cs="宋体"/>
          <w:szCs w:val="21"/>
        </w:rPr>
      </w:pPr>
      <w:r>
        <w:rPr>
          <w:rStyle w:val="17"/>
          <w:rFonts w:hint="eastAsia" w:ascii="宋体" w:hAnsi="宋体" w:cs="宋体"/>
          <w:szCs w:val="21"/>
        </w:rPr>
        <w:t>附件四：《博时稳欣39个月定期开放债券型证券投资基金修改基金合同条款的议案》说明书</w:t>
      </w:r>
    </w:p>
    <w:p w14:paraId="7A6AB878">
      <w:pPr>
        <w:rPr>
          <w:rStyle w:val="17"/>
          <w:rFonts w:hint="eastAsia" w:ascii="宋体" w:hAnsi="宋体" w:cs="宋体"/>
          <w:szCs w:val="21"/>
        </w:rPr>
      </w:pPr>
      <w:r>
        <w:rPr>
          <w:rStyle w:val="17"/>
          <w:rFonts w:hint="eastAsia" w:ascii="宋体" w:hAnsi="宋体" w:cs="宋体"/>
          <w:szCs w:val="21"/>
        </w:rPr>
        <w:br w:type="page"/>
      </w:r>
    </w:p>
    <w:p w14:paraId="3F282CB5">
      <w:pPr>
        <w:adjustRightInd w:val="0"/>
        <w:snapToGrid w:val="0"/>
        <w:spacing w:line="360" w:lineRule="auto"/>
        <w:rPr>
          <w:rStyle w:val="17"/>
          <w:rFonts w:hint="eastAsia" w:ascii="宋体" w:hAnsi="宋体" w:cs="宋体"/>
          <w:szCs w:val="21"/>
        </w:rPr>
      </w:pPr>
      <w:r>
        <w:rPr>
          <w:rStyle w:val="17"/>
          <w:rFonts w:hint="eastAsia" w:ascii="宋体" w:hAnsi="宋体" w:cs="宋体"/>
          <w:szCs w:val="21"/>
        </w:rPr>
        <w:t xml:space="preserve">附件一： </w:t>
      </w:r>
    </w:p>
    <w:p w14:paraId="28694C9F">
      <w:pPr>
        <w:adjustRightInd w:val="0"/>
        <w:snapToGrid w:val="0"/>
        <w:spacing w:line="360" w:lineRule="auto"/>
        <w:jc w:val="center"/>
        <w:rPr>
          <w:rStyle w:val="17"/>
          <w:rFonts w:hint="eastAsia" w:ascii="宋体" w:hAnsi="宋体" w:cs="宋体"/>
          <w:b/>
          <w:bCs/>
          <w:szCs w:val="21"/>
        </w:rPr>
      </w:pPr>
      <w:r>
        <w:rPr>
          <w:rFonts w:hint="eastAsia" w:ascii="宋体" w:hAnsi="宋体" w:cs="宋体"/>
          <w:b/>
          <w:bCs/>
          <w:color w:val="000000"/>
          <w:szCs w:val="21"/>
        </w:rPr>
        <w:t>关于博时稳欣39个月定期开放债券型证券投资基金修改基金合同条款的议案</w:t>
      </w:r>
    </w:p>
    <w:p w14:paraId="18ECBE7E">
      <w:pPr>
        <w:adjustRightInd w:val="0"/>
        <w:snapToGrid w:val="0"/>
        <w:spacing w:line="360" w:lineRule="auto"/>
        <w:ind w:firstLine="480"/>
        <w:rPr>
          <w:rStyle w:val="17"/>
          <w:rFonts w:hint="eastAsia" w:ascii="宋体" w:hAnsi="宋体" w:cs="宋体"/>
          <w:szCs w:val="21"/>
        </w:rPr>
      </w:pPr>
    </w:p>
    <w:p w14:paraId="2041A863">
      <w:pPr>
        <w:adjustRightInd w:val="0"/>
        <w:snapToGrid w:val="0"/>
        <w:spacing w:line="360" w:lineRule="auto"/>
        <w:rPr>
          <w:rStyle w:val="17"/>
          <w:rFonts w:hint="eastAsia" w:ascii="宋体" w:hAnsi="宋体" w:cs="宋体"/>
          <w:szCs w:val="21"/>
        </w:rPr>
      </w:pPr>
      <w:r>
        <w:rPr>
          <w:rFonts w:hint="eastAsia" w:ascii="宋体" w:hAnsi="宋体" w:cs="宋体"/>
          <w:color w:val="000000"/>
          <w:szCs w:val="21"/>
        </w:rPr>
        <w:t>博时稳欣39个月定期开放债券型证券投资基金</w:t>
      </w:r>
      <w:r>
        <w:rPr>
          <w:rStyle w:val="17"/>
          <w:rFonts w:hint="eastAsia" w:ascii="宋体" w:hAnsi="宋体" w:cs="宋体"/>
          <w:szCs w:val="21"/>
        </w:rPr>
        <w:t>基金份额持有人：</w:t>
      </w:r>
    </w:p>
    <w:p w14:paraId="2CB9F862">
      <w:pPr>
        <w:pStyle w:val="8"/>
        <w:spacing w:before="0" w:beforeAutospacing="0" w:after="0" w:afterAutospacing="0" w:line="360" w:lineRule="auto"/>
        <w:ind w:firstLine="420"/>
        <w:rPr>
          <w:rFonts w:hint="eastAsia"/>
          <w:sz w:val="21"/>
          <w:szCs w:val="21"/>
        </w:rPr>
      </w:pPr>
      <w:r>
        <w:rPr>
          <w:rStyle w:val="13"/>
          <w:rFonts w:hint="eastAsia"/>
          <w:i w:val="0"/>
          <w:iCs w:val="0"/>
          <w:sz w:val="21"/>
          <w:szCs w:val="21"/>
        </w:rPr>
        <w:t> </w:t>
      </w:r>
    </w:p>
    <w:p w14:paraId="34A6D4A3">
      <w:pPr>
        <w:pStyle w:val="8"/>
        <w:spacing w:before="0" w:beforeAutospacing="0" w:after="0" w:afterAutospacing="0" w:line="360" w:lineRule="auto"/>
        <w:ind w:firstLine="420"/>
        <w:rPr>
          <w:rFonts w:hint="eastAsia"/>
          <w:sz w:val="21"/>
          <w:szCs w:val="21"/>
        </w:rPr>
      </w:pPr>
      <w:r>
        <w:rPr>
          <w:rStyle w:val="13"/>
          <w:rFonts w:hint="eastAsia"/>
          <w:i w:val="0"/>
          <w:iCs w:val="0"/>
          <w:sz w:val="21"/>
          <w:szCs w:val="21"/>
        </w:rPr>
        <w:t>为应对复杂多变的证券市场环境，维护基金份额持有人的利益，提高产品的市场竞争力，根据《中华人民共和国证券投资基金法》、《公开募集证券投资基金运作管理办法》和《博时稳欣39个月定期开放债券型证券投资基金基金合同》有关规定，基金管理人经与基金托管人上海浦东发展银行股份有限公司协商一致，提议修改博时稳欣39个月定期开放债券型证券投资基金（以下简称“博时稳欣39个月定开债”）基金合同条款。《博时稳欣39个月定期开放债券型证券投资基金修改基金合同条款的议案》说明书见附件四。 </w:t>
      </w:r>
    </w:p>
    <w:p w14:paraId="5FBB4F64">
      <w:pPr>
        <w:pStyle w:val="8"/>
        <w:spacing w:before="0" w:beforeAutospacing="0" w:after="0" w:afterAutospacing="0" w:line="360" w:lineRule="auto"/>
        <w:ind w:firstLine="420"/>
        <w:rPr>
          <w:rFonts w:hint="eastAsia"/>
          <w:sz w:val="21"/>
          <w:szCs w:val="21"/>
        </w:rPr>
      </w:pPr>
      <w:r>
        <w:rPr>
          <w:rStyle w:val="13"/>
          <w:rFonts w:hint="eastAsia"/>
          <w:i w:val="0"/>
          <w:iCs w:val="0"/>
          <w:sz w:val="21"/>
          <w:szCs w:val="21"/>
        </w:rPr>
        <w:t>为实施博时稳欣39个月定开债修改基金合同条款，提议授权基金管理人办理本次博时稳欣39个月定开债修改基金合同条款的有关具体事宜，并根据现时有效的法律法规的规定和《博时稳欣39个月定期开放债券型证券投资基金修改基金合同条款的议案》说明书的有关内容对《博时稳欣39个月定期开放债券型证券投资基金基金合同》、《博时稳欣39个月定期开放债券型证券投资基金托管协议》及《博时稳欣39个月定期开放债券型证券投资基金招募说明书》进行修改。 </w:t>
      </w:r>
    </w:p>
    <w:p w14:paraId="3128DB80">
      <w:pPr>
        <w:pStyle w:val="8"/>
        <w:spacing w:before="0" w:beforeAutospacing="0" w:after="0" w:afterAutospacing="0" w:line="360" w:lineRule="auto"/>
        <w:ind w:firstLine="420"/>
        <w:rPr>
          <w:rFonts w:hint="eastAsia"/>
          <w:sz w:val="21"/>
          <w:szCs w:val="21"/>
        </w:rPr>
      </w:pPr>
      <w:r>
        <w:rPr>
          <w:rStyle w:val="13"/>
          <w:rFonts w:hint="eastAsia"/>
          <w:i w:val="0"/>
          <w:iCs w:val="0"/>
          <w:sz w:val="21"/>
          <w:szCs w:val="21"/>
        </w:rPr>
        <w:t>以上议案，请予审议。 </w:t>
      </w:r>
    </w:p>
    <w:p w14:paraId="37CE9EE6">
      <w:pPr>
        <w:pStyle w:val="8"/>
        <w:spacing w:before="0" w:beforeAutospacing="0" w:after="0" w:afterAutospacing="0" w:line="360" w:lineRule="auto"/>
        <w:ind w:firstLine="420"/>
        <w:rPr>
          <w:rFonts w:hint="eastAsia"/>
          <w:sz w:val="21"/>
          <w:szCs w:val="21"/>
        </w:rPr>
      </w:pPr>
    </w:p>
    <w:p w14:paraId="01971F81">
      <w:pPr>
        <w:adjustRightInd w:val="0"/>
        <w:snapToGrid w:val="0"/>
        <w:spacing w:line="360" w:lineRule="auto"/>
        <w:rPr>
          <w:rFonts w:hint="eastAsia" w:ascii="宋体" w:hAnsi="宋体" w:cs="宋体"/>
          <w:color w:val="000000"/>
          <w:szCs w:val="21"/>
        </w:rPr>
      </w:pPr>
    </w:p>
    <w:p w14:paraId="1985A016">
      <w:pPr>
        <w:adjustRightInd w:val="0"/>
        <w:snapToGrid w:val="0"/>
        <w:spacing w:line="360" w:lineRule="auto"/>
        <w:ind w:left="3220" w:firstLine="105" w:firstLineChars="50"/>
        <w:jc w:val="right"/>
        <w:rPr>
          <w:rFonts w:hint="eastAsia" w:ascii="宋体" w:hAnsi="宋体" w:cs="宋体"/>
          <w:szCs w:val="21"/>
        </w:rPr>
      </w:pPr>
    </w:p>
    <w:p w14:paraId="1D9F1485">
      <w:pPr>
        <w:adjustRightInd w:val="0"/>
        <w:snapToGrid w:val="0"/>
        <w:spacing w:line="360" w:lineRule="auto"/>
        <w:ind w:left="3220" w:firstLine="105" w:firstLineChars="50"/>
        <w:jc w:val="right"/>
        <w:rPr>
          <w:rFonts w:hint="eastAsia" w:ascii="宋体" w:hAnsi="宋体" w:cs="宋体"/>
          <w:szCs w:val="21"/>
        </w:rPr>
      </w:pPr>
    </w:p>
    <w:p w14:paraId="5398030C">
      <w:pPr>
        <w:adjustRightInd w:val="0"/>
        <w:snapToGrid w:val="0"/>
        <w:spacing w:line="360" w:lineRule="auto"/>
        <w:ind w:left="3220" w:firstLine="105" w:firstLineChars="50"/>
        <w:jc w:val="right"/>
        <w:rPr>
          <w:rFonts w:hint="eastAsia" w:ascii="宋体" w:hAnsi="宋体" w:cs="宋体"/>
          <w:szCs w:val="21"/>
        </w:rPr>
      </w:pPr>
      <w:r>
        <w:rPr>
          <w:rFonts w:hint="eastAsia" w:ascii="宋体" w:hAnsi="宋体" w:cs="宋体"/>
          <w:szCs w:val="21"/>
        </w:rPr>
        <w:t>基金管理人：博时基金管理有限公司</w:t>
      </w:r>
    </w:p>
    <w:p w14:paraId="43084C90">
      <w:pPr>
        <w:adjustRightInd w:val="0"/>
        <w:snapToGrid w:val="0"/>
        <w:spacing w:line="360" w:lineRule="auto"/>
        <w:ind w:firstLine="420" w:firstLineChars="200"/>
        <w:jc w:val="right"/>
        <w:rPr>
          <w:rStyle w:val="17"/>
          <w:rFonts w:hint="eastAsia"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color w:val="000000"/>
          <w:szCs w:val="21"/>
          <w:lang w:eastAsia="zh-CN"/>
        </w:rPr>
        <w:t>2026年7月3日</w:t>
      </w:r>
      <w:r>
        <w:rPr>
          <w:rStyle w:val="17"/>
          <w:rFonts w:hint="eastAsia" w:ascii="宋体" w:hAnsi="宋体" w:cs="宋体"/>
          <w:szCs w:val="21"/>
        </w:rPr>
        <w:br w:type="page"/>
      </w:r>
    </w:p>
    <w:p w14:paraId="57709F84">
      <w:pPr>
        <w:adjustRightInd w:val="0"/>
        <w:snapToGrid w:val="0"/>
        <w:spacing w:line="360" w:lineRule="auto"/>
        <w:rPr>
          <w:rStyle w:val="17"/>
          <w:rFonts w:hint="eastAsia" w:ascii="宋体" w:hAnsi="宋体" w:cs="宋体"/>
          <w:szCs w:val="21"/>
        </w:rPr>
      </w:pPr>
      <w:r>
        <w:rPr>
          <w:rStyle w:val="17"/>
          <w:rFonts w:hint="eastAsia" w:ascii="宋体" w:hAnsi="宋体" w:cs="宋体"/>
          <w:szCs w:val="21"/>
        </w:rPr>
        <w:t xml:space="preserve">附件二： </w:t>
      </w:r>
    </w:p>
    <w:tbl>
      <w:tblPr>
        <w:tblStyle w:val="10"/>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1F8B6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1B855437">
            <w:pPr>
              <w:pStyle w:val="4"/>
              <w:adjustRightInd w:val="0"/>
              <w:snapToGrid w:val="0"/>
              <w:spacing w:line="360" w:lineRule="auto"/>
              <w:jc w:val="center"/>
              <w:rPr>
                <w:rFonts w:hint="eastAsia" w:ascii="宋体" w:hAnsi="宋体" w:cs="宋体"/>
                <w:bCs/>
                <w:kern w:val="2"/>
                <w:sz w:val="22"/>
                <w:lang w:val="en-US"/>
              </w:rPr>
            </w:pPr>
            <w:r>
              <w:rPr>
                <w:rFonts w:hint="eastAsia" w:ascii="宋体" w:hAnsi="宋体" w:cs="宋体"/>
                <w:color w:val="000000"/>
                <w:sz w:val="21"/>
                <w:szCs w:val="21"/>
                <w:lang w:val="en-US"/>
              </w:rPr>
              <w:t>博时稳欣39个月定期开放债券型证券投资基金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48FF8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1C8A338C">
            <w:pPr>
              <w:adjustRightInd w:val="0"/>
              <w:snapToGrid w:val="0"/>
              <w:spacing w:line="360" w:lineRule="auto"/>
              <w:rPr>
                <w:rFonts w:hint="eastAsia" w:ascii="宋体" w:hAnsi="宋体" w:cs="宋体"/>
                <w:szCs w:val="21"/>
              </w:rPr>
            </w:pPr>
            <w:r>
              <w:rPr>
                <w:rFonts w:hint="eastAsia" w:ascii="宋体" w:hAnsi="宋体" w:cs="宋体"/>
                <w:szCs w:val="21"/>
              </w:rPr>
              <w:t>基金份额持有人姓名/名称：</w:t>
            </w:r>
          </w:p>
        </w:tc>
      </w:tr>
      <w:tr w14:paraId="42FC6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23C0D76E">
            <w:pPr>
              <w:adjustRightInd w:val="0"/>
              <w:snapToGrid w:val="0"/>
              <w:spacing w:line="360" w:lineRule="auto"/>
              <w:rPr>
                <w:rFonts w:hint="eastAsia"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50D3740F">
            <w:pPr>
              <w:adjustRightInd w:val="0"/>
              <w:snapToGrid w:val="0"/>
              <w:spacing w:line="360" w:lineRule="auto"/>
              <w:rPr>
                <w:rFonts w:hint="eastAsia" w:ascii="宋体" w:hAnsi="宋体" w:cs="宋体"/>
                <w:szCs w:val="21"/>
              </w:rPr>
            </w:pPr>
            <w:r>
              <w:rPr>
                <w:rFonts w:hint="eastAsia" w:ascii="宋体" w:hAnsi="宋体" w:cs="宋体"/>
                <w:szCs w:val="21"/>
              </w:rPr>
              <w:t>基金账户号：</w:t>
            </w:r>
          </w:p>
        </w:tc>
      </w:tr>
      <w:tr w14:paraId="672D79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148B432F">
            <w:pPr>
              <w:adjustRightInd w:val="0"/>
              <w:snapToGrid w:val="0"/>
              <w:spacing w:line="360" w:lineRule="auto"/>
              <w:rPr>
                <w:rFonts w:hint="eastAsia" w:ascii="宋体" w:hAnsi="宋体" w:cs="宋体"/>
                <w:szCs w:val="21"/>
              </w:rPr>
            </w:pPr>
          </w:p>
        </w:tc>
        <w:tc>
          <w:tcPr>
            <w:tcW w:w="3975" w:type="dxa"/>
            <w:gridSpan w:val="3"/>
            <w:tcBorders>
              <w:bottom w:val="nil"/>
            </w:tcBorders>
          </w:tcPr>
          <w:p w14:paraId="116ACC7B">
            <w:pPr>
              <w:adjustRightInd w:val="0"/>
              <w:snapToGrid w:val="0"/>
              <w:spacing w:line="360" w:lineRule="auto"/>
              <w:ind w:left="807"/>
              <w:rPr>
                <w:rFonts w:hint="eastAsia" w:ascii="宋体" w:hAnsi="宋体" w:cs="宋体"/>
                <w:szCs w:val="21"/>
              </w:rPr>
            </w:pPr>
          </w:p>
        </w:tc>
      </w:tr>
      <w:tr w14:paraId="1582C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225C8CCF">
            <w:pPr>
              <w:adjustRightInd w:val="0"/>
              <w:snapToGrid w:val="0"/>
              <w:spacing w:line="360" w:lineRule="auto"/>
              <w:rPr>
                <w:rFonts w:hint="eastAsia"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1110C9A4">
            <w:pPr>
              <w:adjustRightInd w:val="0"/>
              <w:snapToGrid w:val="0"/>
              <w:spacing w:line="360" w:lineRule="auto"/>
              <w:rPr>
                <w:rFonts w:hint="eastAsia" w:ascii="宋体" w:hAnsi="宋体" w:cs="宋体"/>
                <w:szCs w:val="21"/>
              </w:rPr>
            </w:pPr>
            <w:r>
              <w:rPr>
                <w:rFonts w:hint="eastAsia" w:ascii="宋体" w:hAnsi="宋体" w:cs="宋体"/>
                <w:szCs w:val="21"/>
              </w:rPr>
              <w:t>受托人（代理人）证件号码（身份证件号/营业执照号/统一社会信用代码）：</w:t>
            </w:r>
          </w:p>
        </w:tc>
      </w:tr>
      <w:tr w14:paraId="150F75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69F29D7A">
            <w:pPr>
              <w:adjustRightInd w:val="0"/>
              <w:snapToGrid w:val="0"/>
              <w:spacing w:line="360" w:lineRule="auto"/>
              <w:rPr>
                <w:rFonts w:hint="eastAsia" w:ascii="宋体" w:hAnsi="宋体" w:cs="宋体"/>
                <w:szCs w:val="21"/>
              </w:rPr>
            </w:pPr>
          </w:p>
        </w:tc>
        <w:tc>
          <w:tcPr>
            <w:tcW w:w="3975" w:type="dxa"/>
            <w:gridSpan w:val="3"/>
            <w:tcBorders>
              <w:bottom w:val="nil"/>
            </w:tcBorders>
          </w:tcPr>
          <w:p w14:paraId="2D872E7E">
            <w:pPr>
              <w:adjustRightInd w:val="0"/>
              <w:snapToGrid w:val="0"/>
              <w:spacing w:line="360" w:lineRule="auto"/>
              <w:ind w:left="807"/>
              <w:rPr>
                <w:rFonts w:hint="eastAsia" w:ascii="宋体" w:hAnsi="宋体" w:cs="宋体"/>
                <w:szCs w:val="21"/>
              </w:rPr>
            </w:pPr>
          </w:p>
        </w:tc>
      </w:tr>
      <w:tr w14:paraId="78592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5FC6D211">
            <w:pPr>
              <w:adjustRightInd w:val="0"/>
              <w:snapToGrid w:val="0"/>
              <w:spacing w:line="360" w:lineRule="auto"/>
              <w:rPr>
                <w:rFonts w:hint="eastAsia" w:ascii="宋体" w:hAnsi="宋体" w:cs="宋体"/>
                <w:szCs w:val="21"/>
              </w:rPr>
            </w:pPr>
            <w:r>
              <w:rPr>
                <w:rFonts w:hint="eastAsia" w:ascii="宋体" w:hAnsi="宋体" w:cs="宋体"/>
                <w:szCs w:val="21"/>
              </w:rPr>
              <w:t>审议事项</w:t>
            </w:r>
          </w:p>
        </w:tc>
        <w:tc>
          <w:tcPr>
            <w:tcW w:w="1260" w:type="dxa"/>
          </w:tcPr>
          <w:p w14:paraId="5D4BA0F1">
            <w:pPr>
              <w:adjustRightInd w:val="0"/>
              <w:snapToGrid w:val="0"/>
              <w:spacing w:line="360" w:lineRule="auto"/>
              <w:ind w:firstLine="210" w:firstLineChars="100"/>
              <w:rPr>
                <w:rFonts w:hint="eastAsia" w:ascii="宋体" w:hAnsi="宋体" w:cs="宋体"/>
                <w:szCs w:val="21"/>
              </w:rPr>
            </w:pPr>
            <w:r>
              <w:rPr>
                <w:rFonts w:hint="eastAsia" w:ascii="宋体" w:hAnsi="宋体" w:cs="宋体"/>
                <w:szCs w:val="21"/>
              </w:rPr>
              <w:t>同意</w:t>
            </w:r>
          </w:p>
        </w:tc>
        <w:tc>
          <w:tcPr>
            <w:tcW w:w="1260" w:type="dxa"/>
          </w:tcPr>
          <w:p w14:paraId="76B6CE0E">
            <w:pPr>
              <w:adjustRightInd w:val="0"/>
              <w:snapToGrid w:val="0"/>
              <w:spacing w:line="360" w:lineRule="auto"/>
              <w:ind w:firstLine="210" w:firstLineChars="100"/>
              <w:rPr>
                <w:rFonts w:hint="eastAsia" w:ascii="宋体" w:hAnsi="宋体" w:cs="宋体"/>
                <w:szCs w:val="21"/>
              </w:rPr>
            </w:pPr>
            <w:r>
              <w:rPr>
                <w:rFonts w:hint="eastAsia" w:ascii="宋体" w:hAnsi="宋体" w:cs="宋体"/>
                <w:szCs w:val="21"/>
              </w:rPr>
              <w:t>反对</w:t>
            </w:r>
          </w:p>
        </w:tc>
        <w:tc>
          <w:tcPr>
            <w:tcW w:w="1455" w:type="dxa"/>
          </w:tcPr>
          <w:p w14:paraId="5052A91F">
            <w:pPr>
              <w:adjustRightInd w:val="0"/>
              <w:snapToGrid w:val="0"/>
              <w:spacing w:line="360" w:lineRule="auto"/>
              <w:ind w:firstLine="210" w:firstLineChars="100"/>
              <w:rPr>
                <w:rFonts w:hint="eastAsia" w:ascii="宋体" w:hAnsi="宋体" w:cs="宋体"/>
                <w:szCs w:val="21"/>
              </w:rPr>
            </w:pPr>
            <w:r>
              <w:rPr>
                <w:rFonts w:hint="eastAsia" w:ascii="宋体" w:hAnsi="宋体" w:cs="宋体"/>
                <w:szCs w:val="21"/>
              </w:rPr>
              <w:t>弃权</w:t>
            </w:r>
          </w:p>
        </w:tc>
      </w:tr>
      <w:tr w14:paraId="70C1A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5F38995F">
            <w:pPr>
              <w:pStyle w:val="8"/>
              <w:adjustRightInd w:val="0"/>
              <w:snapToGrid w:val="0"/>
              <w:spacing w:line="360" w:lineRule="auto"/>
              <w:jc w:val="both"/>
              <w:rPr>
                <w:rFonts w:hint="eastAsia"/>
                <w:sz w:val="21"/>
                <w:szCs w:val="21"/>
              </w:rPr>
            </w:pPr>
            <w:r>
              <w:rPr>
                <w:rFonts w:hint="eastAsia"/>
                <w:b/>
                <w:bCs/>
                <w:color w:val="000000"/>
                <w:sz w:val="21"/>
                <w:szCs w:val="21"/>
              </w:rPr>
              <w:t>《关于博时稳欣39个月定期开放债券型证券投资基金修改基金合同条款的议案》</w:t>
            </w:r>
          </w:p>
        </w:tc>
        <w:tc>
          <w:tcPr>
            <w:tcW w:w="1260" w:type="dxa"/>
          </w:tcPr>
          <w:p w14:paraId="1E56D18A">
            <w:pPr>
              <w:adjustRightInd w:val="0"/>
              <w:snapToGrid w:val="0"/>
              <w:spacing w:line="360" w:lineRule="auto"/>
              <w:rPr>
                <w:rFonts w:hint="eastAsia" w:ascii="宋体" w:hAnsi="宋体" w:cs="宋体"/>
                <w:szCs w:val="21"/>
              </w:rPr>
            </w:pPr>
          </w:p>
          <w:p w14:paraId="08FDF607">
            <w:pPr>
              <w:adjustRightInd w:val="0"/>
              <w:snapToGrid w:val="0"/>
              <w:spacing w:line="360" w:lineRule="auto"/>
              <w:rPr>
                <w:rFonts w:hint="eastAsia" w:ascii="宋体" w:hAnsi="宋体" w:cs="宋体"/>
                <w:szCs w:val="21"/>
              </w:rPr>
            </w:pPr>
          </w:p>
        </w:tc>
        <w:tc>
          <w:tcPr>
            <w:tcW w:w="1260" w:type="dxa"/>
          </w:tcPr>
          <w:p w14:paraId="422A5B3C">
            <w:pPr>
              <w:adjustRightInd w:val="0"/>
              <w:snapToGrid w:val="0"/>
              <w:spacing w:line="360" w:lineRule="auto"/>
              <w:rPr>
                <w:rFonts w:hint="eastAsia" w:ascii="宋体" w:hAnsi="宋体" w:cs="宋体"/>
                <w:szCs w:val="21"/>
              </w:rPr>
            </w:pPr>
          </w:p>
          <w:p w14:paraId="289FDD12">
            <w:pPr>
              <w:adjustRightInd w:val="0"/>
              <w:snapToGrid w:val="0"/>
              <w:spacing w:line="360" w:lineRule="auto"/>
              <w:rPr>
                <w:rFonts w:hint="eastAsia" w:ascii="宋体" w:hAnsi="宋体" w:cs="宋体"/>
                <w:szCs w:val="21"/>
              </w:rPr>
            </w:pPr>
          </w:p>
        </w:tc>
        <w:tc>
          <w:tcPr>
            <w:tcW w:w="1455" w:type="dxa"/>
          </w:tcPr>
          <w:p w14:paraId="6B152965">
            <w:pPr>
              <w:adjustRightInd w:val="0"/>
              <w:snapToGrid w:val="0"/>
              <w:spacing w:line="360" w:lineRule="auto"/>
              <w:rPr>
                <w:rFonts w:hint="eastAsia" w:ascii="宋体" w:hAnsi="宋体" w:cs="宋体"/>
                <w:szCs w:val="21"/>
              </w:rPr>
            </w:pPr>
          </w:p>
          <w:p w14:paraId="0877E4E8">
            <w:pPr>
              <w:adjustRightInd w:val="0"/>
              <w:snapToGrid w:val="0"/>
              <w:spacing w:line="360" w:lineRule="auto"/>
              <w:rPr>
                <w:rFonts w:hint="eastAsia" w:ascii="宋体" w:hAnsi="宋体" w:cs="宋体"/>
                <w:szCs w:val="21"/>
              </w:rPr>
            </w:pPr>
          </w:p>
        </w:tc>
      </w:tr>
      <w:tr w14:paraId="13A0E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76619CA9">
            <w:pPr>
              <w:adjustRightInd w:val="0"/>
              <w:snapToGrid w:val="0"/>
              <w:spacing w:line="360" w:lineRule="auto"/>
              <w:rPr>
                <w:rFonts w:hint="eastAsia" w:ascii="宋体" w:hAnsi="宋体" w:cs="宋体"/>
                <w:szCs w:val="21"/>
              </w:rPr>
            </w:pPr>
            <w:r>
              <w:rPr>
                <w:rFonts w:hint="eastAsia" w:ascii="宋体" w:hAnsi="宋体" w:cs="宋体"/>
                <w:szCs w:val="21"/>
              </w:rPr>
              <w:t>基金份额持有人/受托人（代理人）签名或盖章</w:t>
            </w:r>
          </w:p>
          <w:p w14:paraId="5BA7B84F">
            <w:pPr>
              <w:adjustRightInd w:val="0"/>
              <w:snapToGrid w:val="0"/>
              <w:spacing w:line="360" w:lineRule="auto"/>
              <w:rPr>
                <w:rFonts w:hint="eastAsia" w:ascii="宋体" w:hAnsi="宋体" w:cs="宋体"/>
                <w:szCs w:val="21"/>
              </w:rPr>
            </w:pPr>
          </w:p>
          <w:p w14:paraId="316E9976">
            <w:pPr>
              <w:adjustRightInd w:val="0"/>
              <w:snapToGrid w:val="0"/>
              <w:spacing w:line="360" w:lineRule="auto"/>
              <w:rPr>
                <w:rFonts w:hint="eastAsia" w:ascii="宋体" w:hAnsi="宋体" w:cs="宋体"/>
                <w:szCs w:val="21"/>
              </w:rPr>
            </w:pPr>
          </w:p>
          <w:p w14:paraId="52E46018">
            <w:pPr>
              <w:adjustRightInd w:val="0"/>
              <w:snapToGrid w:val="0"/>
              <w:spacing w:line="360" w:lineRule="auto"/>
              <w:ind w:firstLine="4200" w:firstLineChars="2000"/>
              <w:jc w:val="right"/>
              <w:rPr>
                <w:rFonts w:hint="eastAsia" w:ascii="宋体" w:hAnsi="宋体" w:cs="宋体"/>
                <w:szCs w:val="21"/>
              </w:rPr>
            </w:pPr>
            <w:r>
              <w:rPr>
                <w:rFonts w:hint="eastAsia" w:ascii="宋体" w:hAnsi="宋体" w:cs="宋体"/>
                <w:szCs w:val="21"/>
              </w:rPr>
              <w:t xml:space="preserve">  年  月  日</w:t>
            </w:r>
          </w:p>
        </w:tc>
      </w:tr>
      <w:tr w14:paraId="00D87D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69FE192A">
            <w:pPr>
              <w:adjustRightInd w:val="0"/>
              <w:snapToGrid w:val="0"/>
              <w:spacing w:line="360" w:lineRule="auto"/>
              <w:rPr>
                <w:rFonts w:hint="eastAsia" w:ascii="宋体" w:hAnsi="宋体" w:cs="宋体"/>
                <w:sz w:val="20"/>
                <w:szCs w:val="20"/>
              </w:rPr>
            </w:pPr>
            <w:r>
              <w:rPr>
                <w:rFonts w:hint="eastAsia" w:ascii="宋体" w:hAnsi="宋体" w:cs="宋体"/>
                <w:sz w:val="20"/>
                <w:szCs w:val="20"/>
              </w:rPr>
              <w:t>说明：</w:t>
            </w:r>
          </w:p>
          <w:p w14:paraId="09A17F61">
            <w:pPr>
              <w:adjustRightInd w:val="0"/>
              <w:snapToGrid w:val="0"/>
              <w:spacing w:line="360" w:lineRule="auto"/>
              <w:ind w:firstLine="480"/>
              <w:rPr>
                <w:rFonts w:hint="eastAsia"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7"/>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1EA06770">
            <w:pPr>
              <w:adjustRightInd w:val="0"/>
              <w:snapToGrid w:val="0"/>
              <w:spacing w:line="360" w:lineRule="auto"/>
              <w:ind w:firstLine="480"/>
              <w:rPr>
                <w:rFonts w:hint="eastAsia"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3B8111C1">
            <w:pPr>
              <w:adjustRightInd w:val="0"/>
              <w:snapToGrid w:val="0"/>
              <w:spacing w:line="360" w:lineRule="auto"/>
              <w:ind w:firstLine="480"/>
              <w:rPr>
                <w:rFonts w:hint="eastAsia"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74782767">
      <w:pPr>
        <w:adjustRightInd w:val="0"/>
        <w:snapToGrid w:val="0"/>
        <w:spacing w:line="360" w:lineRule="auto"/>
        <w:ind w:firstLine="480"/>
        <w:rPr>
          <w:rFonts w:hint="eastAsia"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7"/>
          <w:rFonts w:hint="eastAsia" w:ascii="宋体" w:hAnsi="宋体" w:cs="宋体"/>
        </w:rPr>
        <w:br w:type="page"/>
      </w:r>
      <w:r>
        <w:rPr>
          <w:rStyle w:val="17"/>
          <w:rFonts w:hint="eastAsia" w:ascii="宋体" w:hAnsi="宋体" w:cs="宋体"/>
          <w:szCs w:val="21"/>
        </w:rPr>
        <w:t xml:space="preserve">附件三： </w:t>
      </w:r>
    </w:p>
    <w:p w14:paraId="6CD089A1">
      <w:pPr>
        <w:pStyle w:val="4"/>
        <w:adjustRightInd w:val="0"/>
        <w:snapToGrid w:val="0"/>
        <w:spacing w:line="360" w:lineRule="auto"/>
        <w:jc w:val="center"/>
        <w:rPr>
          <w:rFonts w:hint="eastAsia" w:ascii="宋体" w:hAnsi="宋体" w:cs="宋体"/>
          <w:bCs/>
          <w:sz w:val="22"/>
        </w:rPr>
      </w:pPr>
      <w:r>
        <w:rPr>
          <w:rFonts w:hint="eastAsia" w:ascii="宋体" w:hAnsi="宋体" w:cs="宋体"/>
          <w:bCs/>
          <w:sz w:val="22"/>
        </w:rPr>
        <w:t>授权委托书</w:t>
      </w:r>
    </w:p>
    <w:p w14:paraId="69EDF386">
      <w:pPr>
        <w:adjustRightInd w:val="0"/>
        <w:snapToGrid w:val="0"/>
        <w:spacing w:line="360" w:lineRule="auto"/>
        <w:ind w:firstLine="480"/>
        <w:rPr>
          <w:rFonts w:hint="eastAsia" w:ascii="宋体" w:hAnsi="宋体" w:cs="宋体"/>
        </w:rPr>
      </w:pPr>
    </w:p>
    <w:p w14:paraId="133F8003">
      <w:pPr>
        <w:adjustRightInd w:val="0"/>
        <w:snapToGrid w:val="0"/>
        <w:spacing w:line="360" w:lineRule="auto"/>
        <w:ind w:left="-210" w:leftChars="-100" w:firstLine="420" w:firstLineChars="200"/>
        <w:rPr>
          <w:rFonts w:hint="eastAsia"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博时稳欣39个月定期开放债券型证券投资基金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博时稳欣39个月定期开放债券型证券投资基金</w:t>
      </w:r>
      <w:r>
        <w:rPr>
          <w:rFonts w:hint="eastAsia" w:ascii="宋体" w:hAnsi="宋体" w:cs="宋体"/>
          <w:szCs w:val="21"/>
        </w:rPr>
        <w:t>二次召集审议相同议案的基金份额持有人大会的，除有新的授权外，本授权继续有效。</w:t>
      </w:r>
    </w:p>
    <w:p w14:paraId="7564B48A">
      <w:pPr>
        <w:adjustRightInd w:val="0"/>
        <w:snapToGrid w:val="0"/>
        <w:spacing w:line="360" w:lineRule="auto"/>
        <w:ind w:firstLine="480"/>
        <w:rPr>
          <w:rFonts w:hint="eastAsia" w:ascii="宋体" w:hAnsi="宋体" w:cs="宋体"/>
          <w:szCs w:val="21"/>
        </w:rPr>
      </w:pPr>
    </w:p>
    <w:p w14:paraId="47DBEBA7">
      <w:pPr>
        <w:adjustRightInd w:val="0"/>
        <w:snapToGrid w:val="0"/>
        <w:spacing w:line="360" w:lineRule="auto"/>
        <w:ind w:firstLine="480"/>
        <w:rPr>
          <w:rFonts w:hint="eastAsia" w:ascii="宋体" w:hAnsi="宋体" w:cs="宋体"/>
          <w:szCs w:val="21"/>
        </w:rPr>
      </w:pPr>
    </w:p>
    <w:p w14:paraId="577EFCFD">
      <w:pPr>
        <w:adjustRightInd w:val="0"/>
        <w:snapToGrid w:val="0"/>
        <w:spacing w:line="360" w:lineRule="auto"/>
        <w:rPr>
          <w:rFonts w:hint="eastAsia" w:ascii="宋体" w:hAnsi="宋体" w:cs="宋体"/>
          <w:szCs w:val="21"/>
        </w:rPr>
      </w:pPr>
      <w:r>
        <w:rPr>
          <w:rFonts w:hint="eastAsia" w:ascii="宋体" w:hAnsi="宋体" w:cs="宋体"/>
          <w:szCs w:val="21"/>
        </w:rPr>
        <w:t xml:space="preserve">委托人（签字/盖章）： 　　　            　　　            </w:t>
      </w:r>
    </w:p>
    <w:p w14:paraId="17B0802C">
      <w:pPr>
        <w:adjustRightInd w:val="0"/>
        <w:snapToGrid w:val="0"/>
        <w:spacing w:line="360" w:lineRule="auto"/>
        <w:rPr>
          <w:rFonts w:hint="eastAsia" w:ascii="宋体" w:hAnsi="宋体" w:cs="宋体"/>
          <w:szCs w:val="21"/>
        </w:rPr>
      </w:pPr>
      <w:r>
        <w:rPr>
          <w:rFonts w:hint="eastAsia" w:ascii="宋体" w:hAnsi="宋体" w:cs="宋体"/>
          <w:szCs w:val="21"/>
        </w:rPr>
        <w:t xml:space="preserve">委托人身份证号或营业执照号/统一社会信用代码：                        </w:t>
      </w:r>
    </w:p>
    <w:p w14:paraId="6CB4FDC7">
      <w:pPr>
        <w:adjustRightInd w:val="0"/>
        <w:snapToGrid w:val="0"/>
        <w:spacing w:line="360" w:lineRule="auto"/>
        <w:rPr>
          <w:rFonts w:hint="eastAsia" w:ascii="宋体" w:hAnsi="宋体" w:cs="宋体"/>
          <w:szCs w:val="21"/>
        </w:rPr>
      </w:pPr>
      <w:r>
        <w:rPr>
          <w:rFonts w:hint="eastAsia" w:ascii="宋体" w:hAnsi="宋体" w:cs="宋体"/>
          <w:szCs w:val="21"/>
        </w:rPr>
        <w:t xml:space="preserve">委托人基金账户号：                                          </w:t>
      </w:r>
    </w:p>
    <w:p w14:paraId="33FDB344">
      <w:pPr>
        <w:adjustRightInd w:val="0"/>
        <w:snapToGrid w:val="0"/>
        <w:spacing w:line="360" w:lineRule="auto"/>
        <w:rPr>
          <w:rFonts w:hint="eastAsia" w:ascii="宋体" w:hAnsi="宋体" w:cs="宋体"/>
          <w:szCs w:val="21"/>
        </w:rPr>
      </w:pPr>
    </w:p>
    <w:p w14:paraId="018E7D16">
      <w:pPr>
        <w:adjustRightInd w:val="0"/>
        <w:snapToGrid w:val="0"/>
        <w:spacing w:line="360" w:lineRule="auto"/>
        <w:ind w:firstLine="5040"/>
        <w:rPr>
          <w:rFonts w:hint="eastAsia" w:ascii="宋体" w:hAnsi="宋体" w:cs="宋体"/>
          <w:szCs w:val="21"/>
        </w:rPr>
      </w:pPr>
    </w:p>
    <w:p w14:paraId="2FF60BEB">
      <w:pPr>
        <w:adjustRightInd w:val="0"/>
        <w:snapToGrid w:val="0"/>
        <w:spacing w:line="360" w:lineRule="auto"/>
        <w:rPr>
          <w:rFonts w:hint="eastAsia" w:ascii="宋体" w:hAnsi="宋体" w:cs="宋体"/>
          <w:szCs w:val="21"/>
        </w:rPr>
      </w:pPr>
      <w:r>
        <w:rPr>
          <w:rFonts w:hint="eastAsia" w:ascii="宋体" w:hAnsi="宋体" w:cs="宋体"/>
          <w:szCs w:val="21"/>
        </w:rPr>
        <w:t xml:space="preserve">受托人（代理人）（签字/盖章）：                                        </w:t>
      </w:r>
    </w:p>
    <w:p w14:paraId="65F5AE7D">
      <w:pPr>
        <w:adjustRightInd w:val="0"/>
        <w:snapToGrid w:val="0"/>
        <w:spacing w:line="360" w:lineRule="auto"/>
        <w:rPr>
          <w:rFonts w:hint="eastAsia" w:ascii="宋体" w:hAnsi="宋体" w:cs="宋体"/>
          <w:szCs w:val="21"/>
        </w:rPr>
      </w:pPr>
      <w:r>
        <w:rPr>
          <w:rFonts w:hint="eastAsia" w:ascii="宋体" w:hAnsi="宋体" w:cs="宋体"/>
          <w:szCs w:val="21"/>
        </w:rPr>
        <w:t xml:space="preserve">受托人（代理人）身份证号或营业执照号/统一社会信用代码：                                    </w:t>
      </w:r>
    </w:p>
    <w:p w14:paraId="0D01705D">
      <w:pPr>
        <w:adjustRightInd w:val="0"/>
        <w:snapToGrid w:val="0"/>
        <w:spacing w:line="360" w:lineRule="auto"/>
        <w:ind w:firstLine="5040"/>
        <w:rPr>
          <w:rFonts w:hint="eastAsia" w:ascii="宋体" w:hAnsi="宋体" w:cs="宋体"/>
          <w:szCs w:val="21"/>
        </w:rPr>
      </w:pPr>
    </w:p>
    <w:p w14:paraId="195C5056">
      <w:pPr>
        <w:adjustRightInd w:val="0"/>
        <w:snapToGrid w:val="0"/>
        <w:spacing w:line="360" w:lineRule="auto"/>
        <w:jc w:val="center"/>
        <w:rPr>
          <w:rFonts w:hint="eastAsia" w:ascii="宋体" w:hAnsi="宋体" w:cs="宋体"/>
          <w:szCs w:val="21"/>
        </w:rPr>
      </w:pPr>
      <w:r>
        <w:rPr>
          <w:rFonts w:hint="eastAsia" w:ascii="宋体" w:hAnsi="宋体" w:cs="宋体"/>
          <w:szCs w:val="21"/>
        </w:rPr>
        <w:t xml:space="preserve">                          </w:t>
      </w:r>
    </w:p>
    <w:p w14:paraId="2E8E000F">
      <w:pPr>
        <w:adjustRightInd w:val="0"/>
        <w:snapToGrid w:val="0"/>
        <w:spacing w:line="360" w:lineRule="auto"/>
        <w:jc w:val="center"/>
        <w:rPr>
          <w:rFonts w:hint="eastAsia" w:ascii="宋体" w:hAnsi="宋体" w:cs="宋体"/>
          <w:szCs w:val="21"/>
        </w:rPr>
      </w:pPr>
    </w:p>
    <w:p w14:paraId="2B209BAA">
      <w:pPr>
        <w:adjustRightInd w:val="0"/>
        <w:snapToGrid w:val="0"/>
        <w:spacing w:line="360" w:lineRule="auto"/>
        <w:jc w:val="center"/>
        <w:rPr>
          <w:rFonts w:hint="eastAsia" w:ascii="宋体" w:hAnsi="宋体" w:cs="宋体"/>
          <w:szCs w:val="21"/>
        </w:rPr>
      </w:pPr>
      <w:r>
        <w:rPr>
          <w:rFonts w:hint="eastAsia" w:ascii="宋体" w:hAnsi="宋体" w:cs="宋体"/>
          <w:szCs w:val="21"/>
        </w:rPr>
        <w:t xml:space="preserve"> 委托日期：　　年　　　月　　日</w:t>
      </w:r>
    </w:p>
    <w:p w14:paraId="2FE0BA41">
      <w:pPr>
        <w:adjustRightInd w:val="0"/>
        <w:snapToGrid w:val="0"/>
        <w:spacing w:line="360" w:lineRule="auto"/>
        <w:rPr>
          <w:rFonts w:hint="eastAsia" w:ascii="宋体" w:hAnsi="宋体" w:cs="宋体"/>
          <w:szCs w:val="21"/>
        </w:rPr>
      </w:pPr>
    </w:p>
    <w:p w14:paraId="63CCE6A1">
      <w:pPr>
        <w:adjustRightInd w:val="0"/>
        <w:snapToGrid w:val="0"/>
        <w:spacing w:line="360" w:lineRule="auto"/>
        <w:rPr>
          <w:rFonts w:hint="eastAsia" w:ascii="宋体" w:hAnsi="宋体" w:cs="宋体"/>
          <w:szCs w:val="21"/>
        </w:rPr>
      </w:pPr>
    </w:p>
    <w:p w14:paraId="03175474">
      <w:pPr>
        <w:adjustRightInd w:val="0"/>
        <w:snapToGrid w:val="0"/>
        <w:spacing w:line="360" w:lineRule="auto"/>
        <w:rPr>
          <w:rFonts w:hint="eastAsia" w:ascii="宋体" w:hAnsi="宋体" w:cs="宋体"/>
          <w:szCs w:val="21"/>
        </w:rPr>
      </w:pPr>
      <w:r>
        <w:rPr>
          <w:rFonts w:hint="eastAsia" w:ascii="宋体" w:hAnsi="宋体" w:cs="宋体"/>
          <w:szCs w:val="21"/>
        </w:rPr>
        <w:t>附注：</w:t>
      </w:r>
    </w:p>
    <w:p w14:paraId="15AF973F">
      <w:pPr>
        <w:adjustRightInd w:val="0"/>
        <w:snapToGrid w:val="0"/>
        <w:spacing w:line="360" w:lineRule="auto"/>
        <w:rPr>
          <w:rFonts w:hint="eastAsia" w:ascii="宋体" w:hAnsi="宋体" w:cs="宋体"/>
          <w:szCs w:val="21"/>
        </w:rPr>
      </w:pPr>
      <w:r>
        <w:rPr>
          <w:rFonts w:hint="eastAsia" w:ascii="宋体" w:hAnsi="宋体" w:cs="宋体"/>
          <w:szCs w:val="21"/>
        </w:rPr>
        <w:t>1、此授权委托书可剪报、复印或按以上格式自制，在填写完整并签字盖章后均为有效。</w:t>
      </w:r>
    </w:p>
    <w:p w14:paraId="2A2B1BF8">
      <w:pPr>
        <w:adjustRightInd w:val="0"/>
        <w:snapToGrid w:val="0"/>
        <w:spacing w:line="360" w:lineRule="auto"/>
        <w:rPr>
          <w:rFonts w:hint="eastAsia"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0672878B">
      <w:pPr>
        <w:adjustRightInd w:val="0"/>
        <w:snapToGrid w:val="0"/>
        <w:spacing w:line="360" w:lineRule="auto"/>
        <w:rPr>
          <w:rFonts w:hint="eastAsia" w:ascii="宋体" w:hAnsi="宋体" w:cs="宋体"/>
          <w:szCs w:val="21"/>
        </w:rPr>
      </w:pPr>
      <w:r>
        <w:rPr>
          <w:rFonts w:hint="eastAsia" w:ascii="宋体" w:hAnsi="宋体" w:cs="宋体"/>
          <w:szCs w:val="21"/>
        </w:rPr>
        <w:t>3、受托人（代理人）的表决意见代表委托人本基金账户下全部基金份额的表决意见。</w:t>
      </w:r>
    </w:p>
    <w:p w14:paraId="3FEECB54">
      <w:pPr>
        <w:rPr>
          <w:rFonts w:hint="eastAsia" w:ascii="宋体" w:hAnsi="宋体" w:cs="宋体"/>
          <w:color w:val="000000"/>
          <w:szCs w:val="21"/>
        </w:rPr>
      </w:pPr>
      <w:r>
        <w:rPr>
          <w:rFonts w:hint="eastAsia" w:ascii="宋体" w:hAnsi="宋体" w:cs="宋体"/>
          <w:color w:val="000000"/>
          <w:szCs w:val="21"/>
        </w:rPr>
        <w:br w:type="page"/>
      </w:r>
    </w:p>
    <w:p w14:paraId="7B21267E">
      <w:pPr>
        <w:rPr>
          <w:rFonts w:hint="eastAsia" w:ascii="宋体" w:hAnsi="宋体" w:cs="宋体"/>
          <w:color w:val="000000"/>
          <w:szCs w:val="21"/>
        </w:rPr>
      </w:pPr>
      <w:r>
        <w:rPr>
          <w:rFonts w:hint="eastAsia" w:ascii="宋体" w:hAnsi="宋体" w:cs="宋体"/>
          <w:color w:val="000000"/>
          <w:szCs w:val="21"/>
        </w:rPr>
        <w:t>附件四：</w:t>
      </w:r>
    </w:p>
    <w:p w14:paraId="52C33849">
      <w:pPr>
        <w:jc w:val="center"/>
        <w:rPr>
          <w:rFonts w:hint="eastAsia" w:ascii="宋体" w:hAnsi="宋体" w:cs="宋体"/>
          <w:b/>
          <w:bCs/>
          <w:color w:val="000000"/>
          <w:szCs w:val="21"/>
        </w:rPr>
      </w:pPr>
      <w:r>
        <w:rPr>
          <w:rFonts w:hint="eastAsia" w:ascii="宋体" w:hAnsi="宋体" w:cs="宋体"/>
          <w:b/>
          <w:bCs/>
          <w:color w:val="000000"/>
          <w:szCs w:val="21"/>
        </w:rPr>
        <w:t>《博时稳欣39个月定期开放债券型证券投资基金修改基金合同条款的议案》说明书</w:t>
      </w:r>
    </w:p>
    <w:p w14:paraId="22FAD369">
      <w:pPr>
        <w:rPr>
          <w:rFonts w:hint="eastAsia" w:ascii="宋体" w:hAnsi="宋体" w:cs="宋体"/>
          <w:color w:val="000000"/>
          <w:szCs w:val="21"/>
        </w:rPr>
      </w:pPr>
    </w:p>
    <w:p w14:paraId="5CEE7862">
      <w:pPr>
        <w:pStyle w:val="8"/>
        <w:spacing w:before="0" w:beforeAutospacing="0" w:after="0" w:afterAutospacing="0" w:line="360" w:lineRule="auto"/>
        <w:ind w:firstLine="420"/>
        <w:rPr>
          <w:rFonts w:hint="eastAsia"/>
          <w:sz w:val="21"/>
          <w:szCs w:val="21"/>
        </w:rPr>
      </w:pPr>
      <w:r>
        <w:rPr>
          <w:rFonts w:hint="eastAsia"/>
          <w:b/>
          <w:bCs/>
          <w:sz w:val="21"/>
          <w:szCs w:val="21"/>
        </w:rPr>
        <w:t>一、重要提示</w:t>
      </w:r>
      <w:r>
        <w:rPr>
          <w:rFonts w:hint="eastAsia"/>
          <w:sz w:val="21"/>
          <w:szCs w:val="21"/>
        </w:rPr>
        <w:t xml:space="preserve">  </w:t>
      </w:r>
    </w:p>
    <w:p w14:paraId="6389906B">
      <w:pPr>
        <w:pStyle w:val="8"/>
        <w:spacing w:before="0" w:beforeAutospacing="0" w:after="0" w:afterAutospacing="0" w:line="360" w:lineRule="auto"/>
        <w:ind w:firstLine="420"/>
        <w:rPr>
          <w:rFonts w:hint="eastAsia"/>
          <w:sz w:val="21"/>
          <w:szCs w:val="21"/>
        </w:rPr>
      </w:pPr>
      <w:r>
        <w:rPr>
          <w:rFonts w:hint="eastAsia"/>
          <w:sz w:val="21"/>
          <w:szCs w:val="21"/>
        </w:rPr>
        <w:t xml:space="preserve">1、为应对复杂多变的证券市场环境，更好地维护基金份额持有人利益，提高产品的市场竞争力，根据《中华人民共和国证券投资基金法》、《公开募集证券投资基金运作管理办法》和《博时稳欣39个月定期开放债券型证券投资基金基金合同》（以下简称“《基金合同》”）有关规定，基金管理人经与基金托管人上海浦东发展银行股份有限公司协商一致，提议以通讯方式召开基金份额持有人大会，审议关于博时稳欣39个月定期开放债券型证券投资基金（以下简称“博时稳欣39个月定开债”或“本基金”）修改基金合同条款的议案。 </w:t>
      </w:r>
    </w:p>
    <w:p w14:paraId="54BCDF01">
      <w:pPr>
        <w:pStyle w:val="8"/>
        <w:spacing w:before="0" w:beforeAutospacing="0" w:after="0" w:afterAutospacing="0" w:line="360" w:lineRule="auto"/>
        <w:ind w:firstLine="420"/>
        <w:rPr>
          <w:rFonts w:hint="eastAsia"/>
          <w:sz w:val="21"/>
          <w:szCs w:val="21"/>
        </w:rPr>
      </w:pPr>
      <w:r>
        <w:rPr>
          <w:rFonts w:hint="eastAsia"/>
          <w:sz w:val="21"/>
          <w:szCs w:val="21"/>
        </w:rPr>
        <w:t xml:space="preserve">2、本次博时稳欣39个月定开债修改基金合同条款的议案需经参加大会的基金份额持有人或其代理人所持表决权的二分之一以上（含二分之一）通过，因此修改基金合同条款的议案存在无法获得相关基金份额持有人大会表决通过的可能。 </w:t>
      </w:r>
    </w:p>
    <w:p w14:paraId="3DFA80A8">
      <w:pPr>
        <w:pStyle w:val="8"/>
        <w:spacing w:before="0" w:beforeAutospacing="0" w:after="0" w:afterAutospacing="0" w:line="360" w:lineRule="auto"/>
        <w:ind w:firstLine="420"/>
        <w:rPr>
          <w:rFonts w:hint="eastAsia"/>
          <w:sz w:val="21"/>
          <w:szCs w:val="21"/>
        </w:rPr>
      </w:pPr>
      <w:r>
        <w:rPr>
          <w:rFonts w:hint="eastAsia"/>
          <w:sz w:val="21"/>
          <w:szCs w:val="21"/>
        </w:rPr>
        <w:t xml:space="preserve">3、基金份额持有人大会表决通过的事项须报中国证监会备案，且基金份额持有人大会决议自表决通过之日起生效。中国证监会对本次博时稳欣39个月定开债持有人大会决议的备案，均不表明其对本基金的投资价值、市场前景或投资者的收益做出实质性判断或保证。 </w:t>
      </w:r>
    </w:p>
    <w:p w14:paraId="0FBBF07F">
      <w:pPr>
        <w:pStyle w:val="8"/>
        <w:spacing w:before="0" w:beforeAutospacing="0" w:after="0" w:afterAutospacing="0" w:line="360" w:lineRule="auto"/>
        <w:ind w:firstLine="420"/>
        <w:rPr>
          <w:rFonts w:hint="eastAsia"/>
          <w:sz w:val="21"/>
          <w:szCs w:val="21"/>
        </w:rPr>
      </w:pPr>
      <w:r>
        <w:rPr>
          <w:rFonts w:hint="eastAsia"/>
          <w:b/>
          <w:bCs/>
          <w:sz w:val="21"/>
          <w:szCs w:val="21"/>
        </w:rPr>
        <w:t>二、对基金合同的主要修订</w:t>
      </w:r>
      <w:r>
        <w:rPr>
          <w:rFonts w:hint="eastAsia"/>
          <w:sz w:val="21"/>
          <w:szCs w:val="21"/>
        </w:rPr>
        <w:t xml:space="preserve">  </w:t>
      </w:r>
      <w:bookmarkStart w:id="2" w:name="_GoBack"/>
      <w:bookmarkEnd w:id="2"/>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02"/>
        <w:gridCol w:w="7020"/>
      </w:tblGrid>
      <w:tr w14:paraId="3E802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55364CA4">
            <w:pPr>
              <w:pStyle w:val="8"/>
              <w:spacing w:before="0" w:beforeAutospacing="0" w:after="0" w:afterAutospacing="0" w:line="360" w:lineRule="auto"/>
              <w:rPr>
                <w:rFonts w:hint="eastAsia"/>
                <w:sz w:val="21"/>
                <w:szCs w:val="21"/>
              </w:rPr>
            </w:pPr>
            <w:r>
              <w:rPr>
                <w:rFonts w:hint="eastAsia"/>
                <w:sz w:val="21"/>
                <w:szCs w:val="21"/>
              </w:rPr>
              <w:t>章节</w:t>
            </w:r>
          </w:p>
        </w:tc>
        <w:tc>
          <w:tcPr>
            <w:tcW w:w="7020" w:type="dxa"/>
          </w:tcPr>
          <w:p w14:paraId="59425F5B">
            <w:pPr>
              <w:pStyle w:val="8"/>
              <w:spacing w:before="0" w:beforeAutospacing="0" w:after="0" w:afterAutospacing="0" w:line="360" w:lineRule="auto"/>
              <w:rPr>
                <w:rFonts w:hint="eastAsia"/>
                <w:sz w:val="21"/>
                <w:szCs w:val="21"/>
              </w:rPr>
            </w:pPr>
            <w:r>
              <w:rPr>
                <w:rFonts w:hint="eastAsia"/>
                <w:sz w:val="21"/>
                <w:szCs w:val="21"/>
              </w:rPr>
              <w:t>修改内容</w:t>
            </w:r>
          </w:p>
        </w:tc>
      </w:tr>
      <w:tr w14:paraId="0DA40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06CE6D99">
            <w:pPr>
              <w:pStyle w:val="8"/>
              <w:spacing w:before="0" w:beforeAutospacing="0" w:after="0" w:afterAutospacing="0" w:line="360" w:lineRule="auto"/>
              <w:rPr>
                <w:rFonts w:hint="eastAsia"/>
                <w:sz w:val="21"/>
                <w:szCs w:val="21"/>
              </w:rPr>
            </w:pPr>
            <w:r>
              <w:rPr>
                <w:rFonts w:hint="eastAsia"/>
                <w:sz w:val="21"/>
                <w:szCs w:val="21"/>
              </w:rPr>
              <w:t>第二部分 释义</w:t>
            </w:r>
          </w:p>
        </w:tc>
        <w:tc>
          <w:tcPr>
            <w:tcW w:w="7020" w:type="dxa"/>
          </w:tcPr>
          <w:p w14:paraId="0973FB09">
            <w:pPr>
              <w:pStyle w:val="8"/>
              <w:spacing w:before="0" w:beforeAutospacing="0" w:after="0" w:afterAutospacing="0" w:line="360" w:lineRule="auto"/>
              <w:rPr>
                <w:rFonts w:hint="eastAsia"/>
                <w:sz w:val="21"/>
                <w:szCs w:val="21"/>
              </w:rPr>
            </w:pPr>
            <w:r>
              <w:rPr>
                <w:rFonts w:hint="eastAsia"/>
                <w:sz w:val="21"/>
                <w:szCs w:val="21"/>
              </w:rPr>
              <w:t>将“40、开放期：指自封闭期结束之日后第一个工作日起（含该日）5至20个工作日，具体期间由基金管理人在封闭期结束前公告说明，但在开放期内，基金管理人有权延长开放期时间并公告，但开放期最长不可超过20个工作日。...”</w:t>
            </w:r>
          </w:p>
          <w:p w14:paraId="11C4F8F2">
            <w:pPr>
              <w:pStyle w:val="8"/>
              <w:spacing w:before="0" w:beforeAutospacing="0" w:after="0" w:afterAutospacing="0" w:line="360" w:lineRule="auto"/>
              <w:rPr>
                <w:rFonts w:hint="eastAsia"/>
                <w:sz w:val="21"/>
                <w:szCs w:val="21"/>
              </w:rPr>
            </w:pPr>
            <w:r>
              <w:rPr>
                <w:rFonts w:hint="eastAsia"/>
                <w:sz w:val="21"/>
                <w:szCs w:val="21"/>
              </w:rPr>
              <w:t>修改为</w:t>
            </w:r>
          </w:p>
          <w:p w14:paraId="00628932">
            <w:pPr>
              <w:pStyle w:val="8"/>
              <w:spacing w:before="0" w:beforeAutospacing="0" w:after="0" w:afterAutospacing="0" w:line="360" w:lineRule="auto"/>
              <w:rPr>
                <w:rFonts w:hint="eastAsia"/>
                <w:sz w:val="21"/>
                <w:szCs w:val="21"/>
              </w:rPr>
            </w:pPr>
            <w:r>
              <w:rPr>
                <w:rFonts w:hint="eastAsia"/>
                <w:sz w:val="21"/>
                <w:szCs w:val="21"/>
              </w:rPr>
              <w:t>“40、开放期：指自封闭期结束之日后第一个工作日起（含该日）1至20个工作日，具体期间由基金管理人在封闭期结束前公告说明，但在开放期内，基金管理人有权延长开放期时间并公告，但开放期最长不可超过20个工作日。...”</w:t>
            </w:r>
          </w:p>
        </w:tc>
      </w:tr>
      <w:tr w14:paraId="646ED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0C951C4F">
            <w:pPr>
              <w:pStyle w:val="8"/>
              <w:spacing w:before="0" w:beforeAutospacing="0" w:after="0" w:afterAutospacing="0" w:line="360" w:lineRule="auto"/>
              <w:rPr>
                <w:rFonts w:hint="eastAsia"/>
                <w:sz w:val="21"/>
                <w:szCs w:val="21"/>
              </w:rPr>
            </w:pPr>
            <w:r>
              <w:rPr>
                <w:rFonts w:hint="eastAsia"/>
                <w:sz w:val="21"/>
                <w:szCs w:val="21"/>
              </w:rPr>
              <w:t>第三部分 基金的基本情况</w:t>
            </w:r>
          </w:p>
        </w:tc>
        <w:tc>
          <w:tcPr>
            <w:tcW w:w="7020" w:type="dxa"/>
          </w:tcPr>
          <w:p w14:paraId="1036912A">
            <w:pPr>
              <w:pStyle w:val="8"/>
              <w:spacing w:before="0" w:beforeAutospacing="0" w:after="0" w:afterAutospacing="0" w:line="360" w:lineRule="auto"/>
              <w:rPr>
                <w:rFonts w:hint="eastAsia"/>
                <w:sz w:val="21"/>
                <w:szCs w:val="21"/>
              </w:rPr>
            </w:pPr>
            <w:r>
              <w:rPr>
                <w:rFonts w:hint="eastAsia"/>
                <w:sz w:val="21"/>
                <w:szCs w:val="21"/>
              </w:rPr>
              <w:t>将“...每一个封闭期结束后，本基金即进入开放期，开放期的期限为自封闭期结束之日后第一个工作日起（含该日）五至二十个工作日，具体期间由基金管理人在封闭期结束前公告说明，但在开放期内，基金管理人有权延长开放期时间并公告，但开放期最长不可超过二十个工作日。...”</w:t>
            </w:r>
          </w:p>
          <w:p w14:paraId="1D140403">
            <w:pPr>
              <w:pStyle w:val="8"/>
              <w:spacing w:before="0" w:beforeAutospacing="0" w:after="0" w:afterAutospacing="0" w:line="360" w:lineRule="auto"/>
              <w:rPr>
                <w:rFonts w:hint="eastAsia"/>
                <w:sz w:val="21"/>
                <w:szCs w:val="21"/>
              </w:rPr>
            </w:pPr>
            <w:r>
              <w:rPr>
                <w:rFonts w:hint="eastAsia"/>
                <w:sz w:val="21"/>
                <w:szCs w:val="21"/>
              </w:rPr>
              <w:t>修改为</w:t>
            </w:r>
          </w:p>
          <w:p w14:paraId="6C7C8147">
            <w:pPr>
              <w:pStyle w:val="8"/>
              <w:spacing w:before="0" w:beforeAutospacing="0" w:after="0" w:afterAutospacing="0" w:line="360" w:lineRule="auto"/>
              <w:rPr>
                <w:rFonts w:hint="eastAsia"/>
                <w:sz w:val="21"/>
                <w:szCs w:val="21"/>
              </w:rPr>
            </w:pPr>
            <w:r>
              <w:rPr>
                <w:rFonts w:hint="eastAsia"/>
                <w:sz w:val="21"/>
                <w:szCs w:val="21"/>
              </w:rPr>
              <w:t>“...每一个封闭期结束后，本基金即进入开放期，开放期的期限为自封闭期结束之日后第一个工作日起（含该日）1至20个工作日，具体期间由基金管理人在封闭期结束前公告说明，但在开放期内，基金管理人有权延长开放期时间并公告，但开放期最长不可超过20个工作日。...”</w:t>
            </w:r>
          </w:p>
        </w:tc>
      </w:tr>
      <w:tr w14:paraId="6BD79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12FDD475">
            <w:pPr>
              <w:pStyle w:val="8"/>
              <w:spacing w:before="0" w:beforeAutospacing="0" w:after="0" w:afterAutospacing="0" w:line="360" w:lineRule="auto"/>
              <w:rPr>
                <w:rFonts w:hint="eastAsia"/>
                <w:sz w:val="21"/>
                <w:szCs w:val="21"/>
              </w:rPr>
            </w:pPr>
            <w:r>
              <w:rPr>
                <w:rFonts w:hint="eastAsia"/>
                <w:sz w:val="21"/>
                <w:szCs w:val="21"/>
              </w:rPr>
              <w:t>第六部分 基金份额的申购与赎回</w:t>
            </w:r>
          </w:p>
        </w:tc>
        <w:tc>
          <w:tcPr>
            <w:tcW w:w="7020" w:type="dxa"/>
          </w:tcPr>
          <w:p w14:paraId="19CCA247">
            <w:pPr>
              <w:pStyle w:val="8"/>
              <w:spacing w:before="0" w:beforeAutospacing="0" w:after="0" w:afterAutospacing="0" w:line="360" w:lineRule="auto"/>
              <w:rPr>
                <w:rFonts w:hint="eastAsia"/>
                <w:sz w:val="21"/>
                <w:szCs w:val="21"/>
              </w:rPr>
            </w:pPr>
            <w:r>
              <w:rPr>
                <w:rFonts w:hint="eastAsia"/>
                <w:sz w:val="21"/>
                <w:szCs w:val="21"/>
              </w:rPr>
              <w:t>将“除法律法规或基金合同另有约定外，本基金每个封闭期结束之后第一个工作日起（含该日）进入开放期，开放期的期限为自封闭期结束之日后第一个工作日起（含该日）5至20个工作日，...”</w:t>
            </w:r>
          </w:p>
          <w:p w14:paraId="41C25A38">
            <w:pPr>
              <w:pStyle w:val="8"/>
              <w:spacing w:before="0" w:beforeAutospacing="0" w:after="0" w:afterAutospacing="0" w:line="360" w:lineRule="auto"/>
              <w:rPr>
                <w:rFonts w:hint="eastAsia"/>
                <w:sz w:val="21"/>
                <w:szCs w:val="21"/>
              </w:rPr>
            </w:pPr>
            <w:r>
              <w:rPr>
                <w:rFonts w:hint="eastAsia"/>
                <w:sz w:val="21"/>
                <w:szCs w:val="21"/>
              </w:rPr>
              <w:t>修改为</w:t>
            </w:r>
          </w:p>
          <w:p w14:paraId="60F3452D">
            <w:pPr>
              <w:pStyle w:val="8"/>
              <w:spacing w:before="0" w:beforeAutospacing="0" w:after="0" w:afterAutospacing="0" w:line="360" w:lineRule="auto"/>
              <w:rPr>
                <w:rFonts w:hint="eastAsia"/>
                <w:sz w:val="21"/>
                <w:szCs w:val="21"/>
              </w:rPr>
            </w:pPr>
            <w:r>
              <w:rPr>
                <w:rFonts w:hint="eastAsia"/>
                <w:sz w:val="21"/>
                <w:szCs w:val="21"/>
              </w:rPr>
              <w:t>“除法律法规或基金合同另有约定外，本基金每个封闭期结束之后第一个工作日起（含该日）进入开放期，开放期的期限为自封闭期结束之日后第一个工作日起（含该日）1至20个工作日，...”</w:t>
            </w:r>
          </w:p>
        </w:tc>
      </w:tr>
      <w:tr w14:paraId="242D3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02" w:type="dxa"/>
          </w:tcPr>
          <w:p w14:paraId="2FB45587">
            <w:pPr>
              <w:pStyle w:val="8"/>
              <w:spacing w:before="0" w:beforeAutospacing="0" w:after="0" w:afterAutospacing="0" w:line="360" w:lineRule="auto"/>
              <w:rPr>
                <w:rFonts w:hint="eastAsia"/>
                <w:sz w:val="21"/>
                <w:szCs w:val="21"/>
              </w:rPr>
            </w:pPr>
            <w:r>
              <w:rPr>
                <w:rFonts w:hint="eastAsia"/>
                <w:sz w:val="21"/>
                <w:szCs w:val="21"/>
              </w:rPr>
              <w:t>第十二部分  基金的投资</w:t>
            </w:r>
          </w:p>
        </w:tc>
        <w:tc>
          <w:tcPr>
            <w:tcW w:w="7020" w:type="dxa"/>
          </w:tcPr>
          <w:p w14:paraId="7568C35F">
            <w:pPr>
              <w:numPr>
                <w:ilvl w:val="255"/>
                <w:numId w:val="0"/>
              </w:numPr>
              <w:adjustRightInd w:val="0"/>
              <w:snapToGrid w:val="0"/>
              <w:spacing w:line="360" w:lineRule="auto"/>
              <w:rPr>
                <w:rFonts w:hint="eastAsia" w:ascii="宋体" w:hAnsi="宋体" w:eastAsia="宋体" w:cs="宋体"/>
                <w:kern w:val="0"/>
                <w:szCs w:val="21"/>
              </w:rPr>
            </w:pPr>
            <w:r>
              <w:rPr>
                <w:rFonts w:hint="eastAsia" w:ascii="宋体" w:hAnsi="宋体" w:eastAsia="宋体" w:cs="宋体"/>
                <w:kern w:val="0"/>
                <w:szCs w:val="21"/>
              </w:rPr>
              <w:t>删除“ 本基金进入全国银行间同业市场进行债券回购的资金余额不得超过基金资产净值的40%；进入全国银行间同业市场进行债券回购的最长期限为1年，债券回购到期后不得展期；”</w:t>
            </w:r>
          </w:p>
          <w:p w14:paraId="13034F68">
            <w:pPr>
              <w:pStyle w:val="8"/>
              <w:spacing w:before="0" w:beforeAutospacing="0" w:after="0" w:afterAutospacing="0" w:line="360" w:lineRule="auto"/>
              <w:rPr>
                <w:rFonts w:hint="eastAsia"/>
                <w:sz w:val="21"/>
                <w:szCs w:val="21"/>
              </w:rPr>
            </w:pPr>
            <w:r>
              <w:rPr>
                <w:rFonts w:hint="eastAsia"/>
                <w:sz w:val="21"/>
                <w:szCs w:val="21"/>
              </w:rPr>
              <w:t>相关序号依次调整。</w:t>
            </w:r>
          </w:p>
        </w:tc>
      </w:tr>
    </w:tbl>
    <w:p w14:paraId="39ECA9DA">
      <w:pPr>
        <w:pStyle w:val="8"/>
        <w:spacing w:before="0" w:beforeAutospacing="0" w:after="0" w:afterAutospacing="0" w:line="360" w:lineRule="auto"/>
        <w:ind w:firstLine="420"/>
        <w:rPr>
          <w:rFonts w:hint="eastAsia"/>
          <w:sz w:val="21"/>
          <w:szCs w:val="21"/>
        </w:rPr>
      </w:pPr>
    </w:p>
    <w:p w14:paraId="00990204">
      <w:pPr>
        <w:pStyle w:val="8"/>
        <w:spacing w:before="0" w:beforeAutospacing="0" w:after="0" w:afterAutospacing="0" w:line="360" w:lineRule="auto"/>
        <w:ind w:firstLine="420"/>
        <w:rPr>
          <w:rFonts w:hint="eastAsia"/>
          <w:sz w:val="21"/>
          <w:szCs w:val="21"/>
        </w:rPr>
      </w:pPr>
      <w:r>
        <w:rPr>
          <w:rFonts w:hint="eastAsia"/>
          <w:b/>
          <w:bCs/>
          <w:sz w:val="21"/>
          <w:szCs w:val="21"/>
        </w:rPr>
        <w:t>三、本基金托管协议、招募说明书及基金产品资料概要将根据以上《博时稳欣39个月定期开放债券型证券投资基金基金合同》的修订内容进行相应修改，并按规定更新，同时更新基金管理人信息。</w:t>
      </w:r>
      <w:r>
        <w:rPr>
          <w:rFonts w:hint="eastAsia"/>
          <w:sz w:val="21"/>
          <w:szCs w:val="21"/>
        </w:rPr>
        <w:t xml:space="preserve">   </w:t>
      </w:r>
    </w:p>
    <w:p w14:paraId="37D756E1">
      <w:pPr>
        <w:rPr>
          <w:rFonts w:hint="eastAsia" w:ascii="宋体" w:hAnsi="宋体" w:cs="宋体"/>
          <w:color w:val="000000"/>
          <w:szCs w:val="21"/>
        </w:rPr>
      </w:pPr>
    </w:p>
    <w:p w14:paraId="45C2FDF1">
      <w:pPr>
        <w:pStyle w:val="8"/>
        <w:spacing w:before="0" w:beforeAutospacing="0" w:after="0" w:afterAutospacing="0" w:line="360" w:lineRule="auto"/>
        <w:ind w:firstLine="420"/>
        <w:jc w:val="right"/>
        <w:rPr>
          <w:rFonts w:hint="eastAsia"/>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7443"/>
    <w:rsid w:val="0002259C"/>
    <w:rsid w:val="001A23D4"/>
    <w:rsid w:val="005E05F9"/>
    <w:rsid w:val="007A60E9"/>
    <w:rsid w:val="0088472D"/>
    <w:rsid w:val="008F66ED"/>
    <w:rsid w:val="00907443"/>
    <w:rsid w:val="00A52B90"/>
    <w:rsid w:val="00B46604"/>
    <w:rsid w:val="00CA1D7F"/>
    <w:rsid w:val="00E40C31"/>
    <w:rsid w:val="09F9479C"/>
    <w:rsid w:val="0B3F3878"/>
    <w:rsid w:val="0D6A4B2D"/>
    <w:rsid w:val="148C36D1"/>
    <w:rsid w:val="14EB4DCE"/>
    <w:rsid w:val="1C0D0892"/>
    <w:rsid w:val="1F6D1C1D"/>
    <w:rsid w:val="272F216B"/>
    <w:rsid w:val="2EA8574D"/>
    <w:rsid w:val="40AA0D3A"/>
    <w:rsid w:val="50F96A81"/>
    <w:rsid w:val="55BB0F28"/>
    <w:rsid w:val="5A555571"/>
    <w:rsid w:val="6A4807A7"/>
    <w:rsid w:val="6F68253F"/>
    <w:rsid w:val="79B31960"/>
    <w:rsid w:val="7E15321C"/>
    <w:rsid w:val="7F4E0E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15"/>
    <w:unhideWhenUsed/>
    <w:qFormat/>
    <w:uiPriority w:val="9"/>
    <w:pPr>
      <w:keepNext/>
      <w:keepLines/>
      <w:spacing w:before="260" w:after="260" w:line="416" w:lineRule="auto"/>
      <w:outlineLvl w:val="2"/>
    </w:pPr>
    <w:rPr>
      <w:b/>
      <w:bCs/>
      <w:sz w:val="32"/>
      <w:szCs w:val="32"/>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1"/>
    <w:unhideWhenUsed/>
    <w:qFormat/>
    <w:uiPriority w:val="99"/>
    <w:pPr>
      <w:jc w:val="left"/>
    </w:pPr>
  </w:style>
  <w:style w:type="paragraph" w:styleId="4">
    <w:name w:val="Body Text"/>
    <w:basedOn w:val="1"/>
    <w:link w:val="16"/>
    <w:qFormat/>
    <w:uiPriority w:val="0"/>
    <w:rPr>
      <w:rFonts w:ascii="Times New Roman" w:hAnsi="Times New Roman" w:eastAsia="宋体" w:cs="Times New Roman"/>
      <w:b/>
      <w:kern w:val="0"/>
      <w:sz w:val="28"/>
      <w:szCs w:val="20"/>
      <w:lang w:val="zh-CN"/>
    </w:rPr>
  </w:style>
  <w:style w:type="paragraph" w:styleId="5">
    <w:name w:val="Balloon Text"/>
    <w:basedOn w:val="1"/>
    <w:link w:val="20"/>
    <w:semiHidden/>
    <w:unhideWhenUsed/>
    <w:qFormat/>
    <w:uiPriority w:val="99"/>
    <w:rPr>
      <w:sz w:val="18"/>
      <w:szCs w:val="18"/>
    </w:rPr>
  </w:style>
  <w:style w:type="paragraph" w:styleId="6">
    <w:name w:val="footer"/>
    <w:basedOn w:val="1"/>
    <w:link w:val="19"/>
    <w:unhideWhenUsed/>
    <w:qFormat/>
    <w:uiPriority w:val="99"/>
    <w:pPr>
      <w:tabs>
        <w:tab w:val="center" w:pos="4153"/>
        <w:tab w:val="right" w:pos="8306"/>
      </w:tabs>
      <w:snapToGrid w:val="0"/>
      <w:jc w:val="left"/>
    </w:pPr>
    <w:rPr>
      <w:sz w:val="18"/>
      <w:szCs w:val="18"/>
    </w:rPr>
  </w:style>
  <w:style w:type="paragraph" w:styleId="7">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3"/>
    <w:next w:val="3"/>
    <w:link w:val="22"/>
    <w:semiHidden/>
    <w:unhideWhenUsed/>
    <w:qFormat/>
    <w:uiPriority w:val="99"/>
    <w:rPr>
      <w:b/>
      <w:bCs/>
    </w:rPr>
  </w:style>
  <w:style w:type="table" w:styleId="11">
    <w:name w:val="Table Grid"/>
    <w:basedOn w:val="10"/>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Emphasis"/>
    <w:basedOn w:val="12"/>
    <w:qFormat/>
    <w:uiPriority w:val="20"/>
    <w:rPr>
      <w:i/>
      <w:iCs/>
    </w:rPr>
  </w:style>
  <w:style w:type="character" w:styleId="14">
    <w:name w:val="annotation reference"/>
    <w:basedOn w:val="12"/>
    <w:semiHidden/>
    <w:unhideWhenUsed/>
    <w:qFormat/>
    <w:uiPriority w:val="99"/>
    <w:rPr>
      <w:sz w:val="21"/>
      <w:szCs w:val="21"/>
    </w:rPr>
  </w:style>
  <w:style w:type="character" w:customStyle="1" w:styleId="15">
    <w:name w:val="标题 3 字符"/>
    <w:basedOn w:val="12"/>
    <w:link w:val="2"/>
    <w:qFormat/>
    <w:uiPriority w:val="9"/>
    <w:rPr>
      <w:b/>
      <w:bCs/>
      <w:sz w:val="32"/>
      <w:szCs w:val="32"/>
    </w:rPr>
  </w:style>
  <w:style w:type="character" w:customStyle="1" w:styleId="16">
    <w:name w:val="正文文本 字符"/>
    <w:basedOn w:val="12"/>
    <w:link w:val="4"/>
    <w:qFormat/>
    <w:uiPriority w:val="0"/>
    <w:rPr>
      <w:rFonts w:ascii="Times New Roman" w:hAnsi="Times New Roman" w:eastAsia="宋体" w:cs="Times New Roman"/>
      <w:b/>
      <w:kern w:val="0"/>
      <w:sz w:val="28"/>
      <w:szCs w:val="20"/>
      <w:lang w:val="zh-CN"/>
    </w:rPr>
  </w:style>
  <w:style w:type="character" w:customStyle="1" w:styleId="17">
    <w:name w:val="da"/>
    <w:basedOn w:val="12"/>
    <w:qFormat/>
    <w:uiPriority w:val="0"/>
  </w:style>
  <w:style w:type="character" w:customStyle="1" w:styleId="18">
    <w:name w:val="页眉 字符"/>
    <w:basedOn w:val="12"/>
    <w:link w:val="7"/>
    <w:qFormat/>
    <w:uiPriority w:val="99"/>
    <w:rPr>
      <w:kern w:val="2"/>
      <w:sz w:val="18"/>
      <w:szCs w:val="18"/>
    </w:rPr>
  </w:style>
  <w:style w:type="character" w:customStyle="1" w:styleId="19">
    <w:name w:val="页脚 字符"/>
    <w:basedOn w:val="12"/>
    <w:link w:val="6"/>
    <w:qFormat/>
    <w:uiPriority w:val="99"/>
    <w:rPr>
      <w:kern w:val="2"/>
      <w:sz w:val="18"/>
      <w:szCs w:val="18"/>
    </w:rPr>
  </w:style>
  <w:style w:type="character" w:customStyle="1" w:styleId="20">
    <w:name w:val="批注框文本 字符"/>
    <w:basedOn w:val="12"/>
    <w:link w:val="5"/>
    <w:semiHidden/>
    <w:qFormat/>
    <w:uiPriority w:val="99"/>
    <w:rPr>
      <w:kern w:val="2"/>
      <w:sz w:val="18"/>
      <w:szCs w:val="18"/>
    </w:rPr>
  </w:style>
  <w:style w:type="character" w:customStyle="1" w:styleId="21">
    <w:name w:val="批注文字 字符"/>
    <w:basedOn w:val="12"/>
    <w:link w:val="3"/>
    <w:qFormat/>
    <w:uiPriority w:val="99"/>
    <w:rPr>
      <w:kern w:val="2"/>
      <w:sz w:val="21"/>
      <w:szCs w:val="22"/>
    </w:rPr>
  </w:style>
  <w:style w:type="character" w:customStyle="1" w:styleId="22">
    <w:name w:val="批注主题 字符"/>
    <w:basedOn w:val="21"/>
    <w:link w:val="9"/>
    <w:semiHidden/>
    <w:qFormat/>
    <w:uiPriority w:val="99"/>
    <w:rPr>
      <w:b/>
      <w:bCs/>
      <w:kern w:val="2"/>
      <w:sz w:val="21"/>
      <w:szCs w:val="22"/>
    </w:rPr>
  </w:style>
  <w:style w:type="paragraph" w:customStyle="1" w:styleId="23">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mycompany</Company>
  <Pages>13</Pages>
  <Words>1436</Words>
  <Characters>8189</Characters>
  <Lines>68</Lines>
  <Paragraphs>19</Paragraphs>
  <TotalTime>81</TotalTime>
  <ScaleCrop>false</ScaleCrop>
  <LinksUpToDate>false</LinksUpToDate>
  <CharactersWithSpaces>9606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2026-02-12T06:25:00Z</dcterms:created>
  <dc:creator>BSKMadminDev</dc:creator>
  <cp:lastModifiedBy>liuf</cp:lastModifiedBy>
  <dcterms:modified xsi:type="dcterms:W3CDTF">2026-07-01T11:10:27Z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B60D214E2CEF4DDC9B0D03E00C6D933B_12</vt:lpwstr>
  </property>
</Properties>
</file>