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EE1417"/>
    <w:p w14:paraId="548BB74F">
      <w:pPr>
        <w:jc w:val="center"/>
        <w:rPr>
          <w:rFonts w:hint="eastAsia" w:ascii="宋体" w:hAnsi="宋体" w:eastAsia="宋体"/>
          <w:b/>
          <w:sz w:val="30"/>
        </w:rPr>
      </w:pPr>
      <w:r>
        <w:rPr>
          <w:rFonts w:hint="eastAsia" w:ascii="宋体" w:hAnsi="宋体" w:eastAsia="宋体"/>
          <w:b/>
          <w:sz w:val="30"/>
          <w:lang w:eastAsia="zh-CN"/>
        </w:rPr>
        <w:t>博时标普500交易型开放式指数证券投资基金</w:t>
      </w:r>
      <w:r>
        <w:rPr>
          <w:rFonts w:hint="eastAsia" w:ascii="宋体" w:hAnsi="宋体" w:eastAsia="宋体"/>
          <w:b/>
          <w:sz w:val="30"/>
        </w:rPr>
        <w:t>暂停申购业务的公告</w:t>
      </w:r>
    </w:p>
    <w:p w14:paraId="6B2F0669">
      <w:pPr>
        <w:jc w:val="center"/>
        <w:rPr>
          <w:rFonts w:hint="eastAsia" w:ascii="宋体" w:hAnsi="宋体" w:eastAsia="宋体"/>
          <w:b/>
          <w:sz w:val="24"/>
          <w:lang w:eastAsia="zh-CN"/>
        </w:rPr>
      </w:pPr>
      <w:r>
        <w:rPr>
          <w:rFonts w:hint="eastAsia" w:ascii="宋体" w:hAnsi="宋体" w:eastAsia="宋体"/>
          <w:b/>
          <w:sz w:val="24"/>
        </w:rPr>
        <w:t>公告送出日期：</w:t>
      </w:r>
      <w:r>
        <w:rPr>
          <w:rFonts w:hint="eastAsia" w:ascii="宋体" w:hAnsi="宋体" w:eastAsia="宋体"/>
          <w:b/>
          <w:sz w:val="24"/>
          <w:lang w:eastAsia="zh-CN"/>
        </w:rPr>
        <w:t>2026年5月14日</w:t>
      </w:r>
    </w:p>
    <w:p w14:paraId="524E8E2F">
      <w:pPr>
        <w:jc w:val="center"/>
        <w:rPr>
          <w:rFonts w:ascii="宋体" w:hAnsi="宋体" w:eastAsia="宋体"/>
          <w:b/>
          <w:sz w:val="24"/>
        </w:rPr>
      </w:pPr>
    </w:p>
    <w:p w14:paraId="708ECA13">
      <w:pPr>
        <w:pStyle w:val="2"/>
        <w:rPr>
          <w:rFonts w:ascii="宋体" w:hAnsi="宋体" w:eastAsia="宋体"/>
          <w:sz w:val="24"/>
        </w:rPr>
      </w:pPr>
      <w:r>
        <w:rPr>
          <w:rFonts w:ascii="宋体" w:hAnsi="宋体" w:eastAsia="宋体"/>
          <w:sz w:val="24"/>
        </w:rPr>
        <w:t>1、公告基本信息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00"/>
        <w:gridCol w:w="2000"/>
        <w:gridCol w:w="4920"/>
      </w:tblGrid>
      <w:tr w14:paraId="7C1AA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00" w:type="dxa"/>
            <w:gridSpan w:val="2"/>
            <w:vAlign w:val="center"/>
          </w:tcPr>
          <w:p w14:paraId="3D5F4C58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基金名称</w:t>
            </w:r>
          </w:p>
        </w:tc>
        <w:tc>
          <w:tcPr>
            <w:tcW w:w="4920" w:type="dxa"/>
            <w:vAlign w:val="center"/>
          </w:tcPr>
          <w:p w14:paraId="504CDB66">
            <w:pPr>
              <w:rPr>
                <w:rFonts w:hint="eastAsia" w:ascii="宋体" w:hAnsi="宋体" w:eastAsia="宋体"/>
                <w:sz w:val="24"/>
                <w:lang w:eastAsia="zh-CN"/>
              </w:rPr>
            </w:pPr>
            <w:r>
              <w:rPr>
                <w:rFonts w:hint="eastAsia" w:ascii="宋体" w:hAnsi="宋体" w:eastAsia="宋体"/>
                <w:sz w:val="24"/>
                <w:lang w:eastAsia="zh-CN"/>
              </w:rPr>
              <w:t>博时标普500交易型开放式指数证券投资基金</w:t>
            </w:r>
          </w:p>
        </w:tc>
      </w:tr>
      <w:tr w14:paraId="5F540A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00" w:type="dxa"/>
            <w:gridSpan w:val="2"/>
            <w:vAlign w:val="center"/>
          </w:tcPr>
          <w:p w14:paraId="02F8CB21">
            <w:pPr>
              <w:rPr>
                <w:rFonts w:ascii="宋体" w:hAnsi="宋体" w:eastAsia="宋体"/>
                <w:sz w:val="24"/>
              </w:rPr>
            </w:pPr>
            <w:bookmarkStart w:id="0" w:name="_GoBack" w:colFirst="2" w:colLast="2"/>
            <w:r>
              <w:rPr>
                <w:rFonts w:hint="eastAsia" w:ascii="宋体" w:hAnsi="宋体" w:eastAsia="宋体"/>
                <w:sz w:val="24"/>
              </w:rPr>
              <w:t>基金简称</w:t>
            </w:r>
          </w:p>
        </w:tc>
        <w:tc>
          <w:tcPr>
            <w:tcW w:w="4920" w:type="dxa"/>
            <w:vAlign w:val="center"/>
          </w:tcPr>
          <w:p w14:paraId="17C8423F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  <w:lang w:eastAsia="zh-CN"/>
              </w:rPr>
              <w:t>博时标普500</w:t>
            </w:r>
            <w:r>
              <w:rPr>
                <w:rFonts w:ascii="宋体" w:hAnsi="宋体" w:eastAsia="宋体"/>
                <w:sz w:val="24"/>
              </w:rPr>
              <w:t>ETF</w:t>
            </w:r>
          </w:p>
        </w:tc>
      </w:tr>
      <w:bookmarkEnd w:id="0"/>
      <w:tr w14:paraId="5116C7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00" w:type="dxa"/>
            <w:gridSpan w:val="2"/>
            <w:vAlign w:val="center"/>
          </w:tcPr>
          <w:p w14:paraId="7AD725E1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基金主代码</w:t>
            </w:r>
          </w:p>
        </w:tc>
        <w:tc>
          <w:tcPr>
            <w:tcW w:w="4920" w:type="dxa"/>
            <w:vAlign w:val="center"/>
          </w:tcPr>
          <w:p w14:paraId="27996D3E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  <w:lang w:eastAsia="zh-CN"/>
              </w:rPr>
              <w:t>513500</w:t>
            </w:r>
          </w:p>
        </w:tc>
      </w:tr>
      <w:tr w14:paraId="59D34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00" w:type="dxa"/>
            <w:gridSpan w:val="2"/>
            <w:vAlign w:val="center"/>
          </w:tcPr>
          <w:p w14:paraId="204D343A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基金管理人名称</w:t>
            </w:r>
          </w:p>
        </w:tc>
        <w:tc>
          <w:tcPr>
            <w:tcW w:w="4920" w:type="dxa"/>
            <w:vAlign w:val="center"/>
          </w:tcPr>
          <w:p w14:paraId="1124734A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博时基金管理有限公司</w:t>
            </w:r>
          </w:p>
        </w:tc>
      </w:tr>
      <w:tr w14:paraId="0D48EA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00" w:type="dxa"/>
            <w:gridSpan w:val="2"/>
            <w:vAlign w:val="center"/>
          </w:tcPr>
          <w:p w14:paraId="3881942D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公告依据</w:t>
            </w:r>
          </w:p>
        </w:tc>
        <w:tc>
          <w:tcPr>
            <w:tcW w:w="4920" w:type="dxa"/>
            <w:vAlign w:val="center"/>
          </w:tcPr>
          <w:p w14:paraId="01E4009F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根据有关法律法规及《</w:t>
            </w:r>
            <w:r>
              <w:rPr>
                <w:rFonts w:hint="eastAsia" w:ascii="宋体" w:hAnsi="宋体" w:eastAsia="宋体"/>
                <w:sz w:val="24"/>
                <w:lang w:eastAsia="zh-CN"/>
              </w:rPr>
              <w:t>博时标普500交易型开放式指数证券投资基金</w:t>
            </w:r>
            <w:r>
              <w:rPr>
                <w:rFonts w:ascii="宋体" w:hAnsi="宋体" w:eastAsia="宋体"/>
                <w:sz w:val="24"/>
              </w:rPr>
              <w:t>基金合同》、《</w:t>
            </w:r>
            <w:r>
              <w:rPr>
                <w:rFonts w:hint="eastAsia" w:ascii="宋体" w:hAnsi="宋体" w:eastAsia="宋体"/>
                <w:sz w:val="24"/>
                <w:lang w:eastAsia="zh-CN"/>
              </w:rPr>
              <w:t>博时标普500交易型开放式指数证券投资基金</w:t>
            </w:r>
            <w:r>
              <w:rPr>
                <w:rFonts w:ascii="宋体" w:hAnsi="宋体" w:eastAsia="宋体"/>
                <w:sz w:val="24"/>
              </w:rPr>
              <w:t>招募说明书》等的规定</w:t>
            </w:r>
          </w:p>
        </w:tc>
      </w:tr>
      <w:tr w14:paraId="01B387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00" w:type="dxa"/>
            <w:vMerge w:val="restart"/>
            <w:vAlign w:val="center"/>
          </w:tcPr>
          <w:p w14:paraId="6DA94D2E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暂停相关业务的起始日及原因说明</w:t>
            </w:r>
          </w:p>
        </w:tc>
        <w:tc>
          <w:tcPr>
            <w:tcW w:w="2000" w:type="dxa"/>
            <w:vAlign w:val="center"/>
          </w:tcPr>
          <w:p w14:paraId="7BA72384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暂停申购起始日</w:t>
            </w:r>
          </w:p>
        </w:tc>
        <w:tc>
          <w:tcPr>
            <w:tcW w:w="4920" w:type="dxa"/>
            <w:vAlign w:val="center"/>
          </w:tcPr>
          <w:p w14:paraId="2725AEDD">
            <w:pPr>
              <w:rPr>
                <w:rFonts w:hint="eastAsia" w:ascii="宋体" w:hAnsi="宋体" w:eastAsia="宋体"/>
                <w:sz w:val="24"/>
                <w:lang w:eastAsia="zh-CN"/>
              </w:rPr>
            </w:pPr>
            <w:r>
              <w:rPr>
                <w:rFonts w:hint="eastAsia" w:ascii="宋体" w:hAnsi="宋体" w:eastAsia="宋体"/>
                <w:sz w:val="24"/>
                <w:lang w:eastAsia="zh-CN"/>
              </w:rPr>
              <w:t>2026年5月14日</w:t>
            </w:r>
          </w:p>
        </w:tc>
      </w:tr>
      <w:tr w14:paraId="6971AC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00" w:type="dxa"/>
            <w:vMerge w:val="continue"/>
            <w:vAlign w:val="center"/>
          </w:tcPr>
          <w:p w14:paraId="5B5E7C42"/>
        </w:tc>
        <w:tc>
          <w:tcPr>
            <w:tcW w:w="2000" w:type="dxa"/>
            <w:vAlign w:val="center"/>
          </w:tcPr>
          <w:p w14:paraId="3399708E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暂停申购的原因说明</w:t>
            </w:r>
          </w:p>
        </w:tc>
        <w:tc>
          <w:tcPr>
            <w:tcW w:w="4920" w:type="dxa"/>
            <w:vAlign w:val="center"/>
          </w:tcPr>
          <w:p w14:paraId="74B96259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为保护基金份额持有人利益</w:t>
            </w:r>
          </w:p>
        </w:tc>
      </w:tr>
    </w:tbl>
    <w:p w14:paraId="7D3ABE29">
      <w:pPr>
        <w:pStyle w:val="3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>注：</w:t>
      </w:r>
      <w:r>
        <w:rPr>
          <w:rFonts w:hint="eastAsia"/>
          <w:lang w:eastAsia="zh-CN"/>
        </w:rPr>
        <w:t>博时标普500交易型开放式指数证券投资基金</w:t>
      </w:r>
      <w:r>
        <w:rPr>
          <w:rFonts w:hint="eastAsia"/>
        </w:rPr>
        <w:t>场内证券简称为“</w:t>
      </w:r>
      <w:r>
        <w:rPr>
          <w:rFonts w:ascii="宋体" w:hAnsi="宋体" w:eastAsia="宋体" w:cs="宋体"/>
          <w:sz w:val="24"/>
          <w:szCs w:val="24"/>
        </w:rPr>
        <w:t>标普500</w:t>
      </w:r>
      <w:r>
        <w:rPr>
          <w:rFonts w:hint="eastAsia"/>
        </w:rPr>
        <w:t>”，扩位证券简称“</w:t>
      </w:r>
      <w:r>
        <w:rPr>
          <w:rFonts w:ascii="宋体" w:hAnsi="宋体" w:eastAsia="宋体" w:cs="宋体"/>
          <w:sz w:val="24"/>
          <w:szCs w:val="24"/>
        </w:rPr>
        <w:t>标普500ETF博时</w:t>
      </w:r>
      <w:r>
        <w:rPr>
          <w:rFonts w:hint="eastAsia"/>
        </w:rPr>
        <w:t xml:space="preserve">”。 </w:t>
      </w:r>
    </w:p>
    <w:p w14:paraId="691F43A8">
      <w:pPr>
        <w:pStyle w:val="2"/>
        <w:rPr>
          <w:rFonts w:ascii="宋体" w:hAnsi="宋体" w:eastAsia="宋体"/>
          <w:sz w:val="24"/>
        </w:rPr>
      </w:pPr>
      <w:r>
        <w:rPr>
          <w:rFonts w:ascii="宋体" w:hAnsi="宋体" w:eastAsia="宋体"/>
          <w:sz w:val="24"/>
        </w:rPr>
        <w:t>2、其他需要提示的事项</w:t>
      </w:r>
    </w:p>
    <w:p w14:paraId="4CDF0736">
      <w:pPr>
        <w:pStyle w:val="3"/>
        <w:spacing w:before="0" w:beforeAutospacing="0" w:after="0" w:afterAutospacing="0" w:line="360" w:lineRule="auto"/>
        <w:ind w:firstLine="420"/>
      </w:pPr>
      <w:r>
        <w:rPr>
          <w:rFonts w:hint="eastAsia"/>
        </w:rPr>
        <w:t xml:space="preserve">（1）本基金暂停申购业务期间，本基金的赎回业务按照基金合同、招募说明书（更新）的规定正常办理，投资者仍可进行本基金的二级市场交易。本基金恢复办理申购业务的时间将另行公告。  </w:t>
      </w:r>
    </w:p>
    <w:p w14:paraId="42DC420A">
      <w:pPr>
        <w:pStyle w:val="3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 xml:space="preserve">（2）如有疑问，请拨打博时一线通：95105568（免长途话费）或登录本公司网站www.bosera.com获取相关信息。  </w:t>
      </w:r>
    </w:p>
    <w:p w14:paraId="4F3FEDDA">
      <w:pPr>
        <w:pStyle w:val="3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 xml:space="preserve">特此公告。 </w:t>
      </w:r>
    </w:p>
    <w:p w14:paraId="1A21A6BD">
      <w:pPr>
        <w:rPr>
          <w:rFonts w:hint="eastAsia" w:ascii="宋体" w:hAnsi="宋体" w:eastAsia="宋体" w:cs="宋体"/>
          <w:kern w:val="0"/>
          <w:sz w:val="24"/>
          <w:szCs w:val="24"/>
        </w:rPr>
      </w:pPr>
    </w:p>
    <w:p w14:paraId="22BF62CE"/>
    <w:p w14:paraId="5BFAF975"/>
    <w:p w14:paraId="7A17F7EC"/>
    <w:p w14:paraId="1596BEA5">
      <w:pPr>
        <w:jc w:val="right"/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博时基金管理有限公司</w:t>
      </w:r>
    </w:p>
    <w:p w14:paraId="4E265806">
      <w:pPr>
        <w:jc w:val="right"/>
        <w:rPr>
          <w:rFonts w:hint="eastAsia" w:ascii="宋体" w:hAnsi="宋体" w:eastAsia="宋体"/>
          <w:sz w:val="24"/>
          <w:lang w:eastAsia="zh-CN"/>
        </w:rPr>
      </w:pPr>
      <w:r>
        <w:rPr>
          <w:rFonts w:hint="eastAsia" w:ascii="宋体" w:hAnsi="宋体" w:eastAsia="宋体"/>
          <w:sz w:val="24"/>
          <w:lang w:eastAsia="zh-CN"/>
        </w:rPr>
        <w:t>2026年5月14日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181"/>
    <w:rsid w:val="00703181"/>
    <w:rsid w:val="00B17026"/>
    <w:rsid w:val="02673272"/>
    <w:rsid w:val="026E270A"/>
    <w:rsid w:val="092B6D80"/>
    <w:rsid w:val="1A0D66A2"/>
    <w:rsid w:val="2319318A"/>
    <w:rsid w:val="585335FE"/>
    <w:rsid w:val="5A643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1"/>
    <w:link w:val="7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5">
    <w:name w:val="Table Grid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标题 3 Char"/>
    <w:basedOn w:val="6"/>
    <w:link w:val="2"/>
    <w:qFormat/>
    <w:uiPriority w:val="9"/>
    <w:rPr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mycompany</Company>
  <Pages>1</Pages>
  <Words>85</Words>
  <Characters>491</Characters>
  <Lines>4</Lines>
  <Paragraphs>1</Paragraphs>
  <TotalTime>0</TotalTime>
  <ScaleCrop>false</ScaleCrop>
  <LinksUpToDate>false</LinksUpToDate>
  <CharactersWithSpaces>575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2025-11-11T06:56:00Z</dcterms:created>
  <dc:creator>BSKMadminDev</dc:creator>
  <cp:lastModifiedBy>qlx0513</cp:lastModifiedBy>
  <dcterms:modified xsi:type="dcterms:W3CDTF">2026-05-13T01:09:24Z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281BC601CC74439A86E2011C6CEC1D81_12</vt:lpwstr>
  </property>
</Properties>
</file>