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059318">
      <w:pPr>
        <w:widowControl/>
        <w:jc w:val="left"/>
        <w:rPr>
          <w:rFonts w:ascii="宋体" w:hAnsi="宋体" w:eastAsia="宋体"/>
          <w:sz w:val="30"/>
        </w:rPr>
      </w:pPr>
    </w:p>
    <w:p w14:paraId="429F2170">
      <w:pPr>
        <w:widowControl/>
        <w:jc w:val="left"/>
        <w:rPr>
          <w:rFonts w:ascii="宋体" w:hAnsi="宋体" w:eastAsia="宋体"/>
          <w:sz w:val="30"/>
        </w:rPr>
      </w:pPr>
    </w:p>
    <w:p w14:paraId="332A165F">
      <w:pPr>
        <w:widowControl/>
        <w:jc w:val="left"/>
        <w:rPr>
          <w:rFonts w:ascii="宋体" w:hAnsi="宋体" w:eastAsia="宋体"/>
          <w:sz w:val="30"/>
        </w:rPr>
      </w:pPr>
    </w:p>
    <w:p w14:paraId="18F89BF2">
      <w:pPr>
        <w:widowControl/>
        <w:jc w:val="left"/>
        <w:rPr>
          <w:rFonts w:ascii="宋体" w:hAnsi="宋体" w:eastAsia="宋体"/>
          <w:sz w:val="30"/>
        </w:rPr>
      </w:pPr>
    </w:p>
    <w:p w14:paraId="7ADD0912">
      <w:pPr>
        <w:widowControl/>
        <w:spacing w:line="800" w:lineRule="exact"/>
        <w:jc w:val="center"/>
        <w:rPr>
          <w:rFonts w:ascii="宋体" w:hAnsi="宋体" w:eastAsia="宋体"/>
          <w:b/>
          <w:sz w:val="52"/>
        </w:rPr>
      </w:pPr>
      <w:r>
        <w:rPr>
          <w:rFonts w:hint="eastAsia" w:ascii="宋体" w:hAnsi="宋体" w:eastAsia="宋体"/>
          <w:b/>
          <w:sz w:val="52"/>
        </w:rPr>
        <w:t>博时稳欣</w:t>
      </w:r>
      <w:r>
        <w:rPr>
          <w:rFonts w:ascii="宋体" w:hAnsi="宋体" w:eastAsia="宋体"/>
          <w:b/>
          <w:sz w:val="52"/>
        </w:rPr>
        <w:t>39个月定期开放债券型证券投资基金</w:t>
      </w:r>
    </w:p>
    <w:p w14:paraId="46F32297">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0949EFE5">
      <w:pPr>
        <w:widowControl/>
        <w:spacing w:line="800" w:lineRule="exact"/>
        <w:jc w:val="center"/>
        <w:rPr>
          <w:rFonts w:ascii="宋体" w:hAnsi="宋体" w:eastAsia="宋体"/>
          <w:b/>
          <w:sz w:val="52"/>
        </w:rPr>
      </w:pPr>
    </w:p>
    <w:p w14:paraId="0901874C">
      <w:pPr>
        <w:widowControl/>
        <w:spacing w:line="800" w:lineRule="exact"/>
        <w:jc w:val="center"/>
        <w:rPr>
          <w:rFonts w:ascii="宋体" w:hAnsi="宋体" w:eastAsia="宋体"/>
          <w:b/>
          <w:sz w:val="52"/>
        </w:rPr>
      </w:pPr>
    </w:p>
    <w:p w14:paraId="09FF2133">
      <w:pPr>
        <w:widowControl/>
        <w:spacing w:line="800" w:lineRule="exact"/>
        <w:jc w:val="center"/>
        <w:rPr>
          <w:rFonts w:ascii="宋体" w:hAnsi="宋体" w:eastAsia="宋体"/>
          <w:b/>
          <w:sz w:val="52"/>
        </w:rPr>
      </w:pPr>
    </w:p>
    <w:p w14:paraId="30DDF87C">
      <w:pPr>
        <w:widowControl/>
        <w:spacing w:line="800" w:lineRule="exact"/>
        <w:jc w:val="center"/>
        <w:rPr>
          <w:rFonts w:ascii="宋体" w:hAnsi="宋体" w:eastAsia="宋体"/>
          <w:b/>
          <w:sz w:val="52"/>
        </w:rPr>
      </w:pPr>
    </w:p>
    <w:p w14:paraId="420FB744">
      <w:pPr>
        <w:widowControl/>
        <w:spacing w:line="800" w:lineRule="exact"/>
        <w:jc w:val="center"/>
        <w:rPr>
          <w:rFonts w:ascii="宋体" w:hAnsi="宋体" w:eastAsia="宋体"/>
          <w:b/>
          <w:sz w:val="52"/>
        </w:rPr>
      </w:pPr>
    </w:p>
    <w:p w14:paraId="4DA26FBF">
      <w:pPr>
        <w:widowControl/>
        <w:spacing w:line="800" w:lineRule="exact"/>
        <w:jc w:val="center"/>
        <w:rPr>
          <w:rFonts w:ascii="宋体" w:hAnsi="宋体" w:eastAsia="宋体"/>
          <w:b/>
          <w:sz w:val="52"/>
        </w:rPr>
      </w:pPr>
    </w:p>
    <w:p w14:paraId="0C78227F">
      <w:pPr>
        <w:widowControl/>
        <w:spacing w:line="800" w:lineRule="exact"/>
        <w:jc w:val="center"/>
        <w:rPr>
          <w:rFonts w:ascii="宋体" w:hAnsi="宋体" w:eastAsia="宋体"/>
          <w:b/>
          <w:sz w:val="52"/>
        </w:rPr>
      </w:pPr>
    </w:p>
    <w:p w14:paraId="0F4A60F2">
      <w:pPr>
        <w:widowControl/>
        <w:spacing w:line="800" w:lineRule="exact"/>
        <w:jc w:val="center"/>
        <w:rPr>
          <w:rFonts w:ascii="宋体" w:hAnsi="宋体" w:eastAsia="宋体"/>
          <w:b/>
          <w:sz w:val="52"/>
        </w:rPr>
      </w:pPr>
    </w:p>
    <w:p w14:paraId="27FE7675">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50D9C791">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上海浦东发展银行股份有限公司</w:t>
      </w:r>
      <w:r>
        <w:rPr>
          <w:rFonts w:ascii="宋体" w:hAnsi="宋体" w:eastAsia="宋体"/>
          <w:b/>
          <w:sz w:val="30"/>
        </w:rPr>
        <w:br w:type="page"/>
      </w:r>
    </w:p>
    <w:p w14:paraId="0C124CB3">
      <w:pPr>
        <w:pStyle w:val="2"/>
        <w:jc w:val="center"/>
        <w:rPr>
          <w:rFonts w:ascii="宋体" w:hAnsi="宋体" w:eastAsia="宋体"/>
          <w:sz w:val="30"/>
        </w:rPr>
      </w:pPr>
      <w:bookmarkStart w:id="0" w:name="_Toc207948761"/>
      <w:r>
        <w:rPr>
          <w:rFonts w:hint="eastAsia" w:ascii="宋体" w:hAnsi="宋体" w:eastAsia="宋体"/>
          <w:sz w:val="30"/>
        </w:rPr>
        <w:t>【重要提示】</w:t>
      </w:r>
      <w:bookmarkEnd w:id="0"/>
    </w:p>
    <w:p w14:paraId="09B56D6C">
      <w:pPr>
        <w:pStyle w:val="8"/>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2019年10月11日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博时稳欣</w:t>
      </w:r>
      <w:r>
        <w:rPr>
          <w:sz w:val="21"/>
          <w:szCs w:val="21"/>
        </w:rPr>
        <w:t>39个月定期开放债券型证券投资基金</w:t>
      </w:r>
      <w:bookmarkEnd w:id="2"/>
      <w:r>
        <w:rPr>
          <w:rFonts w:hint="eastAsia"/>
          <w:sz w:val="21"/>
          <w:szCs w:val="21"/>
        </w:rPr>
        <w:t>注册的批复》（证监许可</w:t>
      </w:r>
      <w:bookmarkStart w:id="3" w:name="field_2343_lotnumber_1"/>
      <w:r>
        <w:rPr>
          <w:sz w:val="21"/>
          <w:szCs w:val="21"/>
        </w:rPr>
        <w:t>[2019]1899</w:t>
      </w:r>
      <w:bookmarkEnd w:id="3"/>
      <w:r>
        <w:rPr>
          <w:rFonts w:hint="eastAsia"/>
          <w:sz w:val="21"/>
          <w:szCs w:val="21"/>
        </w:rPr>
        <w:t xml:space="preserve">号）进行募集。  </w:t>
      </w:r>
    </w:p>
    <w:p w14:paraId="78E87258">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收益和市场前景作出实质性判断或保证，也不表明投资于本基金没有风险。 </w:t>
      </w:r>
    </w:p>
    <w:p w14:paraId="1C73C95E">
      <w:pPr>
        <w:pStyle w:val="8"/>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55460D0B">
      <w:pPr>
        <w:pStyle w:val="8"/>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55E7B446">
      <w:pPr>
        <w:pStyle w:val="8"/>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临近开放期或开放期内遇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20A2D097">
      <w:pPr>
        <w:pStyle w:val="8"/>
        <w:spacing w:before="0" w:beforeAutospacing="0" w:after="0" w:afterAutospacing="0" w:line="360" w:lineRule="auto"/>
        <w:ind w:firstLine="420"/>
        <w:rPr>
          <w:sz w:val="21"/>
          <w:szCs w:val="21"/>
        </w:rPr>
      </w:pPr>
      <w:r>
        <w:rPr>
          <w:rFonts w:hint="eastAsia"/>
          <w:sz w:val="21"/>
          <w:szCs w:val="21"/>
        </w:rPr>
        <w:t xml:space="preserve">本基金投资资产支持证券，资产支持证券（ABS）是一种债券性质的金融工具，是一种以资产信用为支持的证券，所面临的风险主要包括交易结构风险、各种原因导致的基础资产池现金流与对应证券现金流不匹配产生的信用风险、市场交易不活跃导致的流动性风险等。 </w:t>
      </w:r>
    </w:p>
    <w:p w14:paraId="654E6D2D">
      <w:pPr>
        <w:pStyle w:val="8"/>
        <w:spacing w:before="0" w:beforeAutospacing="0" w:after="0" w:afterAutospacing="0" w:line="360" w:lineRule="auto"/>
        <w:ind w:firstLine="420"/>
        <w:rPr>
          <w:sz w:val="21"/>
          <w:szCs w:val="21"/>
        </w:rPr>
      </w:pPr>
      <w:r>
        <w:rPr>
          <w:rFonts w:hint="eastAsia"/>
          <w:sz w:val="21"/>
          <w:szCs w:val="21"/>
        </w:rPr>
        <w:t xml:space="preserve">5、基金合同生效后，连续二十个工作日出现基金份额持有人数量不满二百人或者基金资产净值低于五千万元情形的，基金管理人应当在定期报告中予以披露；连续六十个工作日出现前述情形的，基金管理人应当向中国证监会报告并提出解决方案，如转换运作方式、与其他基金合并或者终止基金合同等，并召开基金份额持有人大会进行表决。 </w:t>
      </w:r>
    </w:p>
    <w:p w14:paraId="684EB747">
      <w:pPr>
        <w:pStyle w:val="8"/>
        <w:spacing w:before="0" w:beforeAutospacing="0" w:after="0" w:afterAutospacing="0" w:line="360" w:lineRule="auto"/>
        <w:ind w:firstLine="420"/>
        <w:rPr>
          <w:sz w:val="21"/>
          <w:szCs w:val="21"/>
        </w:rPr>
      </w:pPr>
      <w:r>
        <w:rPr>
          <w:rFonts w:hint="eastAsia"/>
          <w:sz w:val="21"/>
          <w:szCs w:val="21"/>
        </w:rPr>
        <w:t xml:space="preserve">基金暂停运作期间，基金管理人可以与基金托管人协商一致，决定终止《基金合同》，报中国证监会备案并公告，无须召开持有人大会。 </w:t>
      </w:r>
    </w:p>
    <w:p w14:paraId="75C04760">
      <w:pPr>
        <w:pStyle w:val="8"/>
        <w:spacing w:before="0" w:beforeAutospacing="0" w:after="0" w:afterAutospacing="0" w:line="360" w:lineRule="auto"/>
        <w:ind w:firstLine="420"/>
        <w:rPr>
          <w:sz w:val="21"/>
          <w:szCs w:val="21"/>
        </w:rPr>
      </w:pPr>
      <w:r>
        <w:rPr>
          <w:rFonts w:hint="eastAsia"/>
          <w:sz w:val="21"/>
          <w:szCs w:val="21"/>
        </w:rPr>
        <w:t xml:space="preserve">因此本基金有面临自动清算的风险。 </w:t>
      </w:r>
    </w:p>
    <w:p w14:paraId="10298F8F">
      <w:pPr>
        <w:pStyle w:val="8"/>
        <w:spacing w:before="0" w:beforeAutospacing="0" w:after="0" w:afterAutospacing="0" w:line="360" w:lineRule="auto"/>
        <w:ind w:firstLine="420"/>
        <w:rPr>
          <w:sz w:val="21"/>
          <w:szCs w:val="21"/>
        </w:rPr>
      </w:pPr>
      <w:r>
        <w:rPr>
          <w:rFonts w:hint="eastAsia"/>
          <w:sz w:val="21"/>
          <w:szCs w:val="21"/>
        </w:rPr>
        <w:t xml:space="preserve">6、本基金为债券型基金，预期收益和预期风险高于货币市场基金，但低于混合型基金、股票型基金，属于中低风险/收益的产品。 </w:t>
      </w:r>
    </w:p>
    <w:p w14:paraId="6E5B88C5">
      <w:pPr>
        <w:pStyle w:val="8"/>
        <w:spacing w:before="0" w:beforeAutospacing="0" w:after="0" w:afterAutospacing="0" w:line="360" w:lineRule="auto"/>
        <w:ind w:firstLine="420"/>
        <w:rPr>
          <w:sz w:val="21"/>
          <w:szCs w:val="21"/>
        </w:rPr>
      </w:pPr>
      <w:r>
        <w:rPr>
          <w:rFonts w:hint="eastAsia"/>
          <w:sz w:val="21"/>
          <w:szCs w:val="21"/>
        </w:rPr>
        <w:t xml:space="preserve">7、本基金的投资范围为具有良好流动性的金融工具，包括债券（国债、金融债、企业债、公司债、地方政府债、央行票据、中期票据、短期融资券、超短期融资券、次级债、可分离交易可转债的纯债部分）、资产支持证券、债券回购、同业存单、银行存款等法律法规或中国证监会允许基金投资的其他金融工具（但须符合中国证监会的相关规定）。 </w:t>
      </w:r>
    </w:p>
    <w:p w14:paraId="1C99148F">
      <w:pPr>
        <w:pStyle w:val="8"/>
        <w:spacing w:before="0" w:beforeAutospacing="0" w:after="0" w:afterAutospacing="0" w:line="360" w:lineRule="auto"/>
        <w:ind w:firstLine="420"/>
        <w:rPr>
          <w:sz w:val="21"/>
          <w:szCs w:val="21"/>
        </w:rPr>
      </w:pPr>
      <w:r>
        <w:rPr>
          <w:rFonts w:hint="eastAsia"/>
          <w:sz w:val="21"/>
          <w:szCs w:val="21"/>
        </w:rPr>
        <w:t xml:space="preserve">本基金不投资于股票等资产，也不投资于可转换债券（可分离交易可转债的纯债部分除外）、可交换债券。如法律法规或监管机构以后允许基金投资其他品种，基金管理人在履行适当程序后，可以将其纳入投资范围。 </w:t>
      </w:r>
    </w:p>
    <w:p w14:paraId="159668AD">
      <w:pPr>
        <w:pStyle w:val="8"/>
        <w:spacing w:before="0" w:beforeAutospacing="0" w:after="0" w:afterAutospacing="0" w:line="360" w:lineRule="auto"/>
        <w:ind w:firstLine="420"/>
        <w:rPr>
          <w:sz w:val="21"/>
          <w:szCs w:val="21"/>
        </w:rPr>
      </w:pPr>
      <w:r>
        <w:rPr>
          <w:rFonts w:hint="eastAsia"/>
          <w:sz w:val="21"/>
          <w:szCs w:val="21"/>
        </w:rPr>
        <w:t xml:space="preserve">8、本基金对债券的投资比例不低于基金资产的80％，但应开放期流动性需要，为保护基金份额持有人利益，在每次开放期开始前三个月、开放期及开放期结束后三个月的期间内，基金投资不受上述比例限制。开放期内现金或者到期日在一年以内的政府债券不低于基金资产净值的5%，在封闭期内，本基金不受上述5%的限制；前述现金不包括结算备付金、存出保证金、应收申购款等。 </w:t>
      </w:r>
    </w:p>
    <w:p w14:paraId="00FA0DF7">
      <w:pPr>
        <w:pStyle w:val="8"/>
        <w:spacing w:before="0" w:beforeAutospacing="0" w:after="0" w:afterAutospacing="0" w:line="360" w:lineRule="auto"/>
        <w:ind w:firstLine="420"/>
        <w:rPr>
          <w:sz w:val="21"/>
          <w:szCs w:val="21"/>
        </w:rPr>
      </w:pPr>
      <w:r>
        <w:rPr>
          <w:rFonts w:hint="eastAsia"/>
          <w:sz w:val="21"/>
          <w:szCs w:val="21"/>
        </w:rPr>
        <w:t xml:space="preserve">9、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080C1EB8">
      <w:pPr>
        <w:pStyle w:val="8"/>
        <w:spacing w:before="0" w:beforeAutospacing="0" w:after="0" w:afterAutospacing="0" w:line="360" w:lineRule="auto"/>
        <w:ind w:firstLine="420"/>
        <w:rPr>
          <w:sz w:val="21"/>
          <w:szCs w:val="21"/>
        </w:rPr>
      </w:pPr>
      <w:r>
        <w:rPr>
          <w:rFonts w:hint="eastAsia"/>
          <w:sz w:val="21"/>
          <w:szCs w:val="21"/>
        </w:rPr>
        <w:t xml:space="preserve">10、本基金发售面值为人民币1.00元。在市场波动因素影响下，本基金净值可能低于发售面值，本基金投资者有可能出现亏损。   </w:t>
      </w:r>
    </w:p>
    <w:p w14:paraId="5A73BC59">
      <w:pPr>
        <w:pStyle w:val="8"/>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14:paraId="0D0B0BA9">
      <w:pPr>
        <w:pStyle w:val="8"/>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14:paraId="6C98C57C">
      <w:pPr>
        <w:pStyle w:val="8"/>
        <w:spacing w:before="0" w:beforeAutospacing="0" w:after="0" w:afterAutospacing="0" w:line="360" w:lineRule="auto"/>
        <w:ind w:firstLine="420"/>
        <w:rPr>
          <w:sz w:val="21"/>
          <w:szCs w:val="21"/>
        </w:rPr>
      </w:pPr>
      <w:r>
        <w:rPr>
          <w:rFonts w:hint="eastAsia"/>
          <w:sz w:val="21"/>
          <w:szCs w:val="21"/>
        </w:rPr>
        <w:t xml:space="preserve">13、本基金采用摊余成本法估值，但不保本保收益，本基金发生风险时需计提资产减值准备，存在导致基金份额净值的下降的风险。   </w:t>
      </w:r>
    </w:p>
    <w:p w14:paraId="739F2104">
      <w:pPr>
        <w:pStyle w:val="8"/>
        <w:spacing w:before="0" w:beforeAutospacing="0" w:after="0" w:afterAutospacing="0" w:line="360" w:lineRule="auto"/>
        <w:ind w:firstLine="420"/>
        <w:rPr>
          <w:sz w:val="21"/>
          <w:szCs w:val="21"/>
        </w:rPr>
      </w:pPr>
      <w:r>
        <w:rPr>
          <w:rFonts w:hint="eastAsia"/>
          <w:sz w:val="21"/>
          <w:szCs w:val="21"/>
        </w:rPr>
        <w:t xml:space="preserve">14、本基金在封闭期内严格执行买入并持有到期策略构建投资组合，所投金融资产持有到期，可能会损失一定的交易收益。  </w:t>
      </w:r>
    </w:p>
    <w:p w14:paraId="00448CC3">
      <w:pPr>
        <w:pStyle w:val="8"/>
        <w:spacing w:before="0" w:beforeAutospacing="0" w:after="0" w:afterAutospacing="0" w:line="360" w:lineRule="auto"/>
        <w:ind w:firstLine="420"/>
        <w:rPr>
          <w:sz w:val="21"/>
          <w:szCs w:val="21"/>
        </w:rPr>
      </w:pPr>
      <w:r>
        <w:rPr>
          <w:rFonts w:hint="eastAsia"/>
          <w:sz w:val="21"/>
          <w:szCs w:val="21"/>
        </w:rPr>
        <w:t>本招募说明书（更新）所载内容截止日</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5</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14:paraId="7ED7FB82">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12522A7C">
      <w:pPr>
        <w:pStyle w:val="7"/>
        <w:tabs>
          <w:tab w:val="right" w:leader="dot" w:pos="8290"/>
        </w:tabs>
        <w:spacing w:line="360" w:lineRule="auto"/>
        <w:rPr>
          <w:rFonts w:ascii="宋体" w:hAnsi="宋体" w:eastAsia="宋体"/>
        </w:rPr>
      </w:pPr>
      <w:r>
        <w:fldChar w:fldCharType="begin"/>
      </w:r>
      <w:r>
        <w:instrText xml:space="preserve"> HYPERLINK \l "_Toc207948761"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_Toc207948761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17BA215F">
      <w:pPr>
        <w:pStyle w:val="7"/>
        <w:tabs>
          <w:tab w:val="right" w:leader="dot" w:pos="8290"/>
        </w:tabs>
        <w:spacing w:line="360" w:lineRule="auto"/>
        <w:rPr>
          <w:rFonts w:ascii="宋体" w:hAnsi="宋体" w:eastAsia="宋体"/>
        </w:rPr>
      </w:pPr>
      <w:r>
        <w:fldChar w:fldCharType="begin"/>
      </w:r>
      <w:r>
        <w:instrText xml:space="preserve"> HYPERLINK \l "_Toc207948762"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_Toc207948762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4DED47B7">
      <w:pPr>
        <w:pStyle w:val="7"/>
        <w:tabs>
          <w:tab w:val="right" w:leader="dot" w:pos="8290"/>
        </w:tabs>
        <w:spacing w:line="360" w:lineRule="auto"/>
        <w:rPr>
          <w:rFonts w:ascii="宋体" w:hAnsi="宋体" w:eastAsia="宋体"/>
        </w:rPr>
      </w:pPr>
      <w:r>
        <w:fldChar w:fldCharType="begin"/>
      </w:r>
      <w:r>
        <w:instrText xml:space="preserve"> HYPERLINK \l "_Toc207948763"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_Toc207948763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118B818A">
      <w:pPr>
        <w:pStyle w:val="7"/>
        <w:tabs>
          <w:tab w:val="right" w:leader="dot" w:pos="8290"/>
        </w:tabs>
        <w:spacing w:line="360" w:lineRule="auto"/>
        <w:rPr>
          <w:rFonts w:ascii="宋体" w:hAnsi="宋体" w:eastAsia="宋体"/>
        </w:rPr>
      </w:pPr>
      <w:r>
        <w:fldChar w:fldCharType="begin"/>
      </w:r>
      <w:r>
        <w:instrText xml:space="preserve"> HYPERLINK \l "_Toc207948764"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_Toc207948764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01376C2F">
      <w:pPr>
        <w:pStyle w:val="7"/>
        <w:tabs>
          <w:tab w:val="right" w:leader="dot" w:pos="8290"/>
        </w:tabs>
        <w:spacing w:line="360" w:lineRule="auto"/>
        <w:rPr>
          <w:rFonts w:ascii="宋体" w:hAnsi="宋体" w:eastAsia="宋体"/>
        </w:rPr>
      </w:pPr>
      <w:r>
        <w:fldChar w:fldCharType="begin"/>
      </w:r>
      <w:r>
        <w:instrText xml:space="preserve"> HYPERLINK \l "_Toc207948765"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_Toc207948765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14:paraId="37CF0695">
      <w:pPr>
        <w:pStyle w:val="7"/>
        <w:tabs>
          <w:tab w:val="right" w:leader="dot" w:pos="8290"/>
        </w:tabs>
        <w:spacing w:line="360" w:lineRule="auto"/>
        <w:rPr>
          <w:rFonts w:ascii="宋体" w:hAnsi="宋体" w:eastAsia="宋体"/>
        </w:rPr>
      </w:pPr>
      <w:r>
        <w:fldChar w:fldCharType="begin"/>
      </w:r>
      <w:r>
        <w:instrText xml:space="preserve"> HYPERLINK \l "_Toc207948766"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_Toc207948766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Fonts w:ascii="宋体" w:hAnsi="宋体" w:eastAsia="宋体"/>
        </w:rPr>
        <w:fldChar w:fldCharType="end"/>
      </w:r>
    </w:p>
    <w:p w14:paraId="2CAE649B">
      <w:pPr>
        <w:pStyle w:val="7"/>
        <w:tabs>
          <w:tab w:val="right" w:leader="dot" w:pos="8290"/>
        </w:tabs>
        <w:spacing w:line="360" w:lineRule="auto"/>
        <w:rPr>
          <w:rFonts w:ascii="宋体" w:hAnsi="宋体" w:eastAsia="宋体"/>
        </w:rPr>
      </w:pPr>
      <w:r>
        <w:fldChar w:fldCharType="begin"/>
      </w:r>
      <w:r>
        <w:instrText xml:space="preserve"> HYPERLINK \l "_Toc207948767"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_Toc207948767 \h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fldChar w:fldCharType="end"/>
      </w:r>
    </w:p>
    <w:p w14:paraId="4D275B35">
      <w:pPr>
        <w:pStyle w:val="7"/>
        <w:tabs>
          <w:tab w:val="right" w:leader="dot" w:pos="8290"/>
        </w:tabs>
        <w:spacing w:line="360" w:lineRule="auto"/>
        <w:rPr>
          <w:rFonts w:ascii="宋体" w:hAnsi="宋体" w:eastAsia="宋体"/>
        </w:rPr>
      </w:pPr>
      <w:r>
        <w:fldChar w:fldCharType="begin"/>
      </w:r>
      <w:r>
        <w:instrText xml:space="preserve"> HYPERLINK \l "_Toc207948768"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_Toc207948768 \h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fldChar w:fldCharType="end"/>
      </w:r>
    </w:p>
    <w:p w14:paraId="7E562E07">
      <w:pPr>
        <w:pStyle w:val="7"/>
        <w:tabs>
          <w:tab w:val="right" w:leader="dot" w:pos="8290"/>
        </w:tabs>
        <w:spacing w:line="360" w:lineRule="auto"/>
        <w:rPr>
          <w:rFonts w:ascii="宋体" w:hAnsi="宋体" w:eastAsia="宋体"/>
        </w:rPr>
      </w:pPr>
      <w:r>
        <w:fldChar w:fldCharType="begin"/>
      </w:r>
      <w:r>
        <w:instrText xml:space="preserve"> HYPERLINK \l "_Toc207948769"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_Toc207948769 \h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fldChar w:fldCharType="end"/>
      </w:r>
    </w:p>
    <w:p w14:paraId="4E4AFF8F">
      <w:pPr>
        <w:pStyle w:val="7"/>
        <w:tabs>
          <w:tab w:val="right" w:leader="dot" w:pos="8290"/>
        </w:tabs>
        <w:spacing w:line="360" w:lineRule="auto"/>
        <w:rPr>
          <w:rFonts w:ascii="宋体" w:hAnsi="宋体" w:eastAsia="宋体"/>
        </w:rPr>
      </w:pPr>
      <w:r>
        <w:fldChar w:fldCharType="begin"/>
      </w:r>
      <w:r>
        <w:instrText xml:space="preserve"> HYPERLINK \l "_Toc207948770"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_Toc207948770 \h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fldChar w:fldCharType="end"/>
      </w:r>
    </w:p>
    <w:p w14:paraId="3090539E">
      <w:pPr>
        <w:pStyle w:val="7"/>
        <w:tabs>
          <w:tab w:val="right" w:leader="dot" w:pos="8290"/>
        </w:tabs>
        <w:spacing w:line="360" w:lineRule="auto"/>
        <w:rPr>
          <w:rFonts w:ascii="宋体" w:hAnsi="宋体" w:eastAsia="宋体"/>
        </w:rPr>
      </w:pPr>
      <w:r>
        <w:fldChar w:fldCharType="begin"/>
      </w:r>
      <w:r>
        <w:instrText xml:space="preserve"> HYPERLINK \l "_Toc207948771"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_Toc207948771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14:paraId="75B9EF45">
      <w:pPr>
        <w:pStyle w:val="7"/>
        <w:tabs>
          <w:tab w:val="right" w:leader="dot" w:pos="8290"/>
        </w:tabs>
        <w:spacing w:line="360" w:lineRule="auto"/>
        <w:rPr>
          <w:rFonts w:ascii="宋体" w:hAnsi="宋体" w:eastAsia="宋体"/>
        </w:rPr>
      </w:pPr>
      <w:r>
        <w:fldChar w:fldCharType="begin"/>
      </w:r>
      <w:r>
        <w:instrText xml:space="preserve"> HYPERLINK \l "_Toc207948772"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_Toc207948772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14:paraId="5BA95214">
      <w:pPr>
        <w:pStyle w:val="7"/>
        <w:tabs>
          <w:tab w:val="right" w:leader="dot" w:pos="8290"/>
        </w:tabs>
        <w:spacing w:line="360" w:lineRule="auto"/>
        <w:rPr>
          <w:rFonts w:ascii="宋体" w:hAnsi="宋体" w:eastAsia="宋体"/>
        </w:rPr>
      </w:pPr>
      <w:r>
        <w:fldChar w:fldCharType="begin"/>
      </w:r>
      <w:r>
        <w:instrText xml:space="preserve"> HYPERLINK \l "_Toc207948773"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_Toc207948773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6CD17B7E">
      <w:pPr>
        <w:pStyle w:val="7"/>
        <w:tabs>
          <w:tab w:val="right" w:leader="dot" w:pos="8290"/>
        </w:tabs>
        <w:spacing w:line="360" w:lineRule="auto"/>
        <w:rPr>
          <w:rFonts w:ascii="宋体" w:hAnsi="宋体" w:eastAsia="宋体"/>
        </w:rPr>
      </w:pPr>
      <w:r>
        <w:fldChar w:fldCharType="begin"/>
      </w:r>
      <w:r>
        <w:instrText xml:space="preserve"> HYPERLINK \l "_Toc207948774"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_Toc207948774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14:paraId="5A8B1CD4">
      <w:pPr>
        <w:pStyle w:val="7"/>
        <w:tabs>
          <w:tab w:val="right" w:leader="dot" w:pos="8290"/>
        </w:tabs>
        <w:spacing w:line="360" w:lineRule="auto"/>
        <w:rPr>
          <w:rFonts w:ascii="宋体" w:hAnsi="宋体" w:eastAsia="宋体"/>
        </w:rPr>
      </w:pPr>
      <w:r>
        <w:fldChar w:fldCharType="begin"/>
      </w:r>
      <w:r>
        <w:instrText xml:space="preserve"> HYPERLINK \l "_Toc207948775"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_Toc207948775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34E2A6D5">
      <w:pPr>
        <w:pStyle w:val="7"/>
        <w:tabs>
          <w:tab w:val="right" w:leader="dot" w:pos="8290"/>
        </w:tabs>
        <w:spacing w:line="360" w:lineRule="auto"/>
        <w:rPr>
          <w:rFonts w:ascii="宋体" w:hAnsi="宋体" w:eastAsia="宋体"/>
        </w:rPr>
      </w:pPr>
      <w:r>
        <w:fldChar w:fldCharType="begin"/>
      </w:r>
      <w:r>
        <w:instrText xml:space="preserve"> HYPERLINK \l "_Toc207948776"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_Toc207948776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14:paraId="1CC52F44">
      <w:pPr>
        <w:pStyle w:val="7"/>
        <w:tabs>
          <w:tab w:val="right" w:leader="dot" w:pos="8290"/>
        </w:tabs>
        <w:spacing w:line="360" w:lineRule="auto"/>
        <w:rPr>
          <w:rFonts w:ascii="宋体" w:hAnsi="宋体" w:eastAsia="宋体"/>
        </w:rPr>
      </w:pPr>
      <w:r>
        <w:fldChar w:fldCharType="begin"/>
      </w:r>
      <w:r>
        <w:instrText xml:space="preserve"> HYPERLINK \l "_Toc207948777"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_Toc207948777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6F549663">
      <w:pPr>
        <w:pStyle w:val="7"/>
        <w:tabs>
          <w:tab w:val="right" w:leader="dot" w:pos="8290"/>
        </w:tabs>
        <w:spacing w:line="360" w:lineRule="auto"/>
        <w:rPr>
          <w:rFonts w:ascii="宋体" w:hAnsi="宋体" w:eastAsia="宋体"/>
        </w:rPr>
      </w:pPr>
      <w:r>
        <w:fldChar w:fldCharType="begin"/>
      </w:r>
      <w:r>
        <w:instrText xml:space="preserve"> HYPERLINK \l "_Toc207948778"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_Toc207948778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3D6E994C">
      <w:pPr>
        <w:pStyle w:val="7"/>
        <w:tabs>
          <w:tab w:val="right" w:leader="dot" w:pos="8290"/>
        </w:tabs>
        <w:spacing w:line="360" w:lineRule="auto"/>
        <w:rPr>
          <w:rFonts w:ascii="宋体" w:hAnsi="宋体" w:eastAsia="宋体"/>
        </w:rPr>
      </w:pPr>
      <w:r>
        <w:fldChar w:fldCharType="begin"/>
      </w:r>
      <w:r>
        <w:instrText xml:space="preserve"> HYPERLINK \l "_Toc207948779"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_Toc207948779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75C7E966">
      <w:pPr>
        <w:pStyle w:val="7"/>
        <w:tabs>
          <w:tab w:val="right" w:leader="dot" w:pos="8290"/>
        </w:tabs>
        <w:spacing w:line="360" w:lineRule="auto"/>
        <w:rPr>
          <w:rFonts w:ascii="宋体" w:hAnsi="宋体" w:eastAsia="宋体"/>
        </w:rPr>
      </w:pPr>
      <w:r>
        <w:fldChar w:fldCharType="begin"/>
      </w:r>
      <w:r>
        <w:instrText xml:space="preserve"> HYPERLINK \l "_Toc207948780"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_Toc207948780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27EFFD6A">
      <w:pPr>
        <w:pStyle w:val="7"/>
        <w:tabs>
          <w:tab w:val="right" w:leader="dot" w:pos="8290"/>
        </w:tabs>
        <w:spacing w:line="360" w:lineRule="auto"/>
        <w:rPr>
          <w:rFonts w:ascii="宋体" w:hAnsi="宋体" w:eastAsia="宋体"/>
        </w:rPr>
      </w:pPr>
      <w:r>
        <w:fldChar w:fldCharType="begin"/>
      </w:r>
      <w:r>
        <w:instrText xml:space="preserve"> HYPERLINK \l "_Toc207948781"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_Toc207948781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0218C863">
      <w:pPr>
        <w:pStyle w:val="7"/>
        <w:tabs>
          <w:tab w:val="right" w:leader="dot" w:pos="8290"/>
        </w:tabs>
        <w:spacing w:line="360" w:lineRule="auto"/>
        <w:rPr>
          <w:rFonts w:ascii="宋体" w:hAnsi="宋体" w:eastAsia="宋体"/>
        </w:rPr>
      </w:pPr>
      <w:r>
        <w:fldChar w:fldCharType="begin"/>
      </w:r>
      <w:r>
        <w:instrText xml:space="preserve"> HYPERLINK \l "_Toc207948782"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_Toc207948782 \h </w:instrText>
      </w:r>
      <w:r>
        <w:rPr>
          <w:rFonts w:ascii="宋体" w:hAnsi="宋体" w:eastAsia="宋体"/>
        </w:rPr>
        <w:fldChar w:fldCharType="separate"/>
      </w:r>
      <w:r>
        <w:rPr>
          <w:rFonts w:ascii="宋体" w:hAnsi="宋体" w:eastAsia="宋体"/>
        </w:rPr>
        <w:t>113</w:t>
      </w:r>
      <w:r>
        <w:rPr>
          <w:rFonts w:ascii="宋体" w:hAnsi="宋体" w:eastAsia="宋体"/>
        </w:rPr>
        <w:fldChar w:fldCharType="end"/>
      </w:r>
      <w:r>
        <w:rPr>
          <w:rFonts w:ascii="宋体" w:hAnsi="宋体" w:eastAsia="宋体"/>
        </w:rPr>
        <w:fldChar w:fldCharType="end"/>
      </w:r>
    </w:p>
    <w:p w14:paraId="6A4662B0">
      <w:pPr>
        <w:pStyle w:val="7"/>
        <w:tabs>
          <w:tab w:val="right" w:leader="dot" w:pos="8290"/>
        </w:tabs>
        <w:spacing w:line="360" w:lineRule="auto"/>
        <w:rPr>
          <w:rFonts w:ascii="宋体" w:hAnsi="宋体" w:eastAsia="宋体"/>
        </w:rPr>
      </w:pPr>
      <w:r>
        <w:fldChar w:fldCharType="begin"/>
      </w:r>
      <w:r>
        <w:instrText xml:space="preserve"> HYPERLINK \l "_Toc207948783"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_Toc207948783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66935243">
      <w:pPr>
        <w:pStyle w:val="7"/>
        <w:tabs>
          <w:tab w:val="right" w:leader="dot" w:pos="8290"/>
        </w:tabs>
        <w:spacing w:line="360" w:lineRule="auto"/>
        <w:rPr>
          <w:rFonts w:ascii="宋体" w:hAnsi="宋体" w:eastAsia="宋体"/>
        </w:rPr>
      </w:pPr>
      <w:r>
        <w:fldChar w:fldCharType="begin"/>
      </w:r>
      <w:r>
        <w:instrText xml:space="preserve"> HYPERLINK \l "_Toc207948784"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_Toc207948784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268AA6A5">
      <w:pPr>
        <w:pStyle w:val="7"/>
        <w:tabs>
          <w:tab w:val="right" w:leader="dot" w:pos="8290"/>
        </w:tabs>
        <w:spacing w:line="360" w:lineRule="auto"/>
        <w:rPr>
          <w:rFonts w:ascii="宋体" w:hAnsi="宋体" w:eastAsia="宋体"/>
        </w:rPr>
      </w:pPr>
      <w:r>
        <w:fldChar w:fldCharType="begin"/>
      </w:r>
      <w:r>
        <w:instrText xml:space="preserve"> HYPERLINK \l "_Toc207948785"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_Toc207948785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14:paraId="03A9C7DF">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14BE7874">
      <w:pPr>
        <w:pStyle w:val="2"/>
        <w:jc w:val="center"/>
        <w:rPr>
          <w:rFonts w:ascii="宋体" w:hAnsi="宋体" w:eastAsia="宋体"/>
          <w:sz w:val="30"/>
        </w:rPr>
      </w:pPr>
      <w:bookmarkStart w:id="6" w:name="_Toc207948762"/>
      <w:bookmarkStart w:id="7" w:name="chapter_level1_3_2344"/>
      <w:r>
        <w:rPr>
          <w:rFonts w:hint="eastAsia" w:ascii="宋体" w:hAnsi="宋体" w:eastAsia="宋体"/>
          <w:sz w:val="30"/>
        </w:rPr>
        <w:t>第一部分  绪言</w:t>
      </w:r>
      <w:bookmarkEnd w:id="6"/>
      <w:bookmarkEnd w:id="7"/>
    </w:p>
    <w:p w14:paraId="22AD8242">
      <w:pPr>
        <w:pStyle w:val="8"/>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博时稳欣</w:t>
      </w:r>
      <w:r>
        <w:rPr>
          <w:sz w:val="21"/>
          <w:szCs w:val="21"/>
        </w:rPr>
        <w:t>39个月定期开放债券型证券投资基金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博时稳欣</w:t>
      </w:r>
      <w:r>
        <w:rPr>
          <w:sz w:val="21"/>
          <w:szCs w:val="21"/>
        </w:rPr>
        <w:t>39个月定期开放债券型证券投资基金</w:t>
      </w:r>
      <w:bookmarkEnd w:id="10"/>
      <w:r>
        <w:rPr>
          <w:rFonts w:hint="eastAsia"/>
          <w:sz w:val="21"/>
          <w:szCs w:val="21"/>
        </w:rPr>
        <w:t xml:space="preserve">基金合同》（以下简称“基金合同”）编写。  </w:t>
      </w:r>
    </w:p>
    <w:p w14:paraId="6A1FFBEF">
      <w:pPr>
        <w:pStyle w:val="8"/>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博时稳欣</w:t>
      </w:r>
      <w:r>
        <w:rPr>
          <w:sz w:val="21"/>
          <w:szCs w:val="21"/>
        </w:rPr>
        <w:t>39个月定期开放债券型证券投资基金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4C11C3D3">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5010B0EE">
      <w:pPr>
        <w:pStyle w:val="8"/>
        <w:spacing w:before="0" w:beforeAutospacing="0" w:after="0" w:afterAutospacing="0" w:line="360" w:lineRule="auto"/>
        <w:ind w:firstLine="420"/>
        <w:rPr>
          <w:sz w:val="21"/>
          <w:szCs w:val="21"/>
        </w:rPr>
      </w:pPr>
      <w:bookmarkStart w:id="12" w:name="field_0_productfullname_5"/>
      <w:r>
        <w:rPr>
          <w:rFonts w:hint="eastAsia"/>
          <w:sz w:val="21"/>
          <w:szCs w:val="21"/>
        </w:rPr>
        <w:t>博时稳欣</w:t>
      </w:r>
      <w:r>
        <w:rPr>
          <w:sz w:val="21"/>
          <w:szCs w:val="21"/>
        </w:rPr>
        <w:t>39个月定期开放债券型证券投资基金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40A40ED0">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397A3ECD">
      <w:pPr>
        <w:widowControl/>
        <w:jc w:val="left"/>
        <w:rPr>
          <w:rFonts w:ascii="宋体" w:hAnsi="宋体" w:eastAsia="宋体"/>
        </w:rPr>
      </w:pPr>
      <w:r>
        <w:rPr>
          <w:rFonts w:ascii="宋体" w:hAnsi="宋体" w:eastAsia="宋体"/>
        </w:rPr>
        <w:br w:type="page"/>
      </w:r>
    </w:p>
    <w:p w14:paraId="534A4BE6">
      <w:pPr>
        <w:pStyle w:val="2"/>
        <w:jc w:val="center"/>
        <w:rPr>
          <w:rFonts w:ascii="宋体" w:hAnsi="宋体" w:eastAsia="宋体"/>
          <w:sz w:val="30"/>
        </w:rPr>
      </w:pPr>
      <w:bookmarkStart w:id="14" w:name="chapter_level1_4_49"/>
      <w:bookmarkStart w:id="15" w:name="_Toc207948763"/>
      <w:r>
        <w:rPr>
          <w:rFonts w:hint="eastAsia" w:ascii="宋体" w:hAnsi="宋体" w:eastAsia="宋体"/>
          <w:sz w:val="30"/>
        </w:rPr>
        <w:t>第二部分  释义</w:t>
      </w:r>
      <w:bookmarkEnd w:id="14"/>
      <w:bookmarkEnd w:id="15"/>
    </w:p>
    <w:p w14:paraId="0B5737D6">
      <w:pPr>
        <w:pStyle w:val="8"/>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在本招募说明书中，除非文意另有所指，下列词语具有以下含义：  </w:t>
      </w:r>
    </w:p>
    <w:p w14:paraId="319878D8">
      <w:pPr>
        <w:pStyle w:val="8"/>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博时稳欣</w:t>
      </w:r>
      <w:r>
        <w:rPr>
          <w:sz w:val="21"/>
          <w:szCs w:val="21"/>
        </w:rPr>
        <w:t>39个月定期开放债券型证券投资基金</w:t>
      </w:r>
      <w:bookmarkEnd w:id="17"/>
      <w:r>
        <w:rPr>
          <w:rFonts w:hint="eastAsia"/>
          <w:sz w:val="21"/>
          <w:szCs w:val="21"/>
        </w:rPr>
        <w:t xml:space="preserve">  </w:t>
      </w:r>
    </w:p>
    <w:p w14:paraId="1E1AD253">
      <w:pPr>
        <w:pStyle w:val="8"/>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63C0F39A">
      <w:pPr>
        <w:pStyle w:val="8"/>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上海浦东发展银行股份有限公司</w:t>
      </w:r>
      <w:bookmarkEnd w:id="19"/>
      <w:r>
        <w:rPr>
          <w:rFonts w:hint="eastAsia"/>
          <w:sz w:val="21"/>
          <w:szCs w:val="21"/>
        </w:rPr>
        <w:t xml:space="preserve">  </w:t>
      </w:r>
    </w:p>
    <w:p w14:paraId="1E002ACE">
      <w:pPr>
        <w:pStyle w:val="8"/>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博时稳欣</w:t>
      </w:r>
      <w:r>
        <w:rPr>
          <w:sz w:val="21"/>
          <w:szCs w:val="21"/>
        </w:rPr>
        <w:t>39个月定期开放债券型证券投资基金</w:t>
      </w:r>
      <w:bookmarkEnd w:id="20"/>
      <w:r>
        <w:rPr>
          <w:rFonts w:hint="eastAsia"/>
          <w:sz w:val="21"/>
          <w:szCs w:val="21"/>
        </w:rPr>
        <w:t xml:space="preserve">基金合同》及对基金合同的任何有效修订和补充 </w:t>
      </w:r>
    </w:p>
    <w:p w14:paraId="337CB05A">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博时稳欣</w:t>
      </w:r>
      <w:r>
        <w:rPr>
          <w:sz w:val="21"/>
          <w:szCs w:val="21"/>
        </w:rPr>
        <w:t>39个月定期开放债券型证券投资基金</w:t>
      </w:r>
      <w:bookmarkEnd w:id="21"/>
      <w:r>
        <w:rPr>
          <w:rFonts w:hint="eastAsia"/>
          <w:sz w:val="21"/>
          <w:szCs w:val="21"/>
        </w:rPr>
        <w:t xml:space="preserve">托管协议》及对该托管协议的任何有效修订和补充 </w:t>
      </w:r>
    </w:p>
    <w:p w14:paraId="79B12D5B">
      <w:pPr>
        <w:pStyle w:val="8"/>
        <w:spacing w:before="0" w:beforeAutospacing="0" w:after="0" w:afterAutospacing="0" w:line="360" w:lineRule="auto"/>
        <w:ind w:firstLine="420"/>
        <w:rPr>
          <w:sz w:val="21"/>
          <w:szCs w:val="21"/>
        </w:rPr>
      </w:pPr>
      <w:r>
        <w:rPr>
          <w:rFonts w:hint="eastAsia"/>
          <w:sz w:val="21"/>
          <w:szCs w:val="21"/>
        </w:rPr>
        <w:t>6、招募说明书或本招募说明书：指《</w:t>
      </w:r>
      <w:bookmarkStart w:id="22" w:name="field_0_productfullname_9"/>
      <w:r>
        <w:rPr>
          <w:rFonts w:hint="eastAsia"/>
          <w:sz w:val="21"/>
          <w:szCs w:val="21"/>
        </w:rPr>
        <w:t>博时稳欣</w:t>
      </w:r>
      <w:r>
        <w:rPr>
          <w:sz w:val="21"/>
          <w:szCs w:val="21"/>
        </w:rPr>
        <w:t>39个月定期开放债券型证券投资基金</w:t>
      </w:r>
      <w:bookmarkEnd w:id="22"/>
      <w:r>
        <w:rPr>
          <w:rFonts w:hint="eastAsia"/>
          <w:sz w:val="21"/>
          <w:szCs w:val="21"/>
        </w:rPr>
        <w:t xml:space="preserve">招募说明书》及其更新 </w:t>
      </w:r>
    </w:p>
    <w:p w14:paraId="45519D24">
      <w:pPr>
        <w:pStyle w:val="8"/>
        <w:spacing w:before="0" w:beforeAutospacing="0" w:after="0" w:afterAutospacing="0" w:line="360" w:lineRule="auto"/>
        <w:ind w:firstLine="420"/>
        <w:rPr>
          <w:sz w:val="21"/>
          <w:szCs w:val="21"/>
        </w:rPr>
      </w:pPr>
      <w:r>
        <w:rPr>
          <w:rFonts w:hint="eastAsia"/>
          <w:sz w:val="21"/>
          <w:szCs w:val="21"/>
        </w:rPr>
        <w:t>7、基金份额发售公告：指《</w:t>
      </w:r>
      <w:bookmarkStart w:id="23" w:name="field_0_productfullname_10"/>
      <w:r>
        <w:rPr>
          <w:rFonts w:hint="eastAsia"/>
          <w:sz w:val="21"/>
          <w:szCs w:val="21"/>
        </w:rPr>
        <w:t>博时稳欣</w:t>
      </w:r>
      <w:r>
        <w:rPr>
          <w:sz w:val="21"/>
          <w:szCs w:val="21"/>
        </w:rPr>
        <w:t>39个月定期开放债券型证券投资基金</w:t>
      </w:r>
      <w:bookmarkEnd w:id="23"/>
      <w:r>
        <w:rPr>
          <w:rFonts w:hint="eastAsia"/>
          <w:sz w:val="21"/>
          <w:szCs w:val="21"/>
        </w:rPr>
        <w:t xml:space="preserve">基金份额发售公告》 </w:t>
      </w:r>
    </w:p>
    <w:p w14:paraId="5F57278C">
      <w:pPr>
        <w:pStyle w:val="8"/>
        <w:spacing w:before="0" w:beforeAutospacing="0" w:after="0" w:afterAutospacing="0" w:line="360" w:lineRule="auto"/>
        <w:ind w:firstLine="420"/>
        <w:rPr>
          <w:sz w:val="21"/>
          <w:szCs w:val="21"/>
        </w:rPr>
      </w:pPr>
      <w:r>
        <w:rPr>
          <w:rFonts w:hint="eastAsia"/>
          <w:sz w:val="21"/>
          <w:szCs w:val="21"/>
        </w:rPr>
        <w:t>8、基金产品资料概要：指《</w:t>
      </w:r>
      <w:bookmarkStart w:id="24" w:name="field_0_productfullname_11"/>
      <w:r>
        <w:rPr>
          <w:rFonts w:hint="eastAsia"/>
          <w:sz w:val="21"/>
          <w:szCs w:val="21"/>
        </w:rPr>
        <w:t>博时稳欣</w:t>
      </w:r>
      <w:r>
        <w:rPr>
          <w:sz w:val="21"/>
          <w:szCs w:val="21"/>
        </w:rPr>
        <w:t>39个月定期开放债券型证券投资基金</w:t>
      </w:r>
      <w:bookmarkEnd w:id="24"/>
      <w:r>
        <w:rPr>
          <w:rFonts w:hint="eastAsia"/>
          <w:sz w:val="21"/>
          <w:szCs w:val="21"/>
        </w:rPr>
        <w:t xml:space="preserve">基金产品资料概要》及其更新 </w:t>
      </w:r>
    </w:p>
    <w:p w14:paraId="03391C0E">
      <w:pPr>
        <w:pStyle w:val="8"/>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5CAC570E">
      <w:pPr>
        <w:pStyle w:val="8"/>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27DAA3ED">
      <w:pPr>
        <w:pStyle w:val="8"/>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22197FE2">
      <w:pPr>
        <w:pStyle w:val="8"/>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2CD44333">
      <w:pPr>
        <w:pStyle w:val="8"/>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1CC5963D">
      <w:pPr>
        <w:pStyle w:val="8"/>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5C4AE64F">
      <w:pPr>
        <w:pStyle w:val="8"/>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3EE575BD">
      <w:pPr>
        <w:pStyle w:val="8"/>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4788CB65">
      <w:pPr>
        <w:pStyle w:val="8"/>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0B7BD332">
      <w:pPr>
        <w:pStyle w:val="8"/>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18EA784F">
      <w:pPr>
        <w:pStyle w:val="8"/>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749792B6">
      <w:pPr>
        <w:pStyle w:val="8"/>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68806AB0">
      <w:pPr>
        <w:pStyle w:val="8"/>
        <w:spacing w:before="0" w:beforeAutospacing="0" w:after="0" w:afterAutospacing="0" w:line="360" w:lineRule="auto"/>
        <w:ind w:firstLine="420"/>
        <w:rPr>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14:paraId="019FC6FF">
      <w:pPr>
        <w:pStyle w:val="8"/>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05B37139">
      <w:pPr>
        <w:pStyle w:val="8"/>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3BC098B1">
      <w:pPr>
        <w:pStyle w:val="8"/>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4A9241A7">
      <w:pPr>
        <w:pStyle w:val="8"/>
        <w:spacing w:before="0" w:beforeAutospacing="0" w:after="0" w:afterAutospacing="0" w:line="360" w:lineRule="auto"/>
        <w:ind w:firstLine="420"/>
        <w:rPr>
          <w:sz w:val="21"/>
          <w:szCs w:val="21"/>
        </w:rPr>
      </w:pPr>
      <w:bookmarkStart w:id="25" w:name="chapter_level1_4_49_section_1_end"/>
      <w:bookmarkEnd w:id="25"/>
      <w:r>
        <w:rPr>
          <w:rFonts w:hint="eastAsia"/>
          <w:sz w:val="21"/>
          <w:szCs w:val="21"/>
        </w:rPr>
        <w:t xml:space="preserve">25、销售机构：指直销机构和代销机构 </w:t>
      </w:r>
    </w:p>
    <w:p w14:paraId="24E81F87">
      <w:pPr>
        <w:pStyle w:val="8"/>
        <w:spacing w:before="0" w:beforeAutospacing="0" w:after="0" w:afterAutospacing="0" w:line="360" w:lineRule="auto"/>
        <w:ind w:firstLine="420"/>
        <w:rPr>
          <w:sz w:val="21"/>
          <w:szCs w:val="21"/>
        </w:rPr>
      </w:pPr>
      <w:bookmarkStart w:id="26" w:name="chapter_level1_4_49_section_2"/>
      <w:bookmarkEnd w:id="26"/>
      <w:r>
        <w:rPr>
          <w:rFonts w:hint="eastAsia"/>
          <w:sz w:val="21"/>
          <w:szCs w:val="21"/>
        </w:rPr>
        <w:t>26、直销机构：指</w:t>
      </w:r>
      <w:bookmarkStart w:id="27" w:name="field_0_managerorgfullname_2"/>
      <w:r>
        <w:rPr>
          <w:rFonts w:hint="eastAsia"/>
          <w:sz w:val="21"/>
          <w:szCs w:val="21"/>
        </w:rPr>
        <w:t>博时基金管理有限公司</w:t>
      </w:r>
      <w:bookmarkEnd w:id="27"/>
      <w:r>
        <w:rPr>
          <w:rFonts w:hint="eastAsia"/>
          <w:sz w:val="21"/>
          <w:szCs w:val="21"/>
        </w:rPr>
        <w:t xml:space="preserve">   </w:t>
      </w:r>
    </w:p>
    <w:p w14:paraId="34F8D808">
      <w:pPr>
        <w:pStyle w:val="8"/>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2A49AC43">
      <w:pPr>
        <w:pStyle w:val="8"/>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076E48FC">
      <w:pPr>
        <w:pStyle w:val="8"/>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4866CE87">
      <w:pPr>
        <w:pStyle w:val="8"/>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00833EC0">
      <w:pPr>
        <w:pStyle w:val="8"/>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58771CFD">
      <w:pPr>
        <w:pStyle w:val="8"/>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4FA52637">
      <w:pPr>
        <w:pStyle w:val="8"/>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049F9C26">
      <w:pPr>
        <w:pStyle w:val="8"/>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714AA5D8">
      <w:pPr>
        <w:pStyle w:val="8"/>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1C04FB75">
      <w:pPr>
        <w:pStyle w:val="8"/>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36、工作日：指上海证券交易所、深圳证券交易所的正常交易日 </w:t>
      </w:r>
    </w:p>
    <w:p w14:paraId="05E9645D">
      <w:pPr>
        <w:pStyle w:val="8"/>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65DB790C">
      <w:pPr>
        <w:pStyle w:val="8"/>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2DF51E0F">
      <w:pPr>
        <w:pStyle w:val="8"/>
        <w:spacing w:before="0" w:beforeAutospacing="0" w:after="0" w:afterAutospacing="0" w:line="360" w:lineRule="auto"/>
        <w:ind w:firstLine="420"/>
        <w:rPr>
          <w:sz w:val="21"/>
          <w:szCs w:val="21"/>
        </w:rPr>
      </w:pPr>
      <w:r>
        <w:rPr>
          <w:rFonts w:hint="eastAsia"/>
          <w:sz w:val="21"/>
          <w:szCs w:val="21"/>
        </w:rPr>
        <w:t xml:space="preserve">39、封闭期：指自基金合同生效之日起（包括基金合同生效之日）或自每一开放期结束之日次日起（包括该日）39个月的期间。本基金的第一个封闭期为自基金合同生效日之日起（包括该日）至39个月后的对应日前一日（含该日）的期间。下一个封闭期为首个开放期结束之日次日起（包括该日）至39个月后的对应日前一日（含该日）的期间，以此类推。如不存在对应日期或该对应日为非工作日的，则顺延至下一工作日。本基金封闭期内不办理申购与赎回业务，也不上市交易 </w:t>
      </w:r>
    </w:p>
    <w:p w14:paraId="41E0F7FA">
      <w:pPr>
        <w:pStyle w:val="8"/>
        <w:spacing w:before="0" w:beforeAutospacing="0" w:after="0" w:afterAutospacing="0" w:line="360" w:lineRule="auto"/>
        <w:ind w:firstLine="420"/>
        <w:rPr>
          <w:sz w:val="21"/>
          <w:szCs w:val="21"/>
        </w:rPr>
      </w:pPr>
      <w:r>
        <w:rPr>
          <w:rFonts w:hint="eastAsia"/>
          <w:sz w:val="21"/>
          <w:szCs w:val="21"/>
        </w:rPr>
        <w:t>40、开放期：指自封闭期结束之日后第一个工作日起（含该日）</w:t>
      </w:r>
      <w:r>
        <w:rPr>
          <w:rFonts w:hint="eastAsia"/>
          <w:sz w:val="21"/>
          <w:szCs w:val="21"/>
          <w:lang w:val="en-US" w:eastAsia="zh-CN"/>
        </w:rPr>
        <w:t>1</w:t>
      </w:r>
      <w:r>
        <w:rPr>
          <w:rFonts w:hint="eastAsia"/>
          <w:sz w:val="21"/>
          <w:szCs w:val="21"/>
        </w:rPr>
        <w:t xml:space="preserve">至20个工作日，具体期间由基金管理人在封闭期结束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 </w:t>
      </w:r>
    </w:p>
    <w:p w14:paraId="2480B9B5">
      <w:pPr>
        <w:pStyle w:val="8"/>
        <w:spacing w:before="0" w:beforeAutospacing="0" w:after="0" w:afterAutospacing="0" w:line="360" w:lineRule="auto"/>
        <w:ind w:firstLine="420"/>
        <w:rPr>
          <w:sz w:val="21"/>
          <w:szCs w:val="21"/>
        </w:rPr>
      </w:pPr>
      <w:r>
        <w:rPr>
          <w:rFonts w:hint="eastAsia"/>
          <w:sz w:val="21"/>
          <w:szCs w:val="21"/>
        </w:rPr>
        <w:t xml:space="preserve">41、开放日：指为投资人办理基金份额申购、赎回或其他业务的工作日 </w:t>
      </w:r>
    </w:p>
    <w:p w14:paraId="5927A160">
      <w:pPr>
        <w:pStyle w:val="8"/>
        <w:spacing w:before="0" w:beforeAutospacing="0" w:after="0" w:afterAutospacing="0" w:line="360" w:lineRule="auto"/>
        <w:ind w:firstLine="420"/>
        <w:rPr>
          <w:sz w:val="21"/>
          <w:szCs w:val="21"/>
        </w:rPr>
      </w:pPr>
      <w:r>
        <w:rPr>
          <w:rFonts w:hint="eastAsia"/>
          <w:sz w:val="21"/>
          <w:szCs w:val="21"/>
        </w:rPr>
        <w:t xml:space="preserve">42、开放时间：指开放日基金接受申购、赎回或其他业务的时间段 </w:t>
      </w:r>
    </w:p>
    <w:p w14:paraId="7C8686B0">
      <w:pPr>
        <w:pStyle w:val="8"/>
        <w:spacing w:before="0" w:beforeAutospacing="0" w:after="0" w:afterAutospacing="0" w:line="360" w:lineRule="auto"/>
        <w:ind w:firstLine="420"/>
        <w:rPr>
          <w:sz w:val="21"/>
          <w:szCs w:val="21"/>
        </w:rPr>
      </w:pPr>
      <w:r>
        <w:rPr>
          <w:rFonts w:hint="eastAsia"/>
          <w:sz w:val="21"/>
          <w:szCs w:val="21"/>
        </w:rPr>
        <w:t>43、《业务规则》：指《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13254F82">
      <w:pPr>
        <w:pStyle w:val="8"/>
        <w:spacing w:before="0" w:beforeAutospacing="0" w:after="0" w:afterAutospacing="0" w:line="360" w:lineRule="auto"/>
        <w:ind w:firstLine="420"/>
        <w:rPr>
          <w:sz w:val="21"/>
          <w:szCs w:val="21"/>
        </w:rPr>
      </w:pPr>
      <w:r>
        <w:rPr>
          <w:rFonts w:hint="eastAsia"/>
          <w:sz w:val="21"/>
          <w:szCs w:val="21"/>
        </w:rPr>
        <w:t xml:space="preserve">44、认购：指在基金募集期内，投资人根据基金合同和招募说明书的规定申请购买基金份额的行为 </w:t>
      </w:r>
    </w:p>
    <w:p w14:paraId="7491571B">
      <w:pPr>
        <w:pStyle w:val="8"/>
        <w:spacing w:before="0" w:beforeAutospacing="0" w:after="0" w:afterAutospacing="0" w:line="360" w:lineRule="auto"/>
        <w:ind w:firstLine="420"/>
        <w:rPr>
          <w:sz w:val="21"/>
          <w:szCs w:val="21"/>
        </w:rPr>
      </w:pPr>
      <w:r>
        <w:rPr>
          <w:rFonts w:hint="eastAsia"/>
          <w:sz w:val="21"/>
          <w:szCs w:val="21"/>
        </w:rPr>
        <w:t xml:space="preserve">45、申购：指基金合同生效后的开放期内，投资人根据基金合同和招募说明书的规定申请购买基金份额的行为 </w:t>
      </w:r>
    </w:p>
    <w:p w14:paraId="0E1BA7AE">
      <w:pPr>
        <w:pStyle w:val="8"/>
        <w:spacing w:before="0" w:beforeAutospacing="0" w:after="0" w:afterAutospacing="0" w:line="360" w:lineRule="auto"/>
        <w:ind w:firstLine="420"/>
        <w:rPr>
          <w:sz w:val="21"/>
          <w:szCs w:val="21"/>
        </w:rPr>
      </w:pPr>
      <w:r>
        <w:rPr>
          <w:rFonts w:hint="eastAsia"/>
          <w:sz w:val="21"/>
          <w:szCs w:val="21"/>
        </w:rPr>
        <w:t xml:space="preserve">46、赎回：指基金合同生效后的开放期内，基金份额持有人按基金合同和招募说明书规定的条件要求将基金份额兑换为现金的行为 </w:t>
      </w:r>
    </w:p>
    <w:p w14:paraId="2FC2CDB5">
      <w:pPr>
        <w:pStyle w:val="8"/>
        <w:spacing w:before="0" w:beforeAutospacing="0" w:after="0" w:afterAutospacing="0" w:line="360" w:lineRule="auto"/>
        <w:ind w:firstLine="420"/>
        <w:rPr>
          <w:sz w:val="21"/>
          <w:szCs w:val="21"/>
        </w:rPr>
      </w:pPr>
      <w:r>
        <w:rPr>
          <w:rFonts w:hint="eastAsia"/>
          <w:sz w:val="21"/>
          <w:szCs w:val="21"/>
        </w:rPr>
        <w:t xml:space="preserve">47、基金转换：指基金份额持有人按照基金合同和基金管理人届时有效公告规定的条件，申请将其持有基金管理人管理的、某一基金的基金份额转换为基金管理人管理的其他基金基金份额的行为 </w:t>
      </w:r>
    </w:p>
    <w:p w14:paraId="4F1450A2">
      <w:pPr>
        <w:pStyle w:val="8"/>
        <w:spacing w:before="0" w:beforeAutospacing="0" w:after="0" w:afterAutospacing="0" w:line="360" w:lineRule="auto"/>
        <w:ind w:firstLine="420"/>
        <w:rPr>
          <w:sz w:val="21"/>
          <w:szCs w:val="21"/>
        </w:rPr>
      </w:pPr>
      <w:r>
        <w:rPr>
          <w:rFonts w:hint="eastAsia"/>
          <w:sz w:val="21"/>
          <w:szCs w:val="21"/>
        </w:rPr>
        <w:t xml:space="preserve">48、转托管：指基金份额持有人在本基金的不同销售机构之间实施的变更所持基金份额销售机构的操作 </w:t>
      </w:r>
    </w:p>
    <w:p w14:paraId="29386808">
      <w:pPr>
        <w:pStyle w:val="8"/>
        <w:spacing w:before="0" w:beforeAutospacing="0" w:after="0" w:afterAutospacing="0" w:line="360" w:lineRule="auto"/>
        <w:ind w:firstLine="420"/>
        <w:rPr>
          <w:sz w:val="21"/>
          <w:szCs w:val="21"/>
        </w:rPr>
      </w:pPr>
      <w:r>
        <w:rPr>
          <w:rFonts w:hint="eastAsia"/>
          <w:sz w:val="21"/>
          <w:szCs w:val="21"/>
        </w:rPr>
        <w:t xml:space="preserve">49、定期定额投资计划：指投资人通过有关销售机构提出申请，约定每期申购日、扣款金额及扣款方式，由销售机构于每期约定扣款日在投资人指定银行账户内自动完成扣款及受理基金申购申请的一种投资方式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3AF8F67A">
      <w:pPr>
        <w:pStyle w:val="8"/>
        <w:spacing w:before="0" w:beforeAutospacing="0" w:after="0" w:afterAutospacing="0" w:line="360" w:lineRule="auto"/>
        <w:ind w:firstLine="420"/>
        <w:rPr>
          <w:sz w:val="21"/>
          <w:szCs w:val="21"/>
        </w:rPr>
      </w:pPr>
      <w:r>
        <w:rPr>
          <w:rFonts w:hint="eastAsia"/>
          <w:sz w:val="21"/>
          <w:szCs w:val="21"/>
        </w:rPr>
        <w:t>50、巨额赎回：指本基金开放期内单个开放日，基金净赎回申请（赎回申请份额总数加上基金转换中转出申请份额总数后扣除申购申请份额总数及基金转换中转入申请份额总数后的余额）超过上一工作日基金总份额的</w:t>
      </w:r>
      <w:bookmarkStart w:id="31" w:name="field_49_mintredeemscale_1"/>
      <w:r>
        <w:rPr>
          <w:sz w:val="21"/>
          <w:szCs w:val="21"/>
        </w:rPr>
        <w:t>20</w:t>
      </w:r>
      <w:bookmarkEnd w:id="31"/>
      <w:r>
        <w:rPr>
          <w:rFonts w:hint="eastAsia"/>
          <w:sz w:val="21"/>
          <w:szCs w:val="21"/>
        </w:rPr>
        <w:t xml:space="preserve">% </w:t>
      </w:r>
    </w:p>
    <w:p w14:paraId="279F6496">
      <w:pPr>
        <w:pStyle w:val="8"/>
        <w:spacing w:before="0" w:beforeAutospacing="0" w:after="0" w:afterAutospacing="0" w:line="360" w:lineRule="auto"/>
        <w:ind w:firstLine="420"/>
        <w:rPr>
          <w:sz w:val="21"/>
          <w:szCs w:val="21"/>
        </w:rPr>
      </w:pPr>
      <w:r>
        <w:rPr>
          <w:rFonts w:hint="eastAsia"/>
          <w:sz w:val="21"/>
          <w:szCs w:val="21"/>
        </w:rPr>
        <w:t xml:space="preserve">51、元：指人民币元 </w:t>
      </w:r>
    </w:p>
    <w:p w14:paraId="3B4050F4">
      <w:pPr>
        <w:pStyle w:val="8"/>
        <w:spacing w:before="0" w:beforeAutospacing="0" w:after="0" w:afterAutospacing="0" w:line="360" w:lineRule="auto"/>
        <w:ind w:firstLine="420"/>
        <w:rPr>
          <w:sz w:val="21"/>
          <w:szCs w:val="21"/>
        </w:rPr>
      </w:pPr>
      <w:r>
        <w:rPr>
          <w:rFonts w:hint="eastAsia"/>
          <w:sz w:val="21"/>
          <w:szCs w:val="21"/>
        </w:rPr>
        <w:t xml:space="preserve">52、基金利润：指基金利息收入、投资收益、其他收入扣除资产减值损失和相关费用后的余额 </w:t>
      </w:r>
    </w:p>
    <w:p w14:paraId="6DA13439">
      <w:pPr>
        <w:pStyle w:val="8"/>
        <w:spacing w:before="0" w:beforeAutospacing="0" w:after="0" w:afterAutospacing="0" w:line="360" w:lineRule="auto"/>
        <w:ind w:firstLine="420"/>
        <w:rPr>
          <w:sz w:val="21"/>
          <w:szCs w:val="21"/>
        </w:rPr>
      </w:pPr>
      <w:r>
        <w:rPr>
          <w:rFonts w:hint="eastAsia"/>
          <w:sz w:val="21"/>
          <w:szCs w:val="21"/>
        </w:rPr>
        <w:t xml:space="preserve">53、基金资产总值：指基金拥有的各类有价证券、银行存款本息、基金应收款项及其他资产的价值总和 </w:t>
      </w:r>
    </w:p>
    <w:p w14:paraId="28E0DF11">
      <w:pPr>
        <w:pStyle w:val="8"/>
        <w:spacing w:before="0" w:beforeAutospacing="0" w:after="0" w:afterAutospacing="0" w:line="360" w:lineRule="auto"/>
        <w:ind w:firstLine="420"/>
        <w:rPr>
          <w:sz w:val="21"/>
          <w:szCs w:val="21"/>
        </w:rPr>
      </w:pPr>
      <w:r>
        <w:rPr>
          <w:rFonts w:hint="eastAsia"/>
          <w:sz w:val="21"/>
          <w:szCs w:val="21"/>
        </w:rPr>
        <w:t xml:space="preserve">54、基金资产净值：指基金资产总值减去基金负债后的价值 </w:t>
      </w:r>
    </w:p>
    <w:p w14:paraId="041AA36D">
      <w:pPr>
        <w:pStyle w:val="8"/>
        <w:spacing w:before="0" w:beforeAutospacing="0" w:after="0" w:afterAutospacing="0" w:line="360" w:lineRule="auto"/>
        <w:ind w:firstLine="420"/>
        <w:rPr>
          <w:sz w:val="21"/>
          <w:szCs w:val="21"/>
        </w:rPr>
      </w:pPr>
      <w:r>
        <w:rPr>
          <w:rFonts w:hint="eastAsia"/>
          <w:sz w:val="21"/>
          <w:szCs w:val="21"/>
        </w:rPr>
        <w:t xml:space="preserve">55、基金份额净值：指计算日基金资产净值除以计算日基金份额总数 </w:t>
      </w:r>
    </w:p>
    <w:p w14:paraId="30DBD084">
      <w:pPr>
        <w:pStyle w:val="8"/>
        <w:spacing w:before="0" w:beforeAutospacing="0" w:after="0" w:afterAutospacing="0" w:line="360" w:lineRule="auto"/>
        <w:ind w:firstLine="420"/>
        <w:rPr>
          <w:sz w:val="21"/>
          <w:szCs w:val="21"/>
        </w:rPr>
      </w:pPr>
      <w:r>
        <w:rPr>
          <w:rFonts w:hint="eastAsia"/>
          <w:sz w:val="21"/>
          <w:szCs w:val="21"/>
        </w:rPr>
        <w:t xml:space="preserve">56、基金资产估值：指计算评估基金资产和负债的价值，以确定基金资产净值和基金份额净值的过程 </w:t>
      </w:r>
    </w:p>
    <w:p w14:paraId="4BD9DFA8">
      <w:pPr>
        <w:pStyle w:val="8"/>
        <w:spacing w:before="0" w:beforeAutospacing="0" w:after="0" w:afterAutospacing="0" w:line="360" w:lineRule="auto"/>
        <w:ind w:firstLine="420"/>
        <w:rPr>
          <w:sz w:val="21"/>
          <w:szCs w:val="21"/>
        </w:rPr>
      </w:pPr>
      <w:r>
        <w:rPr>
          <w:rFonts w:hint="eastAsia"/>
          <w:sz w:val="21"/>
          <w:szCs w:val="21"/>
        </w:rPr>
        <w:t xml:space="preserve">57、指定媒介：指中国证监会指定的用以进行信息披露的全国性报刊及指定互联网网站（包括基金管理人网站、基金托管人网站、中国证监会基金电子披露网站）等媒介 </w:t>
      </w:r>
    </w:p>
    <w:p w14:paraId="48B7663D">
      <w:pPr>
        <w:pStyle w:val="8"/>
        <w:spacing w:before="0" w:beforeAutospacing="0" w:after="0" w:afterAutospacing="0" w:line="360" w:lineRule="auto"/>
        <w:ind w:firstLine="420"/>
        <w:rPr>
          <w:sz w:val="21"/>
          <w:szCs w:val="21"/>
        </w:rPr>
      </w:pPr>
      <w:r>
        <w:rPr>
          <w:rFonts w:hint="eastAsia"/>
          <w:sz w:val="21"/>
          <w:szCs w:val="21"/>
        </w:rPr>
        <w:t xml:space="preserve">58、摊余成本法：指计价对象以买入成本列示，按照票面利率或协议利率并考虑其买入时的溢价与折价，在剩余存续期内按实际利率法进行摊销，每日计提损益 </w:t>
      </w:r>
    </w:p>
    <w:p w14:paraId="6BB33CBD">
      <w:pPr>
        <w:pStyle w:val="8"/>
        <w:spacing w:before="0" w:beforeAutospacing="0" w:after="0" w:afterAutospacing="0" w:line="360" w:lineRule="auto"/>
        <w:ind w:firstLine="420"/>
        <w:rPr>
          <w:sz w:val="21"/>
          <w:szCs w:val="21"/>
        </w:rPr>
      </w:pPr>
      <w:r>
        <w:rPr>
          <w:rFonts w:hint="eastAsia"/>
          <w:sz w:val="21"/>
          <w:szCs w:val="21"/>
        </w:rPr>
        <w:t xml:space="preserve">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190B0D01">
      <w:pPr>
        <w:pStyle w:val="8"/>
        <w:spacing w:before="0" w:beforeAutospacing="0" w:after="0" w:afterAutospacing="0" w:line="360" w:lineRule="auto"/>
        <w:ind w:firstLine="420"/>
        <w:rPr>
          <w:sz w:val="21"/>
          <w:szCs w:val="21"/>
        </w:rPr>
      </w:pPr>
      <w:r>
        <w:rPr>
          <w:rFonts w:hint="eastAsia"/>
          <w:sz w:val="21"/>
          <w:szCs w:val="21"/>
        </w:rPr>
        <w:t xml:space="preserve">60、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 </w:t>
      </w:r>
    </w:p>
    <w:p w14:paraId="0AF11C43">
      <w:pPr>
        <w:pStyle w:val="8"/>
        <w:spacing w:before="0" w:beforeAutospacing="0" w:after="0" w:afterAutospacing="0" w:line="360" w:lineRule="auto"/>
        <w:ind w:firstLine="420"/>
        <w:rPr>
          <w:sz w:val="21"/>
          <w:szCs w:val="21"/>
        </w:rPr>
      </w:pPr>
      <w:r>
        <w:rPr>
          <w:rFonts w:hint="eastAsia"/>
          <w:sz w:val="21"/>
          <w:szCs w:val="21"/>
        </w:rPr>
        <w:t xml:space="preserve">61、不可抗力：指基金合同当事人不能预见、不能避免且不能克服的客观事件 </w:t>
      </w:r>
    </w:p>
    <w:p w14:paraId="2EF0C426">
      <w:pPr>
        <w:pStyle w:val="8"/>
        <w:spacing w:before="0" w:beforeAutospacing="0" w:after="0" w:afterAutospacing="0" w:line="360" w:lineRule="auto"/>
        <w:ind w:firstLine="420"/>
        <w:rPr>
          <w:sz w:val="21"/>
          <w:szCs w:val="21"/>
        </w:rPr>
      </w:pPr>
      <w:r>
        <w:rPr>
          <w:rFonts w:hint="eastAsia"/>
          <w:sz w:val="21"/>
          <w:szCs w:val="21"/>
        </w:rPr>
        <w:t xml:space="preserve">62、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35980959">
      <w:pPr>
        <w:pStyle w:val="8"/>
        <w:spacing w:before="0" w:beforeAutospacing="0" w:after="0" w:afterAutospacing="0" w:line="360" w:lineRule="auto"/>
        <w:ind w:firstLine="420"/>
        <w:rPr>
          <w:sz w:val="21"/>
          <w:szCs w:val="21"/>
        </w:rPr>
      </w:pPr>
      <w:r>
        <w:rPr>
          <w:rFonts w:hint="eastAsia"/>
          <w:sz w:val="21"/>
          <w:szCs w:val="21"/>
        </w:rPr>
        <w:t>63、特定资产：包括：（一）无可参考的活跃市场价格且采用估值技术仍导致公允价值存在重大不确定性的资产；（二）按摊余成本计量且计提资产减值准备仍导致资产价值存在</w:t>
      </w:r>
      <w:bookmarkStart w:id="32" w:name="chapter_level1_4_49_section_2_end"/>
      <w:bookmarkEnd w:id="32"/>
      <w:r>
        <w:rPr>
          <w:rFonts w:hint="eastAsia"/>
          <w:sz w:val="21"/>
          <w:szCs w:val="21"/>
        </w:rPr>
        <w:t xml:space="preserve">重大不确定性的资产；（三）其他资产价值存在重大不确定性的资产 </w:t>
      </w:r>
    </w:p>
    <w:p w14:paraId="10AC6801">
      <w:pPr>
        <w:widowControl/>
        <w:jc w:val="left"/>
        <w:rPr>
          <w:rFonts w:ascii="宋体" w:hAnsi="宋体" w:eastAsia="宋体"/>
        </w:rPr>
      </w:pPr>
      <w:r>
        <w:rPr>
          <w:rFonts w:ascii="宋体" w:hAnsi="宋体" w:eastAsia="宋体"/>
        </w:rPr>
        <w:br w:type="page"/>
      </w:r>
    </w:p>
    <w:p w14:paraId="0F04F4E4">
      <w:pPr>
        <w:pStyle w:val="2"/>
        <w:jc w:val="center"/>
        <w:rPr>
          <w:rFonts w:ascii="宋体" w:hAnsi="宋体" w:eastAsia="宋体"/>
          <w:sz w:val="30"/>
        </w:rPr>
      </w:pPr>
      <w:bookmarkStart w:id="33" w:name="_Toc207948764"/>
      <w:bookmarkStart w:id="34" w:name="chapter_level1_5_53"/>
      <w:r>
        <w:rPr>
          <w:rFonts w:hint="eastAsia" w:ascii="宋体" w:hAnsi="宋体" w:eastAsia="宋体"/>
          <w:sz w:val="30"/>
        </w:rPr>
        <w:t>第三部分  基金管理人</w:t>
      </w:r>
      <w:bookmarkEnd w:id="33"/>
      <w:bookmarkEnd w:id="34"/>
    </w:p>
    <w:p w14:paraId="18CBEC3D">
      <w:pPr>
        <w:pStyle w:val="8"/>
        <w:spacing w:before="0" w:beforeAutospacing="0" w:after="0" w:afterAutospacing="0" w:line="360" w:lineRule="auto"/>
        <w:ind w:firstLine="420"/>
        <w:rPr>
          <w:sz w:val="21"/>
          <w:szCs w:val="21"/>
          <w:highlight w:val="none"/>
        </w:rPr>
      </w:pPr>
      <w:bookmarkStart w:id="35" w:name="chapter_level1_5_53_section_1"/>
      <w:bookmarkEnd w:id="35"/>
      <w:r>
        <w:rPr>
          <w:rStyle w:val="12"/>
          <w:rFonts w:hint="eastAsia"/>
          <w:sz w:val="21"/>
          <w:szCs w:val="21"/>
          <w:highlight w:val="none"/>
        </w:rPr>
        <w:t>一、基金管理人概况</w:t>
      </w:r>
    </w:p>
    <w:p w14:paraId="6280068D">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490011E4">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4828A403">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30791F28">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7DE88F90">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67B58004">
      <w:pPr>
        <w:pStyle w:val="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4B8B65E2">
      <w:pPr>
        <w:pStyle w:val="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35BCAB92">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237240FC">
      <w:pPr>
        <w:pStyle w:val="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51FEA493">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675D82A0">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0616A0E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224358A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282D54B0">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57328893">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419D7DB3">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0ED20243">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6D87C04D">
      <w:pPr>
        <w:pStyle w:val="8"/>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3939574C">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4A2430A1">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58409C3D">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538D653">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3C05F21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0292C716">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05761942">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18192C13">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378C847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w:t>
      </w:r>
      <w:r>
        <w:rPr>
          <w:rFonts w:hint="eastAsia"/>
          <w:sz w:val="21"/>
          <w:szCs w:val="21"/>
          <w:highlight w:val="none"/>
        </w:rPr>
        <w:t>简历同上。</w:t>
      </w:r>
    </w:p>
    <w:p w14:paraId="142C7FFD">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p w14:paraId="0991E3B7">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0757DDE0">
      <w:pPr>
        <w:pStyle w:val="8"/>
        <w:spacing w:before="0" w:beforeAutospacing="0" w:after="0" w:afterAutospacing="0" w:line="360" w:lineRule="auto"/>
        <w:ind w:firstLine="420"/>
        <w:rPr>
          <w:sz w:val="21"/>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xml:space="preserve"> </w:t>
      </w:r>
      <w:bookmarkStart w:id="36" w:name="field_0_managerpersoninfo_1_end"/>
      <w:bookmarkEnd w:id="36"/>
      <w:r>
        <w:rPr>
          <w:rFonts w:hint="eastAsia"/>
          <w:sz w:val="21"/>
          <w:szCs w:val="21"/>
        </w:rPr>
        <w:t xml:space="preserve">  </w:t>
      </w:r>
    </w:p>
    <w:p w14:paraId="32C54977">
      <w:pPr>
        <w:pStyle w:val="8"/>
        <w:spacing w:before="0" w:beforeAutospacing="0" w:after="0" w:afterAutospacing="0" w:line="360" w:lineRule="auto"/>
        <w:ind w:firstLine="420"/>
        <w:rPr>
          <w:sz w:val="21"/>
          <w:szCs w:val="21"/>
        </w:rPr>
      </w:pPr>
      <w:bookmarkStart w:id="37" w:name="chapter_level1_5_53_section_2"/>
      <w:bookmarkEnd w:id="37"/>
      <w:r>
        <w:rPr>
          <w:rFonts w:hint="eastAsia"/>
          <w:sz w:val="21"/>
          <w:szCs w:val="21"/>
        </w:rPr>
        <w:t xml:space="preserve">4、本基金基金经理 </w:t>
      </w:r>
    </w:p>
    <w:p w14:paraId="407D3D53">
      <w:pPr>
        <w:pStyle w:val="8"/>
        <w:spacing w:before="0" w:beforeAutospacing="0" w:after="0" w:afterAutospacing="0" w:line="360" w:lineRule="auto"/>
        <w:ind w:firstLine="420"/>
        <w:rPr>
          <w:rFonts w:hint="eastAsia"/>
          <w:sz w:val="21"/>
          <w:szCs w:val="21"/>
        </w:rPr>
      </w:pPr>
      <w:bookmarkStart w:id="38" w:name="field_0_fundmanagerresume_1_start"/>
      <w:bookmarkEnd w:id="38"/>
      <w:bookmarkStart w:id="39" w:name="field_0_fundmanagershis_1_start"/>
      <w:bookmarkEnd w:id="39"/>
      <w:r>
        <w:rPr>
          <w:rFonts w:hint="eastAsia"/>
          <w:sz w:val="21"/>
          <w:szCs w:val="21"/>
        </w:rPr>
        <w:t>郭思洁先生，硕士。2011年至2014年在中山证券工作。2014年加入博时基金管理有限公司。历任交易员、高级交易员、基金经理助理、博时裕盛纯债债券型证券投资基金(2020年5月13日-2021年10月27日)、博时富华纯债债券型证券投资基金(2020年5月13日-2021年10月27日)、博时裕泉纯债债券型证券投资基金(2020年5月13日-2021年10月27日)、博时裕发纯债债券型证券投资基金(2020年7月20日-2021年10月27日)、博时裕瑞纯债债券型证券投资基金(2020年5月13日-2022年2月17日)、博时裕创纯债债券型证券投资基金(2020年5月13日-2022年2月17日)、博时裕昂纯债债券型证券投资基金(2020年5月13日-2022年2月17日)、博时裕泰纯债债券型证券投资基金(2020年5月13日-2022年2月17日)、博时丰庆纯债债券型证券投资基金(2020年7月20日-2022年2月17日)、博时富发纯债债券型证券投资基金(2020年5月13日-2023年7月26日)、博时丰达纯债6个月定期开放债券型发起式证券投资基金(2021年2月5日-2024年4月9日)、博时裕坤纯债3个月定期开放债券型发起式证券投资基金(2020年5月13日-2025年5月16日)、博时裕恒纯债债券型证券投资基金(2020年5月13日-2025年5月27日)、博时裕嘉纯债3个月定期开放债券型发起式证券投资基金(2021年2月5日-2026年4月14日)、博时裕诚纯债债券型证券投资基金(2020年5月13日-2026年5月12日)的基金经理。现任博时裕荣纯债债券型证券投资基金(2020年5月13日—至今)、博时富丰纯债3个月定期开放债券型发起式证券投资基金(2020年7月20日—至今)、博时裕新纯债债券型证券投资基金(2020年7月20日—至今)、博时富腾纯债债券型证券投资基金(2020年7月20日—至今)、博时悦楚纯债债券型证券投资基金(2021年2月5日—至今)、博时稳欣39个月定期开放债券型证券投资基金(2021年2月25日—至今)、博时富淳纯债3个月定期开放债券型发起式证券投资基金(2021年2月25日—至今)、博时双月享60天滚动持有债券型证券投资基金(2022年11月22日—至今)、博时安悦短债债券型证券投资基金(2024年5月20日—至今)、博时季季享三个月持有期债券型证券投资基金(2025年9月19日—至今)的基金经理。</w:t>
      </w:r>
    </w:p>
    <w:p w14:paraId="465CFA89">
      <w:pPr>
        <w:pStyle w:val="8"/>
        <w:spacing w:before="0" w:beforeAutospacing="0" w:after="0" w:afterAutospacing="0" w:line="360" w:lineRule="auto"/>
        <w:ind w:firstLine="420"/>
        <w:rPr>
          <w:sz w:val="21"/>
          <w:szCs w:val="21"/>
        </w:rPr>
      </w:pPr>
      <w:r>
        <w:rPr>
          <w:rFonts w:hint="eastAsia"/>
          <w:sz w:val="21"/>
          <w:szCs w:val="21"/>
        </w:rPr>
        <w:t>本基金历任基金经理：倪玉娟（2019年11月19日-2021年2月</w:t>
      </w:r>
      <w:bookmarkStart w:id="40" w:name="chapter_level1_5_53_section_2_end"/>
      <w:bookmarkEnd w:id="40"/>
      <w:r>
        <w:rPr>
          <w:rFonts w:hint="eastAsia"/>
          <w:sz w:val="21"/>
          <w:szCs w:val="21"/>
        </w:rPr>
        <w:t>25日）、黄海峰（2021年2月25日-2024年5月23日）。</w:t>
      </w:r>
      <w:bookmarkStart w:id="41" w:name="field_0_fundmanagershis_1_end"/>
      <w:bookmarkEnd w:id="41"/>
      <w:r>
        <w:rPr>
          <w:rFonts w:hint="eastAsia"/>
          <w:sz w:val="21"/>
          <w:szCs w:val="21"/>
        </w:rPr>
        <w:t xml:space="preserve">  </w:t>
      </w:r>
    </w:p>
    <w:p w14:paraId="3483C8BF">
      <w:pPr>
        <w:pStyle w:val="8"/>
        <w:spacing w:before="0" w:beforeAutospacing="0" w:after="0" w:afterAutospacing="0" w:line="360" w:lineRule="auto"/>
        <w:ind w:firstLine="420"/>
        <w:rPr>
          <w:rFonts w:hint="eastAsia"/>
          <w:sz w:val="21"/>
          <w:szCs w:val="21"/>
        </w:rPr>
      </w:pPr>
      <w:bookmarkStart w:id="42" w:name="chapter_level1_5_53_section_3"/>
      <w:bookmarkEnd w:id="42"/>
      <w:bookmarkStart w:id="43" w:name="field_0_managerpersoninfo2_1_start"/>
      <w:bookmarkEnd w:id="43"/>
      <w:r>
        <w:rPr>
          <w:rFonts w:hint="eastAsia"/>
          <w:sz w:val="21"/>
          <w:szCs w:val="21"/>
        </w:rPr>
        <w:t xml:space="preserve">4、投资决策委员会成员 </w:t>
      </w:r>
    </w:p>
    <w:p w14:paraId="695307AD">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47AD745D">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50A41CA0">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2A3192B2">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66D8FB49">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6D37DA6D">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4D5FDD04">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0709F38F">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4137EDCF">
      <w:pPr>
        <w:pStyle w:val="8"/>
        <w:spacing w:before="0" w:beforeAutospacing="0" w:after="0" w:afterAutospacing="0" w:line="360" w:lineRule="auto"/>
        <w:ind w:firstLine="420"/>
        <w:rPr>
          <w:sz w:val="21"/>
          <w:szCs w:val="21"/>
        </w:rPr>
      </w:pPr>
      <w:r>
        <w:rPr>
          <w:rFonts w:hint="eastAsia"/>
          <w:sz w:val="21"/>
          <w:szCs w:val="21"/>
        </w:rPr>
        <w:t xml:space="preserve">5、上述人员之间均不存在近亲属关系。  </w:t>
      </w:r>
    </w:p>
    <w:p w14:paraId="7192BDC0">
      <w:pPr>
        <w:pStyle w:val="8"/>
        <w:spacing w:before="0" w:beforeAutospacing="0" w:after="0" w:afterAutospacing="0" w:line="360" w:lineRule="auto"/>
        <w:ind w:firstLine="420"/>
        <w:rPr>
          <w:sz w:val="21"/>
          <w:szCs w:val="21"/>
        </w:rPr>
      </w:pPr>
      <w:bookmarkStart w:id="44" w:name="chapter_level1_5_53_section_4"/>
      <w:bookmarkEnd w:id="44"/>
      <w:r>
        <w:rPr>
          <w:rStyle w:val="12"/>
          <w:rFonts w:hint="eastAsia"/>
          <w:sz w:val="21"/>
          <w:szCs w:val="21"/>
        </w:rPr>
        <w:t>三、基金管理人的职责</w:t>
      </w:r>
    </w:p>
    <w:p w14:paraId="51C4FF06">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1E795BA0">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78E5EBC9">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AA2BCDB">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960D81B">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479646EE">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D6D5FD4">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65D73AEE">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78F341C7">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B3E18D3">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208A7AA0">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1FBA8C8">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0FE4717E">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5DDEBC28">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3A35C08D">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25A95607">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38353263">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3A1E2A5">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6D3DF47A">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6B336127">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21E82005">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33E53645">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465B36B0">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5732A839">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08191AAC">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138B195E">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34FEA138">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344374E8">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2957EBDA">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78D1C056">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21FB0D0B">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2D77075B">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47AE88FD">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505EECE4">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0322E39F">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14:paraId="3F98B726">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68D844BA">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28B711E9">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3FF6DB70">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3DDB7643">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0CFA43A8">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37FEF5DA">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59804493">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00342E9C">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258BB020">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0FBFC395">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782F68E9">
      <w:pPr>
        <w:pStyle w:val="8"/>
        <w:spacing w:before="0" w:beforeAutospacing="0" w:after="0" w:afterAutospacing="0" w:line="360" w:lineRule="auto"/>
        <w:ind w:firstLine="420"/>
        <w:rPr>
          <w:sz w:val="21"/>
          <w:szCs w:val="21"/>
        </w:rPr>
      </w:pPr>
      <w:r>
        <w:rPr>
          <w:rStyle w:val="12"/>
          <w:rFonts w:hint="eastAsia"/>
          <w:sz w:val="21"/>
          <w:szCs w:val="21"/>
        </w:rPr>
        <w:t>六、基金管理人的内部控制制度</w:t>
      </w:r>
    </w:p>
    <w:p w14:paraId="66AAAB4A">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14:paraId="71C56659">
      <w:pPr>
        <w:pStyle w:val="8"/>
        <w:spacing w:before="0" w:beforeAutospacing="0" w:after="0" w:afterAutospacing="0" w:line="360" w:lineRule="auto"/>
        <w:ind w:firstLine="420"/>
        <w:rPr>
          <w:rFonts w:hint="eastAsia"/>
          <w:sz w:val="21"/>
          <w:szCs w:val="21"/>
        </w:rPr>
      </w:pPr>
      <w:r>
        <w:rPr>
          <w:rFonts w:hint="eastAsia"/>
          <w:sz w:val="21"/>
          <w:szCs w:val="21"/>
        </w:rPr>
        <w:t>（1）全面性原则</w:t>
      </w:r>
    </w:p>
    <w:p w14:paraId="26CA6CCC">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19FE4231">
      <w:pPr>
        <w:pStyle w:val="8"/>
        <w:spacing w:before="0" w:beforeAutospacing="0" w:after="0" w:afterAutospacing="0" w:line="360" w:lineRule="auto"/>
        <w:ind w:firstLine="420"/>
        <w:rPr>
          <w:rFonts w:hint="eastAsia"/>
          <w:sz w:val="21"/>
          <w:szCs w:val="21"/>
        </w:rPr>
      </w:pPr>
      <w:r>
        <w:rPr>
          <w:rFonts w:hint="eastAsia"/>
          <w:sz w:val="21"/>
          <w:szCs w:val="21"/>
        </w:rPr>
        <w:t>（2）独立性原则</w:t>
      </w:r>
    </w:p>
    <w:p w14:paraId="2693D63B">
      <w:pPr>
        <w:pStyle w:val="8"/>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6DEE3BFA">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14:paraId="441FD2F0">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0FB90E3E">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3A8209BE">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3E106DD1">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7EFC2C70">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52F84460">
      <w:pPr>
        <w:pStyle w:val="8"/>
        <w:spacing w:before="0" w:beforeAutospacing="0" w:after="0" w:afterAutospacing="0" w:line="360" w:lineRule="auto"/>
        <w:ind w:firstLine="420"/>
        <w:rPr>
          <w:rFonts w:hint="eastAsia"/>
          <w:sz w:val="21"/>
          <w:szCs w:val="21"/>
        </w:rPr>
      </w:pPr>
      <w:r>
        <w:rPr>
          <w:rFonts w:hint="eastAsia"/>
          <w:sz w:val="21"/>
          <w:szCs w:val="21"/>
        </w:rPr>
        <w:t>（1）董事会</w:t>
      </w:r>
    </w:p>
    <w:p w14:paraId="256F2724">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2CCA5167">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14:paraId="26EA5450">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4701E157">
      <w:pPr>
        <w:pStyle w:val="8"/>
        <w:spacing w:before="0" w:beforeAutospacing="0" w:after="0" w:afterAutospacing="0" w:line="360" w:lineRule="auto"/>
        <w:ind w:firstLine="420"/>
        <w:rPr>
          <w:rFonts w:hint="eastAsia"/>
          <w:sz w:val="21"/>
          <w:szCs w:val="21"/>
        </w:rPr>
      </w:pPr>
      <w:r>
        <w:rPr>
          <w:rFonts w:hint="eastAsia"/>
          <w:sz w:val="21"/>
          <w:szCs w:val="21"/>
        </w:rPr>
        <w:t>（3）督察长</w:t>
      </w:r>
    </w:p>
    <w:p w14:paraId="49E42B5E">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4C6906CC">
      <w:pPr>
        <w:pStyle w:val="8"/>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54DF3854">
      <w:pPr>
        <w:pStyle w:val="8"/>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273D955C">
      <w:pPr>
        <w:pStyle w:val="8"/>
        <w:spacing w:before="0" w:beforeAutospacing="0" w:after="0" w:afterAutospacing="0" w:line="360" w:lineRule="auto"/>
        <w:ind w:firstLine="420"/>
        <w:rPr>
          <w:rFonts w:hint="eastAsia"/>
          <w:sz w:val="21"/>
          <w:szCs w:val="21"/>
        </w:rPr>
      </w:pPr>
      <w:r>
        <w:rPr>
          <w:rFonts w:hint="eastAsia"/>
          <w:sz w:val="21"/>
          <w:szCs w:val="21"/>
        </w:rPr>
        <w:t>（5）风险管理部</w:t>
      </w:r>
    </w:p>
    <w:p w14:paraId="27CD59B3">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4E57FA36">
      <w:pPr>
        <w:pStyle w:val="8"/>
        <w:spacing w:before="0" w:beforeAutospacing="0" w:after="0" w:afterAutospacing="0" w:line="360" w:lineRule="auto"/>
        <w:ind w:firstLine="420"/>
        <w:rPr>
          <w:rFonts w:hint="eastAsia"/>
          <w:sz w:val="21"/>
          <w:szCs w:val="21"/>
        </w:rPr>
      </w:pPr>
      <w:r>
        <w:rPr>
          <w:rFonts w:hint="eastAsia"/>
          <w:sz w:val="21"/>
          <w:szCs w:val="21"/>
        </w:rPr>
        <w:t>（6）业务部门</w:t>
      </w:r>
    </w:p>
    <w:p w14:paraId="76AA3C56">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147644A3">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72B9297F">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34EA62B6">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1F7B9394">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25778A88">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751E03BD">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14:paraId="2F6A6757">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72AD67D0">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1E979D83">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62E91C23">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2069830B">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68214D9A">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0259F26E">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30299B37">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14:paraId="31187C5F">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14:paraId="4609DA3E">
      <w:pPr>
        <w:widowControl/>
        <w:jc w:val="left"/>
        <w:rPr>
          <w:rFonts w:ascii="宋体" w:hAnsi="宋体" w:eastAsia="宋体"/>
        </w:rPr>
      </w:pPr>
      <w:r>
        <w:rPr>
          <w:rFonts w:ascii="宋体" w:hAnsi="宋体" w:eastAsia="宋体"/>
        </w:rPr>
        <w:br w:type="page"/>
      </w:r>
    </w:p>
    <w:p w14:paraId="47DF2976">
      <w:pPr>
        <w:pStyle w:val="2"/>
        <w:jc w:val="center"/>
        <w:rPr>
          <w:rFonts w:ascii="宋体" w:hAnsi="宋体" w:eastAsia="宋体"/>
          <w:sz w:val="30"/>
        </w:rPr>
      </w:pPr>
      <w:bookmarkStart w:id="45" w:name="chapter_level1_6_55"/>
      <w:bookmarkStart w:id="46" w:name="_Toc207948765"/>
      <w:r>
        <w:rPr>
          <w:rFonts w:hint="eastAsia" w:ascii="宋体" w:hAnsi="宋体" w:eastAsia="宋体"/>
          <w:sz w:val="30"/>
        </w:rPr>
        <w:t>第四部分  基金托管人</w:t>
      </w:r>
      <w:bookmarkEnd w:id="45"/>
      <w:bookmarkEnd w:id="46"/>
    </w:p>
    <w:p w14:paraId="41A59CD2">
      <w:pPr>
        <w:keepNext w:val="0"/>
        <w:keepLines w:val="0"/>
        <w:pageBreakBefore w:val="0"/>
        <w:widowControl w:val="0"/>
        <w:kinsoku/>
        <w:wordWrap/>
        <w:overflowPunct/>
        <w:topLinePunct w:val="0"/>
        <w:bidi w:val="0"/>
        <w:adjustRightInd/>
        <w:snapToGrid/>
        <w:spacing w:line="360" w:lineRule="auto"/>
        <w:textAlignment w:val="auto"/>
        <w:rPr>
          <w:b/>
          <w:sz w:val="21"/>
          <w:szCs w:val="21"/>
        </w:rPr>
      </w:pPr>
      <w:bookmarkStart w:id="47" w:name="field_0_trustcompanyinfo_1_start"/>
      <w:bookmarkEnd w:id="47"/>
      <w:bookmarkStart w:id="48" w:name="chapter_level1_6_55_section_1"/>
      <w:bookmarkEnd w:id="48"/>
      <w:r>
        <w:rPr>
          <w:rFonts w:hint="eastAsia"/>
          <w:b/>
          <w:sz w:val="21"/>
          <w:szCs w:val="21"/>
          <w:lang w:val="en-US" w:eastAsia="zh-CN"/>
        </w:rPr>
        <w:t>一、</w:t>
      </w:r>
      <w:r>
        <w:rPr>
          <w:rFonts w:hint="eastAsia"/>
          <w:b/>
          <w:sz w:val="21"/>
          <w:szCs w:val="21"/>
        </w:rPr>
        <w:t>基金托管人概况</w:t>
      </w:r>
    </w:p>
    <w:p w14:paraId="6B24FB54">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本基金托管人为上海浦东发展银行股份有限公司，基本信息如下：</w:t>
      </w:r>
    </w:p>
    <w:p w14:paraId="1B7E3115">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名称：上海浦东发展银行股份有限公司</w:t>
      </w:r>
    </w:p>
    <w:p w14:paraId="769902B2">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注册地址：上海市中山东一路12号</w:t>
      </w:r>
    </w:p>
    <w:p w14:paraId="7C58B4A2">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办公地址：上海市博成路1388号浦银中心A栋</w:t>
      </w:r>
    </w:p>
    <w:p w14:paraId="6D805A2B">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法定代表人：张为忠</w:t>
      </w:r>
    </w:p>
    <w:p w14:paraId="54E4D0BB">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成立时间：1992年10月19日</w:t>
      </w:r>
    </w:p>
    <w:p w14:paraId="2CBE6BE2">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14:paraId="67798485">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组织形式：股份有限公司（上市）</w:t>
      </w:r>
    </w:p>
    <w:p w14:paraId="40B6EEAC">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注册资本：</w:t>
      </w:r>
      <w:r>
        <w:rPr>
          <w:sz w:val="21"/>
          <w:szCs w:val="21"/>
        </w:rPr>
        <w:t>293.52</w:t>
      </w:r>
      <w:r>
        <w:rPr>
          <w:rFonts w:hint="eastAsia"/>
          <w:sz w:val="21"/>
          <w:szCs w:val="21"/>
        </w:rPr>
        <w:t>亿元人民币</w:t>
      </w:r>
    </w:p>
    <w:p w14:paraId="0C1468FF">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存续期间：持续经营</w:t>
      </w:r>
    </w:p>
    <w:p w14:paraId="25D43805">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基金托管资格批文及文号：中国证监会证监基金字[2003]105号</w:t>
      </w:r>
    </w:p>
    <w:p w14:paraId="6E1D9FE0">
      <w:pPr>
        <w:keepNext w:val="0"/>
        <w:keepLines w:val="0"/>
        <w:pageBreakBefore w:val="0"/>
        <w:widowControl w:val="0"/>
        <w:kinsoku/>
        <w:wordWrap/>
        <w:overflowPunct/>
        <w:topLinePunct w:val="0"/>
        <w:bidi w:val="0"/>
        <w:adjustRightInd/>
        <w:snapToGrid/>
        <w:spacing w:line="360" w:lineRule="auto"/>
        <w:textAlignment w:val="auto"/>
        <w:rPr>
          <w:rFonts w:hint="eastAsia" w:eastAsiaTheme="minorEastAsia"/>
          <w:sz w:val="21"/>
          <w:szCs w:val="21"/>
          <w:lang w:eastAsia="zh-CN"/>
        </w:rPr>
      </w:pPr>
      <w:r>
        <w:rPr>
          <w:rFonts w:hint="eastAsia"/>
          <w:sz w:val="21"/>
          <w:szCs w:val="21"/>
        </w:rPr>
        <w:t>联系人：</w:t>
      </w:r>
      <w:r>
        <w:rPr>
          <w:rFonts w:hint="eastAsia"/>
          <w:sz w:val="21"/>
          <w:szCs w:val="21"/>
          <w:lang w:eastAsia="zh-CN"/>
        </w:rPr>
        <w:t>汪小敏</w:t>
      </w:r>
    </w:p>
    <w:p w14:paraId="410E1955">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联系电话：（021）31888888</w:t>
      </w:r>
    </w:p>
    <w:p w14:paraId="2C8506A5">
      <w:pPr>
        <w:keepNext w:val="0"/>
        <w:keepLines w:val="0"/>
        <w:pageBreakBefore w:val="0"/>
        <w:widowControl w:val="0"/>
        <w:kinsoku/>
        <w:wordWrap/>
        <w:overflowPunct/>
        <w:topLinePunct w:val="0"/>
        <w:bidi w:val="0"/>
        <w:adjustRightInd/>
        <w:snapToGrid/>
        <w:spacing w:line="360" w:lineRule="auto"/>
        <w:ind w:firstLine="420" w:firstLineChars="200"/>
        <w:textAlignment w:val="auto"/>
        <w:rPr>
          <w:sz w:val="21"/>
          <w:szCs w:val="21"/>
        </w:rPr>
      </w:pPr>
      <w:r>
        <w:rPr>
          <w:rFonts w:hint="eastAsia"/>
          <w:sz w:val="21"/>
          <w:szCs w:val="21"/>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14:paraId="7D871C05">
      <w:pPr>
        <w:keepNext w:val="0"/>
        <w:keepLines w:val="0"/>
        <w:pageBreakBefore w:val="0"/>
        <w:widowControl w:val="0"/>
        <w:kinsoku/>
        <w:wordWrap/>
        <w:overflowPunct/>
        <w:topLinePunct w:val="0"/>
        <w:bidi w:val="0"/>
        <w:adjustRightInd/>
        <w:snapToGrid/>
        <w:spacing w:line="360" w:lineRule="auto"/>
        <w:ind w:firstLine="560"/>
        <w:textAlignment w:val="auto"/>
        <w:rPr>
          <w:kern w:val="0"/>
          <w:sz w:val="21"/>
          <w:szCs w:val="21"/>
        </w:rPr>
      </w:pPr>
      <w:r>
        <w:rPr>
          <w:rFonts w:hint="eastAsia" w:ascii="宋体" w:hAnsi="宋体"/>
          <w:sz w:val="21"/>
          <w:szCs w:val="21"/>
        </w:rPr>
        <w:t>上海浦东发展银行总行于</w:t>
      </w:r>
      <w:r>
        <w:rPr>
          <w:sz w:val="21"/>
          <w:szCs w:val="21"/>
        </w:rPr>
        <w:t>2003</w:t>
      </w:r>
      <w:r>
        <w:rPr>
          <w:rFonts w:hint="eastAsia" w:ascii="宋体" w:hAnsi="宋体"/>
          <w:sz w:val="21"/>
          <w:szCs w:val="21"/>
        </w:rPr>
        <w:t>年设立基金托管部，</w:t>
      </w:r>
      <w:r>
        <w:rPr>
          <w:sz w:val="21"/>
          <w:szCs w:val="21"/>
        </w:rPr>
        <w:t>2005</w:t>
      </w:r>
      <w:r>
        <w:rPr>
          <w:rFonts w:hint="eastAsia" w:ascii="宋体" w:hAnsi="宋体"/>
          <w:sz w:val="21"/>
          <w:szCs w:val="21"/>
        </w:rPr>
        <w:t>年更名为资产托管部，</w:t>
      </w:r>
      <w:r>
        <w:rPr>
          <w:sz w:val="21"/>
          <w:szCs w:val="21"/>
        </w:rPr>
        <w:t>2013</w:t>
      </w:r>
      <w:r>
        <w:rPr>
          <w:rFonts w:hint="eastAsia" w:ascii="宋体" w:hAnsi="宋体"/>
          <w:sz w:val="21"/>
          <w:szCs w:val="21"/>
        </w:rPr>
        <w:t>年更名为资产托管与养老金业务部，</w:t>
      </w:r>
      <w:r>
        <w:rPr>
          <w:sz w:val="21"/>
          <w:szCs w:val="21"/>
        </w:rPr>
        <w:t>2016</w:t>
      </w:r>
      <w:r>
        <w:rPr>
          <w:rFonts w:hint="eastAsia" w:ascii="宋体" w:hAnsi="宋体"/>
          <w:sz w:val="21"/>
          <w:szCs w:val="21"/>
        </w:rPr>
        <w:t>年进行组织架构优化调整，并更名为资产托管部，目前下设证券托管处、客户资产托管处、养老金业务处、内控管理处、业务保障处、总行资产托管运营中心（含合肥分中心）六个职能处室。</w:t>
      </w:r>
    </w:p>
    <w:p w14:paraId="4E130760">
      <w:pPr>
        <w:keepNext w:val="0"/>
        <w:keepLines w:val="0"/>
        <w:pageBreakBefore w:val="0"/>
        <w:widowControl w:val="0"/>
        <w:kinsoku/>
        <w:wordWrap/>
        <w:overflowPunct/>
        <w:topLinePunct w:val="0"/>
        <w:bidi w:val="0"/>
        <w:adjustRightInd/>
        <w:snapToGrid/>
        <w:spacing w:line="360" w:lineRule="auto"/>
        <w:ind w:firstLine="420" w:firstLineChars="200"/>
        <w:textAlignment w:val="auto"/>
        <w:rPr>
          <w:sz w:val="21"/>
          <w:szCs w:val="21"/>
        </w:rPr>
      </w:pPr>
      <w:r>
        <w:rPr>
          <w:rFonts w:hint="eastAsia"/>
          <w:sz w:val="21"/>
          <w:szCs w:val="21"/>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14:paraId="6D5486C9">
      <w:pPr>
        <w:keepNext w:val="0"/>
        <w:keepLines w:val="0"/>
        <w:pageBreakBefore w:val="0"/>
        <w:widowControl w:val="0"/>
        <w:kinsoku/>
        <w:wordWrap/>
        <w:overflowPunct/>
        <w:topLinePunct w:val="0"/>
        <w:bidi w:val="0"/>
        <w:adjustRightInd/>
        <w:snapToGrid/>
        <w:spacing w:line="360" w:lineRule="auto"/>
        <w:textAlignment w:val="auto"/>
        <w:rPr>
          <w:b/>
          <w:sz w:val="21"/>
          <w:szCs w:val="21"/>
        </w:rPr>
      </w:pPr>
      <w:r>
        <w:rPr>
          <w:rFonts w:hint="eastAsia"/>
          <w:b/>
          <w:sz w:val="21"/>
          <w:szCs w:val="21"/>
          <w:lang w:val="en-US" w:eastAsia="zh-CN"/>
        </w:rPr>
        <w:t>二、</w:t>
      </w:r>
      <w:r>
        <w:rPr>
          <w:rFonts w:hint="eastAsia"/>
          <w:b/>
          <w:sz w:val="21"/>
          <w:szCs w:val="21"/>
        </w:rPr>
        <w:t>主要人员情况</w:t>
      </w:r>
    </w:p>
    <w:p w14:paraId="45110E72">
      <w:pPr>
        <w:keepNext w:val="0"/>
        <w:keepLines w:val="0"/>
        <w:pageBreakBefore w:val="0"/>
        <w:widowControl w:val="0"/>
        <w:kinsoku/>
        <w:wordWrap/>
        <w:overflowPunct/>
        <w:topLinePunct w:val="0"/>
        <w:bidi w:val="0"/>
        <w:adjustRightInd/>
        <w:snapToGrid/>
        <w:spacing w:line="360" w:lineRule="auto"/>
        <w:ind w:firstLine="420" w:firstLineChars="200"/>
        <w:textAlignment w:val="auto"/>
        <w:rPr>
          <w:sz w:val="21"/>
          <w:szCs w:val="21"/>
        </w:rPr>
      </w:pPr>
      <w:r>
        <w:rPr>
          <w:rFonts w:hint="eastAsia"/>
          <w:sz w:val="21"/>
          <w:szCs w:val="21"/>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14:paraId="5FCF22E7">
      <w:pPr>
        <w:keepNext w:val="0"/>
        <w:keepLines w:val="0"/>
        <w:pageBreakBefore w:val="0"/>
        <w:widowControl w:val="0"/>
        <w:kinsoku/>
        <w:wordWrap/>
        <w:overflowPunct/>
        <w:topLinePunct w:val="0"/>
        <w:bidi w:val="0"/>
        <w:adjustRightInd/>
        <w:snapToGrid/>
        <w:spacing w:line="360" w:lineRule="auto"/>
        <w:ind w:firstLine="420" w:firstLineChars="200"/>
        <w:textAlignment w:val="auto"/>
        <w:rPr>
          <w:sz w:val="21"/>
          <w:szCs w:val="21"/>
        </w:rPr>
      </w:pPr>
      <w:r>
        <w:rPr>
          <w:rFonts w:hint="eastAsia"/>
          <w:sz w:val="21"/>
          <w:szCs w:val="21"/>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14:paraId="66B2A9A4">
      <w:pPr>
        <w:keepNext w:val="0"/>
        <w:keepLines w:val="0"/>
        <w:pageBreakBefore w:val="0"/>
        <w:widowControl w:val="0"/>
        <w:kinsoku/>
        <w:wordWrap/>
        <w:overflowPunct/>
        <w:topLinePunct w:val="0"/>
        <w:bidi w:val="0"/>
        <w:adjustRightInd/>
        <w:snapToGrid/>
        <w:spacing w:line="360" w:lineRule="auto"/>
        <w:textAlignment w:val="auto"/>
        <w:rPr>
          <w:b/>
          <w:sz w:val="21"/>
          <w:szCs w:val="21"/>
        </w:rPr>
      </w:pPr>
      <w:r>
        <w:rPr>
          <w:rFonts w:hint="eastAsia"/>
          <w:b/>
          <w:sz w:val="21"/>
          <w:szCs w:val="21"/>
          <w:lang w:val="en-US" w:eastAsia="zh-CN"/>
        </w:rPr>
        <w:t>三、</w:t>
      </w:r>
      <w:r>
        <w:rPr>
          <w:rFonts w:hint="eastAsia"/>
          <w:b/>
          <w:sz w:val="21"/>
          <w:szCs w:val="21"/>
        </w:rPr>
        <w:t>基金托管业务经营情况</w:t>
      </w:r>
    </w:p>
    <w:p w14:paraId="53B3CBAB">
      <w:pPr>
        <w:keepNext w:val="0"/>
        <w:keepLines w:val="0"/>
        <w:pageBreakBefore w:val="0"/>
        <w:widowControl w:val="0"/>
        <w:kinsoku/>
        <w:wordWrap/>
        <w:overflowPunct/>
        <w:topLinePunct w:val="0"/>
        <w:autoSpaceDE w:val="0"/>
        <w:autoSpaceDN w:val="0"/>
        <w:bidi w:val="0"/>
        <w:adjustRightInd/>
        <w:snapToGrid/>
        <w:spacing w:line="360" w:lineRule="auto"/>
        <w:ind w:firstLine="420"/>
        <w:jc w:val="left"/>
        <w:textAlignment w:val="auto"/>
        <w:rPr>
          <w:sz w:val="21"/>
          <w:szCs w:val="21"/>
        </w:rPr>
      </w:pPr>
      <w:r>
        <w:rPr>
          <w:sz w:val="21"/>
          <w:szCs w:val="21"/>
        </w:rPr>
        <w:t>截止</w:t>
      </w:r>
      <w:r>
        <w:rPr>
          <w:rFonts w:hint="eastAsia"/>
          <w:sz w:val="21"/>
          <w:szCs w:val="21"/>
        </w:rPr>
        <w:t>202</w:t>
      </w:r>
      <w:r>
        <w:rPr>
          <w:rFonts w:hint="eastAsia"/>
          <w:sz w:val="21"/>
          <w:szCs w:val="21"/>
          <w:lang w:val="en-US" w:eastAsia="zh-CN"/>
        </w:rPr>
        <w:t>6</w:t>
      </w:r>
      <w:r>
        <w:rPr>
          <w:sz w:val="21"/>
          <w:szCs w:val="21"/>
        </w:rPr>
        <w:t>年</w:t>
      </w:r>
      <w:r>
        <w:rPr>
          <w:rFonts w:hint="eastAsia"/>
          <w:sz w:val="21"/>
          <w:szCs w:val="21"/>
          <w:lang w:val="en-US" w:eastAsia="zh-CN"/>
        </w:rPr>
        <w:t>6</w:t>
      </w:r>
      <w:r>
        <w:rPr>
          <w:sz w:val="21"/>
          <w:szCs w:val="21"/>
        </w:rPr>
        <w:t>月</w:t>
      </w:r>
      <w:r>
        <w:rPr>
          <w:rFonts w:hint="eastAsia"/>
          <w:sz w:val="21"/>
          <w:szCs w:val="21"/>
          <w:lang w:val="en-US" w:eastAsia="zh-CN"/>
        </w:rPr>
        <w:t>30</w:t>
      </w:r>
      <w:r>
        <w:rPr>
          <w:sz w:val="21"/>
          <w:szCs w:val="21"/>
        </w:rPr>
        <w:t>日，上海浦东发展银行证券投资基金托管规模为</w:t>
      </w:r>
      <w:r>
        <w:rPr>
          <w:rFonts w:hint="eastAsia"/>
          <w:sz w:val="21"/>
          <w:szCs w:val="21"/>
        </w:rPr>
        <w:t>18208.67</w:t>
      </w:r>
      <w:r>
        <w:rPr>
          <w:sz w:val="21"/>
          <w:szCs w:val="21"/>
        </w:rPr>
        <w:t>亿元，</w:t>
      </w:r>
      <w:r>
        <w:rPr>
          <w:rFonts w:hint="eastAsia"/>
          <w:sz w:val="21"/>
          <w:szCs w:val="21"/>
        </w:rPr>
        <w:t>托管证券投资基金共</w:t>
      </w:r>
      <w:r>
        <w:rPr>
          <w:rFonts w:hint="eastAsia"/>
          <w:sz w:val="21"/>
          <w:szCs w:val="21"/>
          <w:lang w:val="en-US" w:eastAsia="zh-CN"/>
        </w:rPr>
        <w:t>560</w:t>
      </w:r>
      <w:r>
        <w:rPr>
          <w:rFonts w:hint="eastAsia"/>
          <w:sz w:val="21"/>
          <w:szCs w:val="21"/>
        </w:rPr>
        <w:t>只。</w:t>
      </w:r>
    </w:p>
    <w:p w14:paraId="2E02C3E4">
      <w:pPr>
        <w:keepNext w:val="0"/>
        <w:keepLines w:val="0"/>
        <w:pageBreakBefore w:val="0"/>
        <w:widowControl w:val="0"/>
        <w:kinsoku/>
        <w:wordWrap/>
        <w:overflowPunct/>
        <w:topLinePunct w:val="0"/>
        <w:bidi w:val="0"/>
        <w:adjustRightInd/>
        <w:snapToGrid/>
        <w:spacing w:line="360" w:lineRule="auto"/>
        <w:textAlignment w:val="auto"/>
        <w:rPr>
          <w:b/>
          <w:sz w:val="21"/>
          <w:szCs w:val="21"/>
        </w:rPr>
      </w:pPr>
      <w:r>
        <w:rPr>
          <w:rFonts w:hint="eastAsia"/>
          <w:b/>
          <w:sz w:val="21"/>
          <w:szCs w:val="21"/>
          <w:lang w:val="en-US" w:eastAsia="zh-CN"/>
        </w:rPr>
        <w:t>四、</w:t>
      </w:r>
      <w:r>
        <w:rPr>
          <w:rFonts w:hint="eastAsia"/>
          <w:b/>
          <w:sz w:val="21"/>
          <w:szCs w:val="21"/>
        </w:rPr>
        <w:t>基金托管人的内部控制制度</w:t>
      </w:r>
    </w:p>
    <w:p w14:paraId="3ED1D435">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14:paraId="4206AF70">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14:paraId="617D8C11">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14:paraId="68DDA5EF">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14:paraId="60DC2E86">
      <w:pPr>
        <w:keepNext w:val="0"/>
        <w:keepLines w:val="0"/>
        <w:pageBreakBefore w:val="0"/>
        <w:widowControl w:val="0"/>
        <w:kinsoku/>
        <w:wordWrap/>
        <w:overflowPunct/>
        <w:topLinePunct w:val="0"/>
        <w:bidi w:val="0"/>
        <w:adjustRightInd/>
        <w:snapToGrid/>
        <w:spacing w:line="360" w:lineRule="auto"/>
        <w:textAlignment w:val="auto"/>
        <w:rPr>
          <w:b/>
          <w:sz w:val="21"/>
          <w:szCs w:val="21"/>
        </w:rPr>
      </w:pPr>
      <w:r>
        <w:rPr>
          <w:rFonts w:hint="eastAsia"/>
          <w:b/>
          <w:sz w:val="21"/>
          <w:szCs w:val="21"/>
          <w:lang w:val="en-US" w:eastAsia="zh-CN"/>
        </w:rPr>
        <w:t>五、</w:t>
      </w:r>
      <w:r>
        <w:rPr>
          <w:rFonts w:hint="eastAsia"/>
          <w:b/>
          <w:sz w:val="21"/>
          <w:szCs w:val="21"/>
        </w:rPr>
        <w:t>托管人对管理人运作基金进行监督的方法和程序</w:t>
      </w:r>
    </w:p>
    <w:p w14:paraId="5B6F2050">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1、监督依据</w:t>
      </w:r>
    </w:p>
    <w:p w14:paraId="443E62B2">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托管人严格按照有关政策法规、以及基金合同、托管协议等进行监督。监督依据具体包括：</w:t>
      </w:r>
    </w:p>
    <w:p w14:paraId="75B2FD8C">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（1）《中华人民共和国证券法》；</w:t>
      </w:r>
    </w:p>
    <w:p w14:paraId="6C5B1EDB">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（2）《中华人民共和国证券投资基金法》；</w:t>
      </w:r>
    </w:p>
    <w:p w14:paraId="097B88B1">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（3）《公开募集证券投资基金运作管理办法》；</w:t>
      </w:r>
    </w:p>
    <w:p w14:paraId="6912F90E">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（4）《公开募集证券投资基金销售机构监督管理办法》</w:t>
      </w:r>
    </w:p>
    <w:p w14:paraId="376A0D56">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（5）《基金合同》、《基金托管协议》；</w:t>
      </w:r>
    </w:p>
    <w:p w14:paraId="3742F237">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（6）法律、法规、政策的其他规定。</w:t>
      </w:r>
      <w:bookmarkStart w:id="221" w:name="_GoBack"/>
      <w:bookmarkEnd w:id="221"/>
    </w:p>
    <w:p w14:paraId="202D6F33">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2、监督内容</w:t>
      </w:r>
    </w:p>
    <w:p w14:paraId="7B60DB43">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 xml:space="preserve">    我行根据基金合同及托管协议约定，对基金合同生效之后所托管基金的投资范围、投资比例、投资限制等进行严格监督，及时提示基金管理人违规风险。</w:t>
      </w:r>
    </w:p>
    <w:p w14:paraId="49F01BCD">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3、监督方法</w:t>
      </w:r>
    </w:p>
    <w:p w14:paraId="21A1D1C8">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（1）资产托管部设置核算监督岗位，配备相应的业务人员，在授权范围内独立行使对基金管理人投资交易行为的监督职责，规范基金运作，维护基金投资人的合法权益，不受任何外界力量的干预；</w:t>
      </w:r>
    </w:p>
    <w:p w14:paraId="4D20A830">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（2）在日常运作中，凡可量化的监督指标，由核算监督岗通过托管业务的自动处理程序进行监督，实现系统的自动跟踪和预警；</w:t>
      </w:r>
    </w:p>
    <w:p w14:paraId="526BD3D1">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（3）对非量化指标、投资指令、管理人提供的各种报表和报告等，采取人工监督的方法。</w:t>
      </w:r>
    </w:p>
    <w:p w14:paraId="69E411E5">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4、监督结果的处理方式</w:t>
      </w:r>
    </w:p>
    <w:p w14:paraId="62215662">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（1）基金托管人对基金管理人的投资运作监督结果，采取定期和不定期报告形式向基金管理人和中国证监会报告。定期报告包括基金监控周报等。不定期报告包括提示函、临时日报、其他临时报告等；</w:t>
      </w:r>
    </w:p>
    <w:p w14:paraId="704E64FC">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14:paraId="2663495D">
      <w:pPr>
        <w:keepNext w:val="0"/>
        <w:keepLines w:val="0"/>
        <w:pageBreakBefore w:val="0"/>
        <w:widowControl w:val="0"/>
        <w:kinsoku/>
        <w:wordWrap/>
        <w:overflowPunct/>
        <w:topLinePunct w:val="0"/>
        <w:bidi w:val="0"/>
        <w:adjustRightInd/>
        <w:snapToGrid/>
        <w:spacing w:line="360" w:lineRule="auto"/>
        <w:textAlignment w:val="auto"/>
        <w:rPr>
          <w:sz w:val="21"/>
          <w:szCs w:val="21"/>
        </w:rPr>
      </w:pPr>
      <w:r>
        <w:rPr>
          <w:rFonts w:hint="eastAsia"/>
          <w:sz w:val="21"/>
          <w:szCs w:val="21"/>
        </w:rPr>
        <w:t>（3）针对中国证监会、中国人民银行对基金投资运作监督情况的检查，应及时提供有关情况和资料。</w:t>
      </w:r>
    </w:p>
    <w:p w14:paraId="087E9912">
      <w:pPr>
        <w:pStyle w:val="8"/>
        <w:spacing w:before="0" w:beforeAutospacing="0" w:after="0" w:afterAutospacing="0" w:line="360" w:lineRule="auto"/>
        <w:ind w:firstLine="420"/>
        <w:rPr>
          <w:sz w:val="21"/>
          <w:szCs w:val="21"/>
        </w:rPr>
      </w:pPr>
    </w:p>
    <w:p w14:paraId="51E5A904">
      <w:pPr>
        <w:widowControl/>
        <w:jc w:val="left"/>
        <w:rPr>
          <w:rFonts w:ascii="宋体" w:hAnsi="宋体" w:eastAsia="宋体"/>
        </w:rPr>
      </w:pPr>
      <w:r>
        <w:rPr>
          <w:rFonts w:ascii="宋体" w:hAnsi="宋体" w:eastAsia="宋体"/>
        </w:rPr>
        <w:br w:type="page"/>
      </w:r>
    </w:p>
    <w:p w14:paraId="46F0DBEB">
      <w:pPr>
        <w:pStyle w:val="2"/>
        <w:jc w:val="center"/>
        <w:rPr>
          <w:rFonts w:ascii="宋体" w:hAnsi="宋体" w:eastAsia="宋体"/>
          <w:sz w:val="30"/>
        </w:rPr>
      </w:pPr>
      <w:bookmarkStart w:id="49" w:name="chapter_level1_7_56"/>
      <w:bookmarkStart w:id="50" w:name="_Toc207948766"/>
      <w:r>
        <w:rPr>
          <w:rFonts w:hint="eastAsia" w:ascii="宋体" w:hAnsi="宋体" w:eastAsia="宋体"/>
          <w:sz w:val="30"/>
        </w:rPr>
        <w:t>第五部分  相关服务机构</w:t>
      </w:r>
      <w:bookmarkEnd w:id="49"/>
      <w:bookmarkEnd w:id="50"/>
    </w:p>
    <w:p w14:paraId="08331FC7">
      <w:pPr>
        <w:pStyle w:val="8"/>
        <w:spacing w:before="0" w:beforeAutospacing="0" w:after="0" w:afterAutospacing="0" w:line="360" w:lineRule="auto"/>
        <w:ind w:firstLine="420"/>
        <w:rPr>
          <w:sz w:val="21"/>
          <w:szCs w:val="21"/>
        </w:rPr>
      </w:pPr>
      <w:bookmarkStart w:id="51" w:name="chapter_level1_7_56_section_1"/>
      <w:bookmarkEnd w:id="51"/>
      <w:r>
        <w:rPr>
          <w:rStyle w:val="12"/>
          <w:rFonts w:hint="eastAsia"/>
          <w:sz w:val="21"/>
          <w:szCs w:val="21"/>
        </w:rPr>
        <w:t>一、基金份额销售机构</w:t>
      </w:r>
    </w:p>
    <w:p w14:paraId="73022C03">
      <w:pPr>
        <w:pStyle w:val="8"/>
        <w:spacing w:before="0" w:beforeAutospacing="0" w:after="0" w:afterAutospacing="0" w:line="360" w:lineRule="auto"/>
        <w:ind w:firstLine="420"/>
        <w:rPr>
          <w:sz w:val="21"/>
          <w:szCs w:val="21"/>
        </w:rPr>
      </w:pPr>
      <w:r>
        <w:rPr>
          <w:rFonts w:hint="eastAsia"/>
          <w:sz w:val="21"/>
          <w:szCs w:val="21"/>
        </w:rPr>
        <w:t xml:space="preserve">1、直销机构 </w:t>
      </w:r>
    </w:p>
    <w:p w14:paraId="29B6EF30">
      <w:pPr>
        <w:pStyle w:val="8"/>
        <w:spacing w:before="0" w:beforeAutospacing="0" w:after="0" w:afterAutospacing="0" w:line="360" w:lineRule="auto"/>
        <w:ind w:firstLine="420"/>
        <w:rPr>
          <w:sz w:val="21"/>
          <w:szCs w:val="21"/>
        </w:rPr>
      </w:pPr>
      <w:bookmarkStart w:id="52" w:name="field_0_marketcompanyinfo_1_start"/>
      <w:bookmarkEnd w:id="52"/>
      <w:r>
        <w:rPr>
          <w:rFonts w:hint="eastAsia"/>
          <w:sz w:val="21"/>
          <w:szCs w:val="21"/>
        </w:rPr>
        <w:t xml:space="preserve">名称：博时基金管理有限公司北京直销中心 </w:t>
      </w:r>
    </w:p>
    <w:p w14:paraId="2B326FC2">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0CDE747F">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453BC8AB">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34002646">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40874737">
      <w:pPr>
        <w:pStyle w:val="8"/>
        <w:spacing w:before="0" w:beforeAutospacing="0" w:after="0" w:afterAutospacing="0" w:line="360" w:lineRule="auto"/>
        <w:ind w:firstLine="420"/>
        <w:rPr>
          <w:sz w:val="21"/>
          <w:szCs w:val="21"/>
        </w:rPr>
      </w:pPr>
      <w:bookmarkStart w:id="53" w:name="chapter_level1_7_56_section_1_end"/>
      <w:bookmarkEnd w:id="53"/>
      <w:r>
        <w:rPr>
          <w:rFonts w:hint="eastAsia"/>
          <w:sz w:val="21"/>
          <w:szCs w:val="21"/>
        </w:rPr>
        <w:t xml:space="preserve">博时一线通：95105568（免长途话费） </w:t>
      </w:r>
      <w:bookmarkStart w:id="54" w:name="field_0_marketcompanyinfo_1_end"/>
      <w:bookmarkEnd w:id="54"/>
      <w:r>
        <w:rPr>
          <w:rFonts w:hint="eastAsia"/>
          <w:sz w:val="21"/>
          <w:szCs w:val="21"/>
        </w:rPr>
        <w:t xml:space="preserve">  </w:t>
      </w:r>
    </w:p>
    <w:p w14:paraId="57D6394A">
      <w:pPr>
        <w:pStyle w:val="8"/>
        <w:spacing w:before="0" w:beforeAutospacing="0" w:after="0" w:afterAutospacing="0" w:line="360" w:lineRule="auto"/>
        <w:ind w:firstLine="420"/>
        <w:rPr>
          <w:sz w:val="21"/>
          <w:szCs w:val="21"/>
        </w:rPr>
      </w:pPr>
      <w:bookmarkStart w:id="55" w:name="chapter_level1_7_56_section_2"/>
      <w:bookmarkEnd w:id="55"/>
      <w:r>
        <w:rPr>
          <w:rFonts w:hint="eastAsia"/>
          <w:sz w:val="21"/>
          <w:szCs w:val="21"/>
        </w:rPr>
        <w:t xml:space="preserve">2、代销机构 </w:t>
      </w:r>
    </w:p>
    <w:p w14:paraId="6267A984">
      <w:pPr>
        <w:pStyle w:val="8"/>
        <w:spacing w:before="0" w:beforeAutospacing="0" w:after="0" w:afterAutospacing="0" w:line="360" w:lineRule="auto"/>
        <w:ind w:firstLine="420"/>
        <w:rPr>
          <w:sz w:val="21"/>
          <w:szCs w:val="21"/>
        </w:rPr>
      </w:pPr>
      <w:bookmarkStart w:id="56" w:name="field_0_allproxysaletables_1_start"/>
      <w:bookmarkEnd w:id="56"/>
      <w:r>
        <w:rPr>
          <w:rFonts w:hint="eastAsia"/>
          <w:b/>
          <w:bCs/>
          <w:sz w:val="21"/>
          <w:szCs w:val="21"/>
        </w:rPr>
        <w:t>(1)上海浦东发展银行股份有限公司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213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32F140">
            <w:pPr>
              <w:pStyle w:val="8"/>
            </w:pPr>
            <w:r>
              <w:rPr>
                <w:rFonts w:hint="eastAsia"/>
              </w:rPr>
              <w:t xml:space="preserve">注册地址： </w:t>
            </w:r>
          </w:p>
        </w:tc>
        <w:tc>
          <w:tcPr>
            <w:tcW w:w="7440" w:type="dxa"/>
            <w:shd w:val="clear" w:color="auto" w:fill="auto"/>
          </w:tcPr>
          <w:p w14:paraId="64C54D2D">
            <w:pPr>
              <w:pStyle w:val="8"/>
            </w:pPr>
            <w:r>
              <w:rPr>
                <w:rFonts w:hint="eastAsia"/>
              </w:rPr>
              <w:t xml:space="preserve">上海市中山东一路12号 </w:t>
            </w:r>
          </w:p>
        </w:tc>
      </w:tr>
      <w:tr w14:paraId="3324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D81A9">
            <w:pPr>
              <w:pStyle w:val="8"/>
            </w:pPr>
            <w:r>
              <w:rPr>
                <w:rFonts w:hint="eastAsia"/>
              </w:rPr>
              <w:t xml:space="preserve">办公地址： </w:t>
            </w:r>
          </w:p>
        </w:tc>
        <w:tc>
          <w:tcPr>
            <w:tcW w:w="7440" w:type="dxa"/>
            <w:shd w:val="clear" w:color="auto" w:fill="auto"/>
          </w:tcPr>
          <w:p w14:paraId="4AD3D802">
            <w:pPr>
              <w:pStyle w:val="8"/>
            </w:pPr>
            <w:r>
              <w:rPr>
                <w:rFonts w:hint="eastAsia"/>
              </w:rPr>
              <w:t xml:space="preserve">上海市北京东路689号东银大厦25楼 </w:t>
            </w:r>
          </w:p>
        </w:tc>
      </w:tr>
      <w:tr w14:paraId="0F94C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F3D754">
            <w:pPr>
              <w:pStyle w:val="8"/>
            </w:pPr>
            <w:r>
              <w:rPr>
                <w:rFonts w:hint="eastAsia"/>
              </w:rPr>
              <w:t xml:space="preserve">法定代表人： </w:t>
            </w:r>
          </w:p>
        </w:tc>
        <w:tc>
          <w:tcPr>
            <w:tcW w:w="7440" w:type="dxa"/>
            <w:shd w:val="clear" w:color="auto" w:fill="auto"/>
          </w:tcPr>
          <w:p w14:paraId="60E92B7D">
            <w:pPr>
              <w:pStyle w:val="8"/>
            </w:pPr>
            <w:r>
              <w:rPr>
                <w:rFonts w:hint="eastAsia"/>
                <w:lang w:val="en-US" w:eastAsia="zh-CN"/>
              </w:rPr>
              <w:t>张为忠</w:t>
            </w:r>
          </w:p>
        </w:tc>
      </w:tr>
      <w:tr w14:paraId="6658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5FF9E">
            <w:pPr>
              <w:pStyle w:val="8"/>
            </w:pPr>
            <w:r>
              <w:rPr>
                <w:rFonts w:hint="eastAsia"/>
              </w:rPr>
              <w:t xml:space="preserve">联系人： </w:t>
            </w:r>
          </w:p>
        </w:tc>
        <w:tc>
          <w:tcPr>
            <w:tcW w:w="7440" w:type="dxa"/>
            <w:shd w:val="clear" w:color="auto" w:fill="auto"/>
          </w:tcPr>
          <w:p w14:paraId="123D625A">
            <w:pPr>
              <w:pStyle w:val="8"/>
            </w:pPr>
            <w:r>
              <w:rPr>
                <w:rFonts w:hint="eastAsia"/>
              </w:rPr>
              <w:t xml:space="preserve">吴斌 </w:t>
            </w:r>
          </w:p>
        </w:tc>
      </w:tr>
      <w:tr w14:paraId="3D1DD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91F89">
            <w:pPr>
              <w:pStyle w:val="8"/>
            </w:pPr>
            <w:r>
              <w:rPr>
                <w:rFonts w:hint="eastAsia"/>
              </w:rPr>
              <w:t xml:space="preserve">电话： </w:t>
            </w:r>
          </w:p>
        </w:tc>
        <w:tc>
          <w:tcPr>
            <w:tcW w:w="7440" w:type="dxa"/>
            <w:shd w:val="clear" w:color="auto" w:fill="auto"/>
          </w:tcPr>
          <w:p w14:paraId="40967849">
            <w:pPr>
              <w:pStyle w:val="8"/>
            </w:pPr>
            <w:r>
              <w:rPr>
                <w:rFonts w:hint="eastAsia"/>
              </w:rPr>
              <w:t xml:space="preserve">021－61618888 </w:t>
            </w:r>
          </w:p>
        </w:tc>
      </w:tr>
      <w:tr w14:paraId="6799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B4665">
            <w:pPr>
              <w:pStyle w:val="8"/>
            </w:pPr>
            <w:r>
              <w:rPr>
                <w:rFonts w:hint="eastAsia"/>
              </w:rPr>
              <w:t xml:space="preserve">传真： </w:t>
            </w:r>
          </w:p>
        </w:tc>
        <w:tc>
          <w:tcPr>
            <w:tcW w:w="7440" w:type="dxa"/>
            <w:shd w:val="clear" w:color="auto" w:fill="auto"/>
          </w:tcPr>
          <w:p w14:paraId="41B7E498">
            <w:pPr>
              <w:pStyle w:val="8"/>
            </w:pPr>
            <w:r>
              <w:rPr>
                <w:rFonts w:hint="eastAsia"/>
              </w:rPr>
              <w:t xml:space="preserve">021－63602431 </w:t>
            </w:r>
          </w:p>
        </w:tc>
      </w:tr>
      <w:tr w14:paraId="2182E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F243B">
            <w:pPr>
              <w:pStyle w:val="8"/>
            </w:pPr>
            <w:r>
              <w:rPr>
                <w:rFonts w:hint="eastAsia"/>
              </w:rPr>
              <w:t xml:space="preserve">客户服务电话： </w:t>
            </w:r>
          </w:p>
        </w:tc>
        <w:tc>
          <w:tcPr>
            <w:tcW w:w="7440" w:type="dxa"/>
            <w:shd w:val="clear" w:color="auto" w:fill="auto"/>
          </w:tcPr>
          <w:p w14:paraId="36FF557F">
            <w:pPr>
              <w:pStyle w:val="8"/>
            </w:pPr>
            <w:r>
              <w:rPr>
                <w:rFonts w:hint="eastAsia"/>
              </w:rPr>
              <w:t xml:space="preserve">95528 </w:t>
            </w:r>
          </w:p>
        </w:tc>
      </w:tr>
      <w:tr w14:paraId="08541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1DA2B">
            <w:pPr>
              <w:pStyle w:val="8"/>
            </w:pPr>
            <w:r>
              <w:rPr>
                <w:rFonts w:hint="eastAsia"/>
              </w:rPr>
              <w:t xml:space="preserve">网址： </w:t>
            </w:r>
          </w:p>
        </w:tc>
        <w:tc>
          <w:tcPr>
            <w:tcW w:w="7440" w:type="dxa"/>
            <w:shd w:val="clear" w:color="auto" w:fill="auto"/>
          </w:tcPr>
          <w:p w14:paraId="3C57F74B">
            <w:pPr>
              <w:pStyle w:val="8"/>
            </w:pPr>
            <w:r>
              <w:rPr>
                <w:rFonts w:hint="eastAsia"/>
              </w:rPr>
              <w:t xml:space="preserve">http://www.spdb.com.cn </w:t>
            </w:r>
          </w:p>
        </w:tc>
      </w:tr>
    </w:tbl>
    <w:p w14:paraId="7B6AD24B">
      <w:pPr>
        <w:pStyle w:val="8"/>
        <w:spacing w:before="0" w:beforeAutospacing="0" w:after="0" w:afterAutospacing="0" w:line="360" w:lineRule="auto"/>
        <w:ind w:firstLine="420"/>
        <w:rPr>
          <w:sz w:val="21"/>
          <w:szCs w:val="21"/>
        </w:rPr>
      </w:pPr>
      <w:r>
        <w:rPr>
          <w:rFonts w:hint="eastAsia"/>
          <w:b/>
          <w:bCs/>
          <w:sz w:val="21"/>
          <w:szCs w:val="21"/>
        </w:rPr>
        <w:t>(2)江苏苏州农村商业银行股份有限公司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13458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E37A197">
            <w:pPr>
              <w:pStyle w:val="8"/>
            </w:pPr>
            <w:r>
              <w:rPr>
                <w:rFonts w:hint="eastAsia"/>
              </w:rPr>
              <w:t xml:space="preserve">注册地址： </w:t>
            </w:r>
          </w:p>
        </w:tc>
        <w:tc>
          <w:tcPr>
            <w:tcW w:w="7440" w:type="dxa"/>
            <w:shd w:val="clear" w:color="auto" w:fill="auto"/>
          </w:tcPr>
          <w:p w14:paraId="3BA4580F">
            <w:pPr>
              <w:pStyle w:val="8"/>
            </w:pPr>
            <w:r>
              <w:rPr>
                <w:rFonts w:hint="eastAsia"/>
              </w:rPr>
              <w:t xml:space="preserve">江苏省苏州市吴江区中山南路1777号 </w:t>
            </w:r>
          </w:p>
        </w:tc>
      </w:tr>
      <w:tr w14:paraId="4F2B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865B8">
            <w:pPr>
              <w:pStyle w:val="8"/>
            </w:pPr>
            <w:r>
              <w:rPr>
                <w:rFonts w:hint="eastAsia"/>
              </w:rPr>
              <w:t xml:space="preserve">办公地址： </w:t>
            </w:r>
          </w:p>
        </w:tc>
        <w:tc>
          <w:tcPr>
            <w:tcW w:w="7440" w:type="dxa"/>
            <w:shd w:val="clear" w:color="auto" w:fill="auto"/>
          </w:tcPr>
          <w:p w14:paraId="558F5413">
            <w:pPr>
              <w:pStyle w:val="8"/>
            </w:pPr>
            <w:r>
              <w:rPr>
                <w:rFonts w:hint="eastAsia"/>
              </w:rPr>
              <w:t xml:space="preserve">江苏省苏州市吴江区中山南路1777号 </w:t>
            </w:r>
          </w:p>
        </w:tc>
      </w:tr>
      <w:tr w14:paraId="5E510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69911">
            <w:pPr>
              <w:pStyle w:val="8"/>
            </w:pPr>
            <w:r>
              <w:rPr>
                <w:rFonts w:hint="eastAsia"/>
              </w:rPr>
              <w:t xml:space="preserve">法定代表人： </w:t>
            </w:r>
          </w:p>
        </w:tc>
        <w:tc>
          <w:tcPr>
            <w:tcW w:w="7440" w:type="dxa"/>
            <w:shd w:val="clear" w:color="auto" w:fill="auto"/>
          </w:tcPr>
          <w:p w14:paraId="0FC5C6E7">
            <w:pPr>
              <w:pStyle w:val="8"/>
            </w:pPr>
            <w:r>
              <w:rPr>
                <w:rFonts w:hint="eastAsia"/>
              </w:rPr>
              <w:t xml:space="preserve">徐晓军 </w:t>
            </w:r>
          </w:p>
        </w:tc>
      </w:tr>
      <w:tr w14:paraId="39E5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1C586">
            <w:pPr>
              <w:pStyle w:val="8"/>
            </w:pPr>
            <w:r>
              <w:rPr>
                <w:rFonts w:hint="eastAsia"/>
              </w:rPr>
              <w:t xml:space="preserve">联系人： </w:t>
            </w:r>
          </w:p>
        </w:tc>
        <w:tc>
          <w:tcPr>
            <w:tcW w:w="7440" w:type="dxa"/>
            <w:shd w:val="clear" w:color="auto" w:fill="auto"/>
          </w:tcPr>
          <w:p w14:paraId="7F60486A">
            <w:pPr>
              <w:pStyle w:val="8"/>
            </w:pPr>
            <w:r>
              <w:rPr>
                <w:rFonts w:hint="eastAsia"/>
              </w:rPr>
              <w:t xml:space="preserve">葛晓亮 </w:t>
            </w:r>
          </w:p>
        </w:tc>
      </w:tr>
      <w:tr w14:paraId="70301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45489">
            <w:pPr>
              <w:pStyle w:val="8"/>
            </w:pPr>
            <w:r>
              <w:rPr>
                <w:rFonts w:hint="eastAsia"/>
              </w:rPr>
              <w:t xml:space="preserve">电话： </w:t>
            </w:r>
          </w:p>
        </w:tc>
        <w:tc>
          <w:tcPr>
            <w:tcW w:w="7440" w:type="dxa"/>
            <w:shd w:val="clear" w:color="auto" w:fill="auto"/>
          </w:tcPr>
          <w:p w14:paraId="32BFF474">
            <w:pPr>
              <w:pStyle w:val="8"/>
            </w:pPr>
            <w:r>
              <w:rPr>
                <w:rFonts w:hint="eastAsia"/>
              </w:rPr>
              <w:t xml:space="preserve">0512-63969209 </w:t>
            </w:r>
          </w:p>
        </w:tc>
      </w:tr>
      <w:tr w14:paraId="3C43D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E6838">
            <w:pPr>
              <w:pStyle w:val="8"/>
            </w:pPr>
            <w:r>
              <w:rPr>
                <w:rFonts w:hint="eastAsia"/>
              </w:rPr>
              <w:t xml:space="preserve">传真： </w:t>
            </w:r>
          </w:p>
        </w:tc>
        <w:tc>
          <w:tcPr>
            <w:tcW w:w="7440" w:type="dxa"/>
            <w:shd w:val="clear" w:color="auto" w:fill="auto"/>
          </w:tcPr>
          <w:p w14:paraId="775CB399">
            <w:pPr>
              <w:pStyle w:val="8"/>
            </w:pPr>
            <w:r>
              <w:rPr>
                <w:rFonts w:hint="eastAsia"/>
              </w:rPr>
              <w:t xml:space="preserve">0512-63969209 </w:t>
            </w:r>
          </w:p>
        </w:tc>
      </w:tr>
      <w:tr w14:paraId="32E6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8F8A1">
            <w:pPr>
              <w:pStyle w:val="8"/>
            </w:pPr>
            <w:r>
              <w:rPr>
                <w:rFonts w:hint="eastAsia"/>
              </w:rPr>
              <w:t xml:space="preserve">客户服务电话： </w:t>
            </w:r>
          </w:p>
        </w:tc>
        <w:tc>
          <w:tcPr>
            <w:tcW w:w="7440" w:type="dxa"/>
            <w:shd w:val="clear" w:color="auto" w:fill="auto"/>
          </w:tcPr>
          <w:p w14:paraId="6BE3CF26">
            <w:pPr>
              <w:pStyle w:val="8"/>
            </w:pPr>
            <w:r>
              <w:rPr>
                <w:rFonts w:hint="eastAsia"/>
              </w:rPr>
              <w:t xml:space="preserve">956111 </w:t>
            </w:r>
          </w:p>
        </w:tc>
      </w:tr>
      <w:tr w14:paraId="1AC9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F9753">
            <w:pPr>
              <w:pStyle w:val="8"/>
            </w:pPr>
            <w:r>
              <w:rPr>
                <w:rFonts w:hint="eastAsia"/>
              </w:rPr>
              <w:t xml:space="preserve">网址： </w:t>
            </w:r>
          </w:p>
        </w:tc>
        <w:tc>
          <w:tcPr>
            <w:tcW w:w="7440" w:type="dxa"/>
            <w:shd w:val="clear" w:color="auto" w:fill="auto"/>
          </w:tcPr>
          <w:p w14:paraId="2AC5EE3D">
            <w:pPr>
              <w:pStyle w:val="8"/>
            </w:pPr>
            <w:r>
              <w:rPr>
                <w:rFonts w:hint="eastAsia"/>
              </w:rPr>
              <w:t xml:space="preserve">www.szrcb.com </w:t>
            </w:r>
          </w:p>
        </w:tc>
      </w:tr>
    </w:tbl>
    <w:p w14:paraId="4FD34480">
      <w:pPr>
        <w:pStyle w:val="8"/>
        <w:spacing w:before="0" w:beforeAutospacing="0" w:after="0" w:afterAutospacing="0" w:line="360" w:lineRule="auto"/>
        <w:ind w:firstLine="420"/>
        <w:rPr>
          <w:sz w:val="21"/>
          <w:szCs w:val="21"/>
        </w:rPr>
      </w:pPr>
      <w:r>
        <w:rPr>
          <w:rFonts w:hint="eastAsia"/>
          <w:b/>
          <w:bCs/>
          <w:sz w:val="21"/>
          <w:szCs w:val="21"/>
        </w:rPr>
        <w:t>(3)博时财富基金销售有限公司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F93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E71588D">
            <w:pPr>
              <w:pStyle w:val="8"/>
            </w:pPr>
            <w:r>
              <w:rPr>
                <w:rFonts w:hint="eastAsia"/>
              </w:rPr>
              <w:t xml:space="preserve">注册地址： </w:t>
            </w:r>
          </w:p>
        </w:tc>
        <w:tc>
          <w:tcPr>
            <w:tcW w:w="7440" w:type="dxa"/>
            <w:shd w:val="clear" w:color="auto" w:fill="auto"/>
          </w:tcPr>
          <w:p w14:paraId="3852CD5D">
            <w:pPr>
              <w:pStyle w:val="8"/>
            </w:pPr>
            <w:r>
              <w:rPr>
                <w:rFonts w:hint="eastAsia"/>
              </w:rPr>
              <w:t xml:space="preserve">广东省深圳市福田区莲花街道福新社区益田路5999号基金大厦19层 </w:t>
            </w:r>
          </w:p>
        </w:tc>
      </w:tr>
      <w:tr w14:paraId="1111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92CE2">
            <w:pPr>
              <w:pStyle w:val="8"/>
            </w:pPr>
            <w:r>
              <w:rPr>
                <w:rFonts w:hint="eastAsia"/>
              </w:rPr>
              <w:t xml:space="preserve">办公地址： </w:t>
            </w:r>
          </w:p>
        </w:tc>
        <w:tc>
          <w:tcPr>
            <w:tcW w:w="7440" w:type="dxa"/>
            <w:shd w:val="clear" w:color="auto" w:fill="auto"/>
          </w:tcPr>
          <w:p w14:paraId="7532382E">
            <w:pPr>
              <w:pStyle w:val="8"/>
            </w:pPr>
            <w:r>
              <w:rPr>
                <w:rFonts w:hint="eastAsia"/>
              </w:rPr>
              <w:t xml:space="preserve">广东省深圳市福田区莲花街道福新社区益田路5999号基金大厦19层 </w:t>
            </w:r>
          </w:p>
        </w:tc>
      </w:tr>
      <w:tr w14:paraId="52C9F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BFCBE">
            <w:pPr>
              <w:pStyle w:val="8"/>
            </w:pPr>
            <w:r>
              <w:rPr>
                <w:rFonts w:hint="eastAsia"/>
              </w:rPr>
              <w:t xml:space="preserve">法定代表人： </w:t>
            </w:r>
          </w:p>
        </w:tc>
        <w:tc>
          <w:tcPr>
            <w:tcW w:w="7440" w:type="dxa"/>
            <w:shd w:val="clear" w:color="auto" w:fill="auto"/>
          </w:tcPr>
          <w:p w14:paraId="6ACE8625">
            <w:pPr>
              <w:pStyle w:val="8"/>
            </w:pPr>
            <w:r>
              <w:rPr>
                <w:rFonts w:hint="eastAsia"/>
              </w:rPr>
              <w:t xml:space="preserve">王德英 </w:t>
            </w:r>
          </w:p>
        </w:tc>
      </w:tr>
      <w:tr w14:paraId="0858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EE951">
            <w:pPr>
              <w:pStyle w:val="8"/>
            </w:pPr>
            <w:r>
              <w:rPr>
                <w:rFonts w:hint="eastAsia"/>
              </w:rPr>
              <w:t xml:space="preserve">联系人： </w:t>
            </w:r>
          </w:p>
        </w:tc>
        <w:tc>
          <w:tcPr>
            <w:tcW w:w="7440" w:type="dxa"/>
            <w:shd w:val="clear" w:color="auto" w:fill="auto"/>
          </w:tcPr>
          <w:p w14:paraId="52219582">
            <w:pPr>
              <w:pStyle w:val="8"/>
            </w:pPr>
            <w:r>
              <w:rPr>
                <w:rFonts w:hint="eastAsia"/>
              </w:rPr>
              <w:t xml:space="preserve">崔丹 </w:t>
            </w:r>
          </w:p>
        </w:tc>
      </w:tr>
      <w:tr w14:paraId="263A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26B9A">
            <w:pPr>
              <w:pStyle w:val="8"/>
            </w:pPr>
            <w:r>
              <w:rPr>
                <w:rFonts w:hint="eastAsia"/>
              </w:rPr>
              <w:t xml:space="preserve">电话： </w:t>
            </w:r>
          </w:p>
        </w:tc>
        <w:tc>
          <w:tcPr>
            <w:tcW w:w="7440" w:type="dxa"/>
            <w:shd w:val="clear" w:color="auto" w:fill="auto"/>
          </w:tcPr>
          <w:p w14:paraId="3D112743">
            <w:pPr>
              <w:pStyle w:val="8"/>
            </w:pPr>
            <w:r>
              <w:rPr>
                <w:rFonts w:hint="eastAsia"/>
              </w:rPr>
              <w:t xml:space="preserve">0755-83169999 </w:t>
            </w:r>
          </w:p>
        </w:tc>
      </w:tr>
      <w:tr w14:paraId="299F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5F3DD">
            <w:pPr>
              <w:pStyle w:val="8"/>
            </w:pPr>
            <w:r>
              <w:rPr>
                <w:rFonts w:hint="eastAsia"/>
              </w:rPr>
              <w:t xml:space="preserve">传真： </w:t>
            </w:r>
          </w:p>
        </w:tc>
        <w:tc>
          <w:tcPr>
            <w:tcW w:w="7440" w:type="dxa"/>
            <w:shd w:val="clear" w:color="auto" w:fill="auto"/>
          </w:tcPr>
          <w:p w14:paraId="6DA8B1CB">
            <w:pPr>
              <w:pStyle w:val="8"/>
            </w:pPr>
            <w:r>
              <w:rPr>
                <w:rFonts w:hint="eastAsia"/>
              </w:rPr>
              <w:t xml:space="preserve">0755-83195220 </w:t>
            </w:r>
          </w:p>
        </w:tc>
      </w:tr>
      <w:tr w14:paraId="703F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51FA0D">
            <w:pPr>
              <w:pStyle w:val="8"/>
            </w:pPr>
            <w:r>
              <w:rPr>
                <w:rFonts w:hint="eastAsia"/>
              </w:rPr>
              <w:t xml:space="preserve">客户服务电话： </w:t>
            </w:r>
          </w:p>
        </w:tc>
        <w:tc>
          <w:tcPr>
            <w:tcW w:w="7440" w:type="dxa"/>
            <w:shd w:val="clear" w:color="auto" w:fill="auto"/>
          </w:tcPr>
          <w:p w14:paraId="46E99C37">
            <w:pPr>
              <w:pStyle w:val="8"/>
            </w:pPr>
            <w:r>
              <w:rPr>
                <w:rFonts w:hint="eastAsia"/>
              </w:rPr>
              <w:t xml:space="preserve">400-610-5568 </w:t>
            </w:r>
          </w:p>
        </w:tc>
      </w:tr>
      <w:tr w14:paraId="3A2E7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72A90">
            <w:pPr>
              <w:pStyle w:val="8"/>
            </w:pPr>
            <w:r>
              <w:rPr>
                <w:rFonts w:hint="eastAsia"/>
              </w:rPr>
              <w:t xml:space="preserve">网址： </w:t>
            </w:r>
          </w:p>
        </w:tc>
        <w:tc>
          <w:tcPr>
            <w:tcW w:w="7440" w:type="dxa"/>
            <w:shd w:val="clear" w:color="auto" w:fill="auto"/>
          </w:tcPr>
          <w:p w14:paraId="612E6058">
            <w:pPr>
              <w:pStyle w:val="8"/>
            </w:pPr>
            <w:r>
              <w:rPr>
                <w:rFonts w:hint="eastAsia"/>
              </w:rPr>
              <w:t xml:space="preserve">www.boserawealth.com </w:t>
            </w:r>
          </w:p>
        </w:tc>
      </w:tr>
    </w:tbl>
    <w:p w14:paraId="56785ED6">
      <w:pPr>
        <w:pStyle w:val="8"/>
        <w:spacing w:before="0" w:beforeAutospacing="0" w:after="0" w:afterAutospacing="0" w:line="360" w:lineRule="auto"/>
        <w:ind w:firstLine="420"/>
        <w:rPr>
          <w:sz w:val="21"/>
          <w:szCs w:val="21"/>
        </w:rPr>
      </w:pPr>
      <w:r>
        <w:rPr>
          <w:rFonts w:hint="eastAsia"/>
          <w:b/>
          <w:bCs/>
          <w:sz w:val="21"/>
          <w:szCs w:val="21"/>
        </w:rPr>
        <w:t>(4)深圳众禄基金销售股份有限公司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33D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23725ED">
            <w:pPr>
              <w:pStyle w:val="8"/>
            </w:pPr>
            <w:r>
              <w:rPr>
                <w:rFonts w:hint="eastAsia"/>
              </w:rPr>
              <w:t xml:space="preserve">注册地址： </w:t>
            </w:r>
          </w:p>
        </w:tc>
        <w:tc>
          <w:tcPr>
            <w:tcW w:w="7440" w:type="dxa"/>
            <w:shd w:val="clear" w:color="auto" w:fill="auto"/>
          </w:tcPr>
          <w:p w14:paraId="3DAAE765">
            <w:pPr>
              <w:pStyle w:val="8"/>
            </w:pPr>
            <w:r>
              <w:rPr>
                <w:rFonts w:hint="eastAsia"/>
              </w:rPr>
              <w:t xml:space="preserve">深圳市罗湖区梨园路物资控股置地大厦8楼 </w:t>
            </w:r>
          </w:p>
        </w:tc>
      </w:tr>
      <w:tr w14:paraId="188C8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9B2D5">
            <w:pPr>
              <w:pStyle w:val="8"/>
            </w:pPr>
            <w:r>
              <w:rPr>
                <w:rFonts w:hint="eastAsia"/>
              </w:rPr>
              <w:t xml:space="preserve">办公地址： </w:t>
            </w:r>
          </w:p>
        </w:tc>
        <w:tc>
          <w:tcPr>
            <w:tcW w:w="7440" w:type="dxa"/>
            <w:shd w:val="clear" w:color="auto" w:fill="auto"/>
          </w:tcPr>
          <w:p w14:paraId="3AA82F06">
            <w:pPr>
              <w:pStyle w:val="8"/>
            </w:pPr>
            <w:r>
              <w:rPr>
                <w:rFonts w:hint="eastAsia"/>
              </w:rPr>
              <w:t xml:space="preserve">深圳市罗湖区梨园路物资控股置地大厦8楼 </w:t>
            </w:r>
          </w:p>
        </w:tc>
      </w:tr>
      <w:tr w14:paraId="7A59B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27610">
            <w:pPr>
              <w:pStyle w:val="8"/>
            </w:pPr>
            <w:r>
              <w:rPr>
                <w:rFonts w:hint="eastAsia"/>
              </w:rPr>
              <w:t xml:space="preserve">法定代表人： </w:t>
            </w:r>
          </w:p>
        </w:tc>
        <w:tc>
          <w:tcPr>
            <w:tcW w:w="7440" w:type="dxa"/>
            <w:shd w:val="clear" w:color="auto" w:fill="auto"/>
          </w:tcPr>
          <w:p w14:paraId="0F4714C3">
            <w:pPr>
              <w:pStyle w:val="8"/>
            </w:pPr>
            <w:r>
              <w:rPr>
                <w:rFonts w:hint="eastAsia"/>
              </w:rPr>
              <w:t xml:space="preserve">薛峰 </w:t>
            </w:r>
          </w:p>
        </w:tc>
      </w:tr>
      <w:tr w14:paraId="0F582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38408">
            <w:pPr>
              <w:pStyle w:val="8"/>
            </w:pPr>
            <w:r>
              <w:rPr>
                <w:rFonts w:hint="eastAsia"/>
              </w:rPr>
              <w:t xml:space="preserve">联系人： </w:t>
            </w:r>
          </w:p>
        </w:tc>
        <w:tc>
          <w:tcPr>
            <w:tcW w:w="7440" w:type="dxa"/>
            <w:shd w:val="clear" w:color="auto" w:fill="auto"/>
          </w:tcPr>
          <w:p w14:paraId="0439E5D4">
            <w:pPr>
              <w:pStyle w:val="8"/>
            </w:pPr>
            <w:r>
              <w:rPr>
                <w:rFonts w:hint="eastAsia"/>
              </w:rPr>
              <w:t xml:space="preserve">童彩平 </w:t>
            </w:r>
          </w:p>
        </w:tc>
      </w:tr>
      <w:tr w14:paraId="08796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B5A4CEE">
            <w:pPr>
              <w:pStyle w:val="8"/>
            </w:pPr>
            <w:r>
              <w:rPr>
                <w:rFonts w:hint="eastAsia"/>
              </w:rPr>
              <w:t xml:space="preserve">电话： </w:t>
            </w:r>
          </w:p>
        </w:tc>
        <w:tc>
          <w:tcPr>
            <w:tcW w:w="7440" w:type="dxa"/>
            <w:shd w:val="clear" w:color="auto" w:fill="auto"/>
          </w:tcPr>
          <w:p w14:paraId="36F135A9">
            <w:pPr>
              <w:pStyle w:val="8"/>
            </w:pPr>
            <w:r>
              <w:rPr>
                <w:rFonts w:hint="eastAsia"/>
              </w:rPr>
              <w:t xml:space="preserve">0755-33227950 </w:t>
            </w:r>
          </w:p>
        </w:tc>
      </w:tr>
      <w:tr w14:paraId="7E94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0320A">
            <w:pPr>
              <w:pStyle w:val="8"/>
            </w:pPr>
            <w:r>
              <w:rPr>
                <w:rFonts w:hint="eastAsia"/>
              </w:rPr>
              <w:t xml:space="preserve">传真： </w:t>
            </w:r>
          </w:p>
        </w:tc>
        <w:tc>
          <w:tcPr>
            <w:tcW w:w="7440" w:type="dxa"/>
            <w:shd w:val="clear" w:color="auto" w:fill="auto"/>
          </w:tcPr>
          <w:p w14:paraId="32B85241">
            <w:pPr>
              <w:pStyle w:val="8"/>
            </w:pPr>
            <w:r>
              <w:rPr>
                <w:rFonts w:hint="eastAsia"/>
              </w:rPr>
              <w:t xml:space="preserve">0755-33227951 </w:t>
            </w:r>
          </w:p>
        </w:tc>
      </w:tr>
      <w:tr w14:paraId="1F115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6CC3F">
            <w:pPr>
              <w:pStyle w:val="8"/>
            </w:pPr>
            <w:r>
              <w:rPr>
                <w:rFonts w:hint="eastAsia"/>
              </w:rPr>
              <w:t xml:space="preserve">客户服务电话： </w:t>
            </w:r>
          </w:p>
        </w:tc>
        <w:tc>
          <w:tcPr>
            <w:tcW w:w="7440" w:type="dxa"/>
            <w:shd w:val="clear" w:color="auto" w:fill="auto"/>
          </w:tcPr>
          <w:p w14:paraId="0F9B6D06">
            <w:pPr>
              <w:pStyle w:val="8"/>
            </w:pPr>
            <w:r>
              <w:rPr>
                <w:rFonts w:hint="eastAsia"/>
              </w:rPr>
              <w:t xml:space="preserve">400-678-8887 </w:t>
            </w:r>
          </w:p>
        </w:tc>
      </w:tr>
      <w:tr w14:paraId="4149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366B0">
            <w:pPr>
              <w:pStyle w:val="8"/>
            </w:pPr>
            <w:r>
              <w:rPr>
                <w:rFonts w:hint="eastAsia"/>
              </w:rPr>
              <w:t xml:space="preserve">网址： </w:t>
            </w:r>
          </w:p>
        </w:tc>
        <w:tc>
          <w:tcPr>
            <w:tcW w:w="7440" w:type="dxa"/>
            <w:shd w:val="clear" w:color="auto" w:fill="auto"/>
          </w:tcPr>
          <w:p w14:paraId="26CF72CB">
            <w:pPr>
              <w:pStyle w:val="8"/>
            </w:pPr>
            <w:r>
              <w:rPr>
                <w:rFonts w:hint="eastAsia"/>
              </w:rPr>
              <w:t xml:space="preserve">https://www.zlfund.cn/ </w:t>
            </w:r>
          </w:p>
        </w:tc>
      </w:tr>
    </w:tbl>
    <w:p w14:paraId="364B637B">
      <w:pPr>
        <w:pStyle w:val="8"/>
        <w:spacing w:before="0" w:beforeAutospacing="0" w:after="0" w:afterAutospacing="0" w:line="360" w:lineRule="auto"/>
        <w:ind w:firstLine="420"/>
        <w:rPr>
          <w:sz w:val="21"/>
          <w:szCs w:val="21"/>
        </w:rPr>
      </w:pPr>
      <w:r>
        <w:rPr>
          <w:rFonts w:hint="eastAsia"/>
          <w:b/>
          <w:bCs/>
          <w:sz w:val="21"/>
          <w:szCs w:val="21"/>
        </w:rPr>
        <w:t>(5)上海天天基金销售有限公司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45CE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E082B">
            <w:pPr>
              <w:pStyle w:val="8"/>
            </w:pPr>
            <w:r>
              <w:rPr>
                <w:rFonts w:hint="eastAsia"/>
              </w:rPr>
              <w:t xml:space="preserve">注册地址： </w:t>
            </w:r>
          </w:p>
        </w:tc>
        <w:tc>
          <w:tcPr>
            <w:tcW w:w="7440" w:type="dxa"/>
            <w:shd w:val="clear" w:color="auto" w:fill="auto"/>
          </w:tcPr>
          <w:p w14:paraId="60F2F151">
            <w:pPr>
              <w:pStyle w:val="8"/>
            </w:pPr>
            <w:r>
              <w:rPr>
                <w:rFonts w:hint="eastAsia"/>
              </w:rPr>
              <w:t xml:space="preserve">上海市徐汇区龙田路190号2号楼2层 </w:t>
            </w:r>
          </w:p>
        </w:tc>
      </w:tr>
      <w:tr w14:paraId="5CC08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4FCC7">
            <w:pPr>
              <w:pStyle w:val="8"/>
            </w:pPr>
            <w:r>
              <w:rPr>
                <w:rFonts w:hint="eastAsia"/>
              </w:rPr>
              <w:t xml:space="preserve">办公地址： </w:t>
            </w:r>
          </w:p>
        </w:tc>
        <w:tc>
          <w:tcPr>
            <w:tcW w:w="7440" w:type="dxa"/>
            <w:shd w:val="clear" w:color="auto" w:fill="auto"/>
          </w:tcPr>
          <w:p w14:paraId="7F5EB62C">
            <w:pPr>
              <w:pStyle w:val="8"/>
            </w:pPr>
            <w:r>
              <w:rPr>
                <w:rFonts w:hint="eastAsia"/>
              </w:rPr>
              <w:t xml:space="preserve">上海市徐汇区龙田路195号3C座9楼 </w:t>
            </w:r>
          </w:p>
        </w:tc>
      </w:tr>
      <w:tr w14:paraId="38824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19EBD">
            <w:pPr>
              <w:pStyle w:val="8"/>
            </w:pPr>
            <w:r>
              <w:rPr>
                <w:rFonts w:hint="eastAsia"/>
              </w:rPr>
              <w:t xml:space="preserve">法定代表人： </w:t>
            </w:r>
          </w:p>
        </w:tc>
        <w:tc>
          <w:tcPr>
            <w:tcW w:w="7440" w:type="dxa"/>
            <w:shd w:val="clear" w:color="auto" w:fill="auto"/>
          </w:tcPr>
          <w:p w14:paraId="69B58A6C">
            <w:pPr>
              <w:pStyle w:val="8"/>
            </w:pPr>
            <w:r>
              <w:rPr>
                <w:rFonts w:hint="eastAsia"/>
              </w:rPr>
              <w:t xml:space="preserve">其实 </w:t>
            </w:r>
          </w:p>
        </w:tc>
      </w:tr>
      <w:tr w14:paraId="38E07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AB825">
            <w:pPr>
              <w:pStyle w:val="8"/>
            </w:pPr>
            <w:r>
              <w:rPr>
                <w:rFonts w:hint="eastAsia"/>
              </w:rPr>
              <w:t xml:space="preserve">联系人： </w:t>
            </w:r>
          </w:p>
        </w:tc>
        <w:tc>
          <w:tcPr>
            <w:tcW w:w="7440" w:type="dxa"/>
            <w:shd w:val="clear" w:color="auto" w:fill="auto"/>
          </w:tcPr>
          <w:p w14:paraId="2186CA83">
            <w:pPr>
              <w:pStyle w:val="8"/>
            </w:pPr>
            <w:r>
              <w:rPr>
                <w:rFonts w:hint="eastAsia"/>
              </w:rPr>
              <w:t xml:space="preserve">潘世友 </w:t>
            </w:r>
          </w:p>
        </w:tc>
      </w:tr>
      <w:tr w14:paraId="3341F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98281">
            <w:pPr>
              <w:pStyle w:val="8"/>
            </w:pPr>
            <w:r>
              <w:rPr>
                <w:rFonts w:hint="eastAsia"/>
              </w:rPr>
              <w:t xml:space="preserve">电话： </w:t>
            </w:r>
          </w:p>
        </w:tc>
        <w:tc>
          <w:tcPr>
            <w:tcW w:w="7440" w:type="dxa"/>
            <w:shd w:val="clear" w:color="auto" w:fill="auto"/>
          </w:tcPr>
          <w:p w14:paraId="440233CF">
            <w:pPr>
              <w:pStyle w:val="8"/>
            </w:pPr>
            <w:r>
              <w:rPr>
                <w:rFonts w:hint="eastAsia"/>
              </w:rPr>
              <w:t xml:space="preserve">021-54509998 </w:t>
            </w:r>
          </w:p>
        </w:tc>
      </w:tr>
      <w:tr w14:paraId="3F351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0F28F">
            <w:pPr>
              <w:pStyle w:val="8"/>
            </w:pPr>
            <w:r>
              <w:rPr>
                <w:rFonts w:hint="eastAsia"/>
              </w:rPr>
              <w:t xml:space="preserve">传真： </w:t>
            </w:r>
          </w:p>
        </w:tc>
        <w:tc>
          <w:tcPr>
            <w:tcW w:w="7440" w:type="dxa"/>
            <w:shd w:val="clear" w:color="auto" w:fill="auto"/>
          </w:tcPr>
          <w:p w14:paraId="2058DD48">
            <w:pPr>
              <w:pStyle w:val="8"/>
            </w:pPr>
            <w:r>
              <w:rPr>
                <w:rFonts w:hint="eastAsia"/>
              </w:rPr>
              <w:t xml:space="preserve">021-64385308 </w:t>
            </w:r>
          </w:p>
        </w:tc>
      </w:tr>
      <w:tr w14:paraId="55968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367B7">
            <w:pPr>
              <w:pStyle w:val="8"/>
            </w:pPr>
            <w:r>
              <w:rPr>
                <w:rFonts w:hint="eastAsia"/>
              </w:rPr>
              <w:t xml:space="preserve">客户服务电话： </w:t>
            </w:r>
          </w:p>
        </w:tc>
        <w:tc>
          <w:tcPr>
            <w:tcW w:w="7440" w:type="dxa"/>
            <w:shd w:val="clear" w:color="auto" w:fill="auto"/>
          </w:tcPr>
          <w:p w14:paraId="52B40EE6">
            <w:pPr>
              <w:pStyle w:val="8"/>
            </w:pPr>
            <w:r>
              <w:rPr>
                <w:rFonts w:hint="eastAsia"/>
              </w:rPr>
              <w:t xml:space="preserve">400-181-8188 </w:t>
            </w:r>
          </w:p>
        </w:tc>
      </w:tr>
      <w:tr w14:paraId="1D57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6548B">
            <w:pPr>
              <w:pStyle w:val="8"/>
            </w:pPr>
            <w:r>
              <w:rPr>
                <w:rFonts w:hint="eastAsia"/>
              </w:rPr>
              <w:t xml:space="preserve">网址： </w:t>
            </w:r>
          </w:p>
        </w:tc>
        <w:tc>
          <w:tcPr>
            <w:tcW w:w="7440" w:type="dxa"/>
            <w:shd w:val="clear" w:color="auto" w:fill="auto"/>
          </w:tcPr>
          <w:p w14:paraId="46509798">
            <w:pPr>
              <w:pStyle w:val="8"/>
            </w:pPr>
            <w:r>
              <w:rPr>
                <w:rFonts w:hint="eastAsia"/>
              </w:rPr>
              <w:t xml:space="preserve">http://www.1234567.com.cn </w:t>
            </w:r>
          </w:p>
        </w:tc>
      </w:tr>
    </w:tbl>
    <w:p w14:paraId="685F0CA1">
      <w:pPr>
        <w:pStyle w:val="8"/>
        <w:spacing w:before="0" w:beforeAutospacing="0" w:after="0" w:afterAutospacing="0" w:line="360" w:lineRule="auto"/>
        <w:ind w:firstLine="420"/>
        <w:rPr>
          <w:sz w:val="21"/>
          <w:szCs w:val="21"/>
        </w:rPr>
      </w:pPr>
      <w:r>
        <w:rPr>
          <w:rFonts w:hint="eastAsia"/>
          <w:b/>
          <w:bCs/>
          <w:sz w:val="21"/>
          <w:szCs w:val="21"/>
        </w:rPr>
        <w:t>(6)上海利得基金销售有限公司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9412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E556B">
            <w:pPr>
              <w:pStyle w:val="8"/>
            </w:pPr>
            <w:r>
              <w:rPr>
                <w:rFonts w:hint="eastAsia"/>
              </w:rPr>
              <w:t xml:space="preserve">注册地址： </w:t>
            </w:r>
          </w:p>
        </w:tc>
        <w:tc>
          <w:tcPr>
            <w:tcW w:w="7440" w:type="dxa"/>
            <w:shd w:val="clear" w:color="auto" w:fill="auto"/>
          </w:tcPr>
          <w:p w14:paraId="4C180F43">
            <w:pPr>
              <w:pStyle w:val="8"/>
            </w:pPr>
            <w:r>
              <w:rPr>
                <w:rFonts w:hint="eastAsia"/>
              </w:rPr>
              <w:t xml:space="preserve">上海市宝山区蕴川路5475号1033室 </w:t>
            </w:r>
          </w:p>
        </w:tc>
      </w:tr>
      <w:tr w14:paraId="0285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9CF40">
            <w:pPr>
              <w:pStyle w:val="8"/>
            </w:pPr>
            <w:r>
              <w:rPr>
                <w:rFonts w:hint="eastAsia"/>
              </w:rPr>
              <w:t xml:space="preserve">办公地址： </w:t>
            </w:r>
          </w:p>
        </w:tc>
        <w:tc>
          <w:tcPr>
            <w:tcW w:w="7440" w:type="dxa"/>
            <w:shd w:val="clear" w:color="auto" w:fill="auto"/>
          </w:tcPr>
          <w:p w14:paraId="65D89C16">
            <w:pPr>
              <w:pStyle w:val="8"/>
            </w:pPr>
            <w:r>
              <w:rPr>
                <w:rFonts w:hint="eastAsia"/>
              </w:rPr>
              <w:t xml:space="preserve">上海浦东新区峨山路91弄61号10号楼12楼 </w:t>
            </w:r>
          </w:p>
        </w:tc>
      </w:tr>
      <w:tr w14:paraId="262C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90A54">
            <w:pPr>
              <w:pStyle w:val="8"/>
            </w:pPr>
            <w:r>
              <w:rPr>
                <w:rFonts w:hint="eastAsia"/>
              </w:rPr>
              <w:t xml:space="preserve">法定代表人： </w:t>
            </w:r>
          </w:p>
        </w:tc>
        <w:tc>
          <w:tcPr>
            <w:tcW w:w="7440" w:type="dxa"/>
            <w:shd w:val="clear" w:color="auto" w:fill="auto"/>
          </w:tcPr>
          <w:p w14:paraId="583DDEDB">
            <w:pPr>
              <w:pStyle w:val="8"/>
            </w:pPr>
            <w:r>
              <w:rPr>
                <w:rFonts w:hint="eastAsia"/>
              </w:rPr>
              <w:t xml:space="preserve">李兴春 </w:t>
            </w:r>
          </w:p>
        </w:tc>
      </w:tr>
      <w:tr w14:paraId="4649D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D5D5B">
            <w:pPr>
              <w:pStyle w:val="8"/>
            </w:pPr>
            <w:r>
              <w:rPr>
                <w:rFonts w:hint="eastAsia"/>
              </w:rPr>
              <w:t xml:space="preserve">联系人： </w:t>
            </w:r>
          </w:p>
        </w:tc>
        <w:tc>
          <w:tcPr>
            <w:tcW w:w="7440" w:type="dxa"/>
            <w:shd w:val="clear" w:color="auto" w:fill="auto"/>
          </w:tcPr>
          <w:p w14:paraId="437658A7">
            <w:pPr>
              <w:pStyle w:val="8"/>
            </w:pPr>
            <w:r>
              <w:rPr>
                <w:rFonts w:hint="eastAsia"/>
              </w:rPr>
              <w:t xml:space="preserve">徐鹏 </w:t>
            </w:r>
          </w:p>
        </w:tc>
      </w:tr>
      <w:tr w14:paraId="1D15E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EC62E">
            <w:pPr>
              <w:pStyle w:val="8"/>
            </w:pPr>
            <w:r>
              <w:rPr>
                <w:rFonts w:hint="eastAsia"/>
              </w:rPr>
              <w:t xml:space="preserve">电话： </w:t>
            </w:r>
          </w:p>
        </w:tc>
        <w:tc>
          <w:tcPr>
            <w:tcW w:w="7440" w:type="dxa"/>
            <w:shd w:val="clear" w:color="auto" w:fill="auto"/>
          </w:tcPr>
          <w:p w14:paraId="5777591B">
            <w:pPr>
              <w:pStyle w:val="8"/>
            </w:pPr>
            <w:r>
              <w:rPr>
                <w:rFonts w:hint="eastAsia"/>
              </w:rPr>
              <w:t xml:space="preserve">021-50583533 </w:t>
            </w:r>
          </w:p>
        </w:tc>
      </w:tr>
      <w:tr w14:paraId="2655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A52FF">
            <w:pPr>
              <w:pStyle w:val="8"/>
            </w:pPr>
            <w:r>
              <w:rPr>
                <w:rFonts w:hint="eastAsia"/>
              </w:rPr>
              <w:t xml:space="preserve">传真： </w:t>
            </w:r>
          </w:p>
        </w:tc>
        <w:tc>
          <w:tcPr>
            <w:tcW w:w="7440" w:type="dxa"/>
            <w:shd w:val="clear" w:color="auto" w:fill="auto"/>
          </w:tcPr>
          <w:p w14:paraId="66F71D06">
            <w:pPr>
              <w:pStyle w:val="8"/>
            </w:pPr>
            <w:r>
              <w:rPr>
                <w:rFonts w:hint="eastAsia"/>
              </w:rPr>
              <w:t xml:space="preserve">021-50583633 </w:t>
            </w:r>
          </w:p>
        </w:tc>
      </w:tr>
      <w:tr w14:paraId="5D9F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731A7">
            <w:pPr>
              <w:pStyle w:val="8"/>
            </w:pPr>
            <w:r>
              <w:rPr>
                <w:rFonts w:hint="eastAsia"/>
              </w:rPr>
              <w:t xml:space="preserve">客户服务电话： </w:t>
            </w:r>
          </w:p>
        </w:tc>
        <w:tc>
          <w:tcPr>
            <w:tcW w:w="7440" w:type="dxa"/>
            <w:shd w:val="clear" w:color="auto" w:fill="auto"/>
          </w:tcPr>
          <w:p w14:paraId="5E91E508">
            <w:pPr>
              <w:pStyle w:val="8"/>
            </w:pPr>
            <w:r>
              <w:rPr>
                <w:rFonts w:hint="eastAsia"/>
              </w:rPr>
              <w:t xml:space="preserve">400-921-7755 </w:t>
            </w:r>
          </w:p>
        </w:tc>
      </w:tr>
      <w:tr w14:paraId="6CAD8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47437">
            <w:pPr>
              <w:pStyle w:val="8"/>
            </w:pPr>
            <w:r>
              <w:rPr>
                <w:rFonts w:hint="eastAsia"/>
              </w:rPr>
              <w:t xml:space="preserve">网址： </w:t>
            </w:r>
          </w:p>
        </w:tc>
        <w:tc>
          <w:tcPr>
            <w:tcW w:w="7440" w:type="dxa"/>
            <w:shd w:val="clear" w:color="auto" w:fill="auto"/>
          </w:tcPr>
          <w:p w14:paraId="17E05FE9">
            <w:pPr>
              <w:pStyle w:val="8"/>
            </w:pPr>
            <w:r>
              <w:rPr>
                <w:rFonts w:hint="eastAsia"/>
              </w:rPr>
              <w:t xml:space="preserve">http://a.leadfund.com.cn/ </w:t>
            </w:r>
          </w:p>
        </w:tc>
      </w:tr>
    </w:tbl>
    <w:p w14:paraId="694DADE0">
      <w:pPr>
        <w:pStyle w:val="8"/>
        <w:spacing w:before="0" w:beforeAutospacing="0" w:after="0" w:afterAutospacing="0" w:line="360" w:lineRule="auto"/>
        <w:ind w:firstLine="420"/>
        <w:rPr>
          <w:sz w:val="21"/>
          <w:szCs w:val="21"/>
        </w:rPr>
      </w:pPr>
      <w:r>
        <w:rPr>
          <w:rFonts w:hint="eastAsia"/>
          <w:b/>
          <w:bCs/>
          <w:sz w:val="21"/>
          <w:szCs w:val="21"/>
        </w:rPr>
        <w:t>(7)南京苏宁基金销售有限公司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73A2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A544E">
            <w:pPr>
              <w:pStyle w:val="8"/>
            </w:pPr>
            <w:r>
              <w:rPr>
                <w:rFonts w:hint="eastAsia"/>
              </w:rPr>
              <w:t xml:space="preserve">注册地址： </w:t>
            </w:r>
          </w:p>
        </w:tc>
        <w:tc>
          <w:tcPr>
            <w:tcW w:w="7440" w:type="dxa"/>
            <w:shd w:val="clear" w:color="auto" w:fill="auto"/>
          </w:tcPr>
          <w:p w14:paraId="20C0D7C4">
            <w:pPr>
              <w:pStyle w:val="8"/>
            </w:pPr>
            <w:r>
              <w:rPr>
                <w:rFonts w:hint="eastAsia"/>
              </w:rPr>
              <w:t xml:space="preserve">南京市玄武区苏宁大道1-5号 </w:t>
            </w:r>
          </w:p>
        </w:tc>
      </w:tr>
      <w:tr w14:paraId="3EF6E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925A12">
            <w:pPr>
              <w:pStyle w:val="8"/>
            </w:pPr>
            <w:r>
              <w:rPr>
                <w:rFonts w:hint="eastAsia"/>
              </w:rPr>
              <w:t xml:space="preserve">办公地址： </w:t>
            </w:r>
          </w:p>
        </w:tc>
        <w:tc>
          <w:tcPr>
            <w:tcW w:w="7440" w:type="dxa"/>
            <w:shd w:val="clear" w:color="auto" w:fill="auto"/>
          </w:tcPr>
          <w:p w14:paraId="427EA5CF">
            <w:pPr>
              <w:pStyle w:val="8"/>
            </w:pPr>
            <w:r>
              <w:rPr>
                <w:rFonts w:hint="eastAsia"/>
              </w:rPr>
              <w:t xml:space="preserve">南京市玄武区苏宁大道1-5号 </w:t>
            </w:r>
          </w:p>
        </w:tc>
      </w:tr>
      <w:tr w14:paraId="4BA4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F7635">
            <w:pPr>
              <w:pStyle w:val="8"/>
            </w:pPr>
            <w:r>
              <w:rPr>
                <w:rFonts w:hint="eastAsia"/>
              </w:rPr>
              <w:t xml:space="preserve">法定代表人： </w:t>
            </w:r>
          </w:p>
        </w:tc>
        <w:tc>
          <w:tcPr>
            <w:tcW w:w="7440" w:type="dxa"/>
            <w:shd w:val="clear" w:color="auto" w:fill="auto"/>
          </w:tcPr>
          <w:p w14:paraId="2069F323">
            <w:pPr>
              <w:pStyle w:val="8"/>
            </w:pPr>
            <w:r>
              <w:rPr>
                <w:rFonts w:hint="eastAsia"/>
              </w:rPr>
              <w:t xml:space="preserve">钱燕飞 </w:t>
            </w:r>
          </w:p>
        </w:tc>
      </w:tr>
      <w:tr w14:paraId="49A6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6F278">
            <w:pPr>
              <w:pStyle w:val="8"/>
            </w:pPr>
            <w:r>
              <w:rPr>
                <w:rFonts w:hint="eastAsia"/>
              </w:rPr>
              <w:t xml:space="preserve">联系人： </w:t>
            </w:r>
          </w:p>
        </w:tc>
        <w:tc>
          <w:tcPr>
            <w:tcW w:w="7440" w:type="dxa"/>
            <w:shd w:val="clear" w:color="auto" w:fill="auto"/>
          </w:tcPr>
          <w:p w14:paraId="09D89871">
            <w:pPr>
              <w:pStyle w:val="8"/>
            </w:pPr>
            <w:r>
              <w:rPr>
                <w:rFonts w:hint="eastAsia"/>
              </w:rPr>
              <w:t xml:space="preserve">喻明明 </w:t>
            </w:r>
          </w:p>
        </w:tc>
      </w:tr>
      <w:tr w14:paraId="5212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E8B29">
            <w:pPr>
              <w:pStyle w:val="8"/>
            </w:pPr>
            <w:r>
              <w:rPr>
                <w:rFonts w:hint="eastAsia"/>
              </w:rPr>
              <w:t xml:space="preserve">电话： </w:t>
            </w:r>
          </w:p>
        </w:tc>
        <w:tc>
          <w:tcPr>
            <w:tcW w:w="7440" w:type="dxa"/>
            <w:shd w:val="clear" w:color="auto" w:fill="auto"/>
          </w:tcPr>
          <w:p w14:paraId="4D1CA755">
            <w:pPr>
              <w:pStyle w:val="8"/>
            </w:pPr>
            <w:r>
              <w:rPr>
                <w:rFonts w:hint="eastAsia"/>
              </w:rPr>
              <w:t xml:space="preserve">025-66996699-884131 </w:t>
            </w:r>
          </w:p>
        </w:tc>
      </w:tr>
      <w:tr w14:paraId="59768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FE919">
            <w:pPr>
              <w:pStyle w:val="8"/>
            </w:pPr>
            <w:r>
              <w:rPr>
                <w:rFonts w:hint="eastAsia"/>
              </w:rPr>
              <w:t xml:space="preserve">传真： </w:t>
            </w:r>
          </w:p>
        </w:tc>
        <w:tc>
          <w:tcPr>
            <w:tcW w:w="7440" w:type="dxa"/>
            <w:shd w:val="clear" w:color="auto" w:fill="auto"/>
          </w:tcPr>
          <w:p w14:paraId="61EA5BA1">
            <w:pPr>
              <w:pStyle w:val="8"/>
            </w:pPr>
            <w:r>
              <w:rPr>
                <w:rFonts w:hint="eastAsia"/>
              </w:rPr>
              <w:t xml:space="preserve">025-66996699-884131 </w:t>
            </w:r>
          </w:p>
        </w:tc>
      </w:tr>
      <w:tr w14:paraId="03E04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4CD34">
            <w:pPr>
              <w:pStyle w:val="8"/>
            </w:pPr>
            <w:r>
              <w:rPr>
                <w:rFonts w:hint="eastAsia"/>
              </w:rPr>
              <w:t xml:space="preserve">客户服务电话： </w:t>
            </w:r>
          </w:p>
        </w:tc>
        <w:tc>
          <w:tcPr>
            <w:tcW w:w="7440" w:type="dxa"/>
            <w:shd w:val="clear" w:color="auto" w:fill="auto"/>
          </w:tcPr>
          <w:p w14:paraId="233E5E36">
            <w:pPr>
              <w:pStyle w:val="8"/>
            </w:pPr>
            <w:r>
              <w:rPr>
                <w:rFonts w:hint="eastAsia"/>
              </w:rPr>
              <w:t xml:space="preserve">95177 </w:t>
            </w:r>
          </w:p>
        </w:tc>
      </w:tr>
      <w:tr w14:paraId="56955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FC7D9">
            <w:pPr>
              <w:pStyle w:val="8"/>
            </w:pPr>
            <w:r>
              <w:rPr>
                <w:rFonts w:hint="eastAsia"/>
              </w:rPr>
              <w:t xml:space="preserve">网址： </w:t>
            </w:r>
          </w:p>
        </w:tc>
        <w:tc>
          <w:tcPr>
            <w:tcW w:w="7440" w:type="dxa"/>
            <w:shd w:val="clear" w:color="auto" w:fill="auto"/>
          </w:tcPr>
          <w:p w14:paraId="17D1D157">
            <w:pPr>
              <w:pStyle w:val="8"/>
            </w:pPr>
            <w:r>
              <w:rPr>
                <w:rFonts w:hint="eastAsia"/>
              </w:rPr>
              <w:t xml:space="preserve">www.snjijin.com </w:t>
            </w:r>
          </w:p>
        </w:tc>
      </w:tr>
    </w:tbl>
    <w:p w14:paraId="193AA9BC">
      <w:pPr>
        <w:pStyle w:val="8"/>
        <w:spacing w:before="0" w:beforeAutospacing="0" w:after="0" w:afterAutospacing="0" w:line="360" w:lineRule="auto"/>
        <w:ind w:firstLine="420"/>
        <w:rPr>
          <w:sz w:val="21"/>
          <w:szCs w:val="21"/>
        </w:rPr>
      </w:pPr>
      <w:r>
        <w:rPr>
          <w:rFonts w:hint="eastAsia"/>
          <w:b/>
          <w:bCs/>
          <w:sz w:val="21"/>
          <w:szCs w:val="21"/>
        </w:rPr>
        <w:t>(8)上海基煜基金销售有限公司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BFAD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824F1">
            <w:pPr>
              <w:pStyle w:val="8"/>
            </w:pPr>
            <w:r>
              <w:rPr>
                <w:rFonts w:hint="eastAsia"/>
              </w:rPr>
              <w:t xml:space="preserve">注册地址： </w:t>
            </w:r>
          </w:p>
        </w:tc>
        <w:tc>
          <w:tcPr>
            <w:tcW w:w="7440" w:type="dxa"/>
            <w:shd w:val="clear" w:color="auto" w:fill="auto"/>
          </w:tcPr>
          <w:p w14:paraId="6764D928">
            <w:pPr>
              <w:pStyle w:val="8"/>
            </w:pPr>
            <w:r>
              <w:rPr>
                <w:rFonts w:hint="eastAsia"/>
              </w:rPr>
              <w:t xml:space="preserve">上海市黄浦区广东路500号30层3001单元 </w:t>
            </w:r>
          </w:p>
        </w:tc>
      </w:tr>
      <w:tr w14:paraId="4AB4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DD464">
            <w:pPr>
              <w:pStyle w:val="8"/>
            </w:pPr>
            <w:r>
              <w:rPr>
                <w:rFonts w:hint="eastAsia"/>
              </w:rPr>
              <w:t xml:space="preserve">办公地址： </w:t>
            </w:r>
          </w:p>
        </w:tc>
        <w:tc>
          <w:tcPr>
            <w:tcW w:w="7440" w:type="dxa"/>
            <w:shd w:val="clear" w:color="auto" w:fill="auto"/>
          </w:tcPr>
          <w:p w14:paraId="3711CCD8">
            <w:pPr>
              <w:pStyle w:val="8"/>
            </w:pPr>
            <w:r>
              <w:rPr>
                <w:rFonts w:hint="eastAsia"/>
              </w:rPr>
              <w:t xml:space="preserve">上海市浦东新区银城中路488号太平金融大厦1503室 </w:t>
            </w:r>
          </w:p>
        </w:tc>
      </w:tr>
      <w:tr w14:paraId="5CF32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1AF8C">
            <w:pPr>
              <w:pStyle w:val="8"/>
            </w:pPr>
            <w:r>
              <w:rPr>
                <w:rFonts w:hint="eastAsia"/>
              </w:rPr>
              <w:t xml:space="preserve">法定代表人： </w:t>
            </w:r>
          </w:p>
        </w:tc>
        <w:tc>
          <w:tcPr>
            <w:tcW w:w="7440" w:type="dxa"/>
            <w:shd w:val="clear" w:color="auto" w:fill="auto"/>
          </w:tcPr>
          <w:p w14:paraId="0D4FAAB4">
            <w:pPr>
              <w:pStyle w:val="8"/>
            </w:pPr>
            <w:r>
              <w:rPr>
                <w:rFonts w:hint="eastAsia"/>
              </w:rPr>
              <w:t xml:space="preserve">王翔  </w:t>
            </w:r>
          </w:p>
        </w:tc>
      </w:tr>
      <w:tr w14:paraId="3F1E3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16697">
            <w:pPr>
              <w:pStyle w:val="8"/>
            </w:pPr>
            <w:r>
              <w:rPr>
                <w:rFonts w:hint="eastAsia"/>
              </w:rPr>
              <w:t xml:space="preserve">联系人： </w:t>
            </w:r>
          </w:p>
        </w:tc>
        <w:tc>
          <w:tcPr>
            <w:tcW w:w="7440" w:type="dxa"/>
            <w:shd w:val="clear" w:color="auto" w:fill="auto"/>
          </w:tcPr>
          <w:p w14:paraId="2AA1B891">
            <w:pPr>
              <w:pStyle w:val="8"/>
            </w:pPr>
            <w:r>
              <w:rPr>
                <w:rFonts w:hint="eastAsia"/>
              </w:rPr>
              <w:t xml:space="preserve">蓝杰 </w:t>
            </w:r>
          </w:p>
        </w:tc>
      </w:tr>
      <w:tr w14:paraId="6D26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CE75C2">
            <w:pPr>
              <w:pStyle w:val="8"/>
            </w:pPr>
            <w:r>
              <w:rPr>
                <w:rFonts w:hint="eastAsia"/>
              </w:rPr>
              <w:t xml:space="preserve">电话： </w:t>
            </w:r>
          </w:p>
        </w:tc>
        <w:tc>
          <w:tcPr>
            <w:tcW w:w="7440" w:type="dxa"/>
            <w:shd w:val="clear" w:color="auto" w:fill="auto"/>
          </w:tcPr>
          <w:p w14:paraId="6675C011">
            <w:pPr>
              <w:pStyle w:val="8"/>
            </w:pPr>
            <w:r>
              <w:rPr>
                <w:rFonts w:hint="eastAsia"/>
              </w:rPr>
              <w:t xml:space="preserve">021-65370077 </w:t>
            </w:r>
          </w:p>
        </w:tc>
      </w:tr>
      <w:tr w14:paraId="0F2B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2ABEE">
            <w:pPr>
              <w:pStyle w:val="8"/>
            </w:pPr>
            <w:r>
              <w:rPr>
                <w:rFonts w:hint="eastAsia"/>
              </w:rPr>
              <w:t xml:space="preserve">传真： </w:t>
            </w:r>
          </w:p>
        </w:tc>
        <w:tc>
          <w:tcPr>
            <w:tcW w:w="7440" w:type="dxa"/>
            <w:shd w:val="clear" w:color="auto" w:fill="auto"/>
          </w:tcPr>
          <w:p w14:paraId="0B5DD08C">
            <w:pPr>
              <w:pStyle w:val="8"/>
            </w:pPr>
            <w:r>
              <w:rPr>
                <w:rFonts w:hint="eastAsia"/>
              </w:rPr>
              <w:t xml:space="preserve">021-55085991 </w:t>
            </w:r>
          </w:p>
        </w:tc>
      </w:tr>
      <w:tr w14:paraId="5F8C4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83BA8">
            <w:pPr>
              <w:pStyle w:val="8"/>
            </w:pPr>
            <w:r>
              <w:rPr>
                <w:rFonts w:hint="eastAsia"/>
              </w:rPr>
              <w:t xml:space="preserve">客户服务电话： </w:t>
            </w:r>
          </w:p>
        </w:tc>
        <w:tc>
          <w:tcPr>
            <w:tcW w:w="7440" w:type="dxa"/>
            <w:shd w:val="clear" w:color="auto" w:fill="auto"/>
          </w:tcPr>
          <w:p w14:paraId="7BFC1E17">
            <w:pPr>
              <w:pStyle w:val="8"/>
            </w:pPr>
            <w:r>
              <w:rPr>
                <w:rFonts w:hint="eastAsia"/>
              </w:rPr>
              <w:t xml:space="preserve">400-820-5369 </w:t>
            </w:r>
          </w:p>
        </w:tc>
      </w:tr>
      <w:tr w14:paraId="7E4B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A62FF">
            <w:pPr>
              <w:pStyle w:val="8"/>
            </w:pPr>
            <w:r>
              <w:rPr>
                <w:rFonts w:hint="eastAsia"/>
              </w:rPr>
              <w:t xml:space="preserve">网址： </w:t>
            </w:r>
          </w:p>
        </w:tc>
        <w:tc>
          <w:tcPr>
            <w:tcW w:w="7440" w:type="dxa"/>
            <w:shd w:val="clear" w:color="auto" w:fill="auto"/>
          </w:tcPr>
          <w:p w14:paraId="4064610C">
            <w:pPr>
              <w:pStyle w:val="8"/>
            </w:pPr>
            <w:r>
              <w:rPr>
                <w:rFonts w:hint="eastAsia"/>
              </w:rPr>
              <w:t xml:space="preserve">www.jiyufund.com.cn </w:t>
            </w:r>
          </w:p>
        </w:tc>
      </w:tr>
    </w:tbl>
    <w:p w14:paraId="443801D4">
      <w:pPr>
        <w:pStyle w:val="8"/>
        <w:spacing w:before="0" w:beforeAutospacing="0" w:after="0" w:afterAutospacing="0" w:line="360" w:lineRule="auto"/>
        <w:ind w:firstLine="420"/>
        <w:rPr>
          <w:sz w:val="21"/>
          <w:szCs w:val="21"/>
        </w:rPr>
      </w:pPr>
      <w:r>
        <w:rPr>
          <w:rFonts w:hint="eastAsia"/>
          <w:b/>
          <w:bCs/>
          <w:sz w:val="21"/>
          <w:szCs w:val="21"/>
        </w:rPr>
        <w:t>(9)上海陆金所基金销售有限公司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10B2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A55EE">
            <w:pPr>
              <w:pStyle w:val="8"/>
            </w:pPr>
            <w:r>
              <w:rPr>
                <w:rFonts w:hint="eastAsia"/>
              </w:rPr>
              <w:t xml:space="preserve">注册地址： </w:t>
            </w:r>
          </w:p>
        </w:tc>
        <w:tc>
          <w:tcPr>
            <w:tcW w:w="7440" w:type="dxa"/>
            <w:shd w:val="clear" w:color="auto" w:fill="auto"/>
          </w:tcPr>
          <w:p w14:paraId="6860A835">
            <w:pPr>
              <w:pStyle w:val="8"/>
            </w:pPr>
            <w:r>
              <w:rPr>
                <w:rFonts w:hint="eastAsia"/>
              </w:rPr>
              <w:t xml:space="preserve">上海市浦东新区陆家嘴环路1333号14楼09单元 </w:t>
            </w:r>
          </w:p>
        </w:tc>
      </w:tr>
      <w:tr w14:paraId="46764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0D4F6">
            <w:pPr>
              <w:pStyle w:val="8"/>
            </w:pPr>
            <w:r>
              <w:rPr>
                <w:rFonts w:hint="eastAsia"/>
              </w:rPr>
              <w:t xml:space="preserve">办公地址： </w:t>
            </w:r>
          </w:p>
        </w:tc>
        <w:tc>
          <w:tcPr>
            <w:tcW w:w="7440" w:type="dxa"/>
            <w:shd w:val="clear" w:color="auto" w:fill="auto"/>
          </w:tcPr>
          <w:p w14:paraId="4CE53195">
            <w:pPr>
              <w:pStyle w:val="8"/>
            </w:pPr>
            <w:r>
              <w:rPr>
                <w:rFonts w:hint="eastAsia"/>
              </w:rPr>
              <w:t xml:space="preserve">上海市浦东新区陆家嘴环路1333号14楼 </w:t>
            </w:r>
          </w:p>
        </w:tc>
      </w:tr>
      <w:tr w14:paraId="46CD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0A8E7">
            <w:pPr>
              <w:pStyle w:val="8"/>
            </w:pPr>
            <w:r>
              <w:rPr>
                <w:rFonts w:hint="eastAsia"/>
              </w:rPr>
              <w:t xml:space="preserve">法定代表人： </w:t>
            </w:r>
          </w:p>
        </w:tc>
        <w:tc>
          <w:tcPr>
            <w:tcW w:w="7440" w:type="dxa"/>
            <w:shd w:val="clear" w:color="auto" w:fill="auto"/>
          </w:tcPr>
          <w:p w14:paraId="3F26C98F">
            <w:pPr>
              <w:pStyle w:val="8"/>
            </w:pPr>
            <w:r>
              <w:rPr>
                <w:rFonts w:hint="eastAsia"/>
              </w:rPr>
              <w:t xml:space="preserve">郭坚 </w:t>
            </w:r>
          </w:p>
        </w:tc>
      </w:tr>
      <w:tr w14:paraId="66C6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FA70D">
            <w:pPr>
              <w:pStyle w:val="8"/>
            </w:pPr>
            <w:r>
              <w:rPr>
                <w:rFonts w:hint="eastAsia"/>
              </w:rPr>
              <w:t xml:space="preserve">联系人： </w:t>
            </w:r>
          </w:p>
        </w:tc>
        <w:tc>
          <w:tcPr>
            <w:tcW w:w="7440" w:type="dxa"/>
            <w:shd w:val="clear" w:color="auto" w:fill="auto"/>
          </w:tcPr>
          <w:p w14:paraId="66D2EB2F">
            <w:pPr>
              <w:pStyle w:val="8"/>
            </w:pPr>
            <w:r>
              <w:rPr>
                <w:rFonts w:hint="eastAsia"/>
              </w:rPr>
              <w:t xml:space="preserve">宁博宇 </w:t>
            </w:r>
          </w:p>
        </w:tc>
      </w:tr>
      <w:tr w14:paraId="46E79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111421">
            <w:pPr>
              <w:pStyle w:val="8"/>
            </w:pPr>
            <w:r>
              <w:rPr>
                <w:rFonts w:hint="eastAsia"/>
              </w:rPr>
              <w:t xml:space="preserve">电话： </w:t>
            </w:r>
          </w:p>
        </w:tc>
        <w:tc>
          <w:tcPr>
            <w:tcW w:w="7440" w:type="dxa"/>
            <w:shd w:val="clear" w:color="auto" w:fill="auto"/>
          </w:tcPr>
          <w:p w14:paraId="388D000A">
            <w:pPr>
              <w:pStyle w:val="8"/>
            </w:pPr>
            <w:r>
              <w:rPr>
                <w:rFonts w:hint="eastAsia"/>
              </w:rPr>
              <w:t xml:space="preserve">021-20665952 </w:t>
            </w:r>
          </w:p>
        </w:tc>
      </w:tr>
      <w:tr w14:paraId="08974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FE5BA">
            <w:pPr>
              <w:pStyle w:val="8"/>
            </w:pPr>
            <w:r>
              <w:rPr>
                <w:rFonts w:hint="eastAsia"/>
              </w:rPr>
              <w:t xml:space="preserve">传真： </w:t>
            </w:r>
          </w:p>
        </w:tc>
        <w:tc>
          <w:tcPr>
            <w:tcW w:w="7440" w:type="dxa"/>
            <w:shd w:val="clear" w:color="auto" w:fill="auto"/>
          </w:tcPr>
          <w:p w14:paraId="74ABA364">
            <w:pPr>
              <w:pStyle w:val="8"/>
            </w:pPr>
            <w:r>
              <w:rPr>
                <w:rFonts w:hint="eastAsia"/>
              </w:rPr>
              <w:t xml:space="preserve">021-22066653 </w:t>
            </w:r>
          </w:p>
        </w:tc>
      </w:tr>
      <w:tr w14:paraId="72B45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F4F83">
            <w:pPr>
              <w:pStyle w:val="8"/>
            </w:pPr>
            <w:r>
              <w:rPr>
                <w:rFonts w:hint="eastAsia"/>
              </w:rPr>
              <w:t xml:space="preserve">客户服务电话： </w:t>
            </w:r>
          </w:p>
        </w:tc>
        <w:tc>
          <w:tcPr>
            <w:tcW w:w="7440" w:type="dxa"/>
            <w:shd w:val="clear" w:color="auto" w:fill="auto"/>
          </w:tcPr>
          <w:p w14:paraId="6C8E9F6B">
            <w:pPr>
              <w:pStyle w:val="8"/>
            </w:pPr>
            <w:r>
              <w:rPr>
                <w:rFonts w:hint="eastAsia"/>
              </w:rPr>
              <w:t xml:space="preserve">400-821-9031 </w:t>
            </w:r>
          </w:p>
        </w:tc>
      </w:tr>
      <w:tr w14:paraId="543A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70BBD">
            <w:pPr>
              <w:pStyle w:val="8"/>
            </w:pPr>
            <w:r>
              <w:rPr>
                <w:rFonts w:hint="eastAsia"/>
              </w:rPr>
              <w:t xml:space="preserve">网址： </w:t>
            </w:r>
          </w:p>
        </w:tc>
        <w:tc>
          <w:tcPr>
            <w:tcW w:w="7440" w:type="dxa"/>
            <w:shd w:val="clear" w:color="auto" w:fill="auto"/>
          </w:tcPr>
          <w:p w14:paraId="3ACD3D76">
            <w:pPr>
              <w:pStyle w:val="8"/>
            </w:pPr>
            <w:r>
              <w:rPr>
                <w:rFonts w:hint="eastAsia"/>
              </w:rPr>
              <w:t xml:space="preserve">www.lufunds.com </w:t>
            </w:r>
          </w:p>
        </w:tc>
      </w:tr>
    </w:tbl>
    <w:p w14:paraId="2110F42D">
      <w:pPr>
        <w:pStyle w:val="8"/>
        <w:spacing w:before="0" w:beforeAutospacing="0" w:after="0" w:afterAutospacing="0" w:line="360" w:lineRule="auto"/>
        <w:ind w:firstLine="420"/>
        <w:rPr>
          <w:sz w:val="21"/>
          <w:szCs w:val="21"/>
        </w:rPr>
      </w:pPr>
      <w:r>
        <w:rPr>
          <w:rFonts w:hint="eastAsia"/>
          <w:b/>
          <w:bCs/>
          <w:sz w:val="21"/>
          <w:szCs w:val="21"/>
        </w:rPr>
        <w:t>(10)珠海盈米基金销售有限公司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33A2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5330A">
            <w:pPr>
              <w:pStyle w:val="8"/>
            </w:pPr>
            <w:r>
              <w:rPr>
                <w:rFonts w:hint="eastAsia"/>
              </w:rPr>
              <w:t xml:space="preserve">注册地址： </w:t>
            </w:r>
          </w:p>
        </w:tc>
        <w:tc>
          <w:tcPr>
            <w:tcW w:w="7440" w:type="dxa"/>
            <w:shd w:val="clear" w:color="auto" w:fill="auto"/>
          </w:tcPr>
          <w:p w14:paraId="366CF048">
            <w:pPr>
              <w:pStyle w:val="8"/>
            </w:pPr>
            <w:r>
              <w:rPr>
                <w:rFonts w:hint="eastAsia"/>
              </w:rPr>
              <w:t xml:space="preserve">珠海市横琴新区宝华路6号105室-3491 </w:t>
            </w:r>
          </w:p>
        </w:tc>
      </w:tr>
      <w:tr w14:paraId="4F054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31721">
            <w:pPr>
              <w:pStyle w:val="8"/>
            </w:pPr>
            <w:r>
              <w:rPr>
                <w:rFonts w:hint="eastAsia"/>
              </w:rPr>
              <w:t xml:space="preserve">办公地址： </w:t>
            </w:r>
          </w:p>
        </w:tc>
        <w:tc>
          <w:tcPr>
            <w:tcW w:w="7440" w:type="dxa"/>
            <w:shd w:val="clear" w:color="auto" w:fill="auto"/>
          </w:tcPr>
          <w:p w14:paraId="06A3DFB8">
            <w:pPr>
              <w:pStyle w:val="8"/>
            </w:pPr>
            <w:r>
              <w:rPr>
                <w:rFonts w:hint="eastAsia"/>
              </w:rPr>
              <w:t xml:space="preserve">广州市海珠区琶洲大道东1号保利国际广场南塔12楼B1201-1203 </w:t>
            </w:r>
          </w:p>
        </w:tc>
      </w:tr>
      <w:tr w14:paraId="762AC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0277A">
            <w:pPr>
              <w:pStyle w:val="8"/>
            </w:pPr>
            <w:r>
              <w:rPr>
                <w:rFonts w:hint="eastAsia"/>
              </w:rPr>
              <w:t xml:space="preserve">法定代表人： </w:t>
            </w:r>
          </w:p>
        </w:tc>
        <w:tc>
          <w:tcPr>
            <w:tcW w:w="7440" w:type="dxa"/>
            <w:shd w:val="clear" w:color="auto" w:fill="auto"/>
          </w:tcPr>
          <w:p w14:paraId="697827B0">
            <w:pPr>
              <w:pStyle w:val="8"/>
            </w:pPr>
            <w:r>
              <w:rPr>
                <w:rFonts w:hint="eastAsia"/>
              </w:rPr>
              <w:t xml:space="preserve">肖雯 </w:t>
            </w:r>
          </w:p>
        </w:tc>
      </w:tr>
      <w:tr w14:paraId="3EC00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F1996">
            <w:pPr>
              <w:pStyle w:val="8"/>
            </w:pPr>
            <w:r>
              <w:rPr>
                <w:rFonts w:hint="eastAsia"/>
              </w:rPr>
              <w:t xml:space="preserve">联系人： </w:t>
            </w:r>
          </w:p>
        </w:tc>
        <w:tc>
          <w:tcPr>
            <w:tcW w:w="7440" w:type="dxa"/>
            <w:shd w:val="clear" w:color="auto" w:fill="auto"/>
          </w:tcPr>
          <w:p w14:paraId="7F226DB3">
            <w:pPr>
              <w:pStyle w:val="8"/>
            </w:pPr>
            <w:r>
              <w:rPr>
                <w:rFonts w:hint="eastAsia"/>
              </w:rPr>
              <w:t xml:space="preserve">吴煜浩 </w:t>
            </w:r>
          </w:p>
        </w:tc>
      </w:tr>
      <w:tr w14:paraId="7414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A194B">
            <w:pPr>
              <w:pStyle w:val="8"/>
            </w:pPr>
            <w:r>
              <w:rPr>
                <w:rFonts w:hint="eastAsia"/>
              </w:rPr>
              <w:t xml:space="preserve">电话： </w:t>
            </w:r>
          </w:p>
        </w:tc>
        <w:tc>
          <w:tcPr>
            <w:tcW w:w="7440" w:type="dxa"/>
            <w:shd w:val="clear" w:color="auto" w:fill="auto"/>
          </w:tcPr>
          <w:p w14:paraId="7031E26A">
            <w:pPr>
              <w:pStyle w:val="8"/>
            </w:pPr>
            <w:r>
              <w:rPr>
                <w:rFonts w:hint="eastAsia"/>
              </w:rPr>
              <w:t xml:space="preserve">020-89629099 </w:t>
            </w:r>
          </w:p>
        </w:tc>
      </w:tr>
      <w:tr w14:paraId="3D7BB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4ABDD">
            <w:pPr>
              <w:pStyle w:val="8"/>
            </w:pPr>
            <w:r>
              <w:rPr>
                <w:rFonts w:hint="eastAsia"/>
              </w:rPr>
              <w:t xml:space="preserve">传真： </w:t>
            </w:r>
          </w:p>
        </w:tc>
        <w:tc>
          <w:tcPr>
            <w:tcW w:w="7440" w:type="dxa"/>
            <w:shd w:val="clear" w:color="auto" w:fill="auto"/>
          </w:tcPr>
          <w:p w14:paraId="42A3665B">
            <w:pPr>
              <w:pStyle w:val="8"/>
            </w:pPr>
            <w:r>
              <w:rPr>
                <w:rFonts w:hint="eastAsia"/>
              </w:rPr>
              <w:t xml:space="preserve">020-89629011 </w:t>
            </w:r>
          </w:p>
        </w:tc>
      </w:tr>
      <w:tr w14:paraId="68F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38C5A">
            <w:pPr>
              <w:pStyle w:val="8"/>
            </w:pPr>
            <w:r>
              <w:rPr>
                <w:rFonts w:hint="eastAsia"/>
              </w:rPr>
              <w:t xml:space="preserve">客户服务电话： </w:t>
            </w:r>
          </w:p>
        </w:tc>
        <w:tc>
          <w:tcPr>
            <w:tcW w:w="7440" w:type="dxa"/>
            <w:shd w:val="clear" w:color="auto" w:fill="auto"/>
          </w:tcPr>
          <w:p w14:paraId="5480838E">
            <w:pPr>
              <w:pStyle w:val="8"/>
            </w:pPr>
            <w:r>
              <w:rPr>
                <w:rFonts w:hint="eastAsia"/>
              </w:rPr>
              <w:t xml:space="preserve">020-89629066 </w:t>
            </w:r>
          </w:p>
        </w:tc>
      </w:tr>
      <w:tr w14:paraId="251C8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66FBC">
            <w:pPr>
              <w:pStyle w:val="8"/>
            </w:pPr>
            <w:r>
              <w:rPr>
                <w:rFonts w:hint="eastAsia"/>
              </w:rPr>
              <w:t xml:space="preserve">网址： </w:t>
            </w:r>
          </w:p>
        </w:tc>
        <w:tc>
          <w:tcPr>
            <w:tcW w:w="7440" w:type="dxa"/>
            <w:shd w:val="clear" w:color="auto" w:fill="auto"/>
          </w:tcPr>
          <w:p w14:paraId="542D7CF3">
            <w:pPr>
              <w:pStyle w:val="8"/>
            </w:pPr>
            <w:r>
              <w:rPr>
                <w:rFonts w:hint="eastAsia"/>
              </w:rPr>
              <w:t xml:space="preserve">www.yingmi.cn </w:t>
            </w:r>
          </w:p>
        </w:tc>
      </w:tr>
    </w:tbl>
    <w:p w14:paraId="35FA5998">
      <w:pPr>
        <w:pStyle w:val="8"/>
        <w:spacing w:before="0" w:beforeAutospacing="0" w:after="0" w:afterAutospacing="0" w:line="360" w:lineRule="auto"/>
        <w:ind w:firstLine="420"/>
        <w:rPr>
          <w:sz w:val="21"/>
          <w:szCs w:val="21"/>
        </w:rPr>
      </w:pPr>
      <w:r>
        <w:rPr>
          <w:rFonts w:hint="eastAsia"/>
          <w:b/>
          <w:bCs/>
          <w:sz w:val="21"/>
          <w:szCs w:val="21"/>
        </w:rPr>
        <w:t>(11)中信期货有限公司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D1C2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71E79">
            <w:pPr>
              <w:pStyle w:val="8"/>
            </w:pPr>
            <w:r>
              <w:rPr>
                <w:rFonts w:hint="eastAsia"/>
              </w:rPr>
              <w:t xml:space="preserve">注册地址： </w:t>
            </w:r>
          </w:p>
        </w:tc>
        <w:tc>
          <w:tcPr>
            <w:tcW w:w="7440" w:type="dxa"/>
            <w:shd w:val="clear" w:color="auto" w:fill="auto"/>
          </w:tcPr>
          <w:p w14:paraId="6DCA156A">
            <w:pPr>
              <w:pStyle w:val="8"/>
            </w:pPr>
            <w:r>
              <w:rPr>
                <w:rFonts w:hint="eastAsia"/>
              </w:rPr>
              <w:t xml:space="preserve">深圳市福田区中心三路8号卓越时代广场（二期）北座13层1301-1305室、14层 </w:t>
            </w:r>
          </w:p>
        </w:tc>
      </w:tr>
      <w:tr w14:paraId="7CB5A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E8BD0">
            <w:pPr>
              <w:pStyle w:val="8"/>
            </w:pPr>
            <w:r>
              <w:rPr>
                <w:rFonts w:hint="eastAsia"/>
              </w:rPr>
              <w:t xml:space="preserve">办公地址： </w:t>
            </w:r>
          </w:p>
        </w:tc>
        <w:tc>
          <w:tcPr>
            <w:tcW w:w="7440" w:type="dxa"/>
            <w:shd w:val="clear" w:color="auto" w:fill="auto"/>
          </w:tcPr>
          <w:p w14:paraId="6824A47B">
            <w:pPr>
              <w:pStyle w:val="8"/>
            </w:pPr>
            <w:r>
              <w:rPr>
                <w:rFonts w:hint="eastAsia"/>
              </w:rPr>
              <w:t xml:space="preserve">深圳市福田区中心三路8号卓越时代广场（二期）北座13层1301-1305室、14层 </w:t>
            </w:r>
          </w:p>
        </w:tc>
      </w:tr>
      <w:tr w14:paraId="44A6C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0801F">
            <w:pPr>
              <w:pStyle w:val="8"/>
            </w:pPr>
            <w:r>
              <w:rPr>
                <w:rFonts w:hint="eastAsia"/>
              </w:rPr>
              <w:t xml:space="preserve">法定代表人： </w:t>
            </w:r>
          </w:p>
        </w:tc>
        <w:tc>
          <w:tcPr>
            <w:tcW w:w="7440" w:type="dxa"/>
            <w:shd w:val="clear" w:color="auto" w:fill="auto"/>
          </w:tcPr>
          <w:p w14:paraId="1DF0BEC0">
            <w:pPr>
              <w:pStyle w:val="8"/>
            </w:pPr>
            <w:r>
              <w:rPr>
                <w:rFonts w:hint="eastAsia"/>
              </w:rPr>
              <w:t xml:space="preserve">张皓 </w:t>
            </w:r>
          </w:p>
        </w:tc>
      </w:tr>
      <w:tr w14:paraId="7C92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954D9">
            <w:pPr>
              <w:pStyle w:val="8"/>
            </w:pPr>
            <w:r>
              <w:rPr>
                <w:rFonts w:hint="eastAsia"/>
              </w:rPr>
              <w:t xml:space="preserve">联系人： </w:t>
            </w:r>
          </w:p>
        </w:tc>
        <w:tc>
          <w:tcPr>
            <w:tcW w:w="7440" w:type="dxa"/>
            <w:shd w:val="clear" w:color="auto" w:fill="auto"/>
          </w:tcPr>
          <w:p w14:paraId="5F8099AB">
            <w:pPr>
              <w:pStyle w:val="8"/>
            </w:pPr>
            <w:r>
              <w:rPr>
                <w:rFonts w:hint="eastAsia"/>
              </w:rPr>
              <w:t xml:space="preserve">梁美娜 </w:t>
            </w:r>
          </w:p>
        </w:tc>
      </w:tr>
      <w:tr w14:paraId="78179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737E1A">
            <w:pPr>
              <w:pStyle w:val="8"/>
            </w:pPr>
            <w:r>
              <w:rPr>
                <w:rFonts w:hint="eastAsia"/>
              </w:rPr>
              <w:t xml:space="preserve">电话： </w:t>
            </w:r>
          </w:p>
        </w:tc>
        <w:tc>
          <w:tcPr>
            <w:tcW w:w="7440" w:type="dxa"/>
            <w:shd w:val="clear" w:color="auto" w:fill="auto"/>
          </w:tcPr>
          <w:p w14:paraId="1A6E6311">
            <w:pPr>
              <w:pStyle w:val="8"/>
            </w:pPr>
            <w:r>
              <w:rPr>
                <w:rFonts w:hint="eastAsia"/>
              </w:rPr>
              <w:t xml:space="preserve">021-80365243 </w:t>
            </w:r>
          </w:p>
        </w:tc>
      </w:tr>
      <w:tr w14:paraId="5099E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82D2E">
            <w:pPr>
              <w:pStyle w:val="8"/>
            </w:pPr>
            <w:r>
              <w:rPr>
                <w:rFonts w:hint="eastAsia"/>
              </w:rPr>
              <w:t xml:space="preserve">传真： </w:t>
            </w:r>
          </w:p>
        </w:tc>
        <w:tc>
          <w:tcPr>
            <w:tcW w:w="7440" w:type="dxa"/>
            <w:shd w:val="clear" w:color="auto" w:fill="auto"/>
          </w:tcPr>
          <w:p w14:paraId="1721C188">
            <w:pPr>
              <w:pStyle w:val="8"/>
            </w:pPr>
            <w:r>
              <w:rPr>
                <w:rFonts w:hint="eastAsia"/>
              </w:rPr>
              <w:t xml:space="preserve">021-60819988 </w:t>
            </w:r>
          </w:p>
        </w:tc>
      </w:tr>
      <w:tr w14:paraId="1E5D1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7197A7">
            <w:pPr>
              <w:pStyle w:val="8"/>
            </w:pPr>
            <w:r>
              <w:rPr>
                <w:rFonts w:hint="eastAsia"/>
              </w:rPr>
              <w:t xml:space="preserve">客户服务电话： </w:t>
            </w:r>
          </w:p>
        </w:tc>
        <w:tc>
          <w:tcPr>
            <w:tcW w:w="7440" w:type="dxa"/>
            <w:shd w:val="clear" w:color="auto" w:fill="auto"/>
          </w:tcPr>
          <w:p w14:paraId="0619F439">
            <w:pPr>
              <w:pStyle w:val="8"/>
            </w:pPr>
            <w:r>
              <w:rPr>
                <w:rFonts w:hint="eastAsia"/>
              </w:rPr>
              <w:t xml:space="preserve">400-990-8826 </w:t>
            </w:r>
          </w:p>
        </w:tc>
      </w:tr>
      <w:tr w14:paraId="35EA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F8FFE">
            <w:pPr>
              <w:pStyle w:val="8"/>
            </w:pPr>
            <w:r>
              <w:rPr>
                <w:rFonts w:hint="eastAsia"/>
              </w:rPr>
              <w:t xml:space="preserve">网址： </w:t>
            </w:r>
          </w:p>
        </w:tc>
        <w:tc>
          <w:tcPr>
            <w:tcW w:w="7440" w:type="dxa"/>
            <w:shd w:val="clear" w:color="auto" w:fill="auto"/>
          </w:tcPr>
          <w:p w14:paraId="66B85461">
            <w:pPr>
              <w:pStyle w:val="8"/>
            </w:pPr>
            <w:r>
              <w:rPr>
                <w:rFonts w:hint="eastAsia"/>
              </w:rPr>
              <w:t xml:space="preserve">www.citicsf.com </w:t>
            </w:r>
          </w:p>
        </w:tc>
      </w:tr>
    </w:tbl>
    <w:p w14:paraId="6F984417">
      <w:pPr>
        <w:pStyle w:val="8"/>
        <w:spacing w:before="0" w:beforeAutospacing="0" w:after="0" w:afterAutospacing="0" w:line="360" w:lineRule="auto"/>
        <w:ind w:firstLine="420"/>
        <w:rPr>
          <w:sz w:val="21"/>
          <w:szCs w:val="21"/>
        </w:rPr>
      </w:pPr>
      <w:r>
        <w:rPr>
          <w:rFonts w:hint="eastAsia"/>
          <w:b/>
          <w:bCs/>
          <w:sz w:val="21"/>
          <w:szCs w:val="21"/>
        </w:rPr>
        <w:t>(12)招商证券股份有限公司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DC8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C4829">
            <w:pPr>
              <w:pStyle w:val="8"/>
            </w:pPr>
            <w:r>
              <w:rPr>
                <w:rFonts w:hint="eastAsia"/>
              </w:rPr>
              <w:t xml:space="preserve">注册地址： </w:t>
            </w:r>
          </w:p>
        </w:tc>
        <w:tc>
          <w:tcPr>
            <w:tcW w:w="7440" w:type="dxa"/>
            <w:shd w:val="clear" w:color="auto" w:fill="auto"/>
          </w:tcPr>
          <w:p w14:paraId="7686B2F9">
            <w:pPr>
              <w:pStyle w:val="8"/>
            </w:pPr>
            <w:r>
              <w:rPr>
                <w:rFonts w:hint="eastAsia"/>
              </w:rPr>
              <w:t xml:space="preserve">深圳市福田区福田街道福华一路111号 </w:t>
            </w:r>
          </w:p>
        </w:tc>
      </w:tr>
      <w:tr w14:paraId="0F21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CA045">
            <w:pPr>
              <w:pStyle w:val="8"/>
            </w:pPr>
            <w:r>
              <w:rPr>
                <w:rFonts w:hint="eastAsia"/>
              </w:rPr>
              <w:t xml:space="preserve">办公地址： </w:t>
            </w:r>
          </w:p>
        </w:tc>
        <w:tc>
          <w:tcPr>
            <w:tcW w:w="7440" w:type="dxa"/>
            <w:shd w:val="clear" w:color="auto" w:fill="auto"/>
          </w:tcPr>
          <w:p w14:paraId="41C539D4">
            <w:pPr>
              <w:pStyle w:val="8"/>
            </w:pPr>
            <w:r>
              <w:rPr>
                <w:rFonts w:hint="eastAsia"/>
              </w:rPr>
              <w:t xml:space="preserve">深圳市福田区福华一路111号招商证券大厦23楼  </w:t>
            </w:r>
          </w:p>
        </w:tc>
      </w:tr>
      <w:tr w14:paraId="67B3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F8A7F">
            <w:pPr>
              <w:pStyle w:val="8"/>
            </w:pPr>
            <w:r>
              <w:rPr>
                <w:rFonts w:hint="eastAsia"/>
              </w:rPr>
              <w:t xml:space="preserve">法定代表人： </w:t>
            </w:r>
          </w:p>
        </w:tc>
        <w:tc>
          <w:tcPr>
            <w:tcW w:w="7440" w:type="dxa"/>
            <w:shd w:val="clear" w:color="auto" w:fill="auto"/>
          </w:tcPr>
          <w:p w14:paraId="5677554C">
            <w:pPr>
              <w:pStyle w:val="8"/>
            </w:pPr>
            <w:r>
              <w:rPr>
                <w:rFonts w:hint="eastAsia"/>
              </w:rPr>
              <w:t xml:space="preserve">霍达 </w:t>
            </w:r>
          </w:p>
        </w:tc>
      </w:tr>
      <w:tr w14:paraId="7C985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909A5">
            <w:pPr>
              <w:pStyle w:val="8"/>
            </w:pPr>
            <w:r>
              <w:rPr>
                <w:rFonts w:hint="eastAsia"/>
              </w:rPr>
              <w:t xml:space="preserve">联系人： </w:t>
            </w:r>
          </w:p>
        </w:tc>
        <w:tc>
          <w:tcPr>
            <w:tcW w:w="7440" w:type="dxa"/>
            <w:shd w:val="clear" w:color="auto" w:fill="auto"/>
          </w:tcPr>
          <w:p w14:paraId="42CA9616">
            <w:pPr>
              <w:pStyle w:val="8"/>
            </w:pPr>
            <w:r>
              <w:rPr>
                <w:rFonts w:hint="eastAsia"/>
              </w:rPr>
              <w:t xml:space="preserve">业清扬 </w:t>
            </w:r>
          </w:p>
        </w:tc>
      </w:tr>
      <w:tr w14:paraId="6E8BA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51AA6">
            <w:pPr>
              <w:pStyle w:val="8"/>
            </w:pPr>
            <w:r>
              <w:rPr>
                <w:rFonts w:hint="eastAsia"/>
              </w:rPr>
              <w:t xml:space="preserve">电话： </w:t>
            </w:r>
          </w:p>
        </w:tc>
        <w:tc>
          <w:tcPr>
            <w:tcW w:w="7440" w:type="dxa"/>
            <w:shd w:val="clear" w:color="auto" w:fill="auto"/>
          </w:tcPr>
          <w:p w14:paraId="5A8749D7">
            <w:pPr>
              <w:pStyle w:val="8"/>
            </w:pPr>
            <w:r>
              <w:rPr>
                <w:rFonts w:hint="eastAsia"/>
              </w:rPr>
              <w:t xml:space="preserve">0755-83081954 </w:t>
            </w:r>
          </w:p>
        </w:tc>
      </w:tr>
      <w:tr w14:paraId="5D28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7F66C">
            <w:pPr>
              <w:pStyle w:val="8"/>
            </w:pPr>
            <w:r>
              <w:rPr>
                <w:rFonts w:hint="eastAsia"/>
              </w:rPr>
              <w:t xml:space="preserve">传真： </w:t>
            </w:r>
          </w:p>
        </w:tc>
        <w:tc>
          <w:tcPr>
            <w:tcW w:w="7440" w:type="dxa"/>
            <w:shd w:val="clear" w:color="auto" w:fill="auto"/>
          </w:tcPr>
          <w:p w14:paraId="06AF7734">
            <w:pPr>
              <w:pStyle w:val="8"/>
            </w:pPr>
            <w:r>
              <w:rPr>
                <w:rFonts w:hint="eastAsia"/>
              </w:rPr>
              <w:t xml:space="preserve">0755-83734343 </w:t>
            </w:r>
          </w:p>
        </w:tc>
      </w:tr>
      <w:tr w14:paraId="01C2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C55C9">
            <w:pPr>
              <w:pStyle w:val="8"/>
            </w:pPr>
            <w:r>
              <w:rPr>
                <w:rFonts w:hint="eastAsia"/>
              </w:rPr>
              <w:t xml:space="preserve">客户服务电话： </w:t>
            </w:r>
          </w:p>
        </w:tc>
        <w:tc>
          <w:tcPr>
            <w:tcW w:w="7440" w:type="dxa"/>
            <w:shd w:val="clear" w:color="auto" w:fill="auto"/>
          </w:tcPr>
          <w:p w14:paraId="13C3CD4D">
            <w:pPr>
              <w:pStyle w:val="8"/>
            </w:pPr>
            <w:r>
              <w:rPr>
                <w:rFonts w:hint="eastAsia"/>
              </w:rPr>
              <w:t xml:space="preserve">95565 </w:t>
            </w:r>
          </w:p>
        </w:tc>
      </w:tr>
      <w:tr w14:paraId="39663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88CB12">
            <w:pPr>
              <w:pStyle w:val="8"/>
            </w:pPr>
            <w:r>
              <w:rPr>
                <w:rFonts w:hint="eastAsia"/>
              </w:rPr>
              <w:t xml:space="preserve">网址： </w:t>
            </w:r>
          </w:p>
        </w:tc>
        <w:tc>
          <w:tcPr>
            <w:tcW w:w="7440" w:type="dxa"/>
            <w:shd w:val="clear" w:color="auto" w:fill="auto"/>
          </w:tcPr>
          <w:p w14:paraId="7F9D7644">
            <w:pPr>
              <w:pStyle w:val="8"/>
            </w:pPr>
            <w:r>
              <w:rPr>
                <w:rFonts w:hint="eastAsia"/>
              </w:rPr>
              <w:t xml:space="preserve">http://www.cmschina.com/ </w:t>
            </w:r>
          </w:p>
        </w:tc>
      </w:tr>
    </w:tbl>
    <w:p w14:paraId="6BA2DAD6">
      <w:pPr>
        <w:pStyle w:val="8"/>
        <w:spacing w:before="0" w:beforeAutospacing="0" w:after="0" w:afterAutospacing="0" w:line="360" w:lineRule="auto"/>
        <w:ind w:firstLine="420"/>
        <w:rPr>
          <w:sz w:val="21"/>
          <w:szCs w:val="21"/>
        </w:rPr>
      </w:pPr>
      <w:r>
        <w:rPr>
          <w:rFonts w:hint="eastAsia"/>
          <w:b/>
          <w:bCs/>
          <w:sz w:val="21"/>
          <w:szCs w:val="21"/>
        </w:rPr>
        <w:t>(13)中信证券股份有限公司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F4F1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04077">
            <w:pPr>
              <w:pStyle w:val="8"/>
            </w:pPr>
            <w:r>
              <w:rPr>
                <w:rFonts w:hint="eastAsia"/>
              </w:rPr>
              <w:t xml:space="preserve">注册地址： </w:t>
            </w:r>
          </w:p>
        </w:tc>
        <w:tc>
          <w:tcPr>
            <w:tcW w:w="7440" w:type="dxa"/>
            <w:shd w:val="clear" w:color="auto" w:fill="auto"/>
          </w:tcPr>
          <w:p w14:paraId="6EC1FDA1">
            <w:pPr>
              <w:pStyle w:val="8"/>
            </w:pPr>
            <w:r>
              <w:rPr>
                <w:rFonts w:hint="eastAsia"/>
              </w:rPr>
              <w:t xml:space="preserve">广东省深圳市福田区中心三路8号卓越时代广场（二期）北座 </w:t>
            </w:r>
          </w:p>
        </w:tc>
      </w:tr>
      <w:tr w14:paraId="3956C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D4BCB">
            <w:pPr>
              <w:pStyle w:val="8"/>
            </w:pPr>
            <w:r>
              <w:rPr>
                <w:rFonts w:hint="eastAsia"/>
              </w:rPr>
              <w:t xml:space="preserve">办公地址： </w:t>
            </w:r>
          </w:p>
        </w:tc>
        <w:tc>
          <w:tcPr>
            <w:tcW w:w="7440" w:type="dxa"/>
            <w:shd w:val="clear" w:color="auto" w:fill="auto"/>
          </w:tcPr>
          <w:p w14:paraId="743A346C">
            <w:pPr>
              <w:pStyle w:val="8"/>
            </w:pPr>
            <w:r>
              <w:rPr>
                <w:rFonts w:hint="eastAsia"/>
              </w:rPr>
              <w:t xml:space="preserve">北京朝阳区新源南路6号京城大厦 </w:t>
            </w:r>
          </w:p>
        </w:tc>
      </w:tr>
      <w:tr w14:paraId="7707D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0C2E6">
            <w:pPr>
              <w:pStyle w:val="8"/>
            </w:pPr>
            <w:r>
              <w:rPr>
                <w:rFonts w:hint="eastAsia"/>
              </w:rPr>
              <w:t xml:space="preserve">法定代表人： </w:t>
            </w:r>
          </w:p>
        </w:tc>
        <w:tc>
          <w:tcPr>
            <w:tcW w:w="7440" w:type="dxa"/>
            <w:shd w:val="clear" w:color="auto" w:fill="auto"/>
          </w:tcPr>
          <w:p w14:paraId="10093B94">
            <w:pPr>
              <w:pStyle w:val="8"/>
            </w:pPr>
            <w:r>
              <w:rPr>
                <w:rFonts w:hint="eastAsia"/>
              </w:rPr>
              <w:t xml:space="preserve">张佑君 </w:t>
            </w:r>
          </w:p>
        </w:tc>
      </w:tr>
      <w:tr w14:paraId="54A0B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EE378">
            <w:pPr>
              <w:pStyle w:val="8"/>
            </w:pPr>
            <w:r>
              <w:rPr>
                <w:rFonts w:hint="eastAsia"/>
              </w:rPr>
              <w:t xml:space="preserve">联系人： </w:t>
            </w:r>
          </w:p>
        </w:tc>
        <w:tc>
          <w:tcPr>
            <w:tcW w:w="7440" w:type="dxa"/>
            <w:shd w:val="clear" w:color="auto" w:fill="auto"/>
          </w:tcPr>
          <w:p w14:paraId="3F1591CE">
            <w:pPr>
              <w:pStyle w:val="8"/>
            </w:pPr>
            <w:r>
              <w:rPr>
                <w:rFonts w:hint="eastAsia"/>
              </w:rPr>
              <w:t xml:space="preserve">杜杰 </w:t>
            </w:r>
          </w:p>
        </w:tc>
      </w:tr>
      <w:tr w14:paraId="5B17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0A540">
            <w:pPr>
              <w:pStyle w:val="8"/>
            </w:pPr>
            <w:r>
              <w:rPr>
                <w:rFonts w:hint="eastAsia"/>
              </w:rPr>
              <w:t xml:space="preserve">电话： </w:t>
            </w:r>
          </w:p>
        </w:tc>
        <w:tc>
          <w:tcPr>
            <w:tcW w:w="7440" w:type="dxa"/>
            <w:shd w:val="clear" w:color="auto" w:fill="auto"/>
          </w:tcPr>
          <w:p w14:paraId="60BC06D5">
            <w:pPr>
              <w:pStyle w:val="8"/>
            </w:pPr>
            <w:r>
              <w:rPr>
                <w:rFonts w:hint="eastAsia"/>
              </w:rPr>
              <w:t xml:space="preserve">010-60833889  </w:t>
            </w:r>
          </w:p>
        </w:tc>
      </w:tr>
      <w:tr w14:paraId="6584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A9272">
            <w:pPr>
              <w:pStyle w:val="8"/>
            </w:pPr>
            <w:r>
              <w:rPr>
                <w:rFonts w:hint="eastAsia"/>
              </w:rPr>
              <w:t xml:space="preserve">传真： </w:t>
            </w:r>
          </w:p>
        </w:tc>
        <w:tc>
          <w:tcPr>
            <w:tcW w:w="7440" w:type="dxa"/>
            <w:shd w:val="clear" w:color="auto" w:fill="auto"/>
          </w:tcPr>
          <w:p w14:paraId="3F7F4B8E">
            <w:pPr>
              <w:pStyle w:val="8"/>
            </w:pPr>
            <w:r>
              <w:rPr>
                <w:rFonts w:hint="eastAsia"/>
              </w:rPr>
              <w:t xml:space="preserve">010－84865560 </w:t>
            </w:r>
          </w:p>
        </w:tc>
      </w:tr>
      <w:tr w14:paraId="7F64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E2A58">
            <w:pPr>
              <w:pStyle w:val="8"/>
            </w:pPr>
            <w:r>
              <w:rPr>
                <w:rFonts w:hint="eastAsia"/>
              </w:rPr>
              <w:t xml:space="preserve">客户服务电话： </w:t>
            </w:r>
          </w:p>
        </w:tc>
        <w:tc>
          <w:tcPr>
            <w:tcW w:w="7440" w:type="dxa"/>
            <w:shd w:val="clear" w:color="auto" w:fill="auto"/>
          </w:tcPr>
          <w:p w14:paraId="4D7CF4BA">
            <w:pPr>
              <w:pStyle w:val="8"/>
            </w:pPr>
            <w:r>
              <w:rPr>
                <w:rFonts w:hint="eastAsia"/>
              </w:rPr>
              <w:t xml:space="preserve">95548 </w:t>
            </w:r>
          </w:p>
        </w:tc>
      </w:tr>
      <w:tr w14:paraId="10E70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4616D">
            <w:pPr>
              <w:pStyle w:val="8"/>
            </w:pPr>
            <w:r>
              <w:rPr>
                <w:rFonts w:hint="eastAsia"/>
              </w:rPr>
              <w:t xml:space="preserve">网址： </w:t>
            </w:r>
          </w:p>
        </w:tc>
        <w:tc>
          <w:tcPr>
            <w:tcW w:w="7440" w:type="dxa"/>
            <w:shd w:val="clear" w:color="auto" w:fill="auto"/>
          </w:tcPr>
          <w:p w14:paraId="21FDC998">
            <w:pPr>
              <w:pStyle w:val="8"/>
            </w:pPr>
            <w:r>
              <w:rPr>
                <w:rFonts w:hint="eastAsia"/>
              </w:rPr>
              <w:t xml:space="preserve">http://www.cs.ecitic.com/ </w:t>
            </w:r>
          </w:p>
        </w:tc>
      </w:tr>
    </w:tbl>
    <w:p w14:paraId="2A5FF75A">
      <w:pPr>
        <w:pStyle w:val="8"/>
        <w:spacing w:before="0" w:beforeAutospacing="0" w:after="0" w:afterAutospacing="0" w:line="360" w:lineRule="auto"/>
        <w:ind w:firstLine="420"/>
        <w:rPr>
          <w:sz w:val="21"/>
          <w:szCs w:val="21"/>
        </w:rPr>
      </w:pPr>
      <w:r>
        <w:rPr>
          <w:rFonts w:hint="eastAsia"/>
          <w:b/>
          <w:bCs/>
          <w:sz w:val="21"/>
          <w:szCs w:val="21"/>
        </w:rPr>
        <w:t>(14)中信证券（山东）有限责任公司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2E07F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702D2">
            <w:pPr>
              <w:pStyle w:val="8"/>
            </w:pPr>
            <w:r>
              <w:rPr>
                <w:rFonts w:hint="eastAsia"/>
              </w:rPr>
              <w:t xml:space="preserve">注册地址： </w:t>
            </w:r>
          </w:p>
        </w:tc>
        <w:tc>
          <w:tcPr>
            <w:tcW w:w="7440" w:type="dxa"/>
            <w:shd w:val="clear" w:color="auto" w:fill="auto"/>
          </w:tcPr>
          <w:p w14:paraId="68D7C59A">
            <w:pPr>
              <w:pStyle w:val="8"/>
            </w:pPr>
            <w:r>
              <w:rPr>
                <w:rFonts w:hint="eastAsia"/>
              </w:rPr>
              <w:t xml:space="preserve">青岛市崂山区深圳路222号1号楼2001 </w:t>
            </w:r>
          </w:p>
        </w:tc>
      </w:tr>
      <w:tr w14:paraId="774F3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1A70C">
            <w:pPr>
              <w:pStyle w:val="8"/>
            </w:pPr>
            <w:r>
              <w:rPr>
                <w:rFonts w:hint="eastAsia"/>
              </w:rPr>
              <w:t xml:space="preserve">办公地址： </w:t>
            </w:r>
          </w:p>
        </w:tc>
        <w:tc>
          <w:tcPr>
            <w:tcW w:w="7440" w:type="dxa"/>
            <w:shd w:val="clear" w:color="auto" w:fill="auto"/>
          </w:tcPr>
          <w:p w14:paraId="0AA1D082">
            <w:pPr>
              <w:pStyle w:val="8"/>
            </w:pPr>
            <w:r>
              <w:rPr>
                <w:rFonts w:hint="eastAsia"/>
              </w:rPr>
              <w:t xml:space="preserve">青岛市市南区东海西路28号龙翔广场东座5层 </w:t>
            </w:r>
          </w:p>
        </w:tc>
      </w:tr>
      <w:tr w14:paraId="1B98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BD2E7">
            <w:pPr>
              <w:pStyle w:val="8"/>
            </w:pPr>
            <w:r>
              <w:rPr>
                <w:rFonts w:hint="eastAsia"/>
              </w:rPr>
              <w:t xml:space="preserve">法定代表人： </w:t>
            </w:r>
          </w:p>
        </w:tc>
        <w:tc>
          <w:tcPr>
            <w:tcW w:w="7440" w:type="dxa"/>
            <w:shd w:val="clear" w:color="auto" w:fill="auto"/>
          </w:tcPr>
          <w:p w14:paraId="1333C117">
            <w:pPr>
              <w:pStyle w:val="8"/>
            </w:pPr>
            <w:r>
              <w:rPr>
                <w:rFonts w:hint="eastAsia"/>
              </w:rPr>
              <w:t xml:space="preserve">肖海峰 </w:t>
            </w:r>
          </w:p>
        </w:tc>
      </w:tr>
      <w:tr w14:paraId="4A27E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B0B14">
            <w:pPr>
              <w:pStyle w:val="8"/>
            </w:pPr>
            <w:r>
              <w:rPr>
                <w:rFonts w:hint="eastAsia"/>
              </w:rPr>
              <w:t xml:space="preserve">联系人： </w:t>
            </w:r>
          </w:p>
        </w:tc>
        <w:tc>
          <w:tcPr>
            <w:tcW w:w="7440" w:type="dxa"/>
            <w:shd w:val="clear" w:color="auto" w:fill="auto"/>
          </w:tcPr>
          <w:p w14:paraId="77623EFB">
            <w:pPr>
              <w:pStyle w:val="8"/>
            </w:pPr>
            <w:r>
              <w:rPr>
                <w:rFonts w:hint="eastAsia"/>
              </w:rPr>
              <w:t xml:space="preserve">赵如意 </w:t>
            </w:r>
          </w:p>
        </w:tc>
      </w:tr>
      <w:tr w14:paraId="4061B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0434BA">
            <w:pPr>
              <w:pStyle w:val="8"/>
            </w:pPr>
            <w:r>
              <w:rPr>
                <w:rFonts w:hint="eastAsia"/>
              </w:rPr>
              <w:t xml:space="preserve">电话： </w:t>
            </w:r>
          </w:p>
        </w:tc>
        <w:tc>
          <w:tcPr>
            <w:tcW w:w="7440" w:type="dxa"/>
            <w:shd w:val="clear" w:color="auto" w:fill="auto"/>
          </w:tcPr>
          <w:p w14:paraId="6025A82A">
            <w:pPr>
              <w:pStyle w:val="8"/>
            </w:pPr>
            <w:r>
              <w:rPr>
                <w:rFonts w:hint="eastAsia"/>
              </w:rPr>
              <w:t xml:space="preserve">0532-85725062 </w:t>
            </w:r>
          </w:p>
        </w:tc>
      </w:tr>
      <w:tr w14:paraId="6F69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96057">
            <w:pPr>
              <w:pStyle w:val="8"/>
            </w:pPr>
            <w:r>
              <w:rPr>
                <w:rFonts w:hint="eastAsia"/>
              </w:rPr>
              <w:t xml:space="preserve">客户服务电话： </w:t>
            </w:r>
          </w:p>
        </w:tc>
        <w:tc>
          <w:tcPr>
            <w:tcW w:w="7440" w:type="dxa"/>
            <w:shd w:val="clear" w:color="auto" w:fill="auto"/>
          </w:tcPr>
          <w:p w14:paraId="7DED88D3">
            <w:pPr>
              <w:pStyle w:val="8"/>
            </w:pPr>
            <w:r>
              <w:rPr>
                <w:rFonts w:hint="eastAsia"/>
              </w:rPr>
              <w:t xml:space="preserve">95548 </w:t>
            </w:r>
          </w:p>
        </w:tc>
      </w:tr>
      <w:tr w14:paraId="7FFFE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0DCA4C">
            <w:pPr>
              <w:pStyle w:val="8"/>
            </w:pPr>
            <w:r>
              <w:rPr>
                <w:rFonts w:hint="eastAsia"/>
              </w:rPr>
              <w:t xml:space="preserve">网址： </w:t>
            </w:r>
          </w:p>
        </w:tc>
        <w:tc>
          <w:tcPr>
            <w:tcW w:w="7440" w:type="dxa"/>
            <w:shd w:val="clear" w:color="auto" w:fill="auto"/>
          </w:tcPr>
          <w:p w14:paraId="6FC9FAE8">
            <w:pPr>
              <w:pStyle w:val="8"/>
            </w:pPr>
            <w:r>
              <w:rPr>
                <w:rFonts w:hint="eastAsia"/>
              </w:rPr>
              <w:t xml:space="preserve">sd.citics.com </w:t>
            </w:r>
          </w:p>
        </w:tc>
      </w:tr>
    </w:tbl>
    <w:p w14:paraId="193CC240">
      <w:pPr>
        <w:pStyle w:val="8"/>
        <w:spacing w:before="0" w:beforeAutospacing="0" w:after="0" w:afterAutospacing="0" w:line="360" w:lineRule="auto"/>
        <w:ind w:firstLine="420"/>
        <w:rPr>
          <w:sz w:val="21"/>
          <w:szCs w:val="21"/>
        </w:rPr>
      </w:pPr>
      <w:r>
        <w:rPr>
          <w:rFonts w:hint="eastAsia"/>
          <w:b/>
          <w:bCs/>
          <w:sz w:val="21"/>
          <w:szCs w:val="21"/>
        </w:rPr>
        <w:t>(15)中信证券华南股份有限公司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81F0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6F7EB">
            <w:pPr>
              <w:pStyle w:val="8"/>
            </w:pPr>
            <w:r>
              <w:rPr>
                <w:rFonts w:hint="eastAsia"/>
              </w:rPr>
              <w:t xml:space="preserve">注册地址： </w:t>
            </w:r>
          </w:p>
        </w:tc>
        <w:tc>
          <w:tcPr>
            <w:tcW w:w="7440" w:type="dxa"/>
            <w:shd w:val="clear" w:color="auto" w:fill="auto"/>
          </w:tcPr>
          <w:p w14:paraId="7787FAD7">
            <w:pPr>
              <w:pStyle w:val="8"/>
            </w:pPr>
            <w:r>
              <w:rPr>
                <w:rFonts w:hint="eastAsia"/>
              </w:rPr>
              <w:t xml:space="preserve">广州市天河区珠江西路5号广州国际金融中心主塔19层、20层 </w:t>
            </w:r>
          </w:p>
        </w:tc>
      </w:tr>
      <w:tr w14:paraId="6485B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B44CF">
            <w:pPr>
              <w:pStyle w:val="8"/>
            </w:pPr>
            <w:r>
              <w:rPr>
                <w:rFonts w:hint="eastAsia"/>
              </w:rPr>
              <w:t xml:space="preserve">办公地址： </w:t>
            </w:r>
          </w:p>
        </w:tc>
        <w:tc>
          <w:tcPr>
            <w:tcW w:w="7440" w:type="dxa"/>
            <w:shd w:val="clear" w:color="auto" w:fill="auto"/>
          </w:tcPr>
          <w:p w14:paraId="042411F0">
            <w:pPr>
              <w:pStyle w:val="8"/>
            </w:pPr>
            <w:r>
              <w:rPr>
                <w:rFonts w:hint="eastAsia"/>
              </w:rPr>
              <w:t xml:space="preserve">广州市天河区珠江西路5号广州国际金融中心主塔19层、20层 </w:t>
            </w:r>
          </w:p>
        </w:tc>
      </w:tr>
      <w:tr w14:paraId="10CE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88EAB">
            <w:pPr>
              <w:pStyle w:val="8"/>
            </w:pPr>
            <w:r>
              <w:rPr>
                <w:rFonts w:hint="eastAsia"/>
              </w:rPr>
              <w:t xml:space="preserve">法定代表人： </w:t>
            </w:r>
          </w:p>
        </w:tc>
        <w:tc>
          <w:tcPr>
            <w:tcW w:w="7440" w:type="dxa"/>
            <w:shd w:val="clear" w:color="auto" w:fill="auto"/>
          </w:tcPr>
          <w:p w14:paraId="22CD694B">
            <w:pPr>
              <w:pStyle w:val="8"/>
            </w:pPr>
            <w:r>
              <w:rPr>
                <w:rFonts w:hint="eastAsia"/>
              </w:rPr>
              <w:t xml:space="preserve">陈可可 </w:t>
            </w:r>
          </w:p>
        </w:tc>
      </w:tr>
      <w:tr w14:paraId="272E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C0B9A">
            <w:pPr>
              <w:pStyle w:val="8"/>
            </w:pPr>
            <w:r>
              <w:rPr>
                <w:rFonts w:hint="eastAsia"/>
              </w:rPr>
              <w:t xml:space="preserve">联系人： </w:t>
            </w:r>
          </w:p>
        </w:tc>
        <w:tc>
          <w:tcPr>
            <w:tcW w:w="7440" w:type="dxa"/>
            <w:shd w:val="clear" w:color="auto" w:fill="auto"/>
          </w:tcPr>
          <w:p w14:paraId="65977700">
            <w:pPr>
              <w:pStyle w:val="8"/>
            </w:pPr>
            <w:r>
              <w:rPr>
                <w:rFonts w:hint="eastAsia"/>
              </w:rPr>
              <w:t xml:space="preserve">郭杏燕 </w:t>
            </w:r>
          </w:p>
        </w:tc>
      </w:tr>
      <w:tr w14:paraId="136E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6D7A0">
            <w:pPr>
              <w:pStyle w:val="8"/>
            </w:pPr>
            <w:r>
              <w:rPr>
                <w:rFonts w:hint="eastAsia"/>
              </w:rPr>
              <w:t xml:space="preserve">电话： </w:t>
            </w:r>
          </w:p>
        </w:tc>
        <w:tc>
          <w:tcPr>
            <w:tcW w:w="7440" w:type="dxa"/>
            <w:shd w:val="clear" w:color="auto" w:fill="auto"/>
          </w:tcPr>
          <w:p w14:paraId="24C4A4CE">
            <w:pPr>
              <w:pStyle w:val="8"/>
            </w:pPr>
            <w:r>
              <w:rPr>
                <w:rFonts w:hint="eastAsia"/>
              </w:rPr>
              <w:t xml:space="preserve">020-88836999 </w:t>
            </w:r>
          </w:p>
        </w:tc>
      </w:tr>
      <w:tr w14:paraId="0EDA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4C991">
            <w:pPr>
              <w:pStyle w:val="8"/>
            </w:pPr>
            <w:r>
              <w:rPr>
                <w:rFonts w:hint="eastAsia"/>
              </w:rPr>
              <w:t xml:space="preserve">传真： </w:t>
            </w:r>
          </w:p>
        </w:tc>
        <w:tc>
          <w:tcPr>
            <w:tcW w:w="7440" w:type="dxa"/>
            <w:shd w:val="clear" w:color="auto" w:fill="auto"/>
          </w:tcPr>
          <w:p w14:paraId="79021905">
            <w:pPr>
              <w:pStyle w:val="8"/>
            </w:pPr>
            <w:r>
              <w:rPr>
                <w:rFonts w:hint="eastAsia"/>
              </w:rPr>
              <w:t xml:space="preserve">020-88836984 </w:t>
            </w:r>
          </w:p>
        </w:tc>
      </w:tr>
      <w:tr w14:paraId="226E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27DFD">
            <w:pPr>
              <w:pStyle w:val="8"/>
            </w:pPr>
            <w:r>
              <w:rPr>
                <w:rFonts w:hint="eastAsia"/>
              </w:rPr>
              <w:t xml:space="preserve">客户服务电话： </w:t>
            </w:r>
          </w:p>
        </w:tc>
        <w:tc>
          <w:tcPr>
            <w:tcW w:w="7440" w:type="dxa"/>
            <w:shd w:val="clear" w:color="auto" w:fill="auto"/>
          </w:tcPr>
          <w:p w14:paraId="4D0E0047">
            <w:pPr>
              <w:pStyle w:val="8"/>
            </w:pPr>
            <w:r>
              <w:rPr>
                <w:rFonts w:hint="eastAsia"/>
              </w:rPr>
              <w:t xml:space="preserve">95548 </w:t>
            </w:r>
          </w:p>
        </w:tc>
      </w:tr>
      <w:tr w14:paraId="355E0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83548">
            <w:pPr>
              <w:pStyle w:val="8"/>
            </w:pPr>
            <w:r>
              <w:rPr>
                <w:rFonts w:hint="eastAsia"/>
              </w:rPr>
              <w:t xml:space="preserve">网址： </w:t>
            </w:r>
          </w:p>
        </w:tc>
        <w:tc>
          <w:tcPr>
            <w:tcW w:w="7440" w:type="dxa"/>
            <w:shd w:val="clear" w:color="auto" w:fill="auto"/>
          </w:tcPr>
          <w:p w14:paraId="5B266862">
            <w:pPr>
              <w:pStyle w:val="8"/>
            </w:pPr>
            <w:r>
              <w:rPr>
                <w:rFonts w:hint="eastAsia"/>
              </w:rPr>
              <w:t xml:space="preserve">http://www.gzs.com.cn </w:t>
            </w:r>
          </w:p>
        </w:tc>
      </w:tr>
    </w:tbl>
    <w:p w14:paraId="776F96BE">
      <w:pPr>
        <w:pStyle w:val="8"/>
        <w:spacing w:before="0" w:beforeAutospacing="0" w:after="0" w:afterAutospacing="0" w:line="360" w:lineRule="auto"/>
        <w:ind w:firstLine="420"/>
        <w:rPr>
          <w:sz w:val="21"/>
          <w:szCs w:val="21"/>
        </w:rPr>
      </w:pPr>
      <w:r>
        <w:rPr>
          <w:rFonts w:hint="eastAsia"/>
          <w:b/>
          <w:bCs/>
          <w:sz w:val="21"/>
          <w:szCs w:val="21"/>
        </w:rPr>
        <w:t>(16)东方财富证券股份有限公司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9059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2570B">
            <w:pPr>
              <w:pStyle w:val="8"/>
            </w:pPr>
            <w:r>
              <w:rPr>
                <w:rFonts w:hint="eastAsia"/>
              </w:rPr>
              <w:t xml:space="preserve">注册地址： </w:t>
            </w:r>
          </w:p>
        </w:tc>
        <w:tc>
          <w:tcPr>
            <w:tcW w:w="7440" w:type="dxa"/>
            <w:shd w:val="clear" w:color="auto" w:fill="auto"/>
          </w:tcPr>
          <w:p w14:paraId="62014D62">
            <w:pPr>
              <w:pStyle w:val="8"/>
            </w:pPr>
            <w:r>
              <w:rPr>
                <w:rFonts w:hint="eastAsia"/>
              </w:rPr>
              <w:t xml:space="preserve">西藏自治区拉萨市柳梧新区国际总部城10栋楼 </w:t>
            </w:r>
          </w:p>
        </w:tc>
      </w:tr>
      <w:tr w14:paraId="5BD09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B0570">
            <w:pPr>
              <w:pStyle w:val="8"/>
            </w:pPr>
            <w:r>
              <w:rPr>
                <w:rFonts w:hint="eastAsia"/>
              </w:rPr>
              <w:t xml:space="preserve">办公地址： </w:t>
            </w:r>
          </w:p>
        </w:tc>
        <w:tc>
          <w:tcPr>
            <w:tcW w:w="7440" w:type="dxa"/>
            <w:shd w:val="clear" w:color="auto" w:fill="auto"/>
          </w:tcPr>
          <w:p w14:paraId="69FD8557">
            <w:pPr>
              <w:pStyle w:val="8"/>
            </w:pPr>
            <w:r>
              <w:rPr>
                <w:rFonts w:hint="eastAsia"/>
              </w:rPr>
              <w:t xml:space="preserve">上海市徐汇区宛平南路88号金座东方财富大厦 </w:t>
            </w:r>
          </w:p>
        </w:tc>
      </w:tr>
      <w:tr w14:paraId="5266E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59B9D">
            <w:pPr>
              <w:pStyle w:val="8"/>
            </w:pPr>
            <w:r>
              <w:rPr>
                <w:rFonts w:hint="eastAsia"/>
              </w:rPr>
              <w:t xml:space="preserve">法定代表人： </w:t>
            </w:r>
          </w:p>
        </w:tc>
        <w:tc>
          <w:tcPr>
            <w:tcW w:w="7440" w:type="dxa"/>
            <w:shd w:val="clear" w:color="auto" w:fill="auto"/>
          </w:tcPr>
          <w:p w14:paraId="02698AA6">
            <w:pPr>
              <w:pStyle w:val="8"/>
            </w:pPr>
            <w:r>
              <w:rPr>
                <w:rFonts w:hint="eastAsia"/>
              </w:rPr>
              <w:t xml:space="preserve">戴彦 </w:t>
            </w:r>
          </w:p>
        </w:tc>
      </w:tr>
      <w:tr w14:paraId="17F7B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CC840">
            <w:pPr>
              <w:pStyle w:val="8"/>
            </w:pPr>
            <w:r>
              <w:rPr>
                <w:rFonts w:hint="eastAsia"/>
              </w:rPr>
              <w:t xml:space="preserve">联系人： </w:t>
            </w:r>
          </w:p>
        </w:tc>
        <w:tc>
          <w:tcPr>
            <w:tcW w:w="7440" w:type="dxa"/>
            <w:shd w:val="clear" w:color="auto" w:fill="auto"/>
          </w:tcPr>
          <w:p w14:paraId="29302837">
            <w:pPr>
              <w:pStyle w:val="8"/>
            </w:pPr>
            <w:r>
              <w:rPr>
                <w:rFonts w:hint="eastAsia"/>
              </w:rPr>
              <w:t xml:space="preserve">付佳 </w:t>
            </w:r>
          </w:p>
        </w:tc>
      </w:tr>
      <w:tr w14:paraId="65058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CEA3C">
            <w:pPr>
              <w:pStyle w:val="8"/>
            </w:pPr>
            <w:r>
              <w:rPr>
                <w:rFonts w:hint="eastAsia"/>
              </w:rPr>
              <w:t xml:space="preserve">电话： </w:t>
            </w:r>
          </w:p>
        </w:tc>
        <w:tc>
          <w:tcPr>
            <w:tcW w:w="7440" w:type="dxa"/>
            <w:shd w:val="clear" w:color="auto" w:fill="auto"/>
          </w:tcPr>
          <w:p w14:paraId="08BD0BBF">
            <w:pPr>
              <w:pStyle w:val="8"/>
            </w:pPr>
            <w:r>
              <w:rPr>
                <w:rFonts w:hint="eastAsia"/>
              </w:rPr>
              <w:t xml:space="preserve">021-23586603 </w:t>
            </w:r>
          </w:p>
        </w:tc>
      </w:tr>
      <w:tr w14:paraId="719BD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6D210">
            <w:pPr>
              <w:pStyle w:val="8"/>
            </w:pPr>
            <w:r>
              <w:rPr>
                <w:rFonts w:hint="eastAsia"/>
              </w:rPr>
              <w:t xml:space="preserve">传真： </w:t>
            </w:r>
          </w:p>
        </w:tc>
        <w:tc>
          <w:tcPr>
            <w:tcW w:w="7440" w:type="dxa"/>
            <w:shd w:val="clear" w:color="auto" w:fill="auto"/>
          </w:tcPr>
          <w:p w14:paraId="266B25C7">
            <w:pPr>
              <w:pStyle w:val="8"/>
            </w:pPr>
            <w:r>
              <w:rPr>
                <w:rFonts w:hint="eastAsia"/>
              </w:rPr>
              <w:t xml:space="preserve">021-23586860 </w:t>
            </w:r>
          </w:p>
        </w:tc>
      </w:tr>
      <w:tr w14:paraId="7E05D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422CE">
            <w:pPr>
              <w:pStyle w:val="8"/>
            </w:pPr>
            <w:r>
              <w:rPr>
                <w:rFonts w:hint="eastAsia"/>
              </w:rPr>
              <w:t xml:space="preserve">客户服务电话： </w:t>
            </w:r>
          </w:p>
        </w:tc>
        <w:tc>
          <w:tcPr>
            <w:tcW w:w="7440" w:type="dxa"/>
            <w:shd w:val="clear" w:color="auto" w:fill="auto"/>
          </w:tcPr>
          <w:p w14:paraId="0C1B4ECC">
            <w:pPr>
              <w:pStyle w:val="8"/>
            </w:pPr>
            <w:r>
              <w:rPr>
                <w:rFonts w:hint="eastAsia"/>
              </w:rPr>
              <w:t xml:space="preserve">95357 </w:t>
            </w:r>
          </w:p>
        </w:tc>
      </w:tr>
      <w:tr w14:paraId="7109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2A4C8">
            <w:pPr>
              <w:pStyle w:val="8"/>
            </w:pPr>
            <w:r>
              <w:rPr>
                <w:rFonts w:hint="eastAsia"/>
              </w:rPr>
              <w:t xml:space="preserve">网址： </w:t>
            </w:r>
          </w:p>
        </w:tc>
        <w:tc>
          <w:tcPr>
            <w:tcW w:w="7440" w:type="dxa"/>
            <w:shd w:val="clear" w:color="auto" w:fill="auto"/>
          </w:tcPr>
          <w:p w14:paraId="1A1A51A5">
            <w:pPr>
              <w:pStyle w:val="8"/>
            </w:pPr>
            <w:r>
              <w:rPr>
                <w:rFonts w:hint="eastAsia"/>
              </w:rPr>
              <w:t xml:space="preserve">http://www.18.cn </w:t>
            </w:r>
          </w:p>
        </w:tc>
      </w:tr>
    </w:tbl>
    <w:p w14:paraId="6B1C05E2">
      <w:pPr>
        <w:rPr>
          <w:rFonts w:ascii="宋体" w:hAnsi="宋体" w:eastAsia="宋体"/>
          <w:sz w:val="24"/>
          <w:szCs w:val="24"/>
        </w:rPr>
      </w:pPr>
      <w:bookmarkStart w:id="57" w:name="field_0_allproxysaletables_1_end"/>
      <w:bookmarkEnd w:id="57"/>
      <w:r>
        <w:rPr>
          <w:rFonts w:ascii="宋体" w:hAnsi="宋体" w:eastAsia="宋体"/>
        </w:rPr>
        <w:t xml:space="preserve">  </w:t>
      </w:r>
    </w:p>
    <w:p w14:paraId="57E7D2A4">
      <w:pPr>
        <w:pStyle w:val="8"/>
        <w:spacing w:before="0" w:beforeAutospacing="0" w:after="0" w:afterAutospacing="0" w:line="360" w:lineRule="auto"/>
        <w:ind w:firstLine="420"/>
        <w:rPr>
          <w:sz w:val="21"/>
          <w:szCs w:val="21"/>
        </w:rPr>
      </w:pPr>
      <w:bookmarkStart w:id="58" w:name="chapter_level1_7_56_section_2_end"/>
      <w:bookmarkEnd w:id="58"/>
    </w:p>
    <w:p w14:paraId="1952D781">
      <w:pPr>
        <w:pStyle w:val="8"/>
        <w:spacing w:before="0" w:beforeAutospacing="0" w:after="0" w:afterAutospacing="0" w:line="360" w:lineRule="auto"/>
        <w:ind w:firstLine="420"/>
        <w:rPr>
          <w:sz w:val="21"/>
          <w:szCs w:val="21"/>
        </w:rPr>
      </w:pPr>
      <w:bookmarkStart w:id="59" w:name="chapter_level1_7_56_section_3"/>
      <w:bookmarkEnd w:id="59"/>
      <w:r>
        <w:rPr>
          <w:rStyle w:val="12"/>
          <w:rFonts w:hint="eastAsia"/>
          <w:sz w:val="21"/>
          <w:szCs w:val="21"/>
        </w:rPr>
        <w:t>二、登记机构</w:t>
      </w:r>
    </w:p>
    <w:p w14:paraId="06A7AC82">
      <w:pPr>
        <w:pStyle w:val="8"/>
        <w:spacing w:before="0" w:beforeAutospacing="0" w:after="0" w:afterAutospacing="0" w:line="360" w:lineRule="auto"/>
        <w:ind w:firstLine="420"/>
        <w:rPr>
          <w:sz w:val="21"/>
          <w:szCs w:val="21"/>
        </w:rPr>
      </w:pPr>
      <w:bookmarkStart w:id="60" w:name="field_0_registercompanyinfo_1_start"/>
      <w:bookmarkEnd w:id="60"/>
      <w:r>
        <w:rPr>
          <w:rFonts w:hint="eastAsia"/>
          <w:sz w:val="21"/>
          <w:szCs w:val="21"/>
        </w:rPr>
        <w:t xml:space="preserve">名称：博时基金管理有限公司 </w:t>
      </w:r>
    </w:p>
    <w:p w14:paraId="1C1AFC6D">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2062AA36">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57998DD8">
      <w:pPr>
        <w:pStyle w:val="8"/>
        <w:spacing w:before="0" w:beforeAutospacing="0" w:after="0" w:afterAutospacing="0" w:line="360" w:lineRule="auto"/>
        <w:ind w:firstLine="420"/>
        <w:rPr>
          <w:rFonts w:hint="eastAsia" w:eastAsia="宋体"/>
          <w:sz w:val="21"/>
          <w:szCs w:val="21"/>
          <w:lang w:eastAsia="zh-CN"/>
        </w:rPr>
      </w:pPr>
      <w:r>
        <w:rPr>
          <w:rFonts w:hint="eastAsia"/>
          <w:sz w:val="21"/>
          <w:szCs w:val="21"/>
        </w:rPr>
        <w:t>法定代表人：</w:t>
      </w:r>
      <w:r>
        <w:rPr>
          <w:rFonts w:hint="eastAsia"/>
          <w:sz w:val="21"/>
          <w:szCs w:val="21"/>
          <w:lang w:val="en-US" w:eastAsia="zh-CN"/>
        </w:rPr>
        <w:t xml:space="preserve">张东        </w:t>
      </w:r>
    </w:p>
    <w:p w14:paraId="010880C6">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44D710ED">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554F04A6">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61" w:name="field_0_registercompanyinfo_1_end"/>
      <w:bookmarkEnd w:id="61"/>
      <w:r>
        <w:rPr>
          <w:rFonts w:hint="eastAsia"/>
          <w:sz w:val="21"/>
          <w:szCs w:val="21"/>
        </w:rPr>
        <w:t xml:space="preserve">  </w:t>
      </w:r>
    </w:p>
    <w:p w14:paraId="1EA371F8">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3AFFBE36">
      <w:pPr>
        <w:pStyle w:val="8"/>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6AC74787">
      <w:pPr>
        <w:pStyle w:val="8"/>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1CB9E6F4">
      <w:pPr>
        <w:pStyle w:val="8"/>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47A77D21">
      <w:pPr>
        <w:pStyle w:val="8"/>
        <w:spacing w:before="0" w:beforeAutospacing="0" w:after="0" w:afterAutospacing="0" w:line="360" w:lineRule="auto"/>
        <w:ind w:firstLine="420"/>
        <w:rPr>
          <w:sz w:val="21"/>
          <w:szCs w:val="21"/>
        </w:rPr>
      </w:pPr>
      <w:r>
        <w:rPr>
          <w:rFonts w:hint="eastAsia"/>
          <w:sz w:val="21"/>
          <w:szCs w:val="21"/>
        </w:rPr>
        <w:t xml:space="preserve">负责人：廖海 </w:t>
      </w:r>
    </w:p>
    <w:p w14:paraId="6018EDFF">
      <w:pPr>
        <w:pStyle w:val="8"/>
        <w:spacing w:before="0" w:beforeAutospacing="0" w:after="0" w:afterAutospacing="0" w:line="360" w:lineRule="auto"/>
        <w:ind w:firstLine="420"/>
        <w:rPr>
          <w:sz w:val="21"/>
          <w:szCs w:val="21"/>
        </w:rPr>
      </w:pPr>
      <w:r>
        <w:rPr>
          <w:rFonts w:hint="eastAsia"/>
          <w:sz w:val="21"/>
          <w:szCs w:val="21"/>
        </w:rPr>
        <w:t xml:space="preserve">电话：021- 51150298 </w:t>
      </w:r>
    </w:p>
    <w:p w14:paraId="1F6C18D7">
      <w:pPr>
        <w:pStyle w:val="8"/>
        <w:spacing w:before="0" w:beforeAutospacing="0" w:after="0" w:afterAutospacing="0" w:line="360" w:lineRule="auto"/>
        <w:ind w:firstLine="420"/>
        <w:rPr>
          <w:sz w:val="21"/>
          <w:szCs w:val="21"/>
        </w:rPr>
      </w:pPr>
      <w:r>
        <w:rPr>
          <w:rFonts w:hint="eastAsia"/>
          <w:sz w:val="21"/>
          <w:szCs w:val="21"/>
        </w:rPr>
        <w:t xml:space="preserve">传真：021- 51150398 </w:t>
      </w:r>
    </w:p>
    <w:p w14:paraId="0637D10E">
      <w:pPr>
        <w:pStyle w:val="8"/>
        <w:spacing w:before="0" w:beforeAutospacing="0" w:after="0" w:afterAutospacing="0" w:line="360" w:lineRule="auto"/>
        <w:ind w:firstLine="420"/>
        <w:rPr>
          <w:sz w:val="21"/>
          <w:szCs w:val="21"/>
        </w:rPr>
      </w:pPr>
      <w:r>
        <w:rPr>
          <w:rFonts w:hint="eastAsia"/>
          <w:sz w:val="21"/>
          <w:szCs w:val="21"/>
        </w:rPr>
        <w:t xml:space="preserve">联系人：刘佳 </w:t>
      </w:r>
    </w:p>
    <w:p w14:paraId="3A4D1674">
      <w:pPr>
        <w:pStyle w:val="8"/>
        <w:spacing w:before="0" w:beforeAutospacing="0" w:after="0" w:afterAutospacing="0" w:line="360" w:lineRule="auto"/>
        <w:ind w:firstLine="420"/>
        <w:rPr>
          <w:sz w:val="21"/>
          <w:szCs w:val="21"/>
        </w:rPr>
      </w:pPr>
      <w:r>
        <w:rPr>
          <w:rFonts w:hint="eastAsia"/>
          <w:sz w:val="21"/>
          <w:szCs w:val="21"/>
        </w:rPr>
        <w:t xml:space="preserve">经办律师：刘佳、刘翠 </w:t>
      </w:r>
    </w:p>
    <w:p w14:paraId="063A0B07">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02FB77FD">
      <w:pPr>
        <w:pStyle w:val="8"/>
        <w:spacing w:before="0" w:beforeAutospacing="0" w:after="0" w:afterAutospacing="0" w:line="360" w:lineRule="auto"/>
        <w:ind w:firstLine="420"/>
        <w:rPr>
          <w:sz w:val="21"/>
          <w:szCs w:val="21"/>
        </w:rPr>
      </w:pPr>
      <w:bookmarkStart w:id="62" w:name="field_0_accountingcompanyinfo_1_start"/>
      <w:bookmarkEnd w:id="62"/>
      <w:r>
        <w:rPr>
          <w:rFonts w:hint="eastAsia"/>
          <w:sz w:val="21"/>
          <w:szCs w:val="21"/>
        </w:rPr>
        <w:t xml:space="preserve">名称：安永华明会计师事务所（特殊普通合伙） </w:t>
      </w:r>
    </w:p>
    <w:p w14:paraId="6A46C4E5">
      <w:pPr>
        <w:pStyle w:val="8"/>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2C22299E">
      <w:pPr>
        <w:pStyle w:val="8"/>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6D3CF3F2">
      <w:pPr>
        <w:pStyle w:val="8"/>
        <w:spacing w:before="0" w:beforeAutospacing="0" w:after="0" w:afterAutospacing="0" w:line="360" w:lineRule="auto"/>
        <w:ind w:firstLine="420"/>
        <w:rPr>
          <w:sz w:val="21"/>
          <w:szCs w:val="21"/>
        </w:rPr>
      </w:pPr>
      <w:r>
        <w:rPr>
          <w:rFonts w:hint="eastAsia"/>
          <w:sz w:val="21"/>
          <w:szCs w:val="21"/>
        </w:rPr>
        <w:t xml:space="preserve">执行事务合伙人：毛鞍宁  </w:t>
      </w:r>
    </w:p>
    <w:p w14:paraId="5F51D58A">
      <w:pPr>
        <w:pStyle w:val="8"/>
        <w:spacing w:before="0" w:beforeAutospacing="0" w:after="0" w:afterAutospacing="0" w:line="360" w:lineRule="auto"/>
        <w:ind w:firstLine="420"/>
        <w:rPr>
          <w:sz w:val="21"/>
          <w:szCs w:val="21"/>
        </w:rPr>
      </w:pPr>
      <w:r>
        <w:rPr>
          <w:rFonts w:hint="eastAsia"/>
          <w:sz w:val="21"/>
          <w:szCs w:val="21"/>
        </w:rPr>
        <w:t xml:space="preserve">联系电话：（010）58153000  </w:t>
      </w:r>
    </w:p>
    <w:p w14:paraId="6964228E">
      <w:pPr>
        <w:pStyle w:val="8"/>
        <w:spacing w:before="0" w:beforeAutospacing="0" w:after="0" w:afterAutospacing="0" w:line="360" w:lineRule="auto"/>
        <w:ind w:firstLine="420"/>
        <w:rPr>
          <w:sz w:val="21"/>
          <w:szCs w:val="21"/>
        </w:rPr>
      </w:pPr>
      <w:r>
        <w:rPr>
          <w:rFonts w:hint="eastAsia"/>
          <w:sz w:val="21"/>
          <w:szCs w:val="21"/>
        </w:rPr>
        <w:t xml:space="preserve">传真电话：（010）85188298  </w:t>
      </w:r>
    </w:p>
    <w:p w14:paraId="13F9C1E5">
      <w:pPr>
        <w:pStyle w:val="8"/>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5D9C4C2C">
      <w:pPr>
        <w:pStyle w:val="8"/>
        <w:spacing w:before="0" w:beforeAutospacing="0" w:after="0" w:afterAutospacing="0" w:line="360" w:lineRule="auto"/>
        <w:ind w:firstLine="420"/>
        <w:rPr>
          <w:sz w:val="21"/>
          <w:szCs w:val="21"/>
        </w:rPr>
      </w:pPr>
      <w:bookmarkStart w:id="63" w:name="chapter_level1_7_56_section_3_end"/>
      <w:bookmarkEnd w:id="63"/>
      <w:r>
        <w:rPr>
          <w:rFonts w:hint="eastAsia"/>
          <w:sz w:val="21"/>
          <w:szCs w:val="21"/>
        </w:rPr>
        <w:t xml:space="preserve">联系人：朱燕 </w:t>
      </w:r>
      <w:bookmarkStart w:id="64" w:name="field_0_accountingcompanyinfo_1_end"/>
      <w:bookmarkEnd w:id="64"/>
      <w:r>
        <w:rPr>
          <w:rFonts w:hint="eastAsia"/>
          <w:sz w:val="21"/>
          <w:szCs w:val="21"/>
        </w:rPr>
        <w:t xml:space="preserve">  </w:t>
      </w:r>
    </w:p>
    <w:p w14:paraId="0F55BC8A">
      <w:pPr>
        <w:widowControl/>
        <w:jc w:val="left"/>
        <w:rPr>
          <w:rFonts w:ascii="宋体" w:hAnsi="宋体" w:eastAsia="宋体"/>
        </w:rPr>
      </w:pPr>
      <w:r>
        <w:rPr>
          <w:rFonts w:ascii="宋体" w:hAnsi="宋体" w:eastAsia="宋体"/>
        </w:rPr>
        <w:br w:type="page"/>
      </w:r>
    </w:p>
    <w:p w14:paraId="06C0255B">
      <w:pPr>
        <w:pStyle w:val="2"/>
        <w:jc w:val="center"/>
        <w:rPr>
          <w:rFonts w:ascii="宋体" w:hAnsi="宋体" w:eastAsia="宋体"/>
          <w:sz w:val="30"/>
        </w:rPr>
      </w:pPr>
      <w:bookmarkStart w:id="65" w:name="chapter_level1_9_58"/>
      <w:bookmarkStart w:id="66" w:name="_Toc207948767"/>
      <w:r>
        <w:rPr>
          <w:rFonts w:hint="eastAsia" w:ascii="宋体" w:hAnsi="宋体" w:eastAsia="宋体"/>
          <w:sz w:val="30"/>
        </w:rPr>
        <w:t>第六部分 基金的募集与基金合同的生效</w:t>
      </w:r>
      <w:bookmarkEnd w:id="65"/>
      <w:bookmarkEnd w:id="66"/>
    </w:p>
    <w:p w14:paraId="3BFF436A">
      <w:pPr>
        <w:pStyle w:val="8"/>
        <w:spacing w:before="0" w:beforeAutospacing="0" w:after="0" w:afterAutospacing="0" w:line="360" w:lineRule="auto"/>
        <w:ind w:firstLine="420"/>
        <w:rPr>
          <w:sz w:val="21"/>
          <w:szCs w:val="21"/>
        </w:rPr>
      </w:pPr>
      <w:bookmarkStart w:id="67" w:name="chapter_level1_9_58_section_1"/>
      <w:bookmarkEnd w:id="67"/>
      <w:r>
        <w:rPr>
          <w:rFonts w:hint="eastAsia"/>
          <w:b/>
          <w:bCs/>
          <w:sz w:val="21"/>
          <w:szCs w:val="21"/>
        </w:rPr>
        <w:t>一．基金的募集</w:t>
      </w:r>
    </w:p>
    <w:p w14:paraId="3AAAFD1B">
      <w:pPr>
        <w:pStyle w:val="8"/>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68" w:name="field_2343_approveddate_2"/>
      <w:r>
        <w:rPr>
          <w:sz w:val="21"/>
          <w:szCs w:val="21"/>
        </w:rPr>
        <w:t>2019年10月11日</w:t>
      </w:r>
      <w:bookmarkEnd w:id="68"/>
      <w:r>
        <w:rPr>
          <w:rFonts w:hint="eastAsia"/>
          <w:sz w:val="21"/>
          <w:szCs w:val="21"/>
        </w:rPr>
        <w:t>证监许可</w:t>
      </w:r>
      <w:bookmarkStart w:id="69" w:name="field_2343_lotnumber_2"/>
      <w:r>
        <w:rPr>
          <w:sz w:val="21"/>
          <w:szCs w:val="21"/>
        </w:rPr>
        <w:t>[2019]1899</w:t>
      </w:r>
      <w:bookmarkEnd w:id="69"/>
      <w:r>
        <w:rPr>
          <w:rFonts w:hint="eastAsia"/>
          <w:sz w:val="21"/>
          <w:szCs w:val="21"/>
        </w:rPr>
        <w:t xml:space="preserve">号文准予募集注册。 </w:t>
      </w:r>
    </w:p>
    <w:p w14:paraId="5FE41E10">
      <w:pPr>
        <w:pStyle w:val="8"/>
        <w:spacing w:before="0" w:beforeAutospacing="0" w:after="0" w:afterAutospacing="0" w:line="360" w:lineRule="auto"/>
        <w:ind w:firstLine="420"/>
        <w:rPr>
          <w:sz w:val="21"/>
          <w:szCs w:val="21"/>
        </w:rPr>
      </w:pPr>
      <w:r>
        <w:rPr>
          <w:rFonts w:hint="eastAsia"/>
          <w:sz w:val="21"/>
          <w:szCs w:val="21"/>
        </w:rPr>
        <w:t>本基金募集期自</w:t>
      </w:r>
      <w:bookmarkStart w:id="70" w:name="field_58_raisebegindate_1"/>
      <w:r>
        <w:rPr>
          <w:sz w:val="21"/>
          <w:szCs w:val="21"/>
        </w:rPr>
        <w:t>2019年10月25日</w:t>
      </w:r>
      <w:bookmarkEnd w:id="70"/>
      <w:r>
        <w:rPr>
          <w:rFonts w:hint="eastAsia"/>
          <w:sz w:val="21"/>
          <w:szCs w:val="21"/>
        </w:rPr>
        <w:t>至</w:t>
      </w:r>
      <w:bookmarkStart w:id="71" w:name="field_58_raiseenddate_1"/>
      <w:r>
        <w:rPr>
          <w:sz w:val="21"/>
          <w:szCs w:val="21"/>
        </w:rPr>
        <w:t>2019年11月18日</w:t>
      </w:r>
      <w:bookmarkEnd w:id="71"/>
      <w:r>
        <w:rPr>
          <w:rFonts w:hint="eastAsia"/>
          <w:sz w:val="21"/>
          <w:szCs w:val="21"/>
        </w:rPr>
        <w:t>期间，基金份额共募集</w:t>
      </w:r>
      <w:bookmarkStart w:id="72" w:name="field_58_raisetotal_1"/>
      <w:r>
        <w:rPr>
          <w:sz w:val="21"/>
          <w:szCs w:val="21"/>
        </w:rPr>
        <w:t>18,000,042,152.42</w:t>
      </w:r>
      <w:bookmarkEnd w:id="72"/>
      <w:r>
        <w:rPr>
          <w:rFonts w:hint="eastAsia"/>
          <w:sz w:val="21"/>
          <w:szCs w:val="21"/>
        </w:rPr>
        <w:t>份（含利息结转的份额），募集有效认购总户数为</w:t>
      </w:r>
      <w:bookmarkStart w:id="73" w:name="field_58_effectivetotal_1"/>
      <w:r>
        <w:rPr>
          <w:sz w:val="21"/>
          <w:szCs w:val="21"/>
        </w:rPr>
        <w:t>323</w:t>
      </w:r>
      <w:bookmarkEnd w:id="73"/>
      <w:r>
        <w:rPr>
          <w:rFonts w:hint="eastAsia"/>
          <w:sz w:val="21"/>
          <w:szCs w:val="21"/>
        </w:rPr>
        <w:t xml:space="preserve">户。 </w:t>
      </w:r>
    </w:p>
    <w:p w14:paraId="2E26BB76">
      <w:pPr>
        <w:pStyle w:val="8"/>
        <w:spacing w:before="0" w:beforeAutospacing="0" w:after="0" w:afterAutospacing="0" w:line="360" w:lineRule="auto"/>
        <w:ind w:firstLine="420"/>
        <w:rPr>
          <w:sz w:val="21"/>
          <w:szCs w:val="21"/>
        </w:rPr>
      </w:pPr>
      <w:r>
        <w:rPr>
          <w:rFonts w:hint="eastAsia"/>
          <w:sz w:val="21"/>
          <w:szCs w:val="21"/>
        </w:rPr>
        <w:t>本基金的运作方式为</w:t>
      </w:r>
      <w:bookmarkStart w:id="74" w:name="field_58_operation_1"/>
      <w:r>
        <w:rPr>
          <w:rFonts w:hint="eastAsia"/>
          <w:sz w:val="21"/>
          <w:szCs w:val="21"/>
        </w:rPr>
        <w:t>契约型定期开放式</w:t>
      </w:r>
      <w:bookmarkEnd w:id="74"/>
      <w:r>
        <w:rPr>
          <w:rFonts w:hint="eastAsia"/>
          <w:sz w:val="21"/>
          <w:szCs w:val="21"/>
        </w:rPr>
        <w:t>，存续期间为</w:t>
      </w:r>
      <w:bookmarkStart w:id="75" w:name="field_58_duration_1"/>
      <w:r>
        <w:rPr>
          <w:rFonts w:hint="eastAsia"/>
          <w:sz w:val="21"/>
          <w:szCs w:val="21"/>
        </w:rPr>
        <w:t>不定期</w:t>
      </w:r>
      <w:bookmarkEnd w:id="75"/>
      <w:r>
        <w:rPr>
          <w:rFonts w:hint="eastAsia"/>
          <w:sz w:val="21"/>
          <w:szCs w:val="21"/>
        </w:rPr>
        <w:t xml:space="preserve">。 </w:t>
      </w:r>
    </w:p>
    <w:p w14:paraId="7DB69A78">
      <w:pPr>
        <w:pStyle w:val="8"/>
        <w:spacing w:before="0" w:beforeAutospacing="0" w:after="0" w:afterAutospacing="0" w:line="360" w:lineRule="auto"/>
        <w:ind w:firstLine="420"/>
        <w:rPr>
          <w:sz w:val="21"/>
          <w:szCs w:val="21"/>
        </w:rPr>
      </w:pPr>
      <w:r>
        <w:rPr>
          <w:rFonts w:hint="eastAsia"/>
          <w:b/>
          <w:bCs/>
          <w:sz w:val="21"/>
          <w:szCs w:val="21"/>
        </w:rPr>
        <w:t>二、基金合同的生效</w:t>
      </w:r>
    </w:p>
    <w:p w14:paraId="13BA0B2C">
      <w:pPr>
        <w:pStyle w:val="8"/>
        <w:spacing w:before="0" w:beforeAutospacing="0" w:after="0" w:afterAutospacing="0" w:line="360" w:lineRule="auto"/>
        <w:ind w:firstLine="420"/>
        <w:rPr>
          <w:sz w:val="21"/>
          <w:szCs w:val="21"/>
        </w:rPr>
      </w:pPr>
      <w:bookmarkStart w:id="76" w:name="chapter_level1_9_58_section_1_end"/>
      <w:bookmarkEnd w:id="76"/>
      <w:r>
        <w:rPr>
          <w:rFonts w:hint="eastAsia"/>
          <w:sz w:val="21"/>
          <w:szCs w:val="21"/>
        </w:rPr>
        <w:t>本基金的基金合同已于</w:t>
      </w:r>
      <w:bookmarkStart w:id="77" w:name="field_0_foundday_1"/>
      <w:r>
        <w:rPr>
          <w:sz w:val="21"/>
          <w:szCs w:val="21"/>
        </w:rPr>
        <w:t>2019年11月19日</w:t>
      </w:r>
      <w:bookmarkEnd w:id="77"/>
      <w:r>
        <w:rPr>
          <w:rFonts w:hint="eastAsia"/>
          <w:sz w:val="21"/>
          <w:szCs w:val="21"/>
        </w:rPr>
        <w:t xml:space="preserve">正式生效。 </w:t>
      </w:r>
    </w:p>
    <w:p w14:paraId="026B5C5E">
      <w:pPr>
        <w:pStyle w:val="8"/>
        <w:spacing w:before="0" w:beforeAutospacing="0" w:after="0" w:afterAutospacing="0" w:line="360" w:lineRule="auto"/>
        <w:ind w:firstLine="420"/>
        <w:rPr>
          <w:sz w:val="21"/>
          <w:szCs w:val="21"/>
        </w:rPr>
      </w:pPr>
      <w:bookmarkStart w:id="78" w:name="chapter_level1_9_58_section_2"/>
      <w:bookmarkEnd w:id="78"/>
      <w:r>
        <w:rPr>
          <w:rStyle w:val="12"/>
          <w:rFonts w:hint="eastAsia"/>
          <w:sz w:val="21"/>
          <w:szCs w:val="21"/>
        </w:rPr>
        <w:t>三、基金存续期内的基金份额持有人数量和资产规模</w:t>
      </w:r>
    </w:p>
    <w:p w14:paraId="73D7FB60">
      <w:pPr>
        <w:pStyle w:val="8"/>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 </w:t>
      </w:r>
    </w:p>
    <w:p w14:paraId="7D015D39">
      <w:pPr>
        <w:pStyle w:val="8"/>
        <w:spacing w:before="0" w:beforeAutospacing="0" w:after="0" w:afterAutospacing="0" w:line="360" w:lineRule="auto"/>
        <w:ind w:firstLine="420"/>
        <w:rPr>
          <w:sz w:val="21"/>
          <w:szCs w:val="21"/>
        </w:rPr>
      </w:pPr>
      <w:r>
        <w:rPr>
          <w:rFonts w:hint="eastAsia"/>
          <w:sz w:val="21"/>
          <w:szCs w:val="21"/>
        </w:rPr>
        <w:t xml:space="preserve">本基金暂停运作时，暂停运作期间不计入上述连续期间，暂停运作期间前后合并计算。 </w:t>
      </w:r>
    </w:p>
    <w:p w14:paraId="258016B0">
      <w:pPr>
        <w:pStyle w:val="8"/>
        <w:spacing w:before="0" w:beforeAutospacing="0" w:after="0" w:afterAutospacing="0" w:line="360" w:lineRule="auto"/>
        <w:ind w:firstLine="420"/>
        <w:rPr>
          <w:sz w:val="21"/>
          <w:szCs w:val="21"/>
        </w:rPr>
      </w:pPr>
      <w:r>
        <w:rPr>
          <w:rFonts w:hint="eastAsia"/>
          <w:sz w:val="21"/>
          <w:szCs w:val="21"/>
        </w:rPr>
        <w:t xml:space="preserve">在基金暂停运作期间，基金管理人与基金托管人协商一致的前提下，可以根据基金合同第十九部分的约定进行基金财产清算并终止，且无需召开基金份额持有人大会。 </w:t>
      </w:r>
    </w:p>
    <w:p w14:paraId="6E28500A">
      <w:pPr>
        <w:pStyle w:val="8"/>
        <w:spacing w:before="0" w:beforeAutospacing="0" w:after="0" w:afterAutospacing="0" w:line="360" w:lineRule="auto"/>
        <w:ind w:firstLine="420"/>
        <w:rPr>
          <w:sz w:val="21"/>
          <w:szCs w:val="21"/>
        </w:rPr>
      </w:pPr>
      <w:r>
        <w:rPr>
          <w:rFonts w:hint="eastAsia"/>
          <w:sz w:val="21"/>
          <w:szCs w:val="21"/>
        </w:rPr>
        <w:t xml:space="preserve">法律法规或中国证监会或《基金合同》另有规定时，从其规定。 </w:t>
      </w:r>
    </w:p>
    <w:p w14:paraId="36D63150">
      <w:pPr>
        <w:pStyle w:val="8"/>
        <w:spacing w:before="0" w:beforeAutospacing="0" w:after="0" w:afterAutospacing="0" w:line="360" w:lineRule="auto"/>
        <w:ind w:firstLine="420"/>
        <w:rPr>
          <w:sz w:val="21"/>
          <w:szCs w:val="21"/>
        </w:rPr>
      </w:pPr>
      <w:r>
        <w:rPr>
          <w:rStyle w:val="12"/>
          <w:rFonts w:hint="eastAsia"/>
          <w:sz w:val="21"/>
          <w:szCs w:val="21"/>
        </w:rPr>
        <w:t>四、基金的暂停运作</w:t>
      </w:r>
    </w:p>
    <w:p w14:paraId="7A22CA27">
      <w:pPr>
        <w:pStyle w:val="8"/>
        <w:spacing w:before="0" w:beforeAutospacing="0" w:after="0" w:afterAutospacing="0" w:line="360" w:lineRule="auto"/>
        <w:ind w:firstLine="420"/>
        <w:rPr>
          <w:sz w:val="21"/>
          <w:szCs w:val="21"/>
        </w:rPr>
      </w:pPr>
      <w:r>
        <w:rPr>
          <w:rFonts w:hint="eastAsia"/>
          <w:sz w:val="21"/>
          <w:szCs w:val="21"/>
        </w:rPr>
        <w:t xml:space="preserve">1、基金合同生效后的存续期内，出现以下三种情况的，本基金可以暂停基金的运作，且无须召开基金份额持有人大会： </w:t>
      </w:r>
    </w:p>
    <w:p w14:paraId="7CD8FF56">
      <w:pPr>
        <w:pStyle w:val="8"/>
        <w:spacing w:before="0" w:beforeAutospacing="0" w:after="0" w:afterAutospacing="0" w:line="360" w:lineRule="auto"/>
        <w:ind w:firstLine="420"/>
        <w:rPr>
          <w:sz w:val="21"/>
          <w:szCs w:val="21"/>
        </w:rPr>
      </w:pPr>
      <w:r>
        <w:rPr>
          <w:rFonts w:hint="eastAsia"/>
          <w:sz w:val="21"/>
          <w:szCs w:val="21"/>
        </w:rPr>
        <w:t xml:space="preserve">（1）在每个封闭期到期前，基金管理人可根据市场情况、本基金的投资策略决定本基金进入开放期或暂停进入开放期。具体安排以基金管理人届时公告为准。 </w:t>
      </w:r>
    </w:p>
    <w:p w14:paraId="423452D4">
      <w:pPr>
        <w:pStyle w:val="8"/>
        <w:spacing w:before="0" w:beforeAutospacing="0" w:after="0" w:afterAutospacing="0" w:line="360" w:lineRule="auto"/>
        <w:ind w:firstLine="420"/>
        <w:rPr>
          <w:sz w:val="21"/>
          <w:szCs w:val="21"/>
        </w:rPr>
      </w:pPr>
      <w:r>
        <w:rPr>
          <w:rFonts w:hint="eastAsia"/>
          <w:sz w:val="21"/>
          <w:szCs w:val="21"/>
        </w:rPr>
        <w:t xml:space="preserve">出现前述暂停运作情况时，除基金合同另有约定外，基金将在封闭期结束之日的下一个工作日将全部基金份额自动赎回。在该封闭期结束后本基金将不开放申购和转换转入业务。 </w:t>
      </w:r>
    </w:p>
    <w:p w14:paraId="7D5F9E1F">
      <w:pPr>
        <w:pStyle w:val="8"/>
        <w:spacing w:before="0" w:beforeAutospacing="0" w:after="0" w:afterAutospacing="0" w:line="360" w:lineRule="auto"/>
        <w:ind w:firstLine="420"/>
        <w:rPr>
          <w:sz w:val="21"/>
          <w:szCs w:val="21"/>
        </w:rPr>
      </w:pPr>
      <w:r>
        <w:rPr>
          <w:rFonts w:hint="eastAsia"/>
          <w:sz w:val="21"/>
          <w:szCs w:val="21"/>
        </w:rPr>
        <w:t xml:space="preserve">同时，为避免基金份额持有人利益因基金份额净值的小数点保留精度受到不利影响，基金管理人可提高该封闭期结束之日的下一个工作日的基金份额净值的精度。 </w:t>
      </w:r>
    </w:p>
    <w:p w14:paraId="06A4B64F">
      <w:pPr>
        <w:pStyle w:val="8"/>
        <w:spacing w:before="0" w:beforeAutospacing="0" w:after="0" w:afterAutospacing="0" w:line="360" w:lineRule="auto"/>
        <w:ind w:firstLine="420"/>
        <w:rPr>
          <w:sz w:val="21"/>
          <w:szCs w:val="21"/>
        </w:rPr>
      </w:pPr>
      <w:r>
        <w:rPr>
          <w:rFonts w:hint="eastAsia"/>
          <w:sz w:val="21"/>
          <w:szCs w:val="21"/>
        </w:rPr>
        <w:t xml:space="preserve">（2）截至某个开放期最后一日日终，如果本基金的基金资产净值加上本基金开放期最后一日交易申请确认的申购确认金额及转换转入确认金额，扣除赎回确认金额及转换转出确认金额后的余额低于5000万元或基金份额持有人数量不满200人的，则基金管理人可决定暂停下一封闭期运作。具体安排以基金管理人届时公告为准。 </w:t>
      </w:r>
    </w:p>
    <w:p w14:paraId="3CA796DF">
      <w:pPr>
        <w:pStyle w:val="8"/>
        <w:spacing w:before="0" w:beforeAutospacing="0" w:after="0" w:afterAutospacing="0" w:line="360" w:lineRule="auto"/>
        <w:ind w:firstLine="420"/>
        <w:rPr>
          <w:sz w:val="21"/>
          <w:szCs w:val="21"/>
        </w:rPr>
      </w:pPr>
      <w:r>
        <w:rPr>
          <w:rFonts w:hint="eastAsia"/>
          <w:sz w:val="21"/>
          <w:szCs w:val="21"/>
        </w:rPr>
        <w:t xml:space="preserve">出现前述暂停运作情况时，投资人有效赎回申请正常确认；投资人未确认的申购申请对应的已缴纳申购款项本金将全部退回；对于该开放期最后一日当日日终留存的基金份额，将全部自动赎回。 </w:t>
      </w:r>
    </w:p>
    <w:p w14:paraId="164767A4">
      <w:pPr>
        <w:pStyle w:val="8"/>
        <w:spacing w:before="0" w:beforeAutospacing="0" w:after="0" w:afterAutospacing="0" w:line="360" w:lineRule="auto"/>
        <w:ind w:firstLine="420"/>
        <w:rPr>
          <w:sz w:val="21"/>
          <w:szCs w:val="21"/>
        </w:rPr>
      </w:pPr>
      <w:r>
        <w:rPr>
          <w:rFonts w:hint="eastAsia"/>
          <w:sz w:val="21"/>
          <w:szCs w:val="21"/>
        </w:rPr>
        <w:t xml:space="preserve">同时，为避免基金份额持有人利益因基金份额净值的小数点保留精度受到不利影响，基金管理人可提高该开放期最后一日的基金份额净值的精度。 </w:t>
      </w:r>
    </w:p>
    <w:p w14:paraId="1447754E">
      <w:pPr>
        <w:pStyle w:val="8"/>
        <w:spacing w:before="0" w:beforeAutospacing="0" w:after="0" w:afterAutospacing="0" w:line="360" w:lineRule="auto"/>
        <w:ind w:firstLine="420"/>
        <w:rPr>
          <w:sz w:val="21"/>
          <w:szCs w:val="21"/>
        </w:rPr>
      </w:pPr>
      <w:r>
        <w:rPr>
          <w:rFonts w:hint="eastAsia"/>
          <w:sz w:val="21"/>
          <w:szCs w:val="21"/>
        </w:rPr>
        <w:t xml:space="preserve">（3）封闭期到期日因部分资产无法变现，或者无法以合理价格变现，导致基金部分资产尚未变现的，基金应当暂停进入下一个开放期。出现前述暂停运作情况时，封闭期结束的下一个工作日基金份额应全部自动赎回，就已变现的基金财产按比例支付赎回款项，未变现的基金资产对应的赎回款延缓支付，待该部分基金资产变现后支付剩余赎回款项，赎回价格按全部资产最终变现金额确定。基金管理人应当就上述延缓支付的部分赎回款的原因和安排在封闭期结束后的下一个工作日发布公告，并提示最终赎回价格与封闭到期日的净值可能存在差异的风险。 </w:t>
      </w:r>
    </w:p>
    <w:p w14:paraId="3574AB51">
      <w:pPr>
        <w:pStyle w:val="8"/>
        <w:spacing w:before="0" w:beforeAutospacing="0" w:after="0" w:afterAutospacing="0" w:line="360" w:lineRule="auto"/>
        <w:ind w:firstLine="420"/>
        <w:rPr>
          <w:sz w:val="21"/>
          <w:szCs w:val="21"/>
        </w:rPr>
      </w:pPr>
      <w:r>
        <w:rPr>
          <w:rFonts w:hint="eastAsia"/>
          <w:sz w:val="21"/>
          <w:szCs w:val="21"/>
        </w:rPr>
        <w:t xml:space="preserve">2、基金暂停运作以后，基金管理人可根据实际情况，决定下一运作期的安排，报中国证监会备案后，提前公告开放期的申购或其他交易安排。下一封闭期将依据基金合同的规定正常运作。 </w:t>
      </w:r>
    </w:p>
    <w:p w14:paraId="7DD55DD7">
      <w:pPr>
        <w:pStyle w:val="8"/>
        <w:spacing w:before="0" w:beforeAutospacing="0" w:after="0" w:afterAutospacing="0" w:line="360" w:lineRule="auto"/>
        <w:ind w:firstLine="420"/>
        <w:rPr>
          <w:sz w:val="21"/>
          <w:szCs w:val="21"/>
        </w:rPr>
      </w:pPr>
      <w:r>
        <w:rPr>
          <w:rFonts w:hint="eastAsia"/>
          <w:sz w:val="21"/>
          <w:szCs w:val="21"/>
        </w:rPr>
        <w:t xml:space="preserve">3、暂停运作期间所发生的费用，由基金管理人承担。 </w:t>
      </w:r>
    </w:p>
    <w:p w14:paraId="40EC5FE5">
      <w:pPr>
        <w:pStyle w:val="8"/>
        <w:spacing w:before="0" w:beforeAutospacing="0" w:after="0" w:afterAutospacing="0" w:line="360" w:lineRule="auto"/>
        <w:ind w:firstLine="420"/>
        <w:rPr>
          <w:sz w:val="21"/>
          <w:szCs w:val="21"/>
        </w:rPr>
      </w:pPr>
      <w:r>
        <w:rPr>
          <w:rFonts w:hint="eastAsia"/>
          <w:sz w:val="21"/>
          <w:szCs w:val="21"/>
        </w:rPr>
        <w:t xml:space="preserve">4、基金暂停运作期间，基金管理人可以与基金托管人协商一致后，决定终止《基金合同》，报中国证监会备案并公告，无须召开持有人大会。 </w:t>
      </w:r>
    </w:p>
    <w:p w14:paraId="5357B94E">
      <w:pPr>
        <w:pStyle w:val="8"/>
        <w:spacing w:before="0" w:beforeAutospacing="0" w:after="0" w:afterAutospacing="0" w:line="360" w:lineRule="auto"/>
        <w:ind w:firstLine="420"/>
        <w:rPr>
          <w:sz w:val="21"/>
          <w:szCs w:val="21"/>
        </w:rPr>
      </w:pPr>
      <w:r>
        <w:rPr>
          <w:rFonts w:hint="eastAsia"/>
          <w:sz w:val="21"/>
          <w:szCs w:val="21"/>
        </w:rPr>
        <w:t xml:space="preserve">5、基金暂停运作期间，基金可以暂停披露基金份额净值的信息；报告期内未开展任何投资运作的，基金可暂停披露定期报告；基金管理人暂停或重启基金运作的，应当依法进行信息披露。 </w:t>
      </w:r>
    </w:p>
    <w:p w14:paraId="44B2161E">
      <w:pPr>
        <w:pStyle w:val="8"/>
        <w:spacing w:before="0" w:beforeAutospacing="0" w:after="0" w:afterAutospacing="0" w:line="360" w:lineRule="auto"/>
        <w:ind w:firstLine="420"/>
        <w:rPr>
          <w:sz w:val="21"/>
          <w:szCs w:val="21"/>
        </w:rPr>
      </w:pPr>
      <w:bookmarkStart w:id="79" w:name="chapter_level1_9_58_section_2_end"/>
      <w:bookmarkEnd w:id="79"/>
      <w:r>
        <w:rPr>
          <w:rFonts w:hint="eastAsia"/>
          <w:sz w:val="21"/>
          <w:szCs w:val="21"/>
        </w:rPr>
        <w:t xml:space="preserve">6、法律法规或监管机构另有规定的，从其规定。 </w:t>
      </w:r>
    </w:p>
    <w:p w14:paraId="0EDDBE88">
      <w:pPr>
        <w:widowControl/>
        <w:jc w:val="left"/>
        <w:rPr>
          <w:rFonts w:ascii="宋体" w:hAnsi="宋体" w:eastAsia="宋体"/>
        </w:rPr>
      </w:pPr>
      <w:r>
        <w:rPr>
          <w:rFonts w:ascii="宋体" w:hAnsi="宋体" w:eastAsia="宋体"/>
        </w:rPr>
        <w:br w:type="page"/>
      </w:r>
    </w:p>
    <w:p w14:paraId="255FE8C0">
      <w:pPr>
        <w:pStyle w:val="2"/>
        <w:jc w:val="center"/>
        <w:rPr>
          <w:rFonts w:ascii="宋体" w:hAnsi="宋体" w:eastAsia="宋体"/>
          <w:sz w:val="30"/>
        </w:rPr>
      </w:pPr>
      <w:bookmarkStart w:id="80" w:name="_Toc207948768"/>
      <w:bookmarkStart w:id="81" w:name="chapter_level1_10_59"/>
      <w:r>
        <w:rPr>
          <w:rFonts w:hint="eastAsia" w:ascii="宋体" w:hAnsi="宋体" w:eastAsia="宋体"/>
          <w:sz w:val="30"/>
        </w:rPr>
        <w:t>第七部分  基金份额的申购与赎回</w:t>
      </w:r>
      <w:bookmarkEnd w:id="80"/>
      <w:bookmarkEnd w:id="81"/>
    </w:p>
    <w:p w14:paraId="0B2CB01D">
      <w:pPr>
        <w:pStyle w:val="8"/>
        <w:spacing w:before="0" w:beforeAutospacing="0" w:after="0" w:afterAutospacing="0" w:line="360" w:lineRule="auto"/>
        <w:ind w:firstLine="420"/>
        <w:rPr>
          <w:sz w:val="21"/>
          <w:szCs w:val="21"/>
        </w:rPr>
      </w:pPr>
      <w:bookmarkStart w:id="82" w:name="chapter_level1_10_59_section_1"/>
      <w:bookmarkEnd w:id="82"/>
      <w:r>
        <w:rPr>
          <w:rStyle w:val="12"/>
          <w:rFonts w:hint="eastAsia"/>
          <w:sz w:val="21"/>
          <w:szCs w:val="21"/>
        </w:rPr>
        <w:t>一、申购和赎回场所</w:t>
      </w:r>
    </w:p>
    <w:p w14:paraId="595E455C">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指定的销售机构。基金管理人可根据情况变更或增减销售机构，并在管理人网站公示。基金投资者应当在销售机构办理基金销售业务的营业场所或按销售机构提供的其他方式办</w:t>
      </w:r>
      <w:bookmarkStart w:id="83" w:name="chapter_level1_10_59_section_1_end"/>
      <w:bookmarkEnd w:id="83"/>
      <w:r>
        <w:rPr>
          <w:rFonts w:hint="eastAsia"/>
          <w:sz w:val="21"/>
          <w:szCs w:val="21"/>
        </w:rPr>
        <w:t xml:space="preserve">理基金份额的申购与赎回。 </w:t>
      </w:r>
    </w:p>
    <w:p w14:paraId="1CA1A866">
      <w:pPr>
        <w:pStyle w:val="8"/>
        <w:spacing w:before="0" w:beforeAutospacing="0" w:after="0" w:afterAutospacing="0" w:line="360" w:lineRule="auto"/>
        <w:ind w:firstLine="420"/>
        <w:rPr>
          <w:sz w:val="21"/>
          <w:szCs w:val="21"/>
        </w:rPr>
      </w:pPr>
      <w:bookmarkStart w:id="84" w:name="chapter_level1_10_59_section_2"/>
      <w:bookmarkEnd w:id="84"/>
      <w:r>
        <w:rPr>
          <w:rStyle w:val="12"/>
          <w:rFonts w:hint="eastAsia"/>
          <w:sz w:val="21"/>
          <w:szCs w:val="21"/>
        </w:rPr>
        <w:t>二、申购和赎回的开放日及时间</w:t>
      </w:r>
    </w:p>
    <w:p w14:paraId="0DC3D010">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38ADF096">
      <w:pPr>
        <w:pStyle w:val="8"/>
        <w:spacing w:before="0" w:beforeAutospacing="0" w:after="0" w:afterAutospacing="0" w:line="360" w:lineRule="auto"/>
        <w:ind w:firstLine="420"/>
        <w:rPr>
          <w:sz w:val="21"/>
          <w:szCs w:val="21"/>
        </w:rPr>
      </w:pPr>
      <w:r>
        <w:rPr>
          <w:rFonts w:hint="eastAsia"/>
          <w:sz w:val="21"/>
          <w:szCs w:val="21"/>
        </w:rPr>
        <w:t xml:space="preserve">本基金在开放期内，投资人在开放日办理基金份额的申购和赎回，具体办理时间为上海证券交易所、深圳证券交易所的正常交易日的交易时间，但基金管理人根据法律法规、中国证监会的要求或基金合同的规定公告暂停申购、赎回时除外。在封闭期内，本基金不办理申购、赎回业务，也不上市交易。 </w:t>
      </w:r>
    </w:p>
    <w:p w14:paraId="02135E12">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在指定媒介上公告。 </w:t>
      </w:r>
    </w:p>
    <w:p w14:paraId="4814C193">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7A13B61A">
      <w:pPr>
        <w:pStyle w:val="8"/>
        <w:spacing w:before="0" w:beforeAutospacing="0" w:after="0" w:afterAutospacing="0" w:line="360" w:lineRule="auto"/>
        <w:ind w:firstLine="420"/>
        <w:rPr>
          <w:sz w:val="21"/>
          <w:szCs w:val="21"/>
        </w:rPr>
      </w:pPr>
      <w:r>
        <w:rPr>
          <w:rFonts w:hint="eastAsia"/>
          <w:sz w:val="21"/>
          <w:szCs w:val="21"/>
        </w:rPr>
        <w:t>除法律法规或基金合同另有约定外，本基金每个封闭期结束之后第一个工作日起（含该日）进入开放期，开放期的期限为自封闭期结束之日后第一个工作日起（含该日）</w:t>
      </w:r>
      <w:r>
        <w:rPr>
          <w:rFonts w:hint="eastAsia"/>
          <w:sz w:val="21"/>
          <w:szCs w:val="21"/>
          <w:lang w:val="en-US" w:eastAsia="zh-CN"/>
        </w:rPr>
        <w:t>1</w:t>
      </w:r>
      <w:r>
        <w:rPr>
          <w:rFonts w:hint="eastAsia"/>
          <w:sz w:val="21"/>
          <w:szCs w:val="21"/>
        </w:rPr>
        <w:t xml:space="preserve">至20个工作日，具体期间由基金管理人在封闭期结束前公告说明，但在开放期内，基金管理人有权延长开放期时间并公告，但开放期最长不可超过20个工作日。 </w:t>
      </w:r>
    </w:p>
    <w:p w14:paraId="5C4D4AF5">
      <w:pPr>
        <w:pStyle w:val="8"/>
        <w:spacing w:before="0" w:beforeAutospacing="0" w:after="0" w:afterAutospacing="0" w:line="360" w:lineRule="auto"/>
        <w:ind w:firstLine="420"/>
        <w:rPr>
          <w:sz w:val="21"/>
          <w:szCs w:val="21"/>
        </w:rPr>
      </w:pPr>
      <w:r>
        <w:rPr>
          <w:rFonts w:hint="eastAsia"/>
          <w:sz w:val="21"/>
          <w:szCs w:val="21"/>
        </w:rPr>
        <w:t xml:space="preserve">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 </w:t>
      </w:r>
    </w:p>
    <w:p w14:paraId="101B7EC8">
      <w:pPr>
        <w:pStyle w:val="8"/>
        <w:spacing w:before="0" w:beforeAutospacing="0" w:after="0" w:afterAutospacing="0" w:line="360" w:lineRule="auto"/>
        <w:ind w:firstLine="420"/>
        <w:rPr>
          <w:sz w:val="21"/>
          <w:szCs w:val="21"/>
        </w:rPr>
      </w:pPr>
      <w:r>
        <w:rPr>
          <w:rFonts w:hint="eastAsia"/>
          <w:sz w:val="21"/>
          <w:szCs w:val="21"/>
        </w:rPr>
        <w:t xml:space="preserve">在确定申购开始与赎回开始时间后，基金管理人应在申购、赎回开放日前依照《信息披露办法》的有关规定进行公告。 </w:t>
      </w:r>
    </w:p>
    <w:p w14:paraId="0401330E">
      <w:pPr>
        <w:pStyle w:val="8"/>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在开放期内，投资人在基金合同约定之外的日期和时间提出申购、赎回或转换申请且登记机构确认接受的，其基金份额申购、赎回价格为下一开放日基金份额申购、赎回的价格；但若投资人在开放期最后一日业务办理时间结束之后提出申购、赎回或者转换申请的，视为</w:t>
      </w:r>
      <w:bookmarkStart w:id="85" w:name="chapter_level1_10_59_section_2_end"/>
      <w:bookmarkEnd w:id="85"/>
      <w:r>
        <w:rPr>
          <w:rFonts w:hint="eastAsia"/>
          <w:sz w:val="21"/>
          <w:szCs w:val="21"/>
        </w:rPr>
        <w:t xml:space="preserve">无效申请。 </w:t>
      </w:r>
    </w:p>
    <w:p w14:paraId="4D501BAB">
      <w:pPr>
        <w:pStyle w:val="8"/>
        <w:spacing w:before="0" w:beforeAutospacing="0" w:after="0" w:afterAutospacing="0" w:line="360" w:lineRule="auto"/>
        <w:ind w:firstLine="420"/>
        <w:rPr>
          <w:sz w:val="21"/>
          <w:szCs w:val="21"/>
        </w:rPr>
      </w:pPr>
      <w:bookmarkStart w:id="86" w:name="chapter_level1_10_59_section_3"/>
      <w:bookmarkEnd w:id="86"/>
      <w:r>
        <w:rPr>
          <w:rStyle w:val="12"/>
          <w:rFonts w:hint="eastAsia"/>
          <w:sz w:val="21"/>
          <w:szCs w:val="21"/>
        </w:rPr>
        <w:t>三、申购与赎回的原则</w:t>
      </w:r>
    </w:p>
    <w:p w14:paraId="5D2BA0D5">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1913C7CB">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05E3BD5A">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136CFBA8">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28C541C5">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06EC5A34">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49AAE337">
      <w:pPr>
        <w:pStyle w:val="8"/>
        <w:spacing w:before="0" w:beforeAutospacing="0" w:after="0" w:afterAutospacing="0" w:line="360" w:lineRule="auto"/>
        <w:ind w:firstLine="420"/>
        <w:rPr>
          <w:sz w:val="21"/>
          <w:szCs w:val="21"/>
        </w:rPr>
      </w:pPr>
      <w:r>
        <w:rPr>
          <w:rStyle w:val="12"/>
          <w:rFonts w:hint="eastAsia"/>
          <w:sz w:val="21"/>
          <w:szCs w:val="21"/>
        </w:rPr>
        <w:t>四、申购与赎回的数额限制</w:t>
      </w:r>
    </w:p>
    <w:p w14:paraId="48A2ABE9">
      <w:pPr>
        <w:pStyle w:val="8"/>
        <w:spacing w:before="0" w:beforeAutospacing="0" w:after="0" w:afterAutospacing="0" w:line="360" w:lineRule="auto"/>
        <w:ind w:firstLine="420"/>
        <w:rPr>
          <w:sz w:val="21"/>
          <w:szCs w:val="21"/>
        </w:rPr>
      </w:pPr>
      <w:r>
        <w:rPr>
          <w:rFonts w:hint="eastAsia"/>
          <w:sz w:val="21"/>
          <w:szCs w:val="21"/>
        </w:rPr>
        <w:t xml:space="preserve">1、首次申购本基金基金份额的最低金额为10.00元（含申购费），追加申购单笔最低金额为10.00元（含申购费）；具体规定请参见相关公告； </w:t>
      </w:r>
    </w:p>
    <w:p w14:paraId="1DBA2DB0">
      <w:pPr>
        <w:pStyle w:val="8"/>
        <w:spacing w:before="0" w:beforeAutospacing="0" w:after="0" w:afterAutospacing="0" w:line="360" w:lineRule="auto"/>
        <w:ind w:firstLine="420"/>
        <w:rPr>
          <w:sz w:val="21"/>
          <w:szCs w:val="21"/>
        </w:rPr>
      </w:pPr>
      <w:r>
        <w:rPr>
          <w:rFonts w:hint="eastAsia"/>
          <w:sz w:val="21"/>
          <w:szCs w:val="21"/>
        </w:rPr>
        <w:t xml:space="preserve">2、每个交易账户最低持有基金份额余额为10份，若某笔赎回导致单个交易账户的基金份额余额少于10份时，余额部分基金份额必须一同赎回； </w:t>
      </w:r>
    </w:p>
    <w:p w14:paraId="0611C09F">
      <w:pPr>
        <w:pStyle w:val="8"/>
        <w:spacing w:before="0" w:beforeAutospacing="0" w:after="0" w:afterAutospacing="0" w:line="360" w:lineRule="auto"/>
        <w:ind w:firstLine="420"/>
        <w:rPr>
          <w:sz w:val="21"/>
          <w:szCs w:val="21"/>
        </w:rPr>
      </w:pPr>
      <w:r>
        <w:rPr>
          <w:rFonts w:hint="eastAsia"/>
          <w:sz w:val="21"/>
          <w:szCs w:val="21"/>
        </w:rPr>
        <w:t xml:space="preserve">3、基金管理人可以规定单个投资人累计持有的基金份额上限，具体规定请参见招募说明书或相关公告； </w:t>
      </w:r>
    </w:p>
    <w:p w14:paraId="66855B67">
      <w:pPr>
        <w:pStyle w:val="8"/>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26ADAB41">
      <w:pPr>
        <w:pStyle w:val="8"/>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5、基金管理人可在法律法规允许的情况下，调整上述规定申购金额和赎回份额的数量限制。基金管理人必须在调整前依照《信息披露办法》的有关规定在指定媒介上公告。 </w:t>
      </w:r>
    </w:p>
    <w:p w14:paraId="09B58853">
      <w:pPr>
        <w:pStyle w:val="8"/>
        <w:spacing w:before="0" w:beforeAutospacing="0" w:after="0" w:afterAutospacing="0" w:line="360" w:lineRule="auto"/>
        <w:ind w:firstLine="420"/>
        <w:rPr>
          <w:sz w:val="21"/>
          <w:szCs w:val="21"/>
        </w:rPr>
      </w:pPr>
      <w:r>
        <w:rPr>
          <w:rStyle w:val="12"/>
          <w:rFonts w:hint="eastAsia"/>
          <w:sz w:val="21"/>
          <w:szCs w:val="21"/>
        </w:rPr>
        <w:t>五、申购与赎回的程序</w:t>
      </w:r>
    </w:p>
    <w:p w14:paraId="293446F2">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5AA0AAF2">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6B5093F0">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3B538D9B">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投资人申购基金份额时，必须全额交付申购款项，投资人交付申购款项，申购成立；基金份额登记机构确认基金份额时，申购生效。 </w:t>
      </w:r>
    </w:p>
    <w:p w14:paraId="220F25EC">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14:paraId="7E930A2C">
      <w:pPr>
        <w:pStyle w:val="8"/>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5E8D37DC">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60AD8E20">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0A414725">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基金销售机构对申购、赎回申请的受理并不代表申请一定成功，而仅代表销售机构确实接收到申请。申购、赎回申请的确认以登记机构的确认结果为准。对于申购、赎回申请的确认情况，投资者应及时查询。 </w:t>
      </w:r>
    </w:p>
    <w:p w14:paraId="10724184">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16526E85">
      <w:pPr>
        <w:pStyle w:val="8"/>
        <w:spacing w:before="0" w:beforeAutospacing="0" w:after="0" w:afterAutospacing="0" w:line="360" w:lineRule="auto"/>
        <w:ind w:firstLine="420"/>
        <w:rPr>
          <w:sz w:val="21"/>
          <w:szCs w:val="21"/>
        </w:rPr>
      </w:pPr>
      <w:r>
        <w:rPr>
          <w:rStyle w:val="12"/>
          <w:rFonts w:hint="eastAsia"/>
          <w:sz w:val="21"/>
          <w:szCs w:val="21"/>
        </w:rPr>
        <w:t>六、申购费率、赎回费率</w:t>
      </w:r>
    </w:p>
    <w:p w14:paraId="383F344C">
      <w:pPr>
        <w:pStyle w:val="8"/>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02D0D420">
      <w:pPr>
        <w:pStyle w:val="8"/>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14:paraId="24E593B6">
      <w:pPr>
        <w:pStyle w:val="8"/>
        <w:spacing w:before="0" w:beforeAutospacing="0" w:after="0" w:afterAutospacing="0" w:line="360" w:lineRule="auto"/>
        <w:ind w:firstLine="420"/>
        <w:rPr>
          <w:sz w:val="21"/>
          <w:szCs w:val="21"/>
        </w:rPr>
      </w:pPr>
      <w:r>
        <w:rPr>
          <w:rFonts w:hint="eastAsia"/>
          <w:sz w:val="21"/>
          <w:szCs w:val="21"/>
        </w:rPr>
        <w:t xml:space="preserve">表2：本基金份额的申购费率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54"/>
        <w:gridCol w:w="3562"/>
      </w:tblGrid>
      <w:tr w14:paraId="74C2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677CAE">
            <w:pPr>
              <w:pStyle w:val="8"/>
            </w:pPr>
            <w:r>
              <w:rPr>
                <w:rFonts w:hint="eastAsia"/>
              </w:rPr>
              <w:t xml:space="preserve">申购金额（M） </w:t>
            </w:r>
          </w:p>
        </w:tc>
        <w:tc>
          <w:tcPr>
            <w:tcW w:w="0" w:type="auto"/>
            <w:shd w:val="clear" w:color="auto" w:fill="auto"/>
          </w:tcPr>
          <w:p w14:paraId="6F1162B9">
            <w:pPr>
              <w:pStyle w:val="8"/>
            </w:pPr>
            <w:r>
              <w:rPr>
                <w:rFonts w:hint="eastAsia"/>
              </w:rPr>
              <w:t xml:space="preserve">申购费率 </w:t>
            </w:r>
          </w:p>
        </w:tc>
      </w:tr>
      <w:tr w14:paraId="2287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18D608">
            <w:pPr>
              <w:pStyle w:val="8"/>
            </w:pPr>
            <w:r>
              <w:rPr>
                <w:rFonts w:hint="eastAsia"/>
              </w:rPr>
              <w:t xml:space="preserve">M＜100万 </w:t>
            </w:r>
          </w:p>
        </w:tc>
        <w:tc>
          <w:tcPr>
            <w:tcW w:w="0" w:type="auto"/>
            <w:shd w:val="clear" w:color="auto" w:fill="auto"/>
          </w:tcPr>
          <w:p w14:paraId="313C9A8E">
            <w:pPr>
              <w:pStyle w:val="8"/>
            </w:pPr>
            <w:r>
              <w:rPr>
                <w:rFonts w:hint="eastAsia"/>
              </w:rPr>
              <w:t xml:space="preserve">0.40% </w:t>
            </w:r>
          </w:p>
        </w:tc>
      </w:tr>
      <w:tr w14:paraId="2A424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C10325">
            <w:pPr>
              <w:pStyle w:val="8"/>
            </w:pPr>
            <w:r>
              <w:rPr>
                <w:rFonts w:hint="eastAsia"/>
              </w:rPr>
              <w:t xml:space="preserve">100万≤M＜300万 </w:t>
            </w:r>
          </w:p>
        </w:tc>
        <w:tc>
          <w:tcPr>
            <w:tcW w:w="0" w:type="auto"/>
            <w:shd w:val="clear" w:color="auto" w:fill="auto"/>
          </w:tcPr>
          <w:p w14:paraId="0C1713A3">
            <w:pPr>
              <w:pStyle w:val="8"/>
            </w:pPr>
            <w:r>
              <w:rPr>
                <w:rFonts w:hint="eastAsia"/>
              </w:rPr>
              <w:t xml:space="preserve">0.30% </w:t>
            </w:r>
          </w:p>
        </w:tc>
      </w:tr>
      <w:tr w14:paraId="282A8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39D6C7">
            <w:pPr>
              <w:pStyle w:val="8"/>
            </w:pPr>
            <w:r>
              <w:rPr>
                <w:rFonts w:hint="eastAsia"/>
              </w:rPr>
              <w:t xml:space="preserve">300万≤M＜500万 </w:t>
            </w:r>
          </w:p>
        </w:tc>
        <w:tc>
          <w:tcPr>
            <w:tcW w:w="0" w:type="auto"/>
            <w:shd w:val="clear" w:color="auto" w:fill="auto"/>
          </w:tcPr>
          <w:p w14:paraId="432A3E4D">
            <w:pPr>
              <w:pStyle w:val="8"/>
            </w:pPr>
            <w:r>
              <w:rPr>
                <w:rFonts w:hint="eastAsia"/>
              </w:rPr>
              <w:t xml:space="preserve">0.20% </w:t>
            </w:r>
          </w:p>
        </w:tc>
      </w:tr>
      <w:tr w14:paraId="7F7D0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D3EE99">
            <w:pPr>
              <w:pStyle w:val="8"/>
            </w:pPr>
            <w:r>
              <w:rPr>
                <w:rFonts w:hint="eastAsia"/>
              </w:rPr>
              <w:t xml:space="preserve">M≥500万 </w:t>
            </w:r>
          </w:p>
        </w:tc>
        <w:tc>
          <w:tcPr>
            <w:tcW w:w="0" w:type="auto"/>
            <w:shd w:val="clear" w:color="auto" w:fill="auto"/>
          </w:tcPr>
          <w:p w14:paraId="6F0D7C25">
            <w:pPr>
              <w:pStyle w:val="8"/>
            </w:pPr>
            <w:r>
              <w:rPr>
                <w:rFonts w:hint="eastAsia"/>
              </w:rPr>
              <w:t xml:space="preserve">每笔1000元 </w:t>
            </w:r>
          </w:p>
        </w:tc>
      </w:tr>
    </w:tbl>
    <w:p w14:paraId="28589EAA">
      <w:pPr>
        <w:pStyle w:val="8"/>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2B91FAC8">
      <w:pPr>
        <w:pStyle w:val="8"/>
        <w:spacing w:before="0" w:beforeAutospacing="0" w:after="0" w:afterAutospacing="0" w:line="360" w:lineRule="auto"/>
        <w:ind w:firstLine="420"/>
        <w:rPr>
          <w:sz w:val="21"/>
          <w:szCs w:val="21"/>
        </w:rPr>
      </w:pPr>
      <w:r>
        <w:rPr>
          <w:rFonts w:hint="eastAsia"/>
          <w:sz w:val="21"/>
          <w:szCs w:val="21"/>
        </w:rPr>
        <w:t xml:space="preserve">2、赎回费率见下表： </w:t>
      </w:r>
    </w:p>
    <w:p w14:paraId="4A8D6C3B">
      <w:pPr>
        <w:pStyle w:val="8"/>
        <w:spacing w:before="0" w:beforeAutospacing="0" w:after="0" w:afterAutospacing="0" w:line="360" w:lineRule="auto"/>
        <w:ind w:firstLine="420"/>
        <w:rPr>
          <w:sz w:val="21"/>
          <w:szCs w:val="21"/>
        </w:rPr>
      </w:pPr>
      <w:r>
        <w:rPr>
          <w:rFonts w:hint="eastAsia"/>
          <w:sz w:val="21"/>
          <w:szCs w:val="21"/>
        </w:rPr>
        <w:t xml:space="preserve">表3：本基金份额的赎回费率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7"/>
        <w:gridCol w:w="1069"/>
      </w:tblGrid>
      <w:tr w14:paraId="58988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03F498">
            <w:pPr>
              <w:pStyle w:val="8"/>
            </w:pPr>
            <w:r>
              <w:rPr>
                <w:rFonts w:hint="eastAsia"/>
              </w:rPr>
              <w:t xml:space="preserve">持有时间 </w:t>
            </w:r>
          </w:p>
        </w:tc>
        <w:tc>
          <w:tcPr>
            <w:tcW w:w="0" w:type="auto"/>
            <w:shd w:val="clear" w:color="auto" w:fill="auto"/>
          </w:tcPr>
          <w:p w14:paraId="7D2B0426">
            <w:pPr>
              <w:pStyle w:val="8"/>
            </w:pPr>
            <w:r>
              <w:rPr>
                <w:rFonts w:hint="eastAsia"/>
              </w:rPr>
              <w:t xml:space="preserve">赎回费率 </w:t>
            </w:r>
          </w:p>
        </w:tc>
      </w:tr>
      <w:tr w14:paraId="14E87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67D563">
            <w:pPr>
              <w:pStyle w:val="8"/>
            </w:pPr>
            <w:r>
              <w:rPr>
                <w:rFonts w:hint="eastAsia"/>
              </w:rPr>
              <w:t xml:space="preserve">在同一开放期内申购后又赎回且持续持有期限少于7日（因暂停运作而被自动赎回的除外） </w:t>
            </w:r>
          </w:p>
        </w:tc>
        <w:tc>
          <w:tcPr>
            <w:tcW w:w="0" w:type="auto"/>
            <w:shd w:val="clear" w:color="auto" w:fill="auto"/>
          </w:tcPr>
          <w:p w14:paraId="2E01C7E4">
            <w:pPr>
              <w:pStyle w:val="8"/>
            </w:pPr>
            <w:r>
              <w:rPr>
                <w:rFonts w:hint="eastAsia"/>
              </w:rPr>
              <w:t xml:space="preserve">1.50% </w:t>
            </w:r>
          </w:p>
        </w:tc>
      </w:tr>
      <w:tr w14:paraId="55CCD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1E4795">
            <w:pPr>
              <w:pStyle w:val="8"/>
            </w:pPr>
            <w:r>
              <w:rPr>
                <w:rFonts w:hint="eastAsia"/>
              </w:rPr>
              <w:t xml:space="preserve">在同一开放期内申购后又赎回且持续持有期限大于等于7日（因暂停运作而被自动赎回的除外） </w:t>
            </w:r>
          </w:p>
        </w:tc>
        <w:tc>
          <w:tcPr>
            <w:tcW w:w="0" w:type="auto"/>
            <w:shd w:val="clear" w:color="auto" w:fill="auto"/>
          </w:tcPr>
          <w:p w14:paraId="06718AF7">
            <w:pPr>
              <w:pStyle w:val="8"/>
            </w:pPr>
            <w:r>
              <w:rPr>
                <w:rFonts w:hint="eastAsia"/>
              </w:rPr>
              <w:t xml:space="preserve">0.10% </w:t>
            </w:r>
          </w:p>
        </w:tc>
      </w:tr>
      <w:tr w14:paraId="23131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A1762E">
            <w:pPr>
              <w:pStyle w:val="8"/>
            </w:pPr>
            <w:r>
              <w:rPr>
                <w:rFonts w:hint="eastAsia"/>
              </w:rPr>
              <w:t xml:space="preserve">认购或在非同一开放期申购后又赎回 </w:t>
            </w:r>
          </w:p>
        </w:tc>
        <w:tc>
          <w:tcPr>
            <w:tcW w:w="0" w:type="auto"/>
            <w:shd w:val="clear" w:color="auto" w:fill="auto"/>
          </w:tcPr>
          <w:p w14:paraId="67ABE8F5">
            <w:pPr>
              <w:pStyle w:val="8"/>
            </w:pPr>
            <w:r>
              <w:rPr>
                <w:rFonts w:hint="eastAsia"/>
              </w:rPr>
              <w:t xml:space="preserve">0% </w:t>
            </w:r>
          </w:p>
        </w:tc>
      </w:tr>
    </w:tbl>
    <w:p w14:paraId="315C87C5">
      <w:pPr>
        <w:pStyle w:val="8"/>
        <w:spacing w:before="0" w:beforeAutospacing="0" w:after="0" w:afterAutospacing="0" w:line="360" w:lineRule="auto"/>
        <w:ind w:firstLine="420"/>
        <w:rPr>
          <w:sz w:val="21"/>
          <w:szCs w:val="21"/>
        </w:rPr>
      </w:pPr>
      <w:r>
        <w:rPr>
          <w:rFonts w:hint="eastAsia"/>
          <w:sz w:val="21"/>
          <w:szCs w:val="21"/>
        </w:rPr>
        <w:t xml:space="preserve">基金管理人决定本基金暂停下一封闭期运作时，对该开放期最后一日日终留存的基金份额将全部自动赎回，并且不收取赎回费。 </w:t>
      </w:r>
    </w:p>
    <w:p w14:paraId="52BA5910">
      <w:pPr>
        <w:pStyle w:val="8"/>
        <w:spacing w:before="0" w:beforeAutospacing="0" w:after="0" w:afterAutospacing="0" w:line="360" w:lineRule="auto"/>
        <w:ind w:firstLine="420"/>
        <w:rPr>
          <w:sz w:val="21"/>
          <w:szCs w:val="21"/>
        </w:rPr>
      </w:pPr>
      <w:r>
        <w:rPr>
          <w:rFonts w:hint="eastAsia"/>
          <w:sz w:val="21"/>
          <w:szCs w:val="21"/>
        </w:rPr>
        <w:t xml:space="preserve">本基金的赎回费用由赎回基金份额的基金份额持有人承担，在基金份额持有人赎回基金份额时收取。向在同一开放期内申购后又赎回且持续持有期限少于7日（因暂停运作而被自动赎回的除外）的投资者收取的赎回费全额计入基金财产，向在同一开放期内申购后又赎回且持续持有期限大于等于7日（因暂停运作而被自动赎回的除外）的投资者收取的赎回费中不低于赎回费总额的25%计入基金财产。 </w:t>
      </w:r>
    </w:p>
    <w:p w14:paraId="12060CE7">
      <w:pPr>
        <w:pStyle w:val="8"/>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47E48A3C">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3、基金管理人可以在基金合同约定的范围内调整费率或收费方式，并最迟应于新的费率或收费方式实施日前依照《信息披露办法》的有关规定在指定媒介上公告。 </w:t>
      </w:r>
    </w:p>
    <w:p w14:paraId="70DE0492">
      <w:pPr>
        <w:pStyle w:val="8"/>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且在不对基金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 </w:t>
      </w:r>
    </w:p>
    <w:p w14:paraId="5E2FE187">
      <w:pPr>
        <w:pStyle w:val="8"/>
        <w:spacing w:before="0" w:beforeAutospacing="0" w:after="0" w:afterAutospacing="0" w:line="360" w:lineRule="auto"/>
        <w:ind w:firstLine="420"/>
        <w:rPr>
          <w:sz w:val="21"/>
          <w:szCs w:val="21"/>
        </w:rPr>
      </w:pPr>
      <w:r>
        <w:rPr>
          <w:rFonts w:hint="eastAsia"/>
          <w:sz w:val="21"/>
          <w:szCs w:val="21"/>
        </w:rPr>
        <w:t xml:space="preserve">5、开放期内，当本基金发生大额申购或赎回情形时，基金管理人可以采用摆动定价机制以确保基金估值的公平性。具体处理原则与操作规范遵循相关法律法规以及监管部门、自律规则的规定。 </w:t>
      </w:r>
    </w:p>
    <w:p w14:paraId="3FD92708">
      <w:pPr>
        <w:pStyle w:val="8"/>
        <w:spacing w:before="0" w:beforeAutospacing="0" w:after="0" w:afterAutospacing="0" w:line="360" w:lineRule="auto"/>
        <w:ind w:firstLine="420"/>
        <w:rPr>
          <w:sz w:val="21"/>
          <w:szCs w:val="21"/>
        </w:rPr>
      </w:pPr>
      <w:r>
        <w:rPr>
          <w:rStyle w:val="12"/>
          <w:rFonts w:hint="eastAsia"/>
          <w:sz w:val="21"/>
          <w:szCs w:val="21"/>
        </w:rPr>
        <w:t>七、申购份额与赎回金额的计算方式</w:t>
      </w:r>
    </w:p>
    <w:p w14:paraId="1071E035">
      <w:pPr>
        <w:pStyle w:val="8"/>
        <w:spacing w:before="0" w:beforeAutospacing="0" w:after="0" w:afterAutospacing="0" w:line="360" w:lineRule="auto"/>
        <w:ind w:firstLine="420"/>
        <w:rPr>
          <w:sz w:val="21"/>
          <w:szCs w:val="21"/>
        </w:rPr>
      </w:pPr>
      <w:r>
        <w:rPr>
          <w:rFonts w:hint="eastAsia"/>
          <w:sz w:val="21"/>
          <w:szCs w:val="21"/>
        </w:rPr>
        <w:t xml:space="preserve">1、申购份额的计算方式： </w:t>
      </w:r>
    </w:p>
    <w:p w14:paraId="794742F2">
      <w:pPr>
        <w:pStyle w:val="8"/>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5552D6B3">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0EBEED39">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245B74A">
      <w:pPr>
        <w:pStyle w:val="8"/>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340A543F">
      <w:pPr>
        <w:pStyle w:val="8"/>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13DD1B59">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55BB4241">
      <w:pPr>
        <w:pStyle w:val="8"/>
        <w:spacing w:before="0" w:beforeAutospacing="0" w:after="0" w:afterAutospacing="0" w:line="360" w:lineRule="auto"/>
        <w:ind w:firstLine="420"/>
        <w:rPr>
          <w:sz w:val="21"/>
          <w:szCs w:val="21"/>
        </w:rPr>
      </w:pPr>
      <w:r>
        <w:rPr>
          <w:rFonts w:hint="eastAsia"/>
          <w:sz w:val="21"/>
          <w:szCs w:val="21"/>
        </w:rPr>
        <w:t xml:space="preserve">净申购金额=申购金额-固定金额 </w:t>
      </w:r>
    </w:p>
    <w:p w14:paraId="49FE222E">
      <w:pPr>
        <w:pStyle w:val="8"/>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626FC94F">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51B8DDE4">
      <w:pPr>
        <w:pStyle w:val="8"/>
        <w:spacing w:before="0" w:beforeAutospacing="0" w:after="0" w:afterAutospacing="0" w:line="360" w:lineRule="auto"/>
        <w:ind w:firstLine="420"/>
        <w:rPr>
          <w:sz w:val="21"/>
          <w:szCs w:val="21"/>
        </w:rPr>
      </w:pPr>
      <w:r>
        <w:rPr>
          <w:rFonts w:hint="eastAsia"/>
          <w:sz w:val="21"/>
          <w:szCs w:val="21"/>
        </w:rPr>
        <w:t xml:space="preserve">例3：假定T日基金份额净值为1.0560元，某投资人本次申购本基金40万元，对应的本次申购费率为0.40%，该投资人可得到的基金份额为： </w:t>
      </w:r>
    </w:p>
    <w:p w14:paraId="20E011EC">
      <w:pPr>
        <w:pStyle w:val="8"/>
        <w:spacing w:before="0" w:beforeAutospacing="0" w:after="0" w:afterAutospacing="0" w:line="360" w:lineRule="auto"/>
        <w:ind w:firstLine="420"/>
        <w:rPr>
          <w:sz w:val="21"/>
          <w:szCs w:val="21"/>
        </w:rPr>
      </w:pPr>
      <w:r>
        <w:rPr>
          <w:rFonts w:hint="eastAsia"/>
          <w:sz w:val="21"/>
          <w:szCs w:val="21"/>
        </w:rPr>
        <w:t xml:space="preserve">净申购金额=400,000/（1+0.40%）＝398,406.37元 </w:t>
      </w:r>
    </w:p>
    <w:p w14:paraId="0AD5D085">
      <w:pPr>
        <w:pStyle w:val="8"/>
        <w:spacing w:before="0" w:beforeAutospacing="0" w:after="0" w:afterAutospacing="0" w:line="360" w:lineRule="auto"/>
        <w:ind w:firstLine="420"/>
        <w:rPr>
          <w:sz w:val="21"/>
          <w:szCs w:val="21"/>
        </w:rPr>
      </w:pPr>
      <w:r>
        <w:rPr>
          <w:rFonts w:hint="eastAsia"/>
          <w:sz w:val="21"/>
          <w:szCs w:val="21"/>
        </w:rPr>
        <w:t xml:space="preserve">申购费用=400,000-398,406.37＝1,593.63元 </w:t>
      </w:r>
    </w:p>
    <w:p w14:paraId="6B4E0E9F">
      <w:pPr>
        <w:pStyle w:val="8"/>
        <w:spacing w:before="0" w:beforeAutospacing="0" w:after="0" w:afterAutospacing="0" w:line="360" w:lineRule="auto"/>
        <w:ind w:firstLine="420"/>
        <w:rPr>
          <w:sz w:val="21"/>
          <w:szCs w:val="21"/>
        </w:rPr>
      </w:pPr>
      <w:r>
        <w:rPr>
          <w:rFonts w:hint="eastAsia"/>
          <w:sz w:val="21"/>
          <w:szCs w:val="21"/>
        </w:rPr>
        <w:t xml:space="preserve">申购份额=398,406.37/1.0560＝377,278.76份 </w:t>
      </w:r>
    </w:p>
    <w:p w14:paraId="3CF53378">
      <w:pPr>
        <w:pStyle w:val="8"/>
        <w:spacing w:before="0" w:beforeAutospacing="0" w:after="0" w:afterAutospacing="0" w:line="360" w:lineRule="auto"/>
        <w:ind w:firstLine="420"/>
        <w:rPr>
          <w:sz w:val="21"/>
          <w:szCs w:val="21"/>
        </w:rPr>
      </w:pPr>
      <w:r>
        <w:rPr>
          <w:rFonts w:hint="eastAsia"/>
          <w:sz w:val="21"/>
          <w:szCs w:val="21"/>
        </w:rPr>
        <w:t xml:space="preserve">即：投资人投资40万元申购本基金，假定申购当日基金份额净值为1.0560元，可得到377,278.76份基金份额。 </w:t>
      </w:r>
    </w:p>
    <w:p w14:paraId="78F71CF5">
      <w:pPr>
        <w:pStyle w:val="8"/>
        <w:spacing w:before="0" w:beforeAutospacing="0" w:after="0" w:afterAutospacing="0" w:line="360" w:lineRule="auto"/>
        <w:ind w:firstLine="420"/>
        <w:rPr>
          <w:sz w:val="21"/>
          <w:szCs w:val="21"/>
        </w:rPr>
      </w:pPr>
      <w:r>
        <w:rPr>
          <w:rFonts w:hint="eastAsia"/>
          <w:sz w:val="21"/>
          <w:szCs w:val="21"/>
        </w:rPr>
        <w:t xml:space="preserve">例4：假定T日基金份额净值为1.0560元，某投资人投资600万元申购本基金，其对应的申购费用为1,000元，则其可得到的申购份额为： </w:t>
      </w:r>
    </w:p>
    <w:p w14:paraId="5FAA2B64">
      <w:pPr>
        <w:pStyle w:val="8"/>
        <w:spacing w:before="0" w:beforeAutospacing="0" w:after="0" w:afterAutospacing="0" w:line="360" w:lineRule="auto"/>
        <w:ind w:firstLine="420"/>
        <w:rPr>
          <w:sz w:val="21"/>
          <w:szCs w:val="21"/>
        </w:rPr>
      </w:pPr>
      <w:r>
        <w:rPr>
          <w:rFonts w:hint="eastAsia"/>
          <w:sz w:val="21"/>
          <w:szCs w:val="21"/>
        </w:rPr>
        <w:t xml:space="preserve">申购费用＝1,000.00元 </w:t>
      </w:r>
    </w:p>
    <w:p w14:paraId="629E2230">
      <w:pPr>
        <w:pStyle w:val="8"/>
        <w:spacing w:before="0" w:beforeAutospacing="0" w:after="0" w:afterAutospacing="0" w:line="360" w:lineRule="auto"/>
        <w:ind w:firstLine="420"/>
        <w:rPr>
          <w:sz w:val="21"/>
          <w:szCs w:val="21"/>
        </w:rPr>
      </w:pPr>
      <w:r>
        <w:rPr>
          <w:rFonts w:hint="eastAsia"/>
          <w:sz w:val="21"/>
          <w:szCs w:val="21"/>
        </w:rPr>
        <w:t xml:space="preserve">净申购金额＝6,000,000－1,000.00＝5,999,000.00元 </w:t>
      </w:r>
    </w:p>
    <w:p w14:paraId="11A97369">
      <w:pPr>
        <w:pStyle w:val="8"/>
        <w:spacing w:before="0" w:beforeAutospacing="0" w:after="0" w:afterAutospacing="0" w:line="360" w:lineRule="auto"/>
        <w:ind w:firstLine="420"/>
        <w:rPr>
          <w:sz w:val="21"/>
          <w:szCs w:val="21"/>
        </w:rPr>
      </w:pPr>
      <w:r>
        <w:rPr>
          <w:rFonts w:hint="eastAsia"/>
          <w:sz w:val="21"/>
          <w:szCs w:val="21"/>
        </w:rPr>
        <w:t xml:space="preserve">申购份额＝5,999,000/1.0560＝5,680,871.21份 </w:t>
      </w:r>
    </w:p>
    <w:p w14:paraId="4D72F551">
      <w:pPr>
        <w:pStyle w:val="8"/>
        <w:spacing w:before="0" w:beforeAutospacing="0" w:after="0" w:afterAutospacing="0" w:line="360" w:lineRule="auto"/>
        <w:ind w:firstLine="420"/>
        <w:rPr>
          <w:sz w:val="21"/>
          <w:szCs w:val="21"/>
        </w:rPr>
      </w:pPr>
      <w:r>
        <w:rPr>
          <w:rFonts w:hint="eastAsia"/>
          <w:sz w:val="21"/>
          <w:szCs w:val="21"/>
        </w:rPr>
        <w:t xml:space="preserve">即：投资人投资600万元申购本基金，假定申购当日基金份额净值为1.0560元，可得到5,680,871.21份基金份额。 </w:t>
      </w:r>
    </w:p>
    <w:p w14:paraId="740AB490">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0AD8A8C3">
      <w:pPr>
        <w:pStyle w:val="8"/>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42F660DF">
      <w:pPr>
        <w:pStyle w:val="8"/>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25D3D743">
      <w:pPr>
        <w:pStyle w:val="8"/>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7D9D1C8C">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2BF91139">
      <w:pPr>
        <w:pStyle w:val="8"/>
        <w:spacing w:before="0" w:beforeAutospacing="0" w:after="0" w:afterAutospacing="0" w:line="360" w:lineRule="auto"/>
        <w:ind w:firstLine="420"/>
        <w:rPr>
          <w:sz w:val="21"/>
          <w:szCs w:val="21"/>
        </w:rPr>
      </w:pPr>
      <w:r>
        <w:rPr>
          <w:rFonts w:hint="eastAsia"/>
          <w:sz w:val="21"/>
          <w:szCs w:val="21"/>
        </w:rPr>
        <w:t xml:space="preserve">例5：某投资者赎回本基金1万份基金份额，该笔份额持有时间满一个封闭期，对应的赎回费率为0%，假设赎回当日基金份额净值是1.2500元，则其可得到的赎回金额为： </w:t>
      </w:r>
    </w:p>
    <w:p w14:paraId="40F3E4B6">
      <w:pPr>
        <w:pStyle w:val="8"/>
        <w:spacing w:before="0" w:beforeAutospacing="0" w:after="0" w:afterAutospacing="0" w:line="360" w:lineRule="auto"/>
        <w:ind w:firstLine="420"/>
        <w:rPr>
          <w:sz w:val="21"/>
          <w:szCs w:val="21"/>
        </w:rPr>
      </w:pPr>
      <w:r>
        <w:rPr>
          <w:rFonts w:hint="eastAsia"/>
          <w:sz w:val="21"/>
          <w:szCs w:val="21"/>
        </w:rPr>
        <w:t xml:space="preserve">赎回总金额=10,000×1.2500=12,500.00 元 </w:t>
      </w:r>
    </w:p>
    <w:p w14:paraId="455045A1">
      <w:pPr>
        <w:pStyle w:val="8"/>
        <w:spacing w:before="0" w:beforeAutospacing="0" w:after="0" w:afterAutospacing="0" w:line="360" w:lineRule="auto"/>
        <w:ind w:firstLine="420"/>
        <w:rPr>
          <w:sz w:val="21"/>
          <w:szCs w:val="21"/>
        </w:rPr>
      </w:pPr>
      <w:r>
        <w:rPr>
          <w:rFonts w:hint="eastAsia"/>
          <w:sz w:val="21"/>
          <w:szCs w:val="21"/>
        </w:rPr>
        <w:t xml:space="preserve">赎回费用=12,500×0%=0.00 元 </w:t>
      </w:r>
    </w:p>
    <w:p w14:paraId="49E383C9">
      <w:pPr>
        <w:pStyle w:val="8"/>
        <w:spacing w:before="0" w:beforeAutospacing="0" w:after="0" w:afterAutospacing="0" w:line="360" w:lineRule="auto"/>
        <w:ind w:firstLine="420"/>
        <w:rPr>
          <w:sz w:val="21"/>
          <w:szCs w:val="21"/>
        </w:rPr>
      </w:pPr>
      <w:r>
        <w:rPr>
          <w:rFonts w:hint="eastAsia"/>
          <w:sz w:val="21"/>
          <w:szCs w:val="21"/>
        </w:rPr>
        <w:t xml:space="preserve">净赎回金额=12,500-0=12,500.00 元 </w:t>
      </w:r>
    </w:p>
    <w:p w14:paraId="2ECD002D">
      <w:pPr>
        <w:pStyle w:val="8"/>
        <w:spacing w:before="0" w:beforeAutospacing="0" w:after="0" w:afterAutospacing="0" w:line="360" w:lineRule="auto"/>
        <w:ind w:firstLine="420"/>
        <w:rPr>
          <w:sz w:val="21"/>
          <w:szCs w:val="21"/>
        </w:rPr>
      </w:pPr>
      <w:r>
        <w:rPr>
          <w:rFonts w:hint="eastAsia"/>
          <w:sz w:val="21"/>
          <w:szCs w:val="21"/>
        </w:rPr>
        <w:t xml:space="preserve">即：投资者赎回本基金1万份基金份额，该笔份额持有时间满一个封闭期，假设赎回当日基金份额净值是1.2500元，则其可得到的赎回金额为12,500.00元。 </w:t>
      </w:r>
    </w:p>
    <w:p w14:paraId="6D4EF2E7">
      <w:pPr>
        <w:pStyle w:val="8"/>
        <w:spacing w:before="0" w:beforeAutospacing="0" w:after="0" w:afterAutospacing="0" w:line="360" w:lineRule="auto"/>
        <w:ind w:firstLine="420"/>
        <w:rPr>
          <w:sz w:val="21"/>
          <w:szCs w:val="21"/>
        </w:rPr>
      </w:pPr>
      <w:r>
        <w:rPr>
          <w:rFonts w:hint="eastAsia"/>
          <w:sz w:val="21"/>
          <w:szCs w:val="21"/>
        </w:rPr>
        <w:t xml:space="preserve">3、本基金份额净值的计算，保留到小数点后4位，小数点后第5位四舍五入，由此产生的收益或损失由基金财产承担。T日的基金份额净值和基金份额累计净值在当天收市后计算，并按照基金合同约定公告。遇特殊情况，经履行适当程序，可以适当延迟计算或公告。 </w:t>
      </w:r>
    </w:p>
    <w:p w14:paraId="6D4CCF26">
      <w:pPr>
        <w:pStyle w:val="8"/>
        <w:spacing w:before="0" w:beforeAutospacing="0" w:after="0" w:afterAutospacing="0" w:line="360" w:lineRule="auto"/>
        <w:ind w:firstLine="420"/>
        <w:rPr>
          <w:sz w:val="21"/>
          <w:szCs w:val="21"/>
        </w:rPr>
      </w:pPr>
      <w:r>
        <w:rPr>
          <w:rStyle w:val="12"/>
          <w:rFonts w:hint="eastAsia"/>
          <w:sz w:val="21"/>
          <w:szCs w:val="21"/>
        </w:rPr>
        <w:t>八、申购与赎回的登记</w:t>
      </w:r>
    </w:p>
    <w:p w14:paraId="36C73437">
      <w:pPr>
        <w:pStyle w:val="8"/>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2AC9B26F">
      <w:pPr>
        <w:pStyle w:val="8"/>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7DB820EF">
      <w:pPr>
        <w:pStyle w:val="8"/>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386EC0CB">
      <w:pPr>
        <w:pStyle w:val="8"/>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2ED04461">
      <w:pPr>
        <w:pStyle w:val="8"/>
        <w:spacing w:before="0" w:beforeAutospacing="0" w:after="0" w:afterAutospacing="0" w:line="360" w:lineRule="auto"/>
        <w:ind w:firstLine="420"/>
        <w:rPr>
          <w:sz w:val="21"/>
          <w:szCs w:val="21"/>
        </w:rPr>
      </w:pPr>
      <w:r>
        <w:rPr>
          <w:rStyle w:val="12"/>
          <w:rFonts w:hint="eastAsia"/>
          <w:sz w:val="21"/>
          <w:szCs w:val="21"/>
        </w:rPr>
        <w:t>九、拒绝或暂停申购的情形</w:t>
      </w:r>
    </w:p>
    <w:p w14:paraId="771111A4">
      <w:pPr>
        <w:pStyle w:val="8"/>
        <w:spacing w:before="0" w:beforeAutospacing="0" w:after="0" w:afterAutospacing="0" w:line="360" w:lineRule="auto"/>
        <w:ind w:firstLine="420"/>
        <w:rPr>
          <w:sz w:val="21"/>
          <w:szCs w:val="21"/>
        </w:rPr>
      </w:pPr>
      <w:r>
        <w:rPr>
          <w:rFonts w:hint="eastAsia"/>
          <w:sz w:val="21"/>
          <w:szCs w:val="21"/>
        </w:rPr>
        <w:t xml:space="preserve">在开放期内，发生下列情况时，基金管理人可拒绝或暂停接受投资人的申购申请：   </w:t>
      </w:r>
    </w:p>
    <w:p w14:paraId="74901F49">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6E13F6A8">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08E703AA">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70054134">
      <w:pPr>
        <w:pStyle w:val="8"/>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4、接受某笔或某些申购申请可能会影响或损害现有基金份额持有人利益或对存量基金份额持有人利益构成潜在重大不利影响时。   </w:t>
      </w:r>
    </w:p>
    <w:p w14:paraId="276169C1">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2EC38C88">
      <w:pPr>
        <w:pStyle w:val="8"/>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3126F9DF">
      <w:pPr>
        <w:pStyle w:val="8"/>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15A89137">
      <w:pPr>
        <w:pStyle w:val="8"/>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5CA1E914">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074F5FA1">
      <w:pPr>
        <w:pStyle w:val="8"/>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指定媒介上刊登暂停申购公告。如果投资人的申购申请全部或部分被拒绝的，被拒绝的申购款项本金将退还给投资人。在暂停申购的情况消除时，基金管理人应及时恢复申购业务的办理，且开放期按暂停申购的期间相应延长，具体时间以基金管理人届时公告为准。   </w:t>
      </w:r>
    </w:p>
    <w:p w14:paraId="479B37EF">
      <w:pPr>
        <w:pStyle w:val="8"/>
        <w:spacing w:before="0" w:beforeAutospacing="0" w:after="0" w:afterAutospacing="0" w:line="360" w:lineRule="auto"/>
        <w:ind w:firstLine="420"/>
        <w:rPr>
          <w:sz w:val="21"/>
          <w:szCs w:val="21"/>
        </w:rPr>
      </w:pPr>
      <w:r>
        <w:rPr>
          <w:rStyle w:val="12"/>
          <w:rFonts w:hint="eastAsia"/>
          <w:sz w:val="21"/>
          <w:szCs w:val="21"/>
        </w:rPr>
        <w:t>十、暂停赎回或延缓支付赎回款项的情形 </w:t>
      </w:r>
    </w:p>
    <w:p w14:paraId="3E550DCF">
      <w:pPr>
        <w:pStyle w:val="8"/>
        <w:spacing w:before="0" w:beforeAutospacing="0" w:after="0" w:afterAutospacing="0" w:line="360" w:lineRule="auto"/>
        <w:ind w:firstLine="420"/>
        <w:rPr>
          <w:sz w:val="21"/>
          <w:szCs w:val="21"/>
        </w:rPr>
      </w:pPr>
      <w:r>
        <w:rPr>
          <w:rFonts w:hint="eastAsia"/>
          <w:sz w:val="21"/>
          <w:szCs w:val="21"/>
        </w:rPr>
        <w:t xml:space="preserve">在开放期内，发生下列情形时，基金管理人可暂停接受投资人的赎回申请或延缓支付赎回款项：   </w:t>
      </w:r>
    </w:p>
    <w:p w14:paraId="4A968A2D">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46538043">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1FEC0A25">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46F4ADEB">
      <w:pPr>
        <w:pStyle w:val="8"/>
        <w:spacing w:before="0" w:beforeAutospacing="0" w:after="0" w:afterAutospacing="0" w:line="360" w:lineRule="auto"/>
        <w:ind w:firstLine="420"/>
        <w:rPr>
          <w:sz w:val="21"/>
          <w:szCs w:val="21"/>
        </w:rPr>
      </w:pPr>
      <w:r>
        <w:rPr>
          <w:rFonts w:hint="eastAsia"/>
          <w:sz w:val="21"/>
          <w:szCs w:val="21"/>
        </w:rPr>
        <w:t xml:space="preserve">4、发生继续接受赎回申请将损害现有基金份额持有人利益的情形。   </w:t>
      </w:r>
    </w:p>
    <w:p w14:paraId="17C600A1">
      <w:pPr>
        <w:pStyle w:val="8"/>
        <w:spacing w:before="0" w:beforeAutospacing="0" w:after="0" w:afterAutospacing="0" w:line="360" w:lineRule="auto"/>
        <w:ind w:firstLine="420"/>
        <w:rPr>
          <w:sz w:val="21"/>
          <w:szCs w:val="21"/>
        </w:rPr>
      </w:pPr>
      <w:r>
        <w:rPr>
          <w:rFonts w:hint="eastAsia"/>
          <w:sz w:val="21"/>
          <w:szCs w:val="21"/>
        </w:rPr>
        <w:t xml:space="preserve">5、当特定资产占前一估值日基金资产净值50%以上的，经与基金托管人协商确认后，基金管理人应当延缓支付赎回款项或暂停接受基金赎回申请。  </w:t>
      </w:r>
    </w:p>
    <w:p w14:paraId="340A8AA6">
      <w:pPr>
        <w:pStyle w:val="8"/>
        <w:spacing w:before="0" w:beforeAutospacing="0" w:after="0" w:afterAutospacing="0" w:line="360" w:lineRule="auto"/>
        <w:ind w:firstLine="420"/>
        <w:rPr>
          <w:sz w:val="21"/>
          <w:szCs w:val="21"/>
        </w:rPr>
      </w:pPr>
      <w:r>
        <w:rPr>
          <w:rFonts w:hint="eastAsia"/>
          <w:sz w:val="21"/>
          <w:szCs w:val="21"/>
        </w:rPr>
        <w:t xml:space="preserve">6、法律法规规定或中国证监会认定的其他情形。   </w:t>
      </w:r>
    </w:p>
    <w:p w14:paraId="313915FB">
      <w:pPr>
        <w:pStyle w:val="8"/>
        <w:spacing w:before="0" w:beforeAutospacing="0" w:after="0" w:afterAutospacing="0" w:line="360" w:lineRule="auto"/>
        <w:ind w:firstLine="420"/>
        <w:rPr>
          <w:sz w:val="21"/>
          <w:szCs w:val="21"/>
        </w:rPr>
      </w:pPr>
      <w:r>
        <w:rPr>
          <w:rFonts w:hint="eastAsia"/>
          <w:sz w:val="21"/>
          <w:szCs w:val="21"/>
        </w:rPr>
        <w:t xml:space="preserve">发生上述情形之一且基金管理人决定暂停赎回或延缓支付赎回款项时，基金管理人应按规定报中国证监会备案，已确认的赎回申请，基金管理人应足额支付；如暂时不能足额支付，未支付部分可延期支付。在暂停赎回的情况消除时，基金管理人应及时恢复赎回业务的办理并公告，且开放期间按暂停赎回的期间相应延长，具体时间以基金管理人届时公告为准。  </w:t>
      </w:r>
    </w:p>
    <w:p w14:paraId="1829E89D">
      <w:pPr>
        <w:pStyle w:val="8"/>
        <w:spacing w:before="0" w:beforeAutospacing="0" w:after="0" w:afterAutospacing="0" w:line="360" w:lineRule="auto"/>
        <w:ind w:firstLine="420"/>
        <w:rPr>
          <w:sz w:val="21"/>
          <w:szCs w:val="21"/>
        </w:rPr>
      </w:pPr>
      <w:r>
        <w:rPr>
          <w:rStyle w:val="12"/>
          <w:rFonts w:hint="eastAsia"/>
          <w:sz w:val="21"/>
          <w:szCs w:val="21"/>
        </w:rPr>
        <w:t>十一、巨额赎回的情形及处理方式</w:t>
      </w:r>
    </w:p>
    <w:p w14:paraId="6D1E2960">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13C3F702">
      <w:pPr>
        <w:pStyle w:val="8"/>
        <w:spacing w:before="0" w:beforeAutospacing="0" w:after="0" w:afterAutospacing="0" w:line="360" w:lineRule="auto"/>
        <w:ind w:firstLine="420"/>
        <w:rPr>
          <w:sz w:val="21"/>
          <w:szCs w:val="21"/>
        </w:rPr>
      </w:pPr>
      <w:r>
        <w:rPr>
          <w:rFonts w:hint="eastAsia"/>
          <w:sz w:val="21"/>
          <w:szCs w:val="21"/>
        </w:rPr>
        <w:t>若本基金开放期内单个开放日的基金份额净赎回申请(赎回申请份额总数加上基金转换中转出申请份额总数后扣除申购申请份额总数及基金转换中转入申请份额总数后的余额)超过前一工作日的基金总份额的</w:t>
      </w:r>
      <w:bookmarkStart w:id="87" w:name="field_49_mintredeemscale_2"/>
      <w:r>
        <w:rPr>
          <w:sz w:val="21"/>
          <w:szCs w:val="21"/>
        </w:rPr>
        <w:t>20</w:t>
      </w:r>
      <w:bookmarkEnd w:id="87"/>
      <w:r>
        <w:rPr>
          <w:rFonts w:hint="eastAsia"/>
          <w:sz w:val="21"/>
          <w:szCs w:val="21"/>
        </w:rPr>
        <w:t xml:space="preserve">%，即认为是发生了巨额赎回。 </w:t>
      </w:r>
    </w:p>
    <w:p w14:paraId="0E0958F9">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38BCF062">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当基金出现巨额赎回时，基金管理人可以根据基金当时的资产组合状况决定全额赎回、延缓支付赎回款项或延期办理。 </w:t>
      </w:r>
    </w:p>
    <w:p w14:paraId="6EF08DE6">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77EBB519">
      <w:pPr>
        <w:pStyle w:val="8"/>
        <w:spacing w:before="0" w:beforeAutospacing="0" w:after="0" w:afterAutospacing="0" w:line="360" w:lineRule="auto"/>
        <w:ind w:firstLine="420"/>
        <w:rPr>
          <w:sz w:val="21"/>
          <w:szCs w:val="21"/>
        </w:rPr>
      </w:pPr>
      <w:r>
        <w:rPr>
          <w:rFonts w:hint="eastAsia"/>
          <w:sz w:val="21"/>
          <w:szCs w:val="21"/>
        </w:rPr>
        <w:t>（2）延缓支付赎回款项：开放期内，发生巨额赎回且不存在单一持有人赎回申请超过上一工作日基金总份额</w:t>
      </w:r>
      <w:bookmarkStart w:id="88" w:name="field_49_mintredeemscale_3"/>
      <w:r>
        <w:rPr>
          <w:sz w:val="21"/>
          <w:szCs w:val="21"/>
        </w:rPr>
        <w:t>20</w:t>
      </w:r>
      <w:bookmarkEnd w:id="88"/>
      <w:r>
        <w:rPr>
          <w:rFonts w:hint="eastAsia"/>
          <w:sz w:val="21"/>
          <w:szCs w:val="21"/>
        </w:rPr>
        <w:t xml:space="preserve">%的情况下，基金管理人可以根据第（1）项办理，亦可在对符合法律法规及基金合同约定的赎回申请全部接受和确认并当日按比例办理支付的赎回份额不得低于前一工作日基金总份额的20%的基础上，可对其余赎回申请采取延缓支付赎回款项的措施。即对于已接受的赎回申请，如基金管理人认为全额支付投资人的赎回款项有困难或认为全额支付投资人的赎回款项可能会对基金的资产净值造成较大波动的，基金管理人可对赎回款项进行延缓支付，但不得超过20个工作日。延缓支付的赎回申请以赎回申请当日的基金份额净值为基础计算赎回金额。 </w:t>
      </w:r>
    </w:p>
    <w:p w14:paraId="1C3A37F9">
      <w:pPr>
        <w:pStyle w:val="8"/>
        <w:spacing w:before="0" w:beforeAutospacing="0" w:after="0" w:afterAutospacing="0" w:line="360" w:lineRule="auto"/>
        <w:ind w:firstLine="420"/>
        <w:rPr>
          <w:sz w:val="21"/>
          <w:szCs w:val="21"/>
        </w:rPr>
      </w:pPr>
      <w:r>
        <w:rPr>
          <w:rFonts w:hint="eastAsia"/>
          <w:sz w:val="21"/>
          <w:szCs w:val="21"/>
        </w:rPr>
        <w:t>（3）延期办理：开放期内，如果发生巨额赎回且单一持有人赎回申请超过上一工作日基金总份额</w:t>
      </w:r>
      <w:bookmarkStart w:id="89" w:name="field_49_mintredeemscale_4"/>
      <w:r>
        <w:rPr>
          <w:sz w:val="21"/>
          <w:szCs w:val="21"/>
        </w:rPr>
        <w:t>20</w:t>
      </w:r>
      <w:bookmarkEnd w:id="89"/>
      <w:r>
        <w:rPr>
          <w:rFonts w:hint="eastAsia"/>
          <w:sz w:val="21"/>
          <w:szCs w:val="21"/>
        </w:rPr>
        <w:t xml:space="preserve">%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外延期办理的期限最长不可超过20个工作日，开放期外延期办理期间不办理申购亦不接受新的赎回申请。延期的赎回申请无优先权并以下一工作日的基金份额净值为基础计算赎回金额，以此类推。部分延期赎回不受单笔赎回最低份额的限制。延长期限的最后一个工作日，尚未办理完的赎回申请，基金管理人应按上述第（1）项规则办理。 </w:t>
      </w:r>
    </w:p>
    <w:p w14:paraId="23921D6C">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4C585708">
      <w:pPr>
        <w:pStyle w:val="8"/>
        <w:spacing w:before="0" w:beforeAutospacing="0" w:after="0" w:afterAutospacing="0" w:line="360" w:lineRule="auto"/>
        <w:ind w:firstLine="420"/>
        <w:rPr>
          <w:sz w:val="21"/>
          <w:szCs w:val="21"/>
        </w:rPr>
      </w:pPr>
      <w:r>
        <w:rPr>
          <w:rFonts w:hint="eastAsia"/>
          <w:sz w:val="21"/>
          <w:szCs w:val="21"/>
        </w:rPr>
        <w:t xml:space="preserve">当发生上述巨额赎回并延缓支付赎回款项或延期办理时，基金管理人应当通过邮寄、传真或者招募说明书规定的其他方式在3个交易日内通知基金份额持有人，说明有关处理方法，并在2日内在指定媒介上刊登公告。 </w:t>
      </w:r>
    </w:p>
    <w:p w14:paraId="2D960151">
      <w:pPr>
        <w:pStyle w:val="8"/>
        <w:spacing w:before="0" w:beforeAutospacing="0" w:after="0" w:afterAutospacing="0" w:line="360" w:lineRule="auto"/>
        <w:ind w:firstLine="420"/>
        <w:rPr>
          <w:sz w:val="21"/>
          <w:szCs w:val="21"/>
        </w:rPr>
      </w:pPr>
      <w:r>
        <w:rPr>
          <w:rStyle w:val="12"/>
          <w:rFonts w:hint="eastAsia"/>
          <w:sz w:val="21"/>
          <w:szCs w:val="21"/>
        </w:rPr>
        <w:t>十二、暂停申购或赎回的公告和重新开放申购或赎回的公告</w:t>
      </w:r>
    </w:p>
    <w:p w14:paraId="042CC89A">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1FD17418">
      <w:pPr>
        <w:pStyle w:val="8"/>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2、如发生暂停的时间为1日，基金管理人应于重新开放日，在指定媒介上刊登基金重新开放申购或赎回公告，并公布最近1个工作日的基金份额净值。 </w:t>
      </w:r>
    </w:p>
    <w:p w14:paraId="5E5FDBBD">
      <w:pPr>
        <w:pStyle w:val="8"/>
        <w:spacing w:before="0" w:beforeAutospacing="0" w:after="0" w:afterAutospacing="0" w:line="360" w:lineRule="auto"/>
        <w:ind w:firstLine="420"/>
        <w:rPr>
          <w:sz w:val="21"/>
          <w:szCs w:val="21"/>
        </w:rPr>
      </w:pPr>
      <w:r>
        <w:rPr>
          <w:rFonts w:hint="eastAsia"/>
          <w:sz w:val="21"/>
          <w:szCs w:val="21"/>
        </w:rPr>
        <w:t xml:space="preserve">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14:paraId="4D667FB7">
      <w:pPr>
        <w:pStyle w:val="8"/>
        <w:spacing w:before="0" w:beforeAutospacing="0" w:after="0" w:afterAutospacing="0" w:line="360" w:lineRule="auto"/>
        <w:ind w:firstLine="420"/>
        <w:rPr>
          <w:sz w:val="21"/>
          <w:szCs w:val="21"/>
        </w:rPr>
      </w:pPr>
      <w:r>
        <w:rPr>
          <w:rFonts w:hint="eastAsia"/>
          <w:sz w:val="21"/>
          <w:szCs w:val="21"/>
        </w:rPr>
        <w:t>4、以上暂停及恢复基金申购与赎回的公告规定，不适用于基金合同约定的封闭期与开</w:t>
      </w:r>
      <w:bookmarkStart w:id="90" w:name="chapter_level1_10_59_section_3_end"/>
      <w:bookmarkEnd w:id="90"/>
      <w:r>
        <w:rPr>
          <w:rFonts w:hint="eastAsia"/>
          <w:sz w:val="21"/>
          <w:szCs w:val="21"/>
        </w:rPr>
        <w:t xml:space="preserve">放期运作方式转换引起的暂停或恢复申购与赎回的情形。 </w:t>
      </w:r>
    </w:p>
    <w:p w14:paraId="195066E8">
      <w:pPr>
        <w:pStyle w:val="8"/>
        <w:spacing w:before="0" w:beforeAutospacing="0" w:after="0" w:afterAutospacing="0" w:line="360" w:lineRule="auto"/>
        <w:ind w:firstLine="420"/>
        <w:rPr>
          <w:sz w:val="21"/>
          <w:szCs w:val="21"/>
        </w:rPr>
      </w:pPr>
      <w:bookmarkStart w:id="91" w:name="chapter_level1_10_59_section_4"/>
      <w:bookmarkEnd w:id="91"/>
      <w:r>
        <w:rPr>
          <w:rStyle w:val="12"/>
          <w:rFonts w:hint="eastAsia"/>
          <w:sz w:val="21"/>
          <w:szCs w:val="21"/>
        </w:rPr>
        <w:t>十三、基金转换</w:t>
      </w:r>
    </w:p>
    <w:p w14:paraId="7063A52E">
      <w:pPr>
        <w:pStyle w:val="8"/>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92" w:name="chapter_level1_10_59_section_4_end"/>
      <w:bookmarkEnd w:id="92"/>
      <w:r>
        <w:rPr>
          <w:rFonts w:hint="eastAsia"/>
          <w:sz w:val="21"/>
          <w:szCs w:val="21"/>
        </w:rPr>
        <w:t xml:space="preserve">届时根据相关法律法规及基金合同的规定制定并公告，并提前告知基金托管人与相关机构。 </w:t>
      </w:r>
    </w:p>
    <w:p w14:paraId="24E9C878">
      <w:pPr>
        <w:pStyle w:val="8"/>
        <w:spacing w:before="0" w:beforeAutospacing="0" w:after="0" w:afterAutospacing="0" w:line="360" w:lineRule="auto"/>
        <w:ind w:firstLine="420"/>
        <w:rPr>
          <w:sz w:val="21"/>
          <w:szCs w:val="21"/>
        </w:rPr>
      </w:pPr>
      <w:bookmarkStart w:id="93" w:name="chapter_level1_10_59_section_5"/>
      <w:bookmarkEnd w:id="93"/>
      <w:r>
        <w:rPr>
          <w:rStyle w:val="12"/>
          <w:rFonts w:hint="eastAsia"/>
          <w:sz w:val="21"/>
          <w:szCs w:val="21"/>
        </w:rPr>
        <w:t>十四、基金份额的转让</w:t>
      </w:r>
    </w:p>
    <w:p w14:paraId="2C61675E">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履行相关程序后，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10B5CB47">
      <w:pPr>
        <w:pStyle w:val="8"/>
        <w:spacing w:before="0" w:beforeAutospacing="0" w:after="0" w:afterAutospacing="0" w:line="360" w:lineRule="auto"/>
        <w:ind w:firstLine="420"/>
        <w:rPr>
          <w:sz w:val="21"/>
          <w:szCs w:val="21"/>
        </w:rPr>
      </w:pPr>
      <w:r>
        <w:rPr>
          <w:rStyle w:val="12"/>
          <w:rFonts w:hint="eastAsia"/>
          <w:sz w:val="21"/>
          <w:szCs w:val="21"/>
        </w:rPr>
        <w:t>十五、基金的非交易过户</w:t>
      </w:r>
    </w:p>
    <w:p w14:paraId="2CC1E9B3">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0621BDAB">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4C5450C2">
      <w:pPr>
        <w:pStyle w:val="8"/>
        <w:spacing w:before="0" w:beforeAutospacing="0" w:after="0" w:afterAutospacing="0" w:line="360" w:lineRule="auto"/>
        <w:ind w:firstLine="420"/>
        <w:rPr>
          <w:sz w:val="21"/>
          <w:szCs w:val="21"/>
        </w:rPr>
      </w:pPr>
      <w:r>
        <w:rPr>
          <w:rStyle w:val="12"/>
          <w:rFonts w:hint="eastAsia"/>
          <w:sz w:val="21"/>
          <w:szCs w:val="21"/>
        </w:rPr>
        <w:t>十六、基金的转托管</w:t>
      </w:r>
    </w:p>
    <w:p w14:paraId="1C5808A0">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94" w:name="chapter_level1_10_59_section_5_end"/>
      <w:bookmarkEnd w:id="94"/>
      <w:r>
        <w:rPr>
          <w:rFonts w:hint="eastAsia"/>
          <w:sz w:val="21"/>
          <w:szCs w:val="21"/>
        </w:rPr>
        <w:t xml:space="preserve">以按照规定的标准收取转托管费。 </w:t>
      </w:r>
    </w:p>
    <w:p w14:paraId="100271F5">
      <w:pPr>
        <w:pStyle w:val="8"/>
        <w:spacing w:before="0" w:beforeAutospacing="0" w:after="0" w:afterAutospacing="0" w:line="360" w:lineRule="auto"/>
        <w:ind w:firstLine="420"/>
        <w:rPr>
          <w:sz w:val="21"/>
          <w:szCs w:val="21"/>
        </w:rPr>
      </w:pPr>
      <w:bookmarkStart w:id="95" w:name="chapter_level1_10_59_section_6"/>
      <w:bookmarkEnd w:id="95"/>
      <w:r>
        <w:rPr>
          <w:rStyle w:val="12"/>
          <w:rFonts w:hint="eastAsia"/>
          <w:sz w:val="21"/>
          <w:szCs w:val="21"/>
        </w:rPr>
        <w:t>十七、定期定额投资计划</w:t>
      </w:r>
    </w:p>
    <w:p w14:paraId="2B74C3B8">
      <w:pPr>
        <w:pStyle w:val="8"/>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基金管理人可以为投资人办理定期定额投资计划，具体规则由基金管理人另行规定。投资人在办理定期定额投资计划时可自行约定每期扣款金额，每期扣款金额必须不低于基金管</w:t>
      </w:r>
      <w:bookmarkStart w:id="96" w:name="chapter_level1_10_59_section_6_end"/>
      <w:bookmarkEnd w:id="96"/>
      <w:r>
        <w:rPr>
          <w:rFonts w:hint="eastAsia"/>
          <w:sz w:val="21"/>
          <w:szCs w:val="21"/>
        </w:rPr>
        <w:t xml:space="preserve">理人在相关公告或更新的招募说明书中所规定的定期定额投资计划最低申购金额。 </w:t>
      </w:r>
    </w:p>
    <w:p w14:paraId="21A65A84">
      <w:pPr>
        <w:pStyle w:val="8"/>
        <w:spacing w:before="0" w:beforeAutospacing="0" w:after="0" w:afterAutospacing="0" w:line="360" w:lineRule="auto"/>
        <w:ind w:firstLine="420"/>
        <w:rPr>
          <w:sz w:val="21"/>
          <w:szCs w:val="21"/>
        </w:rPr>
      </w:pPr>
      <w:bookmarkStart w:id="97" w:name="chapter_level1_10_59_section_7"/>
      <w:bookmarkEnd w:id="97"/>
      <w:r>
        <w:rPr>
          <w:rStyle w:val="12"/>
          <w:rFonts w:hint="eastAsia"/>
          <w:sz w:val="21"/>
          <w:szCs w:val="21"/>
        </w:rPr>
        <w:t>十八、基金份额的冻结、解冻和质押</w:t>
      </w:r>
    </w:p>
    <w:p w14:paraId="222F56D0">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812BDBD">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对基金份额持有人无实质不利影响，如相关法律法规允许，履行相关程序后，基金管理人办理基金份额的质押业务或其他基金业务，基金管理人将制定和实施相应的业务规则。 </w:t>
      </w:r>
    </w:p>
    <w:p w14:paraId="1269EFFB">
      <w:pPr>
        <w:pStyle w:val="8"/>
        <w:spacing w:before="0" w:beforeAutospacing="0" w:after="0" w:afterAutospacing="0" w:line="360" w:lineRule="auto"/>
        <w:ind w:firstLine="420"/>
        <w:rPr>
          <w:sz w:val="21"/>
          <w:szCs w:val="21"/>
        </w:rPr>
      </w:pPr>
      <w:r>
        <w:rPr>
          <w:rFonts w:hint="eastAsia"/>
          <w:b/>
          <w:bCs/>
          <w:sz w:val="21"/>
          <w:szCs w:val="21"/>
        </w:rPr>
        <w:t>十九、实施侧袋机制期间本基金的申购与赎回</w:t>
      </w:r>
    </w:p>
    <w:p w14:paraId="229A700B">
      <w:pPr>
        <w:pStyle w:val="8"/>
        <w:spacing w:before="0" w:beforeAutospacing="0" w:after="0" w:afterAutospacing="0" w:line="360" w:lineRule="auto"/>
        <w:ind w:firstLine="420"/>
        <w:rPr>
          <w:sz w:val="21"/>
          <w:szCs w:val="21"/>
        </w:rPr>
      </w:pPr>
      <w:bookmarkStart w:id="98" w:name="chapter_level1_10_59_section_7_end"/>
      <w:bookmarkEnd w:id="98"/>
      <w:r>
        <w:rPr>
          <w:rFonts w:hint="eastAsia"/>
          <w:sz w:val="21"/>
          <w:szCs w:val="21"/>
        </w:rPr>
        <w:t xml:space="preserve">本基金实施侧袋机制的，本基金的申购和赎回安排详见招募说明书或相关公告。  </w:t>
      </w:r>
    </w:p>
    <w:p w14:paraId="6D3A98C3">
      <w:pPr>
        <w:widowControl/>
        <w:jc w:val="left"/>
        <w:rPr>
          <w:rFonts w:ascii="宋体" w:hAnsi="宋体" w:eastAsia="宋体"/>
        </w:rPr>
      </w:pPr>
      <w:r>
        <w:rPr>
          <w:rFonts w:ascii="宋体" w:hAnsi="宋体" w:eastAsia="宋体"/>
        </w:rPr>
        <w:br w:type="page"/>
      </w:r>
    </w:p>
    <w:p w14:paraId="2162B989">
      <w:pPr>
        <w:pStyle w:val="2"/>
        <w:jc w:val="center"/>
        <w:rPr>
          <w:rFonts w:ascii="宋体" w:hAnsi="宋体" w:eastAsia="宋体"/>
          <w:sz w:val="30"/>
        </w:rPr>
      </w:pPr>
      <w:bookmarkStart w:id="99" w:name="chapter_level1_11_60"/>
      <w:bookmarkStart w:id="100" w:name="_Toc207948769"/>
      <w:r>
        <w:rPr>
          <w:rFonts w:hint="eastAsia" w:ascii="宋体" w:hAnsi="宋体" w:eastAsia="宋体"/>
          <w:sz w:val="30"/>
        </w:rPr>
        <w:t>第八部分  基金的投资</w:t>
      </w:r>
      <w:bookmarkEnd w:id="99"/>
      <w:bookmarkEnd w:id="100"/>
    </w:p>
    <w:p w14:paraId="62859BAD">
      <w:pPr>
        <w:pStyle w:val="8"/>
        <w:spacing w:before="0" w:beforeAutospacing="0" w:after="0" w:afterAutospacing="0" w:line="360" w:lineRule="auto"/>
        <w:ind w:firstLine="420"/>
        <w:rPr>
          <w:sz w:val="21"/>
          <w:szCs w:val="21"/>
        </w:rPr>
      </w:pPr>
      <w:bookmarkStart w:id="101" w:name="chapter_level1_11_60_section_1"/>
      <w:bookmarkEnd w:id="101"/>
      <w:r>
        <w:rPr>
          <w:rStyle w:val="12"/>
          <w:rFonts w:hint="eastAsia"/>
          <w:sz w:val="21"/>
          <w:szCs w:val="21"/>
        </w:rPr>
        <w:t>一、投资目标</w:t>
      </w:r>
    </w:p>
    <w:p w14:paraId="4774EA33">
      <w:pPr>
        <w:pStyle w:val="8"/>
        <w:spacing w:before="0" w:beforeAutospacing="0" w:after="0" w:afterAutospacing="0" w:line="360" w:lineRule="auto"/>
        <w:ind w:firstLine="420"/>
        <w:rPr>
          <w:sz w:val="21"/>
          <w:szCs w:val="21"/>
        </w:rPr>
      </w:pPr>
      <w:bookmarkStart w:id="102" w:name="field_60_investmenttarget_1_start"/>
      <w:bookmarkEnd w:id="102"/>
      <w:r>
        <w:rPr>
          <w:rFonts w:hint="eastAsia"/>
          <w:sz w:val="21"/>
          <w:szCs w:val="21"/>
        </w:rPr>
        <w:t xml:space="preserve">本基金采取严格的买入持有到期策略，投资标的剩余期限（或回售期限）不超过基金剩余封闭期，力争获取基金资产的稳健增值。  </w:t>
      </w:r>
      <w:bookmarkStart w:id="103" w:name="field_60_investmenttarget_1_end"/>
      <w:bookmarkEnd w:id="103"/>
      <w:r>
        <w:rPr>
          <w:rFonts w:hint="eastAsia"/>
          <w:sz w:val="21"/>
          <w:szCs w:val="21"/>
        </w:rPr>
        <w:t xml:space="preserve">  </w:t>
      </w:r>
    </w:p>
    <w:p w14:paraId="65368076">
      <w:pPr>
        <w:pStyle w:val="8"/>
        <w:spacing w:before="0" w:beforeAutospacing="0" w:after="0" w:afterAutospacing="0" w:line="360" w:lineRule="auto"/>
        <w:ind w:firstLine="420"/>
        <w:rPr>
          <w:sz w:val="21"/>
          <w:szCs w:val="21"/>
        </w:rPr>
      </w:pPr>
      <w:r>
        <w:rPr>
          <w:rStyle w:val="12"/>
          <w:rFonts w:hint="eastAsia"/>
          <w:sz w:val="21"/>
          <w:szCs w:val="21"/>
        </w:rPr>
        <w:t>二、投资范围</w:t>
      </w:r>
    </w:p>
    <w:p w14:paraId="40B7A927">
      <w:pPr>
        <w:pStyle w:val="8"/>
        <w:spacing w:before="0" w:beforeAutospacing="0" w:after="0" w:afterAutospacing="0" w:line="360" w:lineRule="auto"/>
        <w:ind w:firstLine="420"/>
        <w:rPr>
          <w:sz w:val="21"/>
          <w:szCs w:val="21"/>
        </w:rPr>
      </w:pPr>
      <w:bookmarkStart w:id="104" w:name="field_60_investmentrange_1_start"/>
      <w:bookmarkEnd w:id="104"/>
      <w:r>
        <w:rPr>
          <w:rFonts w:hint="eastAsia"/>
          <w:sz w:val="21"/>
          <w:szCs w:val="21"/>
        </w:rPr>
        <w:t xml:space="preserve">本基金的投资范围为具有良好流动性的金融工具，包括债券（国债、金融债、企业债、公司债、地方政府债、央行票据、中期票据、短期融资券、超短期融资券、次级债、可分离交易可转债的纯债部分）、资产支持证券、债券回购、同业存单、银行存款等法律法规或中国证监会允许基金投资的其他金融工具（但须符合中国证监会的相关规定）。本基金不投资于股票等资产，也不投资于可转换债券（可分离交易可转债的纯债部分除外）、可交换债券。   </w:t>
      </w:r>
    </w:p>
    <w:p w14:paraId="30077009">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2EA90AB9">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但应开放期流动性需要，为保护基金份额持有人利益，在每次开放期开始前三个月、开放期及开放期结束后三个月的期间内，基金投资不受上述比例限制。开放期内现金或者到期日在一年以内的政府债券不低于基金资产净值的5%，在封闭期内，本基金不受上述5%的限制；前述现金不包括结算备付金、存出保证金、应收申购款等。   </w:t>
      </w:r>
    </w:p>
    <w:p w14:paraId="2C5ACA79">
      <w:pPr>
        <w:pStyle w:val="8"/>
        <w:spacing w:before="0" w:beforeAutospacing="0" w:after="0" w:afterAutospacing="0" w:line="360" w:lineRule="auto"/>
        <w:ind w:firstLine="420"/>
        <w:rPr>
          <w:sz w:val="21"/>
          <w:szCs w:val="21"/>
        </w:rPr>
      </w:pPr>
      <w:r>
        <w:rPr>
          <w:rFonts w:hint="eastAsia"/>
          <w:sz w:val="21"/>
          <w:szCs w:val="21"/>
        </w:rPr>
        <w:t xml:space="preserve"> 如法律法规的相关规定发生变更或监管机构允许，本基金管理人在履行适当程序后，可对上述资产配置比例进行调整。  </w:t>
      </w:r>
      <w:bookmarkStart w:id="105" w:name="field_60_investmentrange_1_end"/>
      <w:bookmarkEnd w:id="105"/>
      <w:r>
        <w:rPr>
          <w:rFonts w:hint="eastAsia"/>
          <w:sz w:val="21"/>
          <w:szCs w:val="21"/>
        </w:rPr>
        <w:t xml:space="preserve">  </w:t>
      </w:r>
    </w:p>
    <w:p w14:paraId="0B07CACC">
      <w:pPr>
        <w:pStyle w:val="8"/>
        <w:spacing w:before="0" w:beforeAutospacing="0" w:after="0" w:afterAutospacing="0" w:line="360" w:lineRule="auto"/>
        <w:ind w:firstLine="420"/>
        <w:rPr>
          <w:sz w:val="21"/>
          <w:szCs w:val="21"/>
        </w:rPr>
      </w:pPr>
      <w:r>
        <w:rPr>
          <w:rStyle w:val="12"/>
          <w:rFonts w:hint="eastAsia"/>
          <w:sz w:val="21"/>
          <w:szCs w:val="21"/>
        </w:rPr>
        <w:t>三、投资策略</w:t>
      </w:r>
    </w:p>
    <w:p w14:paraId="3752B52D">
      <w:pPr>
        <w:pStyle w:val="8"/>
        <w:spacing w:before="0" w:beforeAutospacing="0" w:after="0" w:afterAutospacing="0" w:line="360" w:lineRule="auto"/>
        <w:ind w:firstLine="420"/>
        <w:rPr>
          <w:sz w:val="21"/>
          <w:szCs w:val="21"/>
        </w:rPr>
      </w:pPr>
      <w:bookmarkStart w:id="106" w:name="field_60_investmentstrategy_1_start"/>
      <w:bookmarkEnd w:id="106"/>
      <w:r>
        <w:rPr>
          <w:rFonts w:hint="eastAsia"/>
          <w:sz w:val="21"/>
          <w:szCs w:val="21"/>
        </w:rPr>
        <w:t xml:space="preserve">1、封闭期投资策略  </w:t>
      </w:r>
    </w:p>
    <w:p w14:paraId="1D8903BE">
      <w:pPr>
        <w:pStyle w:val="8"/>
        <w:spacing w:before="0" w:beforeAutospacing="0" w:after="0" w:afterAutospacing="0" w:line="360" w:lineRule="auto"/>
        <w:ind w:firstLine="420"/>
        <w:rPr>
          <w:sz w:val="21"/>
          <w:szCs w:val="21"/>
        </w:rPr>
      </w:pPr>
      <w:r>
        <w:rPr>
          <w:rFonts w:hint="eastAsia"/>
          <w:sz w:val="21"/>
          <w:szCs w:val="21"/>
        </w:rPr>
        <w:t xml:space="preserve">在封闭期内，本基金严格执行买入并持有到期策略构建投资组合，所投金融资产以收取合同现金流量为目的，并持有到期，投资标的剩余期限（或回售期限）不超过基金剩余封闭期。 </w:t>
      </w:r>
    </w:p>
    <w:p w14:paraId="32D1D59A">
      <w:pPr>
        <w:pStyle w:val="8"/>
        <w:spacing w:before="0" w:beforeAutospacing="0" w:after="0" w:afterAutospacing="0" w:line="360" w:lineRule="auto"/>
        <w:ind w:firstLine="420"/>
        <w:rPr>
          <w:sz w:val="21"/>
          <w:szCs w:val="21"/>
        </w:rPr>
      </w:pPr>
      <w:r>
        <w:rPr>
          <w:rFonts w:hint="eastAsia"/>
          <w:sz w:val="21"/>
          <w:szCs w:val="21"/>
        </w:rPr>
        <w:t xml:space="preserve">投资含回售权的债券时，应在投资该债券前确定行使回售权或持有到期的时间，债券到期日晚于封闭到期日的，基金管理人应当行使回售权，而不得持有至到期。 </w:t>
      </w:r>
    </w:p>
    <w:p w14:paraId="3A9B7F74">
      <w:pPr>
        <w:pStyle w:val="8"/>
        <w:spacing w:before="0" w:beforeAutospacing="0" w:after="0" w:afterAutospacing="0" w:line="360" w:lineRule="auto"/>
        <w:ind w:firstLine="420"/>
        <w:rPr>
          <w:sz w:val="21"/>
          <w:szCs w:val="21"/>
        </w:rPr>
      </w:pPr>
      <w:r>
        <w:rPr>
          <w:rFonts w:hint="eastAsia"/>
          <w:sz w:val="21"/>
          <w:szCs w:val="21"/>
        </w:rPr>
        <w:t xml:space="preserve">（1）资产配置策略 </w:t>
      </w:r>
    </w:p>
    <w:p w14:paraId="18040C01">
      <w:pPr>
        <w:pStyle w:val="8"/>
        <w:spacing w:before="0" w:beforeAutospacing="0" w:after="0" w:afterAutospacing="0" w:line="360" w:lineRule="auto"/>
        <w:ind w:firstLine="420"/>
        <w:rPr>
          <w:sz w:val="21"/>
          <w:szCs w:val="21"/>
        </w:rPr>
      </w:pPr>
      <w:r>
        <w:rPr>
          <w:rFonts w:hint="eastAsia"/>
          <w:sz w:val="21"/>
          <w:szCs w:val="21"/>
        </w:rPr>
        <w:t xml:space="preserve">本基金通过自上而下和自下而上相结合、定性分析和定量分析相补充的方法，确定资产在非信用类品种（国家债券、中央银行票据等）和信用类品种之间的配置比例。充分发挥基金管理人长期积累的信用研究成果，利用自主开发的信用分析系统，深入挖掘价值被低估的标的券种，以获取最大化的信用溢价。 </w:t>
      </w:r>
    </w:p>
    <w:p w14:paraId="2D2915C1">
      <w:pPr>
        <w:pStyle w:val="8"/>
        <w:spacing w:before="0" w:beforeAutospacing="0" w:after="0" w:afterAutospacing="0" w:line="360" w:lineRule="auto"/>
        <w:ind w:firstLine="420"/>
        <w:rPr>
          <w:sz w:val="21"/>
          <w:szCs w:val="21"/>
        </w:rPr>
      </w:pPr>
      <w:r>
        <w:rPr>
          <w:rFonts w:hint="eastAsia"/>
          <w:sz w:val="21"/>
          <w:szCs w:val="21"/>
        </w:rPr>
        <w:t xml:space="preserve">（2）债券投资策略 </w:t>
      </w:r>
    </w:p>
    <w:p w14:paraId="76D4BE43">
      <w:pPr>
        <w:pStyle w:val="8"/>
        <w:spacing w:before="0" w:beforeAutospacing="0" w:after="0" w:afterAutospacing="0" w:line="360" w:lineRule="auto"/>
        <w:ind w:firstLine="420"/>
        <w:rPr>
          <w:sz w:val="21"/>
          <w:szCs w:val="21"/>
        </w:rPr>
      </w:pPr>
      <w:r>
        <w:rPr>
          <w:rFonts w:hint="eastAsia"/>
          <w:sz w:val="21"/>
          <w:szCs w:val="21"/>
        </w:rPr>
        <w:t xml:space="preserve">本基金的主要投资策略是买入剩余期限不超过本基金剩余封闭期的债券并持有到期，或者是持有回售期不超过本基金剩余封闭期的债券，获得本金和票息收入。 </w:t>
      </w:r>
    </w:p>
    <w:p w14:paraId="09A4D28B">
      <w:pPr>
        <w:pStyle w:val="8"/>
        <w:spacing w:before="0" w:beforeAutospacing="0" w:after="0" w:afterAutospacing="0" w:line="360" w:lineRule="auto"/>
        <w:ind w:firstLine="420"/>
        <w:rPr>
          <w:sz w:val="21"/>
          <w:szCs w:val="21"/>
        </w:rPr>
      </w:pPr>
      <w:r>
        <w:rPr>
          <w:rFonts w:hint="eastAsia"/>
          <w:sz w:val="21"/>
          <w:szCs w:val="21"/>
        </w:rPr>
        <w:t xml:space="preserve">对于本基金投资的债券品种，主要从四个层次进行独立、客观、综合的考量，以筛选出合适的投资标的。 </w:t>
      </w:r>
    </w:p>
    <w:p w14:paraId="624B301E">
      <w:pPr>
        <w:pStyle w:val="8"/>
        <w:spacing w:before="0" w:beforeAutospacing="0" w:after="0" w:afterAutospacing="0" w:line="360" w:lineRule="auto"/>
        <w:ind w:firstLine="420"/>
        <w:rPr>
          <w:sz w:val="21"/>
          <w:szCs w:val="21"/>
        </w:rPr>
      </w:pPr>
      <w:r>
        <w:rPr>
          <w:rFonts w:hint="eastAsia"/>
          <w:sz w:val="21"/>
          <w:szCs w:val="21"/>
        </w:rPr>
        <w:t xml:space="preserve">第一，基于全部公开信息对已经上市或待上市债券的发行主体进行研究，内容主要涉及发行人的股东背景、行业地位及发展趋势、担保方式及担保资产、外部增信质量、自由现金流量动态、债务压力、再融资能力等，并从以上角度对发行主体进行精细化分析和归类，规避同一信用等级中外部评级偏高以及信用风险偏高的个券，甄选同一信用评级中内生资质及外部增信好的个券，纳入债券池。 </w:t>
      </w:r>
    </w:p>
    <w:p w14:paraId="16974FE3">
      <w:pPr>
        <w:pStyle w:val="8"/>
        <w:spacing w:before="0" w:beforeAutospacing="0" w:after="0" w:afterAutospacing="0" w:line="360" w:lineRule="auto"/>
        <w:ind w:firstLine="420"/>
        <w:rPr>
          <w:sz w:val="21"/>
          <w:szCs w:val="21"/>
        </w:rPr>
      </w:pPr>
      <w:r>
        <w:rPr>
          <w:rFonts w:hint="eastAsia"/>
          <w:sz w:val="21"/>
          <w:szCs w:val="21"/>
        </w:rPr>
        <w:t xml:space="preserve">第二，使用基金管理人内部的信用评估体系对备选个券进行评分，着重考察发行人的偿债能力、现金管理能力、盈利能力三个核心要素。 </w:t>
      </w:r>
    </w:p>
    <w:p w14:paraId="1E281809">
      <w:pPr>
        <w:pStyle w:val="8"/>
        <w:spacing w:before="0" w:beforeAutospacing="0" w:after="0" w:afterAutospacing="0" w:line="360" w:lineRule="auto"/>
        <w:ind w:firstLine="420"/>
        <w:rPr>
          <w:sz w:val="21"/>
          <w:szCs w:val="21"/>
        </w:rPr>
      </w:pPr>
      <w:r>
        <w:rPr>
          <w:rFonts w:hint="eastAsia"/>
          <w:sz w:val="21"/>
          <w:szCs w:val="21"/>
        </w:rPr>
        <w:t xml:space="preserve">第三，对市场同类可比债券、信用收益率曲线、市场交易活跃度、机构需求进行偏好分析，对个券进行流动性风险、信用风险的综合定价，判断其合理估值水平。 </w:t>
      </w:r>
    </w:p>
    <w:p w14:paraId="279B385D">
      <w:pPr>
        <w:pStyle w:val="8"/>
        <w:spacing w:before="0" w:beforeAutospacing="0" w:after="0" w:afterAutospacing="0" w:line="360" w:lineRule="auto"/>
        <w:ind w:firstLine="420"/>
        <w:rPr>
          <w:sz w:val="21"/>
          <w:szCs w:val="21"/>
        </w:rPr>
      </w:pPr>
      <w:r>
        <w:rPr>
          <w:rFonts w:hint="eastAsia"/>
          <w:sz w:val="21"/>
          <w:szCs w:val="21"/>
        </w:rPr>
        <w:t xml:space="preserve">第四，根据市场结构与需求特征，在前三个层次的分析基础上，对个券进行深入的跟踪分析，发掘其中被市场低估的品种，在控制流动性风险的前提下，对低估品种进行择机配置和交易。 </w:t>
      </w:r>
    </w:p>
    <w:p w14:paraId="4C9030A1">
      <w:pPr>
        <w:pStyle w:val="8"/>
        <w:spacing w:before="0" w:beforeAutospacing="0" w:after="0" w:afterAutospacing="0" w:line="360" w:lineRule="auto"/>
        <w:ind w:firstLine="420"/>
        <w:rPr>
          <w:sz w:val="21"/>
          <w:szCs w:val="21"/>
        </w:rPr>
      </w:pPr>
      <w:r>
        <w:rPr>
          <w:rFonts w:hint="eastAsia"/>
          <w:sz w:val="21"/>
          <w:szCs w:val="21"/>
        </w:rPr>
        <w:t xml:space="preserve">为控制本基金的信用风险，本基金将定期对所投债券的信用资质和发行人的偿付能力进行评估。对于存在信用风险隐患的发行人所发行的债券，及时制定风险处置预案。封闭期内，如本基金持有债券的信用状况急剧恶化，甚至可能出现违约风险，进而影响本基金的买入持有到期策略，本基金将对该债券进行处置。 </w:t>
      </w:r>
    </w:p>
    <w:p w14:paraId="17969F85">
      <w:pPr>
        <w:pStyle w:val="8"/>
        <w:spacing w:before="0" w:beforeAutospacing="0" w:after="0" w:afterAutospacing="0" w:line="360" w:lineRule="auto"/>
        <w:ind w:firstLine="420"/>
        <w:rPr>
          <w:sz w:val="21"/>
          <w:szCs w:val="21"/>
        </w:rPr>
      </w:pPr>
      <w:r>
        <w:rPr>
          <w:rFonts w:hint="eastAsia"/>
          <w:sz w:val="21"/>
          <w:szCs w:val="21"/>
        </w:rPr>
        <w:t xml:space="preserve">（3）资产支持证券投资策略 </w:t>
      </w:r>
    </w:p>
    <w:p w14:paraId="58829171">
      <w:pPr>
        <w:pStyle w:val="8"/>
        <w:spacing w:before="0" w:beforeAutospacing="0" w:after="0" w:afterAutospacing="0" w:line="360" w:lineRule="auto"/>
        <w:ind w:firstLine="420"/>
        <w:rPr>
          <w:sz w:val="21"/>
          <w:szCs w:val="21"/>
        </w:rPr>
      </w:pPr>
      <w:r>
        <w:rPr>
          <w:rFonts w:hint="eastAsia"/>
          <w:sz w:val="21"/>
          <w:szCs w:val="21"/>
        </w:rPr>
        <w:t xml:space="preserve">针对资产支持证券，本基金将在国内资产证券化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 </w:t>
      </w:r>
    </w:p>
    <w:p w14:paraId="0BFAA4AA">
      <w:pPr>
        <w:pStyle w:val="8"/>
        <w:spacing w:before="0" w:beforeAutospacing="0" w:after="0" w:afterAutospacing="0" w:line="360" w:lineRule="auto"/>
        <w:ind w:firstLine="420"/>
        <w:rPr>
          <w:sz w:val="21"/>
          <w:szCs w:val="21"/>
        </w:rPr>
      </w:pPr>
      <w:r>
        <w:rPr>
          <w:rFonts w:hint="eastAsia"/>
          <w:sz w:val="21"/>
          <w:szCs w:val="21"/>
        </w:rPr>
        <w:t xml:space="preserve">（4）杠杆投资策略 </w:t>
      </w:r>
    </w:p>
    <w:p w14:paraId="00FC2AB7">
      <w:pPr>
        <w:pStyle w:val="8"/>
        <w:spacing w:before="0" w:beforeAutospacing="0" w:after="0" w:afterAutospacing="0" w:line="360" w:lineRule="auto"/>
        <w:ind w:firstLine="420"/>
        <w:rPr>
          <w:sz w:val="21"/>
          <w:szCs w:val="21"/>
        </w:rPr>
      </w:pPr>
      <w:r>
        <w:rPr>
          <w:rFonts w:hint="eastAsia"/>
          <w:sz w:val="21"/>
          <w:szCs w:val="21"/>
        </w:rPr>
        <w:t xml:space="preserve">本基金将综合考虑债券投资的风险收益以及回购成本等因素，在严格控制投资风险的前提下，通过正回购，获得杠杆放大收益。在封闭期内，本基金的杠杆比例不超过100%，即基金总资产与基金净资产的比例不超过200%。 </w:t>
      </w:r>
    </w:p>
    <w:p w14:paraId="3F9EA363">
      <w:pPr>
        <w:pStyle w:val="8"/>
        <w:spacing w:before="0" w:beforeAutospacing="0" w:after="0" w:afterAutospacing="0" w:line="360" w:lineRule="auto"/>
        <w:ind w:firstLine="420"/>
        <w:rPr>
          <w:sz w:val="21"/>
          <w:szCs w:val="21"/>
        </w:rPr>
      </w:pPr>
      <w:r>
        <w:rPr>
          <w:rFonts w:hint="eastAsia"/>
          <w:sz w:val="21"/>
          <w:szCs w:val="21"/>
        </w:rPr>
        <w:t xml:space="preserve">本基金将在封闭期内进行杠杆投资，杠杆放大部分的投资标的剩余期限（或回售期限）仍不超过基金剩余封闭期，并采取买入并持有到期的策略。同时采取滚动回购的方式来维持杠杆，因此负债的资金成本存在一定的波动性。一旦建仓完毕，初始杠杆确定，将维持基本恒定。通过这种方法，本基金可以将杠杆比例稳定控制在一个合理的水平。 </w:t>
      </w:r>
    </w:p>
    <w:p w14:paraId="48C376C0">
      <w:pPr>
        <w:pStyle w:val="8"/>
        <w:spacing w:before="0" w:beforeAutospacing="0" w:after="0" w:afterAutospacing="0" w:line="360" w:lineRule="auto"/>
        <w:ind w:firstLine="420"/>
        <w:rPr>
          <w:sz w:val="21"/>
          <w:szCs w:val="21"/>
        </w:rPr>
      </w:pPr>
      <w:r>
        <w:rPr>
          <w:rFonts w:hint="eastAsia"/>
          <w:sz w:val="21"/>
          <w:szCs w:val="21"/>
        </w:rPr>
        <w:t xml:space="preserve">（5）基金管理人可以基于基金份额持有人利益优先的原则，在不违反企业会计准则的前提下，对尚未到期的固定收益类品种进行处置。 </w:t>
      </w:r>
    </w:p>
    <w:p w14:paraId="40298C29">
      <w:pPr>
        <w:pStyle w:val="8"/>
        <w:spacing w:before="0" w:beforeAutospacing="0" w:after="0" w:afterAutospacing="0" w:line="360" w:lineRule="auto"/>
        <w:ind w:firstLine="420"/>
        <w:rPr>
          <w:sz w:val="21"/>
          <w:szCs w:val="21"/>
        </w:rPr>
      </w:pPr>
      <w:r>
        <w:rPr>
          <w:rFonts w:hint="eastAsia"/>
          <w:sz w:val="21"/>
          <w:szCs w:val="21"/>
        </w:rPr>
        <w:t xml:space="preserve">2、开放期投资策略 </w:t>
      </w:r>
    </w:p>
    <w:p w14:paraId="00E77458">
      <w:pPr>
        <w:pStyle w:val="8"/>
        <w:spacing w:before="0" w:beforeAutospacing="0" w:after="0" w:afterAutospacing="0" w:line="360" w:lineRule="auto"/>
        <w:ind w:firstLine="420"/>
        <w:rPr>
          <w:sz w:val="21"/>
          <w:szCs w:val="21"/>
        </w:rPr>
      </w:pPr>
      <w:r>
        <w:rPr>
          <w:rFonts w:hint="eastAsia"/>
          <w:sz w:val="21"/>
          <w:szCs w:val="21"/>
        </w:rPr>
        <w:t>开放期内，本基金为保持较高的组合流动性，方便投资人安排投资，在遵守本基金有关</w:t>
      </w:r>
      <w:bookmarkStart w:id="107" w:name="chapter_level1_11_60_section_1_end"/>
      <w:bookmarkEnd w:id="107"/>
      <w:r>
        <w:rPr>
          <w:rFonts w:hint="eastAsia"/>
          <w:sz w:val="21"/>
          <w:szCs w:val="21"/>
        </w:rPr>
        <w:t xml:space="preserve">投资限制与投资比例的前提下，将主要投资于高流动性的投资品种。 </w:t>
      </w:r>
      <w:bookmarkStart w:id="108" w:name="field_60_investmentstrategy_1_end"/>
      <w:bookmarkEnd w:id="108"/>
      <w:r>
        <w:rPr>
          <w:rFonts w:hint="eastAsia"/>
          <w:sz w:val="21"/>
          <w:szCs w:val="21"/>
        </w:rPr>
        <w:t xml:space="preserve">  </w:t>
      </w:r>
    </w:p>
    <w:p w14:paraId="1D47D404">
      <w:pPr>
        <w:pStyle w:val="8"/>
        <w:spacing w:before="0" w:beforeAutospacing="0" w:after="0" w:afterAutospacing="0" w:line="360" w:lineRule="auto"/>
        <w:ind w:firstLine="420"/>
        <w:rPr>
          <w:sz w:val="21"/>
          <w:szCs w:val="21"/>
        </w:rPr>
      </w:pPr>
      <w:bookmarkStart w:id="109" w:name="chapter_level1_11_60_section_2"/>
      <w:bookmarkEnd w:id="109"/>
      <w:r>
        <w:rPr>
          <w:rStyle w:val="12"/>
          <w:rFonts w:hint="eastAsia"/>
          <w:sz w:val="21"/>
          <w:szCs w:val="21"/>
        </w:rPr>
        <w:t>四、投资决策流程</w:t>
      </w:r>
    </w:p>
    <w:p w14:paraId="3D35EC15">
      <w:pPr>
        <w:pStyle w:val="8"/>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144295A3">
      <w:pPr>
        <w:pStyle w:val="8"/>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0100332E">
      <w:pPr>
        <w:pStyle w:val="8"/>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73C0E33D">
      <w:pPr>
        <w:pStyle w:val="8"/>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3E1E5B53">
      <w:pPr>
        <w:pStyle w:val="8"/>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6315E4FB">
      <w:pPr>
        <w:pStyle w:val="8"/>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6E3DCF2F">
      <w:pPr>
        <w:pStyle w:val="8"/>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14:paraId="1FD6C25E">
      <w:pPr>
        <w:pStyle w:val="8"/>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5ACD6FCA">
      <w:pPr>
        <w:pStyle w:val="8"/>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260E2605">
      <w:pPr>
        <w:pStyle w:val="8"/>
        <w:spacing w:before="0" w:beforeAutospacing="0" w:after="0" w:afterAutospacing="0" w:line="360" w:lineRule="auto"/>
        <w:ind w:firstLine="420"/>
        <w:rPr>
          <w:sz w:val="21"/>
          <w:szCs w:val="21"/>
        </w:rPr>
      </w:pPr>
      <w:r>
        <w:rPr>
          <w:rStyle w:val="12"/>
          <w:rFonts w:hint="eastAsia"/>
          <w:sz w:val="21"/>
          <w:szCs w:val="21"/>
        </w:rPr>
        <w:t>五、投资限制</w:t>
      </w:r>
    </w:p>
    <w:p w14:paraId="2B7E5B12">
      <w:pPr>
        <w:pStyle w:val="8"/>
        <w:spacing w:before="0" w:beforeAutospacing="0" w:after="0" w:afterAutospacing="0" w:line="360" w:lineRule="auto"/>
        <w:ind w:firstLine="420"/>
        <w:rPr>
          <w:sz w:val="21"/>
          <w:szCs w:val="21"/>
        </w:rPr>
      </w:pPr>
      <w:r>
        <w:rPr>
          <w:rFonts w:hint="eastAsia"/>
          <w:sz w:val="21"/>
          <w:szCs w:val="21"/>
        </w:rPr>
        <w:t xml:space="preserve">1、组合限制 </w:t>
      </w:r>
    </w:p>
    <w:p w14:paraId="361516ED">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6CD055E9">
      <w:pPr>
        <w:pStyle w:val="8"/>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（1）本基金投资于债券资产比例不低于基金资产的80%，但应开放期流动性需要，为保护基金份额持有人利益，在每次开放期开始前三个月、开放期及开放期结束后三个月的期间内，基金投资不受上述比例限制； </w:t>
      </w:r>
    </w:p>
    <w:p w14:paraId="5179B821">
      <w:pPr>
        <w:pStyle w:val="8"/>
        <w:spacing w:before="0" w:beforeAutospacing="0" w:after="0" w:afterAutospacing="0" w:line="360" w:lineRule="auto"/>
        <w:ind w:firstLine="420"/>
        <w:rPr>
          <w:sz w:val="21"/>
          <w:szCs w:val="21"/>
        </w:rPr>
      </w:pPr>
      <w:r>
        <w:rPr>
          <w:rFonts w:hint="eastAsia"/>
          <w:sz w:val="21"/>
          <w:szCs w:val="21"/>
        </w:rPr>
        <w:t xml:space="preserve">（2）开放期内，本基金持有现金或者到期日在一年以内的政府债券投资比例合计不低于基金资产净值的5%；在封闭期内，本基金不受上述5%的限制；其中，现金不包括结算备付金、存出保证金、应收申购款等； </w:t>
      </w:r>
    </w:p>
    <w:p w14:paraId="437FB2D0">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467647C0">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63F6D7EF">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5</w:t>
      </w:r>
      <w:r>
        <w:rPr>
          <w:rFonts w:hint="eastAsia"/>
          <w:sz w:val="21"/>
          <w:szCs w:val="21"/>
        </w:rPr>
        <w:t xml:space="preserve">）本基金投资于同一原始权益人的各类资产支持证券的比例，不得超过基金资产净值的10％； </w:t>
      </w:r>
    </w:p>
    <w:p w14:paraId="5A0E8B91">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6</w:t>
      </w:r>
      <w:r>
        <w:rPr>
          <w:rFonts w:hint="eastAsia"/>
          <w:sz w:val="21"/>
          <w:szCs w:val="21"/>
        </w:rPr>
        <w:t xml:space="preserve">）本基金持有的全部资产支持证券，其市值不得超过基金资产净值的20％； </w:t>
      </w:r>
    </w:p>
    <w:p w14:paraId="3F6F71AD">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7</w:t>
      </w:r>
      <w:r>
        <w:rPr>
          <w:rFonts w:hint="eastAsia"/>
          <w:sz w:val="21"/>
          <w:szCs w:val="21"/>
        </w:rPr>
        <w:t xml:space="preserve">）本基金持有的同一(指同一信用级别)资产支持证券的比例，不得超过该资产支持证券规模的10％； </w:t>
      </w:r>
    </w:p>
    <w:p w14:paraId="40A79589">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8</w:t>
      </w:r>
      <w:r>
        <w:rPr>
          <w:rFonts w:hint="eastAsia"/>
          <w:sz w:val="21"/>
          <w:szCs w:val="21"/>
        </w:rPr>
        <w:t xml:space="preserve">）本基金管理人管理的全部基金投资于同一原始权益人的各类资产支持证券，不得超过其各类资产支持证券合计规模的10％； </w:t>
      </w:r>
    </w:p>
    <w:p w14:paraId="7FC484B6">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9</w:t>
      </w:r>
      <w:r>
        <w:rPr>
          <w:rFonts w:hint="eastAsia"/>
          <w:sz w:val="21"/>
          <w:szCs w:val="21"/>
        </w:rPr>
        <w:t xml:space="preserve">）本基金应投资于信用级别评级为BBB以上(含BBB)的资产支持证券。基金持有资产支持证券期间，如果其信用等级下降、不再符合投资标准，应在评级报告发布之日起3个月内予以全部卖出； </w:t>
      </w:r>
    </w:p>
    <w:p w14:paraId="456CADDC">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10</w:t>
      </w:r>
      <w:r>
        <w:rPr>
          <w:rFonts w:hint="eastAsia"/>
          <w:sz w:val="21"/>
          <w:szCs w:val="21"/>
        </w:rPr>
        <w:t xml:space="preserve">）开放期内，本基金资产总值不得超过基金资产净值的140%；封闭期内，本基金资产总值不得超过基金资产净值的200%； </w:t>
      </w:r>
    </w:p>
    <w:p w14:paraId="396CE635">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11</w:t>
      </w:r>
      <w:r>
        <w:rPr>
          <w:rFonts w:hint="eastAsia"/>
          <w:sz w:val="21"/>
          <w:szCs w:val="21"/>
        </w:rPr>
        <w:t xml:space="preserve">）开放期内，本基金主动投资于流动性受限资产的市值合计不得超过本基金资产净值的15%；封闭期内不受此限；因证券市场波动、基金规模变动等基金管理人之外的因素致使基金不符合该比例限制的，基金管理人不得主动新增流动性受限资产的投资； </w:t>
      </w:r>
    </w:p>
    <w:p w14:paraId="12D6A9B1">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12</w:t>
      </w:r>
      <w:r>
        <w:rPr>
          <w:rFonts w:hint="eastAsia"/>
          <w:sz w:val="21"/>
          <w:szCs w:val="21"/>
        </w:rPr>
        <w:t xml:space="preserve">）本基金与私募类证券资管产品及中国证监会认定的其他主体为交易对手开展逆回购交易的，可接受质押品的资质要求应当与基金合同约定的投资范围保持一致； </w:t>
      </w:r>
    </w:p>
    <w:p w14:paraId="54F17384">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13</w:t>
      </w:r>
      <w:r>
        <w:rPr>
          <w:rFonts w:hint="eastAsia"/>
          <w:sz w:val="21"/>
          <w:szCs w:val="21"/>
        </w:rPr>
        <w:t xml:space="preserve">）法律法规及中国证监会规定的和《基金合同》约定的其他投资限制。 </w:t>
      </w:r>
    </w:p>
    <w:p w14:paraId="00E4DF99">
      <w:pPr>
        <w:pStyle w:val="8"/>
        <w:spacing w:before="0" w:beforeAutospacing="0" w:after="0" w:afterAutospacing="0" w:line="360" w:lineRule="auto"/>
        <w:ind w:firstLine="420"/>
        <w:rPr>
          <w:sz w:val="21"/>
          <w:szCs w:val="21"/>
        </w:rPr>
      </w:pPr>
      <w:r>
        <w:rPr>
          <w:rFonts w:hint="eastAsia"/>
          <w:sz w:val="21"/>
          <w:szCs w:val="21"/>
        </w:rPr>
        <w:t>除上述（2）、（</w:t>
      </w:r>
      <w:r>
        <w:rPr>
          <w:rFonts w:hint="eastAsia"/>
          <w:sz w:val="21"/>
          <w:szCs w:val="21"/>
          <w:lang w:val="en-US" w:eastAsia="zh-CN"/>
        </w:rPr>
        <w:t>9</w:t>
      </w:r>
      <w:r>
        <w:rPr>
          <w:rFonts w:hint="eastAsia"/>
          <w:sz w:val="21"/>
          <w:szCs w:val="21"/>
        </w:rPr>
        <w:t>）、（</w:t>
      </w:r>
      <w:r>
        <w:rPr>
          <w:rFonts w:hint="eastAsia"/>
          <w:sz w:val="21"/>
          <w:szCs w:val="21"/>
          <w:lang w:val="en-US" w:eastAsia="zh-CN"/>
        </w:rPr>
        <w:t>11</w:t>
      </w:r>
      <w:r>
        <w:rPr>
          <w:rFonts w:hint="eastAsia"/>
          <w:sz w:val="21"/>
          <w:szCs w:val="21"/>
        </w:rPr>
        <w:t>）、（</w:t>
      </w:r>
      <w:r>
        <w:rPr>
          <w:rFonts w:hint="eastAsia"/>
          <w:sz w:val="21"/>
          <w:szCs w:val="21"/>
          <w:lang w:val="en-US" w:eastAsia="zh-CN"/>
        </w:rPr>
        <w:t>12</w:t>
      </w:r>
      <w:r>
        <w:rPr>
          <w:rFonts w:hint="eastAsia"/>
          <w:sz w:val="21"/>
          <w:szCs w:val="21"/>
        </w:rPr>
        <w:t xml:space="preserve">）情形之外，因证券市场波动、证券发行人合并、基金规模变动等基金管理人之外的因素致使基金投资比例不符合上述规定投资比例的，基金管理人应当在10个交易日内进行调整，但中国证监会规定的特殊情形除外。 </w:t>
      </w:r>
    </w:p>
    <w:p w14:paraId="0C7D727C">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ADC45F7">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1D361699">
      <w:pPr>
        <w:pStyle w:val="8"/>
        <w:spacing w:before="0" w:beforeAutospacing="0" w:after="0" w:afterAutospacing="0" w:line="360" w:lineRule="auto"/>
        <w:ind w:firstLine="420"/>
        <w:rPr>
          <w:sz w:val="21"/>
          <w:szCs w:val="21"/>
        </w:rPr>
      </w:pPr>
      <w:r>
        <w:rPr>
          <w:rFonts w:hint="eastAsia"/>
          <w:sz w:val="21"/>
          <w:szCs w:val="21"/>
        </w:rPr>
        <w:t xml:space="preserve">2、禁止行为 </w:t>
      </w:r>
    </w:p>
    <w:p w14:paraId="7BF2F355">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4B9B9D26">
      <w:pPr>
        <w:pStyle w:val="8"/>
        <w:spacing w:before="0" w:beforeAutospacing="0" w:after="0" w:afterAutospacing="0" w:line="360" w:lineRule="auto"/>
        <w:ind w:firstLine="420"/>
        <w:rPr>
          <w:sz w:val="21"/>
          <w:szCs w:val="21"/>
        </w:rPr>
      </w:pPr>
      <w:r>
        <w:rPr>
          <w:rFonts w:hint="eastAsia"/>
          <w:sz w:val="21"/>
          <w:szCs w:val="21"/>
        </w:rPr>
        <w:t xml:space="preserve">（1）承销证券； </w:t>
      </w:r>
    </w:p>
    <w:p w14:paraId="0F7DD17F">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30EC629F">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D30897A">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4B4D36D7">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68B3C52B">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6C352CC8">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42586627">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6E5E1D0D">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3F5AB6C4">
      <w:pPr>
        <w:pStyle w:val="8"/>
        <w:spacing w:before="0" w:beforeAutospacing="0" w:after="0" w:afterAutospacing="0" w:line="360" w:lineRule="auto"/>
        <w:ind w:firstLine="420"/>
        <w:rPr>
          <w:sz w:val="21"/>
          <w:szCs w:val="21"/>
        </w:rPr>
      </w:pPr>
      <w:r>
        <w:rPr>
          <w:rStyle w:val="12"/>
          <w:rFonts w:hint="eastAsia"/>
          <w:sz w:val="21"/>
          <w:szCs w:val="21"/>
        </w:rPr>
        <w:t>六、业绩比较基准</w:t>
      </w:r>
    </w:p>
    <w:p w14:paraId="49FBBA01">
      <w:pPr>
        <w:pStyle w:val="8"/>
        <w:spacing w:before="0" w:beforeAutospacing="0" w:after="0" w:afterAutospacing="0" w:line="360" w:lineRule="auto"/>
        <w:ind w:firstLine="420"/>
        <w:rPr>
          <w:sz w:val="21"/>
          <w:szCs w:val="21"/>
        </w:rPr>
      </w:pPr>
      <w:bookmarkStart w:id="110" w:name="field_60_benchmark_1_start"/>
      <w:bookmarkEnd w:id="110"/>
      <w:bookmarkStart w:id="111" w:name="chapter_level1_11_60_section_2_end"/>
      <w:bookmarkEnd w:id="111"/>
      <w:bookmarkStart w:id="112" w:name="chapter_level1_11_60_section_3"/>
      <w:bookmarkEnd w:id="112"/>
      <w:r>
        <w:rPr>
          <w:rFonts w:hint="eastAsia"/>
          <w:sz w:val="21"/>
          <w:szCs w:val="21"/>
        </w:rPr>
        <w:t xml:space="preserve">在每个封闭期，本基金的业绩比较基准为该封闭期起始日的中国人民银行公布并执行的金融机构三年期定期存款利率（税后）×110%。  </w:t>
      </w:r>
      <w:bookmarkStart w:id="113" w:name="field_60_benchmark_1_end"/>
      <w:bookmarkEnd w:id="113"/>
      <w:r>
        <w:rPr>
          <w:rFonts w:hint="eastAsia"/>
          <w:sz w:val="21"/>
          <w:szCs w:val="21"/>
        </w:rPr>
        <w:t xml:space="preserve">  </w:t>
      </w:r>
    </w:p>
    <w:p w14:paraId="3C893991">
      <w:pPr>
        <w:pStyle w:val="8"/>
        <w:spacing w:before="0" w:beforeAutospacing="0" w:after="0" w:afterAutospacing="0" w:line="360" w:lineRule="auto"/>
        <w:ind w:firstLine="420"/>
        <w:rPr>
          <w:sz w:val="21"/>
          <w:szCs w:val="21"/>
        </w:rPr>
      </w:pPr>
      <w:r>
        <w:rPr>
          <w:rFonts w:hint="eastAsia"/>
          <w:sz w:val="21"/>
          <w:szCs w:val="21"/>
        </w:rPr>
        <w:t xml:space="preserve">本基金以每个封闭期为周期进行投资运作，每个封闭期为39个月。以金融机构三年期定期存款利率（税后）×110%作为本基金的业绩比较基准符合产品特性，能够使本基金投资人理性判断本基金产品的风险收益特征和流动性特征，合理衡量本基金的业绩表现。 </w:t>
      </w:r>
    </w:p>
    <w:p w14:paraId="4146FA20">
      <w:pPr>
        <w:pStyle w:val="8"/>
        <w:spacing w:before="0" w:beforeAutospacing="0" w:after="0" w:afterAutospacing="0" w:line="360" w:lineRule="auto"/>
        <w:ind w:firstLine="420"/>
        <w:rPr>
          <w:sz w:val="21"/>
          <w:szCs w:val="21"/>
        </w:rPr>
      </w:pPr>
      <w:r>
        <w:rPr>
          <w:rFonts w:hint="eastAsia"/>
          <w:sz w:val="21"/>
          <w:szCs w:val="21"/>
        </w:rPr>
        <w:t>如果今后法律法规发生变化，或者有更权威的、更能为市场普遍接受的业绩比较基准推出，或者是市场上出现更加适合用于本基金的业绩比较基准，或者市场发生变化导致本业绩比较基准不再适用或本业绩比较基准停止发布时，本基金管理人在与基金托管人协商一致，</w:t>
      </w:r>
      <w:bookmarkStart w:id="114" w:name="chapter_level1_11_60_section_3_end"/>
      <w:bookmarkEnd w:id="114"/>
      <w:r>
        <w:rPr>
          <w:rFonts w:hint="eastAsia"/>
          <w:sz w:val="21"/>
          <w:szCs w:val="21"/>
        </w:rPr>
        <w:t xml:space="preserve">可调整业绩比较基准并及时公告，而无需召开基金份额持有人大会。 </w:t>
      </w:r>
    </w:p>
    <w:p w14:paraId="4E645892">
      <w:pPr>
        <w:pStyle w:val="8"/>
        <w:spacing w:before="0" w:beforeAutospacing="0" w:after="0" w:afterAutospacing="0" w:line="360" w:lineRule="auto"/>
        <w:ind w:firstLine="420"/>
        <w:rPr>
          <w:sz w:val="21"/>
          <w:szCs w:val="21"/>
        </w:rPr>
      </w:pPr>
      <w:bookmarkStart w:id="115" w:name="chapter_level1_11_60_section_4"/>
      <w:bookmarkEnd w:id="115"/>
      <w:r>
        <w:rPr>
          <w:rStyle w:val="12"/>
          <w:rFonts w:hint="eastAsia"/>
          <w:sz w:val="21"/>
          <w:szCs w:val="21"/>
        </w:rPr>
        <w:t>七、风险收益特征</w:t>
      </w:r>
    </w:p>
    <w:p w14:paraId="30CD1A13">
      <w:pPr>
        <w:pStyle w:val="8"/>
        <w:spacing w:before="0" w:beforeAutospacing="0" w:after="0" w:afterAutospacing="0" w:line="360" w:lineRule="auto"/>
        <w:ind w:firstLine="420"/>
        <w:rPr>
          <w:sz w:val="21"/>
          <w:szCs w:val="21"/>
        </w:rPr>
      </w:pPr>
      <w:bookmarkStart w:id="116" w:name="field_60_riskyield_1_start"/>
      <w:bookmarkEnd w:id="116"/>
      <w:r>
        <w:rPr>
          <w:rFonts w:hint="eastAsia"/>
          <w:sz w:val="21"/>
          <w:szCs w:val="21"/>
        </w:rPr>
        <w:t xml:space="preserve">本基金为债券型基金，预期收益和预期风险高于货币市场基金，但低于混合型基金、股票型基金，属于中低风险/收益的产品。  </w:t>
      </w:r>
      <w:bookmarkStart w:id="117" w:name="field_60_riskyield_1_end"/>
      <w:bookmarkEnd w:id="117"/>
      <w:r>
        <w:rPr>
          <w:rFonts w:hint="eastAsia"/>
          <w:sz w:val="21"/>
          <w:szCs w:val="21"/>
        </w:rPr>
        <w:t xml:space="preserve">  </w:t>
      </w:r>
    </w:p>
    <w:p w14:paraId="68A8B5F8">
      <w:pPr>
        <w:pStyle w:val="8"/>
        <w:spacing w:before="0" w:beforeAutospacing="0" w:after="0" w:afterAutospacing="0" w:line="360" w:lineRule="auto"/>
        <w:ind w:firstLine="420"/>
        <w:rPr>
          <w:sz w:val="21"/>
          <w:szCs w:val="21"/>
        </w:rPr>
      </w:pPr>
      <w:r>
        <w:rPr>
          <w:rStyle w:val="12"/>
          <w:rFonts w:hint="eastAsia"/>
          <w:sz w:val="21"/>
          <w:szCs w:val="21"/>
        </w:rPr>
        <w:t>八、</w:t>
      </w:r>
      <w:r>
        <w:rPr>
          <w:rFonts w:hint="eastAsia"/>
          <w:b/>
          <w:bCs/>
          <w:sz w:val="21"/>
          <w:szCs w:val="21"/>
        </w:rPr>
        <w:t>侧袋机制的实施和投资运作安排</w:t>
      </w:r>
    </w:p>
    <w:p w14:paraId="114D452B">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3410D53">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44080DC5">
      <w:pPr>
        <w:pStyle w:val="8"/>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侧袋账户的实施条件、实施程序、运作安排、投资安排、特定资产的处置变现和支付等对投资者权益有重大影响的事项详见本招募说明书“侧袋机制”章节的规定。</w:t>
      </w:r>
    </w:p>
    <w:p w14:paraId="7DB2F8EB">
      <w:pPr>
        <w:pStyle w:val="8"/>
        <w:spacing w:before="0" w:beforeAutospacing="0" w:after="0" w:afterAutospacing="0" w:line="360" w:lineRule="auto"/>
        <w:ind w:firstLine="420"/>
        <w:rPr>
          <w:sz w:val="21"/>
          <w:szCs w:val="21"/>
        </w:rPr>
      </w:pPr>
      <w:r>
        <w:rPr>
          <w:rStyle w:val="12"/>
          <w:rFonts w:hint="eastAsia"/>
          <w:sz w:val="21"/>
          <w:szCs w:val="21"/>
        </w:rPr>
        <w:t>九、基金管理人代表基金行使相关权利的处理原则及方法</w:t>
      </w:r>
    </w:p>
    <w:p w14:paraId="13B8D18E">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6A3D733D">
      <w:pPr>
        <w:pStyle w:val="8"/>
        <w:spacing w:before="0" w:beforeAutospacing="0" w:after="0" w:afterAutospacing="0" w:line="360" w:lineRule="auto"/>
        <w:ind w:firstLine="420"/>
        <w:rPr>
          <w:sz w:val="21"/>
          <w:szCs w:val="21"/>
        </w:rPr>
      </w:pPr>
      <w:r>
        <w:rPr>
          <w:rFonts w:hint="eastAsia"/>
          <w:sz w:val="21"/>
          <w:szCs w:val="21"/>
        </w:rPr>
        <w:t xml:space="preserve">2、有利于基金财产的安全与增值；   </w:t>
      </w:r>
    </w:p>
    <w:p w14:paraId="0FB127E4">
      <w:pPr>
        <w:pStyle w:val="8"/>
        <w:spacing w:before="0" w:beforeAutospacing="0" w:after="0" w:afterAutospacing="0" w:line="360" w:lineRule="auto"/>
        <w:ind w:firstLine="420"/>
        <w:rPr>
          <w:sz w:val="21"/>
          <w:szCs w:val="21"/>
        </w:rPr>
      </w:pPr>
      <w:r>
        <w:rPr>
          <w:rFonts w:hint="eastAsia"/>
          <w:sz w:val="21"/>
          <w:szCs w:val="21"/>
        </w:rPr>
        <w:t>3、不通过关联交易为自身、雇员、授权代理人或任何存在利害关系的第三人牟取任何</w:t>
      </w:r>
      <w:bookmarkStart w:id="118" w:name="chapter_level1_11_60_section_4_end"/>
      <w:bookmarkEnd w:id="118"/>
      <w:r>
        <w:rPr>
          <w:rFonts w:hint="eastAsia"/>
          <w:sz w:val="21"/>
          <w:szCs w:val="21"/>
        </w:rPr>
        <w:t xml:space="preserve">不当利益。   </w:t>
      </w:r>
    </w:p>
    <w:p w14:paraId="24693C7A">
      <w:pPr>
        <w:pStyle w:val="8"/>
        <w:spacing w:before="0" w:beforeAutospacing="0" w:after="0" w:afterAutospacing="0" w:line="360" w:lineRule="auto"/>
        <w:ind w:firstLine="420"/>
        <w:rPr>
          <w:sz w:val="21"/>
          <w:szCs w:val="21"/>
        </w:rPr>
      </w:pPr>
      <w:bookmarkStart w:id="119" w:name="chapter_level1_11_60_section_5_end"/>
      <w:bookmarkEnd w:id="119"/>
      <w:bookmarkStart w:id="120" w:name="chapter_level1_11_60_section_5"/>
      <w:bookmarkEnd w:id="120"/>
      <w:r>
        <w:rPr>
          <w:rStyle w:val="12"/>
          <w:rFonts w:hint="eastAsia"/>
          <w:sz w:val="21"/>
          <w:szCs w:val="21"/>
        </w:rPr>
        <w:t>十、基金投资组合报告</w:t>
      </w:r>
    </w:p>
    <w:p w14:paraId="5408AA0F">
      <w:pPr>
        <w:pStyle w:val="8"/>
        <w:spacing w:before="0" w:beforeAutospacing="0" w:after="0" w:afterAutospacing="0" w:line="360" w:lineRule="auto"/>
        <w:ind w:firstLine="420"/>
        <w:rPr>
          <w:sz w:val="21"/>
          <w:szCs w:val="21"/>
        </w:rPr>
      </w:pPr>
      <w:bookmarkStart w:id="121" w:name="chapter_level1_11_60_section_6"/>
      <w:bookmarkEnd w:id="121"/>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6CCFF90E">
      <w:pPr>
        <w:pStyle w:val="8"/>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00F7E7F1">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22" w:name="field_2343_financeendday_2"/>
      <w:r>
        <w:rPr>
          <w:sz w:val="21"/>
          <w:szCs w:val="21"/>
        </w:rPr>
        <w:t>2025年6月30日</w:t>
      </w:r>
      <w:bookmarkEnd w:id="122"/>
      <w:r>
        <w:rPr>
          <w:rFonts w:hint="eastAsia"/>
          <w:sz w:val="21"/>
          <w:szCs w:val="21"/>
        </w:rPr>
        <w:t xml:space="preserve">，本报告中所列财务数据未经审计。 </w:t>
      </w:r>
    </w:p>
    <w:p w14:paraId="6BE53DF7">
      <w:pPr>
        <w:pStyle w:val="8"/>
        <w:spacing w:before="0" w:beforeAutospacing="0" w:after="0" w:afterAutospacing="0" w:line="360" w:lineRule="auto"/>
        <w:ind w:firstLine="420"/>
        <w:rPr>
          <w:sz w:val="21"/>
          <w:szCs w:val="21"/>
        </w:rPr>
      </w:pPr>
      <w:bookmarkStart w:id="123" w:name="field_0_fundportfolio_1_start"/>
      <w:bookmarkEnd w:id="123"/>
      <w:r>
        <w:rPr>
          <w:rStyle w:val="12"/>
          <w:rFonts w:hint="eastAsia"/>
          <w:sz w:val="21"/>
          <w:szCs w:val="21"/>
        </w:rPr>
        <w:t>1 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3577"/>
        <w:gridCol w:w="2001"/>
        <w:gridCol w:w="2316"/>
      </w:tblGrid>
      <w:tr w14:paraId="0F4B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C308E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5BC0514">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383D2DEA">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3D91BE0F">
            <w:pPr>
              <w:jc w:val="center"/>
              <w:rPr>
                <w:rFonts w:ascii="宋体" w:hAnsi="宋体" w:eastAsia="宋体" w:cs="宋体"/>
                <w:sz w:val="24"/>
                <w:szCs w:val="24"/>
              </w:rPr>
            </w:pPr>
            <w:r>
              <w:rPr>
                <w:rFonts w:hint="eastAsia" w:ascii="宋体" w:hAnsi="宋体" w:eastAsia="宋体"/>
              </w:rPr>
              <w:t>占基金总资产的比例(%)</w:t>
            </w:r>
          </w:p>
        </w:tc>
      </w:tr>
      <w:tr w14:paraId="61E1B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DFCD82">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E11E6EA">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4919D7F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7755A2">
            <w:pPr>
              <w:jc w:val="right"/>
              <w:rPr>
                <w:rFonts w:ascii="宋体" w:hAnsi="宋体" w:eastAsia="宋体" w:cs="宋体"/>
                <w:sz w:val="24"/>
                <w:szCs w:val="24"/>
              </w:rPr>
            </w:pPr>
            <w:r>
              <w:rPr>
                <w:rFonts w:hint="eastAsia" w:ascii="宋体" w:hAnsi="宋体" w:eastAsia="宋体"/>
              </w:rPr>
              <w:t>-</w:t>
            </w:r>
          </w:p>
        </w:tc>
      </w:tr>
      <w:tr w14:paraId="2C07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9E17D2">
            <w:pPr>
              <w:jc w:val="center"/>
              <w:rPr>
                <w:rFonts w:ascii="宋体" w:hAnsi="宋体" w:eastAsia="宋体" w:cs="宋体"/>
                <w:sz w:val="24"/>
                <w:szCs w:val="24"/>
              </w:rPr>
            </w:pPr>
          </w:p>
        </w:tc>
        <w:tc>
          <w:tcPr>
            <w:tcW w:w="0" w:type="auto"/>
            <w:shd w:val="clear" w:color="auto" w:fill="auto"/>
          </w:tcPr>
          <w:p w14:paraId="1443F9C0">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A4DD8C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A08744D">
            <w:pPr>
              <w:jc w:val="right"/>
              <w:rPr>
                <w:rFonts w:ascii="宋体" w:hAnsi="宋体" w:eastAsia="宋体" w:cs="宋体"/>
                <w:sz w:val="24"/>
                <w:szCs w:val="24"/>
              </w:rPr>
            </w:pPr>
            <w:r>
              <w:rPr>
                <w:rFonts w:hint="eastAsia" w:ascii="宋体" w:hAnsi="宋体" w:eastAsia="宋体"/>
              </w:rPr>
              <w:t>-</w:t>
            </w:r>
          </w:p>
        </w:tc>
      </w:tr>
      <w:tr w14:paraId="59325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891C5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2D61CF8">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4C7FCC4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734FED">
            <w:pPr>
              <w:jc w:val="right"/>
              <w:rPr>
                <w:rFonts w:ascii="宋体" w:hAnsi="宋体" w:eastAsia="宋体" w:cs="宋体"/>
                <w:sz w:val="24"/>
                <w:szCs w:val="24"/>
              </w:rPr>
            </w:pPr>
            <w:r>
              <w:rPr>
                <w:rFonts w:hint="eastAsia" w:ascii="宋体" w:hAnsi="宋体" w:eastAsia="宋体"/>
              </w:rPr>
              <w:t>-</w:t>
            </w:r>
          </w:p>
        </w:tc>
      </w:tr>
      <w:tr w14:paraId="5D56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3487F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AB1AA9C">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7CC0D6F0">
            <w:pPr>
              <w:jc w:val="right"/>
              <w:rPr>
                <w:rFonts w:ascii="宋体" w:hAnsi="宋体" w:eastAsia="宋体" w:cs="宋体"/>
                <w:sz w:val="24"/>
                <w:szCs w:val="24"/>
              </w:rPr>
            </w:pPr>
            <w:r>
              <w:rPr>
                <w:rFonts w:hint="eastAsia" w:ascii="宋体" w:hAnsi="宋体" w:eastAsia="宋体"/>
              </w:rPr>
              <w:t>24,034,452,214.84</w:t>
            </w:r>
          </w:p>
        </w:tc>
        <w:tc>
          <w:tcPr>
            <w:tcW w:w="0" w:type="auto"/>
            <w:shd w:val="clear" w:color="auto" w:fill="auto"/>
          </w:tcPr>
          <w:p w14:paraId="77144BAB">
            <w:pPr>
              <w:jc w:val="right"/>
              <w:rPr>
                <w:rFonts w:ascii="宋体" w:hAnsi="宋体" w:eastAsia="宋体" w:cs="宋体"/>
                <w:sz w:val="24"/>
                <w:szCs w:val="24"/>
              </w:rPr>
            </w:pPr>
            <w:r>
              <w:rPr>
                <w:rFonts w:hint="eastAsia" w:ascii="宋体" w:hAnsi="宋体" w:eastAsia="宋体"/>
              </w:rPr>
              <w:t>99.83</w:t>
            </w:r>
          </w:p>
        </w:tc>
      </w:tr>
      <w:tr w14:paraId="3EB2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F7A796">
            <w:pPr>
              <w:jc w:val="center"/>
              <w:rPr>
                <w:rFonts w:ascii="宋体" w:hAnsi="宋体" w:eastAsia="宋体" w:cs="宋体"/>
                <w:sz w:val="24"/>
                <w:szCs w:val="24"/>
              </w:rPr>
            </w:pPr>
          </w:p>
        </w:tc>
        <w:tc>
          <w:tcPr>
            <w:tcW w:w="0" w:type="auto"/>
            <w:shd w:val="clear" w:color="auto" w:fill="auto"/>
          </w:tcPr>
          <w:p w14:paraId="1DF5641A">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79A15681">
            <w:pPr>
              <w:jc w:val="right"/>
              <w:rPr>
                <w:rFonts w:ascii="宋体" w:hAnsi="宋体" w:eastAsia="宋体" w:cs="宋体"/>
                <w:sz w:val="24"/>
                <w:szCs w:val="24"/>
              </w:rPr>
            </w:pPr>
            <w:r>
              <w:rPr>
                <w:rFonts w:hint="eastAsia" w:ascii="宋体" w:hAnsi="宋体" w:eastAsia="宋体"/>
              </w:rPr>
              <w:t>24,034,452,214.84</w:t>
            </w:r>
          </w:p>
        </w:tc>
        <w:tc>
          <w:tcPr>
            <w:tcW w:w="0" w:type="auto"/>
            <w:shd w:val="clear" w:color="auto" w:fill="auto"/>
          </w:tcPr>
          <w:p w14:paraId="60DCFB4B">
            <w:pPr>
              <w:jc w:val="right"/>
              <w:rPr>
                <w:rFonts w:ascii="宋体" w:hAnsi="宋体" w:eastAsia="宋体" w:cs="宋体"/>
                <w:sz w:val="24"/>
                <w:szCs w:val="24"/>
              </w:rPr>
            </w:pPr>
            <w:r>
              <w:rPr>
                <w:rFonts w:hint="eastAsia" w:ascii="宋体" w:hAnsi="宋体" w:eastAsia="宋体"/>
              </w:rPr>
              <w:t>99.83</w:t>
            </w:r>
          </w:p>
        </w:tc>
      </w:tr>
      <w:tr w14:paraId="05C96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A8FA03">
            <w:pPr>
              <w:jc w:val="center"/>
              <w:rPr>
                <w:rFonts w:ascii="宋体" w:hAnsi="宋体" w:eastAsia="宋体" w:cs="宋体"/>
                <w:sz w:val="24"/>
                <w:szCs w:val="24"/>
              </w:rPr>
            </w:pPr>
          </w:p>
        </w:tc>
        <w:tc>
          <w:tcPr>
            <w:tcW w:w="0" w:type="auto"/>
            <w:shd w:val="clear" w:color="auto" w:fill="auto"/>
          </w:tcPr>
          <w:p w14:paraId="1B5EA64D">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2EE7539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CF001AC">
            <w:pPr>
              <w:jc w:val="right"/>
              <w:rPr>
                <w:rFonts w:ascii="宋体" w:hAnsi="宋体" w:eastAsia="宋体" w:cs="宋体"/>
                <w:sz w:val="24"/>
                <w:szCs w:val="24"/>
              </w:rPr>
            </w:pPr>
            <w:r>
              <w:rPr>
                <w:rFonts w:hint="eastAsia" w:ascii="宋体" w:hAnsi="宋体" w:eastAsia="宋体"/>
              </w:rPr>
              <w:t>-</w:t>
            </w:r>
          </w:p>
        </w:tc>
      </w:tr>
      <w:tr w14:paraId="6DEEB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28F101">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6476E9D">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2191E62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F74E5E6">
            <w:pPr>
              <w:jc w:val="right"/>
              <w:rPr>
                <w:rFonts w:ascii="宋体" w:hAnsi="宋体" w:eastAsia="宋体" w:cs="宋体"/>
                <w:sz w:val="24"/>
                <w:szCs w:val="24"/>
              </w:rPr>
            </w:pPr>
            <w:r>
              <w:rPr>
                <w:rFonts w:hint="eastAsia" w:ascii="宋体" w:hAnsi="宋体" w:eastAsia="宋体"/>
              </w:rPr>
              <w:t>-</w:t>
            </w:r>
          </w:p>
        </w:tc>
      </w:tr>
      <w:tr w14:paraId="5151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A9667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EF7E5D9">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38195E5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3766EE2">
            <w:pPr>
              <w:jc w:val="right"/>
              <w:rPr>
                <w:rFonts w:ascii="宋体" w:hAnsi="宋体" w:eastAsia="宋体" w:cs="宋体"/>
                <w:sz w:val="24"/>
                <w:szCs w:val="24"/>
              </w:rPr>
            </w:pPr>
            <w:r>
              <w:rPr>
                <w:rFonts w:hint="eastAsia" w:ascii="宋体" w:hAnsi="宋体" w:eastAsia="宋体"/>
              </w:rPr>
              <w:t>-</w:t>
            </w:r>
          </w:p>
        </w:tc>
      </w:tr>
      <w:tr w14:paraId="7096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2331F8">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8ECA139">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0302325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B94AB1">
            <w:pPr>
              <w:jc w:val="right"/>
              <w:rPr>
                <w:rFonts w:ascii="宋体" w:hAnsi="宋体" w:eastAsia="宋体" w:cs="宋体"/>
                <w:sz w:val="24"/>
                <w:szCs w:val="24"/>
              </w:rPr>
            </w:pPr>
            <w:r>
              <w:rPr>
                <w:rFonts w:hint="eastAsia" w:ascii="宋体" w:hAnsi="宋体" w:eastAsia="宋体"/>
              </w:rPr>
              <w:t>-</w:t>
            </w:r>
          </w:p>
        </w:tc>
      </w:tr>
      <w:tr w14:paraId="4025E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CC655C">
            <w:pPr>
              <w:jc w:val="center"/>
              <w:rPr>
                <w:rFonts w:ascii="宋体" w:hAnsi="宋体" w:eastAsia="宋体" w:cs="宋体"/>
                <w:sz w:val="24"/>
                <w:szCs w:val="24"/>
              </w:rPr>
            </w:pPr>
          </w:p>
        </w:tc>
        <w:tc>
          <w:tcPr>
            <w:tcW w:w="0" w:type="auto"/>
            <w:shd w:val="clear" w:color="auto" w:fill="auto"/>
          </w:tcPr>
          <w:p w14:paraId="02DACD1A">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7391673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DE94B61">
            <w:pPr>
              <w:jc w:val="right"/>
              <w:rPr>
                <w:rFonts w:ascii="宋体" w:hAnsi="宋体" w:eastAsia="宋体" w:cs="宋体"/>
                <w:sz w:val="24"/>
                <w:szCs w:val="24"/>
              </w:rPr>
            </w:pPr>
            <w:r>
              <w:rPr>
                <w:rFonts w:hint="eastAsia" w:ascii="宋体" w:hAnsi="宋体" w:eastAsia="宋体"/>
              </w:rPr>
              <w:t>-</w:t>
            </w:r>
          </w:p>
        </w:tc>
      </w:tr>
      <w:tr w14:paraId="798D8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854BCB">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B01C90D">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01615A9F">
            <w:pPr>
              <w:jc w:val="right"/>
              <w:rPr>
                <w:rFonts w:ascii="宋体" w:hAnsi="宋体" w:eastAsia="宋体" w:cs="宋体"/>
                <w:sz w:val="24"/>
                <w:szCs w:val="24"/>
              </w:rPr>
            </w:pPr>
            <w:r>
              <w:rPr>
                <w:rFonts w:hint="eastAsia" w:ascii="宋体" w:hAnsi="宋体" w:eastAsia="宋体"/>
              </w:rPr>
              <w:t>41,360,453.68</w:t>
            </w:r>
          </w:p>
        </w:tc>
        <w:tc>
          <w:tcPr>
            <w:tcW w:w="0" w:type="auto"/>
            <w:shd w:val="clear" w:color="auto" w:fill="auto"/>
          </w:tcPr>
          <w:p w14:paraId="53015FA0">
            <w:pPr>
              <w:jc w:val="right"/>
              <w:rPr>
                <w:rFonts w:ascii="宋体" w:hAnsi="宋体" w:eastAsia="宋体" w:cs="宋体"/>
                <w:sz w:val="24"/>
                <w:szCs w:val="24"/>
              </w:rPr>
            </w:pPr>
            <w:r>
              <w:rPr>
                <w:rFonts w:hint="eastAsia" w:ascii="宋体" w:hAnsi="宋体" w:eastAsia="宋体"/>
              </w:rPr>
              <w:t>0.17</w:t>
            </w:r>
          </w:p>
        </w:tc>
      </w:tr>
      <w:tr w14:paraId="0EA72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91FC90">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44CD366">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5A0D8DF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A55B77">
            <w:pPr>
              <w:jc w:val="right"/>
              <w:rPr>
                <w:rFonts w:ascii="宋体" w:hAnsi="宋体" w:eastAsia="宋体" w:cs="宋体"/>
                <w:sz w:val="24"/>
                <w:szCs w:val="24"/>
              </w:rPr>
            </w:pPr>
            <w:r>
              <w:rPr>
                <w:rFonts w:hint="eastAsia" w:ascii="宋体" w:hAnsi="宋体" w:eastAsia="宋体"/>
              </w:rPr>
              <w:t>-</w:t>
            </w:r>
          </w:p>
        </w:tc>
      </w:tr>
      <w:tr w14:paraId="1B8F5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CC8115">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7F42B3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0A5B0CF">
            <w:pPr>
              <w:jc w:val="right"/>
              <w:rPr>
                <w:rFonts w:ascii="宋体" w:hAnsi="宋体" w:eastAsia="宋体" w:cs="宋体"/>
                <w:sz w:val="24"/>
                <w:szCs w:val="24"/>
              </w:rPr>
            </w:pPr>
            <w:r>
              <w:rPr>
                <w:rFonts w:hint="eastAsia" w:ascii="宋体" w:hAnsi="宋体" w:eastAsia="宋体"/>
              </w:rPr>
              <w:t>24,075,812,668.52</w:t>
            </w:r>
          </w:p>
        </w:tc>
        <w:tc>
          <w:tcPr>
            <w:tcW w:w="0" w:type="auto"/>
            <w:shd w:val="clear" w:color="auto" w:fill="auto"/>
          </w:tcPr>
          <w:p w14:paraId="00A643FF">
            <w:pPr>
              <w:jc w:val="right"/>
              <w:rPr>
                <w:rFonts w:ascii="宋体" w:hAnsi="宋体" w:eastAsia="宋体" w:cs="宋体"/>
                <w:sz w:val="24"/>
                <w:szCs w:val="24"/>
              </w:rPr>
            </w:pPr>
            <w:r>
              <w:rPr>
                <w:rFonts w:hint="eastAsia" w:ascii="宋体" w:hAnsi="宋体" w:eastAsia="宋体"/>
              </w:rPr>
              <w:t>100.00</w:t>
            </w:r>
          </w:p>
        </w:tc>
      </w:tr>
    </w:tbl>
    <w:p w14:paraId="546338B0">
      <w:pPr>
        <w:pStyle w:val="8"/>
        <w:spacing w:before="0" w:beforeAutospacing="0" w:after="0" w:afterAutospacing="0" w:line="360" w:lineRule="auto"/>
        <w:ind w:firstLine="420"/>
        <w:rPr>
          <w:sz w:val="21"/>
          <w:szCs w:val="21"/>
        </w:rPr>
      </w:pPr>
      <w:r>
        <w:rPr>
          <w:rStyle w:val="12"/>
          <w:rFonts w:hint="eastAsia"/>
          <w:sz w:val="21"/>
          <w:szCs w:val="21"/>
        </w:rPr>
        <w:t>2 报告期末按行业分类的股票投资组合</w:t>
      </w:r>
    </w:p>
    <w:p w14:paraId="3BB3B75A">
      <w:pPr>
        <w:pStyle w:val="8"/>
        <w:spacing w:before="0" w:beforeAutospacing="0" w:after="0" w:afterAutospacing="0" w:line="360" w:lineRule="auto"/>
        <w:ind w:firstLine="420"/>
        <w:rPr>
          <w:sz w:val="21"/>
          <w:szCs w:val="21"/>
        </w:rPr>
      </w:pPr>
      <w:r>
        <w:rPr>
          <w:rStyle w:val="12"/>
          <w:rFonts w:hint="eastAsia"/>
          <w:sz w:val="21"/>
          <w:szCs w:val="21"/>
        </w:rPr>
        <w:t>2.1 报告期末按行业分类的境内股票投资组合</w:t>
      </w:r>
    </w:p>
    <w:p w14:paraId="44DC2A64">
      <w:pPr>
        <w:pStyle w:val="8"/>
        <w:spacing w:before="0" w:beforeAutospacing="0" w:after="0" w:afterAutospacing="0" w:line="360" w:lineRule="auto"/>
        <w:ind w:firstLine="420"/>
        <w:rPr>
          <w:sz w:val="21"/>
          <w:szCs w:val="21"/>
        </w:rPr>
      </w:pPr>
      <w:r>
        <w:rPr>
          <w:rFonts w:hint="eastAsia"/>
          <w:sz w:val="21"/>
          <w:szCs w:val="21"/>
        </w:rPr>
        <w:t>本基金本报告期末未持有境内股票。</w:t>
      </w:r>
    </w:p>
    <w:p w14:paraId="776049B2">
      <w:pPr>
        <w:pStyle w:val="8"/>
        <w:spacing w:before="0" w:beforeAutospacing="0" w:after="0" w:afterAutospacing="0" w:line="360" w:lineRule="auto"/>
        <w:ind w:firstLine="420"/>
        <w:rPr>
          <w:sz w:val="21"/>
          <w:szCs w:val="21"/>
        </w:rPr>
      </w:pPr>
      <w:r>
        <w:rPr>
          <w:rStyle w:val="12"/>
          <w:rFonts w:hint="eastAsia"/>
          <w:sz w:val="21"/>
          <w:szCs w:val="21"/>
        </w:rPr>
        <w:t>2.2 报告期末按行业分类的港股通投资股票投资组合</w:t>
      </w:r>
    </w:p>
    <w:p w14:paraId="50DDD55B">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410C788D">
      <w:pPr>
        <w:pStyle w:val="8"/>
        <w:spacing w:before="0" w:beforeAutospacing="0" w:after="0" w:afterAutospacing="0" w:line="360" w:lineRule="auto"/>
        <w:ind w:firstLine="420"/>
        <w:rPr>
          <w:sz w:val="21"/>
          <w:szCs w:val="21"/>
        </w:rPr>
      </w:pPr>
      <w:r>
        <w:rPr>
          <w:rStyle w:val="12"/>
          <w:rFonts w:hint="eastAsia"/>
          <w:sz w:val="21"/>
          <w:szCs w:val="21"/>
        </w:rPr>
        <w:t>3报告期末按摊余成本占基金资产净值比例大小排序的前十名股票投资明细</w:t>
      </w:r>
    </w:p>
    <w:p w14:paraId="72E4B561">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0EB226EA">
      <w:pPr>
        <w:pStyle w:val="8"/>
        <w:spacing w:before="0" w:beforeAutospacing="0" w:after="0" w:afterAutospacing="0" w:line="360" w:lineRule="auto"/>
        <w:ind w:firstLine="420"/>
        <w:rPr>
          <w:sz w:val="21"/>
          <w:szCs w:val="21"/>
        </w:rPr>
      </w:pPr>
      <w:r>
        <w:rPr>
          <w:rStyle w:val="12"/>
          <w:rFonts w:hint="eastAsia"/>
          <w:sz w:val="21"/>
          <w:szCs w:val="21"/>
        </w:rPr>
        <w:t>4 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2467"/>
        <w:gridCol w:w="2344"/>
        <w:gridCol w:w="2960"/>
      </w:tblGrid>
      <w:tr w14:paraId="7A96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F4EAF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73C986D">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7CC29AE4">
            <w:pPr>
              <w:jc w:val="center"/>
              <w:rPr>
                <w:rFonts w:ascii="宋体" w:hAnsi="宋体" w:eastAsia="宋体" w:cs="宋体"/>
                <w:sz w:val="24"/>
                <w:szCs w:val="24"/>
              </w:rPr>
            </w:pPr>
            <w:r>
              <w:rPr>
                <w:rFonts w:hint="eastAsia" w:ascii="宋体" w:hAnsi="宋体" w:eastAsia="宋体"/>
              </w:rPr>
              <w:t>摊余成本(元)</w:t>
            </w:r>
          </w:p>
        </w:tc>
        <w:tc>
          <w:tcPr>
            <w:tcW w:w="0" w:type="auto"/>
            <w:shd w:val="clear" w:color="auto" w:fill="auto"/>
          </w:tcPr>
          <w:p w14:paraId="41B07645">
            <w:pPr>
              <w:jc w:val="center"/>
              <w:rPr>
                <w:rFonts w:ascii="宋体" w:hAnsi="宋体" w:eastAsia="宋体" w:cs="宋体"/>
                <w:sz w:val="24"/>
                <w:szCs w:val="24"/>
              </w:rPr>
            </w:pPr>
            <w:r>
              <w:rPr>
                <w:rFonts w:hint="eastAsia" w:ascii="宋体" w:hAnsi="宋体" w:eastAsia="宋体"/>
              </w:rPr>
              <w:t>占基金资产净值比例(％)</w:t>
            </w:r>
          </w:p>
        </w:tc>
      </w:tr>
      <w:tr w14:paraId="4F4BD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21683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3E8DEA2">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631BA3F8">
            <w:pPr>
              <w:jc w:val="right"/>
              <w:rPr>
                <w:rFonts w:ascii="宋体" w:hAnsi="宋体" w:eastAsia="宋体" w:cs="宋体"/>
                <w:sz w:val="24"/>
                <w:szCs w:val="24"/>
              </w:rPr>
            </w:pPr>
            <w:r>
              <w:rPr>
                <w:rFonts w:hint="eastAsia" w:ascii="宋体" w:hAnsi="宋体" w:eastAsia="宋体"/>
              </w:rPr>
              <w:t>20,139,141.33</w:t>
            </w:r>
          </w:p>
        </w:tc>
        <w:tc>
          <w:tcPr>
            <w:tcW w:w="0" w:type="auto"/>
            <w:shd w:val="clear" w:color="auto" w:fill="auto"/>
          </w:tcPr>
          <w:p w14:paraId="6E41805D">
            <w:pPr>
              <w:jc w:val="right"/>
              <w:rPr>
                <w:rFonts w:ascii="宋体" w:hAnsi="宋体" w:eastAsia="宋体" w:cs="宋体"/>
                <w:sz w:val="24"/>
                <w:szCs w:val="24"/>
              </w:rPr>
            </w:pPr>
            <w:r>
              <w:rPr>
                <w:rFonts w:hint="eastAsia" w:ascii="宋体" w:hAnsi="宋体" w:eastAsia="宋体"/>
              </w:rPr>
              <w:t>0.12</w:t>
            </w:r>
          </w:p>
        </w:tc>
      </w:tr>
      <w:tr w14:paraId="73BB7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D2386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6B74B70">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4D5910D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E18427C">
            <w:pPr>
              <w:jc w:val="right"/>
              <w:rPr>
                <w:rFonts w:ascii="宋体" w:hAnsi="宋体" w:eastAsia="宋体" w:cs="宋体"/>
                <w:sz w:val="24"/>
                <w:szCs w:val="24"/>
              </w:rPr>
            </w:pPr>
            <w:r>
              <w:rPr>
                <w:rFonts w:hint="eastAsia" w:ascii="宋体" w:hAnsi="宋体" w:eastAsia="宋体"/>
              </w:rPr>
              <w:t>-</w:t>
            </w:r>
          </w:p>
        </w:tc>
      </w:tr>
      <w:tr w14:paraId="09F0E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CA742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FDD5B86">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74603708">
            <w:pPr>
              <w:jc w:val="right"/>
              <w:rPr>
                <w:rFonts w:ascii="宋体" w:hAnsi="宋体" w:eastAsia="宋体" w:cs="宋体"/>
                <w:sz w:val="24"/>
                <w:szCs w:val="24"/>
              </w:rPr>
            </w:pPr>
            <w:r>
              <w:rPr>
                <w:rFonts w:hint="eastAsia" w:ascii="宋体" w:hAnsi="宋体" w:eastAsia="宋体"/>
              </w:rPr>
              <w:t>24,014,313,073.51</w:t>
            </w:r>
          </w:p>
        </w:tc>
        <w:tc>
          <w:tcPr>
            <w:tcW w:w="0" w:type="auto"/>
            <w:shd w:val="clear" w:color="auto" w:fill="auto"/>
          </w:tcPr>
          <w:p w14:paraId="68CB674B">
            <w:pPr>
              <w:jc w:val="right"/>
              <w:rPr>
                <w:rFonts w:ascii="宋体" w:hAnsi="宋体" w:eastAsia="宋体" w:cs="宋体"/>
                <w:sz w:val="24"/>
                <w:szCs w:val="24"/>
              </w:rPr>
            </w:pPr>
            <w:r>
              <w:rPr>
                <w:rFonts w:hint="eastAsia" w:ascii="宋体" w:hAnsi="宋体" w:eastAsia="宋体"/>
              </w:rPr>
              <w:t>147.05</w:t>
            </w:r>
          </w:p>
        </w:tc>
      </w:tr>
      <w:tr w14:paraId="3A8D6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464169">
            <w:pPr>
              <w:jc w:val="center"/>
              <w:rPr>
                <w:rFonts w:ascii="宋体" w:hAnsi="宋体" w:eastAsia="宋体" w:cs="宋体"/>
                <w:sz w:val="24"/>
                <w:szCs w:val="24"/>
              </w:rPr>
            </w:pPr>
          </w:p>
        </w:tc>
        <w:tc>
          <w:tcPr>
            <w:tcW w:w="0" w:type="auto"/>
            <w:shd w:val="clear" w:color="auto" w:fill="auto"/>
          </w:tcPr>
          <w:p w14:paraId="7EB420BC">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231D0A3E">
            <w:pPr>
              <w:jc w:val="right"/>
              <w:rPr>
                <w:rFonts w:ascii="宋体" w:hAnsi="宋体" w:eastAsia="宋体" w:cs="宋体"/>
                <w:sz w:val="24"/>
                <w:szCs w:val="24"/>
              </w:rPr>
            </w:pPr>
            <w:r>
              <w:rPr>
                <w:rFonts w:hint="eastAsia" w:ascii="宋体" w:hAnsi="宋体" w:eastAsia="宋体"/>
              </w:rPr>
              <w:t>13,735,136,757.96</w:t>
            </w:r>
          </w:p>
        </w:tc>
        <w:tc>
          <w:tcPr>
            <w:tcW w:w="0" w:type="auto"/>
            <w:shd w:val="clear" w:color="auto" w:fill="auto"/>
          </w:tcPr>
          <w:p w14:paraId="00ABCCC5">
            <w:pPr>
              <w:jc w:val="right"/>
              <w:rPr>
                <w:rFonts w:ascii="宋体" w:hAnsi="宋体" w:eastAsia="宋体" w:cs="宋体"/>
                <w:sz w:val="24"/>
                <w:szCs w:val="24"/>
              </w:rPr>
            </w:pPr>
            <w:r>
              <w:rPr>
                <w:rFonts w:hint="eastAsia" w:ascii="宋体" w:hAnsi="宋体" w:eastAsia="宋体"/>
              </w:rPr>
              <w:t>84.10</w:t>
            </w:r>
          </w:p>
        </w:tc>
      </w:tr>
      <w:tr w14:paraId="2E762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8BD19F">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838F59C">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0A0CAF6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29E409">
            <w:pPr>
              <w:jc w:val="right"/>
              <w:rPr>
                <w:rFonts w:ascii="宋体" w:hAnsi="宋体" w:eastAsia="宋体" w:cs="宋体"/>
                <w:sz w:val="24"/>
                <w:szCs w:val="24"/>
              </w:rPr>
            </w:pPr>
            <w:r>
              <w:rPr>
                <w:rFonts w:hint="eastAsia" w:ascii="宋体" w:hAnsi="宋体" w:eastAsia="宋体"/>
              </w:rPr>
              <w:t>-</w:t>
            </w:r>
          </w:p>
        </w:tc>
      </w:tr>
      <w:tr w14:paraId="51941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2DFCA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6899908">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058E950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15719BF">
            <w:pPr>
              <w:jc w:val="right"/>
              <w:rPr>
                <w:rFonts w:ascii="宋体" w:hAnsi="宋体" w:eastAsia="宋体" w:cs="宋体"/>
                <w:sz w:val="24"/>
                <w:szCs w:val="24"/>
              </w:rPr>
            </w:pPr>
            <w:r>
              <w:rPr>
                <w:rFonts w:hint="eastAsia" w:ascii="宋体" w:hAnsi="宋体" w:eastAsia="宋体"/>
              </w:rPr>
              <w:t>-</w:t>
            </w:r>
          </w:p>
        </w:tc>
      </w:tr>
      <w:tr w14:paraId="0BBD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7E5CE3">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6E23F6E">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77EDD9E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5687EC">
            <w:pPr>
              <w:jc w:val="right"/>
              <w:rPr>
                <w:rFonts w:ascii="宋体" w:hAnsi="宋体" w:eastAsia="宋体" w:cs="宋体"/>
                <w:sz w:val="24"/>
                <w:szCs w:val="24"/>
              </w:rPr>
            </w:pPr>
            <w:r>
              <w:rPr>
                <w:rFonts w:hint="eastAsia" w:ascii="宋体" w:hAnsi="宋体" w:eastAsia="宋体"/>
              </w:rPr>
              <w:t>-</w:t>
            </w:r>
          </w:p>
        </w:tc>
      </w:tr>
      <w:tr w14:paraId="46784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029D3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5D178B0">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1942F88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8286A94">
            <w:pPr>
              <w:jc w:val="right"/>
              <w:rPr>
                <w:rFonts w:ascii="宋体" w:hAnsi="宋体" w:eastAsia="宋体" w:cs="宋体"/>
                <w:sz w:val="24"/>
                <w:szCs w:val="24"/>
              </w:rPr>
            </w:pPr>
            <w:r>
              <w:rPr>
                <w:rFonts w:hint="eastAsia" w:ascii="宋体" w:hAnsi="宋体" w:eastAsia="宋体"/>
              </w:rPr>
              <w:t>-</w:t>
            </w:r>
          </w:p>
        </w:tc>
      </w:tr>
      <w:tr w14:paraId="0FDFD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8120FC">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7ED4CFD">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110B5D6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A37DF3F">
            <w:pPr>
              <w:jc w:val="right"/>
              <w:rPr>
                <w:rFonts w:ascii="宋体" w:hAnsi="宋体" w:eastAsia="宋体" w:cs="宋体"/>
                <w:sz w:val="24"/>
                <w:szCs w:val="24"/>
              </w:rPr>
            </w:pPr>
            <w:r>
              <w:rPr>
                <w:rFonts w:hint="eastAsia" w:ascii="宋体" w:hAnsi="宋体" w:eastAsia="宋体"/>
              </w:rPr>
              <w:t>-</w:t>
            </w:r>
          </w:p>
        </w:tc>
      </w:tr>
      <w:tr w14:paraId="28F2B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2A68CE">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0DA2F7A">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3B50AA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B92B8BE">
            <w:pPr>
              <w:jc w:val="right"/>
              <w:rPr>
                <w:rFonts w:ascii="宋体" w:hAnsi="宋体" w:eastAsia="宋体" w:cs="宋体"/>
                <w:sz w:val="24"/>
                <w:szCs w:val="24"/>
              </w:rPr>
            </w:pPr>
            <w:r>
              <w:rPr>
                <w:rFonts w:hint="eastAsia" w:ascii="宋体" w:hAnsi="宋体" w:eastAsia="宋体"/>
              </w:rPr>
              <w:t>-</w:t>
            </w:r>
          </w:p>
        </w:tc>
      </w:tr>
      <w:tr w14:paraId="153D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9DD60D">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6BDF5AE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A941244">
            <w:pPr>
              <w:jc w:val="right"/>
              <w:rPr>
                <w:rFonts w:ascii="宋体" w:hAnsi="宋体" w:eastAsia="宋体" w:cs="宋体"/>
                <w:sz w:val="24"/>
                <w:szCs w:val="24"/>
              </w:rPr>
            </w:pPr>
            <w:r>
              <w:rPr>
                <w:rFonts w:hint="eastAsia" w:ascii="宋体" w:hAnsi="宋体" w:eastAsia="宋体"/>
              </w:rPr>
              <w:t>24,034,452,214.84</w:t>
            </w:r>
          </w:p>
        </w:tc>
        <w:tc>
          <w:tcPr>
            <w:tcW w:w="0" w:type="auto"/>
            <w:shd w:val="clear" w:color="auto" w:fill="auto"/>
          </w:tcPr>
          <w:p w14:paraId="3321DB4A">
            <w:pPr>
              <w:jc w:val="right"/>
              <w:rPr>
                <w:rFonts w:ascii="宋体" w:hAnsi="宋体" w:eastAsia="宋体" w:cs="宋体"/>
                <w:sz w:val="24"/>
                <w:szCs w:val="24"/>
              </w:rPr>
            </w:pPr>
            <w:r>
              <w:rPr>
                <w:rFonts w:hint="eastAsia" w:ascii="宋体" w:hAnsi="宋体" w:eastAsia="宋体"/>
              </w:rPr>
              <w:t>147.17</w:t>
            </w:r>
          </w:p>
        </w:tc>
      </w:tr>
    </w:tbl>
    <w:p w14:paraId="01FDD5DD">
      <w:pPr>
        <w:pStyle w:val="8"/>
        <w:spacing w:before="0" w:beforeAutospacing="0" w:after="0" w:afterAutospacing="0" w:line="360" w:lineRule="auto"/>
        <w:ind w:firstLine="420"/>
        <w:rPr>
          <w:sz w:val="21"/>
          <w:szCs w:val="21"/>
        </w:rPr>
      </w:pPr>
      <w:r>
        <w:rPr>
          <w:rStyle w:val="12"/>
          <w:rFonts w:hint="eastAsia"/>
          <w:sz w:val="21"/>
          <w:szCs w:val="21"/>
        </w:rPr>
        <w:t>5 报告期末按摊余成本占基金资产净值比例大小排序的前五名债券投资明细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1041"/>
        <w:gridCol w:w="1443"/>
        <w:gridCol w:w="1266"/>
        <w:gridCol w:w="1896"/>
        <w:gridCol w:w="2265"/>
      </w:tblGrid>
      <w:tr w14:paraId="335A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96750A">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1B37EB9">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0C888F7A">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19E159C3">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4816F9EC">
            <w:pPr>
              <w:jc w:val="center"/>
              <w:rPr>
                <w:rFonts w:ascii="宋体" w:hAnsi="宋体" w:eastAsia="宋体" w:cs="宋体"/>
                <w:sz w:val="24"/>
                <w:szCs w:val="24"/>
              </w:rPr>
            </w:pPr>
            <w:r>
              <w:rPr>
                <w:rFonts w:hint="eastAsia" w:ascii="宋体" w:hAnsi="宋体" w:eastAsia="宋体"/>
              </w:rPr>
              <w:t>摊余成本(元)</w:t>
            </w:r>
          </w:p>
        </w:tc>
        <w:tc>
          <w:tcPr>
            <w:tcW w:w="0" w:type="auto"/>
            <w:shd w:val="clear" w:color="auto" w:fill="auto"/>
          </w:tcPr>
          <w:p w14:paraId="3CAE671F">
            <w:pPr>
              <w:jc w:val="center"/>
              <w:rPr>
                <w:rFonts w:ascii="宋体" w:hAnsi="宋体" w:eastAsia="宋体" w:cs="宋体"/>
                <w:sz w:val="24"/>
                <w:szCs w:val="24"/>
              </w:rPr>
            </w:pPr>
            <w:r>
              <w:rPr>
                <w:rFonts w:hint="eastAsia" w:ascii="宋体" w:hAnsi="宋体" w:eastAsia="宋体"/>
              </w:rPr>
              <w:t>占基金资产净值比例(％)</w:t>
            </w:r>
          </w:p>
        </w:tc>
      </w:tr>
      <w:tr w14:paraId="7005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1FF43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D0BA9E4">
            <w:pPr>
              <w:jc w:val="center"/>
              <w:rPr>
                <w:rFonts w:ascii="宋体" w:hAnsi="宋体" w:eastAsia="宋体" w:cs="宋体"/>
                <w:sz w:val="24"/>
                <w:szCs w:val="24"/>
              </w:rPr>
            </w:pPr>
            <w:r>
              <w:rPr>
                <w:rFonts w:hint="eastAsia" w:ascii="宋体" w:hAnsi="宋体" w:eastAsia="宋体"/>
              </w:rPr>
              <w:t>160210</w:t>
            </w:r>
          </w:p>
        </w:tc>
        <w:tc>
          <w:tcPr>
            <w:tcW w:w="0" w:type="auto"/>
            <w:shd w:val="clear" w:color="auto" w:fill="auto"/>
          </w:tcPr>
          <w:p w14:paraId="65AD01A7">
            <w:pPr>
              <w:jc w:val="center"/>
              <w:rPr>
                <w:rFonts w:ascii="宋体" w:hAnsi="宋体" w:eastAsia="宋体" w:cs="宋体"/>
                <w:sz w:val="24"/>
                <w:szCs w:val="24"/>
              </w:rPr>
            </w:pPr>
            <w:r>
              <w:rPr>
                <w:rFonts w:hint="eastAsia" w:ascii="宋体" w:hAnsi="宋体" w:eastAsia="宋体"/>
              </w:rPr>
              <w:t>16国开10</w:t>
            </w:r>
          </w:p>
        </w:tc>
        <w:tc>
          <w:tcPr>
            <w:tcW w:w="0" w:type="auto"/>
            <w:shd w:val="clear" w:color="auto" w:fill="auto"/>
          </w:tcPr>
          <w:p w14:paraId="395CAFF5">
            <w:pPr>
              <w:jc w:val="right"/>
              <w:rPr>
                <w:rFonts w:ascii="宋体" w:hAnsi="宋体" w:eastAsia="宋体" w:cs="宋体"/>
                <w:sz w:val="24"/>
                <w:szCs w:val="24"/>
              </w:rPr>
            </w:pPr>
            <w:r>
              <w:rPr>
                <w:rFonts w:hint="eastAsia" w:ascii="宋体" w:hAnsi="宋体" w:eastAsia="宋体"/>
              </w:rPr>
              <w:t>52,600,000</w:t>
            </w:r>
          </w:p>
        </w:tc>
        <w:tc>
          <w:tcPr>
            <w:tcW w:w="0" w:type="auto"/>
            <w:shd w:val="clear" w:color="auto" w:fill="auto"/>
          </w:tcPr>
          <w:p w14:paraId="2F93268B">
            <w:pPr>
              <w:jc w:val="right"/>
              <w:rPr>
                <w:rFonts w:ascii="宋体" w:hAnsi="宋体" w:eastAsia="宋体" w:cs="宋体"/>
                <w:sz w:val="24"/>
                <w:szCs w:val="24"/>
              </w:rPr>
            </w:pPr>
            <w:r>
              <w:rPr>
                <w:rFonts w:hint="eastAsia" w:ascii="宋体" w:hAnsi="宋体" w:eastAsia="宋体"/>
              </w:rPr>
              <w:t>5,314,038,804.17</w:t>
            </w:r>
          </w:p>
        </w:tc>
        <w:tc>
          <w:tcPr>
            <w:tcW w:w="0" w:type="auto"/>
            <w:shd w:val="clear" w:color="auto" w:fill="auto"/>
          </w:tcPr>
          <w:p w14:paraId="467ECE56">
            <w:pPr>
              <w:jc w:val="right"/>
              <w:rPr>
                <w:rFonts w:ascii="宋体" w:hAnsi="宋体" w:eastAsia="宋体" w:cs="宋体"/>
                <w:sz w:val="24"/>
                <w:szCs w:val="24"/>
              </w:rPr>
            </w:pPr>
            <w:r>
              <w:rPr>
                <w:rFonts w:hint="eastAsia" w:ascii="宋体" w:hAnsi="宋体" w:eastAsia="宋体"/>
              </w:rPr>
              <w:t>32.54</w:t>
            </w:r>
          </w:p>
        </w:tc>
      </w:tr>
      <w:tr w14:paraId="1CF9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12A3B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18D5FB3">
            <w:pPr>
              <w:jc w:val="center"/>
              <w:rPr>
                <w:rFonts w:ascii="宋体" w:hAnsi="宋体" w:eastAsia="宋体" w:cs="宋体"/>
                <w:sz w:val="24"/>
                <w:szCs w:val="24"/>
              </w:rPr>
            </w:pPr>
            <w:r>
              <w:rPr>
                <w:rFonts w:hint="eastAsia" w:ascii="宋体" w:hAnsi="宋体" w:eastAsia="宋体"/>
              </w:rPr>
              <w:t>210305</w:t>
            </w:r>
          </w:p>
        </w:tc>
        <w:tc>
          <w:tcPr>
            <w:tcW w:w="0" w:type="auto"/>
            <w:shd w:val="clear" w:color="auto" w:fill="auto"/>
          </w:tcPr>
          <w:p w14:paraId="4B832D79">
            <w:pPr>
              <w:jc w:val="center"/>
              <w:rPr>
                <w:rFonts w:ascii="宋体" w:hAnsi="宋体" w:eastAsia="宋体" w:cs="宋体"/>
                <w:sz w:val="24"/>
                <w:szCs w:val="24"/>
              </w:rPr>
            </w:pPr>
            <w:r>
              <w:rPr>
                <w:rFonts w:hint="eastAsia" w:ascii="宋体" w:hAnsi="宋体" w:eastAsia="宋体"/>
              </w:rPr>
              <w:t>21进出05</w:t>
            </w:r>
          </w:p>
        </w:tc>
        <w:tc>
          <w:tcPr>
            <w:tcW w:w="0" w:type="auto"/>
            <w:shd w:val="clear" w:color="auto" w:fill="auto"/>
          </w:tcPr>
          <w:p w14:paraId="7E9E1FF3">
            <w:pPr>
              <w:jc w:val="right"/>
              <w:rPr>
                <w:rFonts w:ascii="宋体" w:hAnsi="宋体" w:eastAsia="宋体" w:cs="宋体"/>
                <w:sz w:val="24"/>
                <w:szCs w:val="24"/>
              </w:rPr>
            </w:pPr>
            <w:r>
              <w:rPr>
                <w:rFonts w:hint="eastAsia" w:ascii="宋体" w:hAnsi="宋体" w:eastAsia="宋体"/>
              </w:rPr>
              <w:t>43,900,000</w:t>
            </w:r>
          </w:p>
        </w:tc>
        <w:tc>
          <w:tcPr>
            <w:tcW w:w="0" w:type="auto"/>
            <w:shd w:val="clear" w:color="auto" w:fill="auto"/>
          </w:tcPr>
          <w:p w14:paraId="37E4F633">
            <w:pPr>
              <w:jc w:val="right"/>
              <w:rPr>
                <w:rFonts w:ascii="宋体" w:hAnsi="宋体" w:eastAsia="宋体" w:cs="宋体"/>
                <w:sz w:val="24"/>
                <w:szCs w:val="24"/>
              </w:rPr>
            </w:pPr>
            <w:r>
              <w:rPr>
                <w:rFonts w:hint="eastAsia" w:ascii="宋体" w:hAnsi="宋体" w:eastAsia="宋体"/>
              </w:rPr>
              <w:t>4,423,925,340.58</w:t>
            </w:r>
          </w:p>
        </w:tc>
        <w:tc>
          <w:tcPr>
            <w:tcW w:w="0" w:type="auto"/>
            <w:shd w:val="clear" w:color="auto" w:fill="auto"/>
          </w:tcPr>
          <w:p w14:paraId="286808C1">
            <w:pPr>
              <w:jc w:val="right"/>
              <w:rPr>
                <w:rFonts w:ascii="宋体" w:hAnsi="宋体" w:eastAsia="宋体" w:cs="宋体"/>
                <w:sz w:val="24"/>
                <w:szCs w:val="24"/>
              </w:rPr>
            </w:pPr>
            <w:r>
              <w:rPr>
                <w:rFonts w:hint="eastAsia" w:ascii="宋体" w:hAnsi="宋体" w:eastAsia="宋体"/>
              </w:rPr>
              <w:t>27.09</w:t>
            </w:r>
          </w:p>
        </w:tc>
      </w:tr>
      <w:tr w14:paraId="3EAA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8CD51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1F2B252">
            <w:pPr>
              <w:jc w:val="center"/>
              <w:rPr>
                <w:rFonts w:ascii="宋体" w:hAnsi="宋体" w:eastAsia="宋体" w:cs="宋体"/>
                <w:sz w:val="24"/>
                <w:szCs w:val="24"/>
              </w:rPr>
            </w:pPr>
            <w:r>
              <w:rPr>
                <w:rFonts w:hint="eastAsia" w:ascii="宋体" w:hAnsi="宋体" w:eastAsia="宋体"/>
              </w:rPr>
              <w:t>160418</w:t>
            </w:r>
          </w:p>
        </w:tc>
        <w:tc>
          <w:tcPr>
            <w:tcW w:w="0" w:type="auto"/>
            <w:shd w:val="clear" w:color="auto" w:fill="auto"/>
          </w:tcPr>
          <w:p w14:paraId="7BEC43E5">
            <w:pPr>
              <w:jc w:val="center"/>
              <w:rPr>
                <w:rFonts w:ascii="宋体" w:hAnsi="宋体" w:eastAsia="宋体" w:cs="宋体"/>
                <w:sz w:val="24"/>
                <w:szCs w:val="24"/>
              </w:rPr>
            </w:pPr>
            <w:r>
              <w:rPr>
                <w:rFonts w:hint="eastAsia" w:ascii="宋体" w:hAnsi="宋体" w:eastAsia="宋体"/>
              </w:rPr>
              <w:t>16农发18</w:t>
            </w:r>
          </w:p>
        </w:tc>
        <w:tc>
          <w:tcPr>
            <w:tcW w:w="0" w:type="auto"/>
            <w:shd w:val="clear" w:color="auto" w:fill="auto"/>
          </w:tcPr>
          <w:p w14:paraId="305900C4">
            <w:pPr>
              <w:jc w:val="right"/>
              <w:rPr>
                <w:rFonts w:ascii="宋体" w:hAnsi="宋体" w:eastAsia="宋体" w:cs="宋体"/>
                <w:sz w:val="24"/>
                <w:szCs w:val="24"/>
              </w:rPr>
            </w:pPr>
            <w:r>
              <w:rPr>
                <w:rFonts w:hint="eastAsia" w:ascii="宋体" w:hAnsi="宋体" w:eastAsia="宋体"/>
              </w:rPr>
              <w:t>16,000,000</w:t>
            </w:r>
          </w:p>
        </w:tc>
        <w:tc>
          <w:tcPr>
            <w:tcW w:w="0" w:type="auto"/>
            <w:shd w:val="clear" w:color="auto" w:fill="auto"/>
          </w:tcPr>
          <w:p w14:paraId="20793A74">
            <w:pPr>
              <w:jc w:val="right"/>
              <w:rPr>
                <w:rFonts w:ascii="宋体" w:hAnsi="宋体" w:eastAsia="宋体" w:cs="宋体"/>
                <w:sz w:val="24"/>
                <w:szCs w:val="24"/>
              </w:rPr>
            </w:pPr>
            <w:r>
              <w:rPr>
                <w:rFonts w:hint="eastAsia" w:ascii="宋体" w:hAnsi="宋体" w:eastAsia="宋体"/>
              </w:rPr>
              <w:t>1,620,636,691.49</w:t>
            </w:r>
          </w:p>
        </w:tc>
        <w:tc>
          <w:tcPr>
            <w:tcW w:w="0" w:type="auto"/>
            <w:shd w:val="clear" w:color="auto" w:fill="auto"/>
          </w:tcPr>
          <w:p w14:paraId="4BAA28F6">
            <w:pPr>
              <w:jc w:val="right"/>
              <w:rPr>
                <w:rFonts w:ascii="宋体" w:hAnsi="宋体" w:eastAsia="宋体" w:cs="宋体"/>
                <w:sz w:val="24"/>
                <w:szCs w:val="24"/>
              </w:rPr>
            </w:pPr>
            <w:r>
              <w:rPr>
                <w:rFonts w:hint="eastAsia" w:ascii="宋体" w:hAnsi="宋体" w:eastAsia="宋体"/>
              </w:rPr>
              <w:t>9.92</w:t>
            </w:r>
          </w:p>
        </w:tc>
      </w:tr>
      <w:tr w14:paraId="7544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CA258D">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E020A99">
            <w:pPr>
              <w:jc w:val="center"/>
              <w:rPr>
                <w:rFonts w:ascii="宋体" w:hAnsi="宋体" w:eastAsia="宋体" w:cs="宋体"/>
                <w:sz w:val="24"/>
                <w:szCs w:val="24"/>
              </w:rPr>
            </w:pPr>
            <w:r>
              <w:rPr>
                <w:rFonts w:hint="eastAsia" w:ascii="宋体" w:hAnsi="宋体" w:eastAsia="宋体"/>
              </w:rPr>
              <w:t>018020</w:t>
            </w:r>
          </w:p>
        </w:tc>
        <w:tc>
          <w:tcPr>
            <w:tcW w:w="0" w:type="auto"/>
            <w:shd w:val="clear" w:color="auto" w:fill="auto"/>
          </w:tcPr>
          <w:p w14:paraId="640BF137">
            <w:pPr>
              <w:jc w:val="center"/>
              <w:rPr>
                <w:rFonts w:ascii="宋体" w:hAnsi="宋体" w:eastAsia="宋体" w:cs="宋体"/>
                <w:sz w:val="24"/>
                <w:szCs w:val="24"/>
              </w:rPr>
            </w:pPr>
            <w:r>
              <w:rPr>
                <w:rFonts w:hint="eastAsia" w:ascii="宋体" w:hAnsi="宋体" w:eastAsia="宋体"/>
              </w:rPr>
              <w:t>国开2302</w:t>
            </w:r>
          </w:p>
        </w:tc>
        <w:tc>
          <w:tcPr>
            <w:tcW w:w="0" w:type="auto"/>
            <w:shd w:val="clear" w:color="auto" w:fill="auto"/>
          </w:tcPr>
          <w:p w14:paraId="5B6A3884">
            <w:pPr>
              <w:jc w:val="right"/>
              <w:rPr>
                <w:rFonts w:ascii="宋体" w:hAnsi="宋体" w:eastAsia="宋体" w:cs="宋体"/>
                <w:sz w:val="24"/>
                <w:szCs w:val="24"/>
              </w:rPr>
            </w:pPr>
            <w:r>
              <w:rPr>
                <w:rFonts w:hint="eastAsia" w:ascii="宋体" w:hAnsi="宋体" w:eastAsia="宋体"/>
              </w:rPr>
              <w:t>13,544,000</w:t>
            </w:r>
          </w:p>
        </w:tc>
        <w:tc>
          <w:tcPr>
            <w:tcW w:w="0" w:type="auto"/>
            <w:shd w:val="clear" w:color="auto" w:fill="auto"/>
          </w:tcPr>
          <w:p w14:paraId="63A6D3ED">
            <w:pPr>
              <w:jc w:val="right"/>
              <w:rPr>
                <w:rFonts w:ascii="宋体" w:hAnsi="宋体" w:eastAsia="宋体" w:cs="宋体"/>
                <w:sz w:val="24"/>
                <w:szCs w:val="24"/>
              </w:rPr>
            </w:pPr>
            <w:r>
              <w:rPr>
                <w:rFonts w:hint="eastAsia" w:ascii="宋体" w:hAnsi="宋体" w:eastAsia="宋体"/>
              </w:rPr>
              <w:t>1,365,746,051.96</w:t>
            </w:r>
          </w:p>
        </w:tc>
        <w:tc>
          <w:tcPr>
            <w:tcW w:w="0" w:type="auto"/>
            <w:shd w:val="clear" w:color="auto" w:fill="auto"/>
          </w:tcPr>
          <w:p w14:paraId="7888CC96">
            <w:pPr>
              <w:jc w:val="right"/>
              <w:rPr>
                <w:rFonts w:ascii="宋体" w:hAnsi="宋体" w:eastAsia="宋体" w:cs="宋体"/>
                <w:sz w:val="24"/>
                <w:szCs w:val="24"/>
              </w:rPr>
            </w:pPr>
            <w:r>
              <w:rPr>
                <w:rFonts w:hint="eastAsia" w:ascii="宋体" w:hAnsi="宋体" w:eastAsia="宋体"/>
              </w:rPr>
              <w:t>8.36</w:t>
            </w:r>
          </w:p>
        </w:tc>
      </w:tr>
      <w:tr w14:paraId="13226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882ED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DDE8C91">
            <w:pPr>
              <w:jc w:val="center"/>
              <w:rPr>
                <w:rFonts w:ascii="宋体" w:hAnsi="宋体" w:eastAsia="宋体" w:cs="宋体"/>
                <w:sz w:val="24"/>
                <w:szCs w:val="24"/>
              </w:rPr>
            </w:pPr>
            <w:r>
              <w:rPr>
                <w:rFonts w:hint="eastAsia" w:ascii="宋体" w:hAnsi="宋体" w:eastAsia="宋体"/>
              </w:rPr>
              <w:t>2320013</w:t>
            </w:r>
          </w:p>
        </w:tc>
        <w:tc>
          <w:tcPr>
            <w:tcW w:w="0" w:type="auto"/>
            <w:shd w:val="clear" w:color="auto" w:fill="auto"/>
          </w:tcPr>
          <w:p w14:paraId="1CD092B5">
            <w:pPr>
              <w:jc w:val="center"/>
              <w:rPr>
                <w:rFonts w:ascii="宋体" w:hAnsi="宋体" w:eastAsia="宋体" w:cs="宋体"/>
                <w:sz w:val="24"/>
                <w:szCs w:val="24"/>
              </w:rPr>
            </w:pPr>
            <w:r>
              <w:rPr>
                <w:rFonts w:hint="eastAsia" w:ascii="宋体" w:hAnsi="宋体" w:eastAsia="宋体"/>
              </w:rPr>
              <w:t>23上海银行01</w:t>
            </w:r>
          </w:p>
        </w:tc>
        <w:tc>
          <w:tcPr>
            <w:tcW w:w="0" w:type="auto"/>
            <w:shd w:val="clear" w:color="auto" w:fill="auto"/>
          </w:tcPr>
          <w:p w14:paraId="0D0B4CB9">
            <w:pPr>
              <w:jc w:val="right"/>
              <w:rPr>
                <w:rFonts w:ascii="宋体" w:hAnsi="宋体" w:eastAsia="宋体" w:cs="宋体"/>
                <w:sz w:val="24"/>
                <w:szCs w:val="24"/>
              </w:rPr>
            </w:pPr>
            <w:r>
              <w:rPr>
                <w:rFonts w:hint="eastAsia" w:ascii="宋体" w:hAnsi="宋体" w:eastAsia="宋体"/>
              </w:rPr>
              <w:t>11,800,000</w:t>
            </w:r>
          </w:p>
        </w:tc>
        <w:tc>
          <w:tcPr>
            <w:tcW w:w="0" w:type="auto"/>
            <w:shd w:val="clear" w:color="auto" w:fill="auto"/>
          </w:tcPr>
          <w:p w14:paraId="35389ED2">
            <w:pPr>
              <w:jc w:val="right"/>
              <w:rPr>
                <w:rFonts w:ascii="宋体" w:hAnsi="宋体" w:eastAsia="宋体" w:cs="宋体"/>
                <w:sz w:val="24"/>
                <w:szCs w:val="24"/>
              </w:rPr>
            </w:pPr>
            <w:r>
              <w:rPr>
                <w:rFonts w:hint="eastAsia" w:ascii="宋体" w:hAnsi="宋体" w:eastAsia="宋体"/>
              </w:rPr>
              <w:t>1,185,710,552.47</w:t>
            </w:r>
          </w:p>
        </w:tc>
        <w:tc>
          <w:tcPr>
            <w:tcW w:w="0" w:type="auto"/>
            <w:shd w:val="clear" w:color="auto" w:fill="auto"/>
          </w:tcPr>
          <w:p w14:paraId="13AB2E14">
            <w:pPr>
              <w:jc w:val="right"/>
              <w:rPr>
                <w:rFonts w:ascii="宋体" w:hAnsi="宋体" w:eastAsia="宋体" w:cs="宋体"/>
                <w:sz w:val="24"/>
                <w:szCs w:val="24"/>
              </w:rPr>
            </w:pPr>
            <w:r>
              <w:rPr>
                <w:rFonts w:hint="eastAsia" w:ascii="宋体" w:hAnsi="宋体" w:eastAsia="宋体"/>
              </w:rPr>
              <w:t>7.26</w:t>
            </w:r>
          </w:p>
        </w:tc>
      </w:tr>
    </w:tbl>
    <w:p w14:paraId="4B3AEAF4">
      <w:pPr>
        <w:pStyle w:val="8"/>
        <w:spacing w:before="0" w:beforeAutospacing="0" w:after="0" w:afterAutospacing="0" w:line="360" w:lineRule="auto"/>
        <w:ind w:firstLine="420"/>
        <w:rPr>
          <w:sz w:val="21"/>
          <w:szCs w:val="21"/>
        </w:rPr>
      </w:pPr>
      <w:r>
        <w:rPr>
          <w:rStyle w:val="12"/>
          <w:rFonts w:hint="eastAsia"/>
          <w:sz w:val="21"/>
          <w:szCs w:val="21"/>
        </w:rPr>
        <w:t>6 报告期末按摊余成本占基金资产净值比例大小排序的前十名资产支持证券投资明细</w:t>
      </w:r>
    </w:p>
    <w:p w14:paraId="62530481">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0D3DDF05">
      <w:pPr>
        <w:pStyle w:val="8"/>
        <w:spacing w:before="0" w:beforeAutospacing="0" w:after="0" w:afterAutospacing="0" w:line="360" w:lineRule="auto"/>
        <w:ind w:firstLine="420"/>
        <w:rPr>
          <w:sz w:val="21"/>
          <w:szCs w:val="21"/>
        </w:rPr>
      </w:pPr>
      <w:r>
        <w:rPr>
          <w:rStyle w:val="12"/>
          <w:rFonts w:hint="eastAsia"/>
          <w:sz w:val="21"/>
          <w:szCs w:val="21"/>
        </w:rPr>
        <w:t>7 报告期末按摊余成本占基金资产净值比例大小排序的前五名贵金属投资明细</w:t>
      </w:r>
    </w:p>
    <w:p w14:paraId="09162BE6">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3500B8EB">
      <w:pPr>
        <w:pStyle w:val="8"/>
        <w:spacing w:before="0" w:beforeAutospacing="0" w:after="0" w:afterAutospacing="0" w:line="360" w:lineRule="auto"/>
        <w:ind w:firstLine="420"/>
        <w:rPr>
          <w:sz w:val="21"/>
          <w:szCs w:val="21"/>
        </w:rPr>
      </w:pPr>
      <w:r>
        <w:rPr>
          <w:rStyle w:val="12"/>
          <w:rFonts w:hint="eastAsia"/>
          <w:sz w:val="21"/>
          <w:szCs w:val="21"/>
        </w:rPr>
        <w:t>8报告期末按摊余成本占基金资产净值比例大小排序的前五名权证投资明细</w:t>
      </w:r>
    </w:p>
    <w:p w14:paraId="2370B05C">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3DFC1160">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79A52375">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2DBD7AB1">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55D73A7B">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60947092">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478D9364">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668B9216">
      <w:pPr>
        <w:pStyle w:val="8"/>
        <w:spacing w:before="0" w:beforeAutospacing="0" w:after="0" w:afterAutospacing="0" w:line="360" w:lineRule="auto"/>
        <w:ind w:firstLine="420"/>
        <w:rPr>
          <w:sz w:val="21"/>
          <w:szCs w:val="21"/>
        </w:rPr>
      </w:pPr>
      <w:r>
        <w:rPr>
          <w:rStyle w:val="12"/>
          <w:rFonts w:hint="eastAsia"/>
          <w:sz w:val="21"/>
          <w:szCs w:val="21"/>
        </w:rPr>
        <w:t>10.1 本期国债期货投资政策</w:t>
      </w:r>
    </w:p>
    <w:p w14:paraId="0A580A17">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109EDA17">
      <w:pPr>
        <w:pStyle w:val="8"/>
        <w:spacing w:before="0" w:beforeAutospacing="0" w:after="0" w:afterAutospacing="0" w:line="360" w:lineRule="auto"/>
        <w:ind w:firstLine="420"/>
        <w:rPr>
          <w:sz w:val="21"/>
          <w:szCs w:val="21"/>
        </w:rPr>
      </w:pPr>
      <w:r>
        <w:rPr>
          <w:rStyle w:val="12"/>
          <w:rFonts w:hint="eastAsia"/>
          <w:sz w:val="21"/>
          <w:szCs w:val="21"/>
        </w:rPr>
        <w:t>10.2 报告期末本基金投资的国债期货持仓和损益明细</w:t>
      </w:r>
    </w:p>
    <w:p w14:paraId="06F17235">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5711591C">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6E30158D">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7368668B">
      <w:pPr>
        <w:pStyle w:val="8"/>
        <w:spacing w:before="0" w:beforeAutospacing="0" w:after="0" w:afterAutospacing="0" w:line="360" w:lineRule="auto"/>
        <w:ind w:firstLine="420"/>
        <w:rPr>
          <w:sz w:val="21"/>
          <w:szCs w:val="21"/>
        </w:rPr>
      </w:pPr>
      <w:r>
        <w:rPr>
          <w:rFonts w:hint="eastAsia"/>
          <w:sz w:val="21"/>
          <w:szCs w:val="21"/>
        </w:rPr>
        <w:t>本基金投资的前十名证券的发行主体中，上海银行股份有限公司在报告编制前一年受到中国人民银行、国家金融监督管理总局上海监管局、国家金融监督管理总局深圳监管局、深圳市市场监督管理局的处罚。中信银行股份有限公司在报告编制前一年受到中国人民银行四川省分行、国家外汇管理局四川省分局、国家金融监督管理总局浙江监管局的处罚。中国光大银行股份有限公司在报告编制前一年受到中国人民银行、中国银保监会无锡监管分局、国家外汇管理局内蒙古自治区分局、深圳金融监管局的处罚。中国农业发展银行在报告编制前一年受到国家外汇管理局枣庄市分局、河南金融监管局、湖北金融监管局的处罚。中国进出口银行在报告编制前一年受到国家外汇管理局陕西省分局、金融监管总局的处罚。交通银行股份有限公司在报告编制前一年受到中国人民银行辽宁省分行、国家外汇管理局北京市分局、国家金融监督管理总局湖北监管局、大同市云冈区住房和城乡建设局的处罚。国家开发银行在报告编制前一年受到中国人民银行湖北省分行、北京金融监管局、吉林金融监管局的处罚。江苏银行股份有限公司在报告编制前一年受到国家外汇管理局上海市分局、深圳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3F10B9BD">
      <w:pPr>
        <w:pStyle w:val="8"/>
        <w:spacing w:before="0" w:beforeAutospacing="0" w:after="0" w:afterAutospacing="0" w:line="360" w:lineRule="auto"/>
        <w:ind w:firstLine="420"/>
        <w:rPr>
          <w:sz w:val="21"/>
          <w:szCs w:val="21"/>
        </w:rPr>
      </w:pPr>
      <w:r>
        <w:rPr>
          <w:rStyle w:val="12"/>
          <w:rFonts w:hint="eastAsia"/>
          <w:sz w:val="21"/>
          <w:szCs w:val="21"/>
        </w:rPr>
        <w:t>11.2其他资产构成</w:t>
      </w:r>
    </w:p>
    <w:p w14:paraId="6FCA500B">
      <w:pPr>
        <w:pStyle w:val="8"/>
        <w:spacing w:before="0" w:beforeAutospacing="0" w:after="0" w:afterAutospacing="0" w:line="360" w:lineRule="auto"/>
        <w:ind w:firstLine="420"/>
        <w:rPr>
          <w:sz w:val="21"/>
          <w:szCs w:val="21"/>
        </w:rPr>
      </w:pPr>
      <w:r>
        <w:rPr>
          <w:rFonts w:hint="eastAsia"/>
          <w:sz w:val="21"/>
          <w:szCs w:val="21"/>
        </w:rPr>
        <w:t>本基金本报告期末未持有其他资产。</w:t>
      </w:r>
    </w:p>
    <w:p w14:paraId="68CE8F66">
      <w:pPr>
        <w:pStyle w:val="8"/>
        <w:spacing w:before="0" w:beforeAutospacing="0" w:after="0" w:afterAutospacing="0" w:line="360" w:lineRule="auto"/>
        <w:ind w:firstLine="420"/>
        <w:rPr>
          <w:sz w:val="21"/>
          <w:szCs w:val="21"/>
        </w:rPr>
      </w:pPr>
      <w:r>
        <w:rPr>
          <w:rStyle w:val="12"/>
          <w:rFonts w:hint="eastAsia"/>
          <w:sz w:val="21"/>
          <w:szCs w:val="21"/>
        </w:rPr>
        <w:t>11.3报告期末持有的处于转股期的可转换债券明细</w:t>
      </w:r>
    </w:p>
    <w:p w14:paraId="68947325">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75AF4B9D">
      <w:pPr>
        <w:pStyle w:val="8"/>
        <w:spacing w:before="0" w:beforeAutospacing="0" w:after="0" w:afterAutospacing="0" w:line="360" w:lineRule="auto"/>
        <w:ind w:firstLine="420"/>
        <w:rPr>
          <w:sz w:val="21"/>
          <w:szCs w:val="21"/>
        </w:rPr>
      </w:pPr>
      <w:r>
        <w:rPr>
          <w:rStyle w:val="12"/>
          <w:rFonts w:hint="eastAsia"/>
          <w:sz w:val="21"/>
          <w:szCs w:val="21"/>
        </w:rPr>
        <w:t>11.4报告期末前十名股票中存在流通受限情况的说明</w:t>
      </w:r>
    </w:p>
    <w:p w14:paraId="21AE2D7C">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5755C310">
      <w:pPr>
        <w:pStyle w:val="8"/>
        <w:spacing w:before="0" w:beforeAutospacing="0" w:after="0" w:afterAutospacing="0" w:line="360" w:lineRule="auto"/>
        <w:ind w:firstLine="420"/>
        <w:rPr>
          <w:sz w:val="21"/>
          <w:szCs w:val="21"/>
        </w:rPr>
      </w:pPr>
      <w:r>
        <w:rPr>
          <w:rStyle w:val="12"/>
          <w:rFonts w:hint="eastAsia"/>
          <w:sz w:val="21"/>
          <w:szCs w:val="21"/>
        </w:rPr>
        <w:t>11.5投资组合报告附注的其他文字描述部分</w:t>
      </w:r>
    </w:p>
    <w:p w14:paraId="5A80AFDE">
      <w:pPr>
        <w:pStyle w:val="8"/>
        <w:spacing w:before="0" w:beforeAutospacing="0" w:after="0" w:afterAutospacing="0" w:line="360" w:lineRule="auto"/>
        <w:ind w:firstLine="420"/>
        <w:rPr>
          <w:sz w:val="21"/>
          <w:szCs w:val="21"/>
        </w:rPr>
      </w:pPr>
      <w:bookmarkStart w:id="124" w:name="chapter_level1_11_60_section_6_end"/>
      <w:bookmarkEnd w:id="124"/>
      <w:r>
        <w:rPr>
          <w:rFonts w:hint="eastAsia"/>
          <w:sz w:val="21"/>
          <w:szCs w:val="21"/>
        </w:rPr>
        <w:t>由于四舍五入的原因，分项之和与合计项之间可能存在尾差。</w:t>
      </w:r>
      <w:bookmarkStart w:id="125" w:name="field_0_fundportfolio_1_end"/>
      <w:bookmarkEnd w:id="125"/>
      <w:r>
        <w:rPr>
          <w:rFonts w:hint="eastAsia"/>
          <w:sz w:val="21"/>
          <w:szCs w:val="21"/>
        </w:rPr>
        <w:t xml:space="preserve"> </w:t>
      </w:r>
    </w:p>
    <w:p w14:paraId="3FC765B3">
      <w:pPr>
        <w:widowControl/>
        <w:jc w:val="left"/>
        <w:rPr>
          <w:rFonts w:ascii="宋体" w:hAnsi="宋体" w:eastAsia="宋体"/>
        </w:rPr>
      </w:pPr>
      <w:r>
        <w:rPr>
          <w:rFonts w:ascii="宋体" w:hAnsi="宋体" w:eastAsia="宋体"/>
        </w:rPr>
        <w:br w:type="page"/>
      </w:r>
    </w:p>
    <w:p w14:paraId="4658C6D6">
      <w:pPr>
        <w:pStyle w:val="2"/>
        <w:jc w:val="center"/>
        <w:rPr>
          <w:rFonts w:ascii="宋体" w:hAnsi="宋体" w:eastAsia="宋体"/>
          <w:sz w:val="30"/>
        </w:rPr>
      </w:pPr>
      <w:bookmarkStart w:id="126" w:name="_Toc207948770"/>
      <w:bookmarkStart w:id="127" w:name="chapter_level1_12_3500"/>
      <w:r>
        <w:rPr>
          <w:rFonts w:hint="eastAsia" w:ascii="宋体" w:hAnsi="宋体" w:eastAsia="宋体"/>
          <w:sz w:val="30"/>
        </w:rPr>
        <w:t>第九部分 基金的业绩</w:t>
      </w:r>
      <w:bookmarkEnd w:id="126"/>
      <w:bookmarkEnd w:id="127"/>
    </w:p>
    <w:p w14:paraId="73DF3CC2">
      <w:pPr>
        <w:pStyle w:val="8"/>
        <w:spacing w:before="0" w:beforeAutospacing="0" w:after="0" w:afterAutospacing="0" w:line="360" w:lineRule="auto"/>
        <w:ind w:firstLine="420"/>
        <w:rPr>
          <w:sz w:val="21"/>
          <w:szCs w:val="21"/>
        </w:rPr>
      </w:pPr>
      <w:bookmarkStart w:id="128" w:name="chapter_level1_12_3500_section_1"/>
      <w:bookmarkEnd w:id="128"/>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25E36084">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2D5DD44D">
      <w:pPr>
        <w:pStyle w:val="8"/>
        <w:spacing w:before="0" w:beforeAutospacing="0" w:after="0" w:afterAutospacing="0" w:line="360" w:lineRule="auto"/>
        <w:ind w:firstLine="420"/>
        <w:rPr>
          <w:sz w:val="21"/>
          <w:szCs w:val="21"/>
        </w:rPr>
      </w:pPr>
      <w:bookmarkStart w:id="129" w:name="field_0_indatatable_1_start"/>
      <w:bookmarkEnd w:id="129"/>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846"/>
        <w:gridCol w:w="741"/>
      </w:tblGrid>
      <w:tr w14:paraId="163A2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12EECF">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4230FE1B">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71089AD7">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7B8F9B0C">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2BAECC2">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0F089B0C">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55F78808">
            <w:pPr>
              <w:jc w:val="center"/>
              <w:rPr>
                <w:rFonts w:ascii="宋体" w:hAnsi="宋体" w:eastAsia="宋体" w:cs="宋体"/>
                <w:sz w:val="24"/>
                <w:szCs w:val="24"/>
              </w:rPr>
            </w:pPr>
            <w:r>
              <w:rPr>
                <w:rFonts w:hint="eastAsia" w:ascii="宋体" w:hAnsi="宋体" w:eastAsia="宋体"/>
              </w:rPr>
              <w:t>②-④</w:t>
            </w:r>
          </w:p>
        </w:tc>
      </w:tr>
      <w:tr w14:paraId="01CB2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560D35">
            <w:pPr>
              <w:jc w:val="center"/>
              <w:rPr>
                <w:rFonts w:ascii="宋体" w:hAnsi="宋体" w:eastAsia="宋体" w:cs="宋体"/>
                <w:sz w:val="24"/>
                <w:szCs w:val="24"/>
              </w:rPr>
            </w:pPr>
            <w:r>
              <w:rPr>
                <w:rFonts w:hint="eastAsia" w:ascii="宋体" w:hAnsi="宋体" w:eastAsia="宋体"/>
              </w:rPr>
              <w:t>2019.11.19-2019.12.31</w:t>
            </w:r>
          </w:p>
        </w:tc>
        <w:tc>
          <w:tcPr>
            <w:tcW w:w="0" w:type="auto"/>
            <w:shd w:val="clear" w:color="auto" w:fill="auto"/>
          </w:tcPr>
          <w:p w14:paraId="1864E456">
            <w:pPr>
              <w:jc w:val="center"/>
              <w:rPr>
                <w:rFonts w:ascii="宋体" w:hAnsi="宋体" w:eastAsia="宋体" w:cs="宋体"/>
                <w:sz w:val="24"/>
                <w:szCs w:val="24"/>
              </w:rPr>
            </w:pPr>
            <w:r>
              <w:rPr>
                <w:rFonts w:hint="eastAsia" w:ascii="宋体" w:hAnsi="宋体" w:eastAsia="宋体"/>
              </w:rPr>
              <w:t>0.32%</w:t>
            </w:r>
          </w:p>
        </w:tc>
        <w:tc>
          <w:tcPr>
            <w:tcW w:w="0" w:type="auto"/>
            <w:shd w:val="clear" w:color="auto" w:fill="auto"/>
          </w:tcPr>
          <w:p w14:paraId="68DD9683">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17568A23">
            <w:pPr>
              <w:jc w:val="center"/>
              <w:rPr>
                <w:rFonts w:ascii="宋体" w:hAnsi="宋体" w:eastAsia="宋体" w:cs="宋体"/>
                <w:sz w:val="24"/>
                <w:szCs w:val="24"/>
              </w:rPr>
            </w:pPr>
            <w:r>
              <w:rPr>
                <w:rFonts w:hint="eastAsia" w:ascii="宋体" w:hAnsi="宋体" w:eastAsia="宋体"/>
              </w:rPr>
              <w:t>0.36%</w:t>
            </w:r>
          </w:p>
        </w:tc>
        <w:tc>
          <w:tcPr>
            <w:tcW w:w="0" w:type="auto"/>
            <w:shd w:val="clear" w:color="auto" w:fill="auto"/>
          </w:tcPr>
          <w:p w14:paraId="4B1B94E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3265C19F">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33F26B3">
            <w:pPr>
              <w:jc w:val="center"/>
              <w:rPr>
                <w:rFonts w:ascii="宋体" w:hAnsi="宋体" w:eastAsia="宋体" w:cs="宋体"/>
                <w:sz w:val="24"/>
                <w:szCs w:val="24"/>
              </w:rPr>
            </w:pPr>
            <w:r>
              <w:rPr>
                <w:rFonts w:hint="eastAsia" w:ascii="宋体" w:hAnsi="宋体" w:eastAsia="宋体"/>
              </w:rPr>
              <w:t>0.00%</w:t>
            </w:r>
          </w:p>
        </w:tc>
      </w:tr>
      <w:tr w14:paraId="6997F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0B0B7A">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53B2754A">
            <w:pPr>
              <w:jc w:val="center"/>
              <w:rPr>
                <w:rFonts w:ascii="宋体" w:hAnsi="宋体" w:eastAsia="宋体" w:cs="宋体"/>
                <w:sz w:val="24"/>
                <w:szCs w:val="24"/>
              </w:rPr>
            </w:pPr>
            <w:r>
              <w:rPr>
                <w:rFonts w:hint="eastAsia" w:ascii="宋体" w:hAnsi="宋体" w:eastAsia="宋体"/>
              </w:rPr>
              <w:t>3.11%</w:t>
            </w:r>
          </w:p>
        </w:tc>
        <w:tc>
          <w:tcPr>
            <w:tcW w:w="0" w:type="auto"/>
            <w:shd w:val="clear" w:color="auto" w:fill="auto"/>
          </w:tcPr>
          <w:p w14:paraId="0D81178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546510A2">
            <w:pPr>
              <w:jc w:val="center"/>
              <w:rPr>
                <w:rFonts w:ascii="宋体" w:hAnsi="宋体" w:eastAsia="宋体" w:cs="宋体"/>
                <w:sz w:val="24"/>
                <w:szCs w:val="24"/>
              </w:rPr>
            </w:pPr>
            <w:r>
              <w:rPr>
                <w:rFonts w:hint="eastAsia" w:ascii="宋体" w:hAnsi="宋体" w:eastAsia="宋体"/>
              </w:rPr>
              <w:t>3.03%</w:t>
            </w:r>
          </w:p>
        </w:tc>
        <w:tc>
          <w:tcPr>
            <w:tcW w:w="0" w:type="auto"/>
            <w:shd w:val="clear" w:color="auto" w:fill="auto"/>
          </w:tcPr>
          <w:p w14:paraId="6B5AAF66">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6291F45D">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79F492F7">
            <w:pPr>
              <w:jc w:val="center"/>
              <w:rPr>
                <w:rFonts w:ascii="宋体" w:hAnsi="宋体" w:eastAsia="宋体" w:cs="宋体"/>
                <w:sz w:val="24"/>
                <w:szCs w:val="24"/>
              </w:rPr>
            </w:pPr>
            <w:r>
              <w:rPr>
                <w:rFonts w:hint="eastAsia" w:ascii="宋体" w:hAnsi="宋体" w:eastAsia="宋体"/>
              </w:rPr>
              <w:t>0.00%</w:t>
            </w:r>
          </w:p>
        </w:tc>
      </w:tr>
      <w:tr w14:paraId="67E9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366A1F">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9D7E934">
            <w:pPr>
              <w:jc w:val="center"/>
              <w:rPr>
                <w:rFonts w:ascii="宋体" w:hAnsi="宋体" w:eastAsia="宋体" w:cs="宋体"/>
                <w:sz w:val="24"/>
                <w:szCs w:val="24"/>
              </w:rPr>
            </w:pPr>
            <w:r>
              <w:rPr>
                <w:rFonts w:hint="eastAsia" w:ascii="宋体" w:hAnsi="宋体" w:eastAsia="宋体"/>
              </w:rPr>
              <w:t>3.15%</w:t>
            </w:r>
          </w:p>
        </w:tc>
        <w:tc>
          <w:tcPr>
            <w:tcW w:w="0" w:type="auto"/>
            <w:shd w:val="clear" w:color="auto" w:fill="auto"/>
          </w:tcPr>
          <w:p w14:paraId="1CB88EF5">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7467F503">
            <w:pPr>
              <w:jc w:val="center"/>
              <w:rPr>
                <w:rFonts w:ascii="宋体" w:hAnsi="宋体" w:eastAsia="宋体" w:cs="宋体"/>
                <w:sz w:val="24"/>
                <w:szCs w:val="24"/>
              </w:rPr>
            </w:pPr>
            <w:r>
              <w:rPr>
                <w:rFonts w:hint="eastAsia" w:ascii="宋体" w:hAnsi="宋体" w:eastAsia="宋体"/>
              </w:rPr>
              <w:t>3.03%</w:t>
            </w:r>
          </w:p>
        </w:tc>
        <w:tc>
          <w:tcPr>
            <w:tcW w:w="0" w:type="auto"/>
            <w:shd w:val="clear" w:color="auto" w:fill="auto"/>
          </w:tcPr>
          <w:p w14:paraId="2DB8DE62">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36143350">
            <w:pPr>
              <w:jc w:val="center"/>
              <w:rPr>
                <w:rFonts w:ascii="宋体" w:hAnsi="宋体" w:eastAsia="宋体" w:cs="宋体"/>
                <w:sz w:val="24"/>
                <w:szCs w:val="24"/>
              </w:rPr>
            </w:pPr>
            <w:r>
              <w:rPr>
                <w:rFonts w:hint="eastAsia" w:ascii="宋体" w:hAnsi="宋体" w:eastAsia="宋体"/>
              </w:rPr>
              <w:t>0.12%</w:t>
            </w:r>
          </w:p>
        </w:tc>
        <w:tc>
          <w:tcPr>
            <w:tcW w:w="0" w:type="auto"/>
            <w:shd w:val="clear" w:color="auto" w:fill="auto"/>
          </w:tcPr>
          <w:p w14:paraId="4651033E">
            <w:pPr>
              <w:jc w:val="center"/>
              <w:rPr>
                <w:rFonts w:ascii="宋体" w:hAnsi="宋体" w:eastAsia="宋体" w:cs="宋体"/>
                <w:sz w:val="24"/>
                <w:szCs w:val="24"/>
              </w:rPr>
            </w:pPr>
            <w:r>
              <w:rPr>
                <w:rFonts w:hint="eastAsia" w:ascii="宋体" w:hAnsi="宋体" w:eastAsia="宋体"/>
              </w:rPr>
              <w:t>0.00%</w:t>
            </w:r>
          </w:p>
        </w:tc>
      </w:tr>
      <w:tr w14:paraId="79060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D68C03">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3D9158CA">
            <w:pPr>
              <w:jc w:val="center"/>
              <w:rPr>
                <w:rFonts w:ascii="宋体" w:hAnsi="宋体" w:eastAsia="宋体" w:cs="宋体"/>
                <w:sz w:val="24"/>
                <w:szCs w:val="24"/>
              </w:rPr>
            </w:pPr>
            <w:r>
              <w:rPr>
                <w:rFonts w:hint="eastAsia" w:ascii="宋体" w:hAnsi="宋体" w:eastAsia="宋体"/>
              </w:rPr>
              <w:t>3.10%</w:t>
            </w:r>
          </w:p>
        </w:tc>
        <w:tc>
          <w:tcPr>
            <w:tcW w:w="0" w:type="auto"/>
            <w:shd w:val="clear" w:color="auto" w:fill="auto"/>
          </w:tcPr>
          <w:p w14:paraId="023B70A7">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438987A5">
            <w:pPr>
              <w:jc w:val="center"/>
              <w:rPr>
                <w:rFonts w:ascii="宋体" w:hAnsi="宋体" w:eastAsia="宋体" w:cs="宋体"/>
                <w:sz w:val="24"/>
                <w:szCs w:val="24"/>
              </w:rPr>
            </w:pPr>
            <w:r>
              <w:rPr>
                <w:rFonts w:hint="eastAsia" w:ascii="宋体" w:hAnsi="宋体" w:eastAsia="宋体"/>
              </w:rPr>
              <w:t>3.03%</w:t>
            </w:r>
          </w:p>
        </w:tc>
        <w:tc>
          <w:tcPr>
            <w:tcW w:w="0" w:type="auto"/>
            <w:shd w:val="clear" w:color="auto" w:fill="auto"/>
          </w:tcPr>
          <w:p w14:paraId="750014AA">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4A96D47F">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0C32F2B7">
            <w:pPr>
              <w:jc w:val="center"/>
              <w:rPr>
                <w:rFonts w:ascii="宋体" w:hAnsi="宋体" w:eastAsia="宋体" w:cs="宋体"/>
                <w:sz w:val="24"/>
                <w:szCs w:val="24"/>
              </w:rPr>
            </w:pPr>
            <w:r>
              <w:rPr>
                <w:rFonts w:hint="eastAsia" w:ascii="宋体" w:hAnsi="宋体" w:eastAsia="宋体"/>
              </w:rPr>
              <w:t>0.00%</w:t>
            </w:r>
          </w:p>
        </w:tc>
      </w:tr>
      <w:tr w14:paraId="6A552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1154EA">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4109EC52">
            <w:pPr>
              <w:jc w:val="center"/>
              <w:rPr>
                <w:rFonts w:ascii="宋体" w:hAnsi="宋体" w:eastAsia="宋体" w:cs="宋体"/>
                <w:sz w:val="24"/>
                <w:szCs w:val="24"/>
              </w:rPr>
            </w:pPr>
            <w:r>
              <w:rPr>
                <w:rFonts w:hint="eastAsia" w:ascii="宋体" w:hAnsi="宋体" w:eastAsia="宋体"/>
              </w:rPr>
              <w:t>2.53%</w:t>
            </w:r>
          </w:p>
        </w:tc>
        <w:tc>
          <w:tcPr>
            <w:tcW w:w="0" w:type="auto"/>
            <w:shd w:val="clear" w:color="auto" w:fill="auto"/>
          </w:tcPr>
          <w:p w14:paraId="5AE5C76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3C1F4B46">
            <w:pPr>
              <w:jc w:val="center"/>
              <w:rPr>
                <w:rFonts w:ascii="宋体" w:hAnsi="宋体" w:eastAsia="宋体" w:cs="宋体"/>
                <w:sz w:val="24"/>
                <w:szCs w:val="24"/>
              </w:rPr>
            </w:pPr>
            <w:r>
              <w:rPr>
                <w:rFonts w:hint="eastAsia" w:ascii="宋体" w:hAnsi="宋体" w:eastAsia="宋体"/>
              </w:rPr>
              <w:t>3.03%</w:t>
            </w:r>
          </w:p>
        </w:tc>
        <w:tc>
          <w:tcPr>
            <w:tcW w:w="0" w:type="auto"/>
            <w:shd w:val="clear" w:color="auto" w:fill="auto"/>
          </w:tcPr>
          <w:p w14:paraId="4D403DA4">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31B87153">
            <w:pPr>
              <w:jc w:val="center"/>
              <w:rPr>
                <w:rFonts w:ascii="宋体" w:hAnsi="宋体" w:eastAsia="宋体" w:cs="宋体"/>
                <w:sz w:val="24"/>
                <w:szCs w:val="24"/>
              </w:rPr>
            </w:pPr>
            <w:r>
              <w:rPr>
                <w:rFonts w:hint="eastAsia" w:ascii="宋体" w:hAnsi="宋体" w:eastAsia="宋体"/>
              </w:rPr>
              <w:t>-0.50%</w:t>
            </w:r>
          </w:p>
        </w:tc>
        <w:tc>
          <w:tcPr>
            <w:tcW w:w="0" w:type="auto"/>
            <w:shd w:val="clear" w:color="auto" w:fill="auto"/>
          </w:tcPr>
          <w:p w14:paraId="6C4A3CC1">
            <w:pPr>
              <w:jc w:val="center"/>
              <w:rPr>
                <w:rFonts w:ascii="宋体" w:hAnsi="宋体" w:eastAsia="宋体" w:cs="宋体"/>
                <w:sz w:val="24"/>
                <w:szCs w:val="24"/>
              </w:rPr>
            </w:pPr>
            <w:r>
              <w:rPr>
                <w:rFonts w:hint="eastAsia" w:ascii="宋体" w:hAnsi="宋体" w:eastAsia="宋体"/>
              </w:rPr>
              <w:t>0.00%</w:t>
            </w:r>
          </w:p>
        </w:tc>
      </w:tr>
      <w:tr w14:paraId="5DCF6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144478">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784EA2A9">
            <w:pPr>
              <w:jc w:val="center"/>
              <w:rPr>
                <w:rFonts w:ascii="宋体" w:hAnsi="宋体" w:eastAsia="宋体" w:cs="宋体"/>
                <w:sz w:val="24"/>
                <w:szCs w:val="24"/>
              </w:rPr>
            </w:pPr>
            <w:r>
              <w:rPr>
                <w:rFonts w:hint="eastAsia" w:ascii="宋体" w:hAnsi="宋体" w:eastAsia="宋体"/>
              </w:rPr>
              <w:t>2.99%</w:t>
            </w:r>
          </w:p>
        </w:tc>
        <w:tc>
          <w:tcPr>
            <w:tcW w:w="0" w:type="auto"/>
            <w:shd w:val="clear" w:color="auto" w:fill="auto"/>
          </w:tcPr>
          <w:p w14:paraId="1A489399">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5B9DDE83">
            <w:pPr>
              <w:jc w:val="center"/>
              <w:rPr>
                <w:rFonts w:ascii="宋体" w:hAnsi="宋体" w:eastAsia="宋体" w:cs="宋体"/>
                <w:sz w:val="24"/>
                <w:szCs w:val="24"/>
              </w:rPr>
            </w:pPr>
            <w:r>
              <w:rPr>
                <w:rFonts w:hint="eastAsia" w:ascii="宋体" w:hAnsi="宋体" w:eastAsia="宋体"/>
              </w:rPr>
              <w:t>3.03%</w:t>
            </w:r>
          </w:p>
        </w:tc>
        <w:tc>
          <w:tcPr>
            <w:tcW w:w="0" w:type="auto"/>
            <w:shd w:val="clear" w:color="auto" w:fill="auto"/>
          </w:tcPr>
          <w:p w14:paraId="36A082BB">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015BA9A5">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0ABBF476">
            <w:pPr>
              <w:jc w:val="center"/>
              <w:rPr>
                <w:rFonts w:ascii="宋体" w:hAnsi="宋体" w:eastAsia="宋体" w:cs="宋体"/>
                <w:sz w:val="24"/>
                <w:szCs w:val="24"/>
              </w:rPr>
            </w:pPr>
            <w:r>
              <w:rPr>
                <w:rFonts w:hint="eastAsia" w:ascii="宋体" w:hAnsi="宋体" w:eastAsia="宋体"/>
              </w:rPr>
              <w:t>0.00%</w:t>
            </w:r>
          </w:p>
        </w:tc>
      </w:tr>
      <w:tr w14:paraId="1B56C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1DAFBF">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214F45F2">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14:paraId="6ACC8DFC">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33F73FE0">
            <w:pPr>
              <w:jc w:val="center"/>
              <w:rPr>
                <w:rFonts w:ascii="宋体" w:hAnsi="宋体" w:eastAsia="宋体" w:cs="宋体"/>
                <w:sz w:val="24"/>
                <w:szCs w:val="24"/>
              </w:rPr>
            </w:pPr>
            <w:r>
              <w:rPr>
                <w:rFonts w:hint="eastAsia" w:ascii="宋体" w:hAnsi="宋体" w:eastAsia="宋体"/>
              </w:rPr>
              <w:t>1.50%</w:t>
            </w:r>
          </w:p>
        </w:tc>
        <w:tc>
          <w:tcPr>
            <w:tcW w:w="0" w:type="auto"/>
            <w:shd w:val="clear" w:color="auto" w:fill="auto"/>
          </w:tcPr>
          <w:p w14:paraId="132512AC">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4375153B">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6D00CFFC">
            <w:pPr>
              <w:jc w:val="center"/>
              <w:rPr>
                <w:rFonts w:ascii="宋体" w:hAnsi="宋体" w:eastAsia="宋体" w:cs="宋体"/>
                <w:sz w:val="24"/>
                <w:szCs w:val="24"/>
              </w:rPr>
            </w:pPr>
            <w:r>
              <w:rPr>
                <w:rFonts w:hint="eastAsia" w:ascii="宋体" w:hAnsi="宋体" w:eastAsia="宋体"/>
              </w:rPr>
              <w:t>0.00%</w:t>
            </w:r>
          </w:p>
        </w:tc>
      </w:tr>
      <w:tr w14:paraId="35FF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DEB042">
            <w:pPr>
              <w:jc w:val="center"/>
              <w:rPr>
                <w:rFonts w:ascii="宋体" w:hAnsi="宋体" w:eastAsia="宋体" w:cs="宋体"/>
                <w:sz w:val="24"/>
                <w:szCs w:val="24"/>
              </w:rPr>
            </w:pPr>
            <w:r>
              <w:rPr>
                <w:rFonts w:hint="eastAsia" w:ascii="宋体" w:hAnsi="宋体" w:eastAsia="宋体"/>
              </w:rPr>
              <w:t>2019.11.19-2025.06.30</w:t>
            </w:r>
          </w:p>
        </w:tc>
        <w:tc>
          <w:tcPr>
            <w:tcW w:w="0" w:type="auto"/>
            <w:shd w:val="clear" w:color="auto" w:fill="auto"/>
          </w:tcPr>
          <w:p w14:paraId="0A33EA10">
            <w:pPr>
              <w:jc w:val="center"/>
              <w:rPr>
                <w:rFonts w:ascii="宋体" w:hAnsi="宋体" w:eastAsia="宋体" w:cs="宋体"/>
                <w:sz w:val="24"/>
                <w:szCs w:val="24"/>
              </w:rPr>
            </w:pPr>
            <w:r>
              <w:rPr>
                <w:rFonts w:hint="eastAsia" w:ascii="宋体" w:hAnsi="宋体" w:eastAsia="宋体"/>
              </w:rPr>
              <w:t>17.92%</w:t>
            </w:r>
          </w:p>
        </w:tc>
        <w:tc>
          <w:tcPr>
            <w:tcW w:w="0" w:type="auto"/>
            <w:shd w:val="clear" w:color="auto" w:fill="auto"/>
          </w:tcPr>
          <w:p w14:paraId="41A8FF8D">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257F93F1">
            <w:pPr>
              <w:jc w:val="center"/>
              <w:rPr>
                <w:rFonts w:ascii="宋体" w:hAnsi="宋体" w:eastAsia="宋体" w:cs="宋体"/>
                <w:sz w:val="24"/>
                <w:szCs w:val="24"/>
              </w:rPr>
            </w:pPr>
            <w:r>
              <w:rPr>
                <w:rFonts w:hint="eastAsia" w:ascii="宋体" w:hAnsi="宋体" w:eastAsia="宋体"/>
              </w:rPr>
              <w:t>16.98%</w:t>
            </w:r>
          </w:p>
        </w:tc>
        <w:tc>
          <w:tcPr>
            <w:tcW w:w="0" w:type="auto"/>
            <w:shd w:val="clear" w:color="auto" w:fill="auto"/>
          </w:tcPr>
          <w:p w14:paraId="15BAF99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01A2354A">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14:paraId="1D9B4412">
            <w:pPr>
              <w:jc w:val="center"/>
              <w:rPr>
                <w:rFonts w:ascii="宋体" w:hAnsi="宋体" w:eastAsia="宋体" w:cs="宋体"/>
                <w:sz w:val="24"/>
                <w:szCs w:val="24"/>
              </w:rPr>
            </w:pPr>
            <w:r>
              <w:rPr>
                <w:rFonts w:hint="eastAsia" w:ascii="宋体" w:hAnsi="宋体" w:eastAsia="宋体"/>
              </w:rPr>
              <w:t>0.00%</w:t>
            </w:r>
          </w:p>
        </w:tc>
      </w:tr>
    </w:tbl>
    <w:p w14:paraId="6D3941F0">
      <w:pPr>
        <w:pStyle w:val="8"/>
        <w:spacing w:before="0" w:beforeAutospacing="0" w:after="0" w:afterAutospacing="0" w:line="360" w:lineRule="auto"/>
        <w:ind w:firstLine="420"/>
        <w:rPr>
          <w:sz w:val="21"/>
          <w:szCs w:val="21"/>
        </w:rPr>
      </w:pPr>
      <w:bookmarkStart w:id="130" w:name="chapter_level1_12_3500_section_1_end"/>
      <w:bookmarkEnd w:id="130"/>
      <w:bookmarkStart w:id="131" w:name="field_0_indatatable_1_end"/>
      <w:bookmarkEnd w:id="131"/>
      <w:r>
        <w:rPr>
          <w:rFonts w:hint="eastAsia"/>
          <w:sz w:val="21"/>
          <w:szCs w:val="21"/>
        </w:rPr>
        <w:t xml:space="preserve">  </w:t>
      </w:r>
    </w:p>
    <w:p w14:paraId="53E2754F">
      <w:pPr>
        <w:widowControl/>
        <w:jc w:val="left"/>
        <w:rPr>
          <w:rFonts w:ascii="宋体" w:hAnsi="宋体" w:eastAsia="宋体"/>
        </w:rPr>
      </w:pPr>
      <w:r>
        <w:rPr>
          <w:rFonts w:ascii="宋体" w:hAnsi="宋体" w:eastAsia="宋体"/>
        </w:rPr>
        <w:br w:type="page"/>
      </w:r>
    </w:p>
    <w:p w14:paraId="039C5A81">
      <w:pPr>
        <w:pStyle w:val="2"/>
        <w:jc w:val="center"/>
        <w:rPr>
          <w:rFonts w:ascii="宋体" w:hAnsi="宋体" w:eastAsia="宋体"/>
          <w:sz w:val="30"/>
        </w:rPr>
      </w:pPr>
      <w:bookmarkStart w:id="132" w:name="chapter_level1_13_62"/>
      <w:bookmarkStart w:id="133" w:name="_Toc207948771"/>
      <w:r>
        <w:rPr>
          <w:rFonts w:hint="eastAsia" w:ascii="宋体" w:hAnsi="宋体" w:eastAsia="宋体"/>
          <w:sz w:val="30"/>
        </w:rPr>
        <w:t>第十部分  基金的财产</w:t>
      </w:r>
      <w:bookmarkEnd w:id="132"/>
      <w:bookmarkEnd w:id="133"/>
    </w:p>
    <w:p w14:paraId="3D154D5D">
      <w:pPr>
        <w:pStyle w:val="8"/>
        <w:spacing w:before="0" w:beforeAutospacing="0" w:after="0" w:afterAutospacing="0" w:line="360" w:lineRule="auto"/>
        <w:ind w:firstLine="420"/>
        <w:rPr>
          <w:sz w:val="21"/>
          <w:szCs w:val="21"/>
        </w:rPr>
      </w:pPr>
      <w:bookmarkStart w:id="134" w:name="chapter_level1_13_62_section_1"/>
      <w:bookmarkEnd w:id="134"/>
      <w:r>
        <w:rPr>
          <w:rStyle w:val="12"/>
          <w:rFonts w:hint="eastAsia"/>
          <w:sz w:val="21"/>
          <w:szCs w:val="21"/>
        </w:rPr>
        <w:t>一、基金资产总值</w:t>
      </w:r>
    </w:p>
    <w:p w14:paraId="2DEAB657">
      <w:pPr>
        <w:pStyle w:val="8"/>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79B86D9C">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79393D67">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1C421A8D">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25B02525">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5A1578F9">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14:paraId="0EB93EE2">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246ECDD5">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5" w:name="chapter_level1_13_62_section_1_end"/>
      <w:bookmarkEnd w:id="135"/>
      <w:r>
        <w:rPr>
          <w:rFonts w:hint="eastAsia"/>
          <w:sz w:val="21"/>
          <w:szCs w:val="21"/>
        </w:rPr>
        <w:t xml:space="preserve">得相互抵销。非因基金财产本身承担的债务，不得对基金财产强制执行。 </w:t>
      </w:r>
    </w:p>
    <w:p w14:paraId="194FEC27">
      <w:pPr>
        <w:widowControl/>
        <w:jc w:val="left"/>
        <w:rPr>
          <w:rFonts w:ascii="宋体" w:hAnsi="宋体" w:eastAsia="宋体"/>
        </w:rPr>
      </w:pPr>
      <w:r>
        <w:rPr>
          <w:rFonts w:ascii="宋体" w:hAnsi="宋体" w:eastAsia="宋体"/>
        </w:rPr>
        <w:br w:type="page"/>
      </w:r>
    </w:p>
    <w:p w14:paraId="0005C977">
      <w:pPr>
        <w:pStyle w:val="2"/>
        <w:jc w:val="center"/>
        <w:rPr>
          <w:rFonts w:ascii="宋体" w:hAnsi="宋体" w:eastAsia="宋体"/>
          <w:sz w:val="30"/>
        </w:rPr>
      </w:pPr>
      <w:bookmarkStart w:id="136" w:name="_Toc207948772"/>
      <w:bookmarkStart w:id="137" w:name="chapter_level1_14_63"/>
      <w:r>
        <w:rPr>
          <w:rFonts w:hint="eastAsia" w:ascii="宋体" w:hAnsi="宋体" w:eastAsia="宋体"/>
          <w:sz w:val="30"/>
        </w:rPr>
        <w:t>第十一部分  基金资产的估值</w:t>
      </w:r>
      <w:bookmarkEnd w:id="136"/>
      <w:bookmarkEnd w:id="137"/>
    </w:p>
    <w:p w14:paraId="7D27D321">
      <w:pPr>
        <w:pStyle w:val="8"/>
        <w:spacing w:before="0" w:beforeAutospacing="0" w:after="0" w:afterAutospacing="0" w:line="360" w:lineRule="auto"/>
        <w:ind w:firstLine="420"/>
        <w:rPr>
          <w:sz w:val="21"/>
          <w:szCs w:val="21"/>
        </w:rPr>
      </w:pPr>
      <w:bookmarkStart w:id="138" w:name="chapter_level1_14_63_section_1"/>
      <w:bookmarkEnd w:id="138"/>
      <w:r>
        <w:rPr>
          <w:rStyle w:val="12"/>
          <w:rFonts w:hint="eastAsia"/>
          <w:sz w:val="21"/>
          <w:szCs w:val="21"/>
        </w:rPr>
        <w:t>一、估值日</w:t>
      </w:r>
    </w:p>
    <w:p w14:paraId="3730B455">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5EA20786">
      <w:pPr>
        <w:pStyle w:val="8"/>
        <w:spacing w:before="0" w:beforeAutospacing="0" w:after="0" w:afterAutospacing="0" w:line="360" w:lineRule="auto"/>
        <w:ind w:firstLine="420"/>
        <w:rPr>
          <w:sz w:val="21"/>
          <w:szCs w:val="21"/>
        </w:rPr>
      </w:pPr>
      <w:r>
        <w:rPr>
          <w:rStyle w:val="12"/>
          <w:rFonts w:hint="eastAsia"/>
          <w:sz w:val="21"/>
          <w:szCs w:val="21"/>
        </w:rPr>
        <w:t>二、估值对象</w:t>
      </w:r>
    </w:p>
    <w:p w14:paraId="43CC9AD4">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4BA1C3A8">
      <w:pPr>
        <w:pStyle w:val="8"/>
        <w:spacing w:before="0" w:beforeAutospacing="0" w:after="0" w:afterAutospacing="0" w:line="360" w:lineRule="auto"/>
        <w:ind w:firstLine="420"/>
        <w:rPr>
          <w:sz w:val="21"/>
          <w:szCs w:val="21"/>
        </w:rPr>
      </w:pPr>
      <w:r>
        <w:rPr>
          <w:rStyle w:val="12"/>
          <w:rFonts w:hint="eastAsia"/>
          <w:sz w:val="21"/>
          <w:szCs w:val="21"/>
        </w:rPr>
        <w:t>三、估值方法</w:t>
      </w:r>
    </w:p>
    <w:p w14:paraId="3BE4722C">
      <w:pPr>
        <w:pStyle w:val="8"/>
        <w:spacing w:before="0" w:beforeAutospacing="0" w:after="0" w:afterAutospacing="0" w:line="360" w:lineRule="auto"/>
        <w:ind w:firstLine="420"/>
        <w:rPr>
          <w:sz w:val="21"/>
          <w:szCs w:val="21"/>
        </w:rPr>
      </w:pPr>
      <w:r>
        <w:rPr>
          <w:rFonts w:hint="eastAsia"/>
          <w:sz w:val="21"/>
          <w:szCs w:val="21"/>
        </w:rPr>
        <w:t xml:space="preserve">1、 本基金估值采用摊余成本法，即计价对象以买入成本列示，按票面利率或协议利率并考虑其买入时的溢价与折价，在其剩余存续期内按照实际利率法进行摊销，每日计提损益。本基金不采用市场利率和上市交易的债券和票据的市价计算基金资产净值，不采取固定单位基金份额净值。 </w:t>
      </w:r>
    </w:p>
    <w:p w14:paraId="67976F60">
      <w:pPr>
        <w:pStyle w:val="8"/>
        <w:spacing w:before="0" w:beforeAutospacing="0" w:after="0" w:afterAutospacing="0" w:line="360" w:lineRule="auto"/>
        <w:ind w:firstLine="420"/>
        <w:rPr>
          <w:sz w:val="21"/>
          <w:szCs w:val="21"/>
        </w:rPr>
      </w:pPr>
      <w:r>
        <w:rPr>
          <w:rFonts w:hint="eastAsia"/>
          <w:sz w:val="21"/>
          <w:szCs w:val="21"/>
        </w:rPr>
        <w:t xml:space="preserve">2、 债券回购以协议成本列示，按协议商定利率在实际持有期内逐日计提利息。 </w:t>
      </w:r>
    </w:p>
    <w:p w14:paraId="11255AE6">
      <w:pPr>
        <w:pStyle w:val="8"/>
        <w:spacing w:before="0" w:beforeAutospacing="0" w:after="0" w:afterAutospacing="0" w:line="360" w:lineRule="auto"/>
        <w:ind w:firstLine="420"/>
        <w:rPr>
          <w:sz w:val="21"/>
          <w:szCs w:val="21"/>
        </w:rPr>
      </w:pPr>
      <w:r>
        <w:rPr>
          <w:rFonts w:hint="eastAsia"/>
          <w:sz w:val="21"/>
          <w:szCs w:val="21"/>
        </w:rPr>
        <w:t xml:space="preserve">3、 银行存款以本金列示，按银行实际协议利率逐日计提利息。 </w:t>
      </w:r>
    </w:p>
    <w:p w14:paraId="16E97006">
      <w:pPr>
        <w:pStyle w:val="8"/>
        <w:spacing w:before="0" w:beforeAutospacing="0" w:after="0" w:afterAutospacing="0" w:line="360" w:lineRule="auto"/>
        <w:ind w:firstLine="420"/>
        <w:rPr>
          <w:sz w:val="21"/>
          <w:szCs w:val="21"/>
        </w:rPr>
      </w:pPr>
      <w:r>
        <w:rPr>
          <w:rFonts w:hint="eastAsia"/>
          <w:sz w:val="21"/>
          <w:szCs w:val="21"/>
        </w:rPr>
        <w:t xml:space="preserve">4、 基金应当按照企业会计准则的要求，评估金融资产是否发生减值，如有客观证据表明其发生减值的，应当计提减值准备。 </w:t>
      </w:r>
    </w:p>
    <w:p w14:paraId="7F6D5B74">
      <w:pPr>
        <w:pStyle w:val="8"/>
        <w:spacing w:before="0" w:beforeAutospacing="0" w:after="0" w:afterAutospacing="0" w:line="360" w:lineRule="auto"/>
        <w:ind w:firstLine="420"/>
        <w:rPr>
          <w:sz w:val="21"/>
          <w:szCs w:val="21"/>
        </w:rPr>
      </w:pPr>
      <w:r>
        <w:rPr>
          <w:rFonts w:hint="eastAsia"/>
          <w:sz w:val="21"/>
          <w:szCs w:val="21"/>
        </w:rPr>
        <w:t xml:space="preserve">5、 当发生大额申购或赎回情形时，基金管理人可以采用摆动定价机制，以确保基金估值的公平性。 </w:t>
      </w:r>
    </w:p>
    <w:p w14:paraId="3D12B01A">
      <w:pPr>
        <w:pStyle w:val="8"/>
        <w:spacing w:before="0" w:beforeAutospacing="0" w:after="0" w:afterAutospacing="0" w:line="360" w:lineRule="auto"/>
        <w:ind w:firstLine="420"/>
        <w:rPr>
          <w:sz w:val="21"/>
          <w:szCs w:val="21"/>
        </w:rPr>
      </w:pPr>
      <w:r>
        <w:rPr>
          <w:rFonts w:hint="eastAsia"/>
          <w:sz w:val="21"/>
          <w:szCs w:val="21"/>
        </w:rPr>
        <w:t xml:space="preserve">6、 如有确凿证据表明本基金在封闭期内买入持有至到期的投资策略发生变化或其他原因，导致按原有摊余成本法估值不能客观反映上述资产或负债于开放期内的公允价值的，基金管理人可根据具体情况与基金托管人商定后，按最能反映上述资产或负债于开放期内的公允价值的方法估值。为最大限度保护基金份额持有人利益，基金管理人可采用的风险控制手段包括但不限于：处置信用风险显著增加的固定收益品种、及时评估和计提固定收益品种减值损失、封闭期到期暂停进入下一开放期、于开放期内改按公允价值计算基金份额净值等。 </w:t>
      </w:r>
    </w:p>
    <w:p w14:paraId="426E6559">
      <w:pPr>
        <w:pStyle w:val="8"/>
        <w:spacing w:before="0" w:beforeAutospacing="0" w:after="0" w:afterAutospacing="0" w:line="360" w:lineRule="auto"/>
        <w:ind w:firstLine="420"/>
        <w:rPr>
          <w:sz w:val="21"/>
          <w:szCs w:val="21"/>
        </w:rPr>
      </w:pPr>
      <w:r>
        <w:rPr>
          <w:rFonts w:hint="eastAsia"/>
          <w:sz w:val="21"/>
          <w:szCs w:val="21"/>
        </w:rPr>
        <w:t xml:space="preserve">7、 相关法律法规以及监管部门有强制规定的，从其规定。如有新增事项，按国家最新规定估值。 </w:t>
      </w:r>
    </w:p>
    <w:p w14:paraId="5A5178FB">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5EE69F7E">
      <w:pPr>
        <w:pStyle w:val="8"/>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9" w:name="chapter_level1_14_63_section_1_end"/>
      <w:bookmarkEnd w:id="139"/>
      <w:r>
        <w:rPr>
          <w:rFonts w:hint="eastAsia"/>
          <w:sz w:val="21"/>
          <w:szCs w:val="21"/>
        </w:rPr>
        <w:t xml:space="preserve">对外予以公布。 </w:t>
      </w:r>
    </w:p>
    <w:p w14:paraId="6DEFCA72">
      <w:pPr>
        <w:pStyle w:val="8"/>
        <w:spacing w:before="0" w:beforeAutospacing="0" w:after="0" w:afterAutospacing="0" w:line="360" w:lineRule="auto"/>
        <w:ind w:firstLine="420"/>
        <w:rPr>
          <w:sz w:val="21"/>
          <w:szCs w:val="21"/>
        </w:rPr>
      </w:pPr>
      <w:bookmarkStart w:id="140" w:name="chapter_level1_14_63_section_2"/>
      <w:bookmarkEnd w:id="140"/>
      <w:r>
        <w:rPr>
          <w:rStyle w:val="12"/>
          <w:rFonts w:hint="eastAsia"/>
          <w:sz w:val="21"/>
          <w:szCs w:val="21"/>
        </w:rPr>
        <w:t>四、估值程序</w:t>
      </w:r>
    </w:p>
    <w:p w14:paraId="31C2C074">
      <w:pPr>
        <w:pStyle w:val="8"/>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41" w:name="field_63_netdecimalvalue_1"/>
      <w:r>
        <w:rPr>
          <w:sz w:val="21"/>
          <w:szCs w:val="21"/>
        </w:rPr>
        <w:t>0.0001</w:t>
      </w:r>
      <w:bookmarkEnd w:id="141"/>
      <w:r>
        <w:rPr>
          <w:rFonts w:hint="eastAsia"/>
          <w:sz w:val="21"/>
          <w:szCs w:val="21"/>
        </w:rPr>
        <w:t>元，小数点后第</w:t>
      </w:r>
      <w:bookmarkStart w:id="142" w:name="field_0_netdecimaladd1_1"/>
      <w:r>
        <w:rPr>
          <w:sz w:val="21"/>
          <w:szCs w:val="21"/>
        </w:rPr>
        <w:t>5</w:t>
      </w:r>
      <w:bookmarkEnd w:id="142"/>
      <w:r>
        <w:rPr>
          <w:rFonts w:hint="eastAsia"/>
          <w:sz w:val="21"/>
          <w:szCs w:val="21"/>
        </w:rPr>
        <w:t xml:space="preserve">位四舍五入。基金管理人可以设立大额赎回情形下的净值精度应急调整机制。国家另有规定的，从其规定。 </w:t>
      </w:r>
    </w:p>
    <w:p w14:paraId="1731D946">
      <w:pPr>
        <w:pStyle w:val="8"/>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基金管理人应每个工作日计算基金资产净值及基金份额净值，并按规定公告。 </w:t>
      </w:r>
    </w:p>
    <w:p w14:paraId="347AEDFB">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07579A13">
      <w:pPr>
        <w:pStyle w:val="8"/>
        <w:spacing w:before="0" w:beforeAutospacing="0" w:after="0" w:afterAutospacing="0" w:line="360" w:lineRule="auto"/>
        <w:ind w:firstLine="420"/>
        <w:rPr>
          <w:sz w:val="21"/>
          <w:szCs w:val="21"/>
        </w:rPr>
      </w:pPr>
      <w:r>
        <w:rPr>
          <w:rStyle w:val="12"/>
          <w:rFonts w:hint="eastAsia"/>
          <w:sz w:val="21"/>
          <w:szCs w:val="21"/>
        </w:rPr>
        <w:t>五、估值错误的处理</w:t>
      </w:r>
    </w:p>
    <w:p w14:paraId="6545CAE3">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43" w:name="field_63_netdecimal_1"/>
      <w:r>
        <w:rPr>
          <w:sz w:val="21"/>
          <w:szCs w:val="21"/>
        </w:rPr>
        <w:t>4</w:t>
      </w:r>
      <w:bookmarkEnd w:id="143"/>
      <w:r>
        <w:rPr>
          <w:rFonts w:hint="eastAsia"/>
          <w:sz w:val="21"/>
          <w:szCs w:val="21"/>
        </w:rPr>
        <w:t>位以内（含第</w:t>
      </w:r>
      <w:bookmarkStart w:id="144" w:name="field_63_netdecimal_2"/>
      <w:r>
        <w:rPr>
          <w:sz w:val="21"/>
          <w:szCs w:val="21"/>
        </w:rPr>
        <w:t>4</w:t>
      </w:r>
      <w:bookmarkEnd w:id="144"/>
      <w:r>
        <w:rPr>
          <w:rFonts w:hint="eastAsia"/>
          <w:sz w:val="21"/>
          <w:szCs w:val="21"/>
        </w:rPr>
        <w:t xml:space="preserve">位）发生估值错误时，视为基金份额净值错误。基金合同的当事人应按照以下约定处理： </w:t>
      </w:r>
    </w:p>
    <w:p w14:paraId="723F19E4">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3095228D">
      <w:pPr>
        <w:pStyle w:val="8"/>
        <w:spacing w:before="0" w:beforeAutospacing="0" w:after="0" w:afterAutospacing="0" w:line="360" w:lineRule="auto"/>
        <w:ind w:firstLine="420"/>
        <w:rPr>
          <w:sz w:val="21"/>
          <w:szCs w:val="21"/>
        </w:rPr>
      </w:pPr>
      <w:r>
        <w:rPr>
          <w:rFonts w:hint="eastAsia"/>
          <w:sz w:val="21"/>
          <w:szCs w:val="21"/>
        </w:rPr>
        <w:t xml:space="preserve">本 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上述估值错误的主要类型包括但不限于：资料申报差错、数据传输差错、数据计算差错、系统故障差错、下达指令差错等。 </w:t>
      </w:r>
    </w:p>
    <w:p w14:paraId="0C05B73D">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482101FB">
      <w:pPr>
        <w:pStyle w:val="8"/>
        <w:spacing w:before="0" w:beforeAutospacing="0" w:after="0" w:afterAutospacing="0" w:line="360" w:lineRule="auto"/>
        <w:ind w:firstLine="420"/>
        <w:rPr>
          <w:sz w:val="21"/>
          <w:szCs w:val="21"/>
        </w:rPr>
      </w:pPr>
      <w:r>
        <w:rPr>
          <w:rFonts w:hint="eastAsia"/>
          <w:sz w:val="21"/>
          <w:szCs w:val="21"/>
        </w:rPr>
        <w:t xml:space="preserve">（1） 估值错误已发生，但尚未给当事人造成损失时，估值错误责任方应及时协调各方，及时进行更正，因更正估值错误发生的费用由估值错误责任方承担；由于估值错误 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1C7FA99A">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4B277289">
      <w:pPr>
        <w:pStyle w:val="8"/>
        <w:spacing w:before="0" w:beforeAutospacing="0" w:after="0" w:afterAutospacing="0" w:line="360" w:lineRule="auto"/>
        <w:ind w:firstLine="420"/>
        <w:rPr>
          <w:sz w:val="21"/>
          <w:szCs w:val="21"/>
        </w:rPr>
      </w:pPr>
      <w:r>
        <w:rPr>
          <w:rFonts w:hint="eastAsia"/>
          <w:sz w:val="21"/>
          <w:szCs w:val="21"/>
        </w:rPr>
        <w:t xml:space="preserve">（3） 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 不当得利的权利；如果获得不当得利的当事人已经将此部分不当得利返还给受损方，则受损方应当将其已经获得的赔偿额加上已经获得的不当得利返还的总和超过其 实际损失的差额部分支付给估值错误责任方。 </w:t>
      </w:r>
    </w:p>
    <w:p w14:paraId="0D8A845C">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4A252AF1">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37FDEE05">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0BD43088">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02FA9E5A">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0417009">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5A2EB59C">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0EE7D36B">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36D54E01">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0D1B150C">
      <w:pPr>
        <w:pStyle w:val="8"/>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7B680984">
      <w:pPr>
        <w:pStyle w:val="8"/>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3814B043">
      <w:pPr>
        <w:pStyle w:val="8"/>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（4）前述内容如法律法规或监管机关另有规定的，从其规定处理。如果行业另有通行做法，基金管理人和基金托管人应本着平等和保护基金份额持有人利益的原则进行协商。 </w:t>
      </w:r>
    </w:p>
    <w:p w14:paraId="08BFDC2E">
      <w:pPr>
        <w:pStyle w:val="8"/>
        <w:spacing w:before="0" w:beforeAutospacing="0" w:after="0" w:afterAutospacing="0" w:line="360" w:lineRule="auto"/>
        <w:ind w:firstLine="420"/>
        <w:rPr>
          <w:sz w:val="21"/>
          <w:szCs w:val="21"/>
        </w:rPr>
      </w:pPr>
      <w:r>
        <w:rPr>
          <w:rStyle w:val="12"/>
          <w:rFonts w:hint="eastAsia"/>
          <w:sz w:val="21"/>
          <w:szCs w:val="21"/>
        </w:rPr>
        <w:t>六、暂停估值的情形</w:t>
      </w:r>
    </w:p>
    <w:p w14:paraId="75A2F434">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14:paraId="24411770">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1E5D46FB">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3267E148">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2A8A0016">
      <w:pPr>
        <w:pStyle w:val="8"/>
        <w:spacing w:before="0" w:beforeAutospacing="0" w:after="0" w:afterAutospacing="0" w:line="360" w:lineRule="auto"/>
        <w:ind w:firstLine="420"/>
        <w:rPr>
          <w:sz w:val="21"/>
          <w:szCs w:val="21"/>
        </w:rPr>
      </w:pPr>
      <w:r>
        <w:rPr>
          <w:rStyle w:val="12"/>
          <w:rFonts w:hint="eastAsia"/>
          <w:sz w:val="21"/>
          <w:szCs w:val="21"/>
        </w:rPr>
        <w:t>七、基金净值的确认</w:t>
      </w:r>
    </w:p>
    <w:p w14:paraId="2CA6963C">
      <w:pPr>
        <w:pStyle w:val="8"/>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 和基金份额净值并发送给基金托管人。基金托管人对净值计算结果复核确认后发送给基金管理人，由基金管理人对基金净值按约定予以公布。  </w:t>
      </w:r>
    </w:p>
    <w:p w14:paraId="781202B0">
      <w:pPr>
        <w:pStyle w:val="8"/>
        <w:spacing w:before="0" w:beforeAutospacing="0" w:after="0" w:afterAutospacing="0" w:line="360" w:lineRule="auto"/>
        <w:ind w:firstLine="420"/>
        <w:rPr>
          <w:sz w:val="21"/>
          <w:szCs w:val="21"/>
        </w:rPr>
      </w:pPr>
      <w:r>
        <w:rPr>
          <w:rStyle w:val="12"/>
          <w:rFonts w:hint="eastAsia"/>
          <w:sz w:val="21"/>
          <w:szCs w:val="21"/>
        </w:rPr>
        <w:t>八、特殊情况的处理方法</w:t>
      </w:r>
    </w:p>
    <w:p w14:paraId="1566B198">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1、基金管理人或基金托管人按估值方法的第6项进行估值时，所造成的误差不作为基金资产估值错误处理。  </w:t>
      </w:r>
    </w:p>
    <w:p w14:paraId="1FCECEC1">
      <w:pPr>
        <w:pStyle w:val="8"/>
        <w:spacing w:before="0" w:beforeAutospacing="0" w:after="0" w:afterAutospacing="0" w:line="360" w:lineRule="auto"/>
        <w:ind w:firstLine="420"/>
        <w:rPr>
          <w:sz w:val="21"/>
          <w:szCs w:val="21"/>
        </w:rPr>
      </w:pPr>
      <w:r>
        <w:rPr>
          <w:rFonts w:hint="eastAsia"/>
          <w:sz w:val="21"/>
          <w:szCs w:val="21"/>
        </w:rPr>
        <w:t xml:space="preserve">2、由于不可抗力原因，或由于证券交易所、登记结算公司及存款银行等第三方机构发送的数据错误、遗漏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38B560DC">
      <w:pPr>
        <w:pStyle w:val="8"/>
        <w:spacing w:before="0" w:beforeAutospacing="0" w:after="0" w:afterAutospacing="0" w:line="360" w:lineRule="auto"/>
        <w:ind w:firstLine="420"/>
        <w:rPr>
          <w:sz w:val="21"/>
          <w:szCs w:val="21"/>
        </w:rPr>
      </w:pPr>
      <w:r>
        <w:rPr>
          <w:rFonts w:hint="eastAsia"/>
          <w:b/>
          <w:bCs/>
          <w:sz w:val="21"/>
          <w:szCs w:val="21"/>
        </w:rPr>
        <w:t>九、实施侧袋机制期间的基金资产估值</w:t>
      </w:r>
    </w:p>
    <w:p w14:paraId="7C0F96EC">
      <w:pPr>
        <w:rPr>
          <w:rFonts w:ascii="宋体" w:hAnsi="宋体" w:eastAsia="宋体"/>
          <w:sz w:val="24"/>
          <w:szCs w:val="24"/>
        </w:rPr>
      </w:pPr>
      <w:r>
        <w:rPr>
          <w:rFonts w:ascii="宋体" w:hAnsi="宋体" w:eastAsia="宋体"/>
        </w:rPr>
        <w:t>本基金实施侧袋机制的，应根据本部分的约定对主袋账户资产进行估值并披露主袋账户的基</w:t>
      </w:r>
      <w:bookmarkStart w:id="145" w:name="chapter_level1_14_63_section_2_end"/>
      <w:bookmarkEnd w:id="145"/>
      <w:r>
        <w:rPr>
          <w:rFonts w:ascii="宋体" w:hAnsi="宋体" w:eastAsia="宋体"/>
        </w:rPr>
        <w:t xml:space="preserve">金净值信息，暂停披露侧袋账户基金净值信息。 </w:t>
      </w:r>
    </w:p>
    <w:p w14:paraId="25896183">
      <w:pPr>
        <w:widowControl/>
        <w:jc w:val="left"/>
        <w:rPr>
          <w:rFonts w:ascii="宋体" w:hAnsi="宋体" w:eastAsia="宋体"/>
        </w:rPr>
      </w:pPr>
      <w:r>
        <w:rPr>
          <w:rFonts w:ascii="宋体" w:hAnsi="宋体" w:eastAsia="宋体"/>
        </w:rPr>
        <w:br w:type="page"/>
      </w:r>
    </w:p>
    <w:p w14:paraId="4EBFE50A">
      <w:pPr>
        <w:pStyle w:val="2"/>
        <w:jc w:val="center"/>
        <w:rPr>
          <w:rFonts w:ascii="宋体" w:hAnsi="宋体" w:eastAsia="宋体"/>
          <w:sz w:val="30"/>
        </w:rPr>
      </w:pPr>
      <w:bookmarkStart w:id="146" w:name="_Toc207948773"/>
      <w:bookmarkStart w:id="147" w:name="chapter_level1_15_64"/>
      <w:r>
        <w:rPr>
          <w:rFonts w:hint="eastAsia" w:ascii="宋体" w:hAnsi="宋体" w:eastAsia="宋体"/>
          <w:sz w:val="30"/>
        </w:rPr>
        <w:t>第十二部分  基金的收益分配</w:t>
      </w:r>
      <w:bookmarkEnd w:id="146"/>
      <w:bookmarkEnd w:id="147"/>
    </w:p>
    <w:p w14:paraId="4ADB3B8F">
      <w:pPr>
        <w:pStyle w:val="8"/>
        <w:spacing w:before="0" w:beforeAutospacing="0" w:after="0" w:afterAutospacing="0" w:line="360" w:lineRule="auto"/>
        <w:ind w:firstLine="420"/>
        <w:rPr>
          <w:sz w:val="21"/>
          <w:szCs w:val="21"/>
        </w:rPr>
      </w:pPr>
      <w:bookmarkStart w:id="148" w:name="chapter_level1_15_64_section_1"/>
      <w:bookmarkEnd w:id="148"/>
      <w:r>
        <w:rPr>
          <w:rStyle w:val="12"/>
          <w:rFonts w:hint="eastAsia"/>
          <w:sz w:val="21"/>
          <w:szCs w:val="21"/>
        </w:rPr>
        <w:t>一、基金利润的构成</w:t>
      </w:r>
    </w:p>
    <w:p w14:paraId="438CA358">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基金利润指基金利息收入、投资收益、其他收入扣除资产减值损失和相关费用后的余额，基金已实现收益与基金利润一致。 </w:t>
      </w:r>
    </w:p>
    <w:p w14:paraId="7486D1BF">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14:paraId="3DC93429">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5E3D240E">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75E70A76">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14:paraId="1BD8CEC5">
      <w:pPr>
        <w:pStyle w:val="8"/>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14:paraId="4FF1546A">
      <w:pPr>
        <w:pStyle w:val="8"/>
        <w:spacing w:before="0" w:beforeAutospacing="0" w:after="0" w:afterAutospacing="0" w:line="360" w:lineRule="auto"/>
        <w:ind w:firstLine="420"/>
        <w:rPr>
          <w:sz w:val="21"/>
          <w:szCs w:val="21"/>
        </w:rPr>
      </w:pPr>
      <w:r>
        <w:rPr>
          <w:rFonts w:hint="eastAsia"/>
          <w:sz w:val="21"/>
          <w:szCs w:val="21"/>
        </w:rPr>
        <w:t xml:space="preserve">3、每一基金份额享有同等分配权； </w:t>
      </w:r>
    </w:p>
    <w:p w14:paraId="60CD6ACD">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1E664D5A">
      <w:pPr>
        <w:pStyle w:val="8"/>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49" w:name="chapter_level1_15_64_section_1_end"/>
      <w:bookmarkEnd w:id="149"/>
      <w:r>
        <w:rPr>
          <w:rFonts w:hint="eastAsia"/>
          <w:sz w:val="21"/>
          <w:szCs w:val="21"/>
        </w:rPr>
        <w:t xml:space="preserve">基金管理人可对基金收益分配原则和支付方式进行调整，不需召开基金份额持有人大会。 </w:t>
      </w:r>
    </w:p>
    <w:p w14:paraId="7207A66D">
      <w:pPr>
        <w:pStyle w:val="8"/>
        <w:spacing w:before="0" w:beforeAutospacing="0" w:after="0" w:afterAutospacing="0" w:line="360" w:lineRule="auto"/>
        <w:ind w:firstLine="420"/>
        <w:rPr>
          <w:sz w:val="21"/>
          <w:szCs w:val="21"/>
        </w:rPr>
      </w:pPr>
      <w:bookmarkStart w:id="150" w:name="chapter_level1_15_64_section_2"/>
      <w:bookmarkEnd w:id="150"/>
      <w:r>
        <w:rPr>
          <w:rStyle w:val="12"/>
          <w:rFonts w:hint="eastAsia"/>
          <w:sz w:val="21"/>
          <w:szCs w:val="21"/>
        </w:rPr>
        <w:t>四、收益分配方案</w:t>
      </w:r>
    </w:p>
    <w:p w14:paraId="6A0AED4A">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3F269FF8">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14:paraId="190EA0AA">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77C65E1A">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14:paraId="009FADD7">
      <w:pPr>
        <w:pStyle w:val="8"/>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w:t>
      </w:r>
      <w:bookmarkStart w:id="151" w:name="chapter_level1_15_64_section_2_end"/>
      <w:bookmarkEnd w:id="151"/>
      <w:r>
        <w:rPr>
          <w:rFonts w:hint="eastAsia"/>
          <w:sz w:val="21"/>
          <w:szCs w:val="21"/>
        </w:rPr>
        <w:t xml:space="preserve">有人的现金红利自动转为基金份额。红利再投资的计算方法，依照《业务规则》执行。 </w:t>
      </w:r>
    </w:p>
    <w:p w14:paraId="34AC7221">
      <w:pPr>
        <w:widowControl/>
        <w:jc w:val="left"/>
        <w:rPr>
          <w:rFonts w:ascii="宋体" w:hAnsi="宋体" w:eastAsia="宋体"/>
        </w:rPr>
      </w:pPr>
      <w:r>
        <w:rPr>
          <w:rFonts w:ascii="宋体" w:hAnsi="宋体" w:eastAsia="宋体"/>
        </w:rPr>
        <w:br w:type="page"/>
      </w:r>
    </w:p>
    <w:p w14:paraId="15611339">
      <w:pPr>
        <w:pStyle w:val="2"/>
        <w:jc w:val="center"/>
        <w:rPr>
          <w:rFonts w:ascii="宋体" w:hAnsi="宋体" w:eastAsia="宋体"/>
          <w:sz w:val="30"/>
        </w:rPr>
      </w:pPr>
      <w:bookmarkStart w:id="152" w:name="chapter_level1_16_65"/>
      <w:bookmarkStart w:id="153" w:name="_Toc207948774"/>
      <w:r>
        <w:rPr>
          <w:rFonts w:hint="eastAsia" w:ascii="宋体" w:hAnsi="宋体" w:eastAsia="宋体"/>
          <w:sz w:val="30"/>
        </w:rPr>
        <w:t>第十三部分  基金的费用与税收</w:t>
      </w:r>
      <w:bookmarkEnd w:id="152"/>
      <w:bookmarkEnd w:id="153"/>
    </w:p>
    <w:p w14:paraId="33F0733E">
      <w:pPr>
        <w:pStyle w:val="8"/>
        <w:spacing w:before="0" w:beforeAutospacing="0" w:after="0" w:afterAutospacing="0" w:line="360" w:lineRule="auto"/>
        <w:ind w:firstLine="420"/>
        <w:rPr>
          <w:sz w:val="21"/>
          <w:szCs w:val="21"/>
        </w:rPr>
      </w:pPr>
      <w:bookmarkStart w:id="154" w:name="chapter_level1_16_65_section_1"/>
      <w:bookmarkEnd w:id="154"/>
      <w:r>
        <w:rPr>
          <w:rStyle w:val="12"/>
          <w:rFonts w:hint="eastAsia"/>
          <w:sz w:val="21"/>
          <w:szCs w:val="21"/>
        </w:rPr>
        <w:t>一、基金费用的种类</w:t>
      </w:r>
    </w:p>
    <w:p w14:paraId="30CDB2D5">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642A847E">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210F372D">
      <w:pPr>
        <w:pStyle w:val="8"/>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3、《基金合同》生效后与基金相关的信息披露费用，法律法规、中国证监会另有规定的除外； </w:t>
      </w:r>
    </w:p>
    <w:p w14:paraId="2F24C6E0">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4、《基金合同》生效后与基金相关的会计师费、律师费、诉讼费和仲裁费； </w:t>
      </w:r>
    </w:p>
    <w:p w14:paraId="35CC8002">
      <w:pPr>
        <w:pStyle w:val="8"/>
        <w:spacing w:before="0" w:beforeAutospacing="0" w:after="0" w:afterAutospacing="0" w:line="360" w:lineRule="auto"/>
        <w:ind w:firstLine="420"/>
        <w:rPr>
          <w:sz w:val="21"/>
          <w:szCs w:val="21"/>
        </w:rPr>
      </w:pPr>
      <w:r>
        <w:rPr>
          <w:rFonts w:hint="eastAsia"/>
          <w:sz w:val="21"/>
          <w:szCs w:val="21"/>
        </w:rPr>
        <w:t xml:space="preserve">5、基金份额持有人大会费用； </w:t>
      </w:r>
    </w:p>
    <w:p w14:paraId="69F1C1BF">
      <w:pPr>
        <w:pStyle w:val="8"/>
        <w:spacing w:before="0" w:beforeAutospacing="0" w:after="0" w:afterAutospacing="0" w:line="360" w:lineRule="auto"/>
        <w:ind w:firstLine="420"/>
        <w:rPr>
          <w:sz w:val="21"/>
          <w:szCs w:val="21"/>
        </w:rPr>
      </w:pPr>
      <w:r>
        <w:rPr>
          <w:rFonts w:hint="eastAsia"/>
          <w:sz w:val="21"/>
          <w:szCs w:val="21"/>
        </w:rPr>
        <w:t xml:space="preserve">6、基金的证券交易费用； </w:t>
      </w:r>
    </w:p>
    <w:p w14:paraId="5DC1C1D8">
      <w:pPr>
        <w:pStyle w:val="8"/>
        <w:spacing w:before="0" w:beforeAutospacing="0" w:after="0" w:afterAutospacing="0" w:line="360" w:lineRule="auto"/>
        <w:ind w:firstLine="420"/>
        <w:rPr>
          <w:sz w:val="21"/>
          <w:szCs w:val="21"/>
        </w:rPr>
      </w:pPr>
      <w:r>
        <w:rPr>
          <w:rFonts w:hint="eastAsia"/>
          <w:sz w:val="21"/>
          <w:szCs w:val="21"/>
        </w:rPr>
        <w:t xml:space="preserve">7、基金的银行汇划费用； </w:t>
      </w:r>
    </w:p>
    <w:p w14:paraId="7646D280">
      <w:pPr>
        <w:pStyle w:val="8"/>
        <w:spacing w:before="0" w:beforeAutospacing="0" w:after="0" w:afterAutospacing="0" w:line="360" w:lineRule="auto"/>
        <w:ind w:firstLine="420"/>
        <w:rPr>
          <w:sz w:val="21"/>
          <w:szCs w:val="21"/>
        </w:rPr>
      </w:pPr>
      <w:r>
        <w:rPr>
          <w:rFonts w:hint="eastAsia"/>
          <w:sz w:val="21"/>
          <w:szCs w:val="21"/>
        </w:rPr>
        <w:t xml:space="preserve">8、基金的开户费用、账户维护费用； </w:t>
      </w:r>
    </w:p>
    <w:p w14:paraId="2EA2153B">
      <w:pPr>
        <w:pStyle w:val="8"/>
        <w:spacing w:before="0" w:beforeAutospacing="0" w:after="0" w:afterAutospacing="0" w:line="360" w:lineRule="auto"/>
        <w:ind w:firstLine="420"/>
        <w:rPr>
          <w:sz w:val="21"/>
          <w:szCs w:val="21"/>
        </w:rPr>
      </w:pPr>
      <w:r>
        <w:rPr>
          <w:rFonts w:hint="eastAsia"/>
          <w:sz w:val="21"/>
          <w:szCs w:val="21"/>
        </w:rPr>
        <w:t xml:space="preserve">9、按照国家有关规定和《基金合同》约定，可以在基金财产中列支的其他费用。 </w:t>
      </w:r>
    </w:p>
    <w:p w14:paraId="0C693631">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14:paraId="4E73559A">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3ECB4A72">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5" w:name="field_0_managementrate_1"/>
      <w:r>
        <w:rPr>
          <w:sz w:val="21"/>
          <w:szCs w:val="21"/>
        </w:rPr>
        <w:t>0.15</w:t>
      </w:r>
      <w:bookmarkEnd w:id="155"/>
      <w:r>
        <w:rPr>
          <w:rFonts w:hint="eastAsia"/>
          <w:sz w:val="21"/>
          <w:szCs w:val="21"/>
        </w:rPr>
        <w:t xml:space="preserve">%年费率计提。管理费的计算方法如下： </w:t>
      </w:r>
    </w:p>
    <w:p w14:paraId="29D5EB09">
      <w:pPr>
        <w:pStyle w:val="8"/>
        <w:spacing w:before="0" w:beforeAutospacing="0" w:after="0" w:afterAutospacing="0" w:line="360" w:lineRule="auto"/>
        <w:ind w:firstLine="420"/>
        <w:rPr>
          <w:sz w:val="21"/>
          <w:szCs w:val="21"/>
        </w:rPr>
      </w:pPr>
      <w:r>
        <w:rPr>
          <w:rFonts w:hint="eastAsia"/>
          <w:sz w:val="21"/>
          <w:szCs w:val="21"/>
        </w:rPr>
        <w:t>H＝E×</w:t>
      </w:r>
      <w:bookmarkStart w:id="156" w:name="field_0_managementrate_2"/>
      <w:r>
        <w:rPr>
          <w:sz w:val="21"/>
          <w:szCs w:val="21"/>
        </w:rPr>
        <w:t>0.15</w:t>
      </w:r>
      <w:bookmarkEnd w:id="156"/>
      <w:r>
        <w:rPr>
          <w:rFonts w:hint="eastAsia"/>
          <w:sz w:val="21"/>
          <w:szCs w:val="21"/>
        </w:rPr>
        <w:t xml:space="preserve">%÷当年天数 </w:t>
      </w:r>
    </w:p>
    <w:p w14:paraId="77127B69">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6ED4D426">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AA0D2C5">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 </w:t>
      </w:r>
    </w:p>
    <w:p w14:paraId="2F895E11">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725DB354">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7" w:name="field_0_trusteerate_1"/>
      <w:r>
        <w:rPr>
          <w:sz w:val="21"/>
          <w:szCs w:val="21"/>
        </w:rPr>
        <w:t>0.05</w:t>
      </w:r>
      <w:bookmarkEnd w:id="157"/>
      <w:r>
        <w:rPr>
          <w:rFonts w:hint="eastAsia"/>
          <w:sz w:val="21"/>
          <w:szCs w:val="21"/>
        </w:rPr>
        <w:t xml:space="preserve">%的年费率计提。托管费的计算方法如下： </w:t>
      </w:r>
    </w:p>
    <w:p w14:paraId="6CDBA614">
      <w:pPr>
        <w:pStyle w:val="8"/>
        <w:spacing w:before="0" w:beforeAutospacing="0" w:after="0" w:afterAutospacing="0" w:line="360" w:lineRule="auto"/>
        <w:ind w:firstLine="420"/>
        <w:rPr>
          <w:sz w:val="21"/>
          <w:szCs w:val="21"/>
        </w:rPr>
      </w:pPr>
      <w:r>
        <w:rPr>
          <w:rFonts w:hint="eastAsia"/>
          <w:sz w:val="21"/>
          <w:szCs w:val="21"/>
        </w:rPr>
        <w:t>H＝E×</w:t>
      </w:r>
      <w:bookmarkStart w:id="158" w:name="field_0_trusteerate_2"/>
      <w:r>
        <w:rPr>
          <w:sz w:val="21"/>
          <w:szCs w:val="21"/>
        </w:rPr>
        <w:t>0.05</w:t>
      </w:r>
      <w:bookmarkEnd w:id="158"/>
      <w:r>
        <w:rPr>
          <w:rFonts w:hint="eastAsia"/>
          <w:sz w:val="21"/>
          <w:szCs w:val="21"/>
        </w:rPr>
        <w:t xml:space="preserve">%÷当年天数 </w:t>
      </w:r>
    </w:p>
    <w:p w14:paraId="0A94C07B">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1A580E6A">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2DFDFDE">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托管人根据与管理人协商一致的方式于次月首日起第三个工作日内从基金财产中一次性支取。若遇法定节假日、休息日或不可抗力等致使无法按时支付的，支付日期顺延。 </w:t>
      </w:r>
    </w:p>
    <w:p w14:paraId="72B3FA52">
      <w:pPr>
        <w:pStyle w:val="8"/>
        <w:spacing w:before="0" w:beforeAutospacing="0" w:after="0" w:afterAutospacing="0" w:line="360" w:lineRule="auto"/>
        <w:ind w:firstLine="420"/>
        <w:rPr>
          <w:sz w:val="21"/>
          <w:szCs w:val="21"/>
        </w:rPr>
      </w:pPr>
      <w:r>
        <w:rPr>
          <w:rFonts w:hint="eastAsia"/>
          <w:sz w:val="21"/>
          <w:szCs w:val="21"/>
        </w:rPr>
        <w:t xml:space="preserve">本基金暂停运作的期间，本基金不计提管理费、托管费。 </w:t>
      </w:r>
    </w:p>
    <w:p w14:paraId="185C2257">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上述“一、基金费用的种类”中第3－9项费用，根据有关法规及相应协议规定，按费用实际支出金额列入当期费用，由基金托管人从基金财产中支付。 </w:t>
      </w:r>
    </w:p>
    <w:p w14:paraId="2D2B88DC">
      <w:pPr>
        <w:pStyle w:val="8"/>
        <w:spacing w:before="0" w:beforeAutospacing="0" w:after="0" w:afterAutospacing="0" w:line="360" w:lineRule="auto"/>
        <w:ind w:firstLine="420"/>
        <w:rPr>
          <w:sz w:val="21"/>
          <w:szCs w:val="21"/>
        </w:rPr>
      </w:pPr>
      <w:r>
        <w:rPr>
          <w:rStyle w:val="12"/>
          <w:rFonts w:hint="eastAsia"/>
          <w:sz w:val="21"/>
          <w:szCs w:val="21"/>
        </w:rPr>
        <w:t>三、不列入基金费用的项目</w:t>
      </w:r>
    </w:p>
    <w:p w14:paraId="432FFB6A">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1961C691">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25339F53">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49A87D23">
      <w:pPr>
        <w:pStyle w:val="8"/>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3EA2BF24">
      <w:pPr>
        <w:pStyle w:val="8"/>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6435BD8D">
      <w:pPr>
        <w:pStyle w:val="8"/>
        <w:spacing w:before="0" w:beforeAutospacing="0" w:after="0" w:afterAutospacing="0" w:line="360" w:lineRule="auto"/>
        <w:ind w:firstLine="420"/>
        <w:rPr>
          <w:sz w:val="21"/>
          <w:szCs w:val="21"/>
        </w:rPr>
      </w:pPr>
      <w:r>
        <w:rPr>
          <w:rStyle w:val="12"/>
          <w:rFonts w:hint="eastAsia"/>
          <w:sz w:val="21"/>
          <w:szCs w:val="21"/>
        </w:rPr>
        <w:t>四、实施侧袋机制期间的基金费用</w:t>
      </w:r>
    </w:p>
    <w:p w14:paraId="6FF1D620">
      <w:pPr>
        <w:pStyle w:val="8"/>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3A275A42">
      <w:pPr>
        <w:pStyle w:val="8"/>
        <w:spacing w:before="0" w:beforeAutospacing="0" w:after="0" w:afterAutospacing="0" w:line="360" w:lineRule="auto"/>
        <w:ind w:firstLine="420"/>
        <w:rPr>
          <w:sz w:val="21"/>
          <w:szCs w:val="21"/>
        </w:rPr>
      </w:pPr>
      <w:r>
        <w:rPr>
          <w:rStyle w:val="12"/>
          <w:rFonts w:hint="eastAsia"/>
          <w:sz w:val="21"/>
          <w:szCs w:val="21"/>
        </w:rPr>
        <w:t>五、基金税收</w:t>
      </w:r>
    </w:p>
    <w:p w14:paraId="0F938B7F">
      <w:pPr>
        <w:pStyle w:val="8"/>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59" w:name="chapter_level1_16_65_section_1_end"/>
      <w:bookmarkEnd w:id="159"/>
      <w:r>
        <w:rPr>
          <w:rFonts w:hint="eastAsia"/>
          <w:sz w:val="21"/>
          <w:szCs w:val="21"/>
        </w:rPr>
        <w:t xml:space="preserve">税收征收的规定代扣代缴。  </w:t>
      </w:r>
    </w:p>
    <w:p w14:paraId="30E2B258">
      <w:pPr>
        <w:widowControl/>
        <w:jc w:val="left"/>
        <w:rPr>
          <w:rFonts w:ascii="宋体" w:hAnsi="宋体" w:eastAsia="宋体"/>
        </w:rPr>
      </w:pPr>
      <w:r>
        <w:rPr>
          <w:rFonts w:ascii="宋体" w:hAnsi="宋体" w:eastAsia="宋体"/>
        </w:rPr>
        <w:br w:type="page"/>
      </w:r>
    </w:p>
    <w:p w14:paraId="3ED8E1D7">
      <w:pPr>
        <w:pStyle w:val="2"/>
        <w:jc w:val="center"/>
        <w:rPr>
          <w:rFonts w:ascii="宋体" w:hAnsi="宋体" w:eastAsia="宋体"/>
          <w:sz w:val="30"/>
        </w:rPr>
      </w:pPr>
      <w:bookmarkStart w:id="160" w:name="chapter_level1_17_66"/>
      <w:bookmarkStart w:id="161" w:name="_Toc207948775"/>
      <w:r>
        <w:rPr>
          <w:rFonts w:hint="eastAsia" w:ascii="宋体" w:hAnsi="宋体" w:eastAsia="宋体"/>
          <w:sz w:val="30"/>
        </w:rPr>
        <w:t>第十四部分  基金的会计与审计</w:t>
      </w:r>
      <w:bookmarkEnd w:id="160"/>
      <w:bookmarkEnd w:id="161"/>
    </w:p>
    <w:p w14:paraId="64CEBC8C">
      <w:pPr>
        <w:pStyle w:val="8"/>
        <w:spacing w:before="0" w:beforeAutospacing="0" w:after="0" w:afterAutospacing="0" w:line="360" w:lineRule="auto"/>
        <w:ind w:firstLine="420"/>
        <w:rPr>
          <w:sz w:val="21"/>
          <w:szCs w:val="21"/>
        </w:rPr>
      </w:pPr>
      <w:bookmarkStart w:id="162" w:name="chapter_level1_17_66_section_1"/>
      <w:bookmarkEnd w:id="162"/>
      <w:r>
        <w:rPr>
          <w:rStyle w:val="12"/>
          <w:rFonts w:hint="eastAsia"/>
          <w:sz w:val="21"/>
          <w:szCs w:val="21"/>
        </w:rPr>
        <w:t>一、基金会计政策</w:t>
      </w:r>
    </w:p>
    <w:p w14:paraId="3CCDCA4C">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331423F2">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72FF18FF">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78EF58B3">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477B32B0">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679E7738">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3A9770B1">
      <w:pPr>
        <w:pStyle w:val="8"/>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7、基金托管人每月与基金管理人就基金的会计核算、报表编制等进行核对并以托管协议约定的方式确认。 </w:t>
      </w:r>
    </w:p>
    <w:p w14:paraId="2EEA0C93">
      <w:pPr>
        <w:pStyle w:val="8"/>
        <w:spacing w:before="0" w:beforeAutospacing="0" w:after="0" w:afterAutospacing="0" w:line="360" w:lineRule="auto"/>
        <w:ind w:firstLine="420"/>
        <w:rPr>
          <w:sz w:val="21"/>
          <w:szCs w:val="21"/>
        </w:rPr>
      </w:pPr>
      <w:r>
        <w:rPr>
          <w:rStyle w:val="12"/>
          <w:rFonts w:hint="eastAsia"/>
          <w:sz w:val="21"/>
          <w:szCs w:val="21"/>
        </w:rPr>
        <w:t>二、基金的年度审计</w:t>
      </w:r>
    </w:p>
    <w:p w14:paraId="4CCCF0BD">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25F621A6">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50B12183">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63" w:name="chapter_level1_17_66_section_1_end"/>
      <w:bookmarkEnd w:id="163"/>
      <w:r>
        <w:rPr>
          <w:rFonts w:hint="eastAsia"/>
          <w:sz w:val="21"/>
          <w:szCs w:val="21"/>
        </w:rPr>
        <w:t xml:space="preserve">务所需按规定在指定媒介公告。 </w:t>
      </w:r>
    </w:p>
    <w:p w14:paraId="3DF9C4BC">
      <w:pPr>
        <w:widowControl/>
        <w:jc w:val="left"/>
        <w:rPr>
          <w:rFonts w:ascii="宋体" w:hAnsi="宋体" w:eastAsia="宋体"/>
        </w:rPr>
      </w:pPr>
      <w:r>
        <w:rPr>
          <w:rFonts w:ascii="宋体" w:hAnsi="宋体" w:eastAsia="宋体"/>
        </w:rPr>
        <w:br w:type="page"/>
      </w:r>
    </w:p>
    <w:p w14:paraId="42CF99E4">
      <w:pPr>
        <w:pStyle w:val="2"/>
        <w:jc w:val="center"/>
        <w:rPr>
          <w:rFonts w:ascii="宋体" w:hAnsi="宋体" w:eastAsia="宋体"/>
          <w:sz w:val="30"/>
        </w:rPr>
      </w:pPr>
      <w:bookmarkStart w:id="164" w:name="chapter_level1_18_67"/>
      <w:bookmarkStart w:id="165" w:name="_Toc207948776"/>
      <w:r>
        <w:rPr>
          <w:rFonts w:hint="eastAsia" w:ascii="宋体" w:hAnsi="宋体" w:eastAsia="宋体"/>
          <w:sz w:val="30"/>
        </w:rPr>
        <w:t>第十五部分  基金的信息披露</w:t>
      </w:r>
      <w:bookmarkEnd w:id="164"/>
      <w:bookmarkEnd w:id="165"/>
    </w:p>
    <w:p w14:paraId="2498C46C">
      <w:pPr>
        <w:pStyle w:val="8"/>
        <w:spacing w:before="0" w:beforeAutospacing="0" w:after="0" w:afterAutospacing="0" w:line="360" w:lineRule="auto"/>
        <w:ind w:firstLine="420"/>
        <w:rPr>
          <w:sz w:val="21"/>
          <w:szCs w:val="21"/>
        </w:rPr>
      </w:pPr>
      <w:bookmarkStart w:id="166" w:name="chapter_level1_18_67_section_1"/>
      <w:bookmarkEnd w:id="166"/>
      <w:r>
        <w:rPr>
          <w:rStyle w:val="12"/>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5C9D4E78">
      <w:pPr>
        <w:pStyle w:val="8"/>
        <w:spacing w:before="0" w:beforeAutospacing="0" w:after="0" w:afterAutospacing="0" w:line="360" w:lineRule="auto"/>
        <w:ind w:firstLine="420"/>
        <w:rPr>
          <w:sz w:val="21"/>
          <w:szCs w:val="21"/>
        </w:rPr>
      </w:pPr>
      <w:r>
        <w:rPr>
          <w:rStyle w:val="12"/>
          <w:rFonts w:hint="eastAsia"/>
          <w:sz w:val="21"/>
          <w:szCs w:val="21"/>
        </w:rPr>
        <w:t>二、信息披露义务人</w:t>
      </w:r>
    </w:p>
    <w:p w14:paraId="25064A88">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4DD3D9C3">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4F4CB208">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媒介和基金管理人、基金托管人的互联网网站（以下简称“网站”）等媒介披露，并保证基金投资者能够按照《基金合同》约定的时间和方式查阅或者复制公开披露的信息资料。 </w:t>
      </w:r>
    </w:p>
    <w:p w14:paraId="0CD3541A">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14:paraId="6F6BD4E1">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318578CD">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2E17933B">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43AB2F51">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6EF4EF4D">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24BAE03C">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6BCECBF3">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14:paraId="614B4CC4">
      <w:pPr>
        <w:pStyle w:val="8"/>
        <w:spacing w:before="0" w:beforeAutospacing="0" w:after="0" w:afterAutospacing="0" w:line="360" w:lineRule="auto"/>
        <w:ind w:firstLine="420"/>
        <w:rPr>
          <w:sz w:val="21"/>
          <w:szCs w:val="21"/>
        </w:rPr>
      </w:pPr>
      <w:bookmarkStart w:id="167" w:name="chapter_level1_18_67_section_1_end"/>
      <w:bookmarkEnd w:id="167"/>
      <w:r>
        <w:rPr>
          <w:rFonts w:hint="eastAsia"/>
          <w:sz w:val="21"/>
          <w:szCs w:val="21"/>
        </w:rPr>
        <w:t xml:space="preserve">本基金公开披露的信息采用阿拉伯数字；除特别说明外，货币单位为人民币元。 </w:t>
      </w:r>
    </w:p>
    <w:p w14:paraId="7EE6FD1E">
      <w:pPr>
        <w:pStyle w:val="8"/>
        <w:spacing w:before="0" w:beforeAutospacing="0" w:after="0" w:afterAutospacing="0" w:line="360" w:lineRule="auto"/>
        <w:ind w:firstLine="420"/>
        <w:rPr>
          <w:sz w:val="21"/>
          <w:szCs w:val="21"/>
        </w:rPr>
      </w:pPr>
      <w:bookmarkStart w:id="168" w:name="chapter_level1_18_67_section_2"/>
      <w:bookmarkEnd w:id="168"/>
      <w:r>
        <w:rPr>
          <w:rStyle w:val="12"/>
          <w:rFonts w:hint="eastAsia"/>
          <w:sz w:val="21"/>
          <w:szCs w:val="21"/>
        </w:rPr>
        <w:t>五、公开披露的基金信息</w:t>
      </w:r>
    </w:p>
    <w:p w14:paraId="69E13F54">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5E7AF954">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（一）基金招募说明书、《基金合同》、基金托管协议、基金产品资料概要、基金份额发售公告 </w:t>
      </w:r>
    </w:p>
    <w:p w14:paraId="721B7E2C">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3B96AA87">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合同终止情形出现的，除基金合同另有约定外，基金管理人不再更新基金招募说明书。 </w:t>
      </w:r>
    </w:p>
    <w:p w14:paraId="7AE7BEEA">
      <w:pPr>
        <w:pStyle w:val="8"/>
        <w:spacing w:before="0" w:beforeAutospacing="0" w:after="0" w:afterAutospacing="0" w:line="360" w:lineRule="auto"/>
        <w:ind w:firstLine="420"/>
        <w:rPr>
          <w:sz w:val="21"/>
          <w:szCs w:val="21"/>
        </w:rPr>
      </w:pPr>
      <w:r>
        <w:rPr>
          <w:rFonts w:hint="eastAsia"/>
          <w:sz w:val="21"/>
          <w:szCs w:val="21"/>
        </w:rPr>
        <w:t xml:space="preserve">本基金暂停运作的期间，不更新招募说明书。 </w:t>
      </w:r>
    </w:p>
    <w:p w14:paraId="47D47F1A">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658164F4">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合同终止情形出现的，除基金合同另有约定外，基金管理人不再更新基金产品资料概要。 </w:t>
      </w:r>
    </w:p>
    <w:p w14:paraId="2FA2B59D">
      <w:pPr>
        <w:pStyle w:val="8"/>
        <w:spacing w:before="0" w:beforeAutospacing="0" w:after="0" w:afterAutospacing="0" w:line="360" w:lineRule="auto"/>
        <w:ind w:firstLine="420"/>
        <w:rPr>
          <w:sz w:val="21"/>
          <w:szCs w:val="21"/>
        </w:rPr>
      </w:pPr>
      <w:r>
        <w:rPr>
          <w:rFonts w:hint="eastAsia"/>
          <w:sz w:val="21"/>
          <w:szCs w:val="21"/>
        </w:rPr>
        <w:t xml:space="preserve">5、基金管理人应当就基金份额发售的具体事宜编制基金份额发售公告。 </w:t>
      </w:r>
    </w:p>
    <w:p w14:paraId="7576A682">
      <w:pPr>
        <w:pStyle w:val="8"/>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应当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指定网站上。 </w:t>
      </w:r>
    </w:p>
    <w:p w14:paraId="2AF2FD7A">
      <w:pPr>
        <w:pStyle w:val="8"/>
        <w:spacing w:before="0" w:beforeAutospacing="0" w:after="0" w:afterAutospacing="0" w:line="360" w:lineRule="auto"/>
        <w:ind w:firstLine="420"/>
        <w:rPr>
          <w:sz w:val="21"/>
          <w:szCs w:val="21"/>
        </w:rPr>
      </w:pPr>
      <w:r>
        <w:rPr>
          <w:rFonts w:hint="eastAsia"/>
          <w:sz w:val="21"/>
          <w:szCs w:val="21"/>
        </w:rPr>
        <w:t xml:space="preserve">（二）《基金合同》生效公告 </w:t>
      </w:r>
    </w:p>
    <w:p w14:paraId="4F344A82">
      <w:pPr>
        <w:pStyle w:val="8"/>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基金管理人应当在收到中国证监会确认文件的次日在指定报刊和指定网站上登载《基金合同》生效公告。 </w:t>
      </w:r>
    </w:p>
    <w:p w14:paraId="6369A51A">
      <w:pPr>
        <w:pStyle w:val="8"/>
        <w:spacing w:before="0" w:beforeAutospacing="0" w:after="0" w:afterAutospacing="0" w:line="360" w:lineRule="auto"/>
        <w:ind w:firstLine="420"/>
        <w:rPr>
          <w:sz w:val="21"/>
          <w:szCs w:val="21"/>
        </w:rPr>
      </w:pPr>
      <w:r>
        <w:rPr>
          <w:rFonts w:hint="eastAsia"/>
          <w:sz w:val="21"/>
          <w:szCs w:val="21"/>
        </w:rPr>
        <w:t xml:space="preserve">（三）基金净值信息 </w:t>
      </w:r>
    </w:p>
    <w:p w14:paraId="2943BCC7">
      <w:pPr>
        <w:pStyle w:val="8"/>
        <w:spacing w:before="0" w:beforeAutospacing="0" w:after="0" w:afterAutospacing="0" w:line="360" w:lineRule="auto"/>
        <w:ind w:firstLine="420"/>
        <w:rPr>
          <w:sz w:val="21"/>
          <w:szCs w:val="21"/>
        </w:rPr>
      </w:pPr>
      <w:r>
        <w:rPr>
          <w:rFonts w:hint="eastAsia"/>
          <w:sz w:val="21"/>
          <w:szCs w:val="21"/>
        </w:rPr>
        <w:t xml:space="preserve">《基金合同》生效后，在基金封闭期内，基金管理人应当至少每周在指定网站披露一次基金份额净值和基金份额累计净值。 </w:t>
      </w:r>
    </w:p>
    <w:p w14:paraId="4D00529C">
      <w:pPr>
        <w:pStyle w:val="8"/>
        <w:spacing w:before="0" w:beforeAutospacing="0" w:after="0" w:afterAutospacing="0" w:line="360" w:lineRule="auto"/>
        <w:ind w:firstLine="420"/>
        <w:rPr>
          <w:sz w:val="21"/>
          <w:szCs w:val="21"/>
        </w:rPr>
      </w:pPr>
      <w:r>
        <w:rPr>
          <w:rFonts w:hint="eastAsia"/>
          <w:sz w:val="21"/>
          <w:szCs w:val="21"/>
        </w:rPr>
        <w:t xml:space="preserve">在开放期内，基金管理人应当在不晚于每个开放日的次日，通过指定网站、基金销售机构网站或者营业网点披露开放日的基金份额净值和基金份额累计净值。 </w:t>
      </w:r>
    </w:p>
    <w:p w14:paraId="1D7FF56C">
      <w:pPr>
        <w:pStyle w:val="8"/>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基金管理人应当在不晚于半年度和年度最后一日的次日，在指定网站披露半年度和年度最后一日的基金份额净值和基金份额累计净值。 </w:t>
      </w:r>
    </w:p>
    <w:p w14:paraId="012C7242">
      <w:pPr>
        <w:pStyle w:val="8"/>
        <w:spacing w:before="0" w:beforeAutospacing="0" w:after="0" w:afterAutospacing="0" w:line="360" w:lineRule="auto"/>
        <w:ind w:firstLine="420"/>
        <w:rPr>
          <w:sz w:val="21"/>
          <w:szCs w:val="21"/>
        </w:rPr>
      </w:pPr>
      <w:r>
        <w:rPr>
          <w:rFonts w:hint="eastAsia"/>
          <w:sz w:val="21"/>
          <w:szCs w:val="21"/>
        </w:rPr>
        <w:t xml:space="preserve">如本基金暂停运作，基金管理人可以根据实际情况调整或暂停净值公告。 </w:t>
      </w:r>
    </w:p>
    <w:p w14:paraId="082B2D78">
      <w:pPr>
        <w:pStyle w:val="8"/>
        <w:spacing w:before="0" w:beforeAutospacing="0" w:after="0" w:afterAutospacing="0" w:line="360" w:lineRule="auto"/>
        <w:ind w:firstLine="420"/>
        <w:rPr>
          <w:sz w:val="21"/>
          <w:szCs w:val="21"/>
        </w:rPr>
      </w:pPr>
      <w:r>
        <w:rPr>
          <w:rFonts w:hint="eastAsia"/>
          <w:sz w:val="21"/>
          <w:szCs w:val="21"/>
        </w:rPr>
        <w:t xml:space="preserve">（四）基金份额申购、赎回价格 </w:t>
      </w:r>
    </w:p>
    <w:p w14:paraId="6E674238">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7F17E43B">
      <w:pPr>
        <w:pStyle w:val="8"/>
        <w:spacing w:before="0" w:beforeAutospacing="0" w:after="0" w:afterAutospacing="0" w:line="360" w:lineRule="auto"/>
        <w:ind w:firstLine="420"/>
        <w:rPr>
          <w:sz w:val="21"/>
          <w:szCs w:val="21"/>
        </w:rPr>
      </w:pPr>
      <w:r>
        <w:rPr>
          <w:rFonts w:hint="eastAsia"/>
          <w:sz w:val="21"/>
          <w:szCs w:val="21"/>
        </w:rPr>
        <w:t xml:space="preserve">（五）基金定期报告，包括基金年度报告、基金中期报告和基金季度报告（含资产组合季度报告） </w:t>
      </w:r>
    </w:p>
    <w:p w14:paraId="7C015EAF">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66E52C98">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3D7C76F3">
      <w:pPr>
        <w:pStyle w:val="8"/>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4EC04457">
      <w:pPr>
        <w:pStyle w:val="8"/>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16BC409D">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5743AAE7">
      <w:pPr>
        <w:pStyle w:val="8"/>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6A544E15">
      <w:pPr>
        <w:pStyle w:val="8"/>
        <w:spacing w:before="0" w:beforeAutospacing="0" w:after="0" w:afterAutospacing="0" w:line="360" w:lineRule="auto"/>
        <w:ind w:firstLine="420"/>
        <w:rPr>
          <w:sz w:val="21"/>
          <w:szCs w:val="21"/>
        </w:rPr>
      </w:pPr>
      <w:r>
        <w:rPr>
          <w:rFonts w:hint="eastAsia"/>
          <w:sz w:val="21"/>
          <w:szCs w:val="21"/>
        </w:rPr>
        <w:t xml:space="preserve">基金管理人在封闭期内采取处置信用风险显著增加的固定收益类品种，或者计提资产减值准备等风险应对措施的，应当在定期报告中披露。 </w:t>
      </w:r>
    </w:p>
    <w:p w14:paraId="61DDF103">
      <w:pPr>
        <w:pStyle w:val="8"/>
        <w:spacing w:before="0" w:beforeAutospacing="0" w:after="0" w:afterAutospacing="0" w:line="360" w:lineRule="auto"/>
        <w:ind w:firstLine="420"/>
        <w:rPr>
          <w:sz w:val="21"/>
          <w:szCs w:val="21"/>
        </w:rPr>
      </w:pPr>
      <w:r>
        <w:rPr>
          <w:rFonts w:hint="eastAsia"/>
          <w:sz w:val="21"/>
          <w:szCs w:val="21"/>
        </w:rPr>
        <w:t xml:space="preserve">本基金暂停运作的期间，不更新基金定期报告。 </w:t>
      </w:r>
    </w:p>
    <w:p w14:paraId="02050EAC">
      <w:pPr>
        <w:pStyle w:val="8"/>
        <w:spacing w:before="0" w:beforeAutospacing="0" w:after="0" w:afterAutospacing="0" w:line="360" w:lineRule="auto"/>
        <w:ind w:firstLine="420"/>
        <w:rPr>
          <w:sz w:val="21"/>
          <w:szCs w:val="21"/>
        </w:rPr>
      </w:pPr>
      <w:r>
        <w:rPr>
          <w:rFonts w:hint="eastAsia"/>
          <w:sz w:val="21"/>
          <w:szCs w:val="21"/>
        </w:rPr>
        <w:t xml:space="preserve">（六）临时报告 </w:t>
      </w:r>
    </w:p>
    <w:p w14:paraId="52C9ECFF">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本基金发生重大事件，有关信息披露义务人应当按规定编制临时报告书，并登载在指定报刊和指定网站上。 </w:t>
      </w:r>
    </w:p>
    <w:p w14:paraId="0D5BF61A">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3AD2A390">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6B999A0A">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14:paraId="1BF9A30A">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3、转换基金运作方式、基金合并（不包括本基金封闭期与开放期运作方式的转变）； </w:t>
      </w:r>
    </w:p>
    <w:p w14:paraId="181331BB">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42441EBB">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057195D9">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5A8CFAF7">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19BD16F4">
      <w:pPr>
        <w:pStyle w:val="8"/>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7D6E3840">
      <w:pPr>
        <w:pStyle w:val="8"/>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0CF63169">
      <w:pPr>
        <w:pStyle w:val="8"/>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12CD2A93">
      <w:pPr>
        <w:pStyle w:val="8"/>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14:paraId="402A5AFC">
      <w:pPr>
        <w:pStyle w:val="8"/>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60FD9B48">
      <w:pPr>
        <w:pStyle w:val="8"/>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4BF78E69">
      <w:pPr>
        <w:pStyle w:val="8"/>
        <w:spacing w:before="0" w:beforeAutospacing="0" w:after="0" w:afterAutospacing="0" w:line="360" w:lineRule="auto"/>
        <w:ind w:firstLine="420"/>
        <w:rPr>
          <w:sz w:val="21"/>
          <w:szCs w:val="21"/>
        </w:rPr>
      </w:pPr>
      <w:r>
        <w:rPr>
          <w:rFonts w:hint="eastAsia"/>
          <w:sz w:val="21"/>
          <w:szCs w:val="21"/>
        </w:rPr>
        <w:t xml:space="preserve">14、基金收益分配事项； </w:t>
      </w:r>
    </w:p>
    <w:p w14:paraId="55295BC4">
      <w:pPr>
        <w:pStyle w:val="8"/>
        <w:spacing w:before="0" w:beforeAutospacing="0" w:after="0" w:afterAutospacing="0" w:line="360" w:lineRule="auto"/>
        <w:ind w:firstLine="420"/>
        <w:rPr>
          <w:sz w:val="21"/>
          <w:szCs w:val="21"/>
        </w:rPr>
      </w:pPr>
      <w:r>
        <w:rPr>
          <w:rFonts w:hint="eastAsia"/>
          <w:sz w:val="21"/>
          <w:szCs w:val="21"/>
        </w:rPr>
        <w:t xml:space="preserve">15、管理费、托管费、申购费、赎回费等费用计提标准、计提方式和费率发生变更； </w:t>
      </w:r>
    </w:p>
    <w:p w14:paraId="62B34B44">
      <w:pPr>
        <w:pStyle w:val="8"/>
        <w:spacing w:before="0" w:beforeAutospacing="0" w:after="0" w:afterAutospacing="0" w:line="360" w:lineRule="auto"/>
        <w:ind w:firstLine="420"/>
        <w:rPr>
          <w:sz w:val="21"/>
          <w:szCs w:val="21"/>
        </w:rPr>
      </w:pPr>
      <w:r>
        <w:rPr>
          <w:rFonts w:hint="eastAsia"/>
          <w:sz w:val="21"/>
          <w:szCs w:val="21"/>
        </w:rPr>
        <w:t xml:space="preserve">16、基金份额净值计价错误达基金份额净值百分之零点五； </w:t>
      </w:r>
    </w:p>
    <w:p w14:paraId="013864A7">
      <w:pPr>
        <w:pStyle w:val="8"/>
        <w:spacing w:before="0" w:beforeAutospacing="0" w:after="0" w:afterAutospacing="0" w:line="360" w:lineRule="auto"/>
        <w:ind w:firstLine="420"/>
        <w:rPr>
          <w:sz w:val="21"/>
          <w:szCs w:val="21"/>
        </w:rPr>
      </w:pPr>
      <w:r>
        <w:rPr>
          <w:rFonts w:hint="eastAsia"/>
          <w:sz w:val="21"/>
          <w:szCs w:val="21"/>
        </w:rPr>
        <w:t xml:space="preserve">17、本基金进入开放期； </w:t>
      </w:r>
    </w:p>
    <w:p w14:paraId="0F29EB33">
      <w:pPr>
        <w:pStyle w:val="8"/>
        <w:spacing w:before="0" w:beforeAutospacing="0" w:after="0" w:afterAutospacing="0" w:line="360" w:lineRule="auto"/>
        <w:ind w:firstLine="420"/>
        <w:rPr>
          <w:sz w:val="21"/>
          <w:szCs w:val="21"/>
        </w:rPr>
      </w:pPr>
      <w:r>
        <w:rPr>
          <w:rFonts w:hint="eastAsia"/>
          <w:sz w:val="21"/>
          <w:szCs w:val="21"/>
        </w:rPr>
        <w:t xml:space="preserve">18、本基金发生巨额赎回并延缓支付赎回款项或延期办理； </w:t>
      </w:r>
    </w:p>
    <w:p w14:paraId="2422F46D">
      <w:pPr>
        <w:pStyle w:val="8"/>
        <w:spacing w:before="0" w:beforeAutospacing="0" w:after="0" w:afterAutospacing="0" w:line="360" w:lineRule="auto"/>
        <w:ind w:firstLine="420"/>
        <w:rPr>
          <w:sz w:val="21"/>
          <w:szCs w:val="21"/>
        </w:rPr>
      </w:pPr>
      <w:r>
        <w:rPr>
          <w:rFonts w:hint="eastAsia"/>
          <w:sz w:val="21"/>
          <w:szCs w:val="21"/>
        </w:rPr>
        <w:t xml:space="preserve">19、本基金暂停接受申购、赎回申请或重新接受申购、赎回申请； </w:t>
      </w:r>
    </w:p>
    <w:p w14:paraId="155A2EB2">
      <w:pPr>
        <w:pStyle w:val="8"/>
        <w:spacing w:before="0" w:beforeAutospacing="0" w:after="0" w:afterAutospacing="0" w:line="360" w:lineRule="auto"/>
        <w:ind w:firstLine="420"/>
        <w:rPr>
          <w:sz w:val="21"/>
          <w:szCs w:val="21"/>
        </w:rPr>
      </w:pPr>
      <w:r>
        <w:rPr>
          <w:rFonts w:hint="eastAsia"/>
          <w:sz w:val="21"/>
          <w:szCs w:val="21"/>
        </w:rPr>
        <w:t xml:space="preserve">20、调整基金份额类别的设置； </w:t>
      </w:r>
    </w:p>
    <w:p w14:paraId="4740C1AA">
      <w:pPr>
        <w:pStyle w:val="8"/>
        <w:spacing w:before="0" w:beforeAutospacing="0" w:after="0" w:afterAutospacing="0" w:line="360" w:lineRule="auto"/>
        <w:ind w:firstLine="420"/>
        <w:rPr>
          <w:sz w:val="21"/>
          <w:szCs w:val="21"/>
        </w:rPr>
      </w:pPr>
      <w:r>
        <w:rPr>
          <w:rFonts w:hint="eastAsia"/>
          <w:sz w:val="21"/>
          <w:szCs w:val="21"/>
        </w:rPr>
        <w:t xml:space="preserve">21、基金推出新业务或服务； </w:t>
      </w:r>
    </w:p>
    <w:p w14:paraId="01AA431A">
      <w:pPr>
        <w:pStyle w:val="8"/>
        <w:spacing w:before="0" w:beforeAutospacing="0" w:after="0" w:afterAutospacing="0" w:line="360" w:lineRule="auto"/>
        <w:ind w:firstLine="420"/>
        <w:rPr>
          <w:sz w:val="21"/>
          <w:szCs w:val="21"/>
        </w:rPr>
      </w:pPr>
      <w:r>
        <w:rPr>
          <w:rFonts w:hint="eastAsia"/>
          <w:sz w:val="21"/>
          <w:szCs w:val="21"/>
        </w:rPr>
        <w:t xml:space="preserve">22、发生涉及基金申购、赎回事项调整或潜在影响投资者赎回等重大事项时； </w:t>
      </w:r>
    </w:p>
    <w:p w14:paraId="4B1CE0F5">
      <w:pPr>
        <w:pStyle w:val="8"/>
        <w:spacing w:before="0" w:beforeAutospacing="0" w:after="0" w:afterAutospacing="0" w:line="360" w:lineRule="auto"/>
        <w:ind w:firstLine="420"/>
        <w:rPr>
          <w:sz w:val="21"/>
          <w:szCs w:val="21"/>
        </w:rPr>
      </w:pPr>
      <w:r>
        <w:rPr>
          <w:rFonts w:hint="eastAsia"/>
          <w:sz w:val="21"/>
          <w:szCs w:val="21"/>
        </w:rPr>
        <w:t xml:space="preserve">23、基金管理人采用摆动定价机制进行估值； </w:t>
      </w:r>
    </w:p>
    <w:p w14:paraId="2AF4A271">
      <w:pPr>
        <w:pStyle w:val="8"/>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24、基金信息披露义务人认为可能对基金份额持有人权益或者基金份额的价格产生重大影响的其他事项或中国证监会规定的其他事项。 </w:t>
      </w:r>
    </w:p>
    <w:p w14:paraId="356DACBD">
      <w:pPr>
        <w:pStyle w:val="8"/>
        <w:spacing w:before="0" w:beforeAutospacing="0" w:after="0" w:afterAutospacing="0" w:line="360" w:lineRule="auto"/>
        <w:ind w:firstLine="420"/>
        <w:rPr>
          <w:sz w:val="21"/>
          <w:szCs w:val="21"/>
        </w:rPr>
      </w:pPr>
      <w:r>
        <w:rPr>
          <w:rFonts w:hint="eastAsia"/>
          <w:sz w:val="21"/>
          <w:szCs w:val="21"/>
        </w:rPr>
        <w:t xml:space="preserve">（七）澄清公告 </w:t>
      </w:r>
    </w:p>
    <w:p w14:paraId="27C69EAF">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79677944">
      <w:pPr>
        <w:pStyle w:val="8"/>
        <w:spacing w:before="0" w:beforeAutospacing="0" w:after="0" w:afterAutospacing="0" w:line="360" w:lineRule="auto"/>
        <w:ind w:firstLine="420"/>
        <w:rPr>
          <w:sz w:val="21"/>
          <w:szCs w:val="21"/>
        </w:rPr>
      </w:pPr>
      <w:r>
        <w:rPr>
          <w:rFonts w:hint="eastAsia"/>
          <w:sz w:val="21"/>
          <w:szCs w:val="21"/>
        </w:rPr>
        <w:t xml:space="preserve">（八）基金份额持有人大会决议 </w:t>
      </w:r>
    </w:p>
    <w:p w14:paraId="6961A15D">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29C9534F">
      <w:pPr>
        <w:pStyle w:val="8"/>
        <w:spacing w:before="0" w:beforeAutospacing="0" w:after="0" w:afterAutospacing="0" w:line="360" w:lineRule="auto"/>
        <w:ind w:firstLine="420"/>
        <w:rPr>
          <w:sz w:val="21"/>
          <w:szCs w:val="21"/>
        </w:rPr>
      </w:pPr>
      <w:r>
        <w:rPr>
          <w:rFonts w:hint="eastAsia"/>
          <w:sz w:val="21"/>
          <w:szCs w:val="21"/>
        </w:rPr>
        <w:t xml:space="preserve">（九）清算报告 </w:t>
      </w:r>
    </w:p>
    <w:p w14:paraId="080AE4DC">
      <w:pPr>
        <w:pStyle w:val="8"/>
        <w:spacing w:before="0" w:beforeAutospacing="0" w:after="0" w:afterAutospacing="0" w:line="360" w:lineRule="auto"/>
        <w:ind w:firstLine="420"/>
        <w:rPr>
          <w:sz w:val="21"/>
          <w:szCs w:val="21"/>
        </w:rPr>
      </w:pPr>
      <w:r>
        <w:rPr>
          <w:rFonts w:hint="eastAsia"/>
          <w:sz w:val="21"/>
          <w:szCs w:val="21"/>
        </w:rPr>
        <w:t xml:space="preserve">基金合同终止情形出现的，基金管理人应当依法组织基金财产清算小组对基金财产进行清算并作出清算报告。基金财产清算小组应当将清算报告登载在指定网站上，并将清算报告提示性公告登载在指定报刊上。 </w:t>
      </w:r>
    </w:p>
    <w:p w14:paraId="3DB55526">
      <w:pPr>
        <w:pStyle w:val="8"/>
        <w:spacing w:before="0" w:beforeAutospacing="0" w:after="0" w:afterAutospacing="0" w:line="360" w:lineRule="auto"/>
        <w:ind w:firstLine="420"/>
        <w:rPr>
          <w:sz w:val="21"/>
          <w:szCs w:val="21"/>
        </w:rPr>
      </w:pPr>
      <w:r>
        <w:rPr>
          <w:rFonts w:hint="eastAsia"/>
          <w:sz w:val="21"/>
          <w:szCs w:val="21"/>
        </w:rPr>
        <w:t xml:space="preserve">（十）资产支持证券的投资情况 </w:t>
      </w:r>
    </w:p>
    <w:p w14:paraId="63ED3C90">
      <w:pPr>
        <w:pStyle w:val="8"/>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537BACAD">
      <w:pPr>
        <w:pStyle w:val="8"/>
        <w:spacing w:before="0" w:beforeAutospacing="0" w:after="0" w:afterAutospacing="0" w:line="360" w:lineRule="auto"/>
        <w:ind w:firstLine="420"/>
        <w:rPr>
          <w:sz w:val="21"/>
          <w:szCs w:val="21"/>
        </w:rPr>
      </w:pPr>
      <w:r>
        <w:rPr>
          <w:rFonts w:hint="eastAsia"/>
          <w:sz w:val="21"/>
          <w:szCs w:val="21"/>
        </w:rPr>
        <w:t xml:space="preserve">（十一）实施侧袋机制期间的信息披露 </w:t>
      </w:r>
    </w:p>
    <w:p w14:paraId="518FF69A">
      <w:pPr>
        <w:pStyle w:val="8"/>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262E3BAA">
      <w:pPr>
        <w:pStyle w:val="8"/>
        <w:spacing w:before="0" w:beforeAutospacing="0" w:after="0" w:afterAutospacing="0" w:line="360" w:lineRule="auto"/>
        <w:ind w:firstLine="420"/>
        <w:rPr>
          <w:sz w:val="21"/>
          <w:szCs w:val="21"/>
        </w:rPr>
      </w:pPr>
      <w:bookmarkStart w:id="169" w:name="chapter_level1_18_67_section_2_end"/>
      <w:bookmarkEnd w:id="169"/>
      <w:r>
        <w:rPr>
          <w:rFonts w:hint="eastAsia"/>
          <w:sz w:val="21"/>
          <w:szCs w:val="21"/>
        </w:rPr>
        <w:t xml:space="preserve">（十二）中国证监会规定的其他信息。 </w:t>
      </w:r>
    </w:p>
    <w:p w14:paraId="1F0B9DEB">
      <w:pPr>
        <w:pStyle w:val="8"/>
        <w:spacing w:before="0" w:beforeAutospacing="0" w:after="0" w:afterAutospacing="0" w:line="360" w:lineRule="auto"/>
        <w:ind w:firstLine="420"/>
        <w:rPr>
          <w:sz w:val="21"/>
          <w:szCs w:val="21"/>
        </w:rPr>
      </w:pPr>
      <w:bookmarkStart w:id="170" w:name="chapter_level1_18_67_section_3"/>
      <w:bookmarkEnd w:id="170"/>
      <w:r>
        <w:rPr>
          <w:rStyle w:val="12"/>
          <w:rFonts w:hint="eastAsia"/>
          <w:sz w:val="21"/>
          <w:szCs w:val="21"/>
        </w:rPr>
        <w:t>六、信息披露事务管理</w:t>
      </w:r>
    </w:p>
    <w:p w14:paraId="3ABBC222">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7BB6C91A">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14:paraId="5C528EE0">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14:paraId="77591743">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14:paraId="41CC6C74">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07A9B4F7">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3F4F5143">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13B56641">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24D208A4">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14:paraId="6BD75E7E">
      <w:pPr>
        <w:pStyle w:val="8"/>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61E9DB5E">
      <w:pPr>
        <w:pStyle w:val="8"/>
        <w:spacing w:before="0" w:beforeAutospacing="0" w:after="0" w:afterAutospacing="0" w:line="360" w:lineRule="auto"/>
        <w:ind w:firstLine="420"/>
        <w:rPr>
          <w:sz w:val="21"/>
          <w:szCs w:val="21"/>
        </w:rPr>
      </w:pPr>
      <w:r>
        <w:rPr>
          <w:rStyle w:val="12"/>
          <w:rFonts w:hint="eastAsia"/>
          <w:sz w:val="21"/>
          <w:szCs w:val="21"/>
        </w:rPr>
        <w:t>八、暂停或延迟信息披露的情形</w:t>
      </w:r>
    </w:p>
    <w:p w14:paraId="69CDCC1C">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1、基金投资所涉及的证券交易所遇法定节假日或因其他原因暂停营业时； </w:t>
      </w:r>
    </w:p>
    <w:p w14:paraId="43891796">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0F721EC6">
      <w:pPr>
        <w:pStyle w:val="8"/>
        <w:spacing w:before="0" w:beforeAutospacing="0" w:after="0" w:afterAutospacing="0" w:line="360" w:lineRule="auto"/>
        <w:ind w:firstLine="420"/>
        <w:rPr>
          <w:sz w:val="21"/>
          <w:szCs w:val="21"/>
        </w:rPr>
      </w:pPr>
      <w:r>
        <w:rPr>
          <w:rFonts w:hint="eastAsia"/>
          <w:sz w:val="21"/>
          <w:szCs w:val="21"/>
        </w:rPr>
        <w:t xml:space="preserve">3、暂停估值的情形； </w:t>
      </w:r>
    </w:p>
    <w:p w14:paraId="170B8B17">
      <w:pPr>
        <w:pStyle w:val="8"/>
        <w:spacing w:before="0" w:beforeAutospacing="0" w:after="0" w:afterAutospacing="0" w:line="360" w:lineRule="auto"/>
        <w:ind w:firstLine="420"/>
        <w:rPr>
          <w:sz w:val="21"/>
          <w:szCs w:val="21"/>
        </w:rPr>
      </w:pPr>
      <w:bookmarkStart w:id="171" w:name="chapter_level1_18_67_section_3_end"/>
      <w:bookmarkEnd w:id="171"/>
      <w:r>
        <w:rPr>
          <w:rFonts w:hint="eastAsia"/>
          <w:sz w:val="21"/>
          <w:szCs w:val="21"/>
        </w:rPr>
        <w:t xml:space="preserve">4、法律法规规定、中国证监会或基金合同认定的其他情形。 </w:t>
      </w:r>
    </w:p>
    <w:p w14:paraId="71D0D141">
      <w:pPr>
        <w:widowControl/>
        <w:jc w:val="left"/>
        <w:rPr>
          <w:rFonts w:ascii="宋体" w:hAnsi="宋体" w:eastAsia="宋体"/>
        </w:rPr>
      </w:pPr>
      <w:r>
        <w:rPr>
          <w:rFonts w:ascii="宋体" w:hAnsi="宋体" w:eastAsia="宋体"/>
        </w:rPr>
        <w:br w:type="page"/>
      </w:r>
    </w:p>
    <w:p w14:paraId="57319A26">
      <w:pPr>
        <w:pStyle w:val="2"/>
        <w:jc w:val="center"/>
        <w:rPr>
          <w:rFonts w:ascii="宋体" w:hAnsi="宋体" w:eastAsia="宋体"/>
          <w:sz w:val="30"/>
        </w:rPr>
      </w:pPr>
      <w:bookmarkStart w:id="172" w:name="_Toc207948777"/>
      <w:bookmarkStart w:id="173" w:name="chapter_level1_19_59159"/>
      <w:r>
        <w:rPr>
          <w:rFonts w:hint="eastAsia" w:ascii="宋体" w:hAnsi="宋体" w:eastAsia="宋体"/>
          <w:sz w:val="30"/>
        </w:rPr>
        <w:t>第十六部分 侧袋机制</w:t>
      </w:r>
      <w:bookmarkEnd w:id="172"/>
      <w:bookmarkEnd w:id="173"/>
    </w:p>
    <w:p w14:paraId="5B0FE338">
      <w:pPr>
        <w:pStyle w:val="8"/>
        <w:spacing w:before="0" w:beforeAutospacing="0" w:after="0" w:afterAutospacing="0" w:line="360" w:lineRule="auto"/>
        <w:ind w:firstLine="420"/>
        <w:rPr>
          <w:sz w:val="21"/>
          <w:szCs w:val="21"/>
        </w:rPr>
      </w:pPr>
      <w:bookmarkStart w:id="174" w:name="chapter_level1_19_59159_section_1"/>
      <w:bookmarkEnd w:id="174"/>
      <w:r>
        <w:rPr>
          <w:rFonts w:hint="eastAsia"/>
          <w:b/>
          <w:bCs/>
          <w:sz w:val="21"/>
          <w:szCs w:val="21"/>
        </w:rPr>
        <w:t>一、侧袋机制的实施条件、实施程序和特定资产范围</w:t>
      </w:r>
    </w:p>
    <w:p w14:paraId="215D0B1E">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077DE146">
      <w:pPr>
        <w:pStyle w:val="8"/>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6C9B4F26">
      <w:pPr>
        <w:pStyle w:val="8"/>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0A5A5212">
      <w:pPr>
        <w:pStyle w:val="8"/>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4782B6CD">
      <w:pPr>
        <w:pStyle w:val="8"/>
        <w:spacing w:before="0" w:beforeAutospacing="0" w:after="0" w:afterAutospacing="0" w:line="360" w:lineRule="auto"/>
        <w:ind w:firstLine="420"/>
        <w:rPr>
          <w:sz w:val="21"/>
          <w:szCs w:val="21"/>
        </w:rPr>
      </w:pPr>
      <w:r>
        <w:rPr>
          <w:rFonts w:hint="eastAsia"/>
          <w:sz w:val="21"/>
          <w:szCs w:val="21"/>
        </w:rPr>
        <w:t xml:space="preserve">1、侧袋账户 </w:t>
      </w:r>
    </w:p>
    <w:p w14:paraId="58DA0E8B">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14:paraId="3F3E94E2">
      <w:pPr>
        <w:pStyle w:val="8"/>
        <w:spacing w:before="0" w:beforeAutospacing="0" w:after="0" w:afterAutospacing="0" w:line="360" w:lineRule="auto"/>
        <w:ind w:firstLine="420"/>
        <w:rPr>
          <w:sz w:val="21"/>
          <w:szCs w:val="21"/>
        </w:rPr>
      </w:pPr>
      <w:r>
        <w:rPr>
          <w:rFonts w:hint="eastAsia"/>
          <w:sz w:val="21"/>
          <w:szCs w:val="21"/>
        </w:rPr>
        <w:t xml:space="preserve">2、主袋账户 </w:t>
      </w:r>
    </w:p>
    <w:p w14:paraId="6B6A1281">
      <w:pPr>
        <w:pStyle w:val="8"/>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14:paraId="512F4150">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14:paraId="5A25BC54">
      <w:pPr>
        <w:pStyle w:val="8"/>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02377292">
      <w:pPr>
        <w:pStyle w:val="8"/>
        <w:spacing w:before="0" w:beforeAutospacing="0" w:after="0" w:afterAutospacing="0" w:line="360" w:lineRule="auto"/>
        <w:ind w:firstLine="420"/>
        <w:rPr>
          <w:sz w:val="21"/>
          <w:szCs w:val="21"/>
        </w:rPr>
      </w:pPr>
      <w:r>
        <w:rPr>
          <w:rFonts w:hint="eastAsia"/>
          <w:sz w:val="21"/>
          <w:szCs w:val="21"/>
        </w:rPr>
        <w:t xml:space="preserve">（二）基金份额的登记 </w:t>
      </w:r>
    </w:p>
    <w:p w14:paraId="5DF2C76F">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28EE3E90">
      <w:pPr>
        <w:pStyle w:val="8"/>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60A80A75">
      <w:pPr>
        <w:pStyle w:val="8"/>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79985657">
      <w:pPr>
        <w:pStyle w:val="8"/>
        <w:spacing w:before="0" w:beforeAutospacing="0" w:after="0" w:afterAutospacing="0" w:line="360" w:lineRule="auto"/>
        <w:ind w:firstLine="420"/>
        <w:rPr>
          <w:sz w:val="21"/>
          <w:szCs w:val="21"/>
        </w:rPr>
      </w:pPr>
      <w:r>
        <w:rPr>
          <w:rFonts w:hint="eastAsia"/>
          <w:sz w:val="21"/>
          <w:szCs w:val="21"/>
        </w:rPr>
        <w:t xml:space="preserve">（三）基金的投资及业绩 </w:t>
      </w:r>
    </w:p>
    <w:p w14:paraId="0CA06D6D">
      <w:pPr>
        <w:pStyle w:val="8"/>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1AC27457">
      <w:pPr>
        <w:pStyle w:val="8"/>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5B3833D0">
      <w:pPr>
        <w:pStyle w:val="8"/>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19E7748B">
      <w:pPr>
        <w:pStyle w:val="8"/>
        <w:spacing w:before="0" w:beforeAutospacing="0" w:after="0" w:afterAutospacing="0" w:line="360" w:lineRule="auto"/>
        <w:ind w:firstLine="420"/>
        <w:rPr>
          <w:sz w:val="21"/>
          <w:szCs w:val="21"/>
        </w:rPr>
      </w:pPr>
      <w:r>
        <w:rPr>
          <w:rFonts w:hint="eastAsia"/>
          <w:sz w:val="21"/>
          <w:szCs w:val="21"/>
        </w:rPr>
        <w:t xml:space="preserve">（四）基金的估值 </w:t>
      </w:r>
    </w:p>
    <w:p w14:paraId="74B9F265">
      <w:pPr>
        <w:pStyle w:val="8"/>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17FFEAC4">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5871D098">
      <w:pPr>
        <w:pStyle w:val="8"/>
        <w:spacing w:before="0" w:beforeAutospacing="0" w:after="0" w:afterAutospacing="0" w:line="360" w:lineRule="auto"/>
        <w:ind w:firstLine="420"/>
        <w:rPr>
          <w:sz w:val="21"/>
          <w:szCs w:val="21"/>
        </w:rPr>
      </w:pPr>
      <w:r>
        <w:rPr>
          <w:rFonts w:hint="eastAsia"/>
          <w:sz w:val="21"/>
          <w:szCs w:val="21"/>
        </w:rPr>
        <w:t xml:space="preserve">（五）基金的费用 </w:t>
      </w:r>
    </w:p>
    <w:p w14:paraId="24B8DB9E">
      <w:pPr>
        <w:pStyle w:val="8"/>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14:paraId="1B78C599">
      <w:pPr>
        <w:pStyle w:val="8"/>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1BFC12E2">
      <w:pPr>
        <w:pStyle w:val="8"/>
        <w:spacing w:before="0" w:beforeAutospacing="0" w:after="0" w:afterAutospacing="0" w:line="360" w:lineRule="auto"/>
        <w:ind w:firstLine="420"/>
        <w:rPr>
          <w:sz w:val="21"/>
          <w:szCs w:val="21"/>
        </w:rPr>
      </w:pPr>
      <w:r>
        <w:rPr>
          <w:rFonts w:hint="eastAsia"/>
          <w:sz w:val="21"/>
          <w:szCs w:val="21"/>
        </w:rPr>
        <w:t xml:space="preserve">（六）基金的收益分配 </w:t>
      </w:r>
    </w:p>
    <w:p w14:paraId="1FD9384E">
      <w:pPr>
        <w:pStyle w:val="8"/>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14:paraId="51D215C5">
      <w:pPr>
        <w:pStyle w:val="8"/>
        <w:spacing w:before="0" w:beforeAutospacing="0" w:after="0" w:afterAutospacing="0" w:line="360" w:lineRule="auto"/>
        <w:ind w:firstLine="420"/>
        <w:rPr>
          <w:sz w:val="21"/>
          <w:szCs w:val="21"/>
        </w:rPr>
      </w:pPr>
      <w:r>
        <w:rPr>
          <w:rFonts w:hint="eastAsia"/>
          <w:sz w:val="21"/>
          <w:szCs w:val="21"/>
        </w:rPr>
        <w:t xml:space="preserve">（七）基金的信息披露 </w:t>
      </w:r>
    </w:p>
    <w:p w14:paraId="3CDB3FF4">
      <w:pPr>
        <w:pStyle w:val="8"/>
        <w:spacing w:before="0" w:beforeAutospacing="0" w:after="0" w:afterAutospacing="0" w:line="360" w:lineRule="auto"/>
        <w:ind w:firstLine="420"/>
        <w:rPr>
          <w:sz w:val="21"/>
          <w:szCs w:val="21"/>
        </w:rPr>
      </w:pPr>
      <w:r>
        <w:rPr>
          <w:rFonts w:hint="eastAsia"/>
          <w:sz w:val="21"/>
          <w:szCs w:val="21"/>
        </w:rPr>
        <w:t xml:space="preserve">1、基金净值信息 </w:t>
      </w:r>
    </w:p>
    <w:p w14:paraId="691AA7E4">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4D12F6A4">
      <w:pPr>
        <w:pStyle w:val="8"/>
        <w:spacing w:before="0" w:beforeAutospacing="0" w:after="0" w:afterAutospacing="0" w:line="360" w:lineRule="auto"/>
        <w:ind w:firstLine="420"/>
        <w:rPr>
          <w:sz w:val="21"/>
          <w:szCs w:val="21"/>
        </w:rPr>
      </w:pPr>
      <w:r>
        <w:rPr>
          <w:rFonts w:hint="eastAsia"/>
          <w:sz w:val="21"/>
          <w:szCs w:val="21"/>
        </w:rPr>
        <w:t xml:space="preserve">2、定期报告 </w:t>
      </w:r>
    </w:p>
    <w:p w14:paraId="46D6CCD7">
      <w:pPr>
        <w:pStyle w:val="8"/>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3A8AC2FA">
      <w:pPr>
        <w:pStyle w:val="8"/>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4FE5311D">
      <w:pPr>
        <w:pStyle w:val="8"/>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54FA6AED">
      <w:pPr>
        <w:pStyle w:val="8"/>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4AC3D50B">
      <w:pPr>
        <w:pStyle w:val="8"/>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7C7B2C51">
      <w:pPr>
        <w:pStyle w:val="8"/>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0CE336D5">
      <w:pPr>
        <w:pStyle w:val="8"/>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7EEBE7E1">
      <w:pPr>
        <w:pStyle w:val="8"/>
        <w:spacing w:before="0" w:beforeAutospacing="0" w:after="0" w:afterAutospacing="0" w:line="360" w:lineRule="auto"/>
        <w:ind w:firstLine="420"/>
        <w:rPr>
          <w:sz w:val="21"/>
          <w:szCs w:val="21"/>
        </w:rPr>
      </w:pPr>
      <w:r>
        <w:rPr>
          <w:rFonts w:hint="eastAsia"/>
          <w:sz w:val="21"/>
          <w:szCs w:val="21"/>
        </w:rPr>
        <w:t xml:space="preserve">3、临时报告 </w:t>
      </w:r>
    </w:p>
    <w:p w14:paraId="65466688">
      <w:pPr>
        <w:pStyle w:val="8"/>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09ECE390">
      <w:pPr>
        <w:pStyle w:val="8"/>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11C4A7BB">
      <w:pPr>
        <w:pStyle w:val="8"/>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7494B859">
      <w:pPr>
        <w:pStyle w:val="8"/>
        <w:spacing w:before="0" w:beforeAutospacing="0" w:after="0" w:afterAutospacing="0" w:line="360" w:lineRule="auto"/>
        <w:ind w:firstLine="420"/>
        <w:rPr>
          <w:sz w:val="21"/>
          <w:szCs w:val="21"/>
        </w:rPr>
      </w:pPr>
      <w:r>
        <w:rPr>
          <w:rFonts w:hint="eastAsia"/>
          <w:sz w:val="21"/>
          <w:szCs w:val="21"/>
        </w:rPr>
        <w:t xml:space="preserve">（八）特定资产处置清算 </w:t>
      </w:r>
    </w:p>
    <w:p w14:paraId="79B0E86D">
      <w:pPr>
        <w:pStyle w:val="8"/>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08305DE7">
      <w:pPr>
        <w:pStyle w:val="8"/>
        <w:spacing w:before="0" w:beforeAutospacing="0" w:after="0" w:afterAutospacing="0" w:line="360" w:lineRule="auto"/>
        <w:ind w:firstLine="420"/>
        <w:rPr>
          <w:sz w:val="21"/>
          <w:szCs w:val="21"/>
        </w:rPr>
      </w:pPr>
      <w:r>
        <w:rPr>
          <w:rFonts w:hint="eastAsia"/>
          <w:sz w:val="21"/>
          <w:szCs w:val="21"/>
        </w:rPr>
        <w:t xml:space="preserve">（九）侧袋的审计 </w:t>
      </w:r>
    </w:p>
    <w:p w14:paraId="55105F28">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5BC3E85B">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6CB7290B">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5FDAFD41">
      <w:pPr>
        <w:pStyle w:val="8"/>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1C75FCD5">
      <w:pPr>
        <w:pStyle w:val="8"/>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当侧袋账户资产全部完成变现后，基金管理人应参照基金清算报告的相关要求，聘请符合《证券法》规定的会计师事务所对侧袋账户进行审计并披露专项审计意见。</w:t>
      </w:r>
    </w:p>
    <w:p w14:paraId="77772298">
      <w:pPr>
        <w:pStyle w:val="8"/>
        <w:spacing w:before="0" w:beforeAutospacing="0" w:after="0" w:afterAutospacing="0" w:line="360" w:lineRule="auto"/>
        <w:ind w:firstLine="420"/>
        <w:rPr>
          <w:sz w:val="21"/>
          <w:szCs w:val="21"/>
        </w:rPr>
      </w:pPr>
      <w:r>
        <w:rPr>
          <w:rFonts w:hint="eastAsia"/>
          <w:b/>
          <w:bCs/>
          <w:sz w:val="21"/>
          <w:szCs w:val="21"/>
        </w:rPr>
        <w:t>三、</w:t>
      </w:r>
      <w:r>
        <w:rPr>
          <w:rFonts w:hint="eastAsia"/>
          <w:sz w:val="21"/>
          <w:szCs w:val="21"/>
        </w:rPr>
        <w:t>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整，</w:t>
      </w:r>
      <w:bookmarkStart w:id="175" w:name="chapter_level1_19_59159_section_1_end"/>
      <w:bookmarkEnd w:id="175"/>
      <w:r>
        <w:rPr>
          <w:rFonts w:hint="eastAsia"/>
          <w:sz w:val="21"/>
          <w:szCs w:val="21"/>
        </w:rPr>
        <w:t>无需召开基金份额持有人大会审议。</w:t>
      </w:r>
    </w:p>
    <w:p w14:paraId="2D69DDE0">
      <w:pPr>
        <w:widowControl/>
        <w:jc w:val="left"/>
        <w:rPr>
          <w:rFonts w:ascii="宋体" w:hAnsi="宋体" w:eastAsia="宋体"/>
        </w:rPr>
      </w:pPr>
      <w:r>
        <w:rPr>
          <w:rFonts w:ascii="宋体" w:hAnsi="宋体" w:eastAsia="宋体"/>
        </w:rPr>
        <w:br w:type="page"/>
      </w:r>
    </w:p>
    <w:p w14:paraId="08D163CC">
      <w:pPr>
        <w:pStyle w:val="2"/>
        <w:jc w:val="center"/>
        <w:rPr>
          <w:rFonts w:ascii="宋体" w:hAnsi="宋体" w:eastAsia="宋体"/>
          <w:sz w:val="30"/>
        </w:rPr>
      </w:pPr>
      <w:bookmarkStart w:id="176" w:name="_Toc207948778"/>
      <w:bookmarkStart w:id="177" w:name="chapter_level1_20_68"/>
      <w:r>
        <w:rPr>
          <w:rFonts w:hint="eastAsia" w:ascii="宋体" w:hAnsi="宋体" w:eastAsia="宋体"/>
          <w:sz w:val="30"/>
        </w:rPr>
        <w:t>第十七部分  风险揭示</w:t>
      </w:r>
      <w:bookmarkEnd w:id="176"/>
      <w:bookmarkEnd w:id="177"/>
    </w:p>
    <w:p w14:paraId="51055FF4">
      <w:pPr>
        <w:pStyle w:val="8"/>
        <w:spacing w:before="0" w:beforeAutospacing="0" w:after="0" w:afterAutospacing="0" w:line="360" w:lineRule="auto"/>
        <w:ind w:firstLine="420"/>
        <w:rPr>
          <w:sz w:val="21"/>
          <w:szCs w:val="21"/>
        </w:rPr>
      </w:pPr>
      <w:bookmarkStart w:id="178" w:name="chapter_level1_20_68_section_1"/>
      <w:bookmarkEnd w:id="178"/>
      <w:r>
        <w:rPr>
          <w:rStyle w:val="12"/>
          <w:rFonts w:hint="eastAsia"/>
          <w:sz w:val="21"/>
          <w:szCs w:val="21"/>
        </w:rPr>
        <w:t>一、投资于本基金的主要风险</w:t>
      </w:r>
    </w:p>
    <w:p w14:paraId="1E2066AF">
      <w:pPr>
        <w:pStyle w:val="8"/>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4B526C2E">
      <w:pPr>
        <w:pStyle w:val="8"/>
        <w:spacing w:before="0" w:beforeAutospacing="0" w:after="0" w:afterAutospacing="0" w:line="360" w:lineRule="auto"/>
        <w:ind w:firstLine="420"/>
        <w:rPr>
          <w:sz w:val="21"/>
          <w:szCs w:val="21"/>
        </w:rPr>
      </w:pPr>
      <w:r>
        <w:rPr>
          <w:rFonts w:hint="eastAsia"/>
          <w:sz w:val="21"/>
          <w:szCs w:val="21"/>
        </w:rPr>
        <w:t xml:space="preserve">1、市场风险 </w:t>
      </w:r>
    </w:p>
    <w:p w14:paraId="638FDF42">
      <w:pPr>
        <w:pStyle w:val="8"/>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27696D53">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5CA4CD06">
      <w:pPr>
        <w:pStyle w:val="8"/>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47A103F7">
      <w:pPr>
        <w:pStyle w:val="8"/>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31F43957">
      <w:pPr>
        <w:pStyle w:val="8"/>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2D8060ED">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4BB4C04E">
      <w:pPr>
        <w:pStyle w:val="8"/>
        <w:spacing w:before="0" w:beforeAutospacing="0" w:after="0" w:afterAutospacing="0" w:line="360" w:lineRule="auto"/>
        <w:ind w:firstLine="420"/>
        <w:rPr>
          <w:sz w:val="21"/>
          <w:szCs w:val="21"/>
        </w:rPr>
      </w:pPr>
      <w:r>
        <w:rPr>
          <w:rFonts w:hint="eastAsia"/>
          <w:sz w:val="21"/>
          <w:szCs w:val="21"/>
        </w:rPr>
        <w:t xml:space="preserve">（6）杠杆风险 。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068B8CA5">
      <w:pPr>
        <w:pStyle w:val="8"/>
        <w:spacing w:before="0" w:beforeAutospacing="0" w:after="0" w:afterAutospacing="0" w:line="360" w:lineRule="auto"/>
        <w:ind w:firstLine="420"/>
        <w:rPr>
          <w:sz w:val="21"/>
          <w:szCs w:val="21"/>
        </w:rPr>
      </w:pPr>
      <w:r>
        <w:rPr>
          <w:rFonts w:hint="eastAsia"/>
          <w:sz w:val="21"/>
          <w:szCs w:val="21"/>
        </w:rPr>
        <w:t xml:space="preserve">2、信用风险 </w:t>
      </w:r>
    </w:p>
    <w:p w14:paraId="6E60188F">
      <w:pPr>
        <w:pStyle w:val="8"/>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39977D32">
      <w:pPr>
        <w:pStyle w:val="8"/>
        <w:spacing w:before="0" w:beforeAutospacing="0" w:after="0" w:afterAutospacing="0" w:line="360" w:lineRule="auto"/>
        <w:ind w:firstLine="420"/>
        <w:rPr>
          <w:sz w:val="21"/>
          <w:szCs w:val="21"/>
        </w:rPr>
      </w:pPr>
      <w:r>
        <w:rPr>
          <w:rFonts w:hint="eastAsia"/>
          <w:sz w:val="21"/>
          <w:szCs w:val="21"/>
        </w:rPr>
        <w:t xml:space="preserve">3、流动性风险 </w:t>
      </w:r>
    </w:p>
    <w:p w14:paraId="09417B2B">
      <w:pPr>
        <w:pStyle w:val="8"/>
        <w:spacing w:before="0" w:beforeAutospacing="0" w:after="0" w:afterAutospacing="0" w:line="360" w:lineRule="auto"/>
        <w:ind w:firstLine="420"/>
        <w:rPr>
          <w:sz w:val="21"/>
          <w:szCs w:val="21"/>
        </w:rPr>
      </w:pPr>
      <w:r>
        <w:rPr>
          <w:rFonts w:hint="eastAsia"/>
          <w:sz w:val="21"/>
          <w:szCs w:val="21"/>
        </w:rPr>
        <w:t xml:space="preserve">是指当基金开放申购赎回后需要应对投资人的赎回时，如果基金资产不能迅速转变成现金，或者变现为现金时对资金净值产生不利的影响，从而影响基金收益的风险。本基金执行持有到期和到期日匹配的投资策略，在正常情况下面临的流动性风险较小，但因发生信用风险引发的债券或货币市场工具发行人违约或存款银行拒绝支付到期本息的风险仍然存在。 </w:t>
      </w:r>
    </w:p>
    <w:p w14:paraId="15A5F468">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0A5936BE">
      <w:pPr>
        <w:pStyle w:val="8"/>
        <w:spacing w:before="0" w:beforeAutospacing="0" w:after="0" w:afterAutospacing="0" w:line="360" w:lineRule="auto"/>
        <w:ind w:firstLine="420"/>
        <w:rPr>
          <w:sz w:val="21"/>
          <w:szCs w:val="21"/>
        </w:rPr>
      </w:pPr>
      <w:r>
        <w:rPr>
          <w:rFonts w:hint="eastAsia"/>
          <w:sz w:val="21"/>
          <w:szCs w:val="21"/>
        </w:rPr>
        <w:t xml:space="preserve">本基金在封闭期内，不办理申购、赎回业务，无流动性应对压力。在开放期内，基于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6315EBC2">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44A102B1">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现金、债券和货币市场工具等），同时本基金基于分散投资的原则在行业和个券方面未有高集中度的特征，综合评估在正常市场环境下本基金的流动性风险适中。 </w:t>
      </w:r>
    </w:p>
    <w:p w14:paraId="1D29B1C0">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4BF0AA5E">
      <w:pPr>
        <w:pStyle w:val="8"/>
        <w:spacing w:before="0" w:beforeAutospacing="0" w:after="0" w:afterAutospacing="0" w:line="360" w:lineRule="auto"/>
        <w:ind w:firstLine="420"/>
        <w:rPr>
          <w:sz w:val="21"/>
          <w:szCs w:val="21"/>
        </w:rPr>
      </w:pPr>
      <w:r>
        <w:rPr>
          <w:rFonts w:hint="eastAsia"/>
          <w:sz w:val="21"/>
          <w:szCs w:val="21"/>
        </w:rPr>
        <w:t xml:space="preserve">本基金主要投资于剩余期限（或回售期限）不超过基金剩余运作期的固定收益类工具。本基金在坚持组合久期与运作期基本匹配的原则下，主要投资于利率市场化程度较高的货币市场工具，力求组合资产在开放日前可完全变现，以应对开放日的赎回需求。在开放日，基金组合原则上保持现金状态，因此在正常情况下，本基金不适用巨额赎回的条款，所有赎回申请都能有效应对。 </w:t>
      </w:r>
    </w:p>
    <w:p w14:paraId="49A1EEC7">
      <w:pPr>
        <w:pStyle w:val="8"/>
        <w:spacing w:before="0" w:beforeAutospacing="0" w:after="0" w:afterAutospacing="0" w:line="360" w:lineRule="auto"/>
        <w:ind w:firstLine="420"/>
        <w:rPr>
          <w:sz w:val="21"/>
          <w:szCs w:val="21"/>
        </w:rPr>
      </w:pPr>
      <w:r>
        <w:rPr>
          <w:rFonts w:hint="eastAsia"/>
          <w:sz w:val="21"/>
          <w:szCs w:val="21"/>
        </w:rPr>
        <w:t xml:space="preserve">特殊情况下，如果基金出现巨额赎回情形下，基金管理人可以根据基金当时的资产组合状况或巨额赎回份额占比情况决定全额赎回或延缓支付赎回款项或延期办理。如本基金单个基金份额持有人在单个开放日申请赎回基金份额超过基金总份额一定比例以上的，基金管理人有权对超出部分采取延期办理赎回申请或延缓支付赎回款项的措施。 </w:t>
      </w:r>
    </w:p>
    <w:p w14:paraId="01950847">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7B18B523">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79D9A93F">
      <w:pPr>
        <w:pStyle w:val="8"/>
        <w:spacing w:before="0" w:beforeAutospacing="0" w:after="0" w:afterAutospacing="0" w:line="360" w:lineRule="auto"/>
        <w:ind w:firstLine="420"/>
        <w:rPr>
          <w:sz w:val="21"/>
          <w:szCs w:val="21"/>
        </w:rPr>
      </w:pPr>
      <w:r>
        <w:rPr>
          <w:rFonts w:hint="eastAsia"/>
          <w:sz w:val="21"/>
          <w:szCs w:val="21"/>
        </w:rPr>
        <w:t xml:space="preserve">（5）启用侧袋机制的风险 </w:t>
      </w:r>
    </w:p>
    <w:p w14:paraId="743774DD">
      <w:pPr>
        <w:pStyle w:val="8"/>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734679D9">
      <w:pPr>
        <w:pStyle w:val="8"/>
        <w:spacing w:before="0" w:beforeAutospacing="0" w:after="0" w:afterAutospacing="0" w:line="360" w:lineRule="auto"/>
        <w:ind w:firstLine="420"/>
        <w:rPr>
          <w:sz w:val="21"/>
          <w:szCs w:val="21"/>
        </w:rPr>
      </w:pPr>
      <w:r>
        <w:rPr>
          <w:rFonts w:hint="eastAsia"/>
          <w:sz w:val="21"/>
          <w:szCs w:val="21"/>
        </w:rPr>
        <w:t xml:space="preserve">4、操作风险 </w:t>
      </w:r>
    </w:p>
    <w:p w14:paraId="36E66003">
      <w:pPr>
        <w:pStyle w:val="8"/>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60BF7E74">
      <w:pPr>
        <w:pStyle w:val="8"/>
        <w:spacing w:before="0" w:beforeAutospacing="0" w:after="0" w:afterAutospacing="0" w:line="360" w:lineRule="auto"/>
        <w:ind w:firstLine="420"/>
        <w:rPr>
          <w:sz w:val="21"/>
          <w:szCs w:val="21"/>
        </w:rPr>
      </w:pPr>
      <w:r>
        <w:rPr>
          <w:rFonts w:hint="eastAsia"/>
          <w:sz w:val="21"/>
          <w:szCs w:val="21"/>
        </w:rPr>
        <w:t xml:space="preserve">5、管理风险 </w:t>
      </w:r>
    </w:p>
    <w:p w14:paraId="595C96AA">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438F09DE">
      <w:pPr>
        <w:pStyle w:val="8"/>
        <w:spacing w:before="0" w:beforeAutospacing="0" w:after="0" w:afterAutospacing="0" w:line="360" w:lineRule="auto"/>
        <w:ind w:firstLine="420"/>
        <w:rPr>
          <w:sz w:val="21"/>
          <w:szCs w:val="21"/>
        </w:rPr>
      </w:pPr>
      <w:r>
        <w:rPr>
          <w:rFonts w:hint="eastAsia"/>
          <w:sz w:val="21"/>
          <w:szCs w:val="21"/>
        </w:rPr>
        <w:t xml:space="preserve">6、合规风险 </w:t>
      </w:r>
    </w:p>
    <w:p w14:paraId="27C308B8">
      <w:pPr>
        <w:pStyle w:val="8"/>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4DB56713">
      <w:pPr>
        <w:pStyle w:val="8"/>
        <w:spacing w:before="0" w:beforeAutospacing="0" w:after="0" w:afterAutospacing="0" w:line="360" w:lineRule="auto"/>
        <w:ind w:firstLine="420"/>
        <w:rPr>
          <w:sz w:val="21"/>
          <w:szCs w:val="21"/>
        </w:rPr>
      </w:pPr>
      <w:r>
        <w:rPr>
          <w:rFonts w:hint="eastAsia"/>
          <w:sz w:val="21"/>
          <w:szCs w:val="21"/>
        </w:rPr>
        <w:t xml:space="preserve">7、本基金的特有风险 </w:t>
      </w:r>
    </w:p>
    <w:p w14:paraId="7953C3D0">
      <w:pPr>
        <w:pStyle w:val="8"/>
        <w:spacing w:before="0" w:beforeAutospacing="0" w:after="0" w:afterAutospacing="0" w:line="360" w:lineRule="auto"/>
        <w:ind w:firstLine="420"/>
        <w:rPr>
          <w:sz w:val="21"/>
          <w:szCs w:val="21"/>
        </w:rPr>
      </w:pPr>
      <w:r>
        <w:rPr>
          <w:rFonts w:hint="eastAsia"/>
          <w:sz w:val="21"/>
          <w:szCs w:val="21"/>
        </w:rPr>
        <w:t xml:space="preserve">（1）本基金为采用固定组合策略的定期开放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67810482">
      <w:pPr>
        <w:pStyle w:val="8"/>
        <w:spacing w:before="0" w:beforeAutospacing="0" w:after="0" w:afterAutospacing="0" w:line="360" w:lineRule="auto"/>
        <w:ind w:firstLine="420"/>
        <w:rPr>
          <w:sz w:val="21"/>
          <w:szCs w:val="21"/>
        </w:rPr>
      </w:pPr>
      <w:r>
        <w:rPr>
          <w:rFonts w:hint="eastAsia"/>
          <w:sz w:val="21"/>
          <w:szCs w:val="21"/>
        </w:rPr>
        <w:t xml:space="preserve">（2）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2214380D">
      <w:pPr>
        <w:pStyle w:val="8"/>
        <w:spacing w:before="0" w:beforeAutospacing="0" w:after="0" w:afterAutospacing="0" w:line="360" w:lineRule="auto"/>
        <w:ind w:firstLine="420"/>
        <w:rPr>
          <w:sz w:val="21"/>
          <w:szCs w:val="21"/>
        </w:rPr>
      </w:pPr>
      <w:r>
        <w:rPr>
          <w:rFonts w:hint="eastAsia"/>
          <w:sz w:val="21"/>
          <w:szCs w:val="21"/>
        </w:rPr>
        <w:t xml:space="preserve">（3）本基金在封闭期内不开放基金份额的申购与赎回，投资人在封闭运作期间存在无法按照基金份额净值进行赎回的风险。本基金以定期开放的方式运作，即采用封闭运作和开放运作交替循环的方式。自基金合同生效之日起（包括基金合同生效之日）或自每一开放期结束之日次日起（包括该日）39个月的期间，本基金采取封闭运作模式，基金份额持有人不能赎回基金份额，因此，若基金份额持有人错过某一开放期而未能赎回，其份额将转入下一封闭期，至下一开放期方可赎回。 </w:t>
      </w:r>
    </w:p>
    <w:p w14:paraId="34EF37C8">
      <w:pPr>
        <w:pStyle w:val="8"/>
        <w:spacing w:before="0" w:beforeAutospacing="0" w:after="0" w:afterAutospacing="0" w:line="360" w:lineRule="auto"/>
        <w:ind w:firstLine="420"/>
        <w:rPr>
          <w:sz w:val="21"/>
          <w:szCs w:val="21"/>
        </w:rPr>
      </w:pPr>
      <w:r>
        <w:rPr>
          <w:rFonts w:hint="eastAsia"/>
          <w:sz w:val="21"/>
          <w:szCs w:val="21"/>
        </w:rPr>
        <w:t xml:space="preserve">（4）基金合同生效后的存续期内，出现以下三种情况，本基金可能有暂停基金的运作的风险。 </w:t>
      </w:r>
    </w:p>
    <w:p w14:paraId="5E5F7039">
      <w:pPr>
        <w:pStyle w:val="8"/>
        <w:spacing w:before="0" w:beforeAutospacing="0" w:after="0" w:afterAutospacing="0" w:line="360" w:lineRule="auto"/>
        <w:ind w:firstLine="420"/>
        <w:rPr>
          <w:sz w:val="21"/>
          <w:szCs w:val="21"/>
        </w:rPr>
      </w:pPr>
      <w:r>
        <w:rPr>
          <w:rFonts w:hint="eastAsia"/>
          <w:sz w:val="21"/>
          <w:szCs w:val="21"/>
        </w:rPr>
        <w:t xml:space="preserve">1）在每个封闭期到期前，基金管理人可根据市场情况、本基金的投资策略决定本基金进入开放期或暂停进入开放期。具体安排以基金管理人届时公告为准。 </w:t>
      </w:r>
    </w:p>
    <w:p w14:paraId="19302E7C">
      <w:pPr>
        <w:pStyle w:val="8"/>
        <w:spacing w:before="0" w:beforeAutospacing="0" w:after="0" w:afterAutospacing="0" w:line="360" w:lineRule="auto"/>
        <w:ind w:firstLine="420"/>
        <w:rPr>
          <w:sz w:val="21"/>
          <w:szCs w:val="21"/>
        </w:rPr>
      </w:pPr>
      <w:r>
        <w:rPr>
          <w:rFonts w:hint="eastAsia"/>
          <w:sz w:val="21"/>
          <w:szCs w:val="21"/>
        </w:rPr>
        <w:t xml:space="preserve">出现前述暂停运作情况时，除基金合同另有约定外，基金将在封闭期结束之日的下一个工作日将全部基金份额自动赎回。在该封闭期结束后本基金将不开放申购和转换转入业务。 </w:t>
      </w:r>
    </w:p>
    <w:p w14:paraId="40DB0CBA">
      <w:pPr>
        <w:pStyle w:val="8"/>
        <w:spacing w:before="0" w:beforeAutospacing="0" w:after="0" w:afterAutospacing="0" w:line="360" w:lineRule="auto"/>
        <w:ind w:firstLine="420"/>
        <w:rPr>
          <w:sz w:val="21"/>
          <w:szCs w:val="21"/>
        </w:rPr>
      </w:pPr>
      <w:r>
        <w:rPr>
          <w:rFonts w:hint="eastAsia"/>
          <w:sz w:val="21"/>
          <w:szCs w:val="21"/>
        </w:rPr>
        <w:t xml:space="preserve">同时，为避免基金份额持有人利益因基金份额净值的小数点保留精度受到不利影响，基金管理人可提高该封闭期结束之日的下一个工作日的基金份额净值的精度。 </w:t>
      </w:r>
    </w:p>
    <w:p w14:paraId="587C637C">
      <w:pPr>
        <w:pStyle w:val="8"/>
        <w:spacing w:before="0" w:beforeAutospacing="0" w:after="0" w:afterAutospacing="0" w:line="360" w:lineRule="auto"/>
        <w:ind w:firstLine="420"/>
        <w:rPr>
          <w:sz w:val="21"/>
          <w:szCs w:val="21"/>
        </w:rPr>
      </w:pPr>
      <w:r>
        <w:rPr>
          <w:rFonts w:hint="eastAsia"/>
          <w:sz w:val="21"/>
          <w:szCs w:val="21"/>
        </w:rPr>
        <w:t xml:space="preserve">2）截至某个开放期最后一日日终，如果本基金的基金资产净值加上本基金开放期最后一日交易申请确认的申购确认金额及转换转入确认金额，扣除赎回确认金额及转换转出确认金额后的余额低于5000万元或基金份额持有人数量不满200人的，则基金管理人可决定暂停下一封闭期运作。具体安排以基金管理人届时公告为准。 </w:t>
      </w:r>
    </w:p>
    <w:p w14:paraId="5B6B7559">
      <w:pPr>
        <w:pStyle w:val="8"/>
        <w:spacing w:before="0" w:beforeAutospacing="0" w:after="0" w:afterAutospacing="0" w:line="360" w:lineRule="auto"/>
        <w:ind w:firstLine="420"/>
        <w:rPr>
          <w:sz w:val="21"/>
          <w:szCs w:val="21"/>
        </w:rPr>
      </w:pPr>
      <w:r>
        <w:rPr>
          <w:rFonts w:hint="eastAsia"/>
          <w:sz w:val="21"/>
          <w:szCs w:val="21"/>
        </w:rPr>
        <w:t xml:space="preserve">出现前述暂停运作情况时，投资人有效赎回申请正常确认；投资人未确认的申购申请对应的已缴纳申购款项本金将全部退回；对于该开放期最后一日当日日终留存的基金份额，将全部自动赎回。 </w:t>
      </w:r>
    </w:p>
    <w:p w14:paraId="0B10B4A9">
      <w:pPr>
        <w:pStyle w:val="8"/>
        <w:spacing w:before="0" w:beforeAutospacing="0" w:after="0" w:afterAutospacing="0" w:line="360" w:lineRule="auto"/>
        <w:ind w:firstLine="420"/>
        <w:rPr>
          <w:sz w:val="21"/>
          <w:szCs w:val="21"/>
        </w:rPr>
      </w:pPr>
      <w:r>
        <w:rPr>
          <w:rFonts w:hint="eastAsia"/>
          <w:sz w:val="21"/>
          <w:szCs w:val="21"/>
        </w:rPr>
        <w:t xml:space="preserve">同时，为避免基金份额持有人利益因基金份额净值的小数点保留精度受到不利影响，基金管理人可提高该开放期最后一日的基金份额净值的精度。 </w:t>
      </w:r>
    </w:p>
    <w:p w14:paraId="34B8B9DC">
      <w:pPr>
        <w:pStyle w:val="8"/>
        <w:spacing w:before="0" w:beforeAutospacing="0" w:after="0" w:afterAutospacing="0" w:line="360" w:lineRule="auto"/>
        <w:ind w:firstLine="420"/>
        <w:rPr>
          <w:sz w:val="21"/>
          <w:szCs w:val="21"/>
        </w:rPr>
      </w:pPr>
      <w:r>
        <w:rPr>
          <w:rFonts w:hint="eastAsia"/>
          <w:sz w:val="21"/>
          <w:szCs w:val="21"/>
        </w:rPr>
        <w:t xml:space="preserve">3）封闭期到期日因部分资产无法变现，或者无法以合理价格变现，导致基金部分资产尚未变现的，基金应当暂停进入下一个开放期。出现前述暂停运作情况时，封闭期结束的下一个工作日基金份额应全部自动赎回，就已变现的基金财产按比例支付赎回款项，未变现的基金资产对应的赎回款延缓支付，待该部分基金资产变现后支付剩余赎回款项，赎回价格按全部资产最终变现金额确定。基金管理人应当就上述延缓支付的部分赎回款的原因和安排在封闭期结束后的下一个工作日发布公告，并提示最终赎回价格与封闭到期日的净值可能存在差异的风险。 </w:t>
      </w:r>
    </w:p>
    <w:p w14:paraId="3EC853BC">
      <w:pPr>
        <w:pStyle w:val="8"/>
        <w:spacing w:before="0" w:beforeAutospacing="0" w:after="0" w:afterAutospacing="0" w:line="360" w:lineRule="auto"/>
        <w:ind w:firstLine="420"/>
        <w:rPr>
          <w:sz w:val="21"/>
          <w:szCs w:val="21"/>
        </w:rPr>
      </w:pPr>
      <w:r>
        <w:rPr>
          <w:rFonts w:hint="eastAsia"/>
          <w:sz w:val="21"/>
          <w:szCs w:val="21"/>
        </w:rPr>
        <w:t xml:space="preserve">（5）本基金在封闭期内严格执行买入并持有到期策略构建投资组合，所投金融资产持有到期，可能会损失一定的交易收益。本基金采用摊余成本核算不等同于保本，基金资产计提减值准备，可能导致基金份额净值下跌。 </w:t>
      </w:r>
    </w:p>
    <w:p w14:paraId="27C04802">
      <w:pPr>
        <w:pStyle w:val="8"/>
        <w:spacing w:before="0" w:beforeAutospacing="0" w:after="0" w:afterAutospacing="0" w:line="360" w:lineRule="auto"/>
        <w:ind w:firstLine="420"/>
        <w:rPr>
          <w:sz w:val="21"/>
          <w:szCs w:val="21"/>
        </w:rPr>
      </w:pPr>
      <w:r>
        <w:rPr>
          <w:rFonts w:hint="eastAsia"/>
          <w:sz w:val="21"/>
          <w:szCs w:val="21"/>
        </w:rPr>
        <w:t xml:space="preserve">8、操作或技术风险 </w:t>
      </w:r>
    </w:p>
    <w:p w14:paraId="601D3725">
      <w:pPr>
        <w:pStyle w:val="8"/>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证券登记结算机构等。 </w:t>
      </w:r>
    </w:p>
    <w:p w14:paraId="5D6B40D1">
      <w:pPr>
        <w:pStyle w:val="8"/>
        <w:spacing w:before="0" w:beforeAutospacing="0" w:after="0" w:afterAutospacing="0" w:line="360" w:lineRule="auto"/>
        <w:ind w:firstLine="420"/>
        <w:rPr>
          <w:sz w:val="21"/>
          <w:szCs w:val="21"/>
        </w:rPr>
      </w:pPr>
      <w:r>
        <w:rPr>
          <w:rFonts w:hint="eastAsia"/>
          <w:sz w:val="21"/>
          <w:szCs w:val="21"/>
        </w:rPr>
        <w:t xml:space="preserve">（2）操作风险：证券交易所、证券登记结算机构等在业务操作过程中，因操作失误或违反操作规程而引起的风险。 </w:t>
      </w:r>
    </w:p>
    <w:p w14:paraId="5B316823">
      <w:pPr>
        <w:pStyle w:val="8"/>
        <w:spacing w:before="0" w:beforeAutospacing="0" w:after="0" w:afterAutospacing="0" w:line="360" w:lineRule="auto"/>
        <w:ind w:firstLine="420"/>
        <w:rPr>
          <w:sz w:val="21"/>
          <w:szCs w:val="21"/>
        </w:rPr>
      </w:pPr>
      <w:r>
        <w:rPr>
          <w:rFonts w:hint="eastAsia"/>
          <w:sz w:val="21"/>
          <w:szCs w:val="21"/>
        </w:rPr>
        <w:t xml:space="preserve">9、其它风险 </w:t>
      </w:r>
    </w:p>
    <w:p w14:paraId="4906464D">
      <w:pPr>
        <w:pStyle w:val="8"/>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4DDA3D08">
      <w:pPr>
        <w:pStyle w:val="8"/>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5CB20F7F">
      <w:pPr>
        <w:pStyle w:val="8"/>
        <w:spacing w:before="0" w:beforeAutospacing="0" w:after="0" w:afterAutospacing="0" w:line="360" w:lineRule="auto"/>
        <w:ind w:firstLine="420"/>
        <w:rPr>
          <w:sz w:val="21"/>
          <w:szCs w:val="21"/>
        </w:rPr>
      </w:pPr>
      <w:r>
        <w:rPr>
          <w:rStyle w:val="12"/>
          <w:rFonts w:hint="eastAsia"/>
          <w:sz w:val="21"/>
          <w:szCs w:val="21"/>
        </w:rPr>
        <w:t>二、声明</w:t>
      </w:r>
    </w:p>
    <w:p w14:paraId="4AEB5013">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031C3571">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79" w:name="chapter_level1_20_68_section_1_end"/>
      <w:bookmarkEnd w:id="179"/>
      <w:r>
        <w:rPr>
          <w:rFonts w:hint="eastAsia"/>
          <w:sz w:val="21"/>
          <w:szCs w:val="21"/>
        </w:rPr>
        <w:t xml:space="preserve">理人与基金销售机构都不能保证其收益或本金安全。 </w:t>
      </w:r>
    </w:p>
    <w:p w14:paraId="065B8855">
      <w:pPr>
        <w:widowControl/>
        <w:jc w:val="left"/>
        <w:rPr>
          <w:rFonts w:ascii="宋体" w:hAnsi="宋体" w:eastAsia="宋体"/>
        </w:rPr>
      </w:pPr>
      <w:r>
        <w:rPr>
          <w:rFonts w:ascii="宋体" w:hAnsi="宋体" w:eastAsia="宋体"/>
        </w:rPr>
        <w:br w:type="page"/>
      </w:r>
    </w:p>
    <w:p w14:paraId="64B180E4">
      <w:pPr>
        <w:pStyle w:val="2"/>
        <w:jc w:val="center"/>
        <w:rPr>
          <w:rFonts w:ascii="宋体" w:hAnsi="宋体" w:eastAsia="宋体"/>
          <w:sz w:val="30"/>
        </w:rPr>
      </w:pPr>
      <w:bookmarkStart w:id="180" w:name="chapter_level1_21_69"/>
      <w:bookmarkStart w:id="181" w:name="_Toc207948779"/>
      <w:r>
        <w:rPr>
          <w:rFonts w:hint="eastAsia" w:ascii="宋体" w:hAnsi="宋体" w:eastAsia="宋体"/>
          <w:sz w:val="30"/>
        </w:rPr>
        <w:t>第十八部分  基金合同的变更、终止与基金财产的清算</w:t>
      </w:r>
      <w:bookmarkEnd w:id="180"/>
      <w:bookmarkEnd w:id="181"/>
    </w:p>
    <w:p w14:paraId="606A5DFF">
      <w:pPr>
        <w:pStyle w:val="8"/>
        <w:spacing w:before="0" w:beforeAutospacing="0" w:after="0" w:afterAutospacing="0" w:line="360" w:lineRule="auto"/>
        <w:ind w:firstLine="420"/>
        <w:rPr>
          <w:sz w:val="21"/>
          <w:szCs w:val="21"/>
        </w:rPr>
      </w:pPr>
      <w:bookmarkStart w:id="182" w:name="chapter_level1_21_69_section_1"/>
      <w:bookmarkEnd w:id="182"/>
      <w:r>
        <w:rPr>
          <w:rStyle w:val="12"/>
          <w:rFonts w:hint="eastAsia"/>
          <w:sz w:val="21"/>
          <w:szCs w:val="21"/>
        </w:rPr>
        <w:t>一、《基金合同》的变更</w:t>
      </w:r>
    </w:p>
    <w:p w14:paraId="629F27F8">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69EA251F">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430F4E67">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279D4C86">
      <w:pPr>
        <w:pStyle w:val="8"/>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2D873534">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B833693">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F124FA0">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68CD5CD9">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24F0C101">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4201402A">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1A8566C3">
      <w:pPr>
        <w:pStyle w:val="8"/>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39084F64">
      <w:pPr>
        <w:pStyle w:val="8"/>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69C10E63">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4E9E3553">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2BD8C6F7">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3C570EB">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803BD83">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2CE9E02">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2D2B0DA8">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B73593A">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FFE99FA">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4E700E3">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4928DD74">
      <w:pPr>
        <w:pStyle w:val="8"/>
        <w:spacing w:before="0" w:beforeAutospacing="0" w:after="0" w:afterAutospacing="0" w:line="360" w:lineRule="auto"/>
        <w:ind w:firstLine="420"/>
        <w:rPr>
          <w:sz w:val="21"/>
          <w:szCs w:val="21"/>
        </w:rPr>
      </w:pPr>
      <w:r>
        <w:rPr>
          <w:rStyle w:val="12"/>
          <w:rFonts w:hint="eastAsia"/>
          <w:sz w:val="21"/>
          <w:szCs w:val="21"/>
        </w:rPr>
        <w:t>四、清算费用</w:t>
      </w:r>
    </w:p>
    <w:p w14:paraId="79A92BE2">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2C401AD">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61AD8494">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3553A628">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61A1B259">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207EBF23">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7F314123">
      <w:pPr>
        <w:pStyle w:val="8"/>
        <w:spacing w:before="0" w:beforeAutospacing="0" w:after="0" w:afterAutospacing="0" w:line="360" w:lineRule="auto"/>
        <w:ind w:firstLine="420"/>
        <w:rPr>
          <w:sz w:val="21"/>
          <w:szCs w:val="21"/>
        </w:rPr>
      </w:pPr>
      <w:bookmarkStart w:id="183" w:name="chapter_level1_21_69_section_1_end"/>
      <w:bookmarkEnd w:id="183"/>
      <w:r>
        <w:rPr>
          <w:rFonts w:hint="eastAsia"/>
          <w:sz w:val="21"/>
          <w:szCs w:val="21"/>
        </w:rPr>
        <w:t xml:space="preserve">基金财产清算账册及有关文件由基金托管人保存15年以上。 </w:t>
      </w:r>
    </w:p>
    <w:p w14:paraId="15DB6F3F">
      <w:pPr>
        <w:widowControl/>
        <w:jc w:val="left"/>
        <w:rPr>
          <w:rFonts w:ascii="宋体" w:hAnsi="宋体" w:eastAsia="宋体"/>
        </w:rPr>
      </w:pPr>
      <w:r>
        <w:rPr>
          <w:rFonts w:ascii="宋体" w:hAnsi="宋体" w:eastAsia="宋体"/>
        </w:rPr>
        <w:br w:type="page"/>
      </w:r>
    </w:p>
    <w:p w14:paraId="08F5EB5C">
      <w:pPr>
        <w:pStyle w:val="2"/>
        <w:jc w:val="center"/>
        <w:rPr>
          <w:rFonts w:ascii="宋体" w:hAnsi="宋体" w:eastAsia="宋体"/>
          <w:sz w:val="30"/>
        </w:rPr>
      </w:pPr>
      <w:bookmarkStart w:id="184" w:name="chapter_level1_22_71"/>
      <w:bookmarkStart w:id="185" w:name="_Toc207948780"/>
      <w:r>
        <w:rPr>
          <w:rFonts w:hint="eastAsia" w:ascii="宋体" w:hAnsi="宋体" w:eastAsia="宋体"/>
          <w:sz w:val="30"/>
        </w:rPr>
        <w:t>第十九部分  基金合同的内容摘要</w:t>
      </w:r>
      <w:bookmarkEnd w:id="184"/>
      <w:bookmarkEnd w:id="185"/>
    </w:p>
    <w:p w14:paraId="0460226C">
      <w:pPr>
        <w:pStyle w:val="8"/>
        <w:spacing w:before="0" w:beforeAutospacing="0" w:after="0" w:afterAutospacing="0" w:line="360" w:lineRule="auto"/>
        <w:ind w:firstLine="420"/>
        <w:rPr>
          <w:sz w:val="21"/>
          <w:szCs w:val="21"/>
        </w:rPr>
      </w:pPr>
      <w:bookmarkStart w:id="186" w:name="chapter_level1_22_71_section_1"/>
      <w:bookmarkEnd w:id="186"/>
      <w:r>
        <w:rPr>
          <w:rStyle w:val="12"/>
          <w:rFonts w:hint="eastAsia"/>
          <w:sz w:val="21"/>
          <w:szCs w:val="21"/>
        </w:rPr>
        <w:t>一、基金份额持有人、基金管理人和基金托管人的权利、义务</w:t>
      </w:r>
    </w:p>
    <w:p w14:paraId="451B62B8">
      <w:pPr>
        <w:pStyle w:val="8"/>
        <w:spacing w:before="0" w:beforeAutospacing="0" w:after="0" w:afterAutospacing="0" w:line="360" w:lineRule="auto"/>
        <w:ind w:firstLine="420"/>
        <w:rPr>
          <w:sz w:val="21"/>
          <w:szCs w:val="21"/>
        </w:rPr>
      </w:pPr>
      <w:r>
        <w:rPr>
          <w:rFonts w:hint="eastAsia"/>
          <w:sz w:val="21"/>
          <w:szCs w:val="21"/>
        </w:rPr>
        <w:t xml:space="preserve">（一）   基金管理人简况 </w:t>
      </w:r>
    </w:p>
    <w:p w14:paraId="15E1C999">
      <w:pPr>
        <w:pStyle w:val="8"/>
        <w:spacing w:before="0" w:beforeAutospacing="0" w:after="0" w:afterAutospacing="0" w:line="360" w:lineRule="auto"/>
        <w:ind w:firstLine="420"/>
        <w:rPr>
          <w:sz w:val="21"/>
          <w:szCs w:val="21"/>
        </w:rPr>
      </w:pPr>
      <w:r>
        <w:rPr>
          <w:rFonts w:hint="eastAsia"/>
          <w:sz w:val="21"/>
          <w:szCs w:val="21"/>
        </w:rPr>
        <w:t>名称：</w:t>
      </w:r>
      <w:bookmarkStart w:id="187" w:name="field_0_managerorgfullname_6"/>
      <w:r>
        <w:rPr>
          <w:rFonts w:hint="eastAsia"/>
          <w:sz w:val="21"/>
          <w:szCs w:val="21"/>
        </w:rPr>
        <w:t>博时基金管理有限公司</w:t>
      </w:r>
      <w:bookmarkEnd w:id="187"/>
      <w:r>
        <w:rPr>
          <w:rFonts w:hint="eastAsia"/>
          <w:sz w:val="21"/>
          <w:szCs w:val="21"/>
        </w:rPr>
        <w:t xml:space="preserve">  </w:t>
      </w:r>
    </w:p>
    <w:p w14:paraId="6308BC67">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279DE70">
      <w:pPr>
        <w:pStyle w:val="8"/>
        <w:spacing w:before="0" w:beforeAutospacing="0" w:after="0" w:afterAutospacing="0" w:line="360" w:lineRule="auto"/>
        <w:ind w:firstLine="420"/>
        <w:rPr>
          <w:rFonts w:hint="eastAsia" w:eastAsia="宋体"/>
          <w:sz w:val="21"/>
          <w:szCs w:val="21"/>
          <w:lang w:eastAsia="zh-CN"/>
        </w:rPr>
      </w:pPr>
      <w:r>
        <w:rPr>
          <w:rFonts w:hint="eastAsia"/>
          <w:sz w:val="21"/>
          <w:szCs w:val="21"/>
        </w:rPr>
        <w:t>法定代表人：</w:t>
      </w:r>
      <w:r>
        <w:rPr>
          <w:rFonts w:hint="eastAsia"/>
          <w:sz w:val="21"/>
          <w:szCs w:val="21"/>
          <w:lang w:val="en-US" w:eastAsia="zh-CN"/>
        </w:rPr>
        <w:t xml:space="preserve">张东        </w:t>
      </w:r>
    </w:p>
    <w:p w14:paraId="4F42B363">
      <w:pPr>
        <w:pStyle w:val="8"/>
        <w:spacing w:before="0" w:beforeAutospacing="0" w:after="0" w:afterAutospacing="0" w:line="360" w:lineRule="auto"/>
        <w:ind w:firstLine="420"/>
        <w:rPr>
          <w:sz w:val="21"/>
          <w:szCs w:val="21"/>
        </w:rPr>
      </w:pPr>
      <w:r>
        <w:rPr>
          <w:rFonts w:hint="eastAsia"/>
          <w:sz w:val="21"/>
          <w:szCs w:val="21"/>
        </w:rPr>
        <w:t xml:space="preserve">设立日期：1998年7月13日 </w:t>
      </w:r>
    </w:p>
    <w:p w14:paraId="12E74B98">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181323A4">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14:paraId="485692B5">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347DC984">
      <w:pPr>
        <w:pStyle w:val="8"/>
        <w:spacing w:before="0" w:beforeAutospacing="0" w:after="0" w:afterAutospacing="0" w:line="360" w:lineRule="auto"/>
        <w:ind w:firstLine="420"/>
        <w:rPr>
          <w:sz w:val="21"/>
          <w:szCs w:val="21"/>
        </w:rPr>
      </w:pPr>
      <w:r>
        <w:rPr>
          <w:rFonts w:hint="eastAsia"/>
          <w:sz w:val="21"/>
          <w:szCs w:val="21"/>
        </w:rPr>
        <w:t xml:space="preserve">存续期限：持续经营 </w:t>
      </w:r>
    </w:p>
    <w:p w14:paraId="2785C40B">
      <w:pPr>
        <w:pStyle w:val="8"/>
        <w:spacing w:before="0" w:beforeAutospacing="0" w:after="0" w:afterAutospacing="0" w:line="360" w:lineRule="auto"/>
        <w:ind w:firstLine="420"/>
        <w:rPr>
          <w:sz w:val="21"/>
          <w:szCs w:val="21"/>
        </w:rPr>
      </w:pPr>
      <w:r>
        <w:rPr>
          <w:rFonts w:hint="eastAsia"/>
          <w:sz w:val="21"/>
          <w:szCs w:val="21"/>
        </w:rPr>
        <w:t xml:space="preserve">联系电话：0755-83169999 </w:t>
      </w:r>
    </w:p>
    <w:p w14:paraId="565A93F5">
      <w:pPr>
        <w:pStyle w:val="8"/>
        <w:spacing w:before="0" w:beforeAutospacing="0" w:after="0" w:afterAutospacing="0" w:line="360" w:lineRule="auto"/>
        <w:ind w:firstLine="420"/>
        <w:rPr>
          <w:sz w:val="21"/>
          <w:szCs w:val="21"/>
        </w:rPr>
      </w:pPr>
      <w:r>
        <w:rPr>
          <w:rFonts w:hint="eastAsia"/>
          <w:sz w:val="21"/>
          <w:szCs w:val="21"/>
        </w:rPr>
        <w:t xml:space="preserve">（二）   基金管理人的权利与义务 </w:t>
      </w:r>
    </w:p>
    <w:p w14:paraId="28D33BE3">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68730FE6">
      <w:pPr>
        <w:pStyle w:val="8"/>
        <w:spacing w:before="0" w:beforeAutospacing="0" w:after="0" w:afterAutospacing="0" w:line="360" w:lineRule="auto"/>
        <w:ind w:firstLine="420"/>
        <w:rPr>
          <w:sz w:val="21"/>
          <w:szCs w:val="21"/>
        </w:rPr>
      </w:pPr>
      <w:r>
        <w:rPr>
          <w:rFonts w:hint="eastAsia"/>
          <w:sz w:val="21"/>
          <w:szCs w:val="21"/>
        </w:rPr>
        <w:t xml:space="preserve">（1）依法募集资金； </w:t>
      </w:r>
    </w:p>
    <w:p w14:paraId="271B04C1">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281B0F41">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3C7BC6B8">
      <w:pPr>
        <w:pStyle w:val="8"/>
        <w:spacing w:before="0" w:beforeAutospacing="0" w:after="0" w:afterAutospacing="0" w:line="360" w:lineRule="auto"/>
        <w:ind w:firstLine="420"/>
        <w:rPr>
          <w:sz w:val="21"/>
          <w:szCs w:val="21"/>
        </w:rPr>
      </w:pPr>
      <w:r>
        <w:rPr>
          <w:rFonts w:hint="eastAsia"/>
          <w:sz w:val="21"/>
          <w:szCs w:val="21"/>
        </w:rPr>
        <w:t xml:space="preserve">（4）销售基金份额； </w:t>
      </w:r>
    </w:p>
    <w:p w14:paraId="2F3DC247">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579026AC">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2021A378">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7CB5F5AD">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0EEAD49C">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2E7D11F5">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07A192FE">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44710015">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（12）依照法律法规为基金的利益对被投资公司行使相关权利，为基金的利益行使因基金财产投资于证券所产生的权利；   </w:t>
      </w:r>
    </w:p>
    <w:p w14:paraId="4DEF04A4">
      <w:pPr>
        <w:pStyle w:val="8"/>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0F6754B1">
      <w:pPr>
        <w:pStyle w:val="8"/>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14:paraId="0D14DC19">
      <w:pPr>
        <w:pStyle w:val="8"/>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0263E428">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1D18A13B">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7885B2BA">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C6DAA5E">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78B978C6">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7D076E9E">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35FE662">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1AA3371">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42E8130">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5515B77A">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39D4B114">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119E3F0">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3EA6EAB">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F24D3DE">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221C19C0">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50AA77D9">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FDEB52A">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5EB0B1B0">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44E9CDE8">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4E6CC6F4">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B45A2C5">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3A40F062">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1A2853C9">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5B3592CF">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C5D884A">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56028BA7">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7CD80E81">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B3AE168">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72B8A235">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65753DF">
      <w:pPr>
        <w:pStyle w:val="8"/>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49B4E375">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107B8103">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2B0AF13D">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008C6349">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6B6CDC86">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5745AD34">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0E67A4A9">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60E96E35">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46B6CB4D">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082C8556">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20A9A37C">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10FA16B4">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46CEBDF3">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4BFB1592">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1A3B0E68">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（6）按规定开设基金财产的资金账户和证券账户等投资所需账户，按照《基金合同》的约定，根据基金管理人的投资指令，及时办理清算、交割事宜； </w:t>
      </w:r>
    </w:p>
    <w:p w14:paraId="0E3BEFF4">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03378CCB">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31BF19DA">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3D185BEA">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311CCBED">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76E83925">
      <w:pPr>
        <w:pStyle w:val="8"/>
        <w:spacing w:before="0" w:beforeAutospacing="0" w:after="0" w:afterAutospacing="0" w:line="360" w:lineRule="auto"/>
        <w:ind w:firstLine="420"/>
        <w:rPr>
          <w:sz w:val="21"/>
          <w:szCs w:val="21"/>
        </w:rPr>
      </w:pPr>
      <w:r>
        <w:rPr>
          <w:rFonts w:hint="eastAsia"/>
          <w:sz w:val="21"/>
          <w:szCs w:val="21"/>
        </w:rPr>
        <w:t xml:space="preserve">（12）保存基金份额持有人名册； </w:t>
      </w:r>
    </w:p>
    <w:p w14:paraId="142CD9DE">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167F89E3">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3EB2DA6E">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2F77700B">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2CDA9D62">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4AC8E23B">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286A3C7E">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64761557">
      <w:pPr>
        <w:pStyle w:val="8"/>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7EF45995">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56EDEE90">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1963E3DC">
      <w:pPr>
        <w:pStyle w:val="8"/>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18E1ED01">
      <w:pPr>
        <w:pStyle w:val="8"/>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4911211D">
      <w:pPr>
        <w:pStyle w:val="8"/>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14:paraId="7C060B74">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10EE8BE5">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12A91EF8">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0C9B4628">
      <w:pPr>
        <w:pStyle w:val="8"/>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5CBD5012">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736985F6">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7E1EA0B9">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2543C110">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670A4C0F">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215085EF">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3E4E8396">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350CBF8C">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4EC31C09">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7E1B79FC">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3564A148">
      <w:pPr>
        <w:pStyle w:val="8"/>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4F69A10D">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791B6E01">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4DBA2236">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0C152C5F">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7143E91">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2F3408DA">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w:t>
      </w:r>
    </w:p>
    <w:p w14:paraId="03EC066B">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 </w:t>
      </w:r>
    </w:p>
    <w:p w14:paraId="723F3E89">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4A68AAFE">
      <w:pPr>
        <w:pStyle w:val="8"/>
        <w:spacing w:before="0" w:beforeAutospacing="0" w:after="0" w:afterAutospacing="0" w:line="360" w:lineRule="auto"/>
        <w:ind w:firstLine="420"/>
        <w:rPr>
          <w:sz w:val="21"/>
          <w:szCs w:val="21"/>
        </w:rPr>
      </w:pPr>
      <w:r>
        <w:rPr>
          <w:rFonts w:hint="eastAsia"/>
          <w:sz w:val="21"/>
          <w:szCs w:val="21"/>
        </w:rPr>
        <w:t xml:space="preserve">（一）召开事由 </w:t>
      </w:r>
    </w:p>
    <w:p w14:paraId="3B7850EF">
      <w:pPr>
        <w:pStyle w:val="8"/>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23C0642F">
      <w:pPr>
        <w:pStyle w:val="8"/>
        <w:spacing w:before="0" w:beforeAutospacing="0" w:after="0" w:afterAutospacing="0" w:line="360" w:lineRule="auto"/>
        <w:ind w:firstLine="420"/>
        <w:rPr>
          <w:sz w:val="21"/>
          <w:szCs w:val="21"/>
        </w:rPr>
      </w:pPr>
      <w:r>
        <w:rPr>
          <w:rFonts w:hint="eastAsia"/>
          <w:sz w:val="21"/>
          <w:szCs w:val="21"/>
        </w:rPr>
        <w:t xml:space="preserve">（1）终止《基金合同》； </w:t>
      </w:r>
    </w:p>
    <w:p w14:paraId="2D091B81">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14:paraId="275F3DF5">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14:paraId="4928CEC9">
      <w:pPr>
        <w:pStyle w:val="8"/>
        <w:spacing w:before="0" w:beforeAutospacing="0" w:after="0" w:afterAutospacing="0" w:line="360" w:lineRule="auto"/>
        <w:ind w:firstLine="420"/>
        <w:rPr>
          <w:sz w:val="21"/>
          <w:szCs w:val="21"/>
        </w:rPr>
      </w:pPr>
      <w:r>
        <w:rPr>
          <w:rFonts w:hint="eastAsia"/>
          <w:sz w:val="21"/>
          <w:szCs w:val="21"/>
        </w:rPr>
        <w:t xml:space="preserve">（4）转换基金运作方式（不包括本基金封闭期与开放期运作方式的转变）； </w:t>
      </w:r>
    </w:p>
    <w:p w14:paraId="5C08C26B">
      <w:pPr>
        <w:pStyle w:val="8"/>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14:paraId="0229AA70">
      <w:pPr>
        <w:pStyle w:val="8"/>
        <w:spacing w:before="0" w:beforeAutospacing="0" w:after="0" w:afterAutospacing="0" w:line="360" w:lineRule="auto"/>
        <w:ind w:firstLine="420"/>
        <w:rPr>
          <w:sz w:val="21"/>
          <w:szCs w:val="21"/>
        </w:rPr>
      </w:pPr>
      <w:r>
        <w:rPr>
          <w:rFonts w:hint="eastAsia"/>
          <w:sz w:val="21"/>
          <w:szCs w:val="21"/>
        </w:rPr>
        <w:t xml:space="preserve">（6）变更基金类别； </w:t>
      </w:r>
    </w:p>
    <w:p w14:paraId="64919E06">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8F990A6">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2E3ECF88">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A9CEAE4">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0D4F0766">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5620A838">
      <w:pPr>
        <w:pStyle w:val="8"/>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7A8AF783">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3E0979BD">
      <w:pPr>
        <w:pStyle w:val="8"/>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653CAFEE">
      <w:pPr>
        <w:pStyle w:val="8"/>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3A9B6E29">
      <w:pPr>
        <w:pStyle w:val="8"/>
        <w:spacing w:before="0" w:beforeAutospacing="0" w:after="0" w:afterAutospacing="0" w:line="360" w:lineRule="auto"/>
        <w:ind w:firstLine="420"/>
        <w:rPr>
          <w:sz w:val="21"/>
          <w:szCs w:val="21"/>
        </w:rPr>
      </w:pPr>
      <w:r>
        <w:rPr>
          <w:rFonts w:hint="eastAsia"/>
          <w:sz w:val="21"/>
          <w:szCs w:val="21"/>
        </w:rPr>
        <w:t xml:space="preserve">（2）在法律法规和《基金合同》规定的范围内调整本基金的申购费率、调低赎回费率或变更收费方式或调整基金份额类别设置、对基金份额分类办法及规则进行调整； </w:t>
      </w:r>
    </w:p>
    <w:p w14:paraId="71E00C5F">
      <w:pPr>
        <w:pStyle w:val="8"/>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191532A1">
      <w:pPr>
        <w:pStyle w:val="8"/>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0A704A6A">
      <w:pPr>
        <w:pStyle w:val="8"/>
        <w:spacing w:before="0" w:beforeAutospacing="0" w:after="0" w:afterAutospacing="0" w:line="360" w:lineRule="auto"/>
        <w:ind w:firstLine="420"/>
        <w:rPr>
          <w:sz w:val="21"/>
          <w:szCs w:val="21"/>
        </w:rPr>
      </w:pPr>
      <w:r>
        <w:rPr>
          <w:rFonts w:hint="eastAsia"/>
          <w:sz w:val="21"/>
          <w:szCs w:val="21"/>
        </w:rPr>
        <w:t xml:space="preserve">（5）基金管理人、登记机构、基金销售机构在法律法规规定或中国证监会许可的范围内调整有关认购、申购、赎回、转换、基金交易、非交易过户、转托管等业务规则； </w:t>
      </w:r>
    </w:p>
    <w:p w14:paraId="68D36D8C">
      <w:pPr>
        <w:pStyle w:val="8"/>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6AEA45B9">
      <w:pPr>
        <w:pStyle w:val="8"/>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59E11FC2">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2E06D4F7">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1A71A8CE">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58803BF9">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6B05C017">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2E24CC45">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68046FE2">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18128871">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0D01F978">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1、召开基金份额持有人大会，召集人应于会议召开前30日，在指定媒介公告。基金份额持有人大会通知应至少载明以下内容： </w:t>
      </w:r>
    </w:p>
    <w:p w14:paraId="09916595">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424A75E2">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246A1987">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5F55914D">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0D027E3A">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04C6FD7A">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48B5C469">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47ADB5EF">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5030F934">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201B2EB0">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056F48AF">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72DCE551">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31C3DBE7">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0CCA1569">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6E215512">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746D2F49">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4223AFBB">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690C63DD">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2051553F">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28BE6BFF">
      <w:pPr>
        <w:pStyle w:val="8"/>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04E78E37">
      <w:pPr>
        <w:pStyle w:val="8"/>
        <w:spacing w:before="0" w:beforeAutospacing="0" w:after="0" w:afterAutospacing="0" w:line="360" w:lineRule="auto"/>
        <w:ind w:firstLine="420"/>
        <w:rPr>
          <w:sz w:val="21"/>
          <w:szCs w:val="21"/>
        </w:rPr>
      </w:pPr>
      <w:r>
        <w:rPr>
          <w:rFonts w:hint="eastAsia"/>
          <w:sz w:val="21"/>
          <w:szCs w:val="21"/>
        </w:rPr>
        <w:t xml:space="preserve">3、在授权方式上，本基金的基金份额持有人亦可采用其他非书面方式授权其代理人出席基金份额持有人大会，基金份额持有人可以采用书面、网络、电话、短信或其他方式进行授权，具体方式由会议召集人确定并在会议通知中列明。 </w:t>
      </w:r>
    </w:p>
    <w:p w14:paraId="5FA4D8B4">
      <w:pPr>
        <w:pStyle w:val="8"/>
        <w:spacing w:before="0" w:beforeAutospacing="0" w:after="0" w:afterAutospacing="0" w:line="360" w:lineRule="auto"/>
        <w:ind w:firstLine="420"/>
        <w:rPr>
          <w:sz w:val="21"/>
          <w:szCs w:val="21"/>
        </w:rPr>
      </w:pPr>
      <w:r>
        <w:rPr>
          <w:rFonts w:hint="eastAsia"/>
          <w:sz w:val="21"/>
          <w:szCs w:val="21"/>
        </w:rPr>
        <w:t xml:space="preserve">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3FFDF44F">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14:paraId="581B4DE6">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10D2AE93">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61D520C4">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4C09A6FF">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79E7C66A">
      <w:pPr>
        <w:pStyle w:val="8"/>
        <w:spacing w:before="0" w:beforeAutospacing="0" w:after="0" w:afterAutospacing="0" w:line="360" w:lineRule="auto"/>
        <w:ind w:firstLine="420"/>
        <w:rPr>
          <w:sz w:val="21"/>
          <w:szCs w:val="21"/>
        </w:rPr>
      </w:pPr>
      <w:r>
        <w:rPr>
          <w:rFonts w:hint="eastAsia"/>
          <w:sz w:val="21"/>
          <w:szCs w:val="21"/>
        </w:rPr>
        <w:t xml:space="preserve">2、议事程序 </w:t>
      </w:r>
    </w:p>
    <w:p w14:paraId="726142C9">
      <w:pPr>
        <w:pStyle w:val="8"/>
        <w:spacing w:before="0" w:beforeAutospacing="0" w:after="0" w:afterAutospacing="0" w:line="360" w:lineRule="auto"/>
        <w:ind w:firstLine="420"/>
        <w:rPr>
          <w:sz w:val="21"/>
          <w:szCs w:val="21"/>
        </w:rPr>
      </w:pPr>
      <w:r>
        <w:rPr>
          <w:rFonts w:hint="eastAsia"/>
          <w:sz w:val="21"/>
          <w:szCs w:val="21"/>
        </w:rPr>
        <w:t xml:space="preserve">（1）现场开会 </w:t>
      </w:r>
    </w:p>
    <w:p w14:paraId="781FA1E0">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7205C6B3">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5EB93D69">
      <w:pPr>
        <w:pStyle w:val="8"/>
        <w:spacing w:before="0" w:beforeAutospacing="0" w:after="0" w:afterAutospacing="0" w:line="360" w:lineRule="auto"/>
        <w:ind w:firstLine="420"/>
        <w:rPr>
          <w:sz w:val="21"/>
          <w:szCs w:val="21"/>
        </w:rPr>
      </w:pPr>
      <w:r>
        <w:rPr>
          <w:rFonts w:hint="eastAsia"/>
          <w:sz w:val="21"/>
          <w:szCs w:val="21"/>
        </w:rPr>
        <w:t xml:space="preserve">（2）通讯开会 </w:t>
      </w:r>
    </w:p>
    <w:p w14:paraId="360C37F4">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7549E573">
      <w:pPr>
        <w:pStyle w:val="8"/>
        <w:spacing w:before="0" w:beforeAutospacing="0" w:after="0" w:afterAutospacing="0" w:line="360" w:lineRule="auto"/>
        <w:ind w:firstLine="420"/>
        <w:rPr>
          <w:sz w:val="21"/>
          <w:szCs w:val="21"/>
        </w:rPr>
      </w:pPr>
      <w:r>
        <w:rPr>
          <w:rFonts w:hint="eastAsia"/>
          <w:sz w:val="21"/>
          <w:szCs w:val="21"/>
        </w:rPr>
        <w:t xml:space="preserve">（六）表决 </w:t>
      </w:r>
    </w:p>
    <w:p w14:paraId="08715F6A">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706F428A">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754496A3">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0CB7A8AD">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6FA149D0">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4524177A">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7A8636BE">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17FDB76A">
      <w:pPr>
        <w:pStyle w:val="8"/>
        <w:spacing w:before="0" w:beforeAutospacing="0" w:after="0" w:afterAutospacing="0" w:line="360" w:lineRule="auto"/>
        <w:ind w:firstLine="420"/>
        <w:rPr>
          <w:sz w:val="21"/>
          <w:szCs w:val="21"/>
        </w:rPr>
      </w:pPr>
      <w:r>
        <w:rPr>
          <w:rFonts w:hint="eastAsia"/>
          <w:sz w:val="21"/>
          <w:szCs w:val="21"/>
        </w:rPr>
        <w:t xml:space="preserve">（七）计票 </w:t>
      </w:r>
    </w:p>
    <w:p w14:paraId="58A6A80A">
      <w:pPr>
        <w:pStyle w:val="8"/>
        <w:spacing w:before="0" w:beforeAutospacing="0" w:after="0" w:afterAutospacing="0" w:line="360" w:lineRule="auto"/>
        <w:ind w:firstLine="420"/>
        <w:rPr>
          <w:sz w:val="21"/>
          <w:szCs w:val="21"/>
        </w:rPr>
      </w:pPr>
      <w:r>
        <w:rPr>
          <w:rFonts w:hint="eastAsia"/>
          <w:sz w:val="21"/>
          <w:szCs w:val="21"/>
        </w:rPr>
        <w:t xml:space="preserve">1、现场开会 </w:t>
      </w:r>
    </w:p>
    <w:p w14:paraId="58BEE617">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763DD178">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4F571074">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6F63A062">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43E503C6">
      <w:pPr>
        <w:pStyle w:val="8"/>
        <w:spacing w:before="0" w:beforeAutospacing="0" w:after="0" w:afterAutospacing="0" w:line="360" w:lineRule="auto"/>
        <w:ind w:firstLine="420"/>
        <w:rPr>
          <w:sz w:val="21"/>
          <w:szCs w:val="21"/>
        </w:rPr>
      </w:pPr>
      <w:r>
        <w:rPr>
          <w:rFonts w:hint="eastAsia"/>
          <w:sz w:val="21"/>
          <w:szCs w:val="21"/>
        </w:rPr>
        <w:t xml:space="preserve">2、通讯开会 </w:t>
      </w:r>
    </w:p>
    <w:p w14:paraId="5946C396">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493E826F">
      <w:pPr>
        <w:pStyle w:val="8"/>
        <w:spacing w:before="0" w:beforeAutospacing="0" w:after="0" w:afterAutospacing="0" w:line="360" w:lineRule="auto"/>
        <w:ind w:firstLine="420"/>
        <w:rPr>
          <w:sz w:val="21"/>
          <w:szCs w:val="21"/>
        </w:rPr>
      </w:pPr>
      <w:r>
        <w:rPr>
          <w:rFonts w:hint="eastAsia"/>
          <w:sz w:val="21"/>
          <w:szCs w:val="21"/>
        </w:rPr>
        <w:t xml:space="preserve">（八）生效与公告 </w:t>
      </w:r>
    </w:p>
    <w:p w14:paraId="58893290">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7C1E07EA">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3BEF50C9">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1208762A">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63907C5A">
      <w:pPr>
        <w:pStyle w:val="8"/>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04D35BA0">
      <w:pPr>
        <w:pStyle w:val="8"/>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6AA20E3E">
      <w:pPr>
        <w:pStyle w:val="8"/>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1440072A">
      <w:pPr>
        <w:pStyle w:val="8"/>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47D26EB3">
      <w:pPr>
        <w:pStyle w:val="8"/>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2F90485E">
      <w:pPr>
        <w:pStyle w:val="8"/>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00614536">
      <w:pPr>
        <w:pStyle w:val="8"/>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697B9B92">
      <w:pPr>
        <w:pStyle w:val="8"/>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480A6A3B">
      <w:pPr>
        <w:pStyle w:val="8"/>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358C835B">
      <w:pPr>
        <w:pStyle w:val="8"/>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14:paraId="3C4A98A4">
      <w:pPr>
        <w:pStyle w:val="8"/>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376BEA4D">
      <w:pPr>
        <w:pStyle w:val="8"/>
        <w:spacing w:before="0" w:beforeAutospacing="0" w:after="0" w:afterAutospacing="0" w:line="360" w:lineRule="auto"/>
        <w:ind w:firstLine="420"/>
        <w:rPr>
          <w:sz w:val="21"/>
          <w:szCs w:val="21"/>
        </w:rPr>
      </w:pPr>
      <w:r>
        <w:rPr>
          <w:rStyle w:val="12"/>
          <w:rFonts w:hint="eastAsia"/>
          <w:sz w:val="21"/>
          <w:szCs w:val="21"/>
        </w:rPr>
        <w:t>三、基金合同解除和终止的事由、程序以及基金财产清算方式</w:t>
      </w:r>
    </w:p>
    <w:p w14:paraId="6D4362F1">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14:paraId="3214364E">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66B3A7EE">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0459D646">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14:paraId="086A8735">
      <w:pPr>
        <w:pStyle w:val="8"/>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2FFDF06E">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20922B9">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8B2ECE7">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65D0EF84">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04BF3F07">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7594D93D">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5FB54295">
      <w:pPr>
        <w:pStyle w:val="8"/>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7A55CA28">
      <w:pPr>
        <w:pStyle w:val="8"/>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3331F516">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70DAB8B1">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0D42ED3A">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DD023C6">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307DF5C">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ED62CE9">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6461E221">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3DDE11B">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0F54FA53">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5D964488">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5C8AA971">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7D4D87BA">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69555A0">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5E0C72BB">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7AB7AEB3">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7C37E642">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57669537">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47878E32">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248E8DF1">
      <w:pPr>
        <w:pStyle w:val="8"/>
        <w:spacing w:before="0" w:beforeAutospacing="0" w:after="0" w:afterAutospacing="0" w:line="360" w:lineRule="auto"/>
        <w:ind w:firstLine="420"/>
        <w:rPr>
          <w:sz w:val="21"/>
          <w:szCs w:val="21"/>
        </w:rPr>
      </w:pPr>
      <w:r>
        <w:rPr>
          <w:rStyle w:val="12"/>
          <w:rFonts w:hint="eastAsia"/>
          <w:sz w:val="21"/>
          <w:szCs w:val="21"/>
        </w:rPr>
        <w:t>四、争议解决方式</w:t>
      </w:r>
    </w:p>
    <w:p w14:paraId="1B0F1148">
      <w:pPr>
        <w:pStyle w:val="8"/>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 </w:t>
      </w:r>
    </w:p>
    <w:p w14:paraId="7DA02407">
      <w:pPr>
        <w:pStyle w:val="8"/>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争议处理期间，基金管理人、基金托管人应恪守基金管理人和基金托管人职责，各自继续忠实、勤勉、尽责地履行基金合同和托管协议规定的义务，维护基金份额持有人的合法权益。 </w:t>
      </w:r>
    </w:p>
    <w:p w14:paraId="7C9F2F64">
      <w:pPr>
        <w:pStyle w:val="8"/>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14:paraId="73659B3D">
      <w:pPr>
        <w:pStyle w:val="8"/>
        <w:spacing w:before="0" w:beforeAutospacing="0" w:after="0" w:afterAutospacing="0" w:line="360" w:lineRule="auto"/>
        <w:ind w:firstLine="420"/>
        <w:rPr>
          <w:sz w:val="21"/>
          <w:szCs w:val="21"/>
        </w:rPr>
      </w:pPr>
      <w:r>
        <w:rPr>
          <w:rStyle w:val="12"/>
          <w:rFonts w:hint="eastAsia"/>
          <w:sz w:val="21"/>
          <w:szCs w:val="21"/>
        </w:rPr>
        <w:t>五、基金合同存放地和投资人取得基金合同的方式</w:t>
      </w:r>
    </w:p>
    <w:p w14:paraId="46FAE251">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88" w:name="chapter_level1_22_71_section_1_end"/>
      <w:bookmarkEnd w:id="188"/>
      <w:r>
        <w:rPr>
          <w:rFonts w:hint="eastAsia"/>
          <w:sz w:val="21"/>
          <w:szCs w:val="21"/>
        </w:rPr>
        <w:t xml:space="preserve">和营业场所查阅。 </w:t>
      </w:r>
    </w:p>
    <w:p w14:paraId="046CD00B">
      <w:pPr>
        <w:widowControl/>
        <w:jc w:val="left"/>
        <w:rPr>
          <w:rFonts w:ascii="宋体" w:hAnsi="宋体" w:eastAsia="宋体"/>
        </w:rPr>
      </w:pPr>
      <w:r>
        <w:rPr>
          <w:rFonts w:ascii="宋体" w:hAnsi="宋体" w:eastAsia="宋体"/>
        </w:rPr>
        <w:br w:type="page"/>
      </w:r>
    </w:p>
    <w:p w14:paraId="6D115A6B">
      <w:pPr>
        <w:pStyle w:val="2"/>
        <w:jc w:val="center"/>
        <w:rPr>
          <w:rFonts w:ascii="宋体" w:hAnsi="宋体" w:eastAsia="宋体"/>
          <w:sz w:val="30"/>
        </w:rPr>
      </w:pPr>
      <w:bookmarkStart w:id="189" w:name="_Toc207948781"/>
      <w:bookmarkStart w:id="190" w:name="chapter_level1_23_72"/>
      <w:r>
        <w:rPr>
          <w:rFonts w:hint="eastAsia" w:ascii="宋体" w:hAnsi="宋体" w:eastAsia="宋体"/>
          <w:sz w:val="30"/>
        </w:rPr>
        <w:t>第二十部分  基金托管协议的内容摘要</w:t>
      </w:r>
      <w:bookmarkEnd w:id="189"/>
      <w:bookmarkEnd w:id="190"/>
    </w:p>
    <w:p w14:paraId="444814C7">
      <w:pPr>
        <w:pStyle w:val="8"/>
        <w:spacing w:before="0" w:beforeAutospacing="0" w:after="0" w:afterAutospacing="0" w:line="360" w:lineRule="auto"/>
        <w:ind w:firstLine="420"/>
        <w:rPr>
          <w:sz w:val="21"/>
          <w:szCs w:val="21"/>
        </w:rPr>
      </w:pPr>
      <w:bookmarkStart w:id="191" w:name="chapter_level1_23_72_section_1"/>
      <w:bookmarkEnd w:id="191"/>
      <w:r>
        <w:rPr>
          <w:rStyle w:val="12"/>
          <w:rFonts w:hint="eastAsia"/>
          <w:sz w:val="21"/>
          <w:szCs w:val="21"/>
        </w:rPr>
        <w:t>一、托管协议当事人</w:t>
      </w:r>
    </w:p>
    <w:p w14:paraId="36E65635">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0629C530">
      <w:pPr>
        <w:pStyle w:val="8"/>
        <w:spacing w:before="0" w:beforeAutospacing="0" w:after="0" w:afterAutospacing="0" w:line="360" w:lineRule="auto"/>
        <w:ind w:firstLine="420"/>
        <w:rPr>
          <w:sz w:val="21"/>
          <w:szCs w:val="21"/>
        </w:rPr>
      </w:pPr>
      <w:r>
        <w:rPr>
          <w:rFonts w:hint="eastAsia"/>
          <w:sz w:val="21"/>
          <w:szCs w:val="21"/>
        </w:rPr>
        <w:t>名称：</w:t>
      </w:r>
      <w:bookmarkStart w:id="192" w:name="field_0_managerorgfullname_7"/>
      <w:r>
        <w:rPr>
          <w:rFonts w:hint="eastAsia"/>
          <w:sz w:val="21"/>
          <w:szCs w:val="21"/>
        </w:rPr>
        <w:t>博时基金管理有限公司</w:t>
      </w:r>
      <w:bookmarkEnd w:id="192"/>
      <w:r>
        <w:rPr>
          <w:rFonts w:hint="eastAsia"/>
          <w:sz w:val="21"/>
          <w:szCs w:val="21"/>
        </w:rPr>
        <w:t xml:space="preserve">                              </w:t>
      </w:r>
    </w:p>
    <w:p w14:paraId="06DA6F02">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5B3556FD">
      <w:pPr>
        <w:pStyle w:val="8"/>
        <w:spacing w:before="0" w:beforeAutospacing="0" w:after="0" w:afterAutospacing="0" w:line="360" w:lineRule="auto"/>
        <w:ind w:firstLine="420"/>
        <w:rPr>
          <w:rFonts w:hint="eastAsia" w:eastAsia="宋体"/>
          <w:sz w:val="21"/>
          <w:szCs w:val="21"/>
          <w:lang w:eastAsia="zh-CN"/>
        </w:rPr>
      </w:pPr>
      <w:r>
        <w:rPr>
          <w:rFonts w:hint="eastAsia"/>
          <w:sz w:val="21"/>
          <w:szCs w:val="21"/>
        </w:rPr>
        <w:t>法定代表人：</w:t>
      </w:r>
      <w:r>
        <w:rPr>
          <w:rFonts w:hint="eastAsia"/>
          <w:sz w:val="21"/>
          <w:szCs w:val="21"/>
          <w:lang w:val="en-US" w:eastAsia="zh-CN"/>
        </w:rPr>
        <w:t xml:space="preserve">张东        </w:t>
      </w:r>
    </w:p>
    <w:p w14:paraId="13E199AC">
      <w:pPr>
        <w:pStyle w:val="8"/>
        <w:spacing w:before="0" w:beforeAutospacing="0" w:after="0" w:afterAutospacing="0" w:line="360" w:lineRule="auto"/>
        <w:ind w:firstLine="420"/>
        <w:rPr>
          <w:sz w:val="21"/>
          <w:szCs w:val="21"/>
        </w:rPr>
      </w:pPr>
      <w:r>
        <w:rPr>
          <w:rFonts w:hint="eastAsia"/>
          <w:sz w:val="21"/>
          <w:szCs w:val="21"/>
        </w:rPr>
        <w:t xml:space="preserve">成立时间：1998年7月13日 </w:t>
      </w:r>
    </w:p>
    <w:p w14:paraId="5F92E281">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5137E252">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6D028BC1">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14:paraId="2A90A7A7">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1460F6A2">
      <w:pPr>
        <w:pStyle w:val="8"/>
        <w:spacing w:before="0" w:beforeAutospacing="0" w:after="0" w:afterAutospacing="0" w:line="360" w:lineRule="auto"/>
        <w:ind w:firstLine="420"/>
        <w:rPr>
          <w:sz w:val="21"/>
          <w:szCs w:val="21"/>
        </w:rPr>
      </w:pPr>
      <w:r>
        <w:rPr>
          <w:rFonts w:hint="eastAsia"/>
          <w:sz w:val="21"/>
          <w:szCs w:val="21"/>
        </w:rPr>
        <w:t xml:space="preserve">电话：    0755-83169999 </w:t>
      </w:r>
    </w:p>
    <w:p w14:paraId="2AF2EFAC">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6C6C3373">
      <w:pPr>
        <w:pStyle w:val="8"/>
        <w:spacing w:before="0" w:beforeAutospacing="0" w:after="0" w:afterAutospacing="0" w:line="360" w:lineRule="auto"/>
        <w:ind w:firstLine="420"/>
        <w:rPr>
          <w:sz w:val="21"/>
          <w:szCs w:val="21"/>
        </w:rPr>
      </w:pPr>
      <w:r>
        <w:rPr>
          <w:rFonts w:hint="eastAsia"/>
          <w:sz w:val="21"/>
          <w:szCs w:val="21"/>
        </w:rPr>
        <w:t>名称：</w:t>
      </w:r>
      <w:bookmarkStart w:id="193" w:name="field_0_trustorgfullname_2"/>
      <w:r>
        <w:rPr>
          <w:rFonts w:hint="eastAsia"/>
          <w:sz w:val="21"/>
          <w:szCs w:val="21"/>
        </w:rPr>
        <w:t>上海浦东发展银行股份有限公司</w:t>
      </w:r>
      <w:bookmarkEnd w:id="193"/>
      <w:r>
        <w:rPr>
          <w:rFonts w:hint="eastAsia"/>
          <w:sz w:val="21"/>
          <w:szCs w:val="21"/>
        </w:rPr>
        <w:t xml:space="preserve">  </w:t>
      </w:r>
    </w:p>
    <w:p w14:paraId="3AB183AA">
      <w:pPr>
        <w:pStyle w:val="8"/>
        <w:spacing w:before="0" w:beforeAutospacing="0" w:after="0" w:afterAutospacing="0" w:line="360" w:lineRule="auto"/>
        <w:ind w:firstLine="420"/>
        <w:rPr>
          <w:sz w:val="21"/>
          <w:szCs w:val="21"/>
        </w:rPr>
      </w:pPr>
      <w:r>
        <w:rPr>
          <w:rFonts w:hint="eastAsia"/>
          <w:sz w:val="21"/>
          <w:szCs w:val="21"/>
        </w:rPr>
        <w:t xml:space="preserve">办公地址：上海市中山东一路12号 </w:t>
      </w:r>
    </w:p>
    <w:p w14:paraId="60974A98">
      <w:pPr>
        <w:pStyle w:val="8"/>
        <w:spacing w:before="0" w:beforeAutospacing="0" w:after="0" w:afterAutospacing="0" w:line="360" w:lineRule="auto"/>
        <w:ind w:firstLine="420"/>
        <w:rPr>
          <w:sz w:val="21"/>
          <w:szCs w:val="21"/>
        </w:rPr>
      </w:pPr>
      <w:r>
        <w:rPr>
          <w:rFonts w:hint="eastAsia"/>
          <w:sz w:val="21"/>
          <w:szCs w:val="21"/>
        </w:rPr>
        <w:t xml:space="preserve">法定代表人：张为忠 </w:t>
      </w:r>
    </w:p>
    <w:p w14:paraId="4CF59B61">
      <w:pPr>
        <w:pStyle w:val="8"/>
        <w:spacing w:before="0" w:beforeAutospacing="0" w:after="0" w:afterAutospacing="0" w:line="360" w:lineRule="auto"/>
        <w:ind w:firstLine="420"/>
        <w:rPr>
          <w:sz w:val="21"/>
          <w:szCs w:val="21"/>
        </w:rPr>
      </w:pPr>
      <w:r>
        <w:rPr>
          <w:rFonts w:hint="eastAsia"/>
          <w:sz w:val="21"/>
          <w:szCs w:val="21"/>
        </w:rPr>
        <w:t xml:space="preserve">成立日期：1992年10月19日 </w:t>
      </w:r>
    </w:p>
    <w:p w14:paraId="118A6519">
      <w:pPr>
        <w:pStyle w:val="8"/>
        <w:spacing w:before="0" w:beforeAutospacing="0" w:after="0" w:afterAutospacing="0" w:line="360" w:lineRule="auto"/>
        <w:ind w:firstLine="420"/>
        <w:rPr>
          <w:sz w:val="21"/>
          <w:szCs w:val="21"/>
        </w:rPr>
      </w:pPr>
      <w:r>
        <w:rPr>
          <w:rFonts w:hint="eastAsia"/>
          <w:sz w:val="21"/>
          <w:szCs w:val="21"/>
        </w:rPr>
        <w:t xml:space="preserve">基金托管业务资格批准机关：中国证监会 </w:t>
      </w:r>
    </w:p>
    <w:p w14:paraId="13DC377D">
      <w:pPr>
        <w:pStyle w:val="8"/>
        <w:spacing w:before="0" w:beforeAutospacing="0" w:after="0" w:afterAutospacing="0" w:line="360" w:lineRule="auto"/>
        <w:ind w:firstLine="420"/>
        <w:rPr>
          <w:sz w:val="21"/>
          <w:szCs w:val="21"/>
        </w:rPr>
      </w:pPr>
      <w:r>
        <w:rPr>
          <w:rFonts w:hint="eastAsia"/>
          <w:sz w:val="21"/>
          <w:szCs w:val="21"/>
        </w:rPr>
        <w:t xml:space="preserve">基金托管业务资格文号：证监基金字[2003]105号 </w:t>
      </w:r>
    </w:p>
    <w:p w14:paraId="2EA74F78">
      <w:pPr>
        <w:pStyle w:val="8"/>
        <w:spacing w:before="0" w:beforeAutospacing="0" w:after="0" w:afterAutospacing="0" w:line="360" w:lineRule="auto"/>
        <w:ind w:firstLine="420"/>
        <w:rPr>
          <w:sz w:val="21"/>
          <w:szCs w:val="21"/>
        </w:rPr>
      </w:pPr>
      <w:r>
        <w:rPr>
          <w:rFonts w:hint="eastAsia"/>
          <w:sz w:val="21"/>
          <w:szCs w:val="21"/>
        </w:rPr>
        <w:t xml:space="preserve">组织形式：股份有限公司（上市） </w:t>
      </w:r>
    </w:p>
    <w:p w14:paraId="13E357F4">
      <w:pPr>
        <w:pStyle w:val="8"/>
        <w:spacing w:before="0" w:beforeAutospacing="0" w:after="0" w:afterAutospacing="0" w:line="360" w:lineRule="auto"/>
        <w:ind w:firstLine="420"/>
        <w:rPr>
          <w:sz w:val="21"/>
          <w:szCs w:val="21"/>
        </w:rPr>
      </w:pPr>
      <w:r>
        <w:rPr>
          <w:rFonts w:hint="eastAsia"/>
          <w:sz w:val="21"/>
          <w:szCs w:val="21"/>
        </w:rPr>
        <w:t xml:space="preserve">注册资本：人民币293.52亿元 </w:t>
      </w:r>
    </w:p>
    <w:p w14:paraId="4DACC1C7">
      <w:pPr>
        <w:pStyle w:val="8"/>
        <w:spacing w:before="0" w:beforeAutospacing="0" w:after="0" w:afterAutospacing="0" w:line="360" w:lineRule="auto"/>
        <w:ind w:firstLine="420"/>
        <w:rPr>
          <w:sz w:val="21"/>
          <w:szCs w:val="21"/>
        </w:rPr>
      </w:pPr>
      <w:r>
        <w:rPr>
          <w:rFonts w:hint="eastAsia"/>
          <w:sz w:val="21"/>
          <w:szCs w:val="21"/>
        </w:rPr>
        <w:t xml:space="preserve">经营期限：永久存续 </w:t>
      </w:r>
    </w:p>
    <w:p w14:paraId="6964883A">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二、基金托管人对基金管理人的业务监督和核查</w:t>
      </w:r>
    </w:p>
    <w:p w14:paraId="5B1AA68F">
      <w:pPr>
        <w:pStyle w:val="8"/>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2171C4F5">
      <w:pPr>
        <w:pStyle w:val="8"/>
        <w:spacing w:before="0" w:beforeAutospacing="0" w:after="0" w:afterAutospacing="0" w:line="360" w:lineRule="auto"/>
        <w:ind w:firstLine="420"/>
        <w:rPr>
          <w:sz w:val="21"/>
          <w:szCs w:val="21"/>
        </w:rPr>
      </w:pPr>
      <w:r>
        <w:rPr>
          <w:rFonts w:hint="eastAsia"/>
          <w:sz w:val="21"/>
          <w:szCs w:val="21"/>
        </w:rPr>
        <w:t xml:space="preserve">1.基金托管人根据有关法律法规的规定和《基金合同》的约定，对下述基金投资范围、投资对象进行监督。 </w:t>
      </w:r>
    </w:p>
    <w:p w14:paraId="78302449">
      <w:pPr>
        <w:pStyle w:val="8"/>
        <w:spacing w:before="0" w:beforeAutospacing="0" w:after="0" w:afterAutospacing="0" w:line="360" w:lineRule="auto"/>
        <w:ind w:firstLine="420"/>
        <w:rPr>
          <w:sz w:val="21"/>
          <w:szCs w:val="21"/>
        </w:rPr>
      </w:pPr>
      <w:r>
        <w:rPr>
          <w:rFonts w:hint="eastAsia"/>
          <w:sz w:val="21"/>
          <w:szCs w:val="21"/>
        </w:rPr>
        <w:t xml:space="preserve">本基金将投资于以下金融工具： </w:t>
      </w:r>
    </w:p>
    <w:p w14:paraId="27F20412">
      <w:pPr>
        <w:pStyle w:val="8"/>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债券（国债、金融债、企业债、公司债、地方政府债、央行票据、中期票据、短期融资券、超短期融资券、次级债、可分离交易可转债的纯债部分）、资产支持证券、债券回购、同业存单、银行存款等法律法规或中国证监会允许基金投资的其他金融工具（但须符合中国证监会的相关规定）。 </w:t>
      </w:r>
    </w:p>
    <w:p w14:paraId="57A3CA06">
      <w:pPr>
        <w:pStyle w:val="8"/>
        <w:spacing w:before="0" w:beforeAutospacing="0" w:after="0" w:afterAutospacing="0" w:line="360" w:lineRule="auto"/>
        <w:ind w:firstLine="420"/>
        <w:rPr>
          <w:sz w:val="21"/>
          <w:szCs w:val="21"/>
        </w:rPr>
      </w:pPr>
      <w:r>
        <w:rPr>
          <w:rFonts w:hint="eastAsia"/>
          <w:sz w:val="21"/>
          <w:szCs w:val="21"/>
        </w:rPr>
        <w:t xml:space="preserve">本基金不投资于股票等资产，也不投资于可转换债券（可分离交易可转债的纯债部分除外）、可交换债券。 </w:t>
      </w:r>
    </w:p>
    <w:p w14:paraId="3743CE53">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47B05D71">
      <w:pPr>
        <w:pStyle w:val="8"/>
        <w:spacing w:before="0" w:beforeAutospacing="0" w:after="0" w:afterAutospacing="0" w:line="360" w:lineRule="auto"/>
        <w:ind w:firstLine="420"/>
        <w:rPr>
          <w:sz w:val="21"/>
          <w:szCs w:val="21"/>
        </w:rPr>
      </w:pPr>
      <w:r>
        <w:rPr>
          <w:rFonts w:hint="eastAsia"/>
          <w:sz w:val="21"/>
          <w:szCs w:val="21"/>
        </w:rPr>
        <w:t xml:space="preserve">《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 </w:t>
      </w:r>
    </w:p>
    <w:p w14:paraId="442DC0B6">
      <w:pPr>
        <w:pStyle w:val="8"/>
        <w:spacing w:before="0" w:beforeAutospacing="0" w:after="0" w:afterAutospacing="0" w:line="360" w:lineRule="auto"/>
        <w:ind w:firstLine="420"/>
        <w:rPr>
          <w:sz w:val="21"/>
          <w:szCs w:val="21"/>
        </w:rPr>
      </w:pPr>
      <w:r>
        <w:rPr>
          <w:rFonts w:hint="eastAsia"/>
          <w:sz w:val="21"/>
          <w:szCs w:val="21"/>
        </w:rPr>
        <w:t xml:space="preserve">本基金不得投资于相关法律、法规、部门规章及《基金合同》禁止投资的投资工具。 </w:t>
      </w:r>
    </w:p>
    <w:p w14:paraId="5EA07431">
      <w:pPr>
        <w:pStyle w:val="8"/>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2.基金托管人根据有关法律法规的规定及《基金合同》的约定对下述基金投融资比例进行监督： </w:t>
      </w:r>
    </w:p>
    <w:p w14:paraId="1F36B80F">
      <w:pPr>
        <w:pStyle w:val="8"/>
        <w:spacing w:before="0" w:beforeAutospacing="0" w:after="0" w:afterAutospacing="0" w:line="360" w:lineRule="auto"/>
        <w:ind w:firstLine="420"/>
        <w:rPr>
          <w:sz w:val="21"/>
          <w:szCs w:val="21"/>
        </w:rPr>
      </w:pPr>
      <w:r>
        <w:rPr>
          <w:rFonts w:hint="eastAsia"/>
          <w:sz w:val="21"/>
          <w:szCs w:val="21"/>
        </w:rPr>
        <w:t xml:space="preserve">（1）按法律法规的规定及《基金合同》的约定，本基金的投资资产配置比例为： </w:t>
      </w:r>
    </w:p>
    <w:p w14:paraId="3ED429AE">
      <w:pPr>
        <w:pStyle w:val="8"/>
        <w:spacing w:before="0" w:beforeAutospacing="0" w:after="0" w:afterAutospacing="0" w:line="360" w:lineRule="auto"/>
        <w:ind w:firstLine="420"/>
        <w:rPr>
          <w:sz w:val="21"/>
          <w:szCs w:val="21"/>
        </w:rPr>
      </w:pPr>
      <w:r>
        <w:rPr>
          <w:rFonts w:hint="eastAsia"/>
          <w:sz w:val="21"/>
          <w:szCs w:val="21"/>
        </w:rPr>
        <w:t xml:space="preserve">本基金对债券的投资比例不低于基金资产的80％，但应开放期流动性需要，为保护基金份额持有人利益，在每次开放期开始前三个月、开放期及开放期结束后三个月的期间内，基金投资不受上述比例限制。开放期内现金或者到期日在一年以内的政府债券不低于基金资产净值的5%，在封闭期内，本基金不受上述5%的限制；前述现金不包括结算备付金、存出保证金、应收申购款等。 </w:t>
      </w:r>
    </w:p>
    <w:p w14:paraId="10A53F37">
      <w:pPr>
        <w:pStyle w:val="8"/>
        <w:spacing w:before="0" w:beforeAutospacing="0" w:after="0" w:afterAutospacing="0" w:line="360" w:lineRule="auto"/>
        <w:ind w:firstLine="420"/>
        <w:rPr>
          <w:sz w:val="21"/>
          <w:szCs w:val="21"/>
        </w:rPr>
      </w:pPr>
      <w:r>
        <w:rPr>
          <w:rFonts w:hint="eastAsia"/>
          <w:sz w:val="21"/>
          <w:szCs w:val="21"/>
        </w:rPr>
        <w:t xml:space="preserve">如法律法规的相关规定发生变更或监管机构允许，本基金管理人在履行适当程序后，可对上述资产配置比例进行调整。 </w:t>
      </w:r>
    </w:p>
    <w:p w14:paraId="034FC95A">
      <w:pPr>
        <w:pStyle w:val="8"/>
        <w:spacing w:before="0" w:beforeAutospacing="0" w:after="0" w:afterAutospacing="0" w:line="360" w:lineRule="auto"/>
        <w:ind w:firstLine="420"/>
        <w:rPr>
          <w:sz w:val="21"/>
          <w:szCs w:val="21"/>
        </w:rPr>
      </w:pPr>
      <w:r>
        <w:rPr>
          <w:rFonts w:hint="eastAsia"/>
          <w:sz w:val="21"/>
          <w:szCs w:val="21"/>
        </w:rPr>
        <w:t xml:space="preserve">（2）根据法律法规的规定及《基金合同》的约定，本基金投资组合遵循以下投资限制： </w:t>
      </w:r>
    </w:p>
    <w:p w14:paraId="55CA3705">
      <w:pPr>
        <w:pStyle w:val="8"/>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1）本基金投资于债券资产比例不低于基金资产的80%，但应开放期流动性需要，为保护基金份额持有人利益，在每次开放期开始前三个月、开放期及开放期结束后三个月的期间内，基金投资不受上述比例限制； </w:t>
      </w:r>
    </w:p>
    <w:p w14:paraId="2CA56C0C">
      <w:pPr>
        <w:pStyle w:val="8"/>
        <w:spacing w:before="0" w:beforeAutospacing="0" w:after="0" w:afterAutospacing="0" w:line="360" w:lineRule="auto"/>
        <w:ind w:firstLine="420"/>
        <w:rPr>
          <w:sz w:val="21"/>
          <w:szCs w:val="21"/>
        </w:rPr>
      </w:pPr>
      <w:r>
        <w:rPr>
          <w:rFonts w:hint="eastAsia"/>
          <w:sz w:val="21"/>
          <w:szCs w:val="21"/>
        </w:rPr>
        <w:t xml:space="preserve">2）开放期内，本基金持有现金或者到期日在一年以内的政府债券投资比例合计不低于基金资产净值的5%；在封闭期内，本基金不受上述5%的限制；其中，现金不包括结算备付金、存出保证金、应收申购款等； </w:t>
      </w:r>
    </w:p>
    <w:p w14:paraId="40D8125D">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2826A6FD">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1A7F7D57">
      <w:pPr>
        <w:pStyle w:val="8"/>
        <w:spacing w:before="0" w:beforeAutospacing="0" w:after="0" w:afterAutospacing="0" w:line="360" w:lineRule="auto"/>
        <w:ind w:firstLine="420"/>
        <w:rPr>
          <w:sz w:val="21"/>
          <w:szCs w:val="21"/>
        </w:rPr>
      </w:pPr>
      <w:r>
        <w:rPr>
          <w:rFonts w:hint="eastAsia"/>
          <w:sz w:val="21"/>
          <w:szCs w:val="21"/>
          <w:lang w:val="en-US" w:eastAsia="zh-CN"/>
        </w:rPr>
        <w:t>5</w:t>
      </w:r>
      <w:r>
        <w:rPr>
          <w:rFonts w:hint="eastAsia"/>
          <w:sz w:val="21"/>
          <w:szCs w:val="21"/>
        </w:rPr>
        <w:t xml:space="preserve">）本基金投资于同一原始权益人的各类资产支持证券的比例，不得超过基金资产净值的10％； </w:t>
      </w:r>
    </w:p>
    <w:p w14:paraId="027A56D2">
      <w:pPr>
        <w:pStyle w:val="8"/>
        <w:spacing w:before="0" w:beforeAutospacing="0" w:after="0" w:afterAutospacing="0" w:line="360" w:lineRule="auto"/>
        <w:ind w:firstLine="420"/>
        <w:rPr>
          <w:sz w:val="21"/>
          <w:szCs w:val="21"/>
        </w:rPr>
      </w:pPr>
      <w:r>
        <w:rPr>
          <w:rFonts w:hint="eastAsia"/>
          <w:sz w:val="21"/>
          <w:szCs w:val="21"/>
          <w:lang w:val="en-US" w:eastAsia="zh-CN"/>
        </w:rPr>
        <w:t>6</w:t>
      </w:r>
      <w:r>
        <w:rPr>
          <w:rFonts w:hint="eastAsia"/>
          <w:sz w:val="21"/>
          <w:szCs w:val="21"/>
        </w:rPr>
        <w:t xml:space="preserve">）本基金持有的全部资产支持证券，其市值不得超过基金资产净值的20％； </w:t>
      </w:r>
    </w:p>
    <w:p w14:paraId="1919FD7A">
      <w:pPr>
        <w:pStyle w:val="8"/>
        <w:spacing w:before="0" w:beforeAutospacing="0" w:after="0" w:afterAutospacing="0" w:line="360" w:lineRule="auto"/>
        <w:ind w:firstLine="420"/>
        <w:rPr>
          <w:sz w:val="21"/>
          <w:szCs w:val="21"/>
        </w:rPr>
      </w:pPr>
      <w:r>
        <w:rPr>
          <w:rFonts w:hint="eastAsia"/>
          <w:sz w:val="21"/>
          <w:szCs w:val="21"/>
          <w:lang w:val="en-US" w:eastAsia="zh-CN"/>
        </w:rPr>
        <w:t>7</w:t>
      </w:r>
      <w:r>
        <w:rPr>
          <w:rFonts w:hint="eastAsia"/>
          <w:sz w:val="21"/>
          <w:szCs w:val="21"/>
        </w:rPr>
        <w:t xml:space="preserve">）本基金持有的同一(指同一信用级别)资产支持证券的比例，不得超过该资产支持证券规模的10％； </w:t>
      </w:r>
    </w:p>
    <w:p w14:paraId="2FF7D25D">
      <w:pPr>
        <w:pStyle w:val="8"/>
        <w:spacing w:before="0" w:beforeAutospacing="0" w:after="0" w:afterAutospacing="0" w:line="360" w:lineRule="auto"/>
        <w:ind w:firstLine="420"/>
        <w:rPr>
          <w:sz w:val="21"/>
          <w:szCs w:val="21"/>
        </w:rPr>
      </w:pPr>
      <w:r>
        <w:rPr>
          <w:rFonts w:hint="eastAsia"/>
          <w:sz w:val="21"/>
          <w:szCs w:val="21"/>
          <w:lang w:val="en-US" w:eastAsia="zh-CN"/>
        </w:rPr>
        <w:t>8</w:t>
      </w:r>
      <w:r>
        <w:rPr>
          <w:rFonts w:hint="eastAsia"/>
          <w:sz w:val="21"/>
          <w:szCs w:val="21"/>
        </w:rPr>
        <w:t xml:space="preserve">）本基金管理人管理的全部基金投资于同一原始权益人的各类资产支持证券，不得超过其各类资产支持证券合计规模的10％； </w:t>
      </w:r>
    </w:p>
    <w:p w14:paraId="47DB1006">
      <w:pPr>
        <w:pStyle w:val="8"/>
        <w:spacing w:before="0" w:beforeAutospacing="0" w:after="0" w:afterAutospacing="0" w:line="360" w:lineRule="auto"/>
        <w:ind w:firstLine="420"/>
        <w:rPr>
          <w:sz w:val="21"/>
          <w:szCs w:val="21"/>
        </w:rPr>
      </w:pPr>
      <w:r>
        <w:rPr>
          <w:rFonts w:hint="eastAsia"/>
          <w:sz w:val="21"/>
          <w:szCs w:val="21"/>
          <w:lang w:val="en-US" w:eastAsia="zh-CN"/>
        </w:rPr>
        <w:t>9</w:t>
      </w:r>
      <w:r>
        <w:rPr>
          <w:rFonts w:hint="eastAsia"/>
          <w:sz w:val="21"/>
          <w:szCs w:val="21"/>
        </w:rPr>
        <w:t xml:space="preserve">）本基金应投资于信用级别评级为BBB以上(含BBB)的资产支持证券。基金持有资产支持证券期间，如果其信用等级下降、不再符合投资标准，应在评级报告发布之日起3个月内予以全部卖出； </w:t>
      </w:r>
    </w:p>
    <w:p w14:paraId="0B28AEFF">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0</w:t>
      </w:r>
      <w:r>
        <w:rPr>
          <w:rFonts w:hint="eastAsia"/>
          <w:sz w:val="21"/>
          <w:szCs w:val="21"/>
        </w:rPr>
        <w:t xml:space="preserve">）开放期内，本基金资产总值不得超过基金资产净值的140%；封闭期内，本基金资产总值不得超过基金资产净值的200%； </w:t>
      </w:r>
    </w:p>
    <w:p w14:paraId="25550E14">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1</w:t>
      </w:r>
      <w:r>
        <w:rPr>
          <w:rFonts w:hint="eastAsia"/>
          <w:sz w:val="21"/>
          <w:szCs w:val="21"/>
        </w:rPr>
        <w:t xml:space="preserve">）开放期内，本基金主动投资于流动性受限资产的市值合计不得超过本基金资产净值的15%；封闭期内不受此限；因证券市场波动、基金规模变动等基金管理人之外的因素致使基金不符合该比例限制的，基金管理人不得主动新增流动性受限资产的投资； </w:t>
      </w:r>
    </w:p>
    <w:p w14:paraId="61A5A34F">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2</w:t>
      </w:r>
      <w:r>
        <w:rPr>
          <w:rFonts w:hint="eastAsia"/>
          <w:sz w:val="21"/>
          <w:szCs w:val="21"/>
        </w:rPr>
        <w:t xml:space="preserve">）本基金与私募类证券资管产品及中国证监会认定的其他主体为交易对手开展逆回购交易的，可接受质押品的资质要求应当与基金合同约定的投资范围保持一致； </w:t>
      </w:r>
    </w:p>
    <w:p w14:paraId="3473234D">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3</w:t>
      </w:r>
      <w:r>
        <w:rPr>
          <w:rFonts w:hint="eastAsia"/>
          <w:sz w:val="21"/>
          <w:szCs w:val="21"/>
        </w:rPr>
        <w:t xml:space="preserve">）法律法规及中国证监会规定的和《基金合同》约定的其他投资限制。 </w:t>
      </w:r>
    </w:p>
    <w:p w14:paraId="45A8DE28">
      <w:pPr>
        <w:pStyle w:val="8"/>
        <w:spacing w:before="0" w:beforeAutospacing="0" w:after="0" w:afterAutospacing="0" w:line="360" w:lineRule="auto"/>
        <w:ind w:firstLine="420"/>
        <w:rPr>
          <w:sz w:val="21"/>
          <w:szCs w:val="21"/>
        </w:rPr>
      </w:pPr>
      <w:r>
        <w:rPr>
          <w:rFonts w:hint="eastAsia"/>
          <w:sz w:val="21"/>
          <w:szCs w:val="21"/>
        </w:rPr>
        <w:t xml:space="preserve">托管人对上述指标的监督义务，仅限于监督由基金管理人管理且由托管人托管的全部公募基金是否符合上述比例限制。法律法规或监管部门取消或调整上述限制，如适用于本基金，基金管理人在履行适当程序后，则本基金投资不再受相关限制或按调整后的规定执行。 </w:t>
      </w:r>
    </w:p>
    <w:p w14:paraId="0AF174EA">
      <w:pPr>
        <w:pStyle w:val="8"/>
        <w:spacing w:before="0" w:beforeAutospacing="0" w:after="0" w:afterAutospacing="0" w:line="360" w:lineRule="auto"/>
        <w:ind w:firstLine="420"/>
        <w:rPr>
          <w:sz w:val="21"/>
          <w:szCs w:val="21"/>
        </w:rPr>
      </w:pPr>
      <w:r>
        <w:rPr>
          <w:rFonts w:hint="eastAsia"/>
          <w:sz w:val="21"/>
          <w:szCs w:val="21"/>
        </w:rPr>
        <w:t xml:space="preserve">（3）法律法规允许的基金投资比例调整期限 </w:t>
      </w:r>
    </w:p>
    <w:p w14:paraId="02D5BAA9">
      <w:pPr>
        <w:pStyle w:val="8"/>
        <w:spacing w:before="0" w:beforeAutospacing="0" w:after="0" w:afterAutospacing="0" w:line="360" w:lineRule="auto"/>
        <w:ind w:firstLine="420"/>
        <w:rPr>
          <w:sz w:val="21"/>
          <w:szCs w:val="21"/>
        </w:rPr>
      </w:pPr>
      <w:r>
        <w:rPr>
          <w:rFonts w:hint="eastAsia"/>
          <w:sz w:val="21"/>
          <w:szCs w:val="21"/>
        </w:rPr>
        <w:t>除上述2）、</w:t>
      </w:r>
      <w:r>
        <w:rPr>
          <w:rFonts w:hint="eastAsia"/>
          <w:sz w:val="21"/>
          <w:szCs w:val="21"/>
          <w:lang w:val="en-US" w:eastAsia="zh-CN"/>
        </w:rPr>
        <w:t>9</w:t>
      </w:r>
      <w:r>
        <w:rPr>
          <w:rFonts w:hint="eastAsia"/>
          <w:sz w:val="21"/>
          <w:szCs w:val="21"/>
        </w:rPr>
        <w:t>）、</w:t>
      </w:r>
      <w:r>
        <w:rPr>
          <w:rFonts w:hint="eastAsia"/>
          <w:sz w:val="21"/>
          <w:szCs w:val="21"/>
          <w:lang w:val="en-US" w:eastAsia="zh-CN"/>
        </w:rPr>
        <w:t>11</w:t>
      </w:r>
      <w:r>
        <w:rPr>
          <w:rFonts w:hint="eastAsia"/>
          <w:sz w:val="21"/>
          <w:szCs w:val="21"/>
        </w:rPr>
        <w:t>）、</w:t>
      </w:r>
      <w:r>
        <w:rPr>
          <w:rFonts w:hint="eastAsia"/>
          <w:sz w:val="21"/>
          <w:szCs w:val="21"/>
          <w:lang w:val="en-US" w:eastAsia="zh-CN"/>
        </w:rPr>
        <w:t>12</w:t>
      </w:r>
      <w:r>
        <w:rPr>
          <w:rFonts w:hint="eastAsia"/>
          <w:sz w:val="21"/>
          <w:szCs w:val="21"/>
        </w:rPr>
        <w:t xml:space="preserve">）情形之外，因证券市场波动、证券发行人合并、基金规模变动等基金管理人之外的因素致使基金投资比例不符合上述规定投资比例的，基金管理人应当在10个交易日内进行调整，但中国证监会规定的特殊情形除外。 </w:t>
      </w:r>
    </w:p>
    <w:p w14:paraId="625A97F0">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0BB3341">
      <w:pPr>
        <w:pStyle w:val="8"/>
        <w:spacing w:before="0" w:beforeAutospacing="0" w:after="0" w:afterAutospacing="0" w:line="360" w:lineRule="auto"/>
        <w:ind w:firstLine="420"/>
        <w:rPr>
          <w:sz w:val="21"/>
          <w:szCs w:val="21"/>
        </w:rPr>
      </w:pPr>
      <w:r>
        <w:rPr>
          <w:rFonts w:hint="eastAsia"/>
          <w:sz w:val="21"/>
          <w:szCs w:val="21"/>
        </w:rPr>
        <w:t xml:space="preserve">（4）相关法律、法规或部门规章规定的其他比例限制。 </w:t>
      </w:r>
    </w:p>
    <w:p w14:paraId="17099126">
      <w:pPr>
        <w:pStyle w:val="8"/>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3.基金托管人根据有关法律法规的规定及《基金合同》的约定对下述基金投资禁止行为进行监督： </w:t>
      </w:r>
    </w:p>
    <w:p w14:paraId="5C15A3C1">
      <w:pPr>
        <w:pStyle w:val="8"/>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14:paraId="6F44B178">
      <w:pPr>
        <w:pStyle w:val="8"/>
        <w:spacing w:before="0" w:beforeAutospacing="0" w:after="0" w:afterAutospacing="0" w:line="360" w:lineRule="auto"/>
        <w:ind w:firstLine="420"/>
        <w:rPr>
          <w:sz w:val="21"/>
          <w:szCs w:val="21"/>
        </w:rPr>
      </w:pPr>
      <w:r>
        <w:rPr>
          <w:rFonts w:hint="eastAsia"/>
          <w:sz w:val="21"/>
          <w:szCs w:val="21"/>
        </w:rPr>
        <w:t xml:space="preserve">（1）承销证券； </w:t>
      </w:r>
    </w:p>
    <w:p w14:paraId="25B4E779">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3F702A6F">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BDB5C86">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0DEE403">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644BC83">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3E9AD627">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6159EC9A">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53F9E5DC">
      <w:pPr>
        <w:pStyle w:val="8"/>
        <w:spacing w:before="0" w:beforeAutospacing="0" w:after="0" w:afterAutospacing="0" w:line="360" w:lineRule="auto"/>
        <w:ind w:firstLine="420"/>
        <w:rPr>
          <w:sz w:val="21"/>
          <w:szCs w:val="21"/>
        </w:rPr>
      </w:pPr>
      <w:r>
        <w:rPr>
          <w:rFonts w:hint="eastAsia"/>
          <w:sz w:val="21"/>
          <w:szCs w:val="21"/>
        </w:rPr>
        <w:t xml:space="preserve">4.基金托管人依据有关法律法规的规定和《基金合同》的约定对于基金关联投资限制进行监督。 </w:t>
      </w:r>
    </w:p>
    <w:p w14:paraId="180F7455">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70F45F50">
      <w:pPr>
        <w:pStyle w:val="8"/>
        <w:spacing w:before="0" w:beforeAutospacing="0" w:after="0" w:afterAutospacing="0" w:line="360" w:lineRule="auto"/>
        <w:ind w:firstLine="420"/>
        <w:rPr>
          <w:sz w:val="21"/>
          <w:szCs w:val="21"/>
        </w:rPr>
      </w:pPr>
      <w:r>
        <w:rPr>
          <w:rFonts w:hint="eastAsia"/>
          <w:sz w:val="21"/>
          <w:szCs w:val="21"/>
        </w:rPr>
        <w:t xml:space="preserve">如法律、法规或《基金合同》有关于基金从事关联交易的规定，基金管理人和基金托管人事先相互提供与本机构有控股关系的股东、与本机构有重大利害关系的公司名单及有关关联方发行的证券清单,加盖公章并书面提交。基金管理人、基金托管人有责任确保关联交易名单的真实性、准确性、完整性，并负责及时将更新后的名单发送给对方。名单变更后基金管理人、基金托管人应及时发送对方，经基金管理人、基金托管人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 </w:t>
      </w:r>
    </w:p>
    <w:p w14:paraId="09E009C6">
      <w:pPr>
        <w:pStyle w:val="8"/>
        <w:spacing w:before="0" w:beforeAutospacing="0" w:after="0" w:afterAutospacing="0" w:line="360" w:lineRule="auto"/>
        <w:ind w:firstLine="420"/>
        <w:rPr>
          <w:sz w:val="21"/>
          <w:szCs w:val="21"/>
        </w:rPr>
      </w:pPr>
      <w:r>
        <w:rPr>
          <w:rFonts w:hint="eastAsia"/>
          <w:sz w:val="21"/>
          <w:szCs w:val="21"/>
        </w:rPr>
        <w:t xml:space="preserve">5.基金托管人依据有关法律法规的规定和《基金合同》的约定对基金管理人参与银行间债券市场进行监督。 </w:t>
      </w:r>
    </w:p>
    <w:p w14:paraId="630A72AE">
      <w:pPr>
        <w:pStyle w:val="8"/>
        <w:spacing w:before="0" w:beforeAutospacing="0" w:after="0" w:afterAutospacing="0" w:line="360" w:lineRule="auto"/>
        <w:ind w:firstLine="420"/>
        <w:rPr>
          <w:sz w:val="21"/>
          <w:szCs w:val="21"/>
        </w:rPr>
      </w:pPr>
      <w:r>
        <w:rPr>
          <w:rFonts w:hint="eastAsia"/>
          <w:sz w:val="21"/>
          <w:szCs w:val="21"/>
        </w:rPr>
        <w:t xml:space="preserve">基金托管人根据基金管理人提供的银行间债券市场交易对手名单进行监督。基金管理人有责任控制交易对手的资信风险，由于交易对手的资信风险引起的损失，基金管理人应当负责向相关责任人追偿。 </w:t>
      </w:r>
    </w:p>
    <w:p w14:paraId="64F29419">
      <w:pPr>
        <w:pStyle w:val="8"/>
        <w:spacing w:before="0" w:beforeAutospacing="0" w:after="0" w:afterAutospacing="0" w:line="360" w:lineRule="auto"/>
        <w:ind w:firstLine="420"/>
        <w:rPr>
          <w:sz w:val="21"/>
          <w:szCs w:val="21"/>
        </w:rPr>
      </w:pPr>
      <w:r>
        <w:rPr>
          <w:rFonts w:hint="eastAsia"/>
          <w:sz w:val="21"/>
          <w:szCs w:val="21"/>
        </w:rPr>
        <w:t xml:space="preserve">6. 基金托管人依据有关法律法规的规定和《基金合同》的约定，对基金银行存款业务进行监督。 </w:t>
      </w:r>
    </w:p>
    <w:p w14:paraId="5F6A84A7">
      <w:pPr>
        <w:pStyle w:val="8"/>
        <w:spacing w:before="0" w:beforeAutospacing="0" w:after="0" w:afterAutospacing="0" w:line="360" w:lineRule="auto"/>
        <w:ind w:firstLine="420"/>
        <w:rPr>
          <w:sz w:val="21"/>
          <w:szCs w:val="21"/>
        </w:rPr>
      </w:pPr>
      <w:r>
        <w:rPr>
          <w:rFonts w:hint="eastAsia"/>
          <w:sz w:val="21"/>
          <w:szCs w:val="21"/>
        </w:rPr>
        <w:t xml:space="preserve">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先由基金管理人负责赔偿，之后有权要求相关责任人进行赔偿。如果基金托管人在运作过程中遵循有关法律法规的规定和《基金合同》的约定监督流程，则对于由于存款银行信用风险引起的损失，不承担赔偿责任。 </w:t>
      </w:r>
    </w:p>
    <w:p w14:paraId="6A0240B9">
      <w:pPr>
        <w:pStyle w:val="8"/>
        <w:spacing w:before="0" w:beforeAutospacing="0" w:after="0" w:afterAutospacing="0" w:line="360" w:lineRule="auto"/>
        <w:ind w:firstLine="420"/>
        <w:rPr>
          <w:sz w:val="21"/>
          <w:szCs w:val="21"/>
        </w:rPr>
      </w:pPr>
      <w:r>
        <w:rPr>
          <w:rFonts w:hint="eastAsia"/>
          <w:sz w:val="21"/>
          <w:szCs w:val="21"/>
        </w:rPr>
        <w:t xml:space="preserve">（二）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2BF8CA16">
      <w:pPr>
        <w:pStyle w:val="8"/>
        <w:spacing w:before="0" w:beforeAutospacing="0" w:after="0" w:afterAutospacing="0" w:line="360" w:lineRule="auto"/>
        <w:ind w:firstLine="420"/>
        <w:rPr>
          <w:sz w:val="21"/>
          <w:szCs w:val="21"/>
        </w:rPr>
      </w:pPr>
      <w:r>
        <w:rPr>
          <w:rFonts w:hint="eastAsia"/>
          <w:sz w:val="21"/>
          <w:szCs w:val="21"/>
        </w:rPr>
        <w:t xml:space="preserve">（三）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 </w:t>
      </w:r>
    </w:p>
    <w:p w14:paraId="63292D95">
      <w:pPr>
        <w:pStyle w:val="8"/>
        <w:spacing w:before="0" w:beforeAutospacing="0" w:after="0" w:afterAutospacing="0" w:line="360" w:lineRule="auto"/>
        <w:ind w:firstLine="420"/>
        <w:rPr>
          <w:sz w:val="21"/>
          <w:szCs w:val="21"/>
        </w:rPr>
      </w:pPr>
      <w:r>
        <w:rPr>
          <w:rFonts w:hint="eastAsia"/>
          <w:sz w:val="21"/>
          <w:szCs w:val="21"/>
        </w:rPr>
        <w:t xml:space="preserve">在限期内，基金托管人有权随时对通知事项进行复查，督促基金管理人改正。基金管理人对基金托管人通知的违规事项未能在限期内纠正的，基金托管人应报告中国证监会。 </w:t>
      </w:r>
    </w:p>
    <w:p w14:paraId="2C4D6157">
      <w:pPr>
        <w:pStyle w:val="8"/>
        <w:spacing w:before="0" w:beforeAutospacing="0" w:after="0" w:afterAutospacing="0" w:line="360" w:lineRule="auto"/>
        <w:ind w:firstLine="420"/>
        <w:rPr>
          <w:sz w:val="21"/>
          <w:szCs w:val="21"/>
        </w:rPr>
      </w:pPr>
      <w:r>
        <w:rPr>
          <w:rFonts w:hint="eastAsia"/>
          <w:sz w:val="21"/>
          <w:szCs w:val="21"/>
        </w:rPr>
        <w:t xml:space="preserve">基金管理人应积极配合和协助基金托管人依照法律法规、《基金合同》和本托管协议对基金业务的监督和核查，对基金托管人发出的书面提示，必须在规定时间内答复基金托管人并改正，或就基金托管人的疑义进行解释或举证，对基金托管人按照法律法规、《基金合同》和本托管协议的要求需向中国证监会报送基金监督报告的，基金管理人应积极配合提供相关数据资料和制度等。 </w:t>
      </w:r>
    </w:p>
    <w:p w14:paraId="39F3E619">
      <w:pPr>
        <w:pStyle w:val="8"/>
        <w:spacing w:before="0" w:beforeAutospacing="0" w:after="0" w:afterAutospacing="0" w:line="360" w:lineRule="auto"/>
        <w:ind w:firstLine="420"/>
        <w:rPr>
          <w:sz w:val="21"/>
          <w:szCs w:val="21"/>
        </w:rPr>
      </w:pPr>
      <w:r>
        <w:rPr>
          <w:rFonts w:hint="eastAsia"/>
          <w:sz w:val="21"/>
          <w:szCs w:val="21"/>
        </w:rPr>
        <w:t xml:space="preserve">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 </w:t>
      </w:r>
    </w:p>
    <w:p w14:paraId="712A4E43">
      <w:pPr>
        <w:pStyle w:val="8"/>
        <w:spacing w:before="0" w:beforeAutospacing="0" w:after="0" w:afterAutospacing="0" w:line="360" w:lineRule="auto"/>
        <w:ind w:firstLine="420"/>
        <w:rPr>
          <w:sz w:val="21"/>
          <w:szCs w:val="21"/>
        </w:rPr>
      </w:pPr>
      <w:r>
        <w:rPr>
          <w:rFonts w:hint="eastAsia"/>
          <w:sz w:val="21"/>
          <w:szCs w:val="21"/>
        </w:rPr>
        <w:t xml:space="preserve">对于必须于估值完成后方可获知的监控指标或依据交易程序已经成交的投资指令，基金托管人发现该投资指令违反法律法规或者违反《基金合同》约定的，应当立即通知基金管理人，并报告中国证监会。 </w:t>
      </w:r>
    </w:p>
    <w:p w14:paraId="4B69F35A">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基金托管人发现基金管理人有重大违规行为，应立即报告中国证监会，同时通知基金管理人限期纠正。 </w:t>
      </w:r>
    </w:p>
    <w:p w14:paraId="258F650A">
      <w:pPr>
        <w:pStyle w:val="8"/>
        <w:spacing w:before="0" w:beforeAutospacing="0" w:after="0" w:afterAutospacing="0" w:line="360" w:lineRule="auto"/>
        <w:ind w:firstLine="420"/>
        <w:rPr>
          <w:sz w:val="21"/>
          <w:szCs w:val="21"/>
        </w:rPr>
      </w:pPr>
      <w:r>
        <w:rPr>
          <w:rFonts w:hint="eastAsia"/>
          <w:sz w:val="21"/>
          <w:szCs w:val="21"/>
        </w:rPr>
        <w:t xml:space="preserve">基金管理人无正当理由，拒绝、阻挠基金托管人根据本协议规定行使监督权，或采取拖延、欺诈等手段妨碍基金托管人进行有效监督，情节严重或经基金托管人提出警告仍不改正的，基金托管人应报告中国证监会。 </w:t>
      </w:r>
    </w:p>
    <w:p w14:paraId="5EF08275">
      <w:pPr>
        <w:pStyle w:val="8"/>
        <w:spacing w:before="0" w:beforeAutospacing="0" w:after="0" w:afterAutospacing="0" w:line="360" w:lineRule="auto"/>
        <w:ind w:firstLine="420"/>
        <w:rPr>
          <w:sz w:val="21"/>
          <w:szCs w:val="21"/>
        </w:rPr>
      </w:pPr>
      <w:r>
        <w:rPr>
          <w:rFonts w:hint="eastAsia"/>
          <w:sz w:val="21"/>
          <w:szCs w:val="21"/>
        </w:rPr>
        <w:t xml:space="preserve">（四）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4CC327FD">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三、基金管理人对基金托管人的业务核查</w:t>
      </w:r>
    </w:p>
    <w:p w14:paraId="01A6C990">
      <w:pPr>
        <w:pStyle w:val="8"/>
        <w:spacing w:before="0" w:beforeAutospacing="0" w:after="0" w:afterAutospacing="0" w:line="360" w:lineRule="auto"/>
        <w:ind w:firstLine="420"/>
        <w:rPr>
          <w:sz w:val="21"/>
          <w:szCs w:val="21"/>
        </w:rPr>
      </w:pPr>
      <w:r>
        <w:rPr>
          <w:rFonts w:hint="eastAsia"/>
          <w:sz w:val="21"/>
          <w:szCs w:val="21"/>
        </w:rPr>
        <w:t xml:space="preserve">基金管理人对基金托管人履行托管职责情况进行核查，核查事项包括但不限于基金托管人是否安全保管基金财产、是否分别开设基金财产的资金账户、证券账户及投资所需其他账、是否复核基金管理人计算的基金资产净值和基金份额净值、是否根据基金管理人指令办理清算交收、进行相关信息披露和监督基金投资运作等行为。 </w:t>
      </w:r>
    </w:p>
    <w:p w14:paraId="2C852FF6">
      <w:pPr>
        <w:pStyle w:val="8"/>
        <w:spacing w:before="0" w:beforeAutospacing="0" w:after="0" w:afterAutospacing="0" w:line="360" w:lineRule="auto"/>
        <w:ind w:firstLine="420"/>
        <w:rPr>
          <w:sz w:val="21"/>
          <w:szCs w:val="21"/>
        </w:rPr>
      </w:pPr>
      <w:r>
        <w:rPr>
          <w:rFonts w:hint="eastAsia"/>
          <w:sz w:val="21"/>
          <w:szCs w:val="21"/>
        </w:rPr>
        <w:t xml:space="preserve">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 </w:t>
      </w:r>
    </w:p>
    <w:p w14:paraId="61BB40B2">
      <w:pPr>
        <w:pStyle w:val="8"/>
        <w:spacing w:before="0" w:beforeAutospacing="0" w:after="0" w:afterAutospacing="0" w:line="360" w:lineRule="auto"/>
        <w:ind w:firstLine="420"/>
        <w:rPr>
          <w:sz w:val="21"/>
          <w:szCs w:val="21"/>
        </w:rPr>
      </w:pPr>
      <w:r>
        <w:rPr>
          <w:rFonts w:hint="eastAsia"/>
          <w:sz w:val="21"/>
          <w:szCs w:val="21"/>
        </w:rPr>
        <w:t xml:space="preserve">基金托管人应积极配合基金管理人的核查行为，包括但不限于：提交相关资料以供基金管理人核查托管财产的完整性和真实性，在规定时间内答复基金管理人并改正。 </w:t>
      </w:r>
    </w:p>
    <w:p w14:paraId="396BD646">
      <w:pPr>
        <w:pStyle w:val="8"/>
        <w:spacing w:before="0" w:beforeAutospacing="0" w:after="0" w:afterAutospacing="0" w:line="360" w:lineRule="auto"/>
        <w:ind w:firstLine="420"/>
        <w:rPr>
          <w:sz w:val="21"/>
          <w:szCs w:val="21"/>
        </w:rPr>
      </w:pPr>
      <w:r>
        <w:rPr>
          <w:rFonts w:hint="eastAsia"/>
          <w:sz w:val="21"/>
          <w:szCs w:val="21"/>
        </w:rPr>
        <w:t xml:space="preserve">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0270FD5D">
      <w:pPr>
        <w:pStyle w:val="8"/>
        <w:spacing w:before="0" w:beforeAutospacing="0" w:after="0" w:afterAutospacing="0" w:line="360" w:lineRule="auto"/>
        <w:ind w:firstLine="420"/>
        <w:rPr>
          <w:sz w:val="21"/>
          <w:szCs w:val="21"/>
        </w:rPr>
      </w:pPr>
      <w:r>
        <w:rPr>
          <w:rStyle w:val="12"/>
          <w:rFonts w:hint="eastAsia"/>
          <w:sz w:val="21"/>
          <w:szCs w:val="21"/>
        </w:rPr>
        <w:t>四、基金财产保管</w:t>
      </w:r>
    </w:p>
    <w:p w14:paraId="53199734">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14:paraId="19ACA73D">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39B9C06A">
      <w:pPr>
        <w:pStyle w:val="8"/>
        <w:spacing w:before="0" w:beforeAutospacing="0" w:after="0" w:afterAutospacing="0" w:line="360" w:lineRule="auto"/>
        <w:ind w:firstLine="420"/>
        <w:rPr>
          <w:sz w:val="21"/>
          <w:szCs w:val="21"/>
        </w:rPr>
      </w:pPr>
      <w:r>
        <w:rPr>
          <w:rFonts w:hint="eastAsia"/>
          <w:sz w:val="21"/>
          <w:szCs w:val="21"/>
        </w:rPr>
        <w:t xml:space="preserve">2.基金托管人应按本协议规定安全保管托管财产。未经基金管理人的指令，不得自行运用、处分、分配基金的任何财产（托管人主动扣收的汇划费除外）。托管人不对处于自身实际控制之外的账户及财产承担责任。 </w:t>
      </w:r>
    </w:p>
    <w:p w14:paraId="4EF70947">
      <w:pPr>
        <w:pStyle w:val="8"/>
        <w:spacing w:before="0" w:beforeAutospacing="0" w:after="0" w:afterAutospacing="0" w:line="360" w:lineRule="auto"/>
        <w:ind w:firstLine="420"/>
        <w:rPr>
          <w:sz w:val="21"/>
          <w:szCs w:val="21"/>
        </w:rPr>
      </w:pPr>
      <w:r>
        <w:rPr>
          <w:rFonts w:hint="eastAsia"/>
          <w:sz w:val="21"/>
          <w:szCs w:val="21"/>
        </w:rPr>
        <w:t xml:space="preserve">3.基金托管人按照规定为托管的基金财产开设资金账户、证券账户以及投资所需的其他专用账户。 </w:t>
      </w:r>
    </w:p>
    <w:p w14:paraId="69726C8C">
      <w:pPr>
        <w:pStyle w:val="8"/>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4.基金托管人对所托管的不同基金财产分别设置账户，与基金托管人的其他业务和其他基金的托管业务实行严格的分账管理，确保基金财产的完整与独立。 </w:t>
      </w:r>
    </w:p>
    <w:p w14:paraId="7E351A63">
      <w:pPr>
        <w:pStyle w:val="8"/>
        <w:spacing w:before="0" w:beforeAutospacing="0" w:after="0" w:afterAutospacing="0" w:line="360" w:lineRule="auto"/>
        <w:ind w:firstLine="420"/>
        <w:rPr>
          <w:sz w:val="21"/>
          <w:szCs w:val="21"/>
        </w:rPr>
      </w:pPr>
      <w:r>
        <w:rPr>
          <w:rFonts w:hint="eastAsia"/>
          <w:sz w:val="21"/>
          <w:szCs w:val="21"/>
        </w:rPr>
        <w:t xml:space="preserve">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 </w:t>
      </w:r>
    </w:p>
    <w:p w14:paraId="2F6912CD">
      <w:pPr>
        <w:pStyle w:val="8"/>
        <w:spacing w:before="0" w:beforeAutospacing="0" w:after="0" w:afterAutospacing="0" w:line="360" w:lineRule="auto"/>
        <w:ind w:firstLine="420"/>
        <w:rPr>
          <w:sz w:val="21"/>
          <w:szCs w:val="21"/>
        </w:rPr>
      </w:pPr>
      <w:r>
        <w:rPr>
          <w:rFonts w:hint="eastAsia"/>
          <w:sz w:val="21"/>
          <w:szCs w:val="21"/>
        </w:rPr>
        <w:t xml:space="preserve">（二）募集资金的验证 </w:t>
      </w:r>
    </w:p>
    <w:p w14:paraId="2A636660">
      <w:pPr>
        <w:pStyle w:val="8"/>
        <w:spacing w:before="0" w:beforeAutospacing="0" w:after="0" w:afterAutospacing="0" w:line="360" w:lineRule="auto"/>
        <w:ind w:firstLine="420"/>
        <w:rPr>
          <w:sz w:val="21"/>
          <w:szCs w:val="21"/>
        </w:rPr>
      </w:pPr>
      <w:r>
        <w:rPr>
          <w:rFonts w:hint="eastAsia"/>
          <w:sz w:val="21"/>
          <w:szCs w:val="21"/>
        </w:rPr>
        <w:t>募集期内销售机构按销售与服务代理协议的约定，将认购资金划入基金管理人在具有托管资格的商业银行开设的</w:t>
      </w:r>
      <w:bookmarkStart w:id="194" w:name="field_0_productfullname_12"/>
      <w:r>
        <w:rPr>
          <w:rFonts w:hint="eastAsia"/>
          <w:sz w:val="21"/>
          <w:szCs w:val="21"/>
        </w:rPr>
        <w:t>博时稳欣</w:t>
      </w:r>
      <w:r>
        <w:rPr>
          <w:sz w:val="21"/>
          <w:szCs w:val="21"/>
        </w:rPr>
        <w:t>39个月定期开放债券型证券投资基金</w:t>
      </w:r>
      <w:bookmarkEnd w:id="194"/>
      <w:r>
        <w:rPr>
          <w:rFonts w:hint="eastAsia"/>
          <w:sz w:val="21"/>
          <w:szCs w:val="21"/>
        </w:rPr>
        <w:t xml:space="preserve">认购专户。该账户由基金管理人开立并管理。基金募集期满或基金停止募集时，募集的基金份额总额、基金募集金额、基金份额持有人人数符合《基金法》、《运作办法》等有关规定后，由基金管理人聘请具有从事证券业务资格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 </w:t>
      </w:r>
    </w:p>
    <w:p w14:paraId="50280448">
      <w:pPr>
        <w:pStyle w:val="8"/>
        <w:spacing w:before="0" w:beforeAutospacing="0" w:after="0" w:afterAutospacing="0" w:line="360" w:lineRule="auto"/>
        <w:ind w:firstLine="420"/>
        <w:rPr>
          <w:sz w:val="21"/>
          <w:szCs w:val="21"/>
        </w:rPr>
      </w:pPr>
      <w:r>
        <w:rPr>
          <w:rFonts w:hint="eastAsia"/>
          <w:sz w:val="21"/>
          <w:szCs w:val="21"/>
        </w:rPr>
        <w:t xml:space="preserve">若基金募集期限届满或基金停止募集时，未能达到《基金合同》备案的条件，由基金管理人按规定办理退款事宜。 </w:t>
      </w:r>
    </w:p>
    <w:p w14:paraId="0D31380A">
      <w:pPr>
        <w:pStyle w:val="8"/>
        <w:spacing w:before="0" w:beforeAutospacing="0" w:after="0" w:afterAutospacing="0" w:line="360" w:lineRule="auto"/>
        <w:ind w:firstLine="420"/>
        <w:rPr>
          <w:sz w:val="21"/>
          <w:szCs w:val="21"/>
        </w:rPr>
      </w:pPr>
      <w:r>
        <w:rPr>
          <w:rFonts w:hint="eastAsia"/>
          <w:sz w:val="21"/>
          <w:szCs w:val="21"/>
        </w:rPr>
        <w:t xml:space="preserve">（三）基金资产托管专户的开立和管理 </w:t>
      </w:r>
    </w:p>
    <w:p w14:paraId="19707808">
      <w:pPr>
        <w:pStyle w:val="8"/>
        <w:spacing w:before="0" w:beforeAutospacing="0" w:after="0" w:afterAutospacing="0" w:line="360" w:lineRule="auto"/>
        <w:ind w:firstLine="420"/>
        <w:rPr>
          <w:sz w:val="21"/>
          <w:szCs w:val="21"/>
        </w:rPr>
      </w:pPr>
      <w:r>
        <w:rPr>
          <w:rFonts w:hint="eastAsia"/>
          <w:sz w:val="21"/>
          <w:szCs w:val="21"/>
        </w:rPr>
        <w:t xml:space="preserve">基金托管人以基金托管人的名义或以基金的名义在其营业机构开设资产托管专户，并根据基金管理人合法合规的有效指令办理资金收付。基金管理人应根据法律法规及托管行的相关要求，提供开户所需的资料并提供其他必要协助。本基金的资产托管专户的预留印鉴的印章由基金托管人保管和使用，预留印鉴由管理人刻制在托管账户开立前移交托管人。 </w:t>
      </w:r>
    </w:p>
    <w:p w14:paraId="3152D929">
      <w:pPr>
        <w:pStyle w:val="8"/>
        <w:spacing w:before="0" w:beforeAutospacing="0" w:after="0" w:afterAutospacing="0" w:line="360" w:lineRule="auto"/>
        <w:ind w:firstLine="420"/>
        <w:rPr>
          <w:sz w:val="21"/>
          <w:szCs w:val="21"/>
        </w:rPr>
      </w:pPr>
      <w:r>
        <w:rPr>
          <w:rFonts w:hint="eastAsia"/>
          <w:sz w:val="21"/>
          <w:szCs w:val="21"/>
        </w:rPr>
        <w:t xml:space="preserve">本基金的一切货币收支活动，均需通过基金托管人或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 </w:t>
      </w:r>
    </w:p>
    <w:p w14:paraId="23AC9657">
      <w:pPr>
        <w:pStyle w:val="8"/>
        <w:spacing w:before="0" w:beforeAutospacing="0" w:after="0" w:afterAutospacing="0" w:line="360" w:lineRule="auto"/>
        <w:ind w:firstLine="420"/>
        <w:rPr>
          <w:sz w:val="21"/>
          <w:szCs w:val="21"/>
        </w:rPr>
      </w:pPr>
      <w:r>
        <w:rPr>
          <w:rFonts w:hint="eastAsia"/>
          <w:sz w:val="21"/>
          <w:szCs w:val="21"/>
        </w:rPr>
        <w:t xml:space="preserve">资产托管专户的管理应符合《人民币银行结算账户管理办法》、《现金管理暂行条例》、《人民币利率管理规定》、《利率管理暂行规定》、《支付结算办法》以及银行业监督管理机构的其他有关规定。 </w:t>
      </w:r>
    </w:p>
    <w:p w14:paraId="7692C793">
      <w:pPr>
        <w:pStyle w:val="8"/>
        <w:spacing w:before="0" w:beforeAutospacing="0" w:after="0" w:afterAutospacing="0" w:line="360" w:lineRule="auto"/>
        <w:ind w:firstLine="420"/>
        <w:rPr>
          <w:sz w:val="21"/>
          <w:szCs w:val="21"/>
        </w:rPr>
      </w:pPr>
      <w:r>
        <w:rPr>
          <w:rFonts w:hint="eastAsia"/>
          <w:sz w:val="21"/>
          <w:szCs w:val="21"/>
        </w:rPr>
        <w:t xml:space="preserve">（四）基金证券账户与证券交易资金账户的开设和管理 </w:t>
      </w:r>
    </w:p>
    <w:p w14:paraId="41563E05">
      <w:pPr>
        <w:pStyle w:val="8"/>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基金托管人以基金托管人和本基金联名的方式在中国证券登记结算有限责任公司上海分公司/深圳分公司开立专门的证券账户。 </w:t>
      </w:r>
    </w:p>
    <w:p w14:paraId="4B9B80AF">
      <w:pPr>
        <w:pStyle w:val="8"/>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基金证券账户的开立和使用，限于满足开展本基金业务的需要。基金托管人和基金管理人不得出借和未经对方同意擅自转让本基金的任何证券账户；亦不得使用本基金的任何证券账户进行本基金业务以外的活动。 </w:t>
      </w:r>
    </w:p>
    <w:p w14:paraId="7CA31DE5">
      <w:pPr>
        <w:pStyle w:val="8"/>
        <w:spacing w:before="0" w:beforeAutospacing="0" w:after="0" w:afterAutospacing="0" w:line="360" w:lineRule="auto"/>
        <w:ind w:firstLine="420"/>
        <w:rPr>
          <w:sz w:val="21"/>
          <w:szCs w:val="21"/>
        </w:rPr>
      </w:pPr>
      <w:r>
        <w:rPr>
          <w:rFonts w:hint="eastAsia"/>
          <w:sz w:val="21"/>
          <w:szCs w:val="21"/>
        </w:rPr>
        <w:t xml:space="preserve">基金证券账户的开立由基金托管人负责，管理和运用由基金管理人负责。 </w:t>
      </w:r>
    </w:p>
    <w:p w14:paraId="1E29B41F">
      <w:pPr>
        <w:pStyle w:val="8"/>
        <w:spacing w:before="0" w:beforeAutospacing="0" w:after="0" w:afterAutospacing="0" w:line="360" w:lineRule="auto"/>
        <w:ind w:firstLine="420"/>
        <w:rPr>
          <w:sz w:val="21"/>
          <w:szCs w:val="21"/>
        </w:rPr>
      </w:pPr>
      <w:r>
        <w:rPr>
          <w:rFonts w:hint="eastAsia"/>
          <w:sz w:val="21"/>
          <w:szCs w:val="21"/>
        </w:rPr>
        <w:t xml:space="preserve">基金托管人保管证券账户卡原件。 </w:t>
      </w:r>
    </w:p>
    <w:p w14:paraId="08DE6958">
      <w:pPr>
        <w:pStyle w:val="8"/>
        <w:spacing w:before="0" w:beforeAutospacing="0" w:after="0" w:afterAutospacing="0" w:line="360" w:lineRule="auto"/>
        <w:ind w:firstLine="420"/>
        <w:rPr>
          <w:sz w:val="21"/>
          <w:szCs w:val="21"/>
        </w:rPr>
      </w:pPr>
      <w:r>
        <w:rPr>
          <w:rFonts w:hint="eastAsia"/>
          <w:sz w:val="21"/>
          <w:szCs w:val="21"/>
        </w:rPr>
        <w:t xml:space="preserve">基金托管人以基金托管人的名义在中国证券登记结算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 </w:t>
      </w:r>
    </w:p>
    <w:p w14:paraId="743F5C52">
      <w:pPr>
        <w:pStyle w:val="8"/>
        <w:spacing w:before="0" w:beforeAutospacing="0" w:after="0" w:afterAutospacing="0" w:line="360" w:lineRule="auto"/>
        <w:ind w:firstLine="420"/>
        <w:rPr>
          <w:sz w:val="21"/>
          <w:szCs w:val="21"/>
        </w:rPr>
      </w:pPr>
      <w:r>
        <w:rPr>
          <w:rFonts w:hint="eastAsia"/>
          <w:sz w:val="21"/>
          <w:szCs w:val="21"/>
        </w:rPr>
        <w:t xml:space="preserve">（五）银行间市场债券托管和资金结算专户的开立和管理及市场准入备案 </w:t>
      </w:r>
    </w:p>
    <w:p w14:paraId="3DEA9C80">
      <w:pPr>
        <w:pStyle w:val="8"/>
        <w:spacing w:before="0" w:beforeAutospacing="0" w:after="0" w:afterAutospacing="0" w:line="360" w:lineRule="auto"/>
        <w:ind w:firstLine="420"/>
        <w:rPr>
          <w:sz w:val="21"/>
          <w:szCs w:val="21"/>
        </w:rPr>
      </w:pPr>
      <w:r>
        <w:rPr>
          <w:rFonts w:hint="eastAsia"/>
          <w:sz w:val="21"/>
          <w:szCs w:val="21"/>
        </w:rPr>
        <w:t xml:space="preserve">《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管理人和基金托管人应共同负责完成银行间债券市场准入备案。 </w:t>
      </w:r>
    </w:p>
    <w:p w14:paraId="79D33300">
      <w:pPr>
        <w:pStyle w:val="8"/>
        <w:spacing w:before="0" w:beforeAutospacing="0" w:after="0" w:afterAutospacing="0" w:line="360" w:lineRule="auto"/>
        <w:ind w:firstLine="420"/>
        <w:rPr>
          <w:sz w:val="21"/>
          <w:szCs w:val="21"/>
        </w:rPr>
      </w:pPr>
      <w:r>
        <w:rPr>
          <w:rFonts w:hint="eastAsia"/>
          <w:sz w:val="21"/>
          <w:szCs w:val="21"/>
        </w:rPr>
        <w:t xml:space="preserve">（六）其他账户的开设和管理 </w:t>
      </w:r>
    </w:p>
    <w:p w14:paraId="014E96CD">
      <w:pPr>
        <w:pStyle w:val="8"/>
        <w:spacing w:before="0" w:beforeAutospacing="0" w:after="0" w:afterAutospacing="0" w:line="360" w:lineRule="auto"/>
        <w:ind w:firstLine="420"/>
        <w:rPr>
          <w:sz w:val="21"/>
          <w:szCs w:val="21"/>
        </w:rPr>
      </w:pPr>
      <w:r>
        <w:rPr>
          <w:rFonts w:hint="eastAsia"/>
          <w:sz w:val="21"/>
          <w:szCs w:val="21"/>
        </w:rPr>
        <w:t xml:space="preserve">1、因业务发展而需要开立的其它账户，可以根据《基金合同》或有关法律法规的规定，经基金管理人和基金托管人协商一致后，由基金托管人负责为基金开立。新账户按有关规则使用并管理。 </w:t>
      </w:r>
    </w:p>
    <w:p w14:paraId="62B63D3A">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7D3A8508">
      <w:pPr>
        <w:pStyle w:val="8"/>
        <w:spacing w:before="0" w:beforeAutospacing="0" w:after="0" w:afterAutospacing="0" w:line="360" w:lineRule="auto"/>
        <w:ind w:firstLine="420"/>
        <w:rPr>
          <w:sz w:val="21"/>
          <w:szCs w:val="21"/>
        </w:rPr>
      </w:pPr>
      <w:r>
        <w:rPr>
          <w:rFonts w:hint="eastAsia"/>
          <w:sz w:val="21"/>
          <w:szCs w:val="21"/>
        </w:rPr>
        <w:t xml:space="preserve">（七）基金投资银行存款账户的开立和管理 </w:t>
      </w:r>
    </w:p>
    <w:p w14:paraId="2E2083E2">
      <w:pPr>
        <w:pStyle w:val="8"/>
        <w:spacing w:before="0" w:beforeAutospacing="0" w:after="0" w:afterAutospacing="0" w:line="360" w:lineRule="auto"/>
        <w:ind w:firstLine="420"/>
        <w:rPr>
          <w:sz w:val="21"/>
          <w:szCs w:val="21"/>
        </w:rPr>
      </w:pPr>
      <w:r>
        <w:rPr>
          <w:rFonts w:hint="eastAsia"/>
          <w:sz w:val="21"/>
          <w:szCs w:val="21"/>
        </w:rPr>
        <w:t xml:space="preserve">基金投资银行定期存款，基金管理人与基金托管人应比照证监会相关规定，就本基金投资银行存款业务签订书面协议。 </w:t>
      </w:r>
    </w:p>
    <w:p w14:paraId="58FB824F">
      <w:pPr>
        <w:pStyle w:val="8"/>
        <w:spacing w:before="0" w:beforeAutospacing="0" w:after="0" w:afterAutospacing="0" w:line="360" w:lineRule="auto"/>
        <w:ind w:firstLine="420"/>
        <w:rPr>
          <w:sz w:val="21"/>
          <w:szCs w:val="21"/>
        </w:rPr>
      </w:pPr>
      <w:r>
        <w:rPr>
          <w:rFonts w:hint="eastAsia"/>
          <w:sz w:val="21"/>
          <w:szCs w:val="21"/>
        </w:rPr>
        <w:t xml:space="preserve">基金投资银行定期存款应由基金管理人与存款银行总行或其授权分行签订总体合作协议，并将资金存放于存款银行总行或其授权分行指定的分支机构。 </w:t>
      </w:r>
    </w:p>
    <w:p w14:paraId="5A6A6F02">
      <w:pPr>
        <w:pStyle w:val="8"/>
        <w:spacing w:before="0" w:beforeAutospacing="0" w:after="0" w:afterAutospacing="0" w:line="360" w:lineRule="auto"/>
        <w:ind w:firstLine="420"/>
        <w:rPr>
          <w:sz w:val="21"/>
          <w:szCs w:val="21"/>
        </w:rPr>
      </w:pPr>
      <w:r>
        <w:rPr>
          <w:rFonts w:hint="eastAsia"/>
          <w:sz w:val="21"/>
          <w:szCs w:val="21"/>
        </w:rPr>
        <w:t xml:space="preserve">存款账户必须以基金名义开立，账户名称为基金名称，存款账户开户文件上加盖预留印鉴及基金管理人公章。 </w:t>
      </w:r>
    </w:p>
    <w:p w14:paraId="5D3F7EDF">
      <w:pPr>
        <w:pStyle w:val="8"/>
        <w:spacing w:before="0" w:beforeAutospacing="0" w:after="0" w:afterAutospacing="0" w:line="360" w:lineRule="auto"/>
        <w:ind w:firstLine="420"/>
        <w:rPr>
          <w:sz w:val="21"/>
          <w:szCs w:val="21"/>
        </w:rPr>
      </w:pPr>
      <w:r>
        <w:rPr>
          <w:rFonts w:hint="eastAsia"/>
          <w:sz w:val="21"/>
          <w:szCs w:val="21"/>
        </w:rPr>
        <w:t xml:space="preserve">本基金投资银行存款时，基金管理人应当与存款银行签订具体存款协议，明确存款的类型、期限、利率、金额、账号、对账方式、支取方式、账户管理等细则。 </w:t>
      </w:r>
    </w:p>
    <w:p w14:paraId="3B97418F">
      <w:pPr>
        <w:pStyle w:val="8"/>
        <w:spacing w:before="0" w:beforeAutospacing="0" w:after="0" w:afterAutospacing="0" w:line="360" w:lineRule="auto"/>
        <w:ind w:firstLine="420"/>
        <w:rPr>
          <w:sz w:val="21"/>
          <w:szCs w:val="21"/>
        </w:rPr>
      </w:pPr>
      <w:r>
        <w:rPr>
          <w:rFonts w:hint="eastAsia"/>
          <w:sz w:val="21"/>
          <w:szCs w:val="21"/>
        </w:rPr>
        <w:t xml:space="preserve">为防范特殊情况下的流动性风险，定期存款协议中应当约定提前支取条款。 </w:t>
      </w:r>
    </w:p>
    <w:p w14:paraId="37C9C885">
      <w:pPr>
        <w:pStyle w:val="8"/>
        <w:spacing w:before="0" w:beforeAutospacing="0" w:after="0" w:afterAutospacing="0" w:line="360" w:lineRule="auto"/>
        <w:ind w:firstLine="420"/>
        <w:rPr>
          <w:sz w:val="21"/>
          <w:szCs w:val="21"/>
        </w:rPr>
      </w:pPr>
      <w:r>
        <w:rPr>
          <w:rFonts w:hint="eastAsia"/>
          <w:sz w:val="21"/>
          <w:szCs w:val="21"/>
        </w:rPr>
        <w:t xml:space="preserve">基金所投资定期存款存续期间，基金管理人、基金托管人应当与存款银行建立定期对账机制，确保基金银行存款业务账目及核对的真实、准确。 </w:t>
      </w:r>
    </w:p>
    <w:p w14:paraId="41ED16C1">
      <w:pPr>
        <w:pStyle w:val="8"/>
        <w:spacing w:before="0" w:beforeAutospacing="0" w:after="0" w:afterAutospacing="0" w:line="360" w:lineRule="auto"/>
        <w:ind w:firstLine="420"/>
        <w:rPr>
          <w:sz w:val="21"/>
          <w:szCs w:val="21"/>
        </w:rPr>
      </w:pPr>
      <w:r>
        <w:rPr>
          <w:rFonts w:hint="eastAsia"/>
          <w:sz w:val="21"/>
          <w:szCs w:val="21"/>
        </w:rPr>
        <w:t xml:space="preserve">（八）基金财产投资的有关实物证券、银行定期存款存单等有价凭证的保管 </w:t>
      </w:r>
    </w:p>
    <w:p w14:paraId="7E5D498A">
      <w:pPr>
        <w:pStyle w:val="8"/>
        <w:spacing w:before="0" w:beforeAutospacing="0" w:after="0" w:afterAutospacing="0" w:line="360" w:lineRule="auto"/>
        <w:ind w:firstLine="420"/>
        <w:rPr>
          <w:sz w:val="21"/>
          <w:szCs w:val="21"/>
        </w:rPr>
      </w:pPr>
      <w:r>
        <w:rPr>
          <w:rFonts w:hint="eastAsia"/>
          <w:sz w:val="21"/>
          <w:szCs w:val="21"/>
        </w:rPr>
        <w:t xml:space="preserve">基金财产投资的有关实物证券由基金托管人存放于基金托管人的保管库；其中实物证券也可存入中央国债登记结算有限责任公司或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 </w:t>
      </w:r>
    </w:p>
    <w:p w14:paraId="2F92BA1A">
      <w:pPr>
        <w:pStyle w:val="8"/>
        <w:spacing w:before="0" w:beforeAutospacing="0" w:after="0" w:afterAutospacing="0" w:line="360" w:lineRule="auto"/>
        <w:ind w:firstLine="420"/>
        <w:rPr>
          <w:sz w:val="21"/>
          <w:szCs w:val="21"/>
        </w:rPr>
      </w:pPr>
      <w:r>
        <w:rPr>
          <w:rFonts w:hint="eastAsia"/>
          <w:sz w:val="21"/>
          <w:szCs w:val="21"/>
        </w:rPr>
        <w:t xml:space="preserve">（九）与基金财产有关的重大合同的保管 </w:t>
      </w:r>
    </w:p>
    <w:p w14:paraId="5D51787C">
      <w:pPr>
        <w:pStyle w:val="8"/>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法律法规或监管部门另有规定的除外。 </w:t>
      </w:r>
    </w:p>
    <w:p w14:paraId="076AB565">
      <w:pPr>
        <w:pStyle w:val="8"/>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对于无法取得二份以上的正本的，基金管理人应向基金托管人提供与合同原件核对一致的并加盖授权业务章的合同传真件或复印件，未经双方协商一致，合同原件不得转移。 </w:t>
      </w:r>
    </w:p>
    <w:p w14:paraId="3EC31C33">
      <w:pPr>
        <w:pStyle w:val="8"/>
        <w:spacing w:before="0" w:beforeAutospacing="0" w:after="0" w:afterAutospacing="0" w:line="360" w:lineRule="auto"/>
        <w:ind w:firstLine="420"/>
        <w:rPr>
          <w:sz w:val="21"/>
          <w:szCs w:val="21"/>
        </w:rPr>
      </w:pPr>
      <w:r>
        <w:rPr>
          <w:rStyle w:val="12"/>
          <w:rFonts w:hint="eastAsia"/>
          <w:sz w:val="21"/>
          <w:szCs w:val="21"/>
        </w:rPr>
        <w:t>五、基金资产净值计算和会计核算</w:t>
      </w:r>
    </w:p>
    <w:p w14:paraId="0CBED748">
      <w:pPr>
        <w:pStyle w:val="8"/>
        <w:spacing w:before="0" w:beforeAutospacing="0" w:after="0" w:afterAutospacing="0" w:line="360" w:lineRule="auto"/>
        <w:ind w:firstLine="420"/>
        <w:rPr>
          <w:sz w:val="21"/>
          <w:szCs w:val="21"/>
        </w:rPr>
      </w:pPr>
      <w:r>
        <w:rPr>
          <w:rFonts w:hint="eastAsia"/>
          <w:sz w:val="21"/>
          <w:szCs w:val="21"/>
        </w:rPr>
        <w:t xml:space="preserve">（一）基金资产净值的计算、复核的时间和程序 </w:t>
      </w:r>
    </w:p>
    <w:p w14:paraId="5806FB61">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基金份额净值是指计算日基金资产净值除以该计算日基金份额总份额后的数值。基金份额净值的计算保留到小数点后4位，小数点后第5位四舍五入，由此产生的误差计入基金财产。基金管理人可以设立大额赎回情形下的净值精度应急调整机制。国家另有规定的，从其规定。 </w:t>
      </w:r>
    </w:p>
    <w:p w14:paraId="7A89C987">
      <w:pPr>
        <w:pStyle w:val="8"/>
        <w:spacing w:before="0" w:beforeAutospacing="0" w:after="0" w:afterAutospacing="0" w:line="360" w:lineRule="auto"/>
        <w:ind w:firstLine="420"/>
        <w:rPr>
          <w:sz w:val="21"/>
          <w:szCs w:val="21"/>
        </w:rPr>
      </w:pPr>
      <w:r>
        <w:rPr>
          <w:rFonts w:hint="eastAsia"/>
          <w:sz w:val="21"/>
          <w:szCs w:val="21"/>
        </w:rPr>
        <w:t xml:space="preserve">每个工作日，基金管理人应对基金资产估值。但基金管理人根据法律法规或基金合同的规定暂停估值时除外。估值原则应符合《基金合同》、《证券投资基金会计核算业务指引》及其他法律、法规的规定。基金资产净值和基金份额净值由基金管理人负责计算，基金托管人复核。基金管理人应于每个工作日交易结束后计算当日的基金份额资产净值并以双方认可的方式发送给基金托管人。基金托管人对净值计算结果复核后以双方认可的方式发送给基金管理人，由基金管理人对基金净值予以公布。 </w:t>
      </w:r>
    </w:p>
    <w:p w14:paraId="34391801">
      <w:pPr>
        <w:pStyle w:val="8"/>
        <w:spacing w:before="0" w:beforeAutospacing="0" w:after="0" w:afterAutospacing="0" w:line="360" w:lineRule="auto"/>
        <w:ind w:firstLine="420"/>
        <w:rPr>
          <w:sz w:val="21"/>
          <w:szCs w:val="21"/>
        </w:rPr>
      </w:pPr>
      <w:r>
        <w:rPr>
          <w:rFonts w:hint="eastAsia"/>
          <w:sz w:val="21"/>
          <w:szCs w:val="21"/>
        </w:rPr>
        <w:t xml:space="preserve">根据《基金法》，基金管理人计算并公告基金净值，基金托管人复核、审查基金管理人计算的基金净值。本基金的会计责任方是基金管理人，就与本基金有关的会计问题，如经相关各方在平等基础上充分讨论后，仍无法达成一致的意见，按照基金管理人对基金净值的计算结果对外予以公布。法律法规以及监管部门有强制规定的，从其规定。如有新增事项，按国家最新规定估值。 </w:t>
      </w:r>
    </w:p>
    <w:p w14:paraId="3F08C0E6">
      <w:pPr>
        <w:pStyle w:val="8"/>
        <w:spacing w:before="0" w:beforeAutospacing="0" w:after="0" w:afterAutospacing="0" w:line="360" w:lineRule="auto"/>
        <w:ind w:firstLine="420"/>
        <w:rPr>
          <w:sz w:val="21"/>
          <w:szCs w:val="21"/>
        </w:rPr>
      </w:pPr>
      <w:r>
        <w:rPr>
          <w:rFonts w:hint="eastAsia"/>
          <w:sz w:val="21"/>
          <w:szCs w:val="21"/>
        </w:rPr>
        <w:t xml:space="preserve">（二）基金资产估值方法 </w:t>
      </w:r>
    </w:p>
    <w:p w14:paraId="7B16FE71">
      <w:pPr>
        <w:pStyle w:val="8"/>
        <w:spacing w:before="0" w:beforeAutospacing="0" w:after="0" w:afterAutospacing="0" w:line="360" w:lineRule="auto"/>
        <w:ind w:firstLine="420"/>
        <w:rPr>
          <w:sz w:val="21"/>
          <w:szCs w:val="21"/>
        </w:rPr>
      </w:pPr>
      <w:r>
        <w:rPr>
          <w:rFonts w:hint="eastAsia"/>
          <w:sz w:val="21"/>
          <w:szCs w:val="21"/>
        </w:rPr>
        <w:t xml:space="preserve">1.估值对象 </w:t>
      </w:r>
    </w:p>
    <w:p w14:paraId="1E846A12">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6A91284F">
      <w:pPr>
        <w:pStyle w:val="8"/>
        <w:spacing w:before="0" w:beforeAutospacing="0" w:after="0" w:afterAutospacing="0" w:line="360" w:lineRule="auto"/>
        <w:ind w:firstLine="420"/>
        <w:rPr>
          <w:sz w:val="21"/>
          <w:szCs w:val="21"/>
        </w:rPr>
      </w:pPr>
      <w:r>
        <w:rPr>
          <w:rFonts w:hint="eastAsia"/>
          <w:sz w:val="21"/>
          <w:szCs w:val="21"/>
        </w:rPr>
        <w:t xml:space="preserve">2.估值方法 </w:t>
      </w:r>
    </w:p>
    <w:p w14:paraId="2A6E327A">
      <w:pPr>
        <w:pStyle w:val="8"/>
        <w:spacing w:before="0" w:beforeAutospacing="0" w:after="0" w:afterAutospacing="0" w:line="360" w:lineRule="auto"/>
        <w:ind w:firstLine="420"/>
        <w:rPr>
          <w:sz w:val="21"/>
          <w:szCs w:val="21"/>
        </w:rPr>
      </w:pPr>
      <w:r>
        <w:rPr>
          <w:rFonts w:hint="eastAsia"/>
          <w:sz w:val="21"/>
          <w:szCs w:val="21"/>
        </w:rPr>
        <w:t xml:space="preserve">（1）本基金估值采用摊余成本法，即计价对象以买入成本列示，按票面利率或协议利率并考虑其买入时的溢价与折价，在其剩余存续期内按照实际利率法进行摊销，每日计提损益。本基金不采用市场利率和上市交易的债券和票据的市价计算基金资产净值，不采取固定单位基金份额净值。 </w:t>
      </w:r>
    </w:p>
    <w:p w14:paraId="64F1DC15">
      <w:pPr>
        <w:pStyle w:val="8"/>
        <w:spacing w:before="0" w:beforeAutospacing="0" w:after="0" w:afterAutospacing="0" w:line="360" w:lineRule="auto"/>
        <w:ind w:firstLine="420"/>
        <w:rPr>
          <w:sz w:val="21"/>
          <w:szCs w:val="21"/>
        </w:rPr>
      </w:pPr>
      <w:r>
        <w:rPr>
          <w:rFonts w:hint="eastAsia"/>
          <w:sz w:val="21"/>
          <w:szCs w:val="21"/>
        </w:rPr>
        <w:t xml:space="preserve">（2）债券回购以协议成本列示，按协议商定利率在实际持有期内逐日计提利息。 </w:t>
      </w:r>
    </w:p>
    <w:p w14:paraId="3B1A7AF9">
      <w:pPr>
        <w:pStyle w:val="8"/>
        <w:spacing w:before="0" w:beforeAutospacing="0" w:after="0" w:afterAutospacing="0" w:line="360" w:lineRule="auto"/>
        <w:ind w:firstLine="420"/>
        <w:rPr>
          <w:sz w:val="21"/>
          <w:szCs w:val="21"/>
        </w:rPr>
      </w:pPr>
      <w:r>
        <w:rPr>
          <w:rFonts w:hint="eastAsia"/>
          <w:sz w:val="21"/>
          <w:szCs w:val="21"/>
        </w:rPr>
        <w:t xml:space="preserve">（3）银行存款以本金列示，按银行实际协议利率逐日计提利息。 </w:t>
      </w:r>
    </w:p>
    <w:p w14:paraId="24A7645F">
      <w:pPr>
        <w:pStyle w:val="8"/>
        <w:spacing w:before="0" w:beforeAutospacing="0" w:after="0" w:afterAutospacing="0" w:line="360" w:lineRule="auto"/>
        <w:ind w:firstLine="420"/>
        <w:rPr>
          <w:sz w:val="21"/>
          <w:szCs w:val="21"/>
        </w:rPr>
      </w:pPr>
      <w:r>
        <w:rPr>
          <w:rFonts w:hint="eastAsia"/>
          <w:sz w:val="21"/>
          <w:szCs w:val="21"/>
        </w:rPr>
        <w:t xml:space="preserve">（4）基金应当按照企业会计准则的要求，评估金融资产是否发生减值，如有客观证据表明其发生减值的，应当计提减值准备。 </w:t>
      </w:r>
    </w:p>
    <w:p w14:paraId="2A474A82">
      <w:pPr>
        <w:pStyle w:val="8"/>
        <w:spacing w:before="0" w:beforeAutospacing="0" w:after="0" w:afterAutospacing="0" w:line="360" w:lineRule="auto"/>
        <w:ind w:firstLine="420"/>
        <w:rPr>
          <w:sz w:val="21"/>
          <w:szCs w:val="21"/>
        </w:rPr>
      </w:pPr>
      <w:r>
        <w:rPr>
          <w:rFonts w:hint="eastAsia"/>
          <w:sz w:val="21"/>
          <w:szCs w:val="21"/>
        </w:rPr>
        <w:t xml:space="preserve">（5）当发生大额申购或赎回情形时，基金管理人可以采用摆动定价机制，以确保基金估值的公平性。 </w:t>
      </w:r>
    </w:p>
    <w:p w14:paraId="6ADD7D60">
      <w:pPr>
        <w:pStyle w:val="8"/>
        <w:spacing w:before="0" w:beforeAutospacing="0" w:after="0" w:afterAutospacing="0" w:line="360" w:lineRule="auto"/>
        <w:ind w:firstLine="420"/>
        <w:rPr>
          <w:sz w:val="21"/>
          <w:szCs w:val="21"/>
        </w:rPr>
      </w:pPr>
      <w:r>
        <w:rPr>
          <w:rFonts w:hint="eastAsia"/>
          <w:sz w:val="21"/>
          <w:szCs w:val="21"/>
        </w:rPr>
        <w:t xml:space="preserve">（6）如有确凿证据表明本基金在封闭期内买入持有至到期的投资策略发生变化或其他原因，导致按原有摊余成本法估值不能客观反映上述资产或负债于开放期内的公允价值的，基金管理人可根据具体情况与基金托管人商定后，按最能反映上述资产或负债于开放期内的公允价值的方法估值。为最大限度保护基金份额持有人利益，基金管理人可采用的风险控制手段包括但不限于：处置信用风险显著增加的固定收益品种、及时评估和计提固定收益品种减值损失、封闭期到期暂停进入下一开放期、于开放期内改按公允价值计算基金份额净值等。 </w:t>
      </w:r>
    </w:p>
    <w:p w14:paraId="5509AE34">
      <w:pPr>
        <w:pStyle w:val="8"/>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14:paraId="7123DB59">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974A950">
      <w:pPr>
        <w:pStyle w:val="8"/>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606FF949">
      <w:pPr>
        <w:pStyle w:val="8"/>
        <w:spacing w:before="0" w:beforeAutospacing="0" w:after="0" w:afterAutospacing="0" w:line="360" w:lineRule="auto"/>
        <w:ind w:firstLine="420"/>
        <w:rPr>
          <w:sz w:val="21"/>
          <w:szCs w:val="21"/>
        </w:rPr>
      </w:pPr>
      <w:r>
        <w:rPr>
          <w:rFonts w:hint="eastAsia"/>
          <w:sz w:val="21"/>
          <w:szCs w:val="21"/>
        </w:rPr>
        <w:t xml:space="preserve">（三）估值差错处理 </w:t>
      </w:r>
    </w:p>
    <w:p w14:paraId="339B46B0">
      <w:pPr>
        <w:pStyle w:val="8"/>
        <w:spacing w:before="0" w:beforeAutospacing="0" w:after="0" w:afterAutospacing="0" w:line="360" w:lineRule="auto"/>
        <w:ind w:firstLine="420"/>
        <w:rPr>
          <w:sz w:val="21"/>
          <w:szCs w:val="21"/>
        </w:rPr>
      </w:pPr>
      <w:r>
        <w:rPr>
          <w:rFonts w:hint="eastAsia"/>
          <w:sz w:val="21"/>
          <w:szCs w:val="21"/>
        </w:rPr>
        <w:t xml:space="preserve">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0.50%时，基金管理人应当公告，并报中国证监会备案； </w:t>
      </w:r>
    </w:p>
    <w:p w14:paraId="6AD7A42D">
      <w:pPr>
        <w:pStyle w:val="8"/>
        <w:spacing w:before="0" w:beforeAutospacing="0" w:after="0" w:afterAutospacing="0" w:line="360" w:lineRule="auto"/>
        <w:ind w:firstLine="420"/>
        <w:rPr>
          <w:sz w:val="21"/>
          <w:szCs w:val="21"/>
        </w:rPr>
      </w:pPr>
      <w:r>
        <w:rPr>
          <w:rFonts w:hint="eastAsia"/>
          <w:sz w:val="21"/>
          <w:szCs w:val="21"/>
        </w:rPr>
        <w:t xml:space="preserve">当因基金管理人和基金托管人原因致使基金份额净值计算差错给基金和基金份额持有人造成损失需要进行赔偿时，基金管理人和基金托管人应根据实际情况界定双方承担的责任，经确认后按以下条款进行赔偿： </w:t>
      </w:r>
    </w:p>
    <w:p w14:paraId="5EE7A1C6">
      <w:pPr>
        <w:pStyle w:val="8"/>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3）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4）由于基金管理人提供的信息错误（包括但不限于基金申购或赎回金额等），导致基金份额净值计算错误而引起的基金份额持有人和基金财产的损失，由基金管理人负责赔付。 </w:t>
      </w:r>
    </w:p>
    <w:p w14:paraId="36F1D2D5">
      <w:pPr>
        <w:pStyle w:val="8"/>
        <w:spacing w:before="0" w:beforeAutospacing="0" w:after="0" w:afterAutospacing="0" w:line="360" w:lineRule="auto"/>
        <w:ind w:firstLine="420"/>
        <w:rPr>
          <w:sz w:val="21"/>
          <w:szCs w:val="21"/>
        </w:rPr>
      </w:pPr>
      <w:r>
        <w:rPr>
          <w:rFonts w:hint="eastAsia"/>
          <w:sz w:val="21"/>
          <w:szCs w:val="21"/>
        </w:rPr>
        <w:t xml:space="preserve">2.基金管理人或基金托管人按估值方法的第（6）项进行估值时，所造成的误差不作为基金资产估值错误处理。 </w:t>
      </w:r>
    </w:p>
    <w:p w14:paraId="7BC54C33">
      <w:pPr>
        <w:pStyle w:val="8"/>
        <w:spacing w:before="0" w:beforeAutospacing="0" w:after="0" w:afterAutospacing="0" w:line="360" w:lineRule="auto"/>
        <w:ind w:firstLine="420"/>
        <w:rPr>
          <w:sz w:val="21"/>
          <w:szCs w:val="21"/>
        </w:rPr>
      </w:pPr>
      <w:r>
        <w:rPr>
          <w:rFonts w:hint="eastAsia"/>
          <w:sz w:val="21"/>
          <w:szCs w:val="21"/>
        </w:rPr>
        <w:t xml:space="preserve">由于不可抗力原因，或由于证券交易所、登记结算公司及存款银行等第三方机构发送的数据错误、遗漏等原因，致使基金管理人和基金托管人虽然已经采取必要、适当、合理的措施进行检查，但是仍未能发现该错误而造成的基金份额净值计算错误，基金管理人、基金托管人免除赔偿责任。但基金管理人、基金托管人应积极采取必要的措施消除或减轻由此造成的影响。 </w:t>
      </w:r>
    </w:p>
    <w:p w14:paraId="08D45934">
      <w:pPr>
        <w:pStyle w:val="8"/>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3D1CD6BC">
      <w:pPr>
        <w:pStyle w:val="8"/>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4.前述内容如法律法规或者监管部门另有规定的，从其规定。如果行业另有通行做法，双方当事人应本着平等和保护基金份额持有人利益的原则进行协商。 </w:t>
      </w:r>
    </w:p>
    <w:p w14:paraId="7A490109">
      <w:pPr>
        <w:pStyle w:val="8"/>
        <w:spacing w:before="0" w:beforeAutospacing="0" w:after="0" w:afterAutospacing="0" w:line="360" w:lineRule="auto"/>
        <w:ind w:firstLine="420"/>
        <w:rPr>
          <w:sz w:val="21"/>
          <w:szCs w:val="21"/>
        </w:rPr>
      </w:pPr>
      <w:r>
        <w:rPr>
          <w:rFonts w:hint="eastAsia"/>
          <w:sz w:val="21"/>
          <w:szCs w:val="21"/>
        </w:rPr>
        <w:t xml:space="preserve">（四）暂停估值与公告基金份额净值的情形 </w:t>
      </w:r>
    </w:p>
    <w:p w14:paraId="1032906F">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14:paraId="35EDA4A1">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6095E599">
      <w:pPr>
        <w:pStyle w:val="8"/>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14:paraId="71FBC39E">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4E55FA69">
      <w:pPr>
        <w:pStyle w:val="8"/>
        <w:spacing w:before="0" w:beforeAutospacing="0" w:after="0" w:afterAutospacing="0" w:line="360" w:lineRule="auto"/>
        <w:ind w:firstLine="420"/>
        <w:rPr>
          <w:sz w:val="21"/>
          <w:szCs w:val="21"/>
        </w:rPr>
      </w:pPr>
      <w:r>
        <w:rPr>
          <w:rFonts w:hint="eastAsia"/>
          <w:sz w:val="21"/>
          <w:szCs w:val="21"/>
        </w:rPr>
        <w:t xml:space="preserve">（五）基金账册的建立 </w:t>
      </w:r>
    </w:p>
    <w:p w14:paraId="21A0D959">
      <w:pPr>
        <w:pStyle w:val="8"/>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14:paraId="02E9D2E3">
      <w:pPr>
        <w:pStyle w:val="8"/>
        <w:spacing w:before="0" w:beforeAutospacing="0" w:after="0" w:afterAutospacing="0" w:line="360" w:lineRule="auto"/>
        <w:ind w:firstLine="420"/>
        <w:rPr>
          <w:sz w:val="21"/>
          <w:szCs w:val="21"/>
        </w:rPr>
      </w:pPr>
      <w:r>
        <w:rPr>
          <w:rFonts w:hint="eastAsia"/>
          <w:sz w:val="21"/>
          <w:szCs w:val="21"/>
        </w:rPr>
        <w:t xml:space="preserve">经对账发现相关各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14:paraId="24D49856">
      <w:pPr>
        <w:pStyle w:val="8"/>
        <w:spacing w:before="0" w:beforeAutospacing="0" w:after="0" w:afterAutospacing="0" w:line="360" w:lineRule="auto"/>
        <w:ind w:firstLine="420"/>
        <w:rPr>
          <w:sz w:val="21"/>
          <w:szCs w:val="21"/>
        </w:rPr>
      </w:pPr>
      <w:r>
        <w:rPr>
          <w:rFonts w:hint="eastAsia"/>
          <w:sz w:val="21"/>
          <w:szCs w:val="21"/>
        </w:rPr>
        <w:t xml:space="preserve">（六）基金定期报告的编制和复核 </w:t>
      </w:r>
    </w:p>
    <w:p w14:paraId="439B7483">
      <w:pPr>
        <w:pStyle w:val="8"/>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基金财务报表由基金管理人和基金托管人每月分别独立编制。月度报表的编制，应于每月终了后5个工作日内完成。 </w:t>
      </w:r>
    </w:p>
    <w:p w14:paraId="11E53FFE">
      <w:pPr>
        <w:pStyle w:val="8"/>
        <w:spacing w:before="0" w:beforeAutospacing="0" w:after="0" w:afterAutospacing="0" w:line="360" w:lineRule="auto"/>
        <w:ind w:firstLine="420"/>
        <w:rPr>
          <w:sz w:val="21"/>
          <w:szCs w:val="21"/>
        </w:rPr>
      </w:pPr>
      <w:r>
        <w:rPr>
          <w:rFonts w:hint="eastAsia"/>
          <w:sz w:val="21"/>
          <w:szCs w:val="21"/>
        </w:rPr>
        <w:t xml:space="preserve">《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本基金暂停运作的期间，不更新招募说明书。基金管理人在每个季度结束之日起15个工作日内完成季度报告编制并公告；在每个上半年结束之日起两个月内完成中期报告编制并公告；在每年结束之日起三个月内完成年度报告编制并公告。 </w:t>
      </w:r>
    </w:p>
    <w:p w14:paraId="52FD7701">
      <w:pPr>
        <w:pStyle w:val="8"/>
        <w:spacing w:before="0" w:beforeAutospacing="0" w:after="0" w:afterAutospacing="0" w:line="360" w:lineRule="auto"/>
        <w:ind w:firstLine="420"/>
        <w:rPr>
          <w:sz w:val="21"/>
          <w:szCs w:val="21"/>
        </w:rPr>
      </w:pPr>
      <w:r>
        <w:rPr>
          <w:rFonts w:hint="eastAsia"/>
          <w:sz w:val="21"/>
          <w:szCs w:val="21"/>
        </w:rPr>
        <w:t xml:space="preserve">基金管理人在5个工作日内完成月度报告，在月度报告完成当日，对报告加盖公章后，以加密传真方式将有关报告提供基金托管人复核；基金托管人在3个工作日内进行复核，并将复核结果及时书面通知基金管理人。基金管理人在7个工作日内完成季度报告，在季度报告完成当日，将有关报告提供基金托管人复核，基金托管人在收到后7个工作日内进行复核，并将复核结果书面通知基金管理人。基金管理人在30日内完成中期报告，在中期报告完成当日，将有关报告提供基金托管人复核，基金托管人在收到后30日内进行复核，并将复核结果书面通知基金管理人。基金管理人在45日内完成年度报告，在年度报告完成当日，将有关报告提供基金托管人复核，基金托管人在收到后45日内复核，并将复核结果书面通知基金管理人。 </w:t>
      </w:r>
    </w:p>
    <w:p w14:paraId="31259A56">
      <w:pPr>
        <w:pStyle w:val="8"/>
        <w:spacing w:before="0" w:beforeAutospacing="0" w:after="0" w:afterAutospacing="0" w:line="360" w:lineRule="auto"/>
        <w:ind w:firstLine="420"/>
        <w:rPr>
          <w:sz w:val="21"/>
          <w:szCs w:val="21"/>
        </w:rPr>
      </w:pPr>
      <w:r>
        <w:rPr>
          <w:rFonts w:hint="eastAsia"/>
          <w:sz w:val="21"/>
          <w:szCs w:val="21"/>
        </w:rPr>
        <w:t xml:space="preserve">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证监会备案。 </w:t>
      </w:r>
    </w:p>
    <w:p w14:paraId="1F08CF8C">
      <w:pPr>
        <w:pStyle w:val="8"/>
        <w:spacing w:before="0" w:beforeAutospacing="0" w:after="0" w:afterAutospacing="0" w:line="360" w:lineRule="auto"/>
        <w:ind w:firstLine="420"/>
        <w:rPr>
          <w:sz w:val="21"/>
          <w:szCs w:val="21"/>
        </w:rPr>
      </w:pPr>
      <w:r>
        <w:rPr>
          <w:rFonts w:hint="eastAsia"/>
          <w:sz w:val="21"/>
          <w:szCs w:val="21"/>
        </w:rPr>
        <w:t xml:space="preserve">基金托管人在对财务会计报告、中期报告或年度报告复核完毕后，需盖章确认或出具相应的复核确认书，以备有权机构对相关文件审核时提示。 </w:t>
      </w:r>
    </w:p>
    <w:p w14:paraId="0A88C5F9">
      <w:pPr>
        <w:pStyle w:val="8"/>
        <w:spacing w:before="0" w:beforeAutospacing="0" w:after="0" w:afterAutospacing="0" w:line="360" w:lineRule="auto"/>
        <w:ind w:firstLine="420"/>
        <w:rPr>
          <w:sz w:val="21"/>
          <w:szCs w:val="21"/>
        </w:rPr>
      </w:pPr>
      <w:r>
        <w:rPr>
          <w:rStyle w:val="12"/>
          <w:rFonts w:hint="eastAsia"/>
          <w:sz w:val="21"/>
          <w:szCs w:val="21"/>
        </w:rPr>
        <w:t>六、基金份额持有人名册的保管</w:t>
      </w:r>
    </w:p>
    <w:p w14:paraId="48F6737F">
      <w:pPr>
        <w:pStyle w:val="8"/>
        <w:spacing w:before="0" w:beforeAutospacing="0" w:after="0" w:afterAutospacing="0" w:line="360" w:lineRule="auto"/>
        <w:ind w:firstLine="420"/>
        <w:rPr>
          <w:sz w:val="21"/>
          <w:szCs w:val="21"/>
        </w:rPr>
      </w:pPr>
      <w:r>
        <w:rPr>
          <w:rFonts w:hint="eastAsia"/>
          <w:sz w:val="21"/>
          <w:szCs w:val="21"/>
        </w:rPr>
        <w:t xml:space="preserve">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 </w:t>
      </w:r>
    </w:p>
    <w:p w14:paraId="43237CC5">
      <w:pPr>
        <w:pStyle w:val="8"/>
        <w:spacing w:before="0" w:beforeAutospacing="0" w:after="0" w:afterAutospacing="0" w:line="360" w:lineRule="auto"/>
        <w:ind w:firstLine="420"/>
        <w:rPr>
          <w:sz w:val="21"/>
          <w:szCs w:val="21"/>
        </w:rPr>
      </w:pPr>
      <w:r>
        <w:rPr>
          <w:rFonts w:hint="eastAsia"/>
          <w:sz w:val="21"/>
          <w:szCs w:val="21"/>
        </w:rPr>
        <w:t xml:space="preserve">基金份额持有人名册由基金的基金登记机构根据基金管理人的指令编制和保管，基金管理人、基金托管人应按照目前相关规则保管基金份额持有人名册。保管方式可以采用电子或文档的形式。保管期限为15年。法律法规或监管机构另有规定的，从其规定。 </w:t>
      </w:r>
    </w:p>
    <w:p w14:paraId="1B8A0AF3">
      <w:pPr>
        <w:pStyle w:val="8"/>
        <w:spacing w:before="0" w:beforeAutospacing="0" w:after="0" w:afterAutospacing="0" w:line="360" w:lineRule="auto"/>
        <w:ind w:firstLine="420"/>
        <w:rPr>
          <w:sz w:val="21"/>
          <w:szCs w:val="21"/>
        </w:rPr>
      </w:pPr>
      <w:r>
        <w:rPr>
          <w:rFonts w:hint="eastAsia"/>
          <w:sz w:val="21"/>
          <w:szCs w:val="21"/>
        </w:rPr>
        <w:t xml:space="preserve">在基金托管人编制中期报和年报前，基金管理人应将每年6月30日、12月31日的基金持有人名册送交基金托管人，文件方式可以采用电子或文档的形式并且保证其的真实、准确、完整。基金托管人应妥善保管，不得将持有人名册用于基金托管业务以外的其他用途。 </w:t>
      </w:r>
    </w:p>
    <w:p w14:paraId="0B236D78">
      <w:pPr>
        <w:pStyle w:val="8"/>
        <w:spacing w:before="0" w:beforeAutospacing="0" w:after="0" w:afterAutospacing="0" w:line="360" w:lineRule="auto"/>
        <w:ind w:firstLine="420"/>
        <w:rPr>
          <w:sz w:val="21"/>
          <w:szCs w:val="21"/>
        </w:rPr>
      </w:pPr>
      <w:r>
        <w:rPr>
          <w:rStyle w:val="12"/>
          <w:rFonts w:hint="eastAsia"/>
          <w:sz w:val="21"/>
          <w:szCs w:val="21"/>
        </w:rPr>
        <w:t>七、基金托管协议的变更、终止与基金财产的清算</w:t>
      </w:r>
    </w:p>
    <w:p w14:paraId="4F408339">
      <w:pPr>
        <w:pStyle w:val="8"/>
        <w:spacing w:before="0" w:beforeAutospacing="0" w:after="0" w:afterAutospacing="0" w:line="360" w:lineRule="auto"/>
        <w:ind w:firstLine="420"/>
        <w:rPr>
          <w:sz w:val="21"/>
          <w:szCs w:val="21"/>
        </w:rPr>
      </w:pPr>
      <w:r>
        <w:rPr>
          <w:rFonts w:hint="eastAsia"/>
          <w:sz w:val="21"/>
          <w:szCs w:val="21"/>
        </w:rPr>
        <w:t xml:space="preserve">（一）托管协议的变更与终止 </w:t>
      </w:r>
    </w:p>
    <w:p w14:paraId="3AF3D80C">
      <w:pPr>
        <w:pStyle w:val="8"/>
        <w:spacing w:before="0" w:beforeAutospacing="0" w:after="0" w:afterAutospacing="0" w:line="360" w:lineRule="auto"/>
        <w:ind w:firstLine="420"/>
        <w:rPr>
          <w:sz w:val="21"/>
          <w:szCs w:val="21"/>
        </w:rPr>
      </w:pPr>
      <w:r>
        <w:rPr>
          <w:rFonts w:hint="eastAsia"/>
          <w:sz w:val="21"/>
          <w:szCs w:val="21"/>
        </w:rPr>
        <w:t xml:space="preserve">1.托管协议的变更程序 </w:t>
      </w:r>
    </w:p>
    <w:p w14:paraId="20461F45">
      <w:pPr>
        <w:pStyle w:val="8"/>
        <w:spacing w:before="0" w:beforeAutospacing="0" w:after="0" w:afterAutospacing="0" w:line="360" w:lineRule="auto"/>
        <w:ind w:firstLine="420"/>
        <w:rPr>
          <w:sz w:val="21"/>
          <w:szCs w:val="21"/>
        </w:rPr>
      </w:pPr>
      <w:r>
        <w:rPr>
          <w:rFonts w:hint="eastAsia"/>
          <w:sz w:val="21"/>
          <w:szCs w:val="21"/>
        </w:rPr>
        <w:t xml:space="preserve">本协议双方当事人经协商一致，可以对协议的内容进行变更。变更后的托管协议，其内容不得与《基金合同》的规定有任何冲突，并需经基金管理人、基金托管人加盖公章或合同专用章以及双方法定代表人或授权代理人签字（或盖章）确认。基金托管协议的变更报中国证监会备案。 </w:t>
      </w:r>
    </w:p>
    <w:p w14:paraId="535EAD49">
      <w:pPr>
        <w:pStyle w:val="8"/>
        <w:spacing w:before="0" w:beforeAutospacing="0" w:after="0" w:afterAutospacing="0" w:line="360" w:lineRule="auto"/>
        <w:ind w:firstLine="420"/>
        <w:rPr>
          <w:sz w:val="21"/>
          <w:szCs w:val="21"/>
        </w:rPr>
      </w:pPr>
      <w:r>
        <w:rPr>
          <w:rFonts w:hint="eastAsia"/>
          <w:sz w:val="21"/>
          <w:szCs w:val="21"/>
        </w:rPr>
        <w:t xml:space="preserve">2.基金托管协议终止的情形 </w:t>
      </w:r>
    </w:p>
    <w:p w14:paraId="6026A85A">
      <w:pPr>
        <w:pStyle w:val="8"/>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71369D3F">
      <w:pPr>
        <w:pStyle w:val="8"/>
        <w:spacing w:before="0" w:beforeAutospacing="0" w:after="0" w:afterAutospacing="0" w:line="360" w:lineRule="auto"/>
        <w:ind w:firstLine="420"/>
        <w:rPr>
          <w:sz w:val="21"/>
          <w:szCs w:val="21"/>
        </w:rPr>
      </w:pPr>
      <w:r>
        <w:rPr>
          <w:rFonts w:hint="eastAsia"/>
          <w:sz w:val="21"/>
          <w:szCs w:val="21"/>
        </w:rPr>
        <w:t xml:space="preserve">（1）《基金合同》终止； </w:t>
      </w:r>
    </w:p>
    <w:p w14:paraId="394D1591">
      <w:pPr>
        <w:pStyle w:val="8"/>
        <w:spacing w:before="0" w:beforeAutospacing="0" w:after="0" w:afterAutospacing="0" w:line="360" w:lineRule="auto"/>
        <w:ind w:firstLine="420"/>
        <w:rPr>
          <w:sz w:val="21"/>
          <w:szCs w:val="21"/>
        </w:rPr>
      </w:pPr>
      <w:r>
        <w:rPr>
          <w:rFonts w:hint="eastAsia"/>
          <w:sz w:val="21"/>
          <w:szCs w:val="21"/>
        </w:rPr>
        <w:t xml:space="preserve">（2）基金托管人解散、依法被撤销、破产或有其他基金托管人接管基金资产； </w:t>
      </w:r>
    </w:p>
    <w:p w14:paraId="1BB2846B">
      <w:pPr>
        <w:pStyle w:val="8"/>
        <w:spacing w:before="0" w:beforeAutospacing="0" w:after="0" w:afterAutospacing="0" w:line="360" w:lineRule="auto"/>
        <w:ind w:firstLine="420"/>
        <w:rPr>
          <w:sz w:val="21"/>
          <w:szCs w:val="21"/>
        </w:rPr>
      </w:pPr>
      <w:r>
        <w:rPr>
          <w:rFonts w:hint="eastAsia"/>
          <w:sz w:val="21"/>
          <w:szCs w:val="21"/>
        </w:rPr>
        <w:t xml:space="preserve">（3）基金管理人解散、依法被撤销、破产或有其他基金管理人接管基金管理权； </w:t>
      </w:r>
    </w:p>
    <w:p w14:paraId="0DE30422">
      <w:pPr>
        <w:pStyle w:val="8"/>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4D3222A8">
      <w:pPr>
        <w:pStyle w:val="8"/>
        <w:spacing w:before="0" w:beforeAutospacing="0" w:after="0" w:afterAutospacing="0" w:line="360" w:lineRule="auto"/>
        <w:ind w:firstLine="420"/>
        <w:rPr>
          <w:sz w:val="21"/>
          <w:szCs w:val="21"/>
        </w:rPr>
      </w:pPr>
      <w:r>
        <w:rPr>
          <w:rFonts w:hint="eastAsia"/>
          <w:sz w:val="21"/>
          <w:szCs w:val="21"/>
        </w:rPr>
        <w:t xml:space="preserve">（二）基金财产的清算 </w:t>
      </w:r>
    </w:p>
    <w:p w14:paraId="63150664">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7738C01F">
      <w:pPr>
        <w:pStyle w:val="8"/>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2.在基金财产清算小组接管基金财产之前，基金管理人和基金托管人应按照《基金合同》和本托管协议的规定继续履行保护基金财产安全的职责。 </w:t>
      </w:r>
    </w:p>
    <w:p w14:paraId="44B30EB6">
      <w:pPr>
        <w:pStyle w:val="8"/>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4645B203">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5FD0BAC6">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4073683E">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325E2195">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1357A610">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730149FD">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0BB06B3A">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C2AB8D1">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A2F2C97">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61A279D">
      <w:pPr>
        <w:pStyle w:val="8"/>
        <w:spacing w:before="0" w:beforeAutospacing="0" w:after="0" w:afterAutospacing="0" w:line="360" w:lineRule="auto"/>
        <w:ind w:firstLine="420"/>
        <w:rPr>
          <w:sz w:val="21"/>
          <w:szCs w:val="21"/>
        </w:rPr>
      </w:pPr>
      <w:r>
        <w:rPr>
          <w:rFonts w:hint="eastAsia"/>
          <w:sz w:val="21"/>
          <w:szCs w:val="21"/>
        </w:rPr>
        <w:t xml:space="preserve">6.清算费用 </w:t>
      </w:r>
    </w:p>
    <w:p w14:paraId="752FC212">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7872CCC4">
      <w:pPr>
        <w:pStyle w:val="8"/>
        <w:spacing w:before="0" w:beforeAutospacing="0" w:after="0" w:afterAutospacing="0" w:line="360" w:lineRule="auto"/>
        <w:ind w:firstLine="420"/>
        <w:rPr>
          <w:sz w:val="21"/>
          <w:szCs w:val="21"/>
        </w:rPr>
      </w:pPr>
      <w:r>
        <w:rPr>
          <w:rFonts w:hint="eastAsia"/>
          <w:sz w:val="21"/>
          <w:szCs w:val="21"/>
        </w:rPr>
        <w:t xml:space="preserve">7.基金财产按下列顺序清偿： </w:t>
      </w:r>
    </w:p>
    <w:p w14:paraId="4F6847B8">
      <w:pPr>
        <w:pStyle w:val="8"/>
        <w:spacing w:before="0" w:beforeAutospacing="0" w:after="0" w:afterAutospacing="0" w:line="360" w:lineRule="auto"/>
        <w:ind w:firstLine="420"/>
        <w:rPr>
          <w:sz w:val="21"/>
          <w:szCs w:val="21"/>
        </w:rPr>
      </w:pPr>
      <w:r>
        <w:rPr>
          <w:rFonts w:hint="eastAsia"/>
          <w:sz w:val="21"/>
          <w:szCs w:val="21"/>
        </w:rPr>
        <w:t xml:space="preserve">(1)支付清算费用； </w:t>
      </w:r>
    </w:p>
    <w:p w14:paraId="2941AEB9">
      <w:pPr>
        <w:pStyle w:val="8"/>
        <w:spacing w:before="0" w:beforeAutospacing="0" w:after="0" w:afterAutospacing="0" w:line="360" w:lineRule="auto"/>
        <w:ind w:firstLine="420"/>
        <w:rPr>
          <w:sz w:val="21"/>
          <w:szCs w:val="21"/>
        </w:rPr>
      </w:pPr>
      <w:r>
        <w:rPr>
          <w:rFonts w:hint="eastAsia"/>
          <w:sz w:val="21"/>
          <w:szCs w:val="21"/>
        </w:rPr>
        <w:t xml:space="preserve">(2)交纳所欠税款； </w:t>
      </w:r>
    </w:p>
    <w:p w14:paraId="62910826">
      <w:pPr>
        <w:pStyle w:val="8"/>
        <w:spacing w:before="0" w:beforeAutospacing="0" w:after="0" w:afterAutospacing="0" w:line="360" w:lineRule="auto"/>
        <w:ind w:firstLine="420"/>
        <w:rPr>
          <w:sz w:val="21"/>
          <w:szCs w:val="21"/>
        </w:rPr>
      </w:pPr>
      <w:r>
        <w:rPr>
          <w:rFonts w:hint="eastAsia"/>
          <w:sz w:val="21"/>
          <w:szCs w:val="21"/>
        </w:rPr>
        <w:t xml:space="preserve">(3)清偿基金债务； </w:t>
      </w:r>
    </w:p>
    <w:p w14:paraId="17D5F301">
      <w:pPr>
        <w:pStyle w:val="8"/>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50407458">
      <w:pPr>
        <w:pStyle w:val="8"/>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14:paraId="1DD8E791">
      <w:pPr>
        <w:pStyle w:val="8"/>
        <w:spacing w:before="0" w:beforeAutospacing="0" w:after="0" w:afterAutospacing="0" w:line="360" w:lineRule="auto"/>
        <w:ind w:firstLine="420"/>
        <w:rPr>
          <w:sz w:val="21"/>
          <w:szCs w:val="21"/>
        </w:rPr>
      </w:pPr>
      <w:r>
        <w:rPr>
          <w:rFonts w:hint="eastAsia"/>
          <w:sz w:val="21"/>
          <w:szCs w:val="21"/>
        </w:rPr>
        <w:t xml:space="preserve">（三）基金财产清算的公告 </w:t>
      </w:r>
    </w:p>
    <w:p w14:paraId="49DD9C00">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3F8AFCB6">
      <w:pPr>
        <w:pStyle w:val="8"/>
        <w:spacing w:before="0" w:beforeAutospacing="0" w:after="0" w:afterAutospacing="0" w:line="360" w:lineRule="auto"/>
        <w:ind w:firstLine="420"/>
        <w:rPr>
          <w:sz w:val="21"/>
          <w:szCs w:val="21"/>
        </w:rPr>
      </w:pPr>
      <w:r>
        <w:rPr>
          <w:rFonts w:hint="eastAsia"/>
          <w:sz w:val="21"/>
          <w:szCs w:val="21"/>
        </w:rPr>
        <w:t xml:space="preserve">（四）基金财产清算账册及文件的保存 </w:t>
      </w:r>
    </w:p>
    <w:p w14:paraId="52C5B01B">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6DEE6C60">
      <w:pPr>
        <w:pStyle w:val="8"/>
        <w:spacing w:before="0" w:beforeAutospacing="0" w:after="0" w:afterAutospacing="0" w:line="360" w:lineRule="auto"/>
        <w:ind w:firstLine="420"/>
        <w:rPr>
          <w:sz w:val="21"/>
          <w:szCs w:val="21"/>
        </w:rPr>
      </w:pPr>
      <w:r>
        <w:rPr>
          <w:rStyle w:val="12"/>
          <w:rFonts w:hint="eastAsia"/>
          <w:sz w:val="21"/>
          <w:szCs w:val="21"/>
        </w:rPr>
        <w:t>八、适用法律及争议解决方式</w:t>
      </w:r>
    </w:p>
    <w:p w14:paraId="568EA1EB">
      <w:pPr>
        <w:pStyle w:val="8"/>
        <w:spacing w:before="0" w:beforeAutospacing="0" w:after="0" w:afterAutospacing="0" w:line="360" w:lineRule="auto"/>
        <w:ind w:firstLine="420"/>
        <w:rPr>
          <w:sz w:val="21"/>
          <w:szCs w:val="21"/>
        </w:rPr>
      </w:pPr>
      <w:r>
        <w:rPr>
          <w:rFonts w:hint="eastAsia"/>
          <w:sz w:val="21"/>
          <w:szCs w:val="21"/>
        </w:rPr>
        <w:t xml:space="preserve">（一）本协议适用中华人民共和国法律（为本协议之目的，在此不包括香港、澳门特别行政区和台湾地区法律），并从其解释。 </w:t>
      </w:r>
    </w:p>
    <w:p w14:paraId="1F0B94FB">
      <w:pPr>
        <w:pStyle w:val="8"/>
        <w:spacing w:before="0" w:beforeAutospacing="0" w:after="0" w:afterAutospacing="0" w:line="360" w:lineRule="auto"/>
        <w:ind w:firstLine="420"/>
        <w:rPr>
          <w:sz w:val="21"/>
          <w:szCs w:val="21"/>
        </w:rPr>
      </w:pPr>
      <w:r>
        <w:rPr>
          <w:rFonts w:hint="eastAsia"/>
          <w:sz w:val="21"/>
          <w:szCs w:val="21"/>
        </w:rPr>
        <w:t xml:space="preserve">（二）相关各方当事人同意，因本协议而产生的或与本协议有关的一切争议，除经友好协商可以解决的，应提交深圳国际仲裁院（深圳仲裁委员会），根据该会届时有效的仲裁规则进行仲裁，仲裁的地点在深圳市，仲裁裁决是终局性的并对相关各方均有约束力。除非仲裁裁决另有规定，仲裁费用、律师费用由败诉方承担。 </w:t>
      </w:r>
    </w:p>
    <w:p w14:paraId="31DE8D82">
      <w:pPr>
        <w:pStyle w:val="8"/>
        <w:spacing w:before="0" w:beforeAutospacing="0" w:after="0" w:afterAutospacing="0" w:line="360" w:lineRule="auto"/>
        <w:ind w:firstLine="420"/>
        <w:rPr>
          <w:sz w:val="21"/>
          <w:szCs w:val="21"/>
        </w:rPr>
      </w:pPr>
      <w:r>
        <w:rPr>
          <w:rFonts w:hint="eastAsia"/>
          <w:sz w:val="21"/>
          <w:szCs w:val="21"/>
        </w:rPr>
        <w:t>争议处理期间，相关各方当事人应恪守基金管理人和基金托管人职责，继续忠实、勤勉、</w:t>
      </w:r>
      <w:bookmarkStart w:id="195" w:name="chapter_level1_23_72_section_1_end"/>
      <w:bookmarkEnd w:id="195"/>
      <w:r>
        <w:rPr>
          <w:rFonts w:hint="eastAsia"/>
          <w:sz w:val="21"/>
          <w:szCs w:val="21"/>
        </w:rPr>
        <w:t xml:space="preserve">尽责地履行《基金合同》和本托管协议规定的义务，维护基金份额持有人的合法权益。 </w:t>
      </w:r>
    </w:p>
    <w:p w14:paraId="2CD2F71F">
      <w:pPr>
        <w:widowControl/>
        <w:jc w:val="left"/>
        <w:rPr>
          <w:rFonts w:ascii="宋体" w:hAnsi="宋体" w:eastAsia="宋体"/>
        </w:rPr>
      </w:pPr>
      <w:r>
        <w:rPr>
          <w:rFonts w:ascii="宋体" w:hAnsi="宋体" w:eastAsia="宋体"/>
        </w:rPr>
        <w:br w:type="page"/>
      </w:r>
    </w:p>
    <w:p w14:paraId="7538F551">
      <w:pPr>
        <w:pStyle w:val="2"/>
        <w:jc w:val="center"/>
        <w:rPr>
          <w:rFonts w:ascii="宋体" w:hAnsi="宋体" w:eastAsia="宋体"/>
          <w:sz w:val="30"/>
        </w:rPr>
      </w:pPr>
      <w:bookmarkStart w:id="196" w:name="chapter_level1_24_75"/>
      <w:bookmarkStart w:id="197" w:name="_Toc207948782"/>
      <w:r>
        <w:rPr>
          <w:rFonts w:hint="eastAsia" w:ascii="宋体" w:hAnsi="宋体" w:eastAsia="宋体"/>
          <w:sz w:val="30"/>
        </w:rPr>
        <w:t>第二十一部分  对基金份额持有人的服务</w:t>
      </w:r>
      <w:bookmarkEnd w:id="196"/>
      <w:bookmarkEnd w:id="197"/>
    </w:p>
    <w:p w14:paraId="189171D5">
      <w:pPr>
        <w:pStyle w:val="8"/>
        <w:spacing w:before="0" w:beforeAutospacing="0" w:after="0" w:afterAutospacing="0" w:line="360" w:lineRule="auto"/>
        <w:ind w:firstLine="420"/>
        <w:rPr>
          <w:sz w:val="21"/>
          <w:szCs w:val="21"/>
        </w:rPr>
      </w:pPr>
      <w:bookmarkStart w:id="198" w:name="chapter_level1_24_75_section_1"/>
      <w:bookmarkEnd w:id="198"/>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6112AFDA">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72FA2B94">
      <w:pPr>
        <w:pStyle w:val="8"/>
        <w:spacing w:before="0" w:beforeAutospacing="0" w:after="0" w:afterAutospacing="0" w:line="360" w:lineRule="auto"/>
        <w:ind w:firstLine="420"/>
        <w:rPr>
          <w:sz w:val="21"/>
          <w:szCs w:val="21"/>
        </w:rPr>
      </w:pPr>
      <w:r>
        <w:rPr>
          <w:rFonts w:hint="eastAsia"/>
          <w:sz w:val="21"/>
          <w:szCs w:val="21"/>
        </w:rPr>
        <w:t xml:space="preserve">1、交易确认单 </w:t>
      </w:r>
    </w:p>
    <w:p w14:paraId="207662EC">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287220BB">
      <w:pPr>
        <w:pStyle w:val="8"/>
        <w:spacing w:before="0" w:beforeAutospacing="0" w:after="0" w:afterAutospacing="0" w:line="360" w:lineRule="auto"/>
        <w:ind w:firstLine="420"/>
        <w:rPr>
          <w:sz w:val="21"/>
          <w:szCs w:val="21"/>
        </w:rPr>
      </w:pPr>
      <w:r>
        <w:rPr>
          <w:rFonts w:hint="eastAsia"/>
          <w:sz w:val="21"/>
          <w:szCs w:val="21"/>
        </w:rPr>
        <w:t xml:space="preserve">2、电子对账单 </w:t>
      </w:r>
    </w:p>
    <w:p w14:paraId="5F49A7FB">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51047B3C">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2F79973C">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5268EAF3">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00E2A9E2">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622EAE6F">
      <w:pPr>
        <w:pStyle w:val="8"/>
        <w:spacing w:before="0" w:beforeAutospacing="0" w:after="0" w:afterAutospacing="0" w:line="360" w:lineRule="auto"/>
        <w:ind w:firstLine="420"/>
        <w:rPr>
          <w:sz w:val="21"/>
          <w:szCs w:val="21"/>
        </w:rPr>
      </w:pPr>
      <w:r>
        <w:rPr>
          <w:rFonts w:hint="eastAsia"/>
          <w:sz w:val="21"/>
          <w:szCs w:val="21"/>
        </w:rPr>
        <w:t xml:space="preserve">1、自助开户交易 </w:t>
      </w:r>
    </w:p>
    <w:p w14:paraId="6466EC38">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7C31A0C6">
      <w:pPr>
        <w:pStyle w:val="8"/>
        <w:spacing w:before="0" w:beforeAutospacing="0" w:after="0" w:afterAutospacing="0" w:line="360" w:lineRule="auto"/>
        <w:ind w:firstLine="420"/>
        <w:rPr>
          <w:sz w:val="21"/>
          <w:szCs w:val="21"/>
        </w:rPr>
      </w:pPr>
      <w:r>
        <w:rPr>
          <w:rFonts w:hint="eastAsia"/>
          <w:sz w:val="21"/>
          <w:szCs w:val="21"/>
        </w:rPr>
        <w:t xml:space="preserve">2、查询服务 </w:t>
      </w:r>
    </w:p>
    <w:p w14:paraId="1255AE1B">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16BAD648">
      <w:pPr>
        <w:pStyle w:val="8"/>
        <w:spacing w:before="0" w:beforeAutospacing="0" w:after="0" w:afterAutospacing="0" w:line="360" w:lineRule="auto"/>
        <w:ind w:firstLine="420"/>
        <w:rPr>
          <w:sz w:val="21"/>
          <w:szCs w:val="21"/>
        </w:rPr>
      </w:pPr>
      <w:r>
        <w:rPr>
          <w:rFonts w:hint="eastAsia"/>
          <w:sz w:val="21"/>
          <w:szCs w:val="21"/>
        </w:rPr>
        <w:t xml:space="preserve">3、信息资讯服务 </w:t>
      </w:r>
    </w:p>
    <w:p w14:paraId="2FBA00D8">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06CBA941">
      <w:pPr>
        <w:pStyle w:val="8"/>
        <w:spacing w:before="0" w:beforeAutospacing="0" w:after="0" w:afterAutospacing="0" w:line="360" w:lineRule="auto"/>
        <w:ind w:firstLine="420"/>
        <w:rPr>
          <w:sz w:val="21"/>
          <w:szCs w:val="21"/>
        </w:rPr>
      </w:pPr>
      <w:r>
        <w:rPr>
          <w:rFonts w:hint="eastAsia"/>
          <w:sz w:val="21"/>
          <w:szCs w:val="21"/>
        </w:rPr>
        <w:t xml:space="preserve">4、在线客服 </w:t>
      </w:r>
    </w:p>
    <w:p w14:paraId="636E3D95">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1763AAA3">
      <w:pPr>
        <w:pStyle w:val="8"/>
        <w:spacing w:before="0" w:beforeAutospacing="0" w:after="0" w:afterAutospacing="0" w:line="360" w:lineRule="auto"/>
        <w:ind w:firstLine="420"/>
        <w:rPr>
          <w:sz w:val="21"/>
          <w:szCs w:val="21"/>
        </w:rPr>
      </w:pPr>
      <w:r>
        <w:rPr>
          <w:rStyle w:val="12"/>
          <w:rFonts w:hint="eastAsia"/>
          <w:sz w:val="21"/>
          <w:szCs w:val="21"/>
        </w:rPr>
        <w:t>三、短信服务</w:t>
      </w:r>
    </w:p>
    <w:p w14:paraId="146146E5">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31322FED">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5C0E3775">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5CEC9E6F">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7610ECC6">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36368486">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47F06446">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326201B1">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3CF94C5E">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5DC7107A">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29693538">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06EA805C">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3C19BAF1">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0036CDF5">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391CCC03">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15D3F032">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6F84FB04">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33EF584F">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199" w:name="chapter_level1_24_75_section_1_end"/>
      <w:bookmarkEnd w:id="199"/>
      <w:r>
        <w:rPr>
          <w:rStyle w:val="12"/>
          <w:rFonts w:hint="eastAsia"/>
          <w:sz w:val="21"/>
          <w:szCs w:val="21"/>
        </w:rPr>
        <w:t>理人。请确保投资前，您/贵机构已经全面理解了本招募说明书。</w:t>
      </w:r>
    </w:p>
    <w:p w14:paraId="6D1897A2">
      <w:pPr>
        <w:widowControl/>
        <w:jc w:val="left"/>
        <w:rPr>
          <w:rFonts w:ascii="宋体" w:hAnsi="宋体" w:eastAsia="宋体"/>
        </w:rPr>
      </w:pPr>
      <w:r>
        <w:rPr>
          <w:rFonts w:ascii="宋体" w:hAnsi="宋体" w:eastAsia="宋体"/>
        </w:rPr>
        <w:br w:type="page"/>
      </w:r>
    </w:p>
    <w:p w14:paraId="2DCB1BAC">
      <w:pPr>
        <w:pStyle w:val="2"/>
        <w:jc w:val="center"/>
        <w:rPr>
          <w:rFonts w:ascii="宋体" w:hAnsi="宋体" w:eastAsia="宋体"/>
          <w:sz w:val="30"/>
        </w:rPr>
      </w:pPr>
      <w:bookmarkStart w:id="200" w:name="chapter_level1_25_3499"/>
      <w:bookmarkStart w:id="201" w:name="_Toc207948783"/>
      <w:r>
        <w:rPr>
          <w:rFonts w:hint="eastAsia" w:ascii="宋体" w:hAnsi="宋体" w:eastAsia="宋体"/>
          <w:sz w:val="30"/>
        </w:rPr>
        <w:t>第二十二部分 其他应披露的事项</w:t>
      </w:r>
      <w:bookmarkEnd w:id="200"/>
      <w:bookmarkEnd w:id="201"/>
    </w:p>
    <w:p w14:paraId="0DFCCEB4">
      <w:pPr>
        <w:pStyle w:val="8"/>
        <w:spacing w:before="0" w:beforeAutospacing="0" w:after="0" w:afterAutospacing="0" w:line="360" w:lineRule="auto"/>
        <w:ind w:firstLine="420"/>
        <w:rPr>
          <w:sz w:val="21"/>
          <w:szCs w:val="21"/>
        </w:rPr>
      </w:pPr>
      <w:bookmarkStart w:id="202" w:name="chapter_level1_25_3499_section_1"/>
      <w:bookmarkEnd w:id="202"/>
      <w:bookmarkStart w:id="203" w:name="field_0_bsrevealinfo_1_start"/>
      <w:bookmarkEnd w:id="203"/>
      <w:r>
        <w:rPr>
          <w:rFonts w:hint="eastAsia"/>
          <w:sz w:val="21"/>
          <w:szCs w:val="21"/>
        </w:rPr>
        <w:t>（一）、2025年8月29日，我公司公告了《博时稳欣39个月定期开放债券型证券投资基金2025年中期报告》；</w:t>
      </w:r>
    </w:p>
    <w:p w14:paraId="1FB17390">
      <w:pPr>
        <w:pStyle w:val="8"/>
        <w:spacing w:before="0" w:beforeAutospacing="0" w:after="0" w:afterAutospacing="0" w:line="360" w:lineRule="auto"/>
        <w:ind w:firstLine="420"/>
        <w:rPr>
          <w:sz w:val="21"/>
          <w:szCs w:val="21"/>
        </w:rPr>
      </w:pPr>
      <w:r>
        <w:rPr>
          <w:rFonts w:hint="eastAsia"/>
          <w:sz w:val="21"/>
          <w:szCs w:val="21"/>
        </w:rPr>
        <w:t>（二）、2025年7月21日，我公司公告了《博时稳欣39个月定期开放债券型证券投资基金2025年第2季度报告》；</w:t>
      </w:r>
    </w:p>
    <w:p w14:paraId="63A26831">
      <w:pPr>
        <w:pStyle w:val="8"/>
        <w:spacing w:before="0" w:beforeAutospacing="0" w:after="0" w:afterAutospacing="0" w:line="360" w:lineRule="auto"/>
        <w:ind w:firstLine="420"/>
        <w:rPr>
          <w:sz w:val="21"/>
          <w:szCs w:val="21"/>
        </w:rPr>
      </w:pPr>
      <w:r>
        <w:rPr>
          <w:rFonts w:hint="eastAsia"/>
          <w:sz w:val="21"/>
          <w:szCs w:val="21"/>
        </w:rPr>
        <w:t>（三）、2025年7月4日，我公司公告了《博时稳欣39个月定期开放债券型证券投资基金分红公告》；</w:t>
      </w:r>
    </w:p>
    <w:p w14:paraId="7BD2DBF4">
      <w:pPr>
        <w:pStyle w:val="8"/>
        <w:spacing w:before="0" w:beforeAutospacing="0" w:after="0" w:afterAutospacing="0" w:line="360" w:lineRule="auto"/>
        <w:ind w:firstLine="420"/>
        <w:rPr>
          <w:sz w:val="21"/>
          <w:szCs w:val="21"/>
        </w:rPr>
      </w:pPr>
      <w:r>
        <w:rPr>
          <w:rFonts w:hint="eastAsia"/>
          <w:sz w:val="21"/>
          <w:szCs w:val="21"/>
        </w:rPr>
        <w:t>（四）、2025年6月26日，我公司公告了《博时稳欣39个月定期开放债券型证券投资基金基金产品资料概要更新》；</w:t>
      </w:r>
    </w:p>
    <w:p w14:paraId="2B3E210C">
      <w:pPr>
        <w:pStyle w:val="8"/>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5A317E7E">
      <w:pPr>
        <w:pStyle w:val="8"/>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58EC7468">
      <w:pPr>
        <w:pStyle w:val="8"/>
        <w:spacing w:before="0" w:beforeAutospacing="0" w:after="0" w:afterAutospacing="0" w:line="360" w:lineRule="auto"/>
        <w:ind w:firstLine="420"/>
        <w:rPr>
          <w:sz w:val="21"/>
          <w:szCs w:val="21"/>
        </w:rPr>
      </w:pPr>
      <w:r>
        <w:rPr>
          <w:rFonts w:hint="eastAsia"/>
          <w:sz w:val="21"/>
          <w:szCs w:val="21"/>
        </w:rPr>
        <w:t>（七）、2025年4月22日，我公司公告了《博时稳欣39个月定期开放债券型证券投资基金2025年第1季度报告》；</w:t>
      </w:r>
    </w:p>
    <w:p w14:paraId="38865546">
      <w:pPr>
        <w:pStyle w:val="8"/>
        <w:spacing w:before="0" w:beforeAutospacing="0" w:after="0" w:afterAutospacing="0" w:line="360" w:lineRule="auto"/>
        <w:ind w:firstLine="420"/>
        <w:rPr>
          <w:sz w:val="21"/>
          <w:szCs w:val="21"/>
        </w:rPr>
      </w:pPr>
      <w:r>
        <w:rPr>
          <w:rFonts w:hint="eastAsia"/>
          <w:sz w:val="21"/>
          <w:szCs w:val="21"/>
        </w:rPr>
        <w:t>（八）、2025年4月11日，我公司公告了《博时稳欣39个月定期开放债券型证券投资基金分红公告》；</w:t>
      </w:r>
    </w:p>
    <w:p w14:paraId="69828D3A">
      <w:pPr>
        <w:pStyle w:val="8"/>
        <w:spacing w:before="0" w:beforeAutospacing="0" w:after="0" w:afterAutospacing="0" w:line="360" w:lineRule="auto"/>
        <w:ind w:firstLine="420"/>
        <w:rPr>
          <w:sz w:val="21"/>
          <w:szCs w:val="21"/>
        </w:rPr>
      </w:pPr>
      <w:r>
        <w:rPr>
          <w:rFonts w:hint="eastAsia"/>
          <w:sz w:val="21"/>
          <w:szCs w:val="21"/>
        </w:rPr>
        <w:t>（九）、2025年4月8日，我公司公告了《博时基金管理有限公司关于运用公司固有资金投资旗下公募基金的公告》、《博时基金管理有限公司关于旗下基金持有的长期停牌股票调整估值方法的公告-20250408》；</w:t>
      </w:r>
    </w:p>
    <w:p w14:paraId="616483D6">
      <w:pPr>
        <w:pStyle w:val="8"/>
        <w:spacing w:before="0" w:beforeAutospacing="0" w:after="0" w:afterAutospacing="0" w:line="360" w:lineRule="auto"/>
        <w:ind w:firstLine="420"/>
        <w:rPr>
          <w:sz w:val="21"/>
          <w:szCs w:val="21"/>
        </w:rPr>
      </w:pPr>
      <w:r>
        <w:rPr>
          <w:rFonts w:hint="eastAsia"/>
          <w:sz w:val="21"/>
          <w:szCs w:val="21"/>
        </w:rPr>
        <w:t>（十）、2025年3月31日，我公司公告了《博时基金管理有限公司旗下公募基金通过证券公司证券交易及佣金支付情况（2024年度）》、《博时稳欣39个月定期开放债券型证券投资基金2024年年度报告》；</w:t>
      </w:r>
    </w:p>
    <w:p w14:paraId="01657A06">
      <w:pPr>
        <w:pStyle w:val="8"/>
        <w:spacing w:before="0" w:beforeAutospacing="0" w:after="0" w:afterAutospacing="0" w:line="360" w:lineRule="auto"/>
        <w:ind w:firstLine="420"/>
        <w:rPr>
          <w:sz w:val="21"/>
          <w:szCs w:val="21"/>
        </w:rPr>
      </w:pPr>
      <w:r>
        <w:rPr>
          <w:rFonts w:hint="eastAsia"/>
          <w:sz w:val="21"/>
          <w:szCs w:val="21"/>
        </w:rPr>
        <w:t>（十一）、2025年3月25日，我公司公告了《博时基金管理有限公司关于旗下基金持有的长期停牌股票调整估值方法的公告-20250325》；</w:t>
      </w:r>
    </w:p>
    <w:p w14:paraId="10BE644B">
      <w:pPr>
        <w:pStyle w:val="8"/>
        <w:spacing w:before="0" w:beforeAutospacing="0" w:after="0" w:afterAutospacing="0" w:line="360" w:lineRule="auto"/>
        <w:ind w:firstLine="420"/>
        <w:rPr>
          <w:sz w:val="21"/>
          <w:szCs w:val="21"/>
        </w:rPr>
      </w:pPr>
      <w:r>
        <w:rPr>
          <w:rFonts w:hint="eastAsia"/>
          <w:sz w:val="21"/>
          <w:szCs w:val="21"/>
        </w:rPr>
        <w:t>（十二）、2025年1月22日，我公司公告了《博时稳欣39个月定期开放债券型证券投资基金2024年第4季度报告》；</w:t>
      </w:r>
    </w:p>
    <w:p w14:paraId="43F34859">
      <w:pPr>
        <w:pStyle w:val="8"/>
        <w:spacing w:before="0" w:beforeAutospacing="0" w:after="0" w:afterAutospacing="0" w:line="360" w:lineRule="auto"/>
        <w:ind w:firstLine="420"/>
        <w:rPr>
          <w:sz w:val="21"/>
          <w:szCs w:val="21"/>
        </w:rPr>
      </w:pPr>
      <w:r>
        <w:rPr>
          <w:rFonts w:hint="eastAsia"/>
          <w:sz w:val="21"/>
          <w:szCs w:val="21"/>
        </w:rPr>
        <w:t>（十三）、2025年1月10日，我公司公告了《博时稳欣39个月定期开放债券型证券投资基金分红公告》；</w:t>
      </w:r>
    </w:p>
    <w:p w14:paraId="57413803">
      <w:pPr>
        <w:pStyle w:val="8"/>
        <w:spacing w:before="0" w:beforeAutospacing="0" w:after="0" w:afterAutospacing="0" w:line="360" w:lineRule="auto"/>
        <w:ind w:firstLine="420"/>
        <w:rPr>
          <w:sz w:val="21"/>
          <w:szCs w:val="21"/>
        </w:rPr>
      </w:pPr>
      <w:r>
        <w:rPr>
          <w:rFonts w:hint="eastAsia"/>
          <w:sz w:val="21"/>
          <w:szCs w:val="21"/>
        </w:rPr>
        <w:t>（十四）、2024年12月27日，我公司公告了《博时基金管理有限公司关于旗下78只基金改聘会计师事务所的公告》；</w:t>
      </w:r>
    </w:p>
    <w:p w14:paraId="1443B762">
      <w:pPr>
        <w:pStyle w:val="8"/>
        <w:spacing w:before="0" w:beforeAutospacing="0" w:after="0" w:afterAutospacing="0" w:line="360" w:lineRule="auto"/>
        <w:ind w:firstLine="420"/>
        <w:rPr>
          <w:sz w:val="21"/>
          <w:szCs w:val="21"/>
        </w:rPr>
      </w:pPr>
      <w:r>
        <w:rPr>
          <w:rFonts w:hint="eastAsia"/>
          <w:sz w:val="21"/>
          <w:szCs w:val="21"/>
        </w:rPr>
        <w:t>（十五）、2024年12月7日，我公司公告了《博时基金管理有限公司关于高级管理人员变更的公告》；</w:t>
      </w:r>
    </w:p>
    <w:p w14:paraId="6DCC7E5B">
      <w:pPr>
        <w:pStyle w:val="8"/>
        <w:spacing w:before="0" w:beforeAutospacing="0" w:after="0" w:afterAutospacing="0" w:line="360" w:lineRule="auto"/>
        <w:ind w:firstLine="420"/>
        <w:rPr>
          <w:sz w:val="21"/>
          <w:szCs w:val="21"/>
        </w:rPr>
      </w:pPr>
      <w:r>
        <w:rPr>
          <w:rFonts w:hint="eastAsia"/>
          <w:sz w:val="21"/>
          <w:szCs w:val="21"/>
        </w:rPr>
        <w:t>（十六）、2024年11月18日，我公司公告了《博时基金管理有限公司关于终止乾道基金销售有限公司办理旗下基金销售业务的公告》；</w:t>
      </w:r>
    </w:p>
    <w:p w14:paraId="68C0ED11">
      <w:pPr>
        <w:pStyle w:val="8"/>
        <w:spacing w:before="0" w:beforeAutospacing="0" w:after="0" w:afterAutospacing="0" w:line="360" w:lineRule="auto"/>
        <w:ind w:firstLine="420"/>
        <w:rPr>
          <w:sz w:val="21"/>
          <w:szCs w:val="21"/>
        </w:rPr>
      </w:pPr>
      <w:r>
        <w:rPr>
          <w:rFonts w:hint="eastAsia"/>
          <w:sz w:val="21"/>
          <w:szCs w:val="21"/>
        </w:rPr>
        <w:t>（十七）、2024年11月6日，我公司公告了《博时基金管理有限公司关于旗下基金持有的长期停牌股票调整估值方法的公告-20241106》；</w:t>
      </w:r>
    </w:p>
    <w:p w14:paraId="68D010C7">
      <w:pPr>
        <w:pStyle w:val="8"/>
        <w:spacing w:before="0" w:beforeAutospacing="0" w:after="0" w:afterAutospacing="0" w:line="360" w:lineRule="auto"/>
        <w:ind w:firstLine="420"/>
        <w:rPr>
          <w:sz w:val="21"/>
          <w:szCs w:val="21"/>
        </w:rPr>
      </w:pPr>
      <w:r>
        <w:rPr>
          <w:rFonts w:hint="eastAsia"/>
          <w:sz w:val="21"/>
          <w:szCs w:val="21"/>
        </w:rPr>
        <w:t>（十八）、2024年10月25日，我公司公告了《博时稳欣39个月定期开放债券型证券投资基金2024年第3季度报告》；</w:t>
      </w:r>
    </w:p>
    <w:p w14:paraId="3875FBF6">
      <w:pPr>
        <w:pStyle w:val="8"/>
        <w:spacing w:before="0" w:beforeAutospacing="0" w:after="0" w:afterAutospacing="0" w:line="360" w:lineRule="auto"/>
        <w:ind w:firstLine="420"/>
        <w:rPr>
          <w:sz w:val="21"/>
          <w:szCs w:val="21"/>
        </w:rPr>
      </w:pPr>
      <w:r>
        <w:rPr>
          <w:rFonts w:hint="eastAsia"/>
          <w:sz w:val="21"/>
          <w:szCs w:val="21"/>
        </w:rPr>
        <w:t>（十九）、2024年10月12日，我公司公告了《博时稳欣39个月定期开放债券型证券投资基金分红公告》；</w:t>
      </w:r>
    </w:p>
    <w:p w14:paraId="4EBDED61">
      <w:pPr>
        <w:pStyle w:val="8"/>
        <w:spacing w:before="0" w:beforeAutospacing="0" w:after="0" w:afterAutospacing="0" w:line="360" w:lineRule="auto"/>
        <w:ind w:firstLine="420"/>
        <w:rPr>
          <w:sz w:val="21"/>
          <w:szCs w:val="21"/>
        </w:rPr>
      </w:pPr>
      <w:r>
        <w:rPr>
          <w:rFonts w:hint="eastAsia"/>
          <w:sz w:val="21"/>
          <w:szCs w:val="21"/>
        </w:rPr>
        <w:t>（二十）、2024年9月30日，我公司公告了《博时稳欣39个月定期开放债券型证券投资基金更新招募说明书》；</w:t>
      </w:r>
    </w:p>
    <w:p w14:paraId="69EB0071">
      <w:pPr>
        <w:pStyle w:val="8"/>
        <w:spacing w:before="0" w:beforeAutospacing="0" w:after="0" w:afterAutospacing="0" w:line="360" w:lineRule="auto"/>
        <w:ind w:firstLine="420"/>
        <w:rPr>
          <w:sz w:val="21"/>
          <w:szCs w:val="21"/>
        </w:rPr>
      </w:pPr>
      <w:r>
        <w:rPr>
          <w:rFonts w:hint="eastAsia"/>
          <w:sz w:val="21"/>
          <w:szCs w:val="21"/>
        </w:rPr>
        <w:t>（二十一）、2024年9月25日，我公司公告了《博时基金管理有限公司关于旗下基金持有的长期停牌股票调整估值方法的公告-20240925》；</w:t>
      </w:r>
    </w:p>
    <w:p w14:paraId="3AE9A436">
      <w:pPr>
        <w:pStyle w:val="8"/>
        <w:spacing w:before="0" w:beforeAutospacing="0" w:after="0" w:afterAutospacing="0" w:line="360" w:lineRule="auto"/>
        <w:ind w:firstLine="420"/>
        <w:rPr>
          <w:sz w:val="21"/>
          <w:szCs w:val="21"/>
        </w:rPr>
      </w:pPr>
      <w:r>
        <w:rPr>
          <w:rFonts w:hint="eastAsia"/>
          <w:sz w:val="21"/>
          <w:szCs w:val="21"/>
        </w:rPr>
        <w:t>（二十二）、2024年9月21日，我公司公告了《博时基金管理有限公司关于董事会成</w:t>
      </w:r>
      <w:bookmarkStart w:id="204" w:name="chapter_level1_25_3499_section_1_end"/>
      <w:bookmarkEnd w:id="204"/>
      <w:r>
        <w:rPr>
          <w:rFonts w:hint="eastAsia"/>
          <w:sz w:val="21"/>
          <w:szCs w:val="21"/>
        </w:rPr>
        <w:t>员变更的公告》。</w:t>
      </w:r>
      <w:bookmarkStart w:id="205" w:name="field_0_bsrevealinfo_1_end"/>
      <w:bookmarkEnd w:id="205"/>
      <w:r>
        <w:rPr>
          <w:rFonts w:hint="eastAsia"/>
          <w:sz w:val="21"/>
          <w:szCs w:val="21"/>
        </w:rPr>
        <w:t xml:space="preserve">  </w:t>
      </w:r>
    </w:p>
    <w:p w14:paraId="4D4D2393">
      <w:pPr>
        <w:widowControl/>
        <w:jc w:val="left"/>
        <w:rPr>
          <w:rFonts w:ascii="宋体" w:hAnsi="宋体" w:eastAsia="宋体"/>
        </w:rPr>
      </w:pPr>
      <w:r>
        <w:rPr>
          <w:rFonts w:ascii="宋体" w:hAnsi="宋体" w:eastAsia="宋体"/>
        </w:rPr>
        <w:br w:type="page"/>
      </w:r>
    </w:p>
    <w:p w14:paraId="3B68DCCF">
      <w:pPr>
        <w:pStyle w:val="2"/>
        <w:jc w:val="center"/>
        <w:rPr>
          <w:rFonts w:ascii="宋体" w:hAnsi="宋体" w:eastAsia="宋体"/>
          <w:sz w:val="30"/>
        </w:rPr>
      </w:pPr>
      <w:bookmarkStart w:id="206" w:name="chapter_level1_26_77"/>
      <w:bookmarkStart w:id="207" w:name="_Toc207948784"/>
      <w:r>
        <w:rPr>
          <w:rFonts w:hint="eastAsia" w:ascii="宋体" w:hAnsi="宋体" w:eastAsia="宋体"/>
          <w:sz w:val="30"/>
        </w:rPr>
        <w:t>第二十三部分  招募说明书存放及查阅方式</w:t>
      </w:r>
      <w:bookmarkEnd w:id="206"/>
      <w:bookmarkEnd w:id="207"/>
    </w:p>
    <w:p w14:paraId="374CE834">
      <w:pPr>
        <w:pStyle w:val="8"/>
        <w:spacing w:before="0" w:beforeAutospacing="0" w:after="0" w:afterAutospacing="0" w:line="360" w:lineRule="auto"/>
        <w:ind w:firstLine="420"/>
        <w:rPr>
          <w:sz w:val="21"/>
          <w:szCs w:val="21"/>
        </w:rPr>
      </w:pPr>
      <w:bookmarkStart w:id="208" w:name="chapter_level1_26_77_section_1"/>
      <w:bookmarkEnd w:id="208"/>
      <w:r>
        <w:rPr>
          <w:rFonts w:hint="eastAsia"/>
          <w:sz w:val="21"/>
          <w:szCs w:val="21"/>
        </w:rPr>
        <w:t xml:space="preserve">招募说明书公布后，应当分别置备于基金管理人、基金托管人和基金销售机构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7D268FFB">
      <w:pPr>
        <w:pStyle w:val="8"/>
        <w:spacing w:before="0" w:beforeAutospacing="0" w:after="0" w:afterAutospacing="0" w:line="360" w:lineRule="auto"/>
        <w:ind w:firstLine="420"/>
        <w:rPr>
          <w:sz w:val="21"/>
          <w:szCs w:val="21"/>
        </w:rPr>
      </w:pPr>
      <w:bookmarkStart w:id="209" w:name="chapter_level1_26_77_section_1_end"/>
      <w:bookmarkEnd w:id="209"/>
      <w:r>
        <w:rPr>
          <w:rFonts w:hint="eastAsia"/>
          <w:sz w:val="21"/>
          <w:szCs w:val="21"/>
        </w:rPr>
        <w:t xml:space="preserve">投资人还可以直接登录基金管理人的网站（www.bosera.com）查阅和下载招募说明书。 </w:t>
      </w:r>
    </w:p>
    <w:p w14:paraId="0C809F92">
      <w:pPr>
        <w:widowControl/>
        <w:jc w:val="left"/>
        <w:rPr>
          <w:rFonts w:ascii="宋体" w:hAnsi="宋体" w:eastAsia="宋体"/>
        </w:rPr>
      </w:pPr>
      <w:r>
        <w:rPr>
          <w:rFonts w:ascii="宋体" w:hAnsi="宋体" w:eastAsia="宋体"/>
        </w:rPr>
        <w:br w:type="page"/>
      </w:r>
    </w:p>
    <w:p w14:paraId="39FF56C8">
      <w:pPr>
        <w:pStyle w:val="2"/>
        <w:jc w:val="center"/>
        <w:rPr>
          <w:rFonts w:ascii="宋体" w:hAnsi="宋体" w:eastAsia="宋体"/>
          <w:sz w:val="30"/>
        </w:rPr>
      </w:pPr>
      <w:bookmarkStart w:id="210" w:name="_Toc207948785"/>
      <w:bookmarkStart w:id="211" w:name="chapter_level1_27_332"/>
      <w:r>
        <w:rPr>
          <w:rFonts w:hint="eastAsia" w:ascii="宋体" w:hAnsi="宋体" w:eastAsia="宋体"/>
          <w:sz w:val="30"/>
        </w:rPr>
        <w:t>第二十四部分  备查文件</w:t>
      </w:r>
      <w:bookmarkEnd w:id="210"/>
      <w:bookmarkEnd w:id="211"/>
    </w:p>
    <w:p w14:paraId="7113CF54">
      <w:pPr>
        <w:pStyle w:val="8"/>
        <w:spacing w:before="0" w:beforeAutospacing="0" w:after="0" w:afterAutospacing="0" w:line="360" w:lineRule="auto"/>
        <w:ind w:firstLine="420"/>
        <w:rPr>
          <w:sz w:val="21"/>
          <w:szCs w:val="21"/>
        </w:rPr>
      </w:pPr>
      <w:bookmarkStart w:id="212" w:name="chapter_level1_27_332_section_1"/>
      <w:bookmarkEnd w:id="212"/>
      <w:r>
        <w:rPr>
          <w:rFonts w:hint="eastAsia"/>
          <w:sz w:val="21"/>
          <w:szCs w:val="21"/>
        </w:rPr>
        <w:t xml:space="preserve">以下备查文件存放在基金管理人的办公场所，在办公时间可供免费查阅。  </w:t>
      </w:r>
    </w:p>
    <w:p w14:paraId="05B33E9D">
      <w:pPr>
        <w:pStyle w:val="8"/>
        <w:spacing w:before="0" w:beforeAutospacing="0" w:after="0" w:afterAutospacing="0" w:line="360" w:lineRule="auto"/>
        <w:ind w:firstLine="420"/>
        <w:rPr>
          <w:sz w:val="21"/>
          <w:szCs w:val="21"/>
        </w:rPr>
      </w:pPr>
      <w:r>
        <w:rPr>
          <w:rFonts w:hint="eastAsia"/>
          <w:sz w:val="21"/>
          <w:szCs w:val="21"/>
        </w:rPr>
        <w:t>（一）中国证监会准予</w:t>
      </w:r>
      <w:bookmarkStart w:id="213" w:name="field_0_productfullname_13"/>
      <w:r>
        <w:rPr>
          <w:rFonts w:hint="eastAsia"/>
          <w:sz w:val="21"/>
          <w:szCs w:val="21"/>
        </w:rPr>
        <w:t>博时稳欣</w:t>
      </w:r>
      <w:r>
        <w:rPr>
          <w:sz w:val="21"/>
          <w:szCs w:val="21"/>
        </w:rPr>
        <w:t>39个月定期开放债券型证券投资基金</w:t>
      </w:r>
      <w:bookmarkEnd w:id="213"/>
      <w:r>
        <w:rPr>
          <w:rFonts w:hint="eastAsia"/>
          <w:sz w:val="21"/>
          <w:szCs w:val="21"/>
        </w:rPr>
        <w:t xml:space="preserve">注册的文件 </w:t>
      </w:r>
    </w:p>
    <w:p w14:paraId="282B54D4">
      <w:pPr>
        <w:pStyle w:val="8"/>
        <w:spacing w:before="0" w:beforeAutospacing="0" w:after="0" w:afterAutospacing="0" w:line="360" w:lineRule="auto"/>
        <w:ind w:firstLine="420"/>
        <w:rPr>
          <w:sz w:val="21"/>
          <w:szCs w:val="21"/>
        </w:rPr>
      </w:pPr>
      <w:r>
        <w:rPr>
          <w:rFonts w:hint="eastAsia"/>
          <w:sz w:val="21"/>
          <w:szCs w:val="21"/>
        </w:rPr>
        <w:t>（二）《</w:t>
      </w:r>
      <w:bookmarkStart w:id="214" w:name="field_0_productfullname_14"/>
      <w:r>
        <w:rPr>
          <w:rFonts w:hint="eastAsia"/>
          <w:sz w:val="21"/>
          <w:szCs w:val="21"/>
        </w:rPr>
        <w:t>博时稳欣</w:t>
      </w:r>
      <w:r>
        <w:rPr>
          <w:sz w:val="21"/>
          <w:szCs w:val="21"/>
        </w:rPr>
        <w:t>39个月定期开放债券型证券投资基金</w:t>
      </w:r>
      <w:bookmarkEnd w:id="214"/>
      <w:r>
        <w:rPr>
          <w:rFonts w:hint="eastAsia"/>
          <w:sz w:val="21"/>
          <w:szCs w:val="21"/>
        </w:rPr>
        <w:t xml:space="preserve">基金合同》 </w:t>
      </w:r>
    </w:p>
    <w:p w14:paraId="3DE94A99">
      <w:pPr>
        <w:pStyle w:val="8"/>
        <w:spacing w:before="0" w:beforeAutospacing="0" w:after="0" w:afterAutospacing="0" w:line="360" w:lineRule="auto"/>
        <w:ind w:firstLine="420"/>
        <w:rPr>
          <w:sz w:val="21"/>
          <w:szCs w:val="21"/>
        </w:rPr>
      </w:pPr>
      <w:r>
        <w:rPr>
          <w:rFonts w:hint="eastAsia"/>
          <w:sz w:val="21"/>
          <w:szCs w:val="21"/>
        </w:rPr>
        <w:t>（三）《</w:t>
      </w:r>
      <w:bookmarkStart w:id="215" w:name="field_0_productfullname_15"/>
      <w:r>
        <w:rPr>
          <w:rFonts w:hint="eastAsia"/>
          <w:sz w:val="21"/>
          <w:szCs w:val="21"/>
        </w:rPr>
        <w:t>博时稳欣</w:t>
      </w:r>
      <w:r>
        <w:rPr>
          <w:sz w:val="21"/>
          <w:szCs w:val="21"/>
        </w:rPr>
        <w:t>39个月定期开放债券型证券投资基金</w:t>
      </w:r>
      <w:bookmarkEnd w:id="215"/>
      <w:r>
        <w:rPr>
          <w:rFonts w:hint="eastAsia"/>
          <w:sz w:val="21"/>
          <w:szCs w:val="21"/>
        </w:rPr>
        <w:t xml:space="preserve">托管协议》 </w:t>
      </w:r>
    </w:p>
    <w:p w14:paraId="5B247225">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49BD33E7">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31DA72A8">
      <w:pPr>
        <w:pStyle w:val="8"/>
        <w:spacing w:before="0" w:beforeAutospacing="0" w:after="0" w:afterAutospacing="0" w:line="360" w:lineRule="auto"/>
        <w:ind w:firstLine="420"/>
        <w:rPr>
          <w:sz w:val="21"/>
          <w:szCs w:val="21"/>
        </w:rPr>
      </w:pPr>
      <w:r>
        <w:rPr>
          <w:rFonts w:hint="eastAsia"/>
          <w:sz w:val="21"/>
          <w:szCs w:val="21"/>
        </w:rPr>
        <w:t>（六）关于申请募集</w:t>
      </w:r>
      <w:bookmarkStart w:id="216" w:name="field_0_productfullname_16"/>
      <w:r>
        <w:rPr>
          <w:rFonts w:hint="eastAsia"/>
          <w:sz w:val="21"/>
          <w:szCs w:val="21"/>
        </w:rPr>
        <w:t>博时稳欣</w:t>
      </w:r>
      <w:r>
        <w:rPr>
          <w:sz w:val="21"/>
          <w:szCs w:val="21"/>
        </w:rPr>
        <w:t>39个月定期开放债券型证券投资基金</w:t>
      </w:r>
      <w:bookmarkEnd w:id="216"/>
      <w:r>
        <w:rPr>
          <w:rFonts w:hint="eastAsia"/>
          <w:sz w:val="21"/>
          <w:szCs w:val="21"/>
        </w:rPr>
        <w:t xml:space="preserve">之法律意见书 </w:t>
      </w:r>
    </w:p>
    <w:p w14:paraId="575B3CDD">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6646EB7E">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68480C33">
      <w:pPr>
        <w:pStyle w:val="8"/>
        <w:spacing w:before="0" w:beforeAutospacing="0" w:after="0" w:afterAutospacing="0" w:line="360" w:lineRule="auto"/>
        <w:ind w:firstLine="420"/>
        <w:rPr>
          <w:sz w:val="21"/>
          <w:szCs w:val="21"/>
        </w:rPr>
      </w:pPr>
    </w:p>
    <w:p w14:paraId="1B978E0F">
      <w:pPr>
        <w:pStyle w:val="8"/>
        <w:spacing w:before="0" w:beforeAutospacing="0" w:after="0" w:afterAutospacing="0" w:line="360" w:lineRule="auto"/>
        <w:ind w:firstLine="420"/>
        <w:rPr>
          <w:sz w:val="21"/>
          <w:szCs w:val="21"/>
        </w:rPr>
      </w:pPr>
    </w:p>
    <w:p w14:paraId="2F06DD84">
      <w:pPr>
        <w:pStyle w:val="8"/>
        <w:spacing w:before="0" w:beforeAutospacing="0" w:after="0" w:afterAutospacing="0" w:line="360" w:lineRule="auto"/>
        <w:ind w:firstLine="420"/>
        <w:rPr>
          <w:sz w:val="21"/>
          <w:szCs w:val="21"/>
        </w:rPr>
      </w:pPr>
    </w:p>
    <w:p w14:paraId="7EEF7313">
      <w:pPr>
        <w:pStyle w:val="8"/>
        <w:spacing w:before="0" w:beforeAutospacing="0" w:after="0" w:afterAutospacing="0" w:line="360" w:lineRule="auto"/>
        <w:ind w:firstLine="420"/>
        <w:jc w:val="right"/>
        <w:rPr>
          <w:sz w:val="21"/>
          <w:szCs w:val="21"/>
        </w:rPr>
      </w:pPr>
      <w:bookmarkStart w:id="217" w:name="field_0_managerorgfullname_8"/>
      <w:r>
        <w:rPr>
          <w:rFonts w:hint="eastAsia"/>
          <w:sz w:val="21"/>
          <w:szCs w:val="21"/>
        </w:rPr>
        <w:t>博时基金管理有限公司</w:t>
      </w:r>
      <w:bookmarkEnd w:id="217"/>
      <w:r>
        <w:rPr>
          <w:rFonts w:hint="eastAsia"/>
          <w:sz w:val="21"/>
          <w:szCs w:val="21"/>
        </w:rPr>
        <w:t xml:space="preserve">  </w:t>
      </w:r>
    </w:p>
    <w:p w14:paraId="462638CD">
      <w:pPr>
        <w:pStyle w:val="8"/>
        <w:spacing w:before="0" w:beforeAutospacing="0" w:after="0" w:afterAutospacing="0" w:line="360" w:lineRule="auto"/>
        <w:ind w:firstLine="420"/>
        <w:jc w:val="right"/>
        <w:rPr>
          <w:sz w:val="21"/>
          <w:szCs w:val="21"/>
        </w:rPr>
      </w:pPr>
      <w:bookmarkStart w:id="218" w:name="chapter_level1_27_332_section_1_end"/>
      <w:bookmarkEnd w:id="218"/>
      <w:bookmarkStart w:id="219"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5</w:t>
      </w:r>
      <w:r>
        <w:rPr>
          <w:sz w:val="21"/>
          <w:szCs w:val="21"/>
        </w:rPr>
        <w:t>日</w:t>
      </w:r>
      <w:bookmarkEnd w:id="219"/>
      <w:r>
        <w:rPr>
          <w:rFonts w:hint="eastAsia"/>
          <w:sz w:val="21"/>
          <w:szCs w:val="21"/>
        </w:rPr>
        <w:t xml:space="preserve">  </w:t>
      </w:r>
    </w:p>
    <w:p w14:paraId="6556D7EA">
      <w:pPr>
        <w:rPr>
          <w:rFonts w:ascii="宋体" w:hAnsi="宋体" w:eastAsia="宋体"/>
        </w:rPr>
      </w:pPr>
      <w:bookmarkStart w:id="220" w:name="end"/>
      <w:bookmarkEnd w:id="220"/>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6A4FF">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120</w:t>
    </w:r>
    <w:r>
      <w:fldChar w:fldCharType="end"/>
    </w:r>
    <w:r>
      <w:rPr>
        <w:rFonts w:hint="eastAsia"/>
      </w:rPr>
      <w:t>页 共</w:t>
    </w:r>
    <w:r>
      <w:fldChar w:fldCharType="begin"/>
    </w:r>
    <w:r>
      <w:instrText xml:space="preserve"> NumPages \* MERGEFORMAT </w:instrText>
    </w:r>
    <w:r>
      <w:fldChar w:fldCharType="separate"/>
    </w:r>
    <w:r>
      <w:t>120</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C83D1">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0E929F00">
    <w:pPr>
      <w:pStyle w:val="6"/>
      <w:jc w:val="right"/>
    </w:pPr>
    <w:r>
      <w:rPr>
        <w:rFonts w:hint="eastAsia"/>
      </w:rPr>
      <w:t>博时稳欣39个月定期开放债券型证券投资基金更新招募说明书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DisplayPageBoundaries w:val="1"/>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9BF"/>
    <w:rsid w:val="00197F79"/>
    <w:rsid w:val="008919BF"/>
    <w:rsid w:val="00A40761"/>
    <w:rsid w:val="039531AA"/>
    <w:rsid w:val="14354376"/>
    <w:rsid w:val="19655F39"/>
    <w:rsid w:val="23D226FB"/>
    <w:rsid w:val="2D1512A6"/>
    <w:rsid w:val="33BB5762"/>
    <w:rsid w:val="37E6667B"/>
    <w:rsid w:val="51312CF8"/>
    <w:rsid w:val="5CCF5869"/>
    <w:rsid w:val="6358159E"/>
    <w:rsid w:val="678C1CF3"/>
    <w:rsid w:val="689925AF"/>
    <w:rsid w:val="6931441C"/>
    <w:rsid w:val="6E1D466F"/>
    <w:rsid w:val="701B297D"/>
    <w:rsid w:val="7044623C"/>
    <w:rsid w:val="752B4678"/>
    <w:rsid w:val="76265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118</Pages>
  <Words>14008</Words>
  <Characters>79848</Characters>
  <Lines>665</Lines>
  <Paragraphs>187</Paragraphs>
  <TotalTime>9</TotalTime>
  <ScaleCrop>false</ScaleCrop>
  <LinksUpToDate>false</LinksUpToDate>
  <CharactersWithSpaces>93669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2025-09-04T23:12:00Z</dcterms:created>
  <dc:creator>BSKMadminDev</dc:creator>
  <cp:lastModifiedBy>xiaolw1</cp:lastModifiedBy>
  <dcterms:modified xsi:type="dcterms:W3CDTF">2026-08-04T07:46:04Z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B604E2F3E8E64838AA2F362E7B9DE5A7</vt:lpwstr>
  </property>
</Properties>
</file>