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B26C7">
      <w:pPr>
        <w:spacing w:line="360" w:lineRule="auto"/>
        <w:jc w:val="center"/>
        <w:rPr>
          <w:rFonts w:ascii="宋体" w:hAnsi="宋体"/>
          <w:b/>
          <w:szCs w:val="21"/>
          <w:highlight w:val="yellow"/>
        </w:rPr>
      </w:pPr>
      <w:bookmarkStart w:id="0" w:name="_Toc361324840"/>
    </w:p>
    <w:p w14:paraId="398E550D">
      <w:pPr>
        <w:spacing w:line="360" w:lineRule="auto"/>
        <w:jc w:val="center"/>
        <w:rPr>
          <w:rFonts w:ascii="宋体" w:hAnsi="宋体"/>
          <w:b/>
          <w:szCs w:val="21"/>
          <w:highlight w:val="none"/>
        </w:rPr>
      </w:pPr>
    </w:p>
    <w:bookmarkEnd w:id="0"/>
    <w:p w14:paraId="461A6186">
      <w:pPr>
        <w:spacing w:line="360" w:lineRule="auto"/>
        <w:jc w:val="center"/>
        <w:rPr>
          <w:rFonts w:ascii="宋体" w:hAnsi="宋体"/>
          <w:b/>
          <w:sz w:val="52"/>
          <w:szCs w:val="52"/>
          <w:highlight w:val="none"/>
        </w:rPr>
      </w:pPr>
      <w:bookmarkStart w:id="1" w:name="_Toc361324841"/>
      <w:r>
        <w:rPr>
          <w:rFonts w:hint="eastAsia" w:ascii="宋体" w:hAnsi="宋体"/>
          <w:b/>
          <w:sz w:val="52"/>
          <w:szCs w:val="52"/>
          <w:highlight w:val="none"/>
          <w:lang w:eastAsia="zh-CN"/>
        </w:rPr>
        <w:t>博时裕丰纯债3个月定期开放债券型发起式证券投资基金</w:t>
      </w:r>
      <w:r>
        <w:rPr>
          <w:rFonts w:hint="eastAsia" w:ascii="宋体" w:hAnsi="宋体"/>
          <w:b/>
          <w:sz w:val="52"/>
          <w:szCs w:val="52"/>
          <w:highlight w:val="none"/>
        </w:rPr>
        <w:t>清算报告</w:t>
      </w:r>
      <w:bookmarkEnd w:id="1"/>
    </w:p>
    <w:p w14:paraId="04EA13B8">
      <w:pPr>
        <w:rPr>
          <w:rFonts w:ascii="宋体" w:hAnsi="宋体"/>
          <w:szCs w:val="21"/>
          <w:highlight w:val="none"/>
        </w:rPr>
      </w:pPr>
    </w:p>
    <w:p w14:paraId="18ADF324">
      <w:pPr>
        <w:rPr>
          <w:rFonts w:ascii="宋体" w:hAnsi="宋体"/>
          <w:szCs w:val="21"/>
          <w:highlight w:val="none"/>
        </w:rPr>
      </w:pPr>
    </w:p>
    <w:p w14:paraId="226443BE">
      <w:pPr>
        <w:rPr>
          <w:rFonts w:ascii="宋体" w:hAnsi="宋体"/>
          <w:szCs w:val="21"/>
          <w:highlight w:val="none"/>
        </w:rPr>
      </w:pPr>
    </w:p>
    <w:p w14:paraId="3468BC8E">
      <w:pPr>
        <w:rPr>
          <w:rFonts w:ascii="宋体" w:hAnsi="宋体"/>
          <w:szCs w:val="21"/>
          <w:highlight w:val="none"/>
        </w:rPr>
      </w:pPr>
    </w:p>
    <w:p w14:paraId="30EC2070">
      <w:pPr>
        <w:rPr>
          <w:rFonts w:ascii="宋体" w:hAnsi="宋体"/>
          <w:szCs w:val="21"/>
          <w:highlight w:val="none"/>
        </w:rPr>
      </w:pPr>
    </w:p>
    <w:p w14:paraId="79D942CB">
      <w:pPr>
        <w:rPr>
          <w:rFonts w:ascii="宋体" w:hAnsi="宋体"/>
          <w:szCs w:val="21"/>
          <w:highlight w:val="none"/>
        </w:rPr>
      </w:pPr>
    </w:p>
    <w:p w14:paraId="3655CE01">
      <w:pPr>
        <w:rPr>
          <w:rFonts w:ascii="宋体" w:hAnsi="宋体"/>
          <w:szCs w:val="21"/>
          <w:highlight w:val="none"/>
        </w:rPr>
      </w:pPr>
    </w:p>
    <w:p w14:paraId="3E434EED">
      <w:pPr>
        <w:rPr>
          <w:rFonts w:ascii="宋体" w:hAnsi="宋体"/>
          <w:szCs w:val="21"/>
          <w:highlight w:val="none"/>
        </w:rPr>
      </w:pPr>
    </w:p>
    <w:p w14:paraId="7C57AA84">
      <w:pPr>
        <w:rPr>
          <w:rFonts w:ascii="宋体" w:hAnsi="宋体"/>
          <w:szCs w:val="21"/>
          <w:highlight w:val="none"/>
        </w:rPr>
      </w:pPr>
    </w:p>
    <w:p w14:paraId="509E54DD">
      <w:pPr>
        <w:rPr>
          <w:rFonts w:ascii="宋体" w:hAnsi="宋体"/>
          <w:szCs w:val="21"/>
          <w:highlight w:val="none"/>
        </w:rPr>
      </w:pPr>
    </w:p>
    <w:p w14:paraId="03524CAA">
      <w:pPr>
        <w:rPr>
          <w:rFonts w:ascii="宋体" w:hAnsi="宋体"/>
          <w:szCs w:val="21"/>
          <w:highlight w:val="none"/>
        </w:rPr>
      </w:pPr>
    </w:p>
    <w:p w14:paraId="6421F077">
      <w:pPr>
        <w:spacing w:line="360" w:lineRule="auto"/>
        <w:jc w:val="center"/>
        <w:rPr>
          <w:rFonts w:ascii="宋体" w:hAnsi="宋体"/>
          <w:b/>
          <w:color w:val="000000"/>
          <w:sz w:val="36"/>
          <w:szCs w:val="36"/>
          <w:highlight w:val="none"/>
        </w:rPr>
      </w:pPr>
      <w:r>
        <w:rPr>
          <w:rFonts w:ascii="宋体" w:hAnsi="宋体"/>
          <w:b/>
          <w:color w:val="000000"/>
          <w:sz w:val="36"/>
          <w:szCs w:val="36"/>
          <w:highlight w:val="none"/>
        </w:rPr>
        <w:t>基金管理人：博时基金管理有限公司</w:t>
      </w:r>
    </w:p>
    <w:p w14:paraId="7767C7CF">
      <w:pPr>
        <w:spacing w:line="360" w:lineRule="auto"/>
        <w:jc w:val="center"/>
        <w:rPr>
          <w:rFonts w:ascii="宋体" w:hAnsi="宋体"/>
          <w:b/>
          <w:color w:val="000000"/>
          <w:sz w:val="36"/>
          <w:szCs w:val="36"/>
          <w:highlight w:val="none"/>
        </w:rPr>
      </w:pPr>
      <w:r>
        <w:rPr>
          <w:rFonts w:ascii="宋体" w:hAnsi="宋体"/>
          <w:b/>
          <w:color w:val="000000"/>
          <w:sz w:val="36"/>
          <w:szCs w:val="36"/>
          <w:highlight w:val="none"/>
        </w:rPr>
        <w:t>基金托管人：</w:t>
      </w:r>
      <w:r>
        <w:rPr>
          <w:rFonts w:hint="eastAsia" w:ascii="宋体" w:hAnsi="宋体"/>
          <w:b/>
          <w:color w:val="000000"/>
          <w:sz w:val="36"/>
          <w:szCs w:val="36"/>
          <w:highlight w:val="none"/>
          <w:lang w:val="en-US" w:eastAsia="zh-CN"/>
        </w:rPr>
        <w:t>恒丰银行股份有限公司</w:t>
      </w:r>
    </w:p>
    <w:p w14:paraId="157723CC">
      <w:pPr>
        <w:spacing w:line="360" w:lineRule="auto"/>
        <w:jc w:val="center"/>
        <w:rPr>
          <w:rFonts w:ascii="宋体" w:hAnsi="宋体"/>
          <w:b/>
          <w:color w:val="000000"/>
          <w:sz w:val="36"/>
          <w:szCs w:val="36"/>
          <w:highlight w:val="none"/>
        </w:rPr>
      </w:pPr>
      <w:r>
        <w:rPr>
          <w:rFonts w:ascii="宋体" w:hAnsi="宋体"/>
          <w:b/>
          <w:color w:val="000000"/>
          <w:sz w:val="36"/>
          <w:szCs w:val="36"/>
          <w:highlight w:val="none"/>
        </w:rPr>
        <w:t>报告</w:t>
      </w:r>
      <w:r>
        <w:rPr>
          <w:rFonts w:hint="eastAsia" w:ascii="宋体" w:hAnsi="宋体"/>
          <w:b/>
          <w:color w:val="000000"/>
          <w:sz w:val="36"/>
          <w:szCs w:val="36"/>
          <w:highlight w:val="none"/>
        </w:rPr>
        <w:t>出具</w:t>
      </w:r>
      <w:r>
        <w:rPr>
          <w:rFonts w:ascii="宋体" w:hAnsi="宋体"/>
          <w:b/>
          <w:color w:val="000000"/>
          <w:sz w:val="36"/>
          <w:szCs w:val="36"/>
          <w:highlight w:val="none"/>
        </w:rPr>
        <w:t>日期：二〇</w:t>
      </w:r>
      <w:r>
        <w:rPr>
          <w:rFonts w:hint="eastAsia" w:ascii="宋体" w:hAnsi="宋体"/>
          <w:b/>
          <w:color w:val="000000"/>
          <w:sz w:val="36"/>
          <w:szCs w:val="36"/>
          <w:highlight w:val="none"/>
        </w:rPr>
        <w:t>二</w:t>
      </w:r>
      <w:r>
        <w:rPr>
          <w:rFonts w:hint="eastAsia" w:ascii="宋体" w:hAnsi="宋体"/>
          <w:b/>
          <w:color w:val="000000"/>
          <w:sz w:val="36"/>
          <w:szCs w:val="36"/>
          <w:highlight w:val="none"/>
          <w:lang w:val="en-US" w:eastAsia="zh-CN"/>
        </w:rPr>
        <w:t>六</w:t>
      </w:r>
      <w:r>
        <w:rPr>
          <w:rFonts w:ascii="宋体" w:hAnsi="宋体"/>
          <w:b/>
          <w:color w:val="000000"/>
          <w:sz w:val="36"/>
          <w:szCs w:val="36"/>
          <w:highlight w:val="none"/>
        </w:rPr>
        <w:t>年</w:t>
      </w:r>
      <w:r>
        <w:rPr>
          <w:rFonts w:hint="eastAsia" w:ascii="宋体" w:hAnsi="宋体"/>
          <w:b/>
          <w:color w:val="000000"/>
          <w:sz w:val="36"/>
          <w:szCs w:val="36"/>
          <w:highlight w:val="none"/>
          <w:lang w:val="en-US" w:eastAsia="zh-CN"/>
        </w:rPr>
        <w:t>八月五</w:t>
      </w:r>
      <w:r>
        <w:rPr>
          <w:rFonts w:hint="eastAsia" w:ascii="宋体" w:hAnsi="宋体"/>
          <w:b/>
          <w:color w:val="000000"/>
          <w:sz w:val="36"/>
          <w:szCs w:val="36"/>
          <w:highlight w:val="none"/>
        </w:rPr>
        <w:t>日</w:t>
      </w:r>
    </w:p>
    <w:p w14:paraId="489FDE2F">
      <w:pPr>
        <w:spacing w:line="360" w:lineRule="auto"/>
        <w:ind w:firstLine="1446" w:firstLineChars="400"/>
        <w:jc w:val="both"/>
        <w:rPr>
          <w:rFonts w:ascii="宋体" w:hAnsi="宋体"/>
          <w:b/>
          <w:color w:val="000000"/>
          <w:sz w:val="36"/>
          <w:szCs w:val="36"/>
          <w:highlight w:val="none"/>
        </w:rPr>
      </w:pPr>
      <w:r>
        <w:rPr>
          <w:rFonts w:hint="eastAsia" w:ascii="宋体" w:hAnsi="宋体"/>
          <w:b/>
          <w:color w:val="000000"/>
          <w:sz w:val="36"/>
          <w:szCs w:val="36"/>
          <w:highlight w:val="none"/>
        </w:rPr>
        <w:t>报告公告日期：</w:t>
      </w:r>
      <w:r>
        <w:rPr>
          <w:rFonts w:ascii="宋体" w:hAnsi="宋体"/>
          <w:b/>
          <w:color w:val="000000"/>
          <w:sz w:val="36"/>
          <w:szCs w:val="36"/>
          <w:highlight w:val="none"/>
        </w:rPr>
        <w:t>二〇</w:t>
      </w:r>
      <w:r>
        <w:rPr>
          <w:rFonts w:hint="eastAsia" w:ascii="宋体" w:hAnsi="宋体"/>
          <w:b/>
          <w:color w:val="000000"/>
          <w:sz w:val="36"/>
          <w:szCs w:val="36"/>
          <w:highlight w:val="none"/>
        </w:rPr>
        <w:t>二</w:t>
      </w:r>
      <w:r>
        <w:rPr>
          <w:rFonts w:hint="eastAsia" w:ascii="宋体" w:hAnsi="宋体"/>
          <w:b/>
          <w:color w:val="000000"/>
          <w:sz w:val="36"/>
          <w:szCs w:val="36"/>
          <w:highlight w:val="none"/>
          <w:lang w:val="en-US" w:eastAsia="zh-CN"/>
        </w:rPr>
        <w:t>六</w:t>
      </w:r>
      <w:r>
        <w:rPr>
          <w:rFonts w:hint="eastAsia" w:ascii="宋体" w:hAnsi="宋体"/>
          <w:b/>
          <w:color w:val="000000"/>
          <w:sz w:val="36"/>
          <w:szCs w:val="36"/>
          <w:highlight w:val="none"/>
        </w:rPr>
        <w:t>年</w:t>
      </w:r>
      <w:r>
        <w:rPr>
          <w:rFonts w:hint="eastAsia" w:ascii="宋体" w:hAnsi="宋体"/>
          <w:b/>
          <w:color w:val="000000"/>
          <w:sz w:val="36"/>
          <w:szCs w:val="36"/>
          <w:highlight w:val="none"/>
          <w:lang w:val="en-US" w:eastAsia="zh-CN"/>
        </w:rPr>
        <w:t>八</w:t>
      </w:r>
      <w:r>
        <w:rPr>
          <w:rFonts w:hint="eastAsia" w:ascii="宋体" w:hAnsi="宋体"/>
          <w:b/>
          <w:color w:val="000000"/>
          <w:sz w:val="36"/>
          <w:szCs w:val="36"/>
          <w:highlight w:val="none"/>
        </w:rPr>
        <w:t>月</w:t>
      </w:r>
      <w:r>
        <w:rPr>
          <w:rFonts w:hint="eastAsia" w:ascii="宋体" w:hAnsi="宋体"/>
          <w:b/>
          <w:color w:val="000000"/>
          <w:sz w:val="36"/>
          <w:szCs w:val="36"/>
          <w:highlight w:val="none"/>
          <w:lang w:eastAsia="zh-CN"/>
        </w:rPr>
        <w:t>二十九</w:t>
      </w:r>
      <w:r>
        <w:rPr>
          <w:rFonts w:hint="eastAsia" w:ascii="宋体" w:hAnsi="宋体"/>
          <w:b/>
          <w:color w:val="000000"/>
          <w:sz w:val="36"/>
          <w:szCs w:val="36"/>
          <w:highlight w:val="none"/>
        </w:rPr>
        <w:t>日</w:t>
      </w:r>
    </w:p>
    <w:p w14:paraId="2A7FB832">
      <w:pPr>
        <w:spacing w:line="360" w:lineRule="auto"/>
        <w:jc w:val="center"/>
        <w:rPr>
          <w:rFonts w:ascii="宋体" w:hAnsi="宋体"/>
          <w:b/>
          <w:color w:val="000000"/>
          <w:sz w:val="36"/>
          <w:szCs w:val="36"/>
          <w:highlight w:val="yellow"/>
        </w:rPr>
      </w:pPr>
    </w:p>
    <w:p w14:paraId="41F4A429">
      <w:pPr>
        <w:spacing w:line="360" w:lineRule="auto"/>
        <w:ind w:firstLine="1265" w:firstLineChars="350"/>
        <w:rPr>
          <w:rFonts w:ascii="宋体" w:hAnsi="宋体"/>
          <w:b/>
          <w:color w:val="000000"/>
          <w:sz w:val="36"/>
          <w:szCs w:val="36"/>
          <w:highlight w:val="yellow"/>
        </w:rPr>
        <w:sectPr>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sdt>
      <w:sdtPr>
        <w:rPr>
          <w:rFonts w:ascii="Times New Roman" w:hAnsi="Times New Roman" w:eastAsia="宋体" w:cs="Times New Roman"/>
          <w:b w:val="0"/>
          <w:bCs w:val="0"/>
          <w:color w:val="auto"/>
          <w:kern w:val="2"/>
          <w:sz w:val="21"/>
          <w:szCs w:val="24"/>
          <w:highlight w:val="yellow"/>
          <w:lang w:val="zh-CN"/>
        </w:rPr>
        <w:id w:val="542722309"/>
        <w:docPartObj>
          <w:docPartGallery w:val="Table of Contents"/>
          <w:docPartUnique/>
        </w:docPartObj>
      </w:sdtPr>
      <w:sdtEndPr>
        <w:rPr>
          <w:rFonts w:ascii="Times New Roman" w:hAnsi="Times New Roman" w:eastAsia="宋体" w:cs="Times New Roman"/>
          <w:b w:val="0"/>
          <w:bCs w:val="0"/>
          <w:color w:val="auto"/>
          <w:kern w:val="2"/>
          <w:sz w:val="21"/>
          <w:szCs w:val="24"/>
          <w:highlight w:val="yellow"/>
          <w:lang w:val="zh-CN"/>
        </w:rPr>
      </w:sdtEndPr>
      <w:sdtContent>
        <w:p w14:paraId="451B7B80">
          <w:pPr>
            <w:pStyle w:val="32"/>
            <w:jc w:val="center"/>
            <w:rPr>
              <w:highlight w:val="none"/>
            </w:rPr>
          </w:pPr>
          <w:bookmarkStart w:id="2" w:name="_Toc484769794"/>
          <w:r>
            <w:rPr>
              <w:highlight w:val="none"/>
              <w:lang w:val="zh-CN"/>
            </w:rPr>
            <w:t>目录</w:t>
          </w:r>
        </w:p>
        <w:p w14:paraId="2C1165A5">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"_Toc491963077" </w:instrText>
          </w:r>
          <w:r>
            <w:rPr>
              <w:highlight w:val="none"/>
            </w:rPr>
            <w:fldChar w:fldCharType="separate"/>
          </w:r>
          <w:r>
            <w:rPr>
              <w:rStyle w:val="15"/>
              <w:rFonts w:ascii="宋体" w:hAnsi="宋体"/>
              <w:b/>
              <w:highlight w:val="none"/>
            </w:rPr>
            <w:t>1</w:t>
          </w:r>
          <w:r>
            <w:rPr>
              <w:rStyle w:val="15"/>
              <w:rFonts w:hint="eastAsia" w:ascii="宋体" w:hAnsi="宋体"/>
              <w:b/>
              <w:highlight w:val="none"/>
            </w:rPr>
            <w:t>、重要提示</w:t>
          </w:r>
          <w:r>
            <w:rPr>
              <w:highlight w:val="none"/>
            </w:rPr>
            <w:tab/>
          </w:r>
          <w:r>
            <w:rPr>
              <w:highlight w:val="none"/>
            </w:rPr>
            <w:fldChar w:fldCharType="begin"/>
          </w:r>
          <w:r>
            <w:rPr>
              <w:highlight w:val="none"/>
            </w:rPr>
            <w:instrText xml:space="preserve"> PAGEREF _Toc491963077 \h </w:instrText>
          </w:r>
          <w:r>
            <w:rPr>
              <w:highlight w:val="none"/>
            </w:rPr>
            <w:fldChar w:fldCharType="separate"/>
          </w:r>
          <w:r>
            <w:rPr>
              <w:highlight w:val="none"/>
            </w:rPr>
            <w:t>1</w:t>
          </w:r>
          <w:r>
            <w:rPr>
              <w:highlight w:val="none"/>
            </w:rPr>
            <w:fldChar w:fldCharType="end"/>
          </w:r>
          <w:r>
            <w:rPr>
              <w:highlight w:val="none"/>
            </w:rPr>
            <w:fldChar w:fldCharType="end"/>
          </w:r>
        </w:p>
        <w:p w14:paraId="6007304F">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"_Toc491963078" </w:instrText>
          </w:r>
          <w:r>
            <w:rPr>
              <w:highlight w:val="none"/>
            </w:rPr>
            <w:fldChar w:fldCharType="separate"/>
          </w:r>
          <w:r>
            <w:rPr>
              <w:rStyle w:val="15"/>
              <w:rFonts w:ascii="宋体" w:hAnsi="宋体"/>
              <w:kern w:val="0"/>
              <w:highlight w:val="none"/>
            </w:rPr>
            <w:t xml:space="preserve">1.1 </w:t>
          </w:r>
          <w:r>
            <w:rPr>
              <w:rStyle w:val="15"/>
              <w:rFonts w:hint="eastAsia" w:ascii="宋体" w:hAnsi="宋体"/>
              <w:kern w:val="0"/>
              <w:highlight w:val="none"/>
            </w:rPr>
            <w:t>重要提示</w:t>
          </w:r>
          <w:r>
            <w:rPr>
              <w:highlight w:val="none"/>
            </w:rPr>
            <w:tab/>
          </w:r>
          <w:r>
            <w:rPr>
              <w:highlight w:val="none"/>
            </w:rPr>
            <w:fldChar w:fldCharType="begin"/>
          </w:r>
          <w:r>
            <w:rPr>
              <w:highlight w:val="none"/>
            </w:rPr>
            <w:instrText xml:space="preserve"> PAGEREF _Toc491963078 \h </w:instrText>
          </w:r>
          <w:r>
            <w:rPr>
              <w:highlight w:val="none"/>
            </w:rPr>
            <w:fldChar w:fldCharType="separate"/>
          </w:r>
          <w:r>
            <w:rPr>
              <w:highlight w:val="none"/>
            </w:rPr>
            <w:t>1</w:t>
          </w:r>
          <w:r>
            <w:rPr>
              <w:highlight w:val="none"/>
            </w:rPr>
            <w:fldChar w:fldCharType="end"/>
          </w:r>
          <w:r>
            <w:rPr>
              <w:highlight w:val="none"/>
            </w:rPr>
            <w:fldChar w:fldCharType="end"/>
          </w:r>
        </w:p>
        <w:p w14:paraId="047B759C">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"_Toc491963079" </w:instrText>
          </w:r>
          <w:r>
            <w:rPr>
              <w:highlight w:val="none"/>
            </w:rPr>
            <w:fldChar w:fldCharType="separate"/>
          </w:r>
          <w:r>
            <w:rPr>
              <w:rStyle w:val="15"/>
              <w:rFonts w:ascii="宋体" w:hAnsi="宋体"/>
              <w:b/>
              <w:highlight w:val="none"/>
            </w:rPr>
            <w:t>2</w:t>
          </w:r>
          <w:r>
            <w:rPr>
              <w:rStyle w:val="15"/>
              <w:rFonts w:hint="eastAsia" w:ascii="宋体" w:hAnsi="宋体"/>
              <w:b/>
              <w:highlight w:val="none"/>
            </w:rPr>
            <w:t>、基金概况</w:t>
          </w:r>
          <w:r>
            <w:rPr>
              <w:highlight w:val="none"/>
            </w:rPr>
            <w:tab/>
          </w:r>
          <w:r>
            <w:rPr>
              <w:highlight w:val="none"/>
            </w:rPr>
            <w:fldChar w:fldCharType="begin"/>
          </w:r>
          <w:r>
            <w:rPr>
              <w:highlight w:val="none"/>
            </w:rPr>
            <w:instrText xml:space="preserve"> PAGEREF _Toc491963079 \h </w:instrText>
          </w:r>
          <w:r>
            <w:rPr>
              <w:highlight w:val="none"/>
            </w:rPr>
            <w:fldChar w:fldCharType="separate"/>
          </w:r>
          <w:r>
            <w:rPr>
              <w:highlight w:val="none"/>
            </w:rPr>
            <w:t>2</w:t>
          </w:r>
          <w:r>
            <w:rPr>
              <w:highlight w:val="none"/>
            </w:rPr>
            <w:fldChar w:fldCharType="end"/>
          </w:r>
          <w:r>
            <w:rPr>
              <w:highlight w:val="none"/>
            </w:rPr>
            <w:fldChar w:fldCharType="end"/>
          </w:r>
        </w:p>
        <w:p w14:paraId="007B16E2">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"_Toc491963080" </w:instrText>
          </w:r>
          <w:r>
            <w:rPr>
              <w:highlight w:val="none"/>
            </w:rPr>
            <w:fldChar w:fldCharType="separate"/>
          </w:r>
          <w:r>
            <w:rPr>
              <w:rStyle w:val="15"/>
              <w:rFonts w:ascii="宋体" w:hAnsi="宋体"/>
              <w:kern w:val="0"/>
              <w:highlight w:val="none"/>
            </w:rPr>
            <w:t xml:space="preserve">2.1 </w:t>
          </w:r>
          <w:r>
            <w:rPr>
              <w:rStyle w:val="15"/>
              <w:rFonts w:hint="eastAsia" w:ascii="宋体" w:hAnsi="宋体"/>
              <w:kern w:val="0"/>
              <w:highlight w:val="none"/>
            </w:rPr>
            <w:t>基金基本情况</w:t>
          </w:r>
          <w:r>
            <w:rPr>
              <w:highlight w:val="none"/>
            </w:rPr>
            <w:tab/>
          </w:r>
          <w:r>
            <w:rPr>
              <w:highlight w:val="none"/>
            </w:rPr>
            <w:fldChar w:fldCharType="begin"/>
          </w:r>
          <w:r>
            <w:rPr>
              <w:highlight w:val="none"/>
            </w:rPr>
            <w:instrText xml:space="preserve"> PAGEREF _Toc491963080 \h </w:instrText>
          </w:r>
          <w:r>
            <w:rPr>
              <w:highlight w:val="none"/>
            </w:rPr>
            <w:fldChar w:fldCharType="separate"/>
          </w:r>
          <w:r>
            <w:rPr>
              <w:highlight w:val="none"/>
            </w:rPr>
            <w:t>2</w:t>
          </w:r>
          <w:r>
            <w:rPr>
              <w:highlight w:val="none"/>
            </w:rPr>
            <w:fldChar w:fldCharType="end"/>
          </w:r>
          <w:r>
            <w:rPr>
              <w:highlight w:val="none"/>
            </w:rPr>
            <w:fldChar w:fldCharType="end"/>
          </w:r>
        </w:p>
        <w:p w14:paraId="6C3CF388">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"_Toc491963081" </w:instrText>
          </w:r>
          <w:r>
            <w:rPr>
              <w:highlight w:val="none"/>
            </w:rPr>
            <w:fldChar w:fldCharType="separate"/>
          </w:r>
          <w:r>
            <w:rPr>
              <w:rStyle w:val="15"/>
              <w:rFonts w:ascii="宋体" w:hAnsi="宋体"/>
              <w:highlight w:val="none"/>
            </w:rPr>
            <w:t xml:space="preserve">2.2 </w:t>
          </w:r>
          <w:r>
            <w:rPr>
              <w:rStyle w:val="15"/>
              <w:rFonts w:hint="eastAsia" w:ascii="宋体" w:hAnsi="宋体"/>
              <w:highlight w:val="none"/>
            </w:rPr>
            <w:t>基金产品说明</w:t>
          </w:r>
          <w:r>
            <w:rPr>
              <w:highlight w:val="none"/>
            </w:rPr>
            <w:tab/>
          </w:r>
          <w:r>
            <w:rPr>
              <w:highlight w:val="none"/>
            </w:rPr>
            <w:fldChar w:fldCharType="begin"/>
          </w:r>
          <w:r>
            <w:rPr>
              <w:highlight w:val="none"/>
            </w:rPr>
            <w:instrText xml:space="preserve"> PAGEREF _Toc491963081 \h </w:instrText>
          </w:r>
          <w:r>
            <w:rPr>
              <w:highlight w:val="none"/>
            </w:rPr>
            <w:fldChar w:fldCharType="separate"/>
          </w:r>
          <w:r>
            <w:rPr>
              <w:highlight w:val="none"/>
            </w:rPr>
            <w:t>2</w:t>
          </w:r>
          <w:r>
            <w:rPr>
              <w:highlight w:val="none"/>
            </w:rPr>
            <w:fldChar w:fldCharType="end"/>
          </w:r>
          <w:r>
            <w:rPr>
              <w:highlight w:val="none"/>
            </w:rPr>
            <w:fldChar w:fldCharType="end"/>
          </w:r>
        </w:p>
        <w:p w14:paraId="4151F185">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"_Toc491963082" </w:instrText>
          </w:r>
          <w:r>
            <w:rPr>
              <w:highlight w:val="none"/>
            </w:rPr>
            <w:fldChar w:fldCharType="separate"/>
          </w:r>
          <w:r>
            <w:rPr>
              <w:rStyle w:val="15"/>
              <w:rFonts w:ascii="宋体" w:hAnsi="宋体"/>
              <w:b/>
              <w:highlight w:val="none"/>
            </w:rPr>
            <w:t>3</w:t>
          </w:r>
          <w:r>
            <w:rPr>
              <w:rStyle w:val="15"/>
              <w:rFonts w:hint="eastAsia" w:ascii="宋体" w:hAnsi="宋体"/>
              <w:b/>
              <w:highlight w:val="none"/>
            </w:rPr>
            <w:t>、基金运作情况说明</w:t>
          </w:r>
          <w:r>
            <w:rPr>
              <w:highlight w:val="none"/>
            </w:rPr>
            <w:tab/>
          </w:r>
          <w:r>
            <w:rPr>
              <w:highlight w:val="none"/>
            </w:rPr>
            <w:fldChar w:fldCharType="begin"/>
          </w:r>
          <w:r>
            <w:rPr>
              <w:highlight w:val="none"/>
            </w:rPr>
            <w:instrText xml:space="preserve"> PAGEREF _Toc491963082 \h </w:instrText>
          </w:r>
          <w:r>
            <w:rPr>
              <w:highlight w:val="none"/>
            </w:rPr>
            <w:fldChar w:fldCharType="separate"/>
          </w:r>
          <w:r>
            <w:rPr>
              <w:highlight w:val="none"/>
            </w:rPr>
            <w:t>2</w:t>
          </w:r>
          <w:r>
            <w:rPr>
              <w:highlight w:val="none"/>
            </w:rPr>
            <w:fldChar w:fldCharType="end"/>
          </w:r>
          <w:r>
            <w:rPr>
              <w:highlight w:val="none"/>
            </w:rPr>
            <w:fldChar w:fldCharType="end"/>
          </w:r>
        </w:p>
        <w:p w14:paraId="45E25940">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"_Toc491963083" </w:instrText>
          </w:r>
          <w:r>
            <w:rPr>
              <w:highlight w:val="none"/>
            </w:rPr>
            <w:fldChar w:fldCharType="separate"/>
          </w:r>
          <w:r>
            <w:rPr>
              <w:rStyle w:val="15"/>
              <w:rFonts w:ascii="宋体" w:hAnsi="宋体"/>
              <w:b/>
              <w:highlight w:val="none"/>
            </w:rPr>
            <w:t>4</w:t>
          </w:r>
          <w:r>
            <w:rPr>
              <w:rStyle w:val="15"/>
              <w:rFonts w:hint="eastAsia" w:ascii="宋体" w:hAnsi="宋体"/>
              <w:b/>
              <w:highlight w:val="none"/>
            </w:rPr>
            <w:t>、财务报告</w:t>
          </w:r>
          <w:r>
            <w:rPr>
              <w:highlight w:val="none"/>
            </w:rPr>
            <w:tab/>
          </w:r>
          <w:r>
            <w:rPr>
              <w:highlight w:val="none"/>
            </w:rPr>
            <w:fldChar w:fldCharType="begin"/>
          </w:r>
          <w:r>
            <w:rPr>
              <w:highlight w:val="none"/>
            </w:rPr>
            <w:instrText xml:space="preserve"> PAGEREF _Toc491963083 \h </w:instrText>
          </w:r>
          <w:r>
            <w:rPr>
              <w:highlight w:val="none"/>
            </w:rPr>
            <w:fldChar w:fldCharType="separate"/>
          </w:r>
          <w:r>
            <w:rPr>
              <w:highlight w:val="none"/>
            </w:rPr>
            <w:t>2</w:t>
          </w:r>
          <w:r>
            <w:rPr>
              <w:highlight w:val="none"/>
            </w:rPr>
            <w:fldChar w:fldCharType="end"/>
          </w:r>
          <w:r>
            <w:rPr>
              <w:highlight w:val="none"/>
            </w:rPr>
            <w:fldChar w:fldCharType="end"/>
          </w:r>
        </w:p>
        <w:p w14:paraId="5CD16FC8">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"_Toc491963084" </w:instrText>
          </w:r>
          <w:r>
            <w:rPr>
              <w:highlight w:val="none"/>
            </w:rPr>
            <w:fldChar w:fldCharType="separate"/>
          </w:r>
          <w:r>
            <w:rPr>
              <w:rStyle w:val="15"/>
              <w:rFonts w:ascii="宋体" w:hAnsi="宋体"/>
              <w:kern w:val="0"/>
              <w:highlight w:val="none"/>
            </w:rPr>
            <w:t xml:space="preserve">4.1 </w:t>
          </w:r>
          <w:r>
            <w:rPr>
              <w:rStyle w:val="15"/>
              <w:rFonts w:hint="eastAsia" w:ascii="宋体" w:hAnsi="宋体"/>
              <w:kern w:val="0"/>
              <w:highlight w:val="none"/>
            </w:rPr>
            <w:t>资产负债表</w:t>
          </w:r>
          <w:r>
            <w:rPr>
              <w:highlight w:val="none"/>
            </w:rPr>
            <w:tab/>
          </w:r>
          <w:r>
            <w:rPr>
              <w:highlight w:val="none"/>
            </w:rPr>
            <w:fldChar w:fldCharType="begin"/>
          </w:r>
          <w:r>
            <w:rPr>
              <w:highlight w:val="none"/>
            </w:rPr>
            <w:instrText xml:space="preserve"> PAGEREF _Toc491963084 \h </w:instrText>
          </w:r>
          <w:r>
            <w:rPr>
              <w:highlight w:val="none"/>
            </w:rPr>
            <w:fldChar w:fldCharType="separate"/>
          </w:r>
          <w:r>
            <w:rPr>
              <w:highlight w:val="none"/>
            </w:rPr>
            <w:t>3</w:t>
          </w:r>
          <w:r>
            <w:rPr>
              <w:highlight w:val="none"/>
            </w:rPr>
            <w:fldChar w:fldCharType="end"/>
          </w:r>
          <w:r>
            <w:rPr>
              <w:highlight w:val="none"/>
            </w:rPr>
            <w:fldChar w:fldCharType="end"/>
          </w:r>
        </w:p>
        <w:p w14:paraId="3B5B0A7E">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"_Toc491963085" </w:instrText>
          </w:r>
          <w:r>
            <w:rPr>
              <w:highlight w:val="none"/>
            </w:rPr>
            <w:fldChar w:fldCharType="separate"/>
          </w:r>
          <w:r>
            <w:rPr>
              <w:rStyle w:val="15"/>
              <w:rFonts w:ascii="宋体" w:hAnsi="宋体"/>
              <w:kern w:val="0"/>
              <w:highlight w:val="none"/>
            </w:rPr>
            <w:t xml:space="preserve">4.2 </w:t>
          </w:r>
          <w:r>
            <w:rPr>
              <w:rStyle w:val="15"/>
              <w:rFonts w:hint="eastAsia" w:ascii="宋体" w:hAnsi="宋体"/>
              <w:kern w:val="0"/>
              <w:highlight w:val="none"/>
            </w:rPr>
            <w:t>清算损益表</w:t>
          </w:r>
          <w:r>
            <w:rPr>
              <w:highlight w:val="none"/>
            </w:rPr>
            <w:tab/>
          </w:r>
          <w:r>
            <w:rPr>
              <w:highlight w:val="none"/>
            </w:rPr>
            <w:fldChar w:fldCharType="begin"/>
          </w:r>
          <w:r>
            <w:rPr>
              <w:highlight w:val="none"/>
            </w:rPr>
            <w:instrText xml:space="preserve"> PAGEREF _Toc491963085 \h </w:instrText>
          </w:r>
          <w:r>
            <w:rPr>
              <w:highlight w:val="none"/>
            </w:rPr>
            <w:fldChar w:fldCharType="separate"/>
          </w:r>
          <w:r>
            <w:rPr>
              <w:highlight w:val="none"/>
            </w:rPr>
            <w:t>4</w:t>
          </w:r>
          <w:r>
            <w:rPr>
              <w:highlight w:val="none"/>
            </w:rPr>
            <w:fldChar w:fldCharType="end"/>
          </w:r>
          <w:r>
            <w:rPr>
              <w:highlight w:val="none"/>
            </w:rPr>
            <w:fldChar w:fldCharType="end"/>
          </w:r>
        </w:p>
        <w:p w14:paraId="79091104">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"_Toc491963086" </w:instrText>
          </w:r>
          <w:r>
            <w:rPr>
              <w:highlight w:val="none"/>
            </w:rPr>
            <w:fldChar w:fldCharType="separate"/>
          </w:r>
          <w:r>
            <w:rPr>
              <w:rStyle w:val="15"/>
              <w:rFonts w:ascii="宋体" w:hAnsi="宋体"/>
              <w:kern w:val="0"/>
              <w:highlight w:val="none"/>
            </w:rPr>
            <w:t xml:space="preserve">4.3 </w:t>
          </w:r>
          <w:r>
            <w:rPr>
              <w:rStyle w:val="15"/>
              <w:rFonts w:hint="eastAsia" w:ascii="宋体" w:hAnsi="宋体"/>
              <w:kern w:val="0"/>
              <w:highlight w:val="none"/>
            </w:rPr>
            <w:t>报表附注</w:t>
          </w:r>
          <w:r>
            <w:rPr>
              <w:highlight w:val="none"/>
            </w:rPr>
            <w:tab/>
          </w:r>
          <w:r>
            <w:rPr>
              <w:highlight w:val="none"/>
            </w:rPr>
            <w:fldChar w:fldCharType="begin"/>
          </w:r>
          <w:r>
            <w:rPr>
              <w:highlight w:val="none"/>
            </w:rPr>
            <w:instrText xml:space="preserve"> PAGEREF _Toc491963086 \h </w:instrText>
          </w:r>
          <w:r>
            <w:rPr>
              <w:highlight w:val="none"/>
            </w:rPr>
            <w:fldChar w:fldCharType="separate"/>
          </w:r>
          <w:r>
            <w:rPr>
              <w:highlight w:val="none"/>
            </w:rPr>
            <w:t>4</w:t>
          </w:r>
          <w:r>
            <w:rPr>
              <w:highlight w:val="none"/>
            </w:rPr>
            <w:fldChar w:fldCharType="end"/>
          </w:r>
          <w:r>
            <w:rPr>
              <w:highlight w:val="none"/>
            </w:rPr>
            <w:fldChar w:fldCharType="end"/>
          </w:r>
        </w:p>
        <w:p w14:paraId="37920334">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"_Toc491963087" </w:instrText>
          </w:r>
          <w:r>
            <w:rPr>
              <w:highlight w:val="none"/>
            </w:rPr>
            <w:fldChar w:fldCharType="separate"/>
          </w:r>
          <w:r>
            <w:rPr>
              <w:rStyle w:val="15"/>
              <w:rFonts w:ascii="宋体" w:hAnsi="宋体"/>
              <w:b/>
              <w:highlight w:val="none"/>
            </w:rPr>
            <w:t>5</w:t>
          </w:r>
          <w:r>
            <w:rPr>
              <w:rStyle w:val="15"/>
              <w:rFonts w:hint="eastAsia" w:ascii="宋体" w:hAnsi="宋体"/>
              <w:b/>
              <w:highlight w:val="none"/>
            </w:rPr>
            <w:t>、清算情况</w:t>
          </w:r>
          <w:r>
            <w:rPr>
              <w:highlight w:val="none"/>
            </w:rPr>
            <w:tab/>
          </w:r>
          <w:r>
            <w:rPr>
              <w:highlight w:val="none"/>
            </w:rPr>
            <w:fldChar w:fldCharType="begin"/>
          </w:r>
          <w:r>
            <w:rPr>
              <w:highlight w:val="none"/>
            </w:rPr>
            <w:instrText xml:space="preserve"> PAGEREF _Toc491963087 \h </w:instrText>
          </w:r>
          <w:r>
            <w:rPr>
              <w:highlight w:val="none"/>
            </w:rPr>
            <w:fldChar w:fldCharType="separate"/>
          </w:r>
          <w:r>
            <w:rPr>
              <w:highlight w:val="none"/>
            </w:rPr>
            <w:t>6</w:t>
          </w:r>
          <w:r>
            <w:rPr>
              <w:highlight w:val="none"/>
            </w:rPr>
            <w:fldChar w:fldCharType="end"/>
          </w:r>
          <w:r>
            <w:rPr>
              <w:highlight w:val="none"/>
            </w:rPr>
            <w:fldChar w:fldCharType="end"/>
          </w:r>
        </w:p>
        <w:p w14:paraId="45D05677">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"_Toc491963088" </w:instrText>
          </w:r>
          <w:r>
            <w:rPr>
              <w:highlight w:val="none"/>
            </w:rPr>
            <w:fldChar w:fldCharType="separate"/>
          </w:r>
          <w:r>
            <w:rPr>
              <w:rStyle w:val="15"/>
              <w:rFonts w:ascii="宋体" w:hAnsi="宋体"/>
              <w:kern w:val="0"/>
              <w:highlight w:val="none"/>
            </w:rPr>
            <w:t xml:space="preserve">5.1 </w:t>
          </w:r>
          <w:r>
            <w:rPr>
              <w:rStyle w:val="15"/>
              <w:rFonts w:hint="eastAsia" w:ascii="宋体" w:hAnsi="宋体"/>
              <w:kern w:val="0"/>
              <w:highlight w:val="none"/>
            </w:rPr>
            <w:t>资产负债清算情况</w:t>
          </w:r>
          <w:r>
            <w:rPr>
              <w:highlight w:val="none"/>
            </w:rPr>
            <w:tab/>
          </w:r>
          <w:r>
            <w:rPr>
              <w:highlight w:val="none"/>
            </w:rPr>
            <w:fldChar w:fldCharType="begin"/>
          </w:r>
          <w:r>
            <w:rPr>
              <w:highlight w:val="none"/>
            </w:rPr>
            <w:instrText xml:space="preserve"> PAGEREF _Toc491963088 \h </w:instrText>
          </w:r>
          <w:r>
            <w:rPr>
              <w:highlight w:val="none"/>
            </w:rPr>
            <w:fldChar w:fldCharType="separate"/>
          </w:r>
          <w:r>
            <w:rPr>
              <w:highlight w:val="none"/>
            </w:rPr>
            <w:t>7</w:t>
          </w:r>
          <w:r>
            <w:rPr>
              <w:highlight w:val="none"/>
            </w:rPr>
            <w:fldChar w:fldCharType="end"/>
          </w:r>
          <w:r>
            <w:rPr>
              <w:highlight w:val="none"/>
            </w:rPr>
            <w:fldChar w:fldCharType="end"/>
          </w:r>
        </w:p>
        <w:p w14:paraId="441816EF">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"_Toc491963089" </w:instrText>
          </w:r>
          <w:r>
            <w:rPr>
              <w:highlight w:val="none"/>
            </w:rPr>
            <w:fldChar w:fldCharType="separate"/>
          </w:r>
          <w:r>
            <w:rPr>
              <w:rStyle w:val="15"/>
              <w:rFonts w:ascii="宋体" w:hAnsi="宋体"/>
              <w:kern w:val="0"/>
              <w:highlight w:val="none"/>
            </w:rPr>
            <w:t xml:space="preserve">5.2 </w:t>
          </w:r>
          <w:r>
            <w:rPr>
              <w:rStyle w:val="15"/>
              <w:rFonts w:hint="eastAsia" w:ascii="宋体" w:hAnsi="宋体"/>
              <w:kern w:val="0"/>
              <w:highlight w:val="none"/>
            </w:rPr>
            <w:t>截至本次清算期结束日的剩余财产情况及剩余财产分配安排</w:t>
          </w:r>
          <w:r>
            <w:rPr>
              <w:highlight w:val="none"/>
            </w:rPr>
            <w:tab/>
          </w:r>
          <w:r>
            <w:rPr>
              <w:highlight w:val="none"/>
            </w:rPr>
            <w:fldChar w:fldCharType="begin"/>
          </w:r>
          <w:r>
            <w:rPr>
              <w:highlight w:val="none"/>
            </w:rPr>
            <w:instrText xml:space="preserve"> PAGEREF _Toc491963089 \h </w:instrText>
          </w:r>
          <w:r>
            <w:rPr>
              <w:highlight w:val="none"/>
            </w:rPr>
            <w:fldChar w:fldCharType="separate"/>
          </w:r>
          <w:r>
            <w:rPr>
              <w:highlight w:val="none"/>
            </w:rPr>
            <w:t>8</w:t>
          </w:r>
          <w:r>
            <w:rPr>
              <w:highlight w:val="none"/>
            </w:rPr>
            <w:fldChar w:fldCharType="end"/>
          </w:r>
          <w:r>
            <w:rPr>
              <w:highlight w:val="none"/>
            </w:rPr>
            <w:fldChar w:fldCharType="end"/>
          </w:r>
        </w:p>
        <w:p w14:paraId="65B8E052">
          <w:pPr>
            <w:pStyle w:val="9"/>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"_Toc491963090" </w:instrText>
          </w:r>
          <w:r>
            <w:rPr>
              <w:highlight w:val="none"/>
            </w:rPr>
            <w:fldChar w:fldCharType="separate"/>
          </w:r>
          <w:r>
            <w:rPr>
              <w:rStyle w:val="15"/>
              <w:rFonts w:ascii="宋体" w:hAnsi="宋体"/>
              <w:b/>
              <w:highlight w:val="none"/>
            </w:rPr>
            <w:t>6</w:t>
          </w:r>
          <w:r>
            <w:rPr>
              <w:rStyle w:val="15"/>
              <w:rFonts w:hint="eastAsia" w:ascii="宋体" w:hAnsi="宋体"/>
              <w:b/>
              <w:highlight w:val="none"/>
            </w:rPr>
            <w:t>、备查文件目录</w:t>
          </w:r>
          <w:r>
            <w:rPr>
              <w:highlight w:val="none"/>
            </w:rPr>
            <w:tab/>
          </w:r>
          <w:r>
            <w:rPr>
              <w:highlight w:val="none"/>
            </w:rPr>
            <w:fldChar w:fldCharType="begin"/>
          </w:r>
          <w:r>
            <w:rPr>
              <w:highlight w:val="none"/>
            </w:rPr>
            <w:instrText xml:space="preserve"> PAGEREF _Toc491963090 \h </w:instrText>
          </w:r>
          <w:r>
            <w:rPr>
              <w:highlight w:val="none"/>
            </w:rPr>
            <w:fldChar w:fldCharType="separate"/>
          </w:r>
          <w:r>
            <w:rPr>
              <w:highlight w:val="none"/>
            </w:rPr>
            <w:t>8</w:t>
          </w:r>
          <w:r>
            <w:rPr>
              <w:highlight w:val="none"/>
            </w:rPr>
            <w:fldChar w:fldCharType="end"/>
          </w:r>
          <w:r>
            <w:rPr>
              <w:highlight w:val="none"/>
            </w:rPr>
            <w:fldChar w:fldCharType="end"/>
          </w:r>
        </w:p>
        <w:p w14:paraId="32EC15A7">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"_Toc491963091" </w:instrText>
          </w:r>
          <w:r>
            <w:rPr>
              <w:highlight w:val="none"/>
            </w:rPr>
            <w:fldChar w:fldCharType="separate"/>
          </w:r>
          <w:r>
            <w:rPr>
              <w:rStyle w:val="15"/>
              <w:rFonts w:ascii="宋体" w:hAnsi="宋体"/>
              <w:kern w:val="0"/>
              <w:highlight w:val="none"/>
            </w:rPr>
            <w:t xml:space="preserve">6.1 </w:t>
          </w:r>
          <w:r>
            <w:rPr>
              <w:rStyle w:val="15"/>
              <w:rFonts w:hint="eastAsia" w:ascii="宋体" w:hAnsi="宋体"/>
              <w:kern w:val="0"/>
              <w:highlight w:val="none"/>
            </w:rPr>
            <w:t>备查文件目录</w:t>
          </w:r>
          <w:r>
            <w:rPr>
              <w:highlight w:val="none"/>
            </w:rPr>
            <w:tab/>
          </w:r>
          <w:r>
            <w:rPr>
              <w:highlight w:val="none"/>
            </w:rPr>
            <w:fldChar w:fldCharType="begin"/>
          </w:r>
          <w:r>
            <w:rPr>
              <w:highlight w:val="none"/>
            </w:rPr>
            <w:instrText xml:space="preserve"> PAGEREF _Toc491963091 \h </w:instrText>
          </w:r>
          <w:r>
            <w:rPr>
              <w:highlight w:val="none"/>
            </w:rPr>
            <w:fldChar w:fldCharType="separate"/>
          </w:r>
          <w:r>
            <w:rPr>
              <w:highlight w:val="none"/>
            </w:rPr>
            <w:t>8</w:t>
          </w:r>
          <w:r>
            <w:rPr>
              <w:highlight w:val="none"/>
            </w:rPr>
            <w:fldChar w:fldCharType="end"/>
          </w:r>
          <w:r>
            <w:rPr>
              <w:highlight w:val="none"/>
            </w:rPr>
            <w:fldChar w:fldCharType="end"/>
          </w:r>
        </w:p>
        <w:p w14:paraId="33C28AC7">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"_Toc491963092" </w:instrText>
          </w:r>
          <w:r>
            <w:rPr>
              <w:highlight w:val="none"/>
            </w:rPr>
            <w:fldChar w:fldCharType="separate"/>
          </w:r>
          <w:r>
            <w:rPr>
              <w:rStyle w:val="15"/>
              <w:rFonts w:ascii="宋体" w:hAnsi="宋体"/>
              <w:kern w:val="0"/>
              <w:highlight w:val="none"/>
            </w:rPr>
            <w:t xml:space="preserve">6.2 </w:t>
          </w:r>
          <w:r>
            <w:rPr>
              <w:rStyle w:val="15"/>
              <w:rFonts w:hint="eastAsia" w:ascii="宋体" w:hAnsi="宋体"/>
              <w:kern w:val="0"/>
              <w:highlight w:val="none"/>
            </w:rPr>
            <w:t>存放地点</w:t>
          </w:r>
          <w:r>
            <w:rPr>
              <w:highlight w:val="none"/>
            </w:rPr>
            <w:tab/>
          </w:r>
          <w:r>
            <w:rPr>
              <w:highlight w:val="none"/>
            </w:rPr>
            <w:fldChar w:fldCharType="begin"/>
          </w:r>
          <w:r>
            <w:rPr>
              <w:highlight w:val="none"/>
            </w:rPr>
            <w:instrText xml:space="preserve"> PAGEREF _Toc491963092 \h </w:instrText>
          </w:r>
          <w:r>
            <w:rPr>
              <w:highlight w:val="none"/>
            </w:rPr>
            <w:fldChar w:fldCharType="separate"/>
          </w:r>
          <w:r>
            <w:rPr>
              <w:highlight w:val="none"/>
            </w:rPr>
            <w:t>9</w:t>
          </w:r>
          <w:r>
            <w:rPr>
              <w:highlight w:val="none"/>
            </w:rPr>
            <w:fldChar w:fldCharType="end"/>
          </w:r>
          <w:r>
            <w:rPr>
              <w:highlight w:val="none"/>
            </w:rPr>
            <w:fldChar w:fldCharType="end"/>
          </w:r>
        </w:p>
        <w:p w14:paraId="09E23024">
          <w:pPr>
            <w:pStyle w:val="10"/>
            <w:tabs>
              <w:tab w:val="right" w:leader="dot" w:pos="8296"/>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"_Toc491963093" </w:instrText>
          </w:r>
          <w:r>
            <w:rPr>
              <w:highlight w:val="none"/>
            </w:rPr>
            <w:fldChar w:fldCharType="separate"/>
          </w:r>
          <w:r>
            <w:rPr>
              <w:rStyle w:val="15"/>
              <w:rFonts w:ascii="宋体" w:hAnsi="宋体"/>
              <w:kern w:val="0"/>
              <w:highlight w:val="none"/>
            </w:rPr>
            <w:t xml:space="preserve">6.3 </w:t>
          </w:r>
          <w:r>
            <w:rPr>
              <w:rStyle w:val="15"/>
              <w:rFonts w:hint="eastAsia" w:ascii="宋体" w:hAnsi="宋体"/>
              <w:kern w:val="0"/>
              <w:highlight w:val="none"/>
            </w:rPr>
            <w:t>查阅方式</w:t>
          </w:r>
          <w:r>
            <w:rPr>
              <w:highlight w:val="none"/>
            </w:rPr>
            <w:tab/>
          </w:r>
          <w:r>
            <w:rPr>
              <w:highlight w:val="none"/>
            </w:rPr>
            <w:fldChar w:fldCharType="begin"/>
          </w:r>
          <w:r>
            <w:rPr>
              <w:highlight w:val="none"/>
            </w:rPr>
            <w:instrText xml:space="preserve"> PAGEREF _Toc491963093 \h </w:instrText>
          </w:r>
          <w:r>
            <w:rPr>
              <w:highlight w:val="none"/>
            </w:rPr>
            <w:fldChar w:fldCharType="separate"/>
          </w:r>
          <w:r>
            <w:rPr>
              <w:highlight w:val="none"/>
            </w:rPr>
            <w:t>9</w:t>
          </w:r>
          <w:r>
            <w:rPr>
              <w:highlight w:val="none"/>
            </w:rPr>
            <w:fldChar w:fldCharType="end"/>
          </w:r>
          <w:r>
            <w:rPr>
              <w:highlight w:val="none"/>
            </w:rPr>
            <w:fldChar w:fldCharType="end"/>
          </w:r>
        </w:p>
        <w:p w14:paraId="6FB479EF">
          <w:pPr>
            <w:rPr>
              <w:rStyle w:val="20"/>
              <w:rFonts w:ascii="宋体" w:hAnsi="宋体"/>
              <w:highlight w:val="yellow"/>
            </w:rPr>
          </w:pPr>
          <w:r>
            <w:rPr>
              <w:b/>
              <w:bCs/>
              <w:highlight w:val="none"/>
              <w:lang w:val="zh-CN"/>
            </w:rPr>
            <w:fldChar w:fldCharType="end"/>
          </w:r>
          <w:bookmarkStart w:id="3" w:name="_Toc491963077"/>
        </w:p>
      </w:sdtContent>
    </w:sdt>
    <w:p w14:paraId="26434D0B">
      <w:pPr>
        <w:widowControl/>
        <w:jc w:val="center"/>
        <w:rPr>
          <w:rStyle w:val="20"/>
          <w:rFonts w:ascii="宋体" w:hAnsi="宋体"/>
          <w:highlight w:val="yellow"/>
        </w:rPr>
        <w:sectPr>
          <w:headerReference r:id="rId5" w:type="default"/>
          <w:pgSz w:w="11906" w:h="16838"/>
          <w:pgMar w:top="1440" w:right="1800" w:bottom="1440" w:left="1800" w:header="851" w:footer="992" w:gutter="0"/>
          <w:pgNumType w:start="1"/>
          <w:cols w:space="425" w:num="1"/>
          <w:docGrid w:type="lines" w:linePitch="312" w:charSpace="0"/>
        </w:sectPr>
      </w:pPr>
    </w:p>
    <w:p w14:paraId="6BBBF9AB">
      <w:pPr>
        <w:widowControl/>
        <w:jc w:val="center"/>
        <w:rPr>
          <w:rStyle w:val="20"/>
          <w:rFonts w:ascii="宋体" w:hAnsi="宋体"/>
          <w:highlight w:val="none"/>
        </w:rPr>
      </w:pPr>
      <w:r>
        <w:rPr>
          <w:rStyle w:val="20"/>
          <w:rFonts w:hint="eastAsia" w:ascii="宋体" w:hAnsi="宋体"/>
          <w:highlight w:val="none"/>
        </w:rPr>
        <w:t>1、重要提示</w:t>
      </w:r>
      <w:bookmarkEnd w:id="2"/>
      <w:bookmarkEnd w:id="3"/>
    </w:p>
    <w:p w14:paraId="25D3A2EE">
      <w:pPr>
        <w:pStyle w:val="3"/>
        <w:spacing w:before="0" w:after="0"/>
        <w:rPr>
          <w:rFonts w:ascii="宋体" w:hAnsi="宋体" w:eastAsia="宋体"/>
          <w:kern w:val="0"/>
          <w:sz w:val="21"/>
          <w:szCs w:val="21"/>
          <w:highlight w:val="none"/>
        </w:rPr>
      </w:pPr>
      <w:bookmarkStart w:id="4" w:name="_Toc491963078"/>
      <w:bookmarkStart w:id="5" w:name="_Toc483396827"/>
      <w:bookmarkStart w:id="6" w:name="_Toc484607300"/>
      <w:bookmarkStart w:id="7" w:name="_Toc484769795"/>
      <w:r>
        <w:rPr>
          <w:rFonts w:hint="eastAsia" w:ascii="宋体" w:hAnsi="宋体" w:eastAsia="宋体"/>
          <w:kern w:val="0"/>
          <w:sz w:val="21"/>
          <w:szCs w:val="21"/>
          <w:highlight w:val="none"/>
        </w:rPr>
        <w:t>1</w:t>
      </w:r>
      <w:r>
        <w:rPr>
          <w:rFonts w:ascii="宋体" w:hAnsi="宋体" w:eastAsia="宋体"/>
          <w:kern w:val="0"/>
          <w:sz w:val="21"/>
          <w:szCs w:val="21"/>
          <w:highlight w:val="none"/>
        </w:rPr>
        <w:t>.1</w:t>
      </w:r>
      <w:r>
        <w:rPr>
          <w:rFonts w:hint="eastAsia" w:ascii="宋体" w:hAnsi="宋体" w:eastAsia="宋体"/>
          <w:kern w:val="0"/>
          <w:sz w:val="21"/>
          <w:szCs w:val="21"/>
          <w:highlight w:val="none"/>
        </w:rPr>
        <w:t xml:space="preserve"> 重要提示</w:t>
      </w:r>
      <w:bookmarkEnd w:id="4"/>
      <w:bookmarkEnd w:id="5"/>
      <w:bookmarkEnd w:id="6"/>
      <w:bookmarkEnd w:id="7"/>
    </w:p>
    <w:p w14:paraId="616BF0A9">
      <w:pPr>
        <w:spacing w:line="360" w:lineRule="auto"/>
        <w:ind w:firstLine="420" w:firstLineChars="200"/>
        <w:rPr>
          <w:rFonts w:hint="eastAsia"/>
          <w:lang w:eastAsia="zh-CN"/>
        </w:rPr>
      </w:pPr>
      <w:r>
        <w:rPr>
          <w:rFonts w:hint="eastAsia"/>
          <w:lang w:eastAsia="zh-CN"/>
        </w:rPr>
        <w:t>博时裕丰纯债3个月定期开放债券型发起式证券投资基金（以下简称“本基金”）是由博时裕丰纯债债券型证券投资基金（以下简称“原基金”）转型而来。原基金经中国证券监督管理委员会（以下简称“中国证监会”）证监许可[2015]2566号《关于准予博时裕丰纯债债券型证券投资基金注册的批复》准予注册，由博时基金管理有限公司依照《中华人民共和国证券投资基金法》和《博时裕丰纯债债券型证券投资基金基金合同》负责公开募集。经向中国证监会备案，《博时裕丰纯债债券型证券投资基金基金合同》于2015年11月25日正式生效，基金合同生效日的基金份额总额为200,054,644.34份基金份额，无认购资金利息。经中国证监会证监许可[2017]1266号文准予变更注册，根据原基金基金份额持有人大会审议通过的《博时裕丰纯债债券型证券投资基金转型有关事项的议案》，经向中国证监会备案，自2017年10月18日起，《博时裕丰纯债债券型证券投资基金基金合同》失效且《博时裕丰纯债3个月定期开放债券型发起式证券投资基金基金合同》同时生效，博时裕丰纯债债券型证券投资基金正式变更为博时裕丰纯债3个月定期开放债券型发起式证券投资基金。本基金为契约型、定期开放式、发起式，存续期限不定。本基金的基金管理人为博时基金管理有限公司，基金托管人为恒丰银行股份有限公司。</w:t>
      </w:r>
    </w:p>
    <w:p w14:paraId="377111D4">
      <w:pPr>
        <w:spacing w:line="360" w:lineRule="auto"/>
        <w:ind w:firstLine="420" w:firstLineChars="200"/>
        <w:rPr>
          <w:rFonts w:hint="eastAsia" w:eastAsiaTheme="minorEastAsia"/>
          <w:highlight w:val="none"/>
          <w:lang w:eastAsia="zh-CN"/>
        </w:rPr>
      </w:pPr>
      <w:r>
        <w:rPr>
          <w:rFonts w:hint="eastAsia" w:eastAsiaTheme="minorEastAsia"/>
          <w:highlight w:val="none"/>
        </w:rPr>
        <w:t>根据《博时基金管理有限公司关于博时裕丰纯债3个月定期开放债券型发起式证券投资基金基金份额持有人大会表决结果暨决议生效的公告》</w:t>
      </w:r>
      <w:r>
        <w:rPr>
          <w:rFonts w:hint="eastAsia" w:eastAsiaTheme="minorEastAsia"/>
          <w:highlight w:val="none"/>
          <w:lang w:eastAsia="zh-CN"/>
        </w:rPr>
        <w:t>：</w:t>
      </w:r>
    </w:p>
    <w:p w14:paraId="111E78B1">
      <w:pPr>
        <w:spacing w:line="360" w:lineRule="auto"/>
        <w:ind w:firstLine="420" w:firstLineChars="200"/>
        <w:rPr>
          <w:rFonts w:hint="eastAsia" w:eastAsiaTheme="minorEastAsia"/>
          <w:highlight w:val="none"/>
        </w:rPr>
      </w:pPr>
      <w:r>
        <w:rPr>
          <w:rFonts w:hint="eastAsia" w:eastAsiaTheme="minorEastAsia"/>
          <w:highlight w:val="none"/>
        </w:rPr>
        <w:t xml:space="preserve">“本基金的最后运作日为2026年7月16日，自赎回选择期届满的下一日即2026年7月17日起，本基金即进入清算程序，基金管理人不再接受投资人提出的申购、赎回、基金转换等业务申请。本基金进入清算程序后，停止收取基金管理费、基金托管费。” </w:t>
      </w:r>
    </w:p>
    <w:p w14:paraId="7557D243">
      <w:pPr>
        <w:spacing w:line="360" w:lineRule="auto"/>
        <w:ind w:firstLine="420" w:firstLineChars="200"/>
        <w:rPr>
          <w:rFonts w:ascii="宋体" w:hAnsi="宋体" w:cs="Arial"/>
          <w:color w:val="000000"/>
          <w:szCs w:val="21"/>
          <w:highlight w:val="none"/>
        </w:rPr>
      </w:pPr>
      <w:r>
        <w:rPr>
          <w:rFonts w:hint="eastAsia" w:eastAsiaTheme="minorEastAsia"/>
          <w:highlight w:val="none"/>
        </w:rPr>
        <w:t xml:space="preserve"> 本基金最后运作日为2026年7月16日，自2026年7月1</w:t>
      </w:r>
      <w:r>
        <w:rPr>
          <w:rFonts w:hint="eastAsia" w:eastAsiaTheme="minorEastAsia"/>
          <w:highlight w:val="none"/>
          <w:lang w:val="en-US" w:eastAsia="zh-CN"/>
        </w:rPr>
        <w:t>7</w:t>
      </w:r>
      <w:r>
        <w:rPr>
          <w:rFonts w:hint="eastAsia" w:eastAsiaTheme="minorEastAsia"/>
          <w:highlight w:val="none"/>
        </w:rPr>
        <w:t>日起进入清算程序，由本基金管理人博时基金管理有限公司、基金托管人</w:t>
      </w:r>
      <w:r>
        <w:rPr>
          <w:rFonts w:hint="eastAsia"/>
        </w:rPr>
        <w:t>恒丰银行股份有限公司</w:t>
      </w:r>
      <w:r>
        <w:rPr>
          <w:rFonts w:hint="eastAsia" w:eastAsiaTheme="minorEastAsia"/>
          <w:highlight w:val="none"/>
        </w:rPr>
        <w:t>、</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和</w:t>
      </w:r>
      <w:r>
        <w:rPr>
          <w:rFonts w:hint="eastAsia" w:eastAsiaTheme="minorEastAsia"/>
          <w:highlight w:val="none"/>
          <w:lang w:eastAsia="zh-CN"/>
        </w:rPr>
        <w:t>上海源泰律师事务所</w:t>
      </w:r>
      <w:r>
        <w:rPr>
          <w:rFonts w:hint="eastAsia" w:eastAsiaTheme="minorEastAsia"/>
          <w:highlight w:val="none"/>
        </w:rPr>
        <w:t>组成基金财产清算小组履行基金财产清算程序，并由</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对本基金进行清算审计，</w:t>
      </w:r>
      <w:r>
        <w:rPr>
          <w:rFonts w:hint="eastAsia" w:eastAsiaTheme="minorEastAsia"/>
          <w:highlight w:val="none"/>
          <w:lang w:eastAsia="zh-CN"/>
        </w:rPr>
        <w:t>上海源泰律师事务所</w:t>
      </w:r>
      <w:r>
        <w:rPr>
          <w:rFonts w:hint="eastAsia" w:eastAsiaTheme="minorEastAsia"/>
          <w:highlight w:val="none"/>
        </w:rPr>
        <w:t>对清算报告出具法律意见。</w:t>
      </w:r>
    </w:p>
    <w:p w14:paraId="2339A0C9">
      <w:pPr>
        <w:pStyle w:val="2"/>
        <w:keepNext/>
        <w:keepLines/>
        <w:widowControl w:val="0"/>
        <w:spacing w:before="312" w:beforeLines="100" w:after="312" w:afterLines="100" w:line="360" w:lineRule="auto"/>
        <w:jc w:val="center"/>
        <w:rPr>
          <w:rStyle w:val="20"/>
          <w:rFonts w:ascii="宋体" w:hAnsi="宋体"/>
          <w:highlight w:val="none"/>
        </w:rPr>
      </w:pPr>
      <w:bookmarkStart w:id="8" w:name="_Toc484769796"/>
      <w:bookmarkStart w:id="9" w:name="_Toc491963079"/>
      <w:r>
        <w:rPr>
          <w:rStyle w:val="20"/>
          <w:rFonts w:ascii="宋体" w:hAnsi="宋体"/>
          <w:highlight w:val="none"/>
        </w:rPr>
        <w:t>2</w:t>
      </w:r>
      <w:r>
        <w:rPr>
          <w:rStyle w:val="20"/>
          <w:rFonts w:hint="eastAsia" w:ascii="宋体" w:hAnsi="宋体"/>
          <w:highlight w:val="none"/>
        </w:rPr>
        <w:t>、</w:t>
      </w:r>
      <w:r>
        <w:rPr>
          <w:rStyle w:val="20"/>
          <w:rFonts w:ascii="宋体" w:hAnsi="宋体"/>
          <w:highlight w:val="none"/>
        </w:rPr>
        <w:t>基金</w:t>
      </w:r>
      <w:r>
        <w:rPr>
          <w:rStyle w:val="20"/>
          <w:rFonts w:hint="eastAsia" w:ascii="宋体" w:hAnsi="宋体"/>
          <w:highlight w:val="none"/>
        </w:rPr>
        <w:t>概况</w:t>
      </w:r>
      <w:bookmarkEnd w:id="8"/>
      <w:bookmarkEnd w:id="9"/>
    </w:p>
    <w:p w14:paraId="56EBC5DF">
      <w:pPr>
        <w:pStyle w:val="3"/>
        <w:spacing w:before="0" w:after="0"/>
        <w:rPr>
          <w:rFonts w:ascii="宋体" w:hAnsi="宋体" w:eastAsia="宋体"/>
          <w:kern w:val="0"/>
          <w:sz w:val="21"/>
          <w:szCs w:val="21"/>
          <w:highlight w:val="none"/>
        </w:rPr>
      </w:pPr>
      <w:bookmarkStart w:id="10" w:name="_Toc476577246"/>
      <w:bookmarkStart w:id="11" w:name="_Toc484769797"/>
      <w:bookmarkStart w:id="12" w:name="_Toc483396829"/>
      <w:bookmarkStart w:id="13" w:name="_Toc361324845"/>
      <w:bookmarkStart w:id="14" w:name="_Toc409100407"/>
      <w:bookmarkStart w:id="15" w:name="_Toc409100044"/>
      <w:bookmarkStart w:id="16" w:name="_Toc491963080"/>
      <w:bookmarkStart w:id="17" w:name="_Toc484607302"/>
      <w:r>
        <w:rPr>
          <w:rFonts w:ascii="宋体" w:hAnsi="宋体" w:eastAsia="宋体"/>
          <w:kern w:val="0"/>
          <w:sz w:val="21"/>
          <w:szCs w:val="21"/>
          <w:highlight w:val="none"/>
        </w:rPr>
        <w:t>2.1</w:t>
      </w:r>
      <w:r>
        <w:rPr>
          <w:rFonts w:hint="eastAsia" w:ascii="宋体" w:hAnsi="宋体" w:eastAsia="宋体"/>
          <w:kern w:val="0"/>
          <w:sz w:val="21"/>
          <w:szCs w:val="21"/>
          <w:highlight w:val="none"/>
        </w:rPr>
        <w:t xml:space="preserve"> </w:t>
      </w:r>
      <w:r>
        <w:rPr>
          <w:rFonts w:ascii="宋体" w:hAnsi="宋体" w:eastAsia="宋体"/>
          <w:kern w:val="0"/>
          <w:sz w:val="21"/>
          <w:szCs w:val="21"/>
          <w:highlight w:val="none"/>
        </w:rPr>
        <w:t>基金基本情况</w:t>
      </w:r>
      <w:bookmarkEnd w:id="10"/>
      <w:bookmarkEnd w:id="11"/>
      <w:bookmarkEnd w:id="12"/>
      <w:bookmarkEnd w:id="13"/>
      <w:bookmarkEnd w:id="14"/>
      <w:bookmarkEnd w:id="15"/>
      <w:bookmarkEnd w:id="16"/>
      <w:bookmarkEnd w:id="17"/>
    </w:p>
    <w:tbl>
      <w:tblPr>
        <w:tblStyle w:val="1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20"/>
        <w:gridCol w:w="5999"/>
      </w:tblGrid>
      <w:tr w14:paraId="4FC6B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5701646E">
            <w:pPr>
              <w:pStyle w:val="36"/>
              <w:rPr>
                <w:rFonts w:hint="eastAsia" w:ascii="宋体" w:hAnsi="宋体" w:eastAsia="宋体"/>
                <w:color w:val="000000"/>
                <w:kern w:val="0"/>
              </w:rPr>
            </w:pPr>
            <w:r>
              <w:rPr>
                <w:rFonts w:ascii="宋体" w:hAnsi="宋体" w:eastAsia="宋体"/>
              </w:rPr>
              <w:t>基金名称</w:t>
            </w:r>
          </w:p>
        </w:tc>
        <w:tc>
          <w:tcPr>
            <w:tcW w:w="3520" w:type="pct"/>
            <w:vAlign w:val="center"/>
          </w:tcPr>
          <w:p w14:paraId="0BB2E5AE">
            <w:pPr>
              <w:pStyle w:val="36"/>
              <w:rPr>
                <w:rFonts w:hint="eastAsia" w:ascii="宋体" w:hAnsi="宋体" w:eastAsia="宋体"/>
                <w:lang w:eastAsia="zh-CN"/>
              </w:rPr>
            </w:pPr>
            <w:r>
              <w:rPr>
                <w:rFonts w:hint="eastAsia"/>
                <w:lang w:val="en-US" w:eastAsia="zh-CN"/>
              </w:rPr>
              <w:t>博时</w:t>
            </w:r>
            <w:r>
              <w:rPr>
                <w:rFonts w:hint="eastAsia"/>
                <w:lang w:eastAsia="zh-CN"/>
              </w:rPr>
              <w:t>裕丰纯债3个月定期开放债券型发起式证券投资基金</w:t>
            </w:r>
          </w:p>
        </w:tc>
      </w:tr>
      <w:tr w14:paraId="4BD86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74D7D571">
            <w:pPr>
              <w:pStyle w:val="36"/>
              <w:rPr>
                <w:rFonts w:hint="eastAsia" w:ascii="宋体" w:hAnsi="宋体" w:eastAsia="宋体"/>
                <w:color w:val="000000"/>
                <w:kern w:val="0"/>
              </w:rPr>
            </w:pPr>
            <w:r>
              <w:rPr>
                <w:rFonts w:ascii="宋体" w:hAnsi="宋体" w:eastAsia="宋体"/>
              </w:rPr>
              <w:t>基金简称</w:t>
            </w:r>
          </w:p>
        </w:tc>
        <w:tc>
          <w:tcPr>
            <w:tcW w:w="3520" w:type="pct"/>
            <w:vAlign w:val="center"/>
          </w:tcPr>
          <w:p w14:paraId="2CF46A50">
            <w:pPr>
              <w:pStyle w:val="36"/>
              <w:rPr>
                <w:rFonts w:hint="eastAsia" w:ascii="宋体" w:hAnsi="宋体" w:eastAsia="宋体"/>
              </w:rPr>
            </w:pPr>
            <w:r>
              <w:rPr>
                <w:rFonts w:hint="eastAsia"/>
                <w:lang w:val="en-US" w:eastAsia="zh-CN"/>
              </w:rPr>
              <w:t>博时</w:t>
            </w:r>
            <w:r>
              <w:rPr>
                <w:rFonts w:hint="eastAsia"/>
                <w:lang w:eastAsia="zh-CN"/>
              </w:rPr>
              <w:t>裕丰</w:t>
            </w:r>
            <w:r>
              <w:rPr>
                <w:rFonts w:hint="eastAsia"/>
              </w:rPr>
              <w:t>3个月定开债发起式</w:t>
            </w:r>
          </w:p>
        </w:tc>
      </w:tr>
      <w:tr w14:paraId="6F026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vAlign w:val="center"/>
          </w:tcPr>
          <w:p w14:paraId="5C3DBBE5">
            <w:pPr>
              <w:pStyle w:val="36"/>
              <w:rPr>
                <w:rFonts w:hint="eastAsia" w:ascii="宋体" w:hAnsi="宋体" w:eastAsia="宋体"/>
                <w:color w:val="000000"/>
                <w:kern w:val="0"/>
              </w:rPr>
            </w:pPr>
            <w:r>
              <w:rPr>
                <w:rFonts w:ascii="宋体" w:hAnsi="宋体" w:eastAsia="宋体"/>
              </w:rPr>
              <w:t>基金主代码</w:t>
            </w:r>
          </w:p>
        </w:tc>
        <w:tc>
          <w:tcPr>
            <w:tcW w:w="3520" w:type="pct"/>
            <w:vAlign w:val="center"/>
          </w:tcPr>
          <w:p w14:paraId="1E6CD190">
            <w:pPr>
              <w:pStyle w:val="36"/>
              <w:rPr>
                <w:rFonts w:hint="default" w:ascii="宋体" w:hAnsi="宋体" w:eastAsia="宋体"/>
                <w:lang w:val="en-US" w:eastAsia="zh-CN"/>
              </w:rPr>
            </w:pPr>
            <w:r>
              <w:rPr>
                <w:rFonts w:hint="eastAsia"/>
              </w:rPr>
              <w:t>002109</w:t>
            </w:r>
          </w:p>
        </w:tc>
      </w:tr>
      <w:tr w14:paraId="7C236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19DA6A88">
            <w:pPr>
              <w:pStyle w:val="36"/>
              <w:rPr>
                <w:rFonts w:hint="eastAsia" w:ascii="宋体" w:hAnsi="宋体" w:eastAsia="宋体"/>
                <w:color w:val="000000"/>
                <w:kern w:val="0"/>
              </w:rPr>
            </w:pPr>
            <w:r>
              <w:rPr>
                <w:rFonts w:ascii="宋体" w:hAnsi="宋体" w:eastAsia="宋体"/>
              </w:rPr>
              <w:t>基金运作方式</w:t>
            </w:r>
          </w:p>
        </w:tc>
        <w:tc>
          <w:tcPr>
            <w:tcW w:w="3520" w:type="pct"/>
            <w:vAlign w:val="center"/>
          </w:tcPr>
          <w:p w14:paraId="03CC8ABB">
            <w:pPr>
              <w:pStyle w:val="36"/>
              <w:rPr>
                <w:rFonts w:hint="eastAsia" w:ascii="宋体" w:hAnsi="宋体" w:eastAsia="宋体"/>
              </w:rPr>
            </w:pPr>
            <w:r>
              <w:rPr>
                <w:rFonts w:hint="eastAsia" w:ascii="宋体" w:hAnsi="宋体" w:eastAsia="宋体"/>
              </w:rPr>
              <w:t>定期开放式</w:t>
            </w:r>
          </w:p>
        </w:tc>
      </w:tr>
      <w:tr w14:paraId="21512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205EB574">
            <w:pPr>
              <w:pStyle w:val="36"/>
              <w:rPr>
                <w:rFonts w:hint="eastAsia" w:ascii="宋体" w:hAnsi="宋体" w:eastAsia="宋体"/>
                <w:color w:val="000000"/>
                <w:kern w:val="0"/>
              </w:rPr>
            </w:pPr>
            <w:r>
              <w:rPr>
                <w:rFonts w:ascii="宋体" w:hAnsi="宋体" w:eastAsia="宋体"/>
              </w:rPr>
              <w:t>基金合同生效日</w:t>
            </w:r>
          </w:p>
        </w:tc>
        <w:tc>
          <w:tcPr>
            <w:tcW w:w="3520" w:type="pct"/>
            <w:vAlign w:val="center"/>
          </w:tcPr>
          <w:p w14:paraId="00A90F11">
            <w:pPr>
              <w:pStyle w:val="36"/>
              <w:rPr>
                <w:rFonts w:hint="eastAsia" w:ascii="宋体" w:hAnsi="宋体" w:eastAsia="宋体"/>
              </w:rPr>
            </w:pPr>
            <w:r>
              <w:rPr>
                <w:rFonts w:hint="eastAsia"/>
              </w:rPr>
              <w:t>2017年10月18日（由博时裕丰纯债债券型证券投资基金转型而来）</w:t>
            </w:r>
          </w:p>
        </w:tc>
      </w:tr>
      <w:tr w14:paraId="0D0FD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1D8A4FDE">
            <w:pPr>
              <w:pStyle w:val="36"/>
              <w:rPr>
                <w:rFonts w:hint="eastAsia" w:ascii="宋体" w:hAnsi="宋体" w:eastAsia="宋体"/>
                <w:color w:val="000000"/>
                <w:kern w:val="0"/>
              </w:rPr>
            </w:pPr>
            <w:r>
              <w:rPr>
                <w:rFonts w:ascii="宋体" w:hAnsi="宋体" w:eastAsia="宋体"/>
              </w:rPr>
              <w:t>基金管理人</w:t>
            </w:r>
          </w:p>
        </w:tc>
        <w:tc>
          <w:tcPr>
            <w:tcW w:w="3520" w:type="pct"/>
            <w:vAlign w:val="center"/>
          </w:tcPr>
          <w:p w14:paraId="47B5C144">
            <w:pPr>
              <w:pStyle w:val="36"/>
              <w:rPr>
                <w:rFonts w:hint="eastAsia" w:ascii="宋体" w:hAnsi="宋体" w:eastAsia="宋体"/>
              </w:rPr>
            </w:pPr>
            <w:r>
              <w:rPr>
                <w:rFonts w:ascii="宋体" w:hAnsi="宋体" w:eastAsia="宋体"/>
              </w:rPr>
              <w:t>博时基金管理有限公司</w:t>
            </w:r>
          </w:p>
        </w:tc>
      </w:tr>
      <w:tr w14:paraId="09345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0FEB546B">
            <w:pPr>
              <w:pStyle w:val="36"/>
              <w:rPr>
                <w:rFonts w:hint="eastAsia" w:ascii="宋体" w:hAnsi="宋体" w:eastAsia="宋体"/>
                <w:color w:val="000000"/>
                <w:kern w:val="0"/>
              </w:rPr>
            </w:pPr>
            <w:r>
              <w:rPr>
                <w:rFonts w:ascii="宋体" w:hAnsi="宋体" w:eastAsia="宋体"/>
              </w:rPr>
              <w:t>基金托管人</w:t>
            </w:r>
          </w:p>
        </w:tc>
        <w:tc>
          <w:tcPr>
            <w:tcW w:w="3520" w:type="pct"/>
            <w:vAlign w:val="center"/>
          </w:tcPr>
          <w:p w14:paraId="5FE16BCB">
            <w:pPr>
              <w:pStyle w:val="36"/>
              <w:rPr>
                <w:rFonts w:hint="eastAsia" w:ascii="宋体" w:hAnsi="宋体" w:eastAsia="宋体"/>
              </w:rPr>
            </w:pPr>
            <w:r>
              <w:rPr>
                <w:rFonts w:hint="eastAsia"/>
              </w:rPr>
              <w:t>恒丰银行股份有限公司</w:t>
            </w:r>
          </w:p>
        </w:tc>
      </w:tr>
      <w:tr w14:paraId="6F61D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76222745">
            <w:pPr>
              <w:pStyle w:val="4"/>
              <w:rPr>
                <w:rFonts w:hint="eastAsia" w:ascii="宋体" w:hAnsi="宋体" w:eastAsia="宋体"/>
                <w:color w:val="000000"/>
                <w:kern w:val="0"/>
              </w:rPr>
            </w:pPr>
            <w:r>
              <w:rPr>
                <w:rFonts w:hint="eastAsia"/>
              </w:rPr>
              <w:t>最后运作日（</w:t>
            </w:r>
            <w:r>
              <w:rPr>
                <w:rFonts w:hint="eastAsia" w:eastAsiaTheme="minorEastAsia"/>
                <w:highlight w:val="none"/>
              </w:rPr>
              <w:t>2026年</w:t>
            </w:r>
            <w:r>
              <w:rPr>
                <w:rFonts w:hint="eastAsia" w:eastAsiaTheme="minorEastAsia"/>
                <w:highlight w:val="none"/>
                <w:lang w:val="en-US" w:eastAsia="zh-CN"/>
              </w:rPr>
              <w:t>7</w:t>
            </w:r>
            <w:r>
              <w:rPr>
                <w:rFonts w:hint="eastAsia" w:eastAsiaTheme="minorEastAsia"/>
                <w:highlight w:val="none"/>
              </w:rPr>
              <w:t>月</w:t>
            </w:r>
            <w:r>
              <w:rPr>
                <w:rFonts w:hint="eastAsia" w:eastAsiaTheme="minorEastAsia"/>
                <w:highlight w:val="none"/>
                <w:lang w:val="en-US" w:eastAsia="zh-CN"/>
              </w:rPr>
              <w:t>16</w:t>
            </w:r>
            <w:r>
              <w:rPr>
                <w:rFonts w:hint="eastAsia" w:eastAsiaTheme="minorEastAsia"/>
                <w:highlight w:val="none"/>
              </w:rPr>
              <w:t>日</w:t>
            </w:r>
            <w:r>
              <w:rPr>
                <w:rFonts w:hint="eastAsia"/>
              </w:rPr>
              <w:t>）基金份额总额</w:t>
            </w:r>
          </w:p>
        </w:tc>
        <w:tc>
          <w:tcPr>
            <w:tcW w:w="3520" w:type="pct"/>
            <w:vAlign w:val="center"/>
          </w:tcPr>
          <w:p w14:paraId="4CAE236D">
            <w:pPr>
              <w:pStyle w:val="36"/>
              <w:rPr>
                <w:rFonts w:hint="eastAsia" w:ascii="宋体" w:hAnsi="宋体" w:eastAsia="宋体"/>
              </w:rPr>
            </w:pPr>
            <w:r>
              <w:rPr>
                <w:rFonts w:hint="eastAsia" w:ascii="宋体" w:hAnsi="宋体" w:eastAsia="宋体"/>
              </w:rPr>
              <w:t>672,320.47</w:t>
            </w:r>
            <w:r>
              <w:rPr>
                <w:rFonts w:ascii="宋体" w:hAnsi="宋体" w:eastAsia="宋体"/>
              </w:rPr>
              <w:t>份</w:t>
            </w:r>
          </w:p>
        </w:tc>
      </w:tr>
      <w:tr w14:paraId="171AE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9" w:type="pct"/>
          </w:tcPr>
          <w:p w14:paraId="3DA58B1A">
            <w:pPr>
              <w:pStyle w:val="36"/>
              <w:rPr>
                <w:rFonts w:hint="eastAsia" w:ascii="宋体" w:hAnsi="宋体" w:eastAsia="宋体"/>
                <w:color w:val="000000"/>
                <w:kern w:val="0"/>
              </w:rPr>
            </w:pPr>
            <w:r>
              <w:rPr>
                <w:rFonts w:ascii="宋体" w:hAnsi="宋体" w:eastAsia="宋体"/>
              </w:rPr>
              <w:t>基金合同存续期</w:t>
            </w:r>
          </w:p>
        </w:tc>
        <w:tc>
          <w:tcPr>
            <w:tcW w:w="3520" w:type="pct"/>
            <w:vAlign w:val="center"/>
          </w:tcPr>
          <w:p w14:paraId="690F2638">
            <w:pPr>
              <w:pStyle w:val="36"/>
              <w:rPr>
                <w:rFonts w:hint="eastAsia" w:ascii="宋体" w:hAnsi="宋体" w:eastAsia="宋体"/>
              </w:rPr>
            </w:pPr>
            <w:r>
              <w:rPr>
                <w:rFonts w:ascii="宋体" w:hAnsi="宋体" w:eastAsia="宋体"/>
              </w:rPr>
              <w:t>不定期</w:t>
            </w:r>
          </w:p>
        </w:tc>
      </w:tr>
    </w:tbl>
    <w:p w14:paraId="45031E79"/>
    <w:p w14:paraId="72A1E3B3">
      <w:pPr>
        <w:pStyle w:val="22"/>
        <w:rPr>
          <w:rFonts w:ascii="宋体" w:hAnsi="宋体"/>
          <w:sz w:val="21"/>
          <w:szCs w:val="21"/>
          <w:highlight w:val="none"/>
        </w:rPr>
      </w:pPr>
      <w:bookmarkStart w:id="18" w:name="_Toc491184118"/>
      <w:bookmarkStart w:id="19" w:name="_Toc491963081"/>
      <w:bookmarkStart w:id="20" w:name="_Toc390421230"/>
      <w:bookmarkStart w:id="21" w:name="_Toc482092221"/>
      <w:r>
        <w:rPr>
          <w:rFonts w:ascii="宋体" w:hAnsi="宋体"/>
          <w:sz w:val="21"/>
          <w:szCs w:val="21"/>
          <w:highlight w:val="none"/>
        </w:rPr>
        <w:t>2.2 基金产品说明</w:t>
      </w:r>
      <w:bookmarkEnd w:id="18"/>
      <w:bookmarkEnd w:id="19"/>
      <w:bookmarkEnd w:id="20"/>
      <w:bookmarkEnd w:id="21"/>
    </w:p>
    <w:tbl>
      <w:tblPr>
        <w:tblStyle w:val="1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1"/>
        <w:gridCol w:w="6991"/>
      </w:tblGrid>
      <w:tr w14:paraId="7075A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4E0C6C14">
            <w:pPr>
              <w:pStyle w:val="36"/>
              <w:rPr>
                <w:rFonts w:ascii="Times New Roman" w:hAnsi="Times New Roman" w:eastAsiaTheme="minorEastAsia"/>
                <w:highlight w:val="none"/>
              </w:rPr>
            </w:pPr>
            <w:r>
              <w:rPr>
                <w:rFonts w:ascii="Times New Roman" w:hAnsi="Times New Roman" w:eastAsiaTheme="minorEastAsia"/>
                <w:highlight w:val="none"/>
              </w:rPr>
              <w:t>投资目标</w:t>
            </w:r>
          </w:p>
        </w:tc>
        <w:tc>
          <w:tcPr>
            <w:tcW w:w="6996" w:type="dxa"/>
            <w:tcBorders>
              <w:top w:val="single" w:color="000000" w:sz="4" w:space="0"/>
              <w:left w:val="single" w:color="000000" w:sz="4" w:space="0"/>
              <w:bottom w:val="single" w:color="000000" w:sz="4" w:space="0"/>
              <w:right w:val="single" w:color="000000" w:sz="4" w:space="0"/>
            </w:tcBorders>
            <w:vAlign w:val="bottom"/>
          </w:tcPr>
          <w:p w14:paraId="1C0E120E">
            <w:pPr>
              <w:pStyle w:val="36"/>
              <w:rPr>
                <w:rFonts w:ascii="Times New Roman" w:hAnsi="Times New Roman" w:eastAsiaTheme="minorEastAsia"/>
                <w:highlight w:val="none"/>
              </w:rPr>
            </w:pPr>
            <w:r>
              <w:rPr>
                <w:rFonts w:hint="eastAsia" w:ascii="宋体" w:hAnsi="宋体" w:eastAsia="宋体"/>
              </w:rPr>
              <w:t>在有效控制投资组合风险的前提下，力争长期内实现超越业绩比较基准的投资回报。</w:t>
            </w:r>
          </w:p>
        </w:tc>
      </w:tr>
      <w:tr w14:paraId="66DD6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4B902C0D">
            <w:pPr>
              <w:pStyle w:val="36"/>
              <w:rPr>
                <w:rFonts w:ascii="Times New Roman" w:hAnsi="Times New Roman" w:eastAsiaTheme="minorEastAsia"/>
                <w:highlight w:val="none"/>
              </w:rPr>
            </w:pPr>
            <w:r>
              <w:rPr>
                <w:rFonts w:ascii="Times New Roman" w:hAnsi="Times New Roman" w:eastAsiaTheme="minorEastAsia"/>
                <w:highlight w:val="none"/>
              </w:rPr>
              <w:t>投资策略</w:t>
            </w:r>
          </w:p>
        </w:tc>
        <w:tc>
          <w:tcPr>
            <w:tcW w:w="6996" w:type="dxa"/>
            <w:tcBorders>
              <w:top w:val="single" w:color="000000" w:sz="4" w:space="0"/>
              <w:left w:val="single" w:color="000000" w:sz="4" w:space="0"/>
              <w:bottom w:val="single" w:color="000000" w:sz="4" w:space="0"/>
              <w:right w:val="single" w:color="000000" w:sz="4" w:space="0"/>
            </w:tcBorders>
            <w:vAlign w:val="bottom"/>
          </w:tcPr>
          <w:p w14:paraId="7CF6D0AE">
            <w:pPr>
              <w:pStyle w:val="36"/>
              <w:rPr>
                <w:rFonts w:hint="eastAsia" w:ascii="宋体" w:hAnsi="宋体" w:eastAsia="宋体"/>
              </w:rPr>
            </w:pPr>
            <w:r>
              <w:rPr>
                <w:rFonts w:hint="eastAsia" w:ascii="宋体" w:hAnsi="宋体" w:eastAsia="宋体"/>
              </w:rPr>
              <w:t>本基金为债券型基金。投资策略主要分为封闭期投资策略和开放期投资策略。封闭期内，本基金通过自上而下和自下而上相结合、定性分析和定量分析相补充的方法，确定资产在非信用类固定收益类证券和信用类固定收益类证券之间的配置比例。本基金将灵活应用各种期限结构策略、信用策略、互换策略、息差策略、个券挖掘策略、资产支持证券投资策略、中小企业私募债券投资策略，在合理管理并控制组合风险的前提下，最大化组合收益。</w:t>
            </w:r>
          </w:p>
          <w:p w14:paraId="37B85674">
            <w:pPr>
              <w:pStyle w:val="36"/>
              <w:rPr>
                <w:rFonts w:ascii="Times New Roman" w:hAnsi="Times New Roman" w:eastAsiaTheme="minorEastAsia"/>
                <w:highlight w:val="none"/>
              </w:rPr>
            </w:pPr>
            <w:r>
              <w:rPr>
                <w:rFonts w:hint="eastAsia" w:ascii="宋体" w:hAnsi="宋体" w:eastAsia="宋体"/>
              </w:rPr>
              <w:t>开放期内，本基金为保持较高的组合流动性，方便投资人安排投资，在遵守本基金有关投资限制与投资比例的前提下，将主要投资于高流动性的投资品种。</w:t>
            </w:r>
          </w:p>
        </w:tc>
      </w:tr>
      <w:tr w14:paraId="354DA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001CB0F9">
            <w:pPr>
              <w:pStyle w:val="36"/>
              <w:rPr>
                <w:rFonts w:ascii="Times New Roman" w:hAnsi="Times New Roman" w:eastAsiaTheme="minorEastAsia"/>
                <w:highlight w:val="none"/>
              </w:rPr>
            </w:pPr>
            <w:r>
              <w:rPr>
                <w:rFonts w:ascii="Times New Roman" w:hAnsi="Times New Roman" w:eastAsiaTheme="minorEastAsia"/>
                <w:highlight w:val="none"/>
              </w:rPr>
              <w:t>业绩比较基准</w:t>
            </w:r>
          </w:p>
        </w:tc>
        <w:tc>
          <w:tcPr>
            <w:tcW w:w="6996" w:type="dxa"/>
            <w:tcBorders>
              <w:top w:val="single" w:color="000000" w:sz="4" w:space="0"/>
              <w:left w:val="single" w:color="000000" w:sz="4" w:space="0"/>
              <w:bottom w:val="single" w:color="000000" w:sz="4" w:space="0"/>
              <w:right w:val="single" w:color="000000" w:sz="4" w:space="0"/>
            </w:tcBorders>
            <w:vAlign w:val="bottom"/>
          </w:tcPr>
          <w:p w14:paraId="313FD01C">
            <w:pPr>
              <w:pStyle w:val="36"/>
              <w:rPr>
                <w:rFonts w:ascii="Times New Roman" w:hAnsi="Times New Roman" w:eastAsiaTheme="minorEastAsia"/>
                <w:highlight w:val="none"/>
              </w:rPr>
            </w:pPr>
            <w:r>
              <w:rPr>
                <w:rFonts w:hint="eastAsia"/>
              </w:rPr>
              <w:t>中债综合财富（总值）指数收益率×90%+1年期定期存款利率（税后）×10%。</w:t>
            </w:r>
          </w:p>
        </w:tc>
      </w:tr>
      <w:tr w14:paraId="202B7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tcBorders>
              <w:top w:val="single" w:color="000000" w:sz="4" w:space="0"/>
              <w:left w:val="single" w:color="000000" w:sz="4" w:space="0"/>
              <w:bottom w:val="single" w:color="000000" w:sz="4" w:space="0"/>
              <w:right w:val="single" w:color="000000" w:sz="4" w:space="0"/>
            </w:tcBorders>
            <w:vAlign w:val="center"/>
          </w:tcPr>
          <w:p w14:paraId="6BBD308A">
            <w:pPr>
              <w:pStyle w:val="36"/>
              <w:rPr>
                <w:rFonts w:ascii="Times New Roman" w:hAnsi="Times New Roman" w:eastAsiaTheme="minorEastAsia"/>
                <w:highlight w:val="none"/>
              </w:rPr>
            </w:pPr>
            <w:r>
              <w:rPr>
                <w:rFonts w:ascii="Times New Roman" w:hAnsi="Times New Roman" w:eastAsiaTheme="minorEastAsia"/>
                <w:highlight w:val="none"/>
              </w:rPr>
              <w:t>风险收益特征</w:t>
            </w:r>
          </w:p>
        </w:tc>
        <w:tc>
          <w:tcPr>
            <w:tcW w:w="6996" w:type="dxa"/>
            <w:tcBorders>
              <w:top w:val="single" w:color="000000" w:sz="4" w:space="0"/>
              <w:left w:val="single" w:color="000000" w:sz="4" w:space="0"/>
              <w:bottom w:val="single" w:color="000000" w:sz="4" w:space="0"/>
              <w:right w:val="single" w:color="000000" w:sz="4" w:space="0"/>
            </w:tcBorders>
            <w:vAlign w:val="bottom"/>
          </w:tcPr>
          <w:p w14:paraId="277C0DEF">
            <w:pPr>
              <w:pStyle w:val="36"/>
              <w:rPr>
                <w:rFonts w:ascii="Times New Roman" w:hAnsi="Times New Roman" w:eastAsiaTheme="minorEastAsia"/>
                <w:highlight w:val="none"/>
              </w:rPr>
            </w:pPr>
            <w:r>
              <w:rPr>
                <w:rFonts w:hint="eastAsia" w:ascii="宋体" w:hAnsi="宋体" w:eastAsia="宋体"/>
              </w:rPr>
              <w:t>本基金为债券型基金，预期收益和预期风险高于货币市场基金，但低于混合型基金、股票型基金，属于较低风险/收益的产品。</w:t>
            </w:r>
          </w:p>
        </w:tc>
      </w:tr>
    </w:tbl>
    <w:p w14:paraId="2B1FCAAB">
      <w:pPr>
        <w:pStyle w:val="2"/>
        <w:keepNext/>
        <w:keepLines/>
        <w:widowControl w:val="0"/>
        <w:spacing w:before="312" w:beforeLines="100" w:after="312" w:afterLines="100" w:line="360" w:lineRule="auto"/>
        <w:jc w:val="center"/>
        <w:rPr>
          <w:rStyle w:val="20"/>
          <w:rFonts w:ascii="宋体" w:hAnsi="宋体"/>
          <w:b w:val="0"/>
          <w:highlight w:val="none"/>
        </w:rPr>
      </w:pPr>
      <w:bookmarkStart w:id="22" w:name="_Toc409100049"/>
      <w:bookmarkStart w:id="23" w:name="_Toc409100412"/>
      <w:bookmarkStart w:id="24" w:name="_Toc225498250"/>
      <w:bookmarkStart w:id="25" w:name="_Toc361324850"/>
      <w:bookmarkStart w:id="26" w:name="_Toc484769799"/>
      <w:bookmarkStart w:id="27" w:name="_Toc491963082"/>
      <w:r>
        <w:rPr>
          <w:rStyle w:val="20"/>
          <w:rFonts w:ascii="宋体" w:hAnsi="宋体"/>
          <w:highlight w:val="none"/>
        </w:rPr>
        <w:t>3</w:t>
      </w:r>
      <w:bookmarkEnd w:id="22"/>
      <w:bookmarkEnd w:id="23"/>
      <w:bookmarkEnd w:id="24"/>
      <w:bookmarkEnd w:id="25"/>
      <w:r>
        <w:rPr>
          <w:rStyle w:val="20"/>
          <w:rFonts w:hint="eastAsia" w:ascii="宋体" w:hAnsi="宋体"/>
          <w:highlight w:val="none"/>
        </w:rPr>
        <w:t>、基金运作情况说明</w:t>
      </w:r>
      <w:bookmarkEnd w:id="26"/>
      <w:bookmarkEnd w:id="27"/>
    </w:p>
    <w:p w14:paraId="6C250839">
      <w:pPr>
        <w:spacing w:line="360" w:lineRule="auto"/>
        <w:ind w:firstLine="420" w:firstLineChars="200"/>
        <w:rPr>
          <w:rFonts w:hint="eastAsia" w:eastAsiaTheme="minorEastAsia"/>
          <w:highlight w:val="none"/>
        </w:rPr>
      </w:pPr>
      <w:bookmarkStart w:id="28" w:name="_Toc484769805"/>
      <w:bookmarkStart w:id="29" w:name="_Toc491963083"/>
      <w:r>
        <w:rPr>
          <w:rFonts w:hint="eastAsia" w:eastAsiaTheme="minorEastAsia"/>
          <w:highlight w:val="none"/>
        </w:rPr>
        <w:t>自2017年10月18日至2026年7月16日期间，本基金按《基金合同》正常运作。</w:t>
      </w:r>
    </w:p>
    <w:p w14:paraId="442A0859">
      <w:pPr>
        <w:spacing w:line="360" w:lineRule="auto"/>
        <w:ind w:firstLine="420" w:firstLineChars="200"/>
        <w:rPr>
          <w:rFonts w:hint="eastAsia" w:eastAsiaTheme="minorEastAsia"/>
          <w:highlight w:val="none"/>
        </w:rPr>
      </w:pPr>
      <w:r>
        <w:rPr>
          <w:rFonts w:hint="eastAsia" w:eastAsiaTheme="minorEastAsia"/>
          <w:highlight w:val="none"/>
        </w:rPr>
        <w:t xml:space="preserve">根据《博时基金管理有限公司关于博时裕丰纯债3个月定期开放债券型发起式证券投资基金基金份额持有人大会表决结果暨决议生效的公告》： </w:t>
      </w:r>
    </w:p>
    <w:p w14:paraId="24A62955">
      <w:pPr>
        <w:spacing w:line="360" w:lineRule="auto"/>
        <w:ind w:firstLine="420" w:firstLineChars="200"/>
        <w:rPr>
          <w:rFonts w:hint="eastAsia" w:eastAsiaTheme="minorEastAsia"/>
          <w:highlight w:val="none"/>
        </w:rPr>
      </w:pPr>
      <w:r>
        <w:rPr>
          <w:rFonts w:hint="eastAsia" w:eastAsiaTheme="minorEastAsia"/>
          <w:highlight w:val="none"/>
        </w:rPr>
        <w:t xml:space="preserve">“本基金的最后运作日为2026年7月16日，自赎回选择期届满的下一日即2026年7月17日起，本基金即进入清算程序，基金管理人不再接受投资人提出的申购、赎回、基金转换等业务申请。本基金进入清算程序后，停止收取基金管理费、基金托管费。” </w:t>
      </w:r>
    </w:p>
    <w:p w14:paraId="2A2794FA">
      <w:pPr>
        <w:spacing w:line="360" w:lineRule="auto"/>
        <w:ind w:firstLine="420" w:firstLineChars="200"/>
        <w:rPr>
          <w:rFonts w:ascii="宋体" w:hAnsi="宋体" w:cs="Arial"/>
          <w:color w:val="000000"/>
          <w:szCs w:val="21"/>
          <w:highlight w:val="none"/>
        </w:rPr>
      </w:pPr>
      <w:r>
        <w:rPr>
          <w:rFonts w:hint="eastAsia" w:eastAsiaTheme="minorEastAsia"/>
          <w:highlight w:val="none"/>
        </w:rPr>
        <w:t xml:space="preserve"> 本基金最后运作日为2026年7月16日，自2026年7月1</w:t>
      </w:r>
      <w:r>
        <w:rPr>
          <w:rFonts w:hint="eastAsia" w:eastAsiaTheme="minorEastAsia"/>
          <w:highlight w:val="none"/>
          <w:lang w:val="en-US" w:eastAsia="zh-CN"/>
        </w:rPr>
        <w:t>7</w:t>
      </w:r>
      <w:r>
        <w:rPr>
          <w:rFonts w:hint="eastAsia" w:eastAsiaTheme="minorEastAsia"/>
          <w:highlight w:val="none"/>
        </w:rPr>
        <w:t>日起进入清算程序，由本基金管理人博时基金管理有限公司、基金托管人</w:t>
      </w:r>
      <w:r>
        <w:rPr>
          <w:rFonts w:hint="eastAsia"/>
        </w:rPr>
        <w:t>恒丰银行股份有限公司</w:t>
      </w:r>
      <w:r>
        <w:rPr>
          <w:rFonts w:hint="eastAsia" w:eastAsiaTheme="minorEastAsia"/>
          <w:highlight w:val="none"/>
        </w:rPr>
        <w:t>、</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和</w:t>
      </w:r>
      <w:r>
        <w:rPr>
          <w:rFonts w:hint="eastAsia" w:eastAsiaTheme="minorEastAsia"/>
          <w:highlight w:val="none"/>
          <w:lang w:eastAsia="zh-CN"/>
        </w:rPr>
        <w:t>上海源泰律师事务所</w:t>
      </w:r>
      <w:r>
        <w:rPr>
          <w:rFonts w:hint="eastAsia" w:eastAsiaTheme="minorEastAsia"/>
          <w:highlight w:val="none"/>
        </w:rPr>
        <w:t>组成基金财产清算小组履行基金财产清算程序，并由</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对本基金进行清算审计，</w:t>
      </w:r>
      <w:r>
        <w:rPr>
          <w:rFonts w:hint="eastAsia" w:eastAsiaTheme="minorEastAsia"/>
          <w:highlight w:val="none"/>
          <w:lang w:eastAsia="zh-CN"/>
        </w:rPr>
        <w:t>上海源泰律师事务所</w:t>
      </w:r>
      <w:r>
        <w:rPr>
          <w:rFonts w:hint="eastAsia" w:eastAsiaTheme="minorEastAsia"/>
          <w:highlight w:val="none"/>
        </w:rPr>
        <w:t>对清算报告出具法律意见。</w:t>
      </w:r>
    </w:p>
    <w:p w14:paraId="1048D126">
      <w:pPr>
        <w:pStyle w:val="2"/>
        <w:keepNext/>
        <w:keepLines/>
        <w:widowControl w:val="0"/>
        <w:spacing w:before="312" w:beforeLines="100" w:after="312" w:afterLines="100" w:line="360" w:lineRule="auto"/>
        <w:jc w:val="center"/>
        <w:rPr>
          <w:rStyle w:val="20"/>
          <w:rFonts w:ascii="宋体" w:hAnsi="宋体"/>
          <w:highlight w:val="none"/>
        </w:rPr>
      </w:pPr>
      <w:r>
        <w:rPr>
          <w:rStyle w:val="20"/>
          <w:rFonts w:hint="eastAsia" w:ascii="宋体" w:hAnsi="宋体"/>
          <w:highlight w:val="none"/>
        </w:rPr>
        <w:t>4、财务报告</w:t>
      </w:r>
      <w:bookmarkEnd w:id="28"/>
      <w:bookmarkEnd w:id="29"/>
    </w:p>
    <w:p w14:paraId="2ADFCAE8">
      <w:pPr>
        <w:pStyle w:val="3"/>
        <w:spacing w:before="0" w:after="0"/>
        <w:rPr>
          <w:rFonts w:ascii="宋体" w:hAnsi="宋体" w:eastAsia="宋体"/>
          <w:kern w:val="0"/>
          <w:sz w:val="21"/>
          <w:szCs w:val="21"/>
          <w:highlight w:val="none"/>
        </w:rPr>
      </w:pPr>
      <w:bookmarkStart w:id="30" w:name="_Toc483396838"/>
      <w:bookmarkStart w:id="31" w:name="_Toc476577275"/>
      <w:bookmarkStart w:id="32" w:name="_Toc409100437"/>
      <w:bookmarkStart w:id="33" w:name="_Toc361324873"/>
      <w:bookmarkStart w:id="34" w:name="_Toc491963084"/>
      <w:bookmarkStart w:id="35" w:name="_Toc409100074"/>
      <w:bookmarkStart w:id="36" w:name="_Toc484769806"/>
      <w:bookmarkStart w:id="37" w:name="_Toc484607311"/>
      <w:bookmarkStart w:id="38" w:name="_Toc225498268"/>
      <w:r>
        <w:rPr>
          <w:rFonts w:hint="eastAsia" w:ascii="宋体" w:hAnsi="宋体" w:eastAsia="宋体"/>
          <w:kern w:val="0"/>
          <w:sz w:val="21"/>
          <w:szCs w:val="21"/>
          <w:highlight w:val="none"/>
        </w:rPr>
        <w:t>4</w:t>
      </w:r>
      <w:r>
        <w:rPr>
          <w:rFonts w:ascii="宋体" w:hAnsi="宋体" w:eastAsia="宋体"/>
          <w:kern w:val="0"/>
          <w:sz w:val="21"/>
          <w:szCs w:val="21"/>
          <w:highlight w:val="none"/>
        </w:rPr>
        <w:t>.1 资产负债表</w:t>
      </w:r>
      <w:bookmarkEnd w:id="30"/>
      <w:bookmarkEnd w:id="31"/>
      <w:bookmarkEnd w:id="32"/>
      <w:bookmarkEnd w:id="33"/>
      <w:bookmarkEnd w:id="34"/>
      <w:bookmarkEnd w:id="35"/>
      <w:bookmarkEnd w:id="36"/>
      <w:bookmarkEnd w:id="37"/>
      <w:bookmarkEnd w:id="38"/>
      <w:r>
        <w:rPr>
          <w:rFonts w:hint="eastAsia" w:ascii="宋体" w:hAnsi="宋体" w:eastAsia="宋体"/>
          <w:kern w:val="0"/>
          <w:sz w:val="21"/>
          <w:szCs w:val="21"/>
          <w:highlight w:val="none"/>
        </w:rPr>
        <w:t>(已经审计)</w:t>
      </w:r>
    </w:p>
    <w:p w14:paraId="230BA497">
      <w:pPr>
        <w:autoSpaceDE w:val="0"/>
        <w:autoSpaceDN w:val="0"/>
        <w:adjustRightInd w:val="0"/>
        <w:spacing w:before="29" w:line="360" w:lineRule="auto"/>
        <w:ind w:left="15"/>
        <w:jc w:val="right"/>
        <w:rPr>
          <w:rFonts w:ascii="宋体" w:hAnsi="宋体"/>
          <w:color w:val="000000"/>
          <w:kern w:val="0"/>
          <w:szCs w:val="21"/>
          <w:highlight w:val="none"/>
        </w:rPr>
      </w:pPr>
      <w:r>
        <w:rPr>
          <w:rFonts w:ascii="宋体" w:hAnsi="宋体"/>
          <w:color w:val="000000"/>
          <w:kern w:val="0"/>
          <w:szCs w:val="21"/>
          <w:highlight w:val="none"/>
        </w:rPr>
        <w:t>单位：人民币元</w:t>
      </w:r>
    </w:p>
    <w:tbl>
      <w:tblPr>
        <w:tblStyle w:val="13"/>
        <w:tblW w:w="7951"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90"/>
        <w:gridCol w:w="4461"/>
      </w:tblGrid>
      <w:tr w14:paraId="0B08F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center"/>
          </w:tcPr>
          <w:p w14:paraId="6F67614D">
            <w:pPr>
              <w:pStyle w:val="11"/>
              <w:spacing w:before="0" w:beforeAutospacing="0" w:after="0" w:afterAutospacing="0"/>
              <w:jc w:val="center"/>
              <w:rPr>
                <w:rFonts w:ascii="Arial" w:hAnsi="Arial" w:eastAsia="宋体" w:cs="Arial"/>
                <w:b/>
                <w:highlight w:val="none"/>
              </w:rPr>
            </w:pPr>
            <w:r>
              <w:rPr>
                <w:rFonts w:ascii="Arial" w:hAnsi="Arial" w:eastAsia="宋体" w:cs="Arial"/>
                <w:b/>
                <w:highlight w:val="none"/>
              </w:rPr>
              <w:t>资产</w:t>
            </w:r>
          </w:p>
        </w:tc>
        <w:tc>
          <w:tcPr>
            <w:tcW w:w="4461" w:type="dxa"/>
            <w:shd w:val="clear" w:color="auto" w:fill="auto"/>
            <w:vAlign w:val="center"/>
          </w:tcPr>
          <w:p w14:paraId="5C83FF70">
            <w:pPr>
              <w:pStyle w:val="11"/>
              <w:spacing w:before="0" w:beforeAutospacing="0" w:after="0" w:afterAutospacing="0"/>
              <w:jc w:val="center"/>
              <w:rPr>
                <w:rFonts w:ascii="Arial" w:hAnsi="Arial" w:eastAsia="宋体" w:cs="Arial"/>
                <w:b/>
                <w:highlight w:val="none"/>
                <w:lang w:eastAsia="zh-CN"/>
              </w:rPr>
            </w:pPr>
            <w:r>
              <w:rPr>
                <w:rFonts w:hint="eastAsia" w:ascii="Arial" w:hAnsi="Arial" w:eastAsia="宋体" w:cs="Arial"/>
                <w:b/>
                <w:highlight w:val="none"/>
                <w:lang w:eastAsia="zh-CN"/>
              </w:rPr>
              <w:t>2026年</w:t>
            </w:r>
            <w:r>
              <w:rPr>
                <w:rFonts w:hint="eastAsia" w:ascii="Arial" w:hAnsi="Arial" w:eastAsia="宋体" w:cs="Arial"/>
                <w:b/>
                <w:highlight w:val="none"/>
                <w:lang w:val="en-US" w:eastAsia="zh-CN"/>
              </w:rPr>
              <w:t>7</w:t>
            </w:r>
            <w:r>
              <w:rPr>
                <w:rFonts w:hint="eastAsia" w:ascii="Arial" w:hAnsi="Arial" w:eastAsia="宋体" w:cs="Arial"/>
                <w:b/>
                <w:highlight w:val="none"/>
                <w:lang w:eastAsia="zh-CN"/>
              </w:rPr>
              <w:t>月</w:t>
            </w:r>
            <w:r>
              <w:rPr>
                <w:rFonts w:hint="eastAsia" w:ascii="Arial" w:hAnsi="Arial" w:eastAsia="宋体" w:cs="Arial"/>
                <w:b/>
                <w:highlight w:val="none"/>
                <w:lang w:val="en-US" w:eastAsia="zh-CN"/>
              </w:rPr>
              <w:t>16</w:t>
            </w:r>
            <w:r>
              <w:rPr>
                <w:rFonts w:hint="eastAsia" w:ascii="Arial" w:hAnsi="Arial" w:eastAsia="宋体" w:cs="Arial"/>
                <w:b/>
                <w:highlight w:val="none"/>
                <w:lang w:eastAsia="zh-CN"/>
              </w:rPr>
              <w:t>日</w:t>
            </w:r>
          </w:p>
          <w:p w14:paraId="667FCAA7">
            <w:pPr>
              <w:pStyle w:val="11"/>
              <w:spacing w:before="0" w:beforeAutospacing="0" w:after="0" w:afterAutospacing="0"/>
              <w:jc w:val="center"/>
              <w:rPr>
                <w:rFonts w:ascii="Arial" w:hAnsi="Arial" w:eastAsia="宋体" w:cs="Arial"/>
                <w:b/>
                <w:highlight w:val="none"/>
                <w:lang w:eastAsia="zh-CN"/>
              </w:rPr>
            </w:pPr>
            <w:r>
              <w:rPr>
                <w:rFonts w:ascii="Arial" w:hAnsi="Arial" w:eastAsia="宋体" w:cs="Arial"/>
                <w:b/>
                <w:highlight w:val="none"/>
                <w:lang w:eastAsia="zh-CN"/>
              </w:rPr>
              <w:t>(基金</w:t>
            </w:r>
            <w:r>
              <w:rPr>
                <w:rFonts w:hint="eastAsia" w:ascii="Arial" w:hAnsi="Arial" w:eastAsia="宋体" w:cs="Arial"/>
                <w:b/>
                <w:highlight w:val="none"/>
                <w:lang w:eastAsia="zh-CN"/>
              </w:rPr>
              <w:t>最后运作</w:t>
            </w:r>
            <w:r>
              <w:rPr>
                <w:rFonts w:ascii="Arial" w:hAnsi="Arial" w:eastAsia="宋体" w:cs="Arial"/>
                <w:b/>
                <w:highlight w:val="none"/>
                <w:lang w:eastAsia="zh-CN"/>
              </w:rPr>
              <w:t>日)</w:t>
            </w:r>
          </w:p>
        </w:tc>
      </w:tr>
      <w:tr w14:paraId="6531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trPr>
        <w:tc>
          <w:tcPr>
            <w:tcW w:w="3490" w:type="dxa"/>
            <w:shd w:val="clear" w:color="auto" w:fill="auto"/>
            <w:vAlign w:val="bottom"/>
          </w:tcPr>
          <w:p w14:paraId="49052C38">
            <w:pPr>
              <w:spacing w:before="100" w:beforeAutospacing="1" w:after="100" w:afterAutospacing="1"/>
              <w:rPr>
                <w:rFonts w:ascii="Arial" w:hAnsi="Arial" w:cs="Arial"/>
                <w:b/>
                <w:bCs/>
                <w:sz w:val="24"/>
                <w:highlight w:val="yellow"/>
              </w:rPr>
            </w:pPr>
            <w:r>
              <w:rPr>
                <w:rFonts w:ascii="Arial" w:hAnsi="Arial" w:cs="Arial"/>
                <w:b/>
                <w:bCs/>
                <w:sz w:val="24"/>
                <w:highlight w:val="none"/>
              </w:rPr>
              <w:t>资产：</w:t>
            </w:r>
          </w:p>
        </w:tc>
        <w:tc>
          <w:tcPr>
            <w:tcW w:w="4461" w:type="dxa"/>
            <w:shd w:val="clear" w:color="auto" w:fill="auto"/>
            <w:vAlign w:val="bottom"/>
          </w:tcPr>
          <w:p w14:paraId="42AE1E71">
            <w:pPr>
              <w:spacing w:before="100" w:beforeAutospacing="1" w:after="100" w:afterAutospacing="1"/>
              <w:ind w:left="-72"/>
              <w:jc w:val="right"/>
              <w:rPr>
                <w:rFonts w:ascii="Arial" w:hAnsi="Arial" w:cs="Arial"/>
                <w:sz w:val="24"/>
                <w:highlight w:val="yellow"/>
              </w:rPr>
            </w:pPr>
          </w:p>
        </w:tc>
      </w:tr>
      <w:tr w14:paraId="60F2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14BA7FD0">
            <w:pPr>
              <w:spacing w:before="100" w:beforeAutospacing="1" w:after="100" w:afterAutospacing="1"/>
              <w:rPr>
                <w:rFonts w:hint="eastAsia"/>
              </w:rPr>
            </w:pPr>
            <w:r>
              <w:rPr>
                <w:rFonts w:hint="eastAsia"/>
              </w:rPr>
              <w:t>货币资金</w:t>
            </w:r>
          </w:p>
        </w:tc>
        <w:tc>
          <w:tcPr>
            <w:tcW w:w="4461" w:type="dxa"/>
            <w:shd w:val="clear" w:color="auto" w:fill="auto"/>
            <w:vAlign w:val="center"/>
          </w:tcPr>
          <w:p w14:paraId="3EAC48D6">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rPr>
              <w:t>136,266.06</w:t>
            </w:r>
          </w:p>
        </w:tc>
      </w:tr>
      <w:tr w14:paraId="12BC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6240C0FA">
            <w:pPr>
              <w:spacing w:before="100" w:beforeAutospacing="1" w:after="100" w:afterAutospacing="1"/>
              <w:rPr>
                <w:rFonts w:hint="eastAsia"/>
              </w:rPr>
            </w:pPr>
            <w:r>
              <w:rPr>
                <w:rFonts w:hint="eastAsia"/>
              </w:rPr>
              <w:t>结算备付金</w:t>
            </w:r>
          </w:p>
        </w:tc>
        <w:tc>
          <w:tcPr>
            <w:tcW w:w="4461" w:type="dxa"/>
            <w:shd w:val="clear" w:color="auto" w:fill="auto"/>
            <w:vAlign w:val="center"/>
          </w:tcPr>
          <w:p w14:paraId="38518301">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p>
        </w:tc>
      </w:tr>
      <w:tr w14:paraId="403F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D71578C">
            <w:pPr>
              <w:spacing w:before="100" w:beforeAutospacing="1" w:after="100" w:afterAutospacing="1"/>
              <w:rPr>
                <w:rFonts w:hint="eastAsia"/>
              </w:rPr>
            </w:pPr>
            <w:r>
              <w:rPr>
                <w:rFonts w:hint="eastAsia"/>
              </w:rPr>
              <w:t>存出保证金</w:t>
            </w:r>
          </w:p>
        </w:tc>
        <w:tc>
          <w:tcPr>
            <w:tcW w:w="4461" w:type="dxa"/>
            <w:shd w:val="clear" w:color="auto" w:fill="auto"/>
            <w:vAlign w:val="center"/>
          </w:tcPr>
          <w:p w14:paraId="5B988C92">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rPr>
              <w:t>6,159.97</w:t>
            </w:r>
          </w:p>
        </w:tc>
      </w:tr>
      <w:tr w14:paraId="44B1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3490" w:type="dxa"/>
            <w:shd w:val="clear" w:color="auto" w:fill="auto"/>
            <w:vAlign w:val="bottom"/>
          </w:tcPr>
          <w:p w14:paraId="4DAC163B">
            <w:pPr>
              <w:spacing w:before="100" w:beforeAutospacing="1" w:after="100" w:afterAutospacing="1"/>
              <w:rPr>
                <w:rFonts w:hint="default"/>
                <w:lang w:val="en-US" w:eastAsia="zh-CN"/>
              </w:rPr>
            </w:pPr>
            <w:r>
              <w:rPr>
                <w:rFonts w:hint="eastAsia"/>
                <w:lang w:val="en-US" w:eastAsia="zh-CN"/>
              </w:rPr>
              <w:t>应收申购款</w:t>
            </w:r>
          </w:p>
        </w:tc>
        <w:tc>
          <w:tcPr>
            <w:tcW w:w="4461" w:type="dxa"/>
            <w:shd w:val="clear" w:color="auto" w:fill="auto"/>
            <w:vAlign w:val="center"/>
          </w:tcPr>
          <w:p w14:paraId="2F925C74">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p>
        </w:tc>
      </w:tr>
      <w:tr w14:paraId="7B36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0" w:hRule="atLeast"/>
        </w:trPr>
        <w:tc>
          <w:tcPr>
            <w:tcW w:w="3490" w:type="dxa"/>
            <w:shd w:val="clear" w:color="auto" w:fill="auto"/>
          </w:tcPr>
          <w:p w14:paraId="5A475759">
            <w:pPr>
              <w:spacing w:before="100" w:beforeAutospacing="1" w:after="100" w:afterAutospacing="1"/>
              <w:rPr>
                <w:rFonts w:hint="eastAsia"/>
              </w:rPr>
            </w:pPr>
            <w:r>
              <w:rPr>
                <w:rFonts w:hint="eastAsia"/>
              </w:rPr>
              <w:t>交易性金融资产</w:t>
            </w:r>
          </w:p>
        </w:tc>
        <w:tc>
          <w:tcPr>
            <w:tcW w:w="4461" w:type="dxa"/>
            <w:shd w:val="clear" w:color="auto" w:fill="auto"/>
            <w:vAlign w:val="center"/>
          </w:tcPr>
          <w:p w14:paraId="23EBB830">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rPr>
              <w:t>640,976.38</w:t>
            </w:r>
          </w:p>
        </w:tc>
      </w:tr>
      <w:tr w14:paraId="326B2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492F562F">
            <w:pPr>
              <w:spacing w:before="100" w:beforeAutospacing="1" w:after="100" w:afterAutospacing="1"/>
              <w:rPr>
                <w:rFonts w:hint="eastAsia"/>
              </w:rPr>
            </w:pPr>
            <w:r>
              <w:rPr>
                <w:rFonts w:hint="eastAsia"/>
              </w:rPr>
              <w:t>买入返售金融资产</w:t>
            </w:r>
          </w:p>
        </w:tc>
        <w:tc>
          <w:tcPr>
            <w:tcW w:w="4461" w:type="dxa"/>
            <w:shd w:val="clear" w:color="auto" w:fill="auto"/>
          </w:tcPr>
          <w:p w14:paraId="29F17C91">
            <w:pPr>
              <w:ind w:left="-80"/>
              <w:jc w:val="right"/>
              <w:rPr>
                <w:rFonts w:hint="eastAsia" w:eastAsia="宋体"/>
                <w:lang w:eastAsia="zh-CN"/>
              </w:rPr>
            </w:pPr>
            <w:r>
              <w:rPr>
                <w:rFonts w:hint="eastAsia"/>
                <w:lang w:val="en-US" w:eastAsia="zh-CN"/>
              </w:rPr>
              <w:t>-</w:t>
            </w:r>
          </w:p>
        </w:tc>
      </w:tr>
      <w:tr w14:paraId="37597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0994E91D">
            <w:pPr>
              <w:spacing w:before="100" w:beforeAutospacing="1" w:after="100" w:afterAutospacing="1"/>
              <w:rPr>
                <w:rFonts w:hint="default"/>
                <w:lang w:val="en-US" w:eastAsia="zh-CN"/>
              </w:rPr>
            </w:pPr>
            <w:r>
              <w:rPr>
                <w:rFonts w:hint="eastAsia"/>
                <w:lang w:val="en-US" w:eastAsia="zh-CN"/>
              </w:rPr>
              <w:t>应收清算款</w:t>
            </w:r>
          </w:p>
        </w:tc>
        <w:tc>
          <w:tcPr>
            <w:tcW w:w="4461" w:type="dxa"/>
            <w:shd w:val="clear" w:color="auto" w:fill="auto"/>
            <w:vAlign w:val="center"/>
          </w:tcPr>
          <w:p w14:paraId="72B29D42">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cs="宋体"/>
                <w:i w:val="0"/>
                <w:iCs w:val="0"/>
                <w:color w:val="000000"/>
                <w:kern w:val="0"/>
                <w:sz w:val="20"/>
                <w:szCs w:val="20"/>
                <w:u w:val="none"/>
                <w:lang w:val="en-US" w:eastAsia="zh-CN" w:bidi="ar"/>
              </w:rPr>
              <w:t>-</w:t>
            </w:r>
          </w:p>
        </w:tc>
      </w:tr>
      <w:tr w14:paraId="21D8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6465F63D">
            <w:pPr>
              <w:spacing w:before="100" w:beforeAutospacing="1" w:after="100" w:afterAutospacing="1"/>
              <w:rPr>
                <w:rFonts w:hint="eastAsia"/>
                <w:highlight w:val="yellow"/>
                <w:lang w:val="en-US" w:eastAsia="zh-CN"/>
              </w:rPr>
            </w:pPr>
            <w:r>
              <w:rPr>
                <w:rFonts w:hint="eastAsia"/>
              </w:rPr>
              <w:t>其他资产</w:t>
            </w:r>
          </w:p>
        </w:tc>
        <w:tc>
          <w:tcPr>
            <w:tcW w:w="4461" w:type="dxa"/>
            <w:shd w:val="clear" w:color="auto" w:fill="auto"/>
          </w:tcPr>
          <w:p w14:paraId="28A63743">
            <w:pPr>
              <w:ind w:left="-80"/>
              <w:jc w:val="right"/>
              <w:rPr>
                <w:rFonts w:hint="eastAsia" w:eastAsia="宋体"/>
                <w:lang w:val="en-US" w:eastAsia="zh-CN"/>
              </w:rPr>
            </w:pPr>
            <w:r>
              <w:rPr>
                <w:rFonts w:hint="eastAsia"/>
                <w:lang w:val="en-US" w:eastAsia="zh-CN"/>
              </w:rPr>
              <w:t>-</w:t>
            </w:r>
          </w:p>
        </w:tc>
      </w:tr>
      <w:tr w14:paraId="6471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791608A4">
            <w:pPr>
              <w:spacing w:before="100" w:beforeAutospacing="1" w:after="100" w:afterAutospacing="1"/>
              <w:rPr>
                <w:rFonts w:ascii="Arial" w:hAnsi="Arial" w:cs="Arial"/>
                <w:b/>
                <w:bCs/>
                <w:sz w:val="24"/>
                <w:highlight w:val="none"/>
              </w:rPr>
            </w:pPr>
            <w:r>
              <w:rPr>
                <w:rFonts w:ascii="Arial" w:hAnsi="Arial" w:cs="Arial"/>
                <w:b/>
                <w:bCs/>
                <w:sz w:val="24"/>
                <w:highlight w:val="none"/>
              </w:rPr>
              <w:t>资产总计</w:t>
            </w:r>
          </w:p>
        </w:tc>
        <w:tc>
          <w:tcPr>
            <w:tcW w:w="4461" w:type="dxa"/>
            <w:shd w:val="clear" w:color="auto" w:fill="auto"/>
            <w:vAlign w:val="bottom"/>
          </w:tcPr>
          <w:p w14:paraId="7AD6F467">
            <w:pPr>
              <w:ind w:left="-72"/>
              <w:jc w:val="right"/>
              <w:rPr>
                <w:rFonts w:ascii="Arial" w:hAnsi="Arial" w:cs="Arial"/>
                <w:b/>
                <w:bCs/>
                <w:color w:val="000000"/>
                <w:sz w:val="24"/>
                <w:highlight w:val="none"/>
              </w:rPr>
            </w:pPr>
            <w:r>
              <w:rPr>
                <w:rFonts w:hint="eastAsia"/>
                <w:b/>
                <w:bCs/>
              </w:rPr>
              <w:t>783,402.41</w:t>
            </w:r>
          </w:p>
        </w:tc>
      </w:tr>
      <w:tr w14:paraId="0EFE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48C53F9">
            <w:pPr>
              <w:spacing w:before="100" w:beforeAutospacing="1" w:after="100" w:afterAutospacing="1"/>
              <w:rPr>
                <w:rFonts w:ascii="Arial" w:hAnsi="Arial" w:cs="Arial"/>
                <w:b/>
                <w:bCs/>
                <w:sz w:val="24"/>
                <w:highlight w:val="none"/>
              </w:rPr>
            </w:pPr>
            <w:r>
              <w:rPr>
                <w:rFonts w:ascii="Arial" w:hAnsi="Arial" w:cs="Arial"/>
                <w:b/>
                <w:bCs/>
                <w:sz w:val="24"/>
                <w:highlight w:val="none"/>
              </w:rPr>
              <w:t>负债：</w:t>
            </w:r>
          </w:p>
        </w:tc>
        <w:tc>
          <w:tcPr>
            <w:tcW w:w="4461" w:type="dxa"/>
            <w:shd w:val="clear" w:color="auto" w:fill="auto"/>
            <w:vAlign w:val="bottom"/>
          </w:tcPr>
          <w:p w14:paraId="122498DC">
            <w:pPr>
              <w:ind w:left="-80"/>
              <w:jc w:val="right"/>
              <w:rPr>
                <w:rFonts w:hint="eastAsia"/>
                <w:lang w:val="en-US" w:eastAsia="zh-CN"/>
              </w:rPr>
            </w:pPr>
          </w:p>
        </w:tc>
      </w:tr>
      <w:tr w14:paraId="2874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02EA6908">
            <w:pPr>
              <w:spacing w:before="100" w:beforeAutospacing="1" w:after="100" w:afterAutospacing="1"/>
              <w:rPr>
                <w:rFonts w:ascii="Arial" w:hAnsi="Arial" w:cs="Arial"/>
                <w:sz w:val="24"/>
                <w:highlight w:val="none"/>
              </w:rPr>
            </w:pPr>
            <w:r>
              <w:rPr>
                <w:rFonts w:hint="eastAsia"/>
              </w:rPr>
              <w:t>应付清算款</w:t>
            </w:r>
          </w:p>
        </w:tc>
        <w:tc>
          <w:tcPr>
            <w:tcW w:w="4461" w:type="dxa"/>
            <w:shd w:val="clear" w:color="auto" w:fill="auto"/>
          </w:tcPr>
          <w:p w14:paraId="04B5274A">
            <w:pPr>
              <w:ind w:left="-80"/>
              <w:jc w:val="right"/>
              <w:rPr>
                <w:rFonts w:hint="eastAsia" w:eastAsia="宋体"/>
                <w:lang w:val="en-US" w:eastAsia="zh-CN"/>
              </w:rPr>
            </w:pPr>
            <w:r>
              <w:rPr>
                <w:rFonts w:hint="eastAsia"/>
                <w:lang w:val="en-US" w:eastAsia="zh-CN"/>
              </w:rPr>
              <w:t>-</w:t>
            </w:r>
          </w:p>
        </w:tc>
      </w:tr>
      <w:tr w14:paraId="6E32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4BE5C325">
            <w:pPr>
              <w:spacing w:before="100" w:beforeAutospacing="1" w:after="100" w:afterAutospacing="1"/>
              <w:rPr>
                <w:rFonts w:ascii="Arial" w:hAnsi="Arial" w:cs="Arial"/>
                <w:sz w:val="24"/>
                <w:highlight w:val="none"/>
              </w:rPr>
            </w:pPr>
            <w:r>
              <w:rPr>
                <w:rFonts w:hint="eastAsia"/>
              </w:rPr>
              <w:t>应付赎回款</w:t>
            </w:r>
          </w:p>
        </w:tc>
        <w:tc>
          <w:tcPr>
            <w:tcW w:w="4461" w:type="dxa"/>
            <w:shd w:val="clear" w:color="auto" w:fill="auto"/>
            <w:vAlign w:val="center"/>
          </w:tcPr>
          <w:p w14:paraId="72572F06">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rPr>
              <w:t>21,271.24</w:t>
            </w:r>
          </w:p>
        </w:tc>
      </w:tr>
      <w:tr w14:paraId="2261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2BAC1D4D">
            <w:pPr>
              <w:spacing w:before="100" w:beforeAutospacing="1" w:after="100" w:afterAutospacing="1"/>
              <w:rPr>
                <w:rFonts w:ascii="Arial" w:hAnsi="Arial" w:cs="Arial"/>
                <w:sz w:val="24"/>
                <w:highlight w:val="none"/>
              </w:rPr>
            </w:pPr>
            <w:r>
              <w:rPr>
                <w:rFonts w:hint="eastAsia"/>
              </w:rPr>
              <w:t>应付管理人报酬</w:t>
            </w:r>
          </w:p>
        </w:tc>
        <w:tc>
          <w:tcPr>
            <w:tcW w:w="4461" w:type="dxa"/>
            <w:shd w:val="clear" w:color="auto" w:fill="auto"/>
            <w:vAlign w:val="center"/>
          </w:tcPr>
          <w:p w14:paraId="483B36EF">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rPr>
              <w:t>101.97</w:t>
            </w:r>
          </w:p>
        </w:tc>
      </w:tr>
      <w:tr w14:paraId="3154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6C378994">
            <w:pPr>
              <w:spacing w:before="100" w:beforeAutospacing="1" w:after="100" w:afterAutospacing="1"/>
              <w:rPr>
                <w:rFonts w:ascii="Arial" w:hAnsi="Arial" w:cs="Arial"/>
                <w:sz w:val="24"/>
                <w:highlight w:val="none"/>
              </w:rPr>
            </w:pPr>
            <w:r>
              <w:rPr>
                <w:rFonts w:hint="eastAsia"/>
              </w:rPr>
              <w:t>应付托管费</w:t>
            </w:r>
          </w:p>
        </w:tc>
        <w:tc>
          <w:tcPr>
            <w:tcW w:w="4461" w:type="dxa"/>
            <w:shd w:val="clear" w:color="auto" w:fill="auto"/>
            <w:vAlign w:val="center"/>
          </w:tcPr>
          <w:p w14:paraId="4A26F6E7">
            <w:pPr>
              <w:keepNext w:val="0"/>
              <w:keepLines w:val="0"/>
              <w:widowControl/>
              <w:suppressLineNumbers w:val="0"/>
              <w:jc w:val="right"/>
              <w:textAlignment w:val="center"/>
              <w:rPr>
                <w:rFonts w:hint="eastAsia"/>
                <w:lang w:val="en-US" w:eastAsia="zh-CN"/>
              </w:rPr>
            </w:pPr>
            <w:r>
              <w:rPr>
                <w:rFonts w:hint="eastAsia"/>
              </w:rPr>
              <w:t>33.94</w:t>
            </w:r>
          </w:p>
        </w:tc>
      </w:tr>
      <w:tr w14:paraId="555A9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61A990B9">
            <w:pPr>
              <w:spacing w:before="100" w:beforeAutospacing="1" w:after="100" w:afterAutospacing="1"/>
              <w:rPr>
                <w:rFonts w:hint="eastAsia"/>
                <w:highlight w:val="none"/>
              </w:rPr>
            </w:pPr>
            <w:r>
              <w:rPr>
                <w:rFonts w:hint="eastAsia"/>
              </w:rPr>
              <w:t>应付销售服务费</w:t>
            </w:r>
          </w:p>
        </w:tc>
        <w:tc>
          <w:tcPr>
            <w:tcW w:w="4461" w:type="dxa"/>
            <w:shd w:val="clear" w:color="auto" w:fill="auto"/>
            <w:vAlign w:val="center"/>
          </w:tcPr>
          <w:p w14:paraId="192F9D52">
            <w:pPr>
              <w:keepNext w:val="0"/>
              <w:keepLines w:val="0"/>
              <w:widowControl/>
              <w:suppressLineNumbers w:val="0"/>
              <w:jc w:val="right"/>
              <w:textAlignment w:val="center"/>
              <w:rPr>
                <w:rFonts w:hint="eastAsia"/>
                <w:lang w:val="en-US" w:eastAsia="zh-CN"/>
              </w:rPr>
            </w:pPr>
            <w:r>
              <w:rPr>
                <w:rFonts w:hint="eastAsia" w:ascii="宋体" w:hAnsi="宋体" w:cs="宋体"/>
                <w:i w:val="0"/>
                <w:iCs w:val="0"/>
                <w:color w:val="000000"/>
                <w:kern w:val="0"/>
                <w:sz w:val="20"/>
                <w:szCs w:val="20"/>
                <w:u w:val="none"/>
                <w:lang w:val="en-US" w:eastAsia="zh-CN" w:bidi="ar"/>
              </w:rPr>
              <w:t>-</w:t>
            </w:r>
          </w:p>
        </w:tc>
      </w:tr>
      <w:tr w14:paraId="69DE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tcPr>
          <w:p w14:paraId="3F6DB766">
            <w:pPr>
              <w:spacing w:before="100" w:beforeAutospacing="1" w:after="100" w:afterAutospacing="1"/>
              <w:rPr>
                <w:rFonts w:hint="eastAsia"/>
                <w:highlight w:val="none"/>
              </w:rPr>
            </w:pPr>
            <w:r>
              <w:rPr>
                <w:rFonts w:hint="eastAsia"/>
                <w:highlight w:val="none"/>
              </w:rPr>
              <w:t>应交税费</w:t>
            </w:r>
          </w:p>
        </w:tc>
        <w:tc>
          <w:tcPr>
            <w:tcW w:w="4461" w:type="dxa"/>
            <w:shd w:val="clear" w:color="auto" w:fill="auto"/>
            <w:vAlign w:val="center"/>
          </w:tcPr>
          <w:p w14:paraId="70F270FE">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cs="宋体"/>
                <w:i w:val="0"/>
                <w:iCs w:val="0"/>
                <w:color w:val="000000"/>
                <w:kern w:val="0"/>
                <w:sz w:val="20"/>
                <w:szCs w:val="20"/>
                <w:u w:val="none"/>
                <w:lang w:val="en-US" w:eastAsia="zh-CN" w:bidi="ar"/>
              </w:rPr>
              <w:t>5.56</w:t>
            </w:r>
          </w:p>
        </w:tc>
      </w:tr>
      <w:tr w14:paraId="416C4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2" w:hRule="atLeast"/>
        </w:trPr>
        <w:tc>
          <w:tcPr>
            <w:tcW w:w="3490" w:type="dxa"/>
            <w:shd w:val="clear" w:color="auto" w:fill="auto"/>
            <w:vAlign w:val="bottom"/>
          </w:tcPr>
          <w:p w14:paraId="286FEAE8">
            <w:pPr>
              <w:spacing w:before="100" w:beforeAutospacing="1" w:after="100" w:afterAutospacing="1"/>
              <w:rPr>
                <w:rFonts w:ascii="Arial" w:hAnsi="Arial" w:cs="Arial"/>
                <w:sz w:val="24"/>
                <w:highlight w:val="none"/>
              </w:rPr>
            </w:pPr>
            <w:r>
              <w:rPr>
                <w:rFonts w:ascii="Arial" w:hAnsi="Arial" w:cs="Arial"/>
                <w:sz w:val="24"/>
                <w:highlight w:val="none"/>
              </w:rPr>
              <w:t>其他负债</w:t>
            </w:r>
          </w:p>
        </w:tc>
        <w:tc>
          <w:tcPr>
            <w:tcW w:w="4461" w:type="dxa"/>
            <w:shd w:val="clear" w:color="auto" w:fill="auto"/>
            <w:vAlign w:val="center"/>
          </w:tcPr>
          <w:p w14:paraId="4F0E25D7">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cs="宋体"/>
                <w:i w:val="0"/>
                <w:iCs w:val="0"/>
                <w:color w:val="000000"/>
                <w:kern w:val="0"/>
                <w:sz w:val="20"/>
                <w:szCs w:val="20"/>
                <w:u w:val="none"/>
                <w:lang w:val="en-US" w:eastAsia="zh-CN" w:bidi="ar"/>
              </w:rPr>
              <w:t>54,822.24</w:t>
            </w:r>
          </w:p>
        </w:tc>
      </w:tr>
      <w:tr w14:paraId="26DF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C2A187D">
            <w:pPr>
              <w:spacing w:before="100" w:beforeAutospacing="1" w:after="100" w:afterAutospacing="1"/>
              <w:rPr>
                <w:rFonts w:ascii="Arial" w:hAnsi="Arial" w:cs="Arial"/>
                <w:b/>
                <w:bCs/>
                <w:sz w:val="24"/>
                <w:highlight w:val="yellow"/>
              </w:rPr>
            </w:pPr>
            <w:r>
              <w:rPr>
                <w:rFonts w:ascii="Arial" w:hAnsi="Arial" w:cs="Arial"/>
                <w:b/>
                <w:bCs/>
                <w:sz w:val="24"/>
                <w:highlight w:val="none"/>
              </w:rPr>
              <w:t>负债合计</w:t>
            </w:r>
          </w:p>
        </w:tc>
        <w:tc>
          <w:tcPr>
            <w:tcW w:w="4461" w:type="dxa"/>
            <w:shd w:val="clear" w:color="auto" w:fill="auto"/>
            <w:vAlign w:val="center"/>
          </w:tcPr>
          <w:p w14:paraId="3DF1742D">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76,234.95</w:t>
            </w:r>
          </w:p>
        </w:tc>
      </w:tr>
      <w:tr w14:paraId="3FE74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FFDC843">
            <w:pPr>
              <w:spacing w:before="100" w:beforeAutospacing="1" w:after="100" w:afterAutospacing="1"/>
              <w:rPr>
                <w:rFonts w:ascii="Arial" w:hAnsi="Arial" w:cs="Arial"/>
                <w:b/>
                <w:bCs/>
                <w:sz w:val="24"/>
                <w:highlight w:val="none"/>
              </w:rPr>
            </w:pPr>
            <w:r>
              <w:rPr>
                <w:rFonts w:hint="eastAsia" w:ascii="Arial" w:hAnsi="Arial" w:cs="Arial"/>
                <w:b/>
                <w:bCs/>
                <w:sz w:val="24"/>
                <w:highlight w:val="none"/>
              </w:rPr>
              <w:t>净资产</w:t>
            </w:r>
            <w:r>
              <w:rPr>
                <w:rFonts w:ascii="Arial" w:hAnsi="Arial" w:cs="Arial"/>
                <w:b/>
                <w:bCs/>
                <w:sz w:val="24"/>
                <w:highlight w:val="none"/>
              </w:rPr>
              <w:t>：</w:t>
            </w:r>
          </w:p>
        </w:tc>
        <w:tc>
          <w:tcPr>
            <w:tcW w:w="4461" w:type="dxa"/>
            <w:shd w:val="clear" w:color="auto" w:fill="auto"/>
            <w:vAlign w:val="bottom"/>
          </w:tcPr>
          <w:p w14:paraId="2E728ADF">
            <w:pPr>
              <w:ind w:left="-80"/>
              <w:jc w:val="right"/>
              <w:rPr>
                <w:rFonts w:ascii="Arial" w:hAnsi="Arial" w:cs="Arial"/>
                <w:b/>
                <w:bCs/>
                <w:sz w:val="24"/>
                <w:highlight w:val="none"/>
              </w:rPr>
            </w:pPr>
          </w:p>
        </w:tc>
      </w:tr>
      <w:tr w14:paraId="6D33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3BFE2CD5">
            <w:pPr>
              <w:spacing w:before="100" w:beforeAutospacing="1" w:after="100" w:afterAutospacing="1"/>
              <w:rPr>
                <w:rFonts w:hint="eastAsia"/>
                <w:highlight w:val="none"/>
              </w:rPr>
            </w:pPr>
            <w:r>
              <w:rPr>
                <w:rFonts w:hint="eastAsia"/>
                <w:highlight w:val="none"/>
              </w:rPr>
              <w:t>实收基金</w:t>
            </w:r>
          </w:p>
        </w:tc>
        <w:tc>
          <w:tcPr>
            <w:tcW w:w="4461" w:type="dxa"/>
            <w:shd w:val="clear" w:color="auto" w:fill="auto"/>
            <w:vAlign w:val="center"/>
          </w:tcPr>
          <w:p w14:paraId="54AB4DD5">
            <w:pPr>
              <w:keepNext w:val="0"/>
              <w:keepLines w:val="0"/>
              <w:widowControl/>
              <w:suppressLineNumbers w:val="0"/>
              <w:jc w:val="righ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672,320.47</w:t>
            </w:r>
          </w:p>
        </w:tc>
      </w:tr>
      <w:tr w14:paraId="3620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60DE18B1">
            <w:pPr>
              <w:spacing w:before="100" w:beforeAutospacing="1" w:after="100" w:afterAutospacing="1"/>
              <w:rPr>
                <w:rFonts w:hint="eastAsia"/>
                <w:highlight w:val="none"/>
              </w:rPr>
            </w:pPr>
            <w:r>
              <w:rPr>
                <w:rFonts w:hint="eastAsia"/>
                <w:highlight w:val="none"/>
              </w:rPr>
              <w:t>未分配利润</w:t>
            </w:r>
          </w:p>
        </w:tc>
        <w:tc>
          <w:tcPr>
            <w:tcW w:w="4461" w:type="dxa"/>
            <w:shd w:val="clear" w:color="auto" w:fill="auto"/>
            <w:vAlign w:val="center"/>
          </w:tcPr>
          <w:p w14:paraId="4A506C3A">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34,846.99</w:t>
            </w:r>
          </w:p>
        </w:tc>
      </w:tr>
      <w:tr w14:paraId="5C68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0EC1E8BF">
            <w:pPr>
              <w:spacing w:before="100" w:beforeAutospacing="1" w:after="100" w:afterAutospacing="1"/>
              <w:rPr>
                <w:rFonts w:ascii="Arial" w:hAnsi="Arial" w:cs="Arial"/>
                <w:b/>
                <w:bCs/>
                <w:sz w:val="24"/>
                <w:highlight w:val="none"/>
              </w:rPr>
            </w:pPr>
            <w:r>
              <w:rPr>
                <w:rFonts w:hint="eastAsia" w:ascii="Arial" w:hAnsi="Arial" w:cs="Arial"/>
                <w:b/>
                <w:bCs/>
                <w:sz w:val="24"/>
                <w:highlight w:val="none"/>
              </w:rPr>
              <w:t>净资产</w:t>
            </w:r>
            <w:r>
              <w:rPr>
                <w:rFonts w:ascii="Arial" w:hAnsi="Arial" w:cs="Arial"/>
                <w:b/>
                <w:bCs/>
                <w:sz w:val="24"/>
                <w:highlight w:val="none"/>
              </w:rPr>
              <w:t>合计</w:t>
            </w:r>
          </w:p>
        </w:tc>
        <w:tc>
          <w:tcPr>
            <w:tcW w:w="4461" w:type="dxa"/>
            <w:shd w:val="clear" w:color="auto" w:fill="auto"/>
            <w:vAlign w:val="center"/>
          </w:tcPr>
          <w:p w14:paraId="2859ADC7">
            <w:pPr>
              <w:keepNext w:val="0"/>
              <w:keepLines w:val="0"/>
              <w:widowControl/>
              <w:suppressLineNumbers w:val="0"/>
              <w:jc w:val="right"/>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707,167.46</w:t>
            </w:r>
          </w:p>
        </w:tc>
      </w:tr>
      <w:tr w14:paraId="1050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490" w:type="dxa"/>
            <w:shd w:val="clear" w:color="auto" w:fill="auto"/>
            <w:vAlign w:val="bottom"/>
          </w:tcPr>
          <w:p w14:paraId="4B66E973">
            <w:pPr>
              <w:spacing w:before="100" w:beforeAutospacing="1" w:after="100" w:afterAutospacing="1"/>
              <w:rPr>
                <w:rFonts w:ascii="Arial" w:hAnsi="Arial" w:cs="Arial"/>
                <w:b/>
                <w:bCs/>
                <w:sz w:val="24"/>
                <w:highlight w:val="none"/>
              </w:rPr>
            </w:pPr>
            <w:r>
              <w:rPr>
                <w:rFonts w:ascii="Arial" w:hAnsi="Arial" w:cs="Arial"/>
                <w:b/>
                <w:bCs/>
                <w:sz w:val="24"/>
                <w:highlight w:val="none"/>
              </w:rPr>
              <w:t>负债和</w:t>
            </w:r>
            <w:r>
              <w:rPr>
                <w:rFonts w:hint="eastAsia" w:ascii="Arial" w:hAnsi="Arial" w:cs="Arial"/>
                <w:b/>
                <w:bCs/>
                <w:sz w:val="24"/>
                <w:highlight w:val="none"/>
              </w:rPr>
              <w:t>净资产</w:t>
            </w:r>
            <w:r>
              <w:rPr>
                <w:rFonts w:ascii="Arial" w:hAnsi="Arial" w:cs="Arial"/>
                <w:b/>
                <w:bCs/>
                <w:sz w:val="24"/>
                <w:highlight w:val="none"/>
              </w:rPr>
              <w:t>总计</w:t>
            </w:r>
          </w:p>
        </w:tc>
        <w:tc>
          <w:tcPr>
            <w:tcW w:w="4461" w:type="dxa"/>
            <w:shd w:val="clear" w:color="auto" w:fill="auto"/>
            <w:vAlign w:val="center"/>
          </w:tcPr>
          <w:p w14:paraId="6E204DC8">
            <w:pPr>
              <w:keepNext w:val="0"/>
              <w:keepLines w:val="0"/>
              <w:widowControl/>
              <w:suppressLineNumbers w:val="0"/>
              <w:jc w:val="righ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b/>
                <w:bCs/>
                <w:i w:val="0"/>
                <w:iCs w:val="0"/>
                <w:color w:val="000000"/>
                <w:kern w:val="0"/>
                <w:sz w:val="20"/>
                <w:szCs w:val="20"/>
                <w:u w:val="none"/>
                <w:lang w:val="en-US" w:eastAsia="zh-CN" w:bidi="ar"/>
              </w:rPr>
              <w:t>783,402.41</w:t>
            </w:r>
          </w:p>
        </w:tc>
      </w:tr>
    </w:tbl>
    <w:p w14:paraId="2CE8F92B">
      <w:pPr>
        <w:spacing w:line="0" w:lineRule="atLeast"/>
        <w:rPr>
          <w:rFonts w:hint="eastAsia" w:ascii="宋体" w:hAnsi="宋体" w:eastAsia="宋体" w:cs="Arial"/>
          <w:szCs w:val="21"/>
          <w:highlight w:val="none"/>
          <w:lang w:eastAsia="zh-CN"/>
        </w:rPr>
      </w:pPr>
      <w:r>
        <w:rPr>
          <w:rFonts w:hint="eastAsia" w:ascii="宋体" w:hAnsi="宋体" w:cs="Arial"/>
          <w:szCs w:val="21"/>
          <w:highlight w:val="none"/>
        </w:rPr>
        <w:t>注：报告截止日</w:t>
      </w:r>
      <w:r>
        <w:rPr>
          <w:rFonts w:hint="eastAsia" w:eastAsiaTheme="minorEastAsia"/>
          <w:highlight w:val="none"/>
        </w:rPr>
        <w:t>2026年</w:t>
      </w:r>
      <w:r>
        <w:rPr>
          <w:rFonts w:hint="eastAsia" w:eastAsiaTheme="minorEastAsia"/>
          <w:highlight w:val="none"/>
          <w:lang w:val="en-US" w:eastAsia="zh-CN"/>
        </w:rPr>
        <w:t>7</w:t>
      </w:r>
      <w:r>
        <w:rPr>
          <w:rFonts w:hint="eastAsia" w:eastAsiaTheme="minorEastAsia"/>
          <w:highlight w:val="none"/>
        </w:rPr>
        <w:t>月</w:t>
      </w:r>
      <w:r>
        <w:rPr>
          <w:rFonts w:hint="eastAsia" w:eastAsiaTheme="minorEastAsia"/>
          <w:highlight w:val="none"/>
          <w:lang w:val="en-US" w:eastAsia="zh-CN"/>
        </w:rPr>
        <w:t>16</w:t>
      </w:r>
      <w:r>
        <w:rPr>
          <w:rFonts w:hint="eastAsia" w:eastAsiaTheme="minorEastAsia"/>
          <w:highlight w:val="none"/>
        </w:rPr>
        <w:t>日</w:t>
      </w:r>
      <w:r>
        <w:rPr>
          <w:rFonts w:hint="eastAsia" w:ascii="宋体" w:hAnsi="宋体" w:cs="Arial"/>
          <w:szCs w:val="21"/>
          <w:highlight w:val="none"/>
        </w:rPr>
        <w:t>(基金最后运作日)，基金份额总额</w:t>
      </w:r>
      <w:r>
        <w:rPr>
          <w:rFonts w:hint="eastAsia" w:ascii="宋体" w:hAnsi="宋体" w:eastAsia="宋体" w:cs="宋体"/>
          <w:i w:val="0"/>
          <w:iCs w:val="0"/>
          <w:color w:val="000000"/>
          <w:kern w:val="0"/>
          <w:sz w:val="20"/>
          <w:szCs w:val="20"/>
          <w:u w:val="none"/>
          <w:lang w:val="en-US" w:eastAsia="zh-CN" w:bidi="ar"/>
        </w:rPr>
        <w:t>672,320.47</w:t>
      </w:r>
      <w:r>
        <w:rPr>
          <w:rFonts w:hint="eastAsia" w:ascii="宋体" w:hAnsi="宋体" w:cs="Arial"/>
          <w:szCs w:val="21"/>
          <w:highlight w:val="none"/>
        </w:rPr>
        <w:t>份</w:t>
      </w:r>
      <w:r>
        <w:rPr>
          <w:rFonts w:hint="eastAsia" w:ascii="宋体" w:hAnsi="宋体" w:cs="Arial"/>
          <w:szCs w:val="21"/>
          <w:highlight w:val="none"/>
          <w:lang w:eastAsia="zh-CN"/>
        </w:rPr>
        <w:t>，</w:t>
      </w:r>
      <w:r>
        <w:rPr>
          <w:rFonts w:hint="eastAsia" w:ascii="宋体" w:hAnsi="宋体" w:cs="Arial"/>
          <w:szCs w:val="21"/>
          <w:highlight w:val="none"/>
        </w:rPr>
        <w:t>基金份额净值1.0518元</w:t>
      </w:r>
      <w:r>
        <w:rPr>
          <w:rFonts w:hint="eastAsia" w:ascii="宋体" w:hAnsi="宋体" w:cs="Arial"/>
          <w:szCs w:val="21"/>
          <w:highlight w:val="none"/>
          <w:lang w:eastAsia="zh-CN"/>
        </w:rPr>
        <w:t>；</w:t>
      </w:r>
    </w:p>
    <w:p w14:paraId="30A3C911">
      <w:pPr>
        <w:pStyle w:val="3"/>
        <w:spacing w:before="0" w:after="0"/>
        <w:rPr>
          <w:rFonts w:ascii="宋体" w:hAnsi="宋体" w:eastAsia="宋体"/>
          <w:kern w:val="0"/>
          <w:sz w:val="21"/>
          <w:szCs w:val="21"/>
          <w:highlight w:val="none"/>
        </w:rPr>
      </w:pPr>
      <w:bookmarkStart w:id="39" w:name="_Toc484769807"/>
      <w:bookmarkStart w:id="40" w:name="_Toc491963085"/>
      <w:r>
        <w:rPr>
          <w:rFonts w:hint="eastAsia" w:ascii="宋体" w:hAnsi="宋体" w:eastAsia="宋体"/>
          <w:kern w:val="0"/>
          <w:sz w:val="21"/>
          <w:szCs w:val="21"/>
          <w:highlight w:val="none"/>
        </w:rPr>
        <w:t>4</w:t>
      </w:r>
      <w:r>
        <w:rPr>
          <w:rFonts w:ascii="宋体" w:hAnsi="宋体" w:eastAsia="宋体"/>
          <w:kern w:val="0"/>
          <w:sz w:val="21"/>
          <w:szCs w:val="21"/>
          <w:highlight w:val="none"/>
        </w:rPr>
        <w:t xml:space="preserve">.2 </w:t>
      </w:r>
      <w:r>
        <w:rPr>
          <w:rFonts w:hint="eastAsia" w:ascii="宋体" w:hAnsi="宋体" w:eastAsia="宋体"/>
          <w:kern w:val="0"/>
          <w:sz w:val="21"/>
          <w:szCs w:val="21"/>
          <w:highlight w:val="none"/>
        </w:rPr>
        <w:t>清算损益表</w:t>
      </w:r>
      <w:bookmarkEnd w:id="39"/>
      <w:bookmarkEnd w:id="40"/>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1D41B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4D4B16AD">
            <w:pPr>
              <w:pStyle w:val="11"/>
              <w:jc w:val="center"/>
              <w:rPr>
                <w:rFonts w:hint="eastAsia"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t>项目</w:t>
            </w:r>
          </w:p>
        </w:tc>
        <w:tc>
          <w:tcPr>
            <w:tcW w:w="4408" w:type="dxa"/>
            <w:vAlign w:val="center"/>
          </w:tcPr>
          <w:p w14:paraId="6F4BA68E">
            <w:pPr>
              <w:pStyle w:val="11"/>
              <w:spacing w:before="0" w:beforeAutospacing="0" w:after="0" w:afterAutospacing="0"/>
              <w:jc w:val="center"/>
              <w:rPr>
                <w:rFonts w:hint="eastAsia"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t>2026年</w:t>
            </w:r>
            <w:r>
              <w:rPr>
                <w:rFonts w:hint="eastAsia" w:ascii="宋体" w:hAnsi="宋体" w:eastAsia="宋体"/>
                <w:b/>
                <w:color w:val="000000" w:themeColor="text1"/>
                <w:sz w:val="21"/>
                <w:szCs w:val="21"/>
                <w:highlight w:val="none"/>
                <w:lang w:val="en-US" w:eastAsia="zh-CN"/>
                <w14:textFill>
                  <w14:solidFill>
                    <w14:schemeClr w14:val="tx1"/>
                  </w14:solidFill>
                </w14:textFill>
              </w:rPr>
              <w:t>7</w:t>
            </w:r>
            <w:r>
              <w:rPr>
                <w:rFonts w:hint="eastAsia" w:ascii="宋体" w:hAnsi="宋体" w:eastAsia="宋体"/>
                <w:b/>
                <w:color w:val="000000" w:themeColor="text1"/>
                <w:sz w:val="21"/>
                <w:szCs w:val="21"/>
                <w:highlight w:val="none"/>
                <w:lang w:eastAsia="zh-CN"/>
                <w14:textFill>
                  <w14:solidFill>
                    <w14:schemeClr w14:val="tx1"/>
                  </w14:solidFill>
                </w14:textFill>
              </w:rPr>
              <w:t>月</w:t>
            </w:r>
            <w:r>
              <w:rPr>
                <w:rFonts w:hint="eastAsia" w:ascii="宋体" w:hAnsi="宋体" w:eastAsia="宋体"/>
                <w:b/>
                <w:color w:val="000000" w:themeColor="text1"/>
                <w:sz w:val="21"/>
                <w:szCs w:val="21"/>
                <w:highlight w:val="none"/>
                <w:lang w:val="en-US" w:eastAsia="zh-CN"/>
                <w14:textFill>
                  <w14:solidFill>
                    <w14:schemeClr w14:val="tx1"/>
                  </w14:solidFill>
                </w14:textFill>
              </w:rPr>
              <w:t>17</w:t>
            </w:r>
            <w:r>
              <w:rPr>
                <w:rFonts w:hint="eastAsia" w:ascii="宋体" w:hAnsi="宋体" w:eastAsia="宋体"/>
                <w:b/>
                <w:color w:val="000000" w:themeColor="text1"/>
                <w:sz w:val="21"/>
                <w:szCs w:val="21"/>
                <w:highlight w:val="none"/>
                <w:lang w:eastAsia="zh-CN"/>
                <w14:textFill>
                  <w14:solidFill>
                    <w14:schemeClr w14:val="tx1"/>
                  </w14:solidFill>
                </w14:textFill>
              </w:rPr>
              <w:t>日至2026年</w:t>
            </w:r>
            <w:r>
              <w:rPr>
                <w:rFonts w:hint="eastAsia" w:ascii="宋体" w:hAnsi="宋体" w:eastAsia="宋体"/>
                <w:b/>
                <w:color w:val="000000" w:themeColor="text1"/>
                <w:sz w:val="21"/>
                <w:szCs w:val="21"/>
                <w:highlight w:val="none"/>
                <w:lang w:val="en-US" w:eastAsia="zh-CN"/>
                <w14:textFill>
                  <w14:solidFill>
                    <w14:schemeClr w14:val="tx1"/>
                  </w14:solidFill>
                </w14:textFill>
              </w:rPr>
              <w:t>8</w:t>
            </w:r>
            <w:r>
              <w:rPr>
                <w:rFonts w:hint="eastAsia" w:ascii="宋体" w:hAnsi="宋体" w:eastAsia="宋体"/>
                <w:b/>
                <w:color w:val="000000" w:themeColor="text1"/>
                <w:sz w:val="21"/>
                <w:szCs w:val="21"/>
                <w:highlight w:val="none"/>
                <w:lang w:eastAsia="zh-CN"/>
                <w14:textFill>
                  <w14:solidFill>
                    <w14:schemeClr w14:val="tx1"/>
                  </w14:solidFill>
                </w14:textFill>
              </w:rPr>
              <w:t>月</w:t>
            </w:r>
            <w:r>
              <w:rPr>
                <w:rFonts w:hint="eastAsia" w:ascii="宋体" w:hAnsi="宋体" w:eastAsia="宋体"/>
                <w:b/>
                <w:color w:val="000000" w:themeColor="text1"/>
                <w:sz w:val="21"/>
                <w:szCs w:val="21"/>
                <w:highlight w:val="none"/>
                <w:lang w:val="en-US" w:eastAsia="zh-CN"/>
                <w14:textFill>
                  <w14:solidFill>
                    <w14:schemeClr w14:val="tx1"/>
                  </w14:solidFill>
                </w14:textFill>
              </w:rPr>
              <w:t>5</w:t>
            </w:r>
            <w:r>
              <w:rPr>
                <w:rFonts w:hint="eastAsia" w:ascii="宋体" w:hAnsi="宋体" w:eastAsia="宋体"/>
                <w:b/>
                <w:color w:val="000000" w:themeColor="text1"/>
                <w:sz w:val="21"/>
                <w:szCs w:val="21"/>
                <w:highlight w:val="none"/>
                <w:lang w:eastAsia="zh-CN"/>
                <w14:textFill>
                  <w14:solidFill>
                    <w14:schemeClr w14:val="tx1"/>
                  </w14:solidFill>
                </w14:textFill>
              </w:rPr>
              <w:t>日</w:t>
            </w:r>
          </w:p>
          <w:p w14:paraId="4A4385F8">
            <w:pPr>
              <w:pStyle w:val="11"/>
              <w:spacing w:before="0" w:beforeAutospacing="0" w:after="0" w:afterAutospacing="0"/>
              <w:jc w:val="center"/>
              <w:rPr>
                <w:rFonts w:hint="eastAsia"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t>（清算期间）</w:t>
            </w:r>
          </w:p>
        </w:tc>
      </w:tr>
      <w:tr w14:paraId="0B324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495" w:type="dxa"/>
            <w:vAlign w:val="center"/>
          </w:tcPr>
          <w:p w14:paraId="32A0658D">
            <w:pPr>
              <w:rPr>
                <w:rFonts w:hint="eastAsia" w:ascii="宋体" w:hAnsi="宋体"/>
                <w:b/>
                <w:color w:val="000000" w:themeColor="text1"/>
                <w:szCs w:val="21"/>
                <w:highlight w:val="none"/>
                <w14:textFill>
                  <w14:solidFill>
                    <w14:schemeClr w14:val="tx1"/>
                  </w14:solidFill>
                </w14:textFill>
              </w:rPr>
            </w:pPr>
            <w:r>
              <w:rPr>
                <w:rFonts w:hint="eastAsia"/>
                <w:b/>
                <w:bCs/>
                <w:color w:val="000000"/>
                <w:szCs w:val="21"/>
                <w:highlight w:val="none"/>
              </w:rPr>
              <w:t>一、清算收益</w:t>
            </w:r>
          </w:p>
        </w:tc>
        <w:tc>
          <w:tcPr>
            <w:tcW w:w="4408" w:type="dxa"/>
          </w:tcPr>
          <w:p w14:paraId="30DAD6C0">
            <w:pPr>
              <w:ind w:left="-80"/>
              <w:jc w:val="right"/>
              <w:rPr>
                <w:rFonts w:ascii="Arial" w:hAnsi="Arial" w:cs="Arial"/>
                <w:b/>
                <w:bCs/>
                <w:color w:val="000000"/>
                <w:sz w:val="24"/>
                <w:highlight w:val="none"/>
              </w:rPr>
            </w:pPr>
            <w:r>
              <w:rPr>
                <w:rFonts w:hint="eastAsia"/>
              </w:rPr>
              <w:t>640.56</w:t>
            </w:r>
          </w:p>
        </w:tc>
      </w:tr>
      <w:tr w14:paraId="7000B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46F14E82">
            <w:pPr>
              <w:rPr>
                <w:rFonts w:hint="eastAsia" w:ascii="宋体" w:hAnsi="宋体"/>
                <w:color w:val="000000" w:themeColor="text1"/>
                <w:szCs w:val="21"/>
                <w:highlight w:val="none"/>
                <w14:textFill>
                  <w14:solidFill>
                    <w14:schemeClr w14:val="tx1"/>
                  </w14:solidFill>
                </w14:textFill>
              </w:rPr>
            </w:pPr>
            <w:r>
              <w:rPr>
                <w:color w:val="000000"/>
                <w:szCs w:val="21"/>
                <w:highlight w:val="none"/>
              </w:rPr>
              <w:t>1.</w:t>
            </w:r>
            <w:r>
              <w:rPr>
                <w:color w:val="000000"/>
                <w:sz w:val="14"/>
                <w:szCs w:val="14"/>
                <w:highlight w:val="none"/>
              </w:rPr>
              <w:t xml:space="preserve">  </w:t>
            </w:r>
            <w:r>
              <w:rPr>
                <w:rFonts w:hint="eastAsia"/>
                <w:color w:val="000000"/>
                <w:szCs w:val="21"/>
                <w:highlight w:val="none"/>
              </w:rPr>
              <w:t>利息收入</w:t>
            </w:r>
          </w:p>
        </w:tc>
        <w:tc>
          <w:tcPr>
            <w:tcW w:w="4408" w:type="dxa"/>
          </w:tcPr>
          <w:p w14:paraId="7E451FAF">
            <w:pPr>
              <w:ind w:left="-80"/>
              <w:jc w:val="right"/>
              <w:rPr>
                <w:rFonts w:ascii="Arial" w:hAnsi="Arial" w:cs="Arial"/>
                <w:color w:val="000000"/>
                <w:sz w:val="24"/>
                <w:highlight w:val="none"/>
              </w:rPr>
            </w:pPr>
            <w:r>
              <w:rPr>
                <w:rFonts w:hint="eastAsia"/>
              </w:rPr>
              <w:t>163.43</w:t>
            </w:r>
          </w:p>
        </w:tc>
      </w:tr>
      <w:tr w14:paraId="09078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2D588E81">
            <w:pPr>
              <w:rPr>
                <w:rFonts w:hint="eastAsia" w:ascii="宋体" w:hAnsi="宋体"/>
                <w:color w:val="000000" w:themeColor="text1"/>
                <w:szCs w:val="21"/>
                <w:highlight w:val="none"/>
                <w14:textFill>
                  <w14:solidFill>
                    <w14:schemeClr w14:val="tx1"/>
                  </w14:solidFill>
                </w14:textFill>
              </w:rPr>
            </w:pPr>
            <w:r>
              <w:rPr>
                <w:color w:val="000000"/>
                <w:szCs w:val="21"/>
                <w:highlight w:val="none"/>
              </w:rPr>
              <w:t>2.</w:t>
            </w:r>
            <w:r>
              <w:rPr>
                <w:color w:val="000000"/>
                <w:sz w:val="14"/>
                <w:szCs w:val="14"/>
                <w:highlight w:val="none"/>
              </w:rPr>
              <w:t xml:space="preserve">  </w:t>
            </w:r>
            <w:r>
              <w:rPr>
                <w:rFonts w:hint="eastAsia"/>
                <w:color w:val="000000"/>
                <w:szCs w:val="21"/>
                <w:highlight w:val="none"/>
              </w:rPr>
              <w:t>其他收入</w:t>
            </w:r>
          </w:p>
        </w:tc>
        <w:tc>
          <w:tcPr>
            <w:tcW w:w="4408" w:type="dxa"/>
          </w:tcPr>
          <w:p w14:paraId="08E836C4">
            <w:pPr>
              <w:ind w:left="-80"/>
              <w:jc w:val="right"/>
              <w:rPr>
                <w:rFonts w:hint="default" w:ascii="Arial" w:hAnsi="Arial" w:eastAsia="宋体" w:cs="Arial"/>
                <w:color w:val="000000"/>
                <w:sz w:val="24"/>
                <w:highlight w:val="none"/>
                <w:lang w:val="en-US" w:eastAsia="zh-CN"/>
              </w:rPr>
            </w:pPr>
            <w:r>
              <w:rPr>
                <w:rFonts w:hint="eastAsia"/>
                <w:highlight w:val="none"/>
                <w:lang w:val="en-US" w:eastAsia="zh-CN"/>
              </w:rPr>
              <w:t>-</w:t>
            </w:r>
          </w:p>
        </w:tc>
      </w:tr>
      <w:tr w14:paraId="27518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3495" w:type="dxa"/>
            <w:vAlign w:val="center"/>
          </w:tcPr>
          <w:p w14:paraId="2FE653CE">
            <w:pPr>
              <w:rPr>
                <w:color w:val="000000"/>
                <w:szCs w:val="21"/>
                <w:highlight w:val="none"/>
              </w:rPr>
            </w:pPr>
            <w:r>
              <w:rPr>
                <w:color w:val="000000"/>
                <w:szCs w:val="21"/>
                <w:highlight w:val="none"/>
              </w:rPr>
              <w:t xml:space="preserve">3. </w:t>
            </w:r>
            <w:r>
              <w:rPr>
                <w:rFonts w:hint="eastAsia"/>
                <w:color w:val="000000"/>
                <w:szCs w:val="21"/>
                <w:highlight w:val="none"/>
              </w:rPr>
              <w:t>公允价值变动损益</w:t>
            </w:r>
          </w:p>
        </w:tc>
        <w:tc>
          <w:tcPr>
            <w:tcW w:w="4408" w:type="dxa"/>
          </w:tcPr>
          <w:p w14:paraId="2A905D55">
            <w:pPr>
              <w:ind w:left="-80"/>
              <w:jc w:val="right"/>
              <w:rPr>
                <w:rFonts w:hint="eastAsia" w:ascii="Arial" w:hAnsi="Arial" w:eastAsia="宋体" w:cs="Arial"/>
                <w:color w:val="000000"/>
                <w:sz w:val="24"/>
                <w:highlight w:val="none"/>
                <w:lang w:eastAsia="zh-CN"/>
              </w:rPr>
            </w:pPr>
            <w:r>
              <w:rPr>
                <w:rFonts w:hint="eastAsia"/>
                <w:highlight w:val="none"/>
                <w:lang w:val="en-US" w:eastAsia="zh-CN"/>
              </w:rPr>
              <w:t>2,500.00</w:t>
            </w:r>
          </w:p>
        </w:tc>
      </w:tr>
      <w:tr w14:paraId="58DB2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3495" w:type="dxa"/>
            <w:vAlign w:val="center"/>
          </w:tcPr>
          <w:p w14:paraId="1D1CA88C">
            <w:pPr>
              <w:rPr>
                <w:color w:val="000000"/>
                <w:szCs w:val="21"/>
                <w:highlight w:val="none"/>
              </w:rPr>
            </w:pPr>
            <w:r>
              <w:rPr>
                <w:color w:val="000000"/>
                <w:szCs w:val="21"/>
                <w:highlight w:val="none"/>
              </w:rPr>
              <w:t>4</w:t>
            </w:r>
            <w:r>
              <w:rPr>
                <w:rFonts w:hint="eastAsia"/>
                <w:color w:val="000000"/>
                <w:szCs w:val="21"/>
                <w:highlight w:val="none"/>
              </w:rPr>
              <w:t>．投资收益</w:t>
            </w:r>
          </w:p>
        </w:tc>
        <w:tc>
          <w:tcPr>
            <w:tcW w:w="4408" w:type="dxa"/>
          </w:tcPr>
          <w:p w14:paraId="3E1F3D8E">
            <w:pPr>
              <w:ind w:left="-80"/>
              <w:jc w:val="right"/>
              <w:rPr>
                <w:rFonts w:hint="eastAsia" w:ascii="Arial" w:hAnsi="Arial" w:eastAsia="宋体" w:cs="Arial"/>
                <w:color w:val="000000"/>
                <w:sz w:val="24"/>
                <w:highlight w:val="none"/>
                <w:lang w:eastAsia="zh-CN"/>
              </w:rPr>
            </w:pPr>
            <w:r>
              <w:rPr>
                <w:rFonts w:hint="eastAsia"/>
                <w:highlight w:val="none"/>
                <w:lang w:val="en-US" w:eastAsia="zh-CN"/>
              </w:rPr>
              <w:t>-2,022.87</w:t>
            </w:r>
          </w:p>
        </w:tc>
      </w:tr>
      <w:tr w14:paraId="465C5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136C3A26">
            <w:pPr>
              <w:rPr>
                <w:rFonts w:hint="eastAsia" w:ascii="宋体" w:hAnsi="宋体"/>
                <w:color w:val="000000" w:themeColor="text1"/>
                <w:szCs w:val="21"/>
                <w:highlight w:val="none"/>
                <w14:textFill>
                  <w14:solidFill>
                    <w14:schemeClr w14:val="tx1"/>
                  </w14:solidFill>
                </w14:textFill>
              </w:rPr>
            </w:pPr>
            <w:r>
              <w:rPr>
                <w:rFonts w:hint="eastAsia"/>
                <w:b/>
                <w:bCs/>
                <w:color w:val="000000"/>
                <w:szCs w:val="21"/>
                <w:highlight w:val="none"/>
              </w:rPr>
              <w:t>二、清算费用</w:t>
            </w:r>
          </w:p>
        </w:tc>
        <w:tc>
          <w:tcPr>
            <w:tcW w:w="4408" w:type="dxa"/>
          </w:tcPr>
          <w:p w14:paraId="75B2E3D1">
            <w:pPr>
              <w:ind w:left="-80"/>
              <w:jc w:val="right"/>
              <w:rPr>
                <w:rFonts w:hint="eastAsia"/>
                <w:highlight w:val="none"/>
                <w:lang w:val="en-US" w:eastAsia="zh-CN"/>
              </w:rPr>
            </w:pPr>
            <w:r>
              <w:rPr>
                <w:rFonts w:hint="eastAsia"/>
                <w:highlight w:val="none"/>
                <w:lang w:val="en-US" w:eastAsia="zh-CN"/>
              </w:rPr>
              <w:t>3,100.41</w:t>
            </w:r>
          </w:p>
        </w:tc>
      </w:tr>
      <w:tr w14:paraId="58A37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6820036D">
            <w:pPr>
              <w:rPr>
                <w:rFonts w:hint="eastAsia" w:ascii="宋体" w:hAnsi="宋体"/>
                <w:b/>
                <w:color w:val="000000" w:themeColor="text1"/>
                <w:szCs w:val="21"/>
                <w:highlight w:val="none"/>
                <w14:textFill>
                  <w14:solidFill>
                    <w14:schemeClr w14:val="tx1"/>
                  </w14:solidFill>
                </w14:textFill>
              </w:rPr>
            </w:pPr>
            <w:r>
              <w:rPr>
                <w:rFonts w:hint="eastAsia"/>
                <w:color w:val="000000"/>
                <w:szCs w:val="21"/>
                <w:highlight w:val="none"/>
              </w:rPr>
              <w:t>汇划费</w:t>
            </w:r>
          </w:p>
        </w:tc>
        <w:tc>
          <w:tcPr>
            <w:tcW w:w="4408" w:type="dxa"/>
          </w:tcPr>
          <w:p w14:paraId="577E1078">
            <w:pPr>
              <w:ind w:left="-80"/>
              <w:jc w:val="right"/>
              <w:rPr>
                <w:rFonts w:hint="eastAsia"/>
                <w:highlight w:val="none"/>
                <w:lang w:val="en-US" w:eastAsia="zh-CN"/>
              </w:rPr>
            </w:pPr>
            <w:r>
              <w:rPr>
                <w:rFonts w:hint="eastAsia"/>
                <w:highlight w:val="none"/>
                <w:lang w:val="en-US" w:eastAsia="zh-CN"/>
              </w:rPr>
              <w:t>-</w:t>
            </w:r>
          </w:p>
        </w:tc>
      </w:tr>
      <w:tr w14:paraId="4BA9D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092726F6">
            <w:pPr>
              <w:rPr>
                <w:color w:val="000000"/>
                <w:szCs w:val="21"/>
                <w:highlight w:val="none"/>
              </w:rPr>
            </w:pPr>
            <w:r>
              <w:rPr>
                <w:rFonts w:hint="eastAsia"/>
                <w:highlight w:val="none"/>
              </w:rPr>
              <w:t>税金及附加</w:t>
            </w:r>
          </w:p>
        </w:tc>
        <w:tc>
          <w:tcPr>
            <w:tcW w:w="4408" w:type="dxa"/>
          </w:tcPr>
          <w:p w14:paraId="3D82EF3A">
            <w:pPr>
              <w:ind w:left="-80"/>
              <w:jc w:val="right"/>
              <w:rPr>
                <w:rFonts w:hint="eastAsia"/>
                <w:highlight w:val="none"/>
                <w:lang w:val="en-US" w:eastAsia="zh-CN"/>
              </w:rPr>
            </w:pPr>
            <w:r>
              <w:rPr>
                <w:rFonts w:hint="eastAsia"/>
                <w:highlight w:val="none"/>
                <w:lang w:val="en-US" w:eastAsia="zh-CN"/>
              </w:rPr>
              <w:t>0.41</w:t>
            </w:r>
          </w:p>
        </w:tc>
      </w:tr>
      <w:tr w14:paraId="62042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5BA6560F">
            <w:pPr>
              <w:rPr>
                <w:color w:val="000000"/>
                <w:szCs w:val="21"/>
                <w:highlight w:val="none"/>
              </w:rPr>
            </w:pPr>
            <w:r>
              <w:rPr>
                <w:rFonts w:hint="eastAsia"/>
                <w:color w:val="000000"/>
                <w:szCs w:val="21"/>
                <w:highlight w:val="none"/>
              </w:rPr>
              <w:t>其他费用</w:t>
            </w:r>
          </w:p>
        </w:tc>
        <w:tc>
          <w:tcPr>
            <w:tcW w:w="4408" w:type="dxa"/>
          </w:tcPr>
          <w:p w14:paraId="611B4CC8">
            <w:pPr>
              <w:ind w:left="-80"/>
              <w:jc w:val="right"/>
              <w:rPr>
                <w:rFonts w:hint="default"/>
                <w:highlight w:val="none"/>
                <w:lang w:val="en-US" w:eastAsia="zh-CN"/>
              </w:rPr>
            </w:pPr>
            <w:r>
              <w:rPr>
                <w:rFonts w:hint="eastAsia"/>
                <w:highlight w:val="none"/>
                <w:lang w:val="en-US" w:eastAsia="zh-CN"/>
              </w:rPr>
              <w:t>3,100.00</w:t>
            </w:r>
          </w:p>
        </w:tc>
      </w:tr>
      <w:tr w14:paraId="21605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 w:hRule="atLeast"/>
          <w:jc w:val="center"/>
        </w:trPr>
        <w:tc>
          <w:tcPr>
            <w:tcW w:w="3495" w:type="dxa"/>
            <w:vAlign w:val="center"/>
          </w:tcPr>
          <w:p w14:paraId="115FFA6C">
            <w:pPr>
              <w:rPr>
                <w:rFonts w:hint="eastAsia" w:ascii="宋体" w:hAnsi="宋体"/>
                <w:color w:val="000000" w:themeColor="text1"/>
                <w:szCs w:val="21"/>
                <w:highlight w:val="none"/>
                <w14:textFill>
                  <w14:solidFill>
                    <w14:schemeClr w14:val="tx1"/>
                  </w14:solidFill>
                </w14:textFill>
              </w:rPr>
            </w:pPr>
            <w:r>
              <w:rPr>
                <w:rFonts w:hint="eastAsia"/>
                <w:b/>
                <w:bCs/>
                <w:color w:val="000000"/>
                <w:szCs w:val="21"/>
                <w:highlight w:val="none"/>
              </w:rPr>
              <w:t>三、清算收益（损失）总额</w:t>
            </w:r>
          </w:p>
        </w:tc>
        <w:tc>
          <w:tcPr>
            <w:tcW w:w="4408" w:type="dxa"/>
            <w:vAlign w:val="center"/>
          </w:tcPr>
          <w:p w14:paraId="09A706E6">
            <w:pPr>
              <w:ind w:left="-80"/>
              <w:jc w:val="right"/>
              <w:rPr>
                <w:rFonts w:hint="eastAsia" w:ascii="Arial" w:hAnsi="Arial" w:cs="Arial"/>
                <w:b/>
                <w:bCs/>
                <w:color w:val="000000"/>
                <w:sz w:val="24"/>
                <w:highlight w:val="none"/>
              </w:rPr>
            </w:pPr>
            <w:r>
              <w:rPr>
                <w:rFonts w:hint="eastAsia"/>
              </w:rPr>
              <w:t>-2,459.85</w:t>
            </w:r>
          </w:p>
        </w:tc>
      </w:tr>
      <w:tr w14:paraId="4D877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145418B2">
            <w:pPr>
              <w:rPr>
                <w:rFonts w:hint="eastAsia" w:ascii="宋体" w:hAnsi="宋体"/>
                <w:color w:val="000000" w:themeColor="text1"/>
                <w:szCs w:val="21"/>
                <w:highlight w:val="none"/>
                <w14:textFill>
                  <w14:solidFill>
                    <w14:schemeClr w14:val="tx1"/>
                  </w14:solidFill>
                </w14:textFill>
              </w:rPr>
            </w:pPr>
            <w:r>
              <w:rPr>
                <w:rFonts w:hint="eastAsia"/>
                <w:color w:val="000000"/>
                <w:szCs w:val="21"/>
                <w:highlight w:val="none"/>
              </w:rPr>
              <w:t>减：所得税费用</w:t>
            </w:r>
          </w:p>
        </w:tc>
        <w:tc>
          <w:tcPr>
            <w:tcW w:w="4408" w:type="dxa"/>
            <w:shd w:val="clear" w:color="auto" w:fill="auto"/>
            <w:vAlign w:val="center"/>
          </w:tcPr>
          <w:p w14:paraId="2D344FFB">
            <w:pPr>
              <w:jc w:val="righ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w:t>
            </w:r>
          </w:p>
        </w:tc>
      </w:tr>
      <w:tr w14:paraId="69F88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shd w:val="clear" w:color="auto" w:fill="auto"/>
            <w:vAlign w:val="center"/>
          </w:tcPr>
          <w:p w14:paraId="1AF8D2DB">
            <w:pPr>
              <w:rPr>
                <w:rFonts w:hint="eastAsia" w:ascii="宋体" w:hAnsi="宋体"/>
                <w:b/>
                <w:color w:val="000000" w:themeColor="text1"/>
                <w:szCs w:val="21"/>
                <w:highlight w:val="none"/>
                <w14:textFill>
                  <w14:solidFill>
                    <w14:schemeClr w14:val="tx1"/>
                  </w14:solidFill>
                </w14:textFill>
              </w:rPr>
            </w:pPr>
            <w:r>
              <w:rPr>
                <w:rFonts w:hint="eastAsia"/>
                <w:b/>
                <w:bCs/>
                <w:color w:val="000000"/>
                <w:szCs w:val="21"/>
                <w:highlight w:val="none"/>
              </w:rPr>
              <w:t>四、清算净收益（损失）</w:t>
            </w:r>
          </w:p>
        </w:tc>
        <w:tc>
          <w:tcPr>
            <w:tcW w:w="4408" w:type="dxa"/>
            <w:shd w:val="clear" w:color="auto" w:fill="auto"/>
            <w:vAlign w:val="center"/>
          </w:tcPr>
          <w:p w14:paraId="46B866EB">
            <w:pPr>
              <w:ind w:left="-80" w:leftChars="0"/>
              <w:jc w:val="right"/>
              <w:rPr>
                <w:rFonts w:ascii="Arial" w:hAnsi="Arial" w:cs="Arial"/>
                <w:b/>
                <w:bCs/>
                <w:color w:val="000000"/>
                <w:sz w:val="24"/>
                <w:highlight w:val="none"/>
              </w:rPr>
            </w:pPr>
            <w:r>
              <w:rPr>
                <w:rFonts w:hint="eastAsia"/>
              </w:rPr>
              <w:t>-2,459.85</w:t>
            </w:r>
          </w:p>
        </w:tc>
      </w:tr>
    </w:tbl>
    <w:p w14:paraId="2181C176">
      <w:pPr>
        <w:pStyle w:val="24"/>
        <w:rPr>
          <w:b/>
          <w:highlight w:val="none"/>
        </w:rPr>
      </w:pPr>
      <w:bookmarkStart w:id="41" w:name="_Toc484769808"/>
      <w:bookmarkStart w:id="42" w:name="_Toc484607313"/>
      <w:bookmarkStart w:id="43" w:name="_Toc483396840"/>
      <w:r>
        <w:rPr>
          <w:rFonts w:hint="eastAsia"/>
          <w:highlight w:val="none"/>
        </w:rPr>
        <w:t>注：1.利息收入系以当前适用的利率预估计提的自2026年</w:t>
      </w:r>
      <w:r>
        <w:rPr>
          <w:rFonts w:hint="eastAsia"/>
          <w:highlight w:val="none"/>
          <w:lang w:val="en-US" w:eastAsia="zh-CN"/>
        </w:rPr>
        <w:t>7</w:t>
      </w:r>
      <w:r>
        <w:rPr>
          <w:rFonts w:hint="eastAsia"/>
          <w:highlight w:val="none"/>
        </w:rPr>
        <w:t>月</w:t>
      </w:r>
      <w:r>
        <w:rPr>
          <w:rFonts w:hint="eastAsia"/>
          <w:highlight w:val="none"/>
          <w:lang w:val="en-US" w:eastAsia="zh-CN"/>
        </w:rPr>
        <w:t>17</w:t>
      </w:r>
      <w:r>
        <w:rPr>
          <w:rFonts w:hint="eastAsia"/>
          <w:highlight w:val="none"/>
        </w:rPr>
        <w:t>日至2026年</w:t>
      </w:r>
      <w:r>
        <w:rPr>
          <w:rFonts w:hint="eastAsia"/>
          <w:highlight w:val="none"/>
          <w:lang w:val="en-US" w:eastAsia="zh-CN"/>
        </w:rPr>
        <w:t>8</w:t>
      </w:r>
      <w:r>
        <w:rPr>
          <w:rFonts w:hint="eastAsia"/>
          <w:highlight w:val="none"/>
        </w:rPr>
        <w:t>月</w:t>
      </w:r>
      <w:r>
        <w:rPr>
          <w:rFonts w:hint="eastAsia"/>
          <w:highlight w:val="none"/>
          <w:lang w:val="en-US" w:eastAsia="zh-CN"/>
        </w:rPr>
        <w:t>5</w:t>
      </w:r>
      <w:r>
        <w:rPr>
          <w:rFonts w:hint="eastAsia"/>
          <w:highlight w:val="none"/>
        </w:rPr>
        <w:t>日止清算期间的活期存款</w:t>
      </w:r>
      <w:r>
        <w:rPr>
          <w:rFonts w:hint="eastAsia"/>
          <w:highlight w:val="none"/>
          <w:lang w:eastAsia="zh-CN"/>
        </w:rPr>
        <w:t>、</w:t>
      </w:r>
      <w:r>
        <w:rPr>
          <w:rFonts w:hint="eastAsia"/>
          <w:highlight w:val="none"/>
          <w:lang w:val="en-US" w:eastAsia="zh-CN"/>
        </w:rPr>
        <w:t>存出保证金利息</w:t>
      </w:r>
      <w:r>
        <w:rPr>
          <w:rFonts w:hint="eastAsia"/>
          <w:highlight w:val="none"/>
        </w:rPr>
        <w:t>；</w:t>
      </w:r>
    </w:p>
    <w:p w14:paraId="5F8E534D">
      <w:pPr>
        <w:pStyle w:val="3"/>
        <w:spacing w:before="0" w:after="0"/>
        <w:rPr>
          <w:rFonts w:ascii="宋体" w:hAnsi="宋体" w:eastAsia="宋体"/>
          <w:kern w:val="0"/>
          <w:sz w:val="21"/>
          <w:szCs w:val="21"/>
          <w:highlight w:val="none"/>
        </w:rPr>
      </w:pPr>
      <w:bookmarkStart w:id="44" w:name="_Toc491963086"/>
      <w:r>
        <w:rPr>
          <w:rFonts w:hint="eastAsia" w:ascii="宋体" w:hAnsi="宋体" w:eastAsia="宋体"/>
          <w:kern w:val="0"/>
          <w:sz w:val="21"/>
          <w:szCs w:val="21"/>
          <w:highlight w:val="none"/>
        </w:rPr>
        <w:t>4.3</w:t>
      </w:r>
      <w:r>
        <w:rPr>
          <w:rFonts w:ascii="宋体" w:hAnsi="宋体" w:eastAsia="宋体"/>
          <w:kern w:val="0"/>
          <w:sz w:val="21"/>
          <w:szCs w:val="21"/>
          <w:highlight w:val="none"/>
        </w:rPr>
        <w:t xml:space="preserve"> </w:t>
      </w:r>
      <w:r>
        <w:rPr>
          <w:rFonts w:hint="eastAsia" w:ascii="宋体" w:hAnsi="宋体" w:eastAsia="宋体"/>
          <w:kern w:val="0"/>
          <w:sz w:val="21"/>
          <w:szCs w:val="21"/>
          <w:highlight w:val="none"/>
        </w:rPr>
        <w:t>报表附注</w:t>
      </w:r>
      <w:bookmarkEnd w:id="41"/>
      <w:bookmarkEnd w:id="42"/>
      <w:bookmarkEnd w:id="43"/>
      <w:bookmarkEnd w:id="44"/>
    </w:p>
    <w:p w14:paraId="3B358097">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1基金基本情况</w:t>
      </w:r>
    </w:p>
    <w:p w14:paraId="4671AD97">
      <w:pPr>
        <w:spacing w:line="360" w:lineRule="auto"/>
        <w:ind w:firstLine="420" w:firstLineChars="200"/>
        <w:rPr>
          <w:rFonts w:hint="eastAsia"/>
          <w:lang w:eastAsia="zh-CN"/>
        </w:rPr>
      </w:pPr>
      <w:r>
        <w:rPr>
          <w:rFonts w:hint="eastAsia"/>
        </w:rPr>
        <w:t>本基金是由原基金转型而来。</w:t>
      </w:r>
      <w:r>
        <w:rPr>
          <w:rFonts w:hint="eastAsia"/>
          <w:lang w:eastAsia="zh-CN"/>
        </w:rPr>
        <w:t>原基金经中国证券监督管理委员会（以下简称“中国证监会”）证监许可[2015]2566号《关于准予博时裕丰纯债债券型证券投资基金注册的批复》准予注册，由博时基金管理有限公司依照《中华人民共和国证券投资基金法》和《博时裕丰纯债债券型证券投资基金基金合同》负责公开募集。经向中国证监会备案，《博时裕丰纯债债券型证券投资基金基金合同》于2015年11月25日正式生效，基金合同生效日的基金份额总额为200,054,644.34份基金份额，无认购资金利息。经中国证监会证监许可[2017]1266号文准予变更注册，根据原基金基金份额持有人大会审议通过的《博时裕丰纯债债券型证券投资基金转型有关事项的议案》，经向中国证监会备案，自2017年10月18日起，《博时裕丰纯债债券型证券投资基金基金合同》失效且《博时裕丰纯债3个月定期开放债券型发起式证券投资基金基金合同》同时生效，博时裕丰纯债债券型证券投资基金正式变更为博时裕丰纯债3个月定期开放债券型发起式证券投资基金。本基金为契约型、定期开放式、发起式，存续期限不定。本基金的基金管理人为博时基金管理有限公司，基金托管人为恒丰银行股份有限公司。</w:t>
      </w:r>
    </w:p>
    <w:p w14:paraId="61ED175E">
      <w:pPr>
        <w:pStyle w:val="24"/>
        <w:spacing w:line="360" w:lineRule="auto"/>
        <w:ind w:left="0" w:leftChars="0" w:firstLine="420" w:firstLineChars="200"/>
        <w:rPr>
          <w:rFonts w:hint="eastAsia"/>
        </w:rPr>
      </w:pPr>
      <w:r>
        <w:rPr>
          <w:rFonts w:hint="eastAsia"/>
        </w:rPr>
        <w:t>本基金以定期开放的方式运作，即采用封闭运作和开放运作交替循环的方式。自基金合同生效日起（包括基金合同生效日）或者每一个开放期结束之日次日起（包括该日）3个月的期间内，本基金采取封闭运作模式。本基金封闭期内不办理申购与赎回业务，也不上市交易。</w:t>
      </w:r>
    </w:p>
    <w:p w14:paraId="09088F17">
      <w:pPr>
        <w:pStyle w:val="24"/>
        <w:spacing w:line="360" w:lineRule="auto"/>
        <w:ind w:left="0" w:leftChars="0" w:firstLine="420" w:firstLineChars="200"/>
        <w:rPr>
          <w:rFonts w:hint="eastAsia"/>
        </w:rPr>
      </w:pPr>
      <w:r>
        <w:rPr>
          <w:rFonts w:hint="eastAsia"/>
        </w:rPr>
        <w:t>本基金为发起式基金，发起资金申购部分为9,652,476.11基金份额，发起资金认购方承诺使用发起资金认购的基金份额持有期限不少于3年。</w:t>
      </w:r>
    </w:p>
    <w:p w14:paraId="0600B90D">
      <w:pPr>
        <w:pStyle w:val="24"/>
        <w:spacing w:line="360" w:lineRule="auto"/>
        <w:ind w:left="0" w:leftChars="0" w:firstLine="420" w:firstLineChars="200"/>
        <w:rPr>
          <w:rFonts w:hint="eastAsia"/>
        </w:rPr>
      </w:pPr>
      <w:r>
        <w:rPr>
          <w:rFonts w:hint="eastAsia"/>
        </w:rPr>
        <w:t>根据《中华人民共和国证券投资基金法》和《博时裕丰纯债3个月定期开放债券型发起式证券投资基金基金合同》的有关规定，本基金的投资对象主要为具有良好流动性的金融工具，包括国债、金融债、企业债、公司债、央行票据、中期票据、短期融资券、中小企业私募债、资产支持证券、次级债、可分离交易可转债的纯债部分、债券回购、银行存款、同业存单等法律法规或中国证监会允许基金投资的其他金融工具（但须符合中国证监会的相关规定）。本基金不投资于股票、权证等权益类资产，也不投资于可转换债券（可分离交易可转债的纯债部分除外）、可交换债券。基金的投资组合比例为：本基金投资于债券资产比例不低于基金资产的80%，但应开放期流动性需要，为保护基金份额持有人利益，在每次开放期开始前10个工作日、开放期及开放期结束后10个工作日的期间内，基金投资不受上述比例限制；开放期内现金或者到期日在一年以内的政府债券不低于基金资产净值的5%，在封闭期内，本基金不受上述5%的限制。其中，现金不包括结算备付金、存出保证金、应收申购款等。本基金的业绩比较基准为：中债综合财富（总值）指数收益率×90%+1年期定期存款利率（税后）×10%。</w:t>
      </w:r>
    </w:p>
    <w:p w14:paraId="321B14F1">
      <w:pPr>
        <w:pStyle w:val="24"/>
        <w:spacing w:line="360" w:lineRule="auto"/>
        <w:ind w:left="0" w:leftChars="0" w:firstLine="422" w:firstLineChars="200"/>
        <w:rPr>
          <w:b/>
          <w:highlight w:val="none"/>
        </w:rPr>
      </w:pPr>
      <w:r>
        <w:rPr>
          <w:b/>
          <w:highlight w:val="none"/>
        </w:rPr>
        <w:t>4.3.</w:t>
      </w:r>
      <w:r>
        <w:rPr>
          <w:rFonts w:hint="eastAsia"/>
          <w:b/>
          <w:highlight w:val="none"/>
        </w:rPr>
        <w:t>2清算原因</w:t>
      </w:r>
    </w:p>
    <w:p w14:paraId="59E4A745">
      <w:pPr>
        <w:spacing w:line="360" w:lineRule="auto"/>
        <w:ind w:firstLine="420" w:firstLineChars="200"/>
        <w:rPr>
          <w:rFonts w:hint="eastAsia" w:eastAsiaTheme="minorEastAsia"/>
          <w:highlight w:val="none"/>
        </w:rPr>
      </w:pPr>
      <w:r>
        <w:rPr>
          <w:rFonts w:hint="eastAsia" w:eastAsiaTheme="minorEastAsia"/>
          <w:highlight w:val="none"/>
        </w:rPr>
        <w:t xml:space="preserve">根据《博时基金管理有限公司关于博时裕丰纯债3个月定期开放债券型发起式证券投资基金基金份额持有人大会表决结果暨决议生效的公告》： </w:t>
      </w:r>
    </w:p>
    <w:p w14:paraId="26A0291D">
      <w:pPr>
        <w:spacing w:line="360" w:lineRule="auto"/>
        <w:ind w:firstLine="420" w:firstLineChars="200"/>
        <w:rPr>
          <w:rFonts w:hint="eastAsia" w:eastAsiaTheme="minorEastAsia"/>
          <w:highlight w:val="none"/>
        </w:rPr>
      </w:pPr>
      <w:r>
        <w:rPr>
          <w:rFonts w:hint="eastAsia" w:eastAsiaTheme="minorEastAsia"/>
          <w:highlight w:val="none"/>
        </w:rPr>
        <w:t xml:space="preserve">“本基金的最后运作日为2026年7月16日，自赎回选择期届满的下一日即2026年7月17日起，本基金即进入清算程序，基金管理人不再接受投资人提出的申购、赎回、基金转换等业务申请。本基金进入清算程序后，停止收取基金管理费、基金托管费。” </w:t>
      </w:r>
    </w:p>
    <w:p w14:paraId="54FB69A8">
      <w:pPr>
        <w:spacing w:line="360" w:lineRule="auto"/>
        <w:ind w:firstLine="420" w:firstLineChars="200"/>
        <w:rPr>
          <w:rFonts w:ascii="宋体" w:hAnsi="宋体" w:cs="Arial"/>
          <w:color w:val="000000"/>
          <w:szCs w:val="21"/>
          <w:highlight w:val="none"/>
        </w:rPr>
      </w:pPr>
      <w:r>
        <w:rPr>
          <w:rFonts w:hint="eastAsia" w:eastAsiaTheme="minorEastAsia"/>
          <w:highlight w:val="none"/>
        </w:rPr>
        <w:t xml:space="preserve"> 本基金最后运作日为2026年7月16日，自2026年7月1</w:t>
      </w:r>
      <w:r>
        <w:rPr>
          <w:rFonts w:hint="eastAsia" w:eastAsiaTheme="minorEastAsia"/>
          <w:highlight w:val="none"/>
          <w:lang w:val="en-US" w:eastAsia="zh-CN"/>
        </w:rPr>
        <w:t>7</w:t>
      </w:r>
      <w:r>
        <w:rPr>
          <w:rFonts w:hint="eastAsia" w:eastAsiaTheme="minorEastAsia"/>
          <w:highlight w:val="none"/>
        </w:rPr>
        <w:t>日起进入清算程序，由本基金管理人博时基金管理有限公司、基金托管人</w:t>
      </w:r>
      <w:r>
        <w:rPr>
          <w:rFonts w:hint="eastAsia"/>
        </w:rPr>
        <w:t>恒丰银行股份有限公司</w:t>
      </w:r>
      <w:r>
        <w:rPr>
          <w:rFonts w:hint="eastAsia" w:eastAsiaTheme="minorEastAsia"/>
          <w:highlight w:val="none"/>
        </w:rPr>
        <w:t>、</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和</w:t>
      </w:r>
      <w:r>
        <w:rPr>
          <w:rFonts w:hint="eastAsia" w:eastAsiaTheme="minorEastAsia"/>
          <w:highlight w:val="none"/>
          <w:lang w:eastAsia="zh-CN"/>
        </w:rPr>
        <w:t>上海源泰律师事务所</w:t>
      </w:r>
      <w:r>
        <w:rPr>
          <w:rFonts w:hint="eastAsia" w:eastAsiaTheme="minorEastAsia"/>
          <w:highlight w:val="none"/>
        </w:rPr>
        <w:t>组成基金财产清算小组履行基金财产清算程序，并由</w:t>
      </w:r>
      <w:r>
        <w:rPr>
          <w:rFonts w:hint="eastAsia" w:eastAsiaTheme="minorEastAsia"/>
          <w:highlight w:val="none"/>
          <w:lang w:val="en-US" w:eastAsia="zh-CN"/>
        </w:rPr>
        <w:t>容诚</w:t>
      </w:r>
      <w:r>
        <w:rPr>
          <w:rFonts w:hint="eastAsia" w:eastAsiaTheme="minorEastAsia"/>
          <w:highlight w:val="none"/>
        </w:rPr>
        <w:t>会计师事务所</w:t>
      </w:r>
      <w:r>
        <w:rPr>
          <w:rFonts w:hint="eastAsia" w:eastAsiaTheme="minorEastAsia"/>
        </w:rPr>
        <w:t>（特殊普通合伙）</w:t>
      </w:r>
      <w:r>
        <w:rPr>
          <w:rFonts w:hint="eastAsia" w:eastAsiaTheme="minorEastAsia"/>
          <w:highlight w:val="none"/>
        </w:rPr>
        <w:t>对本基金进行清算审计，</w:t>
      </w:r>
      <w:r>
        <w:rPr>
          <w:rFonts w:hint="eastAsia" w:eastAsiaTheme="minorEastAsia"/>
          <w:highlight w:val="none"/>
          <w:lang w:eastAsia="zh-CN"/>
        </w:rPr>
        <w:t>上海源泰律师事务所</w:t>
      </w:r>
      <w:r>
        <w:rPr>
          <w:rFonts w:hint="eastAsia" w:eastAsiaTheme="minorEastAsia"/>
          <w:highlight w:val="none"/>
        </w:rPr>
        <w:t>对清算报告出具法律意见。</w:t>
      </w:r>
    </w:p>
    <w:p w14:paraId="0F5E27E4">
      <w:pPr>
        <w:spacing w:line="360" w:lineRule="auto"/>
        <w:ind w:firstLine="211" w:firstLineChars="100"/>
        <w:rPr>
          <w:rFonts w:hint="eastAsia" w:ascii="宋体" w:hAnsi="宋体"/>
          <w:b/>
          <w:szCs w:val="21"/>
          <w:highlight w:val="none"/>
        </w:rPr>
      </w:pPr>
      <w:r>
        <w:rPr>
          <w:rFonts w:ascii="宋体" w:hAnsi="宋体"/>
          <w:b/>
          <w:szCs w:val="21"/>
          <w:highlight w:val="none"/>
        </w:rPr>
        <w:t>4.3.</w:t>
      </w:r>
      <w:r>
        <w:rPr>
          <w:rFonts w:hint="eastAsia" w:ascii="宋体" w:hAnsi="宋体"/>
          <w:b/>
          <w:szCs w:val="21"/>
          <w:highlight w:val="none"/>
        </w:rPr>
        <w:t>3清算起始日</w:t>
      </w:r>
    </w:p>
    <w:p w14:paraId="49189D11">
      <w:pPr>
        <w:pStyle w:val="24"/>
        <w:rPr>
          <w:highlight w:val="none"/>
        </w:rPr>
      </w:pPr>
      <w:r>
        <w:rPr>
          <w:rFonts w:hint="eastAsia"/>
          <w:highlight w:val="none"/>
        </w:rPr>
        <w:t>本基金的清算起始日为</w:t>
      </w:r>
      <w:r>
        <w:rPr>
          <w:rFonts w:hint="eastAsia" w:eastAsiaTheme="minorEastAsia"/>
          <w:highlight w:val="none"/>
        </w:rPr>
        <w:t>2026年</w:t>
      </w:r>
      <w:r>
        <w:rPr>
          <w:rFonts w:hint="eastAsia" w:eastAsiaTheme="minorEastAsia"/>
          <w:highlight w:val="none"/>
          <w:lang w:val="en-US" w:eastAsia="zh-CN"/>
        </w:rPr>
        <w:t>7</w:t>
      </w:r>
      <w:r>
        <w:rPr>
          <w:rFonts w:hint="eastAsia" w:eastAsiaTheme="minorEastAsia"/>
          <w:highlight w:val="none"/>
        </w:rPr>
        <w:t>月</w:t>
      </w:r>
      <w:r>
        <w:rPr>
          <w:rFonts w:hint="eastAsia" w:eastAsiaTheme="minorEastAsia"/>
          <w:highlight w:val="none"/>
          <w:lang w:val="en-US" w:eastAsia="zh-CN"/>
        </w:rPr>
        <w:t>17</w:t>
      </w:r>
      <w:r>
        <w:rPr>
          <w:rFonts w:hint="eastAsia" w:eastAsiaTheme="minorEastAsia"/>
          <w:highlight w:val="none"/>
        </w:rPr>
        <w:t>日</w:t>
      </w:r>
      <w:r>
        <w:rPr>
          <w:rFonts w:hint="eastAsia"/>
          <w:highlight w:val="none"/>
        </w:rPr>
        <w:t>。</w:t>
      </w:r>
    </w:p>
    <w:p w14:paraId="2A213A60">
      <w:pPr>
        <w:spacing w:line="360" w:lineRule="auto"/>
        <w:ind w:firstLine="211" w:firstLineChars="100"/>
        <w:rPr>
          <w:rFonts w:ascii="宋体" w:hAnsi="宋体"/>
          <w:b/>
          <w:szCs w:val="21"/>
          <w:highlight w:val="none"/>
        </w:rPr>
      </w:pPr>
      <w:r>
        <w:rPr>
          <w:rFonts w:ascii="宋体" w:hAnsi="宋体"/>
          <w:b/>
          <w:szCs w:val="21"/>
          <w:highlight w:val="none"/>
        </w:rPr>
        <w:t>4.3.</w:t>
      </w:r>
      <w:r>
        <w:rPr>
          <w:rFonts w:hint="eastAsia" w:ascii="宋体" w:hAnsi="宋体"/>
          <w:b/>
          <w:szCs w:val="21"/>
          <w:highlight w:val="none"/>
        </w:rPr>
        <w:t>4清算财务报表的编制基础</w:t>
      </w:r>
    </w:p>
    <w:p w14:paraId="68297902">
      <w:pPr>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如财务报表附注</w:t>
      </w:r>
      <w:r>
        <w:rPr>
          <w:rFonts w:asciiTheme="minorEastAsia" w:hAnsiTheme="minorEastAsia" w:eastAsiaTheme="minorEastAsia"/>
          <w:color w:val="000000"/>
          <w:szCs w:val="21"/>
          <w:highlight w:val="none"/>
        </w:rPr>
        <w:t>4.3.3</w:t>
      </w:r>
      <w:r>
        <w:rPr>
          <w:rFonts w:hint="eastAsia" w:asciiTheme="minorEastAsia" w:hAnsiTheme="minorEastAsia" w:eastAsiaTheme="minorEastAsia"/>
          <w:color w:val="000000"/>
          <w:szCs w:val="21"/>
          <w:highlight w:val="none"/>
        </w:rPr>
        <w:t>所述，自</w:t>
      </w:r>
      <w:r>
        <w:rPr>
          <w:rFonts w:hint="eastAsia" w:eastAsiaTheme="minorEastAsia"/>
          <w:highlight w:val="none"/>
        </w:rPr>
        <w:t>2026年</w:t>
      </w:r>
      <w:r>
        <w:rPr>
          <w:rFonts w:hint="eastAsia" w:eastAsiaTheme="minorEastAsia"/>
          <w:highlight w:val="none"/>
          <w:lang w:val="en-US" w:eastAsia="zh-CN"/>
        </w:rPr>
        <w:t>7</w:t>
      </w:r>
      <w:r>
        <w:rPr>
          <w:rFonts w:hint="eastAsia" w:eastAsiaTheme="minorEastAsia"/>
          <w:highlight w:val="none"/>
        </w:rPr>
        <w:t>月</w:t>
      </w:r>
      <w:r>
        <w:rPr>
          <w:rFonts w:hint="eastAsia" w:eastAsiaTheme="minorEastAsia"/>
          <w:highlight w:val="none"/>
          <w:lang w:val="en-US" w:eastAsia="zh-CN"/>
        </w:rPr>
        <w:t>17</w:t>
      </w:r>
      <w:r>
        <w:rPr>
          <w:rFonts w:hint="eastAsia" w:eastAsiaTheme="minorEastAsia"/>
          <w:highlight w:val="none"/>
        </w:rPr>
        <w:t>日</w:t>
      </w:r>
      <w:r>
        <w:rPr>
          <w:rFonts w:hint="eastAsia" w:asciiTheme="minorEastAsia" w:hAnsiTheme="minorEastAsia" w:eastAsiaTheme="minorEastAsia"/>
          <w:color w:val="000000"/>
          <w:szCs w:val="21"/>
          <w:highlight w:val="none"/>
        </w:rPr>
        <w:t>起，本基金进入清算程序，因此本财务报表以清算基础编制。</w:t>
      </w:r>
    </w:p>
    <w:p w14:paraId="52A30215">
      <w:pPr>
        <w:spacing w:line="360" w:lineRule="auto"/>
        <w:ind w:firstLine="420" w:firstLineChars="200"/>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本基金财务报表按附注</w:t>
      </w:r>
      <w:r>
        <w:rPr>
          <w:rFonts w:hint="eastAsia" w:asciiTheme="minorEastAsia" w:hAnsiTheme="minorEastAsia" w:eastAsiaTheme="minorEastAsia"/>
          <w:color w:val="000000"/>
          <w:szCs w:val="21"/>
          <w:highlight w:val="none"/>
        </w:rPr>
        <w:t>4.3.5</w:t>
      </w:r>
      <w:r>
        <w:rPr>
          <w:rFonts w:asciiTheme="minorEastAsia" w:hAnsiTheme="minorEastAsia" w:eastAsiaTheme="minorEastAsia"/>
          <w:color w:val="000000"/>
          <w:szCs w:val="21"/>
          <w:highlight w:val="none"/>
        </w:rPr>
        <w:t>中所述的</w:t>
      </w:r>
      <w:r>
        <w:rPr>
          <w:rFonts w:hint="eastAsia" w:asciiTheme="minorEastAsia" w:hAnsiTheme="minorEastAsia" w:eastAsiaTheme="minorEastAsia"/>
          <w:color w:val="000000"/>
          <w:szCs w:val="21"/>
          <w:highlight w:val="none"/>
        </w:rPr>
        <w:t>重要</w:t>
      </w:r>
      <w:r>
        <w:rPr>
          <w:rFonts w:asciiTheme="minorEastAsia" w:hAnsiTheme="minorEastAsia" w:eastAsiaTheme="minorEastAsia"/>
          <w:color w:val="000000"/>
          <w:szCs w:val="21"/>
          <w:highlight w:val="none"/>
        </w:rPr>
        <w:t>会计政策和会计估计以清算基础编制。于</w:t>
      </w:r>
      <w:r>
        <w:rPr>
          <w:rFonts w:hint="eastAsia" w:eastAsiaTheme="minorEastAsia"/>
          <w:highlight w:val="none"/>
        </w:rPr>
        <w:t>2026年</w:t>
      </w:r>
      <w:r>
        <w:rPr>
          <w:rFonts w:hint="eastAsia" w:eastAsiaTheme="minorEastAsia"/>
          <w:highlight w:val="none"/>
          <w:lang w:val="en-US" w:eastAsia="zh-CN"/>
        </w:rPr>
        <w:t>7</w:t>
      </w:r>
      <w:r>
        <w:rPr>
          <w:rFonts w:hint="eastAsia" w:eastAsiaTheme="minorEastAsia"/>
          <w:highlight w:val="none"/>
        </w:rPr>
        <w:t>月</w:t>
      </w:r>
      <w:r>
        <w:rPr>
          <w:rFonts w:hint="eastAsia" w:eastAsiaTheme="minorEastAsia"/>
          <w:highlight w:val="none"/>
          <w:lang w:val="en-US" w:eastAsia="zh-CN"/>
        </w:rPr>
        <w:t>16</w:t>
      </w:r>
      <w:r>
        <w:rPr>
          <w:rFonts w:hint="eastAsia" w:eastAsiaTheme="minorEastAsia"/>
          <w:highlight w:val="none"/>
        </w:rPr>
        <w:t>日</w:t>
      </w:r>
      <w:r>
        <w:rPr>
          <w:rFonts w:asciiTheme="minorEastAsia" w:hAnsiTheme="minorEastAsia" w:eastAsiaTheme="minorEastAsia"/>
          <w:color w:val="000000"/>
          <w:szCs w:val="21"/>
          <w:highlight w:val="none"/>
        </w:rPr>
        <w:t>(</w:t>
      </w:r>
      <w:r>
        <w:rPr>
          <w:rFonts w:hint="eastAsia" w:asciiTheme="minorEastAsia" w:hAnsiTheme="minorEastAsia" w:eastAsiaTheme="minorEastAsia"/>
          <w:color w:val="000000"/>
          <w:szCs w:val="21"/>
          <w:highlight w:val="none"/>
        </w:rPr>
        <w:t>基金最后运作日</w:t>
      </w:r>
      <w:r>
        <w:rPr>
          <w:rFonts w:asciiTheme="minorEastAsia" w:hAnsiTheme="minorEastAsia" w:eastAsiaTheme="minorEastAsia"/>
          <w:color w:val="000000"/>
          <w:szCs w:val="21"/>
          <w:highlight w:val="none"/>
        </w:rPr>
        <w:t>)，所有资产以可收回金额与原账面价值孰低计量，负债以预计需要清偿的金额计量。</w:t>
      </w:r>
    </w:p>
    <w:p w14:paraId="403720CD">
      <w:pPr>
        <w:spacing w:line="360" w:lineRule="auto"/>
        <w:ind w:firstLine="420" w:firstLineChars="200"/>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此外，本基金财务报表按照中国证券投资基金业协会(以下简称“中国基金业协会”)颁布的《证券投资基金会计核算业务指引》、《基金合同》约定的资产估值和会计核算方法及在财务报表附注</w:t>
      </w:r>
      <w:r>
        <w:rPr>
          <w:rFonts w:hint="eastAsia" w:asciiTheme="minorEastAsia" w:hAnsiTheme="minorEastAsia" w:eastAsiaTheme="minorEastAsia"/>
          <w:color w:val="000000"/>
          <w:szCs w:val="21"/>
          <w:highlight w:val="none"/>
          <w:lang w:val="en-US" w:eastAsia="zh-CN"/>
        </w:rPr>
        <w:t>4.</w:t>
      </w:r>
      <w:r>
        <w:rPr>
          <w:rFonts w:hint="eastAsia" w:asciiTheme="minorEastAsia" w:hAnsiTheme="minorEastAsia" w:eastAsiaTheme="minorEastAsia"/>
          <w:color w:val="000000"/>
          <w:szCs w:val="21"/>
          <w:highlight w:val="none"/>
        </w:rPr>
        <w:t>3所列示的中国证监会、中国基金业协会发布的有关规定及允许的基金行业实务操作编制。</w:t>
      </w:r>
    </w:p>
    <w:p w14:paraId="448624BF">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 重要会计政策和会计估计</w:t>
      </w:r>
    </w:p>
    <w:p w14:paraId="09BFD979">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1清算期间</w:t>
      </w:r>
    </w:p>
    <w:p w14:paraId="3E6A4C52">
      <w:pPr>
        <w:spacing w:line="360" w:lineRule="auto"/>
        <w:ind w:firstLine="420" w:firstLineChars="200"/>
        <w:rPr>
          <w:rFonts w:hint="eastAsia" w:ascii="宋体" w:hAnsi="宋体" w:eastAsia="宋体"/>
          <w:color w:val="000000"/>
          <w:szCs w:val="21"/>
          <w:highlight w:val="none"/>
          <w:lang w:val="en-US" w:eastAsia="zh-CN"/>
        </w:rPr>
      </w:pPr>
      <w:r>
        <w:rPr>
          <w:rFonts w:hint="eastAsia" w:ascii="宋体" w:hAnsi="宋体"/>
          <w:color w:val="000000"/>
          <w:szCs w:val="21"/>
          <w:highlight w:val="none"/>
        </w:rPr>
        <w:t>本清算期间为</w:t>
      </w:r>
      <w:r>
        <w:rPr>
          <w:rFonts w:hint="eastAsia" w:eastAsiaTheme="minorEastAsia"/>
          <w:highlight w:val="none"/>
        </w:rPr>
        <w:t>2026年</w:t>
      </w:r>
      <w:r>
        <w:rPr>
          <w:rFonts w:hint="eastAsia" w:eastAsiaTheme="minorEastAsia"/>
          <w:highlight w:val="none"/>
          <w:lang w:val="en-US" w:eastAsia="zh-CN"/>
        </w:rPr>
        <w:t>7</w:t>
      </w:r>
      <w:r>
        <w:rPr>
          <w:rFonts w:hint="eastAsia" w:eastAsiaTheme="minorEastAsia"/>
          <w:highlight w:val="none"/>
        </w:rPr>
        <w:t>月</w:t>
      </w:r>
      <w:r>
        <w:rPr>
          <w:rFonts w:hint="eastAsia" w:eastAsiaTheme="minorEastAsia"/>
          <w:highlight w:val="none"/>
          <w:lang w:val="en-US" w:eastAsia="zh-CN"/>
        </w:rPr>
        <w:t>17</w:t>
      </w:r>
      <w:r>
        <w:rPr>
          <w:rFonts w:hint="eastAsia" w:eastAsiaTheme="minorEastAsia"/>
          <w:highlight w:val="none"/>
        </w:rPr>
        <w:t>日</w:t>
      </w:r>
      <w:r>
        <w:rPr>
          <w:rFonts w:hint="eastAsia" w:ascii="宋体" w:hAnsi="宋体"/>
          <w:color w:val="000000"/>
          <w:szCs w:val="21"/>
          <w:highlight w:val="none"/>
        </w:rPr>
        <w:t>至</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5</w:t>
      </w:r>
      <w:r>
        <w:rPr>
          <w:rFonts w:hint="eastAsia" w:eastAsiaTheme="minorEastAsia"/>
          <w:highlight w:val="none"/>
        </w:rPr>
        <w:t>日</w:t>
      </w:r>
      <w:r>
        <w:rPr>
          <w:rFonts w:hint="eastAsia" w:ascii="宋体" w:hAnsi="宋体"/>
          <w:color w:val="000000"/>
          <w:szCs w:val="21"/>
          <w:highlight w:val="none"/>
          <w:lang w:eastAsia="zh-CN"/>
        </w:rPr>
        <w:t>。</w:t>
      </w:r>
    </w:p>
    <w:p w14:paraId="2F699E3E">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.2 记账本位币</w:t>
      </w:r>
    </w:p>
    <w:p w14:paraId="5B6A3AA2">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本清算财务报表以人民币为</w:t>
      </w:r>
      <w:r>
        <w:rPr>
          <w:rFonts w:hint="eastAsia"/>
          <w:highlight w:val="none"/>
        </w:rPr>
        <w:t>记账本位币</w:t>
      </w:r>
      <w:r>
        <w:rPr>
          <w:rFonts w:hint="eastAsia" w:ascii="宋体" w:hAnsi="宋体"/>
          <w:color w:val="000000"/>
          <w:szCs w:val="21"/>
          <w:highlight w:val="none"/>
        </w:rPr>
        <w:t>。</w:t>
      </w:r>
    </w:p>
    <w:p w14:paraId="63687924">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3</w:t>
      </w:r>
      <w:r>
        <w:rPr>
          <w:rFonts w:ascii="宋体" w:hAnsi="宋体"/>
          <w:b/>
          <w:szCs w:val="21"/>
          <w:highlight w:val="none"/>
        </w:rPr>
        <w:t xml:space="preserve"> </w:t>
      </w:r>
      <w:r>
        <w:rPr>
          <w:rFonts w:hint="eastAsia" w:ascii="宋体" w:hAnsi="宋体"/>
          <w:b/>
          <w:szCs w:val="21"/>
          <w:highlight w:val="none"/>
        </w:rPr>
        <w:t>应收</w:t>
      </w:r>
      <w:r>
        <w:rPr>
          <w:rFonts w:ascii="宋体" w:hAnsi="宋体"/>
          <w:b/>
          <w:bCs/>
          <w:color w:val="000000"/>
          <w:szCs w:val="21"/>
          <w:highlight w:val="none"/>
        </w:rPr>
        <w:t>款项</w:t>
      </w:r>
      <w:r>
        <w:rPr>
          <w:rFonts w:hint="eastAsia" w:ascii="宋体" w:hAnsi="宋体"/>
          <w:b/>
          <w:szCs w:val="21"/>
          <w:highlight w:val="none"/>
        </w:rPr>
        <w:t xml:space="preserve">的确认和计量 </w:t>
      </w:r>
    </w:p>
    <w:p w14:paraId="324935A3">
      <w:pPr>
        <w:spacing w:line="360" w:lineRule="auto"/>
        <w:ind w:firstLine="420" w:firstLineChars="200"/>
        <w:rPr>
          <w:rFonts w:ascii="宋体" w:hAnsi="宋体"/>
          <w:color w:val="000000"/>
          <w:szCs w:val="21"/>
          <w:highlight w:val="none"/>
        </w:rPr>
      </w:pPr>
      <w:r>
        <w:rPr>
          <w:rFonts w:ascii="宋体" w:hAnsi="宋体"/>
          <w:color w:val="000000"/>
          <w:szCs w:val="21"/>
          <w:highlight w:val="none"/>
        </w:rPr>
        <w:t>应收款项按照未来应收取的款项金额计量。</w:t>
      </w:r>
    </w:p>
    <w:p w14:paraId="5E05CAD9">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4</w:t>
      </w:r>
      <w:r>
        <w:rPr>
          <w:rFonts w:ascii="宋体" w:hAnsi="宋体"/>
          <w:b/>
          <w:szCs w:val="21"/>
          <w:highlight w:val="none"/>
        </w:rPr>
        <w:t xml:space="preserve"> </w:t>
      </w:r>
      <w:r>
        <w:rPr>
          <w:rFonts w:hint="eastAsia" w:ascii="宋体" w:hAnsi="宋体"/>
          <w:b/>
          <w:szCs w:val="21"/>
          <w:highlight w:val="none"/>
        </w:rPr>
        <w:t xml:space="preserve">应付款项的确认和计量 </w:t>
      </w:r>
    </w:p>
    <w:p w14:paraId="40517E15">
      <w:pPr>
        <w:spacing w:line="360" w:lineRule="auto"/>
        <w:ind w:firstLine="420" w:firstLineChars="200"/>
        <w:rPr>
          <w:rFonts w:ascii="宋体" w:hAnsi="宋体"/>
          <w:color w:val="000000"/>
          <w:szCs w:val="21"/>
          <w:highlight w:val="none"/>
        </w:rPr>
      </w:pPr>
      <w:r>
        <w:rPr>
          <w:rFonts w:ascii="宋体" w:hAnsi="宋体"/>
          <w:color w:val="000000"/>
          <w:szCs w:val="21"/>
          <w:highlight w:val="none"/>
        </w:rPr>
        <w:t>应付款项按照未来应支付的款项金额计量。</w:t>
      </w:r>
    </w:p>
    <w:p w14:paraId="1B778CA2">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w:t>
      </w:r>
      <w:r>
        <w:rPr>
          <w:rFonts w:hint="eastAsia" w:ascii="宋体" w:hAnsi="宋体"/>
          <w:b/>
          <w:szCs w:val="21"/>
          <w:highlight w:val="none"/>
        </w:rPr>
        <w:t>5</w:t>
      </w:r>
      <w:r>
        <w:rPr>
          <w:rFonts w:ascii="宋体" w:hAnsi="宋体"/>
          <w:b/>
          <w:szCs w:val="21"/>
          <w:highlight w:val="none"/>
        </w:rPr>
        <w:t xml:space="preserve"> </w:t>
      </w:r>
      <w:r>
        <w:rPr>
          <w:rFonts w:hint="eastAsia" w:ascii="宋体" w:hAnsi="宋体"/>
          <w:b/>
          <w:szCs w:val="21"/>
          <w:highlight w:val="none"/>
        </w:rPr>
        <w:t xml:space="preserve">清算收益的确认和计量 </w:t>
      </w:r>
    </w:p>
    <w:p w14:paraId="403A6B24">
      <w:pPr>
        <w:spacing w:line="360" w:lineRule="auto"/>
        <w:ind w:firstLine="420" w:firstLineChars="200"/>
        <w:rPr>
          <w:rFonts w:ascii="宋体" w:hAnsi="宋体"/>
          <w:color w:val="000000"/>
          <w:szCs w:val="21"/>
          <w:highlight w:val="none"/>
        </w:rPr>
      </w:pPr>
      <w:r>
        <w:rPr>
          <w:rFonts w:ascii="宋体" w:hAnsi="宋体"/>
          <w:color w:val="000000"/>
          <w:szCs w:val="21"/>
          <w:highlight w:val="none"/>
        </w:rPr>
        <w:t>清算收益按照实际发生的收益金额或未来应收取的款项金额计量。</w:t>
      </w:r>
    </w:p>
    <w:p w14:paraId="13007942">
      <w:pPr>
        <w:spacing w:line="360" w:lineRule="auto"/>
        <w:rPr>
          <w:rFonts w:ascii="宋体" w:hAnsi="宋体"/>
          <w:b/>
          <w:szCs w:val="21"/>
          <w:highlight w:val="none"/>
        </w:rPr>
      </w:pPr>
      <w:r>
        <w:rPr>
          <w:rFonts w:ascii="宋体" w:hAnsi="宋体"/>
          <w:b/>
          <w:szCs w:val="21"/>
          <w:highlight w:val="none"/>
        </w:rPr>
        <w:t>4.3.</w:t>
      </w:r>
      <w:r>
        <w:rPr>
          <w:rFonts w:hint="eastAsia" w:ascii="宋体" w:hAnsi="宋体"/>
          <w:b/>
          <w:szCs w:val="21"/>
          <w:highlight w:val="none"/>
        </w:rPr>
        <w:t>5</w:t>
      </w:r>
      <w:r>
        <w:rPr>
          <w:rFonts w:ascii="宋体" w:hAnsi="宋体"/>
          <w:b/>
          <w:szCs w:val="21"/>
          <w:highlight w:val="none"/>
        </w:rPr>
        <w:t>.6</w:t>
      </w:r>
      <w:r>
        <w:rPr>
          <w:rFonts w:hint="eastAsia" w:ascii="宋体" w:hAnsi="宋体"/>
          <w:b/>
          <w:szCs w:val="21"/>
          <w:highlight w:val="none"/>
        </w:rPr>
        <w:t xml:space="preserve">清算费用的确认和计量 </w:t>
      </w:r>
    </w:p>
    <w:p w14:paraId="1F8A21E2">
      <w:pPr>
        <w:spacing w:line="360" w:lineRule="auto"/>
        <w:ind w:firstLine="420" w:firstLineChars="200"/>
        <w:rPr>
          <w:rFonts w:ascii="宋体" w:hAnsi="宋体"/>
          <w:color w:val="000000"/>
          <w:szCs w:val="21"/>
          <w:highlight w:val="none"/>
        </w:rPr>
      </w:pPr>
      <w:r>
        <w:rPr>
          <w:rFonts w:ascii="宋体" w:hAnsi="宋体"/>
          <w:color w:val="000000"/>
          <w:szCs w:val="21"/>
          <w:highlight w:val="none"/>
        </w:rPr>
        <w:t>清算费用按照实际发生的费用金额或未来应支付的款项金额计量。</w:t>
      </w:r>
    </w:p>
    <w:p w14:paraId="458E3CCA">
      <w:pPr>
        <w:pStyle w:val="24"/>
        <w:numPr>
          <w:ilvl w:val="-1"/>
          <w:numId w:val="0"/>
        </w:numPr>
        <w:rPr>
          <w:rFonts w:hint="eastAsia" w:ascii="宋体" w:hAnsi="宋体"/>
          <w:b/>
          <w:szCs w:val="21"/>
          <w:highlight w:val="none"/>
        </w:rPr>
      </w:pPr>
      <w:r>
        <w:rPr>
          <w:rFonts w:ascii="宋体" w:hAnsi="宋体"/>
          <w:b/>
          <w:szCs w:val="21"/>
          <w:highlight w:val="none"/>
        </w:rPr>
        <w:t>4.3.</w:t>
      </w:r>
      <w:r>
        <w:rPr>
          <w:rFonts w:hint="eastAsia" w:ascii="宋体" w:hAnsi="宋体"/>
          <w:b/>
          <w:szCs w:val="21"/>
          <w:highlight w:val="none"/>
        </w:rPr>
        <w:t>6 税项</w:t>
      </w:r>
      <w:bookmarkStart w:id="45" w:name="_Toc491963087"/>
      <w:bookmarkStart w:id="46" w:name="_Toc484769809"/>
    </w:p>
    <w:p w14:paraId="61A208B0">
      <w:pPr>
        <w:pStyle w:val="24"/>
        <w:rPr>
          <w:rFonts w:hint="eastAsia"/>
        </w:rPr>
      </w:pPr>
      <w:r>
        <w:rPr>
          <w:rFonts w:hint="eastAsia"/>
        </w:rPr>
        <w:t>根据财政部、国家税务总局财税[2002]128号《关于开放式证券投资基金有关税收问题的通知》、财税[2008]1号《关于企业所得税若干优惠政策的通知》、财税[2017]56号《关于资管产品增值税有关问题的通知》、财税[2017]90号《关于租入固定资产进项税额抵扣等增值税政策的通知》、财政部、国家税务总局公告2025年第4号《关于国债等债券利息收入增值税政策的公告》、国务院令第826号《中华人民共和国增值税法实施条例》、财政部、税务总局公告2026年第10号《财政部 税务总局关于增值税法施行后增值税优惠政策衔接事项的公告》及其他相关财税法规和实务操作，主要税项列示如下：</w:t>
      </w:r>
    </w:p>
    <w:p w14:paraId="20342620">
      <w:pPr>
        <w:pStyle w:val="24"/>
        <w:rPr>
          <w:rFonts w:hint="eastAsia"/>
        </w:rPr>
      </w:pPr>
      <w:r>
        <w:rPr>
          <w:rFonts w:hint="eastAsia"/>
        </w:rPr>
        <w:t>（1）资管产品运营过程中发生的增值税应税行为，以资管产品管理人为增值税纳税人。2027年12月31日前，资管产品管理人运营契约制资管产品过程中发生的增值税应税行为，可以选择适用简易计税方法，按照3%的征收率缴纳增值税。对资管产品在2018年1月1日前运营过程中发生的增值税应税行为，未缴纳增值税的，不再缴纳；已缴纳增值税的，已纳税额从资管产品管理人以后月份的增值税应纳税额中抵减。</w:t>
      </w:r>
    </w:p>
    <w:p w14:paraId="0BA75978">
      <w:pPr>
        <w:pStyle w:val="24"/>
        <w:rPr>
          <w:rFonts w:hint="eastAsia"/>
        </w:rPr>
      </w:pPr>
      <w:r>
        <w:rPr>
          <w:rFonts w:hint="eastAsia"/>
        </w:rPr>
        <w:t>2027年12月31日前，对证券投资基金管理人运用基金买卖股票、债券的转让收入免征增值税，对除持有金融债券外的金融同业往来利息收入亦免征增值税。自2025年8月8日起，对在该日期之后（含当日）新发行的国债、地方政府债券、金融债券的利息收入，恢复征收增值税。对在该日期之前已发行的国债、地方政府债券、金融债券（包含在2025年8月8日之后续发行的部分）的利息收入，免征增值税直至债券到期。资管产品管理人运营资管产品提供的贷款服务，以2018年1月1日起产生的利息及利息性质的收入为销售额。资管产品管理人运营资管产品转让2017年12月31日前取得的基金、非货物期货，可以选择按照实际买入价计算销售额，或者以2017年最后一个交易日的基金份额净值、非货物期货结算价格作为买入价计算销售额。</w:t>
      </w:r>
    </w:p>
    <w:p w14:paraId="2E1FFAC8">
      <w:pPr>
        <w:pStyle w:val="24"/>
        <w:rPr>
          <w:rFonts w:hint="eastAsia"/>
        </w:rPr>
      </w:pPr>
      <w:r>
        <w:rPr>
          <w:rFonts w:hint="eastAsia"/>
        </w:rPr>
        <w:t>（2）对基金从证券市场中取得的收入，包括买卖股票、债券的差价收入，股票的股息、红利收入，债券的利息收入及其他收入，暂不征收企业所得税。</w:t>
      </w:r>
    </w:p>
    <w:p w14:paraId="1BE48840">
      <w:pPr>
        <w:pStyle w:val="24"/>
        <w:rPr>
          <w:rFonts w:hint="eastAsia"/>
        </w:rPr>
      </w:pPr>
      <w:r>
        <w:rPr>
          <w:rFonts w:hint="eastAsia"/>
        </w:rPr>
        <w:t>（3）对基金取得的企业债券利息收入，应由发行债券的企业在向基金支付利息时代扣代缴20%的个人所得税。</w:t>
      </w:r>
    </w:p>
    <w:p w14:paraId="328A76B7">
      <w:pPr>
        <w:pStyle w:val="24"/>
        <w:rPr>
          <w:rFonts w:hint="eastAsia"/>
        </w:rPr>
      </w:pPr>
      <w:r>
        <w:rPr>
          <w:rFonts w:hint="eastAsia"/>
        </w:rPr>
        <w:t>（4）本基金的城市维护建设税、教育费附加和地方教育附加等税费按照实际缴纳增值税额的适用比例计算缴纳。</w:t>
      </w:r>
    </w:p>
    <w:p w14:paraId="2BFF7D13">
      <w:pPr>
        <w:pStyle w:val="2"/>
        <w:keepNext/>
        <w:keepLines/>
        <w:widowControl w:val="0"/>
        <w:spacing w:before="312" w:beforeLines="100" w:after="312" w:afterLines="100" w:line="360" w:lineRule="auto"/>
        <w:jc w:val="left"/>
        <w:rPr>
          <w:rStyle w:val="20"/>
          <w:rFonts w:ascii="宋体" w:hAnsi="宋体"/>
          <w:highlight w:val="none"/>
        </w:rPr>
      </w:pPr>
      <w:r>
        <w:rPr>
          <w:rStyle w:val="20"/>
          <w:rFonts w:hint="eastAsia" w:ascii="宋体" w:hAnsi="宋体"/>
          <w:highlight w:val="none"/>
        </w:rPr>
        <w:t>5、清算情况</w:t>
      </w:r>
      <w:bookmarkEnd w:id="45"/>
    </w:p>
    <w:p w14:paraId="5E5EBCCA">
      <w:pPr>
        <w:pStyle w:val="3"/>
        <w:spacing w:before="0" w:after="0"/>
        <w:rPr>
          <w:rFonts w:ascii="宋体" w:hAnsi="宋体" w:eastAsia="宋体"/>
          <w:kern w:val="0"/>
          <w:sz w:val="21"/>
          <w:szCs w:val="21"/>
          <w:highlight w:val="none"/>
        </w:rPr>
      </w:pPr>
      <w:bookmarkStart w:id="47" w:name="_Toc491963088"/>
      <w:r>
        <w:rPr>
          <w:rFonts w:hint="eastAsia" w:ascii="宋体" w:hAnsi="宋体" w:eastAsia="宋体"/>
          <w:kern w:val="0"/>
          <w:sz w:val="21"/>
          <w:szCs w:val="21"/>
          <w:highlight w:val="none"/>
        </w:rPr>
        <w:t>5.1 资产负债清算情况</w:t>
      </w:r>
      <w:bookmarkEnd w:id="47"/>
    </w:p>
    <w:p w14:paraId="4431D24E">
      <w:pPr>
        <w:pStyle w:val="24"/>
        <w:rPr>
          <w:highlight w:val="none"/>
        </w:rPr>
      </w:pPr>
      <w:r>
        <w:rPr>
          <w:rFonts w:hint="eastAsia"/>
          <w:highlight w:val="none"/>
        </w:rPr>
        <w:t>自</w:t>
      </w:r>
      <w:r>
        <w:rPr>
          <w:rFonts w:hint="eastAsia" w:eastAsiaTheme="minorEastAsia"/>
          <w:highlight w:val="none"/>
        </w:rPr>
        <w:t>2026年</w:t>
      </w:r>
      <w:r>
        <w:rPr>
          <w:rFonts w:hint="eastAsia" w:eastAsiaTheme="minorEastAsia"/>
          <w:highlight w:val="none"/>
          <w:lang w:val="en-US" w:eastAsia="zh-CN"/>
        </w:rPr>
        <w:t>7</w:t>
      </w:r>
      <w:r>
        <w:rPr>
          <w:rFonts w:hint="eastAsia" w:eastAsiaTheme="minorEastAsia"/>
          <w:highlight w:val="none"/>
        </w:rPr>
        <w:t>月</w:t>
      </w:r>
      <w:r>
        <w:rPr>
          <w:rFonts w:hint="eastAsia" w:eastAsiaTheme="minorEastAsia"/>
          <w:highlight w:val="none"/>
          <w:lang w:val="en-US" w:eastAsia="zh-CN"/>
        </w:rPr>
        <w:t>17</w:t>
      </w:r>
      <w:r>
        <w:rPr>
          <w:rFonts w:hint="eastAsia" w:eastAsiaTheme="minorEastAsia"/>
          <w:highlight w:val="none"/>
        </w:rPr>
        <w:t>日</w:t>
      </w:r>
      <w:r>
        <w:rPr>
          <w:rFonts w:hint="eastAsia" w:ascii="宋体" w:hAnsi="宋体"/>
          <w:color w:val="000000"/>
          <w:szCs w:val="21"/>
          <w:highlight w:val="none"/>
        </w:rPr>
        <w:t>至</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5</w:t>
      </w:r>
      <w:r>
        <w:rPr>
          <w:rFonts w:hint="eastAsia" w:eastAsiaTheme="minorEastAsia"/>
          <w:highlight w:val="none"/>
        </w:rPr>
        <w:t>日</w:t>
      </w:r>
      <w:r>
        <w:rPr>
          <w:rFonts w:hint="eastAsia"/>
          <w:highlight w:val="none"/>
        </w:rPr>
        <w:t>止为本次清算期间，基金财产清算小组对本基金的基金财产进行清算，全部清算工作按清算原则和清算手续进行。具体清算情况如下：</w:t>
      </w:r>
    </w:p>
    <w:p w14:paraId="2491491C">
      <w:pPr>
        <w:pStyle w:val="24"/>
        <w:rPr>
          <w:rFonts w:hint="eastAsia" w:eastAsia="宋体"/>
          <w:highlight w:val="none"/>
          <w:lang w:val="en-US" w:eastAsia="zh-CN"/>
        </w:rPr>
      </w:pPr>
      <w:r>
        <w:rPr>
          <w:rFonts w:hint="eastAsia"/>
          <w:highlight w:val="none"/>
        </w:rPr>
        <w:t>截至本次清算期结束日（</w:t>
      </w:r>
      <w:r>
        <w:rPr>
          <w:rFonts w:hint="eastAsia" w:eastAsiaTheme="minorEastAsia"/>
          <w:highlight w:val="none"/>
        </w:rPr>
        <w:t>2026年</w:t>
      </w:r>
      <w:r>
        <w:rPr>
          <w:rFonts w:hint="eastAsia" w:eastAsiaTheme="minorEastAsia"/>
          <w:highlight w:val="none"/>
          <w:lang w:val="en-US" w:eastAsia="zh-CN"/>
        </w:rPr>
        <w:t>8</w:t>
      </w:r>
      <w:r>
        <w:rPr>
          <w:rFonts w:hint="eastAsia" w:eastAsiaTheme="minorEastAsia"/>
          <w:highlight w:val="none"/>
        </w:rPr>
        <w:t>月</w:t>
      </w:r>
      <w:r>
        <w:rPr>
          <w:rFonts w:hint="eastAsia" w:eastAsiaTheme="minorEastAsia"/>
          <w:highlight w:val="none"/>
          <w:lang w:val="en-US" w:eastAsia="zh-CN"/>
        </w:rPr>
        <w:t>5</w:t>
      </w:r>
      <w:r>
        <w:rPr>
          <w:rFonts w:hint="eastAsia" w:eastAsiaTheme="minorEastAsia"/>
          <w:highlight w:val="none"/>
        </w:rPr>
        <w:t>日</w:t>
      </w:r>
      <w:r>
        <w:rPr>
          <w:rFonts w:hint="eastAsia"/>
          <w:highlight w:val="none"/>
        </w:rPr>
        <w:t>），各项资产负债清算情况如下：</w:t>
      </w:r>
    </w:p>
    <w:p w14:paraId="290A42A9">
      <w:pPr>
        <w:pStyle w:val="24"/>
        <w:numPr>
          <w:ilvl w:val="0"/>
          <w:numId w:val="1"/>
        </w:numPr>
        <w:rPr>
          <w:rFonts w:hint="eastAsia"/>
          <w:highlight w:val="none"/>
          <w:lang w:eastAsia="zh-CN"/>
        </w:rPr>
      </w:pPr>
      <w:r>
        <w:rPr>
          <w:rFonts w:hint="eastAsia"/>
          <w:highlight w:val="none"/>
        </w:rPr>
        <w:t>本基金最后运作日银行存款余额为136</w:t>
      </w:r>
      <w:r>
        <w:rPr>
          <w:rFonts w:hint="eastAsia"/>
          <w:highlight w:val="none"/>
          <w:lang w:val="en-US" w:eastAsia="zh-CN"/>
        </w:rPr>
        <w:t>,</w:t>
      </w:r>
      <w:r>
        <w:rPr>
          <w:rFonts w:hint="eastAsia"/>
          <w:highlight w:val="none"/>
        </w:rPr>
        <w:t>193.08元；存款利息为72.98元，</w:t>
      </w:r>
      <w:r>
        <w:rPr>
          <w:rFonts w:hint="eastAsia"/>
          <w:highlight w:val="none"/>
          <w:lang w:val="en-US" w:eastAsia="zh-CN"/>
        </w:rPr>
        <w:t>尚未全部</w:t>
      </w:r>
      <w:r>
        <w:rPr>
          <w:rFonts w:hint="eastAsia"/>
          <w:highlight w:val="none"/>
        </w:rPr>
        <w:t>收回</w:t>
      </w:r>
      <w:r>
        <w:rPr>
          <w:rFonts w:hint="eastAsia"/>
          <w:highlight w:val="none"/>
          <w:lang w:eastAsia="zh-CN"/>
        </w:rPr>
        <w:t>。</w:t>
      </w:r>
    </w:p>
    <w:p w14:paraId="2F883916">
      <w:pPr>
        <w:pStyle w:val="24"/>
        <w:numPr>
          <w:ilvl w:val="0"/>
          <w:numId w:val="1"/>
        </w:numPr>
        <w:rPr>
          <w:rFonts w:hint="eastAsia"/>
          <w:highlight w:val="none"/>
          <w:lang w:eastAsia="zh-CN"/>
        </w:rPr>
      </w:pPr>
      <w:r>
        <w:rPr>
          <w:rFonts w:hint="eastAsia"/>
          <w:highlight w:val="none"/>
        </w:rPr>
        <w:t>本基金最后运作日</w:t>
      </w:r>
      <w:r>
        <w:rPr>
          <w:rFonts w:hint="eastAsia"/>
          <w:highlight w:val="none"/>
          <w:lang w:val="en-US" w:eastAsia="zh-CN"/>
        </w:rPr>
        <w:t>交易所</w:t>
      </w:r>
      <w:r>
        <w:rPr>
          <w:rFonts w:hint="eastAsia"/>
          <w:highlight w:val="none"/>
        </w:rPr>
        <w:t>存出保证金</w:t>
      </w:r>
      <w:r>
        <w:rPr>
          <w:rFonts w:hint="eastAsia"/>
          <w:highlight w:val="none"/>
          <w:lang w:val="en-US" w:eastAsia="zh-CN"/>
        </w:rPr>
        <w:t>6156.43</w:t>
      </w:r>
      <w:r>
        <w:rPr>
          <w:rFonts w:hint="eastAsia"/>
          <w:highlight w:val="none"/>
        </w:rPr>
        <w:t>元</w:t>
      </w:r>
      <w:r>
        <w:rPr>
          <w:rFonts w:hint="eastAsia"/>
          <w:highlight w:val="none"/>
          <w:lang w:eastAsia="zh-CN"/>
        </w:rPr>
        <w:t>，</w:t>
      </w:r>
      <w:r>
        <w:rPr>
          <w:rFonts w:hint="eastAsia"/>
          <w:highlight w:val="none"/>
          <w:lang w:val="en-US" w:eastAsia="zh-CN"/>
        </w:rPr>
        <w:t>应计</w:t>
      </w:r>
      <w:r>
        <w:rPr>
          <w:rFonts w:hint="eastAsia"/>
          <w:highlight w:val="none"/>
        </w:rPr>
        <w:t>利息为</w:t>
      </w:r>
      <w:r>
        <w:rPr>
          <w:rFonts w:hint="eastAsia"/>
          <w:highlight w:val="none"/>
          <w:lang w:val="en-US" w:eastAsia="zh-CN"/>
        </w:rPr>
        <w:t>3.54</w:t>
      </w:r>
      <w:r>
        <w:rPr>
          <w:rFonts w:hint="eastAsia"/>
          <w:highlight w:val="none"/>
        </w:rPr>
        <w:t>元</w:t>
      </w:r>
      <w:r>
        <w:rPr>
          <w:rFonts w:hint="eastAsia"/>
          <w:highlight w:val="none"/>
          <w:lang w:val="en-US" w:eastAsia="zh-CN"/>
        </w:rPr>
        <w:t>,尚未全部</w:t>
      </w:r>
      <w:r>
        <w:rPr>
          <w:rFonts w:hint="eastAsia"/>
          <w:highlight w:val="none"/>
        </w:rPr>
        <w:t>收回</w:t>
      </w:r>
      <w:r>
        <w:rPr>
          <w:rFonts w:hint="eastAsia"/>
          <w:highlight w:val="none"/>
          <w:lang w:eastAsia="zh-CN"/>
        </w:rPr>
        <w:t>。</w:t>
      </w:r>
    </w:p>
    <w:p w14:paraId="5906D404">
      <w:pPr>
        <w:pStyle w:val="24"/>
        <w:numPr>
          <w:ilvl w:val="0"/>
          <w:numId w:val="1"/>
        </w:numPr>
        <w:rPr>
          <w:rFonts w:hint="eastAsia"/>
          <w:highlight w:val="none"/>
          <w:lang w:eastAsia="zh-CN"/>
        </w:rPr>
      </w:pPr>
      <w:r>
        <w:rPr>
          <w:rFonts w:hint="eastAsia"/>
          <w:highlight w:val="none"/>
        </w:rPr>
        <w:t>本基金最后运作日交易性</w:t>
      </w:r>
      <w:r>
        <w:rPr>
          <w:rFonts w:hint="eastAsia"/>
          <w:highlight w:val="none"/>
          <w:lang w:val="en-US" w:eastAsia="zh-CN"/>
        </w:rPr>
        <w:t>债券</w:t>
      </w:r>
      <w:r>
        <w:rPr>
          <w:rFonts w:hint="eastAsia"/>
          <w:highlight w:val="none"/>
        </w:rPr>
        <w:t>投资</w:t>
      </w:r>
      <w:r>
        <w:rPr>
          <w:rFonts w:hint="eastAsia"/>
          <w:highlight w:val="none"/>
          <w:lang w:val="en-US" w:eastAsia="zh-CN"/>
        </w:rPr>
        <w:t>金额为640,976.38元，清算期内已完成变现。</w:t>
      </w:r>
    </w:p>
    <w:p w14:paraId="4BCAAA35">
      <w:pPr>
        <w:pStyle w:val="24"/>
        <w:numPr>
          <w:ilvl w:val="0"/>
          <w:numId w:val="1"/>
        </w:numPr>
        <w:ind w:left="0" w:leftChars="0" w:firstLine="420" w:firstLineChars="200"/>
        <w:rPr>
          <w:rFonts w:hint="eastAsia"/>
          <w:highlight w:val="none"/>
        </w:rPr>
      </w:pPr>
      <w:r>
        <w:rPr>
          <w:rFonts w:hint="eastAsia"/>
          <w:highlight w:val="none"/>
        </w:rPr>
        <w:t>本基金最后运作日的应付赎回款为21</w:t>
      </w:r>
      <w:r>
        <w:rPr>
          <w:rFonts w:hint="eastAsia"/>
          <w:highlight w:val="none"/>
          <w:lang w:val="en-US" w:eastAsia="zh-CN"/>
        </w:rPr>
        <w:t>,</w:t>
      </w:r>
      <w:r>
        <w:rPr>
          <w:rFonts w:hint="eastAsia"/>
          <w:highlight w:val="none"/>
        </w:rPr>
        <w:t>271.24元，</w:t>
      </w:r>
      <w:r>
        <w:rPr>
          <w:rFonts w:hint="eastAsia"/>
          <w:highlight w:val="none"/>
          <w:lang w:val="en-US" w:eastAsia="zh-CN"/>
        </w:rPr>
        <w:t>款项已支付。</w:t>
      </w:r>
    </w:p>
    <w:p w14:paraId="5F796055">
      <w:pPr>
        <w:pStyle w:val="24"/>
        <w:numPr>
          <w:ilvl w:val="0"/>
          <w:numId w:val="1"/>
        </w:numPr>
        <w:ind w:left="0" w:leftChars="0" w:firstLine="420" w:firstLineChars="200"/>
        <w:rPr>
          <w:rFonts w:hint="eastAsia"/>
          <w:highlight w:val="none"/>
        </w:rPr>
      </w:pPr>
      <w:r>
        <w:rPr>
          <w:rFonts w:hint="eastAsia"/>
          <w:highlight w:val="none"/>
        </w:rPr>
        <w:t>本基金最后运作日应付管理人报酬为101.97元，</w:t>
      </w:r>
      <w:r>
        <w:rPr>
          <w:rFonts w:hint="eastAsia"/>
          <w:highlight w:val="none"/>
          <w:lang w:val="en-US" w:eastAsia="zh-CN"/>
        </w:rPr>
        <w:t>款项已支付。</w:t>
      </w:r>
    </w:p>
    <w:p w14:paraId="44C3A781">
      <w:pPr>
        <w:pStyle w:val="24"/>
        <w:numPr>
          <w:ilvl w:val="0"/>
          <w:numId w:val="1"/>
        </w:numPr>
        <w:ind w:left="0" w:leftChars="0" w:firstLine="420" w:firstLineChars="200"/>
        <w:rPr>
          <w:rFonts w:hint="eastAsia"/>
          <w:highlight w:val="none"/>
        </w:rPr>
      </w:pPr>
      <w:r>
        <w:rPr>
          <w:rFonts w:hint="eastAsia"/>
          <w:highlight w:val="none"/>
        </w:rPr>
        <w:t>本基金最后运作日应付托管费为33.94元，</w:t>
      </w:r>
      <w:r>
        <w:rPr>
          <w:rFonts w:hint="eastAsia"/>
          <w:highlight w:val="none"/>
          <w:lang w:val="en-US" w:eastAsia="zh-CN"/>
        </w:rPr>
        <w:t>款项已支付。</w:t>
      </w:r>
    </w:p>
    <w:p w14:paraId="2FC7BEA1">
      <w:pPr>
        <w:pStyle w:val="24"/>
        <w:numPr>
          <w:ilvl w:val="0"/>
          <w:numId w:val="1"/>
        </w:numPr>
        <w:ind w:left="0" w:leftChars="0" w:firstLine="420" w:firstLineChars="200"/>
        <w:rPr>
          <w:rFonts w:hint="eastAsia"/>
          <w:highlight w:val="none"/>
        </w:rPr>
      </w:pPr>
      <w:r>
        <w:rPr>
          <w:rFonts w:hint="eastAsia"/>
          <w:highlight w:val="none"/>
        </w:rPr>
        <w:t>本基金最后运作日应</w:t>
      </w:r>
      <w:r>
        <w:rPr>
          <w:rFonts w:hint="eastAsia"/>
          <w:highlight w:val="none"/>
          <w:lang w:val="en-US" w:eastAsia="zh-CN"/>
        </w:rPr>
        <w:t>交税费为</w:t>
      </w:r>
      <w:r>
        <w:rPr>
          <w:rFonts w:hint="eastAsia"/>
          <w:highlight w:val="none"/>
        </w:rPr>
        <w:t>5.56</w:t>
      </w:r>
      <w:r>
        <w:rPr>
          <w:rFonts w:hint="eastAsia"/>
          <w:highlight w:val="none"/>
          <w:lang w:val="en-US" w:eastAsia="zh-CN"/>
        </w:rPr>
        <w:t>元，款项未支付。</w:t>
      </w:r>
    </w:p>
    <w:p w14:paraId="694AB0AD">
      <w:pPr>
        <w:pStyle w:val="24"/>
        <w:numPr>
          <w:ilvl w:val="0"/>
          <w:numId w:val="1"/>
        </w:numPr>
        <w:ind w:left="0" w:leftChars="0" w:firstLine="420" w:firstLineChars="200"/>
        <w:rPr>
          <w:rFonts w:hint="eastAsia"/>
          <w:highlight w:val="none"/>
        </w:rPr>
      </w:pPr>
      <w:r>
        <w:rPr>
          <w:rFonts w:hint="eastAsia"/>
          <w:highlight w:val="none"/>
        </w:rPr>
        <w:t>本基金最后运作日</w:t>
      </w:r>
      <w:r>
        <w:rPr>
          <w:rFonts w:hint="eastAsia"/>
          <w:highlight w:val="none"/>
          <w:lang w:val="en-US" w:eastAsia="zh-CN"/>
        </w:rPr>
        <w:t>预提费用为54,822.24元，款项未支付。</w:t>
      </w:r>
    </w:p>
    <w:bookmarkEnd w:id="46"/>
    <w:p w14:paraId="2263DDDE">
      <w:pPr>
        <w:pStyle w:val="3"/>
        <w:spacing w:before="0" w:after="0"/>
        <w:rPr>
          <w:rFonts w:ascii="宋体" w:hAnsi="宋体" w:eastAsia="宋体"/>
          <w:kern w:val="0"/>
          <w:sz w:val="21"/>
          <w:szCs w:val="21"/>
          <w:highlight w:val="none"/>
        </w:rPr>
      </w:pPr>
      <w:bookmarkStart w:id="48" w:name="_Toc491963089"/>
      <w:r>
        <w:rPr>
          <w:rFonts w:hint="eastAsia" w:ascii="宋体" w:hAnsi="宋体" w:eastAsia="宋体"/>
          <w:kern w:val="0"/>
          <w:sz w:val="21"/>
          <w:szCs w:val="21"/>
          <w:highlight w:val="none"/>
        </w:rPr>
        <w:t>5.2 截至本次清算期结束日的剩余财产情况及剩余财产分配安排</w:t>
      </w:r>
      <w:bookmarkEnd w:id="48"/>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97"/>
        <w:gridCol w:w="5675"/>
      </w:tblGrid>
      <w:tr w14:paraId="5586D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3821C75A">
            <w:pPr>
              <w:pStyle w:val="11"/>
              <w:jc w:val="center"/>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t>项目</w:t>
            </w:r>
          </w:p>
        </w:tc>
        <w:tc>
          <w:tcPr>
            <w:tcW w:w="5675" w:type="dxa"/>
            <w:vAlign w:val="center"/>
          </w:tcPr>
          <w:p w14:paraId="44B3F929">
            <w:pPr>
              <w:pStyle w:val="11"/>
              <w:spacing w:before="0" w:beforeAutospacing="0" w:after="0" w:afterAutospacing="0"/>
              <w:jc w:val="center"/>
              <w:rPr>
                <w:rFonts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t>金额</w:t>
            </w:r>
          </w:p>
        </w:tc>
      </w:tr>
      <w:tr w14:paraId="7C8EF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733DDBF7">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一、最后运作日2026年</w:t>
            </w:r>
            <w:r>
              <w:rPr>
                <w:rFonts w:hint="eastAsia" w:ascii="宋体" w:hAnsi="宋体"/>
                <w:b/>
                <w:color w:val="000000" w:themeColor="text1"/>
                <w:szCs w:val="21"/>
                <w:highlight w:val="none"/>
                <w:lang w:val="en-US" w:eastAsia="zh-CN"/>
                <w14:textFill>
                  <w14:solidFill>
                    <w14:schemeClr w14:val="tx1"/>
                  </w14:solidFill>
                </w14:textFill>
              </w:rPr>
              <w:t>7</w:t>
            </w:r>
            <w:r>
              <w:rPr>
                <w:rFonts w:hint="eastAsia" w:ascii="宋体" w:hAnsi="宋体"/>
                <w:b/>
                <w:color w:val="000000" w:themeColor="text1"/>
                <w:szCs w:val="21"/>
                <w:highlight w:val="none"/>
                <w14:textFill>
                  <w14:solidFill>
                    <w14:schemeClr w14:val="tx1"/>
                  </w14:solidFill>
                </w14:textFill>
              </w:rPr>
              <w:t>月</w:t>
            </w:r>
            <w:r>
              <w:rPr>
                <w:rFonts w:hint="eastAsia" w:ascii="宋体" w:hAnsi="宋体"/>
                <w:b/>
                <w:color w:val="000000" w:themeColor="text1"/>
                <w:szCs w:val="21"/>
                <w:highlight w:val="none"/>
                <w:lang w:val="en-US" w:eastAsia="zh-CN"/>
                <w14:textFill>
                  <w14:solidFill>
                    <w14:schemeClr w14:val="tx1"/>
                  </w14:solidFill>
                </w14:textFill>
              </w:rPr>
              <w:t>16</w:t>
            </w:r>
            <w:r>
              <w:rPr>
                <w:rFonts w:hint="eastAsia" w:ascii="宋体" w:hAnsi="宋体"/>
                <w:b/>
                <w:color w:val="000000" w:themeColor="text1"/>
                <w:szCs w:val="21"/>
                <w:highlight w:val="none"/>
                <w14:textFill>
                  <w14:solidFill>
                    <w14:schemeClr w14:val="tx1"/>
                  </w14:solidFill>
                </w14:textFill>
              </w:rPr>
              <w:t>日基金净资产</w:t>
            </w:r>
          </w:p>
        </w:tc>
        <w:tc>
          <w:tcPr>
            <w:tcW w:w="5675" w:type="dxa"/>
            <w:vAlign w:val="center"/>
          </w:tcPr>
          <w:p w14:paraId="34A50D7C">
            <w:pPr>
              <w:ind w:left="-80"/>
              <w:jc w:val="right"/>
              <w:rPr>
                <w:rFonts w:hint="eastAsia"/>
                <w:b/>
                <w:bCs/>
              </w:rPr>
            </w:pPr>
            <w:r>
              <w:rPr>
                <w:rFonts w:hint="eastAsia"/>
                <w:b/>
                <w:bCs/>
              </w:rPr>
              <w:t>707,167.46</w:t>
            </w:r>
          </w:p>
        </w:tc>
      </w:tr>
      <w:tr w14:paraId="20E86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3050E7A9">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减：2026年</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lang w:val="en-US" w:eastAsia="zh-CN"/>
                <w14:textFill>
                  <w14:solidFill>
                    <w14:schemeClr w14:val="tx1"/>
                  </w14:solidFill>
                </w14:textFill>
              </w:rPr>
              <w:t>17</w:t>
            </w:r>
            <w:r>
              <w:rPr>
                <w:rFonts w:hint="eastAsia" w:ascii="宋体" w:hAnsi="宋体"/>
                <w:color w:val="000000" w:themeColor="text1"/>
                <w:szCs w:val="21"/>
                <w:highlight w:val="none"/>
                <w14:textFill>
                  <w14:solidFill>
                    <w14:schemeClr w14:val="tx1"/>
                  </w14:solidFill>
                </w14:textFill>
              </w:rPr>
              <w:t>日确认</w:t>
            </w:r>
            <w:r>
              <w:rPr>
                <w:rFonts w:hint="eastAsia" w:ascii="宋体" w:hAnsi="宋体"/>
                <w:color w:val="000000" w:themeColor="text1"/>
                <w:szCs w:val="21"/>
                <w:highlight w:val="none"/>
                <w:lang w:val="en-US" w:eastAsia="zh-CN"/>
                <w14:textFill>
                  <w14:solidFill>
                    <w14:schemeClr w14:val="tx1"/>
                  </w14:solidFill>
                </w14:textFill>
              </w:rPr>
              <w:t>净</w:t>
            </w:r>
            <w:r>
              <w:rPr>
                <w:rFonts w:hint="eastAsia" w:ascii="宋体" w:hAnsi="宋体"/>
                <w:color w:val="000000" w:themeColor="text1"/>
                <w:szCs w:val="21"/>
                <w:highlight w:val="none"/>
                <w14:textFill>
                  <w14:solidFill>
                    <w14:schemeClr w14:val="tx1"/>
                  </w14:solidFill>
                </w14:textFill>
              </w:rPr>
              <w:t>赎回对价</w:t>
            </w:r>
          </w:p>
        </w:tc>
        <w:tc>
          <w:tcPr>
            <w:tcW w:w="5675" w:type="dxa"/>
            <w:vAlign w:val="center"/>
          </w:tcPr>
          <w:p w14:paraId="6CDB7A3D">
            <w:pPr>
              <w:ind w:left="-80"/>
              <w:jc w:val="right"/>
              <w:rPr>
                <w:rFonts w:hint="default" w:ascii="Arial" w:hAnsi="Arial" w:eastAsia="宋体" w:cs="Arial"/>
                <w:color w:val="000000"/>
                <w:sz w:val="24"/>
                <w:highlight w:val="none"/>
                <w:lang w:val="en-US" w:eastAsia="zh-CN"/>
              </w:rPr>
            </w:pPr>
            <w:r>
              <w:rPr>
                <w:rFonts w:hint="eastAsia"/>
                <w:b/>
                <w:bCs/>
                <w:lang w:val="en-US" w:eastAsia="zh-CN"/>
              </w:rPr>
              <w:t>16.81</w:t>
            </w:r>
          </w:p>
        </w:tc>
      </w:tr>
      <w:tr w14:paraId="7FAD5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608B9DDA">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加：清算期间净收益</w:t>
            </w:r>
          </w:p>
        </w:tc>
        <w:tc>
          <w:tcPr>
            <w:tcW w:w="5675" w:type="dxa"/>
            <w:vAlign w:val="center"/>
          </w:tcPr>
          <w:p w14:paraId="54F73AB1">
            <w:pPr>
              <w:ind w:left="-80" w:leftChars="0"/>
              <w:jc w:val="right"/>
              <w:rPr>
                <w:rFonts w:ascii="Arial" w:hAnsi="Arial" w:cs="Arial"/>
                <w:color w:val="000000"/>
                <w:sz w:val="24"/>
                <w:highlight w:val="none"/>
              </w:rPr>
            </w:pPr>
            <w:r>
              <w:rPr>
                <w:rFonts w:hint="eastAsia"/>
              </w:rPr>
              <w:t>-2,459.85</w:t>
            </w:r>
          </w:p>
        </w:tc>
      </w:tr>
      <w:tr w14:paraId="691A0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397" w:type="dxa"/>
            <w:vAlign w:val="center"/>
          </w:tcPr>
          <w:p w14:paraId="2EC85362">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二、2026年</w:t>
            </w:r>
            <w:r>
              <w:rPr>
                <w:rFonts w:hint="eastAsia" w:ascii="宋体" w:hAnsi="宋体"/>
                <w:b/>
                <w:color w:val="000000" w:themeColor="text1"/>
                <w:szCs w:val="21"/>
                <w:highlight w:val="none"/>
                <w:lang w:val="en-US" w:eastAsia="zh-CN"/>
                <w14:textFill>
                  <w14:solidFill>
                    <w14:schemeClr w14:val="tx1"/>
                  </w14:solidFill>
                </w14:textFill>
              </w:rPr>
              <w:t>8</w:t>
            </w:r>
            <w:r>
              <w:rPr>
                <w:rFonts w:hint="eastAsia" w:ascii="宋体" w:hAnsi="宋体"/>
                <w:b/>
                <w:color w:val="000000" w:themeColor="text1"/>
                <w:szCs w:val="21"/>
                <w:highlight w:val="none"/>
                <w14:textFill>
                  <w14:solidFill>
                    <w14:schemeClr w14:val="tx1"/>
                  </w14:solidFill>
                </w14:textFill>
              </w:rPr>
              <w:t>月</w:t>
            </w:r>
            <w:r>
              <w:rPr>
                <w:rFonts w:hint="eastAsia" w:ascii="宋体" w:hAnsi="宋体"/>
                <w:b/>
                <w:color w:val="000000" w:themeColor="text1"/>
                <w:szCs w:val="21"/>
                <w:highlight w:val="none"/>
                <w:lang w:val="en-US" w:eastAsia="zh-CN"/>
                <w14:textFill>
                  <w14:solidFill>
                    <w14:schemeClr w14:val="tx1"/>
                  </w14:solidFill>
                </w14:textFill>
              </w:rPr>
              <w:t>5</w:t>
            </w:r>
            <w:r>
              <w:rPr>
                <w:rFonts w:hint="eastAsia" w:ascii="宋体" w:hAnsi="宋体"/>
                <w:b/>
                <w:color w:val="000000" w:themeColor="text1"/>
                <w:szCs w:val="21"/>
                <w:highlight w:val="none"/>
                <w14:textFill>
                  <w14:solidFill>
                    <w14:schemeClr w14:val="tx1"/>
                  </w14:solidFill>
                </w14:textFill>
              </w:rPr>
              <w:t>日基金净资产</w:t>
            </w:r>
          </w:p>
        </w:tc>
        <w:tc>
          <w:tcPr>
            <w:tcW w:w="5675" w:type="dxa"/>
            <w:vAlign w:val="center"/>
          </w:tcPr>
          <w:p w14:paraId="059C670B">
            <w:pPr>
              <w:ind w:left="-80"/>
              <w:jc w:val="right"/>
              <w:rPr>
                <w:rFonts w:ascii="Arial" w:hAnsi="Arial" w:cs="Arial"/>
                <w:b/>
                <w:bCs/>
                <w:color w:val="000000"/>
                <w:sz w:val="24"/>
                <w:highlight w:val="none"/>
              </w:rPr>
            </w:pPr>
            <w:r>
              <w:rPr>
                <w:rFonts w:hint="eastAsia"/>
                <w:b/>
                <w:bCs/>
              </w:rPr>
              <w:t>704,690.80</w:t>
            </w:r>
          </w:p>
        </w:tc>
      </w:tr>
    </w:tbl>
    <w:p w14:paraId="5F45FF94">
      <w:pPr>
        <w:pStyle w:val="24"/>
        <w:rPr>
          <w:highlight w:val="none"/>
        </w:rPr>
      </w:pPr>
      <w:r>
        <w:rPr>
          <w:rFonts w:hint="eastAsia"/>
          <w:highlight w:val="none"/>
        </w:rPr>
        <w:t>截至本次清算期结束日2026年8月5日，本基金剩余财产为人民币704,690.80</w:t>
      </w:r>
      <w:r>
        <w:rPr>
          <w:rFonts w:hint="eastAsia"/>
          <w:highlight w:val="none"/>
          <w:lang w:eastAsia="zh-CN"/>
        </w:rPr>
        <w:t>元，基金净资产为</w:t>
      </w:r>
      <w:r>
        <w:rPr>
          <w:rFonts w:hint="eastAsia"/>
          <w:highlight w:val="none"/>
        </w:rPr>
        <w:t>704,690.80元。自本次清算期结束日次日2026年8月</w:t>
      </w:r>
      <w:r>
        <w:rPr>
          <w:rFonts w:hint="eastAsia"/>
          <w:highlight w:val="none"/>
          <w:lang w:val="en-US" w:eastAsia="zh-CN"/>
        </w:rPr>
        <w:t>6</w:t>
      </w:r>
      <w:r>
        <w:rPr>
          <w:rFonts w:hint="eastAsia"/>
          <w:highlight w:val="none"/>
        </w:rPr>
        <w:t>日至清算款划出前一日的收益和费用由基金份额持有人享有和承担。</w:t>
      </w:r>
    </w:p>
    <w:p w14:paraId="4DB70ECE">
      <w:pPr>
        <w:spacing w:line="360" w:lineRule="auto"/>
        <w:ind w:firstLine="420" w:firstLineChars="200"/>
        <w:rPr>
          <w:rFonts w:ascii="宋体" w:hAnsi="宋体"/>
          <w:szCs w:val="21"/>
          <w:highlight w:val="none"/>
        </w:rPr>
      </w:pPr>
      <w:r>
        <w:rPr>
          <w:rFonts w:hint="eastAsia" w:ascii="宋体" w:hAnsi="宋体"/>
          <w:szCs w:val="21"/>
          <w:highlight w:val="none"/>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35097750">
      <w:pPr>
        <w:pStyle w:val="2"/>
        <w:keepNext/>
        <w:keepLines/>
        <w:widowControl w:val="0"/>
        <w:spacing w:before="312" w:beforeLines="100" w:after="312" w:afterLines="100" w:line="360" w:lineRule="auto"/>
        <w:jc w:val="center"/>
        <w:rPr>
          <w:rStyle w:val="20"/>
          <w:rFonts w:ascii="宋体" w:hAnsi="宋体"/>
          <w:highlight w:val="none"/>
        </w:rPr>
      </w:pPr>
      <w:bookmarkStart w:id="49" w:name="_Toc491963090"/>
      <w:bookmarkStart w:id="50" w:name="_Toc361324903"/>
      <w:bookmarkStart w:id="51" w:name="_Toc484769810"/>
      <w:bookmarkStart w:id="52" w:name="_Toc409100471"/>
      <w:bookmarkStart w:id="53" w:name="_Toc225500055"/>
      <w:bookmarkStart w:id="54" w:name="_Toc409100108"/>
      <w:bookmarkStart w:id="55" w:name="_Toc476577307"/>
      <w:r>
        <w:rPr>
          <w:rStyle w:val="20"/>
          <w:rFonts w:hint="eastAsia" w:ascii="宋体" w:hAnsi="宋体"/>
          <w:highlight w:val="none"/>
        </w:rPr>
        <w:t>6、</w:t>
      </w:r>
      <w:r>
        <w:rPr>
          <w:rStyle w:val="20"/>
          <w:rFonts w:ascii="宋体" w:hAnsi="宋体"/>
          <w:highlight w:val="none"/>
        </w:rPr>
        <w:t>备查文件目录</w:t>
      </w:r>
      <w:bookmarkEnd w:id="49"/>
      <w:bookmarkEnd w:id="50"/>
      <w:bookmarkEnd w:id="51"/>
      <w:bookmarkEnd w:id="52"/>
      <w:bookmarkEnd w:id="53"/>
      <w:bookmarkEnd w:id="54"/>
      <w:bookmarkEnd w:id="55"/>
    </w:p>
    <w:p w14:paraId="1DA96476">
      <w:pPr>
        <w:pStyle w:val="3"/>
        <w:spacing w:before="0" w:after="0"/>
        <w:rPr>
          <w:rFonts w:ascii="宋体" w:hAnsi="宋体" w:eastAsia="宋体"/>
          <w:kern w:val="0"/>
          <w:sz w:val="21"/>
          <w:szCs w:val="21"/>
          <w:highlight w:val="none"/>
        </w:rPr>
      </w:pPr>
      <w:bookmarkStart w:id="56" w:name="_Toc361324904"/>
      <w:bookmarkStart w:id="57" w:name="_Toc484769811"/>
      <w:bookmarkStart w:id="58" w:name="_Toc484607315"/>
      <w:bookmarkStart w:id="59" w:name="_Toc409100472"/>
      <w:bookmarkStart w:id="60" w:name="_Toc476577308"/>
      <w:bookmarkStart w:id="61" w:name="_Toc491963091"/>
      <w:bookmarkStart w:id="62" w:name="_Toc483396843"/>
      <w:bookmarkStart w:id="63" w:name="_Toc409100109"/>
      <w:r>
        <w:rPr>
          <w:rFonts w:hint="eastAsia" w:ascii="宋体" w:hAnsi="宋体" w:eastAsia="宋体"/>
          <w:kern w:val="0"/>
          <w:sz w:val="21"/>
          <w:szCs w:val="21"/>
          <w:highlight w:val="none"/>
        </w:rPr>
        <w:t>6</w:t>
      </w:r>
      <w:r>
        <w:rPr>
          <w:rFonts w:ascii="宋体" w:hAnsi="宋体" w:eastAsia="宋体"/>
          <w:kern w:val="0"/>
          <w:sz w:val="21"/>
          <w:szCs w:val="21"/>
          <w:highlight w:val="none"/>
        </w:rPr>
        <w:t>.1 备查文件目录</w:t>
      </w:r>
      <w:bookmarkEnd w:id="56"/>
      <w:bookmarkEnd w:id="57"/>
      <w:bookmarkEnd w:id="58"/>
      <w:bookmarkEnd w:id="59"/>
      <w:bookmarkEnd w:id="60"/>
      <w:bookmarkEnd w:id="61"/>
      <w:bookmarkEnd w:id="62"/>
      <w:bookmarkEnd w:id="63"/>
    </w:p>
    <w:p w14:paraId="1CF8548D">
      <w:pPr>
        <w:spacing w:line="360" w:lineRule="auto"/>
        <w:ind w:firstLine="420" w:firstLineChars="200"/>
        <w:rPr>
          <w:rFonts w:ascii="宋体" w:hAnsi="宋体"/>
          <w:szCs w:val="21"/>
          <w:highlight w:val="none"/>
        </w:rPr>
      </w:pPr>
      <w:r>
        <w:rPr>
          <w:rFonts w:hint="eastAsia" w:ascii="宋体" w:hAnsi="宋体"/>
          <w:color w:val="000000"/>
          <w:szCs w:val="21"/>
          <w:highlight w:val="none"/>
        </w:rPr>
        <w:t>6.</w:t>
      </w:r>
      <w:r>
        <w:rPr>
          <w:rFonts w:ascii="宋体" w:hAnsi="宋体"/>
          <w:color w:val="000000"/>
          <w:szCs w:val="21"/>
          <w:highlight w:val="none"/>
        </w:rPr>
        <w:t>1.1</w:t>
      </w:r>
      <w:r>
        <w:rPr>
          <w:rFonts w:hint="eastAsia"/>
          <w:highlight w:val="none"/>
          <w:lang w:eastAsia="zh-CN"/>
        </w:rPr>
        <w:t>博时裕丰纯债3个月定期开放债券型发起式证券投资基金</w:t>
      </w:r>
      <w:r>
        <w:rPr>
          <w:rFonts w:hint="eastAsia"/>
          <w:highlight w:val="none"/>
        </w:rPr>
        <w:t>清算审计报告</w:t>
      </w:r>
    </w:p>
    <w:p w14:paraId="042D132D">
      <w:pPr>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6</w:t>
      </w:r>
      <w:r>
        <w:rPr>
          <w:rFonts w:ascii="宋体" w:hAnsi="宋体"/>
          <w:color w:val="000000"/>
          <w:szCs w:val="21"/>
          <w:highlight w:val="none"/>
        </w:rPr>
        <w:t>.1.2</w:t>
      </w:r>
      <w:r>
        <w:rPr>
          <w:rFonts w:hint="eastAsia" w:ascii="宋体" w:hAnsi="宋体"/>
          <w:color w:val="000000"/>
          <w:szCs w:val="21"/>
          <w:highlight w:val="none"/>
          <w:lang w:eastAsia="zh-CN"/>
        </w:rPr>
        <w:t>上海源泰律师事务所</w:t>
      </w:r>
      <w:r>
        <w:rPr>
          <w:rFonts w:hint="eastAsia" w:ascii="宋体" w:hAnsi="宋体"/>
          <w:color w:val="000000"/>
          <w:szCs w:val="21"/>
          <w:highlight w:val="none"/>
        </w:rPr>
        <w:t>关于</w:t>
      </w:r>
      <w:r>
        <w:rPr>
          <w:rFonts w:hint="eastAsia"/>
          <w:highlight w:val="none"/>
          <w:lang w:eastAsia="zh-CN"/>
        </w:rPr>
        <w:t>博时裕丰纯债3个月定期开放债券型发起式证券投资基金</w:t>
      </w:r>
      <w:r>
        <w:rPr>
          <w:rFonts w:hint="eastAsia" w:ascii="宋体" w:hAnsi="宋体"/>
          <w:color w:val="000000"/>
          <w:szCs w:val="21"/>
          <w:highlight w:val="none"/>
        </w:rPr>
        <w:t>清算事宜</w:t>
      </w:r>
      <w:r>
        <w:rPr>
          <w:rFonts w:ascii="宋体" w:hAnsi="宋体"/>
          <w:color w:val="000000"/>
          <w:szCs w:val="21"/>
          <w:highlight w:val="none"/>
        </w:rPr>
        <w:t>之法律意见</w:t>
      </w:r>
    </w:p>
    <w:p w14:paraId="172840DD">
      <w:pPr>
        <w:pStyle w:val="3"/>
        <w:spacing w:before="0" w:after="0"/>
        <w:rPr>
          <w:rFonts w:ascii="宋体" w:hAnsi="宋体" w:eastAsia="宋体"/>
          <w:kern w:val="0"/>
          <w:sz w:val="21"/>
          <w:szCs w:val="21"/>
          <w:highlight w:val="none"/>
        </w:rPr>
      </w:pPr>
      <w:bookmarkStart w:id="64" w:name="_Toc483396844"/>
      <w:bookmarkStart w:id="65" w:name="_Toc361324905"/>
      <w:bookmarkStart w:id="66" w:name="_Toc491963092"/>
      <w:bookmarkStart w:id="67" w:name="_Toc476577309"/>
      <w:bookmarkStart w:id="68" w:name="_Toc484607316"/>
      <w:bookmarkStart w:id="69" w:name="_Toc409100110"/>
      <w:bookmarkStart w:id="70" w:name="_Toc484769812"/>
      <w:bookmarkStart w:id="71" w:name="_Toc409100473"/>
      <w:r>
        <w:rPr>
          <w:rFonts w:hint="eastAsia" w:ascii="宋体" w:hAnsi="宋体" w:eastAsia="宋体"/>
          <w:kern w:val="0"/>
          <w:sz w:val="21"/>
          <w:szCs w:val="21"/>
          <w:highlight w:val="none"/>
        </w:rPr>
        <w:t>6</w:t>
      </w:r>
      <w:r>
        <w:rPr>
          <w:rFonts w:ascii="宋体" w:hAnsi="宋体" w:eastAsia="宋体"/>
          <w:kern w:val="0"/>
          <w:sz w:val="21"/>
          <w:szCs w:val="21"/>
          <w:highlight w:val="none"/>
        </w:rPr>
        <w:t>.2 存放地点</w:t>
      </w:r>
      <w:bookmarkEnd w:id="64"/>
      <w:bookmarkEnd w:id="65"/>
      <w:bookmarkEnd w:id="66"/>
      <w:bookmarkEnd w:id="67"/>
      <w:bookmarkEnd w:id="68"/>
      <w:bookmarkEnd w:id="69"/>
      <w:bookmarkEnd w:id="70"/>
      <w:bookmarkEnd w:id="71"/>
    </w:p>
    <w:p w14:paraId="24CF4182">
      <w:pPr>
        <w:spacing w:line="360" w:lineRule="auto"/>
        <w:ind w:firstLine="420" w:firstLineChars="200"/>
        <w:rPr>
          <w:rFonts w:ascii="宋体" w:hAnsi="宋体"/>
          <w:color w:val="000000"/>
          <w:szCs w:val="21"/>
          <w:highlight w:val="none"/>
        </w:rPr>
      </w:pPr>
      <w:r>
        <w:rPr>
          <w:rFonts w:ascii="宋体" w:hAnsi="宋体"/>
          <w:color w:val="000000"/>
          <w:szCs w:val="21"/>
          <w:highlight w:val="none"/>
        </w:rPr>
        <w:t>基金管理人、基金托管人处</w:t>
      </w:r>
    </w:p>
    <w:p w14:paraId="30F4EDDF">
      <w:pPr>
        <w:pStyle w:val="3"/>
        <w:spacing w:before="0" w:after="0"/>
        <w:rPr>
          <w:rFonts w:ascii="宋体" w:hAnsi="宋体" w:eastAsia="宋体"/>
          <w:kern w:val="0"/>
          <w:sz w:val="21"/>
          <w:szCs w:val="21"/>
          <w:highlight w:val="none"/>
        </w:rPr>
      </w:pPr>
      <w:bookmarkStart w:id="72" w:name="_Toc409100111"/>
      <w:bookmarkStart w:id="73" w:name="_Toc361324906"/>
      <w:bookmarkStart w:id="74" w:name="_Toc484769813"/>
      <w:bookmarkStart w:id="75" w:name="_Toc409100474"/>
      <w:bookmarkStart w:id="76" w:name="_Toc484607317"/>
      <w:bookmarkStart w:id="77" w:name="_Toc483396845"/>
      <w:bookmarkStart w:id="78" w:name="_Toc491963093"/>
      <w:bookmarkStart w:id="79" w:name="_Toc476577310"/>
      <w:r>
        <w:rPr>
          <w:rFonts w:hint="eastAsia" w:ascii="宋体" w:hAnsi="宋体" w:eastAsia="宋体"/>
          <w:kern w:val="0"/>
          <w:sz w:val="21"/>
          <w:szCs w:val="21"/>
          <w:highlight w:val="none"/>
        </w:rPr>
        <w:t>6</w:t>
      </w:r>
      <w:r>
        <w:rPr>
          <w:rFonts w:ascii="宋体" w:hAnsi="宋体" w:eastAsia="宋体"/>
          <w:kern w:val="0"/>
          <w:sz w:val="21"/>
          <w:szCs w:val="21"/>
          <w:highlight w:val="none"/>
        </w:rPr>
        <w:t>.3 查阅方式</w:t>
      </w:r>
      <w:bookmarkEnd w:id="72"/>
      <w:bookmarkEnd w:id="73"/>
      <w:bookmarkEnd w:id="74"/>
      <w:bookmarkEnd w:id="75"/>
      <w:bookmarkEnd w:id="76"/>
      <w:bookmarkEnd w:id="77"/>
      <w:bookmarkEnd w:id="78"/>
      <w:bookmarkEnd w:id="79"/>
    </w:p>
    <w:p w14:paraId="6AAC41AE">
      <w:pPr>
        <w:spacing w:line="360" w:lineRule="auto"/>
        <w:ind w:firstLine="420" w:firstLineChars="200"/>
        <w:rPr>
          <w:rFonts w:ascii="宋体" w:hAnsi="宋体"/>
          <w:color w:val="000000"/>
          <w:szCs w:val="21"/>
          <w:highlight w:val="none"/>
        </w:rPr>
      </w:pPr>
      <w:r>
        <w:rPr>
          <w:rFonts w:ascii="宋体" w:hAnsi="宋体"/>
          <w:color w:val="000000"/>
          <w:szCs w:val="21"/>
          <w:highlight w:val="none"/>
        </w:rPr>
        <w:t>投资者可在营业时间免费查阅，也可按工本费购买复印件</w:t>
      </w:r>
    </w:p>
    <w:p w14:paraId="4FBE9718">
      <w:pPr>
        <w:spacing w:line="360" w:lineRule="auto"/>
        <w:ind w:firstLine="420" w:firstLineChars="200"/>
        <w:rPr>
          <w:rFonts w:ascii="宋体" w:hAnsi="宋体"/>
          <w:color w:val="000000"/>
          <w:szCs w:val="21"/>
          <w:highlight w:val="none"/>
        </w:rPr>
      </w:pPr>
      <w:r>
        <w:rPr>
          <w:rFonts w:ascii="宋体" w:hAnsi="宋体"/>
          <w:color w:val="000000"/>
          <w:szCs w:val="21"/>
          <w:highlight w:val="none"/>
        </w:rPr>
        <w:t>投资者对本报告书如有疑问，可咨询本基金</w:t>
      </w:r>
      <w:r>
        <w:rPr>
          <w:rFonts w:hint="eastAsia" w:ascii="宋体" w:hAnsi="宋体"/>
          <w:color w:val="000000"/>
          <w:szCs w:val="21"/>
          <w:highlight w:val="none"/>
          <w:lang w:val="en-US" w:eastAsia="zh-CN"/>
        </w:rPr>
        <w:t>基金</w:t>
      </w:r>
      <w:r>
        <w:rPr>
          <w:rFonts w:ascii="宋体" w:hAnsi="宋体"/>
          <w:color w:val="000000"/>
          <w:szCs w:val="21"/>
          <w:highlight w:val="none"/>
        </w:rPr>
        <w:t>管理人博时基金管理有限公司</w:t>
      </w:r>
    </w:p>
    <w:p w14:paraId="6B279947">
      <w:pPr>
        <w:spacing w:line="360" w:lineRule="auto"/>
        <w:ind w:firstLine="420" w:firstLineChars="200"/>
        <w:rPr>
          <w:rFonts w:ascii="宋体" w:hAnsi="宋体"/>
          <w:color w:val="000000"/>
          <w:szCs w:val="21"/>
          <w:highlight w:val="none"/>
        </w:rPr>
      </w:pPr>
      <w:r>
        <w:rPr>
          <w:rFonts w:ascii="宋体" w:hAnsi="宋体"/>
          <w:color w:val="000000"/>
          <w:szCs w:val="21"/>
          <w:highlight w:val="none"/>
        </w:rPr>
        <w:t>博时一线通：95105568（免长途话费）</w:t>
      </w:r>
    </w:p>
    <w:p w14:paraId="150F2710">
      <w:pPr>
        <w:spacing w:line="360" w:lineRule="auto"/>
        <w:rPr>
          <w:rFonts w:ascii="宋体" w:hAnsi="宋体"/>
          <w:bCs/>
          <w:color w:val="000000" w:themeColor="text1"/>
          <w:szCs w:val="21"/>
          <w:highlight w:val="none"/>
          <w14:textFill>
            <w14:solidFill>
              <w14:schemeClr w14:val="tx1"/>
            </w14:solidFill>
          </w14:textFill>
        </w:rPr>
      </w:pPr>
    </w:p>
    <w:p w14:paraId="2FDA9F34">
      <w:pPr>
        <w:spacing w:line="360" w:lineRule="auto"/>
        <w:jc w:val="right"/>
        <w:rPr>
          <w:rFonts w:ascii="宋体" w:hAnsi="宋体"/>
          <w:bCs/>
          <w:szCs w:val="21"/>
          <w:highlight w:val="none"/>
        </w:rPr>
      </w:pPr>
      <w:r>
        <w:rPr>
          <w:rFonts w:hint="eastAsia"/>
          <w:highlight w:val="none"/>
          <w:lang w:eastAsia="zh-CN"/>
        </w:rPr>
        <w:t>博时裕丰纯债3个月定期开放债券型发起式证券投资基金</w:t>
      </w:r>
      <w:r>
        <w:rPr>
          <w:rFonts w:hint="eastAsia" w:ascii="宋体" w:hAnsi="宋体"/>
          <w:bCs/>
          <w:szCs w:val="21"/>
          <w:highlight w:val="none"/>
        </w:rPr>
        <w:t>基金财产清算小组</w:t>
      </w:r>
    </w:p>
    <w:p w14:paraId="4C8C841C">
      <w:pPr>
        <w:wordWrap w:val="0"/>
        <w:spacing w:line="360" w:lineRule="auto"/>
        <w:ind w:left="840" w:right="420" w:firstLine="3885" w:firstLineChars="1850"/>
        <w:jc w:val="right"/>
        <w:rPr>
          <w:highlight w:val="none"/>
        </w:rPr>
      </w:pPr>
      <w:r>
        <w:rPr>
          <w:rFonts w:hint="eastAsia" w:ascii="宋体" w:hAnsi="宋体"/>
          <w:bCs/>
          <w:szCs w:val="21"/>
          <w:highlight w:val="none"/>
          <w:lang w:val="en-US" w:eastAsia="zh-CN"/>
        </w:rPr>
        <w:t xml:space="preserve"> </w:t>
      </w:r>
      <w:bookmarkStart w:id="80" w:name="_GoBack"/>
      <w:bookmarkEnd w:id="80"/>
      <w:r>
        <w:rPr>
          <w:rFonts w:ascii="宋体" w:hAnsi="宋体"/>
          <w:bCs/>
          <w:szCs w:val="21"/>
          <w:highlight w:val="none"/>
        </w:rPr>
        <w:t>二〇</w:t>
      </w:r>
      <w:r>
        <w:rPr>
          <w:rFonts w:hint="eastAsia" w:ascii="宋体" w:hAnsi="宋体"/>
          <w:bCs/>
          <w:szCs w:val="21"/>
          <w:highlight w:val="none"/>
        </w:rPr>
        <w:t>二</w:t>
      </w:r>
      <w:r>
        <w:rPr>
          <w:rFonts w:hint="eastAsia" w:ascii="宋体" w:hAnsi="宋体"/>
          <w:bCs/>
          <w:szCs w:val="21"/>
          <w:highlight w:val="none"/>
          <w:lang w:val="en-US" w:eastAsia="zh-CN"/>
        </w:rPr>
        <w:t>六</w:t>
      </w:r>
      <w:r>
        <w:rPr>
          <w:rFonts w:ascii="宋体" w:hAnsi="宋体"/>
          <w:bCs/>
          <w:szCs w:val="21"/>
          <w:highlight w:val="none"/>
        </w:rPr>
        <w:t>年</w:t>
      </w:r>
      <w:r>
        <w:rPr>
          <w:rFonts w:hint="eastAsia" w:ascii="宋体" w:hAnsi="宋体"/>
          <w:bCs/>
          <w:szCs w:val="21"/>
          <w:highlight w:val="none"/>
          <w:lang w:val="en-US" w:eastAsia="zh-CN"/>
        </w:rPr>
        <w:t>八</w:t>
      </w:r>
      <w:r>
        <w:rPr>
          <w:rFonts w:ascii="宋体" w:hAnsi="宋体"/>
          <w:bCs/>
          <w:szCs w:val="21"/>
          <w:highlight w:val="none"/>
        </w:rPr>
        <w:t>月</w:t>
      </w:r>
      <w:r>
        <w:rPr>
          <w:rFonts w:hint="eastAsia" w:ascii="宋体" w:hAnsi="宋体"/>
          <w:bCs/>
          <w:szCs w:val="21"/>
          <w:highlight w:val="none"/>
          <w:lang w:val="en-US" w:eastAsia="zh-CN"/>
        </w:rPr>
        <w:t>二十九</w:t>
      </w:r>
      <w:r>
        <w:rPr>
          <w:rFonts w:ascii="宋体" w:hAnsi="宋体"/>
          <w:bCs/>
          <w:szCs w:val="21"/>
          <w:highlight w:val="none"/>
        </w:rPr>
        <w:t>日</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宋体棬　僬　.">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0446840"/>
      <w:docPartObj>
        <w:docPartGallery w:val="autotext"/>
      </w:docPartObj>
    </w:sdtPr>
    <w:sdtContent>
      <w:p w14:paraId="325DAADD">
        <w:pPr>
          <w:pStyle w:val="7"/>
          <w:jc w:val="center"/>
        </w:pPr>
        <w:r>
          <w:fldChar w:fldCharType="begin"/>
        </w:r>
        <w:r>
          <w:instrText xml:space="preserve">PAGE   \* MERGEFORMAT</w:instrText>
        </w:r>
        <w:r>
          <w:fldChar w:fldCharType="separate"/>
        </w:r>
        <w:r>
          <w:rPr>
            <w:lang w:val="zh-CN"/>
          </w:rPr>
          <w:t>10</w:t>
        </w:r>
        <w:r>
          <w:fldChar w:fldCharType="end"/>
        </w:r>
      </w:p>
    </w:sdtContent>
  </w:sdt>
  <w:p w14:paraId="55BD4175">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9AC64">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60288"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2" name="图片 2"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82EC1">
    <w:pPr>
      <w:pStyle w:val="8"/>
      <w:pBdr>
        <w:bottom w:val="single" w:color="auto" w:sz="6" w:space="0"/>
      </w:pBdr>
      <w:tabs>
        <w:tab w:val="left" w:pos="3105"/>
        <w:tab w:val="right" w:pos="9090"/>
      </w:tabs>
      <w:jc w:val="left"/>
    </w:pPr>
    <w:r>
      <w:rPr>
        <w:sz w:val="21"/>
        <w:szCs w:val="21"/>
      </w:rPr>
      <w:tab/>
    </w:r>
    <w:r>
      <w:rPr>
        <w:sz w:val="21"/>
        <w:szCs w:val="21"/>
      </w:rPr>
      <w:tab/>
    </w:r>
    <w:r>
      <w:drawing>
        <wp:anchor distT="0" distB="0" distL="114300" distR="114300" simplePos="0" relativeHeight="251659264" behindDoc="0" locked="0" layoutInCell="1" allowOverlap="1">
          <wp:simplePos x="0" y="0"/>
          <wp:positionH relativeFrom="column">
            <wp:posOffset>-13335</wp:posOffset>
          </wp:positionH>
          <wp:positionV relativeFrom="paragraph">
            <wp:posOffset>-190500</wp:posOffset>
          </wp:positionV>
          <wp:extent cx="1257300" cy="314325"/>
          <wp:effectExtent l="0" t="0" r="0" b="0"/>
          <wp:wrapNone/>
          <wp:docPr id="4" name="图片 4"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CA8D04"/>
    <w:multiLevelType w:val="singleLevel"/>
    <w:tmpl w:val="D7CA8D0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06A"/>
    <w:rsid w:val="0000095F"/>
    <w:rsid w:val="000137FB"/>
    <w:rsid w:val="00044D6A"/>
    <w:rsid w:val="00047E84"/>
    <w:rsid w:val="00052B79"/>
    <w:rsid w:val="000539E5"/>
    <w:rsid w:val="000565B3"/>
    <w:rsid w:val="00077D1B"/>
    <w:rsid w:val="000843E5"/>
    <w:rsid w:val="000A67AD"/>
    <w:rsid w:val="000C1A89"/>
    <w:rsid w:val="000D2477"/>
    <w:rsid w:val="000F0DB6"/>
    <w:rsid w:val="000F38A7"/>
    <w:rsid w:val="000F38C0"/>
    <w:rsid w:val="000F582E"/>
    <w:rsid w:val="00106078"/>
    <w:rsid w:val="001461B5"/>
    <w:rsid w:val="001469B6"/>
    <w:rsid w:val="00155FBE"/>
    <w:rsid w:val="00167779"/>
    <w:rsid w:val="0017203A"/>
    <w:rsid w:val="001837B1"/>
    <w:rsid w:val="00192433"/>
    <w:rsid w:val="001943DA"/>
    <w:rsid w:val="001A25D5"/>
    <w:rsid w:val="001A6186"/>
    <w:rsid w:val="001A64D9"/>
    <w:rsid w:val="001B142B"/>
    <w:rsid w:val="001B27AC"/>
    <w:rsid w:val="001B307F"/>
    <w:rsid w:val="001B6418"/>
    <w:rsid w:val="001C5110"/>
    <w:rsid w:val="001C5F1E"/>
    <w:rsid w:val="001E1155"/>
    <w:rsid w:val="0020164A"/>
    <w:rsid w:val="002025EA"/>
    <w:rsid w:val="00214EB4"/>
    <w:rsid w:val="00234000"/>
    <w:rsid w:val="0023623C"/>
    <w:rsid w:val="0025064B"/>
    <w:rsid w:val="00256EF7"/>
    <w:rsid w:val="002653B2"/>
    <w:rsid w:val="00265EEB"/>
    <w:rsid w:val="002661A0"/>
    <w:rsid w:val="00283A99"/>
    <w:rsid w:val="002873D1"/>
    <w:rsid w:val="002A78CA"/>
    <w:rsid w:val="002B2C22"/>
    <w:rsid w:val="002B3940"/>
    <w:rsid w:val="002B3A7F"/>
    <w:rsid w:val="002B64F0"/>
    <w:rsid w:val="002C1EB1"/>
    <w:rsid w:val="002C206A"/>
    <w:rsid w:val="002D012A"/>
    <w:rsid w:val="002D2D31"/>
    <w:rsid w:val="002E63F9"/>
    <w:rsid w:val="00301ED8"/>
    <w:rsid w:val="00306C8D"/>
    <w:rsid w:val="003123B6"/>
    <w:rsid w:val="0033114F"/>
    <w:rsid w:val="00352E52"/>
    <w:rsid w:val="0035409D"/>
    <w:rsid w:val="00355DCE"/>
    <w:rsid w:val="003835CB"/>
    <w:rsid w:val="00385C7D"/>
    <w:rsid w:val="00386448"/>
    <w:rsid w:val="003B1FF9"/>
    <w:rsid w:val="003C5210"/>
    <w:rsid w:val="003C62D7"/>
    <w:rsid w:val="003E2B75"/>
    <w:rsid w:val="003E5A9A"/>
    <w:rsid w:val="003F58E5"/>
    <w:rsid w:val="004346F7"/>
    <w:rsid w:val="00434B13"/>
    <w:rsid w:val="00436D7F"/>
    <w:rsid w:val="0044360C"/>
    <w:rsid w:val="0044397B"/>
    <w:rsid w:val="004454E6"/>
    <w:rsid w:val="00450E11"/>
    <w:rsid w:val="00455ED0"/>
    <w:rsid w:val="00456810"/>
    <w:rsid w:val="00463891"/>
    <w:rsid w:val="00467B21"/>
    <w:rsid w:val="004850AB"/>
    <w:rsid w:val="00492EFF"/>
    <w:rsid w:val="004A1313"/>
    <w:rsid w:val="004A4000"/>
    <w:rsid w:val="004C29F5"/>
    <w:rsid w:val="004D6178"/>
    <w:rsid w:val="00502816"/>
    <w:rsid w:val="00506722"/>
    <w:rsid w:val="00516AB2"/>
    <w:rsid w:val="00521F84"/>
    <w:rsid w:val="00523B76"/>
    <w:rsid w:val="00523D2E"/>
    <w:rsid w:val="00534804"/>
    <w:rsid w:val="00564FC0"/>
    <w:rsid w:val="005660DC"/>
    <w:rsid w:val="00573CCA"/>
    <w:rsid w:val="00586184"/>
    <w:rsid w:val="00587EB1"/>
    <w:rsid w:val="00591E34"/>
    <w:rsid w:val="005A5F19"/>
    <w:rsid w:val="005B00B8"/>
    <w:rsid w:val="005B1DA8"/>
    <w:rsid w:val="005B7910"/>
    <w:rsid w:val="005C2636"/>
    <w:rsid w:val="005D2BBF"/>
    <w:rsid w:val="005D3C26"/>
    <w:rsid w:val="005E066D"/>
    <w:rsid w:val="005E3053"/>
    <w:rsid w:val="00602945"/>
    <w:rsid w:val="00612741"/>
    <w:rsid w:val="00620453"/>
    <w:rsid w:val="0063424C"/>
    <w:rsid w:val="00635B20"/>
    <w:rsid w:val="006458AE"/>
    <w:rsid w:val="00652E32"/>
    <w:rsid w:val="00662751"/>
    <w:rsid w:val="006631AD"/>
    <w:rsid w:val="00665EC2"/>
    <w:rsid w:val="00680A32"/>
    <w:rsid w:val="0068199C"/>
    <w:rsid w:val="00683CCD"/>
    <w:rsid w:val="006845C6"/>
    <w:rsid w:val="00693EDA"/>
    <w:rsid w:val="006A0CA9"/>
    <w:rsid w:val="006A3E46"/>
    <w:rsid w:val="006C1070"/>
    <w:rsid w:val="006C1BF7"/>
    <w:rsid w:val="006D3ABB"/>
    <w:rsid w:val="006F22C0"/>
    <w:rsid w:val="006F661D"/>
    <w:rsid w:val="006F6EDE"/>
    <w:rsid w:val="00707F9D"/>
    <w:rsid w:val="00714FE5"/>
    <w:rsid w:val="00716C2D"/>
    <w:rsid w:val="0072089C"/>
    <w:rsid w:val="007249F8"/>
    <w:rsid w:val="007302D4"/>
    <w:rsid w:val="00733FD6"/>
    <w:rsid w:val="007446B8"/>
    <w:rsid w:val="007654B6"/>
    <w:rsid w:val="00765C51"/>
    <w:rsid w:val="00772D62"/>
    <w:rsid w:val="00772F4C"/>
    <w:rsid w:val="00784118"/>
    <w:rsid w:val="007A111F"/>
    <w:rsid w:val="007A1382"/>
    <w:rsid w:val="007A4276"/>
    <w:rsid w:val="007C224B"/>
    <w:rsid w:val="007C7E15"/>
    <w:rsid w:val="007D01A7"/>
    <w:rsid w:val="007D2C21"/>
    <w:rsid w:val="007D368E"/>
    <w:rsid w:val="00800E5D"/>
    <w:rsid w:val="00801C52"/>
    <w:rsid w:val="00815886"/>
    <w:rsid w:val="00815FC5"/>
    <w:rsid w:val="008225D8"/>
    <w:rsid w:val="00834E30"/>
    <w:rsid w:val="00845FBE"/>
    <w:rsid w:val="00846CD0"/>
    <w:rsid w:val="00862C4E"/>
    <w:rsid w:val="00872860"/>
    <w:rsid w:val="008761E7"/>
    <w:rsid w:val="00876515"/>
    <w:rsid w:val="00881D41"/>
    <w:rsid w:val="00893D5F"/>
    <w:rsid w:val="008A2534"/>
    <w:rsid w:val="008A2CED"/>
    <w:rsid w:val="008A3541"/>
    <w:rsid w:val="008A37AA"/>
    <w:rsid w:val="008A3F14"/>
    <w:rsid w:val="008B2371"/>
    <w:rsid w:val="008B50E8"/>
    <w:rsid w:val="008D28CA"/>
    <w:rsid w:val="008E44B4"/>
    <w:rsid w:val="008F313A"/>
    <w:rsid w:val="00912B1F"/>
    <w:rsid w:val="0091569A"/>
    <w:rsid w:val="009164BB"/>
    <w:rsid w:val="00916F0F"/>
    <w:rsid w:val="00924654"/>
    <w:rsid w:val="00933D33"/>
    <w:rsid w:val="009837FE"/>
    <w:rsid w:val="00987D82"/>
    <w:rsid w:val="00993E2D"/>
    <w:rsid w:val="009E6B28"/>
    <w:rsid w:val="009F6E54"/>
    <w:rsid w:val="00A01676"/>
    <w:rsid w:val="00A14A60"/>
    <w:rsid w:val="00A23D46"/>
    <w:rsid w:val="00A44F0D"/>
    <w:rsid w:val="00A46614"/>
    <w:rsid w:val="00A50F44"/>
    <w:rsid w:val="00A5445B"/>
    <w:rsid w:val="00A56FA3"/>
    <w:rsid w:val="00A7090F"/>
    <w:rsid w:val="00A728B4"/>
    <w:rsid w:val="00A74683"/>
    <w:rsid w:val="00A862A8"/>
    <w:rsid w:val="00A91EE9"/>
    <w:rsid w:val="00A93929"/>
    <w:rsid w:val="00AA2704"/>
    <w:rsid w:val="00AA33F7"/>
    <w:rsid w:val="00AA5F1B"/>
    <w:rsid w:val="00AA6506"/>
    <w:rsid w:val="00AB4223"/>
    <w:rsid w:val="00AC75BE"/>
    <w:rsid w:val="00AD1682"/>
    <w:rsid w:val="00AE14B8"/>
    <w:rsid w:val="00AE5F6A"/>
    <w:rsid w:val="00B04DF8"/>
    <w:rsid w:val="00B12304"/>
    <w:rsid w:val="00B16F0F"/>
    <w:rsid w:val="00B233AC"/>
    <w:rsid w:val="00B23421"/>
    <w:rsid w:val="00B2597B"/>
    <w:rsid w:val="00B339F1"/>
    <w:rsid w:val="00B43A95"/>
    <w:rsid w:val="00B65F7A"/>
    <w:rsid w:val="00B92205"/>
    <w:rsid w:val="00BB4559"/>
    <w:rsid w:val="00BB63F5"/>
    <w:rsid w:val="00BB738A"/>
    <w:rsid w:val="00BC4087"/>
    <w:rsid w:val="00BE0577"/>
    <w:rsid w:val="00BE2945"/>
    <w:rsid w:val="00BE4A70"/>
    <w:rsid w:val="00BF5EF2"/>
    <w:rsid w:val="00C04232"/>
    <w:rsid w:val="00C11810"/>
    <w:rsid w:val="00C135C6"/>
    <w:rsid w:val="00C14A9A"/>
    <w:rsid w:val="00C16C1F"/>
    <w:rsid w:val="00C210B3"/>
    <w:rsid w:val="00C34DAD"/>
    <w:rsid w:val="00C403BF"/>
    <w:rsid w:val="00C4132F"/>
    <w:rsid w:val="00C41BC6"/>
    <w:rsid w:val="00C46B5E"/>
    <w:rsid w:val="00C525B7"/>
    <w:rsid w:val="00C70690"/>
    <w:rsid w:val="00C80BA7"/>
    <w:rsid w:val="00C80C26"/>
    <w:rsid w:val="00C81D4D"/>
    <w:rsid w:val="00C8253B"/>
    <w:rsid w:val="00C8353B"/>
    <w:rsid w:val="00CA1B80"/>
    <w:rsid w:val="00CA5C95"/>
    <w:rsid w:val="00CB0C41"/>
    <w:rsid w:val="00CC015D"/>
    <w:rsid w:val="00CC6E89"/>
    <w:rsid w:val="00CD5F8A"/>
    <w:rsid w:val="00CD7E4B"/>
    <w:rsid w:val="00CE52AA"/>
    <w:rsid w:val="00CF22FE"/>
    <w:rsid w:val="00D00B39"/>
    <w:rsid w:val="00D05B80"/>
    <w:rsid w:val="00D454FE"/>
    <w:rsid w:val="00D54D70"/>
    <w:rsid w:val="00D77529"/>
    <w:rsid w:val="00D908BA"/>
    <w:rsid w:val="00DA69B2"/>
    <w:rsid w:val="00DA6F9B"/>
    <w:rsid w:val="00DB3DDE"/>
    <w:rsid w:val="00DD0701"/>
    <w:rsid w:val="00DD0AF4"/>
    <w:rsid w:val="00DD447D"/>
    <w:rsid w:val="00DF0830"/>
    <w:rsid w:val="00DF0A36"/>
    <w:rsid w:val="00E036D0"/>
    <w:rsid w:val="00E04E1A"/>
    <w:rsid w:val="00E120A8"/>
    <w:rsid w:val="00E1270D"/>
    <w:rsid w:val="00E142CD"/>
    <w:rsid w:val="00E21B3B"/>
    <w:rsid w:val="00E444C3"/>
    <w:rsid w:val="00E6420A"/>
    <w:rsid w:val="00E667C5"/>
    <w:rsid w:val="00E7448F"/>
    <w:rsid w:val="00E83CB9"/>
    <w:rsid w:val="00E94390"/>
    <w:rsid w:val="00F01202"/>
    <w:rsid w:val="00F03A4C"/>
    <w:rsid w:val="00F31C2E"/>
    <w:rsid w:val="00F349E5"/>
    <w:rsid w:val="00F374DD"/>
    <w:rsid w:val="00F4536A"/>
    <w:rsid w:val="00F45604"/>
    <w:rsid w:val="00F52468"/>
    <w:rsid w:val="00F52622"/>
    <w:rsid w:val="00F53DBF"/>
    <w:rsid w:val="00F54305"/>
    <w:rsid w:val="00F84D89"/>
    <w:rsid w:val="00F869AE"/>
    <w:rsid w:val="00FB4D56"/>
    <w:rsid w:val="00FB67B2"/>
    <w:rsid w:val="00FB68D0"/>
    <w:rsid w:val="00FC3755"/>
    <w:rsid w:val="00FC5621"/>
    <w:rsid w:val="00FC685E"/>
    <w:rsid w:val="00FC7F9D"/>
    <w:rsid w:val="00FE3491"/>
    <w:rsid w:val="00FE7CDD"/>
    <w:rsid w:val="00FF26D8"/>
    <w:rsid w:val="012D1AC7"/>
    <w:rsid w:val="02CB7DF1"/>
    <w:rsid w:val="031A117A"/>
    <w:rsid w:val="05790FF3"/>
    <w:rsid w:val="06EB0547"/>
    <w:rsid w:val="098866BA"/>
    <w:rsid w:val="0BA04D7C"/>
    <w:rsid w:val="0C94657F"/>
    <w:rsid w:val="0E8C7536"/>
    <w:rsid w:val="100D4382"/>
    <w:rsid w:val="10BC5B09"/>
    <w:rsid w:val="114A2CF3"/>
    <w:rsid w:val="12D34A2D"/>
    <w:rsid w:val="167073E3"/>
    <w:rsid w:val="1782771F"/>
    <w:rsid w:val="18F22FF4"/>
    <w:rsid w:val="1B6C0C0A"/>
    <w:rsid w:val="1EE1565A"/>
    <w:rsid w:val="237C2673"/>
    <w:rsid w:val="25B840F5"/>
    <w:rsid w:val="27765F5D"/>
    <w:rsid w:val="27E37EBE"/>
    <w:rsid w:val="294B2526"/>
    <w:rsid w:val="2A381ADA"/>
    <w:rsid w:val="2A7D3F43"/>
    <w:rsid w:val="2AEE54E9"/>
    <w:rsid w:val="2AF5441A"/>
    <w:rsid w:val="2C0131F0"/>
    <w:rsid w:val="2EDD2042"/>
    <w:rsid w:val="309F0789"/>
    <w:rsid w:val="30AE4471"/>
    <w:rsid w:val="337F0286"/>
    <w:rsid w:val="33B966F1"/>
    <w:rsid w:val="34CC4FAF"/>
    <w:rsid w:val="36E70096"/>
    <w:rsid w:val="3A1B663C"/>
    <w:rsid w:val="3CB62446"/>
    <w:rsid w:val="416956D8"/>
    <w:rsid w:val="42446B71"/>
    <w:rsid w:val="44376021"/>
    <w:rsid w:val="44507F39"/>
    <w:rsid w:val="4517110E"/>
    <w:rsid w:val="46225CB0"/>
    <w:rsid w:val="47FC6ACB"/>
    <w:rsid w:val="4C586787"/>
    <w:rsid w:val="4F505867"/>
    <w:rsid w:val="507125BC"/>
    <w:rsid w:val="50E35208"/>
    <w:rsid w:val="51225219"/>
    <w:rsid w:val="539D3AFE"/>
    <w:rsid w:val="53E221BA"/>
    <w:rsid w:val="547B4190"/>
    <w:rsid w:val="56A33A01"/>
    <w:rsid w:val="5A727826"/>
    <w:rsid w:val="5BB00875"/>
    <w:rsid w:val="5D131D33"/>
    <w:rsid w:val="5D293B5A"/>
    <w:rsid w:val="5D617924"/>
    <w:rsid w:val="5F8E19F8"/>
    <w:rsid w:val="609B58CB"/>
    <w:rsid w:val="65455079"/>
    <w:rsid w:val="669833C5"/>
    <w:rsid w:val="67D0181B"/>
    <w:rsid w:val="68BD3DA4"/>
    <w:rsid w:val="6CB71C8E"/>
    <w:rsid w:val="72DB4057"/>
    <w:rsid w:val="74E94535"/>
    <w:rsid w:val="75534940"/>
    <w:rsid w:val="76086130"/>
    <w:rsid w:val="78E51B9D"/>
    <w:rsid w:val="796014F9"/>
    <w:rsid w:val="79941342"/>
    <w:rsid w:val="7AA84C98"/>
    <w:rsid w:val="7AB374E9"/>
    <w:rsid w:val="7D8C03A2"/>
    <w:rsid w:val="7E4D78FE"/>
    <w:rsid w:val="7F157AFD"/>
    <w:rsid w:val="7F6FDE60"/>
    <w:rsid w:val="7FF74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9"/>
    <w:qFormat/>
    <w:uiPriority w:val="99"/>
    <w:pPr>
      <w:widowControl/>
      <w:jc w:val="left"/>
      <w:outlineLvl w:val="0"/>
    </w:pPr>
    <w:rPr>
      <w:kern w:val="0"/>
      <w:sz w:val="24"/>
      <w:szCs w:val="20"/>
      <w:lang w:val="en-GB"/>
    </w:rPr>
  </w:style>
  <w:style w:type="paragraph" w:styleId="3">
    <w:name w:val="heading 2"/>
    <w:basedOn w:val="1"/>
    <w:next w:val="1"/>
    <w:link w:val="2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9"/>
    <w:semiHidden/>
    <w:unhideWhenUsed/>
    <w:qFormat/>
    <w:uiPriority w:val="99"/>
    <w:pPr>
      <w:jc w:val="left"/>
    </w:pPr>
  </w:style>
  <w:style w:type="paragraph" w:styleId="5">
    <w:name w:val="Body Text Indent 2"/>
    <w:basedOn w:val="1"/>
    <w:link w:val="27"/>
    <w:qFormat/>
    <w:uiPriority w:val="0"/>
    <w:pPr>
      <w:spacing w:line="560" w:lineRule="exact"/>
      <w:ind w:firstLine="480" w:firstLineChars="200"/>
    </w:pPr>
    <w:rPr>
      <w:rFonts w:ascii="宋体" w:hAnsi="宋体"/>
      <w:color w:val="FF0000"/>
      <w:sz w:val="24"/>
    </w:rPr>
  </w:style>
  <w:style w:type="paragraph" w:styleId="6">
    <w:name w:val="Balloon Text"/>
    <w:basedOn w:val="1"/>
    <w:link w:val="31"/>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30"/>
    <w:semiHidden/>
    <w:unhideWhenUsed/>
    <w:qFormat/>
    <w:uiPriority w:val="99"/>
    <w:rPr>
      <w:b/>
      <w:bCs/>
    </w:rPr>
  </w:style>
  <w:style w:type="character" w:styleId="15">
    <w:name w:val="Hyperlink"/>
    <w:basedOn w:val="14"/>
    <w:unhideWhenUsed/>
    <w:qFormat/>
    <w:uiPriority w:val="99"/>
    <w:rPr>
      <w:color w:val="0000FF" w:themeColor="hyperlink"/>
      <w:u w:val="single"/>
      <w14:textFill>
        <w14:solidFill>
          <w14:schemeClr w14:val="hlink"/>
        </w14:solidFill>
      </w14:textFill>
    </w:rPr>
  </w:style>
  <w:style w:type="character" w:styleId="16">
    <w:name w:val="annotation reference"/>
    <w:basedOn w:val="14"/>
    <w:semiHidden/>
    <w:unhideWhenUsed/>
    <w:qFormat/>
    <w:uiPriority w:val="99"/>
    <w:rPr>
      <w:sz w:val="21"/>
      <w:szCs w:val="21"/>
    </w:rPr>
  </w:style>
  <w:style w:type="character" w:customStyle="1" w:styleId="17">
    <w:name w:val="页眉 Char"/>
    <w:basedOn w:val="14"/>
    <w:link w:val="8"/>
    <w:qFormat/>
    <w:uiPriority w:val="0"/>
    <w:rPr>
      <w:sz w:val="18"/>
      <w:szCs w:val="18"/>
    </w:rPr>
  </w:style>
  <w:style w:type="character" w:customStyle="1" w:styleId="18">
    <w:name w:val="页脚 Char"/>
    <w:basedOn w:val="14"/>
    <w:link w:val="7"/>
    <w:qFormat/>
    <w:uiPriority w:val="99"/>
    <w:rPr>
      <w:sz w:val="18"/>
      <w:szCs w:val="18"/>
    </w:rPr>
  </w:style>
  <w:style w:type="character" w:customStyle="1" w:styleId="19">
    <w:name w:val="标题 1 Char"/>
    <w:basedOn w:val="14"/>
    <w:link w:val="2"/>
    <w:qFormat/>
    <w:uiPriority w:val="99"/>
    <w:rPr>
      <w:rFonts w:ascii="Times New Roman" w:hAnsi="Times New Roman" w:eastAsia="宋体" w:cs="Times New Roman"/>
      <w:kern w:val="0"/>
      <w:sz w:val="24"/>
      <w:szCs w:val="20"/>
      <w:lang w:val="en-GB"/>
    </w:rPr>
  </w:style>
  <w:style w:type="character" w:customStyle="1" w:styleId="20">
    <w:name w:val="标题 2 Char Char Char"/>
    <w:qFormat/>
    <w:uiPriority w:val="0"/>
    <w:rPr>
      <w:rFonts w:ascii="Arial" w:hAnsi="Arial" w:eastAsia="宋体"/>
      <w:b/>
      <w:kern w:val="2"/>
      <w:sz w:val="28"/>
      <w:szCs w:val="28"/>
      <w:lang w:val="en-US" w:eastAsia="zh-CN" w:bidi="ar-SA"/>
    </w:rPr>
  </w:style>
  <w:style w:type="character" w:customStyle="1" w:styleId="21">
    <w:name w:val="标题 2 Char"/>
    <w:basedOn w:val="14"/>
    <w:link w:val="3"/>
    <w:semiHidden/>
    <w:qFormat/>
    <w:uiPriority w:val="9"/>
    <w:rPr>
      <w:rFonts w:asciiTheme="majorHAnsi" w:hAnsiTheme="majorHAnsi" w:eastAsiaTheme="majorEastAsia" w:cstheme="majorBidi"/>
      <w:b/>
      <w:bCs/>
      <w:sz w:val="32"/>
      <w:szCs w:val="32"/>
    </w:rPr>
  </w:style>
  <w:style w:type="paragraph" w:customStyle="1" w:styleId="22">
    <w:name w:val="2级"/>
    <w:basedOn w:val="1"/>
    <w:link w:val="23"/>
    <w:qFormat/>
    <w:uiPriority w:val="0"/>
    <w:pPr>
      <w:keepNext/>
      <w:keepLines/>
      <w:widowControl/>
      <w:spacing w:before="260" w:after="260"/>
      <w:jc w:val="left"/>
      <w:outlineLvl w:val="1"/>
    </w:pPr>
    <w:rPr>
      <w:rFonts w:asciiTheme="minorEastAsia" w:hAnsiTheme="minorEastAsia" w:cstheme="minorBidi"/>
      <w:b/>
      <w:bCs/>
      <w:sz w:val="24"/>
    </w:rPr>
  </w:style>
  <w:style w:type="character" w:customStyle="1" w:styleId="23">
    <w:name w:val="2级 Char"/>
    <w:basedOn w:val="14"/>
    <w:link w:val="22"/>
    <w:qFormat/>
    <w:uiPriority w:val="0"/>
    <w:rPr>
      <w:rFonts w:eastAsia="宋体" w:asciiTheme="minorEastAsia" w:hAnsiTheme="minorEastAsia"/>
      <w:b/>
      <w:bCs/>
      <w:sz w:val="24"/>
      <w:szCs w:val="24"/>
    </w:rPr>
  </w:style>
  <w:style w:type="paragraph" w:customStyle="1" w:styleId="24">
    <w:name w:val="正文XB"/>
    <w:basedOn w:val="1"/>
    <w:link w:val="25"/>
    <w:qFormat/>
    <w:uiPriority w:val="0"/>
    <w:pPr>
      <w:spacing w:line="360" w:lineRule="auto"/>
      <w:ind w:firstLine="420" w:firstLineChars="200"/>
    </w:pPr>
    <w:rPr>
      <w:rFonts w:ascii="宋体" w:hAnsi="宋体"/>
      <w:color w:val="000000"/>
      <w:szCs w:val="21"/>
    </w:rPr>
  </w:style>
  <w:style w:type="character" w:customStyle="1" w:styleId="25">
    <w:name w:val="正文XB Char"/>
    <w:basedOn w:val="14"/>
    <w:link w:val="24"/>
    <w:qFormat/>
    <w:uiPriority w:val="0"/>
    <w:rPr>
      <w:rFonts w:ascii="宋体" w:hAnsi="宋体" w:eastAsia="宋体" w:cs="Times New Roman"/>
      <w:color w:val="000000"/>
      <w:szCs w:val="21"/>
    </w:rPr>
  </w:style>
  <w:style w:type="paragraph" w:styleId="26">
    <w:name w:val="List Paragraph"/>
    <w:basedOn w:val="1"/>
    <w:unhideWhenUsed/>
    <w:qFormat/>
    <w:uiPriority w:val="99"/>
    <w:pPr>
      <w:ind w:firstLine="420" w:firstLineChars="200"/>
    </w:pPr>
  </w:style>
  <w:style w:type="character" w:customStyle="1" w:styleId="27">
    <w:name w:val="正文文本缩进 2 Char"/>
    <w:basedOn w:val="14"/>
    <w:link w:val="5"/>
    <w:qFormat/>
    <w:uiPriority w:val="0"/>
    <w:rPr>
      <w:rFonts w:ascii="宋体" w:hAnsi="宋体" w:eastAsia="宋体" w:cs="Times New Roman"/>
      <w:color w:val="FF0000"/>
      <w:sz w:val="24"/>
      <w:szCs w:val="24"/>
    </w:rPr>
  </w:style>
  <w:style w:type="paragraph" w:customStyle="1" w:styleId="28">
    <w:name w:val="Default"/>
    <w:qFormat/>
    <w:uiPriority w:val="0"/>
    <w:pPr>
      <w:widowControl w:val="0"/>
      <w:autoSpaceDE w:val="0"/>
      <w:autoSpaceDN w:val="0"/>
      <w:adjustRightInd w:val="0"/>
    </w:pPr>
    <w:rPr>
      <w:rFonts w:ascii="宋体棬　僬　." w:eastAsia="宋体棬　僬　." w:cs="宋体棬　僬　." w:hAnsiTheme="minorHAnsi"/>
      <w:color w:val="000000"/>
      <w:kern w:val="0"/>
      <w:sz w:val="24"/>
      <w:szCs w:val="24"/>
      <w:lang w:val="en-US" w:eastAsia="zh-CN" w:bidi="ar-SA"/>
    </w:rPr>
  </w:style>
  <w:style w:type="character" w:customStyle="1" w:styleId="29">
    <w:name w:val="批注文字 Char"/>
    <w:basedOn w:val="14"/>
    <w:link w:val="4"/>
    <w:semiHidden/>
    <w:qFormat/>
    <w:uiPriority w:val="99"/>
    <w:rPr>
      <w:rFonts w:ascii="Times New Roman" w:hAnsi="Times New Roman" w:eastAsia="宋体" w:cs="Times New Roman"/>
      <w:szCs w:val="24"/>
    </w:rPr>
  </w:style>
  <w:style w:type="character" w:customStyle="1" w:styleId="30">
    <w:name w:val="批注主题 Char"/>
    <w:basedOn w:val="29"/>
    <w:link w:val="12"/>
    <w:semiHidden/>
    <w:qFormat/>
    <w:uiPriority w:val="99"/>
    <w:rPr>
      <w:rFonts w:ascii="Times New Roman" w:hAnsi="Times New Roman" w:eastAsia="宋体" w:cs="Times New Roman"/>
      <w:b/>
      <w:bCs/>
      <w:szCs w:val="24"/>
    </w:rPr>
  </w:style>
  <w:style w:type="character" w:customStyle="1" w:styleId="31">
    <w:name w:val="批注框文本 Char"/>
    <w:basedOn w:val="14"/>
    <w:link w:val="6"/>
    <w:semiHidden/>
    <w:qFormat/>
    <w:uiPriority w:val="99"/>
    <w:rPr>
      <w:rFonts w:ascii="Times New Roman" w:hAnsi="Times New Roman" w:eastAsia="宋体" w:cs="Times New Roman"/>
      <w:sz w:val="18"/>
      <w:szCs w:val="18"/>
    </w:rPr>
  </w:style>
  <w:style w:type="paragraph" w:customStyle="1" w:styleId="32">
    <w:name w:val="TOC Heading"/>
    <w:basedOn w:val="2"/>
    <w:next w:val="1"/>
    <w:semiHidden/>
    <w:unhideWhenUsed/>
    <w:qFormat/>
    <w:uiPriority w:val="39"/>
    <w:pPr>
      <w:keepNext/>
      <w:keepLines/>
      <w:spacing w:before="480" w:line="276" w:lineRule="auto"/>
      <w:outlineLvl w:val="9"/>
    </w:pPr>
    <w:rPr>
      <w:rFonts w:asciiTheme="majorHAnsi" w:hAnsiTheme="majorHAnsi" w:eastAsiaTheme="majorEastAsia" w:cstheme="majorBidi"/>
      <w:b/>
      <w:bCs/>
      <w:color w:val="376092" w:themeColor="accent1" w:themeShade="BF"/>
      <w:sz w:val="28"/>
      <w:szCs w:val="28"/>
      <w:lang w:val="en-US"/>
    </w:rPr>
  </w:style>
  <w:style w:type="paragraph" w:styleId="33">
    <w:name w:val="No Spacing"/>
    <w:basedOn w:val="1"/>
    <w:link w:val="34"/>
    <w:qFormat/>
    <w:uiPriority w:val="1"/>
    <w:pPr>
      <w:widowControl/>
      <w:jc w:val="left"/>
    </w:pPr>
    <w:rPr>
      <w:rFonts w:asciiTheme="minorHAnsi" w:hAnsiTheme="minorHAnsi" w:eastAsiaTheme="minorEastAsia" w:cstheme="minorBidi"/>
      <w:szCs w:val="21"/>
    </w:rPr>
  </w:style>
  <w:style w:type="character" w:customStyle="1" w:styleId="34">
    <w:name w:val="无间隔 Char"/>
    <w:basedOn w:val="14"/>
    <w:link w:val="33"/>
    <w:qFormat/>
    <w:locked/>
    <w:uiPriority w:val="1"/>
    <w:rPr>
      <w:szCs w:val="21"/>
    </w:rPr>
  </w:style>
  <w:style w:type="paragraph" w:customStyle="1" w:styleId="35">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36">
    <w:name w:val="无缩进备注"/>
    <w:basedOn w:val="1"/>
    <w:link w:val="37"/>
    <w:qFormat/>
    <w:uiPriority w:val="0"/>
    <w:pPr>
      <w:tabs>
        <w:tab w:val="left" w:pos="426"/>
      </w:tabs>
      <w:jc w:val="left"/>
    </w:pPr>
    <w:rPr>
      <w:rFonts w:ascii="宋体" w:hAnsi="宋体"/>
      <w:kern w:val="0"/>
      <w:szCs w:val="21"/>
    </w:rPr>
  </w:style>
  <w:style w:type="character" w:customStyle="1" w:styleId="37">
    <w:name w:val="无缩进备注 Char"/>
    <w:basedOn w:val="14"/>
    <w:link w:val="36"/>
    <w:qFormat/>
    <w:uiPriority w:val="0"/>
    <w:rPr>
      <w:rFonts w:ascii="宋体" w:hAnsi="宋体" w:eastAsia="宋体" w:cs="Times New Roman"/>
      <w:kern w:val="0"/>
      <w:szCs w:val="21"/>
    </w:rPr>
  </w:style>
  <w:style w:type="character" w:customStyle="1" w:styleId="38">
    <w:name w:val="read1"/>
    <w:basedOn w:val="14"/>
    <w:qFormat/>
    <w:uiPriority w:val="0"/>
    <w:rPr>
      <w:rFonts w:hint="default"/>
      <w:color w:val="000000"/>
      <w:spacing w:val="450"/>
      <w:u w:val="none"/>
    </w:rPr>
  </w:style>
  <w:style w:type="character" w:customStyle="1" w:styleId="39">
    <w:name w:val="da"/>
    <w:basedOn w:val="14"/>
    <w:qFormat/>
    <w:uiPriority w:val="0"/>
  </w:style>
  <w:style w:type="paragraph" w:customStyle="1" w:styleId="40">
    <w:name w:val="正文XB半年报"/>
    <w:basedOn w:val="5"/>
    <w:qFormat/>
    <w:uiPriority w:val="0"/>
    <w:pPr>
      <w:spacing w:line="360" w:lineRule="auto"/>
      <w:ind w:firstLine="200"/>
    </w:pPr>
    <w:rPr>
      <w:color w:val="000000" w:themeColor="text1"/>
      <w:sz w:val="21"/>
      <w:szCs w:val="21"/>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C089238-77FF-4BFB-BAA4-D6D22B54CFE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1439</Words>
  <Characters>8204</Characters>
  <Lines>68</Lines>
  <Paragraphs>19</Paragraphs>
  <TotalTime>0</TotalTime>
  <ScaleCrop>false</ScaleCrop>
  <LinksUpToDate>false</LinksUpToDate>
  <CharactersWithSpaces>9624</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2022-06-07T18:30:00Z</dcterms:created>
  <dc:creator>段宏竹</dc:creator>
  <cp:lastModifiedBy>chenjy814</cp:lastModifiedBy>
  <dcterms:modified xsi:type="dcterms:W3CDTF">2026-08-28T13:44:48Z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5241D3DA44B341EF921BD9232E4647CD_13</vt:lpwstr>
  </property>
</Properties>
</file>