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博时智臻纯债债券型证券投资基金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中国建设银行股份有限公司</w:t>
      </w:r>
      <w:r>
        <w:rPr>
          <w:rFonts w:ascii="宋体" w:hAnsi="宋体" w:eastAsia="宋体"/>
          <w:b/>
          <w:sz w:val="30"/>
        </w:rPr>
        <w:br w:type="page"/>
      </w:r>
    </w:p>
    <w:p>
      <w:pPr>
        <w:pStyle w:val="2"/>
        <w:jc w:val="center"/>
        <w:rPr>
          <w:rFonts w:ascii="宋体" w:hAnsi="宋体" w:eastAsia="宋体"/>
          <w:sz w:val="30"/>
        </w:rPr>
      </w:pPr>
      <w:bookmarkStart w:id="0" w:name="_Toc207936388"/>
      <w:r>
        <w:rPr>
          <w:rFonts w:hint="eastAsia" w:ascii="宋体" w:hAnsi="宋体" w:eastAsia="宋体"/>
          <w:sz w:val="30"/>
        </w:rPr>
        <w:t>【重要提示】</w:t>
      </w:r>
      <w:bookmarkEnd w:id="0"/>
    </w:p>
    <w:p>
      <w:pPr>
        <w:pStyle w:val="8"/>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2016年8月11日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博时智臻纯债债券型证券投资基金</w:t>
      </w:r>
      <w:bookmarkEnd w:id="2"/>
      <w:r>
        <w:rPr>
          <w:rFonts w:hint="eastAsia"/>
          <w:sz w:val="21"/>
          <w:szCs w:val="21"/>
        </w:rPr>
        <w:t>注册的批复》（证监许可</w:t>
      </w:r>
      <w:bookmarkStart w:id="3" w:name="field_2343_lotnumber_1"/>
      <w:r>
        <w:rPr>
          <w:sz w:val="21"/>
          <w:szCs w:val="21"/>
        </w:rPr>
        <w:t>[2016]1815</w:t>
      </w:r>
      <w:bookmarkEnd w:id="3"/>
      <w:r>
        <w:rPr>
          <w:rFonts w:hint="eastAsia"/>
          <w:sz w:val="21"/>
          <w:szCs w:val="21"/>
        </w:rPr>
        <w:t xml:space="preserve">号）进行募集。  </w:t>
      </w:r>
    </w:p>
    <w:p>
      <w:pPr>
        <w:pStyle w:val="8"/>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作出实质性判断或保证，也不表明投资于本基金没有风险。 </w:t>
      </w:r>
    </w:p>
    <w:p>
      <w:pPr>
        <w:pStyle w:val="8"/>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pPr>
        <w:pStyle w:val="8"/>
        <w:spacing w:before="0" w:beforeAutospacing="0" w:after="0" w:afterAutospacing="0" w:line="360" w:lineRule="auto"/>
        <w:ind w:firstLine="420"/>
        <w:rPr>
          <w:sz w:val="21"/>
          <w:szCs w:val="21"/>
        </w:rPr>
      </w:pPr>
      <w:r>
        <w:rPr>
          <w:rFonts w:hint="eastAsia"/>
          <w:sz w:val="21"/>
          <w:szCs w:val="21"/>
        </w:rPr>
        <w:t xml:space="preserve">4、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pPr>
        <w:pStyle w:val="8"/>
        <w:spacing w:before="0" w:beforeAutospacing="0" w:after="0" w:afterAutospacing="0" w:line="360" w:lineRule="auto"/>
        <w:ind w:firstLine="420"/>
        <w:rPr>
          <w:sz w:val="21"/>
          <w:szCs w:val="21"/>
        </w:rPr>
      </w:pPr>
      <w:r>
        <w:rPr>
          <w:rFonts w:hint="eastAsia"/>
          <w:sz w:val="21"/>
          <w:szCs w:val="21"/>
        </w:rPr>
        <w:t xml:space="preserve">5、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pPr>
        <w:pStyle w:val="8"/>
        <w:spacing w:before="0" w:beforeAutospacing="0" w:after="0" w:afterAutospacing="0" w:line="360" w:lineRule="auto"/>
        <w:ind w:firstLine="420"/>
        <w:rPr>
          <w:sz w:val="21"/>
          <w:szCs w:val="21"/>
        </w:rPr>
      </w:pPr>
      <w:r>
        <w:rPr>
          <w:rFonts w:hint="eastAsia"/>
          <w:sz w:val="21"/>
          <w:szCs w:val="21"/>
        </w:rPr>
        <w:t xml:space="preserve">6、本基金为债券型基金，预期收益和预期风险高于货币市场基金，但低于混合型基金、股票型基金，属于中低预期风险/收益的产品。 </w:t>
      </w:r>
    </w:p>
    <w:p>
      <w:pPr>
        <w:pStyle w:val="8"/>
        <w:spacing w:before="0" w:beforeAutospacing="0" w:after="0" w:afterAutospacing="0" w:line="360" w:lineRule="auto"/>
        <w:ind w:firstLine="420"/>
        <w:rPr>
          <w:sz w:val="21"/>
          <w:szCs w:val="21"/>
        </w:rPr>
      </w:pPr>
      <w:r>
        <w:rPr>
          <w:rFonts w:hint="eastAsia"/>
          <w:sz w:val="21"/>
          <w:szCs w:val="21"/>
        </w:rPr>
        <w:t xml:space="preserve">7、本基金的投资范围主要为具有良好流动性的固定收益类品种，包括国债、金融债、企业债、公司债、地方政府债、央行票据、中期票据、短期融资券、资产支持证券、债券回购、银行存款等法律法规或中国证监会允许基金投资的其他固定收益类金融工具（但须符合中国证监会的相关规定）。 </w:t>
      </w:r>
    </w:p>
    <w:p>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本基金不投资于股票、权证等权益类资产，也不投资于可转换债券、可交换债券。 </w:t>
      </w:r>
    </w:p>
    <w:p>
      <w:pPr>
        <w:pStyle w:val="8"/>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如法律法规或监管机构以后允许基金投资其他品种，基金管理人在履行适当程序后，可以将其纳入投资范围，并可依据届时有效的法律法规适时合理地调整投资范围。 </w:t>
      </w:r>
    </w:p>
    <w:p>
      <w:pPr>
        <w:pStyle w:val="8"/>
        <w:spacing w:before="0" w:beforeAutospacing="0" w:after="0" w:afterAutospacing="0" w:line="360" w:lineRule="auto"/>
        <w:ind w:firstLine="420"/>
        <w:rPr>
          <w:sz w:val="21"/>
          <w:szCs w:val="21"/>
        </w:rPr>
      </w:pPr>
      <w:r>
        <w:rPr>
          <w:rFonts w:hint="eastAsia"/>
          <w:sz w:val="21"/>
          <w:szCs w:val="21"/>
        </w:rPr>
        <w:t xml:space="preserve">8、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9、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8"/>
        <w:spacing w:before="0" w:beforeAutospacing="0" w:after="0" w:afterAutospacing="0" w:line="360" w:lineRule="auto"/>
        <w:ind w:firstLine="420"/>
        <w:rPr>
          <w:sz w:val="21"/>
          <w:szCs w:val="21"/>
        </w:rPr>
      </w:pPr>
      <w:r>
        <w:rPr>
          <w:rFonts w:hint="eastAsia"/>
          <w:sz w:val="21"/>
          <w:szCs w:val="21"/>
        </w:rPr>
        <w:t>10、本基金初始募集面值为人民币</w:t>
      </w:r>
      <w:bookmarkStart w:id="4" w:name="field_2343_facevalue_1"/>
      <w:r>
        <w:rPr>
          <w:sz w:val="21"/>
          <w:szCs w:val="21"/>
        </w:rPr>
        <w:t>1.00</w:t>
      </w:r>
      <w:bookmarkEnd w:id="4"/>
      <w:r>
        <w:rPr>
          <w:rFonts w:hint="eastAsia"/>
          <w:sz w:val="21"/>
          <w:szCs w:val="21"/>
        </w:rPr>
        <w:t xml:space="preserve"> 元。在市场波动因素影响下，本基金净值可能低于初始面值，本基金投资者有可能出现亏损。 </w:t>
      </w:r>
    </w:p>
    <w:p>
      <w:pPr>
        <w:pStyle w:val="8"/>
        <w:spacing w:before="0" w:beforeAutospacing="0" w:after="0" w:afterAutospacing="0" w:line="360" w:lineRule="auto"/>
        <w:ind w:firstLine="420"/>
        <w:rPr>
          <w:sz w:val="21"/>
          <w:szCs w:val="21"/>
        </w:rPr>
      </w:pPr>
      <w:r>
        <w:rPr>
          <w:rFonts w:hint="eastAsia"/>
          <w:sz w:val="21"/>
          <w:szCs w:val="21"/>
        </w:rPr>
        <w:t xml:space="preserve">11、基金的过往业绩并不预示其未来表现，基金管理人管理的其他基金的业绩也不构成对本基金业绩表现的保证。 </w:t>
      </w:r>
    </w:p>
    <w:p>
      <w:pPr>
        <w:pStyle w:val="8"/>
        <w:spacing w:before="0" w:beforeAutospacing="0" w:after="0" w:afterAutospacing="0" w:line="360" w:lineRule="auto"/>
        <w:ind w:firstLine="420"/>
        <w:rPr>
          <w:sz w:val="21"/>
          <w:szCs w:val="21"/>
        </w:rPr>
      </w:pPr>
      <w:r>
        <w:rPr>
          <w:rFonts w:hint="eastAsia"/>
          <w:sz w:val="21"/>
          <w:szCs w:val="21"/>
        </w:rPr>
        <w:t xml:space="preserve">12、基金管理人依照恪尽职守、诚实信用、谨慎勤勉的原则管理和运用基金财产，但不保证基金一定盈利，也不保证最低收益。 </w:t>
      </w:r>
    </w:p>
    <w:p>
      <w:pPr>
        <w:pStyle w:val="8"/>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5"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21</w:t>
      </w:r>
      <w:bookmarkStart w:id="233" w:name="_GoBack"/>
      <w:bookmarkEnd w:id="233"/>
      <w:r>
        <w:rPr>
          <w:sz w:val="21"/>
          <w:szCs w:val="21"/>
        </w:rPr>
        <w:t>日</w:t>
      </w:r>
      <w:bookmarkEnd w:id="5"/>
      <w:r>
        <w:rPr>
          <w:rFonts w:hint="eastAsia"/>
          <w:sz w:val="21"/>
          <w:szCs w:val="21"/>
        </w:rPr>
        <w:t>，有关财务数据和净值表现截止日为</w:t>
      </w:r>
      <w:bookmarkStart w:id="6" w:name="field_2343_financeendday_1"/>
      <w:r>
        <w:rPr>
          <w:sz w:val="21"/>
          <w:szCs w:val="21"/>
        </w:rPr>
        <w:t>2025年6月30日</w:t>
      </w:r>
      <w:bookmarkEnd w:id="6"/>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7"/>
        <w:tabs>
          <w:tab w:val="right" w:leader="dot" w:pos="8290"/>
        </w:tabs>
        <w:spacing w:line="360" w:lineRule="auto"/>
        <w:rPr>
          <w:rFonts w:ascii="宋体" w:hAnsi="宋体" w:eastAsia="宋体"/>
        </w:rPr>
      </w:pPr>
      <w:r>
        <w:fldChar w:fldCharType="begin"/>
      </w:r>
      <w:r>
        <w:instrText xml:space="preserve"> HYPERLINK \l "_Toc207936388" </w:instrText>
      </w:r>
      <w:r>
        <w:fldChar w:fldCharType="separate"/>
      </w:r>
      <w:r>
        <w:rPr>
          <w:rStyle w:val="13"/>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_Toc207936388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"_Toc207936389" </w:instrText>
      </w:r>
      <w:r>
        <w:fldChar w:fldCharType="separate"/>
      </w:r>
      <w:r>
        <w:rPr>
          <w:rStyle w:val="13"/>
          <w:rFonts w:hint="eastAsia" w:ascii="宋体" w:hAnsi="宋体" w:eastAsia="宋体"/>
          <w:u w:val="none"/>
        </w:rPr>
        <w:t>第一部分</w:t>
      </w:r>
      <w:r>
        <w:rPr>
          <w:rStyle w:val="13"/>
          <w:rFonts w:ascii="宋体" w:hAnsi="宋体" w:eastAsia="宋体"/>
          <w:u w:val="none"/>
        </w:rPr>
        <w:t xml:space="preserve">  </w:t>
      </w:r>
      <w:r>
        <w:rPr>
          <w:rStyle w:val="13"/>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_Toc207936389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"_Toc207936390" </w:instrText>
      </w:r>
      <w:r>
        <w:fldChar w:fldCharType="separate"/>
      </w:r>
      <w:r>
        <w:rPr>
          <w:rStyle w:val="13"/>
          <w:rFonts w:hint="eastAsia" w:ascii="宋体" w:hAnsi="宋体" w:eastAsia="宋体"/>
          <w:u w:val="none"/>
        </w:rPr>
        <w:t>第二部分</w:t>
      </w:r>
      <w:r>
        <w:rPr>
          <w:rStyle w:val="13"/>
          <w:rFonts w:ascii="宋体" w:hAnsi="宋体" w:eastAsia="宋体"/>
          <w:u w:val="none"/>
        </w:rPr>
        <w:t xml:space="preserve">  </w:t>
      </w:r>
      <w:r>
        <w:rPr>
          <w:rStyle w:val="13"/>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_Toc207936390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"_Toc207936391" </w:instrText>
      </w:r>
      <w:r>
        <w:fldChar w:fldCharType="separate"/>
      </w:r>
      <w:r>
        <w:rPr>
          <w:rStyle w:val="13"/>
          <w:rFonts w:hint="eastAsia" w:ascii="宋体" w:hAnsi="宋体" w:eastAsia="宋体"/>
          <w:u w:val="none"/>
        </w:rPr>
        <w:t>第三部分</w:t>
      </w:r>
      <w:r>
        <w:rPr>
          <w:rStyle w:val="13"/>
          <w:rFonts w:ascii="宋体" w:hAnsi="宋体" w:eastAsia="宋体"/>
          <w:u w:val="none"/>
        </w:rPr>
        <w:t xml:space="preserve">  </w:t>
      </w:r>
      <w:r>
        <w:rPr>
          <w:rStyle w:val="13"/>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_Toc207936391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"_Toc207936392" </w:instrText>
      </w:r>
      <w:r>
        <w:fldChar w:fldCharType="separate"/>
      </w:r>
      <w:r>
        <w:rPr>
          <w:rStyle w:val="13"/>
          <w:rFonts w:hint="eastAsia" w:ascii="宋体" w:hAnsi="宋体" w:eastAsia="宋体"/>
          <w:u w:val="none"/>
        </w:rPr>
        <w:t>第四部分</w:t>
      </w:r>
      <w:r>
        <w:rPr>
          <w:rStyle w:val="13"/>
          <w:rFonts w:ascii="宋体" w:hAnsi="宋体" w:eastAsia="宋体"/>
          <w:u w:val="none"/>
        </w:rPr>
        <w:t xml:space="preserve">  </w:t>
      </w:r>
      <w:r>
        <w:rPr>
          <w:rStyle w:val="13"/>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_Toc207936392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"_Toc207936393" </w:instrText>
      </w:r>
      <w:r>
        <w:fldChar w:fldCharType="separate"/>
      </w:r>
      <w:r>
        <w:rPr>
          <w:rStyle w:val="13"/>
          <w:rFonts w:hint="eastAsia" w:ascii="宋体" w:hAnsi="宋体" w:eastAsia="宋体"/>
          <w:u w:val="none"/>
        </w:rPr>
        <w:t>第五部分</w:t>
      </w:r>
      <w:r>
        <w:rPr>
          <w:rStyle w:val="13"/>
          <w:rFonts w:ascii="宋体" w:hAnsi="宋体" w:eastAsia="宋体"/>
          <w:u w:val="none"/>
        </w:rPr>
        <w:t xml:space="preserve">  </w:t>
      </w:r>
      <w:r>
        <w:rPr>
          <w:rStyle w:val="13"/>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_Toc207936393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"_Toc207936394" </w:instrText>
      </w:r>
      <w:r>
        <w:fldChar w:fldCharType="separate"/>
      </w:r>
      <w:r>
        <w:rPr>
          <w:rStyle w:val="13"/>
          <w:rFonts w:hint="eastAsia" w:ascii="宋体" w:hAnsi="宋体" w:eastAsia="宋体"/>
          <w:u w:val="none"/>
        </w:rPr>
        <w:t>第六部分</w:t>
      </w:r>
      <w:r>
        <w:rPr>
          <w:rStyle w:val="13"/>
          <w:rFonts w:ascii="宋体" w:hAnsi="宋体" w:eastAsia="宋体"/>
          <w:u w:val="none"/>
        </w:rPr>
        <w:t xml:space="preserve"> </w:t>
      </w:r>
      <w:r>
        <w:rPr>
          <w:rStyle w:val="13"/>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_Toc207936394 \h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"_Toc207936395" </w:instrText>
      </w:r>
      <w:r>
        <w:fldChar w:fldCharType="separate"/>
      </w:r>
      <w:r>
        <w:rPr>
          <w:rStyle w:val="13"/>
          <w:rFonts w:hint="eastAsia" w:ascii="宋体" w:hAnsi="宋体" w:eastAsia="宋体"/>
          <w:u w:val="none"/>
        </w:rPr>
        <w:t>第七部分</w:t>
      </w:r>
      <w:r>
        <w:rPr>
          <w:rStyle w:val="13"/>
          <w:rFonts w:ascii="宋体" w:hAnsi="宋体" w:eastAsia="宋体"/>
          <w:u w:val="none"/>
        </w:rPr>
        <w:t xml:space="preserve">  </w:t>
      </w:r>
      <w:r>
        <w:rPr>
          <w:rStyle w:val="13"/>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_Toc207936395 \h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"_Toc207936396" </w:instrText>
      </w:r>
      <w:r>
        <w:fldChar w:fldCharType="separate"/>
      </w:r>
      <w:r>
        <w:rPr>
          <w:rStyle w:val="13"/>
          <w:rFonts w:hint="eastAsia" w:ascii="宋体" w:hAnsi="宋体" w:eastAsia="宋体"/>
          <w:u w:val="none"/>
        </w:rPr>
        <w:t>第八部分</w:t>
      </w:r>
      <w:r>
        <w:rPr>
          <w:rStyle w:val="13"/>
          <w:rFonts w:ascii="宋体" w:hAnsi="宋体" w:eastAsia="宋体"/>
          <w:u w:val="none"/>
        </w:rPr>
        <w:t xml:space="preserve">  </w:t>
      </w:r>
      <w:r>
        <w:rPr>
          <w:rStyle w:val="13"/>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_Toc207936396 \h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"_Toc207936397" </w:instrText>
      </w:r>
      <w:r>
        <w:fldChar w:fldCharType="separate"/>
      </w:r>
      <w:r>
        <w:rPr>
          <w:rStyle w:val="13"/>
          <w:rFonts w:hint="eastAsia" w:ascii="宋体" w:hAnsi="宋体" w:eastAsia="宋体"/>
          <w:u w:val="none"/>
        </w:rPr>
        <w:t>第九部分</w:t>
      </w:r>
      <w:r>
        <w:rPr>
          <w:rStyle w:val="13"/>
          <w:rFonts w:ascii="宋体" w:hAnsi="宋体" w:eastAsia="宋体"/>
          <w:u w:val="none"/>
        </w:rPr>
        <w:t xml:space="preserve"> </w:t>
      </w:r>
      <w:r>
        <w:rPr>
          <w:rStyle w:val="13"/>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_Toc207936397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"_Toc207936398" </w:instrText>
      </w:r>
      <w:r>
        <w:fldChar w:fldCharType="separate"/>
      </w:r>
      <w:r>
        <w:rPr>
          <w:rStyle w:val="13"/>
          <w:rFonts w:hint="eastAsia" w:ascii="宋体" w:hAnsi="宋体" w:eastAsia="宋体"/>
          <w:u w:val="none"/>
        </w:rPr>
        <w:t>第十部分</w:t>
      </w:r>
      <w:r>
        <w:rPr>
          <w:rStyle w:val="13"/>
          <w:rFonts w:ascii="宋体" w:hAnsi="宋体" w:eastAsia="宋体"/>
          <w:u w:val="none"/>
        </w:rPr>
        <w:t xml:space="preserve">  </w:t>
      </w:r>
      <w:r>
        <w:rPr>
          <w:rStyle w:val="13"/>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_Toc207936398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"_Toc207936399" </w:instrText>
      </w:r>
      <w:r>
        <w:fldChar w:fldCharType="separate"/>
      </w:r>
      <w:r>
        <w:rPr>
          <w:rStyle w:val="13"/>
          <w:rFonts w:hint="eastAsia" w:ascii="宋体" w:hAnsi="宋体" w:eastAsia="宋体"/>
          <w:u w:val="none"/>
        </w:rPr>
        <w:t>第十一部分</w:t>
      </w:r>
      <w:r>
        <w:rPr>
          <w:rStyle w:val="13"/>
          <w:rFonts w:ascii="宋体" w:hAnsi="宋体" w:eastAsia="宋体"/>
          <w:u w:val="none"/>
        </w:rPr>
        <w:t xml:space="preserve">  </w:t>
      </w:r>
      <w:r>
        <w:rPr>
          <w:rStyle w:val="13"/>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_Toc207936399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"_Toc207936400" </w:instrText>
      </w:r>
      <w:r>
        <w:fldChar w:fldCharType="separate"/>
      </w:r>
      <w:r>
        <w:rPr>
          <w:rStyle w:val="13"/>
          <w:rFonts w:hint="eastAsia" w:ascii="宋体" w:hAnsi="宋体" w:eastAsia="宋体"/>
          <w:u w:val="none"/>
        </w:rPr>
        <w:t>第十二部分</w:t>
      </w:r>
      <w:r>
        <w:rPr>
          <w:rStyle w:val="13"/>
          <w:rFonts w:ascii="宋体" w:hAnsi="宋体" w:eastAsia="宋体"/>
          <w:u w:val="none"/>
        </w:rPr>
        <w:t xml:space="preserve">  </w:t>
      </w:r>
      <w:r>
        <w:rPr>
          <w:rStyle w:val="13"/>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_Toc207936400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"_Toc207936401" </w:instrText>
      </w:r>
      <w:r>
        <w:fldChar w:fldCharType="separate"/>
      </w:r>
      <w:r>
        <w:rPr>
          <w:rStyle w:val="13"/>
          <w:rFonts w:hint="eastAsia" w:ascii="宋体" w:hAnsi="宋体" w:eastAsia="宋体"/>
          <w:u w:val="none"/>
        </w:rPr>
        <w:t>第十三部分</w:t>
      </w:r>
      <w:r>
        <w:rPr>
          <w:rStyle w:val="13"/>
          <w:rFonts w:ascii="宋体" w:hAnsi="宋体" w:eastAsia="宋体"/>
          <w:u w:val="none"/>
        </w:rPr>
        <w:t xml:space="preserve">  </w:t>
      </w:r>
      <w:r>
        <w:rPr>
          <w:rStyle w:val="13"/>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_Toc207936401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"_Toc207936402" </w:instrText>
      </w:r>
      <w:r>
        <w:fldChar w:fldCharType="separate"/>
      </w:r>
      <w:r>
        <w:rPr>
          <w:rStyle w:val="13"/>
          <w:rFonts w:hint="eastAsia" w:ascii="宋体" w:hAnsi="宋体" w:eastAsia="宋体"/>
          <w:u w:val="none"/>
        </w:rPr>
        <w:t>第十四部分</w:t>
      </w:r>
      <w:r>
        <w:rPr>
          <w:rStyle w:val="13"/>
          <w:rFonts w:ascii="宋体" w:hAnsi="宋体" w:eastAsia="宋体"/>
          <w:u w:val="none"/>
        </w:rPr>
        <w:t xml:space="preserve">  </w:t>
      </w:r>
      <w:r>
        <w:rPr>
          <w:rStyle w:val="13"/>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_Toc207936402 \h </w:instrText>
      </w:r>
      <w:r>
        <w:rPr>
          <w:rFonts w:ascii="宋体" w:hAnsi="宋体" w:eastAsia="宋体"/>
        </w:rPr>
        <w:fldChar w:fldCharType="separate"/>
      </w:r>
      <w:r>
        <w:rPr>
          <w:rFonts w:ascii="宋体" w:hAnsi="宋体" w:eastAsia="宋体"/>
        </w:rPr>
        <w:t>68</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"_Toc207936403" </w:instrText>
      </w:r>
      <w:r>
        <w:fldChar w:fldCharType="separate"/>
      </w:r>
      <w:r>
        <w:rPr>
          <w:rStyle w:val="13"/>
          <w:rFonts w:hint="eastAsia" w:ascii="宋体" w:hAnsi="宋体" w:eastAsia="宋体"/>
          <w:u w:val="none"/>
        </w:rPr>
        <w:t>第十五部分</w:t>
      </w:r>
      <w:r>
        <w:rPr>
          <w:rStyle w:val="13"/>
          <w:rFonts w:ascii="宋体" w:hAnsi="宋体" w:eastAsia="宋体"/>
          <w:u w:val="none"/>
        </w:rPr>
        <w:t xml:space="preserve">  </w:t>
      </w:r>
      <w:r>
        <w:rPr>
          <w:rStyle w:val="13"/>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_Toc207936403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"_Toc207936404" </w:instrText>
      </w:r>
      <w:r>
        <w:fldChar w:fldCharType="separate"/>
      </w:r>
      <w:r>
        <w:rPr>
          <w:rStyle w:val="13"/>
          <w:rFonts w:hint="eastAsia" w:ascii="宋体" w:hAnsi="宋体" w:eastAsia="宋体"/>
          <w:u w:val="none"/>
        </w:rPr>
        <w:t>第十六部分</w:t>
      </w:r>
      <w:r>
        <w:rPr>
          <w:rStyle w:val="13"/>
          <w:rFonts w:ascii="宋体" w:hAnsi="宋体" w:eastAsia="宋体"/>
          <w:u w:val="none"/>
        </w:rPr>
        <w:t xml:space="preserve"> </w:t>
      </w:r>
      <w:r>
        <w:rPr>
          <w:rStyle w:val="13"/>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_Toc207936404 \h </w:instrText>
      </w:r>
      <w:r>
        <w:rPr>
          <w:rFonts w:ascii="宋体" w:hAnsi="宋体" w:eastAsia="宋体"/>
        </w:rPr>
        <w:fldChar w:fldCharType="separate"/>
      </w:r>
      <w:r>
        <w:rPr>
          <w:rFonts w:ascii="宋体" w:hAnsi="宋体" w:eastAsia="宋体"/>
        </w:rPr>
        <w:t>75</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"_Toc207936405" </w:instrText>
      </w:r>
      <w:r>
        <w:fldChar w:fldCharType="separate"/>
      </w:r>
      <w:r>
        <w:rPr>
          <w:rStyle w:val="13"/>
          <w:rFonts w:hint="eastAsia" w:ascii="宋体" w:hAnsi="宋体" w:eastAsia="宋体"/>
          <w:u w:val="none"/>
        </w:rPr>
        <w:t>第十七部分</w:t>
      </w:r>
      <w:r>
        <w:rPr>
          <w:rStyle w:val="13"/>
          <w:rFonts w:ascii="宋体" w:hAnsi="宋体" w:eastAsia="宋体"/>
          <w:u w:val="none"/>
        </w:rPr>
        <w:t xml:space="preserve">  </w:t>
      </w:r>
      <w:r>
        <w:rPr>
          <w:rStyle w:val="13"/>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_Toc207936405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"_Toc207936406" </w:instrText>
      </w:r>
      <w:r>
        <w:fldChar w:fldCharType="separate"/>
      </w:r>
      <w:r>
        <w:rPr>
          <w:rStyle w:val="13"/>
          <w:rFonts w:hint="eastAsia" w:ascii="宋体" w:hAnsi="宋体" w:eastAsia="宋体"/>
          <w:u w:val="none"/>
        </w:rPr>
        <w:t>第十八部分</w:t>
      </w:r>
      <w:r>
        <w:rPr>
          <w:rStyle w:val="13"/>
          <w:rFonts w:ascii="宋体" w:hAnsi="宋体" w:eastAsia="宋体"/>
          <w:u w:val="none"/>
        </w:rPr>
        <w:t xml:space="preserve">  </w:t>
      </w:r>
      <w:r>
        <w:rPr>
          <w:rStyle w:val="13"/>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_Toc207936406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"_Toc207936407" </w:instrText>
      </w:r>
      <w:r>
        <w:fldChar w:fldCharType="separate"/>
      </w:r>
      <w:r>
        <w:rPr>
          <w:rStyle w:val="13"/>
          <w:rFonts w:hint="eastAsia" w:ascii="宋体" w:hAnsi="宋体" w:eastAsia="宋体"/>
          <w:u w:val="none"/>
        </w:rPr>
        <w:t>第十九部分</w:t>
      </w:r>
      <w:r>
        <w:rPr>
          <w:rStyle w:val="13"/>
          <w:rFonts w:ascii="宋体" w:hAnsi="宋体" w:eastAsia="宋体"/>
          <w:u w:val="none"/>
        </w:rPr>
        <w:t xml:space="preserve">  </w:t>
      </w:r>
      <w:r>
        <w:rPr>
          <w:rStyle w:val="13"/>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_Toc207936407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"_Toc207936408" </w:instrText>
      </w:r>
      <w:r>
        <w:fldChar w:fldCharType="separate"/>
      </w:r>
      <w:r>
        <w:rPr>
          <w:rStyle w:val="13"/>
          <w:rFonts w:hint="eastAsia" w:ascii="宋体" w:hAnsi="宋体" w:eastAsia="宋体"/>
          <w:u w:val="none"/>
        </w:rPr>
        <w:t>第二十部分</w:t>
      </w:r>
      <w:r>
        <w:rPr>
          <w:rStyle w:val="13"/>
          <w:rFonts w:ascii="宋体" w:hAnsi="宋体" w:eastAsia="宋体"/>
          <w:u w:val="none"/>
        </w:rPr>
        <w:t xml:space="preserve">  </w:t>
      </w:r>
      <w:r>
        <w:rPr>
          <w:rStyle w:val="13"/>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_Toc207936408 \h </w:instrText>
      </w:r>
      <w:r>
        <w:rPr>
          <w:rFonts w:ascii="宋体" w:hAnsi="宋体" w:eastAsia="宋体"/>
        </w:rPr>
        <w:fldChar w:fldCharType="separate"/>
      </w:r>
      <w:r>
        <w:rPr>
          <w:rFonts w:ascii="宋体" w:hAnsi="宋体" w:eastAsia="宋体"/>
        </w:rPr>
        <w:t>100</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"_Toc207936409" </w:instrText>
      </w:r>
      <w:r>
        <w:fldChar w:fldCharType="separate"/>
      </w:r>
      <w:r>
        <w:rPr>
          <w:rStyle w:val="13"/>
          <w:rFonts w:hint="eastAsia" w:ascii="宋体" w:hAnsi="宋体" w:eastAsia="宋体"/>
          <w:u w:val="none"/>
        </w:rPr>
        <w:t>第二十一部分</w:t>
      </w:r>
      <w:r>
        <w:rPr>
          <w:rStyle w:val="13"/>
          <w:rFonts w:ascii="宋体" w:hAnsi="宋体" w:eastAsia="宋体"/>
          <w:u w:val="none"/>
        </w:rPr>
        <w:t xml:space="preserve">  </w:t>
      </w:r>
      <w:r>
        <w:rPr>
          <w:rStyle w:val="13"/>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_Toc207936409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"_Toc207936410" </w:instrText>
      </w:r>
      <w:r>
        <w:fldChar w:fldCharType="separate"/>
      </w:r>
      <w:r>
        <w:rPr>
          <w:rStyle w:val="13"/>
          <w:rFonts w:hint="eastAsia" w:ascii="宋体" w:hAnsi="宋体" w:eastAsia="宋体"/>
          <w:u w:val="none"/>
        </w:rPr>
        <w:t>第二十二部分</w:t>
      </w:r>
      <w:r>
        <w:rPr>
          <w:rStyle w:val="13"/>
          <w:rFonts w:ascii="宋体" w:hAnsi="宋体" w:eastAsia="宋体"/>
          <w:u w:val="none"/>
        </w:rPr>
        <w:t xml:space="preserve"> </w:t>
      </w:r>
      <w:r>
        <w:rPr>
          <w:rStyle w:val="13"/>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_Toc207936410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"_Toc207936411" </w:instrText>
      </w:r>
      <w:r>
        <w:fldChar w:fldCharType="separate"/>
      </w:r>
      <w:r>
        <w:rPr>
          <w:rStyle w:val="13"/>
          <w:rFonts w:hint="eastAsia" w:ascii="宋体" w:hAnsi="宋体" w:eastAsia="宋体"/>
          <w:u w:val="none"/>
        </w:rPr>
        <w:t>第二十三部分</w:t>
      </w:r>
      <w:r>
        <w:rPr>
          <w:rStyle w:val="13"/>
          <w:rFonts w:ascii="宋体" w:hAnsi="宋体" w:eastAsia="宋体"/>
          <w:u w:val="none"/>
        </w:rPr>
        <w:t xml:space="preserve">  </w:t>
      </w:r>
      <w:r>
        <w:rPr>
          <w:rStyle w:val="13"/>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_Toc207936411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pPr>
        <w:pStyle w:val="7"/>
        <w:tabs>
          <w:tab w:val="right" w:leader="dot" w:pos="8290"/>
        </w:tabs>
        <w:spacing w:line="360" w:lineRule="auto"/>
        <w:rPr>
          <w:rFonts w:ascii="宋体" w:hAnsi="宋体" w:eastAsia="宋体"/>
        </w:rPr>
      </w:pPr>
      <w:r>
        <w:fldChar w:fldCharType="begin"/>
      </w:r>
      <w:r>
        <w:instrText xml:space="preserve"> HYPERLINK \l "_Toc207936412" </w:instrText>
      </w:r>
      <w:r>
        <w:fldChar w:fldCharType="separate"/>
      </w:r>
      <w:r>
        <w:rPr>
          <w:rStyle w:val="13"/>
          <w:rFonts w:hint="eastAsia" w:ascii="宋体" w:hAnsi="宋体" w:eastAsia="宋体"/>
          <w:u w:val="none"/>
        </w:rPr>
        <w:t>第二十四部分</w:t>
      </w:r>
      <w:r>
        <w:rPr>
          <w:rStyle w:val="13"/>
          <w:rFonts w:ascii="宋体" w:hAnsi="宋体" w:eastAsia="宋体"/>
          <w:u w:val="none"/>
        </w:rPr>
        <w:t xml:space="preserve">  </w:t>
      </w:r>
      <w:r>
        <w:rPr>
          <w:rStyle w:val="13"/>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_Toc207936412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7" w:name="chapter_level1_3_2344"/>
      <w:bookmarkStart w:id="8" w:name="_Toc207936389"/>
      <w:r>
        <w:rPr>
          <w:rFonts w:hint="eastAsia" w:ascii="宋体" w:hAnsi="宋体" w:eastAsia="宋体"/>
          <w:sz w:val="30"/>
        </w:rPr>
        <w:t>第一部分  绪言</w:t>
      </w:r>
      <w:bookmarkEnd w:id="7"/>
      <w:bookmarkEnd w:id="8"/>
    </w:p>
    <w:p>
      <w:pPr>
        <w:pStyle w:val="8"/>
        <w:spacing w:before="0" w:beforeAutospacing="0" w:after="0" w:afterAutospacing="0" w:line="360" w:lineRule="auto"/>
        <w:ind w:firstLine="420"/>
        <w:rPr>
          <w:sz w:val="21"/>
          <w:szCs w:val="21"/>
        </w:rPr>
      </w:pPr>
      <w:bookmarkStart w:id="9" w:name="chapter_level1_3_2344_section_1"/>
      <w:bookmarkEnd w:id="9"/>
      <w:r>
        <w:rPr>
          <w:rFonts w:hint="eastAsia"/>
          <w:sz w:val="21"/>
          <w:szCs w:val="21"/>
        </w:rPr>
        <w:t>《</w:t>
      </w:r>
      <w:bookmarkStart w:id="10" w:name="field_0_productfullname_2"/>
      <w:r>
        <w:rPr>
          <w:rFonts w:hint="eastAsia"/>
          <w:sz w:val="21"/>
          <w:szCs w:val="21"/>
        </w:rPr>
        <w:t>博时智臻纯债债券型证券投资基金</w:t>
      </w:r>
      <w:bookmarkEnd w:id="10"/>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披露证券投资基金信息披露管理办法》（以下简称“《信息披露办法》”）、《公开募集开放式证券投资基金流动性风险管理规定》（以下简称“《流动性风险管理规定》”）和其他有关法律法规以及《</w:t>
      </w:r>
      <w:bookmarkStart w:id="11" w:name="field_0_productfullname_3"/>
      <w:r>
        <w:rPr>
          <w:rFonts w:hint="eastAsia"/>
          <w:sz w:val="21"/>
          <w:szCs w:val="21"/>
        </w:rPr>
        <w:t>博时智臻纯债债券型证券投资基金</w:t>
      </w:r>
      <w:bookmarkEnd w:id="11"/>
      <w:r>
        <w:rPr>
          <w:rFonts w:hint="eastAsia"/>
          <w:sz w:val="21"/>
          <w:szCs w:val="21"/>
        </w:rPr>
        <w:t xml:space="preserve">基金合同》（以下简称“基金合同”）编写。  </w:t>
      </w:r>
    </w:p>
    <w:p>
      <w:pPr>
        <w:pStyle w:val="8"/>
        <w:spacing w:before="0" w:beforeAutospacing="0" w:after="0" w:afterAutospacing="0" w:line="360" w:lineRule="auto"/>
        <w:ind w:firstLine="420"/>
        <w:rPr>
          <w:sz w:val="21"/>
          <w:szCs w:val="21"/>
        </w:rPr>
      </w:pPr>
      <w:r>
        <w:rPr>
          <w:rFonts w:hint="eastAsia"/>
          <w:sz w:val="21"/>
          <w:szCs w:val="21"/>
        </w:rPr>
        <w:t>本招募说明书阐述了</w:t>
      </w:r>
      <w:bookmarkStart w:id="12" w:name="field_0_productfullname_4"/>
      <w:r>
        <w:rPr>
          <w:rFonts w:hint="eastAsia"/>
          <w:sz w:val="21"/>
          <w:szCs w:val="21"/>
        </w:rPr>
        <w:t>博时智臻纯债债券型证券投资基金</w:t>
      </w:r>
      <w:bookmarkEnd w:id="12"/>
      <w:r>
        <w:rPr>
          <w:rFonts w:hint="eastAsia"/>
          <w:sz w:val="21"/>
          <w:szCs w:val="21"/>
        </w:rPr>
        <w:t xml:space="preserve">的投资目标、策略、风险、费率等与投资人投资决策有关的必要事项，投资人在作出投资决策前应仔细阅读本招募说明书。 </w:t>
      </w:r>
    </w:p>
    <w:p>
      <w:pPr>
        <w:pStyle w:val="8"/>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8"/>
        <w:spacing w:before="0" w:beforeAutospacing="0" w:after="0" w:afterAutospacing="0" w:line="360" w:lineRule="auto"/>
        <w:ind w:firstLine="420"/>
        <w:rPr>
          <w:sz w:val="21"/>
          <w:szCs w:val="21"/>
        </w:rPr>
      </w:pPr>
      <w:bookmarkStart w:id="13" w:name="field_0_productfullname_5"/>
      <w:r>
        <w:rPr>
          <w:rFonts w:hint="eastAsia"/>
          <w:sz w:val="21"/>
          <w:szCs w:val="21"/>
        </w:rPr>
        <w:t>博时智臻纯债债券型证券投资基金</w:t>
      </w:r>
      <w:bookmarkEnd w:id="13"/>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8"/>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4" w:name="chapter_level1_3_2344_section_1_end"/>
      <w:bookmarkEnd w:id="14"/>
      <w:r>
        <w:rPr>
          <w:rFonts w:hint="eastAsia"/>
          <w:sz w:val="21"/>
          <w:szCs w:val="21"/>
        </w:rPr>
        <w:t xml:space="preserve">了解基金份额持有人的权利和义务，应详细查阅基金合同。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 w:name="chapter_level1_4_49"/>
      <w:bookmarkStart w:id="16" w:name="_Toc207936390"/>
      <w:r>
        <w:rPr>
          <w:rFonts w:hint="eastAsia" w:ascii="宋体" w:hAnsi="宋体" w:eastAsia="宋体"/>
          <w:sz w:val="30"/>
        </w:rPr>
        <w:t>第二部分  释义</w:t>
      </w:r>
      <w:bookmarkEnd w:id="15"/>
      <w:bookmarkEnd w:id="16"/>
    </w:p>
    <w:p>
      <w:pPr>
        <w:pStyle w:val="8"/>
        <w:spacing w:before="0" w:beforeAutospacing="0" w:after="0" w:afterAutospacing="0" w:line="360" w:lineRule="auto"/>
        <w:ind w:firstLine="420"/>
        <w:rPr>
          <w:sz w:val="21"/>
          <w:szCs w:val="21"/>
        </w:rPr>
      </w:pPr>
      <w:bookmarkStart w:id="17" w:name="chapter_level1_4_49_section_1"/>
      <w:bookmarkEnd w:id="17"/>
      <w:r>
        <w:rPr>
          <w:rFonts w:hint="eastAsia"/>
          <w:sz w:val="21"/>
          <w:szCs w:val="21"/>
        </w:rPr>
        <w:t xml:space="preserve">在本招募说明书中，除非文义另有所指，下列词语具有以下含义：  </w:t>
      </w:r>
    </w:p>
    <w:p>
      <w:pPr>
        <w:pStyle w:val="8"/>
        <w:spacing w:before="0" w:beforeAutospacing="0" w:after="0" w:afterAutospacing="0" w:line="360" w:lineRule="auto"/>
        <w:ind w:firstLine="420"/>
        <w:rPr>
          <w:sz w:val="21"/>
          <w:szCs w:val="21"/>
        </w:rPr>
      </w:pPr>
      <w:r>
        <w:rPr>
          <w:rFonts w:hint="eastAsia"/>
          <w:sz w:val="21"/>
          <w:szCs w:val="21"/>
        </w:rPr>
        <w:t>1、基金或本基金：指</w:t>
      </w:r>
      <w:bookmarkStart w:id="18" w:name="field_0_productfullname_6"/>
      <w:r>
        <w:rPr>
          <w:rFonts w:hint="eastAsia"/>
          <w:sz w:val="21"/>
          <w:szCs w:val="21"/>
        </w:rPr>
        <w:t>博时智臻纯债债券型证券投资基金</w:t>
      </w:r>
      <w:bookmarkEnd w:id="18"/>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2、基金管理人：指</w:t>
      </w:r>
      <w:bookmarkStart w:id="19" w:name="field_0_managerorgfullname_1"/>
      <w:r>
        <w:rPr>
          <w:rFonts w:hint="eastAsia"/>
          <w:sz w:val="21"/>
          <w:szCs w:val="21"/>
        </w:rPr>
        <w:t>博时基金管理有限公司</w:t>
      </w:r>
      <w:bookmarkEnd w:id="19"/>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3、基金托管人：指</w:t>
      </w:r>
      <w:bookmarkStart w:id="20" w:name="field_0_trustorgfullname_1"/>
      <w:r>
        <w:rPr>
          <w:rFonts w:hint="eastAsia"/>
          <w:sz w:val="21"/>
          <w:szCs w:val="21"/>
        </w:rPr>
        <w:t>中国建设银行股份有限公司</w:t>
      </w:r>
      <w:bookmarkEnd w:id="20"/>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4、基金合同：指《</w:t>
      </w:r>
      <w:bookmarkStart w:id="21" w:name="field_0_productfullname_7"/>
      <w:r>
        <w:rPr>
          <w:rFonts w:hint="eastAsia"/>
          <w:sz w:val="21"/>
          <w:szCs w:val="21"/>
        </w:rPr>
        <w:t>博时智臻纯债债券型证券投资基金</w:t>
      </w:r>
      <w:bookmarkEnd w:id="21"/>
      <w:r>
        <w:rPr>
          <w:rFonts w:hint="eastAsia"/>
          <w:sz w:val="21"/>
          <w:szCs w:val="21"/>
        </w:rPr>
        <w:t xml:space="preserve">基金合同》及对基金合同的任何有效修订和补充 </w:t>
      </w:r>
    </w:p>
    <w:p>
      <w:pPr>
        <w:pStyle w:val="8"/>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2" w:name="field_0_productfullname_8"/>
      <w:r>
        <w:rPr>
          <w:rFonts w:hint="eastAsia"/>
          <w:sz w:val="21"/>
          <w:szCs w:val="21"/>
        </w:rPr>
        <w:t>博时智臻纯债债券型证券投资基金</w:t>
      </w:r>
      <w:bookmarkEnd w:id="22"/>
      <w:r>
        <w:rPr>
          <w:rFonts w:hint="eastAsia"/>
          <w:sz w:val="21"/>
          <w:szCs w:val="21"/>
        </w:rPr>
        <w:t xml:space="preserve">托管协议》及对该托管协议的任何有效修订和补充 </w:t>
      </w:r>
    </w:p>
    <w:p>
      <w:pPr>
        <w:pStyle w:val="8"/>
        <w:spacing w:before="0" w:beforeAutospacing="0" w:after="0" w:afterAutospacing="0" w:line="360" w:lineRule="auto"/>
        <w:ind w:firstLine="420"/>
        <w:rPr>
          <w:sz w:val="21"/>
          <w:szCs w:val="21"/>
        </w:rPr>
      </w:pPr>
      <w:r>
        <w:rPr>
          <w:rFonts w:hint="eastAsia"/>
          <w:sz w:val="21"/>
          <w:szCs w:val="21"/>
        </w:rPr>
        <w:t>6、招募说明书或本招募说明书：指《</w:t>
      </w:r>
      <w:bookmarkStart w:id="23" w:name="field_0_productfullname_9"/>
      <w:r>
        <w:rPr>
          <w:rFonts w:hint="eastAsia"/>
          <w:sz w:val="21"/>
          <w:szCs w:val="21"/>
        </w:rPr>
        <w:t>博时智臻纯债债券型证券投资基金</w:t>
      </w:r>
      <w:bookmarkEnd w:id="23"/>
      <w:r>
        <w:rPr>
          <w:rFonts w:hint="eastAsia"/>
          <w:sz w:val="21"/>
          <w:szCs w:val="21"/>
        </w:rPr>
        <w:t xml:space="preserve">招募说明书》及其更新 </w:t>
      </w:r>
    </w:p>
    <w:p>
      <w:pPr>
        <w:pStyle w:val="8"/>
        <w:spacing w:before="0" w:beforeAutospacing="0" w:after="0" w:afterAutospacing="0" w:line="360" w:lineRule="auto"/>
        <w:ind w:firstLine="420"/>
        <w:rPr>
          <w:sz w:val="21"/>
          <w:szCs w:val="21"/>
        </w:rPr>
      </w:pPr>
      <w:r>
        <w:rPr>
          <w:rFonts w:hint="eastAsia"/>
          <w:sz w:val="21"/>
          <w:szCs w:val="21"/>
        </w:rPr>
        <w:t>7、基金份额发售公告：指《</w:t>
      </w:r>
      <w:bookmarkStart w:id="24" w:name="field_0_productfullname_10"/>
      <w:r>
        <w:rPr>
          <w:rFonts w:hint="eastAsia"/>
          <w:sz w:val="21"/>
          <w:szCs w:val="21"/>
        </w:rPr>
        <w:t>博时智臻纯债债券型证券投资基金</w:t>
      </w:r>
      <w:bookmarkEnd w:id="24"/>
      <w:r>
        <w:rPr>
          <w:rFonts w:hint="eastAsia"/>
          <w:sz w:val="21"/>
          <w:szCs w:val="21"/>
        </w:rPr>
        <w:t xml:space="preserve">基金份额发售公告》 </w:t>
      </w:r>
    </w:p>
    <w:p>
      <w:pPr>
        <w:pStyle w:val="8"/>
        <w:spacing w:before="0" w:beforeAutospacing="0" w:after="0" w:afterAutospacing="0" w:line="360" w:lineRule="auto"/>
        <w:ind w:firstLine="420"/>
        <w:rPr>
          <w:sz w:val="21"/>
          <w:szCs w:val="21"/>
        </w:rPr>
      </w:pPr>
      <w:r>
        <w:rPr>
          <w:rFonts w:hint="eastAsia"/>
          <w:sz w:val="21"/>
          <w:szCs w:val="21"/>
        </w:rPr>
        <w:t xml:space="preserve">8、法律法规：指中国现行有效并公布实施的法律、行政法规、规范性文件、司法解释、行政规章以及其他对基金合同当事人有约束力的决定、决议、通知等 </w:t>
      </w:r>
    </w:p>
    <w:p>
      <w:pPr>
        <w:pStyle w:val="8"/>
        <w:spacing w:before="0" w:beforeAutospacing="0" w:after="0" w:afterAutospacing="0" w:line="360" w:lineRule="auto"/>
        <w:ind w:firstLine="420"/>
        <w:rPr>
          <w:sz w:val="21"/>
          <w:szCs w:val="21"/>
        </w:rPr>
      </w:pPr>
      <w:r>
        <w:rPr>
          <w:rFonts w:hint="eastAsia"/>
          <w:sz w:val="21"/>
          <w:szCs w:val="21"/>
        </w:rPr>
        <w:t xml:space="preserve">9、《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改的《中华人民共和国证券投资基金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10、《销售办法》：指中国证监会2013年3月15日颁布、同年6月1日实施的《证券投资基金销售管理办法》及颁布机关对其不时做出的修订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11、《信息披露办法》：指中国证监会2019年7月26日颁布、同年9月1日实施的《公开募集证券投资基金信息披露管理办法》及颁布机关对其不时做出的修订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12、《运作办法》：指中国证监会2014年7月7日颁布、同年8月8日实施的《公开募集证券投资基金运作管理办法》及颁布机关对其不时做出的修订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13、《流动性风险管理规定》：指中国证监会2017年8月31日颁布、同年10月1日实施的《公开募集开放式证券投资基金流动性风险管理规定》及颁布机关对其不时做出的修订 </w:t>
      </w:r>
    </w:p>
    <w:p>
      <w:pPr>
        <w:pStyle w:val="8"/>
        <w:spacing w:before="0" w:beforeAutospacing="0" w:after="0" w:afterAutospacing="0" w:line="360" w:lineRule="auto"/>
        <w:ind w:firstLine="420"/>
        <w:rPr>
          <w:sz w:val="21"/>
          <w:szCs w:val="21"/>
        </w:rPr>
      </w:pPr>
      <w:r>
        <w:rPr>
          <w:rFonts w:hint="eastAsia"/>
          <w:sz w:val="21"/>
          <w:szCs w:val="21"/>
        </w:rPr>
        <w:t xml:space="preserve">14、中国证监会：指中国证券监督管理委员会 </w:t>
      </w:r>
    </w:p>
    <w:p>
      <w:pPr>
        <w:pStyle w:val="8"/>
        <w:spacing w:before="0" w:beforeAutospacing="0" w:after="0" w:afterAutospacing="0" w:line="360" w:lineRule="auto"/>
        <w:ind w:firstLine="420"/>
        <w:rPr>
          <w:sz w:val="21"/>
          <w:szCs w:val="21"/>
        </w:rPr>
      </w:pPr>
      <w:r>
        <w:rPr>
          <w:rFonts w:hint="eastAsia"/>
          <w:sz w:val="21"/>
          <w:szCs w:val="21"/>
        </w:rPr>
        <w:t xml:space="preserve">15、银行业监督管理机构：指中国人民银行和/或中国银行业监督管理委员会 </w:t>
      </w:r>
    </w:p>
    <w:p>
      <w:pPr>
        <w:pStyle w:val="8"/>
        <w:spacing w:before="0" w:beforeAutospacing="0" w:after="0" w:afterAutospacing="0" w:line="360" w:lineRule="auto"/>
        <w:ind w:firstLine="420"/>
        <w:rPr>
          <w:sz w:val="21"/>
          <w:szCs w:val="21"/>
        </w:rPr>
      </w:pPr>
      <w:r>
        <w:rPr>
          <w:rFonts w:hint="eastAsia"/>
          <w:sz w:val="21"/>
          <w:szCs w:val="21"/>
        </w:rPr>
        <w:t xml:space="preserve">16、基金合同当事人：指受基金合同约束，根据基金合同享有权利并承担义务的法律主体，包括基金管理人、基金托管人和基金份额持有人 </w:t>
      </w:r>
    </w:p>
    <w:p>
      <w:pPr>
        <w:pStyle w:val="8"/>
        <w:spacing w:before="0" w:beforeAutospacing="0" w:after="0" w:afterAutospacing="0" w:line="360" w:lineRule="auto"/>
        <w:ind w:firstLine="420"/>
        <w:rPr>
          <w:sz w:val="21"/>
          <w:szCs w:val="21"/>
        </w:rPr>
      </w:pPr>
      <w:r>
        <w:rPr>
          <w:rFonts w:hint="eastAsia"/>
          <w:sz w:val="21"/>
          <w:szCs w:val="21"/>
        </w:rPr>
        <w:t xml:space="preserve">17、个人投资者：指依据有关法律法规规定可投资于证券投资基金的自然人 </w:t>
      </w:r>
    </w:p>
    <w:p>
      <w:pPr>
        <w:pStyle w:val="8"/>
        <w:spacing w:before="0" w:beforeAutospacing="0" w:after="0" w:afterAutospacing="0" w:line="360" w:lineRule="auto"/>
        <w:ind w:firstLine="420"/>
        <w:rPr>
          <w:sz w:val="21"/>
          <w:szCs w:val="21"/>
        </w:rPr>
      </w:pPr>
      <w:r>
        <w:rPr>
          <w:rFonts w:hint="eastAsia"/>
          <w:sz w:val="21"/>
          <w:szCs w:val="21"/>
        </w:rPr>
        <w:t xml:space="preserve">18、机构投资者：指依法可以投资证券投资基金的、在中华人民共和国境内合法登记并存续或经有关政府部门批准设立并存续的企业法人、事业法人、社会团体或其他组织 </w:t>
      </w:r>
    </w:p>
    <w:p>
      <w:pPr>
        <w:pStyle w:val="8"/>
        <w:spacing w:before="0" w:beforeAutospacing="0" w:after="0" w:afterAutospacing="0" w:line="360" w:lineRule="auto"/>
        <w:ind w:firstLine="420"/>
        <w:rPr>
          <w:sz w:val="21"/>
          <w:szCs w:val="21"/>
        </w:rPr>
      </w:pPr>
      <w:r>
        <w:rPr>
          <w:rFonts w:hint="eastAsia"/>
          <w:sz w:val="21"/>
          <w:szCs w:val="21"/>
        </w:rPr>
        <w:t xml:space="preserve">19、合格境外机构投资者：指符合相关法律法规规定可以投资于在中国境内依法募集的证券投资基金的中国境外的机构投资者 </w:t>
      </w:r>
    </w:p>
    <w:p>
      <w:pPr>
        <w:pStyle w:val="8"/>
        <w:spacing w:before="0" w:beforeAutospacing="0" w:after="0" w:afterAutospacing="0" w:line="360" w:lineRule="auto"/>
        <w:ind w:firstLine="420"/>
        <w:rPr>
          <w:sz w:val="21"/>
          <w:szCs w:val="21"/>
        </w:rPr>
      </w:pPr>
      <w:r>
        <w:rPr>
          <w:rFonts w:hint="eastAsia"/>
          <w:sz w:val="21"/>
          <w:szCs w:val="21"/>
        </w:rPr>
        <w:t xml:space="preserve">20、投资人：指个人投资者、机构投资者、合格境外机构投资者以及法律法规或中国证监会允许购买证券投资基金的其他投资人的合称 </w:t>
      </w:r>
    </w:p>
    <w:p>
      <w:pPr>
        <w:pStyle w:val="8"/>
        <w:spacing w:before="0" w:beforeAutospacing="0" w:after="0" w:afterAutospacing="0" w:line="360" w:lineRule="auto"/>
        <w:ind w:firstLine="420"/>
        <w:rPr>
          <w:sz w:val="21"/>
          <w:szCs w:val="21"/>
        </w:rPr>
      </w:pPr>
      <w:r>
        <w:rPr>
          <w:rFonts w:hint="eastAsia"/>
          <w:sz w:val="21"/>
          <w:szCs w:val="21"/>
        </w:rPr>
        <w:t xml:space="preserve">21、基金份额持有人：指依基金合同和招募说明书合法取得基金份额的投资人 </w:t>
      </w:r>
    </w:p>
    <w:p>
      <w:pPr>
        <w:pStyle w:val="8"/>
        <w:spacing w:before="0" w:beforeAutospacing="0" w:after="0" w:afterAutospacing="0" w:line="360" w:lineRule="auto"/>
        <w:ind w:firstLine="420"/>
        <w:rPr>
          <w:sz w:val="21"/>
          <w:szCs w:val="21"/>
        </w:rPr>
      </w:pPr>
      <w:r>
        <w:rPr>
          <w:rFonts w:hint="eastAsia"/>
          <w:sz w:val="21"/>
          <w:szCs w:val="21"/>
        </w:rPr>
        <w:t xml:space="preserve">22、基金销售业务：指基金管理人或销售机构宣传推介基金，发售基金份额，办理基金份额的申购、赎回、转换、转托管及定期定额投资等业务 </w:t>
      </w:r>
    </w:p>
    <w:p>
      <w:pPr>
        <w:pStyle w:val="8"/>
        <w:spacing w:before="0" w:beforeAutospacing="0" w:after="0" w:afterAutospacing="0" w:line="360" w:lineRule="auto"/>
        <w:ind w:firstLine="420"/>
        <w:rPr>
          <w:sz w:val="21"/>
          <w:szCs w:val="21"/>
        </w:rPr>
      </w:pPr>
      <w:r>
        <w:rPr>
          <w:rFonts w:hint="eastAsia"/>
          <w:sz w:val="21"/>
          <w:szCs w:val="21"/>
        </w:rPr>
        <w:t xml:space="preserve">23、销售机构：指直销机构和代销机构 </w:t>
      </w:r>
    </w:p>
    <w:p>
      <w:pPr>
        <w:pStyle w:val="8"/>
        <w:spacing w:before="0" w:beforeAutospacing="0" w:after="0" w:afterAutospacing="0" w:line="360" w:lineRule="auto"/>
        <w:ind w:firstLine="420"/>
        <w:rPr>
          <w:sz w:val="21"/>
          <w:szCs w:val="21"/>
        </w:rPr>
      </w:pPr>
      <w:r>
        <w:rPr>
          <w:rFonts w:hint="eastAsia"/>
          <w:sz w:val="21"/>
          <w:szCs w:val="21"/>
        </w:rPr>
        <w:t>24、直销机构：指</w:t>
      </w:r>
      <w:bookmarkStart w:id="25" w:name="field_0_managerorgfullname_2"/>
      <w:r>
        <w:rPr>
          <w:rFonts w:hint="eastAsia"/>
          <w:sz w:val="21"/>
          <w:szCs w:val="21"/>
        </w:rPr>
        <w:t>博时基金管理有限公司</w:t>
      </w:r>
      <w:bookmarkEnd w:id="25"/>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25、代销机构：指符合《销售办法》和中国证监会规定的其他条件，取得基金销售业务</w:t>
      </w:r>
      <w:bookmarkStart w:id="26" w:name="chapter_level1_4_49_section_1_end"/>
      <w:bookmarkEnd w:id="26"/>
      <w:r>
        <w:rPr>
          <w:rFonts w:hint="eastAsia"/>
          <w:sz w:val="21"/>
          <w:szCs w:val="21"/>
        </w:rPr>
        <w:t xml:space="preserve">资格并与基金管理人签订了基金销售服务代理协议，代为办理基金销售业务的机构 </w:t>
      </w:r>
    </w:p>
    <w:p>
      <w:pPr>
        <w:pStyle w:val="8"/>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26、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8"/>
        <w:spacing w:before="0" w:beforeAutospacing="0" w:after="0" w:afterAutospacing="0" w:line="360" w:lineRule="auto"/>
        <w:ind w:firstLine="420"/>
        <w:rPr>
          <w:sz w:val="21"/>
          <w:szCs w:val="21"/>
        </w:rPr>
      </w:pPr>
      <w:r>
        <w:rPr>
          <w:rFonts w:hint="eastAsia"/>
          <w:sz w:val="21"/>
          <w:szCs w:val="21"/>
        </w:rPr>
        <w:t>27、登记机构：指办理登记业务的机构。基金的登记机构为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pPr>
        <w:pStyle w:val="8"/>
        <w:spacing w:before="0" w:beforeAutospacing="0" w:after="0" w:afterAutospacing="0" w:line="360" w:lineRule="auto"/>
        <w:ind w:firstLine="420"/>
        <w:rPr>
          <w:sz w:val="21"/>
          <w:szCs w:val="21"/>
        </w:rPr>
      </w:pPr>
      <w:r>
        <w:rPr>
          <w:rFonts w:hint="eastAsia"/>
          <w:sz w:val="21"/>
          <w:szCs w:val="21"/>
        </w:rPr>
        <w:t xml:space="preserve">28、基金账户：指登记机构为投资人开立的、记录其持有的、基金管理人所管理的基金份额余额及其变动情况的账户 </w:t>
      </w:r>
    </w:p>
    <w:p>
      <w:pPr>
        <w:pStyle w:val="8"/>
        <w:spacing w:before="0" w:beforeAutospacing="0" w:after="0" w:afterAutospacing="0" w:line="360" w:lineRule="auto"/>
        <w:ind w:firstLine="420"/>
        <w:rPr>
          <w:sz w:val="21"/>
          <w:szCs w:val="21"/>
        </w:rPr>
      </w:pPr>
      <w:r>
        <w:rPr>
          <w:rFonts w:hint="eastAsia"/>
          <w:sz w:val="21"/>
          <w:szCs w:val="21"/>
        </w:rPr>
        <w:t xml:space="preserve">29、基金交易账户：指销售机构为投资人开立的、记录投资人通过该销售机构办理认购、申购、赎回、转换、转托管及定期定额投资等业务而引起的基金份额变动及结余情况的账户 </w:t>
      </w:r>
    </w:p>
    <w:p>
      <w:pPr>
        <w:pStyle w:val="8"/>
        <w:spacing w:before="0" w:beforeAutospacing="0" w:after="0" w:afterAutospacing="0" w:line="360" w:lineRule="auto"/>
        <w:ind w:firstLine="420"/>
        <w:rPr>
          <w:sz w:val="21"/>
          <w:szCs w:val="21"/>
        </w:rPr>
      </w:pPr>
      <w:r>
        <w:rPr>
          <w:rFonts w:hint="eastAsia"/>
          <w:sz w:val="21"/>
          <w:szCs w:val="21"/>
        </w:rPr>
        <w:t xml:space="preserve">30、基金合同生效日：指基金募集达到法律法规规定及基金合同规定的条件，基金管理人向中国证监会办理基金备案手续完毕，并获得中国证监会书面确认的日期 </w:t>
      </w:r>
    </w:p>
    <w:p>
      <w:pPr>
        <w:pStyle w:val="8"/>
        <w:spacing w:before="0" w:beforeAutospacing="0" w:after="0" w:afterAutospacing="0" w:line="360" w:lineRule="auto"/>
        <w:ind w:firstLine="420"/>
        <w:rPr>
          <w:sz w:val="21"/>
          <w:szCs w:val="21"/>
        </w:rPr>
      </w:pPr>
      <w:r>
        <w:rPr>
          <w:rFonts w:hint="eastAsia"/>
          <w:sz w:val="21"/>
          <w:szCs w:val="21"/>
        </w:rPr>
        <w:t xml:space="preserve">31、基金合同终止日：指基金合同规定的基金合同终止事由出现后，基金财产清算完毕，清算结果报中国证监会备案并予以公告的日期 </w:t>
      </w:r>
    </w:p>
    <w:p>
      <w:pPr>
        <w:pStyle w:val="8"/>
        <w:spacing w:before="0" w:beforeAutospacing="0" w:after="0" w:afterAutospacing="0" w:line="360" w:lineRule="auto"/>
        <w:ind w:firstLine="420"/>
        <w:rPr>
          <w:sz w:val="21"/>
          <w:szCs w:val="21"/>
        </w:rPr>
      </w:pPr>
      <w:r>
        <w:rPr>
          <w:rFonts w:hint="eastAsia"/>
          <w:sz w:val="21"/>
          <w:szCs w:val="21"/>
        </w:rPr>
        <w:t xml:space="preserve">32、基金募集期：指自基金份额发售之日起至发售结束之日止的期间，最长不得超过3个月 </w:t>
      </w:r>
    </w:p>
    <w:p>
      <w:pPr>
        <w:pStyle w:val="8"/>
        <w:spacing w:before="0" w:beforeAutospacing="0" w:after="0" w:afterAutospacing="0" w:line="360" w:lineRule="auto"/>
        <w:ind w:firstLine="420"/>
        <w:rPr>
          <w:sz w:val="21"/>
          <w:szCs w:val="21"/>
        </w:rPr>
      </w:pPr>
      <w:r>
        <w:rPr>
          <w:rFonts w:hint="eastAsia"/>
          <w:sz w:val="21"/>
          <w:szCs w:val="21"/>
        </w:rPr>
        <w:t xml:space="preserve">33、存续期：指基金合同生效至终止之间的不定期期限 </w:t>
      </w:r>
    </w:p>
    <w:p>
      <w:pPr>
        <w:pStyle w:val="8"/>
        <w:spacing w:before="0" w:beforeAutospacing="0" w:after="0" w:afterAutospacing="0" w:line="360" w:lineRule="auto"/>
        <w:ind w:firstLine="420"/>
        <w:rPr>
          <w:sz w:val="21"/>
          <w:szCs w:val="21"/>
        </w:rPr>
      </w:pPr>
      <w:r>
        <w:rPr>
          <w:rFonts w:hint="eastAsia"/>
          <w:sz w:val="21"/>
          <w:szCs w:val="21"/>
        </w:rPr>
        <w:t xml:space="preserve">34、工作日：指上海证券交易所、深圳证券交易所的正常交易日 </w:t>
      </w:r>
    </w:p>
    <w:p>
      <w:pPr>
        <w:pStyle w:val="8"/>
        <w:spacing w:before="0" w:beforeAutospacing="0" w:after="0" w:afterAutospacing="0" w:line="360" w:lineRule="auto"/>
        <w:ind w:firstLine="420"/>
        <w:rPr>
          <w:sz w:val="21"/>
          <w:szCs w:val="21"/>
        </w:rPr>
      </w:pPr>
      <w:r>
        <w:rPr>
          <w:rFonts w:hint="eastAsia"/>
          <w:sz w:val="21"/>
          <w:szCs w:val="21"/>
        </w:rPr>
        <w:t xml:space="preserve">35、T日：指销售机构在规定时间受理投资人申购、赎回或其他业务申请的工作日 </w:t>
      </w:r>
    </w:p>
    <w:p>
      <w:pPr>
        <w:pStyle w:val="8"/>
        <w:spacing w:before="0" w:beforeAutospacing="0" w:after="0" w:afterAutospacing="0" w:line="360" w:lineRule="auto"/>
        <w:ind w:firstLine="420"/>
        <w:rPr>
          <w:sz w:val="21"/>
          <w:szCs w:val="21"/>
        </w:rPr>
      </w:pPr>
      <w:r>
        <w:rPr>
          <w:rFonts w:hint="eastAsia"/>
          <w:sz w:val="21"/>
          <w:szCs w:val="21"/>
        </w:rPr>
        <w:t xml:space="preserve">36、T+n日：指自T日起第n个工作日(不包含T日) </w:t>
      </w:r>
    </w:p>
    <w:p>
      <w:pPr>
        <w:pStyle w:val="8"/>
        <w:spacing w:before="0" w:beforeAutospacing="0" w:after="0" w:afterAutospacing="0" w:line="360" w:lineRule="auto"/>
        <w:ind w:firstLine="420"/>
        <w:rPr>
          <w:sz w:val="21"/>
          <w:szCs w:val="21"/>
        </w:rPr>
      </w:pPr>
      <w:r>
        <w:rPr>
          <w:rFonts w:hint="eastAsia"/>
          <w:sz w:val="21"/>
          <w:szCs w:val="21"/>
        </w:rPr>
        <w:t xml:space="preserve">37、开放日：指为投资人办理基金份额申购、赎回或其他业务的工作日 </w:t>
      </w:r>
    </w:p>
    <w:p>
      <w:pPr>
        <w:pStyle w:val="8"/>
        <w:spacing w:before="0" w:beforeAutospacing="0" w:after="0" w:afterAutospacing="0" w:line="360" w:lineRule="auto"/>
        <w:ind w:firstLine="420"/>
        <w:rPr>
          <w:sz w:val="21"/>
          <w:szCs w:val="21"/>
        </w:rPr>
      </w:pPr>
      <w:r>
        <w:rPr>
          <w:rFonts w:hint="eastAsia"/>
          <w:sz w:val="21"/>
          <w:szCs w:val="21"/>
        </w:rPr>
        <w:t xml:space="preserve">38、开放时间：指开放日基金接受申购、赎回或其他业务的时间段 </w:t>
      </w:r>
    </w:p>
    <w:p>
      <w:pPr>
        <w:pStyle w:val="8"/>
        <w:spacing w:before="0" w:beforeAutospacing="0" w:after="0" w:afterAutospacing="0" w:line="360" w:lineRule="auto"/>
        <w:ind w:firstLine="420"/>
        <w:rPr>
          <w:sz w:val="21"/>
          <w:szCs w:val="21"/>
        </w:rPr>
      </w:pPr>
      <w:r>
        <w:rPr>
          <w:rFonts w:hint="eastAsia"/>
          <w:sz w:val="21"/>
          <w:szCs w:val="21"/>
        </w:rPr>
        <w:t>39、《业务规则》：指《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pPr>
        <w:pStyle w:val="8"/>
        <w:spacing w:before="0" w:beforeAutospacing="0" w:after="0" w:afterAutospacing="0" w:line="360" w:lineRule="auto"/>
        <w:ind w:firstLine="420"/>
        <w:rPr>
          <w:sz w:val="21"/>
          <w:szCs w:val="21"/>
        </w:rPr>
      </w:pPr>
      <w:r>
        <w:rPr>
          <w:rFonts w:hint="eastAsia"/>
          <w:sz w:val="21"/>
          <w:szCs w:val="21"/>
        </w:rPr>
        <w:t xml:space="preserve">40、认购：指在基金募集期内，投资人根据基金合同和招募说明书的规定申请购买基金份额的行为 </w:t>
      </w:r>
    </w:p>
    <w:p>
      <w:pPr>
        <w:pStyle w:val="8"/>
        <w:spacing w:before="0" w:beforeAutospacing="0" w:after="0" w:afterAutospacing="0" w:line="360" w:lineRule="auto"/>
        <w:ind w:firstLine="420"/>
        <w:rPr>
          <w:sz w:val="21"/>
          <w:szCs w:val="21"/>
        </w:rPr>
      </w:pPr>
      <w:r>
        <w:rPr>
          <w:rFonts w:hint="eastAsia"/>
          <w:sz w:val="21"/>
          <w:szCs w:val="21"/>
        </w:rPr>
        <w:t xml:space="preserve">41、申购：指基金合同生效后，投资人根据基金合同和招募说明书的规定申请购买基金份额的行为 </w:t>
      </w:r>
    </w:p>
    <w:p>
      <w:pPr>
        <w:pStyle w:val="8"/>
        <w:spacing w:before="0" w:beforeAutospacing="0" w:after="0" w:afterAutospacing="0" w:line="360" w:lineRule="auto"/>
        <w:ind w:firstLine="420"/>
        <w:rPr>
          <w:sz w:val="21"/>
          <w:szCs w:val="21"/>
        </w:rPr>
      </w:pPr>
      <w:r>
        <w:rPr>
          <w:rFonts w:hint="eastAsia"/>
          <w:sz w:val="21"/>
          <w:szCs w:val="21"/>
        </w:rPr>
        <w:t xml:space="preserve">42、赎回：指基金合同生效后，基金份额持有人按基金合同和招募说明书规定的条件要求将基金份额兑换为现金的行为 </w:t>
      </w:r>
    </w:p>
    <w:p>
      <w:pPr>
        <w:pStyle w:val="8"/>
        <w:spacing w:before="0" w:beforeAutospacing="0" w:after="0" w:afterAutospacing="0" w:line="360" w:lineRule="auto"/>
        <w:ind w:firstLine="420"/>
        <w:rPr>
          <w:sz w:val="21"/>
          <w:szCs w:val="21"/>
        </w:rPr>
      </w:pPr>
      <w:r>
        <w:rPr>
          <w:rFonts w:hint="eastAsia"/>
          <w:sz w:val="21"/>
          <w:szCs w:val="21"/>
        </w:rPr>
        <w:t xml:space="preserve">43、基金转换：指基金份额持有人按照基金合同和基金管理人届时有效公告规定的条件，申请将其持有基金管理人管理的、某一基金的基金份额转换为基金管理人管理的其他基金基金份额的行为 </w:t>
      </w:r>
    </w:p>
    <w:p>
      <w:pPr>
        <w:pStyle w:val="8"/>
        <w:spacing w:before="0" w:beforeAutospacing="0" w:after="0" w:afterAutospacing="0" w:line="360" w:lineRule="auto"/>
        <w:ind w:firstLine="420"/>
        <w:rPr>
          <w:sz w:val="21"/>
          <w:szCs w:val="21"/>
        </w:rPr>
      </w:pPr>
      <w:r>
        <w:rPr>
          <w:rFonts w:hint="eastAsia"/>
          <w:sz w:val="21"/>
          <w:szCs w:val="21"/>
        </w:rPr>
        <w:t xml:space="preserve">44、转托管：指基金份额持有人在本基金的不同销售机构之间实施的变更所持基金份额销售机构的操作 </w:t>
      </w:r>
    </w:p>
    <w:p>
      <w:pPr>
        <w:pStyle w:val="8"/>
        <w:spacing w:before="0" w:beforeAutospacing="0" w:after="0" w:afterAutospacing="0" w:line="360" w:lineRule="auto"/>
        <w:ind w:firstLine="420"/>
        <w:rPr>
          <w:sz w:val="21"/>
          <w:szCs w:val="21"/>
        </w:rPr>
      </w:pPr>
      <w:r>
        <w:rPr>
          <w:rFonts w:hint="eastAsia"/>
          <w:sz w:val="21"/>
          <w:szCs w:val="21"/>
        </w:rPr>
        <w:t xml:space="preserve">45、定期定额投资计划：指投资人通过有关销售机构提出申请，约定每期申购日、申购金额及扣款方式，由销售机构于每期约定申购日在投资人指定银行账户内自动完成扣款及受理基金申购申请的一种投资方式 </w:t>
      </w:r>
    </w:p>
    <w:p>
      <w:pPr>
        <w:pStyle w:val="8"/>
        <w:spacing w:before="0" w:beforeAutospacing="0" w:after="0" w:afterAutospacing="0" w:line="360" w:lineRule="auto"/>
        <w:ind w:firstLine="420"/>
        <w:rPr>
          <w:sz w:val="21"/>
          <w:szCs w:val="21"/>
        </w:rPr>
      </w:pPr>
      <w:r>
        <w:rPr>
          <w:rFonts w:hint="eastAsia"/>
          <w:sz w:val="21"/>
          <w:szCs w:val="21"/>
        </w:rPr>
        <w:t>46、巨额赎回：指本基金单个开放日，基金净赎回申请(赎回申请份额总数加上基金转换中转出申请份额总数后扣除申购申请份额总数及基金转换中转入申请份额总数后的余额)超过上一开放日基金总份额的 </w:t>
      </w:r>
      <w:bookmarkStart w:id="31" w:name="field_49_mintredeemscale_1"/>
      <w:r>
        <w:rPr>
          <w:sz w:val="21"/>
          <w:szCs w:val="21"/>
        </w:rPr>
        <w:t>10</w:t>
      </w:r>
      <w:bookmarkEnd w:id="31"/>
      <w:r>
        <w:rPr>
          <w:rFonts w:hint="eastAsia"/>
          <w:sz w:val="21"/>
          <w:szCs w:val="21"/>
        </w:rPr>
        <w:t xml:space="preserve"> % </w:t>
      </w:r>
    </w:p>
    <w:p>
      <w:pPr>
        <w:pStyle w:val="8"/>
        <w:spacing w:before="0" w:beforeAutospacing="0" w:after="0" w:afterAutospacing="0" w:line="360" w:lineRule="auto"/>
        <w:ind w:firstLine="420"/>
        <w:rPr>
          <w:sz w:val="21"/>
          <w:szCs w:val="21"/>
        </w:rPr>
      </w:pPr>
      <w:r>
        <w:rPr>
          <w:rFonts w:hint="eastAsia"/>
          <w:sz w:val="21"/>
          <w:szCs w:val="21"/>
        </w:rPr>
        <w:t xml:space="preserve">47、元：指人民币元 </w:t>
      </w:r>
    </w:p>
    <w:p>
      <w:pPr>
        <w:pStyle w:val="8"/>
        <w:spacing w:before="0" w:beforeAutospacing="0" w:after="0" w:afterAutospacing="0" w:line="360" w:lineRule="auto"/>
        <w:ind w:firstLine="420"/>
        <w:rPr>
          <w:sz w:val="21"/>
          <w:szCs w:val="21"/>
        </w:rPr>
      </w:pPr>
      <w:r>
        <w:rPr>
          <w:rFonts w:hint="eastAsia"/>
          <w:sz w:val="21"/>
          <w:szCs w:val="21"/>
        </w:rPr>
        <w:t xml:space="preserve">48、基金收益：指基金投资所得债券利息、买卖证券价差、银行存款利息、已实现的其他合法收入及因运用基金财产带来的成本和费用的节约 </w:t>
      </w:r>
    </w:p>
    <w:p>
      <w:pPr>
        <w:pStyle w:val="8"/>
        <w:spacing w:before="0" w:beforeAutospacing="0" w:after="0" w:afterAutospacing="0" w:line="360" w:lineRule="auto"/>
        <w:ind w:firstLine="420"/>
        <w:rPr>
          <w:sz w:val="21"/>
          <w:szCs w:val="21"/>
        </w:rPr>
      </w:pPr>
      <w:r>
        <w:rPr>
          <w:rFonts w:hint="eastAsia"/>
          <w:sz w:val="21"/>
          <w:szCs w:val="21"/>
        </w:rPr>
        <w:t xml:space="preserve">49、基金资产总值：指基金拥有的各类有价证券、银行存款本息、基金应收款项及其他资产的价值总和 </w:t>
      </w:r>
    </w:p>
    <w:p>
      <w:pPr>
        <w:pStyle w:val="8"/>
        <w:spacing w:before="0" w:beforeAutospacing="0" w:after="0" w:afterAutospacing="0" w:line="360" w:lineRule="auto"/>
        <w:ind w:firstLine="420"/>
        <w:rPr>
          <w:sz w:val="21"/>
          <w:szCs w:val="21"/>
        </w:rPr>
      </w:pPr>
      <w:r>
        <w:rPr>
          <w:rFonts w:hint="eastAsia"/>
          <w:sz w:val="21"/>
          <w:szCs w:val="21"/>
        </w:rPr>
        <w:t xml:space="preserve">50、基金资产净值：指基金资产总值减去基金负债后的价值 </w:t>
      </w:r>
    </w:p>
    <w:p>
      <w:pPr>
        <w:pStyle w:val="8"/>
        <w:spacing w:before="0" w:beforeAutospacing="0" w:after="0" w:afterAutospacing="0" w:line="360" w:lineRule="auto"/>
        <w:ind w:firstLine="420"/>
        <w:rPr>
          <w:sz w:val="21"/>
          <w:szCs w:val="21"/>
        </w:rPr>
      </w:pPr>
      <w:r>
        <w:rPr>
          <w:rFonts w:hint="eastAsia"/>
          <w:sz w:val="21"/>
          <w:szCs w:val="21"/>
        </w:rPr>
        <w:t xml:space="preserve">51、基金份额净值：指计算日基金资产净值除以计算日基金份额总数 </w:t>
      </w:r>
    </w:p>
    <w:p>
      <w:pPr>
        <w:pStyle w:val="8"/>
        <w:spacing w:before="0" w:beforeAutospacing="0" w:after="0" w:afterAutospacing="0" w:line="360" w:lineRule="auto"/>
        <w:ind w:firstLine="420"/>
        <w:rPr>
          <w:sz w:val="21"/>
          <w:szCs w:val="21"/>
        </w:rPr>
      </w:pPr>
      <w:r>
        <w:rPr>
          <w:rFonts w:hint="eastAsia"/>
          <w:sz w:val="21"/>
          <w:szCs w:val="21"/>
        </w:rPr>
        <w:t xml:space="preserve">52、基金资产估值：指计算评估基金资产和负债的价值，以确定基金资产净值和基金份额净值的过程 </w:t>
      </w:r>
    </w:p>
    <w:p>
      <w:pPr>
        <w:pStyle w:val="8"/>
        <w:spacing w:before="0" w:beforeAutospacing="0" w:after="0" w:afterAutospacing="0" w:line="360" w:lineRule="auto"/>
        <w:ind w:firstLine="420"/>
        <w:rPr>
          <w:sz w:val="21"/>
          <w:szCs w:val="21"/>
        </w:rPr>
      </w:pPr>
      <w:r>
        <w:rPr>
          <w:rFonts w:hint="eastAsia"/>
          <w:sz w:val="21"/>
          <w:szCs w:val="21"/>
        </w:rPr>
        <w:t xml:space="preserve">53、销售服务费：指从基金财产中计提的，用于本基金市场推广、销售以及基金份额持有人服务的费用 </w:t>
      </w:r>
    </w:p>
    <w:p>
      <w:pPr>
        <w:pStyle w:val="8"/>
        <w:spacing w:before="0" w:beforeAutospacing="0" w:after="0" w:afterAutospacing="0" w:line="360" w:lineRule="auto"/>
        <w:ind w:firstLine="420"/>
        <w:rPr>
          <w:sz w:val="21"/>
          <w:szCs w:val="21"/>
        </w:rPr>
      </w:pPr>
      <w:r>
        <w:rPr>
          <w:rFonts w:hint="eastAsia"/>
          <w:sz w:val="21"/>
          <w:szCs w:val="21"/>
        </w:rPr>
        <w:t xml:space="preserve">54、基金份额类别：指本基金根据申购费用与销售服务费收取方式等不同，将基金份额分为不同的类别 </w:t>
      </w:r>
    </w:p>
    <w:p>
      <w:pPr>
        <w:pStyle w:val="8"/>
        <w:spacing w:before="0" w:beforeAutospacing="0" w:after="0" w:afterAutospacing="0" w:line="360" w:lineRule="auto"/>
        <w:ind w:firstLine="420"/>
        <w:rPr>
          <w:sz w:val="21"/>
          <w:szCs w:val="21"/>
        </w:rPr>
      </w:pPr>
      <w:r>
        <w:rPr>
          <w:rFonts w:hint="eastAsia"/>
          <w:sz w:val="21"/>
          <w:szCs w:val="21"/>
        </w:rPr>
        <w:t xml:space="preserve">55、A类基金份额：指本基金在投资者申购基金时收取申购费，不收取销售服务费的基金份额 </w:t>
      </w:r>
    </w:p>
    <w:p>
      <w:pPr>
        <w:pStyle w:val="8"/>
        <w:spacing w:before="0" w:beforeAutospacing="0" w:after="0" w:afterAutospacing="0" w:line="360" w:lineRule="auto"/>
        <w:ind w:firstLine="420"/>
        <w:rPr>
          <w:sz w:val="21"/>
          <w:szCs w:val="21"/>
        </w:rPr>
      </w:pPr>
      <w:r>
        <w:rPr>
          <w:rFonts w:hint="eastAsia"/>
          <w:sz w:val="21"/>
          <w:szCs w:val="21"/>
        </w:rPr>
        <w:t xml:space="preserve">56、C类基金份额：指本基金在投资者申购基金时不收取申购费，而是从本类别基金资产中计提销售服务费的基金份额 </w:t>
      </w:r>
    </w:p>
    <w:p>
      <w:pPr>
        <w:pStyle w:val="8"/>
        <w:spacing w:before="0" w:beforeAutospacing="0" w:after="0" w:afterAutospacing="0" w:line="360" w:lineRule="auto"/>
        <w:ind w:firstLine="420"/>
        <w:rPr>
          <w:sz w:val="21"/>
          <w:szCs w:val="21"/>
        </w:rPr>
      </w:pPr>
      <w:r>
        <w:rPr>
          <w:rFonts w:hint="eastAsia"/>
          <w:sz w:val="21"/>
          <w:szCs w:val="21"/>
        </w:rPr>
        <w:t xml:space="preserve">57、指定媒介：指中国证监会指定的用以进行信息披露的全国性报刊及指定互联网网站（包括基金管理人网站、基金托管人网站、中国证监会基金电子披露网站）等媒介 </w:t>
      </w:r>
    </w:p>
    <w:p>
      <w:pPr>
        <w:pStyle w:val="8"/>
        <w:spacing w:before="0" w:beforeAutospacing="0" w:after="0" w:afterAutospacing="0" w:line="360" w:lineRule="auto"/>
        <w:ind w:firstLine="420"/>
        <w:rPr>
          <w:sz w:val="21"/>
          <w:szCs w:val="21"/>
        </w:rPr>
      </w:pPr>
      <w:r>
        <w:rPr>
          <w:rFonts w:hint="eastAsia"/>
          <w:sz w:val="21"/>
          <w:szCs w:val="21"/>
        </w:rPr>
        <w:t xml:space="preserve">58、不可抗力：指基金合同当事人不能预见、不能避免且不能克服的客观事件 </w:t>
      </w:r>
    </w:p>
    <w:p>
      <w:pPr>
        <w:pStyle w:val="8"/>
        <w:spacing w:before="0" w:beforeAutospacing="0" w:after="0" w:afterAutospacing="0" w:line="360" w:lineRule="auto"/>
        <w:ind w:firstLine="420"/>
        <w:rPr>
          <w:sz w:val="21"/>
          <w:szCs w:val="21"/>
        </w:rPr>
      </w:pPr>
      <w:r>
        <w:rPr>
          <w:rFonts w:hint="eastAsia"/>
          <w:sz w:val="21"/>
          <w:szCs w:val="21"/>
        </w:rPr>
        <w:t xml:space="preserve">59、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 </w:t>
      </w:r>
    </w:p>
    <w:p>
      <w:pPr>
        <w:pStyle w:val="8"/>
        <w:spacing w:before="0" w:beforeAutospacing="0" w:after="0" w:afterAutospacing="0" w:line="360" w:lineRule="auto"/>
        <w:ind w:firstLine="420"/>
        <w:rPr>
          <w:sz w:val="21"/>
          <w:szCs w:val="21"/>
        </w:rPr>
      </w:pPr>
      <w:r>
        <w:rPr>
          <w:rFonts w:hint="eastAsia"/>
          <w:sz w:val="21"/>
          <w:szCs w:val="21"/>
        </w:rPr>
        <w:t>60、基金产品资料概要：指《</w:t>
      </w:r>
      <w:bookmarkStart w:id="32" w:name="field_0_productfullname_11"/>
      <w:r>
        <w:rPr>
          <w:rFonts w:hint="eastAsia"/>
          <w:sz w:val="21"/>
          <w:szCs w:val="21"/>
        </w:rPr>
        <w:t>博时智臻纯债债券型证券投资基金</w:t>
      </w:r>
      <w:bookmarkEnd w:id="32"/>
      <w:r>
        <w:rPr>
          <w:rFonts w:hint="eastAsia"/>
          <w:sz w:val="21"/>
          <w:szCs w:val="21"/>
        </w:rPr>
        <w:t xml:space="preserve">基金产品资料概要》及其更新 </w:t>
      </w:r>
    </w:p>
    <w:p>
      <w:pPr>
        <w:pStyle w:val="8"/>
        <w:spacing w:before="0" w:beforeAutospacing="0" w:after="0" w:afterAutospacing="0" w:line="360" w:lineRule="auto"/>
        <w:ind w:firstLine="420"/>
        <w:rPr>
          <w:sz w:val="21"/>
          <w:szCs w:val="21"/>
        </w:rPr>
      </w:pPr>
      <w:r>
        <w:rPr>
          <w:rFonts w:hint="eastAsia"/>
          <w:sz w:val="21"/>
          <w:szCs w:val="21"/>
        </w:rPr>
        <w:t xml:space="preserve">61、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8"/>
        <w:spacing w:before="0" w:beforeAutospacing="0" w:after="0" w:afterAutospacing="0" w:line="360" w:lineRule="auto"/>
        <w:ind w:firstLine="420"/>
        <w:rPr>
          <w:sz w:val="21"/>
          <w:szCs w:val="21"/>
        </w:rPr>
      </w:pPr>
      <w:r>
        <w:rPr>
          <w:rFonts w:hint="eastAsia"/>
          <w:sz w:val="21"/>
          <w:szCs w:val="21"/>
        </w:rPr>
        <w:t>62、特定资产：包括：（一）无可参考的活跃市场价格且采用估值技术仍导致公允价值存在重大不确定性的资产；（二）按摊余成本计量且计提资产减值准备仍导致资产价值存在</w:t>
      </w:r>
      <w:bookmarkStart w:id="33" w:name="chapter_level1_4_49_section_2_end"/>
      <w:bookmarkEnd w:id="33"/>
      <w:r>
        <w:rPr>
          <w:rFonts w:hint="eastAsia"/>
          <w:sz w:val="21"/>
          <w:szCs w:val="21"/>
        </w:rPr>
        <w:t xml:space="preserve">重大不确定性的资产；（三）其他资产价值存在重大不确定性的资产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4" w:name="chapter_level1_5_53"/>
      <w:bookmarkStart w:id="35" w:name="_Toc207936391"/>
      <w:r>
        <w:rPr>
          <w:rFonts w:hint="eastAsia" w:ascii="宋体" w:hAnsi="宋体" w:eastAsia="宋体"/>
          <w:sz w:val="30"/>
        </w:rPr>
        <w:t>第三部分  基金管理人</w:t>
      </w:r>
      <w:bookmarkEnd w:id="34"/>
      <w:bookmarkEnd w:id="35"/>
    </w:p>
    <w:p>
      <w:pPr>
        <w:pStyle w:val="8"/>
        <w:spacing w:before="0" w:beforeAutospacing="0" w:after="0" w:afterAutospacing="0" w:line="360" w:lineRule="auto"/>
        <w:ind w:firstLine="420"/>
        <w:rPr>
          <w:sz w:val="21"/>
          <w:szCs w:val="21"/>
          <w:highlight w:val="none"/>
        </w:rPr>
      </w:pPr>
      <w:bookmarkStart w:id="36" w:name="chapter_level1_5_53_section_1"/>
      <w:bookmarkEnd w:id="36"/>
      <w:r>
        <w:rPr>
          <w:rStyle w:val="12"/>
          <w:rFonts w:hint="eastAsia"/>
          <w:sz w:val="21"/>
          <w:szCs w:val="21"/>
          <w:highlight w:val="none"/>
        </w:rPr>
        <w:t>一、基金管理人概况</w:t>
      </w:r>
    </w:p>
    <w:p>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8"/>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8"/>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8"/>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8"/>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8"/>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8"/>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8"/>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8"/>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8"/>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pPr>
        <w:pStyle w:val="8"/>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8"/>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8"/>
        <w:spacing w:before="0" w:beforeAutospacing="0" w:after="0" w:afterAutospacing="0" w:line="360" w:lineRule="auto"/>
        <w:ind w:firstLine="420"/>
        <w:rPr>
          <w:rFonts w:hint="eastAsia"/>
          <w:sz w:val="21"/>
          <w:szCs w:val="21"/>
          <w:highlight w:val="none"/>
        </w:rPr>
      </w:pPr>
      <w:bookmarkStart w:id="37" w:name="OLE_LINK3"/>
      <w:r>
        <w:rPr>
          <w:rFonts w:hint="eastAsia"/>
          <w:sz w:val="21"/>
          <w:szCs w:val="21"/>
          <w:highlight w:val="none"/>
          <w:lang w:eastAsia="zh-CN"/>
        </w:rPr>
        <w:t>张东先生，</w:t>
      </w:r>
      <w:r>
        <w:rPr>
          <w:rFonts w:hint="eastAsia"/>
          <w:sz w:val="21"/>
          <w:szCs w:val="21"/>
          <w:highlight w:val="none"/>
        </w:rPr>
        <w:t>简历同上。</w:t>
      </w:r>
    </w:p>
    <w:p>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7"/>
    <w:p>
      <w:pPr>
        <w:pStyle w:val="8"/>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8"/>
        <w:spacing w:before="0" w:beforeAutospacing="0" w:after="0" w:afterAutospacing="0" w:line="360" w:lineRule="auto"/>
        <w:ind w:firstLine="420"/>
        <w:rPr>
          <w:sz w:val="21"/>
          <w:szCs w:val="21"/>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rPr>
        <w:t xml:space="preserve"> </w:t>
      </w:r>
      <w:bookmarkStart w:id="38" w:name="field_0_managerpersoninfo_1_end"/>
      <w:bookmarkEnd w:id="38"/>
      <w:r>
        <w:rPr>
          <w:rFonts w:hint="eastAsia"/>
          <w:sz w:val="21"/>
          <w:szCs w:val="21"/>
        </w:rPr>
        <w:t xml:space="preserve">  </w:t>
      </w:r>
    </w:p>
    <w:p>
      <w:pPr>
        <w:pStyle w:val="8"/>
        <w:spacing w:before="0" w:beforeAutospacing="0" w:after="0" w:afterAutospacing="0" w:line="360" w:lineRule="auto"/>
        <w:ind w:firstLine="420"/>
        <w:rPr>
          <w:sz w:val="21"/>
          <w:szCs w:val="21"/>
        </w:rPr>
      </w:pPr>
      <w:bookmarkStart w:id="39" w:name="chapter_level1_5_53_section_2"/>
      <w:bookmarkEnd w:id="39"/>
      <w:r>
        <w:rPr>
          <w:rFonts w:hint="eastAsia"/>
          <w:sz w:val="21"/>
          <w:szCs w:val="21"/>
          <w:lang w:val="en-US" w:eastAsia="zh-CN"/>
        </w:rPr>
        <w:t>3</w:t>
      </w:r>
      <w:r>
        <w:rPr>
          <w:rFonts w:hint="eastAsia"/>
          <w:sz w:val="21"/>
          <w:szCs w:val="21"/>
        </w:rPr>
        <w:t xml:space="preserve">、本基金基金经理 </w:t>
      </w:r>
    </w:p>
    <w:p>
      <w:pPr>
        <w:pStyle w:val="8"/>
        <w:spacing w:before="0" w:beforeAutospacing="0" w:after="0" w:afterAutospacing="0" w:line="360" w:lineRule="auto"/>
        <w:ind w:firstLine="420"/>
        <w:rPr>
          <w:rFonts w:hint="eastAsia"/>
          <w:sz w:val="21"/>
          <w:szCs w:val="21"/>
        </w:rPr>
      </w:pPr>
      <w:bookmarkStart w:id="40" w:name="field_0_fundmanagerresume_1_start"/>
      <w:bookmarkEnd w:id="40"/>
      <w:r>
        <w:rPr>
          <w:rFonts w:hint="eastAsia"/>
          <w:sz w:val="21"/>
          <w:szCs w:val="21"/>
        </w:rPr>
        <w:t>李俏女士，硕士。2012年起先后在招商银行北京分行、光大银行总行工作。2024年加入博时基金管理有限公司。现任博时裕泉纯债债券型证券投资基金(2025年1月27日—至今)、博时裕昂纯债债券型证券投资基金(2025年2月25日—至今)、博时富灿纯债一年定期开放债券型发起式证券投资基金(2025年2月25日—至今)、博时裕通纯债3个月定期开放债券型发起式证券投资基金(2025年2月25日—至今)、博时裕坤纯债3个月定期开放债券型发起式证券投资基金(2025年4月15日—至今)、博时富进纯债一年定期开放债券型发起式证券投资基金(2025年5月19日—至今)、博时富汇纯债3个月定期开放债券型发起式证券投资基金(2025年7月25日—至今)、博时智臻纯债债券型证券投资基金(2025年7月31日—至今)的基金经理。</w:t>
      </w:r>
    </w:p>
    <w:p>
      <w:pPr>
        <w:pStyle w:val="8"/>
        <w:spacing w:before="0" w:beforeAutospacing="0" w:after="0" w:afterAutospacing="0" w:line="360" w:lineRule="auto"/>
        <w:ind w:firstLine="420"/>
        <w:rPr>
          <w:rFonts w:hint="eastAsia"/>
          <w:sz w:val="21"/>
          <w:szCs w:val="21"/>
        </w:rPr>
      </w:pPr>
      <w:r>
        <w:rPr>
          <w:rFonts w:hint="eastAsia"/>
          <w:sz w:val="21"/>
          <w:szCs w:val="21"/>
        </w:rPr>
        <w:t>李汉楠先生，硕士。2014年至2019年在长城基金工作。2019年加入博时基金管理有限公司。历任博时季季乐三个月持有期债券型证券投资基金(2020年5月27日-2021年8月17日)、博时信用优选债券型证券投资基金(2020年5月22日-2022年5月5日)、博时安瑞18个月定期开放债券型证券投资基金(2019年12月23日-2022年7月1日)、博时富汇纯债3个月定期开放债券型发起式证券投资基金(2021年8月17日-2022年9月9日)、博时富盛纯债一年定期开放债券型发起式证券投资基金(2021年8月17日-2022年9月9日)、博时荣升稳健添利18个月定期开放混合型证券投资基金(2020年4月29日-2023年3月23日)、博时富通纯债一年定期开放债券型发起式证券投资基金(2022年2月17日-2023年7月28日)、博时裕瑞纯债债券型证券投资基金(2022年2月17日-2024年4月3日)、博时富耀纯债一年定期开放债券型发起式证券投资基金(2023年6月7日-2024年6月25日)、博时富元纯债债券型证券投资基金(2023年4月20日-2024年7月23日)、博时安仁一年定期开放债券型发起式证券投资基金(2023年7月26日-2024年8月13日)、博时富华纯债债券型证券投资基金(2023年7月26日-2024年8月27日)、博时裕昂纯债债券型证券投资基金(2022年2月17日-2025年1月10日)、博时富灿纯债一年定期开放债券型发起式证券投资基金(2021年4月13日-2025年2月25日)、博时裕安纯债一年定期开放债券型发起式证券投资基金(2023年7月26日-2025年9月18日)、博时裕盛纯债债券型证券投资基金(2023年7月26日-2026年4月30日)的基金经理。现任博时裕泰纯债债券型证券投资基金(2022年2月17日—至今)、博时丰庆纯债债券型证券投资基金(2022年2月17日—至今)、博时裕创纯债债券型证券投资基金(2022年2月17日—至今)、博时裕鹏纯债债券型证券投资基金(2026年2月4日—至今)、博时裕达纯债债券型证券投资基金(2026年2月4日—至今)</w:t>
      </w:r>
      <w:r>
        <w:rPr>
          <w:rFonts w:hint="eastAsia"/>
          <w:sz w:val="21"/>
          <w:szCs w:val="21"/>
          <w:lang w:eastAsia="zh-CN"/>
        </w:rPr>
        <w:t>、</w:t>
      </w:r>
      <w:r>
        <w:rPr>
          <w:rFonts w:hint="eastAsia"/>
          <w:sz w:val="21"/>
          <w:szCs w:val="21"/>
        </w:rPr>
        <w:t>博时智臻纯债债券型证券投资基金(202</w:t>
      </w:r>
      <w:r>
        <w:rPr>
          <w:rFonts w:hint="eastAsia"/>
          <w:sz w:val="21"/>
          <w:szCs w:val="21"/>
          <w:lang w:val="en-US" w:eastAsia="zh-CN"/>
        </w:rPr>
        <w:t>6</w:t>
      </w:r>
      <w:r>
        <w:rPr>
          <w:rFonts w:hint="eastAsia"/>
          <w:sz w:val="21"/>
          <w:szCs w:val="21"/>
        </w:rPr>
        <w:t>年</w:t>
      </w:r>
      <w:r>
        <w:rPr>
          <w:rFonts w:hint="eastAsia"/>
          <w:sz w:val="21"/>
          <w:szCs w:val="21"/>
          <w:lang w:val="en-US" w:eastAsia="zh-CN"/>
        </w:rPr>
        <w:t>5</w:t>
      </w:r>
      <w:r>
        <w:rPr>
          <w:rFonts w:hint="eastAsia"/>
          <w:sz w:val="21"/>
          <w:szCs w:val="21"/>
        </w:rPr>
        <w:t>月</w:t>
      </w:r>
      <w:r>
        <w:rPr>
          <w:rFonts w:hint="eastAsia"/>
          <w:sz w:val="21"/>
          <w:szCs w:val="21"/>
          <w:lang w:val="en-US" w:eastAsia="zh-CN"/>
        </w:rPr>
        <w:t>2</w:t>
      </w:r>
      <w:r>
        <w:rPr>
          <w:rFonts w:hint="eastAsia"/>
          <w:sz w:val="21"/>
          <w:szCs w:val="21"/>
        </w:rPr>
        <w:t>1日—至今)的基金经理。</w:t>
      </w:r>
    </w:p>
    <w:p>
      <w:pPr>
        <w:pStyle w:val="8"/>
        <w:spacing w:before="0" w:beforeAutospacing="0" w:after="0" w:afterAutospacing="0" w:line="360" w:lineRule="auto"/>
        <w:ind w:firstLine="420"/>
        <w:rPr>
          <w:sz w:val="21"/>
          <w:szCs w:val="21"/>
        </w:rPr>
      </w:pPr>
      <w:bookmarkStart w:id="41" w:name="field_0_fundmanagershis_1_start"/>
      <w:bookmarkEnd w:id="41"/>
      <w:r>
        <w:rPr>
          <w:rFonts w:hint="eastAsia"/>
          <w:sz w:val="21"/>
          <w:szCs w:val="21"/>
        </w:rPr>
        <w:t>本基金历任基金经理：王申（2016年8月30日-2018年3月15日）、程卓（2018年3月15日-2024年9月20日）、何平（2024年5月23日-2025年7</w:t>
      </w:r>
      <w:bookmarkStart w:id="42" w:name="chapter_level1_5_53_section_2_end"/>
      <w:bookmarkEnd w:id="42"/>
      <w:r>
        <w:rPr>
          <w:rFonts w:hint="eastAsia"/>
          <w:sz w:val="21"/>
          <w:szCs w:val="21"/>
        </w:rPr>
        <w:t>月31日）</w:t>
      </w:r>
      <w:r>
        <w:rPr>
          <w:rFonts w:hint="eastAsia"/>
          <w:sz w:val="21"/>
          <w:szCs w:val="21"/>
          <w:lang w:eastAsia="zh-CN"/>
        </w:rPr>
        <w:t>、</w:t>
      </w:r>
      <w:r>
        <w:rPr>
          <w:rFonts w:hint="eastAsia"/>
          <w:sz w:val="21"/>
          <w:szCs w:val="21"/>
          <w:lang w:val="en-US" w:eastAsia="zh-CN"/>
        </w:rPr>
        <w:t>余斌（</w:t>
      </w:r>
      <w:r>
        <w:rPr>
          <w:rFonts w:hint="eastAsia"/>
          <w:sz w:val="21"/>
          <w:szCs w:val="21"/>
        </w:rPr>
        <w:t>2024年12月5日—</w:t>
      </w:r>
      <w:r>
        <w:rPr>
          <w:rFonts w:hint="eastAsia"/>
          <w:sz w:val="21"/>
          <w:szCs w:val="21"/>
          <w:lang w:val="en-US" w:eastAsia="zh-CN"/>
        </w:rPr>
        <w:t>2026年4月8日）</w:t>
      </w:r>
      <w:r>
        <w:rPr>
          <w:rFonts w:hint="eastAsia"/>
          <w:sz w:val="21"/>
          <w:szCs w:val="21"/>
        </w:rPr>
        <w:t>。</w:t>
      </w:r>
      <w:bookmarkStart w:id="43" w:name="field_0_fundmanagershis_1_end"/>
      <w:bookmarkEnd w:id="43"/>
      <w:r>
        <w:rPr>
          <w:rFonts w:hint="eastAsia"/>
          <w:sz w:val="21"/>
          <w:szCs w:val="21"/>
        </w:rPr>
        <w:t xml:space="preserve">  </w:t>
      </w:r>
    </w:p>
    <w:p>
      <w:pPr>
        <w:pStyle w:val="8"/>
        <w:spacing w:before="0" w:beforeAutospacing="0" w:after="0" w:afterAutospacing="0" w:line="360" w:lineRule="auto"/>
        <w:ind w:firstLine="420"/>
        <w:rPr>
          <w:rFonts w:hint="eastAsia"/>
          <w:sz w:val="21"/>
          <w:szCs w:val="21"/>
          <w:lang w:val="en-US" w:eastAsia="zh-CN"/>
        </w:rPr>
      </w:pPr>
      <w:bookmarkStart w:id="44" w:name="field_0_managerpersoninfo2_1_start"/>
      <w:bookmarkEnd w:id="44"/>
      <w:bookmarkStart w:id="45" w:name="chapter_level1_5_53_section_3"/>
      <w:bookmarkEnd w:id="45"/>
      <w:r>
        <w:rPr>
          <w:rFonts w:hint="eastAsia"/>
          <w:sz w:val="21"/>
          <w:szCs w:val="21"/>
          <w:lang w:val="en-US" w:eastAsia="zh-CN"/>
        </w:rPr>
        <w:t xml:space="preserve">4、投资决策委员会成员 </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公司投资决策委员会专职委员兼年金投资部总经理于善辉先生。</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 xml:space="preserve">公司首席资产配置官黄健斌先生。 </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 xml:space="preserve">首席基金经理过钧先生。 </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 xml:space="preserve">首席投资官兼权益投研一体化总监、境外投资部总经理曾鹏先生。 </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 xml:space="preserve">董事总经理兼权益投资三部总经理、权益投资三部投资总监蔡滨先生。 </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 xml:space="preserve">行业研究部总经理魏立先生。 </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 xml:space="preserve">宏观策略部总经理兼行业研究部研究总监金晟哲先生。 </w:t>
      </w:r>
    </w:p>
    <w:p>
      <w:pPr>
        <w:pStyle w:val="8"/>
        <w:spacing w:before="0" w:beforeAutospacing="0" w:after="0" w:afterAutospacing="0" w:line="360" w:lineRule="auto"/>
        <w:ind w:firstLine="420"/>
        <w:rPr>
          <w:rFonts w:hint="eastAsia"/>
          <w:sz w:val="21"/>
          <w:szCs w:val="21"/>
          <w:lang w:val="en-US" w:eastAsia="zh-CN"/>
        </w:rPr>
      </w:pPr>
      <w:r>
        <w:rPr>
          <w:rFonts w:hint="eastAsia"/>
          <w:sz w:val="21"/>
          <w:szCs w:val="21"/>
          <w:lang w:val="en-US" w:eastAsia="zh-CN"/>
        </w:rPr>
        <w:t xml:space="preserve">指数与量化投资部总经理兼指数与量化投资部投资总监赵云阳先生。  </w:t>
      </w:r>
    </w:p>
    <w:p>
      <w:pPr>
        <w:pStyle w:val="8"/>
        <w:spacing w:before="0" w:beforeAutospacing="0" w:after="0" w:afterAutospacing="0" w:line="360" w:lineRule="auto"/>
        <w:ind w:firstLine="420"/>
        <w:rPr>
          <w:sz w:val="21"/>
          <w:szCs w:val="21"/>
        </w:rPr>
      </w:pPr>
      <w:r>
        <w:rPr>
          <w:rFonts w:hint="eastAsia"/>
          <w:sz w:val="21"/>
          <w:szCs w:val="21"/>
          <w:lang w:val="en-US" w:eastAsia="zh-CN"/>
        </w:rPr>
        <w:t>5、上述人员之间均不存在近亲属关系。</w:t>
      </w:r>
      <w:r>
        <w:rPr>
          <w:rFonts w:hint="eastAsia"/>
          <w:sz w:val="21"/>
          <w:szCs w:val="21"/>
        </w:rPr>
        <w:t xml:space="preserve"> </w:t>
      </w:r>
      <w:bookmarkStart w:id="46" w:name="field_0_managerpersoninfo2_1_end"/>
      <w:bookmarkEnd w:id="46"/>
      <w:r>
        <w:rPr>
          <w:rFonts w:hint="eastAsia"/>
          <w:sz w:val="21"/>
          <w:szCs w:val="21"/>
        </w:rPr>
        <w:t xml:space="preserve">  </w:t>
      </w:r>
    </w:p>
    <w:p>
      <w:pPr>
        <w:pStyle w:val="8"/>
        <w:spacing w:before="0" w:beforeAutospacing="0" w:after="0" w:afterAutospacing="0" w:line="360" w:lineRule="auto"/>
        <w:ind w:firstLine="420"/>
        <w:rPr>
          <w:sz w:val="21"/>
          <w:szCs w:val="21"/>
        </w:rPr>
      </w:pPr>
      <w:bookmarkStart w:id="47" w:name="chapter_level1_5_53_section_4"/>
      <w:bookmarkEnd w:id="47"/>
      <w:r>
        <w:rPr>
          <w:rStyle w:val="12"/>
          <w:rFonts w:hint="eastAsia"/>
          <w:sz w:val="21"/>
          <w:szCs w:val="21"/>
        </w:rPr>
        <w:t>三、基金管理人的职责</w:t>
      </w:r>
    </w:p>
    <w:p>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8"/>
        <w:spacing w:before="0" w:beforeAutospacing="0" w:after="0" w:afterAutospacing="0" w:line="360" w:lineRule="auto"/>
        <w:ind w:firstLine="420"/>
        <w:rPr>
          <w:sz w:val="21"/>
          <w:szCs w:val="21"/>
        </w:rPr>
      </w:pPr>
      <w:r>
        <w:rPr>
          <w:rStyle w:val="12"/>
          <w:rFonts w:hint="eastAsia"/>
          <w:sz w:val="21"/>
          <w:szCs w:val="21"/>
        </w:rPr>
        <w:t>四、基金管理人的承诺</w:t>
      </w:r>
    </w:p>
    <w:p>
      <w:pPr>
        <w:pStyle w:val="8"/>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8"/>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8"/>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8"/>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8"/>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pPr>
        <w:pStyle w:val="8"/>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8"/>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8"/>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8"/>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8"/>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pPr>
        <w:pStyle w:val="8"/>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8"/>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8"/>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8"/>
        <w:spacing w:before="0" w:beforeAutospacing="0" w:after="0" w:afterAutospacing="0" w:line="360" w:lineRule="auto"/>
        <w:ind w:firstLine="420"/>
        <w:rPr>
          <w:sz w:val="21"/>
          <w:szCs w:val="21"/>
        </w:rPr>
      </w:pPr>
      <w:r>
        <w:rPr>
          <w:rStyle w:val="12"/>
          <w:rFonts w:hint="eastAsia"/>
          <w:sz w:val="21"/>
          <w:szCs w:val="21"/>
        </w:rPr>
        <w:t>五、基金经理承诺</w:t>
      </w:r>
    </w:p>
    <w:p>
      <w:pPr>
        <w:pStyle w:val="8"/>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8"/>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pPr>
        <w:pStyle w:val="8"/>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pPr>
        <w:pStyle w:val="8"/>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8"/>
        <w:spacing w:before="0" w:beforeAutospacing="0" w:after="0" w:afterAutospacing="0" w:line="360" w:lineRule="auto"/>
        <w:ind w:firstLine="420"/>
        <w:rPr>
          <w:rStyle w:val="12"/>
          <w:rFonts w:hint="eastAsia" w:ascii="Times New Roman" w:hAnsi="Times New Roman" w:cs="Times New Roman"/>
          <w:sz w:val="21"/>
          <w:szCs w:val="21"/>
        </w:rPr>
      </w:pPr>
      <w:r>
        <w:rPr>
          <w:rStyle w:val="12"/>
          <w:rFonts w:hint="eastAsia" w:ascii="Times New Roman" w:hAnsi="Times New Roman" w:cs="Times New Roman"/>
          <w:sz w:val="21"/>
          <w:szCs w:val="21"/>
        </w:rPr>
        <w:t>六、基金管理人的内部控制制度</w:t>
      </w:r>
    </w:p>
    <w:p>
      <w:pPr>
        <w:pStyle w:val="8"/>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8"/>
        <w:spacing w:before="0" w:beforeAutospacing="0" w:after="0" w:afterAutospacing="0" w:line="360" w:lineRule="auto"/>
        <w:ind w:firstLine="420"/>
        <w:rPr>
          <w:rFonts w:hint="eastAsia"/>
          <w:sz w:val="21"/>
          <w:szCs w:val="21"/>
        </w:rPr>
      </w:pPr>
      <w:r>
        <w:rPr>
          <w:rFonts w:hint="eastAsia"/>
          <w:sz w:val="21"/>
          <w:szCs w:val="21"/>
        </w:rPr>
        <w:t>（1）全面性原则</w:t>
      </w:r>
    </w:p>
    <w:p>
      <w:pPr>
        <w:pStyle w:val="8"/>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8"/>
        <w:spacing w:before="0" w:beforeAutospacing="0" w:after="0" w:afterAutospacing="0" w:line="360" w:lineRule="auto"/>
        <w:ind w:firstLine="420"/>
        <w:rPr>
          <w:rFonts w:hint="eastAsia"/>
          <w:sz w:val="21"/>
          <w:szCs w:val="21"/>
        </w:rPr>
      </w:pPr>
      <w:r>
        <w:rPr>
          <w:rFonts w:hint="eastAsia"/>
          <w:sz w:val="21"/>
          <w:szCs w:val="21"/>
        </w:rPr>
        <w:t>（2）独立性原则</w:t>
      </w:r>
    </w:p>
    <w:p>
      <w:pPr>
        <w:pStyle w:val="8"/>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8"/>
        <w:spacing w:before="0" w:beforeAutospacing="0" w:after="0" w:afterAutospacing="0" w:line="360" w:lineRule="auto"/>
        <w:ind w:firstLine="420"/>
        <w:rPr>
          <w:rFonts w:hint="eastAsia"/>
          <w:sz w:val="21"/>
          <w:szCs w:val="21"/>
        </w:rPr>
      </w:pPr>
      <w:r>
        <w:rPr>
          <w:rFonts w:hint="eastAsia"/>
          <w:sz w:val="21"/>
          <w:szCs w:val="21"/>
        </w:rPr>
        <w:t>（3）相互制约原则</w:t>
      </w:r>
    </w:p>
    <w:p>
      <w:pPr>
        <w:pStyle w:val="8"/>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8"/>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8"/>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8"/>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8"/>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8"/>
        <w:spacing w:before="0" w:beforeAutospacing="0" w:after="0" w:afterAutospacing="0" w:line="360" w:lineRule="auto"/>
        <w:ind w:firstLine="420"/>
        <w:rPr>
          <w:rFonts w:hint="eastAsia"/>
          <w:sz w:val="21"/>
          <w:szCs w:val="21"/>
        </w:rPr>
      </w:pPr>
      <w:r>
        <w:rPr>
          <w:rFonts w:hint="eastAsia"/>
          <w:sz w:val="21"/>
          <w:szCs w:val="21"/>
        </w:rPr>
        <w:t>（1）董事会</w:t>
      </w:r>
    </w:p>
    <w:p>
      <w:pPr>
        <w:pStyle w:val="8"/>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8"/>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8"/>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8"/>
        <w:spacing w:before="0" w:beforeAutospacing="0" w:after="0" w:afterAutospacing="0" w:line="360" w:lineRule="auto"/>
        <w:ind w:firstLine="420"/>
        <w:rPr>
          <w:rFonts w:hint="eastAsia"/>
          <w:sz w:val="21"/>
          <w:szCs w:val="21"/>
        </w:rPr>
      </w:pPr>
      <w:r>
        <w:rPr>
          <w:rFonts w:hint="eastAsia"/>
          <w:sz w:val="21"/>
          <w:szCs w:val="21"/>
        </w:rPr>
        <w:t>（3）督察长</w:t>
      </w:r>
    </w:p>
    <w:p>
      <w:pPr>
        <w:pStyle w:val="8"/>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8"/>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8"/>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8"/>
        <w:spacing w:before="0" w:beforeAutospacing="0" w:after="0" w:afterAutospacing="0" w:line="360" w:lineRule="auto"/>
        <w:ind w:firstLine="420"/>
        <w:rPr>
          <w:rFonts w:hint="eastAsia"/>
          <w:sz w:val="21"/>
          <w:szCs w:val="21"/>
        </w:rPr>
      </w:pPr>
      <w:r>
        <w:rPr>
          <w:rFonts w:hint="eastAsia"/>
          <w:sz w:val="21"/>
          <w:szCs w:val="21"/>
        </w:rPr>
        <w:t>（5）风险管理部</w:t>
      </w:r>
    </w:p>
    <w:p>
      <w:pPr>
        <w:pStyle w:val="8"/>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8"/>
        <w:spacing w:before="0" w:beforeAutospacing="0" w:after="0" w:afterAutospacing="0" w:line="360" w:lineRule="auto"/>
        <w:ind w:firstLine="420"/>
        <w:rPr>
          <w:rFonts w:hint="eastAsia"/>
          <w:sz w:val="21"/>
          <w:szCs w:val="21"/>
        </w:rPr>
      </w:pPr>
      <w:r>
        <w:rPr>
          <w:rFonts w:hint="eastAsia"/>
          <w:sz w:val="21"/>
          <w:szCs w:val="21"/>
        </w:rPr>
        <w:t>（6）业务部门</w:t>
      </w:r>
    </w:p>
    <w:p>
      <w:pPr>
        <w:pStyle w:val="8"/>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8"/>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8"/>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8"/>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8"/>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8"/>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8"/>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8"/>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8"/>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8"/>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8"/>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8"/>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8"/>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8"/>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8"/>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8"/>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8" w:name="_Toc207936392"/>
      <w:bookmarkStart w:id="49" w:name="chapter_level1_6_55"/>
      <w:r>
        <w:rPr>
          <w:rFonts w:hint="eastAsia" w:ascii="宋体" w:hAnsi="宋体" w:eastAsia="宋体"/>
          <w:sz w:val="30"/>
        </w:rPr>
        <w:t>第四部分  基金托管人</w:t>
      </w:r>
      <w:bookmarkEnd w:id="48"/>
      <w:bookmarkEnd w:id="49"/>
    </w:p>
    <w:p>
      <w:pPr>
        <w:pStyle w:val="8"/>
        <w:spacing w:before="0" w:beforeAutospacing="0" w:after="0" w:afterAutospacing="0" w:line="360" w:lineRule="auto"/>
        <w:ind w:firstLine="420"/>
        <w:rPr>
          <w:sz w:val="21"/>
          <w:szCs w:val="21"/>
        </w:rPr>
      </w:pPr>
      <w:bookmarkStart w:id="50" w:name="chapter_level1_6_55_section_1"/>
      <w:bookmarkEnd w:id="50"/>
      <w:bookmarkStart w:id="51" w:name="field_0_trustcompanyinfo_1_start"/>
      <w:bookmarkEnd w:id="51"/>
      <w:r>
        <w:rPr>
          <w:rFonts w:hint="eastAsia"/>
          <w:sz w:val="21"/>
          <w:szCs w:val="21"/>
        </w:rPr>
        <w:t xml:space="preserve">一、基金托管人情况 </w:t>
      </w:r>
    </w:p>
    <w:p>
      <w:pPr>
        <w:pStyle w:val="8"/>
        <w:spacing w:before="0" w:beforeAutospacing="0" w:after="0" w:afterAutospacing="0" w:line="360" w:lineRule="auto"/>
        <w:ind w:firstLine="420"/>
        <w:rPr>
          <w:sz w:val="21"/>
          <w:szCs w:val="21"/>
        </w:rPr>
      </w:pPr>
      <w:r>
        <w:rPr>
          <w:rFonts w:hint="eastAsia"/>
          <w:sz w:val="21"/>
          <w:szCs w:val="21"/>
        </w:rPr>
        <w:t xml:space="preserve">（一）基本情况 </w:t>
      </w:r>
    </w:p>
    <w:p>
      <w:pPr>
        <w:pStyle w:val="8"/>
        <w:spacing w:before="0" w:beforeAutospacing="0" w:after="0" w:afterAutospacing="0" w:line="360" w:lineRule="auto"/>
        <w:ind w:firstLine="420"/>
        <w:rPr>
          <w:sz w:val="21"/>
          <w:szCs w:val="21"/>
        </w:rPr>
      </w:pPr>
      <w:r>
        <w:rPr>
          <w:rFonts w:hint="eastAsia"/>
          <w:sz w:val="21"/>
          <w:szCs w:val="21"/>
        </w:rPr>
        <w:t xml:space="preserve">名称：中国建设银行股份有限公司(简称：中国建设银行) </w:t>
      </w:r>
    </w:p>
    <w:p>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pPr>
        <w:pStyle w:val="8"/>
        <w:spacing w:before="0" w:beforeAutospacing="0" w:after="0" w:afterAutospacing="0" w:line="360" w:lineRule="auto"/>
        <w:ind w:firstLine="420"/>
        <w:rPr>
          <w:sz w:val="21"/>
          <w:szCs w:val="21"/>
        </w:rPr>
      </w:pPr>
      <w:r>
        <w:rPr>
          <w:rFonts w:hint="eastAsia"/>
          <w:sz w:val="21"/>
          <w:szCs w:val="21"/>
        </w:rPr>
        <w:t xml:space="preserve">法定代表人：张金良 </w:t>
      </w:r>
    </w:p>
    <w:p>
      <w:pPr>
        <w:pStyle w:val="8"/>
        <w:spacing w:before="0" w:beforeAutospacing="0" w:after="0" w:afterAutospacing="0" w:line="360" w:lineRule="auto"/>
        <w:ind w:firstLine="420"/>
        <w:rPr>
          <w:sz w:val="21"/>
          <w:szCs w:val="21"/>
        </w:rPr>
      </w:pPr>
      <w:r>
        <w:rPr>
          <w:rFonts w:hint="eastAsia"/>
          <w:sz w:val="21"/>
          <w:szCs w:val="21"/>
        </w:rPr>
        <w:t xml:space="preserve">成立时间：2004年09月17日 </w:t>
      </w:r>
    </w:p>
    <w:p>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pPr>
        <w:pStyle w:val="8"/>
        <w:spacing w:before="0" w:beforeAutospacing="0" w:after="0" w:afterAutospacing="0" w:line="360" w:lineRule="auto"/>
        <w:ind w:firstLine="420"/>
        <w:rPr>
          <w:sz w:val="21"/>
          <w:szCs w:val="21"/>
        </w:rPr>
      </w:pPr>
      <w:r>
        <w:rPr>
          <w:rFonts w:hint="eastAsia"/>
          <w:sz w:val="21"/>
          <w:szCs w:val="21"/>
        </w:rPr>
        <w:t xml:space="preserve">联系人：王小飞 </w:t>
      </w:r>
    </w:p>
    <w:p>
      <w:pPr>
        <w:pStyle w:val="8"/>
        <w:spacing w:before="0" w:beforeAutospacing="0" w:after="0" w:afterAutospacing="0" w:line="360" w:lineRule="auto"/>
        <w:ind w:firstLine="420"/>
        <w:rPr>
          <w:sz w:val="21"/>
          <w:szCs w:val="21"/>
        </w:rPr>
      </w:pPr>
      <w:r>
        <w:rPr>
          <w:rFonts w:hint="eastAsia"/>
          <w:sz w:val="21"/>
          <w:szCs w:val="21"/>
        </w:rPr>
        <w:t xml:space="preserve">联系电话：(021)6063 7103 </w:t>
      </w:r>
    </w:p>
    <w:p>
      <w:pPr>
        <w:pStyle w:val="8"/>
        <w:spacing w:before="0" w:beforeAutospacing="0" w:after="0" w:afterAutospacing="0" w:line="360" w:lineRule="auto"/>
        <w:ind w:firstLine="420"/>
        <w:rPr>
          <w:sz w:val="21"/>
          <w:szCs w:val="21"/>
        </w:rPr>
      </w:pPr>
      <w:r>
        <w:rPr>
          <w:rFonts w:hint="eastAsia"/>
          <w:sz w:val="21"/>
          <w:szCs w:val="21"/>
        </w:rPr>
        <w:t xml:space="preserve">（二）主要人员情况 </w:t>
      </w:r>
    </w:p>
    <w:p>
      <w:pPr>
        <w:pStyle w:val="8"/>
        <w:spacing w:before="0" w:beforeAutospacing="0" w:after="0" w:afterAutospacing="0" w:line="360" w:lineRule="auto"/>
        <w:ind w:firstLine="420"/>
        <w:rPr>
          <w:sz w:val="21"/>
          <w:szCs w:val="21"/>
        </w:rPr>
      </w:pPr>
      <w:r>
        <w:rPr>
          <w:rFonts w:hint="eastAsia"/>
          <w:sz w:val="21"/>
          <w:szCs w:val="21"/>
        </w:rPr>
        <w:t xml:space="preserve">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 </w:t>
      </w:r>
    </w:p>
    <w:p>
      <w:pPr>
        <w:pStyle w:val="8"/>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8"/>
        <w:spacing w:before="0" w:beforeAutospacing="0" w:after="0" w:afterAutospacing="0" w:line="360" w:lineRule="auto"/>
        <w:ind w:firstLine="420"/>
        <w:rPr>
          <w:sz w:val="21"/>
          <w:szCs w:val="21"/>
        </w:rPr>
      </w:pPr>
      <w:r>
        <w:rPr>
          <w:rFonts w:hint="eastAsia"/>
          <w:sz w:val="21"/>
          <w:szCs w:val="21"/>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w:t>
      </w:r>
      <w:bookmarkStart w:id="52" w:name="chapter_level1_6_55_section_1_end"/>
      <w:bookmarkEnd w:id="52"/>
      <w:r>
        <w:rPr>
          <w:rFonts w:hint="eastAsia"/>
          <w:sz w:val="21"/>
          <w:szCs w:val="21"/>
        </w:rPr>
        <w:t xml:space="preserve">管机构（银行）”、《环球金融》“中国最佳次托管人”等奖项。 </w:t>
      </w:r>
      <w:bookmarkStart w:id="53" w:name="field_0_trustcompanyinfo_1_end"/>
      <w:bookmarkEnd w:id="53"/>
      <w:r>
        <w:rPr>
          <w:rFonts w:hint="eastAsia"/>
          <w:sz w:val="21"/>
          <w:szCs w:val="21"/>
        </w:rPr>
        <w:t xml:space="preserve">  </w:t>
      </w:r>
    </w:p>
    <w:p>
      <w:pPr>
        <w:pStyle w:val="8"/>
        <w:spacing w:before="0" w:beforeAutospacing="0" w:after="0" w:afterAutospacing="0" w:line="360" w:lineRule="auto"/>
        <w:ind w:firstLine="420"/>
        <w:rPr>
          <w:sz w:val="21"/>
          <w:szCs w:val="21"/>
        </w:rPr>
      </w:pPr>
      <w:bookmarkStart w:id="54" w:name="chapter_level1_6_55_section_2"/>
      <w:bookmarkEnd w:id="54"/>
      <w:bookmarkStart w:id="55" w:name="field_0_trustcontrollawinfo_1_start"/>
      <w:bookmarkEnd w:id="55"/>
      <w:r>
        <w:rPr>
          <w:rFonts w:hint="eastAsia"/>
          <w:sz w:val="21"/>
          <w:szCs w:val="21"/>
        </w:rPr>
        <w:t xml:space="preserve">二、基金托管人的内部控制制度 </w:t>
      </w:r>
    </w:p>
    <w:p>
      <w:pPr>
        <w:pStyle w:val="8"/>
        <w:spacing w:before="0" w:beforeAutospacing="0" w:after="0" w:afterAutospacing="0" w:line="360" w:lineRule="auto"/>
        <w:ind w:firstLine="420"/>
        <w:rPr>
          <w:sz w:val="21"/>
          <w:szCs w:val="21"/>
        </w:rPr>
      </w:pPr>
      <w:r>
        <w:rPr>
          <w:rFonts w:hint="eastAsia"/>
          <w:sz w:val="21"/>
          <w:szCs w:val="21"/>
        </w:rPr>
        <w:t xml:space="preserve">（一）内部控制目标 </w:t>
      </w:r>
    </w:p>
    <w:p>
      <w:pPr>
        <w:pStyle w:val="8"/>
        <w:spacing w:before="0" w:beforeAutospacing="0" w:after="0" w:afterAutospacing="0" w:line="360" w:lineRule="auto"/>
        <w:ind w:firstLine="420"/>
        <w:rPr>
          <w:sz w:val="21"/>
          <w:szCs w:val="21"/>
        </w:rPr>
      </w:pPr>
      <w:r>
        <w:rPr>
          <w:rFonts w:hint="eastAsia"/>
          <w:sz w:val="21"/>
          <w:szCs w:val="21"/>
        </w:rPr>
        <w:t xml:space="preserve">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 </w:t>
      </w:r>
    </w:p>
    <w:p>
      <w:pPr>
        <w:pStyle w:val="8"/>
        <w:spacing w:before="0" w:beforeAutospacing="0" w:after="0" w:afterAutospacing="0" w:line="360" w:lineRule="auto"/>
        <w:ind w:firstLine="420"/>
        <w:rPr>
          <w:sz w:val="21"/>
          <w:szCs w:val="21"/>
        </w:rPr>
      </w:pPr>
      <w:r>
        <w:rPr>
          <w:rFonts w:hint="eastAsia"/>
          <w:sz w:val="21"/>
          <w:szCs w:val="21"/>
        </w:rPr>
        <w:t xml:space="preserve">（二）内部控制组织结构 </w:t>
      </w:r>
    </w:p>
    <w:p>
      <w:pPr>
        <w:pStyle w:val="8"/>
        <w:spacing w:before="0" w:beforeAutospacing="0" w:after="0" w:afterAutospacing="0" w:line="360" w:lineRule="auto"/>
        <w:ind w:firstLine="420"/>
        <w:rPr>
          <w:sz w:val="21"/>
          <w:szCs w:val="21"/>
        </w:rPr>
      </w:pPr>
      <w:r>
        <w:rPr>
          <w:rFonts w:hint="eastAsia"/>
          <w:sz w:val="21"/>
          <w:szCs w:val="21"/>
        </w:rPr>
        <w:t xml:space="preserve">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 </w:t>
      </w:r>
    </w:p>
    <w:p>
      <w:pPr>
        <w:pStyle w:val="8"/>
        <w:spacing w:before="0" w:beforeAutospacing="0" w:after="0" w:afterAutospacing="0" w:line="360" w:lineRule="auto"/>
        <w:ind w:firstLine="420"/>
        <w:rPr>
          <w:sz w:val="21"/>
          <w:szCs w:val="21"/>
        </w:rPr>
      </w:pPr>
      <w:r>
        <w:rPr>
          <w:rFonts w:hint="eastAsia"/>
          <w:sz w:val="21"/>
          <w:szCs w:val="21"/>
        </w:rPr>
        <w:t xml:space="preserve">（三）内部控制制度及措施 </w:t>
      </w:r>
    </w:p>
    <w:p>
      <w:pPr>
        <w:pStyle w:val="8"/>
        <w:spacing w:before="0" w:beforeAutospacing="0" w:after="0" w:afterAutospacing="0" w:line="360" w:lineRule="auto"/>
        <w:ind w:firstLine="420"/>
        <w:rPr>
          <w:sz w:val="21"/>
          <w:szCs w:val="21"/>
        </w:rPr>
      </w:pPr>
      <w:r>
        <w:rPr>
          <w:rFonts w:hint="eastAsia"/>
          <w:sz w:val="21"/>
          <w:szCs w:val="21"/>
        </w:rPr>
        <w:t xml:space="preserve">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 </w:t>
      </w:r>
    </w:p>
    <w:p>
      <w:pPr>
        <w:pStyle w:val="8"/>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pPr>
        <w:pStyle w:val="8"/>
        <w:spacing w:before="0" w:beforeAutospacing="0" w:after="0" w:afterAutospacing="0" w:line="360" w:lineRule="auto"/>
        <w:ind w:firstLine="420"/>
        <w:rPr>
          <w:sz w:val="21"/>
          <w:szCs w:val="21"/>
        </w:rPr>
      </w:pPr>
      <w:r>
        <w:rPr>
          <w:rFonts w:hint="eastAsia"/>
          <w:sz w:val="21"/>
          <w:szCs w:val="21"/>
        </w:rPr>
        <w:t xml:space="preserve">（一）监督方法 </w:t>
      </w:r>
    </w:p>
    <w:p>
      <w:pPr>
        <w:pStyle w:val="8"/>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 </w:t>
      </w:r>
    </w:p>
    <w:p>
      <w:pPr>
        <w:pStyle w:val="8"/>
        <w:spacing w:before="0" w:beforeAutospacing="0" w:after="0" w:afterAutospacing="0" w:line="360" w:lineRule="auto"/>
        <w:ind w:firstLine="420"/>
        <w:rPr>
          <w:sz w:val="21"/>
          <w:szCs w:val="21"/>
        </w:rPr>
      </w:pPr>
      <w:r>
        <w:rPr>
          <w:rFonts w:hint="eastAsia"/>
          <w:sz w:val="21"/>
          <w:szCs w:val="21"/>
        </w:rPr>
        <w:t xml:space="preserve">（二）监督流程 </w:t>
      </w:r>
    </w:p>
    <w:p>
      <w:pPr>
        <w:pStyle w:val="8"/>
        <w:spacing w:before="0" w:beforeAutospacing="0" w:after="0" w:afterAutospacing="0" w:line="360" w:lineRule="auto"/>
        <w:ind w:firstLine="420"/>
        <w:rPr>
          <w:sz w:val="21"/>
          <w:szCs w:val="21"/>
        </w:rPr>
      </w:pPr>
      <w:r>
        <w:rPr>
          <w:rFonts w:hint="eastAsia"/>
          <w:sz w:val="21"/>
          <w:szCs w:val="21"/>
        </w:rPr>
        <w:t xml:space="preserve">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 </w:t>
      </w:r>
    </w:p>
    <w:p>
      <w:pPr>
        <w:pStyle w:val="8"/>
        <w:spacing w:before="0" w:beforeAutospacing="0" w:after="0" w:afterAutospacing="0" w:line="360" w:lineRule="auto"/>
        <w:ind w:firstLine="420"/>
        <w:rPr>
          <w:sz w:val="21"/>
          <w:szCs w:val="21"/>
        </w:rPr>
      </w:pPr>
      <w:r>
        <w:rPr>
          <w:rFonts w:hint="eastAsia"/>
          <w:sz w:val="21"/>
          <w:szCs w:val="21"/>
        </w:rPr>
        <w:t xml:space="preserve">2.收到基金管理人的划款指令后，对指令要素等内容进行核查。 </w:t>
      </w:r>
    </w:p>
    <w:p>
      <w:pPr>
        <w:pStyle w:val="8"/>
        <w:spacing w:before="0" w:beforeAutospacing="0" w:after="0" w:afterAutospacing="0" w:line="360" w:lineRule="auto"/>
        <w:ind w:firstLine="420"/>
        <w:rPr>
          <w:sz w:val="21"/>
          <w:szCs w:val="21"/>
        </w:rPr>
      </w:pPr>
      <w:r>
        <w:rPr>
          <w:rFonts w:hint="eastAsia"/>
          <w:sz w:val="21"/>
          <w:szCs w:val="21"/>
        </w:rPr>
        <w:t>3.通过技术或非技术手段发现基金涉嫌违规交易，电话或书面要求基金管理人进行解释</w:t>
      </w:r>
      <w:bookmarkStart w:id="56" w:name="chapter_level1_6_55_section_2_end"/>
      <w:bookmarkEnd w:id="56"/>
      <w:r>
        <w:rPr>
          <w:rFonts w:hint="eastAsia"/>
          <w:sz w:val="21"/>
          <w:szCs w:val="21"/>
        </w:rPr>
        <w:t xml:space="preserve">或举证，如有必要将及时报告中国证监会。 </w:t>
      </w:r>
      <w:bookmarkStart w:id="57" w:name="field_0_trustcontrollawinfo_1_end"/>
      <w:bookmarkEnd w:id="5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8" w:name="_Toc207936393"/>
      <w:bookmarkStart w:id="59" w:name="chapter_level1_7_56"/>
      <w:r>
        <w:rPr>
          <w:rFonts w:hint="eastAsia" w:ascii="宋体" w:hAnsi="宋体" w:eastAsia="宋体"/>
          <w:sz w:val="30"/>
        </w:rPr>
        <w:t>第五部分  相关服务机构</w:t>
      </w:r>
      <w:bookmarkEnd w:id="58"/>
      <w:bookmarkEnd w:id="59"/>
    </w:p>
    <w:p>
      <w:pPr>
        <w:pStyle w:val="8"/>
        <w:spacing w:before="0" w:beforeAutospacing="0" w:after="0" w:afterAutospacing="0" w:line="360" w:lineRule="auto"/>
        <w:ind w:firstLine="420"/>
        <w:rPr>
          <w:sz w:val="21"/>
          <w:szCs w:val="21"/>
        </w:rPr>
      </w:pPr>
      <w:bookmarkStart w:id="60" w:name="chapter_level1_7_56_section_1"/>
      <w:bookmarkEnd w:id="60"/>
      <w:r>
        <w:rPr>
          <w:rFonts w:hint="eastAsia"/>
          <w:b/>
          <w:bCs/>
          <w:sz w:val="21"/>
          <w:szCs w:val="21"/>
        </w:rPr>
        <w:t>一、基金份额销售机构</w:t>
      </w:r>
    </w:p>
    <w:p>
      <w:pPr>
        <w:pStyle w:val="8"/>
        <w:spacing w:before="0" w:beforeAutospacing="0" w:after="0" w:afterAutospacing="0" w:line="360" w:lineRule="auto"/>
        <w:ind w:firstLine="420"/>
        <w:rPr>
          <w:sz w:val="21"/>
          <w:szCs w:val="21"/>
        </w:rPr>
      </w:pPr>
      <w:r>
        <w:rPr>
          <w:rFonts w:hint="eastAsia"/>
          <w:sz w:val="21"/>
          <w:szCs w:val="21"/>
        </w:rPr>
        <w:t xml:space="preserve">1、直销机构 </w:t>
      </w:r>
    </w:p>
    <w:p>
      <w:pPr>
        <w:pStyle w:val="8"/>
        <w:spacing w:before="0" w:beforeAutospacing="0" w:after="0" w:afterAutospacing="0" w:line="360" w:lineRule="auto"/>
        <w:ind w:firstLine="420"/>
        <w:rPr>
          <w:sz w:val="21"/>
          <w:szCs w:val="21"/>
        </w:rPr>
      </w:pPr>
      <w:bookmarkStart w:id="61" w:name="field_0_marketcompanyinfo_1_start"/>
      <w:bookmarkEnd w:id="61"/>
      <w:r>
        <w:rPr>
          <w:rFonts w:hint="eastAsia"/>
          <w:sz w:val="21"/>
          <w:szCs w:val="21"/>
        </w:rPr>
        <w:t xml:space="preserve">名称：博时基金管理有限公司北京直销中心 </w:t>
      </w:r>
    </w:p>
    <w:p>
      <w:pPr>
        <w:pStyle w:val="8"/>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8"/>
        <w:spacing w:before="0" w:beforeAutospacing="0" w:after="0" w:afterAutospacing="0" w:line="360" w:lineRule="auto"/>
        <w:ind w:firstLine="420"/>
        <w:rPr>
          <w:sz w:val="21"/>
          <w:szCs w:val="21"/>
        </w:rPr>
      </w:pPr>
      <w:r>
        <w:rPr>
          <w:rFonts w:hint="eastAsia"/>
          <w:sz w:val="21"/>
          <w:szCs w:val="21"/>
        </w:rPr>
        <w:t xml:space="preserve">电话：010-65187055 </w:t>
      </w:r>
    </w:p>
    <w:p>
      <w:pPr>
        <w:pStyle w:val="8"/>
        <w:spacing w:before="0" w:beforeAutospacing="0" w:after="0" w:afterAutospacing="0" w:line="360" w:lineRule="auto"/>
        <w:ind w:firstLine="420"/>
        <w:rPr>
          <w:sz w:val="21"/>
          <w:szCs w:val="21"/>
        </w:rPr>
      </w:pPr>
      <w:r>
        <w:rPr>
          <w:rFonts w:hint="eastAsia"/>
          <w:sz w:val="21"/>
          <w:szCs w:val="21"/>
        </w:rPr>
        <w:t xml:space="preserve">传真：010-65187032 </w:t>
      </w:r>
    </w:p>
    <w:p>
      <w:pPr>
        <w:pStyle w:val="8"/>
        <w:spacing w:before="0" w:beforeAutospacing="0" w:after="0" w:afterAutospacing="0" w:line="360" w:lineRule="auto"/>
        <w:ind w:firstLine="420"/>
        <w:rPr>
          <w:sz w:val="21"/>
          <w:szCs w:val="21"/>
        </w:rPr>
      </w:pPr>
      <w:r>
        <w:rPr>
          <w:rFonts w:hint="eastAsia"/>
          <w:sz w:val="21"/>
          <w:szCs w:val="21"/>
        </w:rPr>
        <w:t xml:space="preserve">联系人：韩明亮 </w:t>
      </w:r>
    </w:p>
    <w:p>
      <w:pPr>
        <w:pStyle w:val="8"/>
        <w:spacing w:before="0" w:beforeAutospacing="0" w:after="0" w:afterAutospacing="0" w:line="360" w:lineRule="auto"/>
        <w:ind w:firstLine="420"/>
        <w:rPr>
          <w:sz w:val="21"/>
          <w:szCs w:val="21"/>
        </w:rPr>
      </w:pPr>
      <w:bookmarkStart w:id="62" w:name="chapter_level1_7_56_section_1_end"/>
      <w:bookmarkEnd w:id="62"/>
      <w:r>
        <w:rPr>
          <w:rFonts w:hint="eastAsia"/>
          <w:sz w:val="21"/>
          <w:szCs w:val="21"/>
        </w:rPr>
        <w:t xml:space="preserve">博时一线通：95105568（免长途话费） </w:t>
      </w:r>
      <w:bookmarkStart w:id="63" w:name="field_0_marketcompanyinfo_1_end"/>
      <w:bookmarkEnd w:id="63"/>
      <w:r>
        <w:rPr>
          <w:rFonts w:hint="eastAsia"/>
          <w:sz w:val="21"/>
          <w:szCs w:val="21"/>
        </w:rPr>
        <w:t xml:space="preserve">  </w:t>
      </w:r>
    </w:p>
    <w:p>
      <w:pPr>
        <w:pStyle w:val="8"/>
        <w:spacing w:before="0" w:beforeAutospacing="0" w:after="0" w:afterAutospacing="0" w:line="360" w:lineRule="auto"/>
        <w:ind w:firstLine="420"/>
        <w:rPr>
          <w:sz w:val="21"/>
          <w:szCs w:val="21"/>
        </w:rPr>
      </w:pPr>
      <w:bookmarkStart w:id="64" w:name="chapter_level1_7_56_section_2"/>
      <w:bookmarkEnd w:id="64"/>
      <w:r>
        <w:rPr>
          <w:rFonts w:hint="eastAsia"/>
          <w:sz w:val="21"/>
          <w:szCs w:val="21"/>
        </w:rPr>
        <w:t xml:space="preserve">2、代销机构 </w:t>
      </w:r>
    </w:p>
    <w:p>
      <w:pPr>
        <w:pStyle w:val="8"/>
        <w:spacing w:before="0" w:beforeAutospacing="0" w:after="0" w:afterAutospacing="0" w:line="360" w:lineRule="auto"/>
        <w:ind w:firstLine="420"/>
        <w:rPr>
          <w:sz w:val="21"/>
          <w:szCs w:val="21"/>
        </w:rPr>
      </w:pPr>
      <w:bookmarkStart w:id="65" w:name="field_0_allproxysaletables_1_start"/>
      <w:bookmarkEnd w:id="65"/>
      <w:r>
        <w:rPr>
          <w:rFonts w:hint="eastAsia"/>
          <w:b/>
          <w:bCs/>
          <w:sz w:val="21"/>
          <w:szCs w:val="21"/>
        </w:rPr>
        <w:t>(1)晋商银行股份有限公司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阎俊生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董嘉文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95105588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http://www.jshbank.com </w:t>
            </w:r>
          </w:p>
        </w:tc>
      </w:tr>
    </w:tbl>
    <w:p>
      <w:pPr>
        <w:pStyle w:val="8"/>
        <w:spacing w:before="0" w:beforeAutospacing="0" w:after="0" w:afterAutospacing="0" w:line="360" w:lineRule="auto"/>
        <w:ind w:firstLine="420"/>
        <w:rPr>
          <w:sz w:val="21"/>
          <w:szCs w:val="21"/>
        </w:rPr>
      </w:pPr>
      <w:r>
        <w:rPr>
          <w:rFonts w:hint="eastAsia"/>
          <w:b/>
          <w:bCs/>
          <w:sz w:val="21"/>
          <w:szCs w:val="21"/>
        </w:rPr>
        <w:t>(2)广东南海农村商业银行股份有限公司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佛山市南海区桂城街道南海大道北26号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李宜心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郭顺子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0757-86266566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0757-86250627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96138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www.nanhaibank.com </w:t>
            </w:r>
          </w:p>
        </w:tc>
      </w:tr>
    </w:tbl>
    <w:p>
      <w:pPr>
        <w:pStyle w:val="8"/>
        <w:spacing w:before="0" w:beforeAutospacing="0" w:after="0" w:afterAutospacing="0" w:line="360" w:lineRule="auto"/>
        <w:ind w:firstLine="420"/>
        <w:rPr>
          <w:sz w:val="21"/>
          <w:szCs w:val="21"/>
        </w:rPr>
      </w:pPr>
      <w:r>
        <w:rPr>
          <w:rFonts w:hint="eastAsia"/>
          <w:b/>
          <w:bCs/>
          <w:sz w:val="21"/>
          <w:szCs w:val="21"/>
        </w:rPr>
        <w:t>(3)深圳市新兰德证券投资咨询有限公司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深圳市福田区梅林街道梅都社区中康路136号深圳新一代产业园2栋3703-A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4000661199-2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www.xinlande.com.cn </w:t>
            </w:r>
          </w:p>
        </w:tc>
      </w:tr>
    </w:tbl>
    <w:p>
      <w:pPr>
        <w:pStyle w:val="8"/>
        <w:spacing w:before="0" w:beforeAutospacing="0" w:after="0" w:afterAutospacing="0" w:line="360" w:lineRule="auto"/>
        <w:ind w:firstLine="420"/>
        <w:rPr>
          <w:sz w:val="21"/>
          <w:szCs w:val="21"/>
        </w:rPr>
      </w:pPr>
      <w:r>
        <w:rPr>
          <w:rFonts w:hint="eastAsia"/>
          <w:b/>
          <w:bCs/>
          <w:sz w:val="21"/>
          <w:szCs w:val="21"/>
        </w:rPr>
        <w:t>(4)和讯信息科技有限公司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http://Licaike.hexun.com </w:t>
            </w:r>
          </w:p>
        </w:tc>
      </w:tr>
    </w:tbl>
    <w:p>
      <w:pPr>
        <w:pStyle w:val="8"/>
        <w:spacing w:before="0" w:beforeAutospacing="0" w:after="0" w:afterAutospacing="0" w:line="360" w:lineRule="auto"/>
        <w:ind w:firstLine="420"/>
        <w:rPr>
          <w:sz w:val="21"/>
          <w:szCs w:val="21"/>
        </w:rPr>
      </w:pPr>
      <w:r>
        <w:rPr>
          <w:rFonts w:hint="eastAsia"/>
          <w:b/>
          <w:bCs/>
          <w:sz w:val="21"/>
          <w:szCs w:val="21"/>
        </w:rPr>
        <w:t>(5)贵州省贵文文化基金销售有限公司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贵州省贵阳市南明区龙洞堡电子商务港太升国际A栋2单元5层17号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贵州省贵阳市龙洞堡兴业西路CCDI版权云工作基地 二楼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17601206766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0851-85407888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https://www.gwcaifu.com/ </w:t>
            </w:r>
          </w:p>
        </w:tc>
      </w:tr>
    </w:tbl>
    <w:p>
      <w:pPr>
        <w:pStyle w:val="8"/>
        <w:spacing w:before="0" w:beforeAutospacing="0" w:after="0" w:afterAutospacing="0" w:line="360" w:lineRule="auto"/>
        <w:ind w:firstLine="420"/>
        <w:rPr>
          <w:sz w:val="21"/>
          <w:szCs w:val="21"/>
        </w:rPr>
      </w:pPr>
      <w:r>
        <w:rPr>
          <w:rFonts w:hint="eastAsia"/>
          <w:b/>
          <w:bCs/>
          <w:sz w:val="21"/>
          <w:szCs w:val="21"/>
        </w:rPr>
        <w:t>(6)博时财富基金销售有限公司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www.boserawealth.com </w:t>
            </w:r>
          </w:p>
        </w:tc>
      </w:tr>
    </w:tbl>
    <w:p>
      <w:pPr>
        <w:pStyle w:val="8"/>
        <w:spacing w:before="0" w:beforeAutospacing="0" w:after="0" w:afterAutospacing="0" w:line="360" w:lineRule="auto"/>
        <w:ind w:firstLine="420"/>
        <w:rPr>
          <w:sz w:val="21"/>
          <w:szCs w:val="21"/>
        </w:rPr>
      </w:pPr>
      <w:r>
        <w:rPr>
          <w:rFonts w:hint="eastAsia"/>
          <w:b/>
          <w:bCs/>
          <w:sz w:val="21"/>
          <w:szCs w:val="21"/>
        </w:rPr>
        <w:t>(7)诺亚正行基金销售有限公司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http://www.noah-fund.com </w:t>
            </w:r>
          </w:p>
        </w:tc>
      </w:tr>
    </w:tbl>
    <w:p>
      <w:pPr>
        <w:pStyle w:val="8"/>
        <w:spacing w:before="0" w:beforeAutospacing="0" w:after="0" w:afterAutospacing="0" w:line="360" w:lineRule="auto"/>
        <w:ind w:firstLine="420"/>
        <w:rPr>
          <w:sz w:val="21"/>
          <w:szCs w:val="21"/>
        </w:rPr>
      </w:pPr>
      <w:r>
        <w:rPr>
          <w:rFonts w:hint="eastAsia"/>
          <w:b/>
          <w:bCs/>
          <w:sz w:val="21"/>
          <w:szCs w:val="21"/>
        </w:rPr>
        <w:t>(8)深圳众禄基金销售股份有限公司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https://www.zlfund.cn/ </w:t>
            </w:r>
          </w:p>
        </w:tc>
      </w:tr>
    </w:tbl>
    <w:p>
      <w:pPr>
        <w:pStyle w:val="8"/>
        <w:spacing w:before="0" w:beforeAutospacing="0" w:after="0" w:afterAutospacing="0" w:line="360" w:lineRule="auto"/>
        <w:ind w:firstLine="420"/>
        <w:rPr>
          <w:sz w:val="21"/>
          <w:szCs w:val="21"/>
        </w:rPr>
      </w:pPr>
      <w:r>
        <w:rPr>
          <w:rFonts w:hint="eastAsia"/>
          <w:b/>
          <w:bCs/>
          <w:sz w:val="21"/>
          <w:szCs w:val="21"/>
        </w:rPr>
        <w:t>(9)上海天天基金销售有限公司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http://www.1234567.com.cn </w:t>
            </w:r>
          </w:p>
        </w:tc>
      </w:tr>
    </w:tbl>
    <w:p>
      <w:pPr>
        <w:pStyle w:val="8"/>
        <w:spacing w:before="0" w:beforeAutospacing="0" w:after="0" w:afterAutospacing="0" w:line="360" w:lineRule="auto"/>
        <w:ind w:firstLine="420"/>
        <w:rPr>
          <w:sz w:val="21"/>
          <w:szCs w:val="21"/>
        </w:rPr>
      </w:pPr>
      <w:r>
        <w:rPr>
          <w:rFonts w:hint="eastAsia"/>
          <w:b/>
          <w:bCs/>
          <w:sz w:val="21"/>
          <w:szCs w:val="21"/>
        </w:rPr>
        <w:t>(10)上海好买基金销售有限公司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http://www.howbuy.com </w:t>
            </w:r>
          </w:p>
        </w:tc>
      </w:tr>
    </w:tbl>
    <w:p>
      <w:pPr>
        <w:pStyle w:val="8"/>
        <w:spacing w:before="0" w:beforeAutospacing="0" w:after="0" w:afterAutospacing="0" w:line="360" w:lineRule="auto"/>
        <w:ind w:firstLine="420"/>
        <w:rPr>
          <w:sz w:val="21"/>
          <w:szCs w:val="21"/>
        </w:rPr>
      </w:pPr>
      <w:r>
        <w:rPr>
          <w:rFonts w:hint="eastAsia"/>
          <w:b/>
          <w:bCs/>
          <w:sz w:val="21"/>
          <w:szCs w:val="21"/>
        </w:rPr>
        <w:t>(11)蚂蚁（杭州）基金销售有限公司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http://www.fund123.cn </w:t>
            </w:r>
          </w:p>
        </w:tc>
      </w:tr>
    </w:tbl>
    <w:p>
      <w:pPr>
        <w:pStyle w:val="8"/>
        <w:spacing w:before="0" w:beforeAutospacing="0" w:after="0" w:afterAutospacing="0" w:line="360" w:lineRule="auto"/>
        <w:ind w:firstLine="420"/>
        <w:rPr>
          <w:sz w:val="21"/>
          <w:szCs w:val="21"/>
        </w:rPr>
      </w:pPr>
      <w:r>
        <w:rPr>
          <w:rFonts w:hint="eastAsia"/>
          <w:b/>
          <w:bCs/>
          <w:sz w:val="21"/>
          <w:szCs w:val="21"/>
        </w:rPr>
        <w:t>(12)上海长量基金销售有限公司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上海市浦东新区高翔路526号2幢220室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上海市浦东新区东方路1267号11层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张跃伟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敖玲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021-58788678-8201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021—58787698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400-820-2899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http://www.erichfund.com </w:t>
            </w:r>
          </w:p>
        </w:tc>
      </w:tr>
    </w:tbl>
    <w:p>
      <w:pPr>
        <w:pStyle w:val="8"/>
        <w:spacing w:before="0" w:beforeAutospacing="0" w:after="0" w:afterAutospacing="0" w:line="360" w:lineRule="auto"/>
        <w:ind w:firstLine="420"/>
        <w:rPr>
          <w:sz w:val="21"/>
          <w:szCs w:val="21"/>
        </w:rPr>
      </w:pPr>
      <w:r>
        <w:rPr>
          <w:rFonts w:hint="eastAsia"/>
          <w:b/>
          <w:bCs/>
          <w:sz w:val="21"/>
          <w:szCs w:val="21"/>
        </w:rPr>
        <w:t>(13)浙江同花顺基金销售有限公司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www.5ifund.com </w:t>
            </w:r>
          </w:p>
        </w:tc>
      </w:tr>
    </w:tbl>
    <w:p>
      <w:pPr>
        <w:pStyle w:val="8"/>
        <w:spacing w:before="0" w:beforeAutospacing="0" w:after="0" w:afterAutospacing="0" w:line="360" w:lineRule="auto"/>
        <w:ind w:firstLine="420"/>
        <w:rPr>
          <w:sz w:val="21"/>
          <w:szCs w:val="21"/>
        </w:rPr>
      </w:pPr>
      <w:r>
        <w:rPr>
          <w:rFonts w:hint="eastAsia"/>
          <w:b/>
          <w:bCs/>
          <w:sz w:val="21"/>
          <w:szCs w:val="21"/>
        </w:rPr>
        <w:t>(14)上海利得基金销售有限公司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http://a.leadfund.com.cn/ </w:t>
            </w:r>
          </w:p>
        </w:tc>
      </w:tr>
    </w:tbl>
    <w:p>
      <w:pPr>
        <w:pStyle w:val="8"/>
        <w:spacing w:before="0" w:beforeAutospacing="0" w:after="0" w:afterAutospacing="0" w:line="360" w:lineRule="auto"/>
        <w:ind w:firstLine="420"/>
        <w:rPr>
          <w:sz w:val="21"/>
          <w:szCs w:val="21"/>
        </w:rPr>
      </w:pPr>
      <w:r>
        <w:rPr>
          <w:rFonts w:hint="eastAsia"/>
          <w:b/>
          <w:bCs/>
          <w:sz w:val="21"/>
          <w:szCs w:val="21"/>
        </w:rPr>
        <w:t>(15)嘉实财富管理有限公司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www.harvestwm.cn </w:t>
            </w:r>
          </w:p>
        </w:tc>
      </w:tr>
    </w:tbl>
    <w:p>
      <w:pPr>
        <w:pStyle w:val="8"/>
        <w:spacing w:before="0" w:beforeAutospacing="0" w:after="0" w:afterAutospacing="0" w:line="360" w:lineRule="auto"/>
        <w:ind w:firstLine="420"/>
        <w:rPr>
          <w:sz w:val="21"/>
          <w:szCs w:val="21"/>
        </w:rPr>
      </w:pPr>
      <w:r>
        <w:rPr>
          <w:rFonts w:hint="eastAsia"/>
          <w:b/>
          <w:bCs/>
          <w:sz w:val="21"/>
          <w:szCs w:val="21"/>
        </w:rPr>
        <w:t>(16)深圳腾元基金销售有限公司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深圳市福田区金田路2028号卓越世纪中心1号楼1806-1808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曾革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鄢萌莎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0755-33376922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0755-33065516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400-990-8600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www.tenyuanfund.com </w:t>
            </w:r>
          </w:p>
        </w:tc>
      </w:tr>
    </w:tbl>
    <w:p>
      <w:pPr>
        <w:pStyle w:val="8"/>
        <w:spacing w:before="0" w:beforeAutospacing="0" w:after="0" w:afterAutospacing="0" w:line="360" w:lineRule="auto"/>
        <w:ind w:firstLine="420"/>
        <w:rPr>
          <w:sz w:val="21"/>
          <w:szCs w:val="21"/>
        </w:rPr>
      </w:pPr>
      <w:r>
        <w:rPr>
          <w:rFonts w:hint="eastAsia"/>
          <w:b/>
          <w:bCs/>
          <w:sz w:val="21"/>
          <w:szCs w:val="21"/>
        </w:rPr>
        <w:t>(17)华源证券股份有限公司（鑫理财）</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www.huayuanstock.com </w:t>
            </w:r>
          </w:p>
        </w:tc>
      </w:tr>
    </w:tbl>
    <w:p>
      <w:pPr>
        <w:pStyle w:val="8"/>
        <w:spacing w:before="0" w:beforeAutospacing="0" w:after="0" w:afterAutospacing="0" w:line="360" w:lineRule="auto"/>
        <w:ind w:firstLine="420"/>
        <w:rPr>
          <w:sz w:val="21"/>
          <w:szCs w:val="21"/>
        </w:rPr>
      </w:pPr>
      <w:r>
        <w:rPr>
          <w:rFonts w:hint="eastAsia"/>
          <w:b/>
          <w:bCs/>
          <w:sz w:val="21"/>
          <w:szCs w:val="21"/>
        </w:rPr>
        <w:t>(18)北京汇成基金销售有限公司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北京市西城区宣武门外大街甲1号4层401-2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王伟刚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丁向坤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010-56282140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010-62680827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010-63158805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www.hcfunds.com </w:t>
            </w:r>
          </w:p>
        </w:tc>
      </w:tr>
    </w:tbl>
    <w:p>
      <w:pPr>
        <w:pStyle w:val="8"/>
        <w:spacing w:before="0" w:beforeAutospacing="0" w:after="0" w:afterAutospacing="0" w:line="360" w:lineRule="auto"/>
        <w:ind w:firstLine="420"/>
        <w:rPr>
          <w:sz w:val="21"/>
          <w:szCs w:val="21"/>
        </w:rPr>
      </w:pPr>
      <w:r>
        <w:rPr>
          <w:rFonts w:hint="eastAsia"/>
          <w:b/>
          <w:bCs/>
          <w:sz w:val="21"/>
          <w:szCs w:val="21"/>
        </w:rPr>
        <w:t>(19)海银基金销售有限公司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中国（上海）自由贸易试验区银城中路8号401室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上海市浦东新区银城中路8号4楼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孙亚超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021-60206991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021-80133413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400-808-1016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www.fundhaiyin.com </w:t>
            </w:r>
          </w:p>
        </w:tc>
      </w:tr>
    </w:tbl>
    <w:p>
      <w:pPr>
        <w:pStyle w:val="8"/>
        <w:spacing w:before="0" w:beforeAutospacing="0" w:after="0" w:afterAutospacing="0" w:line="360" w:lineRule="auto"/>
        <w:ind w:firstLine="420"/>
        <w:rPr>
          <w:sz w:val="21"/>
          <w:szCs w:val="21"/>
        </w:rPr>
      </w:pPr>
      <w:r>
        <w:rPr>
          <w:rFonts w:hint="eastAsia"/>
          <w:b/>
          <w:bCs/>
          <w:sz w:val="21"/>
          <w:szCs w:val="21"/>
        </w:rPr>
        <w:t>(20)北京新浪仓石基金销售有限公司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www.xincai.com </w:t>
            </w:r>
          </w:p>
        </w:tc>
      </w:tr>
    </w:tbl>
    <w:p>
      <w:pPr>
        <w:pStyle w:val="8"/>
        <w:spacing w:before="0" w:beforeAutospacing="0" w:after="0" w:afterAutospacing="0" w:line="360" w:lineRule="auto"/>
        <w:ind w:firstLine="420"/>
        <w:rPr>
          <w:sz w:val="21"/>
          <w:szCs w:val="21"/>
        </w:rPr>
      </w:pPr>
      <w:r>
        <w:rPr>
          <w:rFonts w:hint="eastAsia"/>
          <w:b/>
          <w:bCs/>
          <w:sz w:val="21"/>
          <w:szCs w:val="21"/>
        </w:rPr>
        <w:t>(21)上海万得基金销售有限公司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www.520fund.com.cn </w:t>
            </w:r>
          </w:p>
        </w:tc>
      </w:tr>
    </w:tbl>
    <w:p>
      <w:pPr>
        <w:pStyle w:val="8"/>
        <w:spacing w:before="0" w:beforeAutospacing="0" w:after="0" w:afterAutospacing="0" w:line="360" w:lineRule="auto"/>
        <w:ind w:firstLine="420"/>
        <w:rPr>
          <w:sz w:val="21"/>
          <w:szCs w:val="21"/>
        </w:rPr>
      </w:pPr>
      <w:r>
        <w:rPr>
          <w:rFonts w:hint="eastAsia"/>
          <w:b/>
          <w:bCs/>
          <w:sz w:val="21"/>
          <w:szCs w:val="21"/>
        </w:rPr>
        <w:t>(22)上海基煜基金销售有限公司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www.jiyufund.com.cn </w:t>
            </w:r>
          </w:p>
        </w:tc>
      </w:tr>
    </w:tbl>
    <w:p>
      <w:pPr>
        <w:pStyle w:val="8"/>
        <w:spacing w:before="0" w:beforeAutospacing="0" w:after="0" w:afterAutospacing="0" w:line="360" w:lineRule="auto"/>
        <w:ind w:firstLine="420"/>
        <w:rPr>
          <w:sz w:val="21"/>
          <w:szCs w:val="21"/>
        </w:rPr>
      </w:pPr>
      <w:r>
        <w:rPr>
          <w:rFonts w:hint="eastAsia"/>
          <w:b/>
          <w:bCs/>
          <w:sz w:val="21"/>
          <w:szCs w:val="21"/>
        </w:rPr>
        <w:t>(23)上海凯石财富基金销售有限公司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上海市黄浦区西藏南路765号602-115室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上海市黄浦区延安东路1号凯石大厦四楼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陈继武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李晓明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021-63333319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021-63332523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400-643-3389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www.vstonewealth.com </w:t>
            </w:r>
          </w:p>
        </w:tc>
      </w:tr>
    </w:tbl>
    <w:p>
      <w:pPr>
        <w:pStyle w:val="8"/>
        <w:spacing w:before="0" w:beforeAutospacing="0" w:after="0" w:afterAutospacing="0" w:line="360" w:lineRule="auto"/>
        <w:ind w:firstLine="420"/>
        <w:rPr>
          <w:sz w:val="21"/>
          <w:szCs w:val="21"/>
        </w:rPr>
      </w:pPr>
      <w:r>
        <w:rPr>
          <w:rFonts w:hint="eastAsia"/>
          <w:b/>
          <w:bCs/>
          <w:sz w:val="21"/>
          <w:szCs w:val="21"/>
        </w:rPr>
        <w:t>(24)深圳富济基金销售有限公司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www.fujifund.cn </w:t>
            </w:r>
          </w:p>
        </w:tc>
      </w:tr>
    </w:tbl>
    <w:p>
      <w:pPr>
        <w:pStyle w:val="8"/>
        <w:spacing w:before="0" w:beforeAutospacing="0" w:after="0" w:afterAutospacing="0" w:line="360" w:lineRule="auto"/>
        <w:ind w:firstLine="420"/>
        <w:rPr>
          <w:sz w:val="21"/>
          <w:szCs w:val="21"/>
        </w:rPr>
      </w:pPr>
      <w:r>
        <w:rPr>
          <w:rFonts w:hint="eastAsia"/>
          <w:b/>
          <w:bCs/>
          <w:sz w:val="21"/>
          <w:szCs w:val="21"/>
        </w:rPr>
        <w:t>(25)上海陆金所基金销售有限公司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www.lufunds.com </w:t>
            </w:r>
          </w:p>
        </w:tc>
      </w:tr>
    </w:tbl>
    <w:p>
      <w:pPr>
        <w:pStyle w:val="8"/>
        <w:spacing w:before="0" w:beforeAutospacing="0" w:after="0" w:afterAutospacing="0" w:line="360" w:lineRule="auto"/>
        <w:ind w:firstLine="420"/>
        <w:rPr>
          <w:sz w:val="21"/>
          <w:szCs w:val="21"/>
        </w:rPr>
      </w:pPr>
      <w:r>
        <w:rPr>
          <w:rFonts w:hint="eastAsia"/>
          <w:b/>
          <w:bCs/>
          <w:sz w:val="21"/>
          <w:szCs w:val="21"/>
        </w:rPr>
        <w:t>(26)珠海盈米基金销售有限公司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www.yingmi.cn </w:t>
            </w:r>
          </w:p>
        </w:tc>
      </w:tr>
    </w:tbl>
    <w:p>
      <w:pPr>
        <w:pStyle w:val="8"/>
        <w:spacing w:before="0" w:beforeAutospacing="0" w:after="0" w:afterAutospacing="0" w:line="360" w:lineRule="auto"/>
        <w:ind w:firstLine="420"/>
        <w:rPr>
          <w:sz w:val="21"/>
          <w:szCs w:val="21"/>
        </w:rPr>
      </w:pPr>
      <w:r>
        <w:rPr>
          <w:rFonts w:hint="eastAsia"/>
          <w:b/>
          <w:bCs/>
          <w:sz w:val="21"/>
          <w:szCs w:val="21"/>
        </w:rPr>
        <w:t>(27)和耕传承基金销售有限公司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www.hgccpb.com </w:t>
            </w:r>
          </w:p>
        </w:tc>
      </w:tr>
    </w:tbl>
    <w:p>
      <w:pPr>
        <w:pStyle w:val="8"/>
        <w:spacing w:before="0" w:beforeAutospacing="0" w:after="0" w:afterAutospacing="0" w:line="360" w:lineRule="auto"/>
        <w:ind w:firstLine="420"/>
        <w:rPr>
          <w:sz w:val="21"/>
          <w:szCs w:val="21"/>
        </w:rPr>
      </w:pPr>
      <w:r>
        <w:rPr>
          <w:rFonts w:hint="eastAsia"/>
          <w:b/>
          <w:bCs/>
          <w:sz w:val="21"/>
          <w:szCs w:val="21"/>
        </w:rPr>
        <w:t>(28)京东肯特瑞基金销售有限公司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http://jr.jd.com/ </w:t>
            </w:r>
          </w:p>
        </w:tc>
      </w:tr>
    </w:tbl>
    <w:p>
      <w:pPr>
        <w:pStyle w:val="8"/>
        <w:spacing w:before="0" w:beforeAutospacing="0" w:after="0" w:afterAutospacing="0" w:line="360" w:lineRule="auto"/>
        <w:ind w:firstLine="420"/>
        <w:rPr>
          <w:sz w:val="21"/>
          <w:szCs w:val="21"/>
        </w:rPr>
      </w:pPr>
      <w:r>
        <w:rPr>
          <w:rFonts w:hint="eastAsia"/>
          <w:b/>
          <w:bCs/>
          <w:sz w:val="21"/>
          <w:szCs w:val="21"/>
        </w:rPr>
        <w:t>(29)大连网金基金销售有限公司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辽宁省大连市沙河口区体坛路22号2层202室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卜勇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0411-39027800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0411-39027888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400-089-9100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http://www.yibaijin.com/ </w:t>
            </w:r>
          </w:p>
        </w:tc>
      </w:tr>
    </w:tbl>
    <w:p>
      <w:pPr>
        <w:pStyle w:val="8"/>
        <w:spacing w:before="0" w:beforeAutospacing="0" w:after="0" w:afterAutospacing="0" w:line="360" w:lineRule="auto"/>
        <w:ind w:firstLine="420"/>
        <w:rPr>
          <w:sz w:val="21"/>
          <w:szCs w:val="21"/>
        </w:rPr>
      </w:pPr>
      <w:r>
        <w:rPr>
          <w:rFonts w:hint="eastAsia"/>
          <w:b/>
          <w:bCs/>
          <w:sz w:val="21"/>
          <w:szCs w:val="21"/>
        </w:rPr>
        <w:t>(30)深圳市金斧子基金销售有限公司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www.jfzinv.com </w:t>
            </w:r>
          </w:p>
        </w:tc>
      </w:tr>
    </w:tbl>
    <w:p>
      <w:pPr>
        <w:pStyle w:val="8"/>
        <w:spacing w:before="0" w:beforeAutospacing="0" w:after="0" w:afterAutospacing="0" w:line="360" w:lineRule="auto"/>
        <w:ind w:firstLine="420"/>
        <w:rPr>
          <w:sz w:val="21"/>
          <w:szCs w:val="21"/>
        </w:rPr>
      </w:pPr>
      <w:r>
        <w:rPr>
          <w:rFonts w:hint="eastAsia"/>
          <w:b/>
          <w:bCs/>
          <w:sz w:val="21"/>
          <w:szCs w:val="21"/>
        </w:rPr>
        <w:t>(31)北京雪球基金销售有限公司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danjuanapp.com </w:t>
            </w:r>
          </w:p>
        </w:tc>
      </w:tr>
    </w:tbl>
    <w:p>
      <w:pPr>
        <w:pStyle w:val="8"/>
        <w:spacing w:before="0" w:beforeAutospacing="0" w:after="0" w:afterAutospacing="0" w:line="360" w:lineRule="auto"/>
        <w:ind w:firstLine="420"/>
        <w:rPr>
          <w:sz w:val="21"/>
          <w:szCs w:val="21"/>
        </w:rPr>
      </w:pPr>
      <w:r>
        <w:rPr>
          <w:rFonts w:hint="eastAsia"/>
          <w:b/>
          <w:bCs/>
          <w:sz w:val="21"/>
          <w:szCs w:val="21"/>
        </w:rPr>
        <w:t>(32)上海华夏财富投资管理有限公司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https://www.amcfortune.com/ </w:t>
            </w:r>
          </w:p>
        </w:tc>
      </w:tr>
    </w:tbl>
    <w:p>
      <w:pPr>
        <w:pStyle w:val="8"/>
        <w:spacing w:before="0" w:beforeAutospacing="0" w:after="0" w:afterAutospacing="0" w:line="360" w:lineRule="auto"/>
        <w:ind w:firstLine="420"/>
        <w:rPr>
          <w:sz w:val="21"/>
          <w:szCs w:val="21"/>
        </w:rPr>
      </w:pPr>
      <w:r>
        <w:rPr>
          <w:rFonts w:hint="eastAsia"/>
          <w:b/>
          <w:bCs/>
          <w:sz w:val="21"/>
          <w:szCs w:val="21"/>
        </w:rPr>
        <w:t>(33)国金证券股份有限公司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注册地址： </w:t>
            </w:r>
          </w:p>
        </w:tc>
        <w:tc>
          <w:tcPr>
            <w:tcW w:w="7440" w:type="dxa"/>
            <w:shd w:val="clear" w:color="auto" w:fill="auto"/>
          </w:tcPr>
          <w:p>
            <w:pPr>
              <w:pStyle w:val="8"/>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办公地址： </w:t>
            </w:r>
          </w:p>
        </w:tc>
        <w:tc>
          <w:tcPr>
            <w:tcW w:w="7440" w:type="dxa"/>
            <w:shd w:val="clear" w:color="auto" w:fill="auto"/>
          </w:tcPr>
          <w:p>
            <w:pPr>
              <w:pStyle w:val="8"/>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法定代表人： </w:t>
            </w:r>
          </w:p>
        </w:tc>
        <w:tc>
          <w:tcPr>
            <w:tcW w:w="7440" w:type="dxa"/>
            <w:shd w:val="clear" w:color="auto" w:fill="auto"/>
          </w:tcPr>
          <w:p>
            <w:pPr>
              <w:pStyle w:val="8"/>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联系人： </w:t>
            </w:r>
          </w:p>
        </w:tc>
        <w:tc>
          <w:tcPr>
            <w:tcW w:w="7440" w:type="dxa"/>
            <w:shd w:val="clear" w:color="auto" w:fill="auto"/>
          </w:tcPr>
          <w:p>
            <w:pPr>
              <w:pStyle w:val="8"/>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电话： </w:t>
            </w:r>
          </w:p>
        </w:tc>
        <w:tc>
          <w:tcPr>
            <w:tcW w:w="7440" w:type="dxa"/>
            <w:shd w:val="clear" w:color="auto" w:fill="auto"/>
          </w:tcPr>
          <w:p>
            <w:pPr>
              <w:pStyle w:val="8"/>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传真： </w:t>
            </w:r>
          </w:p>
        </w:tc>
        <w:tc>
          <w:tcPr>
            <w:tcW w:w="7440" w:type="dxa"/>
            <w:shd w:val="clear" w:color="auto" w:fill="auto"/>
          </w:tcPr>
          <w:p>
            <w:pPr>
              <w:pStyle w:val="8"/>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客户服务电话： </w:t>
            </w:r>
          </w:p>
        </w:tc>
        <w:tc>
          <w:tcPr>
            <w:tcW w:w="7440" w:type="dxa"/>
            <w:shd w:val="clear" w:color="auto" w:fill="auto"/>
          </w:tcPr>
          <w:p>
            <w:pPr>
              <w:pStyle w:val="8"/>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8"/>
            </w:pPr>
            <w:r>
              <w:rPr>
                <w:rFonts w:hint="eastAsia"/>
              </w:rPr>
              <w:t xml:space="preserve">网址： </w:t>
            </w:r>
          </w:p>
        </w:tc>
        <w:tc>
          <w:tcPr>
            <w:tcW w:w="7440" w:type="dxa"/>
            <w:shd w:val="clear" w:color="auto" w:fill="auto"/>
          </w:tcPr>
          <w:p>
            <w:pPr>
              <w:pStyle w:val="8"/>
            </w:pPr>
            <w:r>
              <w:rPr>
                <w:rFonts w:hint="eastAsia"/>
              </w:rPr>
              <w:t xml:space="preserve">http://www.gjzq.com.cn </w:t>
            </w:r>
          </w:p>
        </w:tc>
      </w:tr>
    </w:tbl>
    <w:p>
      <w:pPr>
        <w:rPr>
          <w:rFonts w:ascii="宋体" w:hAnsi="宋体" w:eastAsia="宋体"/>
          <w:sz w:val="24"/>
          <w:szCs w:val="24"/>
        </w:rPr>
      </w:pPr>
      <w:bookmarkStart w:id="66" w:name="field_0_allproxysaletables_1_end"/>
      <w:bookmarkEnd w:id="66"/>
      <w:bookmarkStart w:id="67" w:name="chapter_level1_7_56_section_2_end"/>
      <w:bookmarkEnd w:id="67"/>
    </w:p>
    <w:p>
      <w:pPr>
        <w:pStyle w:val="8"/>
        <w:spacing w:before="0" w:beforeAutospacing="0" w:after="0" w:afterAutospacing="0" w:line="360" w:lineRule="auto"/>
        <w:ind w:firstLine="420"/>
        <w:rPr>
          <w:sz w:val="21"/>
          <w:szCs w:val="21"/>
        </w:rPr>
      </w:pPr>
      <w:bookmarkStart w:id="68" w:name="chapter_level1_7_56_section_3"/>
      <w:bookmarkEnd w:id="68"/>
      <w:r>
        <w:rPr>
          <w:rStyle w:val="12"/>
          <w:rFonts w:hint="eastAsia"/>
          <w:sz w:val="21"/>
          <w:szCs w:val="21"/>
        </w:rPr>
        <w:t>二、登记机构</w:t>
      </w:r>
    </w:p>
    <w:p>
      <w:pPr>
        <w:pStyle w:val="8"/>
        <w:spacing w:before="0" w:beforeAutospacing="0" w:after="0" w:afterAutospacing="0" w:line="360" w:lineRule="auto"/>
        <w:ind w:firstLine="420"/>
        <w:rPr>
          <w:sz w:val="21"/>
          <w:szCs w:val="21"/>
        </w:rPr>
      </w:pPr>
      <w:bookmarkStart w:id="69" w:name="field_0_registercompanyinfo_1_start"/>
      <w:bookmarkEnd w:id="69"/>
      <w:r>
        <w:rPr>
          <w:rFonts w:hint="eastAsia"/>
          <w:sz w:val="21"/>
          <w:szCs w:val="21"/>
        </w:rPr>
        <w:t xml:space="preserve">名称：博时基金管理有限公司 </w:t>
      </w:r>
    </w:p>
    <w:p>
      <w:pPr>
        <w:pStyle w:val="8"/>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电话： 010-65171166 </w:t>
      </w:r>
    </w:p>
    <w:p>
      <w:pPr>
        <w:pStyle w:val="8"/>
        <w:spacing w:before="0" w:beforeAutospacing="0" w:after="0" w:afterAutospacing="0" w:line="360" w:lineRule="auto"/>
        <w:ind w:firstLine="420"/>
        <w:rPr>
          <w:sz w:val="21"/>
          <w:szCs w:val="21"/>
        </w:rPr>
      </w:pPr>
      <w:r>
        <w:rPr>
          <w:rFonts w:hint="eastAsia"/>
          <w:sz w:val="21"/>
          <w:szCs w:val="21"/>
        </w:rPr>
        <w:t xml:space="preserve">传真： 010-65187068 </w:t>
      </w:r>
    </w:p>
    <w:p>
      <w:pPr>
        <w:pStyle w:val="8"/>
        <w:spacing w:before="0" w:beforeAutospacing="0" w:after="0" w:afterAutospacing="0" w:line="360" w:lineRule="auto"/>
        <w:ind w:firstLine="420"/>
        <w:rPr>
          <w:sz w:val="21"/>
          <w:szCs w:val="21"/>
        </w:rPr>
      </w:pPr>
      <w:r>
        <w:rPr>
          <w:rFonts w:hint="eastAsia"/>
          <w:sz w:val="21"/>
          <w:szCs w:val="21"/>
        </w:rPr>
        <w:t xml:space="preserve">联系人：佀方方 </w:t>
      </w:r>
      <w:bookmarkStart w:id="70" w:name="field_0_registercompanyinfo_1_end"/>
      <w:bookmarkEnd w:id="70"/>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三、出具法律意见书的律师事务所</w:t>
      </w:r>
    </w:p>
    <w:p>
      <w:pPr>
        <w:pStyle w:val="8"/>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8"/>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8"/>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8"/>
        <w:spacing w:before="0" w:beforeAutospacing="0" w:after="0" w:afterAutospacing="0" w:line="360" w:lineRule="auto"/>
        <w:ind w:firstLine="420"/>
        <w:rPr>
          <w:sz w:val="21"/>
          <w:szCs w:val="21"/>
        </w:rPr>
      </w:pPr>
      <w:r>
        <w:rPr>
          <w:rFonts w:hint="eastAsia"/>
          <w:sz w:val="21"/>
          <w:szCs w:val="21"/>
        </w:rPr>
        <w:t xml:space="preserve">负责人：韩炯 </w:t>
      </w:r>
    </w:p>
    <w:p>
      <w:pPr>
        <w:pStyle w:val="8"/>
        <w:spacing w:before="0" w:beforeAutospacing="0" w:after="0" w:afterAutospacing="0" w:line="360" w:lineRule="auto"/>
        <w:ind w:firstLine="420"/>
        <w:rPr>
          <w:sz w:val="21"/>
          <w:szCs w:val="21"/>
        </w:rPr>
      </w:pPr>
      <w:r>
        <w:rPr>
          <w:rFonts w:hint="eastAsia"/>
          <w:sz w:val="21"/>
          <w:szCs w:val="21"/>
        </w:rPr>
        <w:t xml:space="preserve">电话： 021- 31358666 </w:t>
      </w:r>
    </w:p>
    <w:p>
      <w:pPr>
        <w:pStyle w:val="8"/>
        <w:spacing w:before="0" w:beforeAutospacing="0" w:after="0" w:afterAutospacing="0" w:line="360" w:lineRule="auto"/>
        <w:ind w:firstLine="420"/>
        <w:rPr>
          <w:sz w:val="21"/>
          <w:szCs w:val="21"/>
        </w:rPr>
      </w:pPr>
      <w:r>
        <w:rPr>
          <w:rFonts w:hint="eastAsia"/>
          <w:sz w:val="21"/>
          <w:szCs w:val="21"/>
        </w:rPr>
        <w:t xml:space="preserve">传真： 021- 31358600 </w:t>
      </w:r>
    </w:p>
    <w:p>
      <w:pPr>
        <w:pStyle w:val="8"/>
        <w:spacing w:before="0" w:beforeAutospacing="0" w:after="0" w:afterAutospacing="0" w:line="360" w:lineRule="auto"/>
        <w:ind w:firstLine="420"/>
        <w:rPr>
          <w:sz w:val="21"/>
          <w:szCs w:val="21"/>
        </w:rPr>
      </w:pPr>
      <w:r>
        <w:rPr>
          <w:rFonts w:hint="eastAsia"/>
          <w:sz w:val="21"/>
          <w:szCs w:val="21"/>
        </w:rPr>
        <w:t xml:space="preserve">联系人：安冬  </w:t>
      </w:r>
    </w:p>
    <w:p>
      <w:pPr>
        <w:pStyle w:val="8"/>
        <w:spacing w:before="0" w:beforeAutospacing="0" w:after="0" w:afterAutospacing="0" w:line="360" w:lineRule="auto"/>
        <w:ind w:firstLine="420"/>
        <w:rPr>
          <w:sz w:val="21"/>
          <w:szCs w:val="21"/>
        </w:rPr>
      </w:pPr>
      <w:r>
        <w:rPr>
          <w:rFonts w:hint="eastAsia"/>
          <w:sz w:val="21"/>
          <w:szCs w:val="21"/>
        </w:rPr>
        <w:t xml:space="preserve">经办律师：安冬、陆奇  </w:t>
      </w:r>
    </w:p>
    <w:p>
      <w:pPr>
        <w:pStyle w:val="8"/>
        <w:spacing w:before="0" w:beforeAutospacing="0" w:after="0" w:afterAutospacing="0" w:line="360" w:lineRule="auto"/>
        <w:ind w:firstLine="420"/>
        <w:rPr>
          <w:sz w:val="21"/>
          <w:szCs w:val="21"/>
        </w:rPr>
      </w:pPr>
      <w:r>
        <w:rPr>
          <w:rStyle w:val="12"/>
          <w:rFonts w:hint="eastAsia"/>
          <w:sz w:val="21"/>
          <w:szCs w:val="21"/>
        </w:rPr>
        <w:t>四、审计基金财产的会计师事务所</w:t>
      </w:r>
    </w:p>
    <w:p>
      <w:pPr>
        <w:pStyle w:val="8"/>
        <w:spacing w:before="0" w:beforeAutospacing="0" w:after="0" w:afterAutospacing="0" w:line="360" w:lineRule="auto"/>
        <w:ind w:firstLine="420"/>
        <w:rPr>
          <w:sz w:val="21"/>
          <w:szCs w:val="21"/>
        </w:rPr>
      </w:pPr>
      <w:bookmarkStart w:id="71" w:name="field_0_accountingcompanyinfo_1_start"/>
      <w:bookmarkEnd w:id="71"/>
      <w:r>
        <w:rPr>
          <w:rFonts w:hint="eastAsia"/>
          <w:sz w:val="21"/>
          <w:szCs w:val="21"/>
        </w:rPr>
        <w:t xml:space="preserve">名称：容诚会计师事务所（特殊普通合伙） </w:t>
      </w:r>
    </w:p>
    <w:p>
      <w:pPr>
        <w:pStyle w:val="8"/>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8"/>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8"/>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8"/>
        <w:spacing w:before="0" w:beforeAutospacing="0" w:after="0" w:afterAutospacing="0" w:line="360" w:lineRule="auto"/>
        <w:ind w:firstLine="420"/>
        <w:rPr>
          <w:sz w:val="21"/>
          <w:szCs w:val="21"/>
        </w:rPr>
      </w:pPr>
      <w:r>
        <w:rPr>
          <w:rFonts w:hint="eastAsia"/>
          <w:sz w:val="21"/>
          <w:szCs w:val="21"/>
        </w:rPr>
        <w:t xml:space="preserve">联系电话：010-66001391 </w:t>
      </w:r>
    </w:p>
    <w:p>
      <w:pPr>
        <w:pStyle w:val="8"/>
        <w:spacing w:before="0" w:beforeAutospacing="0" w:after="0" w:afterAutospacing="0" w:line="360" w:lineRule="auto"/>
        <w:ind w:firstLine="420"/>
        <w:rPr>
          <w:sz w:val="21"/>
          <w:szCs w:val="21"/>
        </w:rPr>
      </w:pPr>
      <w:r>
        <w:rPr>
          <w:rFonts w:hint="eastAsia"/>
          <w:sz w:val="21"/>
          <w:szCs w:val="21"/>
        </w:rPr>
        <w:t xml:space="preserve">传真：010-66001392 </w:t>
      </w:r>
    </w:p>
    <w:p>
      <w:pPr>
        <w:pStyle w:val="8"/>
        <w:spacing w:before="0" w:beforeAutospacing="0" w:after="0" w:afterAutospacing="0" w:line="360" w:lineRule="auto"/>
        <w:ind w:firstLine="420"/>
        <w:rPr>
          <w:sz w:val="21"/>
          <w:szCs w:val="21"/>
        </w:rPr>
      </w:pPr>
      <w:r>
        <w:rPr>
          <w:rFonts w:hint="eastAsia"/>
          <w:sz w:val="21"/>
          <w:szCs w:val="21"/>
        </w:rPr>
        <w:t xml:space="preserve">联系人：吴琳杰 </w:t>
      </w:r>
    </w:p>
    <w:p>
      <w:pPr>
        <w:pStyle w:val="8"/>
        <w:spacing w:before="0" w:beforeAutospacing="0" w:after="0" w:afterAutospacing="0" w:line="360" w:lineRule="auto"/>
        <w:ind w:firstLine="420"/>
        <w:rPr>
          <w:sz w:val="21"/>
          <w:szCs w:val="21"/>
        </w:rPr>
      </w:pPr>
      <w:bookmarkStart w:id="72" w:name="chapter_level1_7_56_section_3_end"/>
      <w:bookmarkEnd w:id="72"/>
      <w:r>
        <w:rPr>
          <w:rFonts w:hint="eastAsia"/>
          <w:sz w:val="21"/>
          <w:szCs w:val="21"/>
        </w:rPr>
        <w:t xml:space="preserve">经办注册会计师：薛竞 吴琳杰 </w:t>
      </w:r>
      <w:bookmarkStart w:id="73" w:name="field_0_accountingcompanyinfo_1_end"/>
      <w:bookmarkEnd w:id="7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4" w:name="chapter_level1_9_58"/>
      <w:bookmarkStart w:id="75" w:name="_Toc207936394"/>
      <w:r>
        <w:rPr>
          <w:rFonts w:hint="eastAsia" w:ascii="宋体" w:hAnsi="宋体" w:eastAsia="宋体"/>
          <w:sz w:val="30"/>
        </w:rPr>
        <w:t>第六部分 基金的募集与基金合同的生效</w:t>
      </w:r>
      <w:bookmarkEnd w:id="74"/>
      <w:bookmarkEnd w:id="75"/>
    </w:p>
    <w:p>
      <w:pPr>
        <w:pStyle w:val="8"/>
        <w:spacing w:before="0" w:beforeAutospacing="0" w:after="0" w:afterAutospacing="0" w:line="360" w:lineRule="auto"/>
        <w:ind w:firstLine="420"/>
        <w:rPr>
          <w:sz w:val="21"/>
          <w:szCs w:val="21"/>
        </w:rPr>
      </w:pPr>
      <w:bookmarkStart w:id="76" w:name="chapter_level1_9_58_section_1"/>
      <w:bookmarkEnd w:id="76"/>
      <w:r>
        <w:rPr>
          <w:rStyle w:val="12"/>
          <w:rFonts w:hint="eastAsia"/>
          <w:sz w:val="21"/>
          <w:szCs w:val="21"/>
        </w:rPr>
        <w:t>一．基金的募集</w:t>
      </w:r>
    </w:p>
    <w:p>
      <w:pPr>
        <w:pStyle w:val="8"/>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7" w:name="field_2343_approveddate_2"/>
      <w:r>
        <w:rPr>
          <w:sz w:val="21"/>
          <w:szCs w:val="21"/>
        </w:rPr>
        <w:t>2016年8月11日</w:t>
      </w:r>
      <w:bookmarkEnd w:id="77"/>
      <w:r>
        <w:rPr>
          <w:rFonts w:hint="eastAsia"/>
          <w:sz w:val="21"/>
          <w:szCs w:val="21"/>
        </w:rPr>
        <w:t>经中国证监会证监许可</w:t>
      </w:r>
      <w:bookmarkStart w:id="78" w:name="field_2343_lotnumber_2"/>
      <w:r>
        <w:rPr>
          <w:sz w:val="21"/>
          <w:szCs w:val="21"/>
        </w:rPr>
        <w:t>[2016]1815</w:t>
      </w:r>
      <w:bookmarkEnd w:id="78"/>
      <w:r>
        <w:rPr>
          <w:rFonts w:hint="eastAsia"/>
          <w:sz w:val="21"/>
          <w:szCs w:val="21"/>
        </w:rPr>
        <w:t xml:space="preserve">号文准予募集注册。 </w:t>
      </w:r>
    </w:p>
    <w:p>
      <w:pPr>
        <w:pStyle w:val="8"/>
        <w:spacing w:before="0" w:beforeAutospacing="0" w:after="0" w:afterAutospacing="0" w:line="360" w:lineRule="auto"/>
        <w:ind w:firstLine="420"/>
        <w:rPr>
          <w:sz w:val="21"/>
          <w:szCs w:val="21"/>
        </w:rPr>
      </w:pPr>
      <w:r>
        <w:rPr>
          <w:rFonts w:hint="eastAsia"/>
          <w:sz w:val="21"/>
          <w:szCs w:val="21"/>
        </w:rPr>
        <w:t>本基金募集期自</w:t>
      </w:r>
      <w:bookmarkStart w:id="79" w:name="field_58_raisebegindate_1"/>
      <w:r>
        <w:rPr>
          <w:sz w:val="21"/>
          <w:szCs w:val="21"/>
        </w:rPr>
        <w:t>2016年8月22日</w:t>
      </w:r>
      <w:bookmarkEnd w:id="79"/>
      <w:r>
        <w:rPr>
          <w:rFonts w:hint="eastAsia"/>
          <w:sz w:val="21"/>
          <w:szCs w:val="21"/>
        </w:rPr>
        <w:t>至</w:t>
      </w:r>
      <w:bookmarkStart w:id="80" w:name="field_58_raiseenddate_1"/>
      <w:r>
        <w:rPr>
          <w:sz w:val="21"/>
          <w:szCs w:val="21"/>
        </w:rPr>
        <w:t>2016年8月26日</w:t>
      </w:r>
      <w:bookmarkEnd w:id="80"/>
      <w:r>
        <w:rPr>
          <w:rFonts w:hint="eastAsia"/>
          <w:sz w:val="21"/>
          <w:szCs w:val="21"/>
        </w:rPr>
        <w:t>止，基金份额共募集</w:t>
      </w:r>
      <w:bookmarkStart w:id="81" w:name="field_58_raisetotal_1"/>
      <w:r>
        <w:rPr>
          <w:sz w:val="21"/>
          <w:szCs w:val="21"/>
        </w:rPr>
        <w:t>200,156,712.37</w:t>
      </w:r>
      <w:bookmarkEnd w:id="81"/>
      <w:r>
        <w:rPr>
          <w:rFonts w:hint="eastAsia"/>
          <w:sz w:val="21"/>
          <w:szCs w:val="21"/>
        </w:rPr>
        <w:t>份（含利息结转的份额），有效认购户数为</w:t>
      </w:r>
      <w:bookmarkStart w:id="82" w:name="field_58_effectivetotal_1"/>
      <w:r>
        <w:rPr>
          <w:sz w:val="21"/>
          <w:szCs w:val="21"/>
        </w:rPr>
        <w:t>383</w:t>
      </w:r>
      <w:bookmarkEnd w:id="82"/>
      <w:r>
        <w:rPr>
          <w:rFonts w:hint="eastAsia"/>
          <w:sz w:val="21"/>
          <w:szCs w:val="21"/>
        </w:rPr>
        <w:t xml:space="preserve">户。 </w:t>
      </w:r>
    </w:p>
    <w:p>
      <w:pPr>
        <w:pStyle w:val="8"/>
        <w:spacing w:before="0" w:beforeAutospacing="0" w:after="0" w:afterAutospacing="0" w:line="360" w:lineRule="auto"/>
        <w:ind w:firstLine="420"/>
        <w:rPr>
          <w:sz w:val="21"/>
          <w:szCs w:val="21"/>
        </w:rPr>
      </w:pPr>
      <w:r>
        <w:rPr>
          <w:rFonts w:hint="eastAsia"/>
          <w:sz w:val="21"/>
          <w:szCs w:val="21"/>
        </w:rPr>
        <w:t>本基金运作方式为</w:t>
      </w:r>
      <w:bookmarkStart w:id="83" w:name="field_58_operation_1"/>
      <w:r>
        <w:rPr>
          <w:rFonts w:hint="eastAsia"/>
          <w:sz w:val="21"/>
          <w:szCs w:val="21"/>
        </w:rPr>
        <w:t>契约型开放式</w:t>
      </w:r>
      <w:bookmarkEnd w:id="83"/>
      <w:r>
        <w:rPr>
          <w:rFonts w:hint="eastAsia"/>
          <w:sz w:val="21"/>
          <w:szCs w:val="21"/>
        </w:rPr>
        <w:t>，存续期间为</w:t>
      </w:r>
      <w:bookmarkStart w:id="84" w:name="field_58_duration_1"/>
      <w:r>
        <w:rPr>
          <w:rFonts w:hint="eastAsia"/>
          <w:sz w:val="21"/>
          <w:szCs w:val="21"/>
        </w:rPr>
        <w:t>不定期</w:t>
      </w:r>
      <w:bookmarkEnd w:id="84"/>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二、基金合同的生效</w:t>
      </w:r>
    </w:p>
    <w:p>
      <w:pPr>
        <w:pStyle w:val="8"/>
        <w:spacing w:before="0" w:beforeAutospacing="0" w:after="0" w:afterAutospacing="0" w:line="360" w:lineRule="auto"/>
        <w:ind w:firstLine="420"/>
        <w:rPr>
          <w:sz w:val="21"/>
          <w:szCs w:val="21"/>
        </w:rPr>
      </w:pPr>
      <w:bookmarkStart w:id="85" w:name="chapter_level1_9_58_section_1_end"/>
      <w:bookmarkEnd w:id="85"/>
      <w:r>
        <w:rPr>
          <w:rFonts w:hint="eastAsia"/>
          <w:sz w:val="21"/>
          <w:szCs w:val="21"/>
        </w:rPr>
        <w:t>本基金的基金合同已于</w:t>
      </w:r>
      <w:bookmarkStart w:id="86" w:name="field_0_foundday_1"/>
      <w:r>
        <w:rPr>
          <w:sz w:val="21"/>
          <w:szCs w:val="21"/>
        </w:rPr>
        <w:t>2016年8月30日</w:t>
      </w:r>
      <w:bookmarkEnd w:id="86"/>
      <w:r>
        <w:rPr>
          <w:rFonts w:hint="eastAsia"/>
          <w:sz w:val="21"/>
          <w:szCs w:val="21"/>
        </w:rPr>
        <w:t xml:space="preserve">正式生效。 </w:t>
      </w:r>
    </w:p>
    <w:p>
      <w:pPr>
        <w:pStyle w:val="8"/>
        <w:spacing w:before="0" w:beforeAutospacing="0" w:after="0" w:afterAutospacing="0" w:line="360" w:lineRule="auto"/>
        <w:ind w:firstLine="420"/>
        <w:rPr>
          <w:sz w:val="21"/>
          <w:szCs w:val="21"/>
        </w:rPr>
      </w:pPr>
      <w:bookmarkStart w:id="87" w:name="chapter_level1_9_58_section_2"/>
      <w:bookmarkEnd w:id="87"/>
      <w:r>
        <w:rPr>
          <w:rStyle w:val="12"/>
          <w:rFonts w:hint="eastAsia"/>
          <w:sz w:val="21"/>
          <w:szCs w:val="21"/>
        </w:rPr>
        <w:t>三、基金存续期内的基金份额持有人数量和资产规模</w:t>
      </w:r>
    </w:p>
    <w:p>
      <w:pPr>
        <w:pStyle w:val="8"/>
        <w:spacing w:before="0" w:beforeAutospacing="0" w:after="0" w:afterAutospacing="0" w:line="360" w:lineRule="auto"/>
        <w:ind w:firstLine="420"/>
        <w:rPr>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六十个工作日出现前述情形的，本基金将根据基金合同的约定进行基金财产清算并终止，且无需召开基金份额持有人大会，同时基金管理人应履行相关的监管报告和信息披露程序。 </w:t>
      </w:r>
    </w:p>
    <w:p>
      <w:pPr>
        <w:pStyle w:val="8"/>
        <w:spacing w:before="0" w:beforeAutospacing="0" w:after="0" w:afterAutospacing="0" w:line="360" w:lineRule="auto"/>
        <w:ind w:firstLine="420"/>
        <w:rPr>
          <w:sz w:val="21"/>
          <w:szCs w:val="21"/>
        </w:rPr>
      </w:pPr>
      <w:bookmarkStart w:id="88" w:name="chapter_level1_9_58_section_2_end"/>
      <w:bookmarkEnd w:id="88"/>
      <w:r>
        <w:rPr>
          <w:rFonts w:hint="eastAsia"/>
          <w:sz w:val="21"/>
          <w:szCs w:val="21"/>
        </w:rPr>
        <w:t xml:space="preserve">法律法规或监管机构另有规定时，从其规定。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9" w:name="_Toc207936395"/>
      <w:bookmarkStart w:id="90" w:name="chapter_level1_10_59"/>
      <w:r>
        <w:rPr>
          <w:rFonts w:hint="eastAsia" w:ascii="宋体" w:hAnsi="宋体" w:eastAsia="宋体"/>
          <w:sz w:val="30"/>
        </w:rPr>
        <w:t>第七部分  基金份额的申购与赎回</w:t>
      </w:r>
      <w:bookmarkEnd w:id="89"/>
      <w:bookmarkEnd w:id="90"/>
    </w:p>
    <w:p>
      <w:pPr>
        <w:pStyle w:val="8"/>
        <w:spacing w:before="0" w:beforeAutospacing="0" w:after="0" w:afterAutospacing="0" w:line="360" w:lineRule="auto"/>
        <w:ind w:firstLine="420"/>
        <w:rPr>
          <w:sz w:val="21"/>
          <w:szCs w:val="21"/>
        </w:rPr>
      </w:pPr>
      <w:bookmarkStart w:id="91" w:name="chapter_level1_10_59_section_1"/>
      <w:bookmarkEnd w:id="91"/>
      <w:r>
        <w:rPr>
          <w:rStyle w:val="12"/>
          <w:rFonts w:hint="eastAsia"/>
          <w:sz w:val="21"/>
          <w:szCs w:val="21"/>
        </w:rPr>
        <w:t>一、申购与赎回的场所</w:t>
      </w:r>
    </w:p>
    <w:p>
      <w:pPr>
        <w:pStyle w:val="8"/>
        <w:spacing w:before="0" w:beforeAutospacing="0" w:after="0" w:afterAutospacing="0" w:line="360" w:lineRule="auto"/>
        <w:ind w:firstLine="420"/>
        <w:rPr>
          <w:sz w:val="21"/>
          <w:szCs w:val="21"/>
        </w:rPr>
      </w:pPr>
      <w:r>
        <w:rPr>
          <w:rFonts w:hint="eastAsia"/>
          <w:sz w:val="21"/>
          <w:szCs w:val="21"/>
        </w:rPr>
        <w:t>本基金的申购与赎回将通过销售机构进行。具体的销售网点将由基金管理人在相关公告中列明。基金管理人可根据情况变更或增减销售机构，并在基金管理人网站公示。基金投资者应当在销售机构办理基金销售业务的营业场所或按销售机构提供的其他方式办理基金份</w:t>
      </w:r>
      <w:bookmarkStart w:id="92" w:name="chapter_level1_10_59_section_1_end"/>
      <w:bookmarkEnd w:id="92"/>
      <w:r>
        <w:rPr>
          <w:rFonts w:hint="eastAsia"/>
          <w:sz w:val="21"/>
          <w:szCs w:val="21"/>
        </w:rPr>
        <w:t xml:space="preserve">额的申购与赎回。 </w:t>
      </w:r>
    </w:p>
    <w:p>
      <w:pPr>
        <w:pStyle w:val="8"/>
        <w:spacing w:before="0" w:beforeAutospacing="0" w:after="0" w:afterAutospacing="0" w:line="360" w:lineRule="auto"/>
        <w:ind w:firstLine="420"/>
        <w:rPr>
          <w:sz w:val="21"/>
          <w:szCs w:val="21"/>
        </w:rPr>
      </w:pPr>
      <w:bookmarkStart w:id="93" w:name="chapter_level1_10_59_section_2"/>
      <w:bookmarkEnd w:id="93"/>
      <w:r>
        <w:rPr>
          <w:rStyle w:val="12"/>
          <w:rFonts w:hint="eastAsia"/>
          <w:sz w:val="21"/>
          <w:szCs w:val="21"/>
        </w:rPr>
        <w:t>二、申购与赎回办理的开放日及时间</w:t>
      </w:r>
    </w:p>
    <w:p>
      <w:pPr>
        <w:pStyle w:val="8"/>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8"/>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的正常交易日的交易时间，但基金管理人根据法律法规、中国证监会的要求或基金合同的规定公告暂停申购、赎回时除外。 </w:t>
      </w:r>
    </w:p>
    <w:p>
      <w:pPr>
        <w:pStyle w:val="8"/>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进行公告。 </w:t>
      </w:r>
    </w:p>
    <w:p>
      <w:pPr>
        <w:pStyle w:val="8"/>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8"/>
        <w:spacing w:before="0" w:beforeAutospacing="0" w:after="0" w:afterAutospacing="0" w:line="360" w:lineRule="auto"/>
        <w:ind w:firstLine="420"/>
        <w:rPr>
          <w:sz w:val="21"/>
          <w:szCs w:val="21"/>
        </w:rPr>
      </w:pPr>
      <w:r>
        <w:rPr>
          <w:rFonts w:hint="eastAsia"/>
          <w:sz w:val="21"/>
          <w:szCs w:val="21"/>
        </w:rPr>
        <w:t xml:space="preserve">本基金已于2016年9月21日起开始办理申购、赎回业务。 </w:t>
      </w:r>
    </w:p>
    <w:p>
      <w:pPr>
        <w:pStyle w:val="8"/>
        <w:spacing w:before="0" w:beforeAutospacing="0" w:after="0" w:afterAutospacing="0" w:line="360" w:lineRule="auto"/>
        <w:ind w:firstLine="420"/>
        <w:rPr>
          <w:sz w:val="21"/>
          <w:szCs w:val="21"/>
        </w:rPr>
      </w:pPr>
      <w:r>
        <w:rPr>
          <w:rFonts w:hint="eastAsia"/>
          <w:sz w:val="21"/>
          <w:szCs w:val="21"/>
        </w:rPr>
        <w:t>基金管理人不得在基金合同约定之外的日期或者时间办理基金份额的申购、赎回或者转换。投资人在基金合同约定之外的日期和时间提出申购、赎回、转换申请且登记机构确认接</w:t>
      </w:r>
      <w:bookmarkStart w:id="94" w:name="chapter_level1_10_59_section_2_end"/>
      <w:bookmarkEnd w:id="94"/>
      <w:r>
        <w:rPr>
          <w:rFonts w:hint="eastAsia"/>
          <w:sz w:val="21"/>
          <w:szCs w:val="21"/>
        </w:rPr>
        <w:t xml:space="preserve">受的，其基金份额申购、赎回价格为下一开放日该类基金份额申购、赎回的价格。 </w:t>
      </w:r>
    </w:p>
    <w:p>
      <w:pPr>
        <w:pStyle w:val="8"/>
        <w:spacing w:before="0" w:beforeAutospacing="0" w:after="0" w:afterAutospacing="0" w:line="360" w:lineRule="auto"/>
        <w:ind w:firstLine="420"/>
        <w:rPr>
          <w:sz w:val="21"/>
          <w:szCs w:val="21"/>
        </w:rPr>
      </w:pPr>
      <w:bookmarkStart w:id="95" w:name="chapter_level1_10_59_section_3"/>
      <w:bookmarkEnd w:id="95"/>
      <w:r>
        <w:rPr>
          <w:rFonts w:hint="eastAsia"/>
          <w:b/>
          <w:bCs/>
          <w:sz w:val="21"/>
          <w:szCs w:val="21"/>
        </w:rPr>
        <w:t>三、申购与赎回的原则</w:t>
      </w:r>
    </w:p>
    <w:p>
      <w:pPr>
        <w:pStyle w:val="8"/>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pPr>
        <w:pStyle w:val="8"/>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8"/>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8"/>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8"/>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 </w:t>
      </w:r>
    </w:p>
    <w:p>
      <w:pPr>
        <w:pStyle w:val="8"/>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pPr>
        <w:pStyle w:val="8"/>
        <w:spacing w:before="0" w:beforeAutospacing="0" w:after="0" w:afterAutospacing="0" w:line="360" w:lineRule="auto"/>
        <w:ind w:firstLine="420"/>
        <w:rPr>
          <w:sz w:val="21"/>
          <w:szCs w:val="21"/>
        </w:rPr>
      </w:pPr>
      <w:r>
        <w:rPr>
          <w:rFonts w:hint="eastAsia"/>
          <w:b/>
          <w:bCs/>
          <w:sz w:val="21"/>
          <w:szCs w:val="21"/>
        </w:rPr>
        <w:t>四、申购与赎回的数额限制</w:t>
      </w:r>
    </w:p>
    <w:p>
      <w:pPr>
        <w:pStyle w:val="8"/>
        <w:spacing w:before="0" w:beforeAutospacing="0" w:after="0" w:afterAutospacing="0" w:line="360" w:lineRule="auto"/>
        <w:ind w:firstLine="420"/>
        <w:rPr>
          <w:sz w:val="21"/>
          <w:szCs w:val="21"/>
        </w:rPr>
      </w:pPr>
      <w:r>
        <w:rPr>
          <w:rFonts w:hint="eastAsia"/>
          <w:sz w:val="21"/>
          <w:szCs w:val="21"/>
        </w:rPr>
        <w:t>1、首次购买本基金A类基金份额或C类基金份额的最低金额为</w:t>
      </w:r>
      <w:bookmarkStart w:id="96" w:name="field_59_dealerfirstpurminamount_1"/>
      <w:r>
        <w:rPr>
          <w:sz w:val="21"/>
          <w:szCs w:val="21"/>
        </w:rPr>
        <w:t>10.00</w:t>
      </w:r>
      <w:bookmarkEnd w:id="96"/>
      <w:r>
        <w:rPr>
          <w:rFonts w:hint="eastAsia"/>
          <w:sz w:val="21"/>
          <w:szCs w:val="21"/>
        </w:rPr>
        <w:t>元，追加购买最低金额为</w:t>
      </w:r>
      <w:bookmarkStart w:id="97" w:name="field_59_dealerlaterpurminamount_1"/>
      <w:r>
        <w:rPr>
          <w:sz w:val="21"/>
          <w:szCs w:val="21"/>
        </w:rPr>
        <w:t>10.00</w:t>
      </w:r>
      <w:bookmarkEnd w:id="97"/>
      <w:r>
        <w:rPr>
          <w:rFonts w:hint="eastAsia"/>
          <w:sz w:val="21"/>
          <w:szCs w:val="21"/>
        </w:rPr>
        <w:t xml:space="preserve">元；详情请见当地销售机构公告； </w:t>
      </w:r>
    </w:p>
    <w:p>
      <w:pPr>
        <w:pStyle w:val="8"/>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8" w:name="field_59_minholdshare_1"/>
      <w:r>
        <w:rPr>
          <w:sz w:val="21"/>
          <w:szCs w:val="21"/>
        </w:rPr>
        <w:t>10</w:t>
      </w:r>
      <w:bookmarkEnd w:id="98"/>
      <w:r>
        <w:rPr>
          <w:rFonts w:hint="eastAsia"/>
          <w:sz w:val="21"/>
          <w:szCs w:val="21"/>
        </w:rPr>
        <w:t>份，若某笔赎回导致单个交易账户的某一类别基金份额余额少于</w:t>
      </w:r>
      <w:bookmarkStart w:id="99" w:name="field_59_minholdshare_2"/>
      <w:r>
        <w:rPr>
          <w:sz w:val="21"/>
          <w:szCs w:val="21"/>
        </w:rPr>
        <w:t>10</w:t>
      </w:r>
      <w:bookmarkEnd w:id="99"/>
      <w:r>
        <w:rPr>
          <w:rFonts w:hint="eastAsia"/>
          <w:sz w:val="21"/>
          <w:szCs w:val="21"/>
        </w:rPr>
        <w:t xml:space="preserve">份时，该类基金份额余额部分必须一同赎回；   </w:t>
      </w:r>
    </w:p>
    <w:p>
      <w:pPr>
        <w:pStyle w:val="8"/>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法律法规、监管机构或基金合同另有约定的除外； </w:t>
      </w:r>
    </w:p>
    <w:p>
      <w:pPr>
        <w:pStyle w:val="8"/>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8"/>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5、基金管理人可在法律法规允许的情况下，调整上述规定申购金额和赎回份额的数量限制。基金管理人必须在调整实施前依照《信息披露办法》的有关规定进行公告。 </w:t>
      </w:r>
    </w:p>
    <w:p>
      <w:pPr>
        <w:pStyle w:val="8"/>
        <w:spacing w:before="0" w:beforeAutospacing="0" w:after="0" w:afterAutospacing="0" w:line="360" w:lineRule="auto"/>
        <w:ind w:firstLine="420"/>
        <w:rPr>
          <w:sz w:val="21"/>
          <w:szCs w:val="21"/>
        </w:rPr>
      </w:pPr>
      <w:r>
        <w:rPr>
          <w:rFonts w:hint="eastAsia"/>
          <w:b/>
          <w:bCs/>
          <w:sz w:val="21"/>
          <w:szCs w:val="21"/>
        </w:rPr>
        <w:t>五、申购与赎回的程序</w:t>
      </w:r>
    </w:p>
    <w:p>
      <w:pPr>
        <w:pStyle w:val="8"/>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8"/>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8"/>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8"/>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投资人申购基金份额时，必须全额交付申购款项，投资人全额交付申购款项，申购申请成立；登记机构确认基金份额时，申购生效。 </w:t>
      </w:r>
    </w:p>
    <w:p>
      <w:pPr>
        <w:pStyle w:val="8"/>
        <w:spacing w:before="0" w:beforeAutospacing="0" w:after="0" w:afterAutospacing="0" w:line="360" w:lineRule="auto"/>
        <w:ind w:firstLine="420"/>
        <w:rPr>
          <w:sz w:val="21"/>
          <w:szCs w:val="21"/>
        </w:rPr>
      </w:pPr>
      <w:r>
        <w:rPr>
          <w:rFonts w:hint="eastAsia"/>
          <w:sz w:val="21"/>
          <w:szCs w:val="21"/>
        </w:rPr>
        <w:t xml:space="preserve">基金份额持有人递交赎回申请，赎回成立；登记机构确认赎回时，赎回生效。投资人赎回申请生效后，基金管理人将在T＋7日(包括该日)内支付赎回款项。在发生巨额赎回或基金合同约定的其他暂停赎回或延缓支付赎回款项的情形时，款项的支付办法参照基金合同有关条款处理。 </w:t>
      </w:r>
    </w:p>
    <w:p>
      <w:pPr>
        <w:pStyle w:val="8"/>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遇交易所或交易市场数据传输延迟、通讯系统故障、银行数据交换系统故障或其他非基金管理人及基金托管人所能控制的因素影响业务处理流程，则赎回款项划付时间相应顺延。 </w:t>
      </w:r>
    </w:p>
    <w:p>
      <w:pPr>
        <w:pStyle w:val="8"/>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8"/>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8"/>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pPr>
        <w:pStyle w:val="8"/>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基金管理人可以在法律法规和基金合同允许的范围内，对上述业务办理时间进行调整，并在调整实施前依照《信息披露办法》的有关规定在指定媒介上公告。 </w:t>
      </w:r>
    </w:p>
    <w:p>
      <w:pPr>
        <w:pStyle w:val="8"/>
        <w:spacing w:before="0" w:beforeAutospacing="0" w:after="0" w:afterAutospacing="0" w:line="360" w:lineRule="auto"/>
        <w:ind w:firstLine="420"/>
        <w:rPr>
          <w:sz w:val="21"/>
          <w:szCs w:val="21"/>
        </w:rPr>
      </w:pPr>
      <w:r>
        <w:rPr>
          <w:rFonts w:hint="eastAsia"/>
          <w:b/>
          <w:bCs/>
          <w:sz w:val="21"/>
          <w:szCs w:val="21"/>
        </w:rPr>
        <w:t>六、申购费率、赎回费率</w:t>
      </w:r>
    </w:p>
    <w:p>
      <w:pPr>
        <w:pStyle w:val="8"/>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pPr>
        <w:pStyle w:val="8"/>
        <w:spacing w:before="0" w:beforeAutospacing="0" w:after="0" w:afterAutospacing="0" w:line="360" w:lineRule="auto"/>
        <w:ind w:firstLine="420"/>
        <w:rPr>
          <w:sz w:val="21"/>
          <w:szCs w:val="21"/>
        </w:rPr>
      </w:pPr>
      <w:r>
        <w:rPr>
          <w:rFonts w:hint="eastAsia"/>
          <w:sz w:val="21"/>
          <w:szCs w:val="21"/>
        </w:rPr>
        <w:t xml:space="preserve">本基金采用前端收费模式收取基金申购费用。投资者的申购费用如下： </w:t>
      </w:r>
    </w:p>
    <w:p>
      <w:pPr>
        <w:pStyle w:val="8"/>
        <w:spacing w:before="0" w:beforeAutospacing="0" w:after="0" w:afterAutospacing="0" w:line="360" w:lineRule="auto"/>
        <w:ind w:firstLine="420"/>
        <w:jc w:val="center"/>
        <w:rPr>
          <w:sz w:val="21"/>
          <w:szCs w:val="21"/>
        </w:rPr>
      </w:pPr>
      <w:r>
        <w:rPr>
          <w:rFonts w:hint="eastAsia"/>
          <w:sz w:val="21"/>
          <w:szCs w:val="21"/>
        </w:rPr>
        <w:t xml:space="preserve">表1：本基金的申购费率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4"/>
        <w:gridCol w:w="2925"/>
        <w:gridCol w:w="2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金额（M）    </w:t>
            </w:r>
          </w:p>
        </w:tc>
        <w:tc>
          <w:tcPr>
            <w:tcW w:w="3540" w:type="dxa"/>
            <w:shd w:val="clear" w:color="auto" w:fill="auto"/>
          </w:tcPr>
          <w:p>
            <w:pPr>
              <w:pStyle w:val="8"/>
              <w:jc w:val="center"/>
            </w:pPr>
            <w:r>
              <w:rPr>
                <w:rFonts w:hint="eastAsia"/>
              </w:rPr>
              <w:t xml:space="preserve">A类基金份额申购费率    </w:t>
            </w:r>
          </w:p>
        </w:tc>
        <w:tc>
          <w:tcPr>
            <w:tcW w:w="3540" w:type="dxa"/>
            <w:shd w:val="clear" w:color="auto" w:fill="auto"/>
          </w:tcPr>
          <w:p>
            <w:pPr>
              <w:pStyle w:val="8"/>
              <w:jc w:val="center"/>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M＜100万    </w:t>
            </w:r>
          </w:p>
        </w:tc>
        <w:tc>
          <w:tcPr>
            <w:tcW w:w="3540" w:type="dxa"/>
            <w:shd w:val="clear" w:color="auto" w:fill="auto"/>
          </w:tcPr>
          <w:p>
            <w:pPr>
              <w:pStyle w:val="8"/>
              <w:jc w:val="center"/>
            </w:pPr>
            <w:r>
              <w:rPr>
                <w:rFonts w:hint="eastAsia"/>
              </w:rPr>
              <w:t xml:space="preserve">0.80%    </w:t>
            </w:r>
          </w:p>
        </w:tc>
        <w:tc>
          <w:tcPr>
            <w:tcW w:w="3540" w:type="dxa"/>
            <w:vMerge w:val="restart"/>
            <w:shd w:val="clear" w:color="auto" w:fill="auto"/>
          </w:tcPr>
          <w:p>
            <w:pPr>
              <w:pStyle w:val="8"/>
              <w:jc w:val="center"/>
            </w:pPr>
            <w:r>
              <w:rPr>
                <w:rFonts w:hint="eastAsia"/>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100万≤M＜300万    </w:t>
            </w:r>
          </w:p>
        </w:tc>
        <w:tc>
          <w:tcPr>
            <w:tcW w:w="3540" w:type="dxa"/>
            <w:shd w:val="clear" w:color="auto" w:fill="auto"/>
          </w:tcPr>
          <w:p>
            <w:pPr>
              <w:pStyle w:val="8"/>
              <w:jc w:val="center"/>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300万≤M＜500万    </w:t>
            </w:r>
          </w:p>
        </w:tc>
        <w:tc>
          <w:tcPr>
            <w:tcW w:w="3540" w:type="dxa"/>
            <w:shd w:val="clear" w:color="auto" w:fill="auto"/>
          </w:tcPr>
          <w:p>
            <w:pPr>
              <w:pStyle w:val="8"/>
              <w:jc w:val="center"/>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M≥500万    </w:t>
            </w:r>
          </w:p>
        </w:tc>
        <w:tc>
          <w:tcPr>
            <w:tcW w:w="3540" w:type="dxa"/>
            <w:shd w:val="clear" w:color="auto" w:fill="auto"/>
          </w:tcPr>
          <w:p>
            <w:pPr>
              <w:pStyle w:val="8"/>
              <w:jc w:val="center"/>
            </w:pPr>
            <w:r>
              <w:rPr>
                <w:rFonts w:hint="eastAsia"/>
              </w:rPr>
              <w:t xml:space="preserve">每笔1000元    </w:t>
            </w:r>
          </w:p>
        </w:tc>
        <w:tc>
          <w:tcPr>
            <w:tcW w:w="0" w:type="auto"/>
            <w:vMerge w:val="continue"/>
            <w:shd w:val="clear" w:color="auto" w:fill="auto"/>
          </w:tcPr>
          <w:p>
            <w:pPr>
              <w:rPr>
                <w:rFonts w:ascii="宋体" w:hAnsi="宋体" w:eastAsia="宋体" w:cs="宋体"/>
                <w:sz w:val="24"/>
                <w:szCs w:val="24"/>
              </w:rPr>
            </w:pPr>
          </w:p>
        </w:tc>
      </w:tr>
    </w:tbl>
    <w:p>
      <w:pPr>
        <w:pStyle w:val="8"/>
        <w:spacing w:before="0" w:beforeAutospacing="0" w:after="0" w:afterAutospacing="0" w:line="360" w:lineRule="auto"/>
        <w:ind w:firstLine="420"/>
        <w:rPr>
          <w:rFonts w:hint="eastAsia"/>
          <w:sz w:val="21"/>
          <w:szCs w:val="21"/>
        </w:rPr>
      </w:pPr>
      <w:r>
        <w:rPr>
          <w:rFonts w:hint="eastAsia"/>
          <w:sz w:val="21"/>
          <w:szCs w:val="21"/>
          <w:lang w:val="en-US" w:eastAsia="zh-CN"/>
        </w:rPr>
        <w:t>本基金A类基金份额的申购费用由申购本基金A类基金份额的投资人承担，主要用于本基金的市场推广、销售、登记等各项费用，不列入基金财产。C类基金份额不收取申购费用。 </w:t>
      </w:r>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2、赎回费率见下表： </w:t>
      </w:r>
    </w:p>
    <w:p>
      <w:pPr>
        <w:pStyle w:val="8"/>
        <w:spacing w:before="0" w:beforeAutospacing="0" w:after="0" w:afterAutospacing="0" w:line="360" w:lineRule="auto"/>
        <w:ind w:firstLine="420"/>
        <w:jc w:val="center"/>
        <w:rPr>
          <w:sz w:val="21"/>
          <w:szCs w:val="21"/>
        </w:rPr>
      </w:pPr>
      <w:r>
        <w:rPr>
          <w:rFonts w:hint="eastAsia"/>
          <w:sz w:val="21"/>
          <w:szCs w:val="21"/>
        </w:rPr>
        <w:t xml:space="preserve">表2：本基金的赎回费率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5"/>
        <w:gridCol w:w="2814"/>
        <w:gridCol w:w="2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持有时间（Y）    </w:t>
            </w:r>
          </w:p>
        </w:tc>
        <w:tc>
          <w:tcPr>
            <w:tcW w:w="3540" w:type="dxa"/>
            <w:shd w:val="clear" w:color="auto" w:fill="auto"/>
          </w:tcPr>
          <w:p>
            <w:pPr>
              <w:pStyle w:val="8"/>
              <w:jc w:val="center"/>
            </w:pPr>
            <w:r>
              <w:rPr>
                <w:rFonts w:hint="eastAsia"/>
              </w:rPr>
              <w:t xml:space="preserve">A类基金份额赎回费率    </w:t>
            </w:r>
          </w:p>
        </w:tc>
        <w:tc>
          <w:tcPr>
            <w:tcW w:w="3540" w:type="dxa"/>
            <w:shd w:val="clear" w:color="auto" w:fill="auto"/>
          </w:tcPr>
          <w:p>
            <w:pPr>
              <w:pStyle w:val="8"/>
              <w:jc w:val="center"/>
            </w:pPr>
            <w:r>
              <w:rPr>
                <w:rFonts w:hint="eastAsia"/>
              </w:rPr>
              <w:t xml:space="preserve">C类基金份额赎回费率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Y &lt; 7日    </w:t>
            </w:r>
          </w:p>
        </w:tc>
        <w:tc>
          <w:tcPr>
            <w:tcW w:w="3540" w:type="dxa"/>
            <w:shd w:val="clear" w:color="auto" w:fill="auto"/>
          </w:tcPr>
          <w:p>
            <w:pPr>
              <w:pStyle w:val="8"/>
              <w:jc w:val="center"/>
            </w:pPr>
            <w:r>
              <w:rPr>
                <w:rFonts w:hint="eastAsia"/>
              </w:rPr>
              <w:t xml:space="preserve">1.50%  </w:t>
            </w:r>
          </w:p>
        </w:tc>
        <w:tc>
          <w:tcPr>
            <w:tcW w:w="3540" w:type="dxa"/>
            <w:shd w:val="clear" w:color="auto" w:fill="auto"/>
          </w:tcPr>
          <w:p>
            <w:pPr>
              <w:pStyle w:val="8"/>
              <w:jc w:val="center"/>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7日≤Y＜3个月    </w:t>
            </w:r>
          </w:p>
        </w:tc>
        <w:tc>
          <w:tcPr>
            <w:tcW w:w="3540" w:type="dxa"/>
            <w:shd w:val="clear" w:color="auto" w:fill="auto"/>
          </w:tcPr>
          <w:p>
            <w:pPr>
              <w:pStyle w:val="8"/>
              <w:jc w:val="center"/>
            </w:pPr>
            <w:r>
              <w:rPr>
                <w:rFonts w:hint="eastAsia"/>
              </w:rPr>
              <w:t xml:space="preserve">0.10%  </w:t>
            </w:r>
          </w:p>
        </w:tc>
        <w:tc>
          <w:tcPr>
            <w:tcW w:w="3540" w:type="dxa"/>
            <w:vMerge w:val="restart"/>
            <w:shd w:val="clear" w:color="auto" w:fill="auto"/>
          </w:tcPr>
          <w:p>
            <w:pPr>
              <w:pStyle w:val="8"/>
              <w:jc w:val="center"/>
            </w:pPr>
            <w:r>
              <w:rPr>
                <w:rFonts w:hint="eastAsia"/>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Y≥3个月    </w:t>
            </w:r>
          </w:p>
        </w:tc>
        <w:tc>
          <w:tcPr>
            <w:tcW w:w="3540" w:type="dxa"/>
            <w:shd w:val="clear" w:color="auto" w:fill="auto"/>
          </w:tcPr>
          <w:p>
            <w:pPr>
              <w:pStyle w:val="8"/>
              <w:jc w:val="center"/>
            </w:pPr>
            <w:r>
              <w:rPr>
                <w:rFonts w:hint="eastAsia"/>
              </w:rPr>
              <w:t xml:space="preserve">0%  </w:t>
            </w:r>
          </w:p>
        </w:tc>
        <w:tc>
          <w:tcPr>
            <w:tcW w:w="0" w:type="auto"/>
            <w:vMerge w:val="continue"/>
            <w:shd w:val="clear" w:color="auto" w:fill="auto"/>
          </w:tcPr>
          <w:p>
            <w:pPr>
              <w:rPr>
                <w:rFonts w:ascii="宋体" w:hAnsi="宋体" w:eastAsia="宋体" w:cs="宋体"/>
                <w:sz w:val="24"/>
                <w:szCs w:val="24"/>
              </w:rPr>
            </w:pPr>
          </w:p>
        </w:tc>
      </w:tr>
    </w:tbl>
    <w:p>
      <w:pPr>
        <w:pStyle w:val="8"/>
        <w:spacing w:before="0" w:beforeAutospacing="0" w:after="0" w:afterAutospacing="0" w:line="360" w:lineRule="auto"/>
        <w:ind w:firstLine="420"/>
        <w:jc w:val="both"/>
        <w:rPr>
          <w:sz w:val="21"/>
          <w:szCs w:val="21"/>
        </w:rPr>
      </w:pPr>
      <w:r>
        <w:rPr>
          <w:rFonts w:hint="eastAsia"/>
          <w:sz w:val="21"/>
          <w:szCs w:val="21"/>
        </w:rPr>
        <w:t xml:space="preserve">注：1月指30日   </w:t>
      </w:r>
    </w:p>
    <w:p>
      <w:pPr>
        <w:pStyle w:val="8"/>
        <w:spacing w:before="0" w:beforeAutospacing="0" w:after="0" w:afterAutospacing="0" w:line="360" w:lineRule="auto"/>
        <w:ind w:firstLine="420"/>
        <w:jc w:val="both"/>
        <w:rPr>
          <w:sz w:val="21"/>
          <w:szCs w:val="21"/>
        </w:rPr>
      </w:pPr>
      <w:r>
        <w:rPr>
          <w:rFonts w:hint="eastAsia"/>
          <w:sz w:val="21"/>
          <w:szCs w:val="21"/>
        </w:rPr>
        <w:t xml:space="preserve">本基金的赎回费用由赎回基金份额的基金份额持有人承担，在基金份额持有人赎回基金份额时收取。对于A类基金份额，本基金对持续持有期少于7日的投资者收取的赎回费全额计入基金财产，对持续持有期大于等于7日但少于3个月的投资者收取的赎回费中，不低于赎回费总额的25%计入基金财产，其余用于支付登记费和其他必要的手续费。对于C类基金份额，对持续持有期少于7日的投资者收取的赎回费，全额计入基金财产。   </w:t>
      </w:r>
    </w:p>
    <w:p>
      <w:pPr>
        <w:pStyle w:val="8"/>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pPr>
        <w:pStyle w:val="8"/>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3、基金管理人可以在基金合同约定的范围内调整费率或收费方式，并依照《信息披露办法》的有关规定进行公告。 </w:t>
      </w:r>
    </w:p>
    <w:p>
      <w:pPr>
        <w:pStyle w:val="8"/>
        <w:spacing w:before="0" w:beforeAutospacing="0" w:after="0" w:afterAutospacing="0" w:line="360" w:lineRule="auto"/>
        <w:ind w:firstLine="420"/>
        <w:rPr>
          <w:sz w:val="21"/>
          <w:szCs w:val="21"/>
        </w:rPr>
      </w:pPr>
      <w:r>
        <w:rPr>
          <w:rFonts w:hint="eastAsia"/>
          <w:b/>
          <w:bCs/>
          <w:sz w:val="21"/>
          <w:szCs w:val="21"/>
        </w:rPr>
        <w:t>七、申购份额与赎回金额的计算方式</w:t>
      </w:r>
    </w:p>
    <w:p>
      <w:pPr>
        <w:pStyle w:val="8"/>
        <w:spacing w:before="0" w:beforeAutospacing="0" w:after="0" w:afterAutospacing="0" w:line="360" w:lineRule="auto"/>
        <w:ind w:firstLine="420"/>
        <w:rPr>
          <w:sz w:val="21"/>
          <w:szCs w:val="21"/>
        </w:rPr>
      </w:pPr>
      <w:r>
        <w:rPr>
          <w:rFonts w:hint="eastAsia"/>
          <w:sz w:val="21"/>
          <w:szCs w:val="21"/>
        </w:rPr>
        <w:t xml:space="preserve">1、申购金额的计算方式： </w:t>
      </w:r>
    </w:p>
    <w:p>
      <w:pPr>
        <w:pStyle w:val="8"/>
        <w:spacing w:before="0" w:beforeAutospacing="0" w:after="0" w:afterAutospacing="0" w:line="360" w:lineRule="auto"/>
        <w:ind w:firstLine="420"/>
        <w:rPr>
          <w:sz w:val="21"/>
          <w:szCs w:val="21"/>
        </w:rPr>
      </w:pPr>
      <w:r>
        <w:rPr>
          <w:rFonts w:hint="eastAsia"/>
          <w:sz w:val="21"/>
          <w:szCs w:val="21"/>
        </w:rPr>
        <w:t xml:space="preserve">（1）A类基金份额  </w:t>
      </w:r>
    </w:p>
    <w:p>
      <w:pPr>
        <w:pStyle w:val="8"/>
        <w:spacing w:before="0" w:beforeAutospacing="0" w:after="0" w:afterAutospacing="0" w:line="360" w:lineRule="auto"/>
        <w:ind w:firstLine="420"/>
        <w:rPr>
          <w:sz w:val="21"/>
          <w:szCs w:val="21"/>
        </w:rPr>
      </w:pPr>
      <w:r>
        <w:rPr>
          <w:rFonts w:hint="eastAsia"/>
          <w:sz w:val="21"/>
          <w:szCs w:val="21"/>
        </w:rPr>
        <w:t xml:space="preserve">1）申购费用适用比例费率的情形下： </w:t>
      </w:r>
    </w:p>
    <w:p>
      <w:pPr>
        <w:pStyle w:val="8"/>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8"/>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8"/>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8"/>
        <w:spacing w:before="0" w:beforeAutospacing="0" w:after="0" w:afterAutospacing="0" w:line="360" w:lineRule="auto"/>
        <w:ind w:firstLine="420"/>
        <w:rPr>
          <w:sz w:val="21"/>
          <w:szCs w:val="21"/>
        </w:rPr>
      </w:pPr>
      <w:r>
        <w:rPr>
          <w:rFonts w:hint="eastAsia"/>
          <w:sz w:val="21"/>
          <w:szCs w:val="21"/>
        </w:rPr>
        <w:t xml:space="preserve">2）申购费用适用固定金额的情形下： </w:t>
      </w:r>
    </w:p>
    <w:p>
      <w:pPr>
        <w:pStyle w:val="8"/>
        <w:spacing w:before="0" w:beforeAutospacing="0" w:after="0" w:afterAutospacing="0" w:line="360" w:lineRule="auto"/>
        <w:ind w:firstLine="420"/>
        <w:rPr>
          <w:sz w:val="21"/>
          <w:szCs w:val="21"/>
        </w:rPr>
      </w:pPr>
      <w:r>
        <w:rPr>
          <w:rFonts w:hint="eastAsia"/>
          <w:sz w:val="21"/>
          <w:szCs w:val="21"/>
        </w:rPr>
        <w:t xml:space="preserve">申购费用=固定金额   </w:t>
      </w:r>
    </w:p>
    <w:p>
      <w:pPr>
        <w:pStyle w:val="8"/>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8"/>
        <w:spacing w:before="0" w:beforeAutospacing="0" w:after="0" w:afterAutospacing="0" w:line="360" w:lineRule="auto"/>
        <w:ind w:firstLine="420"/>
        <w:rPr>
          <w:sz w:val="21"/>
          <w:szCs w:val="21"/>
        </w:rPr>
      </w:pPr>
      <w:r>
        <w:rPr>
          <w:rFonts w:hint="eastAsia"/>
          <w:sz w:val="21"/>
          <w:szCs w:val="21"/>
        </w:rPr>
        <w:t xml:space="preserve">申购份额=净申购金额/T日A类基金份额净值   </w:t>
      </w:r>
    </w:p>
    <w:p>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8"/>
        <w:spacing w:before="0" w:beforeAutospacing="0" w:after="0" w:afterAutospacing="0" w:line="360" w:lineRule="auto"/>
        <w:ind w:firstLine="420"/>
        <w:rPr>
          <w:sz w:val="21"/>
          <w:szCs w:val="21"/>
        </w:rPr>
      </w:pPr>
      <w:r>
        <w:rPr>
          <w:rFonts w:hint="eastAsia"/>
          <w:sz w:val="21"/>
          <w:szCs w:val="21"/>
        </w:rPr>
        <w:t xml:space="preserve"> 例1：假定T日A类基金份额净值为1.0560元，某投资人本次申购本基金A类基金份额40万元，对应的本次申购费率为0.80%，该投资人可得到的基金份额为： </w:t>
      </w:r>
    </w:p>
    <w:p>
      <w:pPr>
        <w:pStyle w:val="8"/>
        <w:spacing w:before="0" w:beforeAutospacing="0" w:after="0" w:afterAutospacing="0" w:line="360" w:lineRule="auto"/>
        <w:ind w:firstLine="420"/>
        <w:rPr>
          <w:sz w:val="21"/>
          <w:szCs w:val="21"/>
        </w:rPr>
      </w:pPr>
      <w:r>
        <w:rPr>
          <w:rFonts w:hint="eastAsia"/>
          <w:sz w:val="21"/>
          <w:szCs w:val="21"/>
        </w:rPr>
        <w:t xml:space="preserve">净申购金额=400,000/（1+0.80%）＝396,825.40元   </w:t>
      </w:r>
    </w:p>
    <w:p>
      <w:pPr>
        <w:pStyle w:val="8"/>
        <w:spacing w:before="0" w:beforeAutospacing="0" w:after="0" w:afterAutospacing="0" w:line="360" w:lineRule="auto"/>
        <w:ind w:firstLine="420"/>
        <w:rPr>
          <w:sz w:val="21"/>
          <w:szCs w:val="21"/>
        </w:rPr>
      </w:pPr>
      <w:r>
        <w:rPr>
          <w:rFonts w:hint="eastAsia"/>
          <w:sz w:val="21"/>
          <w:szCs w:val="21"/>
        </w:rPr>
        <w:t xml:space="preserve">申购费用=400,000-396,825.40＝3,174.60元   </w:t>
      </w:r>
    </w:p>
    <w:p>
      <w:pPr>
        <w:pStyle w:val="8"/>
        <w:spacing w:before="0" w:beforeAutospacing="0" w:after="0" w:afterAutospacing="0" w:line="360" w:lineRule="auto"/>
        <w:ind w:firstLine="420"/>
        <w:rPr>
          <w:sz w:val="21"/>
          <w:szCs w:val="21"/>
        </w:rPr>
      </w:pPr>
      <w:r>
        <w:rPr>
          <w:rFonts w:hint="eastAsia"/>
          <w:sz w:val="21"/>
          <w:szCs w:val="21"/>
        </w:rPr>
        <w:t xml:space="preserve">申购份额=396,825.40/1.0560＝375,781.63份   </w:t>
      </w:r>
    </w:p>
    <w:p>
      <w:pPr>
        <w:pStyle w:val="8"/>
        <w:spacing w:before="0" w:beforeAutospacing="0" w:after="0" w:afterAutospacing="0" w:line="360" w:lineRule="auto"/>
        <w:ind w:firstLine="420"/>
        <w:rPr>
          <w:sz w:val="21"/>
          <w:szCs w:val="21"/>
        </w:rPr>
      </w:pPr>
      <w:r>
        <w:rPr>
          <w:rFonts w:hint="eastAsia"/>
          <w:sz w:val="21"/>
          <w:szCs w:val="21"/>
        </w:rPr>
        <w:t xml:space="preserve">即：投资人投资40万元申购本基金A类基金份额，假定申购当日A类基金份额净值为1.0560元，可得到375,781.63份A类基金份额。   </w:t>
      </w:r>
    </w:p>
    <w:p>
      <w:pPr>
        <w:pStyle w:val="8"/>
        <w:spacing w:before="0" w:beforeAutospacing="0" w:after="0" w:afterAutospacing="0" w:line="360" w:lineRule="auto"/>
        <w:ind w:firstLine="420"/>
        <w:rPr>
          <w:sz w:val="21"/>
          <w:szCs w:val="21"/>
        </w:rPr>
      </w:pPr>
      <w:r>
        <w:rPr>
          <w:rFonts w:hint="eastAsia"/>
          <w:sz w:val="21"/>
          <w:szCs w:val="21"/>
        </w:rPr>
        <w:t xml:space="preserve">例2：假定T日A类基金份额净值为1.0560元，某投资人投资600万元申购本基金A类基金份额，其对应的申购费用为1000元，则其可得到的申购份额为：   </w:t>
      </w:r>
    </w:p>
    <w:p>
      <w:pPr>
        <w:pStyle w:val="8"/>
        <w:spacing w:before="0" w:beforeAutospacing="0" w:after="0" w:afterAutospacing="0" w:line="360" w:lineRule="auto"/>
        <w:ind w:firstLine="420"/>
        <w:rPr>
          <w:sz w:val="21"/>
          <w:szCs w:val="21"/>
        </w:rPr>
      </w:pPr>
      <w:r>
        <w:rPr>
          <w:rFonts w:hint="eastAsia"/>
          <w:sz w:val="21"/>
          <w:szCs w:val="21"/>
        </w:rPr>
        <w:t xml:space="preserve">申购费用＝1000.00元   </w:t>
      </w:r>
    </w:p>
    <w:p>
      <w:pPr>
        <w:pStyle w:val="8"/>
        <w:spacing w:before="0" w:beforeAutospacing="0" w:after="0" w:afterAutospacing="0" w:line="360" w:lineRule="auto"/>
        <w:ind w:firstLine="420"/>
        <w:rPr>
          <w:sz w:val="21"/>
          <w:szCs w:val="21"/>
        </w:rPr>
      </w:pPr>
      <w:r>
        <w:rPr>
          <w:rFonts w:hint="eastAsia"/>
          <w:sz w:val="21"/>
          <w:szCs w:val="21"/>
        </w:rPr>
        <w:t xml:space="preserve">净申购金额＝6,000,000－1000＝5,999,000.00元   </w:t>
      </w:r>
    </w:p>
    <w:p>
      <w:pPr>
        <w:pStyle w:val="8"/>
        <w:spacing w:before="0" w:beforeAutospacing="0" w:after="0" w:afterAutospacing="0" w:line="360" w:lineRule="auto"/>
        <w:ind w:firstLine="420"/>
        <w:rPr>
          <w:sz w:val="21"/>
          <w:szCs w:val="21"/>
        </w:rPr>
      </w:pPr>
      <w:r>
        <w:rPr>
          <w:rFonts w:hint="eastAsia"/>
          <w:sz w:val="21"/>
          <w:szCs w:val="21"/>
        </w:rPr>
        <w:t xml:space="preserve">申购份额＝5,999,000.00/1.0560＝5,680,871.21份   </w:t>
      </w:r>
    </w:p>
    <w:p>
      <w:pPr>
        <w:pStyle w:val="8"/>
        <w:spacing w:before="0" w:beforeAutospacing="0" w:after="0" w:afterAutospacing="0" w:line="360" w:lineRule="auto"/>
        <w:ind w:firstLine="420"/>
        <w:rPr>
          <w:sz w:val="21"/>
          <w:szCs w:val="21"/>
        </w:rPr>
      </w:pPr>
      <w:r>
        <w:rPr>
          <w:rFonts w:hint="eastAsia"/>
          <w:sz w:val="21"/>
          <w:szCs w:val="21"/>
        </w:rPr>
        <w:t xml:space="preserve">即，投资人投资600万元申购本基金A类基金份额，假定申购当日A类基金份额净值为1.0560元，可得到5,680,871.21份A类基金份额。   </w:t>
      </w:r>
    </w:p>
    <w:p>
      <w:pPr>
        <w:pStyle w:val="8"/>
        <w:spacing w:before="0" w:beforeAutospacing="0" w:after="0" w:afterAutospacing="0" w:line="360" w:lineRule="auto"/>
        <w:ind w:firstLine="420"/>
        <w:rPr>
          <w:sz w:val="21"/>
          <w:szCs w:val="21"/>
        </w:rPr>
      </w:pPr>
      <w:r>
        <w:rPr>
          <w:rFonts w:hint="eastAsia"/>
          <w:sz w:val="21"/>
          <w:szCs w:val="21"/>
        </w:rPr>
        <w:t xml:space="preserve">（2）C类基金份额  </w:t>
      </w:r>
    </w:p>
    <w:p>
      <w:pPr>
        <w:pStyle w:val="8"/>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8"/>
        <w:spacing w:before="0" w:beforeAutospacing="0" w:after="0" w:afterAutospacing="0" w:line="360" w:lineRule="auto"/>
        <w:ind w:firstLine="420"/>
        <w:rPr>
          <w:sz w:val="21"/>
          <w:szCs w:val="21"/>
        </w:rPr>
      </w:pPr>
      <w:r>
        <w:rPr>
          <w:rFonts w:hint="eastAsia"/>
          <w:sz w:val="21"/>
          <w:szCs w:val="21"/>
        </w:rPr>
        <w:t xml:space="preserve">例3：假设某投资者投资10万元申购本基金C类基金份额，申购当日本基金C类基金份额净值为1.0600元，则可得到的申购份额为： </w:t>
      </w:r>
    </w:p>
    <w:p>
      <w:pPr>
        <w:pStyle w:val="8"/>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8"/>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pPr>
        <w:pStyle w:val="8"/>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8"/>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8"/>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8"/>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8"/>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8"/>
        <w:spacing w:before="0" w:beforeAutospacing="0" w:after="0" w:afterAutospacing="0" w:line="360" w:lineRule="auto"/>
        <w:ind w:firstLine="420"/>
        <w:rPr>
          <w:sz w:val="21"/>
          <w:szCs w:val="21"/>
        </w:rPr>
      </w:pPr>
      <w:r>
        <w:rPr>
          <w:rFonts w:hint="eastAsia"/>
          <w:sz w:val="21"/>
          <w:szCs w:val="21"/>
        </w:rPr>
        <w:t xml:space="preserve">例4：某投资者赎回本基金1万份A类基金份额，持有时间为三年，对应的赎回费率为0%，假设赎回当日A类基金份额净值是1.2500元，则其可得到的赎回金额为：   </w:t>
      </w:r>
    </w:p>
    <w:p>
      <w:pPr>
        <w:pStyle w:val="8"/>
        <w:spacing w:before="0" w:beforeAutospacing="0" w:after="0" w:afterAutospacing="0" w:line="360" w:lineRule="auto"/>
        <w:ind w:firstLine="420"/>
        <w:rPr>
          <w:sz w:val="21"/>
          <w:szCs w:val="21"/>
        </w:rPr>
      </w:pPr>
      <w:r>
        <w:rPr>
          <w:rFonts w:hint="eastAsia"/>
          <w:sz w:val="21"/>
          <w:szCs w:val="21"/>
        </w:rPr>
        <w:t xml:space="preserve">赎回总金额=10,000×1.2500=12,500.00 元   </w:t>
      </w:r>
    </w:p>
    <w:p>
      <w:pPr>
        <w:pStyle w:val="8"/>
        <w:spacing w:before="0" w:beforeAutospacing="0" w:after="0" w:afterAutospacing="0" w:line="360" w:lineRule="auto"/>
        <w:ind w:firstLine="420"/>
        <w:rPr>
          <w:sz w:val="21"/>
          <w:szCs w:val="21"/>
        </w:rPr>
      </w:pPr>
      <w:r>
        <w:rPr>
          <w:rFonts w:hint="eastAsia"/>
          <w:sz w:val="21"/>
          <w:szCs w:val="21"/>
        </w:rPr>
        <w:t xml:space="preserve">赎回费用=12,500.00×0%=0.00 元   </w:t>
      </w:r>
    </w:p>
    <w:p>
      <w:pPr>
        <w:pStyle w:val="8"/>
        <w:spacing w:before="0" w:beforeAutospacing="0" w:after="0" w:afterAutospacing="0" w:line="360" w:lineRule="auto"/>
        <w:ind w:firstLine="420"/>
        <w:rPr>
          <w:sz w:val="21"/>
          <w:szCs w:val="21"/>
        </w:rPr>
      </w:pPr>
      <w:r>
        <w:rPr>
          <w:rFonts w:hint="eastAsia"/>
          <w:sz w:val="21"/>
          <w:szCs w:val="21"/>
        </w:rPr>
        <w:t xml:space="preserve">净赎回金额=12,500.00-0=12,500.00 元   </w:t>
      </w:r>
    </w:p>
    <w:p>
      <w:pPr>
        <w:pStyle w:val="8"/>
        <w:spacing w:before="0" w:beforeAutospacing="0" w:after="0" w:afterAutospacing="0" w:line="360" w:lineRule="auto"/>
        <w:ind w:firstLine="420"/>
        <w:rPr>
          <w:sz w:val="21"/>
          <w:szCs w:val="21"/>
        </w:rPr>
      </w:pPr>
      <w:r>
        <w:rPr>
          <w:rFonts w:hint="eastAsia"/>
          <w:sz w:val="21"/>
          <w:szCs w:val="21"/>
        </w:rPr>
        <w:t xml:space="preserve">即：投资者赎回本基金1万份A类基金份额，持有时间为三年，假设赎回当日A类基金份额净值是1.2500元，则其可得到的赎回金额为12,500.00元。   </w:t>
      </w:r>
    </w:p>
    <w:p>
      <w:pPr>
        <w:pStyle w:val="8"/>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中国证监会同意，可以适当延迟计算或公告。 </w:t>
      </w:r>
    </w:p>
    <w:p>
      <w:pPr>
        <w:pStyle w:val="8"/>
        <w:spacing w:before="0" w:beforeAutospacing="0" w:after="0" w:afterAutospacing="0" w:line="360" w:lineRule="auto"/>
        <w:ind w:firstLine="420"/>
        <w:rPr>
          <w:sz w:val="21"/>
          <w:szCs w:val="21"/>
        </w:rPr>
      </w:pPr>
      <w:r>
        <w:rPr>
          <w:rFonts w:hint="eastAsia"/>
          <w:sz w:val="21"/>
          <w:szCs w:val="21"/>
        </w:rPr>
        <w:t xml:space="preserve">4、基金管理人可以在不违背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pPr>
        <w:pStyle w:val="8"/>
        <w:spacing w:before="0" w:beforeAutospacing="0" w:after="0" w:afterAutospacing="0" w:line="360" w:lineRule="auto"/>
        <w:ind w:firstLine="420"/>
        <w:rPr>
          <w:sz w:val="21"/>
          <w:szCs w:val="21"/>
        </w:rPr>
      </w:pPr>
      <w:r>
        <w:rPr>
          <w:rFonts w:hint="eastAsia"/>
          <w:b/>
          <w:bCs/>
          <w:sz w:val="21"/>
          <w:szCs w:val="21"/>
        </w:rPr>
        <w:t>八、申购与赎回的登记</w:t>
      </w:r>
    </w:p>
    <w:p>
      <w:pPr>
        <w:pStyle w:val="8"/>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8"/>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pPr>
        <w:pStyle w:val="8"/>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pPr>
        <w:pStyle w:val="8"/>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pPr>
        <w:pStyle w:val="8"/>
        <w:spacing w:before="0" w:beforeAutospacing="0" w:after="0" w:afterAutospacing="0" w:line="360" w:lineRule="auto"/>
        <w:ind w:firstLine="420"/>
        <w:rPr>
          <w:sz w:val="21"/>
          <w:szCs w:val="21"/>
        </w:rPr>
      </w:pPr>
      <w:r>
        <w:rPr>
          <w:rFonts w:hint="eastAsia"/>
          <w:b/>
          <w:bCs/>
          <w:sz w:val="21"/>
          <w:szCs w:val="21"/>
        </w:rPr>
        <w:t>九、拒绝或暂停申购的情形及处理</w:t>
      </w:r>
    </w:p>
    <w:p>
      <w:pPr>
        <w:pStyle w:val="8"/>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8"/>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8"/>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pPr>
        <w:pStyle w:val="8"/>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8"/>
        <w:spacing w:before="0" w:beforeAutospacing="0" w:after="0" w:afterAutospacing="0" w:line="360" w:lineRule="auto"/>
        <w:ind w:firstLine="420"/>
        <w:rPr>
          <w:sz w:val="21"/>
          <w:szCs w:val="21"/>
        </w:rPr>
      </w:pPr>
      <w:r>
        <w:rPr>
          <w:rFonts w:hint="eastAsia"/>
          <w:sz w:val="21"/>
          <w:szCs w:val="21"/>
        </w:rPr>
        <w:t xml:space="preserve">6、基金管理人、基金托管人、基金销售机构或登记机构的异常情况导致基金销售系统、基金登记系统或基金会计系统无法正常运行。 </w:t>
      </w:r>
    </w:p>
    <w:p>
      <w:pPr>
        <w:pStyle w:val="8"/>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8"/>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8"/>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8"/>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拒绝或暂停申购申请时，基金管理人应当根据有关规定进行公告。如果投资人的申购申请被拒绝，被拒绝的申购款项本金将退还给投资人。在暂停申购的情况消除时，基金管理人应及时恢复申购业务的办理。 </w:t>
      </w:r>
    </w:p>
    <w:p>
      <w:pPr>
        <w:pStyle w:val="8"/>
        <w:spacing w:before="0" w:beforeAutospacing="0" w:after="0" w:afterAutospacing="0" w:line="360" w:lineRule="auto"/>
        <w:ind w:firstLine="420"/>
        <w:rPr>
          <w:sz w:val="21"/>
          <w:szCs w:val="21"/>
        </w:rPr>
      </w:pPr>
      <w:r>
        <w:rPr>
          <w:rFonts w:hint="eastAsia"/>
          <w:b/>
          <w:bCs/>
          <w:sz w:val="21"/>
          <w:szCs w:val="21"/>
        </w:rPr>
        <w:t>十、暂停赎回或延缓支付赎回款项的情形</w:t>
      </w:r>
    </w:p>
    <w:p>
      <w:pPr>
        <w:pStyle w:val="8"/>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8"/>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8"/>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pPr>
        <w:pStyle w:val="8"/>
        <w:spacing w:before="0" w:beforeAutospacing="0" w:after="0" w:afterAutospacing="0" w:line="360" w:lineRule="auto"/>
        <w:ind w:firstLine="420"/>
        <w:rPr>
          <w:sz w:val="21"/>
          <w:szCs w:val="21"/>
        </w:rPr>
      </w:pPr>
      <w:r>
        <w:rPr>
          <w:rFonts w:hint="eastAsia"/>
          <w:sz w:val="21"/>
          <w:szCs w:val="21"/>
        </w:rPr>
        <w:t xml:space="preserve">3、证券交易所交易时间非正常停市，导致基金管理人无法计算当日基金资产净值。 </w:t>
      </w:r>
    </w:p>
    <w:p>
      <w:pPr>
        <w:pStyle w:val="8"/>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8"/>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pPr>
        <w:pStyle w:val="8"/>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pPr>
        <w:pStyle w:val="8"/>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8"/>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拒绝接受或暂停接受基金份额持有人的赎回申请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8"/>
        <w:spacing w:before="0" w:beforeAutospacing="0" w:after="0" w:afterAutospacing="0" w:line="360" w:lineRule="auto"/>
        <w:ind w:firstLine="420"/>
        <w:rPr>
          <w:sz w:val="21"/>
          <w:szCs w:val="21"/>
        </w:rPr>
      </w:pPr>
      <w:r>
        <w:rPr>
          <w:rFonts w:hint="eastAsia"/>
          <w:b/>
          <w:bCs/>
          <w:sz w:val="21"/>
          <w:szCs w:val="21"/>
        </w:rPr>
        <w:t>十一、巨额赎回的情形及处理方式</w:t>
      </w:r>
    </w:p>
    <w:p>
      <w:pPr>
        <w:pStyle w:val="8"/>
        <w:spacing w:before="0" w:beforeAutospacing="0" w:after="0" w:afterAutospacing="0" w:line="360" w:lineRule="auto"/>
        <w:ind w:firstLine="420"/>
        <w:rPr>
          <w:sz w:val="21"/>
          <w:szCs w:val="21"/>
        </w:rPr>
      </w:pPr>
      <w:r>
        <w:rPr>
          <w:rFonts w:hint="eastAsia"/>
          <w:sz w:val="21"/>
          <w:szCs w:val="21"/>
        </w:rPr>
        <w:t xml:space="preserve">1、巨额赎回的认定 </w:t>
      </w:r>
    </w:p>
    <w:p>
      <w:pPr>
        <w:pStyle w:val="8"/>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0" w:name="field_49_mintredeemscale_2"/>
      <w:r>
        <w:rPr>
          <w:sz w:val="21"/>
          <w:szCs w:val="21"/>
        </w:rPr>
        <w:t>10</w:t>
      </w:r>
      <w:bookmarkEnd w:id="100"/>
      <w:r>
        <w:rPr>
          <w:rFonts w:hint="eastAsia"/>
          <w:sz w:val="21"/>
          <w:szCs w:val="21"/>
        </w:rPr>
        <w:t xml:space="preserve">%，即认为是发生了巨额赎回。 </w:t>
      </w:r>
    </w:p>
    <w:p>
      <w:pPr>
        <w:pStyle w:val="8"/>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8"/>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pPr>
        <w:pStyle w:val="8"/>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8"/>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w:t>
      </w:r>
      <w:bookmarkStart w:id="101" w:name="field_49_mintredeemscale_3"/>
      <w:r>
        <w:rPr>
          <w:sz w:val="21"/>
          <w:szCs w:val="21"/>
        </w:rPr>
        <w:t>10</w:t>
      </w:r>
      <w:bookmarkEnd w:id="101"/>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8"/>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2" w:name="field_49_mintredeemscale_4"/>
      <w:r>
        <w:rPr>
          <w:sz w:val="21"/>
          <w:szCs w:val="21"/>
        </w:rPr>
        <w:t>10</w:t>
      </w:r>
      <w:bookmarkEnd w:id="102"/>
      <w:r>
        <w:rPr>
          <w:rFonts w:hint="eastAsia"/>
          <w:sz w:val="21"/>
          <w:szCs w:val="21"/>
        </w:rPr>
        <w:t>%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w:t>
      </w:r>
      <w:bookmarkStart w:id="103" w:name="field_49_mintredeemscale_5"/>
      <w:r>
        <w:rPr>
          <w:sz w:val="21"/>
          <w:szCs w:val="21"/>
        </w:rPr>
        <w:t>10</w:t>
      </w:r>
      <w:bookmarkEnd w:id="103"/>
      <w:r>
        <w:rPr>
          <w:rFonts w:hint="eastAsia"/>
          <w:sz w:val="21"/>
          <w:szCs w:val="21"/>
        </w:rPr>
        <w:t xml:space="preserve">％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8"/>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依据相关规定进行公告。 </w:t>
      </w:r>
    </w:p>
    <w:p>
      <w:pPr>
        <w:pStyle w:val="8"/>
        <w:spacing w:before="0" w:beforeAutospacing="0" w:after="0" w:afterAutospacing="0" w:line="360" w:lineRule="auto"/>
        <w:ind w:firstLine="420"/>
        <w:rPr>
          <w:sz w:val="21"/>
          <w:szCs w:val="21"/>
        </w:rPr>
      </w:pPr>
      <w:r>
        <w:rPr>
          <w:rFonts w:hint="eastAsia"/>
          <w:sz w:val="21"/>
          <w:szCs w:val="21"/>
        </w:rPr>
        <w:t xml:space="preserve">3、巨额赎回的公告 </w:t>
      </w:r>
    </w:p>
    <w:p>
      <w:pPr>
        <w:pStyle w:val="8"/>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当发生上述巨额赎回并延期办理时，基金管理人应当通过邮寄、传真或者招募说明书规定的其他方式在3个交易日内通知基金份额持有人，说明有关处理方法，并在2日内在指定媒介上刊登公告。 </w:t>
      </w:r>
    </w:p>
    <w:p>
      <w:pPr>
        <w:pStyle w:val="8"/>
        <w:spacing w:before="0" w:beforeAutospacing="0" w:after="0" w:afterAutospacing="0" w:line="360" w:lineRule="auto"/>
        <w:ind w:firstLine="420"/>
        <w:rPr>
          <w:sz w:val="21"/>
          <w:szCs w:val="21"/>
        </w:rPr>
      </w:pPr>
      <w:r>
        <w:rPr>
          <w:rFonts w:hint="eastAsia"/>
          <w:b/>
          <w:bCs/>
          <w:sz w:val="21"/>
          <w:szCs w:val="21"/>
        </w:rPr>
        <w:t>十二、暂停申购或赎回的公告和重新开放申购或赎回的公告</w:t>
      </w:r>
    </w:p>
    <w:p>
      <w:pPr>
        <w:pStyle w:val="8"/>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8"/>
        <w:spacing w:before="0" w:beforeAutospacing="0" w:after="0" w:afterAutospacing="0" w:line="360" w:lineRule="auto"/>
        <w:ind w:firstLine="420"/>
        <w:rPr>
          <w:sz w:val="21"/>
          <w:szCs w:val="21"/>
        </w:rPr>
      </w:pPr>
      <w:r>
        <w:rPr>
          <w:rFonts w:hint="eastAsia"/>
          <w:sz w:val="21"/>
          <w:szCs w:val="21"/>
        </w:rPr>
        <w:t xml:space="preserve">2、如发生暂停的时间为1日，基金管理人应于重新开放日，在指定媒介上刊登基金重新开放申购或赎回公告，并公布最近1个开放日的各类基金份额净值。 </w:t>
      </w:r>
    </w:p>
    <w:p>
      <w:pPr>
        <w:pStyle w:val="8"/>
        <w:spacing w:before="0" w:beforeAutospacing="0" w:after="0" w:afterAutospacing="0" w:line="360" w:lineRule="auto"/>
        <w:ind w:firstLine="420"/>
        <w:rPr>
          <w:sz w:val="21"/>
          <w:szCs w:val="21"/>
        </w:rPr>
      </w:pPr>
      <w:r>
        <w:rPr>
          <w:rFonts w:hint="eastAsia"/>
          <w:sz w:val="21"/>
          <w:szCs w:val="21"/>
        </w:rPr>
        <w:t>3、如发生暂停的时间超过1日，基金管理人可以根据暂停申购或赎回的时间，依照《信息披露办法》的有关规定，最迟于重新开放日在指定媒介上刊登重新开放申购或赎回的公告，也可以根据实际情况在暂停公告中明确重新开放申购或赎回的时间，届时不再另行发布重新</w:t>
      </w:r>
      <w:bookmarkStart w:id="104" w:name="chapter_level1_10_59_section_3_end"/>
      <w:bookmarkEnd w:id="104"/>
      <w:r>
        <w:rPr>
          <w:rFonts w:hint="eastAsia"/>
          <w:sz w:val="21"/>
          <w:szCs w:val="21"/>
        </w:rPr>
        <w:t xml:space="preserve">开放的公告。 </w:t>
      </w:r>
    </w:p>
    <w:p>
      <w:pPr>
        <w:pStyle w:val="8"/>
        <w:spacing w:before="0" w:beforeAutospacing="0" w:after="0" w:afterAutospacing="0" w:line="360" w:lineRule="auto"/>
        <w:ind w:firstLine="420"/>
        <w:rPr>
          <w:sz w:val="21"/>
          <w:szCs w:val="21"/>
        </w:rPr>
      </w:pPr>
      <w:bookmarkStart w:id="105" w:name="chapter_level1_10_59_section_4"/>
      <w:bookmarkEnd w:id="105"/>
      <w:r>
        <w:rPr>
          <w:rStyle w:val="12"/>
          <w:rFonts w:hint="eastAsia"/>
          <w:sz w:val="21"/>
          <w:szCs w:val="21"/>
        </w:rPr>
        <w:t>十三、基金转换</w:t>
      </w:r>
    </w:p>
    <w:p>
      <w:pPr>
        <w:pStyle w:val="8"/>
        <w:spacing w:before="0" w:beforeAutospacing="0" w:after="0" w:afterAutospacing="0" w:line="360" w:lineRule="auto"/>
        <w:ind w:firstLine="420"/>
        <w:rPr>
          <w:sz w:val="21"/>
          <w:szCs w:val="21"/>
        </w:rPr>
      </w:pPr>
      <w:r>
        <w:rPr>
          <w:rFonts w:hint="eastAsia"/>
          <w:sz w:val="21"/>
          <w:szCs w:val="21"/>
        </w:rPr>
        <w:t xml:space="preserve">本基金A类基金份额于2016年9月21日起开始办理转换业务，本基金C类基金份额于2024年5月24日起开始办理转换业务。 </w:t>
      </w:r>
    </w:p>
    <w:p>
      <w:pPr>
        <w:pStyle w:val="8"/>
        <w:spacing w:before="0" w:beforeAutospacing="0" w:after="0" w:afterAutospacing="0" w:line="360" w:lineRule="auto"/>
        <w:ind w:firstLine="420"/>
        <w:rPr>
          <w:sz w:val="21"/>
          <w:szCs w:val="21"/>
        </w:rPr>
      </w:pPr>
      <w:r>
        <w:rPr>
          <w:rFonts w:hint="eastAsia"/>
          <w:sz w:val="21"/>
          <w:szCs w:val="21"/>
        </w:rPr>
        <w:t>（1）转换费用</w:t>
      </w:r>
    </w:p>
    <w:p>
      <w:pPr>
        <w:pStyle w:val="8"/>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8"/>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8"/>
        <w:spacing w:before="0" w:beforeAutospacing="0" w:after="0" w:afterAutospacing="0" w:line="360" w:lineRule="auto"/>
        <w:ind w:firstLine="420"/>
        <w:rPr>
          <w:sz w:val="21"/>
          <w:szCs w:val="21"/>
        </w:rPr>
      </w:pPr>
      <w:r>
        <w:rPr>
          <w:rFonts w:hint="eastAsia"/>
          <w:sz w:val="21"/>
          <w:szCs w:val="21"/>
        </w:rPr>
        <w:t xml:space="preserve">1）业务规则 </w:t>
      </w:r>
    </w:p>
    <w:p>
      <w:pPr>
        <w:pStyle w:val="8"/>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8"/>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8"/>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8"/>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8"/>
        <w:spacing w:before="0" w:beforeAutospacing="0" w:after="0" w:afterAutospacing="0" w:line="360" w:lineRule="auto"/>
        <w:ind w:firstLine="420"/>
        <w:rPr>
          <w:sz w:val="21"/>
          <w:szCs w:val="21"/>
        </w:rPr>
      </w:pPr>
      <w:r>
        <w:rPr>
          <w:rFonts w:hint="eastAsia"/>
          <w:sz w:val="21"/>
          <w:szCs w:val="21"/>
        </w:rPr>
        <w:t xml:space="preserve">⑤基金转换以申请当日该类基金份额净值为基础计算。投资者采用“份额转换”的原则提交申请。转出基金份额必须是可用份额，并遵循“先进先出”的原则。 </w:t>
      </w:r>
    </w:p>
    <w:p>
      <w:pPr>
        <w:pStyle w:val="8"/>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8"/>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pPr>
        <w:pStyle w:val="8"/>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8"/>
        <w:spacing w:before="0" w:beforeAutospacing="0" w:after="0" w:afterAutospacing="0" w:line="360" w:lineRule="auto"/>
        <w:ind w:firstLine="420"/>
        <w:rPr>
          <w:sz w:val="21"/>
          <w:szCs w:val="21"/>
        </w:rPr>
      </w:pPr>
      <w:r>
        <w:rPr>
          <w:rFonts w:hint="eastAsia"/>
          <w:sz w:val="21"/>
          <w:szCs w:val="21"/>
        </w:rPr>
        <w:t xml:space="preserve">3）重要提示 </w:t>
      </w:r>
    </w:p>
    <w:p>
      <w:pPr>
        <w:pStyle w:val="8"/>
        <w:spacing w:before="0" w:beforeAutospacing="0" w:after="0" w:afterAutospacing="0" w:line="360" w:lineRule="auto"/>
        <w:ind w:firstLine="420"/>
        <w:rPr>
          <w:sz w:val="21"/>
          <w:szCs w:val="21"/>
        </w:rPr>
      </w:pPr>
      <w:r>
        <w:rPr>
          <w:rFonts w:hint="eastAsia"/>
          <w:sz w:val="21"/>
          <w:szCs w:val="21"/>
        </w:rPr>
        <w:t>①本基金转换业务适用于可以销售包括</w:t>
      </w:r>
      <w:bookmarkStart w:id="106" w:name="field_0_productfullname_12"/>
      <w:r>
        <w:rPr>
          <w:rFonts w:hint="eastAsia"/>
          <w:sz w:val="21"/>
          <w:szCs w:val="21"/>
        </w:rPr>
        <w:t>博时智臻纯债债券型证券投资基金</w:t>
      </w:r>
      <w:bookmarkEnd w:id="106"/>
      <w:r>
        <w:rPr>
          <w:rFonts w:hint="eastAsia"/>
          <w:sz w:val="21"/>
          <w:szCs w:val="21"/>
        </w:rPr>
        <w:t xml:space="preserve">在内的两只以上（含两只），且基金注册登记机构为同一机构的博时旗下基金的销售机构。 </w:t>
      </w:r>
    </w:p>
    <w:p>
      <w:pPr>
        <w:pStyle w:val="8"/>
        <w:spacing w:before="0" w:beforeAutospacing="0" w:after="0" w:afterAutospacing="0" w:line="360" w:lineRule="auto"/>
        <w:ind w:firstLine="420"/>
        <w:rPr>
          <w:sz w:val="21"/>
          <w:szCs w:val="21"/>
        </w:rPr>
      </w:pPr>
      <w:r>
        <w:rPr>
          <w:rFonts w:hint="eastAsia"/>
          <w:sz w:val="21"/>
          <w:szCs w:val="21"/>
        </w:rPr>
        <w:t>②转换业务的收费计算公式及举例参见2010年3月16日刊登于本公司网站的《</w:t>
      </w:r>
      <w:bookmarkStart w:id="107" w:name="field_0_managerorgfullname_6"/>
      <w:r>
        <w:rPr>
          <w:rFonts w:hint="eastAsia"/>
          <w:sz w:val="21"/>
          <w:szCs w:val="21"/>
        </w:rPr>
        <w:t>博时基金管理有限公司</w:t>
      </w:r>
      <w:bookmarkEnd w:id="107"/>
      <w:r>
        <w:rPr>
          <w:rFonts w:hint="eastAsia"/>
          <w:sz w:val="21"/>
          <w:szCs w:val="21"/>
        </w:rPr>
        <w:t xml:space="preserve">关于旗下开放式基金转换业务的公告》。 </w:t>
      </w:r>
    </w:p>
    <w:p>
      <w:pPr>
        <w:pStyle w:val="8"/>
        <w:spacing w:before="0" w:beforeAutospacing="0" w:after="0" w:afterAutospacing="0" w:line="360" w:lineRule="auto"/>
        <w:ind w:firstLine="420"/>
        <w:rPr>
          <w:sz w:val="21"/>
          <w:szCs w:val="21"/>
        </w:rPr>
      </w:pPr>
      <w:bookmarkStart w:id="108" w:name="chapter_level1_10_59_section_4_end"/>
      <w:bookmarkEnd w:id="108"/>
      <w:r>
        <w:rPr>
          <w:rFonts w:hint="eastAsia"/>
          <w:sz w:val="21"/>
          <w:szCs w:val="21"/>
        </w:rPr>
        <w:t xml:space="preserve">③本公司管理基金的转换业务的解释权归本公司。 </w:t>
      </w:r>
    </w:p>
    <w:p>
      <w:pPr>
        <w:pStyle w:val="8"/>
        <w:spacing w:before="0" w:beforeAutospacing="0" w:after="0" w:afterAutospacing="0" w:line="360" w:lineRule="auto"/>
        <w:ind w:firstLine="420"/>
        <w:rPr>
          <w:sz w:val="21"/>
          <w:szCs w:val="21"/>
        </w:rPr>
      </w:pPr>
      <w:bookmarkStart w:id="109" w:name="chapter_level1_10_59_section_5"/>
      <w:bookmarkEnd w:id="109"/>
      <w:r>
        <w:rPr>
          <w:rStyle w:val="12"/>
          <w:rFonts w:hint="eastAsia"/>
          <w:sz w:val="21"/>
          <w:szCs w:val="21"/>
        </w:rPr>
        <w:t>十四、基金份额的转让</w:t>
      </w:r>
    </w:p>
    <w:p>
      <w:pPr>
        <w:pStyle w:val="8"/>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8"/>
        <w:spacing w:before="0" w:beforeAutospacing="0" w:after="0" w:afterAutospacing="0" w:line="360" w:lineRule="auto"/>
        <w:ind w:firstLine="420"/>
        <w:rPr>
          <w:sz w:val="21"/>
          <w:szCs w:val="21"/>
        </w:rPr>
      </w:pPr>
      <w:r>
        <w:rPr>
          <w:rStyle w:val="12"/>
          <w:rFonts w:hint="eastAsia"/>
          <w:sz w:val="21"/>
          <w:szCs w:val="21"/>
        </w:rPr>
        <w:t>十五、基金的非交易过户</w:t>
      </w:r>
    </w:p>
    <w:p>
      <w:pPr>
        <w:pStyle w:val="8"/>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8"/>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8"/>
        <w:spacing w:before="0" w:beforeAutospacing="0" w:after="0" w:afterAutospacing="0" w:line="360" w:lineRule="auto"/>
        <w:ind w:firstLine="420"/>
        <w:rPr>
          <w:sz w:val="21"/>
          <w:szCs w:val="21"/>
        </w:rPr>
      </w:pPr>
      <w:r>
        <w:rPr>
          <w:rStyle w:val="12"/>
          <w:rFonts w:hint="eastAsia"/>
          <w:sz w:val="21"/>
          <w:szCs w:val="21"/>
        </w:rPr>
        <w:t>十六、基金的转托管</w:t>
      </w:r>
    </w:p>
    <w:p>
      <w:pPr>
        <w:pStyle w:val="8"/>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10" w:name="chapter_level1_10_59_section_5_end"/>
      <w:bookmarkEnd w:id="110"/>
      <w:r>
        <w:rPr>
          <w:rFonts w:hint="eastAsia"/>
          <w:sz w:val="21"/>
          <w:szCs w:val="21"/>
        </w:rPr>
        <w:t xml:space="preserve">以按照规定的标准收取转托管费。 </w:t>
      </w:r>
    </w:p>
    <w:p>
      <w:pPr>
        <w:pStyle w:val="8"/>
        <w:spacing w:before="0" w:beforeAutospacing="0" w:after="0" w:afterAutospacing="0" w:line="360" w:lineRule="auto"/>
        <w:ind w:firstLine="420"/>
        <w:rPr>
          <w:sz w:val="21"/>
          <w:szCs w:val="21"/>
        </w:rPr>
      </w:pPr>
      <w:bookmarkStart w:id="111" w:name="chapter_level1_10_59_section_6"/>
      <w:bookmarkEnd w:id="111"/>
      <w:r>
        <w:rPr>
          <w:rFonts w:hint="eastAsia"/>
          <w:b/>
          <w:bCs/>
          <w:sz w:val="21"/>
          <w:szCs w:val="21"/>
        </w:rPr>
        <w:t>十七、定期定额投资计划</w:t>
      </w:r>
    </w:p>
    <w:p>
      <w:pPr>
        <w:pStyle w:val="8"/>
        <w:spacing w:before="0" w:beforeAutospacing="0" w:after="0" w:afterAutospacing="0" w:line="360" w:lineRule="auto"/>
        <w:ind w:firstLine="420"/>
        <w:rPr>
          <w:sz w:val="21"/>
          <w:szCs w:val="21"/>
        </w:rPr>
      </w:pPr>
      <w:r>
        <w:rPr>
          <w:rFonts w:hint="eastAsia"/>
          <w:sz w:val="21"/>
          <w:szCs w:val="21"/>
        </w:rPr>
        <w:t>本基金A类基金份额于2016年9月21日起开始办理定期定额投资业务，本基金C类基金份额于2024年5月24日起开始办理定期定额投资业务。</w:t>
      </w:r>
    </w:p>
    <w:p>
      <w:pPr>
        <w:pStyle w:val="8"/>
        <w:spacing w:before="0" w:beforeAutospacing="0" w:after="0" w:afterAutospacing="0" w:line="360" w:lineRule="auto"/>
        <w:ind w:firstLine="420"/>
        <w:rPr>
          <w:sz w:val="21"/>
          <w:szCs w:val="21"/>
        </w:rPr>
      </w:pPr>
      <w:r>
        <w:rPr>
          <w:rFonts w:hint="eastAsia"/>
          <w:sz w:val="21"/>
          <w:szCs w:val="21"/>
        </w:rPr>
        <w:t xml:space="preserve">（1）适用投资者范围   </w:t>
      </w:r>
    </w:p>
    <w:p>
      <w:pPr>
        <w:pStyle w:val="8"/>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个人投资者、机构投资者、合格境外机构投资者以及法律法规或中国证监会规定允许购买证券投资基金的其他投资者。 </w:t>
      </w:r>
    </w:p>
    <w:p>
      <w:pPr>
        <w:pStyle w:val="8"/>
        <w:spacing w:before="0" w:beforeAutospacing="0" w:after="0" w:afterAutospacing="0" w:line="360" w:lineRule="auto"/>
        <w:ind w:firstLine="420"/>
        <w:rPr>
          <w:sz w:val="21"/>
          <w:szCs w:val="21"/>
        </w:rPr>
      </w:pPr>
      <w:r>
        <w:rPr>
          <w:rFonts w:hint="eastAsia"/>
          <w:sz w:val="21"/>
          <w:szCs w:val="21"/>
        </w:rPr>
        <w:t xml:space="preserve">（2）申购费率 </w:t>
      </w:r>
    </w:p>
    <w:p>
      <w:pPr>
        <w:pStyle w:val="8"/>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  </w:t>
      </w:r>
    </w:p>
    <w:p>
      <w:pPr>
        <w:pStyle w:val="8"/>
        <w:spacing w:before="0" w:beforeAutospacing="0" w:after="0" w:afterAutospacing="0" w:line="360" w:lineRule="auto"/>
        <w:ind w:firstLine="420"/>
        <w:jc w:val="center"/>
        <w:rPr>
          <w:sz w:val="21"/>
          <w:szCs w:val="21"/>
        </w:rPr>
      </w:pPr>
      <w:r>
        <w:rPr>
          <w:rFonts w:hint="eastAsia"/>
          <w:sz w:val="21"/>
          <w:szCs w:val="21"/>
        </w:rPr>
        <w:t xml:space="preserve">表：本基金的申购费率结构表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24"/>
        <w:gridCol w:w="2925"/>
        <w:gridCol w:w="2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金额（M）    </w:t>
            </w:r>
          </w:p>
        </w:tc>
        <w:tc>
          <w:tcPr>
            <w:tcW w:w="3540" w:type="dxa"/>
            <w:shd w:val="clear" w:color="auto" w:fill="auto"/>
          </w:tcPr>
          <w:p>
            <w:pPr>
              <w:pStyle w:val="8"/>
              <w:jc w:val="center"/>
            </w:pPr>
            <w:r>
              <w:rPr>
                <w:rFonts w:hint="eastAsia"/>
              </w:rPr>
              <w:t xml:space="preserve">A类基金份额申购费率    </w:t>
            </w:r>
          </w:p>
        </w:tc>
        <w:tc>
          <w:tcPr>
            <w:tcW w:w="3540" w:type="dxa"/>
            <w:shd w:val="clear" w:color="auto" w:fill="auto"/>
          </w:tcPr>
          <w:p>
            <w:pPr>
              <w:pStyle w:val="8"/>
              <w:jc w:val="center"/>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M＜100万    </w:t>
            </w:r>
          </w:p>
        </w:tc>
        <w:tc>
          <w:tcPr>
            <w:tcW w:w="3540" w:type="dxa"/>
            <w:shd w:val="clear" w:color="auto" w:fill="auto"/>
          </w:tcPr>
          <w:p>
            <w:pPr>
              <w:pStyle w:val="8"/>
              <w:jc w:val="center"/>
            </w:pPr>
            <w:r>
              <w:rPr>
                <w:rFonts w:hint="eastAsia"/>
              </w:rPr>
              <w:t xml:space="preserve">0.80%    </w:t>
            </w:r>
          </w:p>
        </w:tc>
        <w:tc>
          <w:tcPr>
            <w:tcW w:w="3540" w:type="dxa"/>
            <w:vMerge w:val="restart"/>
            <w:shd w:val="clear" w:color="auto" w:fill="auto"/>
          </w:tcPr>
          <w:p>
            <w:pPr>
              <w:pStyle w:val="8"/>
              <w:jc w:val="center"/>
            </w:pPr>
            <w:r>
              <w:rPr>
                <w:rFonts w:hint="eastAsia"/>
              </w:rPr>
              <w:t xml:space="preserve">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100万≤M＜300万    </w:t>
            </w:r>
          </w:p>
        </w:tc>
        <w:tc>
          <w:tcPr>
            <w:tcW w:w="3540" w:type="dxa"/>
            <w:shd w:val="clear" w:color="auto" w:fill="auto"/>
          </w:tcPr>
          <w:p>
            <w:pPr>
              <w:pStyle w:val="8"/>
              <w:jc w:val="center"/>
            </w:pPr>
            <w:r>
              <w:rPr>
                <w:rFonts w:hint="eastAsia"/>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300万≤M＜500万    </w:t>
            </w:r>
          </w:p>
        </w:tc>
        <w:tc>
          <w:tcPr>
            <w:tcW w:w="3540" w:type="dxa"/>
            <w:shd w:val="clear" w:color="auto" w:fill="auto"/>
          </w:tcPr>
          <w:p>
            <w:pPr>
              <w:pStyle w:val="8"/>
              <w:jc w:val="center"/>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40" w:type="dxa"/>
            <w:shd w:val="clear" w:color="auto" w:fill="auto"/>
          </w:tcPr>
          <w:p>
            <w:pPr>
              <w:pStyle w:val="8"/>
              <w:jc w:val="center"/>
            </w:pPr>
            <w:r>
              <w:rPr>
                <w:rFonts w:hint="eastAsia"/>
              </w:rPr>
              <w:t xml:space="preserve">M≥500万    </w:t>
            </w:r>
          </w:p>
        </w:tc>
        <w:tc>
          <w:tcPr>
            <w:tcW w:w="3540" w:type="dxa"/>
            <w:shd w:val="clear" w:color="auto" w:fill="auto"/>
          </w:tcPr>
          <w:p>
            <w:pPr>
              <w:pStyle w:val="8"/>
              <w:jc w:val="center"/>
            </w:pPr>
            <w:r>
              <w:rPr>
                <w:rFonts w:hint="eastAsia"/>
              </w:rPr>
              <w:t xml:space="preserve">每笔 1000元   </w:t>
            </w:r>
          </w:p>
        </w:tc>
        <w:tc>
          <w:tcPr>
            <w:tcW w:w="0" w:type="auto"/>
            <w:vMerge w:val="continue"/>
            <w:shd w:val="clear" w:color="auto" w:fill="auto"/>
          </w:tcPr>
          <w:p>
            <w:pPr>
              <w:rPr>
                <w:rFonts w:ascii="宋体" w:hAnsi="宋体" w:eastAsia="宋体" w:cs="宋体"/>
                <w:sz w:val="24"/>
                <w:szCs w:val="24"/>
              </w:rPr>
            </w:pPr>
          </w:p>
        </w:tc>
      </w:tr>
    </w:tbl>
    <w:p>
      <w:pPr>
        <w:pStyle w:val="8"/>
        <w:spacing w:before="0" w:beforeAutospacing="0" w:after="0" w:afterAutospacing="0" w:line="360" w:lineRule="auto"/>
        <w:ind w:firstLine="420"/>
        <w:rPr>
          <w:sz w:val="21"/>
          <w:szCs w:val="21"/>
        </w:rPr>
      </w:pPr>
      <w:r>
        <w:rPr>
          <w:rFonts w:hint="eastAsia"/>
          <w:sz w:val="21"/>
          <w:szCs w:val="21"/>
        </w:rPr>
        <w:t xml:space="preserve">本基金A类基金份额的申购费用由申购本基金A类基金份额的投资人承担，主要用于本基金的市场推广、销售、登记等各项费用，不列入基金财产。C类基金份额不收取申购费用。  </w:t>
      </w:r>
    </w:p>
    <w:p>
      <w:pPr>
        <w:pStyle w:val="8"/>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8"/>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投资者须遵循各销售机构有关扣款日期的规定，定投金额每次不少于人民币10元（含10元）。 </w:t>
      </w:r>
    </w:p>
    <w:p>
      <w:pPr>
        <w:pStyle w:val="8"/>
        <w:spacing w:before="0" w:beforeAutospacing="0" w:after="0" w:afterAutospacing="0" w:line="360" w:lineRule="auto"/>
        <w:ind w:firstLine="420"/>
        <w:rPr>
          <w:sz w:val="21"/>
          <w:szCs w:val="21"/>
        </w:rPr>
      </w:pPr>
      <w:r>
        <w:rPr>
          <w:rFonts w:hint="eastAsia"/>
          <w:sz w:val="21"/>
          <w:szCs w:val="21"/>
        </w:rPr>
        <w:t xml:space="preserve">（4）重要提示   </w:t>
      </w:r>
    </w:p>
    <w:p>
      <w:pPr>
        <w:pStyle w:val="8"/>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8"/>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该类基金份额净值为基准计算申购份额。投资者可以从T+2日起通过本定期定额投资计划办理网点、致电本公司客服电话或登录本公司网站查询其每次申购申请的确认情况。申购份</w:t>
      </w:r>
      <w:bookmarkStart w:id="112" w:name="chapter_level1_10_59_section_6_end"/>
      <w:bookmarkEnd w:id="112"/>
      <w:r>
        <w:rPr>
          <w:rFonts w:hint="eastAsia"/>
          <w:sz w:val="21"/>
          <w:szCs w:val="21"/>
        </w:rPr>
        <w:t xml:space="preserve">额将在确认成功后直接计入投资者的基金账户。 </w:t>
      </w:r>
    </w:p>
    <w:p>
      <w:pPr>
        <w:pStyle w:val="8"/>
        <w:spacing w:before="0" w:beforeAutospacing="0" w:after="0" w:afterAutospacing="0" w:line="360" w:lineRule="auto"/>
        <w:ind w:firstLine="420"/>
        <w:rPr>
          <w:sz w:val="21"/>
          <w:szCs w:val="21"/>
        </w:rPr>
      </w:pPr>
      <w:bookmarkStart w:id="113" w:name="chapter_level1_10_59_section_7"/>
      <w:bookmarkEnd w:id="113"/>
      <w:r>
        <w:rPr>
          <w:rStyle w:val="12"/>
          <w:rFonts w:hint="eastAsia"/>
          <w:sz w:val="21"/>
          <w:szCs w:val="21"/>
        </w:rPr>
        <w:t>十八、基金份额的冻结、解冻和质押</w:t>
      </w:r>
    </w:p>
    <w:p>
      <w:pPr>
        <w:pStyle w:val="8"/>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8"/>
        <w:spacing w:before="0" w:beforeAutospacing="0" w:after="0" w:afterAutospacing="0" w:line="360" w:lineRule="auto"/>
        <w:ind w:firstLine="420"/>
        <w:rPr>
          <w:sz w:val="21"/>
          <w:szCs w:val="21"/>
        </w:rPr>
      </w:pPr>
      <w:r>
        <w:rPr>
          <w:rFonts w:hint="eastAsia"/>
          <w:sz w:val="21"/>
          <w:szCs w:val="21"/>
        </w:rPr>
        <w:t xml:space="preserve">如相关法律法规允许基金管理人办理基金份额的质押业务或其他基金业务，基金管理人将制定和实施相应的业务规则。 </w:t>
      </w:r>
    </w:p>
    <w:p>
      <w:pPr>
        <w:pStyle w:val="8"/>
        <w:spacing w:before="0" w:beforeAutospacing="0" w:after="0" w:afterAutospacing="0" w:line="360" w:lineRule="auto"/>
        <w:ind w:firstLine="420"/>
        <w:rPr>
          <w:sz w:val="21"/>
          <w:szCs w:val="21"/>
        </w:rPr>
      </w:pPr>
      <w:r>
        <w:rPr>
          <w:rStyle w:val="12"/>
          <w:rFonts w:hint="eastAsia"/>
          <w:sz w:val="21"/>
          <w:szCs w:val="21"/>
        </w:rPr>
        <w:t>十九、实施侧袋机制期间本基金的申购与赎回</w:t>
      </w:r>
    </w:p>
    <w:p>
      <w:pPr>
        <w:pStyle w:val="8"/>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4" w:name="chapter_level1_10_59_section_7_end"/>
      <w:bookmarkEnd w:id="114"/>
      <w:r>
        <w:rPr>
          <w:rFonts w:hint="eastAsia"/>
          <w:sz w:val="21"/>
          <w:szCs w:val="21"/>
        </w:rPr>
        <w:t xml:space="preserve">或届时发布的相关公告。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15" w:name="chapter_level1_11_60"/>
      <w:bookmarkStart w:id="116" w:name="_Toc207936396"/>
      <w:r>
        <w:rPr>
          <w:rFonts w:hint="eastAsia" w:ascii="宋体" w:hAnsi="宋体" w:eastAsia="宋体"/>
          <w:sz w:val="30"/>
        </w:rPr>
        <w:t>第八部分  基金的投资</w:t>
      </w:r>
      <w:bookmarkEnd w:id="115"/>
      <w:bookmarkEnd w:id="116"/>
    </w:p>
    <w:p>
      <w:pPr>
        <w:pStyle w:val="8"/>
        <w:spacing w:before="0" w:beforeAutospacing="0" w:after="0" w:afterAutospacing="0" w:line="360" w:lineRule="auto"/>
        <w:ind w:firstLine="420"/>
        <w:rPr>
          <w:sz w:val="21"/>
          <w:szCs w:val="21"/>
        </w:rPr>
      </w:pPr>
      <w:bookmarkStart w:id="117" w:name="chapter_level1_11_60_section_1"/>
      <w:bookmarkEnd w:id="117"/>
      <w:r>
        <w:rPr>
          <w:rStyle w:val="12"/>
          <w:rFonts w:hint="eastAsia"/>
          <w:sz w:val="21"/>
          <w:szCs w:val="21"/>
        </w:rPr>
        <w:t>一、投资目标</w:t>
      </w:r>
    </w:p>
    <w:p>
      <w:pPr>
        <w:pStyle w:val="8"/>
        <w:spacing w:before="0" w:beforeAutospacing="0" w:after="0" w:afterAutospacing="0" w:line="360" w:lineRule="auto"/>
        <w:ind w:firstLine="420"/>
        <w:rPr>
          <w:sz w:val="21"/>
          <w:szCs w:val="21"/>
        </w:rPr>
      </w:pPr>
      <w:bookmarkStart w:id="118" w:name="field_60_investmenttarget_1_start"/>
      <w:bookmarkEnd w:id="118"/>
      <w:r>
        <w:rPr>
          <w:rFonts w:hint="eastAsia"/>
          <w:sz w:val="21"/>
          <w:szCs w:val="21"/>
        </w:rPr>
        <w:t xml:space="preserve">在严格控制投资组合风险的前提下，力争长期内实现超越业绩比较基准的投资回报。 </w:t>
      </w:r>
      <w:bookmarkStart w:id="119" w:name="field_60_investmenttarget_1_end"/>
      <w:bookmarkEnd w:id="119"/>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二、投资范围</w:t>
      </w:r>
    </w:p>
    <w:p>
      <w:pPr>
        <w:pStyle w:val="8"/>
        <w:spacing w:before="0" w:beforeAutospacing="0" w:after="0" w:afterAutospacing="0" w:line="360" w:lineRule="auto"/>
        <w:ind w:firstLine="420"/>
        <w:rPr>
          <w:sz w:val="21"/>
          <w:szCs w:val="21"/>
        </w:rPr>
      </w:pPr>
      <w:bookmarkStart w:id="120" w:name="field_60_investmentrange_1_start"/>
      <w:bookmarkEnd w:id="120"/>
      <w:r>
        <w:rPr>
          <w:rFonts w:hint="eastAsia"/>
          <w:sz w:val="21"/>
          <w:szCs w:val="21"/>
        </w:rPr>
        <w:t xml:space="preserve">本基金的投资范围主要为具有良好流动性的固定收益类品种，包括国债、金融债、企业债、公司债、地方政府债、央行票据、中期票据、短期融资券、资产支持证券、债券回购、银行存款等法律法规或中国证监会允许基金投资的其他固定收益类金融工具（但须符合中国证监会的相关规定）。  </w:t>
      </w:r>
    </w:p>
    <w:p>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本基金不投资于股票、权证等权益类资产，也不投资于可转换债券、可交换债券。  </w:t>
      </w:r>
    </w:p>
    <w:p>
      <w:pPr>
        <w:pStyle w:val="8"/>
        <w:spacing w:before="0" w:beforeAutospacing="0" w:after="0" w:afterAutospacing="0" w:line="360" w:lineRule="auto"/>
        <w:ind w:firstLine="420"/>
        <w:rPr>
          <w:sz w:val="21"/>
          <w:szCs w:val="21"/>
        </w:rPr>
      </w:pPr>
      <w:r>
        <w:rPr>
          <w:rFonts w:hint="eastAsia"/>
          <w:sz w:val="21"/>
          <w:szCs w:val="21"/>
        </w:rPr>
        <w:t xml:space="preserve">基金的投资组合比例为：本基金对债券的投资比例不低于基金资产的80％；本基金持有现金或者到期日在一年以内的政府债券投资比例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如法律法规或监管机构以后允许基金投资的其他品种，基金管理人在履行适当程序后，可以将其纳入投资范围，并可依据届时有效的法律法规适时合理地调整投资范围。  </w:t>
      </w:r>
      <w:bookmarkStart w:id="121" w:name="field_60_investmentrange_1_end"/>
      <w:bookmarkEnd w:id="121"/>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三、投资策略</w:t>
      </w:r>
    </w:p>
    <w:p>
      <w:pPr>
        <w:pStyle w:val="8"/>
        <w:spacing w:before="0" w:beforeAutospacing="0" w:after="0" w:afterAutospacing="0" w:line="360" w:lineRule="auto"/>
        <w:ind w:firstLine="420"/>
        <w:rPr>
          <w:sz w:val="21"/>
          <w:szCs w:val="21"/>
        </w:rPr>
      </w:pPr>
      <w:bookmarkStart w:id="122" w:name="field_60_investmentstrategy_1_start"/>
      <w:bookmarkEnd w:id="122"/>
      <w:r>
        <w:rPr>
          <w:rFonts w:hint="eastAsia"/>
          <w:sz w:val="21"/>
          <w:szCs w:val="21"/>
        </w:rPr>
        <w:t xml:space="preserve">本基金通过自上而下和自下而上相结合、定性分析和定量分析相补充的方法，确定资产在非信用类固定收益类证券和信用类固定收益类证券之间的配置比例。充分发挥基金管理人长期积累的信用研究成果，利用自主开发的信用分析系统，深入挖掘价值被低估的标的券种，以获取最大化的信用溢价。本基金采用的投资策略包括：期限结构策略、信用策略、互换策略、息差策略等。在谨慎投资的前提下，力争获取高于业绩比较基准的投资收益。 </w:t>
      </w:r>
    </w:p>
    <w:p>
      <w:pPr>
        <w:pStyle w:val="8"/>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进行前瞻性的决策。一方面，本基金将分析众多的宏观经济变量（包括GDP增长率、CPI走势、M2的绝对水平和增长率、利率水平与走势等），并关注国家财政、税收、货币、汇率政策和其它证券市场政策等。另一方面，本基金将对债券市场整体收益率曲线变化进行深入细致分析，从而对市场走势和波动特征进行判断。在此基础上，确定资产在非信用类固定收益类证券（现金、国家债券、中央银行票据等）和信用类固定收益类证券之间的配置比例。 </w:t>
      </w:r>
    </w:p>
    <w:p>
      <w:pPr>
        <w:pStyle w:val="8"/>
        <w:spacing w:before="0" w:beforeAutospacing="0" w:after="0" w:afterAutospacing="0" w:line="360" w:lineRule="auto"/>
        <w:ind w:firstLine="420"/>
        <w:rPr>
          <w:sz w:val="21"/>
          <w:szCs w:val="21"/>
        </w:rPr>
      </w:pPr>
      <w:r>
        <w:rPr>
          <w:rFonts w:hint="eastAsia"/>
          <w:sz w:val="21"/>
          <w:szCs w:val="21"/>
        </w:rPr>
        <w:t xml:space="preserve">本基金灵活应用各种期限结构策略、信用策略、互换策略、息差策略，在合理管理并控制组合风险的前提下，最大化组合收益。 </w:t>
      </w:r>
    </w:p>
    <w:p>
      <w:pPr>
        <w:pStyle w:val="8"/>
        <w:spacing w:before="0" w:beforeAutospacing="0" w:after="0" w:afterAutospacing="0" w:line="360" w:lineRule="auto"/>
        <w:ind w:firstLine="420"/>
        <w:rPr>
          <w:sz w:val="21"/>
          <w:szCs w:val="21"/>
        </w:rPr>
      </w:pPr>
      <w:r>
        <w:rPr>
          <w:rFonts w:hint="eastAsia"/>
          <w:sz w:val="21"/>
          <w:szCs w:val="21"/>
        </w:rPr>
        <w:t xml:space="preserve">1、期限结构策略。通过预测收益率曲线的形状和变化趋势，对各类型债券进行久期配置；当收益率曲线走势难以判断时，参考基准指数的样本券久期构建组合久期，确保组合收益超过基准收益。具体来看，又分为跟踪收益率曲线的骑乘策略和基于收益率曲线变化的子弹策略、杠铃策略及梯式策略。 </w:t>
      </w:r>
    </w:p>
    <w:p>
      <w:pPr>
        <w:pStyle w:val="8"/>
        <w:spacing w:before="0" w:beforeAutospacing="0" w:after="0" w:afterAutospacing="0" w:line="360" w:lineRule="auto"/>
        <w:ind w:firstLine="420"/>
        <w:rPr>
          <w:sz w:val="21"/>
          <w:szCs w:val="21"/>
        </w:rPr>
      </w:pPr>
      <w:r>
        <w:rPr>
          <w:rFonts w:hint="eastAsia"/>
          <w:sz w:val="21"/>
          <w:szCs w:val="21"/>
        </w:rPr>
        <w:t xml:space="preserve">1）骑乘策略是当收益率曲线比较陡峭时，也即相邻期限利差较大时，买入期限位于收益率曲线陡峭处的债券，通过债券的收益率的下滑，进而获得资本利得收益。 </w:t>
      </w:r>
    </w:p>
    <w:p>
      <w:pPr>
        <w:pStyle w:val="8"/>
        <w:spacing w:before="0" w:beforeAutospacing="0" w:after="0" w:afterAutospacing="0" w:line="360" w:lineRule="auto"/>
        <w:ind w:firstLine="420"/>
        <w:rPr>
          <w:sz w:val="21"/>
          <w:szCs w:val="21"/>
        </w:rPr>
      </w:pPr>
      <w:r>
        <w:rPr>
          <w:rFonts w:hint="eastAsia"/>
          <w:sz w:val="21"/>
          <w:szCs w:val="21"/>
        </w:rPr>
        <w:t xml:space="preserve">2）子弹策略是使投资组合中债券久期集中于收益率曲线的一点，适用于收益率曲线较陡时；杠铃策略是使投资组合中债券的久期集中在收益率曲线的两端，适用于收益率曲线两头下降较中间下降更多的蝶式变动；梯式策略是使投资组合中的债券久期均匀分布于收益率曲线，适用于收益率曲线水平移动。 </w:t>
      </w:r>
    </w:p>
    <w:p>
      <w:pPr>
        <w:pStyle w:val="8"/>
        <w:spacing w:before="0" w:beforeAutospacing="0" w:after="0" w:afterAutospacing="0" w:line="360" w:lineRule="auto"/>
        <w:ind w:firstLine="420"/>
        <w:rPr>
          <w:sz w:val="21"/>
          <w:szCs w:val="21"/>
        </w:rPr>
      </w:pPr>
      <w:r>
        <w:rPr>
          <w:rFonts w:hint="eastAsia"/>
          <w:sz w:val="21"/>
          <w:szCs w:val="21"/>
        </w:rPr>
        <w:t xml:space="preserve">2、信用策略。信用债收益率等于基准收益率加信用利差，信用利差收益主要受两个方面的影响，一是该信用债对应信用水平的市场平均信用利差曲线走势；二是该信用债本身的信用变化。基于这两方面的因素，我们分别采用以下的分析策略： </w:t>
      </w:r>
    </w:p>
    <w:p>
      <w:pPr>
        <w:pStyle w:val="8"/>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pPr>
        <w:pStyle w:val="8"/>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pPr>
        <w:pStyle w:val="8"/>
        <w:spacing w:before="0" w:beforeAutospacing="0" w:after="0" w:afterAutospacing="0" w:line="360" w:lineRule="auto"/>
        <w:ind w:firstLine="420"/>
        <w:rPr>
          <w:sz w:val="21"/>
          <w:szCs w:val="21"/>
        </w:rPr>
      </w:pPr>
      <w:r>
        <w:rPr>
          <w:rFonts w:hint="eastAsia"/>
          <w:sz w:val="21"/>
          <w:szCs w:val="21"/>
        </w:rPr>
        <w:t xml:space="preserve">3、互换策略。不同券种在利息、违约风险、久期、流动性、税收和衍生条款等方面存在差别，投资管理人可以同时买入和卖出具有相近特性的两个或两个以上券种，赚取收益级差。 </w:t>
      </w:r>
    </w:p>
    <w:p>
      <w:pPr>
        <w:pStyle w:val="8"/>
        <w:spacing w:before="0" w:beforeAutospacing="0" w:after="0" w:afterAutospacing="0" w:line="360" w:lineRule="auto"/>
        <w:ind w:firstLine="420"/>
        <w:rPr>
          <w:sz w:val="21"/>
          <w:szCs w:val="21"/>
        </w:rPr>
      </w:pPr>
      <w:r>
        <w:rPr>
          <w:rFonts w:hint="eastAsia"/>
          <w:sz w:val="21"/>
          <w:szCs w:val="21"/>
        </w:rPr>
        <w:t xml:space="preserve">4、息差策略。通过正回购，融资买入收益率高于回购成本的债券，从而获得杠杆放大收益。 </w:t>
      </w:r>
    </w:p>
    <w:p>
      <w:pPr>
        <w:pStyle w:val="8"/>
        <w:spacing w:before="0" w:beforeAutospacing="0" w:after="0" w:afterAutospacing="0" w:line="360" w:lineRule="auto"/>
        <w:ind w:firstLine="420"/>
        <w:rPr>
          <w:sz w:val="21"/>
          <w:szCs w:val="21"/>
        </w:rPr>
      </w:pPr>
      <w:r>
        <w:rPr>
          <w:rFonts w:hint="eastAsia"/>
          <w:sz w:val="21"/>
          <w:szCs w:val="21"/>
        </w:rPr>
        <w:t xml:space="preserve">5、个券挖掘策略。本部分策略强调公司价值挖掘的重要性，在行业周期特征、公司基本面风险特征基础上制定绝对收益率目标策略，甄别具有估值优势、基本面改善的公司，采取高度分散策略，重点布局优势债券，争取提高组合超额收益空间。 </w:t>
      </w:r>
    </w:p>
    <w:p>
      <w:pPr>
        <w:pStyle w:val="8"/>
        <w:spacing w:before="0" w:beforeAutospacing="0" w:after="0" w:afterAutospacing="0" w:line="360" w:lineRule="auto"/>
        <w:ind w:firstLine="420"/>
        <w:rPr>
          <w:sz w:val="21"/>
          <w:szCs w:val="21"/>
        </w:rPr>
      </w:pPr>
      <w:r>
        <w:rPr>
          <w:rFonts w:hint="eastAsia"/>
          <w:sz w:val="21"/>
          <w:szCs w:val="21"/>
        </w:rPr>
        <w:t xml:space="preserve">6、资产支持证券投资策略。 </w:t>
      </w:r>
    </w:p>
    <w:p>
      <w:pPr>
        <w:pStyle w:val="8"/>
        <w:spacing w:before="0" w:beforeAutospacing="0" w:after="0" w:afterAutospacing="0" w:line="360" w:lineRule="auto"/>
        <w:ind w:firstLine="420"/>
        <w:rPr>
          <w:sz w:val="21"/>
          <w:szCs w:val="21"/>
        </w:rPr>
      </w:pPr>
      <w:r>
        <w:rPr>
          <w:rFonts w:hint="eastAsia"/>
          <w:sz w:val="21"/>
          <w:szCs w:val="21"/>
        </w:rPr>
        <w:t>本基金将通过对资产支持证券基础资产及结构设计的研究，结合多种定价模型，根据基</w:t>
      </w:r>
      <w:bookmarkStart w:id="123" w:name="chapter_level1_11_60_section_1_end"/>
      <w:bookmarkEnd w:id="123"/>
      <w:r>
        <w:rPr>
          <w:rFonts w:hint="eastAsia"/>
          <w:sz w:val="21"/>
          <w:szCs w:val="21"/>
        </w:rPr>
        <w:t xml:space="preserve">金资产组合情况适度进行资产支持证券的投资。 </w:t>
      </w:r>
      <w:bookmarkStart w:id="124" w:name="field_60_investmentstrategy_1_end"/>
      <w:bookmarkEnd w:id="124"/>
      <w:r>
        <w:rPr>
          <w:rFonts w:hint="eastAsia"/>
          <w:sz w:val="21"/>
          <w:szCs w:val="21"/>
        </w:rPr>
        <w:t xml:space="preserve">  </w:t>
      </w:r>
    </w:p>
    <w:p>
      <w:pPr>
        <w:pStyle w:val="8"/>
        <w:spacing w:before="0" w:beforeAutospacing="0" w:after="0" w:afterAutospacing="0" w:line="360" w:lineRule="auto"/>
        <w:ind w:firstLine="420"/>
        <w:rPr>
          <w:sz w:val="21"/>
          <w:szCs w:val="21"/>
        </w:rPr>
      </w:pPr>
      <w:bookmarkStart w:id="125" w:name="chapter_level1_11_60_section_2"/>
      <w:bookmarkEnd w:id="125"/>
      <w:r>
        <w:rPr>
          <w:rStyle w:val="12"/>
          <w:rFonts w:hint="eastAsia"/>
          <w:sz w:val="21"/>
          <w:szCs w:val="21"/>
        </w:rPr>
        <w:t>四、投资决策流程</w:t>
      </w:r>
    </w:p>
    <w:p>
      <w:pPr>
        <w:pStyle w:val="8"/>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8"/>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8"/>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（2）宏观策略部基于自上而下的研究为本基金提供建议；固定收益总部数量及信用分析员为固定收益类投资决策提供依据； </w:t>
      </w:r>
    </w:p>
    <w:p>
      <w:pPr>
        <w:pStyle w:val="8"/>
        <w:spacing w:before="0" w:beforeAutospacing="0" w:after="0" w:afterAutospacing="0" w:line="360" w:lineRule="auto"/>
        <w:ind w:firstLine="420"/>
        <w:rPr>
          <w:sz w:val="21"/>
          <w:szCs w:val="21"/>
        </w:rPr>
      </w:pPr>
      <w:r>
        <w:rPr>
          <w:rFonts w:hint="eastAsia"/>
          <w:sz w:val="21"/>
          <w:szCs w:val="21"/>
        </w:rPr>
        <w:t xml:space="preserve">（3）固定收益总部定期召开投资例会，根据投资决策委员会的决定，结合市场和个券的变化，制定具体的投资策略； </w:t>
      </w:r>
    </w:p>
    <w:p>
      <w:pPr>
        <w:pStyle w:val="8"/>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8"/>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8"/>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8"/>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8"/>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8"/>
        <w:spacing w:before="0" w:beforeAutospacing="0" w:after="0" w:afterAutospacing="0" w:line="360" w:lineRule="auto"/>
        <w:ind w:firstLine="420"/>
        <w:rPr>
          <w:sz w:val="21"/>
          <w:szCs w:val="21"/>
        </w:rPr>
      </w:pPr>
      <w:r>
        <w:rPr>
          <w:rStyle w:val="12"/>
          <w:rFonts w:hint="eastAsia"/>
          <w:sz w:val="21"/>
          <w:szCs w:val="21"/>
        </w:rPr>
        <w:t>五、投资限制</w:t>
      </w:r>
    </w:p>
    <w:p>
      <w:pPr>
        <w:pStyle w:val="8"/>
        <w:spacing w:before="0" w:beforeAutospacing="0" w:after="0" w:afterAutospacing="0" w:line="360" w:lineRule="auto"/>
        <w:ind w:firstLine="420"/>
        <w:rPr>
          <w:sz w:val="21"/>
          <w:szCs w:val="21"/>
        </w:rPr>
      </w:pPr>
      <w:r>
        <w:rPr>
          <w:rFonts w:hint="eastAsia"/>
          <w:sz w:val="21"/>
          <w:szCs w:val="21"/>
        </w:rPr>
        <w:t xml:space="preserve">1、组合限制 </w:t>
      </w:r>
    </w:p>
    <w:p>
      <w:pPr>
        <w:pStyle w:val="8"/>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（10）本基金应投资于信用级别评级为AA-以上(含AA-)的资产支持证券。基金持有资产支持证券期间，如果其信用等级下降、不再符合投资标准，应在评级报告发布之日起3个月内予以全部卖出； </w:t>
      </w:r>
    </w:p>
    <w:p>
      <w:pPr>
        <w:pStyle w:val="8"/>
        <w:spacing w:before="0" w:beforeAutospacing="0" w:after="0" w:afterAutospacing="0" w:line="360" w:lineRule="auto"/>
        <w:ind w:firstLine="420"/>
        <w:rPr>
          <w:sz w:val="21"/>
          <w:szCs w:val="21"/>
        </w:rPr>
      </w:pPr>
      <w:r>
        <w:rPr>
          <w:rFonts w:hint="eastAsia"/>
          <w:sz w:val="21"/>
          <w:szCs w:val="21"/>
        </w:rPr>
        <w:t xml:space="preserve">（11）本基金应投资于主体信用级别评级为AA以上(含AA)发行的信用债券。基金持有信用债券期间，如果其主体信用等级下降、不再符合投资标准，应在评级报告发布之日起3个月内予以全部卖出； </w:t>
      </w:r>
    </w:p>
    <w:p>
      <w:pPr>
        <w:pStyle w:val="8"/>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8"/>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 </w:t>
      </w:r>
    </w:p>
    <w:p>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8"/>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8"/>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pPr>
        <w:pStyle w:val="8"/>
        <w:spacing w:before="0" w:beforeAutospacing="0" w:after="0" w:afterAutospacing="0" w:line="360" w:lineRule="auto"/>
        <w:ind w:firstLine="420"/>
        <w:rPr>
          <w:sz w:val="21"/>
          <w:szCs w:val="21"/>
        </w:rPr>
      </w:pPr>
      <w:r>
        <w:rPr>
          <w:rFonts w:hint="eastAsia"/>
          <w:sz w:val="21"/>
          <w:szCs w:val="21"/>
        </w:rPr>
        <w:t xml:space="preserve">除上述第（2）、（10）、（11）、（13）、（14）条以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8"/>
        <w:spacing w:before="0" w:beforeAutospacing="0" w:after="0" w:afterAutospacing="0" w:line="360" w:lineRule="auto"/>
        <w:ind w:firstLine="420"/>
        <w:rPr>
          <w:sz w:val="21"/>
          <w:szCs w:val="21"/>
        </w:rPr>
      </w:pPr>
      <w:r>
        <w:rPr>
          <w:rFonts w:hint="eastAsia"/>
          <w:sz w:val="21"/>
          <w:szCs w:val="21"/>
        </w:rPr>
        <w:t xml:space="preserve">法律法规或监管部门取消或调整上述限制，如适用于本基金，基金管理人在履行适当程序后，则本基金投资不再受相关限制或按调整后的规定执行，但须提前公告。 </w:t>
      </w:r>
    </w:p>
    <w:p>
      <w:pPr>
        <w:pStyle w:val="8"/>
        <w:spacing w:before="0" w:beforeAutospacing="0" w:after="0" w:afterAutospacing="0" w:line="360" w:lineRule="auto"/>
        <w:ind w:firstLine="420"/>
        <w:rPr>
          <w:sz w:val="21"/>
          <w:szCs w:val="21"/>
        </w:rPr>
      </w:pPr>
      <w:r>
        <w:rPr>
          <w:rFonts w:hint="eastAsia"/>
          <w:sz w:val="21"/>
          <w:szCs w:val="21"/>
        </w:rPr>
        <w:t xml:space="preserve">2、禁止行为 </w:t>
      </w:r>
    </w:p>
    <w:p>
      <w:pPr>
        <w:pStyle w:val="8"/>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8"/>
        <w:spacing w:before="0" w:beforeAutospacing="0" w:after="0" w:afterAutospacing="0" w:line="360" w:lineRule="auto"/>
        <w:ind w:firstLine="420"/>
        <w:rPr>
          <w:sz w:val="21"/>
          <w:szCs w:val="21"/>
        </w:rPr>
      </w:pPr>
      <w:r>
        <w:rPr>
          <w:rFonts w:hint="eastAsia"/>
          <w:sz w:val="21"/>
          <w:szCs w:val="21"/>
        </w:rPr>
        <w:t xml:space="preserve">（1）承销证券； </w:t>
      </w:r>
    </w:p>
    <w:p>
      <w:pPr>
        <w:pStyle w:val="8"/>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8"/>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8"/>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8"/>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8"/>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8"/>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8"/>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pPr>
        <w:pStyle w:val="8"/>
        <w:spacing w:before="0" w:beforeAutospacing="0" w:after="0" w:afterAutospacing="0" w:line="360" w:lineRule="auto"/>
        <w:ind w:firstLine="420"/>
        <w:rPr>
          <w:sz w:val="21"/>
          <w:szCs w:val="21"/>
        </w:rPr>
      </w:pPr>
      <w:bookmarkStart w:id="126" w:name="chapter_level1_11_60_section_2_end"/>
      <w:bookmarkEnd w:id="126"/>
      <w:r>
        <w:rPr>
          <w:rStyle w:val="12"/>
          <w:rFonts w:hint="eastAsia"/>
          <w:sz w:val="21"/>
          <w:szCs w:val="21"/>
        </w:rPr>
        <w:t>六、业绩比较基准</w:t>
      </w:r>
    </w:p>
    <w:p>
      <w:pPr>
        <w:pStyle w:val="8"/>
        <w:spacing w:before="0" w:beforeAutospacing="0" w:after="0" w:afterAutospacing="0" w:line="360" w:lineRule="auto"/>
        <w:ind w:firstLine="420"/>
        <w:rPr>
          <w:sz w:val="21"/>
          <w:szCs w:val="21"/>
        </w:rPr>
      </w:pPr>
      <w:bookmarkStart w:id="127" w:name="chapter_level1_11_60_section_3"/>
      <w:bookmarkEnd w:id="127"/>
      <w:r>
        <w:rPr>
          <w:rFonts w:hint="eastAsia"/>
          <w:sz w:val="21"/>
          <w:szCs w:val="21"/>
        </w:rPr>
        <w:t>本基金的业绩比较基准为：</w:t>
      </w:r>
      <w:bookmarkStart w:id="128" w:name="field_60_benchmark_1_start"/>
      <w:bookmarkEnd w:id="128"/>
      <w:r>
        <w:rPr>
          <w:rFonts w:hint="eastAsia"/>
          <w:sz w:val="21"/>
          <w:szCs w:val="21"/>
        </w:rPr>
        <w:t xml:space="preserve">中债综合财富（总值）指数收益率×90%+1年期定期存款利率（税后）×10%。  </w:t>
      </w:r>
      <w:bookmarkStart w:id="129" w:name="field_60_benchmark_1_end"/>
      <w:bookmarkEnd w:id="129"/>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的比例不低于基金资产的80%，持有现金或者到期日在一年以内的政府债券不低于基金资产净值的5%，采用90%作为业绩比较基准中债券投资所代表的权重，10%作为现金资产所对应的权重可以较好的反映本基金的风险收益特征。 </w:t>
      </w:r>
    </w:p>
    <w:p>
      <w:pPr>
        <w:pStyle w:val="8"/>
        <w:spacing w:before="0" w:beforeAutospacing="0" w:after="0" w:afterAutospacing="0" w:line="360" w:lineRule="auto"/>
        <w:ind w:firstLine="420"/>
        <w:rPr>
          <w:sz w:val="21"/>
          <w:szCs w:val="21"/>
        </w:rPr>
      </w:pPr>
      <w:r>
        <w:rPr>
          <w:rFonts w:hint="eastAsia"/>
          <w:sz w:val="21"/>
          <w:szCs w:val="21"/>
        </w:rPr>
        <w:t>若未来法律法规发生变化，或者有更权威的、更能为市场普遍接受的业绩比较基准推出，或者市场发生变化导致本业绩比较基准不再适用或本业绩比较基准停止发布，本基金管理人可以依据维护投资者合法权益的原则，在与基金托管人协商一致并报中国证监会备案后，适</w:t>
      </w:r>
      <w:bookmarkStart w:id="130" w:name="chapter_level1_11_60_section_3_end"/>
      <w:bookmarkEnd w:id="130"/>
      <w:r>
        <w:rPr>
          <w:rFonts w:hint="eastAsia"/>
          <w:sz w:val="21"/>
          <w:szCs w:val="21"/>
        </w:rPr>
        <w:t xml:space="preserve">当调整业绩比较基准并及时公告，而无需召开基金份额持有人大会。 </w:t>
      </w:r>
    </w:p>
    <w:p>
      <w:pPr>
        <w:pStyle w:val="8"/>
        <w:spacing w:before="0" w:beforeAutospacing="0" w:after="0" w:afterAutospacing="0" w:line="360" w:lineRule="auto"/>
        <w:ind w:firstLine="420"/>
        <w:rPr>
          <w:sz w:val="21"/>
          <w:szCs w:val="21"/>
        </w:rPr>
      </w:pPr>
      <w:bookmarkStart w:id="131" w:name="chapter_level1_11_60_section_4"/>
      <w:bookmarkEnd w:id="131"/>
      <w:r>
        <w:rPr>
          <w:rStyle w:val="12"/>
          <w:rFonts w:hint="eastAsia"/>
          <w:sz w:val="21"/>
          <w:szCs w:val="21"/>
        </w:rPr>
        <w:t>七、风险收益特征</w:t>
      </w:r>
    </w:p>
    <w:p>
      <w:pPr>
        <w:pStyle w:val="8"/>
        <w:spacing w:before="0" w:beforeAutospacing="0" w:after="0" w:afterAutospacing="0" w:line="360" w:lineRule="auto"/>
        <w:ind w:firstLine="420"/>
        <w:rPr>
          <w:sz w:val="21"/>
          <w:szCs w:val="21"/>
        </w:rPr>
      </w:pPr>
      <w:bookmarkStart w:id="132" w:name="field_60_riskyield_1_start"/>
      <w:bookmarkEnd w:id="132"/>
      <w:r>
        <w:rPr>
          <w:rFonts w:hint="eastAsia"/>
          <w:sz w:val="21"/>
          <w:szCs w:val="21"/>
        </w:rPr>
        <w:t xml:space="preserve">本基金为债券型基金，预期收益和预期风险高于货币市场基金，但低于混合型基金、股票型基金，属于中低风险/收益的产品。  </w:t>
      </w:r>
      <w:bookmarkStart w:id="133" w:name="field_60_riskyield_1_end"/>
      <w:bookmarkEnd w:id="133"/>
      <w:r>
        <w:rPr>
          <w:rFonts w:hint="eastAsia"/>
          <w:sz w:val="21"/>
          <w:szCs w:val="21"/>
        </w:rPr>
        <w:t xml:space="preserve">  </w:t>
      </w:r>
    </w:p>
    <w:p>
      <w:pPr>
        <w:pStyle w:val="8"/>
        <w:spacing w:before="0" w:beforeAutospacing="0" w:after="0" w:afterAutospacing="0" w:line="360" w:lineRule="auto"/>
        <w:ind w:firstLine="420"/>
        <w:rPr>
          <w:sz w:val="21"/>
          <w:szCs w:val="21"/>
        </w:rPr>
      </w:pPr>
      <w:r>
        <w:rPr>
          <w:rStyle w:val="12"/>
          <w:rFonts w:hint="eastAsia"/>
          <w:sz w:val="21"/>
          <w:szCs w:val="21"/>
        </w:rPr>
        <w:t>八、基金管理人代表基金行使相关权利的处理原则及方法</w:t>
      </w:r>
    </w:p>
    <w:p>
      <w:pPr>
        <w:pStyle w:val="8"/>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1、基金管理人按照国家有关规定代表基金独立行使相关权利，保护基金份额持有人的利益； </w:t>
      </w:r>
    </w:p>
    <w:p>
      <w:pPr>
        <w:pStyle w:val="8"/>
        <w:spacing w:before="0" w:beforeAutospacing="0" w:after="0" w:afterAutospacing="0" w:line="360" w:lineRule="auto"/>
        <w:ind w:firstLine="420"/>
        <w:rPr>
          <w:sz w:val="21"/>
          <w:szCs w:val="21"/>
        </w:rPr>
      </w:pPr>
      <w:r>
        <w:rPr>
          <w:rFonts w:hint="eastAsia"/>
          <w:sz w:val="21"/>
          <w:szCs w:val="21"/>
        </w:rPr>
        <w:t xml:space="preserve">2、有利于基金财产的安全与增值； </w:t>
      </w:r>
    </w:p>
    <w:p>
      <w:pPr>
        <w:pStyle w:val="8"/>
        <w:spacing w:before="0" w:beforeAutospacing="0" w:after="0" w:afterAutospacing="0" w:line="360" w:lineRule="auto"/>
        <w:ind w:firstLine="420"/>
        <w:rPr>
          <w:sz w:val="21"/>
          <w:szCs w:val="21"/>
        </w:rPr>
      </w:pPr>
      <w:r>
        <w:rPr>
          <w:rFonts w:hint="eastAsia"/>
          <w:sz w:val="21"/>
          <w:szCs w:val="21"/>
        </w:rPr>
        <w:t>3、不通过关联交易为自身、雇员、授权代理人或任何存在利害关系的第三人牟取任何</w:t>
      </w:r>
      <w:bookmarkStart w:id="134" w:name="chapter_level1_11_60_section_4_end"/>
      <w:bookmarkEnd w:id="134"/>
      <w:r>
        <w:rPr>
          <w:rFonts w:hint="eastAsia"/>
          <w:sz w:val="21"/>
          <w:szCs w:val="21"/>
        </w:rPr>
        <w:t xml:space="preserve">不当利益。 </w:t>
      </w:r>
    </w:p>
    <w:p>
      <w:pPr>
        <w:pStyle w:val="8"/>
        <w:spacing w:before="0" w:beforeAutospacing="0" w:after="0" w:afterAutospacing="0" w:line="360" w:lineRule="auto"/>
        <w:ind w:firstLine="420"/>
        <w:rPr>
          <w:sz w:val="21"/>
          <w:szCs w:val="21"/>
        </w:rPr>
      </w:pPr>
      <w:bookmarkStart w:id="135" w:name="chapter_level1_11_60_section_5"/>
      <w:bookmarkEnd w:id="135"/>
      <w:r>
        <w:rPr>
          <w:rFonts w:hint="eastAsia"/>
          <w:sz w:val="21"/>
          <w:szCs w:val="21"/>
        </w:rPr>
        <w:t xml:space="preserve"> 九、侧袋机制的实施和投资运作安排  </w:t>
      </w:r>
    </w:p>
    <w:p>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rPr>
          <w:rFonts w:ascii="宋体" w:hAnsi="宋体" w:eastAsia="宋体"/>
          <w:sz w:val="24"/>
          <w:szCs w:val="24"/>
        </w:rPr>
      </w:pPr>
      <w:r>
        <w:rPr>
          <w:rFonts w:ascii="宋体" w:hAnsi="宋体" w:eastAsia="宋体"/>
        </w:rPr>
        <w:t xml:space="preserve">侧袋账户的实施条件、实施程序、运作安排、投资安排、特定资产的处置变现和支付等对投资者权益有重大影响的事项详见本招募说明书“侧袋机制”章节的规定。 </w:t>
      </w:r>
    </w:p>
    <w:p>
      <w:pPr>
        <w:pStyle w:val="8"/>
        <w:spacing w:before="0" w:beforeAutospacing="0" w:after="0" w:afterAutospacing="0" w:line="360" w:lineRule="auto"/>
        <w:ind w:firstLine="420"/>
        <w:rPr>
          <w:sz w:val="21"/>
          <w:szCs w:val="21"/>
        </w:rPr>
      </w:pPr>
      <w:bookmarkStart w:id="136" w:name="chapter_level1_11_60_section_5_end"/>
      <w:bookmarkEnd w:id="136"/>
      <w:r>
        <w:rPr>
          <w:rFonts w:hint="eastAsia"/>
          <w:sz w:val="21"/>
          <w:szCs w:val="21"/>
        </w:rPr>
        <w:t xml:space="preserve">十、基金投资组合报告 </w:t>
      </w:r>
    </w:p>
    <w:p>
      <w:pPr>
        <w:pStyle w:val="8"/>
        <w:spacing w:before="0" w:beforeAutospacing="0" w:after="0" w:afterAutospacing="0" w:line="360" w:lineRule="auto"/>
        <w:ind w:firstLine="420"/>
        <w:rPr>
          <w:sz w:val="21"/>
          <w:szCs w:val="21"/>
        </w:rPr>
      </w:pPr>
      <w:bookmarkStart w:id="137" w:name="chapter_level1_11_60_section_6"/>
      <w:bookmarkEnd w:id="137"/>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pPr>
        <w:pStyle w:val="8"/>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8"/>
        <w:spacing w:before="0" w:beforeAutospacing="0" w:after="0" w:afterAutospacing="0" w:line="360" w:lineRule="auto"/>
        <w:ind w:firstLine="420"/>
        <w:rPr>
          <w:sz w:val="21"/>
          <w:szCs w:val="21"/>
        </w:rPr>
      </w:pPr>
      <w:r>
        <w:rPr>
          <w:rFonts w:hint="eastAsia"/>
          <w:sz w:val="21"/>
          <w:szCs w:val="21"/>
        </w:rPr>
        <w:t>本投资组合报告所载数据截至</w:t>
      </w:r>
      <w:bookmarkStart w:id="138" w:name="field_2343_financeendday_2"/>
      <w:r>
        <w:rPr>
          <w:sz w:val="21"/>
          <w:szCs w:val="21"/>
        </w:rPr>
        <w:t>2025年6月30日</w:t>
      </w:r>
      <w:bookmarkEnd w:id="138"/>
      <w:r>
        <w:rPr>
          <w:rFonts w:hint="eastAsia"/>
          <w:sz w:val="21"/>
          <w:szCs w:val="21"/>
        </w:rPr>
        <w:t xml:space="preserve">（财务数据未经审计）。 </w:t>
      </w:r>
    </w:p>
    <w:p>
      <w:pPr>
        <w:pStyle w:val="8"/>
        <w:spacing w:before="0" w:beforeAutospacing="0" w:after="0" w:afterAutospacing="0" w:line="360" w:lineRule="auto"/>
        <w:ind w:firstLine="420"/>
        <w:rPr>
          <w:sz w:val="21"/>
          <w:szCs w:val="21"/>
        </w:rPr>
      </w:pPr>
      <w:bookmarkStart w:id="139" w:name="field_0_fundportfolio_1_start"/>
      <w:bookmarkEnd w:id="139"/>
      <w:r>
        <w:rPr>
          <w:rStyle w:val="12"/>
          <w:rFonts w:hint="eastAsia"/>
          <w:sz w:val="21"/>
          <w:szCs w:val="21"/>
        </w:rPr>
        <w:t>1报告期末基金资产组合情况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1,157,825,122.56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1,157,825,122.56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3,921,864.78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1,161,746,997.34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8"/>
        <w:spacing w:before="0" w:beforeAutospacing="0" w:after="0" w:afterAutospacing="0" w:line="360" w:lineRule="auto"/>
        <w:ind w:firstLine="420"/>
        <w:rPr>
          <w:sz w:val="21"/>
          <w:szCs w:val="21"/>
        </w:rPr>
      </w:pPr>
      <w:r>
        <w:rPr>
          <w:rStyle w:val="12"/>
          <w:rFonts w:hint="eastAsia"/>
          <w:sz w:val="21"/>
          <w:szCs w:val="21"/>
        </w:rPr>
        <w:t>2报告期末按行业分类的股票投资组合</w:t>
      </w:r>
    </w:p>
    <w:p>
      <w:pPr>
        <w:pStyle w:val="8"/>
        <w:spacing w:before="0" w:beforeAutospacing="0" w:after="0" w:afterAutospacing="0" w:line="360" w:lineRule="auto"/>
        <w:ind w:firstLine="420"/>
        <w:rPr>
          <w:sz w:val="21"/>
          <w:szCs w:val="21"/>
        </w:rPr>
      </w:pPr>
      <w:r>
        <w:rPr>
          <w:rStyle w:val="12"/>
          <w:rFonts w:hint="eastAsia"/>
          <w:sz w:val="21"/>
          <w:szCs w:val="21"/>
        </w:rPr>
        <w:t>2.1报告期末按行业分类的境内股票投资组合</w:t>
      </w:r>
    </w:p>
    <w:p>
      <w:pPr>
        <w:pStyle w:val="8"/>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8"/>
        <w:spacing w:before="0" w:beforeAutospacing="0" w:after="0" w:afterAutospacing="0" w:line="360" w:lineRule="auto"/>
        <w:ind w:firstLine="420"/>
        <w:rPr>
          <w:sz w:val="21"/>
          <w:szCs w:val="21"/>
        </w:rPr>
      </w:pPr>
      <w:r>
        <w:rPr>
          <w:rStyle w:val="12"/>
          <w:rFonts w:hint="eastAsia"/>
          <w:sz w:val="21"/>
          <w:szCs w:val="21"/>
        </w:rPr>
        <w:t>2.2报告期末按行业分类的港股通投资股票投资组合</w:t>
      </w:r>
    </w:p>
    <w:p>
      <w:pPr>
        <w:pStyle w:val="8"/>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8"/>
        <w:spacing w:before="0" w:beforeAutospacing="0" w:after="0" w:afterAutospacing="0" w:line="360" w:lineRule="auto"/>
        <w:ind w:firstLine="420"/>
        <w:rPr>
          <w:sz w:val="21"/>
          <w:szCs w:val="21"/>
        </w:rPr>
      </w:pPr>
      <w:r>
        <w:rPr>
          <w:rStyle w:val="12"/>
          <w:rFonts w:hint="eastAsia"/>
          <w:sz w:val="21"/>
          <w:szCs w:val="21"/>
        </w:rPr>
        <w:t>3报告期末按公允价值占基金资产净值比例大小排序的前十名股票投资明细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本基金本报告期末未持有股票。</w:t>
      </w:r>
    </w:p>
    <w:p>
      <w:pPr>
        <w:pStyle w:val="8"/>
        <w:spacing w:before="0" w:beforeAutospacing="0" w:after="0" w:afterAutospacing="0" w:line="360" w:lineRule="auto"/>
        <w:ind w:firstLine="420"/>
        <w:rPr>
          <w:sz w:val="21"/>
          <w:szCs w:val="21"/>
        </w:rPr>
      </w:pPr>
      <w:r>
        <w:rPr>
          <w:rStyle w:val="12"/>
          <w:rFonts w:hint="eastAsia"/>
          <w:sz w:val="21"/>
          <w:szCs w:val="21"/>
        </w:rPr>
        <w:t>4报告期末按债券品种分类的债券投资组合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503"/>
        <w:gridCol w:w="2254"/>
        <w:gridCol w:w="3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346,572,780.10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811,252,342.46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78.83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811,252,342.46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78.83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1,157,825,122.56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112.50</w:t>
            </w:r>
          </w:p>
        </w:tc>
      </w:tr>
    </w:tbl>
    <w:p>
      <w:pPr>
        <w:pStyle w:val="8"/>
        <w:spacing w:before="0" w:beforeAutospacing="0" w:after="0" w:afterAutospacing="0" w:line="360" w:lineRule="auto"/>
        <w:ind w:firstLine="420"/>
        <w:rPr>
          <w:sz w:val="21"/>
          <w:szCs w:val="21"/>
        </w:rPr>
      </w:pPr>
      <w:r>
        <w:rPr>
          <w:rStyle w:val="12"/>
          <w:rFonts w:hint="eastAsia"/>
          <w:sz w:val="21"/>
          <w:szCs w:val="21"/>
        </w:rPr>
        <w:t>5报告期末按公允价值占基金资产净值比例大小排序的前五名债券投资明细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
        <w:gridCol w:w="1030"/>
        <w:gridCol w:w="1437"/>
        <w:gridCol w:w="1253"/>
        <w:gridCol w:w="1686"/>
        <w:gridCol w:w="2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240413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24农发13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265,567,917.81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25附息国债07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152,640,904.11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240303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24进出03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121,440,657.53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220220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22国开20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108,907,260.27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250410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25农发10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79,789,435.62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7.75</w:t>
            </w:r>
          </w:p>
        </w:tc>
      </w:tr>
    </w:tbl>
    <w:p>
      <w:pPr>
        <w:pStyle w:val="8"/>
        <w:spacing w:before="0" w:beforeAutospacing="0" w:after="0" w:afterAutospacing="0" w:line="360" w:lineRule="auto"/>
        <w:ind w:firstLine="420"/>
        <w:rPr>
          <w:sz w:val="21"/>
          <w:szCs w:val="21"/>
        </w:rPr>
      </w:pPr>
      <w:r>
        <w:rPr>
          <w:rStyle w:val="12"/>
          <w:rFonts w:hint="eastAsia"/>
          <w:sz w:val="21"/>
          <w:szCs w:val="21"/>
        </w:rPr>
        <w:t>6报告期末按公允价值占基金资产净值比例大小排序的前十名资产支持证券投资明细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8"/>
        <w:spacing w:before="0" w:beforeAutospacing="0" w:after="0" w:afterAutospacing="0" w:line="360" w:lineRule="auto"/>
        <w:ind w:firstLine="420"/>
        <w:rPr>
          <w:sz w:val="21"/>
          <w:szCs w:val="21"/>
        </w:rPr>
      </w:pPr>
      <w:r>
        <w:rPr>
          <w:rStyle w:val="12"/>
          <w:rFonts w:hint="eastAsia"/>
          <w:sz w:val="21"/>
          <w:szCs w:val="21"/>
        </w:rPr>
        <w:t>7报告期末按公允价值占基金资产净值比例大小排序的前五名贵金属投资明细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本基金本报告期末未持有贵金属。</w:t>
      </w:r>
    </w:p>
    <w:p>
      <w:pPr>
        <w:pStyle w:val="8"/>
        <w:spacing w:before="0" w:beforeAutospacing="0" w:after="0" w:afterAutospacing="0" w:line="360" w:lineRule="auto"/>
        <w:ind w:firstLine="420"/>
        <w:rPr>
          <w:sz w:val="21"/>
          <w:szCs w:val="21"/>
        </w:rPr>
      </w:pPr>
      <w:r>
        <w:rPr>
          <w:rStyle w:val="12"/>
          <w:rFonts w:hint="eastAsia"/>
          <w:sz w:val="21"/>
          <w:szCs w:val="21"/>
        </w:rPr>
        <w:t>8报告期末按公允价值占基金资产净值比例大小排序的前五名权证投资明细</w:t>
      </w:r>
    </w:p>
    <w:p>
      <w:pPr>
        <w:pStyle w:val="8"/>
        <w:spacing w:before="0" w:beforeAutospacing="0" w:after="0" w:afterAutospacing="0" w:line="360" w:lineRule="auto"/>
        <w:ind w:firstLine="420"/>
        <w:rPr>
          <w:sz w:val="21"/>
          <w:szCs w:val="21"/>
        </w:rPr>
      </w:pPr>
      <w:r>
        <w:rPr>
          <w:rFonts w:hint="eastAsia"/>
          <w:sz w:val="21"/>
          <w:szCs w:val="21"/>
        </w:rPr>
        <w:t>本基金本报告期末未持有权证。</w:t>
      </w:r>
    </w:p>
    <w:p>
      <w:pPr>
        <w:pStyle w:val="8"/>
        <w:spacing w:before="0" w:beforeAutospacing="0" w:after="0" w:afterAutospacing="0" w:line="360" w:lineRule="auto"/>
        <w:ind w:firstLine="420"/>
        <w:rPr>
          <w:sz w:val="21"/>
          <w:szCs w:val="21"/>
        </w:rPr>
      </w:pPr>
      <w:r>
        <w:rPr>
          <w:rStyle w:val="12"/>
          <w:rFonts w:hint="eastAsia"/>
          <w:sz w:val="21"/>
          <w:szCs w:val="21"/>
        </w:rPr>
        <w:t>9报告期末本基金投资的股指期货交易情况说明</w:t>
      </w:r>
    </w:p>
    <w:p>
      <w:pPr>
        <w:pStyle w:val="8"/>
        <w:spacing w:before="0" w:beforeAutospacing="0" w:after="0" w:afterAutospacing="0" w:line="360" w:lineRule="auto"/>
        <w:ind w:firstLine="420"/>
        <w:rPr>
          <w:sz w:val="21"/>
          <w:szCs w:val="21"/>
        </w:rPr>
      </w:pPr>
      <w:r>
        <w:rPr>
          <w:rStyle w:val="12"/>
          <w:rFonts w:hint="eastAsia"/>
          <w:sz w:val="21"/>
          <w:szCs w:val="21"/>
        </w:rPr>
        <w:t>9.1报告期末本基金投资的股指期货持仓和损益明细</w:t>
      </w:r>
    </w:p>
    <w:p>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8"/>
        <w:spacing w:before="0" w:beforeAutospacing="0" w:after="0" w:afterAutospacing="0" w:line="360" w:lineRule="auto"/>
        <w:ind w:firstLine="420"/>
        <w:rPr>
          <w:sz w:val="21"/>
          <w:szCs w:val="21"/>
        </w:rPr>
      </w:pPr>
      <w:r>
        <w:rPr>
          <w:rStyle w:val="12"/>
          <w:rFonts w:hint="eastAsia"/>
          <w:sz w:val="21"/>
          <w:szCs w:val="21"/>
        </w:rPr>
        <w:t>9.2本基金投资股指期货的投资政策</w:t>
      </w:r>
    </w:p>
    <w:p>
      <w:pPr>
        <w:pStyle w:val="8"/>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8"/>
        <w:spacing w:before="0" w:beforeAutospacing="0" w:after="0" w:afterAutospacing="0" w:line="360" w:lineRule="auto"/>
        <w:ind w:firstLine="420"/>
        <w:rPr>
          <w:sz w:val="21"/>
          <w:szCs w:val="21"/>
        </w:rPr>
      </w:pPr>
      <w:r>
        <w:rPr>
          <w:rStyle w:val="12"/>
          <w:rFonts w:hint="eastAsia"/>
          <w:sz w:val="21"/>
          <w:szCs w:val="21"/>
        </w:rPr>
        <w:t>10报告期末本基金投资的国债期货交易情况说明</w:t>
      </w:r>
    </w:p>
    <w:p>
      <w:pPr>
        <w:pStyle w:val="8"/>
        <w:spacing w:before="0" w:beforeAutospacing="0" w:after="0" w:afterAutospacing="0" w:line="360" w:lineRule="auto"/>
        <w:ind w:firstLine="420"/>
        <w:rPr>
          <w:sz w:val="21"/>
          <w:szCs w:val="21"/>
        </w:rPr>
      </w:pPr>
      <w:r>
        <w:rPr>
          <w:rStyle w:val="12"/>
          <w:rFonts w:hint="eastAsia"/>
          <w:sz w:val="21"/>
          <w:szCs w:val="21"/>
        </w:rPr>
        <w:t>10.1本期国债期货投资政策</w:t>
      </w:r>
    </w:p>
    <w:p>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8"/>
        <w:spacing w:before="0" w:beforeAutospacing="0" w:after="0" w:afterAutospacing="0" w:line="360" w:lineRule="auto"/>
        <w:ind w:firstLine="420"/>
        <w:rPr>
          <w:sz w:val="21"/>
          <w:szCs w:val="21"/>
        </w:rPr>
      </w:pPr>
      <w:r>
        <w:rPr>
          <w:rStyle w:val="12"/>
          <w:rFonts w:hint="eastAsia"/>
          <w:sz w:val="21"/>
          <w:szCs w:val="21"/>
        </w:rPr>
        <w:t>10.2报告期末本基金投资的国债期货持仓和损益明细</w:t>
      </w:r>
    </w:p>
    <w:p>
      <w:pPr>
        <w:pStyle w:val="8"/>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8"/>
        <w:spacing w:before="0" w:beforeAutospacing="0" w:after="0" w:afterAutospacing="0" w:line="360" w:lineRule="auto"/>
        <w:ind w:firstLine="420"/>
        <w:rPr>
          <w:sz w:val="21"/>
          <w:szCs w:val="21"/>
        </w:rPr>
      </w:pPr>
      <w:r>
        <w:rPr>
          <w:rStyle w:val="12"/>
          <w:rFonts w:hint="eastAsia"/>
          <w:sz w:val="21"/>
          <w:szCs w:val="21"/>
        </w:rPr>
        <w:t>11投资组合报告附注</w:t>
      </w:r>
    </w:p>
    <w:p>
      <w:pPr>
        <w:pStyle w:val="8"/>
        <w:spacing w:before="0" w:beforeAutospacing="0" w:after="0" w:afterAutospacing="0" w:line="360" w:lineRule="auto"/>
        <w:ind w:firstLine="420"/>
        <w:rPr>
          <w:sz w:val="21"/>
          <w:szCs w:val="21"/>
        </w:rPr>
      </w:pPr>
      <w:r>
        <w:rPr>
          <w:rStyle w:val="12"/>
          <w:rFonts w:hint="eastAsia"/>
          <w:sz w:val="21"/>
          <w:szCs w:val="21"/>
        </w:rPr>
        <w:t>11.1基金投资前十名证券的发行主体被监管部门立案调查或编制日前一年内受到公开谴责、处罚的投资决策程序说明</w:t>
      </w:r>
    </w:p>
    <w:p>
      <w:pPr>
        <w:pStyle w:val="8"/>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中国进出口银行在报告编制前一年受到国家外汇管理局陕西省分局、金融监管总局的处罚。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8"/>
        <w:spacing w:before="0" w:beforeAutospacing="0" w:after="0" w:afterAutospacing="0" w:line="360" w:lineRule="auto"/>
        <w:ind w:firstLine="420"/>
        <w:rPr>
          <w:sz w:val="21"/>
          <w:szCs w:val="21"/>
        </w:rPr>
      </w:pPr>
      <w:r>
        <w:rPr>
          <w:rStyle w:val="12"/>
          <w:rFonts w:hint="eastAsia"/>
          <w:sz w:val="21"/>
          <w:szCs w:val="21"/>
        </w:rPr>
        <w:t>11.2其他资产构成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w:t>
            </w:r>
          </w:p>
        </w:tc>
      </w:tr>
    </w:tbl>
    <w:p>
      <w:pPr>
        <w:pStyle w:val="8"/>
        <w:spacing w:before="0" w:beforeAutospacing="0" w:after="0" w:afterAutospacing="0" w:line="360" w:lineRule="auto"/>
        <w:ind w:firstLine="420"/>
        <w:rPr>
          <w:sz w:val="21"/>
          <w:szCs w:val="21"/>
        </w:rPr>
      </w:pPr>
      <w:r>
        <w:rPr>
          <w:rStyle w:val="12"/>
          <w:rFonts w:hint="eastAsia"/>
          <w:sz w:val="21"/>
          <w:szCs w:val="21"/>
        </w:rPr>
        <w:t>11.3报告期末持有的处于转股期的可转换债券明细</w:t>
      </w:r>
    </w:p>
    <w:p>
      <w:pPr>
        <w:pStyle w:val="8"/>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8"/>
        <w:spacing w:before="0" w:beforeAutospacing="0" w:after="0" w:afterAutospacing="0" w:line="360" w:lineRule="auto"/>
        <w:ind w:firstLine="420"/>
        <w:rPr>
          <w:sz w:val="21"/>
          <w:szCs w:val="21"/>
        </w:rPr>
      </w:pPr>
      <w:r>
        <w:rPr>
          <w:rStyle w:val="12"/>
          <w:rFonts w:hint="eastAsia"/>
          <w:sz w:val="21"/>
          <w:szCs w:val="21"/>
        </w:rPr>
        <w:t>11.4报告期末前十名股票中存在流通受限情况的说明</w:t>
      </w:r>
    </w:p>
    <w:p>
      <w:pPr>
        <w:pStyle w:val="8"/>
        <w:spacing w:before="0" w:beforeAutospacing="0" w:after="0" w:afterAutospacing="0" w:line="360" w:lineRule="auto"/>
        <w:ind w:firstLine="420"/>
        <w:rPr>
          <w:sz w:val="21"/>
          <w:szCs w:val="21"/>
        </w:rPr>
      </w:pPr>
      <w:r>
        <w:rPr>
          <w:rFonts w:hint="eastAsia"/>
          <w:sz w:val="21"/>
          <w:szCs w:val="21"/>
        </w:rPr>
        <w:t>本基金本报告期末未持有股票。</w:t>
      </w:r>
    </w:p>
    <w:p>
      <w:pPr>
        <w:pStyle w:val="8"/>
        <w:spacing w:before="0" w:beforeAutospacing="0" w:after="0" w:afterAutospacing="0" w:line="360" w:lineRule="auto"/>
        <w:ind w:firstLine="420"/>
        <w:rPr>
          <w:sz w:val="21"/>
          <w:szCs w:val="21"/>
        </w:rPr>
      </w:pPr>
      <w:r>
        <w:rPr>
          <w:rStyle w:val="12"/>
          <w:rFonts w:hint="eastAsia"/>
          <w:sz w:val="21"/>
          <w:szCs w:val="21"/>
        </w:rPr>
        <w:t>11.5投资组合报告附注的其他文字描述部分</w:t>
      </w:r>
    </w:p>
    <w:p>
      <w:pPr>
        <w:pStyle w:val="8"/>
        <w:spacing w:before="0" w:beforeAutospacing="0" w:after="0" w:afterAutospacing="0" w:line="360" w:lineRule="auto"/>
        <w:ind w:firstLine="420"/>
        <w:rPr>
          <w:sz w:val="21"/>
          <w:szCs w:val="21"/>
        </w:rPr>
      </w:pPr>
      <w:bookmarkStart w:id="140" w:name="chapter_level1_11_60_section_6_end"/>
      <w:bookmarkEnd w:id="140"/>
      <w:r>
        <w:rPr>
          <w:rFonts w:hint="eastAsia"/>
          <w:sz w:val="21"/>
          <w:szCs w:val="21"/>
        </w:rPr>
        <w:t>由于四舍五入的原因，分项之和与合计项之间可能存在尾差。</w:t>
      </w:r>
      <w:bookmarkStart w:id="141" w:name="field_0_fundportfolio_1_end"/>
      <w:bookmarkEnd w:id="141"/>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2" w:name="_Toc207936397"/>
      <w:bookmarkStart w:id="143" w:name="chapter_level1_12_3500"/>
      <w:r>
        <w:rPr>
          <w:rFonts w:hint="eastAsia" w:ascii="宋体" w:hAnsi="宋体" w:eastAsia="宋体"/>
          <w:sz w:val="30"/>
        </w:rPr>
        <w:t>第九部分 基金的业绩</w:t>
      </w:r>
      <w:bookmarkEnd w:id="142"/>
      <w:bookmarkEnd w:id="143"/>
    </w:p>
    <w:p>
      <w:pPr>
        <w:pStyle w:val="8"/>
        <w:spacing w:before="0" w:beforeAutospacing="0" w:after="0" w:afterAutospacing="0" w:line="360" w:lineRule="auto"/>
        <w:ind w:firstLine="420"/>
        <w:rPr>
          <w:sz w:val="21"/>
          <w:szCs w:val="21"/>
        </w:rPr>
      </w:pPr>
      <w:bookmarkStart w:id="144" w:name="chapter_level1_12_3500_section_1"/>
      <w:bookmarkEnd w:id="144"/>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8"/>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8"/>
        <w:spacing w:before="0" w:beforeAutospacing="0" w:after="0" w:afterAutospacing="0" w:line="360" w:lineRule="auto"/>
        <w:ind w:firstLine="420"/>
        <w:rPr>
          <w:sz w:val="21"/>
          <w:szCs w:val="21"/>
        </w:rPr>
      </w:pPr>
      <w:bookmarkStart w:id="145" w:name="field_0_indatatable_1_start"/>
      <w:bookmarkEnd w:id="145"/>
      <w:r>
        <w:rPr>
          <w:rFonts w:hint="eastAsia"/>
          <w:sz w:val="21"/>
          <w:szCs w:val="21"/>
        </w:rPr>
        <w:t>博时智臻纯债债券A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2016.08.30-2016.12.31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2016.08.30-2025.06.30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35.55%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39.76%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bl>
    <w:p>
      <w:pPr>
        <w:pStyle w:val="8"/>
        <w:spacing w:before="0" w:beforeAutospacing="0" w:after="0" w:afterAutospacing="0" w:line="360" w:lineRule="auto"/>
        <w:ind w:firstLine="420"/>
        <w:rPr>
          <w:sz w:val="21"/>
          <w:szCs w:val="21"/>
        </w:rPr>
      </w:pPr>
      <w:r>
        <w:rPr>
          <w:rFonts w:hint="eastAsia"/>
          <w:sz w:val="21"/>
          <w:szCs w:val="21"/>
        </w:rPr>
        <w:t>博时智臻纯债债券C</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21"/>
        <w:gridCol w:w="1075"/>
        <w:gridCol w:w="1126"/>
        <w:gridCol w:w="1281"/>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2024.05.27-2024.12.31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2024.05.27-2025.06.30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bl>
    <w:p>
      <w:pPr>
        <w:pStyle w:val="8"/>
        <w:spacing w:before="0" w:beforeAutospacing="0" w:after="0" w:afterAutospacing="0" w:line="360" w:lineRule="auto"/>
        <w:ind w:firstLine="420"/>
        <w:rPr>
          <w:sz w:val="21"/>
          <w:szCs w:val="21"/>
        </w:rPr>
      </w:pPr>
      <w:bookmarkStart w:id="146" w:name="field_0_indatatable_1_end"/>
      <w:bookmarkEnd w:id="146"/>
      <w:bookmarkStart w:id="147" w:name="chapter_level1_12_3500_section_1_end"/>
      <w:bookmarkEnd w:id="14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8" w:name="_Toc207936398"/>
      <w:bookmarkStart w:id="149" w:name="chapter_level1_13_62"/>
      <w:r>
        <w:rPr>
          <w:rFonts w:hint="eastAsia" w:ascii="宋体" w:hAnsi="宋体" w:eastAsia="宋体"/>
          <w:sz w:val="30"/>
        </w:rPr>
        <w:t>第十部分  基金的财产</w:t>
      </w:r>
      <w:bookmarkEnd w:id="148"/>
      <w:bookmarkEnd w:id="149"/>
    </w:p>
    <w:p>
      <w:pPr>
        <w:pStyle w:val="8"/>
        <w:spacing w:before="0" w:beforeAutospacing="0" w:after="0" w:afterAutospacing="0" w:line="360" w:lineRule="auto"/>
        <w:ind w:firstLine="420"/>
        <w:rPr>
          <w:sz w:val="21"/>
          <w:szCs w:val="21"/>
        </w:rPr>
      </w:pPr>
      <w:bookmarkStart w:id="150" w:name="chapter_level1_13_62_section_1"/>
      <w:bookmarkEnd w:id="150"/>
      <w:r>
        <w:rPr>
          <w:rStyle w:val="12"/>
          <w:rFonts w:hint="eastAsia"/>
          <w:sz w:val="21"/>
          <w:szCs w:val="21"/>
        </w:rPr>
        <w:t>一、基金资产总值</w:t>
      </w:r>
    </w:p>
    <w:p>
      <w:pPr>
        <w:pStyle w:val="8"/>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pPr>
        <w:pStyle w:val="8"/>
        <w:spacing w:before="0" w:beforeAutospacing="0" w:after="0" w:afterAutospacing="0" w:line="360" w:lineRule="auto"/>
        <w:ind w:firstLine="420"/>
        <w:rPr>
          <w:sz w:val="21"/>
          <w:szCs w:val="21"/>
        </w:rPr>
      </w:pPr>
      <w:r>
        <w:rPr>
          <w:rStyle w:val="12"/>
          <w:rFonts w:hint="eastAsia"/>
          <w:sz w:val="21"/>
          <w:szCs w:val="21"/>
        </w:rPr>
        <w:t>二、基金资产净值</w:t>
      </w:r>
    </w:p>
    <w:p>
      <w:pPr>
        <w:pStyle w:val="8"/>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8"/>
        <w:spacing w:before="0" w:beforeAutospacing="0" w:after="0" w:afterAutospacing="0" w:line="360" w:lineRule="auto"/>
        <w:ind w:firstLine="420"/>
        <w:rPr>
          <w:sz w:val="21"/>
          <w:szCs w:val="21"/>
        </w:rPr>
      </w:pPr>
      <w:r>
        <w:rPr>
          <w:rStyle w:val="12"/>
          <w:rFonts w:hint="eastAsia"/>
          <w:sz w:val="21"/>
          <w:szCs w:val="21"/>
        </w:rPr>
        <w:t>三、基金财产的账户</w:t>
      </w:r>
    </w:p>
    <w:p>
      <w:pPr>
        <w:pStyle w:val="8"/>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pPr>
        <w:pStyle w:val="8"/>
        <w:spacing w:before="0" w:beforeAutospacing="0" w:after="0" w:afterAutospacing="0" w:line="360" w:lineRule="auto"/>
        <w:ind w:firstLine="420"/>
        <w:rPr>
          <w:sz w:val="21"/>
          <w:szCs w:val="21"/>
        </w:rPr>
      </w:pPr>
      <w:r>
        <w:rPr>
          <w:rStyle w:val="12"/>
          <w:rFonts w:hint="eastAsia"/>
          <w:sz w:val="21"/>
          <w:szCs w:val="21"/>
        </w:rPr>
        <w:t>四、基金财产的保管和处分</w:t>
      </w:r>
    </w:p>
    <w:p>
      <w:pPr>
        <w:pStyle w:val="8"/>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8"/>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51" w:name="chapter_level1_13_62_section_1_end"/>
      <w:bookmarkEnd w:id="151"/>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2" w:name="_Toc207936399"/>
      <w:bookmarkStart w:id="153" w:name="chapter_level1_14_63"/>
      <w:r>
        <w:rPr>
          <w:rFonts w:hint="eastAsia" w:ascii="宋体" w:hAnsi="宋体" w:eastAsia="宋体"/>
          <w:sz w:val="30"/>
        </w:rPr>
        <w:t>第十一部分  基金资产的估值</w:t>
      </w:r>
      <w:bookmarkEnd w:id="152"/>
      <w:bookmarkEnd w:id="153"/>
    </w:p>
    <w:p>
      <w:pPr>
        <w:pStyle w:val="8"/>
        <w:spacing w:before="0" w:beforeAutospacing="0" w:after="0" w:afterAutospacing="0" w:line="360" w:lineRule="auto"/>
        <w:ind w:firstLine="420"/>
        <w:rPr>
          <w:sz w:val="21"/>
          <w:szCs w:val="21"/>
        </w:rPr>
      </w:pPr>
      <w:bookmarkStart w:id="154" w:name="chapter_level1_14_63_section_1"/>
      <w:bookmarkEnd w:id="154"/>
      <w:r>
        <w:rPr>
          <w:rStyle w:val="12"/>
          <w:rFonts w:hint="eastAsia"/>
          <w:sz w:val="21"/>
          <w:szCs w:val="21"/>
        </w:rPr>
        <w:t>一、估值日</w:t>
      </w:r>
    </w:p>
    <w:p>
      <w:pPr>
        <w:pStyle w:val="8"/>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8"/>
        <w:spacing w:before="0" w:beforeAutospacing="0" w:after="0" w:afterAutospacing="0" w:line="360" w:lineRule="auto"/>
        <w:ind w:firstLine="420"/>
        <w:rPr>
          <w:sz w:val="21"/>
          <w:szCs w:val="21"/>
        </w:rPr>
      </w:pPr>
      <w:r>
        <w:rPr>
          <w:rStyle w:val="12"/>
          <w:rFonts w:hint="eastAsia"/>
          <w:sz w:val="21"/>
          <w:szCs w:val="21"/>
        </w:rPr>
        <w:t>二、估值对象</w:t>
      </w:r>
    </w:p>
    <w:p>
      <w:pPr>
        <w:pStyle w:val="8"/>
        <w:spacing w:before="0" w:beforeAutospacing="0" w:after="0" w:afterAutospacing="0" w:line="360" w:lineRule="auto"/>
        <w:ind w:firstLine="420"/>
        <w:rPr>
          <w:sz w:val="21"/>
          <w:szCs w:val="21"/>
        </w:rPr>
      </w:pPr>
      <w:r>
        <w:rPr>
          <w:rFonts w:hint="eastAsia"/>
          <w:sz w:val="21"/>
          <w:szCs w:val="21"/>
        </w:rPr>
        <w:t xml:space="preserve">基金所拥有的债券和银行存款本息、应收款项、其它投资等资产及负债。 </w:t>
      </w:r>
    </w:p>
    <w:p>
      <w:pPr>
        <w:pStyle w:val="8"/>
        <w:spacing w:before="0" w:beforeAutospacing="0" w:after="0" w:afterAutospacing="0" w:line="360" w:lineRule="auto"/>
        <w:ind w:firstLine="420"/>
        <w:rPr>
          <w:sz w:val="21"/>
          <w:szCs w:val="21"/>
        </w:rPr>
      </w:pPr>
      <w:r>
        <w:rPr>
          <w:rStyle w:val="12"/>
          <w:rFonts w:hint="eastAsia"/>
          <w:sz w:val="21"/>
          <w:szCs w:val="21"/>
        </w:rPr>
        <w:t>三、估值方法</w:t>
      </w:r>
    </w:p>
    <w:p>
      <w:pPr>
        <w:pStyle w:val="8"/>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8"/>
        <w:spacing w:before="0" w:beforeAutospacing="0" w:after="0" w:afterAutospacing="0" w:line="360" w:lineRule="auto"/>
        <w:ind w:firstLine="420"/>
        <w:rPr>
          <w:sz w:val="21"/>
          <w:szCs w:val="21"/>
        </w:rPr>
      </w:pPr>
      <w:r>
        <w:rPr>
          <w:rFonts w:hint="eastAsia"/>
          <w:sz w:val="21"/>
          <w:szCs w:val="21"/>
        </w:rPr>
        <w:t xml:space="preserve">（1）交易所上市交易或挂牌转让的固定收益品种（基金合同另有规定的除外），选取估值日第三方估值机构提供的相应品种对应的估值净价估值，具体估值机构由基金管理人与基金托管人另行协商约定； </w:t>
      </w:r>
    </w:p>
    <w:p>
      <w:pPr>
        <w:pStyle w:val="8"/>
        <w:spacing w:before="0" w:beforeAutospacing="0" w:after="0" w:afterAutospacing="0" w:line="360" w:lineRule="auto"/>
        <w:ind w:firstLine="420"/>
        <w:rPr>
          <w:sz w:val="21"/>
          <w:szCs w:val="21"/>
        </w:rPr>
      </w:pPr>
      <w:r>
        <w:rPr>
          <w:rFonts w:hint="eastAsia"/>
          <w:sz w:val="21"/>
          <w:szCs w:val="21"/>
        </w:rPr>
        <w:t xml:space="preserve">（2）交易所上市不存在活跃市场的有价证券，采用估值技术确定公允价值。交易所上市的资产支持证券，采用估值技术确定公允价值，在估值技术难以可靠计量公允价值的情况下，按成本估值。 </w:t>
      </w:r>
    </w:p>
    <w:p>
      <w:pPr>
        <w:pStyle w:val="8"/>
        <w:spacing w:before="0" w:beforeAutospacing="0" w:after="0" w:afterAutospacing="0" w:line="360" w:lineRule="auto"/>
        <w:ind w:firstLine="420"/>
        <w:rPr>
          <w:sz w:val="21"/>
          <w:szCs w:val="21"/>
        </w:rPr>
      </w:pPr>
      <w:r>
        <w:rPr>
          <w:rFonts w:hint="eastAsia"/>
          <w:sz w:val="21"/>
          <w:szCs w:val="21"/>
        </w:rPr>
        <w:t xml:space="preserve">2、对在交易所市场发行未上市或未挂牌转让的债券，采用估值技术确定公允价值，在估值技术难以可靠计量公允价值的情况下，按成本估值。 </w:t>
      </w:r>
    </w:p>
    <w:p>
      <w:pPr>
        <w:pStyle w:val="8"/>
        <w:spacing w:before="0" w:beforeAutospacing="0" w:after="0" w:afterAutospacing="0" w:line="360" w:lineRule="auto"/>
        <w:ind w:firstLine="420"/>
        <w:rPr>
          <w:sz w:val="21"/>
          <w:szCs w:val="21"/>
        </w:rPr>
      </w:pPr>
      <w:r>
        <w:rPr>
          <w:rFonts w:hint="eastAsia"/>
          <w:sz w:val="21"/>
          <w:szCs w:val="21"/>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pPr>
        <w:pStyle w:val="8"/>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8"/>
        <w:spacing w:before="0" w:beforeAutospacing="0" w:after="0" w:afterAutospacing="0" w:line="360" w:lineRule="auto"/>
        <w:ind w:firstLine="420"/>
        <w:rPr>
          <w:sz w:val="21"/>
          <w:szCs w:val="21"/>
        </w:rPr>
      </w:pPr>
      <w:r>
        <w:rPr>
          <w:rFonts w:hint="eastAsia"/>
          <w:sz w:val="21"/>
          <w:szCs w:val="21"/>
        </w:rPr>
        <w:t xml:space="preserve">5、如有确凿证据表明按上述方法进行估值不能客观反映其公允价值的，基金管理人可根据具体情况与基金托管人商定后，按最能反映公允价值的价格估值。 </w:t>
      </w:r>
    </w:p>
    <w:p>
      <w:pPr>
        <w:pStyle w:val="8"/>
        <w:spacing w:before="0" w:beforeAutospacing="0" w:after="0" w:afterAutospacing="0" w:line="360" w:lineRule="auto"/>
        <w:ind w:firstLine="420"/>
        <w:rPr>
          <w:sz w:val="21"/>
          <w:szCs w:val="21"/>
        </w:rPr>
      </w:pPr>
      <w:r>
        <w:rPr>
          <w:rFonts w:hint="eastAsia"/>
          <w:sz w:val="21"/>
          <w:szCs w:val="21"/>
        </w:rPr>
        <w:t xml:space="preserve">6、相关法律法规以及监管部门有强制规定的，从其规定。如有新增事项，按国家最新规定估值。 </w:t>
      </w:r>
    </w:p>
    <w:p>
      <w:pPr>
        <w:pStyle w:val="8"/>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8"/>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w:t>
      </w:r>
      <w:bookmarkStart w:id="155" w:name="chapter_level1_14_63_section_1_end"/>
      <w:bookmarkEnd w:id="155"/>
      <w:r>
        <w:rPr>
          <w:rFonts w:hint="eastAsia"/>
          <w:sz w:val="21"/>
          <w:szCs w:val="21"/>
        </w:rPr>
        <w:t xml:space="preserve">予以公布。 </w:t>
      </w:r>
    </w:p>
    <w:p>
      <w:pPr>
        <w:pStyle w:val="8"/>
        <w:spacing w:before="0" w:beforeAutospacing="0" w:after="0" w:afterAutospacing="0" w:line="360" w:lineRule="auto"/>
        <w:ind w:firstLine="420"/>
        <w:rPr>
          <w:sz w:val="21"/>
          <w:szCs w:val="21"/>
        </w:rPr>
      </w:pPr>
      <w:bookmarkStart w:id="156" w:name="chapter_level1_14_63_section_2"/>
      <w:bookmarkEnd w:id="156"/>
      <w:r>
        <w:rPr>
          <w:rStyle w:val="12"/>
          <w:rFonts w:hint="eastAsia"/>
          <w:sz w:val="21"/>
          <w:szCs w:val="21"/>
        </w:rPr>
        <w:t>四、估值程序</w:t>
      </w:r>
    </w:p>
    <w:p>
      <w:pPr>
        <w:pStyle w:val="8"/>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57" w:name="field_63_netdecimalvalue_1"/>
      <w:r>
        <w:rPr>
          <w:sz w:val="21"/>
          <w:szCs w:val="21"/>
        </w:rPr>
        <w:t>0.0001</w:t>
      </w:r>
      <w:bookmarkEnd w:id="157"/>
      <w:r>
        <w:rPr>
          <w:rFonts w:hint="eastAsia"/>
          <w:sz w:val="21"/>
          <w:szCs w:val="21"/>
        </w:rPr>
        <w:t xml:space="preserve">元，小数点后第5位四舍五入。国家另有规定的，从其规定。 </w:t>
      </w:r>
    </w:p>
    <w:p>
      <w:pPr>
        <w:pStyle w:val="8"/>
        <w:spacing w:before="0" w:beforeAutospacing="0" w:after="0" w:afterAutospacing="0" w:line="360" w:lineRule="auto"/>
        <w:ind w:firstLine="420"/>
        <w:rPr>
          <w:sz w:val="21"/>
          <w:szCs w:val="21"/>
        </w:rPr>
      </w:pPr>
      <w:r>
        <w:rPr>
          <w:rFonts w:hint="eastAsia"/>
          <w:sz w:val="21"/>
          <w:szCs w:val="21"/>
        </w:rPr>
        <w:t xml:space="preserve">基金管理人应每个工作日计算基金资产净值及各类基金份额净值，并按规定进行公告。 </w:t>
      </w:r>
    </w:p>
    <w:p>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pPr>
        <w:pStyle w:val="8"/>
        <w:spacing w:before="0" w:beforeAutospacing="0" w:after="0" w:afterAutospacing="0" w:line="360" w:lineRule="auto"/>
        <w:ind w:firstLine="420"/>
        <w:rPr>
          <w:sz w:val="21"/>
          <w:szCs w:val="21"/>
        </w:rPr>
      </w:pPr>
      <w:r>
        <w:rPr>
          <w:rStyle w:val="12"/>
          <w:rFonts w:hint="eastAsia"/>
          <w:sz w:val="21"/>
          <w:szCs w:val="21"/>
        </w:rPr>
        <w:t>五、估值错误的处理</w:t>
      </w:r>
    </w:p>
    <w:p>
      <w:pPr>
        <w:pStyle w:val="8"/>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8" w:name="field_63_netdecimal_1"/>
      <w:r>
        <w:rPr>
          <w:sz w:val="21"/>
          <w:szCs w:val="21"/>
        </w:rPr>
        <w:t>4</w:t>
      </w:r>
      <w:bookmarkEnd w:id="158"/>
      <w:r>
        <w:rPr>
          <w:rFonts w:hint="eastAsia"/>
          <w:sz w:val="21"/>
          <w:szCs w:val="21"/>
        </w:rPr>
        <w:t>位以内(含第</w:t>
      </w:r>
      <w:bookmarkStart w:id="159" w:name="field_63_netdecimal_2"/>
      <w:r>
        <w:rPr>
          <w:sz w:val="21"/>
          <w:szCs w:val="21"/>
        </w:rPr>
        <w:t>4</w:t>
      </w:r>
      <w:bookmarkEnd w:id="159"/>
      <w:r>
        <w:rPr>
          <w:rFonts w:hint="eastAsia"/>
          <w:sz w:val="21"/>
          <w:szCs w:val="21"/>
        </w:rPr>
        <w:t xml:space="preserve">位)发生估值错误时，视为该类基金份额净值错误。 </w:t>
      </w:r>
    </w:p>
    <w:p>
      <w:pPr>
        <w:pStyle w:val="8"/>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8"/>
        <w:spacing w:before="0" w:beforeAutospacing="0" w:after="0" w:afterAutospacing="0" w:line="360" w:lineRule="auto"/>
        <w:ind w:firstLine="420"/>
        <w:rPr>
          <w:sz w:val="21"/>
          <w:szCs w:val="21"/>
        </w:rPr>
      </w:pPr>
      <w:r>
        <w:rPr>
          <w:rFonts w:hint="eastAsia"/>
          <w:sz w:val="21"/>
          <w:szCs w:val="21"/>
        </w:rPr>
        <w:t xml:space="preserve">1、估值错误类型 </w:t>
      </w:r>
    </w:p>
    <w:p>
      <w:pPr>
        <w:pStyle w:val="8"/>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8"/>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8"/>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8"/>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8"/>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8"/>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8"/>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8"/>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8"/>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8"/>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8"/>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8"/>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8"/>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8"/>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8"/>
        <w:spacing w:before="0" w:beforeAutospacing="0" w:after="0" w:afterAutospacing="0" w:line="360" w:lineRule="auto"/>
        <w:ind w:firstLine="420"/>
        <w:rPr>
          <w:sz w:val="21"/>
          <w:szCs w:val="21"/>
        </w:rPr>
      </w:pPr>
      <w:r>
        <w:rPr>
          <w:rFonts w:hint="eastAsia"/>
          <w:sz w:val="21"/>
          <w:szCs w:val="21"/>
        </w:rPr>
        <w:t xml:space="preserve">（1）当任何一类基金份额净值小数点后4 位以内（含第4位）发生差错时，视为该类基金份额净值错误；任何一类基金份额净值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0.50%时，基金管理人应当公告；当发生净值计算错误时，由基金管理人负责处理，由此给基金份额持有人和基金造成损失的，应由基金管理人先行赔付，基金管理人按差错情形，有权向其他当事人追偿。 </w:t>
      </w:r>
    </w:p>
    <w:p>
      <w:pPr>
        <w:pStyle w:val="8"/>
        <w:spacing w:before="0" w:beforeAutospacing="0" w:after="0" w:afterAutospacing="0" w:line="360" w:lineRule="auto"/>
        <w:ind w:firstLine="420"/>
        <w:rPr>
          <w:sz w:val="21"/>
          <w:szCs w:val="21"/>
        </w:rPr>
      </w:pPr>
      <w:r>
        <w:rPr>
          <w:rFonts w:hint="eastAsia"/>
          <w:sz w:val="21"/>
          <w:szCs w:val="21"/>
        </w:rPr>
        <w:t xml:space="preserve">（2）当基金份额净值计算差错给基金和基金份额持有人造成损失需要进行赔偿时，基金管理人和基金托管人应根据实际情况界定双方承担的责任，经确认后按以下条款进行赔偿： </w:t>
      </w:r>
    </w:p>
    <w:p>
      <w:pPr>
        <w:pStyle w:val="8"/>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pPr>
        <w:pStyle w:val="8"/>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pPr>
        <w:pStyle w:val="8"/>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pPr>
        <w:pStyle w:val="8"/>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pPr>
        <w:pStyle w:val="8"/>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8"/>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 </w:t>
      </w:r>
    </w:p>
    <w:p>
      <w:pPr>
        <w:pStyle w:val="8"/>
        <w:spacing w:before="0" w:beforeAutospacing="0" w:after="0" w:afterAutospacing="0" w:line="360" w:lineRule="auto"/>
        <w:ind w:firstLine="420"/>
        <w:rPr>
          <w:sz w:val="21"/>
          <w:szCs w:val="21"/>
        </w:rPr>
      </w:pPr>
      <w:r>
        <w:rPr>
          <w:rStyle w:val="12"/>
          <w:rFonts w:hint="eastAsia"/>
          <w:sz w:val="21"/>
          <w:szCs w:val="21"/>
        </w:rPr>
        <w:t>六、暂停估值的情形</w:t>
      </w:r>
    </w:p>
    <w:p>
      <w:pPr>
        <w:pStyle w:val="8"/>
        <w:spacing w:before="0" w:beforeAutospacing="0" w:after="0" w:afterAutospacing="0" w:line="360" w:lineRule="auto"/>
        <w:ind w:firstLine="420"/>
        <w:rPr>
          <w:sz w:val="21"/>
          <w:szCs w:val="21"/>
        </w:rPr>
      </w:pPr>
      <w:r>
        <w:rPr>
          <w:rFonts w:hint="eastAsia"/>
          <w:sz w:val="21"/>
          <w:szCs w:val="21"/>
        </w:rPr>
        <w:t xml:space="preserve">1、基金投资所涉及的证券交易市场遇法定节假日或因其他原因暂停营业时； </w:t>
      </w:r>
    </w:p>
    <w:p>
      <w:pPr>
        <w:pStyle w:val="8"/>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8"/>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8"/>
        <w:spacing w:before="0" w:beforeAutospacing="0" w:after="0" w:afterAutospacing="0" w:line="360" w:lineRule="auto"/>
        <w:ind w:firstLine="420"/>
        <w:rPr>
          <w:sz w:val="21"/>
          <w:szCs w:val="21"/>
        </w:rPr>
      </w:pPr>
      <w:r>
        <w:rPr>
          <w:rStyle w:val="12"/>
          <w:rFonts w:hint="eastAsia"/>
          <w:sz w:val="21"/>
          <w:szCs w:val="21"/>
        </w:rPr>
        <w:t>七、基金净值的确认</w:t>
      </w:r>
    </w:p>
    <w:p>
      <w:pPr>
        <w:pStyle w:val="8"/>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8"/>
        <w:spacing w:before="0" w:beforeAutospacing="0" w:after="0" w:afterAutospacing="0" w:line="360" w:lineRule="auto"/>
        <w:ind w:firstLine="420"/>
        <w:rPr>
          <w:sz w:val="21"/>
          <w:szCs w:val="21"/>
        </w:rPr>
      </w:pPr>
      <w:r>
        <w:rPr>
          <w:rStyle w:val="12"/>
          <w:rFonts w:hint="eastAsia"/>
          <w:sz w:val="21"/>
          <w:szCs w:val="21"/>
        </w:rPr>
        <w:t>八、特殊情况的处理方法</w:t>
      </w:r>
    </w:p>
    <w:p>
      <w:pPr>
        <w:pStyle w:val="8"/>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1、基金管理人或基金托管人按估值方法的第5项进行估值时，所造成的误差不作为基金资产估值错误处理。 </w:t>
      </w:r>
    </w:p>
    <w:p>
      <w:pPr>
        <w:pStyle w:val="8"/>
        <w:spacing w:before="0" w:beforeAutospacing="0" w:after="0" w:afterAutospacing="0" w:line="360" w:lineRule="auto"/>
        <w:ind w:firstLine="420"/>
        <w:rPr>
          <w:sz w:val="21"/>
          <w:szCs w:val="21"/>
        </w:rPr>
      </w:pPr>
      <w:r>
        <w:rPr>
          <w:rFonts w:hint="eastAsia"/>
          <w:sz w:val="21"/>
          <w:szCs w:val="21"/>
        </w:rPr>
        <w:t xml:space="preserve">2、由于不可抗力原因，或于证券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基金托管人应当积极采取必要的措施消除或减轻由此造成的影响。 </w:t>
      </w:r>
    </w:p>
    <w:p>
      <w:pPr>
        <w:pStyle w:val="8"/>
        <w:spacing w:before="0" w:beforeAutospacing="0" w:after="0" w:afterAutospacing="0" w:line="360" w:lineRule="auto"/>
        <w:ind w:firstLine="420"/>
        <w:rPr>
          <w:sz w:val="21"/>
          <w:szCs w:val="21"/>
        </w:rPr>
      </w:pPr>
      <w:r>
        <w:rPr>
          <w:rStyle w:val="12"/>
          <w:rFonts w:hint="eastAsia"/>
          <w:sz w:val="21"/>
          <w:szCs w:val="21"/>
        </w:rPr>
        <w:t>九、实施侧袋机制期间的基金资产估值</w:t>
      </w:r>
    </w:p>
    <w:p>
      <w:pPr>
        <w:pStyle w:val="8"/>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60" w:name="chapter_level1_14_63_section_2_end"/>
      <w:bookmarkEnd w:id="160"/>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1" w:name="chapter_level1_15_64"/>
      <w:bookmarkStart w:id="162" w:name="_Toc207936400"/>
      <w:r>
        <w:rPr>
          <w:rFonts w:hint="eastAsia" w:ascii="宋体" w:hAnsi="宋体" w:eastAsia="宋体"/>
          <w:sz w:val="30"/>
        </w:rPr>
        <w:t>第十二部分  基金的收益与分配</w:t>
      </w:r>
      <w:bookmarkEnd w:id="161"/>
      <w:bookmarkEnd w:id="162"/>
    </w:p>
    <w:p>
      <w:pPr>
        <w:pStyle w:val="8"/>
        <w:spacing w:before="0" w:beforeAutospacing="0" w:after="0" w:afterAutospacing="0" w:line="360" w:lineRule="auto"/>
        <w:ind w:firstLine="420"/>
        <w:rPr>
          <w:sz w:val="21"/>
          <w:szCs w:val="21"/>
        </w:rPr>
      </w:pPr>
      <w:bookmarkStart w:id="163" w:name="chapter_level1_15_64_section_1"/>
      <w:bookmarkEnd w:id="163"/>
      <w:r>
        <w:rPr>
          <w:rStyle w:val="12"/>
          <w:rFonts w:hint="eastAsia"/>
          <w:sz w:val="21"/>
          <w:szCs w:val="21"/>
        </w:rPr>
        <w:t>一、基金利润的构成</w:t>
      </w:r>
    </w:p>
    <w:p>
      <w:pPr>
        <w:pStyle w:val="8"/>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8"/>
        <w:spacing w:before="0" w:beforeAutospacing="0" w:after="0" w:afterAutospacing="0" w:line="360" w:lineRule="auto"/>
        <w:ind w:firstLine="420"/>
        <w:rPr>
          <w:sz w:val="21"/>
          <w:szCs w:val="21"/>
        </w:rPr>
      </w:pPr>
      <w:r>
        <w:rPr>
          <w:rStyle w:val="12"/>
          <w:rFonts w:hint="eastAsia"/>
          <w:sz w:val="21"/>
          <w:szCs w:val="21"/>
        </w:rPr>
        <w:t>二、基金可供分配利润</w:t>
      </w:r>
    </w:p>
    <w:p>
      <w:pPr>
        <w:pStyle w:val="8"/>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8"/>
        <w:spacing w:before="0" w:beforeAutospacing="0" w:after="0" w:afterAutospacing="0" w:line="360" w:lineRule="auto"/>
        <w:ind w:firstLine="420"/>
        <w:rPr>
          <w:sz w:val="21"/>
          <w:szCs w:val="21"/>
        </w:rPr>
      </w:pPr>
      <w:r>
        <w:rPr>
          <w:rStyle w:val="12"/>
          <w:rFonts w:hint="eastAsia"/>
          <w:sz w:val="21"/>
          <w:szCs w:val="21"/>
        </w:rPr>
        <w:t>三、基金收益分配原则</w:t>
      </w:r>
    </w:p>
    <w:p>
      <w:pPr>
        <w:pStyle w:val="8"/>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8"/>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pPr>
        <w:pStyle w:val="8"/>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pPr>
        <w:pStyle w:val="8"/>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8"/>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4" w:name="chapter_level1_15_64_section_1_end"/>
      <w:bookmarkEnd w:id="164"/>
      <w:r>
        <w:rPr>
          <w:rFonts w:hint="eastAsia"/>
          <w:sz w:val="21"/>
          <w:szCs w:val="21"/>
        </w:rPr>
        <w:t xml:space="preserve">基金管理人可对基金收益分配原则和支付方式进行调整，不需召开基金份额持有人大会。  </w:t>
      </w:r>
    </w:p>
    <w:p>
      <w:pPr>
        <w:pStyle w:val="8"/>
        <w:spacing w:before="0" w:beforeAutospacing="0" w:after="0" w:afterAutospacing="0" w:line="360" w:lineRule="auto"/>
        <w:ind w:firstLine="420"/>
        <w:rPr>
          <w:sz w:val="21"/>
          <w:szCs w:val="21"/>
        </w:rPr>
      </w:pPr>
      <w:bookmarkStart w:id="165" w:name="chapter_level1_15_64_section_2"/>
      <w:bookmarkEnd w:id="165"/>
      <w:r>
        <w:rPr>
          <w:rStyle w:val="12"/>
          <w:rFonts w:hint="eastAsia"/>
          <w:sz w:val="21"/>
          <w:szCs w:val="21"/>
        </w:rPr>
        <w:t>四、收益分配方案</w:t>
      </w:r>
    </w:p>
    <w:p>
      <w:pPr>
        <w:pStyle w:val="8"/>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8"/>
        <w:spacing w:before="0" w:beforeAutospacing="0" w:after="0" w:afterAutospacing="0" w:line="360" w:lineRule="auto"/>
        <w:ind w:firstLine="420"/>
        <w:rPr>
          <w:sz w:val="21"/>
          <w:szCs w:val="21"/>
        </w:rPr>
      </w:pPr>
      <w:r>
        <w:rPr>
          <w:rStyle w:val="12"/>
          <w:rFonts w:hint="eastAsia"/>
          <w:sz w:val="21"/>
          <w:szCs w:val="21"/>
        </w:rPr>
        <w:t>五、收益分配方案的确定、公告与实施</w:t>
      </w:r>
    </w:p>
    <w:p>
      <w:pPr>
        <w:pStyle w:val="8"/>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8"/>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8"/>
        <w:spacing w:before="0" w:beforeAutospacing="0" w:after="0" w:afterAutospacing="0" w:line="360" w:lineRule="auto"/>
        <w:ind w:firstLine="420"/>
        <w:rPr>
          <w:sz w:val="21"/>
          <w:szCs w:val="21"/>
        </w:rPr>
      </w:pPr>
      <w:r>
        <w:rPr>
          <w:rStyle w:val="12"/>
          <w:rFonts w:hint="eastAsia"/>
          <w:sz w:val="21"/>
          <w:szCs w:val="21"/>
        </w:rPr>
        <w:t>六、基金收益分配中发生的费用</w:t>
      </w:r>
    </w:p>
    <w:p>
      <w:pPr>
        <w:pStyle w:val="8"/>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pPr>
        <w:pStyle w:val="8"/>
        <w:spacing w:before="0" w:beforeAutospacing="0" w:after="0" w:afterAutospacing="0" w:line="360" w:lineRule="auto"/>
        <w:ind w:firstLine="420"/>
        <w:rPr>
          <w:sz w:val="21"/>
          <w:szCs w:val="21"/>
        </w:rPr>
      </w:pPr>
      <w:r>
        <w:rPr>
          <w:rStyle w:val="12"/>
          <w:rFonts w:hint="eastAsia"/>
          <w:sz w:val="21"/>
          <w:szCs w:val="21"/>
        </w:rPr>
        <w:t>七、实施侧袋机制期间的收益分配</w:t>
      </w:r>
    </w:p>
    <w:p>
      <w:pPr>
        <w:pStyle w:val="8"/>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6" w:name="chapter_level1_15_64_section_2_end"/>
      <w:bookmarkEnd w:id="166"/>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7" w:name="_Toc207936401"/>
      <w:bookmarkStart w:id="168" w:name="chapter_level1_16_65"/>
      <w:r>
        <w:rPr>
          <w:rFonts w:hint="eastAsia" w:ascii="宋体" w:hAnsi="宋体" w:eastAsia="宋体"/>
          <w:sz w:val="30"/>
        </w:rPr>
        <w:t>第十三部分  基金费用与税收</w:t>
      </w:r>
      <w:bookmarkEnd w:id="167"/>
      <w:bookmarkEnd w:id="168"/>
    </w:p>
    <w:p>
      <w:pPr>
        <w:pStyle w:val="8"/>
        <w:spacing w:before="0" w:beforeAutospacing="0" w:after="0" w:afterAutospacing="0" w:line="360" w:lineRule="auto"/>
        <w:ind w:firstLine="420"/>
        <w:rPr>
          <w:sz w:val="21"/>
          <w:szCs w:val="21"/>
        </w:rPr>
      </w:pPr>
      <w:bookmarkStart w:id="169" w:name="chapter_level1_16_65_section_1"/>
      <w:bookmarkEnd w:id="169"/>
      <w:r>
        <w:rPr>
          <w:rStyle w:val="12"/>
          <w:rFonts w:hint="eastAsia"/>
          <w:sz w:val="21"/>
          <w:szCs w:val="21"/>
        </w:rPr>
        <w:t>一、基金费用的种类</w:t>
      </w:r>
    </w:p>
    <w:p>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8"/>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8"/>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pPr>
        <w:pStyle w:val="8"/>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8"/>
        <w:spacing w:before="0" w:beforeAutospacing="0" w:after="0" w:afterAutospacing="0" w:line="360" w:lineRule="auto"/>
        <w:ind w:firstLine="420"/>
        <w:rPr>
          <w:sz w:val="21"/>
          <w:szCs w:val="21"/>
        </w:rPr>
      </w:pPr>
      <w:r>
        <w:rPr>
          <w:rFonts w:hint="eastAsia"/>
          <w:sz w:val="21"/>
          <w:szCs w:val="21"/>
        </w:rPr>
        <w:t xml:space="preserve">7、基金的证券交易费用； </w:t>
      </w:r>
    </w:p>
    <w:p>
      <w:pPr>
        <w:pStyle w:val="8"/>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8"/>
        <w:spacing w:before="0" w:beforeAutospacing="0" w:after="0" w:afterAutospacing="0" w:line="360" w:lineRule="auto"/>
        <w:ind w:firstLine="420"/>
        <w:rPr>
          <w:sz w:val="21"/>
          <w:szCs w:val="21"/>
        </w:rPr>
      </w:pPr>
      <w:r>
        <w:rPr>
          <w:rFonts w:hint="eastAsia"/>
          <w:sz w:val="21"/>
          <w:szCs w:val="21"/>
        </w:rPr>
        <w:t xml:space="preserve">9、基金的账户开户费用、账户维护费用； </w:t>
      </w:r>
    </w:p>
    <w:p>
      <w:pPr>
        <w:pStyle w:val="8"/>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pPr>
        <w:pStyle w:val="8"/>
        <w:spacing w:before="0" w:beforeAutospacing="0" w:after="0" w:afterAutospacing="0" w:line="360" w:lineRule="auto"/>
        <w:ind w:firstLine="420"/>
        <w:rPr>
          <w:sz w:val="21"/>
          <w:szCs w:val="21"/>
        </w:rPr>
      </w:pPr>
      <w:r>
        <w:rPr>
          <w:rStyle w:val="12"/>
          <w:rFonts w:hint="eastAsia"/>
          <w:sz w:val="21"/>
          <w:szCs w:val="21"/>
        </w:rPr>
        <w:t>二、基金费用计提方法、计提标准和支付方式</w:t>
      </w:r>
    </w:p>
    <w:p>
      <w:pPr>
        <w:pStyle w:val="8"/>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8"/>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70" w:name="field_0_managementrate_1"/>
      <w:r>
        <w:rPr>
          <w:sz w:val="21"/>
          <w:szCs w:val="21"/>
        </w:rPr>
        <w:t>0.30</w:t>
      </w:r>
      <w:bookmarkEnd w:id="170"/>
      <w:r>
        <w:rPr>
          <w:rFonts w:hint="eastAsia"/>
          <w:sz w:val="21"/>
          <w:szCs w:val="21"/>
        </w:rPr>
        <w:t xml:space="preserve">%年费率计提。管理费的计算方法如下： </w:t>
      </w:r>
    </w:p>
    <w:p>
      <w:pPr>
        <w:pStyle w:val="8"/>
        <w:spacing w:before="0" w:beforeAutospacing="0" w:after="0" w:afterAutospacing="0" w:line="360" w:lineRule="auto"/>
        <w:ind w:firstLine="420"/>
        <w:rPr>
          <w:sz w:val="21"/>
          <w:szCs w:val="21"/>
        </w:rPr>
      </w:pPr>
      <w:r>
        <w:rPr>
          <w:rFonts w:hint="eastAsia"/>
          <w:sz w:val="21"/>
          <w:szCs w:val="21"/>
        </w:rPr>
        <w:t>H＝E× </w:t>
      </w:r>
      <w:bookmarkStart w:id="171" w:name="field_0_managementrate_2"/>
      <w:r>
        <w:rPr>
          <w:sz w:val="21"/>
          <w:szCs w:val="21"/>
        </w:rPr>
        <w:t>0.30</w:t>
      </w:r>
      <w:bookmarkEnd w:id="171"/>
      <w:r>
        <w:rPr>
          <w:rFonts w:hint="eastAsia"/>
          <w:sz w:val="21"/>
          <w:szCs w:val="21"/>
        </w:rPr>
        <w:t xml:space="preserve">%÷当年天数 </w:t>
      </w:r>
    </w:p>
    <w:p>
      <w:pPr>
        <w:pStyle w:val="8"/>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8"/>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与基金托管人核对一致后，基金托管人按照与基金管理人协商一致的方式在月初三个工作日内从基金财产中一次性支付给基金管理人，基金管理人无需再出具资金划拨指令。若遇法定节假日、公休假或不可抗力等，支付日期顺延。费用自动扣划后，基金管理人应进行核对，如发现数据不符，及时联系基金托管人协商解决。 </w:t>
      </w:r>
    </w:p>
    <w:p>
      <w:pPr>
        <w:pStyle w:val="8"/>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8"/>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2" w:name="field_0_trusteerate_1"/>
      <w:r>
        <w:rPr>
          <w:sz w:val="21"/>
          <w:szCs w:val="21"/>
        </w:rPr>
        <w:t>0.10</w:t>
      </w:r>
      <w:bookmarkEnd w:id="172"/>
      <w:r>
        <w:rPr>
          <w:rFonts w:hint="eastAsia"/>
          <w:sz w:val="21"/>
          <w:szCs w:val="21"/>
        </w:rPr>
        <w:t xml:space="preserve">% 的年费率计提。托管费的计算方法如下： </w:t>
      </w:r>
    </w:p>
    <w:p>
      <w:pPr>
        <w:pStyle w:val="8"/>
        <w:spacing w:before="0" w:beforeAutospacing="0" w:after="0" w:afterAutospacing="0" w:line="360" w:lineRule="auto"/>
        <w:ind w:firstLine="420"/>
        <w:rPr>
          <w:sz w:val="21"/>
          <w:szCs w:val="21"/>
        </w:rPr>
      </w:pPr>
      <w:r>
        <w:rPr>
          <w:rFonts w:hint="eastAsia"/>
          <w:sz w:val="21"/>
          <w:szCs w:val="21"/>
        </w:rPr>
        <w:t>H＝E×</w:t>
      </w:r>
      <w:bookmarkStart w:id="173" w:name="field_0_trusteerate_2"/>
      <w:r>
        <w:rPr>
          <w:sz w:val="21"/>
          <w:szCs w:val="21"/>
        </w:rPr>
        <w:t>0.10</w:t>
      </w:r>
      <w:bookmarkEnd w:id="173"/>
      <w:r>
        <w:rPr>
          <w:rFonts w:hint="eastAsia"/>
          <w:sz w:val="21"/>
          <w:szCs w:val="21"/>
        </w:rPr>
        <w:t xml:space="preserve">%÷当年天数 </w:t>
      </w:r>
    </w:p>
    <w:p>
      <w:pPr>
        <w:pStyle w:val="8"/>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8"/>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8"/>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与基金托管人核对一致后，基金托管人按照与基金管理人协商一致的方式在月初三个工作日内从基金财产中一次性支取，基金管理人无需再出具资金划拨指令。若遇法定节假日、公休假或不可抗力等，支付日期顺延。费用自动扣划后，基金管理人应进行核对，如发现数据不符，及时联系基金托管人协商解决。 </w:t>
      </w:r>
    </w:p>
    <w:p>
      <w:pPr>
        <w:pStyle w:val="8"/>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8"/>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本基金A类基金份额不收取销售服务费，C类基金份额的销售服务费年费率为0.10%。本基金销售服务费主要用于本基金持续销售以及基金份额持有人服务等各项费用。  </w:t>
      </w:r>
    </w:p>
    <w:p>
      <w:pPr>
        <w:pStyle w:val="8"/>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本基金的销售服务费按前一日C类基金份额基金资产净值的0.10%的年费率计提。销售服务费的计算方法如下：  </w:t>
      </w:r>
    </w:p>
    <w:p>
      <w:pPr>
        <w:pStyle w:val="8"/>
        <w:spacing w:before="0" w:beforeAutospacing="0" w:after="0" w:afterAutospacing="0" w:line="360" w:lineRule="auto"/>
        <w:ind w:firstLine="420"/>
        <w:rPr>
          <w:sz w:val="21"/>
          <w:szCs w:val="21"/>
        </w:rPr>
      </w:pPr>
      <w:r>
        <w:rPr>
          <w:rFonts w:hint="eastAsia"/>
          <w:sz w:val="21"/>
          <w:szCs w:val="21"/>
        </w:rPr>
        <w:t xml:space="preserve">H＝E×0.10%÷当年天数 </w:t>
      </w:r>
    </w:p>
    <w:p>
      <w:pPr>
        <w:pStyle w:val="8"/>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pPr>
        <w:pStyle w:val="8"/>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pPr>
        <w:pStyle w:val="8"/>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管理人与基金托管人核对一致后，基金托管人按照与基金管理人协商一致的方式在月初三个工作日内从基金财产中一次性支付，基金管理人无需再出具资金划拨指令。若遇法定节假日、公休假或不可抗力等，支付日期顺延。费用自动扣划后，基金管理人应进行核对，如发现数据不符，及时联系基金托管人协商解决。  </w:t>
      </w:r>
    </w:p>
    <w:p>
      <w:pPr>
        <w:pStyle w:val="8"/>
        <w:spacing w:before="0" w:beforeAutospacing="0" w:after="0" w:afterAutospacing="0" w:line="360" w:lineRule="auto"/>
        <w:ind w:firstLine="420"/>
        <w:rPr>
          <w:sz w:val="21"/>
          <w:szCs w:val="21"/>
        </w:rPr>
      </w:pPr>
      <w:r>
        <w:rPr>
          <w:rFonts w:hint="eastAsia"/>
          <w:sz w:val="21"/>
          <w:szCs w:val="21"/>
        </w:rPr>
        <w:t xml:space="preserve">上述“一、基金费用的种类”中第4-10项费用，根据有关法规及相应协议规定，按费用实际支出金额列入当期费用，由基金托管人从基金财产中支付。 </w:t>
      </w:r>
    </w:p>
    <w:p>
      <w:pPr>
        <w:pStyle w:val="8"/>
        <w:spacing w:before="0" w:beforeAutospacing="0" w:after="0" w:afterAutospacing="0" w:line="360" w:lineRule="auto"/>
        <w:ind w:firstLine="420"/>
        <w:rPr>
          <w:sz w:val="21"/>
          <w:szCs w:val="21"/>
        </w:rPr>
      </w:pPr>
      <w:r>
        <w:rPr>
          <w:rStyle w:val="12"/>
          <w:rFonts w:hint="eastAsia"/>
          <w:sz w:val="21"/>
          <w:szCs w:val="21"/>
        </w:rPr>
        <w:t>三、不列入基金费用的项目</w:t>
      </w:r>
    </w:p>
    <w:p>
      <w:pPr>
        <w:pStyle w:val="8"/>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8"/>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8"/>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8"/>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pPr>
        <w:pStyle w:val="8"/>
        <w:spacing w:before="0" w:beforeAutospacing="0" w:after="0" w:afterAutospacing="0" w:line="360" w:lineRule="auto"/>
        <w:ind w:firstLine="420"/>
        <w:rPr>
          <w:sz w:val="21"/>
          <w:szCs w:val="21"/>
        </w:rPr>
      </w:pPr>
      <w:r>
        <w:rPr>
          <w:rStyle w:val="12"/>
          <w:rFonts w:hint="eastAsia"/>
          <w:sz w:val="21"/>
          <w:szCs w:val="21"/>
        </w:rPr>
        <w:t>四、实施侧袋机制期间的基金费用</w:t>
      </w:r>
    </w:p>
    <w:p>
      <w:pPr>
        <w:pStyle w:val="8"/>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8"/>
        <w:spacing w:before="0" w:beforeAutospacing="0" w:after="0" w:afterAutospacing="0" w:line="360" w:lineRule="auto"/>
        <w:ind w:firstLine="420"/>
        <w:rPr>
          <w:sz w:val="21"/>
          <w:szCs w:val="21"/>
        </w:rPr>
      </w:pPr>
      <w:r>
        <w:rPr>
          <w:rStyle w:val="12"/>
          <w:rFonts w:hint="eastAsia"/>
          <w:sz w:val="21"/>
          <w:szCs w:val="21"/>
        </w:rPr>
        <w:t>五、基金税收</w:t>
      </w:r>
    </w:p>
    <w:p>
      <w:pPr>
        <w:pStyle w:val="8"/>
        <w:spacing w:before="0" w:beforeAutospacing="0" w:after="0" w:afterAutospacing="0" w:line="360" w:lineRule="auto"/>
        <w:ind w:firstLine="420"/>
        <w:rPr>
          <w:sz w:val="21"/>
          <w:szCs w:val="21"/>
        </w:rPr>
      </w:pPr>
      <w:bookmarkStart w:id="174" w:name="chapter_level1_16_65_section_1_end"/>
      <w:bookmarkEnd w:id="174"/>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5" w:name="_Toc207936402"/>
      <w:bookmarkStart w:id="176" w:name="chapter_level1_17_66"/>
      <w:r>
        <w:rPr>
          <w:rFonts w:hint="eastAsia" w:ascii="宋体" w:hAnsi="宋体" w:eastAsia="宋体"/>
          <w:sz w:val="30"/>
        </w:rPr>
        <w:t>第十四部分  基金的会计与审计</w:t>
      </w:r>
      <w:bookmarkEnd w:id="175"/>
      <w:bookmarkEnd w:id="176"/>
    </w:p>
    <w:p>
      <w:pPr>
        <w:pStyle w:val="8"/>
        <w:spacing w:before="0" w:beforeAutospacing="0" w:after="0" w:afterAutospacing="0" w:line="360" w:lineRule="auto"/>
        <w:ind w:firstLine="420"/>
        <w:rPr>
          <w:sz w:val="21"/>
          <w:szCs w:val="21"/>
        </w:rPr>
      </w:pPr>
      <w:bookmarkStart w:id="177" w:name="chapter_level1_17_66_section_1"/>
      <w:bookmarkEnd w:id="177"/>
      <w:r>
        <w:rPr>
          <w:rStyle w:val="12"/>
          <w:rFonts w:hint="eastAsia"/>
          <w:sz w:val="21"/>
          <w:szCs w:val="21"/>
        </w:rPr>
        <w:t>一、基金会计政策</w:t>
      </w:r>
    </w:p>
    <w:p>
      <w:pPr>
        <w:pStyle w:val="8"/>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8"/>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8"/>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8"/>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8"/>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8"/>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8"/>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8"/>
        <w:spacing w:before="0" w:beforeAutospacing="0" w:after="0" w:afterAutospacing="0" w:line="360" w:lineRule="auto"/>
        <w:ind w:firstLine="420"/>
        <w:rPr>
          <w:sz w:val="21"/>
          <w:szCs w:val="21"/>
        </w:rPr>
      </w:pPr>
      <w:r>
        <w:rPr>
          <w:rStyle w:val="12"/>
          <w:rFonts w:hint="eastAsia"/>
          <w:sz w:val="21"/>
          <w:szCs w:val="21"/>
        </w:rPr>
        <w:t>二、基金的年度审计</w:t>
      </w:r>
    </w:p>
    <w:p>
      <w:pPr>
        <w:pStyle w:val="8"/>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8"/>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8"/>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8" w:name="chapter_level1_17_66_section_1_end"/>
      <w:bookmarkEnd w:id="178"/>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9" w:name="chapter_level1_18_67"/>
      <w:bookmarkStart w:id="180" w:name="_Toc207936403"/>
      <w:r>
        <w:rPr>
          <w:rFonts w:hint="eastAsia" w:ascii="宋体" w:hAnsi="宋体" w:eastAsia="宋体"/>
          <w:sz w:val="30"/>
        </w:rPr>
        <w:t>第十五部分  基金的信息披露</w:t>
      </w:r>
      <w:bookmarkEnd w:id="179"/>
      <w:bookmarkEnd w:id="180"/>
    </w:p>
    <w:p>
      <w:pPr>
        <w:pStyle w:val="8"/>
        <w:spacing w:before="0" w:beforeAutospacing="0" w:after="0" w:afterAutospacing="0" w:line="360" w:lineRule="auto"/>
        <w:ind w:firstLine="420"/>
        <w:rPr>
          <w:sz w:val="21"/>
          <w:szCs w:val="21"/>
        </w:rPr>
      </w:pPr>
      <w:bookmarkStart w:id="181" w:name="chapter_level1_18_67_section_1"/>
      <w:bookmarkEnd w:id="181"/>
      <w:r>
        <w:rPr>
          <w:rStyle w:val="12"/>
          <w:rFonts w:hint="eastAsia"/>
          <w:sz w:val="21"/>
          <w:szCs w:val="21"/>
        </w:rPr>
        <w:t>一、本基金的信息披露应符合《基金法》、《运作办法》、《信息披露办法》、《基金合同》及其他有关规定。相关法律法规关于信息披露的规定发生变化时，本基金从其最新规定。</w:t>
      </w:r>
    </w:p>
    <w:p>
      <w:pPr>
        <w:pStyle w:val="8"/>
        <w:spacing w:before="0" w:beforeAutospacing="0" w:after="0" w:afterAutospacing="0" w:line="360" w:lineRule="auto"/>
        <w:ind w:firstLine="420"/>
        <w:rPr>
          <w:sz w:val="21"/>
          <w:szCs w:val="21"/>
        </w:rPr>
      </w:pPr>
      <w:r>
        <w:rPr>
          <w:rStyle w:val="12"/>
          <w:rFonts w:hint="eastAsia"/>
          <w:sz w:val="21"/>
          <w:szCs w:val="21"/>
        </w:rPr>
        <w:t>二、信息披露义务人</w:t>
      </w:r>
    </w:p>
    <w:p>
      <w:pPr>
        <w:pStyle w:val="8"/>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8"/>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8"/>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8"/>
        <w:spacing w:before="0" w:beforeAutospacing="0" w:after="0" w:afterAutospacing="0" w:line="360" w:lineRule="auto"/>
        <w:ind w:firstLine="420"/>
        <w:rPr>
          <w:sz w:val="21"/>
          <w:szCs w:val="21"/>
        </w:rPr>
      </w:pPr>
      <w:r>
        <w:rPr>
          <w:rStyle w:val="12"/>
          <w:rFonts w:hint="eastAsia"/>
          <w:sz w:val="21"/>
          <w:szCs w:val="21"/>
        </w:rPr>
        <w:t>三、本基金信息披露义务人承诺公开披露的基金信息，不得有下列行为：</w:t>
      </w:r>
    </w:p>
    <w:p>
      <w:pPr>
        <w:pStyle w:val="8"/>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8"/>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8"/>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8"/>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8"/>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8"/>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8"/>
        <w:spacing w:before="0" w:beforeAutospacing="0" w:after="0" w:afterAutospacing="0" w:line="360" w:lineRule="auto"/>
        <w:ind w:firstLine="420"/>
        <w:rPr>
          <w:sz w:val="21"/>
          <w:szCs w:val="21"/>
        </w:rPr>
      </w:pPr>
      <w:r>
        <w:rPr>
          <w:rStyle w:val="12"/>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8"/>
        <w:spacing w:before="0" w:beforeAutospacing="0" w:after="0" w:afterAutospacing="0" w:line="360" w:lineRule="auto"/>
        <w:ind w:firstLine="420"/>
        <w:rPr>
          <w:sz w:val="21"/>
          <w:szCs w:val="21"/>
        </w:rPr>
      </w:pPr>
      <w:bookmarkStart w:id="182" w:name="chapter_level1_18_67_section_1_end"/>
      <w:bookmarkEnd w:id="182"/>
      <w:r>
        <w:rPr>
          <w:rFonts w:hint="eastAsia"/>
          <w:sz w:val="21"/>
          <w:szCs w:val="21"/>
        </w:rPr>
        <w:t xml:space="preserve">本基金公开披露的信息采用阿拉伯数字；除特别说明外，货币单位为人民币元。  </w:t>
      </w:r>
    </w:p>
    <w:p>
      <w:pPr>
        <w:pStyle w:val="8"/>
        <w:spacing w:before="0" w:beforeAutospacing="0" w:after="0" w:afterAutospacing="0" w:line="360" w:lineRule="auto"/>
        <w:ind w:firstLine="420"/>
        <w:rPr>
          <w:sz w:val="21"/>
          <w:szCs w:val="21"/>
        </w:rPr>
      </w:pPr>
      <w:bookmarkStart w:id="183" w:name="chapter_level1_18_67_section_2"/>
      <w:bookmarkEnd w:id="183"/>
      <w:r>
        <w:rPr>
          <w:rStyle w:val="12"/>
          <w:rFonts w:hint="eastAsia"/>
          <w:sz w:val="21"/>
          <w:szCs w:val="21"/>
        </w:rPr>
        <w:t>五、公开披露的基金信息</w:t>
      </w:r>
    </w:p>
    <w:p>
      <w:pPr>
        <w:pStyle w:val="8"/>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8"/>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8"/>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8"/>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8"/>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8"/>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8"/>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和网站上；基金管理人、基金托管人应当将《基金合同》、基金托管协议登载在网站上。   </w:t>
      </w:r>
    </w:p>
    <w:p>
      <w:pPr>
        <w:pStyle w:val="8"/>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8"/>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8"/>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8"/>
        <w:spacing w:before="0" w:beforeAutospacing="0" w:after="0" w:afterAutospacing="0" w:line="360" w:lineRule="auto"/>
        <w:ind w:firstLine="420"/>
        <w:rPr>
          <w:sz w:val="21"/>
          <w:szCs w:val="21"/>
        </w:rPr>
      </w:pPr>
      <w:r>
        <w:rPr>
          <w:rFonts w:hint="eastAsia"/>
          <w:sz w:val="21"/>
          <w:szCs w:val="21"/>
        </w:rPr>
        <w:t xml:space="preserve">（四）基金净值信息   </w:t>
      </w:r>
    </w:p>
    <w:p>
      <w:pPr>
        <w:pStyle w:val="8"/>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《基金合同》生效后，在开始办理基金份额申购或者赎回前，基金管理人应当至少每周在指定网站披露一次基金份额净值和基金份额累计净值。   </w:t>
      </w:r>
    </w:p>
    <w:p>
      <w:pPr>
        <w:pStyle w:val="8"/>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在开始办理基金份额申购或者赎回后，基金管理人应当在不晚于每个开放日的次日，通过其指定网站、基金销售机构网站或营业网点披露开放日的各类基金份额净值和各类基金份额累计净值。  </w:t>
      </w:r>
    </w:p>
    <w:p>
      <w:pPr>
        <w:pStyle w:val="8"/>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基金管理人应在不晚于半年度和年度最后一日的次日，在指定网站披露半年度和年度最后一日的各类基金份额净值和各类基金份额累计净值。   </w:t>
      </w:r>
    </w:p>
    <w:p>
      <w:pPr>
        <w:pStyle w:val="8"/>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8"/>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基金管理人应当在每个季度结束之日起15个工作日内，编制完成基金季度报告，将季度报告登载在指定网站上，并将季度报告提示性公告登载在指定报刊上。  </w:t>
      </w:r>
    </w:p>
    <w:p>
      <w:pPr>
        <w:pStyle w:val="8"/>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8"/>
        <w:spacing w:before="0" w:beforeAutospacing="0" w:after="0" w:afterAutospacing="0" w:line="360" w:lineRule="auto"/>
        <w:ind w:firstLine="420"/>
        <w:rPr>
          <w:sz w:val="21"/>
          <w:szCs w:val="21"/>
        </w:rPr>
      </w:pPr>
      <w:r>
        <w:rPr>
          <w:rFonts w:hint="eastAsia"/>
          <w:sz w:val="21"/>
          <w:szCs w:val="21"/>
        </w:rPr>
        <w:t xml:space="preserve">本基金持续运作过程中, 应当在基金年度报告和中期报告中披露基金组合资产情况及其流动性风险分析等。   </w:t>
      </w:r>
    </w:p>
    <w:p>
      <w:pPr>
        <w:pStyle w:val="8"/>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产品的特有风险，中国证监会认定的特殊情形除外。   </w:t>
      </w:r>
    </w:p>
    <w:p>
      <w:pPr>
        <w:pStyle w:val="8"/>
        <w:spacing w:before="0" w:beforeAutospacing="0" w:after="0" w:afterAutospacing="0" w:line="360" w:lineRule="auto"/>
        <w:ind w:firstLine="420"/>
        <w:rPr>
          <w:sz w:val="21"/>
          <w:szCs w:val="21"/>
        </w:rPr>
      </w:pPr>
      <w:r>
        <w:rPr>
          <w:rFonts w:hint="eastAsia"/>
          <w:sz w:val="21"/>
          <w:szCs w:val="21"/>
        </w:rPr>
        <w:t xml:space="preserve">（七）临时报告   </w:t>
      </w:r>
    </w:p>
    <w:p>
      <w:pPr>
        <w:pStyle w:val="8"/>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本基金发生重大事件，有关信息披露义务人应当在2日内编制临时报告书，并登载在指定报刊和指定网站上。   </w:t>
      </w:r>
    </w:p>
    <w:p>
      <w:pPr>
        <w:pStyle w:val="8"/>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8"/>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8"/>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8"/>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8"/>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8"/>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8"/>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8"/>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8"/>
        <w:spacing w:before="0" w:beforeAutospacing="0" w:after="0" w:afterAutospacing="0" w:line="360" w:lineRule="auto"/>
        <w:ind w:firstLine="420"/>
        <w:rPr>
          <w:sz w:val="21"/>
          <w:szCs w:val="21"/>
        </w:rPr>
      </w:pPr>
      <w:r>
        <w:rPr>
          <w:rFonts w:hint="eastAsia"/>
          <w:sz w:val="21"/>
          <w:szCs w:val="21"/>
        </w:rPr>
        <w:t xml:space="preserve">8、基金募集期延长；  </w:t>
      </w:r>
    </w:p>
    <w:p>
      <w:pPr>
        <w:pStyle w:val="8"/>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pPr>
        <w:pStyle w:val="8"/>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10、基金管理人的董事在最近12个月内变更超过百分之五十，基金管理人、基金托管人专门基金托管部门的主要业务人员在最近12个月内变动超过百分之三十；  </w:t>
      </w:r>
    </w:p>
    <w:p>
      <w:pPr>
        <w:pStyle w:val="8"/>
        <w:spacing w:before="0" w:beforeAutospacing="0" w:after="0" w:afterAutospacing="0" w:line="360" w:lineRule="auto"/>
        <w:ind w:firstLine="420"/>
        <w:rPr>
          <w:sz w:val="21"/>
          <w:szCs w:val="21"/>
        </w:rPr>
      </w:pPr>
      <w:r>
        <w:rPr>
          <w:rFonts w:hint="eastAsia"/>
          <w:sz w:val="21"/>
          <w:szCs w:val="21"/>
        </w:rPr>
        <w:t xml:space="preserve">11、涉及基金财产、基金管理业务、基金托管业务的诉讼或仲裁；  </w:t>
      </w:r>
    </w:p>
    <w:p>
      <w:pPr>
        <w:pStyle w:val="8"/>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pPr>
        <w:pStyle w:val="8"/>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pPr>
        <w:pStyle w:val="8"/>
        <w:spacing w:before="0" w:beforeAutospacing="0" w:after="0" w:afterAutospacing="0" w:line="360" w:lineRule="auto"/>
        <w:ind w:firstLine="420"/>
        <w:rPr>
          <w:sz w:val="21"/>
          <w:szCs w:val="21"/>
        </w:rPr>
      </w:pPr>
      <w:r>
        <w:rPr>
          <w:rFonts w:hint="eastAsia"/>
          <w:sz w:val="21"/>
          <w:szCs w:val="21"/>
        </w:rPr>
        <w:t xml:space="preserve">14、基金收益分配事项；  </w:t>
      </w:r>
    </w:p>
    <w:p>
      <w:pPr>
        <w:pStyle w:val="8"/>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pPr>
        <w:pStyle w:val="8"/>
        <w:spacing w:before="0" w:beforeAutospacing="0" w:after="0" w:afterAutospacing="0" w:line="360" w:lineRule="auto"/>
        <w:ind w:firstLine="420"/>
        <w:rPr>
          <w:sz w:val="21"/>
          <w:szCs w:val="21"/>
        </w:rPr>
      </w:pPr>
      <w:r>
        <w:rPr>
          <w:rFonts w:hint="eastAsia"/>
          <w:sz w:val="21"/>
          <w:szCs w:val="21"/>
        </w:rPr>
        <w:t xml:space="preserve">16、任一类基金份额净值计价错误达该类基金份额净值百分之零点五；  </w:t>
      </w:r>
    </w:p>
    <w:p>
      <w:pPr>
        <w:pStyle w:val="8"/>
        <w:spacing w:before="0" w:beforeAutospacing="0" w:after="0" w:afterAutospacing="0" w:line="360" w:lineRule="auto"/>
        <w:ind w:firstLine="420"/>
        <w:rPr>
          <w:sz w:val="21"/>
          <w:szCs w:val="21"/>
        </w:rPr>
      </w:pPr>
      <w:r>
        <w:rPr>
          <w:rFonts w:hint="eastAsia"/>
          <w:sz w:val="21"/>
          <w:szCs w:val="21"/>
        </w:rPr>
        <w:t xml:space="preserve">17、本基金开始办理申购、赎回；   </w:t>
      </w:r>
    </w:p>
    <w:p>
      <w:pPr>
        <w:pStyle w:val="8"/>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pPr>
        <w:pStyle w:val="8"/>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pPr>
        <w:pStyle w:val="8"/>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pPr>
        <w:pStyle w:val="8"/>
        <w:spacing w:before="0" w:beforeAutospacing="0" w:after="0" w:afterAutospacing="0" w:line="360" w:lineRule="auto"/>
        <w:ind w:firstLine="420"/>
        <w:rPr>
          <w:sz w:val="21"/>
          <w:szCs w:val="21"/>
        </w:rPr>
      </w:pPr>
      <w:r>
        <w:rPr>
          <w:rFonts w:hint="eastAsia"/>
          <w:sz w:val="21"/>
          <w:szCs w:val="21"/>
        </w:rPr>
        <w:t xml:space="preserve">21、调整基金份额类别的设置；  </w:t>
      </w:r>
    </w:p>
    <w:p>
      <w:pPr>
        <w:pStyle w:val="8"/>
        <w:spacing w:before="0" w:beforeAutospacing="0" w:after="0" w:afterAutospacing="0" w:line="360" w:lineRule="auto"/>
        <w:ind w:firstLine="420"/>
        <w:rPr>
          <w:sz w:val="21"/>
          <w:szCs w:val="21"/>
        </w:rPr>
      </w:pPr>
      <w:r>
        <w:rPr>
          <w:rFonts w:hint="eastAsia"/>
          <w:sz w:val="21"/>
          <w:szCs w:val="21"/>
        </w:rPr>
        <w:t xml:space="preserve">22、发生涉及基金申购、赎回事项调整或潜在影响投资者赎回等重大事项时 ；  </w:t>
      </w:r>
    </w:p>
    <w:p>
      <w:pPr>
        <w:pStyle w:val="8"/>
        <w:spacing w:before="0" w:beforeAutospacing="0" w:after="0" w:afterAutospacing="0" w:line="360" w:lineRule="auto"/>
        <w:ind w:firstLine="420"/>
        <w:rPr>
          <w:sz w:val="21"/>
          <w:szCs w:val="21"/>
        </w:rPr>
      </w:pPr>
      <w:r>
        <w:rPr>
          <w:rFonts w:hint="eastAsia"/>
          <w:sz w:val="21"/>
          <w:szCs w:val="21"/>
        </w:rPr>
        <w:t xml:space="preserve">23、基金推出新业务或服务；  </w:t>
      </w:r>
    </w:p>
    <w:p>
      <w:pPr>
        <w:pStyle w:val="8"/>
        <w:spacing w:before="0" w:beforeAutospacing="0" w:after="0" w:afterAutospacing="0" w:line="360" w:lineRule="auto"/>
        <w:ind w:firstLine="420"/>
        <w:rPr>
          <w:sz w:val="21"/>
          <w:szCs w:val="21"/>
        </w:rPr>
      </w:pPr>
      <w:r>
        <w:rPr>
          <w:rFonts w:hint="eastAsia"/>
          <w:sz w:val="21"/>
          <w:szCs w:val="21"/>
        </w:rPr>
        <w:t xml:space="preserve">24、基金信息披露义务人认为可能对基金份额持有人权益或者基金份额的价格产生重大影响的其他事项或中国证监会规定的其他事项。   </w:t>
      </w:r>
    </w:p>
    <w:p>
      <w:pPr>
        <w:pStyle w:val="8"/>
        <w:spacing w:before="0" w:beforeAutospacing="0" w:after="0" w:afterAutospacing="0" w:line="360" w:lineRule="auto"/>
        <w:ind w:firstLine="420"/>
        <w:rPr>
          <w:sz w:val="21"/>
          <w:szCs w:val="21"/>
        </w:rPr>
      </w:pPr>
      <w:r>
        <w:rPr>
          <w:rFonts w:hint="eastAsia"/>
          <w:sz w:val="21"/>
          <w:szCs w:val="21"/>
        </w:rPr>
        <w:t xml:space="preserve">（八）澄清公告   </w:t>
      </w:r>
    </w:p>
    <w:p>
      <w:pPr>
        <w:pStyle w:val="8"/>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的，以及可能损害基金份额持有人权益的，相关信息披露义务人知悉后应当立即对该消息进行公开澄清，并将有关情况立即报告中国证监会。   </w:t>
      </w:r>
    </w:p>
    <w:p>
      <w:pPr>
        <w:pStyle w:val="8"/>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8"/>
        <w:spacing w:before="0" w:beforeAutospacing="0" w:after="0" w:afterAutospacing="0" w:line="360" w:lineRule="auto"/>
        <w:ind w:firstLine="420"/>
        <w:rPr>
          <w:sz w:val="21"/>
          <w:szCs w:val="21"/>
        </w:rPr>
      </w:pPr>
      <w:r>
        <w:rPr>
          <w:rFonts w:hint="eastAsia"/>
          <w:sz w:val="21"/>
          <w:szCs w:val="21"/>
        </w:rPr>
        <w:t xml:space="preserve">（十）清算报告  </w:t>
      </w:r>
    </w:p>
    <w:p>
      <w:pPr>
        <w:pStyle w:val="8"/>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8"/>
        <w:spacing w:before="0" w:beforeAutospacing="0" w:after="0" w:afterAutospacing="0" w:line="360" w:lineRule="auto"/>
        <w:ind w:firstLine="420"/>
        <w:rPr>
          <w:sz w:val="21"/>
          <w:szCs w:val="21"/>
        </w:rPr>
      </w:pPr>
      <w:r>
        <w:rPr>
          <w:rFonts w:hint="eastAsia"/>
          <w:sz w:val="21"/>
          <w:szCs w:val="21"/>
        </w:rPr>
        <w:t xml:space="preserve">（十一）资产支持证券的投资情况   </w:t>
      </w:r>
    </w:p>
    <w:p>
      <w:pPr>
        <w:pStyle w:val="8"/>
        <w:spacing w:before="0" w:beforeAutospacing="0" w:after="0" w:afterAutospacing="0" w:line="360" w:lineRule="auto"/>
        <w:ind w:firstLine="420"/>
        <w:rPr>
          <w:sz w:val="21"/>
          <w:szCs w:val="21"/>
        </w:rPr>
      </w:pPr>
      <w:r>
        <w:rPr>
          <w:rFonts w:hint="eastAsia"/>
          <w:sz w:val="21"/>
          <w:szCs w:val="21"/>
        </w:rPr>
        <w:t xml:space="preserve">本基金投资资产支持证券，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8"/>
        <w:spacing w:before="0" w:beforeAutospacing="0" w:after="0" w:afterAutospacing="0" w:line="360" w:lineRule="auto"/>
        <w:ind w:firstLine="420"/>
        <w:rPr>
          <w:sz w:val="21"/>
          <w:szCs w:val="21"/>
        </w:rPr>
      </w:pPr>
      <w:r>
        <w:rPr>
          <w:rFonts w:hint="eastAsia"/>
          <w:sz w:val="21"/>
          <w:szCs w:val="21"/>
        </w:rPr>
        <w:t xml:space="preserve">（十二）实施侧袋机制期间的信息披露  </w:t>
      </w:r>
    </w:p>
    <w:p>
      <w:pPr>
        <w:pStyle w:val="8"/>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8"/>
        <w:spacing w:before="0" w:beforeAutospacing="0" w:after="0" w:afterAutospacing="0" w:line="360" w:lineRule="auto"/>
        <w:ind w:firstLine="420"/>
        <w:rPr>
          <w:sz w:val="21"/>
          <w:szCs w:val="21"/>
        </w:rPr>
      </w:pPr>
      <w:bookmarkStart w:id="184" w:name="chapter_level1_18_67_section_2_end"/>
      <w:bookmarkEnd w:id="184"/>
      <w:r>
        <w:rPr>
          <w:rFonts w:hint="eastAsia"/>
          <w:sz w:val="21"/>
          <w:szCs w:val="21"/>
        </w:rPr>
        <w:t xml:space="preserve">（十三）中国证监会规定的其他信息  </w:t>
      </w:r>
    </w:p>
    <w:p>
      <w:pPr>
        <w:pStyle w:val="8"/>
        <w:spacing w:before="0" w:beforeAutospacing="0" w:after="0" w:afterAutospacing="0" w:line="360" w:lineRule="auto"/>
        <w:ind w:firstLine="420"/>
        <w:rPr>
          <w:sz w:val="21"/>
          <w:szCs w:val="21"/>
        </w:rPr>
      </w:pPr>
      <w:bookmarkStart w:id="185" w:name="chapter_level1_18_67_section_3"/>
      <w:bookmarkEnd w:id="185"/>
      <w:r>
        <w:rPr>
          <w:rStyle w:val="12"/>
          <w:rFonts w:hint="eastAsia"/>
          <w:sz w:val="21"/>
          <w:szCs w:val="21"/>
        </w:rPr>
        <w:t>六、信息披露事务管理</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8"/>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pPr>
        <w:pStyle w:val="8"/>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基金管理人、基金托管人应当在指定报刊中选择一家报刊披露本基金信息。基金管理人、基金托管人应当向中国证监会基金电子披露网站报送拟披露的基金信息，并保证相关报送信息的真实、准确、完整、及时。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基金管理人、基金托管人除依法在指定媒介上披露信息外，还可以根据需要在其他公共媒介披露信息，但是其他公共媒介不得早于指定媒介披露信息，并且在不同媒介上披露同一信息的内容应当一致。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8"/>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8"/>
        <w:spacing w:before="0" w:beforeAutospacing="0" w:after="0" w:afterAutospacing="0" w:line="360" w:lineRule="auto"/>
        <w:ind w:firstLine="420"/>
        <w:rPr>
          <w:sz w:val="21"/>
          <w:szCs w:val="21"/>
        </w:rPr>
      </w:pPr>
      <w:r>
        <w:rPr>
          <w:rStyle w:val="12"/>
          <w:rFonts w:hint="eastAsia"/>
          <w:sz w:val="21"/>
          <w:szCs w:val="21"/>
        </w:rPr>
        <w:t>七、信息披露文件的存放与查阅</w:t>
      </w:r>
    </w:p>
    <w:p>
      <w:pPr>
        <w:pStyle w:val="8"/>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依法必须披露的信息发布后，基金管理人、基金托管人应当按照相关法律法规规定将信息置备于公司住所，以供公众查阅、复制。   </w:t>
      </w:r>
    </w:p>
    <w:p>
      <w:pPr>
        <w:pStyle w:val="8"/>
        <w:spacing w:before="0" w:beforeAutospacing="0" w:after="0" w:afterAutospacing="0" w:line="360" w:lineRule="auto"/>
        <w:ind w:firstLine="420"/>
        <w:rPr>
          <w:sz w:val="21"/>
          <w:szCs w:val="21"/>
        </w:rPr>
      </w:pPr>
      <w:r>
        <w:rPr>
          <w:rStyle w:val="12"/>
          <w:rFonts w:hint="eastAsia"/>
          <w:sz w:val="21"/>
          <w:szCs w:val="21"/>
        </w:rPr>
        <w:t>八、当出现下述情况时，基金管理人和基金托管人可暂停或延迟披露基金相关信息：</w:t>
      </w:r>
    </w:p>
    <w:p>
      <w:pPr>
        <w:pStyle w:val="8"/>
        <w:spacing w:before="0" w:beforeAutospacing="0" w:after="0" w:afterAutospacing="0" w:line="360" w:lineRule="auto"/>
        <w:ind w:firstLine="420"/>
        <w:rPr>
          <w:sz w:val="21"/>
          <w:szCs w:val="21"/>
        </w:rPr>
      </w:pPr>
      <w:r>
        <w:rPr>
          <w:rFonts w:hint="eastAsia"/>
          <w:sz w:val="21"/>
          <w:szCs w:val="21"/>
        </w:rPr>
        <w:t xml:space="preserve">1、不可抗力；   </w:t>
      </w:r>
    </w:p>
    <w:p>
      <w:pPr>
        <w:pStyle w:val="8"/>
        <w:spacing w:before="0" w:beforeAutospacing="0" w:after="0" w:afterAutospacing="0" w:line="360" w:lineRule="auto"/>
        <w:ind w:firstLine="420"/>
        <w:rPr>
          <w:sz w:val="21"/>
          <w:szCs w:val="21"/>
        </w:rPr>
      </w:pPr>
      <w:r>
        <w:rPr>
          <w:rFonts w:hint="eastAsia"/>
          <w:sz w:val="21"/>
          <w:szCs w:val="21"/>
        </w:rPr>
        <w:t xml:space="preserve">2、发生暂停估值的情形； </w:t>
      </w:r>
    </w:p>
    <w:p>
      <w:pPr>
        <w:pStyle w:val="8"/>
        <w:spacing w:before="0" w:beforeAutospacing="0" w:after="0" w:afterAutospacing="0" w:line="360" w:lineRule="auto"/>
        <w:ind w:firstLine="420"/>
        <w:rPr>
          <w:sz w:val="21"/>
          <w:szCs w:val="21"/>
        </w:rPr>
      </w:pPr>
      <w:bookmarkStart w:id="186" w:name="chapter_level1_18_67_section_3_end"/>
      <w:bookmarkEnd w:id="186"/>
      <w:r>
        <w:rPr>
          <w:rFonts w:hint="eastAsia"/>
          <w:sz w:val="21"/>
          <w:szCs w:val="21"/>
        </w:rPr>
        <w:t xml:space="preserve">3、法律法规规定、中国证监会或基金合同认定的其他情形。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7" w:name="chapter_level1_19_54503"/>
      <w:bookmarkStart w:id="188" w:name="_Toc207936404"/>
      <w:r>
        <w:rPr>
          <w:rFonts w:hint="eastAsia" w:ascii="宋体" w:hAnsi="宋体" w:eastAsia="宋体"/>
          <w:sz w:val="30"/>
        </w:rPr>
        <w:t>第十六部分 侧袋机制</w:t>
      </w:r>
      <w:bookmarkEnd w:id="187"/>
      <w:bookmarkEnd w:id="188"/>
    </w:p>
    <w:p>
      <w:pPr>
        <w:pStyle w:val="8"/>
        <w:spacing w:before="0" w:beforeAutospacing="0" w:after="0" w:afterAutospacing="0" w:line="360" w:lineRule="auto"/>
        <w:ind w:firstLine="420"/>
        <w:rPr>
          <w:sz w:val="21"/>
          <w:szCs w:val="21"/>
        </w:rPr>
      </w:pPr>
      <w:bookmarkStart w:id="189" w:name="chapter_level1_19_54503_section_1"/>
      <w:bookmarkEnd w:id="189"/>
      <w:r>
        <w:rPr>
          <w:rFonts w:hint="eastAsia"/>
          <w:b/>
          <w:bCs/>
          <w:sz w:val="21"/>
          <w:szCs w:val="21"/>
        </w:rPr>
        <w:t>一、侧袋机制的实施条件、实施程序和特定资产范围</w:t>
      </w:r>
    </w:p>
    <w:p>
      <w:pPr>
        <w:pStyle w:val="8"/>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pStyle w:val="8"/>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pPr>
        <w:pStyle w:val="8"/>
        <w:spacing w:before="0" w:beforeAutospacing="0" w:after="0" w:afterAutospacing="0" w:line="360" w:lineRule="auto"/>
        <w:ind w:firstLine="420"/>
        <w:rPr>
          <w:sz w:val="21"/>
          <w:szCs w:val="21"/>
        </w:rPr>
      </w:pPr>
      <w:r>
        <w:rPr>
          <w:rFonts w:hint="eastAsia"/>
          <w:b/>
          <w:bCs/>
          <w:sz w:val="21"/>
          <w:szCs w:val="21"/>
        </w:rPr>
        <w:t>二、侧袋机制实施期间的基金运作安排</w:t>
      </w:r>
    </w:p>
    <w:p>
      <w:pPr>
        <w:pStyle w:val="8"/>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8"/>
        <w:spacing w:before="0" w:beforeAutospacing="0" w:after="0" w:afterAutospacing="0" w:line="360" w:lineRule="auto"/>
        <w:ind w:firstLine="420"/>
        <w:rPr>
          <w:sz w:val="21"/>
          <w:szCs w:val="21"/>
        </w:rPr>
      </w:pPr>
      <w:r>
        <w:rPr>
          <w:rFonts w:hint="eastAsia"/>
          <w:sz w:val="21"/>
          <w:szCs w:val="21"/>
        </w:rPr>
        <w:t xml:space="preserve">1、侧袋账户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pPr>
        <w:pStyle w:val="8"/>
        <w:spacing w:before="0" w:beforeAutospacing="0" w:after="0" w:afterAutospacing="0" w:line="360" w:lineRule="auto"/>
        <w:ind w:firstLine="420"/>
        <w:rPr>
          <w:sz w:val="21"/>
          <w:szCs w:val="21"/>
        </w:rPr>
      </w:pPr>
      <w:r>
        <w:rPr>
          <w:rFonts w:hint="eastAsia"/>
          <w:sz w:val="21"/>
          <w:szCs w:val="21"/>
        </w:rPr>
        <w:t xml:space="preserve">2、主袋账户 </w:t>
      </w:r>
    </w:p>
    <w:p>
      <w:pPr>
        <w:pStyle w:val="8"/>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pPr>
        <w:pStyle w:val="8"/>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pPr>
        <w:pStyle w:val="8"/>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8"/>
        <w:spacing w:before="0" w:beforeAutospacing="0" w:after="0" w:afterAutospacing="0" w:line="360" w:lineRule="auto"/>
        <w:ind w:firstLine="420"/>
        <w:rPr>
          <w:sz w:val="21"/>
          <w:szCs w:val="21"/>
        </w:rPr>
      </w:pPr>
      <w:r>
        <w:rPr>
          <w:rFonts w:hint="eastAsia"/>
          <w:sz w:val="21"/>
          <w:szCs w:val="21"/>
        </w:rPr>
        <w:t xml:space="preserve">（二）基金份额的登记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8"/>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8"/>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8"/>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8"/>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8"/>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8"/>
        <w:spacing w:before="0" w:beforeAutospacing="0" w:after="0" w:afterAutospacing="0" w:line="360" w:lineRule="auto"/>
        <w:ind w:firstLine="420"/>
        <w:rPr>
          <w:sz w:val="21"/>
          <w:szCs w:val="21"/>
        </w:rPr>
      </w:pPr>
      <w:r>
        <w:rPr>
          <w:rFonts w:hint="eastAsia"/>
          <w:sz w:val="21"/>
          <w:szCs w:val="21"/>
        </w:rPr>
        <w:t xml:space="preserve">（四）基金的估值 </w:t>
      </w:r>
    </w:p>
    <w:p>
      <w:pPr>
        <w:pStyle w:val="8"/>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8"/>
        <w:spacing w:before="0" w:beforeAutospacing="0" w:after="0" w:afterAutospacing="0" w:line="360" w:lineRule="auto"/>
        <w:ind w:firstLine="420"/>
        <w:rPr>
          <w:sz w:val="21"/>
          <w:szCs w:val="21"/>
        </w:rPr>
      </w:pPr>
      <w:r>
        <w:rPr>
          <w:rFonts w:hint="eastAsia"/>
          <w:sz w:val="21"/>
          <w:szCs w:val="21"/>
        </w:rPr>
        <w:t xml:space="preserve">（五）基金的费用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pPr>
        <w:pStyle w:val="8"/>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8"/>
        <w:spacing w:before="0" w:beforeAutospacing="0" w:after="0" w:afterAutospacing="0" w:line="360" w:lineRule="auto"/>
        <w:ind w:firstLine="420"/>
        <w:rPr>
          <w:sz w:val="21"/>
          <w:szCs w:val="21"/>
        </w:rPr>
      </w:pPr>
      <w:r>
        <w:rPr>
          <w:rFonts w:hint="eastAsia"/>
          <w:sz w:val="21"/>
          <w:szCs w:val="21"/>
        </w:rPr>
        <w:t xml:space="preserve">（六）基金的收益分配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pPr>
        <w:pStyle w:val="8"/>
        <w:spacing w:before="0" w:beforeAutospacing="0" w:after="0" w:afterAutospacing="0" w:line="360" w:lineRule="auto"/>
        <w:ind w:firstLine="420"/>
        <w:rPr>
          <w:sz w:val="21"/>
          <w:szCs w:val="21"/>
        </w:rPr>
      </w:pPr>
      <w:r>
        <w:rPr>
          <w:rFonts w:hint="eastAsia"/>
          <w:sz w:val="21"/>
          <w:szCs w:val="21"/>
        </w:rPr>
        <w:t xml:space="preserve">（七）基金的信息披露 </w:t>
      </w:r>
    </w:p>
    <w:p>
      <w:pPr>
        <w:pStyle w:val="8"/>
        <w:spacing w:before="0" w:beforeAutospacing="0" w:after="0" w:afterAutospacing="0" w:line="360" w:lineRule="auto"/>
        <w:ind w:firstLine="420"/>
        <w:rPr>
          <w:sz w:val="21"/>
          <w:szCs w:val="21"/>
        </w:rPr>
      </w:pPr>
      <w:r>
        <w:rPr>
          <w:rFonts w:hint="eastAsia"/>
          <w:sz w:val="21"/>
          <w:szCs w:val="21"/>
        </w:rPr>
        <w:t xml:space="preserve">1、基金净值信息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8"/>
        <w:spacing w:before="0" w:beforeAutospacing="0" w:after="0" w:afterAutospacing="0" w:line="360" w:lineRule="auto"/>
        <w:ind w:firstLine="420"/>
        <w:rPr>
          <w:sz w:val="21"/>
          <w:szCs w:val="21"/>
        </w:rPr>
      </w:pPr>
      <w:r>
        <w:rPr>
          <w:rFonts w:hint="eastAsia"/>
          <w:sz w:val="21"/>
          <w:szCs w:val="21"/>
        </w:rPr>
        <w:t xml:space="preserve">2、定期报告 </w:t>
      </w:r>
    </w:p>
    <w:p>
      <w:pPr>
        <w:pStyle w:val="8"/>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8"/>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8"/>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8"/>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8"/>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8"/>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8"/>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8"/>
        <w:spacing w:before="0" w:beforeAutospacing="0" w:after="0" w:afterAutospacing="0" w:line="360" w:lineRule="auto"/>
        <w:ind w:firstLine="420"/>
        <w:rPr>
          <w:sz w:val="21"/>
          <w:szCs w:val="21"/>
        </w:rPr>
      </w:pPr>
      <w:r>
        <w:rPr>
          <w:rFonts w:hint="eastAsia"/>
          <w:sz w:val="21"/>
          <w:szCs w:val="21"/>
        </w:rPr>
        <w:t xml:space="preserve">3、临时报告 </w:t>
      </w:r>
    </w:p>
    <w:p>
      <w:pPr>
        <w:pStyle w:val="8"/>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8"/>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8"/>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8"/>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8"/>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8"/>
        <w:spacing w:before="0" w:beforeAutospacing="0" w:after="0" w:afterAutospacing="0" w:line="360" w:lineRule="auto"/>
        <w:ind w:firstLine="420"/>
        <w:rPr>
          <w:sz w:val="21"/>
          <w:szCs w:val="21"/>
        </w:rPr>
      </w:pPr>
      <w:r>
        <w:rPr>
          <w:rFonts w:hint="eastAsia"/>
          <w:sz w:val="21"/>
          <w:szCs w:val="21"/>
        </w:rPr>
        <w:t xml:space="preserve">（九）侧袋的审计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8"/>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8"/>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8"/>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pPr>
        <w:rPr>
          <w:rFonts w:ascii="宋体" w:hAnsi="宋体" w:eastAsia="宋体"/>
          <w:sz w:val="24"/>
          <w:szCs w:val="24"/>
        </w:rPr>
      </w:pPr>
      <w:r>
        <w:rPr>
          <w:rFonts w:ascii="宋体" w:hAnsi="宋体" w:eastAsia="宋体"/>
          <w:b/>
          <w:bCs/>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或调</w:t>
      </w:r>
      <w:bookmarkStart w:id="190" w:name="chapter_level1_19_54503_section_1_end"/>
      <w:bookmarkEnd w:id="190"/>
      <w:r>
        <w:rPr>
          <w:rFonts w:ascii="宋体" w:hAnsi="宋体" w:eastAsia="宋体"/>
          <w:b/>
          <w:bCs/>
        </w:rPr>
        <w:t>整，无需召开基金份额持有人大会审议。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1" w:name="_Toc207936405"/>
      <w:bookmarkStart w:id="192" w:name="chapter_level1_20_68"/>
      <w:r>
        <w:rPr>
          <w:rFonts w:hint="eastAsia" w:ascii="宋体" w:hAnsi="宋体" w:eastAsia="宋体"/>
          <w:sz w:val="30"/>
        </w:rPr>
        <w:t>第十七部分  风险揭示</w:t>
      </w:r>
      <w:bookmarkEnd w:id="191"/>
      <w:bookmarkEnd w:id="192"/>
    </w:p>
    <w:p>
      <w:pPr>
        <w:pStyle w:val="8"/>
        <w:spacing w:before="0" w:beforeAutospacing="0" w:after="0" w:afterAutospacing="0" w:line="360" w:lineRule="auto"/>
        <w:ind w:firstLine="420"/>
        <w:rPr>
          <w:sz w:val="21"/>
          <w:szCs w:val="21"/>
        </w:rPr>
      </w:pPr>
      <w:bookmarkStart w:id="193" w:name="chapter_level1_20_68_section_1"/>
      <w:bookmarkEnd w:id="193"/>
      <w:r>
        <w:rPr>
          <w:rStyle w:val="12"/>
          <w:rFonts w:hint="eastAsia"/>
          <w:sz w:val="21"/>
          <w:szCs w:val="21"/>
        </w:rPr>
        <w:t>一、投资于本基金的主要风险</w:t>
      </w:r>
    </w:p>
    <w:p>
      <w:pPr>
        <w:pStyle w:val="8"/>
        <w:spacing w:before="0" w:beforeAutospacing="0" w:after="0" w:afterAutospacing="0" w:line="360" w:lineRule="auto"/>
        <w:ind w:firstLine="420"/>
        <w:rPr>
          <w:sz w:val="21"/>
          <w:szCs w:val="21"/>
        </w:rPr>
      </w:pPr>
      <w:r>
        <w:rPr>
          <w:rFonts w:hint="eastAsia"/>
          <w:sz w:val="21"/>
          <w:szCs w:val="21"/>
        </w:rPr>
        <w:t xml:space="preserve">投资于本基金的主要风险有： </w:t>
      </w:r>
    </w:p>
    <w:p>
      <w:pPr>
        <w:pStyle w:val="8"/>
        <w:spacing w:before="0" w:beforeAutospacing="0" w:after="0" w:afterAutospacing="0" w:line="360" w:lineRule="auto"/>
        <w:ind w:firstLine="420"/>
        <w:rPr>
          <w:sz w:val="21"/>
          <w:szCs w:val="21"/>
        </w:rPr>
      </w:pPr>
      <w:r>
        <w:rPr>
          <w:rFonts w:hint="eastAsia"/>
          <w:sz w:val="21"/>
          <w:szCs w:val="21"/>
        </w:rPr>
        <w:t xml:space="preserve">1、市场风险 </w:t>
      </w:r>
    </w:p>
    <w:p>
      <w:pPr>
        <w:pStyle w:val="8"/>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pPr>
        <w:pStyle w:val="8"/>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8"/>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（2）经济周期风险。随着经济运行的周期性变化，证券市场的收益水平也呈周期性变化。本基金主要投资于债券，收益水平也会随之变化，从而产生风险。 </w:t>
      </w:r>
    </w:p>
    <w:p>
      <w:pPr>
        <w:pStyle w:val="8"/>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pPr>
        <w:pStyle w:val="8"/>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pPr>
        <w:pStyle w:val="8"/>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pPr>
        <w:pStyle w:val="8"/>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pPr>
        <w:pStyle w:val="8"/>
        <w:spacing w:before="0" w:beforeAutospacing="0" w:after="0" w:afterAutospacing="0" w:line="360" w:lineRule="auto"/>
        <w:ind w:firstLine="420"/>
        <w:rPr>
          <w:sz w:val="21"/>
          <w:szCs w:val="21"/>
        </w:rPr>
      </w:pPr>
      <w:r>
        <w:rPr>
          <w:rFonts w:hint="eastAsia"/>
          <w:sz w:val="21"/>
          <w:szCs w:val="21"/>
        </w:rPr>
        <w:t xml:space="preserve">2、信用风险 </w:t>
      </w:r>
    </w:p>
    <w:p>
      <w:pPr>
        <w:pStyle w:val="8"/>
        <w:spacing w:before="0" w:beforeAutospacing="0" w:after="0" w:afterAutospacing="0" w:line="360" w:lineRule="auto"/>
        <w:ind w:firstLine="420"/>
        <w:rPr>
          <w:sz w:val="21"/>
          <w:szCs w:val="21"/>
        </w:rPr>
      </w:pPr>
      <w:r>
        <w:rPr>
          <w:rFonts w:hint="eastAsia"/>
          <w:sz w:val="21"/>
          <w:szCs w:val="21"/>
        </w:rPr>
        <w:t xml:space="preserve">信用风险是指发行人是否能够实现发行时的承诺，按时足额还本付息的风险，或者交易对手未能按时履约的风险。包括： </w:t>
      </w:r>
    </w:p>
    <w:p>
      <w:pPr>
        <w:pStyle w:val="8"/>
        <w:spacing w:before="0" w:beforeAutospacing="0" w:after="0" w:afterAutospacing="0" w:line="360" w:lineRule="auto"/>
        <w:ind w:firstLine="420"/>
        <w:rPr>
          <w:sz w:val="21"/>
          <w:szCs w:val="21"/>
        </w:rPr>
      </w:pPr>
      <w:r>
        <w:rPr>
          <w:rFonts w:hint="eastAsia"/>
          <w:sz w:val="21"/>
          <w:szCs w:val="21"/>
        </w:rPr>
        <w:t xml:space="preserve">（1）债务人违约风险：本基金投资于债券市场 ，如遇证券发行主体信用状况恶化，信用评级下降，会导致债券价格下降进而影响基金财产收益水平。严重的，甚至出现到期不能履行合约进行兑付，将给本基金带来损失。 </w:t>
      </w:r>
    </w:p>
    <w:p>
      <w:pPr>
        <w:pStyle w:val="8"/>
        <w:spacing w:before="0" w:beforeAutospacing="0" w:after="0" w:afterAutospacing="0" w:line="360" w:lineRule="auto"/>
        <w:ind w:firstLine="420"/>
        <w:rPr>
          <w:sz w:val="21"/>
          <w:szCs w:val="21"/>
        </w:rPr>
      </w:pPr>
      <w:r>
        <w:rPr>
          <w:rFonts w:hint="eastAsia"/>
          <w:sz w:val="21"/>
          <w:szCs w:val="21"/>
        </w:rPr>
        <w:t xml:space="preserve">（2）交易对手方违约风险：当固定收益证券交易对手违约时，将直接导致基金财产的损失，或导致本基金不能及时抓住市场机会，对投资收益产生影响 </w:t>
      </w:r>
    </w:p>
    <w:p>
      <w:pPr>
        <w:pStyle w:val="8"/>
        <w:spacing w:before="0" w:beforeAutospacing="0" w:after="0" w:afterAutospacing="0" w:line="360" w:lineRule="auto"/>
        <w:ind w:firstLine="420"/>
        <w:rPr>
          <w:sz w:val="21"/>
          <w:szCs w:val="21"/>
        </w:rPr>
      </w:pPr>
      <w:r>
        <w:rPr>
          <w:rFonts w:hint="eastAsia"/>
          <w:sz w:val="21"/>
          <w:szCs w:val="21"/>
        </w:rPr>
        <w:t xml:space="preserve">3、流动性风险 </w:t>
      </w:r>
    </w:p>
    <w:p>
      <w:pPr>
        <w:pStyle w:val="8"/>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pPr>
        <w:pStyle w:val="8"/>
        <w:spacing w:before="0" w:beforeAutospacing="0" w:after="0" w:afterAutospacing="0" w:line="360" w:lineRule="auto"/>
        <w:ind w:firstLine="420"/>
        <w:rPr>
          <w:sz w:val="21"/>
          <w:szCs w:val="21"/>
        </w:rPr>
      </w:pPr>
      <w:r>
        <w:rPr>
          <w:rFonts w:hint="eastAsia"/>
          <w:sz w:val="21"/>
          <w:szCs w:val="21"/>
        </w:rPr>
        <w:t xml:space="preserve">（1）基金申购、赎回的安排 </w:t>
      </w:r>
    </w:p>
    <w:p>
      <w:pPr>
        <w:pStyle w:val="8"/>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8"/>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8"/>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pPr>
        <w:pStyle w:val="8"/>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8"/>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pPr>
        <w:pStyle w:val="8"/>
        <w:spacing w:before="0" w:beforeAutospacing="0" w:after="0" w:afterAutospacing="0" w:line="360" w:lineRule="auto"/>
        <w:ind w:firstLine="420"/>
        <w:rPr>
          <w:sz w:val="21"/>
          <w:szCs w:val="21"/>
        </w:rPr>
      </w:pPr>
      <w:r>
        <w:rPr>
          <w:rFonts w:hint="eastAsia"/>
          <w:sz w:val="21"/>
          <w:szCs w:val="21"/>
        </w:rPr>
        <w:t xml:space="preserve">（4）实施备用的流动性风险管理工具的情形、 程序及对投资者的潜在影响 </w:t>
      </w:r>
    </w:p>
    <w:p>
      <w:pPr>
        <w:pStyle w:val="8"/>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8"/>
        <w:spacing w:before="0" w:beforeAutospacing="0" w:after="0" w:afterAutospacing="0" w:line="360" w:lineRule="auto"/>
        <w:ind w:firstLine="420"/>
        <w:rPr>
          <w:sz w:val="21"/>
          <w:szCs w:val="21"/>
        </w:rPr>
      </w:pPr>
      <w:r>
        <w:rPr>
          <w:rFonts w:hint="eastAsia"/>
          <w:sz w:val="21"/>
          <w:szCs w:val="21"/>
        </w:rPr>
        <w:t xml:space="preserve">（5）启用侧袋机制的风险  </w:t>
      </w:r>
    </w:p>
    <w:p>
      <w:pPr>
        <w:pStyle w:val="8"/>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8"/>
        <w:spacing w:before="0" w:beforeAutospacing="0" w:after="0" w:afterAutospacing="0" w:line="360" w:lineRule="auto"/>
        <w:ind w:firstLine="420"/>
        <w:rPr>
          <w:sz w:val="21"/>
          <w:szCs w:val="21"/>
        </w:rPr>
      </w:pPr>
      <w:r>
        <w:rPr>
          <w:rFonts w:hint="eastAsia"/>
          <w:sz w:val="21"/>
          <w:szCs w:val="21"/>
        </w:rPr>
        <w:t xml:space="preserve">4、操作风险 </w:t>
      </w:r>
    </w:p>
    <w:p>
      <w:pPr>
        <w:pStyle w:val="8"/>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pPr>
        <w:pStyle w:val="8"/>
        <w:spacing w:before="0" w:beforeAutospacing="0" w:after="0" w:afterAutospacing="0" w:line="360" w:lineRule="auto"/>
        <w:ind w:firstLine="420"/>
        <w:rPr>
          <w:sz w:val="21"/>
          <w:szCs w:val="21"/>
        </w:rPr>
      </w:pPr>
      <w:r>
        <w:rPr>
          <w:rFonts w:hint="eastAsia"/>
          <w:sz w:val="21"/>
          <w:szCs w:val="21"/>
        </w:rPr>
        <w:t xml:space="preserve">5、管理风险 </w:t>
      </w:r>
    </w:p>
    <w:p>
      <w:pPr>
        <w:pStyle w:val="8"/>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pPr>
        <w:pStyle w:val="8"/>
        <w:spacing w:before="0" w:beforeAutospacing="0" w:after="0" w:afterAutospacing="0" w:line="360" w:lineRule="auto"/>
        <w:ind w:firstLine="420"/>
        <w:rPr>
          <w:sz w:val="21"/>
          <w:szCs w:val="21"/>
        </w:rPr>
      </w:pPr>
      <w:r>
        <w:rPr>
          <w:rFonts w:hint="eastAsia"/>
          <w:sz w:val="21"/>
          <w:szCs w:val="21"/>
        </w:rPr>
        <w:t xml:space="preserve">6、合规风险 </w:t>
      </w:r>
    </w:p>
    <w:p>
      <w:pPr>
        <w:pStyle w:val="8"/>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pPr>
        <w:pStyle w:val="8"/>
        <w:spacing w:before="0" w:beforeAutospacing="0" w:after="0" w:afterAutospacing="0" w:line="360" w:lineRule="auto"/>
        <w:ind w:firstLine="420"/>
        <w:rPr>
          <w:sz w:val="21"/>
          <w:szCs w:val="21"/>
        </w:rPr>
      </w:pPr>
      <w:r>
        <w:rPr>
          <w:rFonts w:hint="eastAsia"/>
          <w:sz w:val="21"/>
          <w:szCs w:val="21"/>
        </w:rPr>
        <w:t xml:space="preserve">7、本基金的特有风险 </w:t>
      </w:r>
    </w:p>
    <w:p>
      <w:pPr>
        <w:pStyle w:val="8"/>
        <w:spacing w:before="0" w:beforeAutospacing="0" w:after="0" w:afterAutospacing="0" w:line="360" w:lineRule="auto"/>
        <w:ind w:firstLine="420"/>
        <w:rPr>
          <w:sz w:val="21"/>
          <w:szCs w:val="21"/>
        </w:rPr>
      </w:pPr>
      <w:r>
        <w:rPr>
          <w:rFonts w:hint="eastAsia"/>
          <w:sz w:val="21"/>
          <w:szCs w:val="21"/>
        </w:rPr>
        <w:t xml:space="preserve">本基金为纯债债券型基金，债券的投资比例不低于基金资产的80%，该类债券的特定风险即成为本基金及投资者主要面对的特定投资风险。债券的投资收益会受到宏观经济、政府产业政策、货币政策、市场需求变化、行业波动等因素的影响，可能存在所选投资标的的成长性与市场一致预期不符而造成个券价格表现低于预期的风险。 </w:t>
      </w:r>
    </w:p>
    <w:p>
      <w:pPr>
        <w:pStyle w:val="8"/>
        <w:spacing w:before="0" w:beforeAutospacing="0" w:after="0" w:afterAutospacing="0" w:line="360" w:lineRule="auto"/>
        <w:ind w:firstLine="420"/>
        <w:rPr>
          <w:sz w:val="21"/>
          <w:szCs w:val="21"/>
        </w:rPr>
      </w:pPr>
      <w:r>
        <w:rPr>
          <w:rFonts w:hint="eastAsia"/>
          <w:sz w:val="21"/>
          <w:szCs w:val="21"/>
        </w:rPr>
        <w:t xml:space="preserve">本基金投资资产支持证券，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8"/>
        <w:spacing w:before="0" w:beforeAutospacing="0" w:after="0" w:afterAutospacing="0" w:line="360" w:lineRule="auto"/>
        <w:ind w:firstLine="420"/>
        <w:rPr>
          <w:sz w:val="21"/>
          <w:szCs w:val="21"/>
        </w:rPr>
      </w:pPr>
      <w:r>
        <w:rPr>
          <w:rStyle w:val="12"/>
          <w:rFonts w:hint="eastAsia"/>
          <w:sz w:val="21"/>
          <w:szCs w:val="21"/>
        </w:rPr>
        <w:t>二、声明</w:t>
      </w:r>
    </w:p>
    <w:p>
      <w:pPr>
        <w:pStyle w:val="8"/>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8"/>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2、除基金管理人直接办理本基金的销售外，本基金还通过基金代销机构代理销售，基</w:t>
      </w:r>
      <w:bookmarkStart w:id="194" w:name="chapter_level1_20_68_section_1_end"/>
      <w:bookmarkEnd w:id="194"/>
      <w:r>
        <w:rPr>
          <w:rFonts w:hint="eastAsia"/>
          <w:sz w:val="21"/>
          <w:szCs w:val="21"/>
        </w:rPr>
        <w:t xml:space="preserve">金管理人与基金代销机构都不能保证其收益或本金安全。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5" w:name="chapter_level1_21_69"/>
      <w:bookmarkStart w:id="196" w:name="_Toc207936406"/>
      <w:r>
        <w:rPr>
          <w:rFonts w:hint="eastAsia" w:ascii="宋体" w:hAnsi="宋体" w:eastAsia="宋体"/>
          <w:sz w:val="30"/>
        </w:rPr>
        <w:t>第十八部分  基金合同的变更、终止与基金财产的清算</w:t>
      </w:r>
      <w:bookmarkEnd w:id="195"/>
      <w:bookmarkEnd w:id="196"/>
    </w:p>
    <w:p>
      <w:pPr>
        <w:pStyle w:val="8"/>
        <w:spacing w:before="0" w:beforeAutospacing="0" w:after="0" w:afterAutospacing="0" w:line="360" w:lineRule="auto"/>
        <w:ind w:firstLine="420"/>
        <w:rPr>
          <w:sz w:val="21"/>
          <w:szCs w:val="21"/>
        </w:rPr>
      </w:pPr>
      <w:bookmarkStart w:id="197" w:name="chapter_level1_21_69_section_1"/>
      <w:bookmarkEnd w:id="197"/>
      <w:r>
        <w:rPr>
          <w:rStyle w:val="12"/>
          <w:rFonts w:hint="eastAsia"/>
          <w:sz w:val="21"/>
          <w:szCs w:val="21"/>
        </w:rPr>
        <w:t>一、《基金合同》的变更</w:t>
      </w:r>
    </w:p>
    <w:p>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8"/>
        <w:spacing w:before="0" w:beforeAutospacing="0" w:after="0" w:afterAutospacing="0" w:line="360" w:lineRule="auto"/>
        <w:ind w:firstLine="420"/>
        <w:rPr>
          <w:sz w:val="21"/>
          <w:szCs w:val="21"/>
        </w:rPr>
      </w:pPr>
      <w:r>
        <w:rPr>
          <w:rStyle w:val="12"/>
          <w:rFonts w:hint="eastAsia"/>
          <w:sz w:val="21"/>
          <w:szCs w:val="21"/>
        </w:rPr>
        <w:t>二、《基金合同》的终止事由</w:t>
      </w:r>
    </w:p>
    <w:p>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8"/>
        <w:spacing w:before="0" w:beforeAutospacing="0" w:after="0" w:afterAutospacing="0" w:line="360" w:lineRule="auto"/>
        <w:ind w:firstLine="420"/>
        <w:rPr>
          <w:sz w:val="21"/>
          <w:szCs w:val="21"/>
        </w:rPr>
      </w:pPr>
      <w:r>
        <w:rPr>
          <w:rStyle w:val="12"/>
          <w:rFonts w:hint="eastAsia"/>
          <w:sz w:val="21"/>
          <w:szCs w:val="21"/>
        </w:rPr>
        <w:t>三、基金财产的清算</w:t>
      </w:r>
    </w:p>
    <w:p>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8"/>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8"/>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基金登记机构、具有从事证券、期货相关业务资格的注册会计师、律师以及中国证监会指定的人员组成。基金财产清算小组可以聘用必要的工作人员。 </w:t>
      </w:r>
    </w:p>
    <w:p>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8"/>
        <w:spacing w:before="0" w:beforeAutospacing="0" w:after="0" w:afterAutospacing="0" w:line="360" w:lineRule="auto"/>
        <w:ind w:firstLine="420"/>
        <w:rPr>
          <w:sz w:val="21"/>
          <w:szCs w:val="21"/>
        </w:rPr>
      </w:pPr>
      <w:r>
        <w:rPr>
          <w:rFonts w:hint="eastAsia"/>
          <w:sz w:val="21"/>
          <w:szCs w:val="21"/>
        </w:rPr>
        <w:t xml:space="preserve">（4）制作清算报告； </w:t>
      </w:r>
    </w:p>
    <w:p>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pPr>
        <w:pStyle w:val="8"/>
        <w:spacing w:before="0" w:beforeAutospacing="0" w:after="0" w:afterAutospacing="0" w:line="360" w:lineRule="auto"/>
        <w:ind w:firstLine="420"/>
        <w:rPr>
          <w:sz w:val="21"/>
          <w:szCs w:val="21"/>
        </w:rPr>
      </w:pPr>
      <w:r>
        <w:rPr>
          <w:rStyle w:val="12"/>
          <w:rFonts w:hint="eastAsia"/>
          <w:sz w:val="21"/>
          <w:szCs w:val="21"/>
        </w:rPr>
        <w:t>四、清算费用</w:t>
      </w:r>
    </w:p>
    <w:p>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8"/>
        <w:spacing w:before="0" w:beforeAutospacing="0" w:after="0" w:afterAutospacing="0" w:line="360" w:lineRule="auto"/>
        <w:ind w:firstLine="420"/>
        <w:rPr>
          <w:sz w:val="21"/>
          <w:szCs w:val="21"/>
        </w:rPr>
      </w:pPr>
      <w:r>
        <w:rPr>
          <w:rStyle w:val="12"/>
          <w:rFonts w:hint="eastAsia"/>
          <w:sz w:val="21"/>
          <w:szCs w:val="21"/>
        </w:rPr>
        <w:t>五、基金财产清算剩余资产的分配</w:t>
      </w:r>
    </w:p>
    <w:p>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pPr>
        <w:pStyle w:val="8"/>
        <w:spacing w:before="0" w:beforeAutospacing="0" w:after="0" w:afterAutospacing="0" w:line="360" w:lineRule="auto"/>
        <w:ind w:firstLine="420"/>
        <w:rPr>
          <w:sz w:val="21"/>
          <w:szCs w:val="21"/>
        </w:rPr>
      </w:pPr>
      <w:r>
        <w:rPr>
          <w:rStyle w:val="12"/>
          <w:rFonts w:hint="eastAsia"/>
          <w:sz w:val="21"/>
          <w:szCs w:val="21"/>
        </w:rPr>
        <w:t>六、基金财产清算的公告</w:t>
      </w:r>
    </w:p>
    <w:p>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8"/>
        <w:spacing w:before="0" w:beforeAutospacing="0" w:after="0" w:afterAutospacing="0" w:line="360" w:lineRule="auto"/>
        <w:ind w:firstLine="420"/>
        <w:rPr>
          <w:sz w:val="21"/>
          <w:szCs w:val="21"/>
        </w:rPr>
      </w:pPr>
      <w:r>
        <w:rPr>
          <w:rStyle w:val="12"/>
          <w:rFonts w:hint="eastAsia"/>
          <w:sz w:val="21"/>
          <w:szCs w:val="21"/>
        </w:rPr>
        <w:t>七、基金财产清算账册及文件的保存</w:t>
      </w:r>
    </w:p>
    <w:p>
      <w:pPr>
        <w:pStyle w:val="8"/>
        <w:spacing w:before="0" w:beforeAutospacing="0" w:after="0" w:afterAutospacing="0" w:line="360" w:lineRule="auto"/>
        <w:ind w:firstLine="420"/>
        <w:rPr>
          <w:sz w:val="21"/>
          <w:szCs w:val="21"/>
        </w:rPr>
      </w:pPr>
      <w:bookmarkStart w:id="198" w:name="chapter_level1_21_69_section_1_end"/>
      <w:bookmarkEnd w:id="198"/>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9" w:name="chapter_level1_22_71"/>
      <w:bookmarkStart w:id="200" w:name="_Toc207936407"/>
      <w:r>
        <w:rPr>
          <w:rFonts w:hint="eastAsia" w:ascii="宋体" w:hAnsi="宋体" w:eastAsia="宋体"/>
          <w:sz w:val="30"/>
        </w:rPr>
        <w:t>第十九部分  基金合同的内容摘要</w:t>
      </w:r>
      <w:bookmarkEnd w:id="199"/>
      <w:bookmarkEnd w:id="200"/>
    </w:p>
    <w:p>
      <w:pPr>
        <w:pStyle w:val="8"/>
        <w:spacing w:before="0" w:beforeAutospacing="0" w:after="0" w:afterAutospacing="0" w:line="360" w:lineRule="auto"/>
        <w:ind w:firstLine="420"/>
        <w:rPr>
          <w:sz w:val="21"/>
          <w:szCs w:val="21"/>
        </w:rPr>
      </w:pPr>
      <w:bookmarkStart w:id="201" w:name="chapter_level1_22_71_section_1"/>
      <w:bookmarkEnd w:id="201"/>
      <w:r>
        <w:rPr>
          <w:rStyle w:val="12"/>
          <w:rFonts w:hint="eastAsia"/>
          <w:sz w:val="21"/>
          <w:szCs w:val="21"/>
        </w:rPr>
        <w:t>一、基金份额持有人、基金管理人和基金托管人的权利、义务</w:t>
      </w:r>
    </w:p>
    <w:p>
      <w:pPr>
        <w:pStyle w:val="8"/>
        <w:spacing w:before="0" w:beforeAutospacing="0" w:after="0" w:afterAutospacing="0" w:line="360" w:lineRule="auto"/>
        <w:ind w:firstLine="420"/>
        <w:rPr>
          <w:sz w:val="21"/>
          <w:szCs w:val="21"/>
        </w:rPr>
      </w:pPr>
      <w:r>
        <w:rPr>
          <w:rFonts w:hint="eastAsia"/>
          <w:sz w:val="21"/>
          <w:szCs w:val="21"/>
        </w:rPr>
        <w:t xml:space="preserve">（一）基金管理人的权利与义务 </w:t>
      </w:r>
    </w:p>
    <w:p>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8"/>
        <w:spacing w:before="0" w:beforeAutospacing="0" w:after="0" w:afterAutospacing="0" w:line="360" w:lineRule="auto"/>
        <w:ind w:firstLine="420"/>
        <w:rPr>
          <w:sz w:val="21"/>
          <w:szCs w:val="21"/>
        </w:rPr>
      </w:pPr>
      <w:r>
        <w:rPr>
          <w:rFonts w:hint="eastAsia"/>
          <w:sz w:val="21"/>
          <w:szCs w:val="21"/>
        </w:rPr>
        <w:t xml:space="preserve">（1）依法募集资金； </w:t>
      </w:r>
    </w:p>
    <w:p>
      <w:pPr>
        <w:pStyle w:val="8"/>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8"/>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8"/>
        <w:spacing w:before="0" w:beforeAutospacing="0" w:after="0" w:afterAutospacing="0" w:line="360" w:lineRule="auto"/>
        <w:ind w:firstLine="420"/>
        <w:rPr>
          <w:sz w:val="21"/>
          <w:szCs w:val="21"/>
        </w:rPr>
      </w:pPr>
      <w:r>
        <w:rPr>
          <w:rFonts w:hint="eastAsia"/>
          <w:sz w:val="21"/>
          <w:szCs w:val="21"/>
        </w:rPr>
        <w:t xml:space="preserve">（4）销售基金份额； </w:t>
      </w:r>
    </w:p>
    <w:p>
      <w:pPr>
        <w:pStyle w:val="8"/>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8"/>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8"/>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8"/>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8"/>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8"/>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pPr>
        <w:pStyle w:val="8"/>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pPr>
        <w:pStyle w:val="8"/>
        <w:spacing w:before="0" w:beforeAutospacing="0" w:after="0" w:afterAutospacing="0" w:line="360" w:lineRule="auto"/>
        <w:ind w:firstLine="420"/>
        <w:rPr>
          <w:sz w:val="21"/>
          <w:szCs w:val="21"/>
        </w:rPr>
      </w:pPr>
      <w:r>
        <w:rPr>
          <w:rFonts w:hint="eastAsia"/>
          <w:sz w:val="21"/>
          <w:szCs w:val="21"/>
        </w:rPr>
        <w:t xml:space="preserve">（13）以基金管理人的名义，代表基金份额持有人的利益行使诉讼权利或者实施其他法律行为；         </w:t>
      </w:r>
    </w:p>
    <w:p>
      <w:pPr>
        <w:pStyle w:val="8"/>
        <w:spacing w:before="0" w:beforeAutospacing="0" w:after="0" w:afterAutospacing="0" w:line="360" w:lineRule="auto"/>
        <w:ind w:firstLine="420"/>
        <w:rPr>
          <w:sz w:val="21"/>
          <w:szCs w:val="21"/>
        </w:rPr>
      </w:pPr>
      <w:r>
        <w:rPr>
          <w:rFonts w:hint="eastAsia"/>
          <w:sz w:val="21"/>
          <w:szCs w:val="21"/>
        </w:rPr>
        <w:t xml:space="preserve">（14）选择、更换律师事务所、会计师事务所、证券经纪商或其他为基金提供服务的外部机构；         </w:t>
      </w:r>
    </w:p>
    <w:p>
      <w:pPr>
        <w:pStyle w:val="8"/>
        <w:spacing w:before="0" w:beforeAutospacing="0" w:after="0" w:afterAutospacing="0" w:line="360" w:lineRule="auto"/>
        <w:ind w:firstLine="420"/>
        <w:rPr>
          <w:sz w:val="21"/>
          <w:szCs w:val="21"/>
        </w:rPr>
      </w:pPr>
      <w:r>
        <w:rPr>
          <w:rFonts w:hint="eastAsia"/>
          <w:sz w:val="21"/>
          <w:szCs w:val="21"/>
        </w:rPr>
        <w:t xml:space="preserve">（15）在符合有关法律、法规的前提下，制订和调整有关基金认购、申购、赎回、转换、定期定额投资和非交易过户等业务规则； </w:t>
      </w:r>
    </w:p>
    <w:p>
      <w:pPr>
        <w:pStyle w:val="8"/>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（16）法律法规及中国证监会规定的和《基金合同》约定的其他权利。 </w:t>
      </w:r>
    </w:p>
    <w:p>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8"/>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8"/>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8"/>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8"/>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8"/>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8"/>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8"/>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8"/>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8"/>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8"/>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8"/>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8"/>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8"/>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8"/>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8"/>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8"/>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8"/>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8"/>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8"/>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8"/>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8"/>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8"/>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（24）基金管理人在募集期间未能达到基金的备案条件，《基金合同》不能生效，基金管理人承担全部募集费用，将已募集资金加计银行同期活期存款利息在基金募集期结束后30日内退还基金认购人； </w:t>
      </w:r>
    </w:p>
    <w:p>
      <w:pPr>
        <w:pStyle w:val="8"/>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8"/>
        <w:spacing w:before="0" w:beforeAutospacing="0" w:after="0" w:afterAutospacing="0" w:line="360" w:lineRule="auto"/>
        <w:ind w:firstLine="420"/>
        <w:rPr>
          <w:sz w:val="21"/>
          <w:szCs w:val="21"/>
        </w:rPr>
      </w:pPr>
      <w:r>
        <w:rPr>
          <w:rFonts w:hint="eastAsia"/>
          <w:sz w:val="21"/>
          <w:szCs w:val="21"/>
        </w:rPr>
        <w:t xml:space="preserve">（二）基金托管人的权利与义务 </w:t>
      </w:r>
    </w:p>
    <w:p>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8"/>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8"/>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8"/>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8"/>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（4）根据相关市场规则，为基金开设资金账户、证券账户等投资所需的其他账户，为基金办理证券交易资金清算； </w:t>
      </w:r>
    </w:p>
    <w:p>
      <w:pPr>
        <w:pStyle w:val="8"/>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8"/>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8"/>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8"/>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8"/>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8"/>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8"/>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8"/>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（6）按规定开设基金财产的资金账户、证券账户等投资所需的其他账户，按照《基金合同》的约定，根据基金管理人的投资指令，及时办理清算、交割事宜； </w:t>
      </w:r>
    </w:p>
    <w:p>
      <w:pPr>
        <w:pStyle w:val="8"/>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8"/>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pPr>
        <w:pStyle w:val="8"/>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8"/>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8"/>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8"/>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pPr>
        <w:pStyle w:val="8"/>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8"/>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8"/>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8"/>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8"/>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8"/>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8"/>
        <w:spacing w:before="0" w:beforeAutospacing="0" w:after="0" w:afterAutospacing="0" w:line="360" w:lineRule="auto"/>
        <w:ind w:firstLine="420"/>
        <w:rPr>
          <w:sz w:val="21"/>
          <w:szCs w:val="21"/>
        </w:rPr>
      </w:pPr>
      <w:r>
        <w:rPr>
          <w:rFonts w:hint="eastAsia"/>
          <w:sz w:val="21"/>
          <w:szCs w:val="21"/>
        </w:rPr>
        <w:t xml:space="preserve">（20）监督基金管理人按法律法规和《基金合同》规定履行自己的义务，基金管理人因违反《基金合同》造成基金财产损失时，应为基金份额持有人利益向基金管理人追偿； </w:t>
      </w:r>
    </w:p>
    <w:p>
      <w:pPr>
        <w:pStyle w:val="8"/>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pPr>
        <w:pStyle w:val="8"/>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pPr>
        <w:pStyle w:val="8"/>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8"/>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pPr>
        <w:pStyle w:val="8"/>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8"/>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8"/>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8"/>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pPr>
        <w:pStyle w:val="8"/>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8"/>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8"/>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8"/>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8"/>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8"/>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8"/>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8"/>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8"/>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pPr>
        <w:pStyle w:val="8"/>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8"/>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8"/>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8"/>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8"/>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8"/>
        <w:spacing w:before="0" w:beforeAutospacing="0" w:after="0" w:afterAutospacing="0" w:line="360" w:lineRule="auto"/>
        <w:ind w:firstLine="420"/>
        <w:rPr>
          <w:sz w:val="21"/>
          <w:szCs w:val="21"/>
        </w:rPr>
      </w:pPr>
      <w:r>
        <w:rPr>
          <w:rStyle w:val="12"/>
          <w:rFonts w:hint="eastAsia"/>
          <w:sz w:val="21"/>
          <w:szCs w:val="21"/>
        </w:rPr>
        <w:t>二、基金份额持有人大会召集、议事及表决的程序和规则</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若将来法律法规对基金份额持有人大会另有规定的，以届时有效的法律法规为准。 </w:t>
      </w:r>
    </w:p>
    <w:p>
      <w:pPr>
        <w:pStyle w:val="8"/>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pPr>
        <w:pStyle w:val="8"/>
        <w:spacing w:before="0" w:beforeAutospacing="0" w:after="0" w:afterAutospacing="0" w:line="360" w:lineRule="auto"/>
        <w:ind w:firstLine="420"/>
        <w:rPr>
          <w:sz w:val="21"/>
          <w:szCs w:val="21"/>
        </w:rPr>
      </w:pPr>
      <w:r>
        <w:rPr>
          <w:rFonts w:hint="eastAsia"/>
          <w:sz w:val="21"/>
          <w:szCs w:val="21"/>
        </w:rPr>
        <w:t xml:space="preserve">（一）召开事由 </w:t>
      </w:r>
    </w:p>
    <w:p>
      <w:pPr>
        <w:pStyle w:val="8"/>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（1）终止《基金合同》； </w:t>
      </w:r>
    </w:p>
    <w:p>
      <w:pPr>
        <w:pStyle w:val="8"/>
        <w:spacing w:before="0" w:beforeAutospacing="0" w:after="0" w:afterAutospacing="0" w:line="360" w:lineRule="auto"/>
        <w:ind w:firstLine="420"/>
        <w:rPr>
          <w:sz w:val="21"/>
          <w:szCs w:val="21"/>
        </w:rPr>
      </w:pPr>
      <w:r>
        <w:rPr>
          <w:rFonts w:hint="eastAsia"/>
          <w:sz w:val="21"/>
          <w:szCs w:val="21"/>
        </w:rPr>
        <w:t xml:space="preserve">（2）更换基金管理人； </w:t>
      </w:r>
    </w:p>
    <w:p>
      <w:pPr>
        <w:pStyle w:val="8"/>
        <w:spacing w:before="0" w:beforeAutospacing="0" w:after="0" w:afterAutospacing="0" w:line="360" w:lineRule="auto"/>
        <w:ind w:firstLine="420"/>
        <w:rPr>
          <w:sz w:val="21"/>
          <w:szCs w:val="21"/>
        </w:rPr>
      </w:pPr>
      <w:r>
        <w:rPr>
          <w:rFonts w:hint="eastAsia"/>
          <w:sz w:val="21"/>
          <w:szCs w:val="21"/>
        </w:rPr>
        <w:t xml:space="preserve">（3）更换基金托管人； </w:t>
      </w:r>
    </w:p>
    <w:p>
      <w:pPr>
        <w:pStyle w:val="8"/>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8"/>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（5）调整基金管理人、基金托管人的报酬标准或调高销售服务费率； </w:t>
      </w:r>
    </w:p>
    <w:p>
      <w:pPr>
        <w:pStyle w:val="8"/>
        <w:spacing w:before="0" w:beforeAutospacing="0" w:after="0" w:afterAutospacing="0" w:line="360" w:lineRule="auto"/>
        <w:ind w:firstLine="420"/>
        <w:rPr>
          <w:sz w:val="21"/>
          <w:szCs w:val="21"/>
        </w:rPr>
      </w:pPr>
      <w:r>
        <w:rPr>
          <w:rFonts w:hint="eastAsia"/>
          <w:sz w:val="21"/>
          <w:szCs w:val="21"/>
        </w:rPr>
        <w:t xml:space="preserve">（6）变更基金类别； </w:t>
      </w:r>
    </w:p>
    <w:p>
      <w:pPr>
        <w:pStyle w:val="8"/>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8"/>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8"/>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8"/>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8"/>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8"/>
        <w:spacing w:before="0" w:beforeAutospacing="0" w:after="0" w:afterAutospacing="0" w:line="360" w:lineRule="auto"/>
        <w:ind w:firstLine="420"/>
        <w:rPr>
          <w:sz w:val="21"/>
          <w:szCs w:val="21"/>
        </w:rPr>
      </w:pPr>
      <w:r>
        <w:rPr>
          <w:rFonts w:hint="eastAsia"/>
          <w:sz w:val="21"/>
          <w:szCs w:val="21"/>
        </w:rPr>
        <w:t xml:space="preserve">2、在不违反法律法规、基金合同以及在不损害已有基金份额持有人权益的前提下，以下情况可由基金管理人和基金托管人协商后修改，不需召开基金份额持有人大会： </w:t>
      </w:r>
    </w:p>
    <w:p>
      <w:pPr>
        <w:pStyle w:val="8"/>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pPr>
        <w:pStyle w:val="8"/>
        <w:spacing w:before="0" w:beforeAutospacing="0" w:after="0" w:afterAutospacing="0" w:line="360" w:lineRule="auto"/>
        <w:ind w:firstLine="420"/>
        <w:rPr>
          <w:sz w:val="21"/>
          <w:szCs w:val="21"/>
        </w:rPr>
      </w:pPr>
      <w:r>
        <w:rPr>
          <w:rFonts w:hint="eastAsia"/>
          <w:sz w:val="21"/>
          <w:szCs w:val="21"/>
        </w:rPr>
        <w:t xml:space="preserve">（2）调整本基金的申购费率、调低赎回费率、销售服务费率、变更收费方式、调整基金份额类别设置、对基金份额分类办法及规则进行调整； </w:t>
      </w:r>
    </w:p>
    <w:p>
      <w:pPr>
        <w:pStyle w:val="8"/>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pPr>
        <w:pStyle w:val="8"/>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pPr>
        <w:pStyle w:val="8"/>
        <w:spacing w:before="0" w:beforeAutospacing="0" w:after="0" w:afterAutospacing="0" w:line="360" w:lineRule="auto"/>
        <w:ind w:firstLine="420"/>
        <w:rPr>
          <w:sz w:val="21"/>
          <w:szCs w:val="21"/>
        </w:rPr>
      </w:pPr>
      <w:r>
        <w:rPr>
          <w:rFonts w:hint="eastAsia"/>
          <w:sz w:val="21"/>
          <w:szCs w:val="21"/>
        </w:rPr>
        <w:t xml:space="preserve">（5）在不违反法律法规、基金合同以及在不损害已有基金份额持有人权益的前提下，基金管理人、登记机构、基金销售机构调整有关认购、申购、赎回、转换、基金交易、非交易过户、转托管等业务规则； </w:t>
      </w:r>
    </w:p>
    <w:p>
      <w:pPr>
        <w:pStyle w:val="8"/>
        <w:spacing w:before="0" w:beforeAutospacing="0" w:after="0" w:afterAutospacing="0" w:line="360" w:lineRule="auto"/>
        <w:ind w:firstLine="420"/>
        <w:rPr>
          <w:sz w:val="21"/>
          <w:szCs w:val="21"/>
        </w:rPr>
      </w:pPr>
      <w:r>
        <w:rPr>
          <w:rFonts w:hint="eastAsia"/>
          <w:sz w:val="21"/>
          <w:szCs w:val="21"/>
        </w:rPr>
        <w:t xml:space="preserve">（6）在不违反法律法规、基金合同以及在不损害已有基金份额持有人权益的前提下，基金推出新业务或服务； </w:t>
      </w:r>
    </w:p>
    <w:p>
      <w:pPr>
        <w:pStyle w:val="8"/>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本基金将根据基金合同的约定进行基金财产清算并终止，且无需召开基金份额持有人大会，同时基金管理人应履行相关的监管报告和信息披露程序。 </w:t>
      </w:r>
    </w:p>
    <w:p>
      <w:pPr>
        <w:pStyle w:val="8"/>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8"/>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8"/>
        <w:spacing w:before="0" w:beforeAutospacing="0" w:after="0" w:afterAutospacing="0" w:line="360" w:lineRule="auto"/>
        <w:ind w:firstLine="420"/>
        <w:rPr>
          <w:sz w:val="21"/>
          <w:szCs w:val="21"/>
        </w:rPr>
      </w:pPr>
      <w:r>
        <w:rPr>
          <w:rFonts w:hint="eastAsia"/>
          <w:sz w:val="21"/>
          <w:szCs w:val="21"/>
        </w:rPr>
        <w:t xml:space="preserve">2、基金管理人未按规定召集或不能召开时，由基金托管人召集。 </w:t>
      </w:r>
    </w:p>
    <w:p>
      <w:pPr>
        <w:pStyle w:val="8"/>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8"/>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8"/>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8"/>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8"/>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8"/>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8"/>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8"/>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8"/>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8"/>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pPr>
        <w:pStyle w:val="8"/>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8"/>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8"/>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8"/>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pPr>
        <w:pStyle w:val="8"/>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8"/>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8"/>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8"/>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8"/>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8"/>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至日以前送达至召集人指定的地址。通讯开会应以书面方式或大会公告载明的其他方式进行表决。 </w:t>
      </w:r>
    </w:p>
    <w:p>
      <w:pPr>
        <w:pStyle w:val="8"/>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pPr>
        <w:pStyle w:val="8"/>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8"/>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pPr>
        <w:pStyle w:val="8"/>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pPr>
        <w:pStyle w:val="8"/>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pPr>
        <w:pStyle w:val="8"/>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8"/>
        <w:spacing w:before="0" w:beforeAutospacing="0" w:after="0" w:afterAutospacing="0" w:line="360" w:lineRule="auto"/>
        <w:ind w:firstLine="420"/>
        <w:rPr>
          <w:sz w:val="21"/>
          <w:szCs w:val="21"/>
        </w:rPr>
      </w:pPr>
      <w:r>
        <w:rPr>
          <w:rFonts w:hint="eastAsia"/>
          <w:sz w:val="21"/>
          <w:szCs w:val="21"/>
        </w:rPr>
        <w:t xml:space="preserve">（五）议事内容与程序 </w:t>
      </w:r>
    </w:p>
    <w:p>
      <w:pPr>
        <w:pStyle w:val="8"/>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8"/>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8"/>
        <w:spacing w:before="0" w:beforeAutospacing="0" w:after="0" w:afterAutospacing="0" w:line="360" w:lineRule="auto"/>
        <w:ind w:firstLine="420"/>
        <w:rPr>
          <w:sz w:val="21"/>
          <w:szCs w:val="21"/>
        </w:rPr>
      </w:pPr>
      <w:r>
        <w:rPr>
          <w:rFonts w:hint="eastAsia"/>
          <w:sz w:val="21"/>
          <w:szCs w:val="21"/>
        </w:rPr>
        <w:t xml:space="preserve">2、议事程序 </w:t>
      </w:r>
    </w:p>
    <w:p>
      <w:pPr>
        <w:pStyle w:val="8"/>
        <w:spacing w:before="0" w:beforeAutospacing="0" w:after="0" w:afterAutospacing="0" w:line="360" w:lineRule="auto"/>
        <w:ind w:firstLine="420"/>
        <w:rPr>
          <w:sz w:val="21"/>
          <w:szCs w:val="21"/>
        </w:rPr>
      </w:pPr>
      <w:r>
        <w:rPr>
          <w:rFonts w:hint="eastAsia"/>
          <w:sz w:val="21"/>
          <w:szCs w:val="21"/>
        </w:rPr>
        <w:t xml:space="preserve">（1）现场开会 </w:t>
      </w:r>
    </w:p>
    <w:p>
      <w:pPr>
        <w:pStyle w:val="8"/>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8"/>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8"/>
        <w:spacing w:before="0" w:beforeAutospacing="0" w:after="0" w:afterAutospacing="0" w:line="360" w:lineRule="auto"/>
        <w:ind w:firstLine="420"/>
        <w:rPr>
          <w:sz w:val="21"/>
          <w:szCs w:val="21"/>
        </w:rPr>
      </w:pPr>
      <w:r>
        <w:rPr>
          <w:rFonts w:hint="eastAsia"/>
          <w:sz w:val="21"/>
          <w:szCs w:val="21"/>
        </w:rPr>
        <w:t xml:space="preserve">（2）通讯开会 </w:t>
      </w:r>
    </w:p>
    <w:p>
      <w:pPr>
        <w:pStyle w:val="8"/>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8"/>
        <w:spacing w:before="0" w:beforeAutospacing="0" w:after="0" w:afterAutospacing="0" w:line="360" w:lineRule="auto"/>
        <w:ind w:firstLine="420"/>
        <w:rPr>
          <w:sz w:val="21"/>
          <w:szCs w:val="21"/>
        </w:rPr>
      </w:pPr>
      <w:r>
        <w:rPr>
          <w:rFonts w:hint="eastAsia"/>
          <w:sz w:val="21"/>
          <w:szCs w:val="21"/>
        </w:rPr>
        <w:t xml:space="preserve">（六）表决 </w:t>
      </w:r>
    </w:p>
    <w:p>
      <w:pPr>
        <w:pStyle w:val="8"/>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8"/>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8"/>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8"/>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8"/>
        <w:spacing w:before="0" w:beforeAutospacing="0" w:after="0" w:afterAutospacing="0" w:line="360" w:lineRule="auto"/>
        <w:ind w:firstLine="420"/>
        <w:rPr>
          <w:sz w:val="21"/>
          <w:szCs w:val="21"/>
        </w:rPr>
      </w:pPr>
      <w:r>
        <w:rPr>
          <w:rFonts w:hint="eastAsia"/>
          <w:sz w:val="21"/>
          <w:szCs w:val="21"/>
        </w:rPr>
        <w:t xml:space="preserve">（七）计票 </w:t>
      </w:r>
    </w:p>
    <w:p>
      <w:pPr>
        <w:pStyle w:val="8"/>
        <w:spacing w:before="0" w:beforeAutospacing="0" w:after="0" w:afterAutospacing="0" w:line="360" w:lineRule="auto"/>
        <w:ind w:firstLine="420"/>
        <w:rPr>
          <w:sz w:val="21"/>
          <w:szCs w:val="21"/>
        </w:rPr>
      </w:pPr>
      <w:r>
        <w:rPr>
          <w:rFonts w:hint="eastAsia"/>
          <w:sz w:val="21"/>
          <w:szCs w:val="21"/>
        </w:rPr>
        <w:t xml:space="preserve">1、现场开会 </w:t>
      </w:r>
    </w:p>
    <w:p>
      <w:pPr>
        <w:pStyle w:val="8"/>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8"/>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8"/>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8"/>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8"/>
        <w:spacing w:before="0" w:beforeAutospacing="0" w:after="0" w:afterAutospacing="0" w:line="360" w:lineRule="auto"/>
        <w:ind w:firstLine="420"/>
        <w:rPr>
          <w:sz w:val="21"/>
          <w:szCs w:val="21"/>
        </w:rPr>
      </w:pPr>
      <w:r>
        <w:rPr>
          <w:rFonts w:hint="eastAsia"/>
          <w:sz w:val="21"/>
          <w:szCs w:val="21"/>
        </w:rPr>
        <w:t xml:space="preserve">2、通讯开会 </w:t>
      </w:r>
    </w:p>
    <w:p>
      <w:pPr>
        <w:pStyle w:val="8"/>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pPr>
        <w:pStyle w:val="8"/>
        <w:spacing w:before="0" w:beforeAutospacing="0" w:after="0" w:afterAutospacing="0" w:line="360" w:lineRule="auto"/>
        <w:ind w:firstLine="420"/>
        <w:rPr>
          <w:sz w:val="21"/>
          <w:szCs w:val="21"/>
        </w:rPr>
      </w:pPr>
      <w:r>
        <w:rPr>
          <w:rFonts w:hint="eastAsia"/>
          <w:sz w:val="21"/>
          <w:szCs w:val="21"/>
        </w:rPr>
        <w:t xml:space="preserve">（八）生效与公告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8"/>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8"/>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8"/>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8"/>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8"/>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8"/>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8"/>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8"/>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8"/>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8"/>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8"/>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8"/>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pPr>
        <w:pStyle w:val="8"/>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8"/>
        <w:spacing w:before="0" w:beforeAutospacing="0" w:after="0" w:afterAutospacing="0" w:line="360" w:lineRule="auto"/>
        <w:ind w:firstLine="420"/>
        <w:rPr>
          <w:sz w:val="21"/>
          <w:szCs w:val="21"/>
        </w:rPr>
      </w:pPr>
      <w:r>
        <w:rPr>
          <w:rStyle w:val="12"/>
          <w:rFonts w:hint="eastAsia"/>
          <w:sz w:val="21"/>
          <w:szCs w:val="21"/>
        </w:rPr>
        <w:t>三、基金合同解除和终止的事由、程序</w:t>
      </w:r>
    </w:p>
    <w:p>
      <w:pPr>
        <w:pStyle w:val="8"/>
        <w:spacing w:before="0" w:beforeAutospacing="0" w:after="0" w:afterAutospacing="0" w:line="360" w:lineRule="auto"/>
        <w:ind w:firstLine="420"/>
        <w:rPr>
          <w:sz w:val="21"/>
          <w:szCs w:val="21"/>
        </w:rPr>
      </w:pPr>
      <w:r>
        <w:rPr>
          <w:rFonts w:hint="eastAsia"/>
          <w:sz w:val="21"/>
          <w:szCs w:val="21"/>
        </w:rPr>
        <w:t xml:space="preserve">（一）《基金合同》的变更 </w:t>
      </w:r>
    </w:p>
    <w:p>
      <w:pPr>
        <w:pStyle w:val="8"/>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2、关于《基金合同》变更的基金份额持有人大会决议须报中国证监会备案，自表决通过之日起生效，并自决议生效后按规定在指定媒介公告。 </w:t>
      </w:r>
    </w:p>
    <w:p>
      <w:pPr>
        <w:pStyle w:val="8"/>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8"/>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8"/>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8"/>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8"/>
        <w:spacing w:before="0" w:beforeAutospacing="0" w:after="0" w:afterAutospacing="0" w:line="360" w:lineRule="auto"/>
        <w:ind w:firstLine="420"/>
        <w:rPr>
          <w:sz w:val="21"/>
          <w:szCs w:val="21"/>
        </w:rPr>
      </w:pPr>
      <w:r>
        <w:rPr>
          <w:rFonts w:hint="eastAsia"/>
          <w:sz w:val="21"/>
          <w:szCs w:val="21"/>
        </w:rPr>
        <w:t xml:space="preserve">3、基金合同生效后，连续六十个工作日出现基金份额持有人数量不满二百人或者基金资产净值低于五千万元情形的； </w:t>
      </w:r>
    </w:p>
    <w:p>
      <w:pPr>
        <w:pStyle w:val="8"/>
        <w:spacing w:before="0" w:beforeAutospacing="0" w:after="0" w:afterAutospacing="0" w:line="360" w:lineRule="auto"/>
        <w:ind w:firstLine="420"/>
        <w:rPr>
          <w:sz w:val="21"/>
          <w:szCs w:val="21"/>
        </w:rPr>
      </w:pPr>
      <w:r>
        <w:rPr>
          <w:rFonts w:hint="eastAsia"/>
          <w:sz w:val="21"/>
          <w:szCs w:val="21"/>
        </w:rPr>
        <w:t xml:space="preserve">4、《基金合同》约定的其他情形； </w:t>
      </w:r>
    </w:p>
    <w:p>
      <w:pPr>
        <w:pStyle w:val="8"/>
        <w:spacing w:before="0" w:beforeAutospacing="0" w:after="0" w:afterAutospacing="0" w:line="360" w:lineRule="auto"/>
        <w:ind w:firstLine="420"/>
        <w:rPr>
          <w:sz w:val="21"/>
          <w:szCs w:val="21"/>
        </w:rPr>
      </w:pPr>
      <w:r>
        <w:rPr>
          <w:rFonts w:hint="eastAsia"/>
          <w:sz w:val="21"/>
          <w:szCs w:val="21"/>
        </w:rPr>
        <w:t xml:space="preserve">5、相关法律法规和中国证监会规定的其他情况。 </w:t>
      </w:r>
    </w:p>
    <w:p>
      <w:pPr>
        <w:pStyle w:val="8"/>
        <w:spacing w:before="0" w:beforeAutospacing="0" w:after="0" w:afterAutospacing="0" w:line="360" w:lineRule="auto"/>
        <w:ind w:firstLine="420"/>
        <w:rPr>
          <w:sz w:val="21"/>
          <w:szCs w:val="21"/>
        </w:rPr>
      </w:pPr>
      <w:r>
        <w:rPr>
          <w:rFonts w:hint="eastAsia"/>
          <w:sz w:val="21"/>
          <w:szCs w:val="21"/>
        </w:rPr>
        <w:t xml:space="preserve">（三）基金财产的清算 </w:t>
      </w:r>
    </w:p>
    <w:p>
      <w:pPr>
        <w:pStyle w:val="8"/>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pPr>
        <w:pStyle w:val="8"/>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pPr>
        <w:pStyle w:val="8"/>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基金登记机构、具有从事证券、期货相关业务资格的注册会计师、律师以及中国证监会指定的人员组成。基金财产清算小组可以聘用必要的工作人员。 </w:t>
      </w:r>
    </w:p>
    <w:p>
      <w:pPr>
        <w:pStyle w:val="8"/>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pPr>
        <w:pStyle w:val="8"/>
        <w:spacing w:before="0" w:beforeAutospacing="0" w:after="0" w:afterAutospacing="0" w:line="360" w:lineRule="auto"/>
        <w:ind w:firstLine="420"/>
        <w:rPr>
          <w:sz w:val="21"/>
          <w:szCs w:val="21"/>
        </w:rPr>
      </w:pPr>
      <w:r>
        <w:rPr>
          <w:rFonts w:hint="eastAsia"/>
          <w:sz w:val="21"/>
          <w:szCs w:val="21"/>
        </w:rPr>
        <w:t xml:space="preserve">5、基金财产清算程序： </w:t>
      </w:r>
    </w:p>
    <w:p>
      <w:pPr>
        <w:pStyle w:val="8"/>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8"/>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8"/>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8"/>
        <w:spacing w:before="0" w:beforeAutospacing="0" w:after="0" w:afterAutospacing="0" w:line="360" w:lineRule="auto"/>
        <w:ind w:firstLine="420"/>
        <w:rPr>
          <w:sz w:val="21"/>
          <w:szCs w:val="21"/>
        </w:rPr>
      </w:pPr>
      <w:r>
        <w:rPr>
          <w:rFonts w:hint="eastAsia"/>
          <w:sz w:val="21"/>
          <w:szCs w:val="21"/>
        </w:rPr>
        <w:t xml:space="preserve">（4）制作清算报告； </w:t>
      </w:r>
    </w:p>
    <w:p>
      <w:pPr>
        <w:pStyle w:val="8"/>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8"/>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8"/>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8"/>
        <w:spacing w:before="0" w:beforeAutospacing="0" w:after="0" w:afterAutospacing="0" w:line="360" w:lineRule="auto"/>
        <w:ind w:firstLine="420"/>
        <w:rPr>
          <w:sz w:val="21"/>
          <w:szCs w:val="21"/>
        </w:rPr>
      </w:pPr>
      <w:r>
        <w:rPr>
          <w:rFonts w:hint="eastAsia"/>
          <w:sz w:val="21"/>
          <w:szCs w:val="21"/>
        </w:rPr>
        <w:t xml:space="preserve">6、基金财产清算的期限为6个月，但因本基金所持证券的流动性受到限制而不能及时变现的，清算期限相应顺延。 </w:t>
      </w:r>
    </w:p>
    <w:p>
      <w:pPr>
        <w:pStyle w:val="8"/>
        <w:spacing w:before="0" w:beforeAutospacing="0" w:after="0" w:afterAutospacing="0" w:line="360" w:lineRule="auto"/>
        <w:ind w:firstLine="420"/>
        <w:rPr>
          <w:sz w:val="21"/>
          <w:szCs w:val="21"/>
        </w:rPr>
      </w:pPr>
      <w:r>
        <w:rPr>
          <w:rFonts w:hint="eastAsia"/>
          <w:sz w:val="21"/>
          <w:szCs w:val="21"/>
        </w:rPr>
        <w:t xml:space="preserve">（四）清算费用 </w:t>
      </w:r>
    </w:p>
    <w:p>
      <w:pPr>
        <w:pStyle w:val="8"/>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pPr>
        <w:pStyle w:val="8"/>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8"/>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pPr>
        <w:pStyle w:val="8"/>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8"/>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备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8"/>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8"/>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8"/>
        <w:spacing w:before="0" w:beforeAutospacing="0" w:after="0" w:afterAutospacing="0" w:line="360" w:lineRule="auto"/>
        <w:ind w:firstLine="420"/>
        <w:rPr>
          <w:sz w:val="21"/>
          <w:szCs w:val="21"/>
        </w:rPr>
      </w:pPr>
      <w:r>
        <w:rPr>
          <w:rStyle w:val="12"/>
          <w:rFonts w:hint="eastAsia"/>
          <w:sz w:val="21"/>
          <w:szCs w:val="21"/>
        </w:rPr>
        <w:t>四、争议的处理和适用的法律</w:t>
      </w:r>
    </w:p>
    <w:p>
      <w:pPr>
        <w:pStyle w:val="8"/>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律师费用由败诉方承担。 </w:t>
      </w:r>
    </w:p>
    <w:p>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争议处理期间，双方当事人应恪守基金管理人和基金托管人职责，各自继续忠实、勤勉、尽责地履行基金合同和托管协议规定的义务，维护基金份额持有人的合法权益。 </w:t>
      </w:r>
    </w:p>
    <w:p>
      <w:pPr>
        <w:pStyle w:val="8"/>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 </w:t>
      </w:r>
    </w:p>
    <w:p>
      <w:pPr>
        <w:pStyle w:val="8"/>
        <w:spacing w:before="0" w:beforeAutospacing="0" w:after="0" w:afterAutospacing="0" w:line="360" w:lineRule="auto"/>
        <w:ind w:firstLine="420"/>
        <w:rPr>
          <w:sz w:val="21"/>
          <w:szCs w:val="21"/>
        </w:rPr>
      </w:pPr>
      <w:r>
        <w:rPr>
          <w:rStyle w:val="12"/>
          <w:rFonts w:hint="eastAsia"/>
          <w:sz w:val="21"/>
          <w:szCs w:val="21"/>
        </w:rPr>
        <w:t>五、基金合同存放地和投资人取得基金合同的方式</w:t>
      </w:r>
    </w:p>
    <w:p>
      <w:pPr>
        <w:pStyle w:val="8"/>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2" w:name="chapter_level1_22_71_section_1_end"/>
      <w:bookmarkEnd w:id="202"/>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3" w:name="chapter_level1_23_72"/>
      <w:bookmarkStart w:id="204" w:name="_Toc207936408"/>
      <w:r>
        <w:rPr>
          <w:rFonts w:hint="eastAsia" w:ascii="宋体" w:hAnsi="宋体" w:eastAsia="宋体"/>
          <w:sz w:val="30"/>
        </w:rPr>
        <w:t>第二十部分  基金托管协议的内容摘要</w:t>
      </w:r>
      <w:bookmarkEnd w:id="203"/>
      <w:bookmarkEnd w:id="204"/>
    </w:p>
    <w:p>
      <w:pPr>
        <w:pStyle w:val="8"/>
        <w:spacing w:before="0" w:beforeAutospacing="0" w:after="0" w:afterAutospacing="0" w:line="360" w:lineRule="auto"/>
        <w:ind w:firstLine="420"/>
        <w:rPr>
          <w:sz w:val="21"/>
          <w:szCs w:val="21"/>
        </w:rPr>
      </w:pPr>
      <w:bookmarkStart w:id="205" w:name="chapter_level1_23_72_section_1"/>
      <w:bookmarkEnd w:id="205"/>
      <w:r>
        <w:rPr>
          <w:rStyle w:val="12"/>
          <w:rFonts w:hint="eastAsia"/>
          <w:sz w:val="21"/>
          <w:szCs w:val="21"/>
        </w:rPr>
        <w:t>一、托管协议当事人</w:t>
      </w:r>
    </w:p>
    <w:p>
      <w:pPr>
        <w:pStyle w:val="8"/>
        <w:spacing w:before="0" w:beforeAutospacing="0" w:after="0" w:afterAutospacing="0" w:line="360" w:lineRule="auto"/>
        <w:ind w:firstLine="420"/>
        <w:rPr>
          <w:sz w:val="21"/>
          <w:szCs w:val="21"/>
        </w:rPr>
      </w:pPr>
      <w:r>
        <w:rPr>
          <w:rFonts w:hint="eastAsia"/>
          <w:sz w:val="21"/>
          <w:szCs w:val="21"/>
        </w:rPr>
        <w:t xml:space="preserve">（一）基金管理人 </w:t>
      </w:r>
    </w:p>
    <w:p>
      <w:pPr>
        <w:pStyle w:val="8"/>
        <w:spacing w:before="0" w:beforeAutospacing="0" w:after="0" w:afterAutospacing="0" w:line="360" w:lineRule="auto"/>
        <w:ind w:firstLine="420"/>
        <w:rPr>
          <w:sz w:val="21"/>
          <w:szCs w:val="21"/>
        </w:rPr>
      </w:pPr>
      <w:r>
        <w:rPr>
          <w:rFonts w:hint="eastAsia"/>
          <w:sz w:val="21"/>
          <w:szCs w:val="21"/>
        </w:rPr>
        <w:t>名称：</w:t>
      </w:r>
      <w:bookmarkStart w:id="206" w:name="field_0_managerorgfullname_7"/>
      <w:r>
        <w:rPr>
          <w:rFonts w:hint="eastAsia"/>
          <w:sz w:val="21"/>
          <w:szCs w:val="21"/>
        </w:rPr>
        <w:t>博时基金管理有限公司</w:t>
      </w:r>
      <w:bookmarkEnd w:id="206"/>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8"/>
        <w:spacing w:before="0" w:beforeAutospacing="0" w:after="0" w:afterAutospacing="0" w:line="360" w:lineRule="auto"/>
        <w:ind w:firstLine="420"/>
        <w:rPr>
          <w:sz w:val="21"/>
          <w:szCs w:val="21"/>
        </w:rPr>
      </w:pPr>
      <w:r>
        <w:rPr>
          <w:rFonts w:hint="eastAsia"/>
          <w:sz w:val="21"/>
          <w:szCs w:val="21"/>
        </w:rPr>
        <w:t xml:space="preserve">邮政编码：518040 </w:t>
      </w:r>
    </w:p>
    <w:p>
      <w:pPr>
        <w:pStyle w:val="8"/>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8"/>
        <w:spacing w:before="0" w:beforeAutospacing="0" w:after="0" w:afterAutospacing="0" w:line="360" w:lineRule="auto"/>
        <w:ind w:firstLine="420"/>
        <w:rPr>
          <w:sz w:val="21"/>
          <w:szCs w:val="21"/>
        </w:rPr>
      </w:pPr>
      <w:r>
        <w:rPr>
          <w:rFonts w:hint="eastAsia"/>
          <w:sz w:val="21"/>
          <w:szCs w:val="21"/>
        </w:rPr>
        <w:t xml:space="preserve">成立日期：1998年7月13日 </w:t>
      </w:r>
    </w:p>
    <w:p>
      <w:pPr>
        <w:pStyle w:val="8"/>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8"/>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8"/>
        <w:spacing w:before="0" w:beforeAutospacing="0" w:after="0" w:afterAutospacing="0" w:line="360" w:lineRule="auto"/>
        <w:ind w:firstLine="420"/>
        <w:rPr>
          <w:sz w:val="21"/>
          <w:szCs w:val="21"/>
        </w:rPr>
      </w:pPr>
      <w:r>
        <w:rPr>
          <w:rFonts w:hint="eastAsia"/>
          <w:sz w:val="21"/>
          <w:szCs w:val="21"/>
        </w:rPr>
        <w:t xml:space="preserve">注册资本：2.5亿元人民币 </w:t>
      </w:r>
    </w:p>
    <w:p>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pPr>
        <w:pStyle w:val="8"/>
        <w:spacing w:before="0" w:beforeAutospacing="0" w:after="0" w:afterAutospacing="0" w:line="360" w:lineRule="auto"/>
        <w:ind w:firstLine="420"/>
        <w:rPr>
          <w:sz w:val="21"/>
          <w:szCs w:val="21"/>
        </w:rPr>
      </w:pPr>
      <w:r>
        <w:rPr>
          <w:rFonts w:hint="eastAsia"/>
          <w:sz w:val="21"/>
          <w:szCs w:val="21"/>
        </w:rPr>
        <w:t>经营范围：基金募集；基金销售；资产管理；中国证监会许可的其他业务。</w:t>
      </w:r>
    </w:p>
    <w:p>
      <w:pPr>
        <w:pStyle w:val="8"/>
        <w:spacing w:before="0" w:beforeAutospacing="0" w:after="0" w:afterAutospacing="0" w:line="360" w:lineRule="auto"/>
        <w:ind w:firstLine="420"/>
        <w:rPr>
          <w:sz w:val="21"/>
          <w:szCs w:val="21"/>
        </w:rPr>
      </w:pPr>
      <w:r>
        <w:rPr>
          <w:rFonts w:hint="eastAsia"/>
          <w:sz w:val="21"/>
          <w:szCs w:val="21"/>
        </w:rPr>
        <w:t xml:space="preserve">（二）基金托管人 </w:t>
      </w:r>
    </w:p>
    <w:p>
      <w:pPr>
        <w:pStyle w:val="8"/>
        <w:spacing w:before="0" w:beforeAutospacing="0" w:after="0" w:afterAutospacing="0" w:line="360" w:lineRule="auto"/>
        <w:ind w:firstLine="420"/>
        <w:rPr>
          <w:sz w:val="21"/>
          <w:szCs w:val="21"/>
        </w:rPr>
      </w:pPr>
      <w:r>
        <w:rPr>
          <w:rFonts w:hint="eastAsia"/>
          <w:sz w:val="21"/>
          <w:szCs w:val="21"/>
        </w:rPr>
        <w:t>名称：</w:t>
      </w:r>
      <w:bookmarkStart w:id="207" w:name="field_0_trustorgfullname_2"/>
      <w:r>
        <w:rPr>
          <w:rFonts w:hint="eastAsia"/>
          <w:sz w:val="21"/>
          <w:szCs w:val="21"/>
        </w:rPr>
        <w:t>中国建设银行股份有限公司</w:t>
      </w:r>
      <w:bookmarkEnd w:id="207"/>
      <w:r>
        <w:rPr>
          <w:rFonts w:hint="eastAsia"/>
          <w:sz w:val="21"/>
          <w:szCs w:val="21"/>
        </w:rPr>
        <w:t xml:space="preserve">(简称：中国建设银行) </w:t>
      </w:r>
    </w:p>
    <w:p>
      <w:pPr>
        <w:pStyle w:val="8"/>
        <w:spacing w:before="0" w:beforeAutospacing="0" w:after="0" w:afterAutospacing="0" w:line="360" w:lineRule="auto"/>
        <w:ind w:firstLine="420"/>
        <w:rPr>
          <w:sz w:val="21"/>
          <w:szCs w:val="21"/>
        </w:rPr>
      </w:pPr>
      <w:r>
        <w:rPr>
          <w:rFonts w:hint="eastAsia"/>
          <w:sz w:val="21"/>
          <w:szCs w:val="21"/>
        </w:rPr>
        <w:t xml:space="preserve">住所：北京市西城区金融大街25号 </w:t>
      </w:r>
    </w:p>
    <w:p>
      <w:pPr>
        <w:pStyle w:val="8"/>
        <w:spacing w:before="0" w:beforeAutospacing="0" w:after="0" w:afterAutospacing="0" w:line="360" w:lineRule="auto"/>
        <w:ind w:firstLine="420"/>
        <w:rPr>
          <w:sz w:val="21"/>
          <w:szCs w:val="21"/>
        </w:rPr>
      </w:pPr>
      <w:r>
        <w:rPr>
          <w:rFonts w:hint="eastAsia"/>
          <w:sz w:val="21"/>
          <w:szCs w:val="21"/>
        </w:rPr>
        <w:t xml:space="preserve">办公地址：北京市西城区闹市口大街1号院1号楼 </w:t>
      </w:r>
    </w:p>
    <w:p>
      <w:pPr>
        <w:pStyle w:val="8"/>
        <w:spacing w:before="0" w:beforeAutospacing="0" w:after="0" w:afterAutospacing="0" w:line="360" w:lineRule="auto"/>
        <w:ind w:firstLine="420"/>
        <w:rPr>
          <w:sz w:val="21"/>
          <w:szCs w:val="21"/>
        </w:rPr>
      </w:pPr>
      <w:r>
        <w:rPr>
          <w:rFonts w:hint="eastAsia"/>
          <w:sz w:val="21"/>
          <w:szCs w:val="21"/>
        </w:rPr>
        <w:t xml:space="preserve">法定代表人：张金良 </w:t>
      </w:r>
    </w:p>
    <w:p>
      <w:pPr>
        <w:pStyle w:val="8"/>
        <w:spacing w:before="0" w:beforeAutospacing="0" w:after="0" w:afterAutospacing="0" w:line="360" w:lineRule="auto"/>
        <w:ind w:firstLine="420"/>
        <w:rPr>
          <w:sz w:val="21"/>
          <w:szCs w:val="21"/>
        </w:rPr>
      </w:pPr>
      <w:r>
        <w:rPr>
          <w:rFonts w:hint="eastAsia"/>
          <w:sz w:val="21"/>
          <w:szCs w:val="21"/>
        </w:rPr>
        <w:t xml:space="preserve">成立时间：2004年09月17日 </w:t>
      </w:r>
    </w:p>
    <w:p>
      <w:pPr>
        <w:pStyle w:val="8"/>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8"/>
        <w:spacing w:before="0" w:beforeAutospacing="0" w:after="0" w:afterAutospacing="0" w:line="360" w:lineRule="auto"/>
        <w:ind w:firstLine="420"/>
        <w:rPr>
          <w:sz w:val="21"/>
          <w:szCs w:val="21"/>
        </w:rPr>
      </w:pPr>
      <w:r>
        <w:rPr>
          <w:rFonts w:hint="eastAsia"/>
          <w:sz w:val="21"/>
          <w:szCs w:val="21"/>
        </w:rPr>
        <w:t xml:space="preserve">注册资本：贰仟伍佰亿壹仟零玖拾柒万柒仟肆佰捌拾陆元整 </w:t>
      </w:r>
    </w:p>
    <w:p>
      <w:pPr>
        <w:pStyle w:val="8"/>
        <w:spacing w:before="0" w:beforeAutospacing="0" w:after="0" w:afterAutospacing="0" w:line="360" w:lineRule="auto"/>
        <w:ind w:firstLine="420"/>
        <w:rPr>
          <w:sz w:val="21"/>
          <w:szCs w:val="21"/>
        </w:rPr>
      </w:pPr>
      <w:r>
        <w:rPr>
          <w:rFonts w:hint="eastAsia"/>
          <w:sz w:val="21"/>
          <w:szCs w:val="21"/>
        </w:rPr>
        <w:t xml:space="preserve">存续期间：持续经营 </w:t>
      </w:r>
    </w:p>
    <w:p>
      <w:pPr>
        <w:pStyle w:val="8"/>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基金托管资格批文及文号：中国证监会证监基字[1998]12号 </w:t>
      </w:r>
    </w:p>
    <w:p>
      <w:pPr>
        <w:pStyle w:val="8"/>
        <w:spacing w:before="0" w:beforeAutospacing="0" w:after="0" w:afterAutospacing="0" w:line="360" w:lineRule="auto"/>
        <w:ind w:firstLine="420"/>
        <w:rPr>
          <w:sz w:val="21"/>
          <w:szCs w:val="21"/>
        </w:rPr>
      </w:pPr>
      <w:r>
        <w:rPr>
          <w:rFonts w:hint="eastAsia"/>
          <w:sz w:val="21"/>
          <w:szCs w:val="21"/>
        </w:rPr>
        <w:t xml:space="preserve">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 </w:t>
      </w:r>
    </w:p>
    <w:p>
      <w:pPr>
        <w:pStyle w:val="8"/>
        <w:spacing w:before="0" w:beforeAutospacing="0" w:after="0" w:afterAutospacing="0" w:line="360" w:lineRule="auto"/>
        <w:ind w:firstLine="420"/>
        <w:rPr>
          <w:sz w:val="21"/>
          <w:szCs w:val="21"/>
        </w:rPr>
      </w:pPr>
      <w:r>
        <w:rPr>
          <w:rStyle w:val="12"/>
          <w:rFonts w:hint="eastAsia"/>
          <w:sz w:val="21"/>
          <w:szCs w:val="21"/>
        </w:rPr>
        <w:t>二、基金托管人对基金管理人的业务监督和核查</w:t>
      </w:r>
    </w:p>
    <w:p>
      <w:pPr>
        <w:pStyle w:val="8"/>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pPr>
        <w:pStyle w:val="8"/>
        <w:spacing w:before="0" w:beforeAutospacing="0" w:after="0" w:afterAutospacing="0" w:line="360" w:lineRule="auto"/>
        <w:ind w:firstLine="420"/>
        <w:rPr>
          <w:sz w:val="21"/>
          <w:szCs w:val="21"/>
        </w:rPr>
      </w:pPr>
      <w:r>
        <w:rPr>
          <w:rFonts w:hint="eastAsia"/>
          <w:sz w:val="21"/>
          <w:szCs w:val="21"/>
        </w:rPr>
        <w:t xml:space="preserve">本基金的投资范围主要为具有良好流动性的固定收益类品种，包括国债、金融债、企业债、公司债、地方政府债、央行票据、中期票据、短期融资券、资产支持证券、债券回购、银行存款等法律法规或中国证监会允许基金投资的其他固定收益类金融工具（但须符合中国证监会的相关规定）。 </w:t>
      </w:r>
    </w:p>
    <w:p>
      <w:pPr>
        <w:pStyle w:val="8"/>
        <w:spacing w:before="0" w:beforeAutospacing="0" w:after="0" w:afterAutospacing="0" w:line="360" w:lineRule="auto"/>
        <w:ind w:firstLine="420"/>
        <w:rPr>
          <w:sz w:val="21"/>
          <w:szCs w:val="21"/>
        </w:rPr>
      </w:pPr>
      <w:r>
        <w:rPr>
          <w:rFonts w:hint="eastAsia"/>
          <w:sz w:val="21"/>
          <w:szCs w:val="21"/>
        </w:rPr>
        <w:t xml:space="preserve">本基金不投资于股票、权证等权益类资产，也不投资于可转换债券、可交换债券。 </w:t>
      </w:r>
    </w:p>
    <w:p>
      <w:pPr>
        <w:pStyle w:val="8"/>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pPr>
        <w:pStyle w:val="8"/>
        <w:spacing w:before="0" w:beforeAutospacing="0" w:after="0" w:afterAutospacing="0" w:line="360" w:lineRule="auto"/>
        <w:ind w:firstLine="420"/>
        <w:rPr>
          <w:sz w:val="21"/>
          <w:szCs w:val="21"/>
        </w:rPr>
      </w:pPr>
      <w:r>
        <w:rPr>
          <w:rFonts w:hint="eastAsia"/>
          <w:sz w:val="21"/>
          <w:szCs w:val="21"/>
        </w:rPr>
        <w:t xml:space="preserve">（1）本基金对债券的投资比例不低于基金资产的80%； </w:t>
      </w:r>
    </w:p>
    <w:p>
      <w:pPr>
        <w:pStyle w:val="8"/>
        <w:spacing w:before="0" w:beforeAutospacing="0" w:after="0" w:afterAutospacing="0" w:line="360" w:lineRule="auto"/>
        <w:ind w:firstLine="420"/>
        <w:rPr>
          <w:sz w:val="21"/>
          <w:szCs w:val="21"/>
        </w:rPr>
      </w:pPr>
      <w:r>
        <w:rPr>
          <w:rFonts w:hint="eastAsia"/>
          <w:sz w:val="21"/>
          <w:szCs w:val="21"/>
        </w:rPr>
        <w:t xml:space="preserve">（2）本基金持有现金或者到期日在一年以内的政府债券投资比例合计不低于基金资产净值的5%；其中，现金不包括结算备付金、存出保证金、应收申购款等； </w:t>
      </w:r>
    </w:p>
    <w:p>
      <w:pPr>
        <w:pStyle w:val="8"/>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 </w:t>
      </w:r>
    </w:p>
    <w:p>
      <w:pPr>
        <w:pStyle w:val="8"/>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（4）本基金管理人管理的全部基金持有一家公司发行的证券，不超过该证券的10％； </w:t>
      </w:r>
    </w:p>
    <w:p>
      <w:pPr>
        <w:pStyle w:val="8"/>
        <w:spacing w:before="0" w:beforeAutospacing="0" w:after="0" w:afterAutospacing="0" w:line="360" w:lineRule="auto"/>
        <w:ind w:firstLine="420"/>
        <w:rPr>
          <w:sz w:val="21"/>
          <w:szCs w:val="21"/>
        </w:rPr>
      </w:pPr>
      <w:r>
        <w:rPr>
          <w:rFonts w:hint="eastAsia"/>
          <w:sz w:val="21"/>
          <w:szCs w:val="21"/>
        </w:rPr>
        <w:t xml:space="preserve">（5）本基金进入全国银行间同业市场进行债券回购的资金余额不得超过基金资产净值的40%；在全国银行间同业市场中的债券回购最长期限为1年，债券回购到期后不展期； </w:t>
      </w:r>
    </w:p>
    <w:p>
      <w:pPr>
        <w:pStyle w:val="8"/>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pPr>
        <w:pStyle w:val="8"/>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pPr>
        <w:pStyle w:val="8"/>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pPr>
        <w:pStyle w:val="8"/>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pPr>
        <w:pStyle w:val="8"/>
        <w:spacing w:before="0" w:beforeAutospacing="0" w:after="0" w:afterAutospacing="0" w:line="360" w:lineRule="auto"/>
        <w:ind w:firstLine="420"/>
        <w:rPr>
          <w:sz w:val="21"/>
          <w:szCs w:val="21"/>
        </w:rPr>
      </w:pPr>
      <w:r>
        <w:rPr>
          <w:rFonts w:hint="eastAsia"/>
          <w:sz w:val="21"/>
          <w:szCs w:val="21"/>
        </w:rPr>
        <w:t xml:space="preserve">（10）本基金应投资于信用级别评级为AA-以上(含AA-)的资产支持证券。基金持有资产支持证券期间，如果其信用等级下降、不再符合投资标准，应在评级报告发布之日起3个月内予以全部卖出； </w:t>
      </w:r>
    </w:p>
    <w:p>
      <w:pPr>
        <w:pStyle w:val="8"/>
        <w:spacing w:before="0" w:beforeAutospacing="0" w:after="0" w:afterAutospacing="0" w:line="360" w:lineRule="auto"/>
        <w:ind w:firstLine="420"/>
        <w:rPr>
          <w:sz w:val="21"/>
          <w:szCs w:val="21"/>
        </w:rPr>
      </w:pPr>
      <w:r>
        <w:rPr>
          <w:rFonts w:hint="eastAsia"/>
          <w:sz w:val="21"/>
          <w:szCs w:val="21"/>
        </w:rPr>
        <w:t xml:space="preserve">（11）本基金应投资于主体信用级别评级为AA以上(含AA)发行的信用债券。基金持有信用债券期间，如果其主体信用等级下降、不再符合投资标准，应在评级报告发布之日起3个月内予以全部卖出； </w:t>
      </w:r>
    </w:p>
    <w:p>
      <w:pPr>
        <w:pStyle w:val="8"/>
        <w:spacing w:before="0" w:beforeAutospacing="0" w:after="0" w:afterAutospacing="0" w:line="360" w:lineRule="auto"/>
        <w:ind w:firstLine="420"/>
        <w:rPr>
          <w:sz w:val="21"/>
          <w:szCs w:val="21"/>
        </w:rPr>
      </w:pPr>
      <w:r>
        <w:rPr>
          <w:rFonts w:hint="eastAsia"/>
          <w:sz w:val="21"/>
          <w:szCs w:val="21"/>
        </w:rPr>
        <w:t xml:space="preserve">（12）基金资产总值不得超过基金资产净值的140%； </w:t>
      </w:r>
    </w:p>
    <w:p>
      <w:pPr>
        <w:pStyle w:val="8"/>
        <w:spacing w:before="0" w:beforeAutospacing="0" w:after="0" w:afterAutospacing="0" w:line="360" w:lineRule="auto"/>
        <w:ind w:firstLine="420"/>
        <w:rPr>
          <w:sz w:val="21"/>
          <w:szCs w:val="21"/>
        </w:rPr>
      </w:pPr>
      <w:r>
        <w:rPr>
          <w:rFonts w:hint="eastAsia"/>
          <w:sz w:val="21"/>
          <w:szCs w:val="21"/>
        </w:rPr>
        <w:t xml:space="preserve">（13）本基金主动投资于流动性受限资产的市值合计不得超过本基金资产净值的15% ； </w:t>
      </w:r>
    </w:p>
    <w:p>
      <w:pPr>
        <w:pStyle w:val="8"/>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8"/>
        <w:spacing w:before="0" w:beforeAutospacing="0" w:after="0" w:afterAutospacing="0" w:line="360" w:lineRule="auto"/>
        <w:ind w:firstLine="420"/>
        <w:rPr>
          <w:sz w:val="21"/>
          <w:szCs w:val="21"/>
        </w:rPr>
      </w:pPr>
      <w:r>
        <w:rPr>
          <w:rFonts w:hint="eastAsia"/>
          <w:sz w:val="21"/>
          <w:szCs w:val="21"/>
        </w:rPr>
        <w:t xml:space="preserve">（14）本基金与私募类证券资管产品及中国证监会认定的其他主体为交易对手开展逆回购交易的，可接受质押品的资质要求应当与基金合同约定的投资范围保持一致； </w:t>
      </w:r>
    </w:p>
    <w:p>
      <w:pPr>
        <w:pStyle w:val="8"/>
        <w:spacing w:before="0" w:beforeAutospacing="0" w:after="0" w:afterAutospacing="0" w:line="360" w:lineRule="auto"/>
        <w:ind w:firstLine="420"/>
        <w:rPr>
          <w:sz w:val="21"/>
          <w:szCs w:val="21"/>
        </w:rPr>
      </w:pPr>
      <w:r>
        <w:rPr>
          <w:rFonts w:hint="eastAsia"/>
          <w:sz w:val="21"/>
          <w:szCs w:val="21"/>
        </w:rPr>
        <w:t xml:space="preserve">（15）法律法规及中国证监会规定的和《基金合同》约定的其他投资限制。 </w:t>
      </w:r>
    </w:p>
    <w:p>
      <w:pPr>
        <w:pStyle w:val="8"/>
        <w:spacing w:before="0" w:beforeAutospacing="0" w:after="0" w:afterAutospacing="0" w:line="360" w:lineRule="auto"/>
        <w:ind w:firstLine="420"/>
        <w:rPr>
          <w:sz w:val="21"/>
          <w:szCs w:val="21"/>
        </w:rPr>
      </w:pPr>
      <w:r>
        <w:rPr>
          <w:rFonts w:hint="eastAsia"/>
          <w:sz w:val="21"/>
          <w:szCs w:val="21"/>
        </w:rPr>
        <w:t xml:space="preserve">如果法律法规对上述投资组合比例限制进行变更的，以变更后的规定为准。法律法规或监管部门取消上述限制，如适用于本基金，则本基金投资不再受相关限制。 </w:t>
      </w:r>
    </w:p>
    <w:p>
      <w:pPr>
        <w:pStyle w:val="8"/>
        <w:spacing w:before="0" w:beforeAutospacing="0" w:after="0" w:afterAutospacing="0" w:line="360" w:lineRule="auto"/>
        <w:ind w:firstLine="420"/>
        <w:rPr>
          <w:sz w:val="21"/>
          <w:szCs w:val="21"/>
        </w:rPr>
      </w:pPr>
      <w:r>
        <w:rPr>
          <w:rFonts w:hint="eastAsia"/>
          <w:sz w:val="21"/>
          <w:szCs w:val="21"/>
        </w:rPr>
        <w:t xml:space="preserve">除上述第（2）、（10）、（11）、（13）、（14）条以外，因证券市场波动、证券发行人合并、基金规模变动等基金管理人之外的因素致使基金投资比例不符合上述规定投资比例的，基金管理人应当在10个交易日内进行调整，但法律法规或中国证监会规定的特殊情形除外。 </w:t>
      </w:r>
    </w:p>
    <w:p>
      <w:pPr>
        <w:pStyle w:val="8"/>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8"/>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（三）基金托管人根据有关法律法规的规定及《基金合同》的约定，对本托管协议第十五条第(九)款基金投资禁止行为通过事后监督方式进行监督。 </w:t>
      </w:r>
    </w:p>
    <w:p>
      <w:pPr>
        <w:pStyle w:val="8"/>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相关交易必须事先得到基金托管人的同意，并履行信息披露义务。 </w:t>
      </w:r>
    </w:p>
    <w:p>
      <w:pPr>
        <w:pStyle w:val="8"/>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pPr>
        <w:pStyle w:val="8"/>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pPr>
        <w:pStyle w:val="8"/>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pPr>
        <w:pStyle w:val="8"/>
        <w:spacing w:before="0" w:beforeAutospacing="0" w:after="0" w:afterAutospacing="0" w:line="360" w:lineRule="auto"/>
        <w:ind w:firstLine="420"/>
        <w:rPr>
          <w:sz w:val="21"/>
          <w:szCs w:val="21"/>
        </w:rPr>
      </w:pPr>
      <w:r>
        <w:rPr>
          <w:rFonts w:hint="eastAsia"/>
          <w:sz w:val="21"/>
          <w:szCs w:val="21"/>
        </w:rPr>
        <w:t xml:space="preserve">（六）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pPr>
        <w:pStyle w:val="8"/>
        <w:spacing w:before="0" w:beforeAutospacing="0" w:after="0" w:afterAutospacing="0" w:line="360" w:lineRule="auto"/>
        <w:ind w:firstLine="420"/>
        <w:rPr>
          <w:sz w:val="21"/>
          <w:szCs w:val="21"/>
        </w:rPr>
      </w:pPr>
      <w:r>
        <w:rPr>
          <w:rFonts w:hint="eastAsia"/>
          <w:sz w:val="21"/>
          <w:szCs w:val="21"/>
        </w:rPr>
        <w:t xml:space="preserve">（七）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pPr>
        <w:pStyle w:val="8"/>
        <w:spacing w:before="0" w:beforeAutospacing="0" w:after="0" w:afterAutospacing="0" w:line="360" w:lineRule="auto"/>
        <w:ind w:firstLine="420"/>
        <w:rPr>
          <w:sz w:val="21"/>
          <w:szCs w:val="21"/>
        </w:rPr>
      </w:pPr>
      <w:r>
        <w:rPr>
          <w:rFonts w:hint="eastAsia"/>
          <w:sz w:val="21"/>
          <w:szCs w:val="21"/>
        </w:rPr>
        <w:t xml:space="preserve">（八）若基金托管人发现基金管理人依据交易程序已经生效的指令违反法律、行政法规和其他有关规定，或者违反《基金合同》约定的，应当立即通知基金管理人，由此造成的损失由基金管理人承担。   </w:t>
      </w:r>
    </w:p>
    <w:p>
      <w:pPr>
        <w:pStyle w:val="8"/>
        <w:spacing w:before="0" w:beforeAutospacing="0" w:after="0" w:afterAutospacing="0" w:line="360" w:lineRule="auto"/>
        <w:ind w:firstLine="420"/>
        <w:rPr>
          <w:sz w:val="21"/>
          <w:szCs w:val="21"/>
        </w:rPr>
      </w:pPr>
      <w:r>
        <w:rPr>
          <w:rFonts w:hint="eastAsia"/>
          <w:sz w:val="21"/>
          <w:szCs w:val="21"/>
        </w:rPr>
        <w:t xml:space="preserve">（九）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pPr>
        <w:rPr>
          <w:rFonts w:ascii="宋体" w:hAnsi="宋体" w:eastAsia="宋体"/>
          <w:sz w:val="24"/>
          <w:szCs w:val="24"/>
        </w:rPr>
      </w:pPr>
      <w:r>
        <w:rPr>
          <w:rFonts w:ascii="宋体" w:hAnsi="宋体" w:eastAsia="宋体"/>
        </w:rPr>
        <w:t xml:space="preserve">侧袋机制实施期间的具体规则依照相关法律法规的规定和基金合同的约定执行。 </w:t>
      </w:r>
    </w:p>
    <w:p>
      <w:pPr>
        <w:pStyle w:val="8"/>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pPr>
        <w:pStyle w:val="8"/>
        <w:spacing w:before="0" w:beforeAutospacing="0" w:after="0" w:afterAutospacing="0" w:line="360" w:lineRule="auto"/>
        <w:ind w:firstLine="420"/>
        <w:rPr>
          <w:sz w:val="21"/>
          <w:szCs w:val="21"/>
        </w:rPr>
      </w:pPr>
      <w:r>
        <w:rPr>
          <w:rStyle w:val="12"/>
          <w:rFonts w:hint="eastAsia"/>
          <w:sz w:val="21"/>
          <w:szCs w:val="21"/>
        </w:rPr>
        <w:t>三、基金管理人对基金托管人的业务核查</w:t>
      </w:r>
    </w:p>
    <w:p>
      <w:pPr>
        <w:pStyle w:val="8"/>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 </w:t>
      </w:r>
    </w:p>
    <w:p>
      <w:pPr>
        <w:pStyle w:val="8"/>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pPr>
        <w:pStyle w:val="8"/>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pPr>
        <w:pStyle w:val="8"/>
        <w:spacing w:before="0" w:beforeAutospacing="0" w:after="0" w:afterAutospacing="0" w:line="360" w:lineRule="auto"/>
        <w:ind w:firstLine="420"/>
        <w:rPr>
          <w:sz w:val="21"/>
          <w:szCs w:val="21"/>
        </w:rPr>
      </w:pPr>
      <w:r>
        <w:rPr>
          <w:rStyle w:val="12"/>
          <w:rFonts w:hint="eastAsia"/>
          <w:sz w:val="21"/>
          <w:szCs w:val="21"/>
        </w:rPr>
        <w:t>四、基金财产的保管</w:t>
      </w:r>
    </w:p>
    <w:p>
      <w:pPr>
        <w:pStyle w:val="8"/>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8"/>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8"/>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pPr>
        <w:pStyle w:val="8"/>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3.基金托管人按照规定开设基金财产的资金账户和证券账户。 </w:t>
      </w:r>
    </w:p>
    <w:p>
      <w:pPr>
        <w:pStyle w:val="8"/>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pPr>
        <w:pStyle w:val="8"/>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登记结算机构扣收结算费和账户维护费等费用）。 </w:t>
      </w:r>
    </w:p>
    <w:p>
      <w:pPr>
        <w:pStyle w:val="8"/>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pPr>
        <w:pStyle w:val="8"/>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pPr>
        <w:pStyle w:val="8"/>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pPr>
        <w:pStyle w:val="8"/>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1.基金募集期间募集的资金应存于基金管理人在基金托管人的营业机构开立的“基金募集专户”。该账户由基金管理人开立并管理。 </w:t>
      </w:r>
    </w:p>
    <w:p>
      <w:pPr>
        <w:pStyle w:val="8"/>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 </w:t>
      </w:r>
    </w:p>
    <w:p>
      <w:pPr>
        <w:pStyle w:val="8"/>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pPr>
        <w:pStyle w:val="8"/>
        <w:spacing w:before="0" w:beforeAutospacing="0" w:after="0" w:afterAutospacing="0" w:line="360" w:lineRule="auto"/>
        <w:ind w:firstLine="420"/>
        <w:rPr>
          <w:sz w:val="21"/>
          <w:szCs w:val="21"/>
        </w:rPr>
      </w:pPr>
      <w:r>
        <w:rPr>
          <w:rFonts w:hint="eastAsia"/>
          <w:sz w:val="21"/>
          <w:szCs w:val="21"/>
        </w:rPr>
        <w:t xml:space="preserve">（三）基金银行账户的开立和管理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1.基金托管人应以基金的名义在其营业机构开立基金的银行账户，并根据基金管理人合法合规的指令办理资金收付。本基金的银行预留印鉴由基金托管人保管和使用。 </w:t>
      </w:r>
    </w:p>
    <w:p>
      <w:pPr>
        <w:pStyle w:val="8"/>
        <w:spacing w:before="0" w:beforeAutospacing="0" w:after="0" w:afterAutospacing="0" w:line="360" w:lineRule="auto"/>
        <w:ind w:firstLine="420"/>
        <w:rPr>
          <w:sz w:val="21"/>
          <w:szCs w:val="21"/>
        </w:rPr>
      </w:pPr>
      <w:r>
        <w:rPr>
          <w:rFonts w:hint="eastAsia"/>
          <w:sz w:val="21"/>
          <w:szCs w:val="21"/>
        </w:rPr>
        <w:t xml:space="preserve">2.基金银行账户的开立和使用，限于满足开展本基金业务的需要。基金托管人和基金管理人不得假借本基金的名义开立任何其他银行账户；亦不得使用基金的任何账户进行本基金业务以外的活动。 </w:t>
      </w:r>
    </w:p>
    <w:p>
      <w:pPr>
        <w:pStyle w:val="8"/>
        <w:spacing w:before="0" w:beforeAutospacing="0" w:after="0" w:afterAutospacing="0" w:line="360" w:lineRule="auto"/>
        <w:ind w:firstLine="420"/>
        <w:rPr>
          <w:sz w:val="21"/>
          <w:szCs w:val="21"/>
        </w:rPr>
      </w:pPr>
      <w:r>
        <w:rPr>
          <w:rFonts w:hint="eastAsia"/>
          <w:sz w:val="21"/>
          <w:szCs w:val="21"/>
        </w:rPr>
        <w:t xml:space="preserve">3.基金银行账户的开立和管理应符合银行业监督管理机构的有关规定。 </w:t>
      </w:r>
    </w:p>
    <w:p>
      <w:pPr>
        <w:pStyle w:val="8"/>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pPr>
        <w:pStyle w:val="8"/>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1.基金托管人在中国证券登记结算有限责任公司为基金开立基金托管人与基金联名的证券账户。 </w:t>
      </w:r>
    </w:p>
    <w:p>
      <w:pPr>
        <w:pStyle w:val="8"/>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pPr>
        <w:pStyle w:val="8"/>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pPr>
        <w:pStyle w:val="8"/>
        <w:spacing w:before="0" w:beforeAutospacing="0" w:after="0" w:afterAutospacing="0" w:line="360" w:lineRule="auto"/>
        <w:ind w:firstLine="420"/>
        <w:rPr>
          <w:sz w:val="21"/>
          <w:szCs w:val="21"/>
        </w:rPr>
      </w:pPr>
      <w:r>
        <w:rPr>
          <w:rFonts w:hint="eastAsia"/>
          <w:sz w:val="21"/>
          <w:szCs w:val="21"/>
        </w:rPr>
        <w:t xml:space="preserve">证券账户开户费由基金管理人先行垫付,待托管产品启始运营后,基金管理人可向基金托管人发送划款指令,将代垫开户费从本基金托管资金账户中扣还基金管理人。 </w:t>
      </w:r>
    </w:p>
    <w:p>
      <w:pPr>
        <w:pStyle w:val="8"/>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 </w:t>
      </w:r>
    </w:p>
    <w:p>
      <w:pPr>
        <w:pStyle w:val="8"/>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pPr>
        <w:pStyle w:val="8"/>
        <w:spacing w:before="0" w:beforeAutospacing="0" w:after="0" w:afterAutospacing="0" w:line="360" w:lineRule="auto"/>
        <w:ind w:firstLine="420"/>
        <w:rPr>
          <w:sz w:val="21"/>
          <w:szCs w:val="21"/>
        </w:rPr>
      </w:pPr>
      <w:r>
        <w:rPr>
          <w:rFonts w:hint="eastAsia"/>
          <w:sz w:val="21"/>
          <w:szCs w:val="21"/>
        </w:rPr>
        <w:t xml:space="preserve">（五）债券托管账户的开设和管理 </w:t>
      </w:r>
    </w:p>
    <w:p>
      <w:pPr>
        <w:pStyle w:val="8"/>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持有人账户和资金结算账户，并代表基金进行银行间市场债券的结算。基金管理人和基金托管人共同代表基金签订全国银行间债券市场债券回购主协议。 </w:t>
      </w:r>
    </w:p>
    <w:p>
      <w:pPr>
        <w:pStyle w:val="8"/>
        <w:spacing w:before="0" w:beforeAutospacing="0" w:after="0" w:afterAutospacing="0" w:line="360" w:lineRule="auto"/>
        <w:ind w:firstLine="420"/>
        <w:rPr>
          <w:sz w:val="21"/>
          <w:szCs w:val="21"/>
        </w:rPr>
      </w:pPr>
      <w:r>
        <w:rPr>
          <w:rFonts w:hint="eastAsia"/>
          <w:sz w:val="21"/>
          <w:szCs w:val="21"/>
        </w:rPr>
        <w:t xml:space="preserve">（六）其他账户的开立和管理 </w:t>
      </w:r>
    </w:p>
    <w:p>
      <w:pPr>
        <w:pStyle w:val="8"/>
        <w:spacing w:before="0" w:beforeAutospacing="0" w:after="0" w:afterAutospacing="0" w:line="360" w:lineRule="auto"/>
        <w:ind w:firstLine="420"/>
        <w:rPr>
          <w:sz w:val="21"/>
          <w:szCs w:val="21"/>
        </w:rPr>
      </w:pPr>
      <w:r>
        <w:rPr>
          <w:rFonts w:hint="eastAsia"/>
          <w:sz w:val="21"/>
          <w:szCs w:val="21"/>
        </w:rPr>
        <w:t xml:space="preserve">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 </w:t>
      </w:r>
    </w:p>
    <w:p>
      <w:pPr>
        <w:pStyle w:val="8"/>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pPr>
        <w:pStyle w:val="8"/>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pPr>
        <w:pStyle w:val="8"/>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银行间市场清算所股份有限公司、中国证券登记结算有限责任公司上海分公司/深圳分公司/北京分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保管责任。 </w:t>
      </w:r>
    </w:p>
    <w:p>
      <w:pPr>
        <w:pStyle w:val="8"/>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8"/>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 </w:t>
      </w:r>
    </w:p>
    <w:p>
      <w:pPr>
        <w:pStyle w:val="8"/>
        <w:spacing w:before="0" w:beforeAutospacing="0" w:after="0" w:afterAutospacing="0" w:line="360" w:lineRule="auto"/>
        <w:ind w:firstLine="420"/>
        <w:rPr>
          <w:sz w:val="21"/>
          <w:szCs w:val="21"/>
        </w:rPr>
      </w:pPr>
      <w:r>
        <w:rPr>
          <w:rStyle w:val="12"/>
          <w:rFonts w:hint="eastAsia"/>
          <w:sz w:val="21"/>
          <w:szCs w:val="21"/>
        </w:rPr>
        <w:t>五、基金资产净值计算和会计核算</w:t>
      </w:r>
    </w:p>
    <w:p>
      <w:pPr>
        <w:pStyle w:val="8"/>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pPr>
        <w:pStyle w:val="8"/>
        <w:spacing w:before="0" w:beforeAutospacing="0" w:after="0" w:afterAutospacing="0" w:line="360" w:lineRule="auto"/>
        <w:ind w:firstLine="420"/>
        <w:rPr>
          <w:sz w:val="21"/>
          <w:szCs w:val="21"/>
        </w:rPr>
      </w:pPr>
      <w:r>
        <w:rPr>
          <w:rFonts w:hint="eastAsia"/>
          <w:sz w:val="21"/>
          <w:szCs w:val="21"/>
        </w:rPr>
        <w:t xml:space="preserve">1.基金资产净值是指基金资产总值减去负债后的价值。各类基金份额净值是按照每个交易日闭市后，各类基金份额的基金资产净值除以当日该类基金份额的余额数量计算，均精确到0.0001元，小数点后第五位四舍五入。国家另有规定的，从其规定。 </w:t>
      </w:r>
    </w:p>
    <w:p>
      <w:pPr>
        <w:pStyle w:val="8"/>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基金管理人每个工作日计算基金资产净值及各类基金份额净值，并按规定公告。 </w:t>
      </w:r>
    </w:p>
    <w:p>
      <w:pPr>
        <w:pStyle w:val="8"/>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对外公布。 </w:t>
      </w:r>
    </w:p>
    <w:p>
      <w:pPr>
        <w:pStyle w:val="8"/>
        <w:spacing w:before="0" w:beforeAutospacing="0" w:after="0" w:afterAutospacing="0" w:line="360" w:lineRule="auto"/>
        <w:ind w:firstLine="420"/>
        <w:rPr>
          <w:sz w:val="21"/>
          <w:szCs w:val="21"/>
        </w:rPr>
      </w:pPr>
      <w:r>
        <w:rPr>
          <w:rStyle w:val="12"/>
          <w:rFonts w:hint="eastAsia"/>
          <w:sz w:val="21"/>
          <w:szCs w:val="21"/>
        </w:rPr>
        <w:t>六、基金份额持有人名册的保管</w:t>
      </w:r>
    </w:p>
    <w:p>
      <w:pPr>
        <w:pStyle w:val="8"/>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 </w:t>
      </w:r>
    </w:p>
    <w:p>
      <w:pPr>
        <w:pStyle w:val="8"/>
        <w:spacing w:before="0" w:beforeAutospacing="0" w:after="0" w:afterAutospacing="0" w:line="360" w:lineRule="auto"/>
        <w:ind w:firstLine="420"/>
        <w:rPr>
          <w:sz w:val="21"/>
          <w:szCs w:val="21"/>
        </w:rPr>
      </w:pPr>
      <w:r>
        <w:rPr>
          <w:rFonts w:hint="eastAsia"/>
          <w:sz w:val="21"/>
          <w:szCs w:val="21"/>
        </w:rPr>
        <w:t xml:space="preserve">在基金托管人要求或编制中期报和年报前，基金管理人应将有关资料送交基金托管人，不得无故拒绝或延误提供，并保证其真实性、准确性和完整性。基金托管人不得将所保管的基金份额持有人名册用于基金托管业务以外的其他用途，并应遵守保密义务。 </w:t>
      </w:r>
    </w:p>
    <w:p>
      <w:pPr>
        <w:pStyle w:val="8"/>
        <w:spacing w:before="0" w:beforeAutospacing="0" w:after="0" w:afterAutospacing="0" w:line="360" w:lineRule="auto"/>
        <w:ind w:firstLine="420"/>
        <w:rPr>
          <w:sz w:val="21"/>
          <w:szCs w:val="21"/>
        </w:rPr>
      </w:pPr>
      <w:r>
        <w:rPr>
          <w:rStyle w:val="12"/>
          <w:rFonts w:hint="eastAsia"/>
          <w:sz w:val="21"/>
          <w:szCs w:val="21"/>
        </w:rPr>
        <w:t>七、争议解决方式</w:t>
      </w:r>
    </w:p>
    <w:p>
      <w:pPr>
        <w:pStyle w:val="8"/>
        <w:spacing w:before="0" w:beforeAutospacing="0" w:after="0" w:afterAutospacing="0" w:line="360" w:lineRule="auto"/>
        <w:ind w:firstLine="420"/>
        <w:rPr>
          <w:sz w:val="21"/>
          <w:szCs w:val="21"/>
        </w:rPr>
      </w:pPr>
      <w:r>
        <w:rPr>
          <w:rFonts w:hint="eastAsia"/>
          <w:sz w:val="21"/>
          <w:szCs w:val="21"/>
        </w:rPr>
        <w:t xml:space="preserve">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律师费用由败诉方承担。 </w:t>
      </w:r>
    </w:p>
    <w:p>
      <w:pPr>
        <w:pStyle w:val="8"/>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pPr>
        <w:pStyle w:val="8"/>
        <w:spacing w:before="0" w:beforeAutospacing="0" w:after="0" w:afterAutospacing="0" w:line="360" w:lineRule="auto"/>
        <w:ind w:firstLine="420"/>
        <w:rPr>
          <w:sz w:val="21"/>
          <w:szCs w:val="21"/>
        </w:rPr>
      </w:pPr>
      <w:r>
        <w:rPr>
          <w:rFonts w:hint="eastAsia"/>
          <w:sz w:val="21"/>
          <w:szCs w:val="21"/>
        </w:rPr>
        <w:t xml:space="preserve">本协议受中国法律管辖。 </w:t>
      </w:r>
    </w:p>
    <w:p>
      <w:pPr>
        <w:pStyle w:val="8"/>
        <w:spacing w:before="0" w:beforeAutospacing="0" w:after="0" w:afterAutospacing="0" w:line="360" w:lineRule="auto"/>
        <w:ind w:firstLine="420"/>
        <w:rPr>
          <w:sz w:val="21"/>
          <w:szCs w:val="21"/>
        </w:rPr>
      </w:pPr>
      <w:r>
        <w:rPr>
          <w:rStyle w:val="12"/>
          <w:rFonts w:hint="eastAsia"/>
          <w:sz w:val="21"/>
          <w:szCs w:val="21"/>
        </w:rPr>
        <w:t>八、基金托管协议的变更、终止</w:t>
      </w:r>
    </w:p>
    <w:p>
      <w:pPr>
        <w:pStyle w:val="8"/>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8"/>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本协议双方当事人经协商一致，可以对协议进行修改。修改后的新协议，其内容不得与《基金合同》的规定有任何冲突。基金托管协议的变更报中国证监会备案。 </w:t>
      </w:r>
    </w:p>
    <w:p>
      <w:pPr>
        <w:pStyle w:val="8"/>
        <w:spacing w:before="0" w:beforeAutospacing="0" w:after="0" w:afterAutospacing="0" w:line="360" w:lineRule="auto"/>
        <w:ind w:firstLine="420"/>
        <w:rPr>
          <w:sz w:val="21"/>
          <w:szCs w:val="21"/>
        </w:rPr>
      </w:pPr>
      <w:r>
        <w:rPr>
          <w:rFonts w:hint="eastAsia"/>
          <w:sz w:val="21"/>
          <w:szCs w:val="21"/>
        </w:rPr>
        <w:t xml:space="preserve">（二）托管协议终止的情形 </w:t>
      </w:r>
    </w:p>
    <w:p>
      <w:pPr>
        <w:pStyle w:val="8"/>
        <w:spacing w:before="0" w:beforeAutospacing="0" w:after="0" w:afterAutospacing="0" w:line="360" w:lineRule="auto"/>
        <w:ind w:firstLine="420"/>
        <w:rPr>
          <w:sz w:val="21"/>
          <w:szCs w:val="21"/>
        </w:rPr>
      </w:pPr>
      <w:r>
        <w:rPr>
          <w:rFonts w:hint="eastAsia"/>
          <w:sz w:val="21"/>
          <w:szCs w:val="21"/>
        </w:rPr>
        <w:t xml:space="preserve">1.《基金合同》终止； </w:t>
      </w:r>
    </w:p>
    <w:p>
      <w:pPr>
        <w:pStyle w:val="8"/>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8"/>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8"/>
        <w:spacing w:before="0" w:beforeAutospacing="0" w:after="0" w:afterAutospacing="0" w:line="360" w:lineRule="auto"/>
        <w:ind w:firstLine="420"/>
        <w:rPr>
          <w:sz w:val="21"/>
          <w:szCs w:val="21"/>
        </w:rPr>
      </w:pPr>
      <w:bookmarkStart w:id="208" w:name="chapter_level1_23_72_section_1_end"/>
      <w:bookmarkEnd w:id="208"/>
      <w:r>
        <w:rPr>
          <w:rFonts w:hint="eastAsia"/>
          <w:sz w:val="21"/>
          <w:szCs w:val="21"/>
        </w:rPr>
        <w:t xml:space="preserve">4.发生法律法规或《基金合同》规定的终止事项。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9" w:name="_Toc207936409"/>
      <w:bookmarkStart w:id="210" w:name="chapter_level1_24_75"/>
      <w:r>
        <w:rPr>
          <w:rFonts w:hint="eastAsia" w:ascii="宋体" w:hAnsi="宋体" w:eastAsia="宋体"/>
          <w:sz w:val="30"/>
        </w:rPr>
        <w:t>第二十一部分  对基金份额持有人的服务</w:t>
      </w:r>
      <w:bookmarkEnd w:id="209"/>
      <w:bookmarkEnd w:id="210"/>
    </w:p>
    <w:p>
      <w:pPr>
        <w:pStyle w:val="8"/>
        <w:spacing w:before="0" w:beforeAutospacing="0" w:after="0" w:afterAutospacing="0" w:line="360" w:lineRule="auto"/>
        <w:ind w:firstLine="420"/>
        <w:rPr>
          <w:sz w:val="21"/>
          <w:szCs w:val="21"/>
        </w:rPr>
      </w:pPr>
      <w:bookmarkStart w:id="211" w:name="chapter_level1_24_75_section_1"/>
      <w:bookmarkEnd w:id="211"/>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8"/>
        <w:spacing w:before="0" w:beforeAutospacing="0" w:after="0" w:afterAutospacing="0" w:line="360" w:lineRule="auto"/>
        <w:ind w:firstLine="420"/>
        <w:rPr>
          <w:sz w:val="21"/>
          <w:szCs w:val="21"/>
        </w:rPr>
      </w:pPr>
      <w:r>
        <w:rPr>
          <w:rStyle w:val="12"/>
          <w:rFonts w:hint="eastAsia"/>
          <w:sz w:val="21"/>
          <w:szCs w:val="21"/>
        </w:rPr>
        <w:t>一、持有人交易资料的寄送服务</w:t>
      </w:r>
    </w:p>
    <w:p>
      <w:pPr>
        <w:pStyle w:val="8"/>
        <w:spacing w:before="0" w:beforeAutospacing="0" w:after="0" w:afterAutospacing="0" w:line="360" w:lineRule="auto"/>
        <w:ind w:firstLine="420"/>
        <w:rPr>
          <w:sz w:val="21"/>
          <w:szCs w:val="21"/>
        </w:rPr>
      </w:pPr>
      <w:r>
        <w:rPr>
          <w:rFonts w:hint="eastAsia"/>
          <w:sz w:val="21"/>
          <w:szCs w:val="21"/>
        </w:rPr>
        <w:t xml:space="preserve">1、交易确认单 </w:t>
      </w:r>
    </w:p>
    <w:p>
      <w:pPr>
        <w:pStyle w:val="8"/>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8"/>
        <w:spacing w:before="0" w:beforeAutospacing="0" w:after="0" w:afterAutospacing="0" w:line="360" w:lineRule="auto"/>
        <w:ind w:firstLine="420"/>
        <w:rPr>
          <w:sz w:val="21"/>
          <w:szCs w:val="21"/>
        </w:rPr>
      </w:pPr>
      <w:r>
        <w:rPr>
          <w:rFonts w:hint="eastAsia"/>
          <w:sz w:val="21"/>
          <w:szCs w:val="21"/>
        </w:rPr>
        <w:t xml:space="preserve">2、电子对账单 </w:t>
      </w:r>
    </w:p>
    <w:p>
      <w:pPr>
        <w:pStyle w:val="8"/>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8"/>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r>
        <w:rPr>
          <w:rFonts w:hint="eastAsia"/>
          <w:sz w:val="21"/>
          <w:szCs w:val="21"/>
        </w:rPr>
        <w:t xml:space="preserve">；也可直接拨打博时一线通95105568（免长途话费）订阅。 </w:t>
      </w:r>
    </w:p>
    <w:p>
      <w:pPr>
        <w:pStyle w:val="8"/>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8"/>
        <w:spacing w:before="0" w:beforeAutospacing="0" w:after="0" w:afterAutospacing="0" w:line="360" w:lineRule="auto"/>
        <w:ind w:firstLine="420"/>
        <w:rPr>
          <w:sz w:val="21"/>
          <w:szCs w:val="21"/>
        </w:rPr>
      </w:pPr>
      <w:r>
        <w:rPr>
          <w:rStyle w:val="12"/>
          <w:rFonts w:hint="eastAsia"/>
          <w:sz w:val="21"/>
          <w:szCs w:val="21"/>
        </w:rPr>
        <w:t>二、网上理财服务</w:t>
      </w:r>
    </w:p>
    <w:p>
      <w:pPr>
        <w:pStyle w:val="8"/>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8"/>
        <w:spacing w:before="0" w:beforeAutospacing="0" w:after="0" w:afterAutospacing="0" w:line="360" w:lineRule="auto"/>
        <w:ind w:firstLine="420"/>
        <w:rPr>
          <w:sz w:val="21"/>
          <w:szCs w:val="21"/>
        </w:rPr>
      </w:pPr>
      <w:r>
        <w:rPr>
          <w:rFonts w:hint="eastAsia"/>
          <w:sz w:val="21"/>
          <w:szCs w:val="21"/>
        </w:rPr>
        <w:t xml:space="preserve">1、自助开户交易 </w:t>
      </w:r>
    </w:p>
    <w:p>
      <w:pPr>
        <w:pStyle w:val="8"/>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8"/>
        <w:spacing w:before="0" w:beforeAutospacing="0" w:after="0" w:afterAutospacing="0" w:line="360" w:lineRule="auto"/>
        <w:ind w:firstLine="420"/>
        <w:rPr>
          <w:sz w:val="21"/>
          <w:szCs w:val="21"/>
        </w:rPr>
      </w:pPr>
      <w:r>
        <w:rPr>
          <w:rFonts w:hint="eastAsia"/>
          <w:sz w:val="21"/>
          <w:szCs w:val="21"/>
        </w:rPr>
        <w:t xml:space="preserve">2、查询服务 </w:t>
      </w:r>
    </w:p>
    <w:p>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8"/>
        <w:spacing w:before="0" w:beforeAutospacing="0" w:after="0" w:afterAutospacing="0" w:line="360" w:lineRule="auto"/>
        <w:ind w:firstLine="420"/>
        <w:rPr>
          <w:sz w:val="21"/>
          <w:szCs w:val="21"/>
        </w:rPr>
      </w:pPr>
      <w:r>
        <w:rPr>
          <w:rFonts w:hint="eastAsia"/>
          <w:sz w:val="21"/>
          <w:szCs w:val="21"/>
        </w:rPr>
        <w:t xml:space="preserve">3、信息资讯服务 </w:t>
      </w:r>
    </w:p>
    <w:p>
      <w:pPr>
        <w:pStyle w:val="8"/>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8"/>
        <w:spacing w:before="0" w:beforeAutospacing="0" w:after="0" w:afterAutospacing="0" w:line="360" w:lineRule="auto"/>
        <w:ind w:firstLine="420"/>
        <w:rPr>
          <w:sz w:val="21"/>
          <w:szCs w:val="21"/>
        </w:rPr>
      </w:pPr>
      <w:r>
        <w:rPr>
          <w:rFonts w:hint="eastAsia"/>
          <w:sz w:val="21"/>
          <w:szCs w:val="21"/>
        </w:rPr>
        <w:t xml:space="preserve">4、在线客服 </w:t>
      </w:r>
    </w:p>
    <w:p>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8"/>
        <w:spacing w:before="0" w:beforeAutospacing="0" w:after="0" w:afterAutospacing="0" w:line="360" w:lineRule="auto"/>
        <w:ind w:firstLine="420"/>
        <w:rPr>
          <w:sz w:val="21"/>
          <w:szCs w:val="21"/>
        </w:rPr>
      </w:pPr>
      <w:r>
        <w:rPr>
          <w:rStyle w:val="12"/>
          <w:rFonts w:hint="eastAsia"/>
          <w:sz w:val="21"/>
          <w:szCs w:val="21"/>
        </w:rPr>
        <w:t>三、短信服务</w:t>
      </w:r>
    </w:p>
    <w:p>
      <w:pPr>
        <w:pStyle w:val="8"/>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8"/>
        <w:spacing w:before="0" w:beforeAutospacing="0" w:after="0" w:afterAutospacing="0" w:line="360" w:lineRule="auto"/>
        <w:ind w:firstLine="420"/>
        <w:rPr>
          <w:sz w:val="21"/>
          <w:szCs w:val="21"/>
        </w:rPr>
      </w:pPr>
      <w:r>
        <w:rPr>
          <w:rStyle w:val="12"/>
          <w:rFonts w:hint="eastAsia"/>
          <w:sz w:val="21"/>
          <w:szCs w:val="21"/>
        </w:rPr>
        <w:t>四、电子邮件服务</w:t>
      </w:r>
    </w:p>
    <w:p>
      <w:pPr>
        <w:pStyle w:val="8"/>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8"/>
        <w:spacing w:before="0" w:beforeAutospacing="0" w:after="0" w:afterAutospacing="0" w:line="360" w:lineRule="auto"/>
        <w:ind w:firstLine="420"/>
        <w:rPr>
          <w:sz w:val="21"/>
          <w:szCs w:val="21"/>
        </w:rPr>
      </w:pPr>
      <w:r>
        <w:rPr>
          <w:rStyle w:val="12"/>
          <w:rFonts w:hint="eastAsia"/>
          <w:sz w:val="21"/>
          <w:szCs w:val="21"/>
        </w:rPr>
        <w:t>五、手机理财服务</w:t>
      </w:r>
    </w:p>
    <w:p>
      <w:pPr>
        <w:pStyle w:val="8"/>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8"/>
        <w:spacing w:before="0" w:beforeAutospacing="0" w:after="0" w:afterAutospacing="0" w:line="360" w:lineRule="auto"/>
        <w:ind w:firstLine="420"/>
        <w:rPr>
          <w:sz w:val="21"/>
          <w:szCs w:val="21"/>
        </w:rPr>
      </w:pPr>
      <w:r>
        <w:rPr>
          <w:rStyle w:val="12"/>
          <w:rFonts w:hint="eastAsia"/>
          <w:sz w:val="21"/>
          <w:szCs w:val="21"/>
        </w:rPr>
        <w:t>六、信息订阅服务</w:t>
      </w:r>
    </w:p>
    <w:p>
      <w:pPr>
        <w:pStyle w:val="8"/>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8"/>
        <w:spacing w:before="0" w:beforeAutospacing="0" w:after="0" w:afterAutospacing="0" w:line="360" w:lineRule="auto"/>
        <w:ind w:firstLine="420"/>
        <w:rPr>
          <w:sz w:val="21"/>
          <w:szCs w:val="21"/>
        </w:rPr>
      </w:pPr>
      <w:r>
        <w:rPr>
          <w:rStyle w:val="12"/>
          <w:rFonts w:hint="eastAsia"/>
          <w:sz w:val="21"/>
          <w:szCs w:val="21"/>
        </w:rPr>
        <w:t>七、电话理财服务</w:t>
      </w:r>
    </w:p>
    <w:p>
      <w:pPr>
        <w:pStyle w:val="8"/>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8"/>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8"/>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8"/>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8"/>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8"/>
        <w:spacing w:before="0" w:beforeAutospacing="0" w:after="0" w:afterAutospacing="0" w:line="360" w:lineRule="auto"/>
        <w:ind w:firstLine="420"/>
        <w:rPr>
          <w:sz w:val="21"/>
          <w:szCs w:val="21"/>
        </w:rPr>
      </w:pPr>
      <w:r>
        <w:rPr>
          <w:rStyle w:val="12"/>
          <w:rFonts w:hint="eastAsia"/>
          <w:sz w:val="21"/>
          <w:szCs w:val="21"/>
        </w:rPr>
        <w:t>八、基金管理人联系方式</w:t>
      </w:r>
    </w:p>
    <w:p>
      <w:pPr>
        <w:pStyle w:val="8"/>
        <w:spacing w:before="0" w:beforeAutospacing="0" w:after="0" w:afterAutospacing="0" w:line="360" w:lineRule="auto"/>
        <w:ind w:firstLine="420"/>
        <w:rPr>
          <w:sz w:val="21"/>
          <w:szCs w:val="21"/>
        </w:rPr>
      </w:pPr>
      <w:r>
        <w:rPr>
          <w:rFonts w:hint="eastAsia"/>
          <w:sz w:val="21"/>
          <w:szCs w:val="21"/>
        </w:rPr>
        <w:t xml:space="preserve">公司网址：www.bosera.com </w:t>
      </w:r>
    </w:p>
    <w:p>
      <w:pPr>
        <w:pStyle w:val="8"/>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3"/>
          <w:rFonts w:hint="eastAsia"/>
          <w:sz w:val="21"/>
          <w:szCs w:val="21"/>
        </w:rPr>
        <w:t>service@bosera.com</w:t>
      </w:r>
      <w:r>
        <w:rPr>
          <w:rStyle w:val="13"/>
          <w:rFonts w:hint="eastAsia"/>
          <w:sz w:val="21"/>
          <w:szCs w:val="21"/>
        </w:rPr>
        <w:fldChar w:fldCharType="end"/>
      </w:r>
    </w:p>
    <w:p>
      <w:pPr>
        <w:pStyle w:val="8"/>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8"/>
        <w:spacing w:before="0" w:beforeAutospacing="0" w:after="0" w:afterAutospacing="0" w:line="360" w:lineRule="auto"/>
        <w:ind w:firstLine="420"/>
        <w:rPr>
          <w:sz w:val="21"/>
          <w:szCs w:val="21"/>
        </w:rPr>
      </w:pPr>
      <w:r>
        <w:rPr>
          <w:rStyle w:val="12"/>
          <w:rFonts w:hint="eastAsia"/>
          <w:sz w:val="21"/>
          <w:szCs w:val="21"/>
        </w:rPr>
        <w:t>九、如本招募说明书存在任何您/贵机构无法理解的内容，请通过上述方式联系基金管</w:t>
      </w:r>
      <w:bookmarkStart w:id="212" w:name="chapter_level1_24_75_section_1_end"/>
      <w:bookmarkEnd w:id="212"/>
      <w:r>
        <w:rPr>
          <w:rStyle w:val="12"/>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3" w:name="_Toc207936410"/>
      <w:bookmarkStart w:id="214" w:name="chapter_level1_25_3499"/>
      <w:r>
        <w:rPr>
          <w:rFonts w:hint="eastAsia" w:ascii="宋体" w:hAnsi="宋体" w:eastAsia="宋体"/>
          <w:sz w:val="30"/>
        </w:rPr>
        <w:t>第二十二部分 其他应披露的事项</w:t>
      </w:r>
      <w:bookmarkEnd w:id="213"/>
      <w:bookmarkEnd w:id="214"/>
    </w:p>
    <w:p>
      <w:pPr>
        <w:pStyle w:val="8"/>
        <w:spacing w:before="0" w:beforeAutospacing="0" w:after="0" w:afterAutospacing="0" w:line="360" w:lineRule="auto"/>
        <w:ind w:firstLine="420"/>
        <w:rPr>
          <w:sz w:val="21"/>
          <w:szCs w:val="21"/>
        </w:rPr>
      </w:pPr>
      <w:bookmarkStart w:id="215" w:name="field_0_bsrevealinfo_1_start"/>
      <w:bookmarkEnd w:id="215"/>
      <w:bookmarkStart w:id="216" w:name="chapter_level1_25_3499_section_1"/>
      <w:bookmarkEnd w:id="216"/>
      <w:r>
        <w:rPr>
          <w:rFonts w:hint="eastAsia"/>
          <w:sz w:val="21"/>
          <w:szCs w:val="21"/>
        </w:rPr>
        <w:t>（一）、2025年8月29日，我公司公告了《博时智臻纯债债券型证券投资基金2025年中期报告》；</w:t>
      </w:r>
    </w:p>
    <w:p>
      <w:pPr>
        <w:pStyle w:val="8"/>
        <w:spacing w:before="0" w:beforeAutospacing="0" w:after="0" w:afterAutospacing="0" w:line="360" w:lineRule="auto"/>
        <w:ind w:firstLine="420"/>
        <w:rPr>
          <w:sz w:val="21"/>
          <w:szCs w:val="21"/>
        </w:rPr>
      </w:pPr>
      <w:r>
        <w:rPr>
          <w:rFonts w:hint="eastAsia"/>
          <w:sz w:val="21"/>
          <w:szCs w:val="21"/>
        </w:rPr>
        <w:t>（二）、2025年8月1日，我公司公告了《博时智臻纯债债券型证券投资基金（博时智臻纯债债券A）基金产品资料概要更新》、《博时智臻纯债债券型证券投资基金（博时智臻纯债债券C）基金产品资料概要更新》；</w:t>
      </w:r>
    </w:p>
    <w:p>
      <w:pPr>
        <w:pStyle w:val="8"/>
        <w:spacing w:before="0" w:beforeAutospacing="0" w:after="0" w:afterAutospacing="0" w:line="360" w:lineRule="auto"/>
        <w:ind w:firstLine="420"/>
        <w:rPr>
          <w:sz w:val="21"/>
          <w:szCs w:val="21"/>
        </w:rPr>
      </w:pPr>
      <w:r>
        <w:rPr>
          <w:rFonts w:hint="eastAsia"/>
          <w:sz w:val="21"/>
          <w:szCs w:val="21"/>
        </w:rPr>
        <w:t>（三）、2025年7月31日，我公司公告了《博时基金管理有限公司关于博时智臻纯债债券型证券投资基金的基金经理变更的公告》、《博时智臻纯债债券型证券投资基金更新招募说明书》；</w:t>
      </w:r>
    </w:p>
    <w:p>
      <w:pPr>
        <w:pStyle w:val="8"/>
        <w:spacing w:before="0" w:beforeAutospacing="0" w:after="0" w:afterAutospacing="0" w:line="360" w:lineRule="auto"/>
        <w:ind w:firstLine="420"/>
        <w:rPr>
          <w:sz w:val="21"/>
          <w:szCs w:val="21"/>
        </w:rPr>
      </w:pPr>
      <w:r>
        <w:rPr>
          <w:rFonts w:hint="eastAsia"/>
          <w:sz w:val="21"/>
          <w:szCs w:val="21"/>
        </w:rPr>
        <w:t>（四）、2025年7月21日，我公司公告了《博时智臻纯债债券型证券投资基金2025年第2季度报告》；</w:t>
      </w:r>
    </w:p>
    <w:p>
      <w:pPr>
        <w:pStyle w:val="8"/>
        <w:spacing w:before="0" w:beforeAutospacing="0" w:after="0" w:afterAutospacing="0" w:line="360" w:lineRule="auto"/>
        <w:ind w:firstLine="420"/>
        <w:rPr>
          <w:sz w:val="21"/>
          <w:szCs w:val="21"/>
        </w:rPr>
      </w:pPr>
      <w:r>
        <w:rPr>
          <w:rFonts w:hint="eastAsia"/>
          <w:sz w:val="21"/>
          <w:szCs w:val="21"/>
        </w:rPr>
        <w:t>（五）、2025年6月26日，我公司公告了《博时智臻纯债债券型证券投资基金（博时智臻纯债债券C）基金产品资料概要更新》、《博时智臻纯债债券型证券投资基金（博时智臻纯债债券A）基金产品资料概要更新》；</w:t>
      </w:r>
    </w:p>
    <w:p>
      <w:pPr>
        <w:pStyle w:val="8"/>
        <w:spacing w:before="0" w:beforeAutospacing="0" w:after="0" w:afterAutospacing="0" w:line="360" w:lineRule="auto"/>
        <w:ind w:firstLine="420"/>
        <w:rPr>
          <w:sz w:val="21"/>
          <w:szCs w:val="21"/>
        </w:rPr>
      </w:pPr>
      <w:r>
        <w:rPr>
          <w:rFonts w:hint="eastAsia"/>
          <w:sz w:val="21"/>
          <w:szCs w:val="21"/>
        </w:rPr>
        <w:t>（六）、2025年6月6日，我公司公告了《博时基金管理有限公司关于旗下基金持有的长期停牌股票调整估值方法的公告-20250606》；</w:t>
      </w:r>
    </w:p>
    <w:p>
      <w:pPr>
        <w:pStyle w:val="8"/>
        <w:spacing w:before="0" w:beforeAutospacing="0" w:after="0" w:afterAutospacing="0" w:line="360" w:lineRule="auto"/>
        <w:ind w:firstLine="420"/>
        <w:rPr>
          <w:sz w:val="21"/>
          <w:szCs w:val="21"/>
        </w:rPr>
      </w:pPr>
      <w:r>
        <w:rPr>
          <w:rFonts w:hint="eastAsia"/>
          <w:sz w:val="21"/>
          <w:szCs w:val="21"/>
        </w:rPr>
        <w:t>（七）、2025年6月3日，我公司公告了《博时基金管理有限公司关于旗下基金持有的长期停牌股票调整估值方法的公告-20250603》；</w:t>
      </w:r>
    </w:p>
    <w:p>
      <w:pPr>
        <w:pStyle w:val="8"/>
        <w:spacing w:before="0" w:beforeAutospacing="0" w:after="0" w:afterAutospacing="0" w:line="360" w:lineRule="auto"/>
        <w:ind w:firstLine="420"/>
        <w:rPr>
          <w:sz w:val="21"/>
          <w:szCs w:val="21"/>
        </w:rPr>
      </w:pPr>
      <w:r>
        <w:rPr>
          <w:rFonts w:hint="eastAsia"/>
          <w:sz w:val="21"/>
          <w:szCs w:val="21"/>
        </w:rPr>
        <w:t>（八）、2025年4月22日，我公司公告了《博时智臻纯债债券型证券投资基金2025年第1季度报告》；</w:t>
      </w:r>
    </w:p>
    <w:p>
      <w:pPr>
        <w:pStyle w:val="8"/>
        <w:spacing w:before="0" w:beforeAutospacing="0" w:after="0" w:afterAutospacing="0" w:line="360" w:lineRule="auto"/>
        <w:ind w:firstLine="420"/>
        <w:rPr>
          <w:sz w:val="21"/>
          <w:szCs w:val="21"/>
        </w:rPr>
      </w:pPr>
      <w:r>
        <w:rPr>
          <w:rFonts w:hint="eastAsia"/>
          <w:sz w:val="21"/>
          <w:szCs w:val="21"/>
        </w:rPr>
        <w:t>（九）、2025年4月8日，我公司公告了《博时基金管理有限公司关于运用公司固有资金投资旗下公募基金的公告》、《博时基金管理有限公司关于旗下基金持有的长期停牌股票调整估值方法的公告-20250408》；</w:t>
      </w:r>
    </w:p>
    <w:p>
      <w:pPr>
        <w:pStyle w:val="8"/>
        <w:spacing w:before="0" w:beforeAutospacing="0" w:after="0" w:afterAutospacing="0" w:line="360" w:lineRule="auto"/>
        <w:ind w:firstLine="420"/>
        <w:rPr>
          <w:sz w:val="21"/>
          <w:szCs w:val="21"/>
        </w:rPr>
      </w:pPr>
      <w:r>
        <w:rPr>
          <w:rFonts w:hint="eastAsia"/>
          <w:sz w:val="21"/>
          <w:szCs w:val="21"/>
        </w:rPr>
        <w:t>（十）、2025年3月31日，我公司公告了《博时基金管理有限公司旗下公募基金通过证券公司证券交易及佣金支付情况（2024年度）》、《博时智臻纯债债券型证券投资基金2024年年度报告》；</w:t>
      </w:r>
    </w:p>
    <w:p>
      <w:pPr>
        <w:pStyle w:val="8"/>
        <w:spacing w:before="0" w:beforeAutospacing="0" w:after="0" w:afterAutospacing="0" w:line="360" w:lineRule="auto"/>
        <w:ind w:firstLine="420"/>
        <w:rPr>
          <w:sz w:val="21"/>
          <w:szCs w:val="21"/>
        </w:rPr>
      </w:pPr>
      <w:r>
        <w:rPr>
          <w:rFonts w:hint="eastAsia"/>
          <w:sz w:val="21"/>
          <w:szCs w:val="21"/>
        </w:rPr>
        <w:t>（十一）、2025年3月25日，我公司公告了《博时基金管理有限公司关于旗下基金持有的长期停牌股票调整估值方法的公告-20250325》；</w:t>
      </w:r>
    </w:p>
    <w:p>
      <w:pPr>
        <w:pStyle w:val="8"/>
        <w:spacing w:before="0" w:beforeAutospacing="0" w:after="0" w:afterAutospacing="0" w:line="360" w:lineRule="auto"/>
        <w:ind w:firstLine="420"/>
        <w:rPr>
          <w:sz w:val="21"/>
          <w:szCs w:val="21"/>
        </w:rPr>
      </w:pPr>
      <w:r>
        <w:rPr>
          <w:rFonts w:hint="eastAsia"/>
          <w:sz w:val="21"/>
          <w:szCs w:val="21"/>
        </w:rPr>
        <w:t>（十二）、2025年1月22日，我公司公告了《博时智臻纯债债券型证券投资基金2024年第4季度报告》；</w:t>
      </w:r>
    </w:p>
    <w:p>
      <w:pPr>
        <w:pStyle w:val="8"/>
        <w:spacing w:before="0" w:beforeAutospacing="0" w:after="0" w:afterAutospacing="0" w:line="360" w:lineRule="auto"/>
        <w:ind w:firstLine="420"/>
        <w:rPr>
          <w:sz w:val="21"/>
          <w:szCs w:val="21"/>
        </w:rPr>
      </w:pPr>
      <w:r>
        <w:rPr>
          <w:rFonts w:hint="eastAsia"/>
          <w:sz w:val="21"/>
          <w:szCs w:val="21"/>
        </w:rPr>
        <w:t>（十三）、2024年12月27日，我公司公告了《博时基金管理有限公司关于旗下193只基金改聘会计师事务所的公告》；</w:t>
      </w:r>
    </w:p>
    <w:p>
      <w:pPr>
        <w:pStyle w:val="8"/>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pPr>
        <w:pStyle w:val="8"/>
        <w:spacing w:before="0" w:beforeAutospacing="0" w:after="0" w:afterAutospacing="0" w:line="360" w:lineRule="auto"/>
        <w:ind w:firstLine="420"/>
        <w:rPr>
          <w:sz w:val="21"/>
          <w:szCs w:val="21"/>
        </w:rPr>
      </w:pPr>
      <w:r>
        <w:rPr>
          <w:rFonts w:hint="eastAsia"/>
          <w:sz w:val="21"/>
          <w:szCs w:val="21"/>
        </w:rPr>
        <w:t>（十五）、2024年12月6日，我公司公告了《博时智臻纯债债券型证券投资基金（博时智臻纯债债券A）基金产品资料概要更新》、《博时智臻纯债债券型证券投资基金（博时智臻纯债债券C）基金产品资料概要更新》；</w:t>
      </w:r>
    </w:p>
    <w:p>
      <w:pPr>
        <w:pStyle w:val="8"/>
        <w:spacing w:before="0" w:beforeAutospacing="0" w:after="0" w:afterAutospacing="0" w:line="360" w:lineRule="auto"/>
        <w:ind w:firstLine="420"/>
        <w:rPr>
          <w:sz w:val="21"/>
          <w:szCs w:val="21"/>
        </w:rPr>
      </w:pPr>
      <w:r>
        <w:rPr>
          <w:rFonts w:hint="eastAsia"/>
          <w:sz w:val="21"/>
          <w:szCs w:val="21"/>
        </w:rPr>
        <w:t>（十六）、2024年12月5日，我公司公告了《博时基金管理有限公司关于博时智臻纯债债券型证券投资基金的基金经理变更的公告》、《博时智臻纯债债券型证券投资基金更新招募说明书》；</w:t>
      </w:r>
    </w:p>
    <w:p>
      <w:pPr>
        <w:pStyle w:val="8"/>
        <w:spacing w:before="0" w:beforeAutospacing="0" w:after="0" w:afterAutospacing="0" w:line="360" w:lineRule="auto"/>
        <w:ind w:firstLine="420"/>
        <w:rPr>
          <w:sz w:val="21"/>
          <w:szCs w:val="21"/>
        </w:rPr>
      </w:pPr>
      <w:r>
        <w:rPr>
          <w:rFonts w:hint="eastAsia"/>
          <w:sz w:val="21"/>
          <w:szCs w:val="21"/>
        </w:rPr>
        <w:t>（十七）、2024年11月18日，我公司公告了《博时基金管理有限公司关于终止乾道基金销售有限公司办理旗下基金销售业务的公告》；</w:t>
      </w:r>
    </w:p>
    <w:p>
      <w:pPr>
        <w:pStyle w:val="8"/>
        <w:spacing w:before="0" w:beforeAutospacing="0" w:after="0" w:afterAutospacing="0" w:line="360" w:lineRule="auto"/>
        <w:ind w:firstLine="420"/>
        <w:rPr>
          <w:sz w:val="21"/>
          <w:szCs w:val="21"/>
        </w:rPr>
      </w:pPr>
      <w:r>
        <w:rPr>
          <w:rFonts w:hint="eastAsia"/>
          <w:sz w:val="21"/>
          <w:szCs w:val="21"/>
        </w:rPr>
        <w:t>（十八）、2024年11月7日，我公司公告了《博时基金管理有限公司关于博时智臻纯债债券型证券投资基金可能触发基金合同终止情形的提示性公告》；</w:t>
      </w:r>
    </w:p>
    <w:p>
      <w:pPr>
        <w:pStyle w:val="8"/>
        <w:spacing w:before="0" w:beforeAutospacing="0" w:after="0" w:afterAutospacing="0" w:line="360" w:lineRule="auto"/>
        <w:ind w:firstLine="420"/>
        <w:rPr>
          <w:sz w:val="21"/>
          <w:szCs w:val="21"/>
        </w:rPr>
      </w:pPr>
      <w:r>
        <w:rPr>
          <w:rFonts w:hint="eastAsia"/>
          <w:sz w:val="21"/>
          <w:szCs w:val="21"/>
        </w:rPr>
        <w:t>（十九）、2024年11月6日，我公司公告了《博时基金管理有限公司关于旗下基金持有的长期停牌股票调整估值方法的公告-20241106》；</w:t>
      </w:r>
    </w:p>
    <w:p>
      <w:pPr>
        <w:pStyle w:val="8"/>
        <w:spacing w:before="0" w:beforeAutospacing="0" w:after="0" w:afterAutospacing="0" w:line="360" w:lineRule="auto"/>
        <w:ind w:firstLine="420"/>
        <w:rPr>
          <w:sz w:val="21"/>
          <w:szCs w:val="21"/>
        </w:rPr>
      </w:pPr>
      <w:r>
        <w:rPr>
          <w:rFonts w:hint="eastAsia"/>
          <w:sz w:val="21"/>
          <w:szCs w:val="21"/>
        </w:rPr>
        <w:t>（二十）、2024年10月25日，我公司公告了《博时智臻纯债债券型证券投资基金2024年第3季度报告》；</w:t>
      </w:r>
    </w:p>
    <w:p>
      <w:pPr>
        <w:pStyle w:val="8"/>
        <w:spacing w:before="0" w:beforeAutospacing="0" w:after="0" w:afterAutospacing="0" w:line="360" w:lineRule="auto"/>
        <w:ind w:firstLine="420"/>
        <w:rPr>
          <w:sz w:val="21"/>
          <w:szCs w:val="21"/>
        </w:rPr>
      </w:pPr>
      <w:r>
        <w:rPr>
          <w:rFonts w:hint="eastAsia"/>
          <w:sz w:val="21"/>
          <w:szCs w:val="21"/>
        </w:rPr>
        <w:t>（二十一）、2024年10月24日，我公司公告了《博时基金管理有限公司关于博时智臻纯债债券型证券投资基金可能触发基金合同终止情形的提示性公告》；</w:t>
      </w:r>
    </w:p>
    <w:p>
      <w:pPr>
        <w:pStyle w:val="8"/>
        <w:spacing w:before="0" w:beforeAutospacing="0" w:after="0" w:afterAutospacing="0" w:line="360" w:lineRule="auto"/>
        <w:ind w:firstLine="420"/>
        <w:rPr>
          <w:sz w:val="21"/>
          <w:szCs w:val="21"/>
        </w:rPr>
      </w:pPr>
      <w:r>
        <w:rPr>
          <w:rFonts w:hint="eastAsia"/>
          <w:sz w:val="21"/>
          <w:szCs w:val="21"/>
        </w:rPr>
        <w:t>（二十二）、2024年9月30日，我公司公告了《博时智臻纯债债券型证券投资基金更新招募说明书》；</w:t>
      </w:r>
    </w:p>
    <w:p>
      <w:pPr>
        <w:pStyle w:val="8"/>
        <w:spacing w:before="0" w:beforeAutospacing="0" w:after="0" w:afterAutospacing="0" w:line="360" w:lineRule="auto"/>
        <w:ind w:firstLine="420"/>
        <w:rPr>
          <w:sz w:val="21"/>
          <w:szCs w:val="21"/>
        </w:rPr>
      </w:pPr>
      <w:r>
        <w:rPr>
          <w:rFonts w:hint="eastAsia"/>
          <w:sz w:val="21"/>
          <w:szCs w:val="21"/>
        </w:rPr>
        <w:t>（二十三）、2024年9月25日，我公司公告了《博时基金管理有限公司关于旗下基金持有的长期停牌股票调整估值方法的公告-20240925》；</w:t>
      </w:r>
    </w:p>
    <w:p>
      <w:pPr>
        <w:pStyle w:val="8"/>
        <w:spacing w:before="0" w:beforeAutospacing="0" w:after="0" w:afterAutospacing="0" w:line="360" w:lineRule="auto"/>
        <w:ind w:firstLine="420"/>
        <w:rPr>
          <w:sz w:val="21"/>
          <w:szCs w:val="21"/>
        </w:rPr>
      </w:pPr>
      <w:r>
        <w:rPr>
          <w:rFonts w:hint="eastAsia"/>
          <w:sz w:val="21"/>
          <w:szCs w:val="21"/>
        </w:rPr>
        <w:t>（二十四）、2024年9月21日，我公司公告了《博时智臻纯债债券型证券投资基金（博时智臻纯债债券A）基金产品资料概要更新》、《博时智臻纯债债券型证券投资基金（博时智臻纯债债券C）基金产品资料概要更新》、《博时基金管理有限公司关于董事会成员变更的公告》；</w:t>
      </w:r>
    </w:p>
    <w:p>
      <w:pPr>
        <w:pStyle w:val="8"/>
        <w:spacing w:before="0" w:beforeAutospacing="0" w:after="0" w:afterAutospacing="0" w:line="360" w:lineRule="auto"/>
        <w:ind w:firstLine="420"/>
        <w:rPr>
          <w:sz w:val="21"/>
          <w:szCs w:val="21"/>
        </w:rPr>
      </w:pPr>
      <w:r>
        <w:rPr>
          <w:rFonts w:hint="eastAsia"/>
          <w:sz w:val="21"/>
          <w:szCs w:val="21"/>
        </w:rPr>
        <w:t>（二十五）、2024年9月20日，我公司公告了《博时智臻纯债债券型证券投资基金更新招募说明书》、《博时基金管理有限公司关于博时智臻纯债债券型证券投资基金的基金经</w:t>
      </w:r>
      <w:bookmarkStart w:id="217" w:name="chapter_level1_25_3499_section_1_end"/>
      <w:bookmarkEnd w:id="217"/>
      <w:r>
        <w:rPr>
          <w:rFonts w:hint="eastAsia"/>
          <w:sz w:val="21"/>
          <w:szCs w:val="21"/>
        </w:rPr>
        <w:t>理变更的公告》。</w:t>
      </w:r>
      <w:bookmarkStart w:id="218" w:name="field_0_bsrevealinfo_1_end"/>
      <w:bookmarkEnd w:id="21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9" w:name="chapter_level1_26_77"/>
      <w:bookmarkStart w:id="220" w:name="_Toc207936411"/>
      <w:r>
        <w:rPr>
          <w:rFonts w:hint="eastAsia" w:ascii="宋体" w:hAnsi="宋体" w:eastAsia="宋体"/>
          <w:sz w:val="30"/>
        </w:rPr>
        <w:t>第二十三部分  招募说明书存放及查阅方式</w:t>
      </w:r>
      <w:bookmarkEnd w:id="219"/>
      <w:bookmarkEnd w:id="220"/>
    </w:p>
    <w:p>
      <w:pPr>
        <w:pStyle w:val="8"/>
        <w:spacing w:before="0" w:beforeAutospacing="0" w:after="0" w:afterAutospacing="0" w:line="360" w:lineRule="auto"/>
        <w:ind w:firstLine="420"/>
        <w:rPr>
          <w:sz w:val="21"/>
          <w:szCs w:val="21"/>
        </w:rPr>
      </w:pPr>
      <w:bookmarkStart w:id="221" w:name="chapter_level1_26_77_section_1"/>
      <w:bookmarkEnd w:id="221"/>
      <w:r>
        <w:rPr>
          <w:rFonts w:hint="eastAsia"/>
          <w:sz w:val="21"/>
          <w:szCs w:val="21"/>
        </w:rPr>
        <w:t xml:space="preserve">依法必须披露的信息发布后，基金管理人、基金托管人应当按照相关法律法规规定将信息置备于公司住所，以供公众查阅、复制；投资人在支付工本费后，可在合理时间内取得上述文件复制件或复印件。对投资人按此种方式所获得的文件及其复印件，基金管理人保证文本的内容与所公告的内容完全一致。   </w:t>
      </w:r>
    </w:p>
    <w:p>
      <w:pPr>
        <w:pStyle w:val="8"/>
        <w:spacing w:before="0" w:beforeAutospacing="0" w:after="0" w:afterAutospacing="0" w:line="360" w:lineRule="auto"/>
        <w:ind w:firstLine="420"/>
        <w:rPr>
          <w:sz w:val="21"/>
          <w:szCs w:val="21"/>
        </w:rPr>
      </w:pPr>
      <w:bookmarkStart w:id="222" w:name="chapter_level1_26_77_section_1_end"/>
      <w:bookmarkEnd w:id="222"/>
      <w:r>
        <w:rPr>
          <w:rFonts w:hint="eastAsia"/>
          <w:sz w:val="21"/>
          <w:szCs w:val="21"/>
        </w:rPr>
        <w:t xml:space="preserve">投资人还可以直接登录基金管理人的网站（www.bosera.com）查阅和下载招募说明书。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3" w:name="_Toc207936412"/>
      <w:bookmarkStart w:id="224" w:name="chapter_level1_27_332"/>
      <w:r>
        <w:rPr>
          <w:rFonts w:hint="eastAsia" w:ascii="宋体" w:hAnsi="宋体" w:eastAsia="宋体"/>
          <w:sz w:val="30"/>
        </w:rPr>
        <w:t>第二十四部分  备查文件</w:t>
      </w:r>
      <w:bookmarkEnd w:id="223"/>
      <w:bookmarkEnd w:id="224"/>
    </w:p>
    <w:p>
      <w:pPr>
        <w:pStyle w:val="8"/>
        <w:spacing w:before="0" w:beforeAutospacing="0" w:after="0" w:afterAutospacing="0" w:line="360" w:lineRule="auto"/>
        <w:ind w:firstLine="420"/>
        <w:rPr>
          <w:sz w:val="21"/>
          <w:szCs w:val="21"/>
        </w:rPr>
      </w:pPr>
      <w:bookmarkStart w:id="225" w:name="chapter_level1_27_332_section_1"/>
      <w:bookmarkEnd w:id="225"/>
      <w:r>
        <w:rPr>
          <w:rFonts w:hint="eastAsia"/>
          <w:sz w:val="21"/>
          <w:szCs w:val="21"/>
        </w:rPr>
        <w:t xml:space="preserve">以下备查文件存放在基金管理人的办公场所，在办公时间可供免费查阅。  </w:t>
      </w:r>
    </w:p>
    <w:p>
      <w:pPr>
        <w:pStyle w:val="8"/>
        <w:spacing w:before="0" w:beforeAutospacing="0" w:after="0" w:afterAutospacing="0" w:line="360" w:lineRule="auto"/>
        <w:ind w:firstLine="420"/>
        <w:rPr>
          <w:sz w:val="21"/>
          <w:szCs w:val="21"/>
        </w:rPr>
      </w:pPr>
      <w:r>
        <w:rPr>
          <w:rFonts w:hint="eastAsia"/>
          <w:sz w:val="21"/>
          <w:szCs w:val="21"/>
        </w:rPr>
        <w:t>（一）中国证监会准予</w:t>
      </w:r>
      <w:bookmarkStart w:id="226" w:name="field_0_productfullname_13"/>
      <w:r>
        <w:rPr>
          <w:rFonts w:hint="eastAsia"/>
          <w:sz w:val="21"/>
          <w:szCs w:val="21"/>
        </w:rPr>
        <w:t>博时智臻纯债债券型证券投资基金</w:t>
      </w:r>
      <w:bookmarkEnd w:id="226"/>
      <w:r>
        <w:rPr>
          <w:rFonts w:hint="eastAsia"/>
          <w:sz w:val="21"/>
          <w:szCs w:val="21"/>
        </w:rPr>
        <w:t xml:space="preserve">注册的文件 </w:t>
      </w:r>
    </w:p>
    <w:p>
      <w:pPr>
        <w:pStyle w:val="8"/>
        <w:spacing w:before="0" w:beforeAutospacing="0" w:after="0" w:afterAutospacing="0" w:line="360" w:lineRule="auto"/>
        <w:ind w:firstLine="420"/>
        <w:rPr>
          <w:sz w:val="21"/>
          <w:szCs w:val="21"/>
        </w:rPr>
      </w:pPr>
      <w:r>
        <w:rPr>
          <w:rFonts w:hint="eastAsia"/>
          <w:sz w:val="21"/>
          <w:szCs w:val="21"/>
        </w:rPr>
        <w:t>（二）《</w:t>
      </w:r>
      <w:bookmarkStart w:id="227" w:name="field_0_productfullname_14"/>
      <w:r>
        <w:rPr>
          <w:rFonts w:hint="eastAsia"/>
          <w:sz w:val="21"/>
          <w:szCs w:val="21"/>
        </w:rPr>
        <w:t>博时智臻纯债债券型证券投资基金</w:t>
      </w:r>
      <w:bookmarkEnd w:id="227"/>
      <w:r>
        <w:rPr>
          <w:rFonts w:hint="eastAsia"/>
          <w:sz w:val="21"/>
          <w:szCs w:val="21"/>
        </w:rPr>
        <w:t xml:space="preserve">基金合同》 </w:t>
      </w:r>
    </w:p>
    <w:p>
      <w:pPr>
        <w:pStyle w:val="8"/>
        <w:spacing w:before="0" w:beforeAutospacing="0" w:after="0" w:afterAutospacing="0" w:line="360" w:lineRule="auto"/>
        <w:ind w:firstLine="420"/>
        <w:rPr>
          <w:sz w:val="21"/>
          <w:szCs w:val="21"/>
        </w:rPr>
      </w:pPr>
      <w:r>
        <w:rPr>
          <w:rFonts w:hint="eastAsia"/>
          <w:sz w:val="21"/>
          <w:szCs w:val="21"/>
        </w:rPr>
        <w:t>（三）《</w:t>
      </w:r>
      <w:bookmarkStart w:id="228" w:name="field_0_productfullname_15"/>
      <w:r>
        <w:rPr>
          <w:rFonts w:hint="eastAsia"/>
          <w:sz w:val="21"/>
          <w:szCs w:val="21"/>
        </w:rPr>
        <w:t>博时智臻纯债债券型证券投资基金</w:t>
      </w:r>
      <w:bookmarkEnd w:id="228"/>
      <w:r>
        <w:rPr>
          <w:rFonts w:hint="eastAsia"/>
          <w:sz w:val="21"/>
          <w:szCs w:val="21"/>
        </w:rPr>
        <w:t xml:space="preserve">托管协议》 </w:t>
      </w:r>
    </w:p>
    <w:p>
      <w:pPr>
        <w:pStyle w:val="8"/>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8"/>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8"/>
        <w:spacing w:before="0" w:beforeAutospacing="0" w:after="0" w:afterAutospacing="0" w:line="360" w:lineRule="auto"/>
        <w:ind w:firstLine="420"/>
        <w:rPr>
          <w:sz w:val="21"/>
          <w:szCs w:val="21"/>
        </w:rPr>
      </w:pPr>
      <w:r>
        <w:rPr>
          <w:rFonts w:hint="eastAsia"/>
          <w:sz w:val="21"/>
          <w:szCs w:val="21"/>
        </w:rPr>
        <w:t xml:space="preserve">（六）法律意见书 </w:t>
      </w:r>
    </w:p>
    <w:p>
      <w:pPr>
        <w:pStyle w:val="8"/>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8"/>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8"/>
        <w:spacing w:before="0" w:beforeAutospacing="0" w:after="0" w:afterAutospacing="0" w:line="360" w:lineRule="auto"/>
        <w:ind w:firstLine="420"/>
        <w:rPr>
          <w:sz w:val="21"/>
          <w:szCs w:val="21"/>
        </w:rPr>
      </w:pPr>
    </w:p>
    <w:p>
      <w:pPr>
        <w:pStyle w:val="8"/>
        <w:spacing w:before="0" w:beforeAutospacing="0" w:after="0" w:afterAutospacing="0" w:line="360" w:lineRule="auto"/>
        <w:ind w:firstLine="420"/>
        <w:rPr>
          <w:sz w:val="21"/>
          <w:szCs w:val="21"/>
        </w:rPr>
      </w:pPr>
    </w:p>
    <w:p>
      <w:pPr>
        <w:pStyle w:val="8"/>
        <w:spacing w:before="0" w:beforeAutospacing="0" w:after="0" w:afterAutospacing="0" w:line="360" w:lineRule="auto"/>
        <w:ind w:firstLine="420"/>
        <w:rPr>
          <w:sz w:val="21"/>
          <w:szCs w:val="21"/>
        </w:rPr>
      </w:pPr>
    </w:p>
    <w:p>
      <w:pPr>
        <w:pStyle w:val="8"/>
        <w:spacing w:before="0" w:beforeAutospacing="0" w:after="0" w:afterAutospacing="0" w:line="360" w:lineRule="auto"/>
        <w:ind w:firstLine="420"/>
        <w:jc w:val="right"/>
        <w:rPr>
          <w:sz w:val="21"/>
          <w:szCs w:val="21"/>
        </w:rPr>
      </w:pPr>
      <w:bookmarkStart w:id="229" w:name="field_0_managerorgfullname_8"/>
      <w:r>
        <w:rPr>
          <w:rFonts w:hint="eastAsia"/>
          <w:sz w:val="21"/>
          <w:szCs w:val="21"/>
        </w:rPr>
        <w:t>博时基金管理有限公司</w:t>
      </w:r>
      <w:bookmarkEnd w:id="229"/>
      <w:r>
        <w:rPr>
          <w:rFonts w:hint="eastAsia"/>
          <w:sz w:val="21"/>
          <w:szCs w:val="21"/>
        </w:rPr>
        <w:t xml:space="preserve">  </w:t>
      </w:r>
    </w:p>
    <w:p>
      <w:pPr>
        <w:pStyle w:val="8"/>
        <w:spacing w:before="0" w:beforeAutospacing="0" w:after="0" w:afterAutospacing="0" w:line="360" w:lineRule="auto"/>
        <w:ind w:firstLine="420"/>
        <w:jc w:val="right"/>
        <w:rPr>
          <w:sz w:val="21"/>
          <w:szCs w:val="21"/>
        </w:rPr>
      </w:pPr>
      <w:bookmarkStart w:id="230" w:name="chapter_level1_27_332_section_1_end"/>
      <w:bookmarkEnd w:id="230"/>
      <w:bookmarkStart w:id="231"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21</w:t>
      </w:r>
      <w:r>
        <w:rPr>
          <w:sz w:val="21"/>
          <w:szCs w:val="21"/>
        </w:rPr>
        <w:t>日</w:t>
      </w:r>
      <w:bookmarkEnd w:id="231"/>
      <w:r>
        <w:rPr>
          <w:rFonts w:hint="eastAsia"/>
          <w:sz w:val="21"/>
          <w:szCs w:val="21"/>
        </w:rPr>
        <w:t xml:space="preserve">  </w:t>
      </w:r>
    </w:p>
    <w:p>
      <w:pPr>
        <w:rPr>
          <w:rFonts w:ascii="宋体" w:hAnsi="宋体" w:eastAsia="宋体"/>
        </w:rPr>
      </w:pPr>
      <w:bookmarkStart w:id="232" w:name="end"/>
      <w:bookmarkEnd w:id="232"/>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118</w:t>
    </w:r>
    <w:r>
      <w:fldChar w:fldCharType="end"/>
    </w:r>
    <w:r>
      <w:rPr>
        <w:rFonts w:hint="eastAsia"/>
      </w:rPr>
      <w:t>页 共</w:t>
    </w:r>
    <w:r>
      <w:fldChar w:fldCharType="begin"/>
    </w:r>
    <w:r>
      <w:instrText xml:space="preserve"> NumPages \* MERGEFORMAT </w:instrText>
    </w:r>
    <w:r>
      <w:fldChar w:fldCharType="separate"/>
    </w:r>
    <w:r>
      <w:t>118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6"/>
      <w:jc w:val="right"/>
    </w:pPr>
    <w:r>
      <w:rPr>
        <w:rFonts w:hint="eastAsia"/>
      </w:rPr>
      <w:t>博时智臻纯债债券型证券投资基金更新招募说明书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334"/>
    <w:rsid w:val="00493763"/>
    <w:rsid w:val="006F122E"/>
    <w:rsid w:val="00757334"/>
    <w:rsid w:val="0822087E"/>
    <w:rsid w:val="08715714"/>
    <w:rsid w:val="190632AC"/>
    <w:rsid w:val="24B54239"/>
    <w:rsid w:val="27651323"/>
    <w:rsid w:val="41754C25"/>
    <w:rsid w:val="4CA47F0A"/>
    <w:rsid w:val="4D7D1734"/>
    <w:rsid w:val="56626456"/>
    <w:rsid w:val="603C26C2"/>
    <w:rsid w:val="62C70B60"/>
    <w:rsid w:val="639F5E43"/>
    <w:rsid w:val="6F896B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115</Pages>
  <Words>13263</Words>
  <Characters>75604</Characters>
  <Lines>630</Lines>
  <Paragraphs>177</Paragraphs>
  <TotalTime>1</TotalTime>
  <ScaleCrop>false</ScaleCrop>
  <LinksUpToDate>false</LinksUpToDate>
  <CharactersWithSpaces>88690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2025-09-04T19:46:00Z</dcterms:created>
  <dc:creator>BSKMadminDev</dc:creator>
  <cp:lastModifiedBy>huangzw</cp:lastModifiedBy>
  <dcterms:modified xsi:type="dcterms:W3CDTF">2026-05-20T07:47:55Z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1E890D8F9AB344F49C7CEF73CE3D091F</vt:lpwstr>
  </property>
</Properties>
</file>