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7CF0C8C">
      <w:pPr>
        <w:widowControl/>
        <w:jc w:val="center"/>
        <w:rPr>
          <w:rFonts w:hint="eastAsia" w:ascii="宋体" w:hAnsi="宋体" w:eastAsia="宋体"/>
          <w:b/>
          <w:sz w:val="28"/>
          <w:highlight w:val="lightGray"/>
          <w:lang w:val="en-US" w:eastAsia="zh-CN"/>
        </w:rPr>
      </w:pPr>
    </w:p>
    <w:p w14:paraId="54047E1D">
      <w:pPr>
        <w:widowControl/>
        <w:jc w:val="center"/>
        <w:rPr>
          <w:rFonts w:ascii="宋体" w:hAnsi="宋体" w:eastAsia="宋体"/>
          <w:b/>
          <w:sz w:val="28"/>
          <w:highlight w:val="none"/>
        </w:rPr>
      </w:pPr>
    </w:p>
    <w:p w14:paraId="7D1F3460">
      <w:pPr>
        <w:widowControl/>
        <w:jc w:val="center"/>
        <w:rPr>
          <w:rFonts w:ascii="宋体" w:hAnsi="宋体" w:eastAsia="宋体"/>
          <w:b/>
          <w:sz w:val="28"/>
          <w:highlight w:val="none"/>
        </w:rPr>
      </w:pPr>
    </w:p>
    <w:p w14:paraId="1AE6BB7C">
      <w:pPr>
        <w:widowControl/>
        <w:spacing w:line="360" w:lineRule="auto"/>
        <w:jc w:val="center"/>
        <w:rPr>
          <w:rFonts w:hint="eastAsia" w:ascii="宋体" w:hAnsi="宋体" w:eastAsia="宋体"/>
          <w:b/>
          <w:sz w:val="48"/>
          <w:highlight w:val="none"/>
          <w:lang w:eastAsia="zh-CN"/>
        </w:rPr>
      </w:pPr>
      <w:r>
        <w:rPr>
          <w:rFonts w:hint="eastAsia" w:ascii="宋体" w:hAnsi="宋体" w:eastAsia="宋体"/>
          <w:b/>
          <w:sz w:val="48"/>
          <w:highlight w:val="none"/>
          <w:lang w:eastAsia="zh-CN"/>
        </w:rPr>
        <w:t>博时中证全指红利质量交易型开放式指数证券投资基金</w:t>
      </w:r>
    </w:p>
    <w:p w14:paraId="0B7CD72E">
      <w:pPr>
        <w:widowControl/>
        <w:spacing w:line="360" w:lineRule="auto"/>
        <w:jc w:val="center"/>
        <w:rPr>
          <w:rFonts w:hint="eastAsia" w:ascii="宋体" w:hAnsi="宋体" w:eastAsia="宋体"/>
          <w:b/>
          <w:sz w:val="28"/>
          <w:highlight w:val="none"/>
          <w:lang w:eastAsia="zh-CN"/>
        </w:rPr>
      </w:pPr>
      <w:r>
        <w:rPr>
          <w:rFonts w:hint="eastAsia" w:ascii="宋体" w:hAnsi="宋体" w:eastAsia="宋体"/>
          <w:b/>
          <w:sz w:val="48"/>
          <w:highlight w:val="none"/>
        </w:rPr>
        <w:t>上市交易公告书</w:t>
      </w:r>
    </w:p>
    <w:p w14:paraId="7A4BD98C">
      <w:pPr>
        <w:widowControl/>
        <w:spacing w:line="360" w:lineRule="auto"/>
        <w:jc w:val="center"/>
        <w:rPr>
          <w:rFonts w:ascii="宋体" w:hAnsi="宋体" w:eastAsia="宋体"/>
          <w:b/>
          <w:sz w:val="28"/>
          <w:highlight w:val="none"/>
        </w:rPr>
      </w:pPr>
    </w:p>
    <w:p w14:paraId="6F623F58">
      <w:pPr>
        <w:widowControl/>
        <w:spacing w:line="360" w:lineRule="auto"/>
        <w:jc w:val="center"/>
        <w:rPr>
          <w:rFonts w:ascii="宋体" w:hAnsi="宋体" w:eastAsia="宋体"/>
          <w:b/>
          <w:sz w:val="28"/>
          <w:highlight w:val="none"/>
        </w:rPr>
      </w:pPr>
    </w:p>
    <w:p w14:paraId="3FCF6F9A">
      <w:pPr>
        <w:widowControl/>
        <w:spacing w:line="360" w:lineRule="auto"/>
        <w:jc w:val="center"/>
        <w:rPr>
          <w:rFonts w:ascii="宋体" w:hAnsi="宋体" w:eastAsia="宋体"/>
          <w:b/>
          <w:sz w:val="28"/>
          <w:highlight w:val="none"/>
        </w:rPr>
      </w:pPr>
    </w:p>
    <w:p w14:paraId="722BE02A">
      <w:pPr>
        <w:widowControl/>
        <w:spacing w:line="360" w:lineRule="auto"/>
        <w:jc w:val="center"/>
        <w:rPr>
          <w:rFonts w:ascii="宋体" w:hAnsi="宋体" w:eastAsia="宋体"/>
          <w:b/>
          <w:sz w:val="28"/>
          <w:highlight w:val="none"/>
        </w:rPr>
      </w:pPr>
    </w:p>
    <w:p w14:paraId="1529A9D0">
      <w:pPr>
        <w:widowControl/>
        <w:spacing w:line="360" w:lineRule="auto"/>
        <w:jc w:val="center"/>
        <w:rPr>
          <w:rFonts w:ascii="宋体" w:hAnsi="宋体" w:eastAsia="宋体"/>
          <w:b/>
          <w:sz w:val="36"/>
          <w:highlight w:val="none"/>
        </w:rPr>
      </w:pPr>
      <w:r>
        <w:rPr>
          <w:rFonts w:hint="eastAsia" w:ascii="宋体" w:hAnsi="宋体" w:eastAsia="宋体"/>
          <w:b/>
          <w:sz w:val="36"/>
          <w:highlight w:val="none"/>
          <w:lang w:val="en-US" w:eastAsia="zh-CN"/>
        </w:rPr>
        <w:t xml:space="preserve">    </w:t>
      </w:r>
      <w:r>
        <w:rPr>
          <w:rFonts w:hint="eastAsia" w:ascii="宋体" w:hAnsi="宋体" w:eastAsia="宋体"/>
          <w:b/>
          <w:sz w:val="36"/>
          <w:highlight w:val="none"/>
        </w:rPr>
        <w:t>基金管理人</w:t>
      </w:r>
      <w:r>
        <w:rPr>
          <w:rFonts w:ascii="宋体" w:hAnsi="宋体" w:eastAsia="宋体"/>
          <w:b/>
          <w:sz w:val="36"/>
          <w:highlight w:val="none"/>
        </w:rPr>
        <w:t>: 博时基金管理有限公司</w:t>
      </w:r>
    </w:p>
    <w:p w14:paraId="248AEB32">
      <w:pPr>
        <w:widowControl/>
        <w:spacing w:line="360" w:lineRule="auto"/>
        <w:jc w:val="center"/>
        <w:rPr>
          <w:rFonts w:hint="eastAsia" w:ascii="宋体" w:hAnsi="宋体" w:eastAsia="宋体"/>
          <w:b/>
          <w:sz w:val="36"/>
          <w:highlight w:val="none"/>
          <w:lang w:eastAsia="zh-CN"/>
        </w:rPr>
      </w:pPr>
      <w:r>
        <w:rPr>
          <w:rFonts w:hint="eastAsia" w:ascii="宋体" w:hAnsi="宋体" w:eastAsia="宋体"/>
          <w:b/>
          <w:sz w:val="36"/>
          <w:highlight w:val="none"/>
        </w:rPr>
        <w:t xml:space="preserve"> </w:t>
      </w:r>
      <w:r>
        <w:rPr>
          <w:rFonts w:ascii="宋体" w:hAnsi="宋体" w:eastAsia="宋体"/>
          <w:b/>
          <w:sz w:val="36"/>
          <w:highlight w:val="none"/>
        </w:rPr>
        <w:t xml:space="preserve">   </w:t>
      </w:r>
      <w:r>
        <w:rPr>
          <w:rFonts w:hint="eastAsia" w:ascii="宋体" w:hAnsi="宋体" w:eastAsia="宋体"/>
          <w:b/>
          <w:sz w:val="36"/>
          <w:highlight w:val="none"/>
        </w:rPr>
        <w:t>基金托管人</w:t>
      </w:r>
      <w:r>
        <w:rPr>
          <w:rFonts w:ascii="宋体" w:hAnsi="宋体" w:eastAsia="宋体"/>
          <w:b/>
          <w:sz w:val="36"/>
          <w:highlight w:val="none"/>
        </w:rPr>
        <w:t xml:space="preserve">: </w:t>
      </w:r>
      <w:r>
        <w:rPr>
          <w:rFonts w:hint="eastAsia" w:ascii="宋体" w:hAnsi="宋体" w:eastAsia="宋体"/>
          <w:b/>
          <w:sz w:val="36"/>
          <w:highlight w:val="none"/>
          <w:lang w:eastAsia="zh-CN"/>
        </w:rPr>
        <w:t>中国建设银行股份有限公司</w:t>
      </w:r>
    </w:p>
    <w:p w14:paraId="0BD306BE">
      <w:pPr>
        <w:widowControl/>
        <w:spacing w:line="360" w:lineRule="auto"/>
        <w:ind w:firstLine="1807" w:firstLineChars="500"/>
        <w:rPr>
          <w:rFonts w:ascii="宋体" w:hAnsi="宋体" w:eastAsia="宋体"/>
          <w:b/>
          <w:sz w:val="36"/>
          <w:highlight w:val="none"/>
        </w:rPr>
      </w:pPr>
      <w:r>
        <w:rPr>
          <w:rFonts w:hint="eastAsia" w:ascii="宋体" w:hAnsi="宋体" w:eastAsia="宋体"/>
          <w:b/>
          <w:sz w:val="36"/>
          <w:highlight w:val="none"/>
        </w:rPr>
        <w:t>上市地点</w:t>
      </w:r>
      <w:r>
        <w:rPr>
          <w:rFonts w:ascii="宋体" w:hAnsi="宋体" w:eastAsia="宋体"/>
          <w:b/>
          <w:sz w:val="36"/>
          <w:highlight w:val="none"/>
        </w:rPr>
        <w:t>: 上海证券交易所</w:t>
      </w:r>
    </w:p>
    <w:p w14:paraId="39504FDE">
      <w:pPr>
        <w:widowControl/>
        <w:spacing w:line="360" w:lineRule="auto"/>
        <w:ind w:firstLine="1807" w:firstLineChars="500"/>
        <w:rPr>
          <w:rFonts w:hint="eastAsia" w:ascii="宋体" w:hAnsi="宋体" w:eastAsia="宋体"/>
          <w:b/>
          <w:sz w:val="36"/>
          <w:highlight w:val="none"/>
          <w:lang w:eastAsia="zh-CN"/>
        </w:rPr>
      </w:pPr>
      <w:r>
        <w:rPr>
          <w:rFonts w:hint="eastAsia" w:ascii="宋体" w:hAnsi="宋体" w:eastAsia="宋体"/>
          <w:b/>
          <w:sz w:val="36"/>
          <w:highlight w:val="none"/>
        </w:rPr>
        <w:t>上市时间</w:t>
      </w:r>
      <w:r>
        <w:rPr>
          <w:rFonts w:ascii="宋体" w:hAnsi="宋体" w:eastAsia="宋体"/>
          <w:b/>
          <w:sz w:val="36"/>
          <w:highlight w:val="none"/>
        </w:rPr>
        <w:t xml:space="preserve">: </w:t>
      </w:r>
      <w:r>
        <w:rPr>
          <w:rFonts w:hint="eastAsia" w:ascii="宋体" w:hAnsi="宋体" w:eastAsia="宋体"/>
          <w:b/>
          <w:sz w:val="36"/>
          <w:highlight w:val="none"/>
          <w:lang w:eastAsia="zh-CN"/>
        </w:rPr>
        <w:t>2026年6月30日</w:t>
      </w:r>
    </w:p>
    <w:p w14:paraId="4AA082D7">
      <w:pPr>
        <w:widowControl/>
        <w:spacing w:line="360" w:lineRule="auto"/>
        <w:ind w:firstLine="1807" w:firstLineChars="500"/>
        <w:rPr>
          <w:rFonts w:hint="eastAsia" w:ascii="宋体" w:hAnsi="宋体" w:eastAsia="宋体"/>
          <w:b/>
          <w:sz w:val="36"/>
          <w:highlight w:val="none"/>
          <w:lang w:eastAsia="zh-CN"/>
        </w:rPr>
        <w:sectPr>
          <w:headerReference r:id="rId3" w:type="default"/>
          <w:footerReference r:id="rId4" w:type="default"/>
          <w:pgSz w:w="11906" w:h="16838"/>
          <w:pgMar w:top="1440" w:right="1803" w:bottom="1440" w:left="1803" w:header="851" w:footer="992" w:gutter="0"/>
          <w:cols w:space="425" w:num="1"/>
          <w:docGrid w:type="lines" w:linePitch="312" w:charSpace="0"/>
        </w:sectPr>
      </w:pPr>
      <w:r>
        <w:rPr>
          <w:rFonts w:hint="eastAsia" w:ascii="宋体" w:hAnsi="宋体" w:eastAsia="宋体"/>
          <w:b/>
          <w:sz w:val="36"/>
          <w:highlight w:val="none"/>
        </w:rPr>
        <w:t>公告日期</w:t>
      </w:r>
      <w:r>
        <w:rPr>
          <w:rFonts w:ascii="宋体" w:hAnsi="宋体" w:eastAsia="宋体"/>
          <w:b/>
          <w:sz w:val="36"/>
          <w:highlight w:val="none"/>
        </w:rPr>
        <w:t xml:space="preserve">: </w:t>
      </w:r>
      <w:r>
        <w:rPr>
          <w:rFonts w:hint="eastAsia" w:ascii="宋体" w:hAnsi="宋体" w:eastAsia="宋体"/>
          <w:b/>
          <w:sz w:val="36"/>
          <w:highlight w:val="none"/>
          <w:lang w:eastAsia="zh-CN"/>
        </w:rPr>
        <w:t>2026年6月25日</w:t>
      </w:r>
    </w:p>
    <w:p w14:paraId="5064549D">
      <w:pPr>
        <w:widowControl/>
        <w:spacing w:line="360" w:lineRule="auto"/>
        <w:jc w:val="center"/>
        <w:rPr>
          <w:rFonts w:hint="eastAsia" w:ascii="宋体" w:hAnsi="宋体" w:eastAsia="宋体"/>
          <w:b/>
          <w:sz w:val="28"/>
          <w:highlight w:val="none"/>
        </w:rPr>
      </w:pPr>
      <w:r>
        <w:rPr>
          <w:rFonts w:hint="eastAsia" w:ascii="宋体" w:hAnsi="宋体" w:eastAsia="宋体"/>
          <w:b/>
          <w:sz w:val="28"/>
          <w:highlight w:val="none"/>
        </w:rPr>
        <w:t>目录</w:t>
      </w:r>
    </w:p>
    <w:p w14:paraId="0885BEA2">
      <w:pPr>
        <w:pStyle w:val="5"/>
        <w:rPr>
          <w:highlight w:val="none"/>
        </w:rPr>
      </w:pPr>
    </w:p>
    <w:p w14:paraId="1245B4BC">
      <w:pPr>
        <w:pStyle w:val="8"/>
        <w:keepNext w:val="0"/>
        <w:keepLines w:val="0"/>
        <w:pageBreakBefore w:val="0"/>
        <w:tabs>
          <w:tab w:val="right" w:leader="dot" w:pos="8300"/>
        </w:tabs>
        <w:kinsoku/>
        <w:wordWrap/>
        <w:overflowPunct/>
        <w:topLinePunct w:val="0"/>
        <w:autoSpaceDE/>
        <w:autoSpaceDN/>
        <w:bidi w:val="0"/>
        <w:adjustRightInd w:val="0"/>
        <w:snapToGrid w:val="0"/>
        <w:spacing w:line="360" w:lineRule="auto"/>
        <w:textAlignment w:val="auto"/>
        <w:rPr>
          <w:highlight w:val="none"/>
        </w:rPr>
      </w:pPr>
      <w:r>
        <w:rPr>
          <w:rFonts w:ascii="宋体" w:hAnsi="宋体" w:eastAsia="宋体"/>
          <w:highlight w:val="none"/>
        </w:rPr>
        <w:fldChar w:fldCharType="begin"/>
      </w:r>
      <w:r>
        <w:rPr>
          <w:rFonts w:ascii="宋体" w:hAnsi="宋体" w:eastAsia="宋体"/>
          <w:highlight w:val="none"/>
        </w:rPr>
        <w:instrText xml:space="preserve"> TOC \o "1-2" \f 8 \h \t "2" </w:instrText>
      </w:r>
      <w:r>
        <w:rPr>
          <w:rFonts w:ascii="宋体" w:hAnsi="宋体" w:eastAsia="宋体"/>
          <w:highlight w:val="none"/>
        </w:rPr>
        <w:fldChar w:fldCharType="separate"/>
      </w:r>
      <w:r>
        <w:rPr>
          <w:rFonts w:ascii="宋体" w:hAnsi="宋体" w:eastAsia="宋体"/>
          <w:highlight w:val="none"/>
        </w:rPr>
        <w:fldChar w:fldCharType="begin"/>
      </w:r>
      <w:r>
        <w:rPr>
          <w:rFonts w:ascii="宋体" w:hAnsi="宋体" w:eastAsia="宋体"/>
          <w:highlight w:val="none"/>
        </w:rPr>
        <w:instrText xml:space="preserve"> HYPERLINK \l _Toc16628 </w:instrText>
      </w:r>
      <w:r>
        <w:rPr>
          <w:rFonts w:ascii="宋体" w:hAnsi="宋体" w:eastAsia="宋体"/>
          <w:highlight w:val="none"/>
        </w:rPr>
        <w:fldChar w:fldCharType="separate"/>
      </w:r>
      <w:r>
        <w:rPr>
          <w:rFonts w:hint="eastAsia" w:ascii="宋体" w:hAnsi="宋体" w:eastAsia="宋体"/>
          <w:highlight w:val="none"/>
        </w:rPr>
        <w:t>一、重要声明与提示</w:t>
      </w:r>
      <w:r>
        <w:rPr>
          <w:highlight w:val="none"/>
        </w:rPr>
        <w:tab/>
      </w:r>
      <w:r>
        <w:rPr>
          <w:highlight w:val="none"/>
        </w:rPr>
        <w:fldChar w:fldCharType="begin"/>
      </w:r>
      <w:r>
        <w:rPr>
          <w:highlight w:val="none"/>
        </w:rPr>
        <w:instrText xml:space="preserve"> PAGEREF _Toc16628 \h </w:instrText>
      </w:r>
      <w:r>
        <w:rPr>
          <w:highlight w:val="none"/>
        </w:rPr>
        <w:fldChar w:fldCharType="separate"/>
      </w:r>
      <w:r>
        <w:rPr>
          <w:highlight w:val="none"/>
        </w:rPr>
        <w:t>3</w:t>
      </w:r>
      <w:r>
        <w:rPr>
          <w:highlight w:val="none"/>
        </w:rPr>
        <w:fldChar w:fldCharType="end"/>
      </w:r>
      <w:r>
        <w:rPr>
          <w:rFonts w:ascii="宋体" w:hAnsi="宋体" w:eastAsia="宋体"/>
          <w:highlight w:val="none"/>
        </w:rPr>
        <w:fldChar w:fldCharType="end"/>
      </w:r>
    </w:p>
    <w:p w14:paraId="3B690586">
      <w:pPr>
        <w:pStyle w:val="8"/>
        <w:keepNext w:val="0"/>
        <w:keepLines w:val="0"/>
        <w:pageBreakBefore w:val="0"/>
        <w:tabs>
          <w:tab w:val="right" w:leader="dot" w:pos="8300"/>
        </w:tabs>
        <w:kinsoku/>
        <w:wordWrap/>
        <w:overflowPunct/>
        <w:topLinePunct w:val="0"/>
        <w:autoSpaceDE/>
        <w:autoSpaceDN/>
        <w:bidi w:val="0"/>
        <w:adjustRightInd w:val="0"/>
        <w:snapToGrid w:val="0"/>
        <w:spacing w:line="360" w:lineRule="auto"/>
        <w:textAlignment w:val="auto"/>
        <w:rPr>
          <w:highlight w:val="none"/>
        </w:rPr>
      </w:pPr>
      <w:r>
        <w:rPr>
          <w:rFonts w:ascii="宋体" w:hAnsi="宋体" w:eastAsia="宋体"/>
          <w:highlight w:val="none"/>
        </w:rPr>
        <w:fldChar w:fldCharType="begin"/>
      </w:r>
      <w:r>
        <w:rPr>
          <w:rFonts w:ascii="宋体" w:hAnsi="宋体" w:eastAsia="宋体"/>
          <w:highlight w:val="none"/>
        </w:rPr>
        <w:instrText xml:space="preserve"> HYPERLINK \l _Toc1668 </w:instrText>
      </w:r>
      <w:r>
        <w:rPr>
          <w:rFonts w:ascii="宋体" w:hAnsi="宋体" w:eastAsia="宋体"/>
          <w:highlight w:val="none"/>
        </w:rPr>
        <w:fldChar w:fldCharType="separate"/>
      </w:r>
      <w:r>
        <w:rPr>
          <w:rFonts w:hint="eastAsia" w:ascii="宋体" w:hAnsi="宋体" w:eastAsia="宋体"/>
          <w:highlight w:val="none"/>
        </w:rPr>
        <w:t>二、基金概览</w:t>
      </w:r>
      <w:r>
        <w:rPr>
          <w:highlight w:val="none"/>
        </w:rPr>
        <w:tab/>
      </w:r>
      <w:r>
        <w:rPr>
          <w:highlight w:val="none"/>
        </w:rPr>
        <w:fldChar w:fldCharType="begin"/>
      </w:r>
      <w:r>
        <w:rPr>
          <w:highlight w:val="none"/>
        </w:rPr>
        <w:instrText xml:space="preserve"> PAGEREF _Toc1668 \h </w:instrText>
      </w:r>
      <w:r>
        <w:rPr>
          <w:highlight w:val="none"/>
        </w:rPr>
        <w:fldChar w:fldCharType="separate"/>
      </w:r>
      <w:r>
        <w:rPr>
          <w:highlight w:val="none"/>
        </w:rPr>
        <w:t>4</w:t>
      </w:r>
      <w:r>
        <w:rPr>
          <w:highlight w:val="none"/>
        </w:rPr>
        <w:fldChar w:fldCharType="end"/>
      </w:r>
      <w:r>
        <w:rPr>
          <w:rFonts w:ascii="宋体" w:hAnsi="宋体" w:eastAsia="宋体"/>
          <w:highlight w:val="none"/>
        </w:rPr>
        <w:fldChar w:fldCharType="end"/>
      </w:r>
    </w:p>
    <w:p w14:paraId="74C426C7">
      <w:pPr>
        <w:pStyle w:val="8"/>
        <w:keepNext w:val="0"/>
        <w:keepLines w:val="0"/>
        <w:pageBreakBefore w:val="0"/>
        <w:tabs>
          <w:tab w:val="right" w:leader="dot" w:pos="8300"/>
        </w:tabs>
        <w:kinsoku/>
        <w:wordWrap/>
        <w:overflowPunct/>
        <w:topLinePunct w:val="0"/>
        <w:autoSpaceDE/>
        <w:autoSpaceDN/>
        <w:bidi w:val="0"/>
        <w:adjustRightInd w:val="0"/>
        <w:snapToGrid w:val="0"/>
        <w:spacing w:line="360" w:lineRule="auto"/>
        <w:textAlignment w:val="auto"/>
        <w:rPr>
          <w:highlight w:val="none"/>
        </w:rPr>
      </w:pPr>
      <w:r>
        <w:rPr>
          <w:rFonts w:ascii="宋体" w:hAnsi="宋体" w:eastAsia="宋体"/>
          <w:highlight w:val="none"/>
        </w:rPr>
        <w:fldChar w:fldCharType="begin"/>
      </w:r>
      <w:r>
        <w:rPr>
          <w:rFonts w:ascii="宋体" w:hAnsi="宋体" w:eastAsia="宋体"/>
          <w:highlight w:val="none"/>
        </w:rPr>
        <w:instrText xml:space="preserve"> HYPERLINK \l _Toc3997 </w:instrText>
      </w:r>
      <w:r>
        <w:rPr>
          <w:rFonts w:ascii="宋体" w:hAnsi="宋体" w:eastAsia="宋体"/>
          <w:highlight w:val="none"/>
        </w:rPr>
        <w:fldChar w:fldCharType="separate"/>
      </w:r>
      <w:r>
        <w:rPr>
          <w:rFonts w:hint="eastAsia" w:ascii="宋体" w:hAnsi="宋体" w:eastAsia="宋体"/>
          <w:highlight w:val="none"/>
        </w:rPr>
        <w:t>三、基金的募集与上市交易</w:t>
      </w:r>
      <w:r>
        <w:rPr>
          <w:highlight w:val="none"/>
        </w:rPr>
        <w:tab/>
      </w:r>
      <w:r>
        <w:rPr>
          <w:highlight w:val="none"/>
        </w:rPr>
        <w:fldChar w:fldCharType="begin"/>
      </w:r>
      <w:r>
        <w:rPr>
          <w:highlight w:val="none"/>
        </w:rPr>
        <w:instrText xml:space="preserve"> PAGEREF _Toc3997 \h </w:instrText>
      </w:r>
      <w:r>
        <w:rPr>
          <w:highlight w:val="none"/>
        </w:rPr>
        <w:fldChar w:fldCharType="separate"/>
      </w:r>
      <w:r>
        <w:rPr>
          <w:highlight w:val="none"/>
        </w:rPr>
        <w:t>5</w:t>
      </w:r>
      <w:r>
        <w:rPr>
          <w:highlight w:val="none"/>
        </w:rPr>
        <w:fldChar w:fldCharType="end"/>
      </w:r>
      <w:r>
        <w:rPr>
          <w:rFonts w:ascii="宋体" w:hAnsi="宋体" w:eastAsia="宋体"/>
          <w:highlight w:val="none"/>
        </w:rPr>
        <w:fldChar w:fldCharType="end"/>
      </w:r>
    </w:p>
    <w:p w14:paraId="0B40AFE7">
      <w:pPr>
        <w:pStyle w:val="8"/>
        <w:keepNext w:val="0"/>
        <w:keepLines w:val="0"/>
        <w:pageBreakBefore w:val="0"/>
        <w:tabs>
          <w:tab w:val="right" w:leader="dot" w:pos="8300"/>
        </w:tabs>
        <w:kinsoku/>
        <w:wordWrap/>
        <w:overflowPunct/>
        <w:topLinePunct w:val="0"/>
        <w:autoSpaceDE/>
        <w:autoSpaceDN/>
        <w:bidi w:val="0"/>
        <w:adjustRightInd w:val="0"/>
        <w:snapToGrid w:val="0"/>
        <w:spacing w:line="360" w:lineRule="auto"/>
        <w:textAlignment w:val="auto"/>
        <w:rPr>
          <w:highlight w:val="none"/>
        </w:rPr>
      </w:pPr>
      <w:r>
        <w:rPr>
          <w:rFonts w:ascii="宋体" w:hAnsi="宋体" w:eastAsia="宋体"/>
          <w:highlight w:val="none"/>
        </w:rPr>
        <w:fldChar w:fldCharType="begin"/>
      </w:r>
      <w:r>
        <w:rPr>
          <w:rFonts w:ascii="宋体" w:hAnsi="宋体" w:eastAsia="宋体"/>
          <w:highlight w:val="none"/>
        </w:rPr>
        <w:instrText xml:space="preserve"> HYPERLINK \l _Toc20520 </w:instrText>
      </w:r>
      <w:r>
        <w:rPr>
          <w:rFonts w:ascii="宋体" w:hAnsi="宋体" w:eastAsia="宋体"/>
          <w:highlight w:val="none"/>
        </w:rPr>
        <w:fldChar w:fldCharType="separate"/>
      </w:r>
      <w:r>
        <w:rPr>
          <w:rFonts w:hint="eastAsia" w:ascii="宋体" w:hAnsi="宋体" w:eastAsia="宋体"/>
          <w:highlight w:val="none"/>
        </w:rPr>
        <w:t>四、持有人户数、持有人结构及前十名持有人</w:t>
      </w:r>
      <w:r>
        <w:rPr>
          <w:highlight w:val="none"/>
        </w:rPr>
        <w:tab/>
      </w:r>
      <w:r>
        <w:rPr>
          <w:highlight w:val="none"/>
        </w:rPr>
        <w:fldChar w:fldCharType="begin"/>
      </w:r>
      <w:r>
        <w:rPr>
          <w:highlight w:val="none"/>
        </w:rPr>
        <w:instrText xml:space="preserve"> PAGEREF _Toc20520 \h </w:instrText>
      </w:r>
      <w:r>
        <w:rPr>
          <w:highlight w:val="none"/>
        </w:rPr>
        <w:fldChar w:fldCharType="separate"/>
      </w:r>
      <w:r>
        <w:rPr>
          <w:highlight w:val="none"/>
        </w:rPr>
        <w:t>8</w:t>
      </w:r>
      <w:r>
        <w:rPr>
          <w:highlight w:val="none"/>
        </w:rPr>
        <w:fldChar w:fldCharType="end"/>
      </w:r>
      <w:r>
        <w:rPr>
          <w:rFonts w:ascii="宋体" w:hAnsi="宋体" w:eastAsia="宋体"/>
          <w:highlight w:val="none"/>
        </w:rPr>
        <w:fldChar w:fldCharType="end"/>
      </w:r>
    </w:p>
    <w:p w14:paraId="16655098">
      <w:pPr>
        <w:pStyle w:val="8"/>
        <w:keepNext w:val="0"/>
        <w:keepLines w:val="0"/>
        <w:pageBreakBefore w:val="0"/>
        <w:tabs>
          <w:tab w:val="right" w:leader="dot" w:pos="8300"/>
        </w:tabs>
        <w:kinsoku/>
        <w:wordWrap/>
        <w:overflowPunct/>
        <w:topLinePunct w:val="0"/>
        <w:autoSpaceDE/>
        <w:autoSpaceDN/>
        <w:bidi w:val="0"/>
        <w:adjustRightInd w:val="0"/>
        <w:snapToGrid w:val="0"/>
        <w:spacing w:line="360" w:lineRule="auto"/>
        <w:textAlignment w:val="auto"/>
        <w:rPr>
          <w:highlight w:val="none"/>
        </w:rPr>
      </w:pPr>
      <w:r>
        <w:rPr>
          <w:rFonts w:ascii="宋体" w:hAnsi="宋体" w:eastAsia="宋体"/>
          <w:highlight w:val="none"/>
        </w:rPr>
        <w:fldChar w:fldCharType="begin"/>
      </w:r>
      <w:r>
        <w:rPr>
          <w:rFonts w:ascii="宋体" w:hAnsi="宋体" w:eastAsia="宋体"/>
          <w:highlight w:val="none"/>
        </w:rPr>
        <w:instrText xml:space="preserve"> HYPERLINK \l _Toc32626 </w:instrText>
      </w:r>
      <w:r>
        <w:rPr>
          <w:rFonts w:ascii="宋体" w:hAnsi="宋体" w:eastAsia="宋体"/>
          <w:highlight w:val="none"/>
        </w:rPr>
        <w:fldChar w:fldCharType="separate"/>
      </w:r>
      <w:r>
        <w:rPr>
          <w:rFonts w:hint="eastAsia" w:ascii="宋体" w:hAnsi="宋体" w:eastAsia="宋体"/>
          <w:highlight w:val="none"/>
        </w:rPr>
        <w:t>五、基金主要当事人简介</w:t>
      </w:r>
      <w:r>
        <w:rPr>
          <w:highlight w:val="none"/>
        </w:rPr>
        <w:tab/>
      </w:r>
      <w:r>
        <w:rPr>
          <w:highlight w:val="none"/>
        </w:rPr>
        <w:fldChar w:fldCharType="begin"/>
      </w:r>
      <w:r>
        <w:rPr>
          <w:highlight w:val="none"/>
        </w:rPr>
        <w:instrText xml:space="preserve"> PAGEREF _Toc32626 \h </w:instrText>
      </w:r>
      <w:r>
        <w:rPr>
          <w:highlight w:val="none"/>
        </w:rPr>
        <w:fldChar w:fldCharType="separate"/>
      </w:r>
      <w:r>
        <w:rPr>
          <w:highlight w:val="none"/>
        </w:rPr>
        <w:t>8</w:t>
      </w:r>
      <w:r>
        <w:rPr>
          <w:highlight w:val="none"/>
        </w:rPr>
        <w:fldChar w:fldCharType="end"/>
      </w:r>
      <w:r>
        <w:rPr>
          <w:rFonts w:ascii="宋体" w:hAnsi="宋体" w:eastAsia="宋体"/>
          <w:highlight w:val="none"/>
        </w:rPr>
        <w:fldChar w:fldCharType="end"/>
      </w:r>
    </w:p>
    <w:p w14:paraId="7929249B">
      <w:pPr>
        <w:pStyle w:val="8"/>
        <w:keepNext w:val="0"/>
        <w:keepLines w:val="0"/>
        <w:pageBreakBefore w:val="0"/>
        <w:tabs>
          <w:tab w:val="right" w:leader="dot" w:pos="8300"/>
        </w:tabs>
        <w:kinsoku/>
        <w:wordWrap/>
        <w:overflowPunct/>
        <w:topLinePunct w:val="0"/>
        <w:autoSpaceDE/>
        <w:autoSpaceDN/>
        <w:bidi w:val="0"/>
        <w:adjustRightInd w:val="0"/>
        <w:snapToGrid w:val="0"/>
        <w:spacing w:line="360" w:lineRule="auto"/>
        <w:textAlignment w:val="auto"/>
        <w:rPr>
          <w:highlight w:val="none"/>
        </w:rPr>
      </w:pPr>
      <w:r>
        <w:rPr>
          <w:rFonts w:ascii="宋体" w:hAnsi="宋体" w:eastAsia="宋体"/>
          <w:highlight w:val="none"/>
        </w:rPr>
        <w:fldChar w:fldCharType="begin"/>
      </w:r>
      <w:r>
        <w:rPr>
          <w:rFonts w:ascii="宋体" w:hAnsi="宋体" w:eastAsia="宋体"/>
          <w:highlight w:val="none"/>
        </w:rPr>
        <w:instrText xml:space="preserve"> HYPERLINK \l _Toc20861 </w:instrText>
      </w:r>
      <w:r>
        <w:rPr>
          <w:rFonts w:ascii="宋体" w:hAnsi="宋体" w:eastAsia="宋体"/>
          <w:highlight w:val="none"/>
        </w:rPr>
        <w:fldChar w:fldCharType="separate"/>
      </w:r>
      <w:r>
        <w:rPr>
          <w:rFonts w:hint="eastAsia" w:ascii="宋体" w:hAnsi="宋体" w:eastAsia="宋体"/>
          <w:highlight w:val="none"/>
        </w:rPr>
        <w:t>六、基金合同摘要</w:t>
      </w:r>
      <w:r>
        <w:rPr>
          <w:highlight w:val="none"/>
        </w:rPr>
        <w:tab/>
      </w:r>
      <w:r>
        <w:rPr>
          <w:highlight w:val="none"/>
        </w:rPr>
        <w:fldChar w:fldCharType="begin"/>
      </w:r>
      <w:r>
        <w:rPr>
          <w:highlight w:val="none"/>
        </w:rPr>
        <w:instrText xml:space="preserve"> PAGEREF _Toc20861 \h </w:instrText>
      </w:r>
      <w:r>
        <w:rPr>
          <w:highlight w:val="none"/>
        </w:rPr>
        <w:fldChar w:fldCharType="separate"/>
      </w:r>
      <w:r>
        <w:rPr>
          <w:highlight w:val="none"/>
        </w:rPr>
        <w:t>17</w:t>
      </w:r>
      <w:r>
        <w:rPr>
          <w:highlight w:val="none"/>
        </w:rPr>
        <w:fldChar w:fldCharType="end"/>
      </w:r>
      <w:r>
        <w:rPr>
          <w:rFonts w:ascii="宋体" w:hAnsi="宋体" w:eastAsia="宋体"/>
          <w:highlight w:val="none"/>
        </w:rPr>
        <w:fldChar w:fldCharType="end"/>
      </w:r>
    </w:p>
    <w:p w14:paraId="26D02FBB">
      <w:pPr>
        <w:pStyle w:val="8"/>
        <w:keepNext w:val="0"/>
        <w:keepLines w:val="0"/>
        <w:pageBreakBefore w:val="0"/>
        <w:tabs>
          <w:tab w:val="right" w:leader="dot" w:pos="8300"/>
        </w:tabs>
        <w:kinsoku/>
        <w:wordWrap/>
        <w:overflowPunct/>
        <w:topLinePunct w:val="0"/>
        <w:autoSpaceDE/>
        <w:autoSpaceDN/>
        <w:bidi w:val="0"/>
        <w:adjustRightInd w:val="0"/>
        <w:snapToGrid w:val="0"/>
        <w:spacing w:line="360" w:lineRule="auto"/>
        <w:textAlignment w:val="auto"/>
        <w:rPr>
          <w:highlight w:val="none"/>
        </w:rPr>
      </w:pPr>
      <w:r>
        <w:rPr>
          <w:rFonts w:ascii="宋体" w:hAnsi="宋体" w:eastAsia="宋体"/>
          <w:highlight w:val="none"/>
        </w:rPr>
        <w:fldChar w:fldCharType="begin"/>
      </w:r>
      <w:r>
        <w:rPr>
          <w:rFonts w:ascii="宋体" w:hAnsi="宋体" w:eastAsia="宋体"/>
          <w:highlight w:val="none"/>
        </w:rPr>
        <w:instrText xml:space="preserve"> HYPERLINK \l _Toc25489 </w:instrText>
      </w:r>
      <w:r>
        <w:rPr>
          <w:rFonts w:ascii="宋体" w:hAnsi="宋体" w:eastAsia="宋体"/>
          <w:highlight w:val="none"/>
        </w:rPr>
        <w:fldChar w:fldCharType="separate"/>
      </w:r>
      <w:r>
        <w:rPr>
          <w:rFonts w:hint="eastAsia" w:ascii="宋体" w:hAnsi="宋体" w:eastAsia="宋体"/>
          <w:highlight w:val="none"/>
        </w:rPr>
        <w:t>七、基金财务状况</w:t>
      </w:r>
      <w:bookmarkStart w:id="65" w:name="_GoBack"/>
      <w:bookmarkEnd w:id="65"/>
      <w:r>
        <w:rPr>
          <w:highlight w:val="none"/>
        </w:rPr>
        <w:tab/>
      </w:r>
      <w:r>
        <w:rPr>
          <w:highlight w:val="none"/>
        </w:rPr>
        <w:fldChar w:fldCharType="begin"/>
      </w:r>
      <w:r>
        <w:rPr>
          <w:highlight w:val="none"/>
        </w:rPr>
        <w:instrText xml:space="preserve"> PAGEREF _Toc25489 \h </w:instrText>
      </w:r>
      <w:r>
        <w:rPr>
          <w:highlight w:val="none"/>
        </w:rPr>
        <w:fldChar w:fldCharType="separate"/>
      </w:r>
      <w:r>
        <w:rPr>
          <w:highlight w:val="none"/>
        </w:rPr>
        <w:t>18</w:t>
      </w:r>
      <w:r>
        <w:rPr>
          <w:highlight w:val="none"/>
        </w:rPr>
        <w:fldChar w:fldCharType="end"/>
      </w:r>
      <w:r>
        <w:rPr>
          <w:rFonts w:ascii="宋体" w:hAnsi="宋体" w:eastAsia="宋体"/>
          <w:highlight w:val="none"/>
        </w:rPr>
        <w:fldChar w:fldCharType="end"/>
      </w:r>
    </w:p>
    <w:p w14:paraId="3A77DD7F">
      <w:pPr>
        <w:pStyle w:val="8"/>
        <w:keepNext w:val="0"/>
        <w:keepLines w:val="0"/>
        <w:pageBreakBefore w:val="0"/>
        <w:widowControl w:val="0"/>
        <w:tabs>
          <w:tab w:val="right" w:leader="dot" w:pos="8300"/>
        </w:tabs>
        <w:kinsoku/>
        <w:wordWrap/>
        <w:overflowPunct/>
        <w:topLinePunct w:val="0"/>
        <w:autoSpaceDE/>
        <w:autoSpaceDN/>
        <w:bidi w:val="0"/>
        <w:adjustRightInd w:val="0"/>
        <w:snapToGrid w:val="0"/>
        <w:spacing w:line="360" w:lineRule="auto"/>
        <w:textAlignment w:val="auto"/>
        <w:rPr>
          <w:highlight w:val="none"/>
        </w:rPr>
      </w:pPr>
      <w:r>
        <w:rPr>
          <w:rFonts w:ascii="宋体" w:hAnsi="宋体" w:eastAsia="宋体"/>
          <w:highlight w:val="none"/>
        </w:rPr>
        <w:fldChar w:fldCharType="begin"/>
      </w:r>
      <w:r>
        <w:rPr>
          <w:rFonts w:ascii="宋体" w:hAnsi="宋体" w:eastAsia="宋体"/>
          <w:highlight w:val="none"/>
        </w:rPr>
        <w:instrText xml:space="preserve"> HYPERLINK \l _Toc23786 </w:instrText>
      </w:r>
      <w:r>
        <w:rPr>
          <w:rFonts w:ascii="宋体" w:hAnsi="宋体" w:eastAsia="宋体"/>
          <w:highlight w:val="none"/>
        </w:rPr>
        <w:fldChar w:fldCharType="separate"/>
      </w:r>
      <w:r>
        <w:rPr>
          <w:rFonts w:hint="eastAsia" w:ascii="宋体" w:hAnsi="宋体" w:eastAsia="宋体" w:cstheme="majorBidi"/>
          <w:highlight w:val="none"/>
        </w:rPr>
        <w:t>八、基金投资组合</w:t>
      </w:r>
      <w:r>
        <w:rPr>
          <w:highlight w:val="none"/>
        </w:rPr>
        <w:tab/>
      </w:r>
      <w:r>
        <w:rPr>
          <w:highlight w:val="none"/>
        </w:rPr>
        <w:fldChar w:fldCharType="begin"/>
      </w:r>
      <w:r>
        <w:rPr>
          <w:highlight w:val="none"/>
        </w:rPr>
        <w:instrText xml:space="preserve"> PAGEREF _Toc23786 \h </w:instrText>
      </w:r>
      <w:r>
        <w:rPr>
          <w:highlight w:val="none"/>
        </w:rPr>
        <w:fldChar w:fldCharType="separate"/>
      </w:r>
      <w:r>
        <w:rPr>
          <w:highlight w:val="none"/>
        </w:rPr>
        <w:t>18</w:t>
      </w:r>
      <w:r>
        <w:rPr>
          <w:highlight w:val="none"/>
        </w:rPr>
        <w:fldChar w:fldCharType="end"/>
      </w:r>
      <w:r>
        <w:rPr>
          <w:rFonts w:ascii="宋体" w:hAnsi="宋体" w:eastAsia="宋体"/>
          <w:highlight w:val="none"/>
        </w:rPr>
        <w:fldChar w:fldCharType="end"/>
      </w:r>
    </w:p>
    <w:p w14:paraId="2822B795">
      <w:pPr>
        <w:pStyle w:val="8"/>
        <w:keepNext w:val="0"/>
        <w:keepLines w:val="0"/>
        <w:pageBreakBefore w:val="0"/>
        <w:tabs>
          <w:tab w:val="right" w:leader="dot" w:pos="8300"/>
        </w:tabs>
        <w:kinsoku/>
        <w:wordWrap/>
        <w:overflowPunct/>
        <w:topLinePunct w:val="0"/>
        <w:autoSpaceDE/>
        <w:autoSpaceDN/>
        <w:bidi w:val="0"/>
        <w:adjustRightInd w:val="0"/>
        <w:snapToGrid w:val="0"/>
        <w:spacing w:line="360" w:lineRule="auto"/>
        <w:textAlignment w:val="auto"/>
        <w:rPr>
          <w:highlight w:val="none"/>
        </w:rPr>
      </w:pPr>
      <w:r>
        <w:rPr>
          <w:rFonts w:ascii="宋体" w:hAnsi="宋体" w:eastAsia="宋体"/>
          <w:highlight w:val="none"/>
        </w:rPr>
        <w:fldChar w:fldCharType="begin"/>
      </w:r>
      <w:r>
        <w:rPr>
          <w:rFonts w:ascii="宋体" w:hAnsi="宋体" w:eastAsia="宋体"/>
          <w:highlight w:val="none"/>
        </w:rPr>
        <w:instrText xml:space="preserve"> HYPERLINK \l _Toc18836 </w:instrText>
      </w:r>
      <w:r>
        <w:rPr>
          <w:rFonts w:ascii="宋体" w:hAnsi="宋体" w:eastAsia="宋体"/>
          <w:highlight w:val="none"/>
        </w:rPr>
        <w:fldChar w:fldCharType="separate"/>
      </w:r>
      <w:r>
        <w:rPr>
          <w:rFonts w:hint="eastAsia" w:ascii="宋体" w:hAnsi="宋体" w:eastAsia="宋体"/>
          <w:highlight w:val="none"/>
        </w:rPr>
        <w:t>九、重大事件揭示</w:t>
      </w:r>
      <w:r>
        <w:rPr>
          <w:highlight w:val="none"/>
        </w:rPr>
        <w:tab/>
      </w:r>
      <w:r>
        <w:rPr>
          <w:highlight w:val="none"/>
        </w:rPr>
        <w:fldChar w:fldCharType="begin"/>
      </w:r>
      <w:r>
        <w:rPr>
          <w:highlight w:val="none"/>
        </w:rPr>
        <w:instrText xml:space="preserve"> PAGEREF _Toc18836 \h </w:instrText>
      </w:r>
      <w:r>
        <w:rPr>
          <w:highlight w:val="none"/>
        </w:rPr>
        <w:fldChar w:fldCharType="separate"/>
      </w:r>
      <w:r>
        <w:rPr>
          <w:highlight w:val="none"/>
        </w:rPr>
        <w:t>20</w:t>
      </w:r>
      <w:r>
        <w:rPr>
          <w:highlight w:val="none"/>
        </w:rPr>
        <w:fldChar w:fldCharType="end"/>
      </w:r>
      <w:r>
        <w:rPr>
          <w:rFonts w:ascii="宋体" w:hAnsi="宋体" w:eastAsia="宋体"/>
          <w:highlight w:val="none"/>
        </w:rPr>
        <w:fldChar w:fldCharType="end"/>
      </w:r>
    </w:p>
    <w:p w14:paraId="68EFBBBA">
      <w:pPr>
        <w:pStyle w:val="8"/>
        <w:keepNext w:val="0"/>
        <w:keepLines w:val="0"/>
        <w:pageBreakBefore w:val="0"/>
        <w:tabs>
          <w:tab w:val="right" w:leader="dot" w:pos="8300"/>
        </w:tabs>
        <w:kinsoku/>
        <w:wordWrap/>
        <w:overflowPunct/>
        <w:topLinePunct w:val="0"/>
        <w:autoSpaceDE/>
        <w:autoSpaceDN/>
        <w:bidi w:val="0"/>
        <w:adjustRightInd w:val="0"/>
        <w:snapToGrid w:val="0"/>
        <w:spacing w:line="360" w:lineRule="auto"/>
        <w:textAlignment w:val="auto"/>
        <w:rPr>
          <w:highlight w:val="none"/>
        </w:rPr>
      </w:pPr>
      <w:r>
        <w:rPr>
          <w:rFonts w:ascii="宋体" w:hAnsi="宋体" w:eastAsia="宋体"/>
          <w:highlight w:val="none"/>
        </w:rPr>
        <w:fldChar w:fldCharType="begin"/>
      </w:r>
      <w:r>
        <w:rPr>
          <w:rFonts w:ascii="宋体" w:hAnsi="宋体" w:eastAsia="宋体"/>
          <w:highlight w:val="none"/>
        </w:rPr>
        <w:instrText xml:space="preserve"> HYPERLINK \l _Toc802 </w:instrText>
      </w:r>
      <w:r>
        <w:rPr>
          <w:rFonts w:ascii="宋体" w:hAnsi="宋体" w:eastAsia="宋体"/>
          <w:highlight w:val="none"/>
        </w:rPr>
        <w:fldChar w:fldCharType="separate"/>
      </w:r>
      <w:r>
        <w:rPr>
          <w:rFonts w:hint="eastAsia" w:ascii="宋体" w:hAnsi="宋体" w:eastAsia="宋体"/>
          <w:highlight w:val="none"/>
        </w:rPr>
        <w:t>十、基金管理人承诺</w:t>
      </w:r>
      <w:r>
        <w:rPr>
          <w:highlight w:val="none"/>
        </w:rPr>
        <w:tab/>
      </w:r>
      <w:r>
        <w:rPr>
          <w:highlight w:val="none"/>
        </w:rPr>
        <w:fldChar w:fldCharType="begin"/>
      </w:r>
      <w:r>
        <w:rPr>
          <w:highlight w:val="none"/>
        </w:rPr>
        <w:instrText xml:space="preserve"> PAGEREF _Toc802 \h </w:instrText>
      </w:r>
      <w:r>
        <w:rPr>
          <w:highlight w:val="none"/>
        </w:rPr>
        <w:fldChar w:fldCharType="separate"/>
      </w:r>
      <w:r>
        <w:rPr>
          <w:highlight w:val="none"/>
        </w:rPr>
        <w:t>24</w:t>
      </w:r>
      <w:r>
        <w:rPr>
          <w:highlight w:val="none"/>
        </w:rPr>
        <w:fldChar w:fldCharType="end"/>
      </w:r>
      <w:r>
        <w:rPr>
          <w:rFonts w:ascii="宋体" w:hAnsi="宋体" w:eastAsia="宋体"/>
          <w:highlight w:val="none"/>
        </w:rPr>
        <w:fldChar w:fldCharType="end"/>
      </w:r>
    </w:p>
    <w:p w14:paraId="49585908">
      <w:pPr>
        <w:pStyle w:val="8"/>
        <w:keepNext w:val="0"/>
        <w:keepLines w:val="0"/>
        <w:pageBreakBefore w:val="0"/>
        <w:tabs>
          <w:tab w:val="right" w:leader="dot" w:pos="8300"/>
        </w:tabs>
        <w:kinsoku/>
        <w:wordWrap/>
        <w:overflowPunct/>
        <w:topLinePunct w:val="0"/>
        <w:autoSpaceDE/>
        <w:autoSpaceDN/>
        <w:bidi w:val="0"/>
        <w:adjustRightInd w:val="0"/>
        <w:snapToGrid w:val="0"/>
        <w:spacing w:line="360" w:lineRule="auto"/>
        <w:textAlignment w:val="auto"/>
        <w:rPr>
          <w:highlight w:val="none"/>
        </w:rPr>
      </w:pPr>
      <w:r>
        <w:rPr>
          <w:rFonts w:ascii="宋体" w:hAnsi="宋体" w:eastAsia="宋体"/>
          <w:highlight w:val="none"/>
        </w:rPr>
        <w:fldChar w:fldCharType="begin"/>
      </w:r>
      <w:r>
        <w:rPr>
          <w:rFonts w:ascii="宋体" w:hAnsi="宋体" w:eastAsia="宋体"/>
          <w:highlight w:val="none"/>
        </w:rPr>
        <w:instrText xml:space="preserve"> HYPERLINK \l _Toc31429 </w:instrText>
      </w:r>
      <w:r>
        <w:rPr>
          <w:rFonts w:ascii="宋体" w:hAnsi="宋体" w:eastAsia="宋体"/>
          <w:highlight w:val="none"/>
        </w:rPr>
        <w:fldChar w:fldCharType="separate"/>
      </w:r>
      <w:r>
        <w:rPr>
          <w:rFonts w:hint="eastAsia" w:ascii="宋体" w:hAnsi="宋体" w:eastAsia="宋体"/>
          <w:highlight w:val="none"/>
        </w:rPr>
        <w:t>十一、基金托管人承诺</w:t>
      </w:r>
      <w:r>
        <w:rPr>
          <w:highlight w:val="none"/>
        </w:rPr>
        <w:tab/>
      </w:r>
      <w:r>
        <w:rPr>
          <w:highlight w:val="none"/>
        </w:rPr>
        <w:fldChar w:fldCharType="begin"/>
      </w:r>
      <w:r>
        <w:rPr>
          <w:highlight w:val="none"/>
        </w:rPr>
        <w:instrText xml:space="preserve"> PAGEREF _Toc31429 \h </w:instrText>
      </w:r>
      <w:r>
        <w:rPr>
          <w:highlight w:val="none"/>
        </w:rPr>
        <w:fldChar w:fldCharType="separate"/>
      </w:r>
      <w:r>
        <w:rPr>
          <w:highlight w:val="none"/>
        </w:rPr>
        <w:t>25</w:t>
      </w:r>
      <w:r>
        <w:rPr>
          <w:highlight w:val="none"/>
        </w:rPr>
        <w:fldChar w:fldCharType="end"/>
      </w:r>
      <w:r>
        <w:rPr>
          <w:rFonts w:ascii="宋体" w:hAnsi="宋体" w:eastAsia="宋体"/>
          <w:highlight w:val="none"/>
        </w:rPr>
        <w:fldChar w:fldCharType="end"/>
      </w:r>
    </w:p>
    <w:p w14:paraId="7DA40C3C">
      <w:pPr>
        <w:pStyle w:val="8"/>
        <w:keepNext w:val="0"/>
        <w:keepLines w:val="0"/>
        <w:pageBreakBefore w:val="0"/>
        <w:tabs>
          <w:tab w:val="right" w:leader="dot" w:pos="8300"/>
        </w:tabs>
        <w:kinsoku/>
        <w:wordWrap/>
        <w:overflowPunct/>
        <w:topLinePunct w:val="0"/>
        <w:autoSpaceDE/>
        <w:autoSpaceDN/>
        <w:bidi w:val="0"/>
        <w:adjustRightInd w:val="0"/>
        <w:snapToGrid w:val="0"/>
        <w:spacing w:line="360" w:lineRule="auto"/>
        <w:textAlignment w:val="auto"/>
        <w:rPr>
          <w:highlight w:val="none"/>
        </w:rPr>
      </w:pPr>
      <w:r>
        <w:rPr>
          <w:rFonts w:ascii="宋体" w:hAnsi="宋体" w:eastAsia="宋体"/>
          <w:highlight w:val="none"/>
        </w:rPr>
        <w:fldChar w:fldCharType="begin"/>
      </w:r>
      <w:r>
        <w:rPr>
          <w:rFonts w:ascii="宋体" w:hAnsi="宋体" w:eastAsia="宋体"/>
          <w:highlight w:val="none"/>
        </w:rPr>
        <w:instrText xml:space="preserve"> HYPERLINK \l _Toc32296 </w:instrText>
      </w:r>
      <w:r>
        <w:rPr>
          <w:rFonts w:ascii="宋体" w:hAnsi="宋体" w:eastAsia="宋体"/>
          <w:highlight w:val="none"/>
        </w:rPr>
        <w:fldChar w:fldCharType="separate"/>
      </w:r>
      <w:r>
        <w:rPr>
          <w:rFonts w:hint="eastAsia" w:ascii="宋体" w:hAnsi="宋体" w:eastAsia="宋体"/>
          <w:highlight w:val="none"/>
        </w:rPr>
        <w:t>十二、基金上市推荐人意见</w:t>
      </w:r>
      <w:r>
        <w:rPr>
          <w:highlight w:val="none"/>
        </w:rPr>
        <w:tab/>
      </w:r>
      <w:r>
        <w:rPr>
          <w:highlight w:val="none"/>
        </w:rPr>
        <w:fldChar w:fldCharType="begin"/>
      </w:r>
      <w:r>
        <w:rPr>
          <w:highlight w:val="none"/>
        </w:rPr>
        <w:instrText xml:space="preserve"> PAGEREF _Toc32296 \h </w:instrText>
      </w:r>
      <w:r>
        <w:rPr>
          <w:highlight w:val="none"/>
        </w:rPr>
        <w:fldChar w:fldCharType="separate"/>
      </w:r>
      <w:r>
        <w:rPr>
          <w:highlight w:val="none"/>
        </w:rPr>
        <w:t>26</w:t>
      </w:r>
      <w:r>
        <w:rPr>
          <w:highlight w:val="none"/>
        </w:rPr>
        <w:fldChar w:fldCharType="end"/>
      </w:r>
      <w:r>
        <w:rPr>
          <w:rFonts w:ascii="宋体" w:hAnsi="宋体" w:eastAsia="宋体"/>
          <w:highlight w:val="none"/>
        </w:rPr>
        <w:fldChar w:fldCharType="end"/>
      </w:r>
    </w:p>
    <w:p w14:paraId="4E851841">
      <w:pPr>
        <w:pStyle w:val="8"/>
        <w:keepNext w:val="0"/>
        <w:keepLines w:val="0"/>
        <w:pageBreakBefore w:val="0"/>
        <w:tabs>
          <w:tab w:val="right" w:leader="dot" w:pos="8300"/>
        </w:tabs>
        <w:kinsoku/>
        <w:wordWrap/>
        <w:overflowPunct/>
        <w:topLinePunct w:val="0"/>
        <w:autoSpaceDE/>
        <w:autoSpaceDN/>
        <w:bidi w:val="0"/>
        <w:adjustRightInd w:val="0"/>
        <w:snapToGrid w:val="0"/>
        <w:spacing w:line="360" w:lineRule="auto"/>
        <w:textAlignment w:val="auto"/>
        <w:rPr>
          <w:highlight w:val="none"/>
        </w:rPr>
      </w:pPr>
      <w:r>
        <w:rPr>
          <w:rFonts w:ascii="宋体" w:hAnsi="宋体" w:eastAsia="宋体"/>
          <w:highlight w:val="none"/>
        </w:rPr>
        <w:fldChar w:fldCharType="begin"/>
      </w:r>
      <w:r>
        <w:rPr>
          <w:rFonts w:ascii="宋体" w:hAnsi="宋体" w:eastAsia="宋体"/>
          <w:highlight w:val="none"/>
        </w:rPr>
        <w:instrText xml:space="preserve"> HYPERLINK \l _Toc28556 </w:instrText>
      </w:r>
      <w:r>
        <w:rPr>
          <w:rFonts w:ascii="宋体" w:hAnsi="宋体" w:eastAsia="宋体"/>
          <w:highlight w:val="none"/>
        </w:rPr>
        <w:fldChar w:fldCharType="separate"/>
      </w:r>
      <w:r>
        <w:rPr>
          <w:rFonts w:hint="eastAsia" w:ascii="宋体" w:hAnsi="宋体" w:eastAsia="宋体"/>
          <w:highlight w:val="none"/>
        </w:rPr>
        <w:t>十三、备查文件目录</w:t>
      </w:r>
      <w:r>
        <w:rPr>
          <w:highlight w:val="none"/>
        </w:rPr>
        <w:tab/>
      </w:r>
      <w:r>
        <w:rPr>
          <w:highlight w:val="none"/>
        </w:rPr>
        <w:fldChar w:fldCharType="begin"/>
      </w:r>
      <w:r>
        <w:rPr>
          <w:highlight w:val="none"/>
        </w:rPr>
        <w:instrText xml:space="preserve"> PAGEREF _Toc28556 \h </w:instrText>
      </w:r>
      <w:r>
        <w:rPr>
          <w:highlight w:val="none"/>
        </w:rPr>
        <w:fldChar w:fldCharType="separate"/>
      </w:r>
      <w:r>
        <w:rPr>
          <w:highlight w:val="none"/>
        </w:rPr>
        <w:t>27</w:t>
      </w:r>
      <w:r>
        <w:rPr>
          <w:highlight w:val="none"/>
        </w:rPr>
        <w:fldChar w:fldCharType="end"/>
      </w:r>
      <w:r>
        <w:rPr>
          <w:rFonts w:ascii="宋体" w:hAnsi="宋体" w:eastAsia="宋体"/>
          <w:highlight w:val="none"/>
        </w:rPr>
        <w:fldChar w:fldCharType="end"/>
      </w:r>
    </w:p>
    <w:p w14:paraId="15FDC8DB">
      <w:pPr>
        <w:pStyle w:val="8"/>
        <w:keepNext w:val="0"/>
        <w:keepLines w:val="0"/>
        <w:pageBreakBefore w:val="0"/>
        <w:tabs>
          <w:tab w:val="right" w:leader="dot" w:pos="8300"/>
        </w:tabs>
        <w:kinsoku/>
        <w:wordWrap/>
        <w:overflowPunct/>
        <w:topLinePunct w:val="0"/>
        <w:autoSpaceDE/>
        <w:autoSpaceDN/>
        <w:bidi w:val="0"/>
        <w:adjustRightInd w:val="0"/>
        <w:snapToGrid w:val="0"/>
        <w:spacing w:line="360" w:lineRule="auto"/>
        <w:textAlignment w:val="auto"/>
        <w:rPr>
          <w:highlight w:val="none"/>
        </w:rPr>
      </w:pPr>
      <w:r>
        <w:rPr>
          <w:rFonts w:ascii="宋体" w:hAnsi="宋体" w:eastAsia="宋体"/>
          <w:highlight w:val="none"/>
        </w:rPr>
        <w:fldChar w:fldCharType="begin"/>
      </w:r>
      <w:r>
        <w:rPr>
          <w:rFonts w:ascii="宋体" w:hAnsi="宋体" w:eastAsia="宋体"/>
          <w:highlight w:val="none"/>
        </w:rPr>
        <w:instrText xml:space="preserve"> HYPERLINK \l _Toc14698 </w:instrText>
      </w:r>
      <w:r>
        <w:rPr>
          <w:rFonts w:ascii="宋体" w:hAnsi="宋体" w:eastAsia="宋体"/>
          <w:highlight w:val="none"/>
        </w:rPr>
        <w:fldChar w:fldCharType="separate"/>
      </w:r>
      <w:r>
        <w:rPr>
          <w:rFonts w:hint="eastAsia" w:ascii="宋体" w:hAnsi="宋体" w:eastAsia="宋体"/>
          <w:highlight w:val="none"/>
        </w:rPr>
        <w:t>附件：基金合同摘要</w:t>
      </w:r>
      <w:r>
        <w:rPr>
          <w:highlight w:val="none"/>
        </w:rPr>
        <w:tab/>
      </w:r>
      <w:r>
        <w:rPr>
          <w:highlight w:val="none"/>
        </w:rPr>
        <w:fldChar w:fldCharType="begin"/>
      </w:r>
      <w:r>
        <w:rPr>
          <w:highlight w:val="none"/>
        </w:rPr>
        <w:instrText xml:space="preserve"> PAGEREF _Toc14698 \h </w:instrText>
      </w:r>
      <w:r>
        <w:rPr>
          <w:highlight w:val="none"/>
        </w:rPr>
        <w:fldChar w:fldCharType="separate"/>
      </w:r>
      <w:r>
        <w:rPr>
          <w:highlight w:val="none"/>
        </w:rPr>
        <w:t>28</w:t>
      </w:r>
      <w:r>
        <w:rPr>
          <w:highlight w:val="none"/>
        </w:rPr>
        <w:fldChar w:fldCharType="end"/>
      </w:r>
      <w:r>
        <w:rPr>
          <w:rFonts w:ascii="宋体" w:hAnsi="宋体" w:eastAsia="宋体"/>
          <w:highlight w:val="none"/>
        </w:rPr>
        <w:fldChar w:fldCharType="end"/>
      </w:r>
    </w:p>
    <w:p w14:paraId="212AB3EA">
      <w:pPr>
        <w:keepNext w:val="0"/>
        <w:keepLines w:val="0"/>
        <w:pageBreakBefore w:val="0"/>
        <w:widowControl/>
        <w:kinsoku/>
        <w:wordWrap/>
        <w:overflowPunct/>
        <w:topLinePunct w:val="0"/>
        <w:autoSpaceDE/>
        <w:autoSpaceDN/>
        <w:bidi w:val="0"/>
        <w:adjustRightInd w:val="0"/>
        <w:snapToGrid w:val="0"/>
        <w:spacing w:line="360" w:lineRule="auto"/>
        <w:ind w:left="-2" w:leftChars="-1"/>
        <w:jc w:val="center"/>
        <w:textAlignment w:val="auto"/>
        <w:rPr>
          <w:rFonts w:ascii="宋体" w:hAnsi="宋体" w:eastAsia="宋体"/>
          <w:highlight w:val="none"/>
        </w:rPr>
        <w:sectPr>
          <w:headerReference r:id="rId5" w:type="default"/>
          <w:pgSz w:w="11906" w:h="16838"/>
          <w:pgMar w:top="1440" w:right="1803" w:bottom="1440" w:left="1803" w:header="851" w:footer="992" w:gutter="0"/>
          <w:cols w:space="425" w:num="1"/>
          <w:docGrid w:type="lines" w:linePitch="312" w:charSpace="0"/>
        </w:sectPr>
      </w:pPr>
      <w:r>
        <w:rPr>
          <w:rFonts w:ascii="宋体" w:hAnsi="宋体" w:eastAsia="宋体"/>
          <w:highlight w:val="none"/>
        </w:rPr>
        <w:fldChar w:fldCharType="end"/>
      </w:r>
    </w:p>
    <w:p w14:paraId="36750FA5">
      <w:pPr>
        <w:pStyle w:val="2"/>
        <w:jc w:val="center"/>
        <w:rPr>
          <w:rFonts w:ascii="宋体" w:hAnsi="宋体" w:eastAsia="宋体"/>
          <w:sz w:val="30"/>
          <w:highlight w:val="none"/>
        </w:rPr>
      </w:pPr>
      <w:bookmarkStart w:id="0" w:name="_Toc16628"/>
      <w:bookmarkStart w:id="1" w:name="chapter_level1_1_56143"/>
      <w:r>
        <w:rPr>
          <w:rFonts w:hint="eastAsia" w:ascii="宋体" w:hAnsi="宋体" w:eastAsia="宋体"/>
          <w:sz w:val="30"/>
          <w:highlight w:val="none"/>
        </w:rPr>
        <w:t>一、重要声明与提示</w:t>
      </w:r>
      <w:bookmarkEnd w:id="0"/>
      <w:bookmarkEnd w:id="1"/>
      <w:bookmarkStart w:id="2" w:name="start"/>
      <w:bookmarkEnd w:id="2"/>
    </w:p>
    <w:p w14:paraId="046CD8CA">
      <w:pPr>
        <w:pStyle w:val="9"/>
        <w:spacing w:before="0" w:beforeAutospacing="0" w:after="0" w:afterAutospacing="0" w:line="360" w:lineRule="auto"/>
        <w:ind w:firstLine="420"/>
        <w:jc w:val="both"/>
        <w:rPr>
          <w:sz w:val="21"/>
          <w:szCs w:val="21"/>
          <w:highlight w:val="none"/>
        </w:rPr>
      </w:pPr>
      <w:bookmarkStart w:id="3" w:name="chapter_level1_1_56143_section_1"/>
      <w:bookmarkEnd w:id="3"/>
      <w:r>
        <w:rPr>
          <w:rFonts w:hint="eastAsia"/>
          <w:sz w:val="21"/>
          <w:szCs w:val="21"/>
          <w:highlight w:val="none"/>
          <w:lang w:eastAsia="zh-CN"/>
        </w:rPr>
        <w:t>博时中证全指红利质量交易型开放式指数证券投资基金</w:t>
      </w:r>
      <w:r>
        <w:rPr>
          <w:rFonts w:hint="eastAsia"/>
          <w:sz w:val="21"/>
          <w:szCs w:val="21"/>
          <w:highlight w:val="none"/>
        </w:rPr>
        <w:t>（以下简称“本基金”）上市交易公告书依据《中华人民共和国证券投资基金法》（以下简称“《基金法》”）、《证券投资基金信息披露内容与格式准则第1号〈上市交易公告书的内容与格式〉》和《上海证券交易所证券投资基金上市规则》的规定编制，</w:t>
      </w:r>
      <w:bookmarkStart w:id="4" w:name="field_0_managerorgfullname_1"/>
      <w:r>
        <w:rPr>
          <w:rFonts w:hint="eastAsia"/>
          <w:sz w:val="21"/>
          <w:szCs w:val="21"/>
          <w:highlight w:val="none"/>
        </w:rPr>
        <w:t>博时基金管理有限公司</w:t>
      </w:r>
      <w:bookmarkEnd w:id="4"/>
      <w:r>
        <w:rPr>
          <w:rFonts w:hint="eastAsia"/>
          <w:sz w:val="21"/>
          <w:szCs w:val="21"/>
          <w:highlight w:val="none"/>
        </w:rPr>
        <w:t>（以下简称“本基金管理人”）的董事会及董事保证本报告所载资料不存在虚假记载、误导性陈述或者重大遗漏，并对其内容的真实性、准确性和完整性承担个别及连带责任。本基金托管人</w:t>
      </w:r>
      <w:r>
        <w:rPr>
          <w:rFonts w:hint="eastAsia"/>
          <w:sz w:val="21"/>
          <w:szCs w:val="21"/>
          <w:highlight w:val="none"/>
          <w:lang w:eastAsia="zh-CN"/>
        </w:rPr>
        <w:t>中国建设银行股份有限公司</w:t>
      </w:r>
      <w:r>
        <w:rPr>
          <w:rFonts w:hint="eastAsia"/>
          <w:sz w:val="21"/>
          <w:szCs w:val="21"/>
          <w:highlight w:val="none"/>
        </w:rPr>
        <w:t xml:space="preserve">保证本报告书中基金财务会计资料等内容的真实性、准确性和完整性，承诺其中不存在虚假记载、误导性陈述或者重大遗漏。 </w:t>
      </w:r>
    </w:p>
    <w:p w14:paraId="51583162">
      <w:pPr>
        <w:pStyle w:val="9"/>
        <w:spacing w:before="0" w:beforeAutospacing="0" w:after="0" w:afterAutospacing="0" w:line="360" w:lineRule="auto"/>
        <w:ind w:firstLine="420"/>
        <w:jc w:val="both"/>
        <w:rPr>
          <w:rFonts w:ascii="Times New Roman" w:hAnsi="Times New Roman" w:cs="Times New Roman"/>
          <w:sz w:val="21"/>
          <w:szCs w:val="21"/>
          <w:highlight w:val="none"/>
        </w:rPr>
        <w:sectPr>
          <w:pgSz w:w="11906" w:h="16838"/>
          <w:pgMar w:top="1440" w:right="1803" w:bottom="1440" w:left="1803" w:header="851" w:footer="992" w:gutter="0"/>
          <w:cols w:space="425" w:num="1"/>
          <w:docGrid w:type="lines" w:linePitch="312" w:charSpace="0"/>
        </w:sectPr>
      </w:pPr>
      <w:r>
        <w:rPr>
          <w:rFonts w:hint="eastAsia"/>
          <w:sz w:val="21"/>
          <w:szCs w:val="21"/>
          <w:highlight w:val="none"/>
        </w:rPr>
        <w:t>中国证券监督管理委员会（以下简称“中国证监会”）和上海证券交易所对本基金上市交易及有关事项的意见，均不表明对本基金的任何保证。凡本上市交易公告书未涉及的有关内容，投资者欲了解</w:t>
      </w:r>
      <w:r>
        <w:rPr>
          <w:rFonts w:hint="eastAsia"/>
          <w:sz w:val="21"/>
          <w:szCs w:val="21"/>
          <w:highlight w:val="none"/>
          <w:lang w:eastAsia="zh-CN"/>
        </w:rPr>
        <w:t>博时中证全指红利质量交易型开放式指数证券投资基金</w:t>
      </w:r>
      <w:r>
        <w:rPr>
          <w:rFonts w:hint="eastAsia"/>
          <w:sz w:val="21"/>
          <w:szCs w:val="21"/>
          <w:highlight w:val="none"/>
        </w:rPr>
        <w:t>的详细情况，请详细阅读发布在本公司网站</w:t>
      </w:r>
      <w:r>
        <w:rPr>
          <w:rFonts w:ascii="Times New Roman" w:hAnsi="Times New Roman" w:cs="Times New Roman"/>
          <w:sz w:val="21"/>
          <w:szCs w:val="21"/>
          <w:highlight w:val="none"/>
        </w:rPr>
        <w:t>（</w:t>
      </w:r>
      <w:r>
        <w:rPr>
          <w:highlight w:val="none"/>
        </w:rPr>
        <w:fldChar w:fldCharType="begin"/>
      </w:r>
      <w:r>
        <w:rPr>
          <w:highlight w:val="none"/>
        </w:rPr>
        <w:instrText xml:space="preserve"> HYPERLINK "http://www.bosera.com/" </w:instrText>
      </w:r>
      <w:r>
        <w:rPr>
          <w:highlight w:val="none"/>
        </w:rPr>
        <w:fldChar w:fldCharType="separate"/>
      </w:r>
      <w:r>
        <w:rPr>
          <w:rStyle w:val="17"/>
          <w:rFonts w:ascii="Times New Roman" w:hAnsi="Times New Roman" w:cs="Times New Roman"/>
          <w:sz w:val="21"/>
          <w:szCs w:val="21"/>
          <w:highlight w:val="none"/>
        </w:rPr>
        <w:t>http</w:t>
      </w:r>
      <w:r>
        <w:rPr>
          <w:rStyle w:val="17"/>
          <w:rFonts w:hint="eastAsia" w:ascii="Times New Roman" w:hAnsi="Times New Roman" w:cs="Times New Roman"/>
          <w:sz w:val="21"/>
          <w:szCs w:val="21"/>
          <w:highlight w:val="none"/>
          <w:lang w:val="en-US" w:eastAsia="zh-CN"/>
        </w:rPr>
        <w:t>s</w:t>
      </w:r>
      <w:r>
        <w:rPr>
          <w:rStyle w:val="17"/>
          <w:rFonts w:ascii="Times New Roman" w:hAnsi="Times New Roman" w:cs="Times New Roman"/>
          <w:sz w:val="21"/>
          <w:szCs w:val="21"/>
          <w:highlight w:val="none"/>
        </w:rPr>
        <w:t>://www.bosera.com/</w:t>
      </w:r>
      <w:r>
        <w:rPr>
          <w:rStyle w:val="17"/>
          <w:rFonts w:ascii="Times New Roman" w:hAnsi="Times New Roman" w:cs="Times New Roman"/>
          <w:sz w:val="21"/>
          <w:szCs w:val="21"/>
          <w:highlight w:val="none"/>
        </w:rPr>
        <w:fldChar w:fldCharType="end"/>
      </w:r>
      <w:r>
        <w:rPr>
          <w:rFonts w:ascii="Times New Roman" w:hAnsi="Times New Roman" w:cs="Times New Roman"/>
          <w:sz w:val="21"/>
          <w:szCs w:val="21"/>
          <w:highlight w:val="none"/>
        </w:rPr>
        <w:t>）</w:t>
      </w:r>
      <w:r>
        <w:rPr>
          <w:rFonts w:hint="eastAsia"/>
          <w:sz w:val="21"/>
          <w:szCs w:val="21"/>
          <w:highlight w:val="none"/>
        </w:rPr>
        <w:t>和中国证监会基金电子披露网站</w:t>
      </w:r>
      <w:r>
        <w:rPr>
          <w:rFonts w:hint="eastAsia" w:ascii="Times New Roman" w:hAnsi="Times New Roman" w:cs="Times New Roman"/>
          <w:sz w:val="21"/>
          <w:szCs w:val="21"/>
          <w:highlight w:val="none"/>
        </w:rPr>
        <w:t>（http://eid.csrc.gov.cn/fund）</w:t>
      </w:r>
      <w:r>
        <w:rPr>
          <w:rFonts w:hint="eastAsia"/>
          <w:sz w:val="21"/>
          <w:szCs w:val="21"/>
          <w:highlight w:val="none"/>
        </w:rPr>
        <w:t xml:space="preserve">上的本基金招募说明书、产品资料概要。 </w:t>
      </w:r>
    </w:p>
    <w:p w14:paraId="30D5110F">
      <w:pPr>
        <w:pStyle w:val="2"/>
        <w:jc w:val="center"/>
        <w:rPr>
          <w:rFonts w:ascii="宋体" w:hAnsi="宋体" w:eastAsia="宋体"/>
          <w:sz w:val="30"/>
          <w:highlight w:val="none"/>
        </w:rPr>
      </w:pPr>
      <w:bookmarkStart w:id="5" w:name="_Toc1668"/>
      <w:bookmarkStart w:id="6" w:name="chapter_level1_2_56144"/>
      <w:r>
        <w:rPr>
          <w:rFonts w:hint="eastAsia" w:ascii="宋体" w:hAnsi="宋体" w:eastAsia="宋体"/>
          <w:sz w:val="30"/>
          <w:highlight w:val="none"/>
        </w:rPr>
        <w:t>二、基金概览</w:t>
      </w:r>
      <w:bookmarkEnd w:id="5"/>
      <w:bookmarkEnd w:id="6"/>
    </w:p>
    <w:p w14:paraId="07CB11AE">
      <w:pPr>
        <w:pStyle w:val="9"/>
        <w:spacing w:before="0" w:beforeAutospacing="0" w:after="0" w:afterAutospacing="0" w:line="360" w:lineRule="auto"/>
        <w:ind w:firstLine="420"/>
        <w:jc w:val="both"/>
        <w:rPr>
          <w:sz w:val="21"/>
          <w:szCs w:val="21"/>
          <w:highlight w:val="none"/>
        </w:rPr>
      </w:pPr>
      <w:bookmarkStart w:id="7" w:name="chapter_level1_2_56144_section_1"/>
      <w:bookmarkEnd w:id="7"/>
      <w:r>
        <w:rPr>
          <w:rFonts w:hint="eastAsia"/>
          <w:sz w:val="21"/>
          <w:szCs w:val="21"/>
          <w:highlight w:val="none"/>
        </w:rPr>
        <w:t>1、基金名称：</w:t>
      </w:r>
      <w:r>
        <w:rPr>
          <w:rFonts w:hint="eastAsia"/>
          <w:sz w:val="21"/>
          <w:szCs w:val="21"/>
          <w:highlight w:val="none"/>
          <w:lang w:eastAsia="zh-CN"/>
        </w:rPr>
        <w:t>博时中证全指红利质量交易型开放式指数证券投资基金</w:t>
      </w:r>
      <w:r>
        <w:rPr>
          <w:rFonts w:hint="eastAsia"/>
          <w:sz w:val="21"/>
          <w:szCs w:val="21"/>
          <w:highlight w:val="none"/>
        </w:rPr>
        <w:t xml:space="preserve"> </w:t>
      </w:r>
    </w:p>
    <w:p w14:paraId="7CEDC2DC">
      <w:pPr>
        <w:pStyle w:val="9"/>
        <w:spacing w:before="0" w:beforeAutospacing="0" w:after="0" w:afterAutospacing="0" w:line="360" w:lineRule="auto"/>
        <w:ind w:firstLine="420"/>
        <w:jc w:val="both"/>
        <w:rPr>
          <w:sz w:val="21"/>
          <w:szCs w:val="21"/>
          <w:highlight w:val="none"/>
        </w:rPr>
      </w:pPr>
      <w:r>
        <w:rPr>
          <w:rFonts w:hint="eastAsia"/>
          <w:sz w:val="21"/>
          <w:szCs w:val="21"/>
          <w:highlight w:val="none"/>
        </w:rPr>
        <w:t xml:space="preserve">2、基金类型：股票型证券投资基金 </w:t>
      </w:r>
    </w:p>
    <w:p w14:paraId="1F46F7E9">
      <w:pPr>
        <w:pStyle w:val="9"/>
        <w:spacing w:before="0" w:beforeAutospacing="0" w:after="0" w:afterAutospacing="0" w:line="360" w:lineRule="auto"/>
        <w:ind w:firstLine="420"/>
        <w:jc w:val="both"/>
        <w:rPr>
          <w:sz w:val="21"/>
          <w:szCs w:val="21"/>
          <w:highlight w:val="none"/>
        </w:rPr>
      </w:pPr>
      <w:r>
        <w:rPr>
          <w:rFonts w:hint="eastAsia"/>
          <w:sz w:val="21"/>
          <w:szCs w:val="21"/>
          <w:highlight w:val="none"/>
        </w:rPr>
        <w:t>3、运作方式：</w:t>
      </w:r>
      <w:bookmarkStart w:id="8" w:name="field_0_operation_1"/>
      <w:r>
        <w:rPr>
          <w:rFonts w:hint="eastAsia"/>
          <w:sz w:val="21"/>
          <w:szCs w:val="21"/>
          <w:highlight w:val="none"/>
        </w:rPr>
        <w:t>交易型开放式</w:t>
      </w:r>
      <w:bookmarkEnd w:id="8"/>
      <w:r>
        <w:rPr>
          <w:rFonts w:hint="eastAsia"/>
          <w:sz w:val="21"/>
          <w:szCs w:val="21"/>
          <w:highlight w:val="none"/>
        </w:rPr>
        <w:t xml:space="preserve"> </w:t>
      </w:r>
    </w:p>
    <w:p w14:paraId="62FA8EBB">
      <w:pPr>
        <w:pStyle w:val="9"/>
        <w:spacing w:before="0" w:beforeAutospacing="0" w:after="0" w:afterAutospacing="0" w:line="360" w:lineRule="auto"/>
        <w:ind w:firstLine="420"/>
        <w:jc w:val="both"/>
        <w:rPr>
          <w:sz w:val="21"/>
          <w:szCs w:val="21"/>
          <w:highlight w:val="none"/>
        </w:rPr>
      </w:pPr>
      <w:r>
        <w:rPr>
          <w:rFonts w:hint="eastAsia"/>
          <w:sz w:val="21"/>
          <w:szCs w:val="21"/>
          <w:highlight w:val="none"/>
        </w:rPr>
        <w:t>4、基金存续期限：</w:t>
      </w:r>
      <w:bookmarkStart w:id="9" w:name="field_0_duration_1"/>
      <w:r>
        <w:rPr>
          <w:rFonts w:hint="eastAsia"/>
          <w:sz w:val="21"/>
          <w:szCs w:val="21"/>
          <w:highlight w:val="none"/>
        </w:rPr>
        <w:t>不定期</w:t>
      </w:r>
      <w:bookmarkEnd w:id="9"/>
      <w:r>
        <w:rPr>
          <w:rFonts w:hint="eastAsia"/>
          <w:sz w:val="21"/>
          <w:szCs w:val="21"/>
          <w:highlight w:val="none"/>
        </w:rPr>
        <w:t xml:space="preserve"> </w:t>
      </w:r>
    </w:p>
    <w:p w14:paraId="7A1453F4">
      <w:pPr>
        <w:pStyle w:val="9"/>
        <w:spacing w:before="0" w:beforeAutospacing="0" w:after="0" w:afterAutospacing="0" w:line="360" w:lineRule="auto"/>
        <w:ind w:firstLine="420"/>
        <w:jc w:val="both"/>
        <w:rPr>
          <w:sz w:val="21"/>
          <w:szCs w:val="21"/>
          <w:highlight w:val="none"/>
        </w:rPr>
      </w:pPr>
      <w:r>
        <w:rPr>
          <w:rFonts w:hint="eastAsia"/>
          <w:sz w:val="21"/>
          <w:szCs w:val="21"/>
          <w:highlight w:val="none"/>
        </w:rPr>
        <w:t>5、基金简称：</w:t>
      </w:r>
      <w:r>
        <w:rPr>
          <w:rFonts w:hint="eastAsia"/>
          <w:sz w:val="21"/>
          <w:szCs w:val="21"/>
          <w:highlight w:val="none"/>
          <w:lang w:eastAsia="zh-CN"/>
        </w:rPr>
        <w:t>博时中证全指红利质量ETF</w:t>
      </w:r>
      <w:r>
        <w:rPr>
          <w:rFonts w:hint="eastAsia"/>
          <w:sz w:val="21"/>
          <w:szCs w:val="21"/>
          <w:highlight w:val="none"/>
        </w:rPr>
        <w:t xml:space="preserve"> </w:t>
      </w:r>
    </w:p>
    <w:p w14:paraId="763CFE2D">
      <w:pPr>
        <w:pStyle w:val="9"/>
        <w:spacing w:before="0" w:beforeAutospacing="0" w:after="0" w:afterAutospacing="0" w:line="360" w:lineRule="auto"/>
        <w:ind w:firstLine="420"/>
        <w:jc w:val="both"/>
        <w:rPr>
          <w:sz w:val="21"/>
          <w:szCs w:val="21"/>
          <w:highlight w:val="none"/>
        </w:rPr>
      </w:pPr>
      <w:r>
        <w:rPr>
          <w:rFonts w:hint="eastAsia"/>
          <w:sz w:val="21"/>
          <w:szCs w:val="21"/>
          <w:highlight w:val="none"/>
        </w:rPr>
        <w:t xml:space="preserve">6、基金二级市场交易简称及交易代码 </w:t>
      </w:r>
    </w:p>
    <w:p w14:paraId="36636496">
      <w:pPr>
        <w:pStyle w:val="9"/>
        <w:spacing w:before="0" w:beforeAutospacing="0" w:after="0" w:afterAutospacing="0" w:line="360" w:lineRule="auto"/>
        <w:ind w:firstLine="420"/>
        <w:jc w:val="both"/>
        <w:rPr>
          <w:rFonts w:hint="eastAsia" w:eastAsia="宋体"/>
          <w:sz w:val="21"/>
          <w:szCs w:val="21"/>
          <w:highlight w:val="none"/>
          <w:lang w:eastAsia="zh-CN"/>
        </w:rPr>
      </w:pPr>
      <w:r>
        <w:rPr>
          <w:rFonts w:hint="eastAsia"/>
          <w:sz w:val="21"/>
          <w:szCs w:val="21"/>
          <w:highlight w:val="none"/>
        </w:rPr>
        <w:t>证券简称：</w:t>
      </w:r>
      <w:r>
        <w:rPr>
          <w:rFonts w:hint="eastAsia"/>
          <w:sz w:val="21"/>
          <w:szCs w:val="21"/>
          <w:highlight w:val="none"/>
          <w:lang w:val="en-US" w:eastAsia="zh-CN"/>
        </w:rPr>
        <w:t>全指质量</w:t>
      </w:r>
      <w:r>
        <w:rPr>
          <w:rFonts w:hint="eastAsia"/>
          <w:sz w:val="21"/>
          <w:szCs w:val="21"/>
          <w:highlight w:val="none"/>
        </w:rPr>
        <w:t>，扩位证券简称：</w:t>
      </w:r>
      <w:r>
        <w:rPr>
          <w:rFonts w:hint="eastAsia"/>
          <w:sz w:val="21"/>
          <w:szCs w:val="21"/>
          <w:highlight w:val="none"/>
          <w:lang w:val="en-US" w:eastAsia="zh-CN"/>
        </w:rPr>
        <w:t>红利质量ETF博时</w:t>
      </w:r>
      <w:r>
        <w:rPr>
          <w:rFonts w:hint="eastAsia"/>
          <w:sz w:val="21"/>
          <w:szCs w:val="21"/>
          <w:highlight w:val="none"/>
        </w:rPr>
        <w:t>，交易代码：</w:t>
      </w:r>
      <w:r>
        <w:rPr>
          <w:rFonts w:hint="eastAsia"/>
          <w:sz w:val="21"/>
          <w:szCs w:val="21"/>
          <w:highlight w:val="none"/>
          <w:lang w:eastAsia="zh-CN"/>
        </w:rPr>
        <w:t>561430</w:t>
      </w:r>
    </w:p>
    <w:p w14:paraId="29B638B4">
      <w:pPr>
        <w:pStyle w:val="9"/>
        <w:spacing w:before="0" w:beforeAutospacing="0" w:after="0" w:afterAutospacing="0" w:line="360" w:lineRule="auto"/>
        <w:ind w:firstLine="420"/>
        <w:jc w:val="both"/>
        <w:rPr>
          <w:sz w:val="21"/>
          <w:szCs w:val="21"/>
          <w:highlight w:val="none"/>
        </w:rPr>
      </w:pPr>
      <w:r>
        <w:rPr>
          <w:rFonts w:hint="eastAsia"/>
          <w:sz w:val="21"/>
          <w:szCs w:val="21"/>
          <w:highlight w:val="none"/>
        </w:rPr>
        <w:t>7、截至公告日前两个工作日的基金份额总额：截至</w:t>
      </w:r>
      <w:r>
        <w:rPr>
          <w:rFonts w:hint="eastAsia"/>
          <w:sz w:val="21"/>
          <w:szCs w:val="21"/>
          <w:highlight w:val="none"/>
          <w:lang w:eastAsia="zh-CN"/>
        </w:rPr>
        <w:t>2026年6月23日</w:t>
      </w:r>
      <w:r>
        <w:rPr>
          <w:rFonts w:hint="eastAsia"/>
          <w:sz w:val="21"/>
          <w:szCs w:val="21"/>
          <w:highlight w:val="none"/>
        </w:rPr>
        <w:t>，本基金的基金份额总额为</w:t>
      </w:r>
      <w:r>
        <w:rPr>
          <w:rFonts w:hint="eastAsia"/>
          <w:sz w:val="21"/>
          <w:szCs w:val="21"/>
          <w:highlight w:val="none"/>
          <w:lang w:eastAsia="zh-CN"/>
        </w:rPr>
        <w:t>262,223,183.00</w:t>
      </w:r>
      <w:r>
        <w:rPr>
          <w:rFonts w:hint="eastAsia"/>
          <w:sz w:val="21"/>
          <w:szCs w:val="21"/>
          <w:highlight w:val="none"/>
        </w:rPr>
        <w:t>份。</w:t>
      </w:r>
    </w:p>
    <w:p w14:paraId="767F0141">
      <w:pPr>
        <w:pStyle w:val="9"/>
        <w:spacing w:before="0" w:beforeAutospacing="0" w:after="0" w:afterAutospacing="0" w:line="360" w:lineRule="auto"/>
        <w:ind w:firstLine="420"/>
        <w:jc w:val="both"/>
        <w:rPr>
          <w:sz w:val="21"/>
          <w:szCs w:val="21"/>
          <w:highlight w:val="none"/>
        </w:rPr>
      </w:pPr>
      <w:r>
        <w:rPr>
          <w:rFonts w:hint="eastAsia"/>
          <w:sz w:val="21"/>
          <w:szCs w:val="21"/>
          <w:highlight w:val="none"/>
        </w:rPr>
        <w:t>8、截至公告日前两个工作日的基金份额净值：截至</w:t>
      </w:r>
      <w:r>
        <w:rPr>
          <w:rFonts w:hint="eastAsia"/>
          <w:sz w:val="21"/>
          <w:szCs w:val="21"/>
          <w:highlight w:val="none"/>
          <w:lang w:eastAsia="zh-CN"/>
        </w:rPr>
        <w:t>2026年6月23日</w:t>
      </w:r>
      <w:r>
        <w:rPr>
          <w:rFonts w:hint="eastAsia"/>
          <w:sz w:val="21"/>
          <w:szCs w:val="21"/>
          <w:highlight w:val="none"/>
        </w:rPr>
        <w:t>，本基金的基金份额净值为</w:t>
      </w:r>
      <w:r>
        <w:rPr>
          <w:rFonts w:hint="eastAsia"/>
          <w:sz w:val="21"/>
          <w:szCs w:val="21"/>
          <w:highlight w:val="none"/>
          <w:lang w:eastAsia="zh-CN"/>
        </w:rPr>
        <w:t>0.9976</w:t>
      </w:r>
      <w:r>
        <w:rPr>
          <w:rFonts w:hint="eastAsia"/>
          <w:sz w:val="21"/>
          <w:szCs w:val="21"/>
          <w:highlight w:val="none"/>
        </w:rPr>
        <w:t>元。</w:t>
      </w:r>
    </w:p>
    <w:p w14:paraId="5CF64830">
      <w:pPr>
        <w:pStyle w:val="9"/>
        <w:spacing w:before="0" w:beforeAutospacing="0" w:after="0" w:afterAutospacing="0" w:line="360" w:lineRule="auto"/>
        <w:ind w:firstLine="420"/>
        <w:jc w:val="both"/>
        <w:rPr>
          <w:sz w:val="21"/>
          <w:szCs w:val="21"/>
          <w:highlight w:val="none"/>
        </w:rPr>
      </w:pPr>
      <w:r>
        <w:rPr>
          <w:rFonts w:hint="eastAsia"/>
          <w:sz w:val="21"/>
          <w:szCs w:val="21"/>
          <w:highlight w:val="none"/>
        </w:rPr>
        <w:t>9、本次上市交易的基金份额总额：截至</w:t>
      </w:r>
      <w:r>
        <w:rPr>
          <w:rFonts w:hint="eastAsia"/>
          <w:sz w:val="21"/>
          <w:szCs w:val="21"/>
          <w:highlight w:val="none"/>
          <w:lang w:eastAsia="zh-CN"/>
        </w:rPr>
        <w:t>2026年6月23日</w:t>
      </w:r>
      <w:r>
        <w:rPr>
          <w:rFonts w:hint="eastAsia"/>
          <w:sz w:val="21"/>
          <w:szCs w:val="21"/>
          <w:highlight w:val="none"/>
        </w:rPr>
        <w:t>，本次上市交易的基金份额总额为</w:t>
      </w:r>
      <w:r>
        <w:rPr>
          <w:rFonts w:hint="eastAsia"/>
          <w:sz w:val="21"/>
          <w:szCs w:val="21"/>
          <w:highlight w:val="none"/>
          <w:lang w:eastAsia="zh-CN"/>
        </w:rPr>
        <w:t>262,223,183.00</w:t>
      </w:r>
      <w:r>
        <w:rPr>
          <w:rFonts w:hint="eastAsia"/>
          <w:sz w:val="21"/>
          <w:szCs w:val="21"/>
          <w:highlight w:val="none"/>
        </w:rPr>
        <w:t>份。</w:t>
      </w:r>
    </w:p>
    <w:p w14:paraId="149EB745">
      <w:pPr>
        <w:pStyle w:val="9"/>
        <w:spacing w:before="0" w:beforeAutospacing="0" w:after="0" w:afterAutospacing="0" w:line="360" w:lineRule="auto"/>
        <w:ind w:firstLine="420"/>
        <w:jc w:val="both"/>
        <w:rPr>
          <w:sz w:val="21"/>
          <w:szCs w:val="21"/>
          <w:highlight w:val="none"/>
        </w:rPr>
      </w:pPr>
      <w:r>
        <w:rPr>
          <w:rFonts w:hint="eastAsia"/>
          <w:sz w:val="21"/>
          <w:szCs w:val="21"/>
          <w:highlight w:val="none"/>
        </w:rPr>
        <w:t>10、上市交易的证券交易所：</w:t>
      </w:r>
      <w:bookmarkStart w:id="10" w:name="field_0_listedlandname_1"/>
      <w:r>
        <w:rPr>
          <w:rFonts w:hint="eastAsia"/>
          <w:sz w:val="21"/>
          <w:szCs w:val="21"/>
          <w:highlight w:val="none"/>
        </w:rPr>
        <w:t>上海证券交易所</w:t>
      </w:r>
      <w:bookmarkEnd w:id="10"/>
      <w:r>
        <w:rPr>
          <w:rFonts w:hint="eastAsia"/>
          <w:sz w:val="21"/>
          <w:szCs w:val="21"/>
          <w:highlight w:val="none"/>
        </w:rPr>
        <w:t xml:space="preserve"> </w:t>
      </w:r>
    </w:p>
    <w:p w14:paraId="01286021">
      <w:pPr>
        <w:pStyle w:val="9"/>
        <w:spacing w:before="0" w:beforeAutospacing="0" w:after="0" w:afterAutospacing="0" w:line="360" w:lineRule="auto"/>
        <w:ind w:firstLine="420"/>
        <w:jc w:val="both"/>
        <w:rPr>
          <w:rFonts w:hint="eastAsia" w:eastAsia="宋体"/>
          <w:sz w:val="21"/>
          <w:szCs w:val="21"/>
          <w:highlight w:val="none"/>
          <w:lang w:eastAsia="zh-CN"/>
        </w:rPr>
      </w:pPr>
      <w:r>
        <w:rPr>
          <w:rFonts w:hint="eastAsia"/>
          <w:sz w:val="21"/>
          <w:szCs w:val="21"/>
          <w:highlight w:val="none"/>
        </w:rPr>
        <w:t>11、上市交易日期：</w:t>
      </w:r>
      <w:r>
        <w:rPr>
          <w:rFonts w:hint="eastAsia"/>
          <w:sz w:val="21"/>
          <w:szCs w:val="21"/>
          <w:highlight w:val="none"/>
          <w:lang w:eastAsia="zh-CN"/>
        </w:rPr>
        <w:t>2026年6月30日</w:t>
      </w:r>
    </w:p>
    <w:p w14:paraId="32AF5137">
      <w:pPr>
        <w:pStyle w:val="9"/>
        <w:spacing w:before="0" w:beforeAutospacing="0" w:after="0" w:afterAutospacing="0" w:line="360" w:lineRule="auto"/>
        <w:ind w:firstLine="420"/>
        <w:jc w:val="both"/>
        <w:rPr>
          <w:sz w:val="21"/>
          <w:szCs w:val="21"/>
          <w:highlight w:val="none"/>
        </w:rPr>
      </w:pPr>
      <w:r>
        <w:rPr>
          <w:rFonts w:hint="eastAsia"/>
          <w:sz w:val="21"/>
          <w:szCs w:val="21"/>
          <w:highlight w:val="none"/>
        </w:rPr>
        <w:t>12、基金管理人：</w:t>
      </w:r>
      <w:bookmarkStart w:id="11" w:name="field_0_managerorgfullname_2"/>
      <w:r>
        <w:rPr>
          <w:rFonts w:hint="eastAsia"/>
          <w:sz w:val="21"/>
          <w:szCs w:val="21"/>
          <w:highlight w:val="none"/>
        </w:rPr>
        <w:t>博时基金管理有限公司</w:t>
      </w:r>
      <w:bookmarkEnd w:id="11"/>
      <w:r>
        <w:rPr>
          <w:rFonts w:hint="eastAsia"/>
          <w:sz w:val="21"/>
          <w:szCs w:val="21"/>
          <w:highlight w:val="none"/>
        </w:rPr>
        <w:t xml:space="preserve"> </w:t>
      </w:r>
    </w:p>
    <w:p w14:paraId="0A5DFF49">
      <w:pPr>
        <w:pStyle w:val="9"/>
        <w:spacing w:before="0" w:beforeAutospacing="0" w:after="0" w:afterAutospacing="0" w:line="360" w:lineRule="auto"/>
        <w:ind w:firstLine="420"/>
        <w:jc w:val="both"/>
        <w:rPr>
          <w:sz w:val="21"/>
          <w:szCs w:val="21"/>
          <w:highlight w:val="none"/>
        </w:rPr>
      </w:pPr>
      <w:r>
        <w:rPr>
          <w:rFonts w:hint="eastAsia"/>
          <w:sz w:val="21"/>
          <w:szCs w:val="21"/>
          <w:highlight w:val="none"/>
        </w:rPr>
        <w:t>13、基金托管人：</w:t>
      </w:r>
      <w:r>
        <w:rPr>
          <w:rFonts w:hint="eastAsia"/>
          <w:sz w:val="21"/>
          <w:szCs w:val="21"/>
          <w:highlight w:val="none"/>
          <w:lang w:eastAsia="zh-CN"/>
        </w:rPr>
        <w:t>中国建设银行股份有限公司</w:t>
      </w:r>
      <w:r>
        <w:rPr>
          <w:rFonts w:hint="eastAsia"/>
          <w:sz w:val="21"/>
          <w:szCs w:val="21"/>
          <w:highlight w:val="none"/>
        </w:rPr>
        <w:t xml:space="preserve"> </w:t>
      </w:r>
    </w:p>
    <w:p w14:paraId="003684D3">
      <w:pPr>
        <w:pStyle w:val="9"/>
        <w:spacing w:before="0" w:beforeAutospacing="0" w:after="0" w:afterAutospacing="0" w:line="360" w:lineRule="auto"/>
        <w:ind w:firstLine="420"/>
        <w:jc w:val="both"/>
        <w:rPr>
          <w:sz w:val="21"/>
          <w:szCs w:val="21"/>
          <w:highlight w:val="none"/>
        </w:rPr>
      </w:pPr>
      <w:r>
        <w:rPr>
          <w:rFonts w:hint="eastAsia"/>
          <w:sz w:val="21"/>
          <w:szCs w:val="21"/>
          <w:highlight w:val="none"/>
        </w:rPr>
        <w:t>14、登记机构：</w:t>
      </w:r>
      <w:bookmarkStart w:id="12" w:name="field_0_registerorgfullname_1"/>
      <w:r>
        <w:rPr>
          <w:rFonts w:hint="eastAsia"/>
          <w:sz w:val="21"/>
          <w:szCs w:val="21"/>
          <w:highlight w:val="none"/>
        </w:rPr>
        <w:t>中国证券登记结算有限责任公司</w:t>
      </w:r>
      <w:bookmarkEnd w:id="12"/>
      <w:r>
        <w:rPr>
          <w:rFonts w:hint="eastAsia"/>
          <w:sz w:val="21"/>
          <w:szCs w:val="21"/>
          <w:highlight w:val="none"/>
        </w:rPr>
        <w:t xml:space="preserve"> </w:t>
      </w:r>
    </w:p>
    <w:p w14:paraId="01425DC2">
      <w:pPr>
        <w:pStyle w:val="9"/>
        <w:spacing w:before="0" w:beforeAutospacing="0" w:after="0" w:afterAutospacing="0" w:line="360" w:lineRule="auto"/>
        <w:ind w:firstLine="420"/>
        <w:jc w:val="both"/>
        <w:rPr>
          <w:rFonts w:hint="eastAsia" w:eastAsia="宋体"/>
          <w:sz w:val="21"/>
          <w:szCs w:val="21"/>
          <w:highlight w:val="none"/>
          <w:lang w:eastAsia="zh-CN"/>
        </w:rPr>
        <w:sectPr>
          <w:pgSz w:w="11906" w:h="16838"/>
          <w:pgMar w:top="1440" w:right="1803" w:bottom="1440" w:left="1803" w:header="851" w:footer="992" w:gutter="0"/>
          <w:cols w:space="425" w:num="1"/>
          <w:docGrid w:type="lines" w:linePitch="312" w:charSpace="0"/>
        </w:sectPr>
      </w:pPr>
      <w:bookmarkStart w:id="13" w:name="chapter_level1_2_56144_section_1_end"/>
      <w:bookmarkEnd w:id="13"/>
      <w:r>
        <w:rPr>
          <w:rFonts w:hint="eastAsia"/>
          <w:sz w:val="21"/>
          <w:szCs w:val="21"/>
          <w:highlight w:val="none"/>
        </w:rPr>
        <w:t>15、上市推荐人：</w:t>
      </w:r>
      <w:r>
        <w:rPr>
          <w:rFonts w:hint="eastAsia"/>
          <w:sz w:val="21"/>
          <w:szCs w:val="21"/>
          <w:highlight w:val="none"/>
          <w:lang w:val="en-US" w:eastAsia="zh-CN"/>
        </w:rPr>
        <w:t>招商证券股份有限公司</w:t>
      </w:r>
    </w:p>
    <w:p w14:paraId="20DF765A">
      <w:pPr>
        <w:pStyle w:val="2"/>
        <w:jc w:val="center"/>
        <w:rPr>
          <w:rFonts w:ascii="宋体" w:hAnsi="宋体" w:eastAsia="宋体"/>
          <w:sz w:val="30"/>
          <w:highlight w:val="none"/>
        </w:rPr>
      </w:pPr>
      <w:bookmarkStart w:id="14" w:name="chapter_level1_3_56145"/>
      <w:bookmarkStart w:id="15" w:name="_Toc3997"/>
      <w:r>
        <w:rPr>
          <w:rFonts w:hint="eastAsia" w:ascii="宋体" w:hAnsi="宋体" w:eastAsia="宋体"/>
          <w:sz w:val="30"/>
          <w:highlight w:val="none"/>
        </w:rPr>
        <w:t>三、基金的募集与上市交易</w:t>
      </w:r>
      <w:bookmarkEnd w:id="14"/>
      <w:bookmarkEnd w:id="15"/>
    </w:p>
    <w:p w14:paraId="19F8DEA0">
      <w:pPr>
        <w:pStyle w:val="9"/>
        <w:spacing w:before="0" w:beforeAutospacing="0" w:after="0" w:afterAutospacing="0" w:line="360" w:lineRule="auto"/>
        <w:ind w:firstLine="420"/>
        <w:jc w:val="both"/>
        <w:rPr>
          <w:sz w:val="21"/>
          <w:szCs w:val="21"/>
          <w:highlight w:val="none"/>
        </w:rPr>
      </w:pPr>
      <w:bookmarkStart w:id="16" w:name="chapter_level1_3_56145_section_1"/>
      <w:bookmarkEnd w:id="16"/>
      <w:r>
        <w:rPr>
          <w:rFonts w:hint="eastAsia"/>
          <w:sz w:val="21"/>
          <w:szCs w:val="21"/>
          <w:highlight w:val="none"/>
        </w:rPr>
        <w:t xml:space="preserve">（一）本基金上市前基金募集情况 </w:t>
      </w:r>
    </w:p>
    <w:p w14:paraId="7731B3EE">
      <w:pPr>
        <w:pStyle w:val="9"/>
        <w:spacing w:before="0" w:beforeAutospacing="0" w:after="0" w:afterAutospacing="0" w:line="360" w:lineRule="auto"/>
        <w:ind w:firstLine="420"/>
        <w:jc w:val="both"/>
        <w:rPr>
          <w:sz w:val="21"/>
          <w:szCs w:val="21"/>
          <w:highlight w:val="none"/>
        </w:rPr>
      </w:pPr>
      <w:r>
        <w:rPr>
          <w:rFonts w:hint="eastAsia"/>
          <w:sz w:val="21"/>
          <w:szCs w:val="21"/>
          <w:highlight w:val="none"/>
        </w:rPr>
        <w:t>1、基金募集申请的核准机构和核准文号：中国证监会证监许可</w:t>
      </w:r>
      <w:r>
        <w:rPr>
          <w:rFonts w:hint="eastAsia"/>
          <w:sz w:val="21"/>
          <w:szCs w:val="21"/>
          <w:highlight w:val="none"/>
          <w:lang w:eastAsia="zh-CN"/>
        </w:rPr>
        <w:t>[2026]1007</w:t>
      </w:r>
      <w:r>
        <w:rPr>
          <w:rFonts w:hint="eastAsia"/>
          <w:sz w:val="21"/>
          <w:szCs w:val="21"/>
          <w:highlight w:val="none"/>
        </w:rPr>
        <w:t>号文。</w:t>
      </w:r>
    </w:p>
    <w:p w14:paraId="2A2C6B3C">
      <w:pPr>
        <w:pStyle w:val="9"/>
        <w:spacing w:before="0" w:beforeAutospacing="0" w:after="0" w:afterAutospacing="0" w:line="360" w:lineRule="auto"/>
        <w:ind w:firstLine="420"/>
        <w:jc w:val="both"/>
        <w:rPr>
          <w:sz w:val="21"/>
          <w:szCs w:val="21"/>
          <w:highlight w:val="none"/>
        </w:rPr>
      </w:pPr>
      <w:r>
        <w:rPr>
          <w:rFonts w:hint="eastAsia"/>
          <w:sz w:val="21"/>
          <w:szCs w:val="21"/>
          <w:highlight w:val="none"/>
        </w:rPr>
        <w:t>2、基金运作方式：</w:t>
      </w:r>
      <w:bookmarkStart w:id="17" w:name="field_0_operation_2"/>
      <w:r>
        <w:rPr>
          <w:rFonts w:hint="eastAsia"/>
          <w:sz w:val="21"/>
          <w:szCs w:val="21"/>
          <w:highlight w:val="none"/>
        </w:rPr>
        <w:t>交易型开放式</w:t>
      </w:r>
      <w:bookmarkEnd w:id="17"/>
      <w:r>
        <w:rPr>
          <w:rFonts w:hint="eastAsia"/>
          <w:sz w:val="21"/>
          <w:szCs w:val="21"/>
          <w:highlight w:val="none"/>
        </w:rPr>
        <w:t>。</w:t>
      </w:r>
    </w:p>
    <w:p w14:paraId="729CB0B6">
      <w:pPr>
        <w:pStyle w:val="9"/>
        <w:spacing w:before="0" w:beforeAutospacing="0" w:after="0" w:afterAutospacing="0" w:line="360" w:lineRule="auto"/>
        <w:ind w:firstLine="420"/>
        <w:jc w:val="both"/>
        <w:rPr>
          <w:sz w:val="21"/>
          <w:szCs w:val="21"/>
          <w:highlight w:val="none"/>
        </w:rPr>
      </w:pPr>
      <w:r>
        <w:rPr>
          <w:sz w:val="21"/>
          <w:szCs w:val="21"/>
          <w:highlight w:val="none"/>
        </w:rPr>
        <w:t>3</w:t>
      </w:r>
      <w:r>
        <w:rPr>
          <w:rFonts w:hint="eastAsia"/>
          <w:sz w:val="21"/>
          <w:szCs w:val="21"/>
          <w:highlight w:val="none"/>
        </w:rPr>
        <w:t>、基金合同期限：</w:t>
      </w:r>
      <w:bookmarkStart w:id="18" w:name="field_0_duration_2"/>
      <w:r>
        <w:rPr>
          <w:rFonts w:hint="eastAsia"/>
          <w:sz w:val="21"/>
          <w:szCs w:val="21"/>
          <w:highlight w:val="none"/>
        </w:rPr>
        <w:t>不定期</w:t>
      </w:r>
      <w:bookmarkEnd w:id="18"/>
      <w:r>
        <w:rPr>
          <w:rFonts w:hint="eastAsia"/>
          <w:sz w:val="21"/>
          <w:szCs w:val="21"/>
          <w:highlight w:val="none"/>
        </w:rPr>
        <w:t>。</w:t>
      </w:r>
    </w:p>
    <w:p w14:paraId="68B91F4D">
      <w:pPr>
        <w:pStyle w:val="9"/>
        <w:spacing w:before="0" w:beforeAutospacing="0" w:after="0" w:afterAutospacing="0" w:line="360" w:lineRule="auto"/>
        <w:ind w:firstLine="420"/>
        <w:jc w:val="both"/>
        <w:rPr>
          <w:sz w:val="21"/>
          <w:szCs w:val="21"/>
          <w:highlight w:val="none"/>
        </w:rPr>
      </w:pPr>
      <w:r>
        <w:rPr>
          <w:sz w:val="21"/>
          <w:szCs w:val="21"/>
          <w:highlight w:val="none"/>
        </w:rPr>
        <w:t>4</w:t>
      </w:r>
      <w:r>
        <w:rPr>
          <w:rFonts w:hint="eastAsia"/>
          <w:sz w:val="21"/>
          <w:szCs w:val="21"/>
          <w:highlight w:val="none"/>
        </w:rPr>
        <w:t>、发售日期：</w:t>
      </w:r>
      <w:r>
        <w:rPr>
          <w:rFonts w:hint="eastAsia"/>
          <w:sz w:val="21"/>
          <w:szCs w:val="21"/>
          <w:highlight w:val="none"/>
          <w:lang w:eastAsia="zh-CN"/>
        </w:rPr>
        <w:t>2026年6月1日起至2026年6月12日</w:t>
      </w:r>
      <w:r>
        <w:rPr>
          <w:rFonts w:hint="eastAsia"/>
          <w:sz w:val="21"/>
          <w:szCs w:val="21"/>
          <w:highlight w:val="none"/>
        </w:rPr>
        <w:t>通过销售机构公开发售。其中，网下现金发售的日期为</w:t>
      </w:r>
      <w:r>
        <w:rPr>
          <w:rFonts w:hint="eastAsia"/>
          <w:sz w:val="21"/>
          <w:szCs w:val="21"/>
          <w:highlight w:val="none"/>
          <w:lang w:eastAsia="zh-CN"/>
        </w:rPr>
        <w:t>2026年6月1日起至2026年6月12日</w:t>
      </w:r>
      <w:r>
        <w:rPr>
          <w:rFonts w:hint="eastAsia"/>
          <w:sz w:val="21"/>
          <w:szCs w:val="21"/>
          <w:highlight w:val="none"/>
        </w:rPr>
        <w:t>，网上现金发售的日期为</w:t>
      </w:r>
      <w:r>
        <w:rPr>
          <w:rFonts w:hint="eastAsia"/>
          <w:sz w:val="21"/>
          <w:szCs w:val="21"/>
          <w:highlight w:val="none"/>
          <w:lang w:eastAsia="zh-CN"/>
        </w:rPr>
        <w:t>2026年6月1日起至2026年6月12日</w:t>
      </w:r>
      <w:r>
        <w:rPr>
          <w:rFonts w:hint="eastAsia"/>
          <w:sz w:val="21"/>
          <w:szCs w:val="21"/>
          <w:highlight w:val="none"/>
        </w:rPr>
        <w:t>。</w:t>
      </w:r>
    </w:p>
    <w:p w14:paraId="74CBB898">
      <w:pPr>
        <w:pStyle w:val="9"/>
        <w:spacing w:before="0" w:beforeAutospacing="0" w:after="0" w:afterAutospacing="0" w:line="360" w:lineRule="auto"/>
        <w:ind w:firstLine="420"/>
        <w:jc w:val="both"/>
        <w:rPr>
          <w:sz w:val="21"/>
          <w:szCs w:val="21"/>
          <w:highlight w:val="none"/>
        </w:rPr>
      </w:pPr>
      <w:r>
        <w:rPr>
          <w:sz w:val="21"/>
          <w:szCs w:val="21"/>
          <w:highlight w:val="none"/>
        </w:rPr>
        <w:t>5</w:t>
      </w:r>
      <w:r>
        <w:rPr>
          <w:rFonts w:hint="eastAsia"/>
          <w:sz w:val="21"/>
          <w:szCs w:val="21"/>
          <w:highlight w:val="none"/>
        </w:rPr>
        <w:t xml:space="preserve">、发售价格：1.00元人民币。 </w:t>
      </w:r>
    </w:p>
    <w:p w14:paraId="6EE8B995">
      <w:pPr>
        <w:pStyle w:val="9"/>
        <w:spacing w:before="0" w:beforeAutospacing="0" w:after="0" w:afterAutospacing="0" w:line="360" w:lineRule="auto"/>
        <w:ind w:firstLine="420"/>
        <w:jc w:val="both"/>
        <w:rPr>
          <w:sz w:val="21"/>
          <w:szCs w:val="21"/>
          <w:highlight w:val="none"/>
        </w:rPr>
      </w:pPr>
      <w:r>
        <w:rPr>
          <w:sz w:val="21"/>
          <w:szCs w:val="21"/>
          <w:highlight w:val="none"/>
        </w:rPr>
        <w:t>6</w:t>
      </w:r>
      <w:r>
        <w:rPr>
          <w:rFonts w:hint="eastAsia"/>
          <w:sz w:val="21"/>
          <w:szCs w:val="21"/>
          <w:highlight w:val="none"/>
        </w:rPr>
        <w:t>、发售期限：网下现金认购和网</w:t>
      </w:r>
      <w:r>
        <w:rPr>
          <w:rFonts w:hint="eastAsia"/>
          <w:sz w:val="21"/>
          <w:szCs w:val="21"/>
          <w:highlight w:val="none"/>
          <w:lang w:val="en-US" w:eastAsia="zh-CN"/>
        </w:rPr>
        <w:t>上现金</w:t>
      </w:r>
      <w:r>
        <w:rPr>
          <w:rFonts w:hint="eastAsia"/>
          <w:sz w:val="21"/>
          <w:szCs w:val="21"/>
          <w:highlight w:val="none"/>
        </w:rPr>
        <w:t>认购发售</w:t>
      </w:r>
      <w:r>
        <w:rPr>
          <w:rFonts w:hint="eastAsia"/>
          <w:sz w:val="21"/>
          <w:szCs w:val="21"/>
          <w:highlight w:val="none"/>
          <w:lang w:val="en-US" w:eastAsia="zh-CN"/>
        </w:rPr>
        <w:t>10</w:t>
      </w:r>
      <w:r>
        <w:rPr>
          <w:rFonts w:hint="eastAsia"/>
          <w:sz w:val="21"/>
          <w:szCs w:val="21"/>
          <w:highlight w:val="none"/>
        </w:rPr>
        <w:t xml:space="preserve">个工作日。 </w:t>
      </w:r>
    </w:p>
    <w:p w14:paraId="3EABE1E7">
      <w:pPr>
        <w:pStyle w:val="9"/>
        <w:spacing w:before="0" w:beforeAutospacing="0" w:after="0" w:afterAutospacing="0" w:line="360" w:lineRule="auto"/>
        <w:ind w:firstLine="420"/>
        <w:jc w:val="both"/>
        <w:rPr>
          <w:sz w:val="21"/>
          <w:szCs w:val="21"/>
          <w:highlight w:val="none"/>
        </w:rPr>
      </w:pPr>
      <w:r>
        <w:rPr>
          <w:sz w:val="21"/>
          <w:szCs w:val="21"/>
          <w:highlight w:val="none"/>
        </w:rPr>
        <w:t>7</w:t>
      </w:r>
      <w:r>
        <w:rPr>
          <w:rFonts w:hint="eastAsia"/>
          <w:sz w:val="21"/>
          <w:szCs w:val="21"/>
          <w:highlight w:val="none"/>
        </w:rPr>
        <w:t>、发售方式：投资者可选择网上现金认购、网下现金认购</w:t>
      </w:r>
      <w:r>
        <w:rPr>
          <w:rFonts w:hint="eastAsia"/>
          <w:sz w:val="21"/>
          <w:szCs w:val="21"/>
          <w:highlight w:val="none"/>
          <w:lang w:val="en-US" w:eastAsia="zh-CN"/>
        </w:rPr>
        <w:t>两</w:t>
      </w:r>
      <w:r>
        <w:rPr>
          <w:rFonts w:hint="eastAsia"/>
          <w:sz w:val="21"/>
          <w:szCs w:val="21"/>
          <w:highlight w:val="none"/>
        </w:rPr>
        <w:t>种方式。</w:t>
      </w:r>
    </w:p>
    <w:p w14:paraId="7905CBEF">
      <w:pPr>
        <w:pStyle w:val="9"/>
        <w:spacing w:before="0" w:beforeAutospacing="0" w:after="0" w:afterAutospacing="0" w:line="360" w:lineRule="auto"/>
        <w:ind w:firstLine="420"/>
        <w:jc w:val="both"/>
        <w:rPr>
          <w:sz w:val="21"/>
          <w:szCs w:val="21"/>
          <w:highlight w:val="none"/>
        </w:rPr>
      </w:pPr>
      <w:r>
        <w:rPr>
          <w:sz w:val="21"/>
          <w:szCs w:val="21"/>
          <w:highlight w:val="none"/>
        </w:rPr>
        <w:t>8</w:t>
      </w:r>
      <w:r>
        <w:rPr>
          <w:rFonts w:hint="eastAsia"/>
          <w:sz w:val="21"/>
          <w:szCs w:val="21"/>
          <w:highlight w:val="none"/>
        </w:rPr>
        <w:t>、发售机构</w:t>
      </w:r>
    </w:p>
    <w:p w14:paraId="2CA41E2B">
      <w:pPr>
        <w:pStyle w:val="9"/>
        <w:spacing w:before="0" w:beforeAutospacing="0" w:after="0" w:afterAutospacing="0" w:line="360" w:lineRule="auto"/>
        <w:ind w:firstLine="420"/>
        <w:jc w:val="both"/>
        <w:rPr>
          <w:sz w:val="21"/>
          <w:szCs w:val="21"/>
          <w:highlight w:val="none"/>
        </w:rPr>
      </w:pPr>
      <w:r>
        <w:rPr>
          <w:rFonts w:hint="eastAsia"/>
          <w:sz w:val="21"/>
          <w:szCs w:val="21"/>
          <w:highlight w:val="none"/>
        </w:rPr>
        <w:t xml:space="preserve">（1）网下现金发售直销机构 </w:t>
      </w:r>
    </w:p>
    <w:p w14:paraId="323A1165">
      <w:pPr>
        <w:pStyle w:val="9"/>
        <w:spacing w:before="0" w:beforeAutospacing="0" w:after="0" w:afterAutospacing="0" w:line="360" w:lineRule="auto"/>
        <w:ind w:firstLine="420"/>
        <w:jc w:val="both"/>
        <w:rPr>
          <w:sz w:val="21"/>
          <w:szCs w:val="21"/>
          <w:highlight w:val="none"/>
        </w:rPr>
      </w:pPr>
      <w:r>
        <w:rPr>
          <w:rFonts w:hint="eastAsia"/>
          <w:sz w:val="21"/>
          <w:szCs w:val="21"/>
          <w:highlight w:val="none"/>
        </w:rPr>
        <w:t>投资者可通过本基金管理人的直销机构办理本基金的网下现金认购。</w:t>
      </w:r>
    </w:p>
    <w:p w14:paraId="0C8777E6">
      <w:pPr>
        <w:pStyle w:val="9"/>
        <w:spacing w:before="0" w:beforeAutospacing="0" w:after="0" w:afterAutospacing="0" w:line="360" w:lineRule="auto"/>
        <w:ind w:firstLine="420"/>
        <w:jc w:val="both"/>
        <w:rPr>
          <w:sz w:val="21"/>
          <w:szCs w:val="21"/>
          <w:highlight w:val="none"/>
        </w:rPr>
      </w:pPr>
      <w:r>
        <w:rPr>
          <w:rFonts w:hint="eastAsia"/>
          <w:sz w:val="21"/>
          <w:szCs w:val="21"/>
          <w:highlight w:val="none"/>
        </w:rPr>
        <w:t>（</w:t>
      </w:r>
      <w:r>
        <w:rPr>
          <w:rFonts w:hint="eastAsia"/>
          <w:sz w:val="21"/>
          <w:szCs w:val="21"/>
          <w:highlight w:val="none"/>
          <w:lang w:val="en-US" w:eastAsia="zh-CN"/>
        </w:rPr>
        <w:t>2</w:t>
      </w:r>
      <w:r>
        <w:rPr>
          <w:rFonts w:hint="eastAsia"/>
          <w:sz w:val="21"/>
          <w:szCs w:val="21"/>
          <w:highlight w:val="none"/>
        </w:rPr>
        <w:t xml:space="preserve">）网上现金发售代理机构 </w:t>
      </w:r>
    </w:p>
    <w:p w14:paraId="51427E0D">
      <w:pPr>
        <w:pStyle w:val="9"/>
        <w:spacing w:before="0" w:beforeAutospacing="0" w:after="0" w:afterAutospacing="0" w:line="360" w:lineRule="auto"/>
        <w:ind w:firstLine="420"/>
        <w:jc w:val="both"/>
        <w:rPr>
          <w:sz w:val="21"/>
          <w:szCs w:val="21"/>
          <w:highlight w:val="none"/>
        </w:rPr>
      </w:pPr>
      <w:r>
        <w:rPr>
          <w:rFonts w:hint="eastAsia"/>
          <w:sz w:val="21"/>
          <w:szCs w:val="21"/>
          <w:highlight w:val="none"/>
        </w:rPr>
        <w:t xml:space="preserve">网上现金发售通过具有基金销售业务资格的上海证券交易所会员单位办理，具体名单可在上海证券交易所网站查询。 </w:t>
      </w:r>
    </w:p>
    <w:p w14:paraId="55B86C33">
      <w:pPr>
        <w:pStyle w:val="9"/>
        <w:spacing w:before="0" w:beforeAutospacing="0" w:after="0" w:afterAutospacing="0" w:line="360" w:lineRule="auto"/>
        <w:ind w:firstLine="420"/>
        <w:jc w:val="both"/>
        <w:rPr>
          <w:sz w:val="21"/>
          <w:szCs w:val="21"/>
          <w:highlight w:val="none"/>
        </w:rPr>
      </w:pPr>
      <w:r>
        <w:rPr>
          <w:rFonts w:hint="eastAsia"/>
          <w:sz w:val="21"/>
          <w:szCs w:val="21"/>
          <w:highlight w:val="none"/>
        </w:rPr>
        <w:t xml:space="preserve">（二）基金合同生效 </w:t>
      </w:r>
    </w:p>
    <w:p w14:paraId="784B8399">
      <w:pPr>
        <w:pStyle w:val="9"/>
        <w:spacing w:before="0" w:beforeAutospacing="0" w:after="0" w:afterAutospacing="0" w:line="360" w:lineRule="auto"/>
        <w:ind w:firstLine="420"/>
        <w:jc w:val="both"/>
        <w:rPr>
          <w:rFonts w:hint="eastAsia"/>
          <w:sz w:val="21"/>
          <w:szCs w:val="21"/>
          <w:highlight w:val="none"/>
        </w:rPr>
      </w:pPr>
      <w:r>
        <w:rPr>
          <w:rFonts w:hint="eastAsia"/>
          <w:sz w:val="21"/>
          <w:szCs w:val="21"/>
          <w:highlight w:val="none"/>
        </w:rPr>
        <w:t>本基金自</w:t>
      </w:r>
      <w:r>
        <w:rPr>
          <w:rFonts w:hint="eastAsia"/>
          <w:sz w:val="21"/>
          <w:szCs w:val="21"/>
          <w:highlight w:val="none"/>
          <w:lang w:eastAsia="zh-CN"/>
        </w:rPr>
        <w:t>2026年6月1日</w:t>
      </w:r>
      <w:r>
        <w:rPr>
          <w:rFonts w:hint="eastAsia"/>
          <w:sz w:val="21"/>
          <w:szCs w:val="21"/>
          <w:highlight w:val="none"/>
        </w:rPr>
        <w:t>起向社会公开募集，截至</w:t>
      </w:r>
      <w:r>
        <w:rPr>
          <w:rFonts w:hint="eastAsia"/>
          <w:sz w:val="21"/>
          <w:szCs w:val="21"/>
          <w:highlight w:val="none"/>
          <w:lang w:eastAsia="zh-CN"/>
        </w:rPr>
        <w:t>2026年6月12日</w:t>
      </w:r>
      <w:r>
        <w:rPr>
          <w:rFonts w:hint="eastAsia"/>
          <w:sz w:val="21"/>
          <w:szCs w:val="21"/>
          <w:highlight w:val="none"/>
        </w:rPr>
        <w:t>募集工作已顺利结束。经安永华明会计师事务所（特殊普通合伙）验资，首次募集期间现金认购的有效认购资金扣除认购费用后的净认购金额为人民币262,212,000.00元；有效认购资金在首次募集期间产生的利息为人民币12,576.89元，其中人民币11,183.00元折成11,183.00份基金份额，剩余人民币1,393.89元归入基金财产。上述净认购金额及利息人民币262,224,576.89元已于2026年6月17日全部划至本基金托管账户。</w:t>
      </w:r>
    </w:p>
    <w:p w14:paraId="624C12C7">
      <w:pPr>
        <w:pStyle w:val="9"/>
        <w:spacing w:before="0" w:beforeAutospacing="0" w:after="0" w:afterAutospacing="0" w:line="360" w:lineRule="auto"/>
        <w:ind w:firstLine="420"/>
        <w:jc w:val="both"/>
        <w:rPr>
          <w:sz w:val="21"/>
          <w:szCs w:val="21"/>
          <w:highlight w:val="none"/>
        </w:rPr>
      </w:pPr>
      <w:r>
        <w:rPr>
          <w:rFonts w:hint="eastAsia"/>
          <w:sz w:val="21"/>
          <w:szCs w:val="21"/>
          <w:highlight w:val="none"/>
        </w:rPr>
        <w:t>本基金于</w:t>
      </w:r>
      <w:r>
        <w:rPr>
          <w:rFonts w:hint="eastAsia"/>
          <w:sz w:val="21"/>
          <w:szCs w:val="21"/>
          <w:highlight w:val="none"/>
          <w:lang w:eastAsia="zh-CN"/>
        </w:rPr>
        <w:t>2026年6月17日</w:t>
      </w:r>
      <w:r>
        <w:rPr>
          <w:rFonts w:hint="eastAsia"/>
          <w:sz w:val="21"/>
          <w:szCs w:val="21"/>
          <w:highlight w:val="none"/>
        </w:rPr>
        <w:t>得到中国证监会书面确认，基金备案手续办理完毕。根据《中华人民共和国证券投资基金法》及其配套法规和《</w:t>
      </w:r>
      <w:r>
        <w:rPr>
          <w:rFonts w:hint="eastAsia"/>
          <w:sz w:val="21"/>
          <w:szCs w:val="21"/>
          <w:highlight w:val="none"/>
          <w:lang w:eastAsia="zh-CN"/>
        </w:rPr>
        <w:t>博时中证全指红利质量交易型开放式指数证券投资基金</w:t>
      </w:r>
      <w:r>
        <w:rPr>
          <w:rFonts w:hint="eastAsia"/>
          <w:sz w:val="21"/>
          <w:szCs w:val="21"/>
          <w:highlight w:val="none"/>
        </w:rPr>
        <w:t>基金合同》的有关规定，本基金的募集情况已符合基金合同生效的条件，基金合同于</w:t>
      </w:r>
      <w:r>
        <w:rPr>
          <w:rFonts w:hint="eastAsia"/>
          <w:sz w:val="21"/>
          <w:szCs w:val="21"/>
          <w:highlight w:val="none"/>
          <w:lang w:eastAsia="zh-CN"/>
        </w:rPr>
        <w:t>2026年6月17日</w:t>
      </w:r>
      <w:r>
        <w:rPr>
          <w:rFonts w:hint="eastAsia"/>
          <w:sz w:val="21"/>
          <w:szCs w:val="21"/>
          <w:highlight w:val="none"/>
        </w:rPr>
        <w:t>正式生效。</w:t>
      </w:r>
    </w:p>
    <w:p w14:paraId="605B532D">
      <w:pPr>
        <w:pStyle w:val="9"/>
        <w:spacing w:before="0" w:beforeAutospacing="0" w:after="0" w:afterAutospacing="0" w:line="360" w:lineRule="auto"/>
        <w:ind w:firstLine="420"/>
        <w:jc w:val="both"/>
        <w:rPr>
          <w:sz w:val="21"/>
          <w:szCs w:val="21"/>
          <w:highlight w:val="none"/>
        </w:rPr>
      </w:pPr>
      <w:r>
        <w:rPr>
          <w:rFonts w:hint="eastAsia"/>
          <w:sz w:val="21"/>
          <w:szCs w:val="21"/>
          <w:highlight w:val="none"/>
        </w:rPr>
        <w:t xml:space="preserve">（三）基金上市交易 </w:t>
      </w:r>
    </w:p>
    <w:p w14:paraId="141FC99C">
      <w:pPr>
        <w:pStyle w:val="9"/>
        <w:spacing w:before="0" w:beforeAutospacing="0" w:after="0" w:afterAutospacing="0" w:line="360" w:lineRule="auto"/>
        <w:ind w:firstLine="420"/>
        <w:jc w:val="both"/>
        <w:rPr>
          <w:sz w:val="21"/>
          <w:szCs w:val="21"/>
          <w:highlight w:val="none"/>
        </w:rPr>
      </w:pPr>
      <w:r>
        <w:rPr>
          <w:rFonts w:hint="eastAsia"/>
          <w:sz w:val="21"/>
          <w:szCs w:val="21"/>
          <w:highlight w:val="none"/>
        </w:rPr>
        <w:t>1、基金上市交易的核准机构和核准文号：上海证券交易所自律监管决定书[20</w:t>
      </w:r>
      <w:r>
        <w:rPr>
          <w:rFonts w:hint="eastAsia"/>
          <w:sz w:val="21"/>
          <w:szCs w:val="21"/>
          <w:highlight w:val="none"/>
          <w:lang w:val="en-US" w:eastAsia="zh-CN"/>
        </w:rPr>
        <w:t>26</w:t>
      </w:r>
      <w:r>
        <w:rPr>
          <w:rFonts w:hint="eastAsia"/>
          <w:sz w:val="21"/>
          <w:szCs w:val="21"/>
          <w:highlight w:val="none"/>
        </w:rPr>
        <w:t>]</w:t>
      </w:r>
      <w:r>
        <w:rPr>
          <w:rFonts w:hint="eastAsia"/>
          <w:sz w:val="21"/>
          <w:szCs w:val="21"/>
          <w:highlight w:val="none"/>
          <w:lang w:val="en-US" w:eastAsia="zh-CN"/>
        </w:rPr>
        <w:t>131</w:t>
      </w:r>
      <w:r>
        <w:rPr>
          <w:rFonts w:hint="eastAsia"/>
          <w:sz w:val="21"/>
          <w:szCs w:val="21"/>
          <w:highlight w:val="none"/>
        </w:rPr>
        <w:t>号</w:t>
      </w:r>
    </w:p>
    <w:p w14:paraId="2DA0E000">
      <w:pPr>
        <w:pStyle w:val="9"/>
        <w:spacing w:before="0" w:beforeAutospacing="0" w:after="0" w:afterAutospacing="0" w:line="360" w:lineRule="auto"/>
        <w:ind w:firstLine="420"/>
        <w:jc w:val="both"/>
        <w:rPr>
          <w:rFonts w:hint="eastAsia" w:eastAsia="宋体"/>
          <w:sz w:val="21"/>
          <w:szCs w:val="21"/>
          <w:highlight w:val="none"/>
          <w:lang w:eastAsia="zh-CN"/>
        </w:rPr>
      </w:pPr>
      <w:r>
        <w:rPr>
          <w:rFonts w:hint="eastAsia"/>
          <w:sz w:val="21"/>
          <w:szCs w:val="21"/>
          <w:highlight w:val="none"/>
        </w:rPr>
        <w:t>2、上市交易日期：</w:t>
      </w:r>
      <w:r>
        <w:rPr>
          <w:rFonts w:hint="eastAsia"/>
          <w:sz w:val="21"/>
          <w:szCs w:val="21"/>
          <w:highlight w:val="none"/>
          <w:lang w:eastAsia="zh-CN"/>
        </w:rPr>
        <w:t>2026年6月30日</w:t>
      </w:r>
    </w:p>
    <w:p w14:paraId="163E9CF3">
      <w:pPr>
        <w:pStyle w:val="9"/>
        <w:spacing w:before="0" w:beforeAutospacing="0" w:after="0" w:afterAutospacing="0" w:line="360" w:lineRule="auto"/>
        <w:ind w:firstLine="420"/>
        <w:jc w:val="both"/>
        <w:rPr>
          <w:sz w:val="21"/>
          <w:szCs w:val="21"/>
          <w:highlight w:val="none"/>
        </w:rPr>
      </w:pPr>
      <w:r>
        <w:rPr>
          <w:rFonts w:hint="eastAsia"/>
          <w:sz w:val="21"/>
          <w:szCs w:val="21"/>
          <w:highlight w:val="none"/>
        </w:rPr>
        <w:t>3、上市交易的证券交易所：</w:t>
      </w:r>
      <w:bookmarkStart w:id="19" w:name="field_0_listedlandname_2"/>
      <w:r>
        <w:rPr>
          <w:rFonts w:hint="eastAsia"/>
          <w:sz w:val="21"/>
          <w:szCs w:val="21"/>
          <w:highlight w:val="none"/>
        </w:rPr>
        <w:t>上海证券交易所</w:t>
      </w:r>
      <w:bookmarkEnd w:id="19"/>
      <w:r>
        <w:rPr>
          <w:rFonts w:hint="eastAsia"/>
          <w:sz w:val="21"/>
          <w:szCs w:val="21"/>
          <w:highlight w:val="none"/>
        </w:rPr>
        <w:t xml:space="preserve"> </w:t>
      </w:r>
    </w:p>
    <w:p w14:paraId="313C1415">
      <w:pPr>
        <w:pStyle w:val="9"/>
        <w:spacing w:before="0" w:beforeAutospacing="0" w:after="0" w:afterAutospacing="0" w:line="360" w:lineRule="auto"/>
        <w:ind w:firstLine="420"/>
        <w:jc w:val="both"/>
        <w:rPr>
          <w:sz w:val="21"/>
          <w:szCs w:val="21"/>
          <w:highlight w:val="none"/>
        </w:rPr>
      </w:pPr>
      <w:r>
        <w:rPr>
          <w:rFonts w:hint="eastAsia"/>
          <w:sz w:val="21"/>
          <w:szCs w:val="21"/>
          <w:highlight w:val="none"/>
        </w:rPr>
        <w:t xml:space="preserve">4、基金二级市场交易简称 </w:t>
      </w:r>
    </w:p>
    <w:p w14:paraId="18DF1BDB">
      <w:pPr>
        <w:pStyle w:val="9"/>
        <w:spacing w:before="0" w:beforeAutospacing="0" w:after="0" w:afterAutospacing="0" w:line="360" w:lineRule="auto"/>
        <w:ind w:firstLine="420"/>
        <w:jc w:val="both"/>
        <w:rPr>
          <w:rFonts w:hint="eastAsia" w:eastAsia="宋体"/>
          <w:sz w:val="21"/>
          <w:szCs w:val="21"/>
          <w:highlight w:val="none"/>
          <w:lang w:eastAsia="zh-CN"/>
        </w:rPr>
      </w:pPr>
      <w:r>
        <w:rPr>
          <w:rFonts w:hint="eastAsia"/>
          <w:sz w:val="21"/>
          <w:szCs w:val="21"/>
          <w:highlight w:val="none"/>
        </w:rPr>
        <w:t>证券简称：</w:t>
      </w:r>
      <w:r>
        <w:rPr>
          <w:rFonts w:hint="eastAsia"/>
          <w:sz w:val="21"/>
          <w:szCs w:val="21"/>
          <w:highlight w:val="none"/>
          <w:lang w:val="en-US" w:eastAsia="zh-CN"/>
        </w:rPr>
        <w:t>全指质量</w:t>
      </w:r>
      <w:r>
        <w:rPr>
          <w:rFonts w:hint="eastAsia"/>
          <w:sz w:val="21"/>
          <w:szCs w:val="21"/>
          <w:highlight w:val="none"/>
        </w:rPr>
        <w:t>，扩位证券简称：</w:t>
      </w:r>
      <w:r>
        <w:rPr>
          <w:rFonts w:hint="eastAsia"/>
          <w:sz w:val="21"/>
          <w:szCs w:val="21"/>
          <w:highlight w:val="none"/>
          <w:lang w:val="en-US" w:eastAsia="zh-CN"/>
        </w:rPr>
        <w:t>红利质量ETF博时</w:t>
      </w:r>
    </w:p>
    <w:p w14:paraId="6D9F7D40">
      <w:pPr>
        <w:pStyle w:val="9"/>
        <w:spacing w:before="0" w:beforeAutospacing="0" w:after="0" w:afterAutospacing="0" w:line="360" w:lineRule="auto"/>
        <w:ind w:firstLine="420"/>
        <w:jc w:val="both"/>
        <w:rPr>
          <w:rFonts w:hint="eastAsia" w:eastAsia="宋体"/>
          <w:sz w:val="21"/>
          <w:szCs w:val="21"/>
          <w:highlight w:val="none"/>
          <w:lang w:eastAsia="zh-CN"/>
        </w:rPr>
      </w:pPr>
      <w:r>
        <w:rPr>
          <w:rFonts w:hint="eastAsia"/>
          <w:sz w:val="21"/>
          <w:szCs w:val="21"/>
          <w:highlight w:val="none"/>
        </w:rPr>
        <w:t>5、基金二级市场交易代码：</w:t>
      </w:r>
      <w:r>
        <w:rPr>
          <w:rFonts w:hint="eastAsia"/>
          <w:sz w:val="21"/>
          <w:szCs w:val="21"/>
          <w:highlight w:val="none"/>
          <w:lang w:eastAsia="zh-CN"/>
        </w:rPr>
        <w:t>561430</w:t>
      </w:r>
    </w:p>
    <w:p w14:paraId="0E2EF8B8">
      <w:pPr>
        <w:pStyle w:val="9"/>
        <w:spacing w:before="0" w:beforeAutospacing="0" w:after="0" w:afterAutospacing="0" w:line="360" w:lineRule="auto"/>
        <w:ind w:firstLine="420"/>
        <w:rPr>
          <w:sz w:val="21"/>
          <w:szCs w:val="21"/>
          <w:highlight w:val="none"/>
        </w:rPr>
      </w:pPr>
      <w:r>
        <w:rPr>
          <w:rFonts w:hint="eastAsia"/>
          <w:sz w:val="21"/>
          <w:szCs w:val="21"/>
          <w:highlight w:val="none"/>
        </w:rPr>
        <w:t>投资者在上海证券交易所各会员单位证券营业部均可参与基金二级市场交易。</w:t>
      </w:r>
    </w:p>
    <w:p w14:paraId="35103F0A">
      <w:pPr>
        <w:pStyle w:val="9"/>
        <w:spacing w:before="0" w:beforeAutospacing="0" w:after="0" w:afterAutospacing="0" w:line="360" w:lineRule="auto"/>
        <w:ind w:firstLine="420"/>
        <w:rPr>
          <w:sz w:val="21"/>
          <w:szCs w:val="21"/>
          <w:highlight w:val="none"/>
        </w:rPr>
      </w:pPr>
      <w:r>
        <w:rPr>
          <w:sz w:val="21"/>
          <w:szCs w:val="21"/>
          <w:highlight w:val="none"/>
        </w:rPr>
        <w:t>6</w:t>
      </w:r>
      <w:r>
        <w:rPr>
          <w:rFonts w:hint="eastAsia"/>
          <w:sz w:val="21"/>
          <w:szCs w:val="21"/>
          <w:highlight w:val="none"/>
        </w:rPr>
        <w:t>、本基金管理人自</w:t>
      </w:r>
      <w:r>
        <w:rPr>
          <w:rFonts w:hint="eastAsia"/>
          <w:sz w:val="21"/>
          <w:szCs w:val="21"/>
          <w:highlight w:val="none"/>
          <w:lang w:eastAsia="zh-CN"/>
        </w:rPr>
        <w:t>2026年6月30日</w:t>
      </w:r>
      <w:r>
        <w:rPr>
          <w:rFonts w:hint="eastAsia"/>
          <w:sz w:val="21"/>
          <w:szCs w:val="21"/>
          <w:highlight w:val="none"/>
        </w:rPr>
        <w:t>开始办理本基金的申购和赎回业务。投资者应当在本基金指定的申购赎回代理券商办理基金申购、赎回业务的营业场所或按申购赎回代理券商提供的其他方式办理本基金的申购和赎回。</w:t>
      </w:r>
    </w:p>
    <w:p w14:paraId="1AC60250">
      <w:pPr>
        <w:pStyle w:val="9"/>
        <w:spacing w:before="0" w:beforeAutospacing="0" w:after="0" w:afterAutospacing="0" w:line="360" w:lineRule="auto"/>
        <w:ind w:firstLine="420"/>
        <w:rPr>
          <w:highlight w:val="none"/>
        </w:rPr>
      </w:pPr>
      <w:r>
        <w:rPr>
          <w:rFonts w:hint="eastAsia"/>
          <w:sz w:val="21"/>
          <w:szCs w:val="21"/>
          <w:highlight w:val="none"/>
        </w:rPr>
        <w:t>目前本基金的申购赎回代理券商包括：</w:t>
      </w:r>
    </w:p>
    <w:p w14:paraId="60AB249B">
      <w:pPr>
        <w:pStyle w:val="9"/>
        <w:spacing w:before="0" w:beforeAutospacing="0" w:after="0" w:afterAutospacing="0" w:line="360" w:lineRule="auto"/>
        <w:ind w:firstLine="420"/>
        <w:jc w:val="both"/>
        <w:rPr>
          <w:rFonts w:hint="eastAsia"/>
          <w:sz w:val="21"/>
          <w:szCs w:val="21"/>
          <w:highlight w:val="none"/>
        </w:rPr>
      </w:pPr>
      <w:r>
        <w:rPr>
          <w:rFonts w:hint="eastAsia"/>
          <w:sz w:val="21"/>
          <w:szCs w:val="21"/>
          <w:highlight w:val="none"/>
        </w:rPr>
        <w:t>长城证券股份有限公司、财达证券股份有限公司、东北证券股份有限公司、东方财富证券股份有限公司、东莞证券股份有限公司、东海证券股份有限公司、东兴证券股份有限公司、方正证券股份有限公司、广发证券股份有限公司、国海证券股份有限公司、国金证券股份有限公司、国联民生证券股份有限公司、国盛证券股份有限公司、国泰海通证券股份有限公司、国投证券股份有限公司、国信证券股份有限公司、华宝证券股份有限公司、华创证券有限责任公司、华福证券股份有限公司、华泰证券股份有限公司、华西证券股份有限公司、华鑫证券有限责任公司、江海证券有限公司、联储证券股份有限公司、民生证券股份有限公司、平安证券股份有限公司、瑞银证券有限责任公司、山西证券股份有限公司、申万宏源西部证券有限公司、申万宏源证券有限公司、世纪证券有限责任公司、万和证券股份有限公司、万联证券股份有限公司、西部证券股份有限公司、西南证券股份有限公司、湘财证券股份有限公司、兴业证券股份有限公司、粤开证券股份有限公司、招商证券股份有限公司、浙商证券股份有限公司、中国国际金融股份有限公司、中国银河证券股份有限公司、中国中金财富证券有限公司、中泰证券股份有限公司、中信建投证券股份有限公司、中信证券（山东）有限责任公司、中信证券股份有限公司、中信证券华南股份有限公司。</w:t>
      </w:r>
    </w:p>
    <w:p w14:paraId="18FDF3BA">
      <w:pPr>
        <w:pStyle w:val="9"/>
        <w:spacing w:before="0" w:beforeAutospacing="0" w:after="0" w:afterAutospacing="0" w:line="360" w:lineRule="auto"/>
        <w:ind w:firstLine="420"/>
        <w:jc w:val="both"/>
        <w:rPr>
          <w:sz w:val="21"/>
          <w:szCs w:val="21"/>
          <w:highlight w:val="none"/>
        </w:rPr>
      </w:pPr>
      <w:r>
        <w:rPr>
          <w:rFonts w:hint="eastAsia"/>
          <w:sz w:val="21"/>
          <w:szCs w:val="21"/>
          <w:highlight w:val="none"/>
        </w:rPr>
        <w:t>本公司可适时增加或调整申购赎回代理券商，并在基金管理人网站公示。</w:t>
      </w:r>
    </w:p>
    <w:p w14:paraId="17D85D8C">
      <w:pPr>
        <w:pStyle w:val="9"/>
        <w:spacing w:before="0" w:beforeAutospacing="0" w:after="0" w:afterAutospacing="0" w:line="360" w:lineRule="auto"/>
        <w:ind w:firstLine="420"/>
        <w:jc w:val="both"/>
        <w:rPr>
          <w:sz w:val="21"/>
          <w:szCs w:val="21"/>
          <w:highlight w:val="none"/>
        </w:rPr>
      </w:pPr>
      <w:r>
        <w:rPr>
          <w:sz w:val="21"/>
          <w:szCs w:val="21"/>
          <w:highlight w:val="none"/>
        </w:rPr>
        <w:t>7</w:t>
      </w:r>
      <w:r>
        <w:rPr>
          <w:rFonts w:hint="eastAsia"/>
          <w:sz w:val="21"/>
          <w:szCs w:val="21"/>
          <w:highlight w:val="none"/>
        </w:rPr>
        <w:t>、本次上市交易的基金份额总额：</w:t>
      </w:r>
      <w:r>
        <w:rPr>
          <w:rFonts w:hint="eastAsia"/>
          <w:sz w:val="21"/>
          <w:szCs w:val="21"/>
          <w:highlight w:val="none"/>
          <w:lang w:eastAsia="zh-CN"/>
        </w:rPr>
        <w:t>262,223,183.00</w:t>
      </w:r>
      <w:r>
        <w:rPr>
          <w:rFonts w:hint="eastAsia"/>
          <w:sz w:val="21"/>
          <w:szCs w:val="21"/>
          <w:highlight w:val="none"/>
        </w:rPr>
        <w:t>（截至</w:t>
      </w:r>
      <w:r>
        <w:rPr>
          <w:rFonts w:hint="eastAsia"/>
          <w:sz w:val="21"/>
          <w:szCs w:val="21"/>
          <w:highlight w:val="none"/>
          <w:lang w:eastAsia="zh-CN"/>
        </w:rPr>
        <w:t>2026年6月23日</w:t>
      </w:r>
      <w:r>
        <w:rPr>
          <w:rFonts w:hint="eastAsia"/>
          <w:sz w:val="21"/>
          <w:szCs w:val="21"/>
          <w:highlight w:val="none"/>
        </w:rPr>
        <w:t xml:space="preserve">）。 </w:t>
      </w:r>
    </w:p>
    <w:p w14:paraId="5ABA7936">
      <w:pPr>
        <w:pStyle w:val="9"/>
        <w:spacing w:before="0" w:beforeAutospacing="0" w:after="0" w:afterAutospacing="0" w:line="360" w:lineRule="auto"/>
        <w:ind w:firstLine="420"/>
        <w:jc w:val="both"/>
        <w:rPr>
          <w:sz w:val="21"/>
          <w:szCs w:val="21"/>
          <w:highlight w:val="none"/>
        </w:rPr>
      </w:pPr>
      <w:r>
        <w:rPr>
          <w:sz w:val="21"/>
          <w:szCs w:val="21"/>
          <w:highlight w:val="none"/>
        </w:rPr>
        <w:t>8</w:t>
      </w:r>
      <w:r>
        <w:rPr>
          <w:rFonts w:hint="eastAsia"/>
          <w:sz w:val="21"/>
          <w:szCs w:val="21"/>
          <w:highlight w:val="none"/>
        </w:rPr>
        <w:t>、未上市交易份额的流通规定：本基金上市交易后，所有的基金份额均可进行交易，不存在未上市交易的基金份额。</w:t>
      </w:r>
    </w:p>
    <w:p w14:paraId="16D38C85">
      <w:pPr>
        <w:pStyle w:val="9"/>
        <w:spacing w:before="0" w:beforeAutospacing="0" w:after="0" w:afterAutospacing="0" w:line="360" w:lineRule="auto"/>
        <w:ind w:firstLine="420"/>
        <w:jc w:val="both"/>
        <w:rPr>
          <w:sz w:val="21"/>
          <w:szCs w:val="21"/>
          <w:highlight w:val="none"/>
        </w:rPr>
        <w:sectPr>
          <w:pgSz w:w="11906" w:h="16838"/>
          <w:pgMar w:top="1440" w:right="1803" w:bottom="1440" w:left="1803" w:header="851" w:footer="992" w:gutter="0"/>
          <w:cols w:space="425" w:num="1"/>
          <w:docGrid w:type="lines" w:linePitch="312" w:charSpace="0"/>
        </w:sectPr>
      </w:pPr>
      <w:r>
        <w:rPr>
          <w:sz w:val="21"/>
          <w:szCs w:val="21"/>
          <w:highlight w:val="none"/>
        </w:rPr>
        <w:t>9</w:t>
      </w:r>
      <w:r>
        <w:rPr>
          <w:rFonts w:hint="eastAsia"/>
          <w:sz w:val="21"/>
          <w:szCs w:val="21"/>
          <w:highlight w:val="none"/>
        </w:rPr>
        <w:t>、基金资产净值的披露：在本基金上市交易并开始办理基金份额申购赎回后，基金管理人应当在每个开放日的次日，通过网站、基金份额发售网点以及其他媒介，披露开放日的</w:t>
      </w:r>
      <w:bookmarkStart w:id="20" w:name="chapter_level1_3_56145_section_1_end"/>
      <w:bookmarkEnd w:id="20"/>
      <w:r>
        <w:rPr>
          <w:rFonts w:hint="eastAsia"/>
          <w:sz w:val="21"/>
          <w:szCs w:val="21"/>
          <w:highlight w:val="none"/>
        </w:rPr>
        <w:t xml:space="preserve">基金份额净值和基金份额累计净值，并在上海证券交易所行情发布系统揭示基金份额净值。 </w:t>
      </w:r>
    </w:p>
    <w:p w14:paraId="5B951949">
      <w:pPr>
        <w:pStyle w:val="2"/>
        <w:jc w:val="center"/>
        <w:rPr>
          <w:rFonts w:ascii="宋体" w:hAnsi="宋体" w:eastAsia="宋体"/>
          <w:sz w:val="30"/>
          <w:highlight w:val="none"/>
        </w:rPr>
      </w:pPr>
      <w:bookmarkStart w:id="21" w:name="_Toc20520"/>
      <w:bookmarkStart w:id="22" w:name="chapter_level1_4_56146"/>
      <w:r>
        <w:rPr>
          <w:rFonts w:hint="eastAsia" w:ascii="宋体" w:hAnsi="宋体" w:eastAsia="宋体"/>
          <w:sz w:val="30"/>
          <w:highlight w:val="none"/>
        </w:rPr>
        <w:t>四、持有人户数、持有人结构及前十名持有人</w:t>
      </w:r>
      <w:bookmarkEnd w:id="21"/>
      <w:bookmarkEnd w:id="22"/>
    </w:p>
    <w:p w14:paraId="427C32DB">
      <w:pPr>
        <w:pStyle w:val="9"/>
        <w:spacing w:before="0" w:beforeAutospacing="0" w:after="0" w:afterAutospacing="0" w:line="360" w:lineRule="auto"/>
        <w:ind w:firstLine="420"/>
        <w:rPr>
          <w:sz w:val="21"/>
          <w:szCs w:val="21"/>
          <w:highlight w:val="none"/>
        </w:rPr>
      </w:pPr>
      <w:bookmarkStart w:id="23" w:name="chapter_level1_4_56146_section_1"/>
      <w:bookmarkEnd w:id="23"/>
      <w:bookmarkStart w:id="24" w:name="chapter_level1_5_56147"/>
      <w:bookmarkStart w:id="25" w:name="_Toc32626"/>
      <w:r>
        <w:rPr>
          <w:rFonts w:hint="eastAsia"/>
          <w:sz w:val="21"/>
          <w:szCs w:val="21"/>
          <w:highlight w:val="none"/>
        </w:rPr>
        <w:t xml:space="preserve">（一）持有人户数 </w:t>
      </w:r>
    </w:p>
    <w:p w14:paraId="5EB4D5C9">
      <w:pPr>
        <w:pStyle w:val="9"/>
        <w:spacing w:before="0" w:beforeAutospacing="0" w:after="0" w:afterAutospacing="0" w:line="360" w:lineRule="auto"/>
        <w:ind w:firstLine="420"/>
        <w:rPr>
          <w:sz w:val="21"/>
          <w:szCs w:val="21"/>
          <w:highlight w:val="none"/>
        </w:rPr>
      </w:pPr>
      <w:r>
        <w:rPr>
          <w:rFonts w:hint="eastAsia"/>
          <w:sz w:val="21"/>
          <w:szCs w:val="21"/>
          <w:highlight w:val="none"/>
        </w:rPr>
        <w:t>截至公告日前两个工作日即</w:t>
      </w:r>
      <w:r>
        <w:rPr>
          <w:rFonts w:hint="eastAsia"/>
          <w:sz w:val="21"/>
          <w:szCs w:val="21"/>
          <w:highlight w:val="none"/>
          <w:lang w:eastAsia="zh-CN"/>
        </w:rPr>
        <w:t>2026年6月23日</w:t>
      </w:r>
      <w:r>
        <w:rPr>
          <w:rFonts w:hint="eastAsia"/>
          <w:sz w:val="21"/>
          <w:szCs w:val="21"/>
          <w:highlight w:val="none"/>
        </w:rPr>
        <w:t>，本基金份额持有人户数为2,437户，平均每户持有的基金份额为107,600.81份。</w:t>
      </w:r>
    </w:p>
    <w:p w14:paraId="3077E235">
      <w:pPr>
        <w:pStyle w:val="9"/>
        <w:spacing w:before="0" w:beforeAutospacing="0" w:after="0" w:afterAutospacing="0" w:line="360" w:lineRule="auto"/>
        <w:ind w:firstLine="420"/>
        <w:rPr>
          <w:sz w:val="21"/>
          <w:szCs w:val="21"/>
          <w:highlight w:val="none"/>
        </w:rPr>
      </w:pPr>
      <w:r>
        <w:rPr>
          <w:rFonts w:hint="eastAsia"/>
          <w:sz w:val="21"/>
          <w:szCs w:val="21"/>
          <w:highlight w:val="none"/>
        </w:rPr>
        <w:t xml:space="preserve">（二）持有人结构 </w:t>
      </w:r>
    </w:p>
    <w:p w14:paraId="00C61D0A">
      <w:pPr>
        <w:pStyle w:val="9"/>
        <w:spacing w:before="0" w:beforeAutospacing="0" w:after="0" w:afterAutospacing="0" w:line="360" w:lineRule="auto"/>
        <w:ind w:firstLine="420"/>
        <w:rPr>
          <w:sz w:val="21"/>
          <w:szCs w:val="21"/>
          <w:highlight w:val="none"/>
        </w:rPr>
      </w:pPr>
      <w:r>
        <w:rPr>
          <w:rFonts w:hint="eastAsia"/>
          <w:sz w:val="21"/>
          <w:szCs w:val="21"/>
          <w:highlight w:val="none"/>
        </w:rPr>
        <w:t>截至公告日前两个工作日即</w:t>
      </w:r>
      <w:r>
        <w:rPr>
          <w:rFonts w:hint="eastAsia"/>
          <w:sz w:val="21"/>
          <w:szCs w:val="21"/>
          <w:highlight w:val="none"/>
          <w:lang w:eastAsia="zh-CN"/>
        </w:rPr>
        <w:t>2026年6月23日</w:t>
      </w:r>
      <w:r>
        <w:rPr>
          <w:rFonts w:hint="eastAsia"/>
          <w:sz w:val="21"/>
          <w:szCs w:val="21"/>
          <w:highlight w:val="none"/>
        </w:rPr>
        <w:t xml:space="preserve">，本基金份额持有人结构如下： </w:t>
      </w:r>
    </w:p>
    <w:p w14:paraId="17E061EF">
      <w:pPr>
        <w:pStyle w:val="9"/>
        <w:spacing w:before="0" w:beforeAutospacing="0" w:after="0" w:afterAutospacing="0" w:line="360" w:lineRule="auto"/>
        <w:ind w:firstLine="420"/>
        <w:rPr>
          <w:sz w:val="21"/>
          <w:szCs w:val="21"/>
          <w:highlight w:val="none"/>
        </w:rPr>
      </w:pPr>
      <w:r>
        <w:rPr>
          <w:rFonts w:hint="eastAsia"/>
          <w:sz w:val="21"/>
          <w:szCs w:val="21"/>
          <w:highlight w:val="none"/>
        </w:rPr>
        <w:t>机构投资者持有的基金份额为 66,959,211.00份，占基金总份额的25.54%；个人投资者持有的基金份额为195,263,972.00份，占基金总份额的74.46%。</w:t>
      </w:r>
    </w:p>
    <w:p w14:paraId="1251E3A7">
      <w:pPr>
        <w:pStyle w:val="9"/>
        <w:spacing w:before="0" w:beforeAutospacing="0" w:after="0" w:afterAutospacing="0" w:line="360" w:lineRule="auto"/>
        <w:ind w:firstLine="420"/>
        <w:rPr>
          <w:sz w:val="21"/>
          <w:szCs w:val="21"/>
          <w:highlight w:val="none"/>
        </w:rPr>
      </w:pPr>
      <w:r>
        <w:rPr>
          <w:rFonts w:hint="eastAsia"/>
          <w:sz w:val="21"/>
          <w:szCs w:val="21"/>
          <w:highlight w:val="none"/>
        </w:rPr>
        <w:t xml:space="preserve">（三）前十名基金份额持有人的情况： </w:t>
      </w:r>
    </w:p>
    <w:p w14:paraId="3323D7A7">
      <w:pPr>
        <w:pStyle w:val="9"/>
        <w:spacing w:before="0" w:beforeAutospacing="0" w:after="0" w:afterAutospacing="0" w:line="360" w:lineRule="auto"/>
        <w:ind w:firstLine="420"/>
        <w:rPr>
          <w:rFonts w:hint="eastAsia"/>
          <w:sz w:val="21"/>
          <w:szCs w:val="21"/>
          <w:highlight w:val="none"/>
        </w:rPr>
      </w:pPr>
      <w:r>
        <w:rPr>
          <w:rFonts w:hint="eastAsia"/>
          <w:sz w:val="21"/>
          <w:szCs w:val="21"/>
          <w:highlight w:val="none"/>
        </w:rPr>
        <w:t>截至公告日前两个工作日即</w:t>
      </w:r>
      <w:r>
        <w:rPr>
          <w:rFonts w:hint="eastAsia"/>
          <w:sz w:val="21"/>
          <w:szCs w:val="21"/>
          <w:highlight w:val="none"/>
          <w:lang w:eastAsia="zh-CN"/>
        </w:rPr>
        <w:t>2026年6月23日</w:t>
      </w:r>
      <w:r>
        <w:rPr>
          <w:rFonts w:hint="eastAsia"/>
          <w:sz w:val="21"/>
          <w:szCs w:val="21"/>
          <w:highlight w:val="none"/>
        </w:rPr>
        <w:t xml:space="preserve">，前十名基金份额持有人的情况如下表。 </w:t>
      </w:r>
    </w:p>
    <w:tbl>
      <w:tblPr>
        <w:tblStyle w:val="11"/>
        <w:tblW w:w="80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61"/>
        <w:gridCol w:w="2805"/>
        <w:gridCol w:w="2115"/>
        <w:gridCol w:w="2507"/>
      </w:tblGrid>
      <w:tr w14:paraId="2D5928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61" w:type="dxa"/>
            <w:vAlign w:val="center"/>
          </w:tcPr>
          <w:p w14:paraId="38D1A086">
            <w:pPr>
              <w:pStyle w:val="9"/>
              <w:spacing w:before="0" w:beforeAutospacing="0" w:after="0" w:afterAutospacing="0" w:line="360" w:lineRule="auto"/>
              <w:ind w:firstLine="0"/>
              <w:rPr>
                <w:rFonts w:hint="eastAsia"/>
                <w:sz w:val="21"/>
                <w:szCs w:val="21"/>
                <w:highlight w:val="none"/>
              </w:rPr>
            </w:pPr>
            <w:r>
              <w:rPr>
                <w:rFonts w:hint="eastAsia"/>
                <w:sz w:val="21"/>
                <w:szCs w:val="21"/>
                <w:highlight w:val="none"/>
              </w:rPr>
              <w:t>序号</w:t>
            </w:r>
          </w:p>
        </w:tc>
        <w:tc>
          <w:tcPr>
            <w:tcW w:w="2805" w:type="dxa"/>
            <w:vAlign w:val="center"/>
          </w:tcPr>
          <w:p w14:paraId="4B53EFE1">
            <w:pPr>
              <w:pStyle w:val="9"/>
              <w:spacing w:before="0" w:beforeAutospacing="0" w:after="0" w:afterAutospacing="0" w:line="360" w:lineRule="auto"/>
              <w:ind w:firstLine="420"/>
              <w:jc w:val="center"/>
              <w:rPr>
                <w:rFonts w:hint="eastAsia"/>
                <w:sz w:val="21"/>
                <w:szCs w:val="21"/>
                <w:highlight w:val="none"/>
              </w:rPr>
            </w:pPr>
            <w:r>
              <w:rPr>
                <w:rFonts w:hint="eastAsia"/>
                <w:sz w:val="21"/>
                <w:szCs w:val="21"/>
                <w:highlight w:val="none"/>
              </w:rPr>
              <w:t>持有人名称（全称）</w:t>
            </w:r>
          </w:p>
        </w:tc>
        <w:tc>
          <w:tcPr>
            <w:tcW w:w="2115" w:type="dxa"/>
            <w:vAlign w:val="center"/>
          </w:tcPr>
          <w:p w14:paraId="7A6D0BA0">
            <w:pPr>
              <w:pStyle w:val="9"/>
              <w:spacing w:before="0" w:beforeAutospacing="0" w:after="0" w:afterAutospacing="0" w:line="360" w:lineRule="auto"/>
              <w:ind w:firstLine="0"/>
              <w:jc w:val="center"/>
              <w:rPr>
                <w:rFonts w:hint="eastAsia"/>
                <w:sz w:val="21"/>
                <w:szCs w:val="21"/>
                <w:highlight w:val="none"/>
              </w:rPr>
            </w:pPr>
            <w:r>
              <w:rPr>
                <w:rFonts w:hint="eastAsia"/>
                <w:sz w:val="21"/>
                <w:szCs w:val="21"/>
                <w:highlight w:val="none"/>
              </w:rPr>
              <w:t>持有基金份额（份）</w:t>
            </w:r>
          </w:p>
        </w:tc>
        <w:tc>
          <w:tcPr>
            <w:tcW w:w="2507" w:type="dxa"/>
            <w:vAlign w:val="center"/>
          </w:tcPr>
          <w:p w14:paraId="60BE21D6">
            <w:pPr>
              <w:pStyle w:val="9"/>
              <w:spacing w:before="0" w:beforeAutospacing="0" w:after="0" w:afterAutospacing="0" w:line="360" w:lineRule="auto"/>
              <w:ind w:firstLine="0"/>
              <w:jc w:val="center"/>
              <w:rPr>
                <w:rFonts w:hint="eastAsia"/>
                <w:sz w:val="21"/>
                <w:szCs w:val="21"/>
                <w:highlight w:val="none"/>
              </w:rPr>
            </w:pPr>
            <w:r>
              <w:rPr>
                <w:rFonts w:hint="eastAsia"/>
                <w:sz w:val="21"/>
                <w:szCs w:val="21"/>
                <w:highlight w:val="none"/>
              </w:rPr>
              <w:t>占场内总份额比例（%）</w:t>
            </w:r>
          </w:p>
        </w:tc>
      </w:tr>
      <w:tr w14:paraId="249301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61" w:type="dxa"/>
            <w:vAlign w:val="center"/>
          </w:tcPr>
          <w:p w14:paraId="7C3324CE">
            <w:pPr>
              <w:pStyle w:val="9"/>
              <w:spacing w:before="0" w:beforeAutospacing="0" w:after="0" w:afterAutospacing="0" w:line="360" w:lineRule="auto"/>
              <w:ind w:firstLine="0"/>
              <w:jc w:val="center"/>
              <w:rPr>
                <w:rFonts w:hint="default"/>
                <w:sz w:val="21"/>
                <w:szCs w:val="21"/>
                <w:highlight w:val="none"/>
                <w:lang w:val="en-US" w:eastAsia="zh-CN"/>
              </w:rPr>
            </w:pPr>
            <w:r>
              <w:rPr>
                <w:rFonts w:hint="eastAsia"/>
                <w:sz w:val="21"/>
                <w:szCs w:val="21"/>
                <w:highlight w:val="none"/>
                <w:lang w:val="en-US" w:eastAsia="zh-CN"/>
              </w:rPr>
              <w:t>1</w:t>
            </w:r>
          </w:p>
        </w:tc>
        <w:tc>
          <w:tcPr>
            <w:tcW w:w="2805" w:type="dxa"/>
            <w:vAlign w:val="center"/>
          </w:tcPr>
          <w:p w14:paraId="6FB76833">
            <w:pPr>
              <w:keepNext w:val="0"/>
              <w:keepLines w:val="0"/>
              <w:widowControl/>
              <w:suppressLineNumbers w:val="0"/>
              <w:jc w:val="left"/>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u w:val="none"/>
                <w:lang w:val="en-US" w:eastAsia="zh-CN" w:bidi="ar"/>
              </w:rPr>
              <w:t>上海证券－国君资管3189FOF单一资产管理计划－上海证券护航FOF单一资产管理计划</w:t>
            </w:r>
          </w:p>
        </w:tc>
        <w:tc>
          <w:tcPr>
            <w:tcW w:w="2115" w:type="dxa"/>
            <w:vAlign w:val="center"/>
          </w:tcPr>
          <w:p w14:paraId="6973DF5B">
            <w:pPr>
              <w:keepNext w:val="0"/>
              <w:keepLines w:val="0"/>
              <w:widowControl/>
              <w:suppressLineNumbers w:val="0"/>
              <w:jc w:val="right"/>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u w:val="none"/>
                <w:lang w:val="en-US" w:eastAsia="zh-CN" w:bidi="ar"/>
              </w:rPr>
              <w:t xml:space="preserve"> 20,000,388.00 </w:t>
            </w:r>
          </w:p>
        </w:tc>
        <w:tc>
          <w:tcPr>
            <w:tcW w:w="2507" w:type="dxa"/>
            <w:vAlign w:val="center"/>
          </w:tcPr>
          <w:p w14:paraId="4EEE9ECA">
            <w:pPr>
              <w:keepNext w:val="0"/>
              <w:keepLines w:val="0"/>
              <w:widowControl/>
              <w:suppressLineNumbers w:val="0"/>
              <w:jc w:val="right"/>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u w:val="none"/>
                <w:lang w:val="en-US" w:eastAsia="zh-CN" w:bidi="ar"/>
              </w:rPr>
              <w:t>7.63</w:t>
            </w:r>
          </w:p>
        </w:tc>
      </w:tr>
      <w:tr w14:paraId="24142A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61" w:type="dxa"/>
            <w:vAlign w:val="center"/>
          </w:tcPr>
          <w:p w14:paraId="50AE84F3">
            <w:pPr>
              <w:pStyle w:val="9"/>
              <w:spacing w:before="0" w:beforeAutospacing="0" w:after="0" w:afterAutospacing="0" w:line="360" w:lineRule="auto"/>
              <w:ind w:firstLine="0"/>
              <w:jc w:val="center"/>
              <w:rPr>
                <w:rFonts w:hint="default"/>
                <w:sz w:val="21"/>
                <w:szCs w:val="21"/>
                <w:highlight w:val="none"/>
                <w:lang w:val="en-US" w:eastAsia="zh-CN"/>
              </w:rPr>
            </w:pPr>
            <w:r>
              <w:rPr>
                <w:rFonts w:hint="eastAsia"/>
                <w:sz w:val="21"/>
                <w:szCs w:val="21"/>
                <w:highlight w:val="none"/>
                <w:lang w:val="en-US" w:eastAsia="zh-CN"/>
              </w:rPr>
              <w:t>2</w:t>
            </w:r>
          </w:p>
        </w:tc>
        <w:tc>
          <w:tcPr>
            <w:tcW w:w="2805" w:type="dxa"/>
            <w:vAlign w:val="center"/>
          </w:tcPr>
          <w:p w14:paraId="4EB6BC54">
            <w:pPr>
              <w:keepNext w:val="0"/>
              <w:keepLines w:val="0"/>
              <w:widowControl/>
              <w:suppressLineNumbers w:val="0"/>
              <w:jc w:val="left"/>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u w:val="none"/>
                <w:lang w:val="en-US" w:eastAsia="zh-CN" w:bidi="ar"/>
              </w:rPr>
              <w:t>招商证券股份有限公司</w:t>
            </w:r>
          </w:p>
        </w:tc>
        <w:tc>
          <w:tcPr>
            <w:tcW w:w="2115" w:type="dxa"/>
            <w:vAlign w:val="center"/>
          </w:tcPr>
          <w:p w14:paraId="6B17AB60">
            <w:pPr>
              <w:keepNext w:val="0"/>
              <w:keepLines w:val="0"/>
              <w:widowControl/>
              <w:suppressLineNumbers w:val="0"/>
              <w:jc w:val="right"/>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u w:val="none"/>
                <w:lang w:val="en-US" w:eastAsia="zh-CN" w:bidi="ar"/>
              </w:rPr>
              <w:t xml:space="preserve"> 7,000,136.00 </w:t>
            </w:r>
          </w:p>
        </w:tc>
        <w:tc>
          <w:tcPr>
            <w:tcW w:w="2507" w:type="dxa"/>
            <w:vAlign w:val="center"/>
          </w:tcPr>
          <w:p w14:paraId="24E42AA5">
            <w:pPr>
              <w:keepNext w:val="0"/>
              <w:keepLines w:val="0"/>
              <w:widowControl/>
              <w:suppressLineNumbers w:val="0"/>
              <w:jc w:val="right"/>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u w:val="none"/>
                <w:lang w:val="en-US" w:eastAsia="zh-CN" w:bidi="ar"/>
              </w:rPr>
              <w:t>2.67</w:t>
            </w:r>
          </w:p>
        </w:tc>
      </w:tr>
      <w:tr w14:paraId="1337A4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61" w:type="dxa"/>
            <w:vAlign w:val="center"/>
          </w:tcPr>
          <w:p w14:paraId="37D4A600">
            <w:pPr>
              <w:pStyle w:val="9"/>
              <w:spacing w:before="0" w:beforeAutospacing="0" w:after="0" w:afterAutospacing="0" w:line="360" w:lineRule="auto"/>
              <w:ind w:firstLine="0"/>
              <w:jc w:val="center"/>
              <w:rPr>
                <w:rFonts w:hint="default"/>
                <w:sz w:val="21"/>
                <w:szCs w:val="21"/>
                <w:highlight w:val="none"/>
                <w:lang w:val="en-US" w:eastAsia="zh-CN"/>
              </w:rPr>
            </w:pPr>
            <w:r>
              <w:rPr>
                <w:rFonts w:hint="eastAsia"/>
                <w:sz w:val="21"/>
                <w:szCs w:val="21"/>
                <w:highlight w:val="none"/>
                <w:lang w:val="en-US" w:eastAsia="zh-CN"/>
              </w:rPr>
              <w:t>3</w:t>
            </w:r>
          </w:p>
        </w:tc>
        <w:tc>
          <w:tcPr>
            <w:tcW w:w="2805" w:type="dxa"/>
            <w:vAlign w:val="center"/>
          </w:tcPr>
          <w:p w14:paraId="43A4E450">
            <w:pPr>
              <w:keepNext w:val="0"/>
              <w:keepLines w:val="0"/>
              <w:widowControl/>
              <w:suppressLineNumbers w:val="0"/>
              <w:jc w:val="left"/>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u w:val="none"/>
                <w:lang w:val="en-US" w:eastAsia="zh-CN" w:bidi="ar"/>
              </w:rPr>
              <w:t>长江证券股份有限公司</w:t>
            </w:r>
          </w:p>
        </w:tc>
        <w:tc>
          <w:tcPr>
            <w:tcW w:w="2115" w:type="dxa"/>
            <w:vAlign w:val="center"/>
          </w:tcPr>
          <w:p w14:paraId="1257AC45">
            <w:pPr>
              <w:keepNext w:val="0"/>
              <w:keepLines w:val="0"/>
              <w:widowControl/>
              <w:suppressLineNumbers w:val="0"/>
              <w:jc w:val="right"/>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u w:val="none"/>
                <w:lang w:val="en-US" w:eastAsia="zh-CN" w:bidi="ar"/>
              </w:rPr>
              <w:t xml:space="preserve"> 6,900,134.00 </w:t>
            </w:r>
          </w:p>
        </w:tc>
        <w:tc>
          <w:tcPr>
            <w:tcW w:w="2507" w:type="dxa"/>
            <w:vAlign w:val="center"/>
          </w:tcPr>
          <w:p w14:paraId="05E63907">
            <w:pPr>
              <w:keepNext w:val="0"/>
              <w:keepLines w:val="0"/>
              <w:widowControl/>
              <w:suppressLineNumbers w:val="0"/>
              <w:jc w:val="right"/>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u w:val="none"/>
                <w:lang w:val="en-US" w:eastAsia="zh-CN" w:bidi="ar"/>
              </w:rPr>
              <w:t>2.63</w:t>
            </w:r>
          </w:p>
        </w:tc>
      </w:tr>
      <w:tr w14:paraId="4FE3DC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61" w:type="dxa"/>
            <w:vAlign w:val="center"/>
          </w:tcPr>
          <w:p w14:paraId="069F86D8">
            <w:pPr>
              <w:pStyle w:val="9"/>
              <w:spacing w:before="0" w:beforeAutospacing="0" w:after="0" w:afterAutospacing="0" w:line="360" w:lineRule="auto"/>
              <w:ind w:firstLine="0"/>
              <w:jc w:val="center"/>
              <w:rPr>
                <w:rFonts w:hint="default"/>
                <w:sz w:val="21"/>
                <w:szCs w:val="21"/>
                <w:highlight w:val="none"/>
                <w:lang w:val="en-US" w:eastAsia="zh-CN"/>
              </w:rPr>
            </w:pPr>
            <w:r>
              <w:rPr>
                <w:rFonts w:hint="eastAsia"/>
                <w:sz w:val="21"/>
                <w:szCs w:val="21"/>
                <w:highlight w:val="none"/>
                <w:lang w:val="en-US" w:eastAsia="zh-CN"/>
              </w:rPr>
              <w:t>4</w:t>
            </w:r>
          </w:p>
        </w:tc>
        <w:tc>
          <w:tcPr>
            <w:tcW w:w="2805" w:type="dxa"/>
            <w:vAlign w:val="center"/>
          </w:tcPr>
          <w:p w14:paraId="7B5A2628">
            <w:pPr>
              <w:keepNext w:val="0"/>
              <w:keepLines w:val="0"/>
              <w:widowControl/>
              <w:suppressLineNumbers w:val="0"/>
              <w:jc w:val="left"/>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u w:val="none"/>
                <w:lang w:val="en-US" w:eastAsia="zh-CN" w:bidi="ar"/>
              </w:rPr>
              <w:t>华源证券股份有限公司</w:t>
            </w:r>
          </w:p>
        </w:tc>
        <w:tc>
          <w:tcPr>
            <w:tcW w:w="2115" w:type="dxa"/>
            <w:vAlign w:val="center"/>
          </w:tcPr>
          <w:p w14:paraId="4BF89430">
            <w:pPr>
              <w:keepNext w:val="0"/>
              <w:keepLines w:val="0"/>
              <w:widowControl/>
              <w:suppressLineNumbers w:val="0"/>
              <w:jc w:val="right"/>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u w:val="none"/>
                <w:lang w:val="en-US" w:eastAsia="zh-CN" w:bidi="ar"/>
              </w:rPr>
              <w:t xml:space="preserve"> 6,000,116.00 </w:t>
            </w:r>
          </w:p>
        </w:tc>
        <w:tc>
          <w:tcPr>
            <w:tcW w:w="2507" w:type="dxa"/>
            <w:vAlign w:val="center"/>
          </w:tcPr>
          <w:p w14:paraId="4D432A27">
            <w:pPr>
              <w:keepNext w:val="0"/>
              <w:keepLines w:val="0"/>
              <w:widowControl/>
              <w:suppressLineNumbers w:val="0"/>
              <w:jc w:val="right"/>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u w:val="none"/>
                <w:lang w:val="en-US" w:eastAsia="zh-CN" w:bidi="ar"/>
              </w:rPr>
              <w:t>2.29</w:t>
            </w:r>
          </w:p>
        </w:tc>
      </w:tr>
      <w:tr w14:paraId="316B13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61" w:type="dxa"/>
            <w:vAlign w:val="center"/>
          </w:tcPr>
          <w:p w14:paraId="367C2708">
            <w:pPr>
              <w:pStyle w:val="9"/>
              <w:spacing w:before="0" w:beforeAutospacing="0" w:after="0" w:afterAutospacing="0" w:line="360" w:lineRule="auto"/>
              <w:ind w:firstLine="0"/>
              <w:jc w:val="center"/>
              <w:rPr>
                <w:rFonts w:hint="default"/>
                <w:sz w:val="21"/>
                <w:szCs w:val="21"/>
                <w:highlight w:val="none"/>
                <w:lang w:val="en-US" w:eastAsia="zh-CN"/>
              </w:rPr>
            </w:pPr>
            <w:r>
              <w:rPr>
                <w:rFonts w:hint="eastAsia"/>
                <w:sz w:val="21"/>
                <w:szCs w:val="21"/>
                <w:highlight w:val="none"/>
                <w:lang w:val="en-US" w:eastAsia="zh-CN"/>
              </w:rPr>
              <w:t>5</w:t>
            </w:r>
          </w:p>
        </w:tc>
        <w:tc>
          <w:tcPr>
            <w:tcW w:w="2805" w:type="dxa"/>
            <w:vAlign w:val="center"/>
          </w:tcPr>
          <w:p w14:paraId="0795B01F">
            <w:pPr>
              <w:keepNext w:val="0"/>
              <w:keepLines w:val="0"/>
              <w:widowControl/>
              <w:suppressLineNumbers w:val="0"/>
              <w:jc w:val="left"/>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u w:val="none"/>
                <w:lang w:val="en-US" w:eastAsia="zh-CN" w:bidi="ar"/>
              </w:rPr>
              <w:t>北京卫康公益基金会</w:t>
            </w:r>
          </w:p>
        </w:tc>
        <w:tc>
          <w:tcPr>
            <w:tcW w:w="2115" w:type="dxa"/>
            <w:vAlign w:val="center"/>
          </w:tcPr>
          <w:p w14:paraId="6547C4BC">
            <w:pPr>
              <w:keepNext w:val="0"/>
              <w:keepLines w:val="0"/>
              <w:widowControl/>
              <w:suppressLineNumbers w:val="0"/>
              <w:jc w:val="right"/>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u w:val="none"/>
                <w:lang w:val="en-US" w:eastAsia="zh-CN" w:bidi="ar"/>
              </w:rPr>
              <w:t xml:space="preserve"> 5,000,291.00 </w:t>
            </w:r>
          </w:p>
        </w:tc>
        <w:tc>
          <w:tcPr>
            <w:tcW w:w="2507" w:type="dxa"/>
            <w:vAlign w:val="center"/>
          </w:tcPr>
          <w:p w14:paraId="53B0A6DC">
            <w:pPr>
              <w:keepNext w:val="0"/>
              <w:keepLines w:val="0"/>
              <w:widowControl/>
              <w:suppressLineNumbers w:val="0"/>
              <w:jc w:val="right"/>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u w:val="none"/>
                <w:lang w:val="en-US" w:eastAsia="zh-CN" w:bidi="ar"/>
              </w:rPr>
              <w:t>1.91</w:t>
            </w:r>
          </w:p>
        </w:tc>
      </w:tr>
      <w:tr w14:paraId="71F46D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61" w:type="dxa"/>
            <w:vAlign w:val="center"/>
          </w:tcPr>
          <w:p w14:paraId="2B7C6CF7">
            <w:pPr>
              <w:pStyle w:val="9"/>
              <w:spacing w:before="0" w:beforeAutospacing="0" w:after="0" w:afterAutospacing="0" w:line="360" w:lineRule="auto"/>
              <w:ind w:firstLine="0"/>
              <w:jc w:val="center"/>
              <w:rPr>
                <w:rFonts w:hint="default"/>
                <w:sz w:val="21"/>
                <w:szCs w:val="21"/>
                <w:highlight w:val="none"/>
                <w:lang w:val="en-US" w:eastAsia="zh-CN"/>
              </w:rPr>
            </w:pPr>
            <w:r>
              <w:rPr>
                <w:rFonts w:hint="eastAsia"/>
                <w:sz w:val="21"/>
                <w:szCs w:val="21"/>
                <w:highlight w:val="none"/>
                <w:lang w:val="en-US" w:eastAsia="zh-CN"/>
              </w:rPr>
              <w:t>6</w:t>
            </w:r>
          </w:p>
        </w:tc>
        <w:tc>
          <w:tcPr>
            <w:tcW w:w="2805" w:type="dxa"/>
            <w:vAlign w:val="center"/>
          </w:tcPr>
          <w:p w14:paraId="6E11C5E8">
            <w:pPr>
              <w:keepNext w:val="0"/>
              <w:keepLines w:val="0"/>
              <w:widowControl/>
              <w:suppressLineNumbers w:val="0"/>
              <w:jc w:val="left"/>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u w:val="none"/>
                <w:lang w:val="en-US" w:eastAsia="zh-CN" w:bidi="ar"/>
              </w:rPr>
              <w:t>东吴证券股份有限公司</w:t>
            </w:r>
          </w:p>
        </w:tc>
        <w:tc>
          <w:tcPr>
            <w:tcW w:w="2115" w:type="dxa"/>
            <w:vAlign w:val="center"/>
          </w:tcPr>
          <w:p w14:paraId="16F2946A">
            <w:pPr>
              <w:keepNext w:val="0"/>
              <w:keepLines w:val="0"/>
              <w:widowControl/>
              <w:suppressLineNumbers w:val="0"/>
              <w:jc w:val="right"/>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u w:val="none"/>
                <w:lang w:val="en-US" w:eastAsia="zh-CN" w:bidi="ar"/>
              </w:rPr>
              <w:t xml:space="preserve"> 5,000,097.00 </w:t>
            </w:r>
          </w:p>
        </w:tc>
        <w:tc>
          <w:tcPr>
            <w:tcW w:w="2507" w:type="dxa"/>
            <w:vAlign w:val="center"/>
          </w:tcPr>
          <w:p w14:paraId="5C64AA92">
            <w:pPr>
              <w:keepNext w:val="0"/>
              <w:keepLines w:val="0"/>
              <w:widowControl/>
              <w:suppressLineNumbers w:val="0"/>
              <w:jc w:val="right"/>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u w:val="none"/>
                <w:lang w:val="en-US" w:eastAsia="zh-CN" w:bidi="ar"/>
              </w:rPr>
              <w:t>1.91</w:t>
            </w:r>
          </w:p>
        </w:tc>
      </w:tr>
      <w:tr w14:paraId="29775A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61" w:type="dxa"/>
            <w:vAlign w:val="center"/>
          </w:tcPr>
          <w:p w14:paraId="21D34970">
            <w:pPr>
              <w:pStyle w:val="9"/>
              <w:spacing w:before="0" w:beforeAutospacing="0" w:after="0" w:afterAutospacing="0" w:line="360" w:lineRule="auto"/>
              <w:ind w:firstLine="0"/>
              <w:jc w:val="center"/>
              <w:rPr>
                <w:rFonts w:hint="default"/>
                <w:sz w:val="21"/>
                <w:szCs w:val="21"/>
                <w:highlight w:val="none"/>
                <w:lang w:val="en-US" w:eastAsia="zh-CN"/>
              </w:rPr>
            </w:pPr>
            <w:r>
              <w:rPr>
                <w:rFonts w:hint="eastAsia"/>
                <w:sz w:val="21"/>
                <w:szCs w:val="21"/>
                <w:highlight w:val="none"/>
                <w:lang w:val="en-US" w:eastAsia="zh-CN"/>
              </w:rPr>
              <w:t>7</w:t>
            </w:r>
          </w:p>
        </w:tc>
        <w:tc>
          <w:tcPr>
            <w:tcW w:w="2805" w:type="dxa"/>
            <w:vAlign w:val="center"/>
          </w:tcPr>
          <w:p w14:paraId="28FA70CD">
            <w:pPr>
              <w:keepNext w:val="0"/>
              <w:keepLines w:val="0"/>
              <w:widowControl/>
              <w:suppressLineNumbers w:val="0"/>
              <w:jc w:val="left"/>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u w:val="none"/>
                <w:lang w:val="en-US" w:eastAsia="zh-CN" w:bidi="ar"/>
              </w:rPr>
              <w:t>洪海冰</w:t>
            </w:r>
          </w:p>
        </w:tc>
        <w:tc>
          <w:tcPr>
            <w:tcW w:w="2115" w:type="dxa"/>
            <w:vAlign w:val="center"/>
          </w:tcPr>
          <w:p w14:paraId="22442932">
            <w:pPr>
              <w:keepNext w:val="0"/>
              <w:keepLines w:val="0"/>
              <w:widowControl/>
              <w:suppressLineNumbers w:val="0"/>
              <w:jc w:val="right"/>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u w:val="none"/>
                <w:lang w:val="en-US" w:eastAsia="zh-CN" w:bidi="ar"/>
              </w:rPr>
              <w:t xml:space="preserve"> 3,000,204.00 </w:t>
            </w:r>
          </w:p>
        </w:tc>
        <w:tc>
          <w:tcPr>
            <w:tcW w:w="2507" w:type="dxa"/>
            <w:vAlign w:val="center"/>
          </w:tcPr>
          <w:p w14:paraId="06EE15E9">
            <w:pPr>
              <w:keepNext w:val="0"/>
              <w:keepLines w:val="0"/>
              <w:widowControl/>
              <w:suppressLineNumbers w:val="0"/>
              <w:jc w:val="right"/>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u w:val="none"/>
                <w:lang w:val="en-US" w:eastAsia="zh-CN" w:bidi="ar"/>
              </w:rPr>
              <w:t>1.14</w:t>
            </w:r>
          </w:p>
        </w:tc>
      </w:tr>
      <w:tr w14:paraId="3AA3C8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61" w:type="dxa"/>
            <w:vAlign w:val="center"/>
          </w:tcPr>
          <w:p w14:paraId="030BCB63">
            <w:pPr>
              <w:pStyle w:val="9"/>
              <w:spacing w:before="0" w:beforeAutospacing="0" w:after="0" w:afterAutospacing="0" w:line="360" w:lineRule="auto"/>
              <w:ind w:firstLine="0"/>
              <w:jc w:val="center"/>
              <w:rPr>
                <w:rFonts w:hint="default"/>
                <w:sz w:val="21"/>
                <w:szCs w:val="21"/>
                <w:highlight w:val="none"/>
                <w:lang w:val="en-US" w:eastAsia="zh-CN"/>
              </w:rPr>
            </w:pPr>
            <w:r>
              <w:rPr>
                <w:rFonts w:hint="eastAsia"/>
                <w:sz w:val="21"/>
                <w:szCs w:val="21"/>
                <w:highlight w:val="none"/>
                <w:lang w:val="en-US" w:eastAsia="zh-CN"/>
              </w:rPr>
              <w:t>8</w:t>
            </w:r>
          </w:p>
        </w:tc>
        <w:tc>
          <w:tcPr>
            <w:tcW w:w="2805" w:type="dxa"/>
            <w:vAlign w:val="center"/>
          </w:tcPr>
          <w:p w14:paraId="684CA7AE">
            <w:pPr>
              <w:keepNext w:val="0"/>
              <w:keepLines w:val="0"/>
              <w:widowControl/>
              <w:suppressLineNumbers w:val="0"/>
              <w:jc w:val="left"/>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u w:val="none"/>
                <w:lang w:val="en-US" w:eastAsia="zh-CN" w:bidi="ar"/>
              </w:rPr>
              <w:t>深圳汇佳投资管理有限公司－汇佳方泰一期私募证券投资基金</w:t>
            </w:r>
          </w:p>
        </w:tc>
        <w:tc>
          <w:tcPr>
            <w:tcW w:w="2115" w:type="dxa"/>
            <w:vAlign w:val="center"/>
          </w:tcPr>
          <w:p w14:paraId="55A5CB0D">
            <w:pPr>
              <w:keepNext w:val="0"/>
              <w:keepLines w:val="0"/>
              <w:widowControl/>
              <w:suppressLineNumbers w:val="0"/>
              <w:jc w:val="right"/>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u w:val="none"/>
                <w:lang w:val="en-US" w:eastAsia="zh-CN" w:bidi="ar"/>
              </w:rPr>
              <w:t xml:space="preserve"> 3,000,145.00 </w:t>
            </w:r>
          </w:p>
        </w:tc>
        <w:tc>
          <w:tcPr>
            <w:tcW w:w="2507" w:type="dxa"/>
            <w:vAlign w:val="center"/>
          </w:tcPr>
          <w:p w14:paraId="5A6C6BA2">
            <w:pPr>
              <w:keepNext w:val="0"/>
              <w:keepLines w:val="0"/>
              <w:widowControl/>
              <w:suppressLineNumbers w:val="0"/>
              <w:jc w:val="right"/>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u w:val="none"/>
                <w:lang w:val="en-US" w:eastAsia="zh-CN" w:bidi="ar"/>
              </w:rPr>
              <w:t>1.14</w:t>
            </w:r>
          </w:p>
        </w:tc>
      </w:tr>
      <w:tr w14:paraId="6B6655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61" w:type="dxa"/>
            <w:vAlign w:val="center"/>
          </w:tcPr>
          <w:p w14:paraId="38903BB9">
            <w:pPr>
              <w:pStyle w:val="9"/>
              <w:spacing w:before="0" w:beforeAutospacing="0" w:after="0" w:afterAutospacing="0" w:line="360" w:lineRule="auto"/>
              <w:ind w:firstLine="0"/>
              <w:jc w:val="center"/>
              <w:rPr>
                <w:rFonts w:hint="default"/>
                <w:sz w:val="21"/>
                <w:szCs w:val="21"/>
                <w:highlight w:val="none"/>
                <w:lang w:val="en-US" w:eastAsia="zh-CN"/>
              </w:rPr>
            </w:pPr>
            <w:r>
              <w:rPr>
                <w:rFonts w:hint="eastAsia"/>
                <w:sz w:val="21"/>
                <w:szCs w:val="21"/>
                <w:highlight w:val="none"/>
                <w:lang w:val="en-US" w:eastAsia="zh-CN"/>
              </w:rPr>
              <w:t>9</w:t>
            </w:r>
          </w:p>
        </w:tc>
        <w:tc>
          <w:tcPr>
            <w:tcW w:w="2805" w:type="dxa"/>
            <w:vAlign w:val="center"/>
          </w:tcPr>
          <w:p w14:paraId="5D057B7A">
            <w:pPr>
              <w:keepNext w:val="0"/>
              <w:keepLines w:val="0"/>
              <w:widowControl/>
              <w:suppressLineNumbers w:val="0"/>
              <w:jc w:val="left"/>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u w:val="none"/>
                <w:lang w:val="en-US" w:eastAsia="zh-CN" w:bidi="ar"/>
              </w:rPr>
              <w:t>紫金矿业资产管理（厦门）有限公司－紫金资产星盛私募证券投资基金</w:t>
            </w:r>
          </w:p>
        </w:tc>
        <w:tc>
          <w:tcPr>
            <w:tcW w:w="2115" w:type="dxa"/>
            <w:vAlign w:val="center"/>
          </w:tcPr>
          <w:p w14:paraId="64237A2D">
            <w:pPr>
              <w:keepNext w:val="0"/>
              <w:keepLines w:val="0"/>
              <w:widowControl/>
              <w:suppressLineNumbers w:val="0"/>
              <w:jc w:val="right"/>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u w:val="none"/>
                <w:lang w:val="en-US" w:eastAsia="zh-CN" w:bidi="ar"/>
              </w:rPr>
              <w:t xml:space="preserve"> 3,000,057.00 </w:t>
            </w:r>
          </w:p>
        </w:tc>
        <w:tc>
          <w:tcPr>
            <w:tcW w:w="2507" w:type="dxa"/>
            <w:vAlign w:val="center"/>
          </w:tcPr>
          <w:p w14:paraId="7D6D1D80">
            <w:pPr>
              <w:keepNext w:val="0"/>
              <w:keepLines w:val="0"/>
              <w:widowControl/>
              <w:suppressLineNumbers w:val="0"/>
              <w:jc w:val="right"/>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u w:val="none"/>
                <w:lang w:val="en-US" w:eastAsia="zh-CN" w:bidi="ar"/>
              </w:rPr>
              <w:t>1.14</w:t>
            </w:r>
          </w:p>
        </w:tc>
      </w:tr>
      <w:tr w14:paraId="1D04DD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61" w:type="dxa"/>
            <w:vAlign w:val="center"/>
          </w:tcPr>
          <w:p w14:paraId="5B08ACBD">
            <w:pPr>
              <w:pStyle w:val="9"/>
              <w:spacing w:before="0" w:beforeAutospacing="0" w:after="0" w:afterAutospacing="0" w:line="360" w:lineRule="auto"/>
              <w:ind w:firstLine="0"/>
              <w:jc w:val="center"/>
              <w:rPr>
                <w:rFonts w:hint="default"/>
                <w:sz w:val="21"/>
                <w:szCs w:val="21"/>
                <w:highlight w:val="none"/>
                <w:lang w:val="en-US" w:eastAsia="zh-CN"/>
              </w:rPr>
            </w:pPr>
            <w:r>
              <w:rPr>
                <w:rFonts w:hint="eastAsia"/>
                <w:sz w:val="21"/>
                <w:szCs w:val="21"/>
                <w:highlight w:val="none"/>
                <w:lang w:val="en-US" w:eastAsia="zh-CN"/>
              </w:rPr>
              <w:t>10</w:t>
            </w:r>
          </w:p>
        </w:tc>
        <w:tc>
          <w:tcPr>
            <w:tcW w:w="2805" w:type="dxa"/>
            <w:vAlign w:val="center"/>
          </w:tcPr>
          <w:p w14:paraId="0337E4D6">
            <w:pPr>
              <w:keepNext w:val="0"/>
              <w:keepLines w:val="0"/>
              <w:widowControl/>
              <w:suppressLineNumbers w:val="0"/>
              <w:jc w:val="left"/>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u w:val="none"/>
                <w:lang w:val="en-US" w:eastAsia="zh-CN" w:bidi="ar"/>
              </w:rPr>
              <w:t>李斌</w:t>
            </w:r>
          </w:p>
        </w:tc>
        <w:tc>
          <w:tcPr>
            <w:tcW w:w="2115" w:type="dxa"/>
            <w:vAlign w:val="center"/>
          </w:tcPr>
          <w:p w14:paraId="1C1FE806">
            <w:pPr>
              <w:keepNext w:val="0"/>
              <w:keepLines w:val="0"/>
              <w:widowControl/>
              <w:suppressLineNumbers w:val="0"/>
              <w:jc w:val="right"/>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u w:val="none"/>
                <w:lang w:val="en-US" w:eastAsia="zh-CN" w:bidi="ar"/>
              </w:rPr>
              <w:t xml:space="preserve"> 2,500,121.00 </w:t>
            </w:r>
          </w:p>
        </w:tc>
        <w:tc>
          <w:tcPr>
            <w:tcW w:w="2507" w:type="dxa"/>
            <w:vAlign w:val="center"/>
          </w:tcPr>
          <w:p w14:paraId="59D1B576">
            <w:pPr>
              <w:keepNext w:val="0"/>
              <w:keepLines w:val="0"/>
              <w:widowControl/>
              <w:suppressLineNumbers w:val="0"/>
              <w:jc w:val="right"/>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u w:val="none"/>
                <w:lang w:val="en-US" w:eastAsia="zh-CN" w:bidi="ar"/>
              </w:rPr>
              <w:t>0.95</w:t>
            </w:r>
          </w:p>
        </w:tc>
      </w:tr>
    </w:tbl>
    <w:p w14:paraId="3FDD9293">
      <w:pPr>
        <w:pStyle w:val="9"/>
        <w:spacing w:before="0" w:beforeAutospacing="0" w:after="0" w:afterAutospacing="0" w:line="360" w:lineRule="auto"/>
        <w:ind w:firstLine="420" w:firstLineChars="200"/>
        <w:rPr>
          <w:rFonts w:hint="eastAsia"/>
          <w:sz w:val="21"/>
          <w:szCs w:val="21"/>
          <w:highlight w:val="none"/>
        </w:rPr>
      </w:pPr>
      <w:bookmarkStart w:id="26" w:name="chapter_level1_4_56146_section_1_end"/>
      <w:bookmarkEnd w:id="26"/>
      <w:r>
        <w:rPr>
          <w:rFonts w:hint="eastAsia"/>
          <w:sz w:val="21"/>
          <w:szCs w:val="21"/>
          <w:highlight w:val="none"/>
        </w:rPr>
        <w:t>注：以上信息依据中国证券登记结算有限责任公司提供的持有人信息编制。</w:t>
      </w:r>
    </w:p>
    <w:p w14:paraId="67F72CF5">
      <w:pPr>
        <w:pStyle w:val="9"/>
        <w:spacing w:before="0" w:beforeAutospacing="0" w:after="0" w:afterAutospacing="0" w:line="360" w:lineRule="auto"/>
        <w:ind w:firstLine="420" w:firstLineChars="200"/>
        <w:rPr>
          <w:sz w:val="21"/>
          <w:szCs w:val="21"/>
          <w:highlight w:val="none"/>
        </w:rPr>
      </w:pPr>
      <w:r>
        <w:rPr>
          <w:rFonts w:hint="eastAsia"/>
          <w:sz w:val="21"/>
          <w:szCs w:val="21"/>
          <w:highlight w:val="none"/>
        </w:rPr>
        <w:t xml:space="preserve"> </w:t>
      </w:r>
    </w:p>
    <w:p w14:paraId="03DE5C45">
      <w:pPr>
        <w:pStyle w:val="2"/>
        <w:jc w:val="center"/>
        <w:rPr>
          <w:rFonts w:ascii="宋体" w:hAnsi="宋体" w:eastAsia="宋体"/>
          <w:sz w:val="30"/>
          <w:highlight w:val="none"/>
        </w:rPr>
      </w:pPr>
      <w:r>
        <w:rPr>
          <w:rFonts w:hint="eastAsia" w:ascii="宋体" w:hAnsi="宋体" w:eastAsia="宋体"/>
          <w:sz w:val="30"/>
          <w:highlight w:val="none"/>
        </w:rPr>
        <w:t>五、基金主要当事人简介</w:t>
      </w:r>
      <w:bookmarkEnd w:id="24"/>
      <w:bookmarkEnd w:id="25"/>
    </w:p>
    <w:p w14:paraId="7AD57EEA">
      <w:pPr>
        <w:pStyle w:val="9"/>
        <w:spacing w:before="0" w:beforeAutospacing="0" w:after="0" w:afterAutospacing="0" w:line="360" w:lineRule="auto"/>
        <w:ind w:firstLine="420"/>
        <w:rPr>
          <w:rFonts w:hint="eastAsia"/>
          <w:b w:val="0"/>
          <w:bCs w:val="0"/>
          <w:sz w:val="21"/>
          <w:szCs w:val="21"/>
          <w:highlight w:val="none"/>
          <w:lang w:eastAsia="zh-CN"/>
        </w:rPr>
      </w:pPr>
      <w:bookmarkStart w:id="27" w:name="chapter_level1_5_56147_section_1"/>
      <w:bookmarkEnd w:id="27"/>
      <w:r>
        <w:rPr>
          <w:rFonts w:hint="eastAsia"/>
          <w:b w:val="0"/>
          <w:bCs w:val="0"/>
          <w:sz w:val="21"/>
          <w:szCs w:val="21"/>
          <w:highlight w:val="none"/>
          <w:lang w:eastAsia="zh-CN"/>
        </w:rPr>
        <w:t>（</w:t>
      </w:r>
      <w:r>
        <w:rPr>
          <w:rFonts w:hint="eastAsia"/>
          <w:b w:val="0"/>
          <w:bCs w:val="0"/>
          <w:sz w:val="21"/>
          <w:szCs w:val="21"/>
          <w:highlight w:val="none"/>
          <w:lang w:val="en-US" w:eastAsia="zh-CN"/>
        </w:rPr>
        <w:t>一</w:t>
      </w:r>
      <w:r>
        <w:rPr>
          <w:rFonts w:hint="eastAsia"/>
          <w:b w:val="0"/>
          <w:bCs w:val="0"/>
          <w:sz w:val="21"/>
          <w:szCs w:val="21"/>
          <w:highlight w:val="none"/>
          <w:lang w:eastAsia="zh-CN"/>
        </w:rPr>
        <w:t>）基金管理人概况</w:t>
      </w:r>
    </w:p>
    <w:p w14:paraId="1AFBB0A1">
      <w:pPr>
        <w:pStyle w:val="9"/>
        <w:spacing w:before="0" w:beforeAutospacing="0" w:after="0" w:afterAutospacing="0" w:line="360" w:lineRule="auto"/>
        <w:ind w:firstLine="420"/>
        <w:rPr>
          <w:rFonts w:hint="eastAsia"/>
          <w:b w:val="0"/>
          <w:bCs w:val="0"/>
          <w:sz w:val="21"/>
          <w:szCs w:val="21"/>
          <w:highlight w:val="none"/>
          <w:lang w:val="en-US" w:eastAsia="zh-CN"/>
        </w:rPr>
      </w:pPr>
      <w:r>
        <w:rPr>
          <w:rFonts w:hint="eastAsia"/>
          <w:b w:val="0"/>
          <w:bCs w:val="0"/>
          <w:sz w:val="21"/>
          <w:szCs w:val="21"/>
          <w:highlight w:val="none"/>
          <w:lang w:val="en-US" w:eastAsia="zh-CN"/>
        </w:rPr>
        <w:t>1、基本情况</w:t>
      </w:r>
    </w:p>
    <w:p w14:paraId="5AA6E62D">
      <w:pPr>
        <w:pStyle w:val="9"/>
        <w:spacing w:before="0" w:beforeAutospacing="0" w:after="0" w:afterAutospacing="0" w:line="360" w:lineRule="auto"/>
        <w:ind w:firstLine="420"/>
        <w:rPr>
          <w:sz w:val="21"/>
          <w:szCs w:val="21"/>
          <w:highlight w:val="none"/>
        </w:rPr>
      </w:pPr>
      <w:r>
        <w:rPr>
          <w:rFonts w:hint="eastAsia"/>
          <w:sz w:val="21"/>
          <w:szCs w:val="21"/>
          <w:highlight w:val="none"/>
        </w:rPr>
        <w:t>名称：博时基金管理有限公司</w:t>
      </w:r>
    </w:p>
    <w:p w14:paraId="51E72708">
      <w:pPr>
        <w:pStyle w:val="9"/>
        <w:spacing w:before="0" w:beforeAutospacing="0" w:after="0" w:afterAutospacing="0" w:line="360" w:lineRule="auto"/>
        <w:ind w:firstLine="420"/>
        <w:rPr>
          <w:sz w:val="21"/>
          <w:szCs w:val="21"/>
          <w:highlight w:val="none"/>
        </w:rPr>
      </w:pPr>
      <w:r>
        <w:rPr>
          <w:rFonts w:hint="eastAsia"/>
          <w:sz w:val="21"/>
          <w:szCs w:val="21"/>
          <w:highlight w:val="none"/>
        </w:rPr>
        <w:t>住所：深圳市福田区莲花街道福新社区益田路5999号基金大厦21层</w:t>
      </w:r>
    </w:p>
    <w:p w14:paraId="5F761EB5">
      <w:pPr>
        <w:pStyle w:val="9"/>
        <w:spacing w:before="0" w:beforeAutospacing="0" w:after="0" w:afterAutospacing="0" w:line="360" w:lineRule="auto"/>
        <w:ind w:firstLine="420"/>
        <w:rPr>
          <w:sz w:val="21"/>
          <w:szCs w:val="21"/>
          <w:highlight w:val="none"/>
        </w:rPr>
      </w:pPr>
      <w:r>
        <w:rPr>
          <w:rFonts w:hint="eastAsia"/>
          <w:sz w:val="21"/>
          <w:szCs w:val="21"/>
          <w:highlight w:val="none"/>
        </w:rPr>
        <w:t>办公地址：广东省深圳市福田区益田路5999号基金大厦21层</w:t>
      </w:r>
    </w:p>
    <w:p w14:paraId="27C9FD6D">
      <w:pPr>
        <w:pStyle w:val="9"/>
        <w:spacing w:before="0" w:beforeAutospacing="0" w:after="0" w:afterAutospacing="0" w:line="360" w:lineRule="auto"/>
        <w:ind w:firstLine="420"/>
        <w:rPr>
          <w:rFonts w:hint="eastAsia" w:eastAsia="宋体"/>
          <w:sz w:val="21"/>
          <w:szCs w:val="21"/>
          <w:highlight w:val="none"/>
          <w:lang w:eastAsia="zh-CN"/>
        </w:rPr>
      </w:pPr>
      <w:r>
        <w:rPr>
          <w:rFonts w:hint="eastAsia"/>
          <w:sz w:val="21"/>
          <w:szCs w:val="21"/>
          <w:highlight w:val="none"/>
        </w:rPr>
        <w:t>法定代表人：</w:t>
      </w:r>
      <w:r>
        <w:rPr>
          <w:rFonts w:hint="eastAsia"/>
          <w:sz w:val="21"/>
          <w:szCs w:val="21"/>
          <w:highlight w:val="none"/>
          <w:lang w:val="en-US" w:eastAsia="zh-CN"/>
        </w:rPr>
        <w:t>张东</w:t>
      </w:r>
    </w:p>
    <w:p w14:paraId="692C3F5D">
      <w:pPr>
        <w:pStyle w:val="9"/>
        <w:spacing w:before="0" w:beforeAutospacing="0" w:after="0" w:afterAutospacing="0" w:line="360" w:lineRule="auto"/>
        <w:ind w:firstLine="420"/>
        <w:rPr>
          <w:sz w:val="21"/>
          <w:szCs w:val="21"/>
          <w:highlight w:val="none"/>
        </w:rPr>
      </w:pPr>
      <w:r>
        <w:rPr>
          <w:rFonts w:hint="eastAsia"/>
          <w:sz w:val="21"/>
          <w:szCs w:val="21"/>
          <w:highlight w:val="none"/>
        </w:rPr>
        <w:t>成立时间：1998年7月13日</w:t>
      </w:r>
    </w:p>
    <w:p w14:paraId="37246621">
      <w:pPr>
        <w:pStyle w:val="9"/>
        <w:spacing w:before="0" w:beforeAutospacing="0" w:after="0" w:afterAutospacing="0" w:line="360" w:lineRule="auto"/>
        <w:ind w:firstLine="420"/>
        <w:rPr>
          <w:sz w:val="21"/>
          <w:szCs w:val="21"/>
          <w:highlight w:val="none"/>
        </w:rPr>
      </w:pPr>
      <w:r>
        <w:rPr>
          <w:rFonts w:hint="eastAsia"/>
          <w:sz w:val="21"/>
          <w:szCs w:val="21"/>
          <w:highlight w:val="none"/>
        </w:rPr>
        <w:t>注册资本：2.5亿元人民币</w:t>
      </w:r>
    </w:p>
    <w:p w14:paraId="5DB7A1C8">
      <w:pPr>
        <w:pStyle w:val="9"/>
        <w:spacing w:before="0" w:beforeAutospacing="0" w:after="0" w:afterAutospacing="0" w:line="360" w:lineRule="auto"/>
        <w:ind w:firstLine="420"/>
        <w:rPr>
          <w:sz w:val="21"/>
          <w:szCs w:val="21"/>
          <w:highlight w:val="none"/>
        </w:rPr>
      </w:pPr>
      <w:r>
        <w:rPr>
          <w:rFonts w:hint="eastAsia"/>
          <w:sz w:val="21"/>
          <w:szCs w:val="21"/>
          <w:highlight w:val="none"/>
        </w:rPr>
        <w:t>存续期间：持续经营</w:t>
      </w:r>
    </w:p>
    <w:p w14:paraId="32ACB4EC">
      <w:pPr>
        <w:pStyle w:val="9"/>
        <w:spacing w:before="0" w:beforeAutospacing="0" w:after="0" w:afterAutospacing="0" w:line="360" w:lineRule="auto"/>
        <w:ind w:firstLine="420"/>
        <w:rPr>
          <w:rFonts w:hint="default" w:eastAsia="宋体"/>
          <w:sz w:val="21"/>
          <w:szCs w:val="21"/>
          <w:highlight w:val="none"/>
          <w:lang w:val="en-US" w:eastAsia="zh-CN"/>
        </w:rPr>
      </w:pPr>
      <w:r>
        <w:rPr>
          <w:rFonts w:hint="eastAsia"/>
          <w:sz w:val="21"/>
          <w:szCs w:val="21"/>
          <w:highlight w:val="none"/>
        </w:rPr>
        <w:t xml:space="preserve">联系人： </w:t>
      </w:r>
      <w:r>
        <w:rPr>
          <w:rFonts w:hint="eastAsia"/>
          <w:sz w:val="21"/>
          <w:szCs w:val="21"/>
          <w:highlight w:val="none"/>
          <w:lang w:val="en-US" w:eastAsia="zh-CN"/>
        </w:rPr>
        <w:t>杜松岭</w:t>
      </w:r>
    </w:p>
    <w:p w14:paraId="3CDBF1FA">
      <w:pPr>
        <w:pStyle w:val="9"/>
        <w:spacing w:before="0" w:beforeAutospacing="0" w:after="0" w:afterAutospacing="0" w:line="360" w:lineRule="auto"/>
        <w:ind w:firstLine="420"/>
        <w:rPr>
          <w:sz w:val="21"/>
          <w:szCs w:val="21"/>
          <w:highlight w:val="none"/>
        </w:rPr>
      </w:pPr>
      <w:r>
        <w:rPr>
          <w:rFonts w:hint="eastAsia"/>
          <w:sz w:val="21"/>
          <w:szCs w:val="21"/>
          <w:highlight w:val="none"/>
        </w:rPr>
        <w:t>联系电话：（0755）8316 9999</w:t>
      </w:r>
    </w:p>
    <w:p w14:paraId="7B60EA62">
      <w:pPr>
        <w:pStyle w:val="9"/>
        <w:spacing w:before="0" w:beforeAutospacing="0" w:after="0" w:afterAutospacing="0" w:line="360" w:lineRule="auto"/>
        <w:ind w:firstLine="420"/>
        <w:rPr>
          <w:sz w:val="21"/>
          <w:szCs w:val="21"/>
          <w:highlight w:val="none"/>
        </w:rPr>
      </w:pPr>
      <w:r>
        <w:rPr>
          <w:rFonts w:hint="eastAsia"/>
          <w:sz w:val="21"/>
          <w:szCs w:val="21"/>
          <w:highlight w:val="none"/>
        </w:rPr>
        <w:t>博时基金管理有限公司（以下简称“公司”）经中国证监会证监基字[1998]26号文批准设立。目前公司股东为招商证券股份有限公司，持有股份49%；中国长城资产管理股份有限公司，持有股份25%；天津港（集团）有限公司，持有股份6％；上海汇华实业有限公司，持有股份12％；上海盛业股权投资基金有限公司，持有股份6％；浙江省国际贸易集团有限公司，持有股份2%。注册资本为2.5亿元人民币。</w:t>
      </w:r>
    </w:p>
    <w:p w14:paraId="1ABCD9FB">
      <w:pPr>
        <w:pStyle w:val="9"/>
        <w:spacing w:before="0" w:beforeAutospacing="0" w:after="0" w:afterAutospacing="0" w:line="360" w:lineRule="auto"/>
        <w:ind w:firstLine="420"/>
        <w:rPr>
          <w:sz w:val="21"/>
          <w:szCs w:val="21"/>
          <w:highlight w:val="none"/>
        </w:rPr>
      </w:pPr>
      <w:r>
        <w:rPr>
          <w:rFonts w:hint="eastAsia"/>
          <w:sz w:val="21"/>
          <w:szCs w:val="21"/>
          <w:highlight w:val="none"/>
        </w:rPr>
        <w:t>公司设立了投资决策委员会。投资决策委员会负责指导基金资产的运作、确定基本的投资策略和投资组合的原则。</w:t>
      </w:r>
    </w:p>
    <w:p w14:paraId="358FE098">
      <w:pPr>
        <w:pStyle w:val="9"/>
        <w:spacing w:before="0" w:beforeAutospacing="0" w:after="0" w:afterAutospacing="0" w:line="360" w:lineRule="auto"/>
        <w:ind w:firstLine="420"/>
        <w:rPr>
          <w:sz w:val="21"/>
          <w:szCs w:val="21"/>
          <w:highlight w:val="none"/>
        </w:rPr>
      </w:pPr>
      <w:r>
        <w:rPr>
          <w:rFonts w:hint="eastAsia"/>
          <w:sz w:val="21"/>
          <w:szCs w:val="21"/>
          <w:highlight w:val="none"/>
        </w:rPr>
        <w:t xml:space="preserve">公司已经建立健全投资管理制度、风险控制制度、内部监察制度、财务管理制度、人事管理制度、信息披露制度和员工行为准则等公司管理制度体系。   </w:t>
      </w:r>
    </w:p>
    <w:p w14:paraId="332543D5">
      <w:pPr>
        <w:pStyle w:val="9"/>
        <w:spacing w:before="0" w:beforeAutospacing="0" w:after="0" w:afterAutospacing="0" w:line="360" w:lineRule="auto"/>
        <w:ind w:firstLine="420"/>
        <w:rPr>
          <w:rFonts w:hint="eastAsia"/>
          <w:b w:val="0"/>
          <w:bCs w:val="0"/>
          <w:sz w:val="21"/>
          <w:szCs w:val="21"/>
          <w:highlight w:val="none"/>
          <w:lang w:eastAsia="zh-CN"/>
        </w:rPr>
      </w:pPr>
      <w:r>
        <w:rPr>
          <w:rFonts w:hint="eastAsia"/>
          <w:b w:val="0"/>
          <w:bCs w:val="0"/>
          <w:sz w:val="21"/>
          <w:szCs w:val="21"/>
          <w:highlight w:val="none"/>
          <w:lang w:val="en-US" w:eastAsia="zh-CN"/>
        </w:rPr>
        <w:t>2</w:t>
      </w:r>
      <w:r>
        <w:rPr>
          <w:rFonts w:hint="eastAsia"/>
          <w:b w:val="0"/>
          <w:bCs w:val="0"/>
          <w:sz w:val="21"/>
          <w:szCs w:val="21"/>
          <w:highlight w:val="none"/>
          <w:lang w:eastAsia="zh-CN"/>
        </w:rPr>
        <w:t>、主要成员情况</w:t>
      </w:r>
    </w:p>
    <w:p w14:paraId="04BD060B">
      <w:pPr>
        <w:pStyle w:val="9"/>
        <w:spacing w:before="0" w:beforeAutospacing="0" w:after="0" w:afterAutospacing="0" w:line="360" w:lineRule="auto"/>
        <w:ind w:firstLine="420"/>
        <w:rPr>
          <w:rFonts w:hint="eastAsia"/>
          <w:sz w:val="21"/>
          <w:szCs w:val="21"/>
          <w:highlight w:val="none"/>
          <w:lang w:eastAsia="zh-CN"/>
        </w:rPr>
      </w:pPr>
      <w:r>
        <w:rPr>
          <w:rFonts w:hint="eastAsia"/>
          <w:sz w:val="21"/>
          <w:szCs w:val="21"/>
          <w:highlight w:val="none"/>
          <w:lang w:eastAsia="zh-CN"/>
        </w:rPr>
        <w:t>（</w:t>
      </w:r>
      <w:r>
        <w:rPr>
          <w:rFonts w:hint="eastAsia"/>
          <w:sz w:val="21"/>
          <w:szCs w:val="21"/>
          <w:highlight w:val="none"/>
          <w:lang w:val="en-US" w:eastAsia="zh-CN"/>
        </w:rPr>
        <w:t>1</w:t>
      </w:r>
      <w:r>
        <w:rPr>
          <w:rFonts w:hint="eastAsia"/>
          <w:sz w:val="21"/>
          <w:szCs w:val="21"/>
          <w:highlight w:val="none"/>
          <w:lang w:eastAsia="zh-CN"/>
        </w:rPr>
        <w:t>）基金管理人董事会成员</w:t>
      </w:r>
    </w:p>
    <w:p w14:paraId="49FE5131">
      <w:pPr>
        <w:pStyle w:val="9"/>
        <w:spacing w:before="0" w:beforeAutospacing="0" w:after="0" w:afterAutospacing="0" w:line="360" w:lineRule="auto"/>
        <w:ind w:firstLine="420"/>
        <w:rPr>
          <w:rFonts w:hint="eastAsia"/>
          <w:sz w:val="21"/>
          <w:szCs w:val="21"/>
          <w:highlight w:val="none"/>
          <w:lang w:eastAsia="zh-CN"/>
        </w:rPr>
      </w:pPr>
      <w:r>
        <w:rPr>
          <w:rFonts w:hint="eastAsia"/>
          <w:sz w:val="21"/>
          <w:szCs w:val="21"/>
          <w:highlight w:val="none"/>
          <w:lang w:eastAsia="zh-CN"/>
        </w:rPr>
        <w:t>张东先生，硕士，董事长。1989年至2024年先后在中国银行、招商银行从事零售金融、财富业务和财务会计等工作。2024年加入博时基金管理有限公司，2024年5月至2025年10月任公司总经理。自2024年7月5日起，任博时基金管理有限公司董事。2025年10月15日至2025年11月10日代为履行博时基金管理有限公司总经理职务。自2025年10月15日起，任博时基金管理有限公司董事长。自2026年2月12日起代为履行博时基金管理有限公司首席信息官职责。</w:t>
      </w:r>
    </w:p>
    <w:p w14:paraId="1F2F92EE">
      <w:pPr>
        <w:pStyle w:val="9"/>
        <w:spacing w:before="0" w:beforeAutospacing="0" w:after="0" w:afterAutospacing="0" w:line="360" w:lineRule="auto"/>
        <w:ind w:firstLine="420"/>
        <w:rPr>
          <w:rFonts w:hint="eastAsia"/>
          <w:sz w:val="21"/>
          <w:szCs w:val="21"/>
          <w:highlight w:val="none"/>
          <w:lang w:eastAsia="zh-CN"/>
        </w:rPr>
      </w:pPr>
      <w:r>
        <w:rPr>
          <w:rFonts w:hint="eastAsia"/>
          <w:sz w:val="21"/>
          <w:szCs w:val="21"/>
          <w:highlight w:val="none"/>
          <w:lang w:eastAsia="zh-CN"/>
        </w:rPr>
        <w:t>李德林先生，现任招商局金融控股有限公司副总经理。武汉大学金融学专业在职博士，高级经济师。曾任建银国际控股有限公司总裁助理，中德证券有限责任公司执行委员会委员，德意志银行董事总经理、中国区金融机构主管，招商银行总行办公室主任、战略客户部总经理兼机构客户部总经理，招商银行上海分行行长，招商银行行长助理、副行长等职务。</w:t>
      </w:r>
    </w:p>
    <w:p w14:paraId="3D464AD2">
      <w:pPr>
        <w:pStyle w:val="9"/>
        <w:spacing w:before="0" w:beforeAutospacing="0" w:after="0" w:afterAutospacing="0" w:line="360" w:lineRule="auto"/>
        <w:ind w:firstLine="420"/>
        <w:rPr>
          <w:rFonts w:hint="eastAsia"/>
          <w:sz w:val="21"/>
          <w:szCs w:val="21"/>
          <w:highlight w:val="none"/>
          <w:lang w:eastAsia="zh-CN"/>
        </w:rPr>
      </w:pPr>
      <w:r>
        <w:rPr>
          <w:rFonts w:hint="eastAsia"/>
          <w:sz w:val="21"/>
          <w:szCs w:val="21"/>
          <w:highlight w:val="none"/>
          <w:lang w:eastAsia="zh-CN"/>
        </w:rPr>
        <w:t>陈宇先生，总经理。曾任中国工商银行总行基金托管部客户经理/副主任科员（曾借调至中国证监会基金监管部三处任产品审核员），华夏银行总行基金托管部副处长、资产托管部处长，泰康资产管理有限责任公司营销总监、首席产品官、董事总经理、公司执行委员会成员，中邮人寿保险股份有限公司首席投资官。2017年7月至2025年9月在招商局仁和人寿保险股份有限公司工作，历任首席投资官（兼资产管理中心总经理）、副总经理、首席运营官（COO）（集团二级公司总经理级）（期间2019年5月至2025年5月兼任招商局仁和养老投资有限公司CEO）。2025年加入博时基金管理有限公司，自2025年11月11日起，任公司总经理。</w:t>
      </w:r>
    </w:p>
    <w:p w14:paraId="7A69C249">
      <w:pPr>
        <w:pStyle w:val="9"/>
        <w:spacing w:before="0" w:beforeAutospacing="0" w:after="0" w:afterAutospacing="0" w:line="360" w:lineRule="auto"/>
        <w:ind w:firstLine="420"/>
        <w:rPr>
          <w:rFonts w:hint="eastAsia"/>
          <w:sz w:val="21"/>
          <w:szCs w:val="21"/>
          <w:highlight w:val="none"/>
          <w:lang w:eastAsia="zh-CN"/>
        </w:rPr>
      </w:pPr>
      <w:r>
        <w:rPr>
          <w:rFonts w:hint="eastAsia"/>
          <w:sz w:val="21"/>
          <w:szCs w:val="21"/>
          <w:highlight w:val="none"/>
          <w:lang w:eastAsia="zh-CN"/>
        </w:rPr>
        <w:t>郝宇先生，硕士。1989年7月至1993年3月在广东湛化企业集团公司工作，任财务部会计主任。1993年3月至1997年1月在珠海深达实业投资有限公司工作，任财务部经理。1997年1月至2004年8月在深圳招商房地产有限公司工作，历任职工董事、工会主席、财务副总监。2004年8月至2005年10月在贵州省威宁彝族回族苗族自治县政府工作，任副县长。2005年10月至2011年12月在深圳市招商创业有限公司工作，历任副总经理、财务总监。2012年1月至2016年7月在招商局蛇口工业区控股股份有限公司工作，历任招标采购部总经理、产品管理中心副总经理。2016年7月至2018年2月在招商局集团工作，任财务部部长助理。2018年2月至2025年11月，在深圳市招商平安资产管理有限责任公司工作，历任党委委员、财务总监、纪委书记。2025年11月至今，任招商局集团有限公司派出的专职外部董事。</w:t>
      </w:r>
    </w:p>
    <w:p w14:paraId="0CB8394A">
      <w:pPr>
        <w:pStyle w:val="9"/>
        <w:spacing w:before="0" w:beforeAutospacing="0" w:after="0" w:afterAutospacing="0" w:line="360" w:lineRule="auto"/>
        <w:ind w:firstLine="420"/>
        <w:rPr>
          <w:rFonts w:hint="eastAsia"/>
          <w:sz w:val="21"/>
          <w:szCs w:val="21"/>
          <w:highlight w:val="none"/>
          <w:lang w:eastAsia="zh-CN"/>
        </w:rPr>
      </w:pPr>
      <w:r>
        <w:rPr>
          <w:rFonts w:hint="eastAsia"/>
          <w:sz w:val="21"/>
          <w:szCs w:val="21"/>
          <w:highlight w:val="none"/>
          <w:lang w:eastAsia="zh-CN"/>
        </w:rPr>
        <w:t>郭智君先生，高级经济师。1993年7月至2000年2 月历任中国农业银行内蒙古分行会计、信贷员、人事教育处科员、副主任科员。2000年2月至2008年5月历任中国长城资产管理公司呼和浩特办事处副处长、处长。2008年5月至2013年1月历任中国长城资产管理公司人力资源部高级经理、总经理助理、副总经理。2013年1月至2022年2月历任中国长城资产管理股份有限公司内蒙古分公司党委副书记、副总经理（主持工作）、总经理、党委书记。2022年2月至今历任中国长城资产管理股份有限公司资产经营六部总经理级干部、总经理。</w:t>
      </w:r>
    </w:p>
    <w:p w14:paraId="28ABAC50">
      <w:pPr>
        <w:pStyle w:val="9"/>
        <w:spacing w:before="0" w:beforeAutospacing="0" w:after="0" w:afterAutospacing="0" w:line="360" w:lineRule="auto"/>
        <w:ind w:firstLine="420"/>
        <w:rPr>
          <w:rFonts w:hint="eastAsia"/>
          <w:sz w:val="21"/>
          <w:szCs w:val="21"/>
          <w:highlight w:val="none"/>
          <w:lang w:eastAsia="zh-CN"/>
        </w:rPr>
      </w:pPr>
      <w:r>
        <w:rPr>
          <w:rFonts w:hint="eastAsia"/>
          <w:sz w:val="21"/>
          <w:szCs w:val="21"/>
          <w:highlight w:val="none"/>
          <w:lang w:eastAsia="zh-CN"/>
        </w:rPr>
        <w:t>方瓯华先生，复旦大学硕士，中级经济师。2009年起，加入交通银行，历任交行上海分行市南支行、大客户二部、授信部、宝山支行行长助理等职位，主要负责营运及个人金融业务。2011年起，调入交通银行投资部，担任高级经理，负责交行对外战略投资及对下属子公司股权管理工作。2015年，加入上海信利股权投资基金管理有限公司并工作至今，历任高级投资经理、总经理、董事等职，同时兼任上海汇华实业有限公司总经理、上海盛业股权投资基金公司执行董事（法人代表）、上海永泰房地产开发公司总经理等职，负责公司整体运营。2018年，出任博时基金管理公司第七届董事会董事，2021年卸任。自2022年8月起，任博时基金管理有限公司董事。</w:t>
      </w:r>
    </w:p>
    <w:p w14:paraId="497B4BD9">
      <w:pPr>
        <w:pStyle w:val="9"/>
        <w:spacing w:before="0" w:beforeAutospacing="0" w:after="0" w:afterAutospacing="0" w:line="360" w:lineRule="auto"/>
        <w:ind w:firstLine="420"/>
        <w:rPr>
          <w:rFonts w:hint="eastAsia"/>
          <w:sz w:val="21"/>
          <w:szCs w:val="21"/>
          <w:highlight w:val="none"/>
          <w:lang w:eastAsia="zh-CN"/>
        </w:rPr>
      </w:pPr>
      <w:r>
        <w:rPr>
          <w:rFonts w:hint="eastAsia"/>
          <w:sz w:val="21"/>
          <w:szCs w:val="21"/>
          <w:highlight w:val="none"/>
          <w:lang w:eastAsia="zh-CN"/>
        </w:rPr>
        <w:t>邹月娴女士，香港大学博士，新加坡归国学者。现任北京大学教授/博士生导师，北京大学深圳研究生院党委副书记，鹏城实验室兼职教授，中国计算机学会语音对话与听觉专委会委员，中国自动化学会模式识别与机器智能专业委员会委员，深圳市人工智能学会常务副理事长兼秘书长；荣获深圳市地方级高层次专业人才、深圳市三八红旗手等称号；曾获中国电子工业部科技进步三等奖，深圳市科学技术奖技术开发一等奖；在国际顶级期刊和旗舰会议发表高水平论文300多篇，入选全球前2%顶尖科学家榜单。</w:t>
      </w:r>
    </w:p>
    <w:p w14:paraId="3DAAAD8A">
      <w:pPr>
        <w:pStyle w:val="9"/>
        <w:spacing w:before="0" w:beforeAutospacing="0" w:after="0" w:afterAutospacing="0" w:line="360" w:lineRule="auto"/>
        <w:ind w:firstLine="420"/>
        <w:rPr>
          <w:rFonts w:hint="eastAsia"/>
          <w:sz w:val="21"/>
          <w:szCs w:val="21"/>
          <w:highlight w:val="none"/>
          <w:lang w:eastAsia="zh-CN"/>
        </w:rPr>
      </w:pPr>
      <w:r>
        <w:rPr>
          <w:rFonts w:hint="eastAsia"/>
          <w:sz w:val="21"/>
          <w:szCs w:val="21"/>
          <w:highlight w:val="none"/>
          <w:lang w:eastAsia="zh-CN"/>
        </w:rPr>
        <w:t>陆海天先生，法学博士。现任香港理工大学内地发展处总监、可持续技术基金会会计及金融学教授。历任香港理工大学商学院副院长、会计及金融学院副院长、纽约大学斯特恩商学院客座研究教授。香港理工大学终身教授。</w:t>
      </w:r>
    </w:p>
    <w:p w14:paraId="63056696">
      <w:pPr>
        <w:pStyle w:val="9"/>
        <w:spacing w:before="0" w:beforeAutospacing="0" w:after="0" w:afterAutospacing="0" w:line="360" w:lineRule="auto"/>
        <w:ind w:firstLine="420"/>
        <w:rPr>
          <w:rFonts w:hint="eastAsia"/>
          <w:sz w:val="21"/>
          <w:szCs w:val="21"/>
          <w:highlight w:val="none"/>
          <w:lang w:eastAsia="zh-CN"/>
        </w:rPr>
      </w:pPr>
      <w:r>
        <w:rPr>
          <w:rFonts w:hint="eastAsia"/>
          <w:sz w:val="21"/>
          <w:szCs w:val="21"/>
          <w:highlight w:val="none"/>
          <w:lang w:eastAsia="zh-CN"/>
        </w:rPr>
        <w:t>张博辉先生，2008年8月参加工作，新加坡南洋理工大学金融学专业毕业，博士研究生学历，博士学位。2008年至2018年在澳大利亚新南威尔士大学工作，历任金融系讲师、副教授、国际金融中心副主任、教授。2017年至今在香港中文大学（深圳）工作，历任深圳高等金融研究院副院长、经管学院执行副院长，现任经管学院执行院长、校长讲座教授、深圳数据经济研究院副院长、深圳高等金融研究院金融科技与社会金融研究中心主任。</w:t>
      </w:r>
    </w:p>
    <w:p w14:paraId="3007E404">
      <w:pPr>
        <w:pStyle w:val="9"/>
        <w:spacing w:before="0" w:beforeAutospacing="0" w:after="0" w:afterAutospacing="0" w:line="360" w:lineRule="auto"/>
        <w:ind w:firstLine="420"/>
        <w:rPr>
          <w:rFonts w:hint="eastAsia"/>
          <w:sz w:val="21"/>
          <w:szCs w:val="21"/>
          <w:highlight w:val="none"/>
          <w:lang w:eastAsia="zh-CN"/>
        </w:rPr>
      </w:pPr>
      <w:r>
        <w:rPr>
          <w:rFonts w:hint="eastAsia"/>
          <w:sz w:val="21"/>
          <w:szCs w:val="21"/>
          <w:highlight w:val="none"/>
          <w:lang w:eastAsia="zh-CN"/>
        </w:rPr>
        <w:t>方芳女士，上海财经大学国民经济学专业博士、加拿大不列颠哥伦比亚大学访问学者。1985年7月至今，就职于上海财经大学。历任上海财经大学公共经济与管理学院副院长 、上海财经大学公共经济与管理学院党委书记。2023年2月至今，任上海财经大学财税投资学院投资发展研究院院长、金融硕士（首席投资官）教育项目中心主任。同时，任世界华人不动产学会副秘书长、中国基本建设优化研究会理事、上海市投资学会会员等社会职务。</w:t>
      </w:r>
    </w:p>
    <w:p w14:paraId="0D123441">
      <w:pPr>
        <w:pStyle w:val="9"/>
        <w:spacing w:before="0" w:beforeAutospacing="0" w:after="0" w:afterAutospacing="0" w:line="360" w:lineRule="auto"/>
        <w:ind w:firstLine="420"/>
        <w:rPr>
          <w:rFonts w:hint="eastAsia"/>
          <w:sz w:val="21"/>
          <w:szCs w:val="21"/>
          <w:highlight w:val="none"/>
          <w:lang w:eastAsia="zh-CN"/>
        </w:rPr>
      </w:pPr>
      <w:r>
        <w:rPr>
          <w:rFonts w:hint="eastAsia"/>
          <w:sz w:val="21"/>
          <w:szCs w:val="21"/>
          <w:highlight w:val="none"/>
          <w:lang w:eastAsia="zh-CN"/>
        </w:rPr>
        <w:t>贺春临女士，现任博时基金管理有限公司工会主席，中共党员。先后在武汉大学获法学学士学位、法学硕士学位及经济学博士学位。2003年6月至2013年10月在招商银行总行工作，历任银行业务研究员、企业文化中心经理、办公室高级经理、品牌管理室主管。2013年10月至今在博时基金管理有限公司工作，历任总裁办公室副总经理、战略发展中心总经理、董事会办公室副总经理、董事会办公室总经理兼党委宣传部部长、战略发展部首席战略官兼党委宣传部部长、党委宣传部部长、工会主席等。</w:t>
      </w:r>
    </w:p>
    <w:p w14:paraId="6A339827">
      <w:pPr>
        <w:pStyle w:val="9"/>
        <w:spacing w:before="0" w:beforeAutospacing="0" w:after="0" w:afterAutospacing="0" w:line="360" w:lineRule="auto"/>
        <w:ind w:firstLine="420"/>
        <w:rPr>
          <w:rFonts w:hint="eastAsia"/>
          <w:sz w:val="21"/>
          <w:szCs w:val="21"/>
          <w:highlight w:val="none"/>
          <w:lang w:eastAsia="zh-CN"/>
        </w:rPr>
      </w:pPr>
      <w:r>
        <w:rPr>
          <w:rFonts w:hint="eastAsia"/>
          <w:sz w:val="21"/>
          <w:szCs w:val="21"/>
          <w:highlight w:val="none"/>
          <w:lang w:eastAsia="zh-CN"/>
        </w:rPr>
        <w:t>（</w:t>
      </w:r>
      <w:r>
        <w:rPr>
          <w:rFonts w:hint="eastAsia"/>
          <w:sz w:val="21"/>
          <w:szCs w:val="21"/>
          <w:highlight w:val="none"/>
          <w:lang w:val="en-US" w:eastAsia="zh-CN"/>
        </w:rPr>
        <w:t>2</w:t>
      </w:r>
      <w:r>
        <w:rPr>
          <w:rFonts w:hint="eastAsia"/>
          <w:sz w:val="21"/>
          <w:szCs w:val="21"/>
          <w:highlight w:val="none"/>
          <w:lang w:eastAsia="zh-CN"/>
        </w:rPr>
        <w:t>）高级管理人员</w:t>
      </w:r>
    </w:p>
    <w:p w14:paraId="27DEF968">
      <w:pPr>
        <w:pStyle w:val="9"/>
        <w:spacing w:before="0" w:beforeAutospacing="0" w:after="0" w:afterAutospacing="0" w:line="360" w:lineRule="auto"/>
        <w:ind w:firstLine="420"/>
        <w:rPr>
          <w:rFonts w:hint="eastAsia"/>
          <w:sz w:val="21"/>
          <w:szCs w:val="21"/>
          <w:highlight w:val="none"/>
          <w:lang w:eastAsia="zh-CN"/>
        </w:rPr>
      </w:pPr>
      <w:r>
        <w:rPr>
          <w:rFonts w:hint="eastAsia"/>
          <w:sz w:val="21"/>
          <w:szCs w:val="21"/>
          <w:highlight w:val="none"/>
          <w:lang w:eastAsia="zh-CN"/>
        </w:rPr>
        <w:t>张东先生，简历同上。</w:t>
      </w:r>
    </w:p>
    <w:p w14:paraId="7ACE725D">
      <w:pPr>
        <w:pStyle w:val="9"/>
        <w:spacing w:before="0" w:beforeAutospacing="0" w:after="0" w:afterAutospacing="0" w:line="360" w:lineRule="auto"/>
        <w:ind w:firstLine="420"/>
        <w:rPr>
          <w:rFonts w:hint="eastAsia"/>
          <w:sz w:val="21"/>
          <w:szCs w:val="21"/>
          <w:highlight w:val="none"/>
          <w:lang w:eastAsia="zh-CN"/>
        </w:rPr>
      </w:pPr>
      <w:r>
        <w:rPr>
          <w:rFonts w:hint="eastAsia"/>
          <w:sz w:val="21"/>
          <w:szCs w:val="21"/>
          <w:highlight w:val="none"/>
          <w:lang w:eastAsia="zh-CN"/>
        </w:rPr>
        <w:t>陈宇先生，简历同上。</w:t>
      </w:r>
    </w:p>
    <w:p w14:paraId="00EBA9D3">
      <w:pPr>
        <w:pStyle w:val="9"/>
        <w:spacing w:before="0" w:beforeAutospacing="0" w:after="0" w:afterAutospacing="0" w:line="360" w:lineRule="auto"/>
        <w:ind w:firstLine="420"/>
        <w:rPr>
          <w:rFonts w:hint="eastAsia"/>
          <w:sz w:val="21"/>
          <w:szCs w:val="21"/>
          <w:highlight w:val="none"/>
          <w:lang w:eastAsia="zh-CN"/>
        </w:rPr>
      </w:pPr>
      <w:r>
        <w:rPr>
          <w:rFonts w:hint="eastAsia"/>
          <w:sz w:val="21"/>
          <w:szCs w:val="21"/>
          <w:highlight w:val="none"/>
          <w:lang w:eastAsia="zh-CN"/>
        </w:rPr>
        <w:t>吴慧峰先生，硕士，副总经理、财务负责人、董事会秘书。1996年至2023年先后在中国南山开发集团股份有限公司、上海诚南房地产开发有限公司、招商局金融集团有限公司、招商证券股份有限公司从事财务、公司管理等工作。2023年加入博时基金管理有限公司，现任公司副总经理、财务负责人、董事会秘书，兼任博时资本管理有限公司董事长和博时财富基金销售有限公司董事。</w:t>
      </w:r>
    </w:p>
    <w:p w14:paraId="511CAB45">
      <w:pPr>
        <w:pStyle w:val="9"/>
        <w:spacing w:before="0" w:beforeAutospacing="0" w:after="0" w:afterAutospacing="0" w:line="360" w:lineRule="auto"/>
        <w:ind w:firstLine="420"/>
        <w:rPr>
          <w:rFonts w:hint="eastAsia"/>
          <w:sz w:val="21"/>
          <w:szCs w:val="21"/>
          <w:highlight w:val="none"/>
          <w:lang w:eastAsia="zh-CN"/>
        </w:rPr>
      </w:pPr>
      <w:r>
        <w:rPr>
          <w:rFonts w:hint="eastAsia"/>
          <w:sz w:val="21"/>
          <w:szCs w:val="21"/>
          <w:highlight w:val="none"/>
          <w:lang w:eastAsia="zh-CN"/>
        </w:rPr>
        <w:t xml:space="preserve">吴曼女士，硕士，督察长。2003年至2024年先后在中国证券监督管理委员会深圳监管局历任副主任科员、主任科员、副处长等职务，北京市君合（深圳）律师事务所任合伙人，招商证券股份有限公司任法律合规部总经理，其中2021年1月至2022年6月兼任招商证券资产管理有限公司合规总监。2024年加入博时基金管理有限公司，现任公司督察长。  </w:t>
      </w:r>
    </w:p>
    <w:p w14:paraId="34FFCDC7">
      <w:pPr>
        <w:pStyle w:val="9"/>
        <w:spacing w:before="0" w:beforeAutospacing="0" w:after="0" w:afterAutospacing="0" w:line="360" w:lineRule="auto"/>
        <w:ind w:firstLine="420"/>
        <w:rPr>
          <w:rFonts w:hint="eastAsia"/>
          <w:sz w:val="21"/>
          <w:szCs w:val="21"/>
          <w:highlight w:val="none"/>
          <w:lang w:eastAsia="zh-CN"/>
        </w:rPr>
      </w:pPr>
      <w:r>
        <w:rPr>
          <w:rFonts w:hint="eastAsia"/>
          <w:sz w:val="21"/>
          <w:szCs w:val="21"/>
          <w:highlight w:val="none"/>
          <w:lang w:eastAsia="zh-CN"/>
        </w:rPr>
        <w:t>（</w:t>
      </w:r>
      <w:r>
        <w:rPr>
          <w:rFonts w:hint="eastAsia"/>
          <w:sz w:val="21"/>
          <w:szCs w:val="21"/>
          <w:highlight w:val="none"/>
          <w:lang w:val="en-US" w:eastAsia="zh-CN"/>
        </w:rPr>
        <w:t>3</w:t>
      </w:r>
      <w:r>
        <w:rPr>
          <w:rFonts w:hint="eastAsia"/>
          <w:sz w:val="21"/>
          <w:szCs w:val="21"/>
          <w:highlight w:val="none"/>
          <w:lang w:eastAsia="zh-CN"/>
        </w:rPr>
        <w:t xml:space="preserve">）本基金基金经理 </w:t>
      </w:r>
    </w:p>
    <w:p w14:paraId="6ED1CE1B">
      <w:pPr>
        <w:pStyle w:val="9"/>
        <w:spacing w:before="0" w:beforeAutospacing="0" w:after="0" w:afterAutospacing="0" w:line="360" w:lineRule="auto"/>
        <w:ind w:firstLine="420"/>
        <w:rPr>
          <w:rFonts w:hint="eastAsia"/>
          <w:sz w:val="21"/>
          <w:szCs w:val="21"/>
          <w:highlight w:val="none"/>
          <w:lang w:eastAsia="zh-CN"/>
        </w:rPr>
      </w:pPr>
      <w:r>
        <w:rPr>
          <w:rFonts w:hint="eastAsia"/>
          <w:sz w:val="21"/>
          <w:szCs w:val="21"/>
          <w:highlight w:val="none"/>
          <w:lang w:eastAsia="zh-CN"/>
        </w:rPr>
        <w:t>王萌先生，博士。2016年毕业后加入博时基金管理有限公司。现任博时恒生港股通高股息率交易型开放式指数证券投资基金(2025年4月16日—至今)、博时中证全指自由现金流交易型开放式指数证券投资基金(2025年6月30日—至今)、博时恒生港股通创新药精选交易型开放式指数证券投资基金(2025年7月23日—至今)、博时中证全指自由现金流交易型开放式指数证券投资基金联接基金(2025年9月1日—至今)、博时国证工业软件主题交易型开放式指数证券投资基金(2025年11月12日—至今)、博时中证光伏产业交易型开放式指数证券投资基金(2026年2月11日—至今)、博时中证全指红利质量交易型开放式指数证券投资基金(2026年</w:t>
      </w:r>
      <w:r>
        <w:rPr>
          <w:rFonts w:hint="eastAsia"/>
          <w:sz w:val="21"/>
          <w:szCs w:val="21"/>
          <w:highlight w:val="none"/>
          <w:lang w:val="en-US" w:eastAsia="zh-CN"/>
        </w:rPr>
        <w:t>6</w:t>
      </w:r>
      <w:r>
        <w:rPr>
          <w:rFonts w:hint="eastAsia"/>
          <w:sz w:val="21"/>
          <w:szCs w:val="21"/>
          <w:highlight w:val="none"/>
          <w:lang w:eastAsia="zh-CN"/>
        </w:rPr>
        <w:t>月1</w:t>
      </w:r>
      <w:r>
        <w:rPr>
          <w:rFonts w:hint="eastAsia"/>
          <w:sz w:val="21"/>
          <w:szCs w:val="21"/>
          <w:highlight w:val="none"/>
          <w:lang w:val="en-US" w:eastAsia="zh-CN"/>
        </w:rPr>
        <w:t>7</w:t>
      </w:r>
      <w:r>
        <w:rPr>
          <w:rFonts w:hint="eastAsia"/>
          <w:sz w:val="21"/>
          <w:szCs w:val="21"/>
          <w:highlight w:val="none"/>
          <w:lang w:eastAsia="zh-CN"/>
        </w:rPr>
        <w:t>日—至今)的基金经理。</w:t>
      </w:r>
    </w:p>
    <w:p w14:paraId="28144F85">
      <w:pPr>
        <w:pStyle w:val="9"/>
        <w:spacing w:before="0" w:beforeAutospacing="0" w:after="0" w:afterAutospacing="0" w:line="360" w:lineRule="auto"/>
        <w:ind w:firstLine="420"/>
        <w:rPr>
          <w:rFonts w:hint="eastAsia"/>
          <w:sz w:val="21"/>
          <w:szCs w:val="21"/>
          <w:highlight w:val="none"/>
          <w:lang w:eastAsia="zh-CN"/>
        </w:rPr>
      </w:pPr>
      <w:r>
        <w:rPr>
          <w:rFonts w:hint="eastAsia"/>
          <w:sz w:val="21"/>
          <w:szCs w:val="21"/>
          <w:highlight w:val="none"/>
          <w:lang w:eastAsia="zh-CN"/>
        </w:rPr>
        <w:t>（</w:t>
      </w:r>
      <w:r>
        <w:rPr>
          <w:rFonts w:hint="eastAsia"/>
          <w:sz w:val="21"/>
          <w:szCs w:val="21"/>
          <w:highlight w:val="none"/>
          <w:lang w:val="en-US" w:eastAsia="zh-CN"/>
        </w:rPr>
        <w:t>4</w:t>
      </w:r>
      <w:r>
        <w:rPr>
          <w:rFonts w:hint="eastAsia"/>
          <w:sz w:val="21"/>
          <w:szCs w:val="21"/>
          <w:highlight w:val="none"/>
          <w:lang w:eastAsia="zh-CN"/>
        </w:rPr>
        <w:t xml:space="preserve">）投资决策委员会成员 </w:t>
      </w:r>
    </w:p>
    <w:p w14:paraId="17EC3AE8">
      <w:pPr>
        <w:pStyle w:val="9"/>
        <w:spacing w:before="0" w:beforeAutospacing="0" w:after="0" w:afterAutospacing="0" w:line="360" w:lineRule="auto"/>
        <w:ind w:firstLine="420"/>
        <w:rPr>
          <w:rFonts w:hint="eastAsia"/>
          <w:sz w:val="21"/>
          <w:szCs w:val="21"/>
          <w:highlight w:val="none"/>
          <w:lang w:eastAsia="zh-CN"/>
        </w:rPr>
      </w:pPr>
      <w:r>
        <w:rPr>
          <w:rFonts w:hint="eastAsia"/>
          <w:sz w:val="21"/>
          <w:szCs w:val="21"/>
          <w:highlight w:val="none"/>
          <w:lang w:eastAsia="zh-CN"/>
        </w:rPr>
        <w:t>公司首席资产配置官黄健斌先生。</w:t>
      </w:r>
    </w:p>
    <w:p w14:paraId="5F24302C">
      <w:pPr>
        <w:pStyle w:val="9"/>
        <w:spacing w:before="0" w:beforeAutospacing="0" w:after="0" w:afterAutospacing="0" w:line="360" w:lineRule="auto"/>
        <w:ind w:firstLine="420"/>
        <w:rPr>
          <w:rFonts w:hint="eastAsia"/>
          <w:sz w:val="21"/>
          <w:szCs w:val="21"/>
          <w:highlight w:val="none"/>
          <w:lang w:eastAsia="zh-CN"/>
        </w:rPr>
      </w:pPr>
      <w:r>
        <w:rPr>
          <w:rFonts w:hint="eastAsia"/>
          <w:sz w:val="21"/>
          <w:szCs w:val="21"/>
          <w:highlight w:val="none"/>
          <w:lang w:eastAsia="zh-CN"/>
        </w:rPr>
        <w:t>公司投资决策委员会专职委员兼年金投资部总经理于善辉先生。</w:t>
      </w:r>
    </w:p>
    <w:p w14:paraId="5647795E">
      <w:pPr>
        <w:pStyle w:val="9"/>
        <w:spacing w:before="0" w:beforeAutospacing="0" w:after="0" w:afterAutospacing="0" w:line="360" w:lineRule="auto"/>
        <w:ind w:firstLine="420"/>
        <w:rPr>
          <w:rFonts w:hint="eastAsia"/>
          <w:sz w:val="21"/>
          <w:szCs w:val="21"/>
          <w:highlight w:val="none"/>
          <w:lang w:eastAsia="zh-CN"/>
        </w:rPr>
      </w:pPr>
      <w:r>
        <w:rPr>
          <w:rFonts w:hint="eastAsia"/>
          <w:sz w:val="21"/>
          <w:szCs w:val="21"/>
          <w:highlight w:val="none"/>
          <w:lang w:eastAsia="zh-CN"/>
        </w:rPr>
        <w:t xml:space="preserve">首席基金经理过钧先生。 </w:t>
      </w:r>
    </w:p>
    <w:p w14:paraId="27C9F78E">
      <w:pPr>
        <w:pStyle w:val="9"/>
        <w:spacing w:before="0" w:beforeAutospacing="0" w:after="0" w:afterAutospacing="0" w:line="360" w:lineRule="auto"/>
        <w:ind w:firstLine="420"/>
        <w:rPr>
          <w:rFonts w:hint="eastAsia"/>
          <w:sz w:val="21"/>
          <w:szCs w:val="21"/>
          <w:highlight w:val="none"/>
          <w:lang w:eastAsia="zh-CN"/>
        </w:rPr>
      </w:pPr>
      <w:r>
        <w:rPr>
          <w:rFonts w:hint="eastAsia"/>
          <w:sz w:val="21"/>
          <w:szCs w:val="21"/>
          <w:highlight w:val="none"/>
          <w:lang w:eastAsia="zh-CN"/>
        </w:rPr>
        <w:t xml:space="preserve">首席投资官兼权益投研一体化总监、境外投资部总经理曾鹏先生。 </w:t>
      </w:r>
    </w:p>
    <w:p w14:paraId="52461F27">
      <w:pPr>
        <w:pStyle w:val="9"/>
        <w:spacing w:before="0" w:beforeAutospacing="0" w:after="0" w:afterAutospacing="0" w:line="360" w:lineRule="auto"/>
        <w:ind w:firstLine="420"/>
        <w:rPr>
          <w:rFonts w:hint="eastAsia"/>
          <w:sz w:val="21"/>
          <w:szCs w:val="21"/>
          <w:highlight w:val="none"/>
          <w:lang w:eastAsia="zh-CN"/>
        </w:rPr>
      </w:pPr>
      <w:r>
        <w:rPr>
          <w:rFonts w:hint="eastAsia"/>
          <w:sz w:val="21"/>
          <w:szCs w:val="21"/>
          <w:highlight w:val="none"/>
          <w:lang w:eastAsia="zh-CN"/>
        </w:rPr>
        <w:t xml:space="preserve">董事总经理兼权益投资三部总经理、权益投资三部投资总监蔡滨先生。 </w:t>
      </w:r>
    </w:p>
    <w:p w14:paraId="1BE551C2">
      <w:pPr>
        <w:pStyle w:val="9"/>
        <w:spacing w:before="0" w:beforeAutospacing="0" w:after="0" w:afterAutospacing="0" w:line="360" w:lineRule="auto"/>
        <w:ind w:firstLine="420"/>
        <w:rPr>
          <w:rFonts w:hint="eastAsia"/>
          <w:sz w:val="21"/>
          <w:szCs w:val="21"/>
          <w:highlight w:val="none"/>
          <w:lang w:eastAsia="zh-CN"/>
        </w:rPr>
      </w:pPr>
      <w:r>
        <w:rPr>
          <w:rFonts w:hint="eastAsia"/>
          <w:sz w:val="21"/>
          <w:szCs w:val="21"/>
          <w:highlight w:val="none"/>
          <w:lang w:eastAsia="zh-CN"/>
        </w:rPr>
        <w:t xml:space="preserve">行业研究部总经理魏立先生。 </w:t>
      </w:r>
    </w:p>
    <w:p w14:paraId="15161225">
      <w:pPr>
        <w:pStyle w:val="9"/>
        <w:spacing w:before="0" w:beforeAutospacing="0" w:after="0" w:afterAutospacing="0" w:line="360" w:lineRule="auto"/>
        <w:ind w:firstLine="420"/>
        <w:rPr>
          <w:rFonts w:hint="eastAsia"/>
          <w:sz w:val="21"/>
          <w:szCs w:val="21"/>
          <w:highlight w:val="none"/>
          <w:lang w:eastAsia="zh-CN"/>
        </w:rPr>
      </w:pPr>
      <w:r>
        <w:rPr>
          <w:rFonts w:hint="eastAsia"/>
          <w:sz w:val="21"/>
          <w:szCs w:val="21"/>
          <w:highlight w:val="none"/>
          <w:lang w:eastAsia="zh-CN"/>
        </w:rPr>
        <w:t xml:space="preserve">宏观策略部首席策略分析师陈显顺先生。 </w:t>
      </w:r>
    </w:p>
    <w:p w14:paraId="1EE695FB">
      <w:pPr>
        <w:pStyle w:val="9"/>
        <w:spacing w:before="0" w:beforeAutospacing="0" w:after="0" w:afterAutospacing="0" w:line="360" w:lineRule="auto"/>
        <w:ind w:firstLine="420"/>
        <w:rPr>
          <w:rFonts w:hint="eastAsia"/>
          <w:sz w:val="21"/>
          <w:szCs w:val="21"/>
          <w:highlight w:val="none"/>
          <w:lang w:eastAsia="zh-CN"/>
        </w:rPr>
      </w:pPr>
      <w:r>
        <w:rPr>
          <w:rFonts w:hint="eastAsia"/>
          <w:sz w:val="21"/>
          <w:szCs w:val="21"/>
          <w:highlight w:val="none"/>
          <w:lang w:eastAsia="zh-CN"/>
        </w:rPr>
        <w:t xml:space="preserve">指数与量化投资部总经理兼指数与量化投资部投资总监赵云阳先生。  </w:t>
      </w:r>
    </w:p>
    <w:p w14:paraId="09F55586">
      <w:pPr>
        <w:pStyle w:val="9"/>
        <w:numPr>
          <w:ilvl w:val="-1"/>
          <w:numId w:val="0"/>
        </w:numPr>
        <w:spacing w:before="0" w:beforeAutospacing="0" w:after="0" w:afterAutospacing="0" w:line="360" w:lineRule="auto"/>
        <w:ind w:firstLine="420" w:firstLineChars="200"/>
        <w:rPr>
          <w:rFonts w:hint="eastAsia"/>
          <w:sz w:val="21"/>
          <w:szCs w:val="21"/>
          <w:highlight w:val="none"/>
          <w:lang w:eastAsia="zh-CN"/>
        </w:rPr>
      </w:pPr>
      <w:r>
        <w:rPr>
          <w:rFonts w:hint="eastAsia"/>
          <w:sz w:val="21"/>
          <w:szCs w:val="21"/>
          <w:highlight w:val="none"/>
          <w:lang w:eastAsia="zh-CN"/>
        </w:rPr>
        <w:t>（</w:t>
      </w:r>
      <w:r>
        <w:rPr>
          <w:rFonts w:hint="eastAsia"/>
          <w:sz w:val="21"/>
          <w:szCs w:val="21"/>
          <w:highlight w:val="none"/>
          <w:lang w:val="en-US" w:eastAsia="zh-CN"/>
        </w:rPr>
        <w:t>5</w:t>
      </w:r>
      <w:r>
        <w:rPr>
          <w:rFonts w:hint="eastAsia"/>
          <w:sz w:val="21"/>
          <w:szCs w:val="21"/>
          <w:highlight w:val="none"/>
          <w:lang w:eastAsia="zh-CN"/>
        </w:rPr>
        <w:t>）上述人员之间均不存在近亲属关系。 </w:t>
      </w:r>
    </w:p>
    <w:p w14:paraId="502CD733">
      <w:pPr>
        <w:pStyle w:val="9"/>
        <w:spacing w:before="0" w:beforeAutospacing="0" w:after="0" w:afterAutospacing="0" w:line="360" w:lineRule="auto"/>
        <w:ind w:firstLine="420"/>
        <w:rPr>
          <w:rFonts w:hint="eastAsia"/>
          <w:sz w:val="21"/>
          <w:szCs w:val="21"/>
          <w:highlight w:val="none"/>
        </w:rPr>
      </w:pPr>
      <w:r>
        <w:rPr>
          <w:rFonts w:hint="eastAsia"/>
          <w:sz w:val="21"/>
          <w:szCs w:val="21"/>
          <w:highlight w:val="none"/>
          <w:lang w:eastAsia="zh-CN"/>
        </w:rPr>
        <w:t xml:space="preserve"> </w:t>
      </w:r>
      <w:r>
        <w:rPr>
          <w:rFonts w:hint="eastAsia"/>
          <w:sz w:val="21"/>
          <w:szCs w:val="21"/>
          <w:highlight w:val="none"/>
        </w:rPr>
        <w:t>（</w:t>
      </w:r>
      <w:r>
        <w:rPr>
          <w:rFonts w:hint="eastAsia"/>
          <w:sz w:val="21"/>
          <w:szCs w:val="21"/>
          <w:highlight w:val="none"/>
          <w:lang w:eastAsia="zh-CN"/>
        </w:rPr>
        <w:t>二</w:t>
      </w:r>
      <w:r>
        <w:rPr>
          <w:rFonts w:hint="eastAsia"/>
          <w:sz w:val="21"/>
          <w:szCs w:val="21"/>
          <w:highlight w:val="none"/>
        </w:rPr>
        <w:t>）基金托管人情况</w:t>
      </w:r>
    </w:p>
    <w:p w14:paraId="52CD7776">
      <w:pPr>
        <w:pStyle w:val="9"/>
        <w:spacing w:before="0" w:beforeAutospacing="0" w:after="0" w:afterAutospacing="0" w:line="360" w:lineRule="auto"/>
        <w:ind w:firstLine="420"/>
        <w:rPr>
          <w:rFonts w:hint="eastAsia"/>
          <w:sz w:val="21"/>
          <w:szCs w:val="21"/>
          <w:highlight w:val="none"/>
          <w:lang w:val="en-US" w:eastAsia="zh-CN"/>
        </w:rPr>
      </w:pPr>
      <w:r>
        <w:rPr>
          <w:rFonts w:hint="eastAsia"/>
          <w:sz w:val="21"/>
          <w:szCs w:val="21"/>
          <w:highlight w:val="none"/>
          <w:lang w:val="en-US" w:eastAsia="zh-CN"/>
        </w:rPr>
        <w:t>1、基金托管人概况</w:t>
      </w:r>
    </w:p>
    <w:p w14:paraId="405CBA02">
      <w:pPr>
        <w:pStyle w:val="9"/>
        <w:spacing w:before="0" w:beforeAutospacing="0" w:after="0" w:afterAutospacing="0" w:line="360" w:lineRule="auto"/>
        <w:ind w:firstLine="420"/>
        <w:rPr>
          <w:rFonts w:hint="eastAsia"/>
          <w:sz w:val="21"/>
          <w:szCs w:val="21"/>
          <w:highlight w:val="none"/>
          <w:lang w:eastAsia="zh-CN"/>
        </w:rPr>
      </w:pPr>
      <w:r>
        <w:rPr>
          <w:rFonts w:hint="eastAsia"/>
          <w:sz w:val="21"/>
          <w:szCs w:val="21"/>
          <w:highlight w:val="none"/>
          <w:lang w:eastAsia="zh-CN"/>
        </w:rPr>
        <w:t>（</w:t>
      </w:r>
      <w:r>
        <w:rPr>
          <w:rFonts w:hint="eastAsia"/>
          <w:sz w:val="21"/>
          <w:szCs w:val="21"/>
          <w:highlight w:val="none"/>
          <w:lang w:val="en-US" w:eastAsia="zh-CN"/>
        </w:rPr>
        <w:t>1</w:t>
      </w:r>
      <w:r>
        <w:rPr>
          <w:rFonts w:hint="eastAsia"/>
          <w:sz w:val="21"/>
          <w:szCs w:val="21"/>
          <w:highlight w:val="none"/>
          <w:lang w:eastAsia="zh-CN"/>
        </w:rPr>
        <w:t>）基本情况</w:t>
      </w:r>
    </w:p>
    <w:p w14:paraId="4B11BE2F">
      <w:pPr>
        <w:pStyle w:val="33"/>
        <w:spacing w:before="50" w:after="50"/>
        <w:ind w:firstLine="420" w:firstLineChars="200"/>
        <w:rPr>
          <w:rFonts w:hint="eastAsia" w:hAnsi="宋体"/>
          <w:kern w:val="0"/>
          <w:sz w:val="21"/>
          <w:szCs w:val="21"/>
          <w:highlight w:val="none"/>
        </w:rPr>
      </w:pPr>
      <w:r>
        <w:rPr>
          <w:rFonts w:hint="eastAsia" w:hAnsi="宋体"/>
          <w:kern w:val="0"/>
          <w:sz w:val="21"/>
          <w:szCs w:val="21"/>
          <w:highlight w:val="none"/>
        </w:rPr>
        <w:t>名称：中国建设银行股份有限公司(简称：中国建设银行)</w:t>
      </w:r>
    </w:p>
    <w:p w14:paraId="09BAD448">
      <w:pPr>
        <w:pStyle w:val="33"/>
        <w:spacing w:before="50" w:after="50"/>
        <w:ind w:firstLine="420" w:firstLineChars="200"/>
        <w:rPr>
          <w:rFonts w:hint="eastAsia" w:hAnsi="宋体"/>
          <w:kern w:val="0"/>
          <w:sz w:val="21"/>
          <w:szCs w:val="21"/>
          <w:highlight w:val="none"/>
        </w:rPr>
      </w:pPr>
      <w:r>
        <w:rPr>
          <w:rFonts w:hint="eastAsia" w:hAnsi="宋体"/>
          <w:kern w:val="0"/>
          <w:sz w:val="21"/>
          <w:szCs w:val="21"/>
          <w:highlight w:val="none"/>
        </w:rPr>
        <w:t>住所：北京市西城区金融大街25号</w:t>
      </w:r>
    </w:p>
    <w:p w14:paraId="4CF0F7A1">
      <w:pPr>
        <w:pStyle w:val="33"/>
        <w:spacing w:before="50" w:after="50"/>
        <w:ind w:firstLine="420" w:firstLineChars="200"/>
        <w:rPr>
          <w:rFonts w:hint="eastAsia" w:hAnsi="宋体"/>
          <w:kern w:val="0"/>
          <w:sz w:val="21"/>
          <w:szCs w:val="21"/>
          <w:highlight w:val="none"/>
        </w:rPr>
      </w:pPr>
      <w:r>
        <w:rPr>
          <w:rFonts w:hint="eastAsia" w:hAnsi="宋体"/>
          <w:kern w:val="0"/>
          <w:sz w:val="21"/>
          <w:szCs w:val="21"/>
          <w:highlight w:val="none"/>
        </w:rPr>
        <w:t>办公地址：北京市西城区闹市口大街1号院1号楼</w:t>
      </w:r>
    </w:p>
    <w:p w14:paraId="381E08D3">
      <w:pPr>
        <w:pStyle w:val="33"/>
        <w:spacing w:before="50" w:after="50"/>
        <w:ind w:firstLine="420" w:firstLineChars="200"/>
        <w:rPr>
          <w:rFonts w:hint="eastAsia" w:hAnsi="宋体"/>
          <w:kern w:val="0"/>
          <w:sz w:val="21"/>
          <w:szCs w:val="21"/>
          <w:highlight w:val="none"/>
        </w:rPr>
      </w:pPr>
      <w:r>
        <w:rPr>
          <w:rFonts w:hint="eastAsia" w:hAnsi="宋体"/>
          <w:kern w:val="0"/>
          <w:sz w:val="21"/>
          <w:szCs w:val="21"/>
          <w:highlight w:val="none"/>
        </w:rPr>
        <w:t>法定代表人：张金良</w:t>
      </w:r>
    </w:p>
    <w:p w14:paraId="77BDABA2">
      <w:pPr>
        <w:pStyle w:val="33"/>
        <w:spacing w:before="50" w:after="50"/>
        <w:ind w:firstLine="420" w:firstLineChars="200"/>
        <w:rPr>
          <w:rFonts w:hint="eastAsia" w:hAnsi="宋体"/>
          <w:kern w:val="0"/>
          <w:sz w:val="21"/>
          <w:szCs w:val="21"/>
          <w:highlight w:val="none"/>
        </w:rPr>
      </w:pPr>
      <w:r>
        <w:rPr>
          <w:rFonts w:hint="eastAsia" w:hAnsi="宋体"/>
          <w:kern w:val="0"/>
          <w:sz w:val="21"/>
          <w:szCs w:val="21"/>
          <w:highlight w:val="none"/>
        </w:rPr>
        <w:t>成立时间：2004年09月17日</w:t>
      </w:r>
    </w:p>
    <w:p w14:paraId="52BDBE61">
      <w:pPr>
        <w:pStyle w:val="33"/>
        <w:spacing w:before="50" w:after="50"/>
        <w:ind w:firstLine="420" w:firstLineChars="200"/>
        <w:rPr>
          <w:rFonts w:hint="eastAsia" w:hAnsi="宋体"/>
          <w:kern w:val="0"/>
          <w:sz w:val="21"/>
          <w:szCs w:val="21"/>
          <w:highlight w:val="none"/>
        </w:rPr>
      </w:pPr>
      <w:r>
        <w:rPr>
          <w:rFonts w:hint="eastAsia" w:hAnsi="宋体"/>
          <w:kern w:val="0"/>
          <w:sz w:val="21"/>
          <w:szCs w:val="21"/>
          <w:highlight w:val="none"/>
        </w:rPr>
        <w:t>组织形式：股份有限公司</w:t>
      </w:r>
    </w:p>
    <w:p w14:paraId="523C5E5D">
      <w:pPr>
        <w:pStyle w:val="33"/>
        <w:spacing w:before="50" w:after="50"/>
        <w:ind w:firstLine="420" w:firstLineChars="200"/>
        <w:rPr>
          <w:rFonts w:hint="eastAsia" w:hAnsi="宋体"/>
          <w:kern w:val="0"/>
          <w:sz w:val="21"/>
          <w:szCs w:val="21"/>
          <w:highlight w:val="none"/>
        </w:rPr>
      </w:pPr>
      <w:r>
        <w:rPr>
          <w:rFonts w:hint="eastAsia" w:hAnsi="宋体"/>
          <w:kern w:val="0"/>
          <w:sz w:val="21"/>
          <w:szCs w:val="21"/>
          <w:highlight w:val="none"/>
        </w:rPr>
        <w:t>注册资本：贰仟陆佰壹拾陆亿零叁拾捌万壹仟肆佰伍拾玖元整</w:t>
      </w:r>
    </w:p>
    <w:p w14:paraId="042187B3">
      <w:pPr>
        <w:pStyle w:val="33"/>
        <w:spacing w:before="50" w:after="50"/>
        <w:ind w:firstLine="420" w:firstLineChars="200"/>
        <w:rPr>
          <w:rFonts w:hint="eastAsia" w:hAnsi="宋体"/>
          <w:kern w:val="0"/>
          <w:sz w:val="21"/>
          <w:szCs w:val="21"/>
          <w:highlight w:val="none"/>
        </w:rPr>
      </w:pPr>
      <w:r>
        <w:rPr>
          <w:rFonts w:hint="eastAsia" w:hAnsi="宋体"/>
          <w:kern w:val="0"/>
          <w:sz w:val="21"/>
          <w:szCs w:val="21"/>
          <w:highlight w:val="none"/>
        </w:rPr>
        <w:t>存续期间：持续经营</w:t>
      </w:r>
    </w:p>
    <w:p w14:paraId="1607E521">
      <w:pPr>
        <w:pStyle w:val="33"/>
        <w:spacing w:before="50" w:after="50"/>
        <w:ind w:firstLine="420" w:firstLineChars="200"/>
        <w:rPr>
          <w:rFonts w:hint="eastAsia" w:hAnsi="宋体"/>
          <w:kern w:val="0"/>
          <w:sz w:val="21"/>
          <w:szCs w:val="21"/>
          <w:highlight w:val="none"/>
        </w:rPr>
      </w:pPr>
      <w:r>
        <w:rPr>
          <w:rFonts w:hint="eastAsia" w:hAnsi="宋体"/>
          <w:kern w:val="0"/>
          <w:sz w:val="21"/>
          <w:szCs w:val="21"/>
          <w:highlight w:val="none"/>
        </w:rPr>
        <w:t>基金托管资格批文及文号：中国证监会证监基字[1998]12号</w:t>
      </w:r>
    </w:p>
    <w:p w14:paraId="69F5B938">
      <w:pPr>
        <w:pStyle w:val="33"/>
        <w:spacing w:before="50" w:after="50"/>
        <w:ind w:firstLine="420" w:firstLineChars="200"/>
        <w:rPr>
          <w:rFonts w:hint="eastAsia" w:hAnsi="宋体"/>
          <w:kern w:val="0"/>
          <w:sz w:val="21"/>
          <w:szCs w:val="21"/>
          <w:highlight w:val="none"/>
        </w:rPr>
      </w:pPr>
      <w:r>
        <w:rPr>
          <w:rFonts w:hint="eastAsia" w:hAnsi="宋体"/>
          <w:kern w:val="0"/>
          <w:sz w:val="21"/>
          <w:szCs w:val="21"/>
          <w:highlight w:val="none"/>
        </w:rPr>
        <w:t>联系人：王小飞</w:t>
      </w:r>
    </w:p>
    <w:p w14:paraId="46DF47F6">
      <w:pPr>
        <w:pStyle w:val="33"/>
        <w:spacing w:before="50" w:after="50"/>
        <w:ind w:firstLine="420" w:firstLineChars="200"/>
        <w:rPr>
          <w:rFonts w:hint="eastAsia" w:hAnsi="宋体"/>
          <w:kern w:val="0"/>
          <w:sz w:val="21"/>
          <w:szCs w:val="21"/>
          <w:highlight w:val="none"/>
        </w:rPr>
      </w:pPr>
      <w:r>
        <w:rPr>
          <w:rFonts w:hint="eastAsia" w:hAnsi="宋体"/>
          <w:kern w:val="0"/>
          <w:sz w:val="21"/>
          <w:szCs w:val="21"/>
          <w:highlight w:val="none"/>
        </w:rPr>
        <w:t>联系电话：(021)6063 7103</w:t>
      </w:r>
    </w:p>
    <w:p w14:paraId="68334AC0">
      <w:pPr>
        <w:pStyle w:val="9"/>
        <w:spacing w:before="0" w:beforeAutospacing="0" w:after="0" w:afterAutospacing="0" w:line="360" w:lineRule="auto"/>
        <w:ind w:firstLine="420"/>
        <w:rPr>
          <w:rFonts w:hint="eastAsia"/>
          <w:sz w:val="21"/>
          <w:szCs w:val="21"/>
          <w:highlight w:val="none"/>
          <w:lang w:eastAsia="zh-CN"/>
        </w:rPr>
      </w:pPr>
      <w:r>
        <w:rPr>
          <w:rFonts w:hint="eastAsia"/>
          <w:sz w:val="21"/>
          <w:szCs w:val="21"/>
          <w:highlight w:val="none"/>
          <w:lang w:eastAsia="zh-CN"/>
        </w:rPr>
        <w:t>（</w:t>
      </w:r>
      <w:r>
        <w:rPr>
          <w:rFonts w:hint="eastAsia"/>
          <w:sz w:val="21"/>
          <w:szCs w:val="21"/>
          <w:highlight w:val="none"/>
          <w:lang w:val="en-US" w:eastAsia="zh-CN"/>
        </w:rPr>
        <w:t>2</w:t>
      </w:r>
      <w:r>
        <w:rPr>
          <w:rFonts w:hint="eastAsia"/>
          <w:sz w:val="21"/>
          <w:szCs w:val="21"/>
          <w:highlight w:val="none"/>
          <w:lang w:eastAsia="zh-CN"/>
        </w:rPr>
        <w:t>）主要人员情况</w:t>
      </w:r>
    </w:p>
    <w:p w14:paraId="34074335">
      <w:pPr>
        <w:pStyle w:val="33"/>
        <w:spacing w:before="50" w:after="50"/>
        <w:ind w:firstLine="420" w:firstLineChars="200"/>
        <w:rPr>
          <w:rFonts w:hint="eastAsia" w:hAnsi="宋体"/>
          <w:kern w:val="0"/>
          <w:sz w:val="21"/>
          <w:szCs w:val="21"/>
          <w:highlight w:val="none"/>
        </w:rPr>
      </w:pPr>
      <w:r>
        <w:rPr>
          <w:rFonts w:hint="eastAsia" w:hAnsi="宋体"/>
          <w:kern w:val="0"/>
          <w:sz w:val="21"/>
          <w:szCs w:val="21"/>
          <w:highlight w:val="none"/>
        </w:rPr>
        <w:t>中国建设银行总行设资产托管业务部，下设综合处、基金业务处、证券保险业务处、理财信托业务处、全球业务处、养老金业务处、新兴业务处、客户服务与业务协同处、运营管理处、跨境与外包管理处、托管应用系统支持处、内控合规处等12个职能处室，在北京、上海、合肥设有托管运营中心，共有员工300余人。自2007年起，托管部连续聘请外部会计师事务所对托管业务进行内部控制审计，并已经成为常规化的内控工作手段。</w:t>
      </w:r>
    </w:p>
    <w:p w14:paraId="3B5DDEE8">
      <w:pPr>
        <w:pStyle w:val="9"/>
        <w:spacing w:before="0" w:beforeAutospacing="0" w:after="0" w:afterAutospacing="0" w:line="360" w:lineRule="auto"/>
        <w:ind w:firstLine="420"/>
        <w:rPr>
          <w:rFonts w:hint="eastAsia"/>
          <w:sz w:val="21"/>
          <w:szCs w:val="21"/>
          <w:highlight w:val="none"/>
          <w:lang w:eastAsia="zh-CN"/>
        </w:rPr>
      </w:pPr>
      <w:r>
        <w:rPr>
          <w:rFonts w:hint="eastAsia"/>
          <w:sz w:val="21"/>
          <w:szCs w:val="21"/>
          <w:highlight w:val="none"/>
          <w:lang w:eastAsia="zh-CN"/>
        </w:rPr>
        <w:t>（</w:t>
      </w:r>
      <w:r>
        <w:rPr>
          <w:rFonts w:hint="eastAsia"/>
          <w:sz w:val="21"/>
          <w:szCs w:val="21"/>
          <w:highlight w:val="none"/>
          <w:lang w:val="en-US" w:eastAsia="zh-CN"/>
        </w:rPr>
        <w:t>3</w:t>
      </w:r>
      <w:r>
        <w:rPr>
          <w:rFonts w:hint="eastAsia"/>
          <w:sz w:val="21"/>
          <w:szCs w:val="21"/>
          <w:highlight w:val="none"/>
          <w:lang w:eastAsia="zh-CN"/>
        </w:rPr>
        <w:t>）基金托管业务经营情况</w:t>
      </w:r>
    </w:p>
    <w:p w14:paraId="6D7BF0BB">
      <w:pPr>
        <w:pStyle w:val="33"/>
        <w:spacing w:before="50" w:after="50"/>
        <w:ind w:firstLine="420" w:firstLineChars="200"/>
        <w:rPr>
          <w:rFonts w:hint="eastAsia" w:hAnsi="宋体"/>
          <w:kern w:val="0"/>
          <w:sz w:val="21"/>
          <w:szCs w:val="21"/>
          <w:highlight w:val="none"/>
        </w:rPr>
      </w:pPr>
      <w:r>
        <w:rPr>
          <w:rFonts w:hint="eastAsia" w:hAnsi="宋体"/>
          <w:kern w:val="0"/>
          <w:sz w:val="21"/>
          <w:szCs w:val="21"/>
          <w:highlight w:val="none"/>
        </w:rPr>
        <w:t>作为国内首批开办证券投资基金托管业务的商业银行，中国建设银行一直秉持“以客户为中心”的经营理念，不断加强风险管理和内部控制，严格履行托管人的各项职责，切实维护资产持有人的合法权益，为资产委托人提供高质量的托管服务。经过多年稳步发展，中国建设银行托管资产规模不断扩大，托管业务品种不断增加，已形成包括证券投资基金、社保基金、保险资金、基本养老个人账户、(R)QFII、(R)QDII、企业年金、存托业务等产品在内的托管业务体系，是目前国内托管业务品种最齐全的商业银行之一。截至2025年末，中国建设银行已托管1,536只证券投资基金。中国建设银行专业高效的托管服务能力和业务水平，赢得了业内的高度认同。中国建设银行多次被《全球托管人》、 《财资》、《环球金融》杂志及《中国基金报》评选为“最佳托管银行”、连续多年荣获中央国债登记结算有限责任公司（中债）“优秀资产托管机构”、银行间市场清算所股份有限公司（上清所）“优秀托管银行”奖项、并先后荣获《亚洲银行家》颁发的2017年度“最佳托管系统实施奖”、2019年度“中国年度托管业务科技实施奖”、2021年度“中国最佳数字化资产托管银行”、以及 2020年度、2022年度“中国年度托管银行（大型银行）”奖项。2023年度，荣获《中国基金报》“公募基金25年最佳基金托管银行”奖项。2024年度，荣获《中国基金报》“优秀ETF托管人”、《中国证券报》“ETF金牛生态圈卓越托管机构（银行）”、《环球金融》“中国最佳次托管人”奖项。2025年度，荣获《中国基金报》“指数生态圈英华奖”、《环球金融》“中国最佳次托管人”等奖项。</w:t>
      </w:r>
    </w:p>
    <w:p w14:paraId="407D4329">
      <w:pPr>
        <w:pStyle w:val="9"/>
        <w:spacing w:before="0" w:beforeAutospacing="0" w:after="0" w:afterAutospacing="0" w:line="360" w:lineRule="auto"/>
        <w:ind w:firstLine="420"/>
        <w:rPr>
          <w:rFonts w:hint="eastAsia"/>
          <w:sz w:val="21"/>
          <w:szCs w:val="21"/>
          <w:highlight w:val="none"/>
          <w:lang w:eastAsia="zh-CN"/>
        </w:rPr>
      </w:pPr>
      <w:r>
        <w:rPr>
          <w:rFonts w:hint="eastAsia"/>
          <w:sz w:val="21"/>
          <w:szCs w:val="21"/>
          <w:highlight w:val="none"/>
          <w:lang w:val="en-US" w:eastAsia="zh-CN"/>
        </w:rPr>
        <w:t>2</w:t>
      </w:r>
      <w:r>
        <w:rPr>
          <w:rFonts w:hint="eastAsia"/>
          <w:sz w:val="21"/>
          <w:szCs w:val="21"/>
          <w:highlight w:val="none"/>
          <w:lang w:eastAsia="zh-CN"/>
        </w:rPr>
        <w:t>、基金托管人的内部控制制度</w:t>
      </w:r>
    </w:p>
    <w:p w14:paraId="56223130">
      <w:pPr>
        <w:pStyle w:val="9"/>
        <w:spacing w:before="0" w:beforeAutospacing="0" w:after="0" w:afterAutospacing="0" w:line="360" w:lineRule="auto"/>
        <w:ind w:firstLine="420"/>
        <w:rPr>
          <w:rFonts w:hint="eastAsia"/>
          <w:sz w:val="21"/>
          <w:szCs w:val="21"/>
          <w:highlight w:val="none"/>
          <w:lang w:eastAsia="zh-CN"/>
        </w:rPr>
      </w:pPr>
      <w:r>
        <w:rPr>
          <w:rFonts w:hint="eastAsia"/>
          <w:sz w:val="21"/>
          <w:szCs w:val="21"/>
          <w:highlight w:val="none"/>
          <w:lang w:eastAsia="zh-CN"/>
        </w:rPr>
        <w:t>（</w:t>
      </w:r>
      <w:r>
        <w:rPr>
          <w:rFonts w:hint="eastAsia"/>
          <w:sz w:val="21"/>
          <w:szCs w:val="21"/>
          <w:highlight w:val="none"/>
          <w:lang w:val="en-US" w:eastAsia="zh-CN"/>
        </w:rPr>
        <w:t>1</w:t>
      </w:r>
      <w:r>
        <w:rPr>
          <w:rFonts w:hint="eastAsia"/>
          <w:sz w:val="21"/>
          <w:szCs w:val="21"/>
          <w:highlight w:val="none"/>
          <w:lang w:eastAsia="zh-CN"/>
        </w:rPr>
        <w:t>）内部控制目标</w:t>
      </w:r>
    </w:p>
    <w:p w14:paraId="5B336DAC">
      <w:pPr>
        <w:pStyle w:val="33"/>
        <w:spacing w:before="50" w:after="50"/>
        <w:ind w:firstLine="420" w:firstLineChars="200"/>
        <w:rPr>
          <w:rFonts w:hint="eastAsia" w:hAnsi="宋体"/>
          <w:kern w:val="0"/>
          <w:sz w:val="21"/>
          <w:szCs w:val="21"/>
          <w:highlight w:val="none"/>
        </w:rPr>
      </w:pPr>
      <w:r>
        <w:rPr>
          <w:rFonts w:hint="eastAsia" w:hAnsi="宋体"/>
          <w:kern w:val="0"/>
          <w:sz w:val="21"/>
          <w:szCs w:val="21"/>
          <w:highlight w:val="none"/>
        </w:rPr>
        <w:t>作为基金托管人，中国建设银行严格遵守国家有关托管业务的法律法规、行业监管规章和本行内有关管理规定，守法经营、规范运作、严格检查，确保业务的稳健运行，保证基金财产的安全完整，确保有关信息的真实、准确、完整、及时，保护基金份额持有人的合法权益。</w:t>
      </w:r>
    </w:p>
    <w:p w14:paraId="4D938EA7">
      <w:pPr>
        <w:pStyle w:val="9"/>
        <w:spacing w:before="0" w:beforeAutospacing="0" w:after="0" w:afterAutospacing="0" w:line="360" w:lineRule="auto"/>
        <w:ind w:firstLine="420"/>
        <w:rPr>
          <w:rFonts w:hint="eastAsia"/>
          <w:sz w:val="21"/>
          <w:szCs w:val="21"/>
          <w:highlight w:val="none"/>
          <w:lang w:eastAsia="zh-CN"/>
        </w:rPr>
      </w:pPr>
      <w:r>
        <w:rPr>
          <w:rFonts w:hint="eastAsia"/>
          <w:sz w:val="21"/>
          <w:szCs w:val="21"/>
          <w:highlight w:val="none"/>
          <w:lang w:eastAsia="zh-CN"/>
        </w:rPr>
        <w:t>（</w:t>
      </w:r>
      <w:r>
        <w:rPr>
          <w:rFonts w:hint="eastAsia"/>
          <w:sz w:val="21"/>
          <w:szCs w:val="21"/>
          <w:highlight w:val="none"/>
          <w:lang w:val="en-US" w:eastAsia="zh-CN"/>
        </w:rPr>
        <w:t>2</w:t>
      </w:r>
      <w:r>
        <w:rPr>
          <w:rFonts w:hint="eastAsia"/>
          <w:sz w:val="21"/>
          <w:szCs w:val="21"/>
          <w:highlight w:val="none"/>
          <w:lang w:eastAsia="zh-CN"/>
        </w:rPr>
        <w:t>）内部控制组织结构</w:t>
      </w:r>
    </w:p>
    <w:p w14:paraId="243F2474">
      <w:pPr>
        <w:pStyle w:val="33"/>
        <w:spacing w:before="50" w:after="50"/>
        <w:ind w:firstLine="420" w:firstLineChars="200"/>
        <w:rPr>
          <w:rFonts w:hint="eastAsia" w:hAnsi="宋体"/>
          <w:kern w:val="0"/>
          <w:sz w:val="21"/>
          <w:szCs w:val="21"/>
          <w:highlight w:val="none"/>
        </w:rPr>
      </w:pPr>
      <w:r>
        <w:rPr>
          <w:rFonts w:hint="eastAsia" w:hAnsi="宋体"/>
          <w:kern w:val="0"/>
          <w:sz w:val="21"/>
          <w:szCs w:val="21"/>
          <w:highlight w:val="none"/>
        </w:rPr>
        <w:t>中国建设银行设有风险内控管理委员会，负责全行风险管理与内部控制工作，对托管业务风险管理和内部控制的有效性进行指导。资产托管业务部配备了专职内控合规人员负责托管业务的内控合规工作，具有独立行使内控合规工作职权和能力。</w:t>
      </w:r>
    </w:p>
    <w:p w14:paraId="63BC49BE">
      <w:pPr>
        <w:pStyle w:val="9"/>
        <w:spacing w:before="0" w:beforeAutospacing="0" w:after="0" w:afterAutospacing="0" w:line="360" w:lineRule="auto"/>
        <w:ind w:firstLine="420"/>
        <w:rPr>
          <w:rFonts w:hint="eastAsia"/>
          <w:sz w:val="21"/>
          <w:szCs w:val="21"/>
          <w:highlight w:val="none"/>
          <w:lang w:eastAsia="zh-CN"/>
        </w:rPr>
      </w:pPr>
      <w:r>
        <w:rPr>
          <w:rFonts w:hint="eastAsia"/>
          <w:sz w:val="21"/>
          <w:szCs w:val="21"/>
          <w:highlight w:val="none"/>
          <w:lang w:eastAsia="zh-CN"/>
        </w:rPr>
        <w:t>（</w:t>
      </w:r>
      <w:r>
        <w:rPr>
          <w:rFonts w:hint="eastAsia"/>
          <w:sz w:val="21"/>
          <w:szCs w:val="21"/>
          <w:highlight w:val="none"/>
          <w:lang w:val="en-US" w:eastAsia="zh-CN"/>
        </w:rPr>
        <w:t>3</w:t>
      </w:r>
      <w:r>
        <w:rPr>
          <w:rFonts w:hint="eastAsia"/>
          <w:sz w:val="21"/>
          <w:szCs w:val="21"/>
          <w:highlight w:val="none"/>
          <w:lang w:eastAsia="zh-CN"/>
        </w:rPr>
        <w:t>）内部控制制度及措施</w:t>
      </w:r>
    </w:p>
    <w:p w14:paraId="520E927A">
      <w:pPr>
        <w:pStyle w:val="33"/>
        <w:spacing w:before="50" w:after="50"/>
        <w:ind w:firstLine="420" w:firstLineChars="200"/>
        <w:rPr>
          <w:rFonts w:hint="eastAsia" w:hAnsi="宋体"/>
          <w:kern w:val="0"/>
          <w:sz w:val="21"/>
          <w:szCs w:val="21"/>
          <w:highlight w:val="none"/>
        </w:rPr>
      </w:pPr>
      <w:r>
        <w:rPr>
          <w:rFonts w:hint="eastAsia" w:hAnsi="宋体"/>
          <w:kern w:val="0"/>
          <w:sz w:val="21"/>
          <w:szCs w:val="21"/>
          <w:highlight w:val="none"/>
        </w:rPr>
        <w:t>资产托管业务部具备系统、完善的制度控制体系，建立了管理制度、控制制度、岗位职责、业务操作流程，可以保证托管业务的规范操作和顺利进行；业务人员具备从业资格；业务管理严格实行复核、审核、检查制度，授权工作实行集中控制，业务印章按规程保管、存放、使用，账户资料严格保管，制约机制严格有效；业务操作区专门设置，封闭管理，实施音像监控；业务信息由专职信息披露人负责，防止泄密；业务实现自动化操作，防止人为事故的发生，技术系统完整、独立。</w:t>
      </w:r>
    </w:p>
    <w:p w14:paraId="47AEDB79">
      <w:pPr>
        <w:pStyle w:val="9"/>
        <w:spacing w:before="0" w:beforeAutospacing="0" w:after="0" w:afterAutospacing="0" w:line="360" w:lineRule="auto"/>
        <w:ind w:firstLine="420"/>
        <w:rPr>
          <w:rFonts w:hint="eastAsia"/>
          <w:sz w:val="21"/>
          <w:szCs w:val="21"/>
          <w:highlight w:val="none"/>
          <w:lang w:eastAsia="zh-CN"/>
        </w:rPr>
      </w:pPr>
      <w:r>
        <w:rPr>
          <w:rFonts w:hint="eastAsia"/>
          <w:sz w:val="21"/>
          <w:szCs w:val="21"/>
          <w:highlight w:val="none"/>
          <w:lang w:val="en-US" w:eastAsia="zh-CN"/>
        </w:rPr>
        <w:t>3</w:t>
      </w:r>
      <w:r>
        <w:rPr>
          <w:rFonts w:hint="eastAsia"/>
          <w:sz w:val="21"/>
          <w:szCs w:val="21"/>
          <w:highlight w:val="none"/>
          <w:lang w:eastAsia="zh-CN"/>
        </w:rPr>
        <w:t>、基金托管人对基金管理人运作基金进行监督的方法和程序</w:t>
      </w:r>
    </w:p>
    <w:p w14:paraId="706D1EFA">
      <w:pPr>
        <w:pStyle w:val="9"/>
        <w:spacing w:before="0" w:beforeAutospacing="0" w:after="0" w:afterAutospacing="0" w:line="360" w:lineRule="auto"/>
        <w:ind w:firstLine="420"/>
        <w:rPr>
          <w:rFonts w:hint="eastAsia"/>
          <w:sz w:val="21"/>
          <w:szCs w:val="21"/>
          <w:highlight w:val="none"/>
          <w:lang w:eastAsia="zh-CN"/>
        </w:rPr>
      </w:pPr>
      <w:r>
        <w:rPr>
          <w:rFonts w:hint="eastAsia"/>
          <w:sz w:val="21"/>
          <w:szCs w:val="21"/>
          <w:highlight w:val="none"/>
          <w:lang w:eastAsia="zh-CN"/>
        </w:rPr>
        <w:t>（</w:t>
      </w:r>
      <w:r>
        <w:rPr>
          <w:rFonts w:hint="eastAsia"/>
          <w:sz w:val="21"/>
          <w:szCs w:val="21"/>
          <w:highlight w:val="none"/>
          <w:lang w:val="en-US" w:eastAsia="zh-CN"/>
        </w:rPr>
        <w:t>1</w:t>
      </w:r>
      <w:r>
        <w:rPr>
          <w:rFonts w:hint="eastAsia"/>
          <w:sz w:val="21"/>
          <w:szCs w:val="21"/>
          <w:highlight w:val="none"/>
          <w:lang w:eastAsia="zh-CN"/>
        </w:rPr>
        <w:t>）监督方法</w:t>
      </w:r>
    </w:p>
    <w:p w14:paraId="1DE6A995">
      <w:pPr>
        <w:pStyle w:val="33"/>
        <w:spacing w:before="50" w:after="50"/>
        <w:ind w:firstLine="420" w:firstLineChars="200"/>
        <w:rPr>
          <w:rFonts w:hint="eastAsia" w:hAnsi="宋体"/>
          <w:kern w:val="0"/>
          <w:sz w:val="21"/>
          <w:szCs w:val="21"/>
          <w:highlight w:val="none"/>
        </w:rPr>
      </w:pPr>
      <w:r>
        <w:rPr>
          <w:rFonts w:hint="eastAsia" w:hAnsi="宋体"/>
          <w:kern w:val="0"/>
          <w:sz w:val="21"/>
          <w:szCs w:val="21"/>
          <w:highlight w:val="none"/>
        </w:rPr>
        <w:t>依照《基金法》及其配套法规和基金合同的约定，监督所托管基金的投资运作。利用自行开发的“新一代托管应用监督子系统”，严格按照现行法律法规以及基金合同规定，对基金管理人运作基金的投资比例、投资范围、投资组合等情况进行监督。在日常为基金投资运作所提供的基金清算和核算服务环节中，对基金管理人发送的投资指令、基金管理人对各基金费用的提取与开支情况进行检查监督。</w:t>
      </w:r>
    </w:p>
    <w:p w14:paraId="3C91EE7E">
      <w:pPr>
        <w:pStyle w:val="9"/>
        <w:spacing w:before="0" w:beforeAutospacing="0" w:after="0" w:afterAutospacing="0" w:line="360" w:lineRule="auto"/>
        <w:ind w:firstLine="420"/>
        <w:rPr>
          <w:rFonts w:hint="eastAsia"/>
          <w:sz w:val="21"/>
          <w:szCs w:val="21"/>
          <w:highlight w:val="none"/>
          <w:lang w:eastAsia="zh-CN"/>
        </w:rPr>
      </w:pPr>
      <w:r>
        <w:rPr>
          <w:rFonts w:hint="eastAsia"/>
          <w:sz w:val="21"/>
          <w:szCs w:val="21"/>
          <w:highlight w:val="none"/>
          <w:lang w:eastAsia="zh-CN"/>
        </w:rPr>
        <w:t>（</w:t>
      </w:r>
      <w:r>
        <w:rPr>
          <w:rFonts w:hint="eastAsia"/>
          <w:sz w:val="21"/>
          <w:szCs w:val="21"/>
          <w:highlight w:val="none"/>
          <w:lang w:val="en-US" w:eastAsia="zh-CN"/>
        </w:rPr>
        <w:t>2</w:t>
      </w:r>
      <w:r>
        <w:rPr>
          <w:rFonts w:hint="eastAsia"/>
          <w:sz w:val="21"/>
          <w:szCs w:val="21"/>
          <w:highlight w:val="none"/>
          <w:lang w:eastAsia="zh-CN"/>
        </w:rPr>
        <w:t>）监督流程</w:t>
      </w:r>
    </w:p>
    <w:p w14:paraId="0261873B">
      <w:pPr>
        <w:pStyle w:val="33"/>
        <w:spacing w:before="50" w:after="50"/>
        <w:ind w:firstLine="420" w:firstLineChars="200"/>
        <w:rPr>
          <w:rFonts w:hint="eastAsia" w:hAnsi="宋体"/>
          <w:kern w:val="0"/>
          <w:sz w:val="21"/>
          <w:szCs w:val="21"/>
          <w:highlight w:val="none"/>
        </w:rPr>
      </w:pPr>
      <w:r>
        <w:rPr>
          <w:rFonts w:hint="eastAsia" w:hAnsi="宋体"/>
          <w:kern w:val="0"/>
          <w:sz w:val="21"/>
          <w:szCs w:val="21"/>
          <w:highlight w:val="none"/>
          <w:lang w:val="en-US" w:eastAsia="zh-CN"/>
        </w:rPr>
        <w:t>1）</w:t>
      </w:r>
      <w:r>
        <w:rPr>
          <w:rFonts w:hint="eastAsia" w:hAnsi="宋体"/>
          <w:kern w:val="0"/>
          <w:sz w:val="21"/>
          <w:szCs w:val="21"/>
          <w:highlight w:val="none"/>
        </w:rPr>
        <w:t>每工作日按时通过新一代托管应用监督子系统，对各基金投资运作比例控制等情况进行监控，如发现投资异常情况，向基金管理人进行风险提示，与基金管理人进行情况核实，督促其纠正，如有重大异常事项及时报告中国证监会。</w:t>
      </w:r>
    </w:p>
    <w:p w14:paraId="34E82926">
      <w:pPr>
        <w:pStyle w:val="33"/>
        <w:spacing w:before="50" w:after="50"/>
        <w:ind w:firstLine="420" w:firstLineChars="200"/>
        <w:rPr>
          <w:rFonts w:hint="eastAsia" w:hAnsi="宋体"/>
          <w:kern w:val="0"/>
          <w:sz w:val="21"/>
          <w:szCs w:val="21"/>
          <w:highlight w:val="none"/>
        </w:rPr>
      </w:pPr>
      <w:r>
        <w:rPr>
          <w:rFonts w:hint="eastAsia" w:hAnsi="宋体"/>
          <w:kern w:val="0"/>
          <w:sz w:val="21"/>
          <w:szCs w:val="21"/>
          <w:highlight w:val="none"/>
          <w:lang w:val="en-US" w:eastAsia="zh-CN"/>
        </w:rPr>
        <w:t>2）</w:t>
      </w:r>
      <w:r>
        <w:rPr>
          <w:rFonts w:hint="eastAsia" w:hAnsi="宋体"/>
          <w:kern w:val="0"/>
          <w:sz w:val="21"/>
          <w:szCs w:val="21"/>
          <w:highlight w:val="none"/>
        </w:rPr>
        <w:t>收到基金管理人的划款指令后，对指令要素等内容进行核查。</w:t>
      </w:r>
    </w:p>
    <w:p w14:paraId="35448C1A">
      <w:pPr>
        <w:pStyle w:val="33"/>
        <w:spacing w:before="50" w:after="50"/>
        <w:ind w:firstLine="420" w:firstLineChars="200"/>
        <w:rPr>
          <w:rFonts w:hint="eastAsia" w:hAnsi="宋体"/>
          <w:kern w:val="0"/>
          <w:sz w:val="21"/>
          <w:szCs w:val="21"/>
          <w:highlight w:val="none"/>
        </w:rPr>
      </w:pPr>
      <w:r>
        <w:rPr>
          <w:rFonts w:hint="eastAsia" w:hAnsi="宋体"/>
          <w:kern w:val="0"/>
          <w:sz w:val="21"/>
          <w:szCs w:val="21"/>
          <w:highlight w:val="none"/>
          <w:lang w:val="en-US" w:eastAsia="zh-CN"/>
        </w:rPr>
        <w:t>3）</w:t>
      </w:r>
      <w:r>
        <w:rPr>
          <w:rFonts w:hint="eastAsia" w:hAnsi="宋体"/>
          <w:kern w:val="0"/>
          <w:sz w:val="21"/>
          <w:szCs w:val="21"/>
          <w:highlight w:val="none"/>
        </w:rPr>
        <w:t>通过技术或非技术手段发现基金涉嫌违规交易，电话或书面要求基金管理人进行解释或举证，如有必要将及时报告中国证监会。</w:t>
      </w:r>
    </w:p>
    <w:p w14:paraId="71AAA82A">
      <w:pPr>
        <w:pStyle w:val="9"/>
        <w:spacing w:before="0" w:beforeAutospacing="0" w:after="0" w:afterAutospacing="0" w:line="360" w:lineRule="auto"/>
        <w:ind w:firstLine="420" w:firstLineChars="200"/>
        <w:rPr>
          <w:sz w:val="21"/>
          <w:szCs w:val="21"/>
          <w:highlight w:val="none"/>
        </w:rPr>
      </w:pPr>
      <w:r>
        <w:rPr>
          <w:rFonts w:hint="eastAsia"/>
          <w:sz w:val="21"/>
          <w:szCs w:val="21"/>
          <w:highlight w:val="none"/>
        </w:rPr>
        <w:t xml:space="preserve">（三）上市推荐人 </w:t>
      </w:r>
    </w:p>
    <w:p w14:paraId="66587084">
      <w:pPr>
        <w:pStyle w:val="9"/>
        <w:spacing w:before="0" w:beforeAutospacing="0" w:after="0" w:afterAutospacing="0" w:line="360" w:lineRule="auto"/>
        <w:ind w:firstLine="420"/>
        <w:rPr>
          <w:rFonts w:hint="eastAsia" w:eastAsia="宋体"/>
          <w:sz w:val="21"/>
          <w:szCs w:val="21"/>
          <w:highlight w:val="none"/>
          <w:lang w:eastAsia="zh-CN"/>
        </w:rPr>
      </w:pPr>
      <w:r>
        <w:rPr>
          <w:rFonts w:hint="eastAsia"/>
          <w:sz w:val="21"/>
          <w:szCs w:val="21"/>
          <w:highlight w:val="none"/>
          <w:lang w:val="en-US" w:eastAsia="zh-CN"/>
        </w:rPr>
        <w:t>招商证券股份有限公司</w:t>
      </w:r>
    </w:p>
    <w:p w14:paraId="63251E9C">
      <w:pPr>
        <w:pStyle w:val="9"/>
        <w:spacing w:before="0" w:beforeAutospacing="0" w:after="0" w:afterAutospacing="0" w:line="360" w:lineRule="auto"/>
        <w:ind w:firstLine="420"/>
        <w:rPr>
          <w:sz w:val="21"/>
          <w:szCs w:val="21"/>
          <w:highlight w:val="none"/>
        </w:rPr>
      </w:pPr>
      <w:r>
        <w:rPr>
          <w:rFonts w:hint="eastAsia"/>
          <w:sz w:val="21"/>
          <w:szCs w:val="21"/>
          <w:highlight w:val="none"/>
        </w:rPr>
        <w:t xml:space="preserve">（四）一级交易商 </w:t>
      </w:r>
    </w:p>
    <w:p w14:paraId="1140D552">
      <w:pPr>
        <w:pStyle w:val="9"/>
        <w:spacing w:before="0" w:beforeAutospacing="0" w:after="0" w:afterAutospacing="0" w:line="360" w:lineRule="auto"/>
        <w:ind w:firstLine="420"/>
        <w:rPr>
          <w:rFonts w:hint="eastAsia"/>
          <w:sz w:val="21"/>
          <w:szCs w:val="21"/>
          <w:highlight w:val="none"/>
        </w:rPr>
      </w:pPr>
      <w:r>
        <w:rPr>
          <w:rFonts w:hint="eastAsia"/>
          <w:sz w:val="21"/>
          <w:szCs w:val="21"/>
          <w:highlight w:val="none"/>
        </w:rPr>
        <w:t>目前，本基金一级交易商名单如下：</w:t>
      </w:r>
    </w:p>
    <w:p w14:paraId="6496F94E">
      <w:pPr>
        <w:pStyle w:val="9"/>
        <w:spacing w:before="0" w:beforeAutospacing="0" w:after="0" w:afterAutospacing="0" w:line="360" w:lineRule="auto"/>
        <w:ind w:firstLine="420"/>
        <w:rPr>
          <w:rFonts w:hint="eastAsia" w:eastAsia="宋体"/>
          <w:sz w:val="21"/>
          <w:szCs w:val="21"/>
          <w:highlight w:val="none"/>
          <w:lang w:eastAsia="zh-CN"/>
        </w:rPr>
      </w:pPr>
      <w:r>
        <w:rPr>
          <w:rFonts w:hint="eastAsia"/>
          <w:color w:val="000000"/>
          <w:sz w:val="21"/>
          <w:szCs w:val="21"/>
          <w:highlight w:val="none"/>
          <w:lang w:eastAsia="zh-CN"/>
        </w:rPr>
        <w:t>长城证券股份有限公司、财达证券股份有限公司、东北证券股份有限公司、东方财富证券股份有限公司、东莞证券股份有限公司、东海证券股份有限公司、东兴证券股份有限公司、方正证券股份有限公司、广发证券股份有限公司、国海证券股份有限公司、国金证券股份有限公司、国联民生证券股份有限公司、国盛证券股份有限公司、国泰海通证券股份有限公司、国投证券股份有限公司、国信证券股份有限公司、华宝证券股份有限公司、华创证券有限责任公司、华福证券股份有限公司、华泰证券股份有限公司、华西证券股份有限公司、华鑫证券有限责任公司、江海证券有限公司、联储证券股份有限公司、民生证券股份有限公司、平安证券股份有限公司、瑞银证券有限责任公司、山西证券股份有限公司、申万宏源西部证券有限公司、申万宏源证券有限公司、世纪证券有限责任公司、万和证券股份有限公司、万联证券股份有限公司、西部证券股份有限公司、西南证券股份有限公司、湘财证券股份有限公司、兴业证券股份有限公司、粤开证券股份有限公司、招商证券股份有限公司、浙商证券股份有限公司、中国国际金融股份有限公司、中国银河证券股份有限公司、中国中金财富证券有限公司、中泰证券股份有限公司、中信建投证券股份有限公司、中信证券（山东）有限责任公司、中信证券股份有限公司、中信证券华南股份有限公司。</w:t>
      </w:r>
    </w:p>
    <w:p w14:paraId="35E2F43A">
      <w:pPr>
        <w:pStyle w:val="9"/>
        <w:spacing w:before="0" w:beforeAutospacing="0" w:after="0" w:afterAutospacing="0" w:line="360" w:lineRule="auto"/>
        <w:ind w:firstLine="420"/>
        <w:rPr>
          <w:sz w:val="21"/>
          <w:szCs w:val="21"/>
          <w:highlight w:val="none"/>
        </w:rPr>
      </w:pPr>
      <w:r>
        <w:rPr>
          <w:rFonts w:hint="eastAsia"/>
          <w:sz w:val="21"/>
          <w:szCs w:val="21"/>
          <w:highlight w:val="none"/>
        </w:rPr>
        <w:t>（五）基金验资机构</w:t>
      </w:r>
    </w:p>
    <w:p w14:paraId="2E0EB562">
      <w:pPr>
        <w:snapToGrid w:val="0"/>
        <w:spacing w:line="360" w:lineRule="auto"/>
        <w:ind w:firstLine="420" w:firstLineChars="200"/>
        <w:rPr>
          <w:rFonts w:hint="eastAsia" w:ascii="宋体" w:hAnsi="宋体" w:cs="Arial"/>
          <w:kern w:val="0"/>
          <w:highlight w:val="none"/>
        </w:rPr>
      </w:pPr>
      <w:bookmarkStart w:id="28" w:name="field_0_accountingcompanyinfo_1_start"/>
      <w:bookmarkEnd w:id="28"/>
      <w:bookmarkStart w:id="29" w:name="chapter_level1_6_56148"/>
      <w:r>
        <w:rPr>
          <w:rFonts w:hint="eastAsia" w:ascii="宋体" w:hAnsi="宋体" w:cs="Arial"/>
          <w:kern w:val="0"/>
          <w:highlight w:val="none"/>
        </w:rPr>
        <w:t>名称：安永华明会计师事务所（特殊普通合伙）</w:t>
      </w:r>
    </w:p>
    <w:p w14:paraId="2BC2FBE7">
      <w:pPr>
        <w:snapToGrid w:val="0"/>
        <w:spacing w:line="360" w:lineRule="auto"/>
        <w:ind w:firstLine="420" w:firstLineChars="200"/>
        <w:rPr>
          <w:rFonts w:hint="eastAsia" w:ascii="宋体" w:hAnsi="宋体" w:cs="Arial"/>
          <w:kern w:val="0"/>
          <w:highlight w:val="none"/>
        </w:rPr>
      </w:pPr>
      <w:r>
        <w:rPr>
          <w:rFonts w:hint="eastAsia" w:ascii="宋体" w:hAnsi="宋体" w:cs="Arial"/>
          <w:kern w:val="0"/>
          <w:highlight w:val="none"/>
        </w:rPr>
        <w:t>住所：北京市东城区东长安街1号东方广场安永大楼17层01-12室</w:t>
      </w:r>
    </w:p>
    <w:p w14:paraId="48EFAF00">
      <w:pPr>
        <w:snapToGrid w:val="0"/>
        <w:spacing w:line="360" w:lineRule="auto"/>
        <w:ind w:firstLine="420" w:firstLineChars="200"/>
        <w:rPr>
          <w:rFonts w:hint="eastAsia" w:ascii="宋体" w:hAnsi="宋体" w:cs="Arial"/>
          <w:kern w:val="0"/>
          <w:highlight w:val="none"/>
        </w:rPr>
      </w:pPr>
      <w:r>
        <w:rPr>
          <w:rFonts w:hint="eastAsia" w:ascii="宋体" w:hAnsi="宋体" w:cs="Arial"/>
          <w:kern w:val="0"/>
          <w:highlight w:val="none"/>
        </w:rPr>
        <w:t>办公地址：北京市东城区东长安街1号东方广场安永大楼17层01-12室</w:t>
      </w:r>
    </w:p>
    <w:p w14:paraId="6ED21F5B">
      <w:pPr>
        <w:snapToGrid w:val="0"/>
        <w:spacing w:line="360" w:lineRule="auto"/>
        <w:ind w:firstLine="420" w:firstLineChars="200"/>
        <w:rPr>
          <w:rFonts w:hint="eastAsia" w:ascii="宋体" w:hAnsi="宋体" w:cs="Arial"/>
          <w:kern w:val="0"/>
          <w:highlight w:val="none"/>
        </w:rPr>
      </w:pPr>
      <w:r>
        <w:rPr>
          <w:rFonts w:hint="eastAsia" w:ascii="宋体" w:hAnsi="宋体" w:cs="Arial"/>
          <w:kern w:val="0"/>
          <w:highlight w:val="none"/>
        </w:rPr>
        <w:t>执行事务合伙人：毛鞍宁</w:t>
      </w:r>
    </w:p>
    <w:p w14:paraId="55A3DFAE">
      <w:pPr>
        <w:snapToGrid w:val="0"/>
        <w:spacing w:line="360" w:lineRule="auto"/>
        <w:ind w:firstLine="420" w:firstLineChars="200"/>
        <w:rPr>
          <w:rFonts w:hint="eastAsia" w:ascii="宋体" w:hAnsi="宋体" w:cs="Arial"/>
          <w:kern w:val="0"/>
          <w:highlight w:val="none"/>
        </w:rPr>
      </w:pPr>
      <w:r>
        <w:rPr>
          <w:rFonts w:hint="eastAsia" w:ascii="宋体" w:hAnsi="宋体" w:cs="Arial"/>
          <w:kern w:val="0"/>
          <w:highlight w:val="none"/>
        </w:rPr>
        <w:t>联系电话：（010）58153000</w:t>
      </w:r>
    </w:p>
    <w:p w14:paraId="3F16CE0B">
      <w:pPr>
        <w:snapToGrid w:val="0"/>
        <w:spacing w:line="360" w:lineRule="auto"/>
        <w:ind w:firstLine="420" w:firstLineChars="200"/>
        <w:rPr>
          <w:rFonts w:hint="eastAsia" w:ascii="宋体" w:hAnsi="宋体" w:cs="Arial"/>
          <w:kern w:val="0"/>
          <w:highlight w:val="none"/>
        </w:rPr>
      </w:pPr>
      <w:r>
        <w:rPr>
          <w:rFonts w:hint="eastAsia" w:ascii="宋体" w:hAnsi="宋体" w:cs="Arial"/>
          <w:kern w:val="0"/>
          <w:highlight w:val="none"/>
        </w:rPr>
        <w:t>传真电话：（010）85188298</w:t>
      </w:r>
    </w:p>
    <w:p w14:paraId="77BE9BC3">
      <w:pPr>
        <w:snapToGrid w:val="0"/>
        <w:spacing w:line="360" w:lineRule="auto"/>
        <w:ind w:firstLine="420" w:firstLineChars="200"/>
        <w:rPr>
          <w:rFonts w:hint="eastAsia" w:ascii="宋体" w:hAnsi="宋体" w:cs="Arial"/>
          <w:kern w:val="0"/>
          <w:highlight w:val="none"/>
        </w:rPr>
      </w:pPr>
      <w:r>
        <w:rPr>
          <w:rFonts w:hint="eastAsia" w:ascii="宋体" w:hAnsi="宋体" w:cs="Arial"/>
          <w:kern w:val="0"/>
          <w:highlight w:val="none"/>
        </w:rPr>
        <w:t>经办注册会计师： 高鹤、楼坚、王海彦</w:t>
      </w:r>
    </w:p>
    <w:p w14:paraId="154E4597">
      <w:pPr>
        <w:snapToGrid w:val="0"/>
        <w:spacing w:line="360" w:lineRule="auto"/>
        <w:ind w:firstLine="420" w:firstLineChars="200"/>
        <w:rPr>
          <w:rFonts w:hint="eastAsia" w:ascii="宋体" w:hAnsi="宋体" w:cs="Arial"/>
          <w:kern w:val="0"/>
          <w:highlight w:val="none"/>
        </w:rPr>
      </w:pPr>
      <w:r>
        <w:rPr>
          <w:rFonts w:hint="eastAsia" w:ascii="宋体" w:hAnsi="宋体" w:cs="Arial"/>
          <w:kern w:val="0"/>
          <w:highlight w:val="none"/>
        </w:rPr>
        <w:t>联系人：王海彦</w:t>
      </w:r>
    </w:p>
    <w:p w14:paraId="729553B9">
      <w:pPr>
        <w:snapToGrid w:val="0"/>
        <w:spacing w:line="360" w:lineRule="auto"/>
        <w:ind w:firstLine="420" w:firstLineChars="200"/>
        <w:rPr>
          <w:rFonts w:hint="eastAsia" w:ascii="宋体" w:hAnsi="宋体" w:cs="Arial"/>
          <w:kern w:val="0"/>
        </w:rPr>
        <w:sectPr>
          <w:pgSz w:w="11906" w:h="16838"/>
          <w:pgMar w:top="1440" w:right="1803" w:bottom="1440" w:left="1803" w:header="851" w:footer="992" w:gutter="0"/>
          <w:cols w:space="425" w:num="1"/>
          <w:docGrid w:type="lines" w:linePitch="312" w:charSpace="0"/>
        </w:sectPr>
      </w:pPr>
    </w:p>
    <w:p w14:paraId="31726ABC">
      <w:pPr>
        <w:pStyle w:val="2"/>
        <w:jc w:val="center"/>
        <w:rPr>
          <w:rFonts w:ascii="宋体" w:hAnsi="宋体" w:eastAsia="宋体"/>
          <w:sz w:val="30"/>
          <w:highlight w:val="none"/>
        </w:rPr>
      </w:pPr>
      <w:bookmarkStart w:id="30" w:name="_Toc20861"/>
      <w:r>
        <w:rPr>
          <w:rFonts w:hint="eastAsia" w:ascii="宋体" w:hAnsi="宋体" w:eastAsia="宋体"/>
          <w:sz w:val="30"/>
          <w:highlight w:val="none"/>
        </w:rPr>
        <w:t>六、基金合同摘要</w:t>
      </w:r>
      <w:bookmarkEnd w:id="29"/>
      <w:bookmarkEnd w:id="30"/>
    </w:p>
    <w:p w14:paraId="5439FCF2">
      <w:pPr>
        <w:ind w:firstLine="420" w:firstLineChars="0"/>
        <w:rPr>
          <w:rFonts w:ascii="宋体" w:hAnsi="宋体" w:eastAsia="宋体"/>
          <w:highlight w:val="none"/>
        </w:rPr>
      </w:pPr>
      <w:bookmarkStart w:id="31" w:name="chapter_level1_6_56148_section_1_end"/>
      <w:bookmarkEnd w:id="31"/>
      <w:bookmarkStart w:id="32" w:name="chapter_level1_6_56148_section_1"/>
      <w:bookmarkEnd w:id="32"/>
      <w:r>
        <w:rPr>
          <w:rFonts w:ascii="宋体" w:hAnsi="宋体" w:eastAsia="宋体"/>
          <w:highlight w:val="none"/>
        </w:rPr>
        <w:t>基金合同的内容摘要见附件：基金合同摘要。</w:t>
      </w:r>
    </w:p>
    <w:p w14:paraId="7220BC78">
      <w:pPr>
        <w:rPr>
          <w:rFonts w:ascii="宋体" w:hAnsi="宋体" w:eastAsia="宋体"/>
          <w:highlight w:val="none"/>
        </w:rPr>
        <w:sectPr>
          <w:pgSz w:w="11906" w:h="16838"/>
          <w:pgMar w:top="1440" w:right="1803" w:bottom="1440" w:left="1803" w:header="851" w:footer="992" w:gutter="0"/>
          <w:cols w:space="425" w:num="1"/>
          <w:docGrid w:type="lines" w:linePitch="312" w:charSpace="0"/>
        </w:sectPr>
      </w:pPr>
    </w:p>
    <w:p w14:paraId="09F688BD">
      <w:pPr>
        <w:pStyle w:val="2"/>
        <w:jc w:val="center"/>
        <w:rPr>
          <w:rFonts w:ascii="宋体" w:hAnsi="宋体" w:eastAsia="宋体"/>
          <w:sz w:val="30"/>
          <w:highlight w:val="none"/>
        </w:rPr>
      </w:pPr>
      <w:bookmarkStart w:id="33" w:name="chapter_level1_7_56149"/>
      <w:bookmarkStart w:id="34" w:name="_Toc25489"/>
      <w:r>
        <w:rPr>
          <w:rFonts w:hint="eastAsia" w:ascii="宋体" w:hAnsi="宋体" w:eastAsia="宋体"/>
          <w:sz w:val="30"/>
          <w:highlight w:val="none"/>
        </w:rPr>
        <w:t>七、基金财务状况</w:t>
      </w:r>
      <w:bookmarkEnd w:id="33"/>
      <w:bookmarkEnd w:id="34"/>
    </w:p>
    <w:p w14:paraId="26DD2CC0">
      <w:pPr>
        <w:pStyle w:val="9"/>
        <w:spacing w:before="0" w:beforeAutospacing="0" w:after="0" w:afterAutospacing="0" w:line="360" w:lineRule="auto"/>
        <w:ind w:firstLine="420"/>
        <w:rPr>
          <w:rFonts w:ascii="Times New Roman" w:hAnsi="Times New Roman" w:cs="Times New Roman"/>
          <w:sz w:val="21"/>
          <w:szCs w:val="21"/>
          <w:highlight w:val="none"/>
        </w:rPr>
      </w:pPr>
      <w:bookmarkStart w:id="35" w:name="chapter_level1_7_56149_section_1"/>
      <w:bookmarkEnd w:id="35"/>
      <w:bookmarkStart w:id="36" w:name="chapter_level1_8_56150"/>
      <w:bookmarkStart w:id="37" w:name="_Toc23786"/>
      <w:r>
        <w:rPr>
          <w:rFonts w:ascii="Times New Roman" w:hAnsi="Times New Roman" w:cs="Times New Roman"/>
          <w:sz w:val="21"/>
          <w:szCs w:val="21"/>
          <w:highlight w:val="none"/>
        </w:rPr>
        <w:t xml:space="preserve">（一）基金募集期间费用 </w:t>
      </w:r>
    </w:p>
    <w:p w14:paraId="7A023E62">
      <w:pPr>
        <w:pStyle w:val="9"/>
        <w:spacing w:before="0" w:beforeAutospacing="0" w:after="0" w:afterAutospacing="0" w:line="360" w:lineRule="auto"/>
        <w:ind w:firstLine="420"/>
        <w:rPr>
          <w:rFonts w:ascii="Times New Roman" w:hAnsi="Times New Roman" w:cs="Times New Roman"/>
          <w:sz w:val="21"/>
          <w:szCs w:val="21"/>
          <w:highlight w:val="none"/>
        </w:rPr>
      </w:pPr>
      <w:r>
        <w:rPr>
          <w:rFonts w:ascii="Times New Roman" w:hAnsi="Times New Roman" w:cs="Times New Roman"/>
          <w:sz w:val="21"/>
          <w:szCs w:val="21"/>
          <w:highlight w:val="none"/>
        </w:rPr>
        <w:t xml:space="preserve">基金合同生效前所发生的信息披露费、律师费和会计师费以及其他费用不从基金财产中支付。 </w:t>
      </w:r>
    </w:p>
    <w:p w14:paraId="0F3D98BB">
      <w:pPr>
        <w:pStyle w:val="9"/>
        <w:spacing w:before="0" w:beforeAutospacing="0" w:after="0" w:afterAutospacing="0" w:line="360" w:lineRule="auto"/>
        <w:ind w:firstLine="420"/>
        <w:rPr>
          <w:rFonts w:ascii="Times New Roman" w:hAnsi="Times New Roman" w:cs="Times New Roman"/>
          <w:sz w:val="21"/>
          <w:szCs w:val="21"/>
          <w:highlight w:val="none"/>
        </w:rPr>
      </w:pPr>
      <w:r>
        <w:rPr>
          <w:rFonts w:ascii="Times New Roman" w:hAnsi="Times New Roman" w:cs="Times New Roman"/>
          <w:sz w:val="21"/>
          <w:szCs w:val="21"/>
          <w:highlight w:val="none"/>
        </w:rPr>
        <w:t xml:space="preserve">（二）基金上市前重要财务事项 </w:t>
      </w:r>
    </w:p>
    <w:p w14:paraId="0BF982A6">
      <w:pPr>
        <w:pStyle w:val="9"/>
        <w:spacing w:before="0" w:beforeAutospacing="0" w:after="0" w:afterAutospacing="0" w:line="360" w:lineRule="auto"/>
        <w:ind w:firstLine="420"/>
        <w:rPr>
          <w:rFonts w:ascii="Times New Roman" w:hAnsi="Times New Roman" w:cs="Times New Roman"/>
          <w:sz w:val="21"/>
          <w:szCs w:val="21"/>
          <w:highlight w:val="none"/>
        </w:rPr>
      </w:pPr>
      <w:r>
        <w:rPr>
          <w:rFonts w:ascii="Times New Roman" w:hAnsi="Times New Roman" w:cs="Times New Roman"/>
          <w:sz w:val="21"/>
          <w:szCs w:val="21"/>
          <w:highlight w:val="none"/>
        </w:rPr>
        <w:t xml:space="preserve">本基金发售后至上市交易公告书公告前无重要财务事项发生。 </w:t>
      </w:r>
    </w:p>
    <w:p w14:paraId="1B1B48B9">
      <w:pPr>
        <w:pStyle w:val="9"/>
        <w:spacing w:before="0" w:beforeAutospacing="0" w:after="0" w:afterAutospacing="0" w:line="360" w:lineRule="auto"/>
        <w:ind w:firstLine="420"/>
        <w:rPr>
          <w:rFonts w:ascii="Times New Roman" w:hAnsi="Times New Roman" w:cs="Times New Roman"/>
          <w:sz w:val="21"/>
          <w:szCs w:val="21"/>
          <w:highlight w:val="none"/>
        </w:rPr>
      </w:pPr>
      <w:r>
        <w:rPr>
          <w:rFonts w:ascii="Times New Roman" w:hAnsi="Times New Roman" w:cs="Times New Roman"/>
          <w:sz w:val="21"/>
          <w:szCs w:val="21"/>
          <w:highlight w:val="none"/>
        </w:rPr>
        <w:t xml:space="preserve">（三）基金资产负债表 </w:t>
      </w:r>
    </w:p>
    <w:p w14:paraId="57152A44">
      <w:pPr>
        <w:pStyle w:val="9"/>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截至公告前两个工</w:t>
      </w:r>
      <w:r>
        <w:rPr>
          <w:rFonts w:hint="eastAsia" w:ascii="宋体" w:hAnsi="宋体" w:eastAsia="宋体" w:cs="宋体"/>
          <w:sz w:val="21"/>
          <w:szCs w:val="21"/>
          <w:highlight w:val="none"/>
        </w:rPr>
        <w:t>作日即</w:t>
      </w:r>
      <w:r>
        <w:rPr>
          <w:rFonts w:hint="eastAsia" w:cs="宋体"/>
          <w:sz w:val="21"/>
          <w:szCs w:val="21"/>
          <w:highlight w:val="none"/>
          <w:lang w:eastAsia="zh-CN"/>
        </w:rPr>
        <w:t>2026年6月23日</w:t>
      </w:r>
      <w:r>
        <w:rPr>
          <w:rFonts w:hint="eastAsia" w:ascii="宋体" w:hAnsi="宋体" w:eastAsia="宋体" w:cs="宋体"/>
          <w:sz w:val="21"/>
          <w:szCs w:val="21"/>
          <w:highlight w:val="none"/>
        </w:rPr>
        <w:t>，本</w:t>
      </w:r>
      <w:r>
        <w:rPr>
          <w:rFonts w:ascii="Times New Roman" w:hAnsi="Times New Roman" w:cs="Times New Roman"/>
          <w:sz w:val="21"/>
          <w:szCs w:val="21"/>
          <w:highlight w:val="none"/>
        </w:rPr>
        <w:t>基金的资产</w:t>
      </w:r>
      <w:bookmarkStart w:id="38" w:name="chapter_level1_7_56149_section_1_end"/>
      <w:bookmarkEnd w:id="38"/>
      <w:r>
        <w:rPr>
          <w:rFonts w:ascii="Times New Roman" w:hAnsi="Times New Roman" w:cs="Times New Roman"/>
          <w:sz w:val="21"/>
          <w:szCs w:val="21"/>
          <w:highlight w:val="none"/>
        </w:rPr>
        <w:t>负债表如下（未经审计）：</w:t>
      </w:r>
    </w:p>
    <w:p w14:paraId="39ED4880">
      <w:pPr>
        <w:adjustRightInd w:val="0"/>
        <w:snapToGrid w:val="0"/>
        <w:spacing w:line="360" w:lineRule="auto"/>
        <w:ind w:firstLine="371" w:firstLineChars="177"/>
        <w:jc w:val="right"/>
        <w:rPr>
          <w:rFonts w:ascii="Times New Roman" w:hAnsi="Times New Roman" w:cs="Times New Roman"/>
          <w:kern w:val="0"/>
          <w:szCs w:val="21"/>
          <w:highlight w:val="none"/>
        </w:rPr>
      </w:pPr>
      <w:r>
        <w:rPr>
          <w:rFonts w:ascii="Times New Roman" w:hAnsi="Times New Roman" w:cs="Times New Roman"/>
          <w:kern w:val="0"/>
          <w:szCs w:val="21"/>
          <w:highlight w:val="none"/>
        </w:rPr>
        <w:t>单位：人民币元</w:t>
      </w:r>
    </w:p>
    <w:tbl>
      <w:tblPr>
        <w:tblStyle w:val="11"/>
        <w:tblW w:w="5000" w:type="pct"/>
        <w:tblInd w:w="0" w:type="dxa"/>
        <w:tblLayout w:type="autofit"/>
        <w:tblCellMar>
          <w:top w:w="0" w:type="dxa"/>
          <w:left w:w="108" w:type="dxa"/>
          <w:bottom w:w="0" w:type="dxa"/>
          <w:right w:w="108" w:type="dxa"/>
        </w:tblCellMar>
      </w:tblPr>
      <w:tblGrid>
        <w:gridCol w:w="3957"/>
        <w:gridCol w:w="4559"/>
      </w:tblGrid>
      <w:tr w14:paraId="3A6F5762">
        <w:tblPrEx>
          <w:tblCellMar>
            <w:top w:w="0" w:type="dxa"/>
            <w:left w:w="108" w:type="dxa"/>
            <w:bottom w:w="0" w:type="dxa"/>
            <w:right w:w="108" w:type="dxa"/>
          </w:tblCellMar>
        </w:tblPrEx>
        <w:trPr>
          <w:trHeight w:val="300" w:hRule="atLeast"/>
        </w:trPr>
        <w:tc>
          <w:tcPr>
            <w:tcW w:w="2323" w:type="pct"/>
            <w:vMerge w:val="restart"/>
            <w:tcBorders>
              <w:top w:val="single" w:color="auto" w:sz="8" w:space="0"/>
              <w:left w:val="single" w:color="auto" w:sz="8" w:space="0"/>
              <w:bottom w:val="single" w:color="auto" w:sz="8" w:space="0"/>
              <w:right w:val="single" w:color="auto" w:sz="8" w:space="0"/>
            </w:tcBorders>
            <w:shd w:val="clear" w:color="auto" w:fill="auto"/>
            <w:vAlign w:val="center"/>
          </w:tcPr>
          <w:p w14:paraId="39FEF3CA">
            <w:pPr>
              <w:widowControl/>
              <w:snapToGrid w:val="0"/>
              <w:spacing w:line="360" w:lineRule="auto"/>
              <w:ind w:firstLine="371" w:firstLineChars="177"/>
              <w:jc w:val="center"/>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资 产</w:t>
            </w:r>
          </w:p>
        </w:tc>
        <w:tc>
          <w:tcPr>
            <w:tcW w:w="2676" w:type="pct"/>
            <w:tcBorders>
              <w:top w:val="single" w:color="auto" w:sz="8" w:space="0"/>
              <w:left w:val="nil"/>
              <w:bottom w:val="single" w:color="auto" w:sz="8" w:space="0"/>
              <w:right w:val="single" w:color="auto" w:sz="8" w:space="0"/>
            </w:tcBorders>
            <w:shd w:val="clear" w:color="auto" w:fill="auto"/>
            <w:vAlign w:val="center"/>
          </w:tcPr>
          <w:p w14:paraId="1D95A96B">
            <w:pPr>
              <w:widowControl/>
              <w:snapToGrid w:val="0"/>
              <w:spacing w:line="360" w:lineRule="auto"/>
              <w:ind w:firstLine="371" w:firstLineChars="177"/>
              <w:jc w:val="center"/>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本报告期末</w:t>
            </w:r>
          </w:p>
        </w:tc>
      </w:tr>
      <w:tr w14:paraId="2A804D23">
        <w:tblPrEx>
          <w:tblCellMar>
            <w:top w:w="0" w:type="dxa"/>
            <w:left w:w="108" w:type="dxa"/>
            <w:bottom w:w="0" w:type="dxa"/>
            <w:right w:w="108" w:type="dxa"/>
          </w:tblCellMar>
        </w:tblPrEx>
        <w:trPr>
          <w:trHeight w:val="300" w:hRule="atLeast"/>
        </w:trPr>
        <w:tc>
          <w:tcPr>
            <w:tcW w:w="2323" w:type="pct"/>
            <w:vMerge w:val="continue"/>
            <w:tcBorders>
              <w:top w:val="single" w:color="auto" w:sz="8" w:space="0"/>
              <w:left w:val="single" w:color="auto" w:sz="8" w:space="0"/>
              <w:bottom w:val="single" w:color="auto" w:sz="8" w:space="0"/>
              <w:right w:val="single" w:color="auto" w:sz="8" w:space="0"/>
            </w:tcBorders>
            <w:vAlign w:val="center"/>
          </w:tcPr>
          <w:p w14:paraId="075D97B7">
            <w:pPr>
              <w:widowControl/>
              <w:snapToGrid w:val="0"/>
              <w:spacing w:line="360" w:lineRule="auto"/>
              <w:ind w:firstLine="371" w:firstLineChars="177"/>
              <w:jc w:val="center"/>
              <w:rPr>
                <w:rFonts w:ascii="Times New Roman" w:hAnsi="Times New Roman" w:cs="Times New Roman"/>
                <w:color w:val="000000"/>
                <w:kern w:val="0"/>
                <w:szCs w:val="21"/>
                <w:highlight w:val="none"/>
              </w:rPr>
            </w:pPr>
          </w:p>
        </w:tc>
        <w:tc>
          <w:tcPr>
            <w:tcW w:w="2676" w:type="pct"/>
            <w:tcBorders>
              <w:top w:val="nil"/>
              <w:left w:val="nil"/>
              <w:bottom w:val="single" w:color="auto" w:sz="8" w:space="0"/>
              <w:right w:val="single" w:color="auto" w:sz="8" w:space="0"/>
            </w:tcBorders>
            <w:shd w:val="clear" w:color="auto" w:fill="auto"/>
            <w:vAlign w:val="center"/>
          </w:tcPr>
          <w:p w14:paraId="4B73B056">
            <w:pPr>
              <w:widowControl/>
              <w:snapToGrid w:val="0"/>
              <w:spacing w:line="360" w:lineRule="auto"/>
              <w:ind w:firstLine="371" w:firstLineChars="177"/>
              <w:jc w:val="center"/>
              <w:rPr>
                <w:rFonts w:hint="eastAsia" w:ascii="Times New Roman" w:hAnsi="Times New Roman" w:cs="Times New Roman" w:eastAsiaTheme="minorEastAsia"/>
                <w:color w:val="000000"/>
                <w:kern w:val="0"/>
                <w:szCs w:val="21"/>
                <w:highlight w:val="none"/>
                <w:lang w:eastAsia="zh-CN"/>
              </w:rPr>
            </w:pPr>
            <w:r>
              <w:rPr>
                <w:rFonts w:hint="eastAsia" w:ascii="Times New Roman" w:hAnsi="Times New Roman" w:cs="Times New Roman"/>
                <w:szCs w:val="21"/>
                <w:highlight w:val="none"/>
                <w:lang w:eastAsia="zh-CN"/>
              </w:rPr>
              <w:t>2026年6月23日</w:t>
            </w:r>
          </w:p>
        </w:tc>
      </w:tr>
      <w:tr w14:paraId="3FCE9F07">
        <w:tblPrEx>
          <w:tblCellMar>
            <w:top w:w="0" w:type="dxa"/>
            <w:left w:w="108" w:type="dxa"/>
            <w:bottom w:w="0" w:type="dxa"/>
            <w:right w:w="108" w:type="dxa"/>
          </w:tblCellMar>
        </w:tblPrEx>
        <w:trPr>
          <w:trHeight w:val="300" w:hRule="atLeast"/>
        </w:trPr>
        <w:tc>
          <w:tcPr>
            <w:tcW w:w="2323" w:type="pct"/>
            <w:tcBorders>
              <w:top w:val="nil"/>
              <w:left w:val="single" w:color="auto" w:sz="8" w:space="0"/>
              <w:bottom w:val="single" w:color="auto" w:sz="8" w:space="0"/>
              <w:right w:val="single" w:color="auto" w:sz="8" w:space="0"/>
            </w:tcBorders>
            <w:shd w:val="clear" w:color="auto" w:fill="auto"/>
            <w:vAlign w:val="center"/>
          </w:tcPr>
          <w:p w14:paraId="262F0F68">
            <w:pPr>
              <w:widowControl/>
              <w:snapToGrid w:val="0"/>
              <w:spacing w:line="360" w:lineRule="auto"/>
              <w:ind w:firstLine="371" w:firstLineChars="177"/>
              <w:jc w:val="left"/>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资 产：</w:t>
            </w:r>
          </w:p>
        </w:tc>
        <w:tc>
          <w:tcPr>
            <w:tcW w:w="2676" w:type="pct"/>
            <w:tcBorders>
              <w:top w:val="nil"/>
              <w:left w:val="nil"/>
              <w:bottom w:val="single" w:color="auto" w:sz="8" w:space="0"/>
              <w:right w:val="single" w:color="auto" w:sz="8" w:space="0"/>
            </w:tcBorders>
            <w:shd w:val="clear" w:color="auto" w:fill="auto"/>
            <w:vAlign w:val="center"/>
          </w:tcPr>
          <w:p w14:paraId="6B48E8A8">
            <w:pPr>
              <w:widowControl/>
              <w:snapToGrid w:val="0"/>
              <w:spacing w:line="360" w:lineRule="auto"/>
              <w:ind w:firstLine="371" w:firstLineChars="177"/>
              <w:jc w:val="right"/>
              <w:rPr>
                <w:rFonts w:ascii="Times New Roman" w:hAnsi="Times New Roman" w:cs="Times New Roman"/>
                <w:color w:val="000000"/>
                <w:kern w:val="0"/>
                <w:szCs w:val="21"/>
                <w:highlight w:val="none"/>
              </w:rPr>
            </w:pPr>
          </w:p>
        </w:tc>
      </w:tr>
      <w:tr w14:paraId="6D4C11BF">
        <w:tblPrEx>
          <w:tblCellMar>
            <w:top w:w="0" w:type="dxa"/>
            <w:left w:w="108" w:type="dxa"/>
            <w:bottom w:w="0" w:type="dxa"/>
            <w:right w:w="108" w:type="dxa"/>
          </w:tblCellMar>
        </w:tblPrEx>
        <w:trPr>
          <w:trHeight w:val="300" w:hRule="atLeast"/>
        </w:trPr>
        <w:tc>
          <w:tcPr>
            <w:tcW w:w="2323" w:type="pct"/>
            <w:tcBorders>
              <w:top w:val="nil"/>
              <w:left w:val="single" w:color="auto" w:sz="8" w:space="0"/>
              <w:bottom w:val="single" w:color="auto" w:sz="8" w:space="0"/>
              <w:right w:val="single" w:color="auto" w:sz="8" w:space="0"/>
            </w:tcBorders>
            <w:shd w:val="clear" w:color="auto" w:fill="auto"/>
            <w:vAlign w:val="center"/>
          </w:tcPr>
          <w:p w14:paraId="52F61399">
            <w:pPr>
              <w:widowControl/>
              <w:snapToGrid w:val="0"/>
              <w:spacing w:line="360" w:lineRule="auto"/>
              <w:ind w:firstLine="371" w:firstLineChars="177"/>
              <w:jc w:val="left"/>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银行存款</w:t>
            </w:r>
          </w:p>
        </w:tc>
        <w:tc>
          <w:tcPr>
            <w:tcW w:w="2676" w:type="pct"/>
            <w:tcBorders>
              <w:top w:val="nil"/>
              <w:left w:val="nil"/>
              <w:bottom w:val="single" w:color="auto" w:sz="8" w:space="0"/>
              <w:right w:val="single" w:color="auto" w:sz="8" w:space="0"/>
            </w:tcBorders>
            <w:shd w:val="clear" w:color="auto" w:fill="auto"/>
            <w:vAlign w:val="top"/>
          </w:tcPr>
          <w:p w14:paraId="35E7C687">
            <w:pPr>
              <w:jc w:val="right"/>
              <w:rPr>
                <w:rFonts w:hint="eastAsia" w:ascii="宋体" w:hAnsi="宋体" w:eastAsia="宋体" w:cs="宋体"/>
                <w:highlight w:val="none"/>
              </w:rPr>
            </w:pPr>
            <w:r>
              <w:rPr>
                <w:rFonts w:hint="eastAsia" w:ascii="宋体" w:hAnsi="宋体" w:eastAsia="宋体" w:cs="宋体"/>
                <w:highlight w:val="none"/>
                <w:lang w:val="en-US" w:eastAsia="zh-CN"/>
              </w:rPr>
              <w:t>62,230,756.18</w:t>
            </w:r>
          </w:p>
        </w:tc>
      </w:tr>
      <w:tr w14:paraId="1A826D58">
        <w:tblPrEx>
          <w:tblCellMar>
            <w:top w:w="0" w:type="dxa"/>
            <w:left w:w="108" w:type="dxa"/>
            <w:bottom w:w="0" w:type="dxa"/>
            <w:right w:w="108" w:type="dxa"/>
          </w:tblCellMar>
        </w:tblPrEx>
        <w:trPr>
          <w:trHeight w:val="300" w:hRule="atLeast"/>
        </w:trPr>
        <w:tc>
          <w:tcPr>
            <w:tcW w:w="2323" w:type="pct"/>
            <w:tcBorders>
              <w:top w:val="nil"/>
              <w:left w:val="single" w:color="auto" w:sz="8" w:space="0"/>
              <w:bottom w:val="single" w:color="auto" w:sz="8" w:space="0"/>
              <w:right w:val="single" w:color="auto" w:sz="8" w:space="0"/>
            </w:tcBorders>
            <w:shd w:val="clear" w:color="auto" w:fill="auto"/>
            <w:vAlign w:val="center"/>
          </w:tcPr>
          <w:p w14:paraId="6BE4F76F">
            <w:pPr>
              <w:widowControl/>
              <w:snapToGrid w:val="0"/>
              <w:spacing w:line="360" w:lineRule="auto"/>
              <w:ind w:firstLine="371" w:firstLineChars="177"/>
              <w:jc w:val="left"/>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结算备付金</w:t>
            </w:r>
          </w:p>
        </w:tc>
        <w:tc>
          <w:tcPr>
            <w:tcW w:w="2676" w:type="pct"/>
            <w:tcBorders>
              <w:top w:val="nil"/>
              <w:left w:val="nil"/>
              <w:bottom w:val="single" w:color="auto" w:sz="8" w:space="0"/>
              <w:right w:val="single" w:color="auto" w:sz="8" w:space="0"/>
            </w:tcBorders>
            <w:shd w:val="clear" w:color="auto" w:fill="auto"/>
            <w:vAlign w:val="top"/>
          </w:tcPr>
          <w:p w14:paraId="26F55B21">
            <w:pPr>
              <w:jc w:val="right"/>
              <w:rPr>
                <w:rFonts w:hint="eastAsia" w:ascii="宋体" w:hAnsi="宋体" w:eastAsia="宋体" w:cs="宋体"/>
                <w:highlight w:val="none"/>
              </w:rPr>
            </w:pPr>
            <w:r>
              <w:rPr>
                <w:rFonts w:hint="eastAsia" w:ascii="宋体" w:hAnsi="宋体" w:eastAsia="宋体" w:cs="宋体"/>
                <w:highlight w:val="none"/>
                <w:lang w:val="en-US" w:eastAsia="zh-CN"/>
              </w:rPr>
              <w:t>83,437,874.90</w:t>
            </w:r>
          </w:p>
        </w:tc>
      </w:tr>
      <w:tr w14:paraId="08D252D1">
        <w:tblPrEx>
          <w:tblCellMar>
            <w:top w:w="0" w:type="dxa"/>
            <w:left w:w="108" w:type="dxa"/>
            <w:bottom w:w="0" w:type="dxa"/>
            <w:right w:w="108" w:type="dxa"/>
          </w:tblCellMar>
        </w:tblPrEx>
        <w:trPr>
          <w:trHeight w:val="300" w:hRule="atLeast"/>
        </w:trPr>
        <w:tc>
          <w:tcPr>
            <w:tcW w:w="2323" w:type="pct"/>
            <w:tcBorders>
              <w:top w:val="nil"/>
              <w:left w:val="single" w:color="auto" w:sz="8" w:space="0"/>
              <w:bottom w:val="single" w:color="auto" w:sz="8" w:space="0"/>
              <w:right w:val="single" w:color="auto" w:sz="8" w:space="0"/>
            </w:tcBorders>
            <w:shd w:val="clear" w:color="auto" w:fill="auto"/>
            <w:vAlign w:val="center"/>
          </w:tcPr>
          <w:p w14:paraId="695C28D5">
            <w:pPr>
              <w:widowControl/>
              <w:snapToGrid w:val="0"/>
              <w:spacing w:line="360" w:lineRule="auto"/>
              <w:ind w:firstLine="371" w:firstLineChars="177"/>
              <w:jc w:val="left"/>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存出保证金</w:t>
            </w:r>
          </w:p>
        </w:tc>
        <w:tc>
          <w:tcPr>
            <w:tcW w:w="2676" w:type="pct"/>
            <w:tcBorders>
              <w:top w:val="nil"/>
              <w:left w:val="nil"/>
              <w:bottom w:val="single" w:color="auto" w:sz="8" w:space="0"/>
              <w:right w:val="single" w:color="auto" w:sz="8" w:space="0"/>
            </w:tcBorders>
            <w:shd w:val="clear" w:color="auto" w:fill="auto"/>
            <w:vAlign w:val="top"/>
          </w:tcPr>
          <w:p w14:paraId="44312CE0">
            <w:pPr>
              <w:jc w:val="right"/>
              <w:rPr>
                <w:rFonts w:hint="eastAsia" w:ascii="宋体" w:hAnsi="宋体" w:eastAsia="宋体" w:cs="宋体"/>
                <w:highlight w:val="none"/>
              </w:rPr>
            </w:pPr>
            <w:r>
              <w:rPr>
                <w:rFonts w:hint="eastAsia" w:ascii="宋体" w:hAnsi="宋体" w:eastAsia="宋体" w:cs="宋体"/>
                <w:highlight w:val="none"/>
                <w:lang w:val="en-US" w:eastAsia="zh-CN"/>
              </w:rPr>
              <w:t>-</w:t>
            </w:r>
          </w:p>
        </w:tc>
      </w:tr>
      <w:tr w14:paraId="56204CA6">
        <w:tblPrEx>
          <w:tblCellMar>
            <w:top w:w="0" w:type="dxa"/>
            <w:left w:w="108" w:type="dxa"/>
            <w:bottom w:w="0" w:type="dxa"/>
            <w:right w:w="108" w:type="dxa"/>
          </w:tblCellMar>
        </w:tblPrEx>
        <w:trPr>
          <w:trHeight w:val="300" w:hRule="atLeast"/>
        </w:trPr>
        <w:tc>
          <w:tcPr>
            <w:tcW w:w="2323" w:type="pct"/>
            <w:tcBorders>
              <w:top w:val="nil"/>
              <w:left w:val="single" w:color="auto" w:sz="8" w:space="0"/>
              <w:bottom w:val="single" w:color="auto" w:sz="8" w:space="0"/>
              <w:right w:val="single" w:color="auto" w:sz="8" w:space="0"/>
            </w:tcBorders>
            <w:shd w:val="clear" w:color="auto" w:fill="auto"/>
            <w:vAlign w:val="center"/>
          </w:tcPr>
          <w:p w14:paraId="3327E158">
            <w:pPr>
              <w:widowControl/>
              <w:snapToGrid w:val="0"/>
              <w:spacing w:line="360" w:lineRule="auto"/>
              <w:ind w:firstLine="371" w:firstLineChars="177"/>
              <w:jc w:val="left"/>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交易性金融资产</w:t>
            </w:r>
          </w:p>
        </w:tc>
        <w:tc>
          <w:tcPr>
            <w:tcW w:w="2676" w:type="pct"/>
            <w:tcBorders>
              <w:top w:val="nil"/>
              <w:left w:val="nil"/>
              <w:bottom w:val="single" w:color="auto" w:sz="8" w:space="0"/>
              <w:right w:val="single" w:color="auto" w:sz="8" w:space="0"/>
            </w:tcBorders>
            <w:shd w:val="clear" w:color="auto" w:fill="auto"/>
            <w:vAlign w:val="top"/>
          </w:tcPr>
          <w:p w14:paraId="7E8C83F1">
            <w:pPr>
              <w:jc w:val="right"/>
              <w:rPr>
                <w:rFonts w:hint="eastAsia" w:ascii="宋体" w:hAnsi="宋体" w:eastAsia="宋体" w:cs="宋体"/>
                <w:kern w:val="2"/>
                <w:sz w:val="21"/>
                <w:szCs w:val="22"/>
                <w:highlight w:val="none"/>
                <w:lang w:val="en-US" w:eastAsia="zh-CN" w:bidi="ar-SA"/>
              </w:rPr>
            </w:pPr>
            <w:r>
              <w:rPr>
                <w:rFonts w:hint="eastAsia" w:ascii="宋体" w:hAnsi="宋体" w:eastAsia="宋体" w:cs="宋体"/>
                <w:highlight w:val="none"/>
                <w:lang w:val="en-US" w:eastAsia="zh-CN"/>
              </w:rPr>
              <w:t>115,953,194.44</w:t>
            </w:r>
          </w:p>
        </w:tc>
      </w:tr>
      <w:tr w14:paraId="1E28553B">
        <w:tblPrEx>
          <w:tblCellMar>
            <w:top w:w="0" w:type="dxa"/>
            <w:left w:w="108" w:type="dxa"/>
            <w:bottom w:w="0" w:type="dxa"/>
            <w:right w:w="108" w:type="dxa"/>
          </w:tblCellMar>
        </w:tblPrEx>
        <w:trPr>
          <w:trHeight w:val="300" w:hRule="atLeast"/>
        </w:trPr>
        <w:tc>
          <w:tcPr>
            <w:tcW w:w="2323" w:type="pct"/>
            <w:tcBorders>
              <w:top w:val="nil"/>
              <w:left w:val="single" w:color="auto" w:sz="8" w:space="0"/>
              <w:bottom w:val="single" w:color="auto" w:sz="8" w:space="0"/>
              <w:right w:val="single" w:color="auto" w:sz="8" w:space="0"/>
            </w:tcBorders>
            <w:shd w:val="clear" w:color="auto" w:fill="auto"/>
            <w:vAlign w:val="center"/>
          </w:tcPr>
          <w:p w14:paraId="201B62E0">
            <w:pPr>
              <w:widowControl/>
              <w:snapToGrid w:val="0"/>
              <w:spacing w:line="360" w:lineRule="auto"/>
              <w:ind w:firstLine="371" w:firstLineChars="177"/>
              <w:jc w:val="left"/>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其中：股票投资</w:t>
            </w:r>
          </w:p>
        </w:tc>
        <w:tc>
          <w:tcPr>
            <w:tcW w:w="2676" w:type="pct"/>
            <w:tcBorders>
              <w:top w:val="nil"/>
              <w:left w:val="nil"/>
              <w:bottom w:val="single" w:color="auto" w:sz="8" w:space="0"/>
              <w:right w:val="single" w:color="auto" w:sz="8" w:space="0"/>
            </w:tcBorders>
            <w:shd w:val="clear" w:color="auto" w:fill="auto"/>
            <w:vAlign w:val="top"/>
          </w:tcPr>
          <w:p w14:paraId="285FFBFD">
            <w:pPr>
              <w:jc w:val="right"/>
              <w:rPr>
                <w:rFonts w:hint="eastAsia" w:ascii="宋体" w:hAnsi="宋体" w:eastAsia="宋体" w:cs="宋体"/>
                <w:kern w:val="2"/>
                <w:sz w:val="21"/>
                <w:szCs w:val="22"/>
                <w:highlight w:val="none"/>
                <w:lang w:val="en-US" w:eastAsia="zh-CN" w:bidi="ar-SA"/>
              </w:rPr>
            </w:pPr>
            <w:r>
              <w:rPr>
                <w:rFonts w:hint="eastAsia" w:ascii="宋体" w:hAnsi="宋体" w:eastAsia="宋体" w:cs="宋体"/>
                <w:highlight w:val="none"/>
                <w:lang w:val="en-US" w:eastAsia="zh-CN"/>
              </w:rPr>
              <w:t>115,953,194.44</w:t>
            </w:r>
          </w:p>
        </w:tc>
      </w:tr>
      <w:tr w14:paraId="160BBCC0">
        <w:tblPrEx>
          <w:tblCellMar>
            <w:top w:w="0" w:type="dxa"/>
            <w:left w:w="108" w:type="dxa"/>
            <w:bottom w:w="0" w:type="dxa"/>
            <w:right w:w="108" w:type="dxa"/>
          </w:tblCellMar>
        </w:tblPrEx>
        <w:trPr>
          <w:trHeight w:val="300" w:hRule="atLeast"/>
        </w:trPr>
        <w:tc>
          <w:tcPr>
            <w:tcW w:w="2323" w:type="pct"/>
            <w:tcBorders>
              <w:top w:val="nil"/>
              <w:left w:val="single" w:color="auto" w:sz="8" w:space="0"/>
              <w:bottom w:val="single" w:color="auto" w:sz="8" w:space="0"/>
              <w:right w:val="single" w:color="auto" w:sz="8" w:space="0"/>
            </w:tcBorders>
            <w:shd w:val="clear" w:color="auto" w:fill="auto"/>
            <w:vAlign w:val="center"/>
          </w:tcPr>
          <w:p w14:paraId="04ECD200">
            <w:pPr>
              <w:widowControl/>
              <w:snapToGrid w:val="0"/>
              <w:spacing w:line="360" w:lineRule="auto"/>
              <w:ind w:firstLine="371" w:firstLineChars="177"/>
              <w:jc w:val="left"/>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债券投资</w:t>
            </w:r>
          </w:p>
        </w:tc>
        <w:tc>
          <w:tcPr>
            <w:tcW w:w="2676" w:type="pct"/>
            <w:tcBorders>
              <w:top w:val="nil"/>
              <w:left w:val="nil"/>
              <w:bottom w:val="single" w:color="auto" w:sz="8" w:space="0"/>
              <w:right w:val="single" w:color="auto" w:sz="8" w:space="0"/>
            </w:tcBorders>
            <w:shd w:val="clear" w:color="auto" w:fill="auto"/>
            <w:vAlign w:val="top"/>
          </w:tcPr>
          <w:p w14:paraId="38DA99EC">
            <w:pPr>
              <w:jc w:val="right"/>
              <w:rPr>
                <w:rFonts w:hint="eastAsia" w:ascii="宋体" w:hAnsi="宋体" w:eastAsia="宋体" w:cs="宋体"/>
                <w:kern w:val="2"/>
                <w:sz w:val="21"/>
                <w:szCs w:val="22"/>
                <w:highlight w:val="none"/>
                <w:lang w:val="en-US" w:eastAsia="zh-CN" w:bidi="ar-SA"/>
              </w:rPr>
            </w:pPr>
            <w:r>
              <w:rPr>
                <w:rFonts w:hint="eastAsia" w:ascii="宋体" w:hAnsi="宋体" w:eastAsia="宋体" w:cs="宋体"/>
                <w:highlight w:val="none"/>
                <w:lang w:val="en-US" w:eastAsia="zh-CN"/>
              </w:rPr>
              <w:t>-</w:t>
            </w:r>
          </w:p>
        </w:tc>
      </w:tr>
      <w:tr w14:paraId="67068727">
        <w:tblPrEx>
          <w:tblCellMar>
            <w:top w:w="0" w:type="dxa"/>
            <w:left w:w="108" w:type="dxa"/>
            <w:bottom w:w="0" w:type="dxa"/>
            <w:right w:w="108" w:type="dxa"/>
          </w:tblCellMar>
        </w:tblPrEx>
        <w:trPr>
          <w:trHeight w:val="300" w:hRule="atLeast"/>
        </w:trPr>
        <w:tc>
          <w:tcPr>
            <w:tcW w:w="2323" w:type="pct"/>
            <w:tcBorders>
              <w:top w:val="nil"/>
              <w:left w:val="single" w:color="auto" w:sz="8" w:space="0"/>
              <w:bottom w:val="single" w:color="auto" w:sz="8" w:space="0"/>
              <w:right w:val="single" w:color="auto" w:sz="8" w:space="0"/>
            </w:tcBorders>
            <w:shd w:val="clear" w:color="auto" w:fill="auto"/>
            <w:vAlign w:val="center"/>
          </w:tcPr>
          <w:p w14:paraId="33FB9D55">
            <w:pPr>
              <w:widowControl/>
              <w:snapToGrid w:val="0"/>
              <w:spacing w:line="360" w:lineRule="auto"/>
              <w:ind w:firstLine="371" w:firstLineChars="177"/>
              <w:jc w:val="left"/>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资产支持证券投资</w:t>
            </w:r>
          </w:p>
        </w:tc>
        <w:tc>
          <w:tcPr>
            <w:tcW w:w="2676" w:type="pct"/>
            <w:tcBorders>
              <w:top w:val="nil"/>
              <w:left w:val="nil"/>
              <w:bottom w:val="single" w:color="auto" w:sz="8" w:space="0"/>
              <w:right w:val="single" w:color="auto" w:sz="8" w:space="0"/>
            </w:tcBorders>
            <w:shd w:val="clear" w:color="auto" w:fill="auto"/>
            <w:vAlign w:val="top"/>
          </w:tcPr>
          <w:p w14:paraId="11C9E1D5">
            <w:pPr>
              <w:jc w:val="right"/>
              <w:rPr>
                <w:rFonts w:hint="eastAsia" w:ascii="宋体" w:hAnsi="宋体" w:eastAsia="宋体" w:cs="宋体"/>
                <w:highlight w:val="none"/>
              </w:rPr>
            </w:pPr>
            <w:r>
              <w:rPr>
                <w:rFonts w:hint="eastAsia" w:ascii="宋体" w:hAnsi="宋体" w:eastAsia="宋体" w:cs="宋体"/>
                <w:highlight w:val="none"/>
                <w:lang w:val="en-US" w:eastAsia="zh-CN"/>
              </w:rPr>
              <w:t>-</w:t>
            </w:r>
          </w:p>
        </w:tc>
      </w:tr>
      <w:tr w14:paraId="41FA2A2C">
        <w:tblPrEx>
          <w:tblCellMar>
            <w:top w:w="0" w:type="dxa"/>
            <w:left w:w="108" w:type="dxa"/>
            <w:bottom w:w="0" w:type="dxa"/>
            <w:right w:w="108" w:type="dxa"/>
          </w:tblCellMar>
        </w:tblPrEx>
        <w:trPr>
          <w:trHeight w:val="300" w:hRule="atLeast"/>
        </w:trPr>
        <w:tc>
          <w:tcPr>
            <w:tcW w:w="2323" w:type="pct"/>
            <w:tcBorders>
              <w:top w:val="nil"/>
              <w:left w:val="single" w:color="auto" w:sz="8" w:space="0"/>
              <w:bottom w:val="single" w:color="auto" w:sz="8" w:space="0"/>
              <w:right w:val="single" w:color="auto" w:sz="8" w:space="0"/>
            </w:tcBorders>
            <w:shd w:val="clear" w:color="auto" w:fill="auto"/>
            <w:vAlign w:val="center"/>
          </w:tcPr>
          <w:p w14:paraId="127EAE67">
            <w:pPr>
              <w:widowControl/>
              <w:snapToGrid w:val="0"/>
              <w:spacing w:line="360" w:lineRule="auto"/>
              <w:ind w:firstLine="371" w:firstLineChars="177"/>
              <w:jc w:val="left"/>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衍生金融资产</w:t>
            </w:r>
          </w:p>
        </w:tc>
        <w:tc>
          <w:tcPr>
            <w:tcW w:w="2676" w:type="pct"/>
            <w:tcBorders>
              <w:top w:val="nil"/>
              <w:left w:val="nil"/>
              <w:bottom w:val="single" w:color="auto" w:sz="8" w:space="0"/>
              <w:right w:val="single" w:color="auto" w:sz="8" w:space="0"/>
            </w:tcBorders>
            <w:shd w:val="clear" w:color="auto" w:fill="auto"/>
            <w:vAlign w:val="top"/>
          </w:tcPr>
          <w:p w14:paraId="7D8D8959">
            <w:pPr>
              <w:jc w:val="right"/>
              <w:rPr>
                <w:rFonts w:hint="eastAsia" w:ascii="宋体" w:hAnsi="宋体" w:eastAsia="宋体" w:cs="宋体"/>
                <w:highlight w:val="none"/>
              </w:rPr>
            </w:pPr>
            <w:r>
              <w:rPr>
                <w:rFonts w:hint="eastAsia" w:ascii="宋体" w:hAnsi="宋体" w:eastAsia="宋体" w:cs="宋体"/>
                <w:highlight w:val="none"/>
                <w:lang w:val="en-US" w:eastAsia="zh-CN"/>
              </w:rPr>
              <w:t>-</w:t>
            </w:r>
          </w:p>
        </w:tc>
      </w:tr>
      <w:tr w14:paraId="5B2C29A8">
        <w:tblPrEx>
          <w:tblCellMar>
            <w:top w:w="0" w:type="dxa"/>
            <w:left w:w="108" w:type="dxa"/>
            <w:bottom w:w="0" w:type="dxa"/>
            <w:right w:w="108" w:type="dxa"/>
          </w:tblCellMar>
        </w:tblPrEx>
        <w:trPr>
          <w:trHeight w:val="300" w:hRule="atLeast"/>
        </w:trPr>
        <w:tc>
          <w:tcPr>
            <w:tcW w:w="2323" w:type="pct"/>
            <w:tcBorders>
              <w:top w:val="nil"/>
              <w:left w:val="single" w:color="auto" w:sz="8" w:space="0"/>
              <w:bottom w:val="single" w:color="auto" w:sz="8" w:space="0"/>
              <w:right w:val="single" w:color="auto" w:sz="8" w:space="0"/>
            </w:tcBorders>
            <w:shd w:val="clear" w:color="auto" w:fill="auto"/>
            <w:vAlign w:val="center"/>
          </w:tcPr>
          <w:p w14:paraId="1E861EEE">
            <w:pPr>
              <w:widowControl/>
              <w:snapToGrid w:val="0"/>
              <w:spacing w:line="360" w:lineRule="auto"/>
              <w:ind w:firstLine="371" w:firstLineChars="177"/>
              <w:jc w:val="left"/>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买入返售金融资产</w:t>
            </w:r>
          </w:p>
        </w:tc>
        <w:tc>
          <w:tcPr>
            <w:tcW w:w="2676" w:type="pct"/>
            <w:tcBorders>
              <w:top w:val="nil"/>
              <w:left w:val="nil"/>
              <w:bottom w:val="single" w:color="auto" w:sz="8" w:space="0"/>
              <w:right w:val="single" w:color="auto" w:sz="8" w:space="0"/>
            </w:tcBorders>
            <w:shd w:val="clear" w:color="auto" w:fill="auto"/>
            <w:vAlign w:val="top"/>
          </w:tcPr>
          <w:p w14:paraId="58BC4C68">
            <w:pPr>
              <w:jc w:val="right"/>
              <w:rPr>
                <w:rFonts w:hint="eastAsia" w:ascii="宋体" w:hAnsi="宋体" w:eastAsia="宋体" w:cs="宋体"/>
                <w:highlight w:val="none"/>
              </w:rPr>
            </w:pPr>
            <w:r>
              <w:rPr>
                <w:rFonts w:hint="eastAsia" w:ascii="宋体" w:hAnsi="宋体" w:eastAsia="宋体" w:cs="宋体"/>
                <w:highlight w:val="none"/>
                <w:lang w:val="en-US" w:eastAsia="zh-CN"/>
              </w:rPr>
              <w:t>-</w:t>
            </w:r>
          </w:p>
        </w:tc>
      </w:tr>
      <w:tr w14:paraId="229CC86F">
        <w:tblPrEx>
          <w:tblCellMar>
            <w:top w:w="0" w:type="dxa"/>
            <w:left w:w="108" w:type="dxa"/>
            <w:bottom w:w="0" w:type="dxa"/>
            <w:right w:w="108" w:type="dxa"/>
          </w:tblCellMar>
        </w:tblPrEx>
        <w:trPr>
          <w:trHeight w:val="300" w:hRule="atLeast"/>
        </w:trPr>
        <w:tc>
          <w:tcPr>
            <w:tcW w:w="2323" w:type="pct"/>
            <w:tcBorders>
              <w:top w:val="nil"/>
              <w:left w:val="single" w:color="auto" w:sz="8" w:space="0"/>
              <w:bottom w:val="single" w:color="auto" w:sz="8" w:space="0"/>
              <w:right w:val="single" w:color="auto" w:sz="8" w:space="0"/>
            </w:tcBorders>
            <w:shd w:val="clear" w:color="auto" w:fill="auto"/>
            <w:vAlign w:val="center"/>
          </w:tcPr>
          <w:p w14:paraId="7CE91C24">
            <w:pPr>
              <w:widowControl/>
              <w:snapToGrid w:val="0"/>
              <w:spacing w:line="360" w:lineRule="auto"/>
              <w:ind w:firstLine="371" w:firstLineChars="177"/>
              <w:jc w:val="left"/>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应收证券清算款</w:t>
            </w:r>
          </w:p>
        </w:tc>
        <w:tc>
          <w:tcPr>
            <w:tcW w:w="2676" w:type="pct"/>
            <w:tcBorders>
              <w:top w:val="nil"/>
              <w:left w:val="nil"/>
              <w:bottom w:val="single" w:color="auto" w:sz="8" w:space="0"/>
              <w:right w:val="single" w:color="auto" w:sz="8" w:space="0"/>
            </w:tcBorders>
            <w:shd w:val="clear" w:color="auto" w:fill="auto"/>
            <w:vAlign w:val="top"/>
          </w:tcPr>
          <w:p w14:paraId="386EA781">
            <w:pPr>
              <w:jc w:val="right"/>
              <w:rPr>
                <w:rFonts w:hint="eastAsia" w:ascii="宋体" w:hAnsi="宋体" w:eastAsia="宋体" w:cs="宋体"/>
                <w:highlight w:val="none"/>
              </w:rPr>
            </w:pPr>
            <w:r>
              <w:rPr>
                <w:rFonts w:hint="eastAsia" w:ascii="宋体" w:hAnsi="宋体" w:eastAsia="宋体" w:cs="宋体"/>
                <w:highlight w:val="none"/>
                <w:lang w:val="en-US" w:eastAsia="zh-CN"/>
              </w:rPr>
              <w:t>-</w:t>
            </w:r>
          </w:p>
        </w:tc>
      </w:tr>
      <w:tr w14:paraId="1E7D5B79">
        <w:tblPrEx>
          <w:tblCellMar>
            <w:top w:w="0" w:type="dxa"/>
            <w:left w:w="108" w:type="dxa"/>
            <w:bottom w:w="0" w:type="dxa"/>
            <w:right w:w="108" w:type="dxa"/>
          </w:tblCellMar>
        </w:tblPrEx>
        <w:trPr>
          <w:trHeight w:val="300" w:hRule="atLeast"/>
        </w:trPr>
        <w:tc>
          <w:tcPr>
            <w:tcW w:w="2323" w:type="pct"/>
            <w:tcBorders>
              <w:top w:val="nil"/>
              <w:left w:val="single" w:color="auto" w:sz="8" w:space="0"/>
              <w:bottom w:val="single" w:color="auto" w:sz="8" w:space="0"/>
              <w:right w:val="single" w:color="auto" w:sz="8" w:space="0"/>
            </w:tcBorders>
            <w:shd w:val="clear" w:color="auto" w:fill="auto"/>
            <w:vAlign w:val="center"/>
          </w:tcPr>
          <w:p w14:paraId="5CB55CF2">
            <w:pPr>
              <w:widowControl/>
              <w:snapToGrid w:val="0"/>
              <w:spacing w:line="360" w:lineRule="auto"/>
              <w:ind w:firstLine="371" w:firstLineChars="177"/>
              <w:jc w:val="left"/>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应收股利</w:t>
            </w:r>
          </w:p>
        </w:tc>
        <w:tc>
          <w:tcPr>
            <w:tcW w:w="2676" w:type="pct"/>
            <w:tcBorders>
              <w:top w:val="nil"/>
              <w:left w:val="nil"/>
              <w:bottom w:val="single" w:color="auto" w:sz="8" w:space="0"/>
              <w:right w:val="single" w:color="auto" w:sz="8" w:space="0"/>
            </w:tcBorders>
            <w:shd w:val="clear" w:color="auto" w:fill="auto"/>
            <w:vAlign w:val="top"/>
          </w:tcPr>
          <w:p w14:paraId="0C267F4B">
            <w:pPr>
              <w:jc w:val="right"/>
              <w:rPr>
                <w:rFonts w:hint="eastAsia" w:ascii="宋体" w:hAnsi="宋体" w:eastAsia="宋体" w:cs="宋体"/>
                <w:highlight w:val="none"/>
              </w:rPr>
            </w:pPr>
            <w:r>
              <w:rPr>
                <w:rFonts w:hint="eastAsia" w:ascii="宋体" w:hAnsi="宋体" w:eastAsia="宋体" w:cs="宋体"/>
                <w:highlight w:val="none"/>
                <w:lang w:val="en-US" w:eastAsia="zh-CN"/>
              </w:rPr>
              <w:t>-</w:t>
            </w:r>
          </w:p>
        </w:tc>
      </w:tr>
      <w:tr w14:paraId="24358001">
        <w:tblPrEx>
          <w:tblCellMar>
            <w:top w:w="0" w:type="dxa"/>
            <w:left w:w="108" w:type="dxa"/>
            <w:bottom w:w="0" w:type="dxa"/>
            <w:right w:w="108" w:type="dxa"/>
          </w:tblCellMar>
        </w:tblPrEx>
        <w:trPr>
          <w:trHeight w:val="300" w:hRule="atLeast"/>
        </w:trPr>
        <w:tc>
          <w:tcPr>
            <w:tcW w:w="2323" w:type="pct"/>
            <w:tcBorders>
              <w:top w:val="nil"/>
              <w:left w:val="single" w:color="auto" w:sz="8" w:space="0"/>
              <w:bottom w:val="single" w:color="auto" w:sz="8" w:space="0"/>
              <w:right w:val="single" w:color="auto" w:sz="8" w:space="0"/>
            </w:tcBorders>
            <w:shd w:val="clear" w:color="auto" w:fill="auto"/>
            <w:vAlign w:val="center"/>
          </w:tcPr>
          <w:p w14:paraId="6E68506E">
            <w:pPr>
              <w:widowControl/>
              <w:snapToGrid w:val="0"/>
              <w:spacing w:line="360" w:lineRule="auto"/>
              <w:ind w:firstLine="371" w:firstLineChars="177"/>
              <w:jc w:val="left"/>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应收申购款</w:t>
            </w:r>
          </w:p>
        </w:tc>
        <w:tc>
          <w:tcPr>
            <w:tcW w:w="2676" w:type="pct"/>
            <w:tcBorders>
              <w:top w:val="nil"/>
              <w:left w:val="nil"/>
              <w:bottom w:val="single" w:color="auto" w:sz="8" w:space="0"/>
              <w:right w:val="single" w:color="auto" w:sz="8" w:space="0"/>
            </w:tcBorders>
            <w:shd w:val="clear" w:color="auto" w:fill="auto"/>
            <w:vAlign w:val="top"/>
          </w:tcPr>
          <w:p w14:paraId="3C7A9970">
            <w:pPr>
              <w:jc w:val="right"/>
              <w:rPr>
                <w:rFonts w:hint="eastAsia" w:ascii="宋体" w:hAnsi="宋体" w:eastAsia="宋体" w:cs="宋体"/>
                <w:highlight w:val="none"/>
              </w:rPr>
            </w:pPr>
            <w:r>
              <w:rPr>
                <w:rFonts w:hint="eastAsia" w:ascii="宋体" w:hAnsi="宋体" w:eastAsia="宋体" w:cs="宋体"/>
                <w:highlight w:val="none"/>
                <w:lang w:val="en-US" w:eastAsia="zh-CN"/>
              </w:rPr>
              <w:t>-</w:t>
            </w:r>
          </w:p>
        </w:tc>
      </w:tr>
      <w:tr w14:paraId="7BEC6AFE">
        <w:tblPrEx>
          <w:tblCellMar>
            <w:top w:w="0" w:type="dxa"/>
            <w:left w:w="108" w:type="dxa"/>
            <w:bottom w:w="0" w:type="dxa"/>
            <w:right w:w="108" w:type="dxa"/>
          </w:tblCellMar>
        </w:tblPrEx>
        <w:trPr>
          <w:trHeight w:val="300" w:hRule="atLeast"/>
        </w:trPr>
        <w:tc>
          <w:tcPr>
            <w:tcW w:w="2323" w:type="pct"/>
            <w:tcBorders>
              <w:top w:val="nil"/>
              <w:left w:val="single" w:color="auto" w:sz="8" w:space="0"/>
              <w:bottom w:val="single" w:color="auto" w:sz="8" w:space="0"/>
              <w:right w:val="single" w:color="auto" w:sz="8" w:space="0"/>
            </w:tcBorders>
            <w:shd w:val="clear" w:color="auto" w:fill="auto"/>
            <w:vAlign w:val="center"/>
          </w:tcPr>
          <w:p w14:paraId="73B18D34">
            <w:pPr>
              <w:widowControl/>
              <w:snapToGrid w:val="0"/>
              <w:spacing w:line="360" w:lineRule="auto"/>
              <w:ind w:firstLine="371" w:firstLineChars="177"/>
              <w:jc w:val="left"/>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其他资产</w:t>
            </w:r>
          </w:p>
        </w:tc>
        <w:tc>
          <w:tcPr>
            <w:tcW w:w="2676" w:type="pct"/>
            <w:tcBorders>
              <w:top w:val="nil"/>
              <w:left w:val="nil"/>
              <w:bottom w:val="single" w:color="auto" w:sz="8" w:space="0"/>
              <w:right w:val="single" w:color="auto" w:sz="8" w:space="0"/>
            </w:tcBorders>
            <w:shd w:val="clear" w:color="auto" w:fill="auto"/>
            <w:vAlign w:val="top"/>
          </w:tcPr>
          <w:p w14:paraId="094FF016">
            <w:pPr>
              <w:jc w:val="right"/>
              <w:rPr>
                <w:rFonts w:hint="eastAsia" w:ascii="宋体" w:hAnsi="宋体" w:eastAsia="宋体" w:cs="宋体"/>
                <w:highlight w:val="none"/>
              </w:rPr>
            </w:pPr>
            <w:r>
              <w:rPr>
                <w:rFonts w:hint="eastAsia" w:ascii="宋体" w:hAnsi="宋体" w:eastAsia="宋体" w:cs="宋体"/>
                <w:highlight w:val="none"/>
                <w:lang w:val="en-US" w:eastAsia="zh-CN"/>
              </w:rPr>
              <w:t>-</w:t>
            </w:r>
          </w:p>
        </w:tc>
      </w:tr>
      <w:tr w14:paraId="41BB9C97">
        <w:tblPrEx>
          <w:tblCellMar>
            <w:top w:w="0" w:type="dxa"/>
            <w:left w:w="108" w:type="dxa"/>
            <w:bottom w:w="0" w:type="dxa"/>
            <w:right w:w="108" w:type="dxa"/>
          </w:tblCellMar>
        </w:tblPrEx>
        <w:trPr>
          <w:trHeight w:val="300" w:hRule="atLeast"/>
        </w:trPr>
        <w:tc>
          <w:tcPr>
            <w:tcW w:w="2323" w:type="pct"/>
            <w:tcBorders>
              <w:top w:val="nil"/>
              <w:left w:val="single" w:color="auto" w:sz="8" w:space="0"/>
              <w:bottom w:val="single" w:color="auto" w:sz="8" w:space="0"/>
              <w:right w:val="single" w:color="auto" w:sz="8" w:space="0"/>
            </w:tcBorders>
            <w:shd w:val="clear" w:color="auto" w:fill="auto"/>
            <w:vAlign w:val="center"/>
          </w:tcPr>
          <w:p w14:paraId="1984DD47">
            <w:pPr>
              <w:widowControl/>
              <w:snapToGrid w:val="0"/>
              <w:spacing w:line="360" w:lineRule="auto"/>
              <w:ind w:firstLine="371" w:firstLineChars="177"/>
              <w:jc w:val="left"/>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资产总计</w:t>
            </w:r>
          </w:p>
        </w:tc>
        <w:tc>
          <w:tcPr>
            <w:tcW w:w="2676" w:type="pct"/>
            <w:tcBorders>
              <w:top w:val="nil"/>
              <w:left w:val="nil"/>
              <w:bottom w:val="single" w:color="auto" w:sz="8" w:space="0"/>
              <w:right w:val="single" w:color="auto" w:sz="8" w:space="0"/>
            </w:tcBorders>
            <w:shd w:val="clear" w:color="auto" w:fill="auto"/>
            <w:vAlign w:val="top"/>
          </w:tcPr>
          <w:p w14:paraId="66A2A032">
            <w:pPr>
              <w:jc w:val="right"/>
              <w:rPr>
                <w:rFonts w:hint="eastAsia" w:ascii="宋体" w:hAnsi="宋体" w:eastAsia="宋体" w:cs="宋体"/>
                <w:highlight w:val="none"/>
                <w:lang w:eastAsia="zh-CN"/>
              </w:rPr>
            </w:pPr>
            <w:r>
              <w:rPr>
                <w:rFonts w:hint="eastAsia" w:ascii="宋体" w:hAnsi="宋体" w:eastAsia="宋体" w:cs="宋体"/>
                <w:highlight w:val="none"/>
                <w:lang w:val="en-US" w:eastAsia="zh-CN"/>
              </w:rPr>
              <w:t>261,621,825.52</w:t>
            </w:r>
          </w:p>
        </w:tc>
      </w:tr>
      <w:tr w14:paraId="5421FA7B">
        <w:tblPrEx>
          <w:tblCellMar>
            <w:top w:w="0" w:type="dxa"/>
            <w:left w:w="108" w:type="dxa"/>
            <w:bottom w:w="0" w:type="dxa"/>
            <w:right w:w="108" w:type="dxa"/>
          </w:tblCellMar>
        </w:tblPrEx>
        <w:trPr>
          <w:trHeight w:val="300" w:hRule="atLeast"/>
        </w:trPr>
        <w:tc>
          <w:tcPr>
            <w:tcW w:w="2323" w:type="pct"/>
            <w:vMerge w:val="restart"/>
            <w:tcBorders>
              <w:top w:val="nil"/>
              <w:left w:val="single" w:color="auto" w:sz="8" w:space="0"/>
              <w:bottom w:val="single" w:color="auto" w:sz="8" w:space="0"/>
              <w:right w:val="single" w:color="auto" w:sz="8" w:space="0"/>
            </w:tcBorders>
            <w:shd w:val="clear" w:color="auto" w:fill="auto"/>
            <w:vAlign w:val="center"/>
          </w:tcPr>
          <w:p w14:paraId="0833BF61">
            <w:pPr>
              <w:widowControl/>
              <w:snapToGrid w:val="0"/>
              <w:spacing w:line="360" w:lineRule="auto"/>
              <w:ind w:firstLine="371" w:firstLineChars="177"/>
              <w:jc w:val="left"/>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负债和所有者权益</w:t>
            </w:r>
          </w:p>
        </w:tc>
        <w:tc>
          <w:tcPr>
            <w:tcW w:w="2676" w:type="pct"/>
            <w:tcBorders>
              <w:top w:val="nil"/>
              <w:left w:val="nil"/>
              <w:bottom w:val="single" w:color="auto" w:sz="8" w:space="0"/>
              <w:right w:val="single" w:color="auto" w:sz="8" w:space="0"/>
            </w:tcBorders>
            <w:shd w:val="clear" w:color="auto" w:fill="auto"/>
            <w:vAlign w:val="center"/>
          </w:tcPr>
          <w:p w14:paraId="072B1EB3">
            <w:pPr>
              <w:widowControl/>
              <w:snapToGrid w:val="0"/>
              <w:spacing w:line="360" w:lineRule="auto"/>
              <w:ind w:firstLine="371" w:firstLineChars="177"/>
              <w:jc w:val="right"/>
              <w:rPr>
                <w:rFonts w:hint="eastAsia" w:ascii="宋体" w:hAnsi="宋体" w:eastAsia="宋体" w:cs="宋体"/>
                <w:color w:val="000000"/>
                <w:kern w:val="0"/>
                <w:szCs w:val="21"/>
                <w:highlight w:val="none"/>
              </w:rPr>
            </w:pPr>
          </w:p>
        </w:tc>
      </w:tr>
      <w:tr w14:paraId="437FC80A">
        <w:tblPrEx>
          <w:tblCellMar>
            <w:top w:w="0" w:type="dxa"/>
            <w:left w:w="108" w:type="dxa"/>
            <w:bottom w:w="0" w:type="dxa"/>
            <w:right w:w="108" w:type="dxa"/>
          </w:tblCellMar>
        </w:tblPrEx>
        <w:trPr>
          <w:trHeight w:val="300" w:hRule="atLeast"/>
        </w:trPr>
        <w:tc>
          <w:tcPr>
            <w:tcW w:w="2323" w:type="pct"/>
            <w:vMerge w:val="continue"/>
            <w:tcBorders>
              <w:top w:val="nil"/>
              <w:left w:val="single" w:color="auto" w:sz="8" w:space="0"/>
              <w:bottom w:val="single" w:color="auto" w:sz="8" w:space="0"/>
              <w:right w:val="single" w:color="auto" w:sz="8" w:space="0"/>
            </w:tcBorders>
            <w:vAlign w:val="center"/>
          </w:tcPr>
          <w:p w14:paraId="7788D716">
            <w:pPr>
              <w:widowControl/>
              <w:snapToGrid w:val="0"/>
              <w:spacing w:line="360" w:lineRule="auto"/>
              <w:ind w:firstLine="371" w:firstLineChars="177"/>
              <w:jc w:val="left"/>
              <w:rPr>
                <w:rFonts w:ascii="Times New Roman" w:hAnsi="Times New Roman" w:cs="Times New Roman"/>
                <w:color w:val="000000"/>
                <w:kern w:val="0"/>
                <w:szCs w:val="21"/>
                <w:highlight w:val="none"/>
              </w:rPr>
            </w:pPr>
          </w:p>
        </w:tc>
        <w:tc>
          <w:tcPr>
            <w:tcW w:w="2676" w:type="pct"/>
            <w:tcBorders>
              <w:top w:val="nil"/>
              <w:left w:val="nil"/>
              <w:bottom w:val="single" w:color="auto" w:sz="8" w:space="0"/>
              <w:right w:val="single" w:color="auto" w:sz="8" w:space="0"/>
            </w:tcBorders>
            <w:shd w:val="clear" w:color="auto" w:fill="auto"/>
            <w:vAlign w:val="center"/>
          </w:tcPr>
          <w:p w14:paraId="1F41CF7D">
            <w:pPr>
              <w:widowControl/>
              <w:snapToGrid w:val="0"/>
              <w:spacing w:line="360" w:lineRule="auto"/>
              <w:ind w:firstLine="371" w:firstLineChars="177"/>
              <w:jc w:val="right"/>
              <w:rPr>
                <w:rFonts w:hint="eastAsia" w:ascii="宋体" w:hAnsi="宋体" w:eastAsia="宋体" w:cs="宋体"/>
                <w:color w:val="000000"/>
                <w:kern w:val="0"/>
                <w:szCs w:val="21"/>
                <w:highlight w:val="none"/>
              </w:rPr>
            </w:pPr>
          </w:p>
        </w:tc>
      </w:tr>
      <w:tr w14:paraId="1854FCC4">
        <w:tblPrEx>
          <w:tblCellMar>
            <w:top w:w="0" w:type="dxa"/>
            <w:left w:w="108" w:type="dxa"/>
            <w:bottom w:w="0" w:type="dxa"/>
            <w:right w:w="108" w:type="dxa"/>
          </w:tblCellMar>
        </w:tblPrEx>
        <w:trPr>
          <w:trHeight w:val="300" w:hRule="atLeast"/>
        </w:trPr>
        <w:tc>
          <w:tcPr>
            <w:tcW w:w="2323" w:type="pct"/>
            <w:tcBorders>
              <w:top w:val="nil"/>
              <w:left w:val="single" w:color="auto" w:sz="8" w:space="0"/>
              <w:bottom w:val="single" w:color="auto" w:sz="8" w:space="0"/>
              <w:right w:val="single" w:color="auto" w:sz="8" w:space="0"/>
            </w:tcBorders>
            <w:shd w:val="clear" w:color="auto" w:fill="auto"/>
            <w:vAlign w:val="center"/>
          </w:tcPr>
          <w:p w14:paraId="29EE35B9">
            <w:pPr>
              <w:widowControl/>
              <w:snapToGrid w:val="0"/>
              <w:spacing w:line="360" w:lineRule="auto"/>
              <w:ind w:firstLine="371" w:firstLineChars="177"/>
              <w:jc w:val="left"/>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负 债：</w:t>
            </w:r>
          </w:p>
        </w:tc>
        <w:tc>
          <w:tcPr>
            <w:tcW w:w="2676" w:type="pct"/>
            <w:tcBorders>
              <w:top w:val="nil"/>
              <w:left w:val="nil"/>
              <w:bottom w:val="single" w:color="auto" w:sz="8" w:space="0"/>
              <w:right w:val="single" w:color="auto" w:sz="8" w:space="0"/>
            </w:tcBorders>
            <w:shd w:val="clear" w:color="auto" w:fill="auto"/>
            <w:vAlign w:val="center"/>
          </w:tcPr>
          <w:p w14:paraId="15CC231F">
            <w:pPr>
              <w:widowControl/>
              <w:snapToGrid w:val="0"/>
              <w:spacing w:line="360" w:lineRule="auto"/>
              <w:ind w:firstLine="371" w:firstLineChars="177"/>
              <w:jc w:val="right"/>
              <w:rPr>
                <w:rFonts w:hint="eastAsia" w:ascii="宋体" w:hAnsi="宋体" w:eastAsia="宋体" w:cs="宋体"/>
                <w:color w:val="000000"/>
                <w:kern w:val="0"/>
                <w:szCs w:val="21"/>
                <w:highlight w:val="none"/>
              </w:rPr>
            </w:pPr>
          </w:p>
        </w:tc>
      </w:tr>
      <w:tr w14:paraId="3F4BCCEE">
        <w:tblPrEx>
          <w:tblCellMar>
            <w:top w:w="0" w:type="dxa"/>
            <w:left w:w="108" w:type="dxa"/>
            <w:bottom w:w="0" w:type="dxa"/>
            <w:right w:w="108" w:type="dxa"/>
          </w:tblCellMar>
        </w:tblPrEx>
        <w:trPr>
          <w:trHeight w:val="300" w:hRule="atLeast"/>
        </w:trPr>
        <w:tc>
          <w:tcPr>
            <w:tcW w:w="2323" w:type="pct"/>
            <w:tcBorders>
              <w:top w:val="nil"/>
              <w:left w:val="single" w:color="auto" w:sz="8" w:space="0"/>
              <w:bottom w:val="single" w:color="auto" w:sz="8" w:space="0"/>
              <w:right w:val="single" w:color="auto" w:sz="8" w:space="0"/>
            </w:tcBorders>
            <w:shd w:val="clear" w:color="auto" w:fill="auto"/>
            <w:vAlign w:val="center"/>
          </w:tcPr>
          <w:p w14:paraId="6C076B8B">
            <w:pPr>
              <w:widowControl/>
              <w:snapToGrid w:val="0"/>
              <w:spacing w:line="360" w:lineRule="auto"/>
              <w:ind w:firstLine="371" w:firstLineChars="177"/>
              <w:jc w:val="left"/>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短期借款</w:t>
            </w:r>
          </w:p>
        </w:tc>
        <w:tc>
          <w:tcPr>
            <w:tcW w:w="2676" w:type="pct"/>
            <w:tcBorders>
              <w:top w:val="nil"/>
              <w:left w:val="nil"/>
              <w:bottom w:val="single" w:color="auto" w:sz="8" w:space="0"/>
              <w:right w:val="single" w:color="auto" w:sz="8" w:space="0"/>
            </w:tcBorders>
            <w:shd w:val="clear" w:color="auto" w:fill="auto"/>
            <w:vAlign w:val="center"/>
          </w:tcPr>
          <w:p w14:paraId="7BAB458F">
            <w:pPr>
              <w:widowControl/>
              <w:snapToGrid w:val="0"/>
              <w:spacing w:line="360" w:lineRule="auto"/>
              <w:ind w:firstLine="371" w:firstLineChars="177"/>
              <w:jc w:val="right"/>
              <w:rPr>
                <w:rFonts w:hint="eastAsia" w:ascii="宋体" w:hAnsi="宋体" w:eastAsia="宋体" w:cs="宋体"/>
                <w:kern w:val="0"/>
                <w:szCs w:val="21"/>
                <w:highlight w:val="none"/>
              </w:rPr>
            </w:pPr>
            <w:r>
              <w:rPr>
                <w:rFonts w:hint="eastAsia" w:ascii="宋体" w:hAnsi="宋体" w:eastAsia="宋体" w:cs="宋体"/>
                <w:highlight w:val="none"/>
                <w:lang w:val="en-US" w:eastAsia="zh-CN"/>
              </w:rPr>
              <w:t>-</w:t>
            </w:r>
          </w:p>
        </w:tc>
      </w:tr>
      <w:tr w14:paraId="2B5BC3F1">
        <w:tblPrEx>
          <w:tblCellMar>
            <w:top w:w="0" w:type="dxa"/>
            <w:left w:w="108" w:type="dxa"/>
            <w:bottom w:w="0" w:type="dxa"/>
            <w:right w:w="108" w:type="dxa"/>
          </w:tblCellMar>
        </w:tblPrEx>
        <w:trPr>
          <w:trHeight w:val="300" w:hRule="atLeast"/>
        </w:trPr>
        <w:tc>
          <w:tcPr>
            <w:tcW w:w="2323" w:type="pct"/>
            <w:tcBorders>
              <w:top w:val="nil"/>
              <w:left w:val="single" w:color="auto" w:sz="8" w:space="0"/>
              <w:bottom w:val="single" w:color="auto" w:sz="8" w:space="0"/>
              <w:right w:val="single" w:color="auto" w:sz="8" w:space="0"/>
            </w:tcBorders>
            <w:shd w:val="clear" w:color="auto" w:fill="auto"/>
            <w:vAlign w:val="center"/>
          </w:tcPr>
          <w:p w14:paraId="381A99C2">
            <w:pPr>
              <w:widowControl/>
              <w:snapToGrid w:val="0"/>
              <w:spacing w:line="360" w:lineRule="auto"/>
              <w:ind w:firstLine="371" w:firstLineChars="177"/>
              <w:jc w:val="left"/>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交易性金融负债</w:t>
            </w:r>
          </w:p>
        </w:tc>
        <w:tc>
          <w:tcPr>
            <w:tcW w:w="2676" w:type="pct"/>
            <w:tcBorders>
              <w:top w:val="nil"/>
              <w:left w:val="nil"/>
              <w:bottom w:val="single" w:color="auto" w:sz="8" w:space="0"/>
              <w:right w:val="single" w:color="auto" w:sz="8" w:space="0"/>
            </w:tcBorders>
            <w:shd w:val="clear" w:color="auto" w:fill="auto"/>
            <w:vAlign w:val="top"/>
          </w:tcPr>
          <w:p w14:paraId="0CD70C17">
            <w:pPr>
              <w:jc w:val="right"/>
              <w:rPr>
                <w:rFonts w:hint="eastAsia" w:ascii="宋体" w:hAnsi="宋体" w:eastAsia="宋体" w:cs="宋体"/>
                <w:highlight w:val="none"/>
              </w:rPr>
            </w:pPr>
            <w:r>
              <w:rPr>
                <w:rFonts w:hint="eastAsia" w:ascii="宋体" w:hAnsi="宋体" w:eastAsia="宋体" w:cs="宋体"/>
                <w:highlight w:val="none"/>
                <w:lang w:val="en-US" w:eastAsia="zh-CN"/>
              </w:rPr>
              <w:t>-</w:t>
            </w:r>
          </w:p>
        </w:tc>
      </w:tr>
      <w:tr w14:paraId="5B346463">
        <w:tblPrEx>
          <w:tblCellMar>
            <w:top w:w="0" w:type="dxa"/>
            <w:left w:w="108" w:type="dxa"/>
            <w:bottom w:w="0" w:type="dxa"/>
            <w:right w:w="108" w:type="dxa"/>
          </w:tblCellMar>
        </w:tblPrEx>
        <w:trPr>
          <w:trHeight w:val="300" w:hRule="atLeast"/>
        </w:trPr>
        <w:tc>
          <w:tcPr>
            <w:tcW w:w="2323" w:type="pct"/>
            <w:tcBorders>
              <w:top w:val="nil"/>
              <w:left w:val="single" w:color="auto" w:sz="8" w:space="0"/>
              <w:bottom w:val="single" w:color="auto" w:sz="8" w:space="0"/>
              <w:right w:val="single" w:color="auto" w:sz="8" w:space="0"/>
            </w:tcBorders>
            <w:shd w:val="clear" w:color="auto" w:fill="auto"/>
            <w:vAlign w:val="center"/>
          </w:tcPr>
          <w:p w14:paraId="3976493E">
            <w:pPr>
              <w:widowControl/>
              <w:snapToGrid w:val="0"/>
              <w:spacing w:line="360" w:lineRule="auto"/>
              <w:ind w:firstLine="371" w:firstLineChars="177"/>
              <w:jc w:val="left"/>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衍生金融负债</w:t>
            </w:r>
          </w:p>
        </w:tc>
        <w:tc>
          <w:tcPr>
            <w:tcW w:w="2676" w:type="pct"/>
            <w:tcBorders>
              <w:top w:val="nil"/>
              <w:left w:val="nil"/>
              <w:bottom w:val="single" w:color="auto" w:sz="8" w:space="0"/>
              <w:right w:val="single" w:color="auto" w:sz="8" w:space="0"/>
            </w:tcBorders>
            <w:shd w:val="clear" w:color="auto" w:fill="auto"/>
            <w:vAlign w:val="top"/>
          </w:tcPr>
          <w:p w14:paraId="00C9EB2C">
            <w:pPr>
              <w:jc w:val="right"/>
              <w:rPr>
                <w:rFonts w:hint="eastAsia" w:ascii="宋体" w:hAnsi="宋体" w:eastAsia="宋体" w:cs="宋体"/>
                <w:highlight w:val="none"/>
              </w:rPr>
            </w:pPr>
            <w:r>
              <w:rPr>
                <w:rFonts w:hint="eastAsia" w:ascii="宋体" w:hAnsi="宋体" w:eastAsia="宋体" w:cs="宋体"/>
                <w:highlight w:val="none"/>
                <w:lang w:val="en-US" w:eastAsia="zh-CN"/>
              </w:rPr>
              <w:t>-</w:t>
            </w:r>
          </w:p>
        </w:tc>
      </w:tr>
      <w:tr w14:paraId="11C4FE62">
        <w:tblPrEx>
          <w:tblCellMar>
            <w:top w:w="0" w:type="dxa"/>
            <w:left w:w="108" w:type="dxa"/>
            <w:bottom w:w="0" w:type="dxa"/>
            <w:right w:w="108" w:type="dxa"/>
          </w:tblCellMar>
        </w:tblPrEx>
        <w:trPr>
          <w:trHeight w:val="300" w:hRule="atLeast"/>
        </w:trPr>
        <w:tc>
          <w:tcPr>
            <w:tcW w:w="2323" w:type="pct"/>
            <w:tcBorders>
              <w:top w:val="nil"/>
              <w:left w:val="single" w:color="auto" w:sz="8" w:space="0"/>
              <w:bottom w:val="single" w:color="auto" w:sz="8" w:space="0"/>
              <w:right w:val="single" w:color="auto" w:sz="8" w:space="0"/>
            </w:tcBorders>
            <w:shd w:val="clear" w:color="auto" w:fill="auto"/>
            <w:vAlign w:val="center"/>
          </w:tcPr>
          <w:p w14:paraId="56F9DF2B">
            <w:pPr>
              <w:widowControl/>
              <w:snapToGrid w:val="0"/>
              <w:spacing w:line="360" w:lineRule="auto"/>
              <w:ind w:firstLine="371" w:firstLineChars="177"/>
              <w:jc w:val="left"/>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卖出回购金融资产款</w:t>
            </w:r>
          </w:p>
        </w:tc>
        <w:tc>
          <w:tcPr>
            <w:tcW w:w="2676" w:type="pct"/>
            <w:tcBorders>
              <w:top w:val="nil"/>
              <w:left w:val="nil"/>
              <w:bottom w:val="single" w:color="auto" w:sz="8" w:space="0"/>
              <w:right w:val="single" w:color="auto" w:sz="8" w:space="0"/>
            </w:tcBorders>
            <w:shd w:val="clear" w:color="auto" w:fill="auto"/>
            <w:vAlign w:val="top"/>
          </w:tcPr>
          <w:p w14:paraId="563B2AB5">
            <w:pPr>
              <w:jc w:val="right"/>
              <w:rPr>
                <w:rFonts w:hint="eastAsia" w:ascii="宋体" w:hAnsi="宋体" w:eastAsia="宋体" w:cs="宋体"/>
                <w:highlight w:val="none"/>
              </w:rPr>
            </w:pPr>
            <w:r>
              <w:rPr>
                <w:rFonts w:hint="eastAsia" w:ascii="宋体" w:hAnsi="宋体" w:eastAsia="宋体" w:cs="宋体"/>
                <w:highlight w:val="none"/>
                <w:lang w:val="en-US" w:eastAsia="zh-CN"/>
              </w:rPr>
              <w:t>-</w:t>
            </w:r>
          </w:p>
        </w:tc>
      </w:tr>
      <w:tr w14:paraId="1BBF4E6F">
        <w:tblPrEx>
          <w:tblCellMar>
            <w:top w:w="0" w:type="dxa"/>
            <w:left w:w="108" w:type="dxa"/>
            <w:bottom w:w="0" w:type="dxa"/>
            <w:right w:w="108" w:type="dxa"/>
          </w:tblCellMar>
        </w:tblPrEx>
        <w:trPr>
          <w:trHeight w:val="300" w:hRule="atLeast"/>
        </w:trPr>
        <w:tc>
          <w:tcPr>
            <w:tcW w:w="2323" w:type="pct"/>
            <w:tcBorders>
              <w:top w:val="nil"/>
              <w:left w:val="single" w:color="auto" w:sz="8" w:space="0"/>
              <w:bottom w:val="single" w:color="auto" w:sz="8" w:space="0"/>
              <w:right w:val="single" w:color="auto" w:sz="8" w:space="0"/>
            </w:tcBorders>
            <w:shd w:val="clear" w:color="auto" w:fill="auto"/>
            <w:vAlign w:val="center"/>
          </w:tcPr>
          <w:p w14:paraId="4FA4D57C">
            <w:pPr>
              <w:widowControl/>
              <w:snapToGrid w:val="0"/>
              <w:spacing w:line="360" w:lineRule="auto"/>
              <w:ind w:firstLine="371" w:firstLineChars="177"/>
              <w:jc w:val="left"/>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应付证券清算款</w:t>
            </w:r>
          </w:p>
        </w:tc>
        <w:tc>
          <w:tcPr>
            <w:tcW w:w="2676" w:type="pct"/>
            <w:tcBorders>
              <w:top w:val="nil"/>
              <w:left w:val="nil"/>
              <w:bottom w:val="single" w:color="auto" w:sz="8" w:space="0"/>
              <w:right w:val="single" w:color="auto" w:sz="8" w:space="0"/>
            </w:tcBorders>
            <w:shd w:val="clear" w:color="auto" w:fill="auto"/>
            <w:vAlign w:val="top"/>
          </w:tcPr>
          <w:p w14:paraId="4827A142">
            <w:pPr>
              <w:jc w:val="right"/>
              <w:rPr>
                <w:rFonts w:hint="eastAsia" w:ascii="宋体" w:hAnsi="宋体" w:eastAsia="宋体" w:cs="宋体"/>
                <w:highlight w:val="none"/>
                <w:lang w:eastAsia="zh-CN"/>
              </w:rPr>
            </w:pPr>
            <w:r>
              <w:rPr>
                <w:rFonts w:hint="eastAsia" w:ascii="宋体" w:hAnsi="宋体" w:eastAsia="宋体" w:cs="宋体"/>
                <w:highlight w:val="none"/>
                <w:lang w:val="en-US" w:eastAsia="zh-CN"/>
              </w:rPr>
              <w:t>-</w:t>
            </w:r>
          </w:p>
        </w:tc>
      </w:tr>
      <w:tr w14:paraId="4E948186">
        <w:tblPrEx>
          <w:tblCellMar>
            <w:top w:w="0" w:type="dxa"/>
            <w:left w:w="108" w:type="dxa"/>
            <w:bottom w:w="0" w:type="dxa"/>
            <w:right w:w="108" w:type="dxa"/>
          </w:tblCellMar>
        </w:tblPrEx>
        <w:trPr>
          <w:trHeight w:val="300" w:hRule="atLeast"/>
        </w:trPr>
        <w:tc>
          <w:tcPr>
            <w:tcW w:w="2323" w:type="pct"/>
            <w:tcBorders>
              <w:top w:val="nil"/>
              <w:left w:val="single" w:color="auto" w:sz="8" w:space="0"/>
              <w:bottom w:val="single" w:color="auto" w:sz="8" w:space="0"/>
              <w:right w:val="single" w:color="auto" w:sz="8" w:space="0"/>
            </w:tcBorders>
            <w:shd w:val="clear" w:color="auto" w:fill="auto"/>
            <w:vAlign w:val="center"/>
          </w:tcPr>
          <w:p w14:paraId="4F757ADA">
            <w:pPr>
              <w:widowControl/>
              <w:snapToGrid w:val="0"/>
              <w:spacing w:line="360" w:lineRule="auto"/>
              <w:ind w:firstLine="371" w:firstLineChars="177"/>
              <w:jc w:val="left"/>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应付赎回款</w:t>
            </w:r>
          </w:p>
        </w:tc>
        <w:tc>
          <w:tcPr>
            <w:tcW w:w="2676" w:type="pct"/>
            <w:tcBorders>
              <w:top w:val="nil"/>
              <w:left w:val="nil"/>
              <w:bottom w:val="single" w:color="auto" w:sz="8" w:space="0"/>
              <w:right w:val="single" w:color="auto" w:sz="8" w:space="0"/>
            </w:tcBorders>
            <w:shd w:val="clear" w:color="auto" w:fill="auto"/>
            <w:vAlign w:val="top"/>
          </w:tcPr>
          <w:p w14:paraId="3355D4DE">
            <w:pPr>
              <w:jc w:val="right"/>
              <w:rPr>
                <w:rFonts w:hint="eastAsia" w:ascii="宋体" w:hAnsi="宋体" w:eastAsia="宋体" w:cs="宋体"/>
                <w:highlight w:val="none"/>
              </w:rPr>
            </w:pPr>
            <w:r>
              <w:rPr>
                <w:rFonts w:hint="eastAsia" w:ascii="宋体" w:hAnsi="宋体" w:eastAsia="宋体" w:cs="宋体"/>
                <w:highlight w:val="none"/>
                <w:lang w:val="en-US" w:eastAsia="zh-CN"/>
              </w:rPr>
              <w:t>-</w:t>
            </w:r>
          </w:p>
        </w:tc>
      </w:tr>
      <w:tr w14:paraId="0E96B183">
        <w:tblPrEx>
          <w:tblCellMar>
            <w:top w:w="0" w:type="dxa"/>
            <w:left w:w="108" w:type="dxa"/>
            <w:bottom w:w="0" w:type="dxa"/>
            <w:right w:w="108" w:type="dxa"/>
          </w:tblCellMar>
        </w:tblPrEx>
        <w:trPr>
          <w:trHeight w:val="300" w:hRule="atLeast"/>
        </w:trPr>
        <w:tc>
          <w:tcPr>
            <w:tcW w:w="2323" w:type="pct"/>
            <w:tcBorders>
              <w:top w:val="nil"/>
              <w:left w:val="single" w:color="auto" w:sz="8" w:space="0"/>
              <w:bottom w:val="single" w:color="auto" w:sz="8" w:space="0"/>
              <w:right w:val="single" w:color="auto" w:sz="8" w:space="0"/>
            </w:tcBorders>
            <w:shd w:val="clear" w:color="auto" w:fill="auto"/>
            <w:vAlign w:val="center"/>
          </w:tcPr>
          <w:p w14:paraId="453E9633">
            <w:pPr>
              <w:widowControl/>
              <w:snapToGrid w:val="0"/>
              <w:spacing w:line="360" w:lineRule="auto"/>
              <w:ind w:firstLine="371" w:firstLineChars="177"/>
              <w:jc w:val="left"/>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应付管理人报酬</w:t>
            </w:r>
          </w:p>
        </w:tc>
        <w:tc>
          <w:tcPr>
            <w:tcW w:w="2676" w:type="pct"/>
            <w:tcBorders>
              <w:top w:val="nil"/>
              <w:left w:val="nil"/>
              <w:bottom w:val="single" w:color="auto" w:sz="8" w:space="0"/>
              <w:right w:val="single" w:color="auto" w:sz="8" w:space="0"/>
            </w:tcBorders>
            <w:shd w:val="clear" w:color="auto" w:fill="auto"/>
            <w:vAlign w:val="top"/>
          </w:tcPr>
          <w:p w14:paraId="60554025">
            <w:pPr>
              <w:jc w:val="right"/>
              <w:rPr>
                <w:rFonts w:hint="eastAsia" w:ascii="宋体" w:hAnsi="宋体" w:eastAsia="宋体" w:cs="宋体"/>
                <w:highlight w:val="none"/>
                <w:lang w:eastAsia="zh-CN"/>
              </w:rPr>
            </w:pPr>
            <w:r>
              <w:rPr>
                <w:rFonts w:hint="eastAsia" w:ascii="宋体" w:hAnsi="宋体" w:eastAsia="宋体" w:cs="宋体"/>
                <w:highlight w:val="none"/>
                <w:lang w:val="en-US" w:eastAsia="zh-CN"/>
              </w:rPr>
              <w:t>21,571.29</w:t>
            </w:r>
          </w:p>
        </w:tc>
      </w:tr>
      <w:tr w14:paraId="5B1C187F">
        <w:tblPrEx>
          <w:tblCellMar>
            <w:top w:w="0" w:type="dxa"/>
            <w:left w:w="108" w:type="dxa"/>
            <w:bottom w:w="0" w:type="dxa"/>
            <w:right w:w="108" w:type="dxa"/>
          </w:tblCellMar>
        </w:tblPrEx>
        <w:trPr>
          <w:trHeight w:val="300" w:hRule="atLeast"/>
        </w:trPr>
        <w:tc>
          <w:tcPr>
            <w:tcW w:w="2323" w:type="pct"/>
            <w:tcBorders>
              <w:top w:val="nil"/>
              <w:left w:val="single" w:color="auto" w:sz="8" w:space="0"/>
              <w:bottom w:val="single" w:color="auto" w:sz="8" w:space="0"/>
              <w:right w:val="single" w:color="auto" w:sz="8" w:space="0"/>
            </w:tcBorders>
            <w:shd w:val="clear" w:color="auto" w:fill="auto"/>
            <w:vAlign w:val="center"/>
          </w:tcPr>
          <w:p w14:paraId="608776CC">
            <w:pPr>
              <w:widowControl/>
              <w:snapToGrid w:val="0"/>
              <w:spacing w:line="360" w:lineRule="auto"/>
              <w:ind w:firstLine="371" w:firstLineChars="177"/>
              <w:jc w:val="left"/>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应付托管费</w:t>
            </w:r>
          </w:p>
        </w:tc>
        <w:tc>
          <w:tcPr>
            <w:tcW w:w="2676" w:type="pct"/>
            <w:tcBorders>
              <w:top w:val="nil"/>
              <w:left w:val="nil"/>
              <w:bottom w:val="single" w:color="auto" w:sz="8" w:space="0"/>
              <w:right w:val="single" w:color="auto" w:sz="8" w:space="0"/>
            </w:tcBorders>
            <w:shd w:val="clear" w:color="auto" w:fill="auto"/>
            <w:vAlign w:val="top"/>
          </w:tcPr>
          <w:p w14:paraId="50EFF702">
            <w:pPr>
              <w:jc w:val="right"/>
              <w:rPr>
                <w:rFonts w:hint="eastAsia" w:ascii="宋体" w:hAnsi="宋体" w:eastAsia="宋体" w:cs="宋体"/>
                <w:highlight w:val="none"/>
                <w:lang w:eastAsia="zh-CN"/>
              </w:rPr>
            </w:pPr>
            <w:r>
              <w:rPr>
                <w:rFonts w:hint="eastAsia" w:ascii="宋体" w:hAnsi="宋体" w:eastAsia="宋体" w:cs="宋体"/>
                <w:highlight w:val="none"/>
                <w:lang w:val="en-US" w:eastAsia="zh-CN"/>
              </w:rPr>
              <w:t>4,314.25</w:t>
            </w:r>
          </w:p>
        </w:tc>
      </w:tr>
      <w:tr w14:paraId="33A326EF">
        <w:tblPrEx>
          <w:tblCellMar>
            <w:top w:w="0" w:type="dxa"/>
            <w:left w:w="108" w:type="dxa"/>
            <w:bottom w:w="0" w:type="dxa"/>
            <w:right w:w="108" w:type="dxa"/>
          </w:tblCellMar>
        </w:tblPrEx>
        <w:trPr>
          <w:trHeight w:val="300" w:hRule="atLeast"/>
        </w:trPr>
        <w:tc>
          <w:tcPr>
            <w:tcW w:w="2323" w:type="pct"/>
            <w:tcBorders>
              <w:top w:val="nil"/>
              <w:left w:val="single" w:color="auto" w:sz="8" w:space="0"/>
              <w:bottom w:val="single" w:color="auto" w:sz="8" w:space="0"/>
              <w:right w:val="single" w:color="auto" w:sz="8" w:space="0"/>
            </w:tcBorders>
            <w:shd w:val="clear" w:color="auto" w:fill="auto"/>
            <w:vAlign w:val="center"/>
          </w:tcPr>
          <w:p w14:paraId="5BAC8F73">
            <w:pPr>
              <w:widowControl/>
              <w:snapToGrid w:val="0"/>
              <w:spacing w:line="360" w:lineRule="auto"/>
              <w:ind w:firstLine="371" w:firstLineChars="177"/>
              <w:jc w:val="left"/>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应付销售服务费</w:t>
            </w:r>
          </w:p>
        </w:tc>
        <w:tc>
          <w:tcPr>
            <w:tcW w:w="2676" w:type="pct"/>
            <w:tcBorders>
              <w:top w:val="nil"/>
              <w:left w:val="nil"/>
              <w:bottom w:val="single" w:color="auto" w:sz="8" w:space="0"/>
              <w:right w:val="single" w:color="auto" w:sz="8" w:space="0"/>
            </w:tcBorders>
            <w:shd w:val="clear" w:color="auto" w:fill="auto"/>
            <w:vAlign w:val="top"/>
          </w:tcPr>
          <w:p w14:paraId="6C14CB86">
            <w:pPr>
              <w:jc w:val="right"/>
              <w:rPr>
                <w:rFonts w:hint="eastAsia" w:ascii="宋体" w:hAnsi="宋体" w:eastAsia="宋体" w:cs="宋体"/>
                <w:highlight w:val="none"/>
              </w:rPr>
            </w:pPr>
            <w:r>
              <w:rPr>
                <w:rFonts w:hint="eastAsia" w:ascii="宋体" w:hAnsi="宋体" w:eastAsia="宋体" w:cs="宋体"/>
                <w:highlight w:val="none"/>
                <w:lang w:val="en-US" w:eastAsia="zh-CN"/>
              </w:rPr>
              <w:t>-</w:t>
            </w:r>
          </w:p>
        </w:tc>
      </w:tr>
      <w:tr w14:paraId="5ED2FE19">
        <w:tblPrEx>
          <w:tblCellMar>
            <w:top w:w="0" w:type="dxa"/>
            <w:left w:w="108" w:type="dxa"/>
            <w:bottom w:w="0" w:type="dxa"/>
            <w:right w:w="108" w:type="dxa"/>
          </w:tblCellMar>
        </w:tblPrEx>
        <w:trPr>
          <w:trHeight w:val="300" w:hRule="atLeast"/>
        </w:trPr>
        <w:tc>
          <w:tcPr>
            <w:tcW w:w="2323" w:type="pct"/>
            <w:tcBorders>
              <w:top w:val="nil"/>
              <w:left w:val="single" w:color="auto" w:sz="8" w:space="0"/>
              <w:bottom w:val="single" w:color="auto" w:sz="8" w:space="0"/>
              <w:right w:val="single" w:color="auto" w:sz="8" w:space="0"/>
            </w:tcBorders>
            <w:shd w:val="clear" w:color="auto" w:fill="auto"/>
            <w:vAlign w:val="center"/>
          </w:tcPr>
          <w:p w14:paraId="36C34EAC">
            <w:pPr>
              <w:widowControl/>
              <w:snapToGrid w:val="0"/>
              <w:spacing w:line="360" w:lineRule="auto"/>
              <w:ind w:firstLine="371" w:firstLineChars="177"/>
              <w:jc w:val="left"/>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应付交易费用</w:t>
            </w:r>
          </w:p>
        </w:tc>
        <w:tc>
          <w:tcPr>
            <w:tcW w:w="2676" w:type="pct"/>
            <w:tcBorders>
              <w:top w:val="nil"/>
              <w:left w:val="nil"/>
              <w:bottom w:val="single" w:color="auto" w:sz="8" w:space="0"/>
              <w:right w:val="single" w:color="auto" w:sz="8" w:space="0"/>
            </w:tcBorders>
            <w:shd w:val="clear" w:color="auto" w:fill="auto"/>
            <w:vAlign w:val="top"/>
          </w:tcPr>
          <w:p w14:paraId="092FC3C8">
            <w:pPr>
              <w:jc w:val="right"/>
              <w:rPr>
                <w:rFonts w:hint="eastAsia" w:ascii="宋体" w:hAnsi="宋体" w:eastAsia="宋体" w:cs="宋体"/>
                <w:highlight w:val="none"/>
              </w:rPr>
            </w:pPr>
            <w:r>
              <w:rPr>
                <w:rFonts w:hint="eastAsia" w:ascii="宋体" w:hAnsi="宋体" w:eastAsia="宋体" w:cs="宋体"/>
                <w:highlight w:val="none"/>
                <w:lang w:val="en-US" w:eastAsia="zh-CN"/>
              </w:rPr>
              <w:t>-</w:t>
            </w:r>
          </w:p>
        </w:tc>
      </w:tr>
      <w:tr w14:paraId="587E18CC">
        <w:tblPrEx>
          <w:tblCellMar>
            <w:top w:w="0" w:type="dxa"/>
            <w:left w:w="108" w:type="dxa"/>
            <w:bottom w:w="0" w:type="dxa"/>
            <w:right w:w="108" w:type="dxa"/>
          </w:tblCellMar>
        </w:tblPrEx>
        <w:trPr>
          <w:trHeight w:val="300" w:hRule="atLeast"/>
        </w:trPr>
        <w:tc>
          <w:tcPr>
            <w:tcW w:w="2323" w:type="pct"/>
            <w:tcBorders>
              <w:top w:val="nil"/>
              <w:left w:val="single" w:color="auto" w:sz="8" w:space="0"/>
              <w:bottom w:val="single" w:color="auto" w:sz="8" w:space="0"/>
              <w:right w:val="single" w:color="auto" w:sz="8" w:space="0"/>
            </w:tcBorders>
            <w:shd w:val="clear" w:color="auto" w:fill="auto"/>
            <w:vAlign w:val="center"/>
          </w:tcPr>
          <w:p w14:paraId="6E6D76BD">
            <w:pPr>
              <w:widowControl/>
              <w:snapToGrid w:val="0"/>
              <w:spacing w:line="360" w:lineRule="auto"/>
              <w:ind w:firstLine="371" w:firstLineChars="177"/>
              <w:jc w:val="left"/>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应交税费</w:t>
            </w:r>
          </w:p>
        </w:tc>
        <w:tc>
          <w:tcPr>
            <w:tcW w:w="2676" w:type="pct"/>
            <w:tcBorders>
              <w:top w:val="nil"/>
              <w:left w:val="nil"/>
              <w:bottom w:val="single" w:color="auto" w:sz="8" w:space="0"/>
              <w:right w:val="single" w:color="auto" w:sz="8" w:space="0"/>
            </w:tcBorders>
            <w:shd w:val="clear" w:color="auto" w:fill="auto"/>
            <w:vAlign w:val="top"/>
          </w:tcPr>
          <w:p w14:paraId="54A7E37A">
            <w:pPr>
              <w:jc w:val="right"/>
              <w:rPr>
                <w:rFonts w:hint="eastAsia" w:ascii="宋体" w:hAnsi="宋体" w:eastAsia="宋体" w:cs="宋体"/>
                <w:highlight w:val="none"/>
              </w:rPr>
            </w:pPr>
            <w:r>
              <w:rPr>
                <w:rFonts w:hint="eastAsia" w:ascii="宋体" w:hAnsi="宋体" w:eastAsia="宋体" w:cs="宋体"/>
                <w:highlight w:val="none"/>
                <w:lang w:val="en-US" w:eastAsia="zh-CN"/>
              </w:rPr>
              <w:t>-</w:t>
            </w:r>
          </w:p>
        </w:tc>
      </w:tr>
      <w:tr w14:paraId="3E73553A">
        <w:tblPrEx>
          <w:tblCellMar>
            <w:top w:w="0" w:type="dxa"/>
            <w:left w:w="108" w:type="dxa"/>
            <w:bottom w:w="0" w:type="dxa"/>
            <w:right w:w="108" w:type="dxa"/>
          </w:tblCellMar>
        </w:tblPrEx>
        <w:trPr>
          <w:trHeight w:val="90" w:hRule="atLeast"/>
        </w:trPr>
        <w:tc>
          <w:tcPr>
            <w:tcW w:w="2323" w:type="pct"/>
            <w:tcBorders>
              <w:top w:val="nil"/>
              <w:left w:val="single" w:color="auto" w:sz="8" w:space="0"/>
              <w:bottom w:val="single" w:color="auto" w:sz="8" w:space="0"/>
              <w:right w:val="single" w:color="auto" w:sz="8" w:space="0"/>
            </w:tcBorders>
            <w:shd w:val="clear" w:color="auto" w:fill="auto"/>
            <w:vAlign w:val="center"/>
          </w:tcPr>
          <w:p w14:paraId="00EC251B">
            <w:pPr>
              <w:widowControl/>
              <w:snapToGrid w:val="0"/>
              <w:spacing w:line="360" w:lineRule="auto"/>
              <w:ind w:firstLine="371" w:firstLineChars="177"/>
              <w:jc w:val="left"/>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应付利润</w:t>
            </w:r>
          </w:p>
        </w:tc>
        <w:tc>
          <w:tcPr>
            <w:tcW w:w="2676" w:type="pct"/>
            <w:tcBorders>
              <w:top w:val="nil"/>
              <w:left w:val="nil"/>
              <w:bottom w:val="single" w:color="auto" w:sz="8" w:space="0"/>
              <w:right w:val="single" w:color="auto" w:sz="8" w:space="0"/>
            </w:tcBorders>
            <w:shd w:val="clear" w:color="auto" w:fill="auto"/>
            <w:vAlign w:val="top"/>
          </w:tcPr>
          <w:p w14:paraId="7D2810F0">
            <w:pPr>
              <w:jc w:val="right"/>
              <w:rPr>
                <w:rFonts w:hint="eastAsia" w:ascii="宋体" w:hAnsi="宋体" w:eastAsia="宋体" w:cs="宋体"/>
                <w:highlight w:val="none"/>
              </w:rPr>
            </w:pPr>
            <w:r>
              <w:rPr>
                <w:rFonts w:hint="eastAsia" w:ascii="宋体" w:hAnsi="宋体" w:eastAsia="宋体" w:cs="宋体"/>
                <w:highlight w:val="none"/>
                <w:lang w:val="en-US" w:eastAsia="zh-CN"/>
              </w:rPr>
              <w:t>-</w:t>
            </w:r>
          </w:p>
        </w:tc>
      </w:tr>
      <w:tr w14:paraId="1B52DAA5">
        <w:tblPrEx>
          <w:tblCellMar>
            <w:top w:w="0" w:type="dxa"/>
            <w:left w:w="108" w:type="dxa"/>
            <w:bottom w:w="0" w:type="dxa"/>
            <w:right w:w="108" w:type="dxa"/>
          </w:tblCellMar>
        </w:tblPrEx>
        <w:trPr>
          <w:trHeight w:val="300" w:hRule="atLeast"/>
        </w:trPr>
        <w:tc>
          <w:tcPr>
            <w:tcW w:w="2323" w:type="pct"/>
            <w:tcBorders>
              <w:top w:val="nil"/>
              <w:left w:val="single" w:color="auto" w:sz="8" w:space="0"/>
              <w:bottom w:val="single" w:color="auto" w:sz="8" w:space="0"/>
              <w:right w:val="single" w:color="auto" w:sz="8" w:space="0"/>
            </w:tcBorders>
            <w:shd w:val="clear" w:color="auto" w:fill="auto"/>
            <w:vAlign w:val="center"/>
          </w:tcPr>
          <w:p w14:paraId="40DA3ACE">
            <w:pPr>
              <w:widowControl/>
              <w:snapToGrid w:val="0"/>
              <w:spacing w:line="360" w:lineRule="auto"/>
              <w:ind w:firstLine="371" w:firstLineChars="177"/>
              <w:jc w:val="left"/>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其他负债</w:t>
            </w:r>
          </w:p>
        </w:tc>
        <w:tc>
          <w:tcPr>
            <w:tcW w:w="2676" w:type="pct"/>
            <w:tcBorders>
              <w:top w:val="nil"/>
              <w:left w:val="nil"/>
              <w:bottom w:val="single" w:color="auto" w:sz="8" w:space="0"/>
              <w:right w:val="single" w:color="auto" w:sz="8" w:space="0"/>
            </w:tcBorders>
            <w:shd w:val="clear" w:color="auto" w:fill="auto"/>
            <w:vAlign w:val="top"/>
          </w:tcPr>
          <w:p w14:paraId="03AC41FB">
            <w:pPr>
              <w:jc w:val="right"/>
              <w:rPr>
                <w:rFonts w:hint="eastAsia" w:ascii="宋体" w:hAnsi="宋体" w:eastAsia="宋体" w:cs="宋体"/>
                <w:highlight w:val="none"/>
                <w:lang w:eastAsia="zh-CN"/>
              </w:rPr>
            </w:pPr>
            <w:r>
              <w:rPr>
                <w:rFonts w:hint="eastAsia" w:ascii="宋体" w:hAnsi="宋体" w:eastAsia="宋体" w:cs="宋体"/>
                <w:highlight w:val="none"/>
                <w:lang w:val="en-US" w:eastAsia="zh-CN"/>
              </w:rPr>
              <w:t>3,888.92</w:t>
            </w:r>
          </w:p>
        </w:tc>
      </w:tr>
      <w:tr w14:paraId="467F2233">
        <w:tblPrEx>
          <w:tblCellMar>
            <w:top w:w="0" w:type="dxa"/>
            <w:left w:w="108" w:type="dxa"/>
            <w:bottom w:w="0" w:type="dxa"/>
            <w:right w:w="108" w:type="dxa"/>
          </w:tblCellMar>
        </w:tblPrEx>
        <w:trPr>
          <w:trHeight w:val="300" w:hRule="atLeast"/>
        </w:trPr>
        <w:tc>
          <w:tcPr>
            <w:tcW w:w="2323" w:type="pct"/>
            <w:tcBorders>
              <w:top w:val="nil"/>
              <w:left w:val="single" w:color="auto" w:sz="8" w:space="0"/>
              <w:bottom w:val="single" w:color="auto" w:sz="8" w:space="0"/>
              <w:right w:val="single" w:color="auto" w:sz="8" w:space="0"/>
            </w:tcBorders>
            <w:shd w:val="clear" w:color="auto" w:fill="auto"/>
            <w:vAlign w:val="center"/>
          </w:tcPr>
          <w:p w14:paraId="768D8AEA">
            <w:pPr>
              <w:widowControl/>
              <w:snapToGrid w:val="0"/>
              <w:spacing w:line="360" w:lineRule="auto"/>
              <w:ind w:firstLine="371" w:firstLineChars="177"/>
              <w:jc w:val="left"/>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负债合计</w:t>
            </w:r>
          </w:p>
        </w:tc>
        <w:tc>
          <w:tcPr>
            <w:tcW w:w="2676" w:type="pct"/>
            <w:tcBorders>
              <w:top w:val="nil"/>
              <w:left w:val="nil"/>
              <w:bottom w:val="single" w:color="auto" w:sz="8" w:space="0"/>
              <w:right w:val="single" w:color="auto" w:sz="8" w:space="0"/>
            </w:tcBorders>
            <w:shd w:val="clear" w:color="auto" w:fill="auto"/>
            <w:vAlign w:val="top"/>
          </w:tcPr>
          <w:p w14:paraId="7BD4629A">
            <w:pPr>
              <w:jc w:val="right"/>
              <w:rPr>
                <w:rFonts w:hint="eastAsia" w:ascii="宋体" w:hAnsi="宋体" w:eastAsia="宋体" w:cs="宋体"/>
                <w:highlight w:val="none"/>
                <w:lang w:eastAsia="zh-CN"/>
              </w:rPr>
            </w:pPr>
            <w:r>
              <w:rPr>
                <w:rFonts w:hint="eastAsia" w:ascii="宋体" w:hAnsi="宋体" w:eastAsia="宋体" w:cs="宋体"/>
                <w:highlight w:val="none"/>
                <w:lang w:val="en-US" w:eastAsia="zh-CN"/>
              </w:rPr>
              <w:t>29,774.46</w:t>
            </w:r>
          </w:p>
        </w:tc>
      </w:tr>
      <w:tr w14:paraId="4DA0A4CD">
        <w:tblPrEx>
          <w:tblCellMar>
            <w:top w:w="0" w:type="dxa"/>
            <w:left w:w="108" w:type="dxa"/>
            <w:bottom w:w="0" w:type="dxa"/>
            <w:right w:w="108" w:type="dxa"/>
          </w:tblCellMar>
        </w:tblPrEx>
        <w:trPr>
          <w:trHeight w:val="300" w:hRule="atLeast"/>
        </w:trPr>
        <w:tc>
          <w:tcPr>
            <w:tcW w:w="2323" w:type="pct"/>
            <w:tcBorders>
              <w:top w:val="nil"/>
              <w:left w:val="single" w:color="auto" w:sz="8" w:space="0"/>
              <w:bottom w:val="single" w:color="auto" w:sz="8" w:space="0"/>
              <w:right w:val="single" w:color="auto" w:sz="8" w:space="0"/>
            </w:tcBorders>
            <w:shd w:val="clear" w:color="auto" w:fill="auto"/>
            <w:vAlign w:val="center"/>
          </w:tcPr>
          <w:p w14:paraId="576AA828">
            <w:pPr>
              <w:widowControl/>
              <w:snapToGrid w:val="0"/>
              <w:spacing w:line="360" w:lineRule="auto"/>
              <w:ind w:firstLine="371" w:firstLineChars="177"/>
              <w:jc w:val="left"/>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所有者权益：</w:t>
            </w:r>
          </w:p>
        </w:tc>
        <w:tc>
          <w:tcPr>
            <w:tcW w:w="2676" w:type="pct"/>
            <w:tcBorders>
              <w:top w:val="nil"/>
              <w:left w:val="nil"/>
              <w:bottom w:val="single" w:color="auto" w:sz="8" w:space="0"/>
              <w:right w:val="single" w:color="auto" w:sz="8" w:space="0"/>
            </w:tcBorders>
            <w:shd w:val="clear" w:color="auto" w:fill="auto"/>
            <w:vAlign w:val="top"/>
          </w:tcPr>
          <w:p w14:paraId="26095960">
            <w:pPr>
              <w:jc w:val="right"/>
              <w:rPr>
                <w:rFonts w:hint="eastAsia" w:ascii="宋体" w:hAnsi="宋体" w:eastAsia="宋体" w:cs="宋体"/>
                <w:highlight w:val="none"/>
              </w:rPr>
            </w:pPr>
          </w:p>
        </w:tc>
      </w:tr>
      <w:tr w14:paraId="2D7CF8A9">
        <w:tblPrEx>
          <w:tblCellMar>
            <w:top w:w="0" w:type="dxa"/>
            <w:left w:w="108" w:type="dxa"/>
            <w:bottom w:w="0" w:type="dxa"/>
            <w:right w:w="108" w:type="dxa"/>
          </w:tblCellMar>
        </w:tblPrEx>
        <w:trPr>
          <w:trHeight w:val="300" w:hRule="atLeast"/>
        </w:trPr>
        <w:tc>
          <w:tcPr>
            <w:tcW w:w="2323" w:type="pct"/>
            <w:tcBorders>
              <w:top w:val="nil"/>
              <w:left w:val="single" w:color="auto" w:sz="8" w:space="0"/>
              <w:bottom w:val="single" w:color="auto" w:sz="8" w:space="0"/>
              <w:right w:val="single" w:color="auto" w:sz="8" w:space="0"/>
            </w:tcBorders>
            <w:shd w:val="clear" w:color="auto" w:fill="auto"/>
            <w:vAlign w:val="center"/>
          </w:tcPr>
          <w:p w14:paraId="151375F7">
            <w:pPr>
              <w:widowControl/>
              <w:snapToGrid w:val="0"/>
              <w:spacing w:line="360" w:lineRule="auto"/>
              <w:ind w:firstLine="371" w:firstLineChars="177"/>
              <w:jc w:val="left"/>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实收基金</w:t>
            </w:r>
          </w:p>
        </w:tc>
        <w:tc>
          <w:tcPr>
            <w:tcW w:w="2676" w:type="pct"/>
            <w:tcBorders>
              <w:top w:val="nil"/>
              <w:left w:val="nil"/>
              <w:bottom w:val="single" w:color="auto" w:sz="8" w:space="0"/>
              <w:right w:val="single" w:color="auto" w:sz="8" w:space="0"/>
            </w:tcBorders>
            <w:shd w:val="clear" w:color="auto" w:fill="auto"/>
            <w:vAlign w:val="top"/>
          </w:tcPr>
          <w:p w14:paraId="629396FE">
            <w:pPr>
              <w:jc w:val="right"/>
              <w:rPr>
                <w:rFonts w:hint="eastAsia" w:ascii="宋体" w:hAnsi="宋体" w:eastAsia="宋体" w:cs="宋体"/>
                <w:sz w:val="21"/>
                <w:szCs w:val="21"/>
                <w:highlight w:val="none"/>
                <w:lang w:eastAsia="zh-CN"/>
              </w:rPr>
            </w:pPr>
            <w:r>
              <w:rPr>
                <w:rFonts w:hint="eastAsia" w:ascii="宋体" w:hAnsi="宋体" w:eastAsia="宋体" w:cs="宋体"/>
                <w:szCs w:val="21"/>
                <w:highlight w:val="none"/>
                <w:lang w:eastAsia="zh-CN"/>
              </w:rPr>
              <w:t xml:space="preserve"> 262,223,183.00 </w:t>
            </w:r>
          </w:p>
        </w:tc>
      </w:tr>
      <w:tr w14:paraId="59EDB53C">
        <w:tblPrEx>
          <w:tblCellMar>
            <w:top w:w="0" w:type="dxa"/>
            <w:left w:w="108" w:type="dxa"/>
            <w:bottom w:w="0" w:type="dxa"/>
            <w:right w:w="108" w:type="dxa"/>
          </w:tblCellMar>
        </w:tblPrEx>
        <w:trPr>
          <w:trHeight w:val="300" w:hRule="atLeast"/>
        </w:trPr>
        <w:tc>
          <w:tcPr>
            <w:tcW w:w="2323" w:type="pct"/>
            <w:tcBorders>
              <w:top w:val="nil"/>
              <w:left w:val="single" w:color="auto" w:sz="8" w:space="0"/>
              <w:bottom w:val="single" w:color="auto" w:sz="8" w:space="0"/>
              <w:right w:val="single" w:color="auto" w:sz="8" w:space="0"/>
            </w:tcBorders>
            <w:shd w:val="clear" w:color="auto" w:fill="auto"/>
            <w:vAlign w:val="center"/>
          </w:tcPr>
          <w:p w14:paraId="36043113">
            <w:pPr>
              <w:widowControl/>
              <w:snapToGrid w:val="0"/>
              <w:spacing w:line="360" w:lineRule="auto"/>
              <w:ind w:firstLine="371" w:firstLineChars="177"/>
              <w:jc w:val="left"/>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未分配利润</w:t>
            </w:r>
          </w:p>
        </w:tc>
        <w:tc>
          <w:tcPr>
            <w:tcW w:w="2676" w:type="pct"/>
            <w:tcBorders>
              <w:top w:val="nil"/>
              <w:left w:val="nil"/>
              <w:bottom w:val="single" w:color="auto" w:sz="8" w:space="0"/>
              <w:right w:val="single" w:color="auto" w:sz="8" w:space="0"/>
            </w:tcBorders>
            <w:shd w:val="clear" w:color="auto" w:fill="auto"/>
            <w:vAlign w:val="center"/>
          </w:tcPr>
          <w:p w14:paraId="64C4AE9A">
            <w:pPr>
              <w:keepNext w:val="0"/>
              <w:keepLines w:val="0"/>
              <w:widowControl/>
              <w:suppressLineNumbers w:val="0"/>
              <w:jc w:val="right"/>
              <w:textAlignment w:val="center"/>
              <w:rPr>
                <w:rFonts w:hint="eastAsia" w:ascii="宋体" w:hAnsi="宋体" w:eastAsia="宋体" w:cs="宋体"/>
                <w:sz w:val="21"/>
                <w:szCs w:val="21"/>
                <w:highlight w:val="none"/>
              </w:rPr>
            </w:pPr>
            <w:r>
              <w:rPr>
                <w:rFonts w:hint="eastAsia" w:ascii="宋体" w:hAnsi="宋体" w:eastAsia="宋体" w:cs="宋体"/>
                <w:highlight w:val="none"/>
                <w:lang w:val="en-US" w:eastAsia="zh-CN"/>
              </w:rPr>
              <w:t>-631</w:t>
            </w:r>
            <w:r>
              <w:rPr>
                <w:rFonts w:hint="eastAsia" w:ascii="宋体" w:hAnsi="宋体" w:eastAsia="宋体" w:cs="宋体"/>
                <w:szCs w:val="21"/>
                <w:highlight w:val="none"/>
                <w:lang w:eastAsia="zh-CN"/>
              </w:rPr>
              <w:t>,</w:t>
            </w:r>
            <w:r>
              <w:rPr>
                <w:rFonts w:hint="eastAsia" w:ascii="宋体" w:hAnsi="宋体" w:eastAsia="宋体" w:cs="宋体"/>
                <w:highlight w:val="none"/>
                <w:lang w:val="en-US" w:eastAsia="zh-CN"/>
              </w:rPr>
              <w:t>131.94</w:t>
            </w:r>
          </w:p>
        </w:tc>
      </w:tr>
      <w:tr w14:paraId="33278E34">
        <w:tblPrEx>
          <w:tblCellMar>
            <w:top w:w="0" w:type="dxa"/>
            <w:left w:w="108" w:type="dxa"/>
            <w:bottom w:w="0" w:type="dxa"/>
            <w:right w:w="108" w:type="dxa"/>
          </w:tblCellMar>
        </w:tblPrEx>
        <w:trPr>
          <w:trHeight w:val="300" w:hRule="atLeast"/>
        </w:trPr>
        <w:tc>
          <w:tcPr>
            <w:tcW w:w="2323" w:type="pct"/>
            <w:tcBorders>
              <w:top w:val="nil"/>
              <w:left w:val="single" w:color="auto" w:sz="8" w:space="0"/>
              <w:bottom w:val="single" w:color="auto" w:sz="8" w:space="0"/>
              <w:right w:val="single" w:color="auto" w:sz="8" w:space="0"/>
            </w:tcBorders>
            <w:shd w:val="clear" w:color="auto" w:fill="auto"/>
            <w:vAlign w:val="center"/>
          </w:tcPr>
          <w:p w14:paraId="39EC4D7E">
            <w:pPr>
              <w:widowControl/>
              <w:snapToGrid w:val="0"/>
              <w:spacing w:line="360" w:lineRule="auto"/>
              <w:ind w:firstLine="371" w:firstLineChars="177"/>
              <w:jc w:val="left"/>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所有者权益合计</w:t>
            </w:r>
          </w:p>
        </w:tc>
        <w:tc>
          <w:tcPr>
            <w:tcW w:w="2676" w:type="pct"/>
            <w:tcBorders>
              <w:top w:val="nil"/>
              <w:left w:val="nil"/>
              <w:bottom w:val="single" w:color="auto" w:sz="8" w:space="0"/>
              <w:right w:val="single" w:color="auto" w:sz="8" w:space="0"/>
            </w:tcBorders>
            <w:shd w:val="clear" w:color="auto" w:fill="auto"/>
            <w:vAlign w:val="center"/>
          </w:tcPr>
          <w:p w14:paraId="5A2B7800">
            <w:pPr>
              <w:keepNext w:val="0"/>
              <w:keepLines w:val="0"/>
              <w:widowControl/>
              <w:suppressLineNumbers w:val="0"/>
              <w:jc w:val="right"/>
              <w:textAlignment w:val="center"/>
              <w:rPr>
                <w:rFonts w:hint="eastAsia" w:ascii="宋体" w:hAnsi="宋体" w:eastAsia="宋体" w:cs="宋体"/>
                <w:sz w:val="21"/>
                <w:szCs w:val="21"/>
                <w:highlight w:val="none"/>
              </w:rPr>
            </w:pPr>
            <w:r>
              <w:rPr>
                <w:rFonts w:hint="eastAsia" w:ascii="宋体" w:hAnsi="宋体" w:eastAsia="宋体" w:cs="宋体"/>
                <w:highlight w:val="none"/>
                <w:lang w:val="en-US" w:eastAsia="zh-CN"/>
              </w:rPr>
              <w:t>261,592,051.06</w:t>
            </w:r>
          </w:p>
        </w:tc>
      </w:tr>
      <w:tr w14:paraId="76B5AB70">
        <w:tblPrEx>
          <w:tblCellMar>
            <w:top w:w="0" w:type="dxa"/>
            <w:left w:w="108" w:type="dxa"/>
            <w:bottom w:w="0" w:type="dxa"/>
            <w:right w:w="108" w:type="dxa"/>
          </w:tblCellMar>
        </w:tblPrEx>
        <w:trPr>
          <w:trHeight w:val="300" w:hRule="atLeast"/>
        </w:trPr>
        <w:tc>
          <w:tcPr>
            <w:tcW w:w="2323" w:type="pct"/>
            <w:tcBorders>
              <w:top w:val="nil"/>
              <w:left w:val="single" w:color="auto" w:sz="8" w:space="0"/>
              <w:bottom w:val="single" w:color="auto" w:sz="8" w:space="0"/>
              <w:right w:val="single" w:color="auto" w:sz="8" w:space="0"/>
            </w:tcBorders>
            <w:shd w:val="clear" w:color="auto" w:fill="auto"/>
            <w:vAlign w:val="center"/>
          </w:tcPr>
          <w:p w14:paraId="3080C1FB">
            <w:pPr>
              <w:widowControl/>
              <w:snapToGrid w:val="0"/>
              <w:spacing w:line="360" w:lineRule="auto"/>
              <w:ind w:firstLine="371" w:firstLineChars="177"/>
              <w:jc w:val="left"/>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负债和所有者权益总计</w:t>
            </w:r>
          </w:p>
        </w:tc>
        <w:tc>
          <w:tcPr>
            <w:tcW w:w="2676" w:type="pct"/>
            <w:tcBorders>
              <w:top w:val="nil"/>
              <w:left w:val="nil"/>
              <w:bottom w:val="single" w:color="auto" w:sz="8" w:space="0"/>
              <w:right w:val="single" w:color="auto" w:sz="8" w:space="0"/>
            </w:tcBorders>
            <w:shd w:val="clear" w:color="auto" w:fill="auto"/>
            <w:vAlign w:val="center"/>
          </w:tcPr>
          <w:p w14:paraId="1A6B087F">
            <w:pPr>
              <w:keepNext w:val="0"/>
              <w:keepLines w:val="0"/>
              <w:widowControl/>
              <w:suppressLineNumbers w:val="0"/>
              <w:jc w:val="right"/>
              <w:textAlignment w:val="center"/>
              <w:rPr>
                <w:rFonts w:hint="eastAsia" w:ascii="宋体" w:hAnsi="宋体" w:eastAsia="宋体" w:cs="宋体"/>
                <w:sz w:val="21"/>
                <w:szCs w:val="21"/>
                <w:highlight w:val="none"/>
              </w:rPr>
            </w:pPr>
            <w:r>
              <w:rPr>
                <w:rFonts w:hint="eastAsia" w:ascii="宋体" w:hAnsi="宋体" w:eastAsia="宋体" w:cs="宋体"/>
                <w:highlight w:val="none"/>
                <w:lang w:val="en-US" w:eastAsia="zh-CN"/>
              </w:rPr>
              <w:t>261,621,825.52</w:t>
            </w:r>
          </w:p>
        </w:tc>
      </w:tr>
    </w:tbl>
    <w:p w14:paraId="25B7AEFD">
      <w:pPr>
        <w:widowControl/>
        <w:snapToGrid w:val="0"/>
        <w:spacing w:line="360" w:lineRule="auto"/>
        <w:ind w:firstLine="371" w:firstLineChars="177"/>
        <w:jc w:val="left"/>
        <w:rPr>
          <w:rFonts w:hint="eastAsia" w:ascii="宋体" w:hAnsi="宋体" w:eastAsia="宋体" w:cs="宋体"/>
          <w:color w:val="000000"/>
          <w:kern w:val="0"/>
          <w:szCs w:val="21"/>
          <w:highlight w:val="none"/>
          <w:lang w:val="en-US" w:eastAsia="zh-CN"/>
        </w:rPr>
        <w:sectPr>
          <w:pgSz w:w="11906" w:h="16838"/>
          <w:pgMar w:top="1440" w:right="1803" w:bottom="1440" w:left="1803" w:header="851" w:footer="992" w:gutter="0"/>
          <w:cols w:space="425" w:num="1"/>
          <w:docGrid w:type="lines" w:linePitch="312" w:charSpace="0"/>
        </w:sectPr>
      </w:pPr>
      <w:r>
        <w:rPr>
          <w:rFonts w:hint="eastAsia" w:ascii="宋体" w:hAnsi="宋体" w:eastAsia="宋体" w:cs="宋体"/>
          <w:color w:val="000000"/>
          <w:kern w:val="0"/>
          <w:szCs w:val="21"/>
          <w:highlight w:val="none"/>
        </w:rPr>
        <w:t>注：截至</w:t>
      </w:r>
      <w:r>
        <w:rPr>
          <w:rFonts w:hint="eastAsia" w:ascii="宋体" w:hAnsi="宋体" w:eastAsia="宋体" w:cs="宋体"/>
          <w:color w:val="000000"/>
          <w:kern w:val="0"/>
          <w:szCs w:val="21"/>
          <w:highlight w:val="none"/>
          <w:lang w:eastAsia="zh-CN"/>
        </w:rPr>
        <w:t>2026年6月23日</w:t>
      </w:r>
      <w:r>
        <w:rPr>
          <w:rFonts w:hint="eastAsia" w:ascii="宋体" w:hAnsi="宋体" w:eastAsia="宋体" w:cs="宋体"/>
          <w:color w:val="000000"/>
          <w:kern w:val="0"/>
          <w:szCs w:val="21"/>
          <w:highlight w:val="none"/>
        </w:rPr>
        <w:t>，基金份额净值</w:t>
      </w:r>
      <w:r>
        <w:rPr>
          <w:rFonts w:hint="eastAsia" w:ascii="宋体" w:hAnsi="宋体" w:eastAsia="宋体" w:cs="宋体"/>
          <w:color w:val="000000"/>
          <w:kern w:val="0"/>
          <w:szCs w:val="21"/>
          <w:highlight w:val="none"/>
          <w:lang w:eastAsia="zh-CN"/>
        </w:rPr>
        <w:t>0.9976</w:t>
      </w:r>
      <w:r>
        <w:rPr>
          <w:rFonts w:hint="eastAsia" w:ascii="宋体" w:hAnsi="宋体" w:eastAsia="宋体" w:cs="宋体"/>
          <w:color w:val="000000"/>
          <w:kern w:val="0"/>
          <w:szCs w:val="21"/>
          <w:highlight w:val="none"/>
        </w:rPr>
        <w:t>元，基金份额总额</w:t>
      </w:r>
      <w:r>
        <w:rPr>
          <w:rFonts w:hint="eastAsia" w:ascii="宋体" w:hAnsi="宋体" w:eastAsia="宋体" w:cs="宋体"/>
          <w:color w:val="000000"/>
          <w:kern w:val="0"/>
          <w:szCs w:val="21"/>
          <w:highlight w:val="none"/>
          <w:lang w:eastAsia="zh-CN"/>
        </w:rPr>
        <w:t xml:space="preserve"> 262,223,183.00 </w:t>
      </w:r>
      <w:r>
        <w:rPr>
          <w:rFonts w:hint="eastAsia" w:ascii="宋体" w:hAnsi="宋体" w:eastAsia="宋体" w:cs="宋体"/>
          <w:color w:val="000000"/>
          <w:kern w:val="0"/>
          <w:szCs w:val="21"/>
          <w:highlight w:val="none"/>
        </w:rPr>
        <w:t>份。</w:t>
      </w:r>
      <w:r>
        <w:rPr>
          <w:rFonts w:hint="eastAsia" w:ascii="宋体" w:hAnsi="宋体" w:eastAsia="宋体" w:cs="宋体"/>
          <w:color w:val="000000"/>
          <w:kern w:val="0"/>
          <w:szCs w:val="21"/>
          <w:highlight w:val="none"/>
          <w:lang w:val="en-US" w:eastAsia="zh-CN"/>
        </w:rPr>
        <w:t xml:space="preserve"> </w:t>
      </w:r>
    </w:p>
    <w:p w14:paraId="3F05FBFB">
      <w:pPr>
        <w:pStyle w:val="2"/>
        <w:jc w:val="center"/>
        <w:rPr>
          <w:rFonts w:hint="eastAsia" w:ascii="宋体" w:hAnsi="宋体" w:eastAsia="宋体" w:cstheme="majorBidi"/>
          <w:sz w:val="30"/>
          <w:highlight w:val="none"/>
        </w:rPr>
      </w:pPr>
      <w:r>
        <w:rPr>
          <w:rFonts w:hint="eastAsia" w:ascii="宋体" w:hAnsi="宋体" w:eastAsia="宋体" w:cstheme="majorBidi"/>
          <w:sz w:val="30"/>
          <w:highlight w:val="none"/>
        </w:rPr>
        <w:t>八、基金投资组合</w:t>
      </w:r>
      <w:bookmarkEnd w:id="36"/>
      <w:bookmarkEnd w:id="37"/>
    </w:p>
    <w:p w14:paraId="103FEFAA">
      <w:pPr>
        <w:spacing w:line="360" w:lineRule="auto"/>
        <w:ind w:firstLine="420" w:firstLineChars="200"/>
        <w:rPr>
          <w:rFonts w:ascii="Times New Roman" w:hAnsi="Times New Roman" w:eastAsia="宋体" w:cs="Times New Roman"/>
          <w:b w:val="0"/>
          <w:bCs w:val="0"/>
          <w:i w:val="0"/>
          <w:iCs w:val="0"/>
          <w:highlight w:val="none"/>
        </w:rPr>
      </w:pPr>
      <w:bookmarkStart w:id="39" w:name="chapter_level1_8_56150_section_1"/>
      <w:bookmarkEnd w:id="39"/>
      <w:bookmarkStart w:id="40" w:name="chapter_level1_9_56151"/>
      <w:bookmarkStart w:id="41" w:name="_Toc18836"/>
      <w:r>
        <w:rPr>
          <w:rFonts w:ascii="Times New Roman" w:hAnsi="Times New Roman" w:eastAsia="宋体" w:cs="Times New Roman"/>
          <w:b w:val="0"/>
          <w:bCs w:val="0"/>
          <w:i w:val="0"/>
          <w:iCs w:val="0"/>
          <w:highlight w:val="none"/>
        </w:rPr>
        <w:t>本基金目前仍处于建仓期，在上市首日前，基金管理人将使本基金的投资组合比例符合有关法律法规、部门规章、规范性文件的规定和基金合同的有关规定。</w:t>
      </w:r>
    </w:p>
    <w:p w14:paraId="0E973340">
      <w:pPr>
        <w:spacing w:line="360" w:lineRule="auto"/>
        <w:ind w:firstLine="420" w:firstLineChars="200"/>
        <w:rPr>
          <w:rFonts w:hint="eastAsia" w:ascii="宋体" w:hAnsi="宋体" w:eastAsia="宋体" w:cs="宋体"/>
          <w:highlight w:val="none"/>
        </w:rPr>
      </w:pPr>
      <w:r>
        <w:rPr>
          <w:rFonts w:hint="eastAsia" w:ascii="宋体" w:hAnsi="宋体" w:eastAsia="宋体" w:cs="宋体"/>
          <w:highlight w:val="none"/>
        </w:rPr>
        <w:t>截至公告前两个工作日即</w:t>
      </w:r>
      <w:r>
        <w:rPr>
          <w:rFonts w:hint="eastAsia" w:ascii="宋体" w:hAnsi="宋体" w:eastAsia="宋体" w:cs="宋体"/>
          <w:highlight w:val="none"/>
          <w:lang w:eastAsia="zh-CN"/>
        </w:rPr>
        <w:t>2026年6月23日</w:t>
      </w:r>
      <w:r>
        <w:rPr>
          <w:rFonts w:hint="eastAsia" w:ascii="宋体" w:hAnsi="宋体" w:eastAsia="宋体" w:cs="宋体"/>
          <w:highlight w:val="none"/>
        </w:rPr>
        <w:t>，本基金的投资组合情况如下：</w:t>
      </w:r>
    </w:p>
    <w:p w14:paraId="1D8C081C">
      <w:pPr>
        <w:widowControl/>
        <w:numPr>
          <w:ilvl w:val="0"/>
          <w:numId w:val="1"/>
        </w:numPr>
        <w:adjustRightInd w:val="0"/>
        <w:snapToGrid w:val="0"/>
        <w:spacing w:before="156" w:beforeLines="50"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基金资产组合情况</w:t>
      </w:r>
    </w:p>
    <w:tbl>
      <w:tblPr>
        <w:tblStyle w:val="11"/>
        <w:tblW w:w="5000" w:type="pct"/>
        <w:jc w:val="right"/>
        <w:tblLayout w:type="autofit"/>
        <w:tblCellMar>
          <w:top w:w="0" w:type="dxa"/>
          <w:left w:w="108" w:type="dxa"/>
          <w:bottom w:w="0" w:type="dxa"/>
          <w:right w:w="108" w:type="dxa"/>
        </w:tblCellMar>
      </w:tblPr>
      <w:tblGrid>
        <w:gridCol w:w="864"/>
        <w:gridCol w:w="3694"/>
        <w:gridCol w:w="2446"/>
        <w:gridCol w:w="1512"/>
      </w:tblGrid>
      <w:tr w14:paraId="158AA5FB">
        <w:tblPrEx>
          <w:tblCellMar>
            <w:top w:w="0" w:type="dxa"/>
            <w:left w:w="108" w:type="dxa"/>
            <w:bottom w:w="0" w:type="dxa"/>
            <w:right w:w="108" w:type="dxa"/>
          </w:tblCellMar>
        </w:tblPrEx>
        <w:trPr>
          <w:trHeight w:val="870" w:hRule="atLeast"/>
          <w:jc w:val="right"/>
        </w:trPr>
        <w:tc>
          <w:tcPr>
            <w:tcW w:w="507" w:type="pct"/>
            <w:tcBorders>
              <w:top w:val="single" w:color="000000" w:sz="8" w:space="0"/>
              <w:left w:val="single" w:color="000000" w:sz="8" w:space="0"/>
              <w:bottom w:val="single" w:color="000000" w:sz="8" w:space="0"/>
              <w:right w:val="single" w:color="000000" w:sz="8" w:space="0"/>
            </w:tcBorders>
            <w:shd w:val="clear" w:color="auto" w:fill="auto"/>
            <w:vAlign w:val="center"/>
          </w:tcPr>
          <w:p w14:paraId="4075ADB0">
            <w:pPr>
              <w:widowControl/>
              <w:snapToGrid w:val="0"/>
              <w:spacing w:line="360" w:lineRule="auto"/>
              <w:jc w:val="center"/>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序号</w:t>
            </w:r>
          </w:p>
        </w:tc>
        <w:tc>
          <w:tcPr>
            <w:tcW w:w="2169" w:type="pct"/>
            <w:tcBorders>
              <w:top w:val="single" w:color="000000" w:sz="8" w:space="0"/>
              <w:left w:val="nil"/>
              <w:bottom w:val="single" w:color="000000" w:sz="8" w:space="0"/>
              <w:right w:val="single" w:color="000000" w:sz="8" w:space="0"/>
            </w:tcBorders>
            <w:shd w:val="clear" w:color="auto" w:fill="auto"/>
            <w:vAlign w:val="center"/>
          </w:tcPr>
          <w:p w14:paraId="1B542709">
            <w:pPr>
              <w:widowControl/>
              <w:snapToGrid w:val="0"/>
              <w:spacing w:line="360" w:lineRule="auto"/>
              <w:jc w:val="center"/>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项目</w:t>
            </w:r>
          </w:p>
        </w:tc>
        <w:tc>
          <w:tcPr>
            <w:tcW w:w="1436" w:type="pct"/>
            <w:tcBorders>
              <w:top w:val="single" w:color="000000" w:sz="8" w:space="0"/>
              <w:left w:val="nil"/>
              <w:bottom w:val="single" w:color="000000" w:sz="8" w:space="0"/>
              <w:right w:val="single" w:color="000000" w:sz="8" w:space="0"/>
            </w:tcBorders>
            <w:shd w:val="clear" w:color="auto" w:fill="auto"/>
            <w:vAlign w:val="center"/>
          </w:tcPr>
          <w:p w14:paraId="0BD36B57">
            <w:pPr>
              <w:widowControl/>
              <w:snapToGrid w:val="0"/>
              <w:spacing w:line="360" w:lineRule="auto"/>
              <w:jc w:val="center"/>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金额（元）</w:t>
            </w:r>
          </w:p>
        </w:tc>
        <w:tc>
          <w:tcPr>
            <w:tcW w:w="888" w:type="pct"/>
            <w:tcBorders>
              <w:top w:val="single" w:color="000000" w:sz="8" w:space="0"/>
              <w:left w:val="nil"/>
              <w:bottom w:val="single" w:color="000000" w:sz="8" w:space="0"/>
              <w:right w:val="single" w:color="000000" w:sz="8" w:space="0"/>
            </w:tcBorders>
            <w:shd w:val="clear" w:color="auto" w:fill="auto"/>
            <w:vAlign w:val="center"/>
          </w:tcPr>
          <w:p w14:paraId="547F38C1">
            <w:pPr>
              <w:widowControl/>
              <w:snapToGrid w:val="0"/>
              <w:spacing w:line="360" w:lineRule="auto"/>
              <w:jc w:val="center"/>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占基金总资产的比例（%）</w:t>
            </w:r>
          </w:p>
        </w:tc>
      </w:tr>
      <w:tr w14:paraId="3FA903BD">
        <w:tblPrEx>
          <w:tblCellMar>
            <w:top w:w="0" w:type="dxa"/>
            <w:left w:w="108" w:type="dxa"/>
            <w:bottom w:w="0" w:type="dxa"/>
            <w:right w:w="108" w:type="dxa"/>
          </w:tblCellMar>
        </w:tblPrEx>
        <w:trPr>
          <w:trHeight w:val="300" w:hRule="atLeast"/>
          <w:jc w:val="right"/>
        </w:trPr>
        <w:tc>
          <w:tcPr>
            <w:tcW w:w="507" w:type="pct"/>
            <w:tcBorders>
              <w:top w:val="nil"/>
              <w:left w:val="single" w:color="000000" w:sz="8" w:space="0"/>
              <w:bottom w:val="single" w:color="000000" w:sz="8" w:space="0"/>
              <w:right w:val="single" w:color="000000" w:sz="8" w:space="0"/>
            </w:tcBorders>
            <w:shd w:val="clear" w:color="auto" w:fill="auto"/>
            <w:vAlign w:val="bottom"/>
          </w:tcPr>
          <w:p w14:paraId="3FB258BC">
            <w:pPr>
              <w:widowControl/>
              <w:snapToGrid w:val="0"/>
              <w:spacing w:line="360" w:lineRule="auto"/>
              <w:jc w:val="center"/>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1</w:t>
            </w:r>
          </w:p>
        </w:tc>
        <w:tc>
          <w:tcPr>
            <w:tcW w:w="2169" w:type="pct"/>
            <w:tcBorders>
              <w:top w:val="nil"/>
              <w:left w:val="nil"/>
              <w:bottom w:val="single" w:color="000000" w:sz="8" w:space="0"/>
              <w:right w:val="single" w:color="000000" w:sz="8" w:space="0"/>
            </w:tcBorders>
            <w:shd w:val="clear" w:color="auto" w:fill="auto"/>
            <w:vAlign w:val="bottom"/>
          </w:tcPr>
          <w:p w14:paraId="0AFCCB87">
            <w:pPr>
              <w:widowControl/>
              <w:snapToGrid w:val="0"/>
              <w:spacing w:line="360" w:lineRule="auto"/>
              <w:jc w:val="left"/>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权益投资</w:t>
            </w:r>
          </w:p>
        </w:tc>
        <w:tc>
          <w:tcPr>
            <w:tcW w:w="2446" w:type="dxa"/>
            <w:tcBorders>
              <w:top w:val="nil"/>
              <w:left w:val="nil"/>
              <w:bottom w:val="single" w:color="000000" w:sz="8" w:space="0"/>
              <w:right w:val="single" w:color="000000" w:sz="8" w:space="0"/>
            </w:tcBorders>
            <w:shd w:val="clear" w:color="auto" w:fill="auto"/>
            <w:vAlign w:val="center"/>
          </w:tcPr>
          <w:p w14:paraId="2EAF7B36">
            <w:pPr>
              <w:jc w:val="right"/>
              <w:rPr>
                <w:rFonts w:hint="eastAsia" w:ascii="宋体" w:hAnsi="宋体" w:eastAsia="宋体" w:cs="宋体"/>
                <w:color w:val="000000"/>
                <w:kern w:val="0"/>
                <w:sz w:val="21"/>
                <w:szCs w:val="21"/>
                <w:highlight w:val="none"/>
                <w:u w:val="none"/>
                <w:lang w:eastAsia="zh-CN" w:bidi="ar"/>
              </w:rPr>
            </w:pPr>
            <w:r>
              <w:rPr>
                <w:rFonts w:hint="eastAsia" w:ascii="宋体" w:hAnsi="宋体" w:eastAsia="宋体" w:cs="宋体"/>
                <w:highlight w:val="none"/>
                <w:lang w:val="en-US" w:eastAsia="zh-CN"/>
              </w:rPr>
              <w:t>115,953,194.44</w:t>
            </w:r>
          </w:p>
        </w:tc>
        <w:tc>
          <w:tcPr>
            <w:tcW w:w="1512" w:type="dxa"/>
            <w:tcBorders>
              <w:top w:val="nil"/>
              <w:left w:val="nil"/>
              <w:bottom w:val="single" w:color="000000" w:sz="8" w:space="0"/>
              <w:right w:val="single" w:color="000000" w:sz="8" w:space="0"/>
            </w:tcBorders>
            <w:shd w:val="clear" w:color="auto" w:fill="auto"/>
            <w:vAlign w:val="center"/>
          </w:tcPr>
          <w:p w14:paraId="3287296B">
            <w:pPr>
              <w:jc w:val="right"/>
              <w:rPr>
                <w:rFonts w:hint="eastAsia" w:ascii="宋体" w:hAnsi="宋体" w:eastAsia="宋体" w:cs="宋体"/>
                <w:color w:val="000000"/>
                <w:kern w:val="0"/>
                <w:sz w:val="21"/>
                <w:szCs w:val="21"/>
                <w:highlight w:val="none"/>
                <w:u w:val="none"/>
                <w:lang w:bidi="ar"/>
              </w:rPr>
            </w:pPr>
            <w:r>
              <w:rPr>
                <w:rFonts w:hint="eastAsia" w:ascii="宋体" w:hAnsi="宋体" w:eastAsia="宋体" w:cs="宋体"/>
                <w:highlight w:val="none"/>
                <w:lang w:val="en-US" w:eastAsia="zh-CN"/>
              </w:rPr>
              <w:t>44.32</w:t>
            </w:r>
          </w:p>
        </w:tc>
      </w:tr>
      <w:tr w14:paraId="67BC5141">
        <w:tblPrEx>
          <w:tblCellMar>
            <w:top w:w="0" w:type="dxa"/>
            <w:left w:w="108" w:type="dxa"/>
            <w:bottom w:w="0" w:type="dxa"/>
            <w:right w:w="108" w:type="dxa"/>
          </w:tblCellMar>
        </w:tblPrEx>
        <w:trPr>
          <w:trHeight w:val="300" w:hRule="atLeast"/>
          <w:jc w:val="right"/>
        </w:trPr>
        <w:tc>
          <w:tcPr>
            <w:tcW w:w="507" w:type="pct"/>
            <w:tcBorders>
              <w:top w:val="nil"/>
              <w:left w:val="single" w:color="000000" w:sz="8" w:space="0"/>
              <w:bottom w:val="single" w:color="000000" w:sz="8" w:space="0"/>
              <w:right w:val="single" w:color="000000" w:sz="8" w:space="0"/>
            </w:tcBorders>
            <w:shd w:val="clear" w:color="auto" w:fill="auto"/>
            <w:vAlign w:val="bottom"/>
          </w:tcPr>
          <w:p w14:paraId="4E6B66B5">
            <w:pPr>
              <w:widowControl/>
              <w:snapToGrid w:val="0"/>
              <w:spacing w:line="360" w:lineRule="auto"/>
              <w:jc w:val="center"/>
              <w:rPr>
                <w:rFonts w:ascii="Times New Roman" w:hAnsi="Times New Roman" w:cs="Times New Roman"/>
                <w:color w:val="000000"/>
                <w:kern w:val="0"/>
                <w:szCs w:val="21"/>
                <w:highlight w:val="none"/>
              </w:rPr>
            </w:pPr>
          </w:p>
        </w:tc>
        <w:tc>
          <w:tcPr>
            <w:tcW w:w="2169" w:type="pct"/>
            <w:tcBorders>
              <w:top w:val="nil"/>
              <w:left w:val="nil"/>
              <w:bottom w:val="single" w:color="000000" w:sz="8" w:space="0"/>
              <w:right w:val="single" w:color="000000" w:sz="8" w:space="0"/>
            </w:tcBorders>
            <w:shd w:val="clear" w:color="auto" w:fill="auto"/>
            <w:vAlign w:val="bottom"/>
          </w:tcPr>
          <w:p w14:paraId="036BB6E2">
            <w:pPr>
              <w:widowControl/>
              <w:snapToGrid w:val="0"/>
              <w:spacing w:line="360" w:lineRule="auto"/>
              <w:jc w:val="left"/>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其中：股票</w:t>
            </w:r>
          </w:p>
        </w:tc>
        <w:tc>
          <w:tcPr>
            <w:tcW w:w="2446" w:type="dxa"/>
            <w:tcBorders>
              <w:top w:val="nil"/>
              <w:left w:val="nil"/>
              <w:bottom w:val="single" w:color="000000" w:sz="8" w:space="0"/>
              <w:right w:val="single" w:color="000000" w:sz="8" w:space="0"/>
            </w:tcBorders>
            <w:shd w:val="clear" w:color="auto" w:fill="auto"/>
            <w:vAlign w:val="center"/>
          </w:tcPr>
          <w:p w14:paraId="55EE801A">
            <w:pPr>
              <w:jc w:val="right"/>
              <w:rPr>
                <w:rFonts w:hint="eastAsia" w:ascii="宋体" w:hAnsi="宋体" w:eastAsia="宋体" w:cs="宋体"/>
                <w:color w:val="000000"/>
                <w:kern w:val="0"/>
                <w:sz w:val="21"/>
                <w:szCs w:val="21"/>
                <w:highlight w:val="none"/>
                <w:u w:val="none"/>
                <w:lang w:eastAsia="zh-CN" w:bidi="ar"/>
              </w:rPr>
            </w:pPr>
            <w:r>
              <w:rPr>
                <w:rFonts w:hint="eastAsia" w:ascii="宋体" w:hAnsi="宋体" w:eastAsia="宋体" w:cs="宋体"/>
                <w:highlight w:val="none"/>
                <w:lang w:val="en-US" w:eastAsia="zh-CN"/>
              </w:rPr>
              <w:t>115,953,194.44</w:t>
            </w:r>
          </w:p>
        </w:tc>
        <w:tc>
          <w:tcPr>
            <w:tcW w:w="1512" w:type="dxa"/>
            <w:tcBorders>
              <w:top w:val="nil"/>
              <w:left w:val="nil"/>
              <w:bottom w:val="single" w:color="000000" w:sz="8" w:space="0"/>
              <w:right w:val="single" w:color="000000" w:sz="8" w:space="0"/>
            </w:tcBorders>
            <w:shd w:val="clear" w:color="auto" w:fill="auto"/>
            <w:vAlign w:val="center"/>
          </w:tcPr>
          <w:p w14:paraId="74AE06E4">
            <w:pPr>
              <w:jc w:val="right"/>
              <w:rPr>
                <w:rFonts w:hint="eastAsia" w:ascii="宋体" w:hAnsi="宋体" w:eastAsia="宋体" w:cs="宋体"/>
                <w:color w:val="000000"/>
                <w:kern w:val="0"/>
                <w:sz w:val="21"/>
                <w:szCs w:val="21"/>
                <w:highlight w:val="none"/>
                <w:u w:val="none"/>
                <w:lang w:bidi="ar"/>
              </w:rPr>
            </w:pPr>
            <w:r>
              <w:rPr>
                <w:rFonts w:hint="eastAsia" w:ascii="宋体" w:hAnsi="宋体" w:eastAsia="宋体" w:cs="宋体"/>
                <w:highlight w:val="none"/>
                <w:lang w:val="en-US" w:eastAsia="zh-CN"/>
              </w:rPr>
              <w:t>44.32</w:t>
            </w:r>
          </w:p>
        </w:tc>
      </w:tr>
      <w:tr w14:paraId="12BA9D8F">
        <w:tblPrEx>
          <w:tblCellMar>
            <w:top w:w="0" w:type="dxa"/>
            <w:left w:w="108" w:type="dxa"/>
            <w:bottom w:w="0" w:type="dxa"/>
            <w:right w:w="108" w:type="dxa"/>
          </w:tblCellMar>
        </w:tblPrEx>
        <w:trPr>
          <w:trHeight w:val="300" w:hRule="atLeast"/>
          <w:jc w:val="right"/>
        </w:trPr>
        <w:tc>
          <w:tcPr>
            <w:tcW w:w="507" w:type="pct"/>
            <w:tcBorders>
              <w:top w:val="nil"/>
              <w:left w:val="single" w:color="000000" w:sz="8" w:space="0"/>
              <w:bottom w:val="single" w:color="000000" w:sz="8" w:space="0"/>
              <w:right w:val="single" w:color="000000" w:sz="8" w:space="0"/>
            </w:tcBorders>
            <w:shd w:val="clear" w:color="auto" w:fill="auto"/>
            <w:vAlign w:val="bottom"/>
          </w:tcPr>
          <w:p w14:paraId="7A36FE7C">
            <w:pPr>
              <w:widowControl/>
              <w:snapToGrid w:val="0"/>
              <w:spacing w:line="360" w:lineRule="auto"/>
              <w:jc w:val="center"/>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2</w:t>
            </w:r>
          </w:p>
        </w:tc>
        <w:tc>
          <w:tcPr>
            <w:tcW w:w="2169" w:type="pct"/>
            <w:tcBorders>
              <w:top w:val="nil"/>
              <w:left w:val="nil"/>
              <w:bottom w:val="single" w:color="000000" w:sz="8" w:space="0"/>
              <w:right w:val="single" w:color="000000" w:sz="8" w:space="0"/>
            </w:tcBorders>
            <w:shd w:val="clear" w:color="auto" w:fill="auto"/>
            <w:vAlign w:val="bottom"/>
          </w:tcPr>
          <w:p w14:paraId="1CA6DA84">
            <w:pPr>
              <w:widowControl/>
              <w:snapToGrid w:val="0"/>
              <w:spacing w:line="360" w:lineRule="auto"/>
              <w:jc w:val="left"/>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固定收益投资</w:t>
            </w:r>
          </w:p>
        </w:tc>
        <w:tc>
          <w:tcPr>
            <w:tcW w:w="2446" w:type="dxa"/>
            <w:tcBorders>
              <w:top w:val="nil"/>
              <w:left w:val="nil"/>
              <w:bottom w:val="single" w:color="000000" w:sz="8" w:space="0"/>
              <w:right w:val="single" w:color="000000" w:sz="8" w:space="0"/>
            </w:tcBorders>
            <w:shd w:val="clear" w:color="auto" w:fill="auto"/>
            <w:vAlign w:val="center"/>
          </w:tcPr>
          <w:p w14:paraId="128777E0">
            <w:pPr>
              <w:jc w:val="right"/>
              <w:rPr>
                <w:rFonts w:hint="eastAsia" w:ascii="宋体" w:hAnsi="宋体" w:eastAsia="宋体" w:cs="宋体"/>
                <w:sz w:val="21"/>
                <w:szCs w:val="21"/>
                <w:highlight w:val="none"/>
              </w:rPr>
            </w:pPr>
            <w:r>
              <w:rPr>
                <w:rFonts w:hint="eastAsia" w:ascii="宋体" w:hAnsi="宋体" w:eastAsia="宋体" w:cs="宋体"/>
                <w:highlight w:val="none"/>
                <w:lang w:val="en-US" w:eastAsia="zh-CN"/>
              </w:rPr>
              <w:t>-</w:t>
            </w:r>
          </w:p>
        </w:tc>
        <w:tc>
          <w:tcPr>
            <w:tcW w:w="1512" w:type="dxa"/>
            <w:tcBorders>
              <w:top w:val="nil"/>
              <w:left w:val="nil"/>
              <w:bottom w:val="single" w:color="000000" w:sz="8" w:space="0"/>
              <w:right w:val="single" w:color="000000" w:sz="8" w:space="0"/>
            </w:tcBorders>
            <w:shd w:val="clear" w:color="auto" w:fill="auto"/>
            <w:vAlign w:val="center"/>
          </w:tcPr>
          <w:p w14:paraId="3598BCCE">
            <w:pPr>
              <w:jc w:val="right"/>
              <w:rPr>
                <w:rFonts w:hint="eastAsia" w:ascii="宋体" w:hAnsi="宋体" w:eastAsia="宋体" w:cs="宋体"/>
                <w:sz w:val="21"/>
                <w:szCs w:val="21"/>
                <w:highlight w:val="none"/>
                <w:lang w:val="en-US" w:eastAsia="zh-CN"/>
              </w:rPr>
            </w:pPr>
            <w:r>
              <w:rPr>
                <w:rFonts w:hint="eastAsia" w:ascii="宋体" w:hAnsi="宋体" w:eastAsia="宋体" w:cs="宋体"/>
                <w:highlight w:val="none"/>
                <w:lang w:val="en-US" w:eastAsia="zh-CN"/>
              </w:rPr>
              <w:t>-</w:t>
            </w:r>
          </w:p>
        </w:tc>
      </w:tr>
      <w:tr w14:paraId="2DC4EC9E">
        <w:tblPrEx>
          <w:tblCellMar>
            <w:top w:w="0" w:type="dxa"/>
            <w:left w:w="108" w:type="dxa"/>
            <w:bottom w:w="0" w:type="dxa"/>
            <w:right w:w="108" w:type="dxa"/>
          </w:tblCellMar>
        </w:tblPrEx>
        <w:trPr>
          <w:trHeight w:val="300" w:hRule="atLeast"/>
          <w:jc w:val="right"/>
        </w:trPr>
        <w:tc>
          <w:tcPr>
            <w:tcW w:w="507" w:type="pct"/>
            <w:tcBorders>
              <w:top w:val="nil"/>
              <w:left w:val="single" w:color="000000" w:sz="8" w:space="0"/>
              <w:bottom w:val="single" w:color="000000" w:sz="8" w:space="0"/>
              <w:right w:val="single" w:color="000000" w:sz="8" w:space="0"/>
            </w:tcBorders>
            <w:shd w:val="clear" w:color="auto" w:fill="auto"/>
            <w:vAlign w:val="bottom"/>
          </w:tcPr>
          <w:p w14:paraId="193E0C05">
            <w:pPr>
              <w:widowControl/>
              <w:snapToGrid w:val="0"/>
              <w:spacing w:line="360" w:lineRule="auto"/>
              <w:jc w:val="center"/>
              <w:rPr>
                <w:rFonts w:ascii="Times New Roman" w:hAnsi="Times New Roman" w:cs="Times New Roman"/>
                <w:color w:val="000000"/>
                <w:kern w:val="0"/>
                <w:szCs w:val="21"/>
                <w:highlight w:val="none"/>
              </w:rPr>
            </w:pPr>
          </w:p>
        </w:tc>
        <w:tc>
          <w:tcPr>
            <w:tcW w:w="2169" w:type="pct"/>
            <w:tcBorders>
              <w:top w:val="nil"/>
              <w:left w:val="nil"/>
              <w:bottom w:val="single" w:color="000000" w:sz="8" w:space="0"/>
              <w:right w:val="single" w:color="000000" w:sz="8" w:space="0"/>
            </w:tcBorders>
            <w:shd w:val="clear" w:color="auto" w:fill="auto"/>
            <w:vAlign w:val="bottom"/>
          </w:tcPr>
          <w:p w14:paraId="6F6BCB3C">
            <w:pPr>
              <w:widowControl/>
              <w:snapToGrid w:val="0"/>
              <w:spacing w:line="360" w:lineRule="auto"/>
              <w:jc w:val="left"/>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其中：债券</w:t>
            </w:r>
          </w:p>
        </w:tc>
        <w:tc>
          <w:tcPr>
            <w:tcW w:w="2446" w:type="dxa"/>
            <w:tcBorders>
              <w:top w:val="nil"/>
              <w:left w:val="nil"/>
              <w:bottom w:val="single" w:color="000000" w:sz="8" w:space="0"/>
              <w:right w:val="single" w:color="000000" w:sz="8" w:space="0"/>
            </w:tcBorders>
            <w:shd w:val="clear" w:color="auto" w:fill="auto"/>
            <w:vAlign w:val="center"/>
          </w:tcPr>
          <w:p w14:paraId="1EF6225C">
            <w:pPr>
              <w:jc w:val="right"/>
              <w:rPr>
                <w:rFonts w:hint="eastAsia" w:ascii="宋体" w:hAnsi="宋体" w:eastAsia="宋体" w:cs="宋体"/>
                <w:sz w:val="21"/>
                <w:szCs w:val="21"/>
                <w:highlight w:val="none"/>
              </w:rPr>
            </w:pPr>
            <w:r>
              <w:rPr>
                <w:rFonts w:hint="eastAsia" w:ascii="宋体" w:hAnsi="宋体" w:eastAsia="宋体" w:cs="宋体"/>
                <w:highlight w:val="none"/>
                <w:lang w:val="en-US" w:eastAsia="zh-CN"/>
              </w:rPr>
              <w:t>-</w:t>
            </w:r>
          </w:p>
        </w:tc>
        <w:tc>
          <w:tcPr>
            <w:tcW w:w="1512" w:type="dxa"/>
            <w:tcBorders>
              <w:top w:val="nil"/>
              <w:left w:val="nil"/>
              <w:bottom w:val="single" w:color="000000" w:sz="8" w:space="0"/>
              <w:right w:val="single" w:color="000000" w:sz="8" w:space="0"/>
            </w:tcBorders>
            <w:shd w:val="clear" w:color="auto" w:fill="auto"/>
            <w:vAlign w:val="center"/>
          </w:tcPr>
          <w:p w14:paraId="295DA53F">
            <w:pPr>
              <w:jc w:val="right"/>
              <w:rPr>
                <w:rFonts w:hint="eastAsia" w:ascii="宋体" w:hAnsi="宋体" w:eastAsia="宋体" w:cs="宋体"/>
                <w:sz w:val="21"/>
                <w:szCs w:val="21"/>
                <w:highlight w:val="none"/>
                <w:lang w:val="en-US" w:eastAsia="zh-CN"/>
              </w:rPr>
            </w:pPr>
            <w:r>
              <w:rPr>
                <w:rFonts w:hint="eastAsia" w:ascii="宋体" w:hAnsi="宋体" w:eastAsia="宋体" w:cs="宋体"/>
                <w:highlight w:val="none"/>
                <w:lang w:val="en-US" w:eastAsia="zh-CN"/>
              </w:rPr>
              <w:t>-</w:t>
            </w:r>
          </w:p>
        </w:tc>
      </w:tr>
      <w:tr w14:paraId="0561AB1C">
        <w:tblPrEx>
          <w:tblCellMar>
            <w:top w:w="0" w:type="dxa"/>
            <w:left w:w="108" w:type="dxa"/>
            <w:bottom w:w="0" w:type="dxa"/>
            <w:right w:w="108" w:type="dxa"/>
          </w:tblCellMar>
        </w:tblPrEx>
        <w:trPr>
          <w:trHeight w:val="300" w:hRule="atLeast"/>
          <w:jc w:val="right"/>
        </w:trPr>
        <w:tc>
          <w:tcPr>
            <w:tcW w:w="507" w:type="pct"/>
            <w:tcBorders>
              <w:top w:val="nil"/>
              <w:left w:val="single" w:color="000000" w:sz="8" w:space="0"/>
              <w:bottom w:val="single" w:color="000000" w:sz="8" w:space="0"/>
              <w:right w:val="single" w:color="000000" w:sz="8" w:space="0"/>
            </w:tcBorders>
            <w:shd w:val="clear" w:color="auto" w:fill="auto"/>
            <w:vAlign w:val="bottom"/>
          </w:tcPr>
          <w:p w14:paraId="45B3D5F5">
            <w:pPr>
              <w:widowControl/>
              <w:snapToGrid w:val="0"/>
              <w:spacing w:line="360" w:lineRule="auto"/>
              <w:jc w:val="center"/>
              <w:rPr>
                <w:rFonts w:ascii="Times New Roman" w:hAnsi="Times New Roman" w:cs="Times New Roman"/>
                <w:color w:val="000000"/>
                <w:kern w:val="0"/>
                <w:szCs w:val="21"/>
                <w:highlight w:val="none"/>
              </w:rPr>
            </w:pPr>
          </w:p>
        </w:tc>
        <w:tc>
          <w:tcPr>
            <w:tcW w:w="2169" w:type="pct"/>
            <w:tcBorders>
              <w:top w:val="nil"/>
              <w:left w:val="nil"/>
              <w:bottom w:val="single" w:color="000000" w:sz="8" w:space="0"/>
              <w:right w:val="single" w:color="000000" w:sz="8" w:space="0"/>
            </w:tcBorders>
            <w:shd w:val="clear" w:color="auto" w:fill="auto"/>
            <w:vAlign w:val="bottom"/>
          </w:tcPr>
          <w:p w14:paraId="30D00C42">
            <w:pPr>
              <w:widowControl/>
              <w:snapToGrid w:val="0"/>
              <w:spacing w:line="360" w:lineRule="auto"/>
              <w:ind w:firstLine="630" w:firstLineChars="300"/>
              <w:jc w:val="left"/>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资产支持证券</w:t>
            </w:r>
          </w:p>
        </w:tc>
        <w:tc>
          <w:tcPr>
            <w:tcW w:w="2446" w:type="dxa"/>
            <w:tcBorders>
              <w:top w:val="nil"/>
              <w:left w:val="nil"/>
              <w:bottom w:val="single" w:color="000000" w:sz="8" w:space="0"/>
              <w:right w:val="single" w:color="000000" w:sz="8" w:space="0"/>
            </w:tcBorders>
            <w:shd w:val="clear" w:color="auto" w:fill="auto"/>
            <w:vAlign w:val="center"/>
          </w:tcPr>
          <w:p w14:paraId="763FD212">
            <w:pPr>
              <w:jc w:val="right"/>
              <w:rPr>
                <w:rFonts w:hint="eastAsia" w:ascii="宋体" w:hAnsi="宋体" w:eastAsia="宋体" w:cs="宋体"/>
                <w:sz w:val="21"/>
                <w:szCs w:val="21"/>
                <w:highlight w:val="none"/>
              </w:rPr>
            </w:pPr>
            <w:r>
              <w:rPr>
                <w:rFonts w:hint="eastAsia" w:ascii="宋体" w:hAnsi="宋体" w:eastAsia="宋体" w:cs="宋体"/>
                <w:highlight w:val="none"/>
                <w:lang w:val="en-US" w:eastAsia="zh-CN"/>
              </w:rPr>
              <w:t>-</w:t>
            </w:r>
          </w:p>
        </w:tc>
        <w:tc>
          <w:tcPr>
            <w:tcW w:w="1512" w:type="dxa"/>
            <w:tcBorders>
              <w:top w:val="nil"/>
              <w:left w:val="nil"/>
              <w:bottom w:val="single" w:color="000000" w:sz="8" w:space="0"/>
              <w:right w:val="single" w:color="000000" w:sz="8" w:space="0"/>
            </w:tcBorders>
            <w:shd w:val="clear" w:color="auto" w:fill="auto"/>
            <w:vAlign w:val="center"/>
          </w:tcPr>
          <w:p w14:paraId="653FCE61">
            <w:pPr>
              <w:jc w:val="right"/>
              <w:rPr>
                <w:rFonts w:hint="eastAsia" w:ascii="宋体" w:hAnsi="宋体" w:eastAsia="宋体" w:cs="宋体"/>
                <w:sz w:val="21"/>
                <w:szCs w:val="21"/>
                <w:highlight w:val="none"/>
                <w:lang w:val="en-US" w:eastAsia="zh-CN"/>
              </w:rPr>
            </w:pPr>
            <w:r>
              <w:rPr>
                <w:rFonts w:hint="eastAsia" w:ascii="宋体" w:hAnsi="宋体" w:eastAsia="宋体" w:cs="宋体"/>
                <w:highlight w:val="none"/>
                <w:lang w:val="en-US" w:eastAsia="zh-CN"/>
              </w:rPr>
              <w:t>-</w:t>
            </w:r>
          </w:p>
        </w:tc>
      </w:tr>
      <w:tr w14:paraId="586B6AC9">
        <w:tblPrEx>
          <w:tblCellMar>
            <w:top w:w="0" w:type="dxa"/>
            <w:left w:w="108" w:type="dxa"/>
            <w:bottom w:w="0" w:type="dxa"/>
            <w:right w:w="108" w:type="dxa"/>
          </w:tblCellMar>
        </w:tblPrEx>
        <w:trPr>
          <w:trHeight w:val="300" w:hRule="atLeast"/>
          <w:jc w:val="right"/>
        </w:trPr>
        <w:tc>
          <w:tcPr>
            <w:tcW w:w="507" w:type="pct"/>
            <w:tcBorders>
              <w:top w:val="nil"/>
              <w:left w:val="single" w:color="000000" w:sz="8" w:space="0"/>
              <w:bottom w:val="single" w:color="000000" w:sz="8" w:space="0"/>
              <w:right w:val="single" w:color="000000" w:sz="8" w:space="0"/>
            </w:tcBorders>
            <w:shd w:val="clear" w:color="auto" w:fill="auto"/>
            <w:vAlign w:val="bottom"/>
          </w:tcPr>
          <w:p w14:paraId="4DAA6058">
            <w:pPr>
              <w:widowControl/>
              <w:snapToGrid w:val="0"/>
              <w:spacing w:line="360" w:lineRule="auto"/>
              <w:jc w:val="center"/>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3</w:t>
            </w:r>
          </w:p>
        </w:tc>
        <w:tc>
          <w:tcPr>
            <w:tcW w:w="2169" w:type="pct"/>
            <w:tcBorders>
              <w:top w:val="nil"/>
              <w:left w:val="nil"/>
              <w:bottom w:val="single" w:color="000000" w:sz="8" w:space="0"/>
              <w:right w:val="single" w:color="000000" w:sz="8" w:space="0"/>
            </w:tcBorders>
            <w:shd w:val="clear" w:color="auto" w:fill="auto"/>
            <w:vAlign w:val="bottom"/>
          </w:tcPr>
          <w:p w14:paraId="4C620021">
            <w:pPr>
              <w:widowControl/>
              <w:snapToGrid w:val="0"/>
              <w:spacing w:line="360" w:lineRule="auto"/>
              <w:jc w:val="left"/>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金融衍生品投资</w:t>
            </w:r>
          </w:p>
        </w:tc>
        <w:tc>
          <w:tcPr>
            <w:tcW w:w="2446" w:type="dxa"/>
            <w:tcBorders>
              <w:top w:val="nil"/>
              <w:left w:val="nil"/>
              <w:bottom w:val="single" w:color="000000" w:sz="8" w:space="0"/>
              <w:right w:val="single" w:color="000000" w:sz="8" w:space="0"/>
            </w:tcBorders>
            <w:shd w:val="clear" w:color="auto" w:fill="auto"/>
            <w:vAlign w:val="center"/>
          </w:tcPr>
          <w:p w14:paraId="345B51C4">
            <w:pPr>
              <w:jc w:val="right"/>
              <w:rPr>
                <w:rFonts w:hint="eastAsia" w:ascii="宋体" w:hAnsi="宋体" w:eastAsia="宋体" w:cs="宋体"/>
                <w:sz w:val="21"/>
                <w:szCs w:val="21"/>
                <w:highlight w:val="none"/>
              </w:rPr>
            </w:pPr>
            <w:r>
              <w:rPr>
                <w:rFonts w:hint="eastAsia" w:ascii="宋体" w:hAnsi="宋体" w:eastAsia="宋体" w:cs="宋体"/>
                <w:highlight w:val="none"/>
                <w:lang w:val="en-US" w:eastAsia="zh-CN"/>
              </w:rPr>
              <w:t>-</w:t>
            </w:r>
          </w:p>
        </w:tc>
        <w:tc>
          <w:tcPr>
            <w:tcW w:w="1512" w:type="dxa"/>
            <w:tcBorders>
              <w:top w:val="nil"/>
              <w:left w:val="nil"/>
              <w:bottom w:val="single" w:color="000000" w:sz="8" w:space="0"/>
              <w:right w:val="single" w:color="000000" w:sz="8" w:space="0"/>
            </w:tcBorders>
            <w:shd w:val="clear" w:color="auto" w:fill="auto"/>
            <w:vAlign w:val="center"/>
          </w:tcPr>
          <w:p w14:paraId="76FF3694">
            <w:pPr>
              <w:jc w:val="right"/>
              <w:rPr>
                <w:rFonts w:hint="eastAsia" w:ascii="宋体" w:hAnsi="宋体" w:eastAsia="宋体" w:cs="宋体"/>
                <w:sz w:val="21"/>
                <w:szCs w:val="21"/>
                <w:highlight w:val="none"/>
                <w:lang w:val="en-US" w:eastAsia="zh-CN"/>
              </w:rPr>
            </w:pPr>
            <w:r>
              <w:rPr>
                <w:rFonts w:hint="eastAsia" w:ascii="宋体" w:hAnsi="宋体" w:eastAsia="宋体" w:cs="宋体"/>
                <w:highlight w:val="none"/>
                <w:lang w:val="en-US" w:eastAsia="zh-CN"/>
              </w:rPr>
              <w:t>-</w:t>
            </w:r>
          </w:p>
        </w:tc>
      </w:tr>
      <w:tr w14:paraId="27FD7B56">
        <w:tblPrEx>
          <w:tblCellMar>
            <w:top w:w="0" w:type="dxa"/>
            <w:left w:w="108" w:type="dxa"/>
            <w:bottom w:w="0" w:type="dxa"/>
            <w:right w:w="108" w:type="dxa"/>
          </w:tblCellMar>
        </w:tblPrEx>
        <w:trPr>
          <w:trHeight w:val="300" w:hRule="atLeast"/>
          <w:jc w:val="right"/>
        </w:trPr>
        <w:tc>
          <w:tcPr>
            <w:tcW w:w="507" w:type="pct"/>
            <w:tcBorders>
              <w:top w:val="nil"/>
              <w:left w:val="single" w:color="000000" w:sz="8" w:space="0"/>
              <w:bottom w:val="single" w:color="000000" w:sz="8" w:space="0"/>
              <w:right w:val="single" w:color="000000" w:sz="8" w:space="0"/>
            </w:tcBorders>
            <w:shd w:val="clear" w:color="auto" w:fill="auto"/>
            <w:vAlign w:val="bottom"/>
          </w:tcPr>
          <w:p w14:paraId="26C1CF54">
            <w:pPr>
              <w:widowControl/>
              <w:snapToGrid w:val="0"/>
              <w:spacing w:line="360" w:lineRule="auto"/>
              <w:jc w:val="center"/>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4</w:t>
            </w:r>
          </w:p>
        </w:tc>
        <w:tc>
          <w:tcPr>
            <w:tcW w:w="2169" w:type="pct"/>
            <w:tcBorders>
              <w:top w:val="nil"/>
              <w:left w:val="nil"/>
              <w:bottom w:val="single" w:color="000000" w:sz="8" w:space="0"/>
              <w:right w:val="single" w:color="000000" w:sz="8" w:space="0"/>
            </w:tcBorders>
            <w:shd w:val="clear" w:color="auto" w:fill="auto"/>
            <w:vAlign w:val="bottom"/>
          </w:tcPr>
          <w:p w14:paraId="34F56D6D">
            <w:pPr>
              <w:widowControl/>
              <w:snapToGrid w:val="0"/>
              <w:spacing w:line="360" w:lineRule="auto"/>
              <w:jc w:val="left"/>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买入返售金融资产</w:t>
            </w:r>
          </w:p>
        </w:tc>
        <w:tc>
          <w:tcPr>
            <w:tcW w:w="2446" w:type="dxa"/>
            <w:tcBorders>
              <w:top w:val="nil"/>
              <w:left w:val="nil"/>
              <w:bottom w:val="single" w:color="000000" w:sz="8" w:space="0"/>
              <w:right w:val="single" w:color="000000" w:sz="8" w:space="0"/>
            </w:tcBorders>
            <w:shd w:val="clear" w:color="auto" w:fill="auto"/>
            <w:vAlign w:val="center"/>
          </w:tcPr>
          <w:p w14:paraId="1F25D680">
            <w:pPr>
              <w:jc w:val="right"/>
              <w:rPr>
                <w:rFonts w:hint="eastAsia" w:ascii="宋体" w:hAnsi="宋体" w:eastAsia="宋体" w:cs="宋体"/>
                <w:sz w:val="21"/>
                <w:szCs w:val="21"/>
                <w:highlight w:val="none"/>
              </w:rPr>
            </w:pPr>
            <w:r>
              <w:rPr>
                <w:rFonts w:hint="eastAsia" w:ascii="宋体" w:hAnsi="宋体" w:eastAsia="宋体" w:cs="宋体"/>
                <w:highlight w:val="none"/>
                <w:lang w:val="en-US" w:eastAsia="zh-CN"/>
              </w:rPr>
              <w:t>-</w:t>
            </w:r>
          </w:p>
        </w:tc>
        <w:tc>
          <w:tcPr>
            <w:tcW w:w="1512" w:type="dxa"/>
            <w:tcBorders>
              <w:top w:val="nil"/>
              <w:left w:val="nil"/>
              <w:bottom w:val="single" w:color="000000" w:sz="8" w:space="0"/>
              <w:right w:val="single" w:color="000000" w:sz="8" w:space="0"/>
            </w:tcBorders>
            <w:shd w:val="clear" w:color="auto" w:fill="auto"/>
            <w:vAlign w:val="center"/>
          </w:tcPr>
          <w:p w14:paraId="30108E12">
            <w:pPr>
              <w:jc w:val="right"/>
              <w:rPr>
                <w:rFonts w:hint="eastAsia" w:ascii="宋体" w:hAnsi="宋体" w:eastAsia="宋体" w:cs="宋体"/>
                <w:sz w:val="21"/>
                <w:szCs w:val="21"/>
                <w:highlight w:val="none"/>
                <w:lang w:val="en-US" w:eastAsia="zh-CN"/>
              </w:rPr>
            </w:pPr>
            <w:r>
              <w:rPr>
                <w:rFonts w:hint="eastAsia" w:ascii="宋体" w:hAnsi="宋体" w:eastAsia="宋体" w:cs="宋体"/>
                <w:highlight w:val="none"/>
                <w:lang w:val="en-US" w:eastAsia="zh-CN"/>
              </w:rPr>
              <w:t>-</w:t>
            </w:r>
          </w:p>
        </w:tc>
      </w:tr>
      <w:tr w14:paraId="50619FE2">
        <w:tblPrEx>
          <w:tblCellMar>
            <w:top w:w="0" w:type="dxa"/>
            <w:left w:w="108" w:type="dxa"/>
            <w:bottom w:w="0" w:type="dxa"/>
            <w:right w:w="108" w:type="dxa"/>
          </w:tblCellMar>
        </w:tblPrEx>
        <w:trPr>
          <w:trHeight w:val="300" w:hRule="atLeast"/>
          <w:jc w:val="right"/>
        </w:trPr>
        <w:tc>
          <w:tcPr>
            <w:tcW w:w="507" w:type="pct"/>
            <w:tcBorders>
              <w:top w:val="nil"/>
              <w:left w:val="single" w:color="000000" w:sz="8" w:space="0"/>
              <w:bottom w:val="single" w:color="000000" w:sz="8" w:space="0"/>
              <w:right w:val="single" w:color="000000" w:sz="8" w:space="0"/>
            </w:tcBorders>
            <w:shd w:val="clear" w:color="auto" w:fill="auto"/>
            <w:vAlign w:val="bottom"/>
          </w:tcPr>
          <w:p w14:paraId="37F1799E">
            <w:pPr>
              <w:widowControl/>
              <w:snapToGrid w:val="0"/>
              <w:spacing w:line="360" w:lineRule="auto"/>
              <w:jc w:val="center"/>
              <w:rPr>
                <w:rFonts w:ascii="Times New Roman" w:hAnsi="Times New Roman" w:cs="Times New Roman"/>
                <w:color w:val="000000"/>
                <w:kern w:val="0"/>
                <w:szCs w:val="21"/>
                <w:highlight w:val="none"/>
              </w:rPr>
            </w:pPr>
          </w:p>
        </w:tc>
        <w:tc>
          <w:tcPr>
            <w:tcW w:w="2169" w:type="pct"/>
            <w:tcBorders>
              <w:top w:val="nil"/>
              <w:left w:val="nil"/>
              <w:bottom w:val="single" w:color="000000" w:sz="8" w:space="0"/>
              <w:right w:val="single" w:color="000000" w:sz="8" w:space="0"/>
            </w:tcBorders>
            <w:shd w:val="clear" w:color="auto" w:fill="auto"/>
            <w:vAlign w:val="bottom"/>
          </w:tcPr>
          <w:p w14:paraId="01BFD9C1">
            <w:pPr>
              <w:widowControl/>
              <w:snapToGrid w:val="0"/>
              <w:spacing w:line="360" w:lineRule="auto"/>
              <w:jc w:val="center"/>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其中：买断式回购的买入返售金融资产</w:t>
            </w:r>
          </w:p>
        </w:tc>
        <w:tc>
          <w:tcPr>
            <w:tcW w:w="2446" w:type="dxa"/>
            <w:tcBorders>
              <w:top w:val="nil"/>
              <w:left w:val="nil"/>
              <w:bottom w:val="single" w:color="000000" w:sz="8" w:space="0"/>
              <w:right w:val="single" w:color="000000" w:sz="8" w:space="0"/>
            </w:tcBorders>
            <w:shd w:val="clear" w:color="auto" w:fill="auto"/>
            <w:vAlign w:val="center"/>
          </w:tcPr>
          <w:p w14:paraId="0AFF7DA1">
            <w:pPr>
              <w:jc w:val="right"/>
              <w:rPr>
                <w:rFonts w:hint="eastAsia" w:ascii="宋体" w:hAnsi="宋体" w:eastAsia="宋体" w:cs="宋体"/>
                <w:sz w:val="21"/>
                <w:szCs w:val="21"/>
                <w:highlight w:val="none"/>
              </w:rPr>
            </w:pPr>
            <w:r>
              <w:rPr>
                <w:rFonts w:hint="eastAsia" w:ascii="宋体" w:hAnsi="宋体" w:eastAsia="宋体" w:cs="宋体"/>
                <w:highlight w:val="none"/>
                <w:lang w:val="en-US" w:eastAsia="zh-CN"/>
              </w:rPr>
              <w:t>-</w:t>
            </w:r>
          </w:p>
        </w:tc>
        <w:tc>
          <w:tcPr>
            <w:tcW w:w="1512" w:type="dxa"/>
            <w:tcBorders>
              <w:top w:val="nil"/>
              <w:left w:val="nil"/>
              <w:bottom w:val="single" w:color="000000" w:sz="8" w:space="0"/>
              <w:right w:val="single" w:color="000000" w:sz="8" w:space="0"/>
            </w:tcBorders>
            <w:shd w:val="clear" w:color="auto" w:fill="auto"/>
            <w:vAlign w:val="center"/>
          </w:tcPr>
          <w:p w14:paraId="256E9B60">
            <w:pPr>
              <w:jc w:val="right"/>
              <w:rPr>
                <w:rFonts w:hint="eastAsia" w:ascii="宋体" w:hAnsi="宋体" w:eastAsia="宋体" w:cs="宋体"/>
                <w:sz w:val="21"/>
                <w:szCs w:val="21"/>
                <w:highlight w:val="none"/>
                <w:lang w:val="en-US" w:eastAsia="zh-CN"/>
              </w:rPr>
            </w:pPr>
            <w:r>
              <w:rPr>
                <w:rFonts w:hint="eastAsia" w:ascii="宋体" w:hAnsi="宋体" w:eastAsia="宋体" w:cs="宋体"/>
                <w:highlight w:val="none"/>
                <w:lang w:val="en-US" w:eastAsia="zh-CN"/>
              </w:rPr>
              <w:t>-</w:t>
            </w:r>
          </w:p>
        </w:tc>
      </w:tr>
      <w:tr w14:paraId="62722546">
        <w:tblPrEx>
          <w:tblCellMar>
            <w:top w:w="0" w:type="dxa"/>
            <w:left w:w="108" w:type="dxa"/>
            <w:bottom w:w="0" w:type="dxa"/>
            <w:right w:w="108" w:type="dxa"/>
          </w:tblCellMar>
        </w:tblPrEx>
        <w:trPr>
          <w:trHeight w:val="480" w:hRule="atLeast"/>
          <w:jc w:val="right"/>
        </w:trPr>
        <w:tc>
          <w:tcPr>
            <w:tcW w:w="507" w:type="pct"/>
            <w:tcBorders>
              <w:top w:val="nil"/>
              <w:left w:val="single" w:color="000000" w:sz="8" w:space="0"/>
              <w:bottom w:val="single" w:color="000000" w:sz="8" w:space="0"/>
              <w:right w:val="single" w:color="000000" w:sz="8" w:space="0"/>
            </w:tcBorders>
            <w:shd w:val="clear" w:color="auto" w:fill="auto"/>
            <w:vAlign w:val="bottom"/>
          </w:tcPr>
          <w:p w14:paraId="24C0CF5D">
            <w:pPr>
              <w:widowControl/>
              <w:snapToGrid w:val="0"/>
              <w:spacing w:line="360" w:lineRule="auto"/>
              <w:jc w:val="center"/>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5</w:t>
            </w:r>
          </w:p>
        </w:tc>
        <w:tc>
          <w:tcPr>
            <w:tcW w:w="2169" w:type="pct"/>
            <w:tcBorders>
              <w:top w:val="nil"/>
              <w:left w:val="nil"/>
              <w:bottom w:val="single" w:color="000000" w:sz="8" w:space="0"/>
              <w:right w:val="single" w:color="000000" w:sz="8" w:space="0"/>
            </w:tcBorders>
            <w:shd w:val="clear" w:color="auto" w:fill="auto"/>
            <w:vAlign w:val="bottom"/>
          </w:tcPr>
          <w:p w14:paraId="2DE9B8F8">
            <w:pPr>
              <w:widowControl/>
              <w:snapToGrid w:val="0"/>
              <w:spacing w:line="360" w:lineRule="auto"/>
              <w:jc w:val="left"/>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银行存款和结算备付金合计</w:t>
            </w:r>
          </w:p>
        </w:tc>
        <w:tc>
          <w:tcPr>
            <w:tcW w:w="2446" w:type="dxa"/>
            <w:tcBorders>
              <w:top w:val="nil"/>
              <w:left w:val="nil"/>
              <w:bottom w:val="single" w:color="000000" w:sz="8" w:space="0"/>
              <w:right w:val="single" w:color="000000" w:sz="8" w:space="0"/>
            </w:tcBorders>
            <w:shd w:val="clear" w:color="auto" w:fill="auto"/>
            <w:vAlign w:val="center"/>
          </w:tcPr>
          <w:p w14:paraId="64753800">
            <w:pPr>
              <w:jc w:val="right"/>
              <w:rPr>
                <w:rFonts w:hint="eastAsia" w:ascii="宋体" w:hAnsi="宋体" w:eastAsia="宋体" w:cs="宋体"/>
                <w:color w:val="000000"/>
                <w:kern w:val="0"/>
                <w:sz w:val="21"/>
                <w:szCs w:val="21"/>
                <w:highlight w:val="none"/>
                <w:u w:val="none"/>
                <w:lang w:bidi="ar"/>
              </w:rPr>
            </w:pPr>
            <w:r>
              <w:rPr>
                <w:rFonts w:hint="eastAsia" w:ascii="宋体" w:hAnsi="宋体" w:eastAsia="宋体" w:cs="宋体"/>
                <w:highlight w:val="none"/>
                <w:lang w:val="en-US" w:eastAsia="zh-CN"/>
              </w:rPr>
              <w:t>145,668,631.08</w:t>
            </w:r>
          </w:p>
        </w:tc>
        <w:tc>
          <w:tcPr>
            <w:tcW w:w="1512" w:type="dxa"/>
            <w:tcBorders>
              <w:top w:val="nil"/>
              <w:left w:val="nil"/>
              <w:bottom w:val="single" w:color="000000" w:sz="8" w:space="0"/>
              <w:right w:val="single" w:color="000000" w:sz="8" w:space="0"/>
            </w:tcBorders>
            <w:shd w:val="clear" w:color="auto" w:fill="auto"/>
            <w:vAlign w:val="center"/>
          </w:tcPr>
          <w:p w14:paraId="0475F265">
            <w:pPr>
              <w:jc w:val="right"/>
              <w:rPr>
                <w:rFonts w:hint="eastAsia" w:ascii="宋体" w:hAnsi="宋体" w:eastAsia="宋体" w:cs="宋体"/>
                <w:color w:val="000000"/>
                <w:kern w:val="0"/>
                <w:sz w:val="21"/>
                <w:szCs w:val="21"/>
                <w:highlight w:val="none"/>
                <w:u w:val="none"/>
                <w:lang w:bidi="ar"/>
              </w:rPr>
            </w:pPr>
            <w:r>
              <w:rPr>
                <w:rFonts w:hint="eastAsia" w:ascii="宋体" w:hAnsi="宋体" w:eastAsia="宋体" w:cs="宋体"/>
                <w:highlight w:val="none"/>
                <w:lang w:val="en-US" w:eastAsia="zh-CN"/>
              </w:rPr>
              <w:t>55.68</w:t>
            </w:r>
          </w:p>
        </w:tc>
      </w:tr>
      <w:tr w14:paraId="020FFD46">
        <w:tblPrEx>
          <w:tblCellMar>
            <w:top w:w="0" w:type="dxa"/>
            <w:left w:w="108" w:type="dxa"/>
            <w:bottom w:w="0" w:type="dxa"/>
            <w:right w:w="108" w:type="dxa"/>
          </w:tblCellMar>
        </w:tblPrEx>
        <w:trPr>
          <w:trHeight w:val="300" w:hRule="atLeast"/>
          <w:jc w:val="right"/>
        </w:trPr>
        <w:tc>
          <w:tcPr>
            <w:tcW w:w="507" w:type="pct"/>
            <w:tcBorders>
              <w:top w:val="nil"/>
              <w:left w:val="single" w:color="000000" w:sz="8" w:space="0"/>
              <w:bottom w:val="single" w:color="000000" w:sz="8" w:space="0"/>
              <w:right w:val="single" w:color="000000" w:sz="8" w:space="0"/>
            </w:tcBorders>
            <w:shd w:val="clear" w:color="auto" w:fill="auto"/>
            <w:vAlign w:val="bottom"/>
          </w:tcPr>
          <w:p w14:paraId="5C8679ED">
            <w:pPr>
              <w:widowControl/>
              <w:snapToGrid w:val="0"/>
              <w:spacing w:line="360" w:lineRule="auto"/>
              <w:jc w:val="center"/>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6</w:t>
            </w:r>
          </w:p>
        </w:tc>
        <w:tc>
          <w:tcPr>
            <w:tcW w:w="2169" w:type="pct"/>
            <w:tcBorders>
              <w:top w:val="nil"/>
              <w:left w:val="nil"/>
              <w:bottom w:val="single" w:color="000000" w:sz="8" w:space="0"/>
              <w:right w:val="single" w:color="000000" w:sz="8" w:space="0"/>
            </w:tcBorders>
            <w:shd w:val="clear" w:color="auto" w:fill="auto"/>
            <w:vAlign w:val="bottom"/>
          </w:tcPr>
          <w:p w14:paraId="3EEBC8E3">
            <w:pPr>
              <w:widowControl/>
              <w:snapToGrid w:val="0"/>
              <w:spacing w:line="360" w:lineRule="auto"/>
              <w:jc w:val="left"/>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其他资产</w:t>
            </w:r>
          </w:p>
        </w:tc>
        <w:tc>
          <w:tcPr>
            <w:tcW w:w="2446" w:type="dxa"/>
            <w:tcBorders>
              <w:top w:val="nil"/>
              <w:left w:val="nil"/>
              <w:bottom w:val="single" w:color="000000" w:sz="8" w:space="0"/>
              <w:right w:val="single" w:color="000000" w:sz="8" w:space="0"/>
            </w:tcBorders>
            <w:shd w:val="clear" w:color="auto" w:fill="auto"/>
            <w:vAlign w:val="center"/>
          </w:tcPr>
          <w:p w14:paraId="3E2ACBC2">
            <w:pPr>
              <w:jc w:val="right"/>
              <w:rPr>
                <w:rFonts w:hint="eastAsia" w:ascii="宋体" w:hAnsi="宋体" w:eastAsia="宋体" w:cs="宋体"/>
                <w:color w:val="000000"/>
                <w:kern w:val="0"/>
                <w:sz w:val="21"/>
                <w:szCs w:val="21"/>
                <w:highlight w:val="none"/>
                <w:u w:val="none"/>
                <w:lang w:bidi="ar"/>
              </w:rPr>
            </w:pPr>
            <w:r>
              <w:rPr>
                <w:rFonts w:hint="eastAsia" w:ascii="宋体" w:hAnsi="宋体" w:eastAsia="宋体" w:cs="宋体"/>
                <w:highlight w:val="none"/>
                <w:lang w:val="en-US" w:eastAsia="zh-CN"/>
              </w:rPr>
              <w:t>-</w:t>
            </w:r>
          </w:p>
        </w:tc>
        <w:tc>
          <w:tcPr>
            <w:tcW w:w="1512" w:type="dxa"/>
            <w:tcBorders>
              <w:top w:val="nil"/>
              <w:left w:val="nil"/>
              <w:bottom w:val="single" w:color="000000" w:sz="8" w:space="0"/>
              <w:right w:val="single" w:color="000000" w:sz="8" w:space="0"/>
            </w:tcBorders>
            <w:shd w:val="clear" w:color="auto" w:fill="auto"/>
            <w:vAlign w:val="center"/>
          </w:tcPr>
          <w:p w14:paraId="5B749C78">
            <w:pPr>
              <w:jc w:val="right"/>
              <w:rPr>
                <w:rFonts w:hint="eastAsia" w:ascii="宋体" w:hAnsi="宋体" w:eastAsia="宋体" w:cs="宋体"/>
                <w:color w:val="000000"/>
                <w:kern w:val="0"/>
                <w:sz w:val="21"/>
                <w:szCs w:val="21"/>
                <w:highlight w:val="none"/>
                <w:u w:val="none"/>
                <w:lang w:val="en-US" w:eastAsia="zh-CN" w:bidi="ar"/>
              </w:rPr>
            </w:pPr>
            <w:r>
              <w:rPr>
                <w:rFonts w:hint="eastAsia" w:ascii="宋体" w:hAnsi="宋体" w:eastAsia="宋体" w:cs="宋体"/>
                <w:highlight w:val="none"/>
                <w:lang w:val="en-US" w:eastAsia="zh-CN"/>
              </w:rPr>
              <w:t>-</w:t>
            </w:r>
          </w:p>
        </w:tc>
      </w:tr>
      <w:tr w14:paraId="08477E14">
        <w:tblPrEx>
          <w:tblCellMar>
            <w:top w:w="0" w:type="dxa"/>
            <w:left w:w="108" w:type="dxa"/>
            <w:bottom w:w="0" w:type="dxa"/>
            <w:right w:w="108" w:type="dxa"/>
          </w:tblCellMar>
        </w:tblPrEx>
        <w:trPr>
          <w:trHeight w:val="300" w:hRule="atLeast"/>
          <w:jc w:val="right"/>
        </w:trPr>
        <w:tc>
          <w:tcPr>
            <w:tcW w:w="507" w:type="pct"/>
            <w:tcBorders>
              <w:top w:val="nil"/>
              <w:left w:val="single" w:color="000000" w:sz="8" w:space="0"/>
              <w:bottom w:val="single" w:color="000000" w:sz="8" w:space="0"/>
              <w:right w:val="single" w:color="000000" w:sz="8" w:space="0"/>
            </w:tcBorders>
            <w:shd w:val="clear" w:color="auto" w:fill="auto"/>
            <w:vAlign w:val="bottom"/>
          </w:tcPr>
          <w:p w14:paraId="262057F3">
            <w:pPr>
              <w:widowControl/>
              <w:snapToGrid w:val="0"/>
              <w:spacing w:line="360" w:lineRule="auto"/>
              <w:jc w:val="center"/>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7</w:t>
            </w:r>
          </w:p>
        </w:tc>
        <w:tc>
          <w:tcPr>
            <w:tcW w:w="2169" w:type="pct"/>
            <w:tcBorders>
              <w:top w:val="nil"/>
              <w:left w:val="nil"/>
              <w:bottom w:val="single" w:color="000000" w:sz="8" w:space="0"/>
              <w:right w:val="single" w:color="000000" w:sz="8" w:space="0"/>
            </w:tcBorders>
            <w:shd w:val="clear" w:color="auto" w:fill="auto"/>
            <w:vAlign w:val="bottom"/>
          </w:tcPr>
          <w:p w14:paraId="1DC6E1E7">
            <w:pPr>
              <w:widowControl/>
              <w:snapToGrid w:val="0"/>
              <w:spacing w:line="360" w:lineRule="auto"/>
              <w:jc w:val="left"/>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合计</w:t>
            </w:r>
          </w:p>
        </w:tc>
        <w:tc>
          <w:tcPr>
            <w:tcW w:w="2446" w:type="dxa"/>
            <w:tcBorders>
              <w:top w:val="nil"/>
              <w:left w:val="nil"/>
              <w:bottom w:val="single" w:color="000000" w:sz="8" w:space="0"/>
              <w:right w:val="single" w:color="000000" w:sz="8" w:space="0"/>
            </w:tcBorders>
            <w:shd w:val="clear" w:color="auto" w:fill="auto"/>
            <w:vAlign w:val="center"/>
          </w:tcPr>
          <w:p w14:paraId="3AE2B92D">
            <w:pPr>
              <w:jc w:val="right"/>
              <w:rPr>
                <w:rFonts w:hint="eastAsia" w:ascii="宋体" w:hAnsi="宋体" w:eastAsia="宋体" w:cs="宋体"/>
                <w:color w:val="000000"/>
                <w:kern w:val="0"/>
                <w:sz w:val="21"/>
                <w:szCs w:val="21"/>
                <w:highlight w:val="none"/>
                <w:u w:val="none"/>
                <w:lang w:bidi="ar"/>
              </w:rPr>
            </w:pPr>
            <w:r>
              <w:rPr>
                <w:rFonts w:hint="eastAsia" w:ascii="宋体" w:hAnsi="宋体" w:eastAsia="宋体" w:cs="宋体"/>
                <w:highlight w:val="none"/>
                <w:lang w:val="en-US" w:eastAsia="zh-CN"/>
              </w:rPr>
              <w:t>261,621,825.52</w:t>
            </w:r>
          </w:p>
        </w:tc>
        <w:tc>
          <w:tcPr>
            <w:tcW w:w="1512" w:type="dxa"/>
            <w:tcBorders>
              <w:top w:val="nil"/>
              <w:left w:val="nil"/>
              <w:bottom w:val="single" w:color="000000" w:sz="8" w:space="0"/>
              <w:right w:val="single" w:color="000000" w:sz="8" w:space="0"/>
            </w:tcBorders>
            <w:shd w:val="clear" w:color="auto" w:fill="auto"/>
            <w:vAlign w:val="center"/>
          </w:tcPr>
          <w:p w14:paraId="542E9C83">
            <w:pPr>
              <w:jc w:val="right"/>
              <w:rPr>
                <w:rFonts w:hint="default" w:ascii="宋体" w:hAnsi="宋体" w:eastAsia="宋体" w:cs="宋体"/>
                <w:color w:val="000000"/>
                <w:kern w:val="0"/>
                <w:sz w:val="21"/>
                <w:szCs w:val="21"/>
                <w:highlight w:val="none"/>
                <w:u w:val="none"/>
                <w:lang w:val="en-US" w:bidi="ar"/>
              </w:rPr>
            </w:pPr>
            <w:r>
              <w:rPr>
                <w:rFonts w:hint="eastAsia" w:ascii="宋体" w:hAnsi="宋体" w:eastAsia="宋体" w:cs="宋体"/>
                <w:highlight w:val="none"/>
                <w:lang w:val="en-US" w:eastAsia="zh-CN"/>
              </w:rPr>
              <w:t>100.00</w:t>
            </w:r>
          </w:p>
        </w:tc>
      </w:tr>
    </w:tbl>
    <w:p w14:paraId="7152536B">
      <w:pPr>
        <w:widowControl/>
        <w:numPr>
          <w:ilvl w:val="0"/>
          <w:numId w:val="2"/>
        </w:numPr>
        <w:adjustRightInd w:val="0"/>
        <w:snapToGrid w:val="0"/>
        <w:spacing w:before="156" w:beforeLines="50"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按行业分类的股票投资组合</w:t>
      </w:r>
    </w:p>
    <w:tbl>
      <w:tblPr>
        <w:tblStyle w:val="11"/>
        <w:tblW w:w="5000" w:type="pct"/>
        <w:tblInd w:w="0" w:type="dxa"/>
        <w:tblLayout w:type="autofit"/>
        <w:tblCellMar>
          <w:top w:w="0" w:type="dxa"/>
          <w:left w:w="108" w:type="dxa"/>
          <w:bottom w:w="0" w:type="dxa"/>
          <w:right w:w="108" w:type="dxa"/>
        </w:tblCellMar>
      </w:tblPr>
      <w:tblGrid>
        <w:gridCol w:w="806"/>
        <w:gridCol w:w="4261"/>
        <w:gridCol w:w="2264"/>
        <w:gridCol w:w="1185"/>
      </w:tblGrid>
      <w:tr w14:paraId="62D2E696">
        <w:tblPrEx>
          <w:tblCellMar>
            <w:top w:w="0" w:type="dxa"/>
            <w:left w:w="108" w:type="dxa"/>
            <w:bottom w:w="0" w:type="dxa"/>
            <w:right w:w="108" w:type="dxa"/>
          </w:tblCellMar>
        </w:tblPrEx>
        <w:trPr>
          <w:trHeight w:val="300" w:hRule="atLeast"/>
        </w:trPr>
        <w:tc>
          <w:tcPr>
            <w:tcW w:w="47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032D285B">
            <w:pPr>
              <w:adjustRightInd w:val="0"/>
              <w:snapToGrid w:val="0"/>
              <w:spacing w:line="360" w:lineRule="auto"/>
              <w:jc w:val="center"/>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代码</w:t>
            </w:r>
          </w:p>
        </w:tc>
        <w:tc>
          <w:tcPr>
            <w:tcW w:w="2501" w:type="pct"/>
            <w:tcBorders>
              <w:top w:val="single" w:color="000000" w:sz="8" w:space="0"/>
              <w:left w:val="nil"/>
              <w:bottom w:val="single" w:color="000000" w:sz="8" w:space="0"/>
              <w:right w:val="single" w:color="000000" w:sz="8" w:space="0"/>
            </w:tcBorders>
            <w:shd w:val="clear" w:color="auto" w:fill="auto"/>
            <w:vAlign w:val="center"/>
          </w:tcPr>
          <w:p w14:paraId="12153F6B">
            <w:pPr>
              <w:adjustRightInd w:val="0"/>
              <w:snapToGrid w:val="0"/>
              <w:spacing w:line="360" w:lineRule="auto"/>
              <w:jc w:val="center"/>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行业类别</w:t>
            </w:r>
          </w:p>
        </w:tc>
        <w:tc>
          <w:tcPr>
            <w:tcW w:w="1329" w:type="pct"/>
            <w:tcBorders>
              <w:top w:val="single" w:color="000000" w:sz="8" w:space="0"/>
              <w:left w:val="nil"/>
              <w:bottom w:val="single" w:color="000000" w:sz="8" w:space="0"/>
              <w:right w:val="single" w:color="000000" w:sz="8" w:space="0"/>
            </w:tcBorders>
            <w:shd w:val="clear" w:color="auto" w:fill="auto"/>
            <w:vAlign w:val="center"/>
          </w:tcPr>
          <w:p w14:paraId="3576FC63">
            <w:pPr>
              <w:adjustRightInd w:val="0"/>
              <w:snapToGrid w:val="0"/>
              <w:spacing w:line="360" w:lineRule="auto"/>
              <w:jc w:val="center"/>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公允价值（元）</w:t>
            </w:r>
          </w:p>
        </w:tc>
        <w:tc>
          <w:tcPr>
            <w:tcW w:w="695" w:type="pct"/>
            <w:tcBorders>
              <w:top w:val="single" w:color="000000" w:sz="8" w:space="0"/>
              <w:left w:val="nil"/>
              <w:bottom w:val="single" w:color="000000" w:sz="8" w:space="0"/>
              <w:right w:val="single" w:color="000000" w:sz="8" w:space="0"/>
            </w:tcBorders>
            <w:shd w:val="clear" w:color="auto" w:fill="auto"/>
            <w:vAlign w:val="center"/>
          </w:tcPr>
          <w:p w14:paraId="078AB475">
            <w:pPr>
              <w:adjustRightInd w:val="0"/>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占基金资产净值比例（％）</w:t>
            </w:r>
          </w:p>
        </w:tc>
      </w:tr>
      <w:tr w14:paraId="57ECA392">
        <w:tblPrEx>
          <w:tblCellMar>
            <w:top w:w="0" w:type="dxa"/>
            <w:left w:w="108" w:type="dxa"/>
            <w:bottom w:w="0" w:type="dxa"/>
            <w:right w:w="108" w:type="dxa"/>
          </w:tblCellMar>
        </w:tblPrEx>
        <w:trPr>
          <w:trHeight w:val="300" w:hRule="atLeast"/>
        </w:trPr>
        <w:tc>
          <w:tcPr>
            <w:tcW w:w="47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079C5C03">
            <w:pPr>
              <w:adjustRightInd w:val="0"/>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A</w:t>
            </w:r>
          </w:p>
        </w:tc>
        <w:tc>
          <w:tcPr>
            <w:tcW w:w="2501" w:type="pct"/>
            <w:tcBorders>
              <w:top w:val="single" w:color="000000" w:sz="8" w:space="0"/>
              <w:left w:val="nil"/>
              <w:bottom w:val="single" w:color="000000" w:sz="8" w:space="0"/>
              <w:right w:val="single" w:color="000000" w:sz="8" w:space="0"/>
            </w:tcBorders>
            <w:shd w:val="clear" w:color="auto" w:fill="auto"/>
            <w:vAlign w:val="center"/>
          </w:tcPr>
          <w:p w14:paraId="3499EC23">
            <w:pPr>
              <w:adjustRightInd w:val="0"/>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农、林、牧、渔业</w:t>
            </w:r>
          </w:p>
        </w:tc>
        <w:tc>
          <w:tcPr>
            <w:tcW w:w="2264" w:type="dxa"/>
            <w:tcBorders>
              <w:top w:val="single" w:color="000000" w:sz="8" w:space="0"/>
              <w:left w:val="nil"/>
              <w:bottom w:val="single" w:color="000000" w:sz="8" w:space="0"/>
              <w:right w:val="single" w:color="000000" w:sz="8" w:space="0"/>
            </w:tcBorders>
            <w:shd w:val="clear" w:color="auto" w:fill="auto"/>
            <w:vAlign w:val="center"/>
          </w:tcPr>
          <w:p w14:paraId="3A056CE0">
            <w:pPr>
              <w:keepNext w:val="0"/>
              <w:keepLines w:val="0"/>
              <w:widowControl/>
              <w:suppressLineNumbers w:val="0"/>
              <w:jc w:val="right"/>
              <w:textAlignment w:val="center"/>
              <w:rPr>
                <w:rFonts w:hint="eastAsia" w:ascii="宋体" w:hAnsi="宋体" w:eastAsia="宋体" w:cs="宋体"/>
                <w:highlight w:val="none"/>
              </w:rPr>
            </w:pPr>
            <w:r>
              <w:rPr>
                <w:rFonts w:hint="eastAsia" w:ascii="宋体" w:hAnsi="宋体" w:eastAsia="宋体" w:cs="宋体"/>
                <w:sz w:val="21"/>
                <w:szCs w:val="21"/>
                <w:highlight w:val="none"/>
                <w:lang w:val="en-US" w:eastAsia="zh-CN"/>
              </w:rPr>
              <w:t>-</w:t>
            </w:r>
          </w:p>
        </w:tc>
        <w:tc>
          <w:tcPr>
            <w:tcW w:w="695" w:type="pct"/>
            <w:tcBorders>
              <w:top w:val="single" w:color="000000" w:sz="8" w:space="0"/>
              <w:left w:val="nil"/>
              <w:bottom w:val="single" w:color="000000" w:sz="8" w:space="0"/>
              <w:right w:val="single" w:color="000000" w:sz="8" w:space="0"/>
            </w:tcBorders>
            <w:shd w:val="clear" w:color="auto" w:fill="auto"/>
            <w:vAlign w:val="center"/>
          </w:tcPr>
          <w:p w14:paraId="5BD484A4">
            <w:pPr>
              <w:jc w:val="right"/>
              <w:rPr>
                <w:rFonts w:hint="eastAsia" w:ascii="宋体" w:hAnsi="宋体" w:eastAsia="宋体" w:cs="宋体"/>
                <w:highlight w:val="none"/>
              </w:rPr>
            </w:pPr>
            <w:r>
              <w:rPr>
                <w:rFonts w:hint="eastAsia" w:ascii="宋体" w:hAnsi="宋体" w:eastAsia="宋体" w:cs="宋体"/>
                <w:sz w:val="21"/>
                <w:szCs w:val="21"/>
                <w:highlight w:val="none"/>
                <w:lang w:val="en-US" w:eastAsia="zh-CN"/>
              </w:rPr>
              <w:t>-</w:t>
            </w:r>
          </w:p>
        </w:tc>
      </w:tr>
      <w:tr w14:paraId="6F2F37DE">
        <w:tblPrEx>
          <w:tblCellMar>
            <w:top w:w="0" w:type="dxa"/>
            <w:left w:w="108" w:type="dxa"/>
            <w:bottom w:w="0" w:type="dxa"/>
            <w:right w:w="108" w:type="dxa"/>
          </w:tblCellMar>
        </w:tblPrEx>
        <w:trPr>
          <w:trHeight w:val="300" w:hRule="atLeast"/>
        </w:trPr>
        <w:tc>
          <w:tcPr>
            <w:tcW w:w="47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1C897807">
            <w:pPr>
              <w:adjustRightInd w:val="0"/>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B</w:t>
            </w:r>
          </w:p>
        </w:tc>
        <w:tc>
          <w:tcPr>
            <w:tcW w:w="2501" w:type="pct"/>
            <w:tcBorders>
              <w:top w:val="single" w:color="000000" w:sz="8" w:space="0"/>
              <w:left w:val="nil"/>
              <w:bottom w:val="single" w:color="000000" w:sz="8" w:space="0"/>
              <w:right w:val="single" w:color="000000" w:sz="8" w:space="0"/>
            </w:tcBorders>
            <w:shd w:val="clear" w:color="auto" w:fill="auto"/>
            <w:vAlign w:val="center"/>
          </w:tcPr>
          <w:p w14:paraId="666B75DA">
            <w:pPr>
              <w:adjustRightInd w:val="0"/>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采矿业</w:t>
            </w:r>
          </w:p>
        </w:tc>
        <w:tc>
          <w:tcPr>
            <w:tcW w:w="2264" w:type="dxa"/>
            <w:tcBorders>
              <w:top w:val="single" w:color="000000" w:sz="8" w:space="0"/>
              <w:left w:val="nil"/>
              <w:bottom w:val="single" w:color="000000" w:sz="8" w:space="0"/>
              <w:right w:val="single" w:color="000000" w:sz="8" w:space="0"/>
            </w:tcBorders>
            <w:shd w:val="clear" w:color="auto" w:fill="auto"/>
            <w:vAlign w:val="center"/>
          </w:tcPr>
          <w:p w14:paraId="7443EDBB">
            <w:pPr>
              <w:keepNext w:val="0"/>
              <w:keepLines w:val="0"/>
              <w:widowControl/>
              <w:suppressLineNumbers w:val="0"/>
              <w:jc w:val="right"/>
              <w:textAlignment w:val="center"/>
              <w:rPr>
                <w:rFonts w:hint="eastAsia" w:ascii="宋体" w:hAnsi="宋体" w:eastAsia="宋体" w:cs="宋体"/>
                <w:highlight w:val="none"/>
              </w:rPr>
            </w:pPr>
            <w:r>
              <w:rPr>
                <w:rFonts w:hint="eastAsia" w:ascii="宋体" w:hAnsi="宋体" w:eastAsia="宋体" w:cs="宋体"/>
                <w:i w:val="0"/>
                <w:iCs w:val="0"/>
                <w:color w:val="000000"/>
                <w:kern w:val="0"/>
                <w:sz w:val="22"/>
                <w:szCs w:val="22"/>
                <w:u w:val="none"/>
                <w:lang w:val="en-US" w:eastAsia="zh-CN" w:bidi="ar"/>
              </w:rPr>
              <w:t>15,934,367.00</w:t>
            </w:r>
          </w:p>
        </w:tc>
        <w:tc>
          <w:tcPr>
            <w:tcW w:w="1185" w:type="dxa"/>
            <w:tcBorders>
              <w:top w:val="single" w:color="000000" w:sz="8" w:space="0"/>
              <w:left w:val="nil"/>
              <w:bottom w:val="single" w:color="000000" w:sz="8" w:space="0"/>
              <w:right w:val="single" w:color="000000" w:sz="8" w:space="0"/>
            </w:tcBorders>
            <w:shd w:val="clear" w:color="auto" w:fill="auto"/>
            <w:vAlign w:val="center"/>
          </w:tcPr>
          <w:p w14:paraId="2F5CF14C">
            <w:pPr>
              <w:keepNext w:val="0"/>
              <w:keepLines w:val="0"/>
              <w:widowControl/>
              <w:suppressLineNumbers w:val="0"/>
              <w:jc w:val="right"/>
              <w:textAlignment w:val="center"/>
              <w:rPr>
                <w:rFonts w:hint="eastAsia" w:ascii="宋体" w:hAnsi="宋体" w:eastAsia="宋体" w:cs="宋体"/>
                <w:highlight w:val="none"/>
              </w:rPr>
            </w:pPr>
            <w:r>
              <w:rPr>
                <w:rFonts w:hint="eastAsia" w:ascii="宋体" w:hAnsi="宋体" w:eastAsia="宋体" w:cs="宋体"/>
                <w:i w:val="0"/>
                <w:iCs w:val="0"/>
                <w:color w:val="000000"/>
                <w:kern w:val="0"/>
                <w:sz w:val="22"/>
                <w:szCs w:val="22"/>
                <w:u w:val="none"/>
                <w:lang w:val="en-US" w:eastAsia="zh-CN" w:bidi="ar"/>
              </w:rPr>
              <w:t xml:space="preserve">6.09 </w:t>
            </w:r>
          </w:p>
        </w:tc>
      </w:tr>
      <w:tr w14:paraId="0084EF11">
        <w:tblPrEx>
          <w:tblCellMar>
            <w:top w:w="0" w:type="dxa"/>
            <w:left w:w="108" w:type="dxa"/>
            <w:bottom w:w="0" w:type="dxa"/>
            <w:right w:w="108" w:type="dxa"/>
          </w:tblCellMar>
        </w:tblPrEx>
        <w:trPr>
          <w:trHeight w:val="300" w:hRule="atLeast"/>
        </w:trPr>
        <w:tc>
          <w:tcPr>
            <w:tcW w:w="47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75AAE41E">
            <w:pPr>
              <w:adjustRightInd w:val="0"/>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C</w:t>
            </w:r>
          </w:p>
        </w:tc>
        <w:tc>
          <w:tcPr>
            <w:tcW w:w="2501" w:type="pct"/>
            <w:tcBorders>
              <w:top w:val="single" w:color="000000" w:sz="8" w:space="0"/>
              <w:left w:val="nil"/>
              <w:bottom w:val="single" w:color="000000" w:sz="8" w:space="0"/>
              <w:right w:val="single" w:color="000000" w:sz="8" w:space="0"/>
            </w:tcBorders>
            <w:shd w:val="clear" w:color="auto" w:fill="auto"/>
            <w:vAlign w:val="center"/>
          </w:tcPr>
          <w:p w14:paraId="1FF4718B">
            <w:pPr>
              <w:adjustRightInd w:val="0"/>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制造业</w:t>
            </w:r>
          </w:p>
        </w:tc>
        <w:tc>
          <w:tcPr>
            <w:tcW w:w="2264" w:type="dxa"/>
            <w:tcBorders>
              <w:top w:val="single" w:color="000000" w:sz="8" w:space="0"/>
              <w:left w:val="nil"/>
              <w:bottom w:val="single" w:color="000000" w:sz="8" w:space="0"/>
              <w:right w:val="single" w:color="000000" w:sz="8" w:space="0"/>
            </w:tcBorders>
            <w:shd w:val="clear" w:color="auto" w:fill="auto"/>
            <w:vAlign w:val="center"/>
          </w:tcPr>
          <w:p w14:paraId="66263274">
            <w:pPr>
              <w:keepNext w:val="0"/>
              <w:keepLines w:val="0"/>
              <w:widowControl/>
              <w:suppressLineNumbers w:val="0"/>
              <w:jc w:val="right"/>
              <w:textAlignment w:val="center"/>
              <w:rPr>
                <w:rFonts w:hint="eastAsia" w:ascii="宋体" w:hAnsi="宋体" w:eastAsia="宋体" w:cs="宋体"/>
                <w:highlight w:val="none"/>
                <w:lang w:eastAsia="zh-CN"/>
              </w:rPr>
            </w:pPr>
            <w:r>
              <w:rPr>
                <w:rFonts w:hint="eastAsia" w:ascii="宋体" w:hAnsi="宋体" w:eastAsia="宋体" w:cs="宋体"/>
                <w:i w:val="0"/>
                <w:iCs w:val="0"/>
                <w:color w:val="000000"/>
                <w:kern w:val="0"/>
                <w:sz w:val="22"/>
                <w:szCs w:val="22"/>
                <w:u w:val="none"/>
                <w:lang w:val="en-US" w:eastAsia="zh-CN" w:bidi="ar"/>
              </w:rPr>
              <w:t>69,335,784.64</w:t>
            </w:r>
          </w:p>
        </w:tc>
        <w:tc>
          <w:tcPr>
            <w:tcW w:w="1185" w:type="dxa"/>
            <w:tcBorders>
              <w:top w:val="single" w:color="000000" w:sz="8" w:space="0"/>
              <w:left w:val="nil"/>
              <w:bottom w:val="single" w:color="000000" w:sz="8" w:space="0"/>
              <w:right w:val="single" w:color="000000" w:sz="8" w:space="0"/>
            </w:tcBorders>
            <w:shd w:val="clear" w:color="auto" w:fill="auto"/>
            <w:vAlign w:val="center"/>
          </w:tcPr>
          <w:p w14:paraId="3680DF5D">
            <w:pPr>
              <w:keepNext w:val="0"/>
              <w:keepLines w:val="0"/>
              <w:widowControl/>
              <w:suppressLineNumbers w:val="0"/>
              <w:jc w:val="right"/>
              <w:textAlignment w:val="center"/>
              <w:rPr>
                <w:rFonts w:hint="eastAsia" w:ascii="宋体" w:hAnsi="宋体" w:eastAsia="宋体" w:cs="宋体"/>
                <w:highlight w:val="none"/>
                <w:lang w:eastAsia="zh-CN"/>
              </w:rPr>
            </w:pPr>
            <w:r>
              <w:rPr>
                <w:rFonts w:hint="eastAsia" w:ascii="宋体" w:hAnsi="宋体" w:eastAsia="宋体" w:cs="宋体"/>
                <w:i w:val="0"/>
                <w:iCs w:val="0"/>
                <w:color w:val="000000"/>
                <w:kern w:val="0"/>
                <w:sz w:val="22"/>
                <w:szCs w:val="22"/>
                <w:u w:val="none"/>
                <w:lang w:val="en-US" w:eastAsia="zh-CN" w:bidi="ar"/>
              </w:rPr>
              <w:t xml:space="preserve">26.51 </w:t>
            </w:r>
          </w:p>
        </w:tc>
      </w:tr>
      <w:tr w14:paraId="20A60793">
        <w:tblPrEx>
          <w:tblCellMar>
            <w:top w:w="0" w:type="dxa"/>
            <w:left w:w="108" w:type="dxa"/>
            <w:bottom w:w="0" w:type="dxa"/>
            <w:right w:w="108" w:type="dxa"/>
          </w:tblCellMar>
        </w:tblPrEx>
        <w:trPr>
          <w:trHeight w:val="300" w:hRule="atLeast"/>
        </w:trPr>
        <w:tc>
          <w:tcPr>
            <w:tcW w:w="47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1690738F">
            <w:pPr>
              <w:adjustRightInd w:val="0"/>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D</w:t>
            </w:r>
          </w:p>
        </w:tc>
        <w:tc>
          <w:tcPr>
            <w:tcW w:w="2501" w:type="pct"/>
            <w:tcBorders>
              <w:top w:val="single" w:color="000000" w:sz="8" w:space="0"/>
              <w:left w:val="nil"/>
              <w:bottom w:val="single" w:color="000000" w:sz="8" w:space="0"/>
              <w:right w:val="single" w:color="000000" w:sz="8" w:space="0"/>
            </w:tcBorders>
            <w:shd w:val="clear" w:color="auto" w:fill="auto"/>
            <w:vAlign w:val="center"/>
          </w:tcPr>
          <w:p w14:paraId="141274EE">
            <w:pPr>
              <w:adjustRightInd w:val="0"/>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电力、热力、燃气及水生产和供应业</w:t>
            </w:r>
          </w:p>
        </w:tc>
        <w:tc>
          <w:tcPr>
            <w:tcW w:w="2264" w:type="dxa"/>
            <w:tcBorders>
              <w:top w:val="single" w:color="000000" w:sz="8" w:space="0"/>
              <w:left w:val="nil"/>
              <w:bottom w:val="single" w:color="000000" w:sz="8" w:space="0"/>
              <w:right w:val="single" w:color="000000" w:sz="8" w:space="0"/>
            </w:tcBorders>
            <w:shd w:val="clear" w:color="auto" w:fill="auto"/>
            <w:vAlign w:val="center"/>
          </w:tcPr>
          <w:p w14:paraId="7F4DA541">
            <w:pPr>
              <w:keepNext w:val="0"/>
              <w:keepLines w:val="0"/>
              <w:widowControl/>
              <w:suppressLineNumbers w:val="0"/>
              <w:jc w:val="right"/>
              <w:textAlignment w:val="center"/>
              <w:rPr>
                <w:rFonts w:hint="eastAsia" w:ascii="宋体" w:hAnsi="宋体" w:eastAsia="宋体" w:cs="宋体"/>
                <w:highlight w:val="none"/>
              </w:rPr>
            </w:pPr>
            <w:r>
              <w:rPr>
                <w:rFonts w:hint="eastAsia" w:ascii="宋体" w:hAnsi="宋体" w:eastAsia="宋体" w:cs="宋体"/>
                <w:i w:val="0"/>
                <w:iCs w:val="0"/>
                <w:color w:val="000000"/>
                <w:kern w:val="0"/>
                <w:sz w:val="22"/>
                <w:szCs w:val="22"/>
                <w:u w:val="none"/>
                <w:lang w:val="en-US" w:eastAsia="zh-CN" w:bidi="ar"/>
              </w:rPr>
              <w:t>786,863.00</w:t>
            </w:r>
          </w:p>
        </w:tc>
        <w:tc>
          <w:tcPr>
            <w:tcW w:w="1185" w:type="dxa"/>
            <w:tcBorders>
              <w:top w:val="single" w:color="000000" w:sz="8" w:space="0"/>
              <w:left w:val="nil"/>
              <w:bottom w:val="single" w:color="000000" w:sz="8" w:space="0"/>
              <w:right w:val="single" w:color="000000" w:sz="8" w:space="0"/>
            </w:tcBorders>
            <w:shd w:val="clear" w:color="auto" w:fill="auto"/>
            <w:vAlign w:val="center"/>
          </w:tcPr>
          <w:p w14:paraId="1B9AE305">
            <w:pPr>
              <w:keepNext w:val="0"/>
              <w:keepLines w:val="0"/>
              <w:widowControl/>
              <w:suppressLineNumbers w:val="0"/>
              <w:jc w:val="right"/>
              <w:textAlignment w:val="center"/>
              <w:rPr>
                <w:rFonts w:hint="eastAsia" w:ascii="宋体" w:hAnsi="宋体" w:eastAsia="宋体" w:cs="宋体"/>
                <w:highlight w:val="none"/>
              </w:rPr>
            </w:pPr>
            <w:r>
              <w:rPr>
                <w:rFonts w:hint="eastAsia" w:ascii="宋体" w:hAnsi="宋体" w:eastAsia="宋体" w:cs="宋体"/>
                <w:i w:val="0"/>
                <w:iCs w:val="0"/>
                <w:color w:val="000000"/>
                <w:kern w:val="0"/>
                <w:sz w:val="22"/>
                <w:szCs w:val="22"/>
                <w:u w:val="none"/>
                <w:lang w:val="en-US" w:eastAsia="zh-CN" w:bidi="ar"/>
              </w:rPr>
              <w:t xml:space="preserve">0.30 </w:t>
            </w:r>
          </w:p>
        </w:tc>
      </w:tr>
      <w:tr w14:paraId="726B2060">
        <w:tblPrEx>
          <w:tblCellMar>
            <w:top w:w="0" w:type="dxa"/>
            <w:left w:w="108" w:type="dxa"/>
            <w:bottom w:w="0" w:type="dxa"/>
            <w:right w:w="108" w:type="dxa"/>
          </w:tblCellMar>
        </w:tblPrEx>
        <w:trPr>
          <w:trHeight w:val="300" w:hRule="atLeast"/>
        </w:trPr>
        <w:tc>
          <w:tcPr>
            <w:tcW w:w="47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2FB258ED">
            <w:pPr>
              <w:adjustRightInd w:val="0"/>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E</w:t>
            </w:r>
          </w:p>
        </w:tc>
        <w:tc>
          <w:tcPr>
            <w:tcW w:w="2501" w:type="pct"/>
            <w:tcBorders>
              <w:top w:val="single" w:color="000000" w:sz="8" w:space="0"/>
              <w:left w:val="nil"/>
              <w:bottom w:val="single" w:color="000000" w:sz="8" w:space="0"/>
              <w:right w:val="single" w:color="000000" w:sz="8" w:space="0"/>
            </w:tcBorders>
            <w:shd w:val="clear" w:color="auto" w:fill="auto"/>
            <w:vAlign w:val="center"/>
          </w:tcPr>
          <w:p w14:paraId="5ABCBD33">
            <w:pPr>
              <w:adjustRightInd w:val="0"/>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建筑业</w:t>
            </w:r>
          </w:p>
        </w:tc>
        <w:tc>
          <w:tcPr>
            <w:tcW w:w="2264" w:type="dxa"/>
            <w:tcBorders>
              <w:top w:val="single" w:color="000000" w:sz="8" w:space="0"/>
              <w:left w:val="nil"/>
              <w:bottom w:val="single" w:color="000000" w:sz="8" w:space="0"/>
              <w:right w:val="single" w:color="000000" w:sz="8" w:space="0"/>
            </w:tcBorders>
            <w:shd w:val="clear" w:color="auto" w:fill="auto"/>
            <w:vAlign w:val="center"/>
          </w:tcPr>
          <w:p w14:paraId="7A3C5D9E">
            <w:pPr>
              <w:keepNext w:val="0"/>
              <w:keepLines w:val="0"/>
              <w:widowControl/>
              <w:suppressLineNumbers w:val="0"/>
              <w:jc w:val="right"/>
              <w:textAlignment w:val="center"/>
              <w:rPr>
                <w:rFonts w:hint="eastAsia" w:ascii="宋体" w:hAnsi="宋体" w:eastAsia="宋体" w:cs="宋体"/>
                <w:highlight w:val="none"/>
              </w:rPr>
            </w:pPr>
            <w:r>
              <w:rPr>
                <w:rFonts w:hint="eastAsia" w:ascii="宋体" w:hAnsi="宋体" w:eastAsia="宋体" w:cs="宋体"/>
                <w:sz w:val="21"/>
                <w:szCs w:val="21"/>
                <w:highlight w:val="none"/>
                <w:lang w:val="en-US" w:eastAsia="zh-CN"/>
              </w:rPr>
              <w:t>-</w:t>
            </w:r>
          </w:p>
        </w:tc>
        <w:tc>
          <w:tcPr>
            <w:tcW w:w="1185" w:type="dxa"/>
            <w:tcBorders>
              <w:top w:val="single" w:color="000000" w:sz="8" w:space="0"/>
              <w:left w:val="nil"/>
              <w:bottom w:val="single" w:color="000000" w:sz="8" w:space="0"/>
              <w:right w:val="single" w:color="000000" w:sz="8" w:space="0"/>
            </w:tcBorders>
            <w:shd w:val="clear" w:color="auto" w:fill="auto"/>
            <w:vAlign w:val="center"/>
          </w:tcPr>
          <w:p w14:paraId="0891CB2D">
            <w:pPr>
              <w:keepNext w:val="0"/>
              <w:keepLines w:val="0"/>
              <w:widowControl/>
              <w:suppressLineNumbers w:val="0"/>
              <w:jc w:val="right"/>
              <w:textAlignment w:val="center"/>
              <w:rPr>
                <w:rFonts w:hint="eastAsia" w:ascii="宋体" w:hAnsi="宋体" w:eastAsia="宋体" w:cs="宋体"/>
                <w:highlight w:val="none"/>
              </w:rPr>
            </w:pPr>
            <w:r>
              <w:rPr>
                <w:rFonts w:hint="eastAsia" w:ascii="宋体" w:hAnsi="宋体" w:eastAsia="宋体" w:cs="宋体"/>
                <w:sz w:val="21"/>
                <w:szCs w:val="21"/>
                <w:highlight w:val="none"/>
                <w:lang w:val="en-US" w:eastAsia="zh-CN"/>
              </w:rPr>
              <w:t>-</w:t>
            </w:r>
            <w:r>
              <w:rPr>
                <w:rFonts w:hint="eastAsia" w:ascii="宋体" w:hAnsi="宋体" w:eastAsia="宋体" w:cs="宋体"/>
                <w:i w:val="0"/>
                <w:iCs w:val="0"/>
                <w:color w:val="000000"/>
                <w:kern w:val="0"/>
                <w:sz w:val="22"/>
                <w:szCs w:val="22"/>
                <w:u w:val="none"/>
                <w:lang w:val="en-US" w:eastAsia="zh-CN" w:bidi="ar"/>
              </w:rPr>
              <w:t xml:space="preserve"> </w:t>
            </w:r>
          </w:p>
        </w:tc>
      </w:tr>
      <w:tr w14:paraId="2E0B9931">
        <w:tblPrEx>
          <w:tblCellMar>
            <w:top w:w="0" w:type="dxa"/>
            <w:left w:w="108" w:type="dxa"/>
            <w:bottom w:w="0" w:type="dxa"/>
            <w:right w:w="108" w:type="dxa"/>
          </w:tblCellMar>
        </w:tblPrEx>
        <w:trPr>
          <w:trHeight w:val="300" w:hRule="atLeast"/>
        </w:trPr>
        <w:tc>
          <w:tcPr>
            <w:tcW w:w="47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50EF16EA">
            <w:pPr>
              <w:adjustRightInd w:val="0"/>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F</w:t>
            </w:r>
          </w:p>
        </w:tc>
        <w:tc>
          <w:tcPr>
            <w:tcW w:w="2501" w:type="pct"/>
            <w:tcBorders>
              <w:top w:val="single" w:color="000000" w:sz="8" w:space="0"/>
              <w:left w:val="nil"/>
              <w:bottom w:val="single" w:color="000000" w:sz="8" w:space="0"/>
              <w:right w:val="single" w:color="000000" w:sz="8" w:space="0"/>
            </w:tcBorders>
            <w:shd w:val="clear" w:color="auto" w:fill="auto"/>
            <w:vAlign w:val="center"/>
          </w:tcPr>
          <w:p w14:paraId="08FE0841">
            <w:pPr>
              <w:adjustRightInd w:val="0"/>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批发和零售业</w:t>
            </w:r>
          </w:p>
        </w:tc>
        <w:tc>
          <w:tcPr>
            <w:tcW w:w="2264" w:type="dxa"/>
            <w:tcBorders>
              <w:top w:val="single" w:color="000000" w:sz="8" w:space="0"/>
              <w:left w:val="nil"/>
              <w:bottom w:val="single" w:color="000000" w:sz="8" w:space="0"/>
              <w:right w:val="single" w:color="000000" w:sz="8" w:space="0"/>
            </w:tcBorders>
            <w:shd w:val="clear" w:color="auto" w:fill="auto"/>
            <w:vAlign w:val="center"/>
          </w:tcPr>
          <w:p w14:paraId="59371FBA">
            <w:pPr>
              <w:keepNext w:val="0"/>
              <w:keepLines w:val="0"/>
              <w:widowControl/>
              <w:suppressLineNumbers w:val="0"/>
              <w:jc w:val="right"/>
              <w:textAlignment w:val="center"/>
              <w:rPr>
                <w:rFonts w:hint="eastAsia" w:ascii="宋体" w:hAnsi="宋体" w:eastAsia="宋体" w:cs="宋体"/>
                <w:highlight w:val="none"/>
              </w:rPr>
            </w:pPr>
            <w:r>
              <w:rPr>
                <w:rFonts w:hint="eastAsia" w:ascii="宋体" w:hAnsi="宋体" w:eastAsia="宋体" w:cs="宋体"/>
                <w:i w:val="0"/>
                <w:iCs w:val="0"/>
                <w:color w:val="000000"/>
                <w:kern w:val="0"/>
                <w:sz w:val="22"/>
                <w:szCs w:val="22"/>
                <w:u w:val="none"/>
                <w:lang w:val="en-US" w:eastAsia="zh-CN" w:bidi="ar"/>
              </w:rPr>
              <w:t>524,900.00</w:t>
            </w:r>
          </w:p>
        </w:tc>
        <w:tc>
          <w:tcPr>
            <w:tcW w:w="1185" w:type="dxa"/>
            <w:tcBorders>
              <w:top w:val="single" w:color="000000" w:sz="8" w:space="0"/>
              <w:left w:val="nil"/>
              <w:bottom w:val="single" w:color="000000" w:sz="8" w:space="0"/>
              <w:right w:val="single" w:color="000000" w:sz="8" w:space="0"/>
            </w:tcBorders>
            <w:shd w:val="clear" w:color="auto" w:fill="auto"/>
            <w:vAlign w:val="center"/>
          </w:tcPr>
          <w:p w14:paraId="34FE0118">
            <w:pPr>
              <w:keepNext w:val="0"/>
              <w:keepLines w:val="0"/>
              <w:widowControl/>
              <w:suppressLineNumbers w:val="0"/>
              <w:jc w:val="right"/>
              <w:textAlignment w:val="center"/>
              <w:rPr>
                <w:rFonts w:hint="eastAsia" w:ascii="宋体" w:hAnsi="宋体" w:eastAsia="宋体" w:cs="宋体"/>
                <w:highlight w:val="none"/>
              </w:rPr>
            </w:pPr>
            <w:r>
              <w:rPr>
                <w:rFonts w:hint="eastAsia" w:ascii="宋体" w:hAnsi="宋体" w:eastAsia="宋体" w:cs="宋体"/>
                <w:i w:val="0"/>
                <w:iCs w:val="0"/>
                <w:color w:val="000000"/>
                <w:kern w:val="0"/>
                <w:sz w:val="22"/>
                <w:szCs w:val="22"/>
                <w:u w:val="none"/>
                <w:lang w:val="en-US" w:eastAsia="zh-CN" w:bidi="ar"/>
              </w:rPr>
              <w:t xml:space="preserve">0.20 </w:t>
            </w:r>
          </w:p>
        </w:tc>
      </w:tr>
      <w:tr w14:paraId="0E3B0C64">
        <w:tblPrEx>
          <w:tblCellMar>
            <w:top w:w="0" w:type="dxa"/>
            <w:left w:w="108" w:type="dxa"/>
            <w:bottom w:w="0" w:type="dxa"/>
            <w:right w:w="108" w:type="dxa"/>
          </w:tblCellMar>
        </w:tblPrEx>
        <w:trPr>
          <w:trHeight w:val="300" w:hRule="atLeast"/>
        </w:trPr>
        <w:tc>
          <w:tcPr>
            <w:tcW w:w="47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2712532C">
            <w:pPr>
              <w:adjustRightInd w:val="0"/>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G</w:t>
            </w:r>
          </w:p>
        </w:tc>
        <w:tc>
          <w:tcPr>
            <w:tcW w:w="2501" w:type="pct"/>
            <w:tcBorders>
              <w:top w:val="single" w:color="000000" w:sz="8" w:space="0"/>
              <w:left w:val="nil"/>
              <w:bottom w:val="single" w:color="000000" w:sz="8" w:space="0"/>
              <w:right w:val="single" w:color="000000" w:sz="8" w:space="0"/>
            </w:tcBorders>
            <w:shd w:val="clear" w:color="auto" w:fill="auto"/>
            <w:vAlign w:val="center"/>
          </w:tcPr>
          <w:p w14:paraId="0E796686">
            <w:pPr>
              <w:adjustRightInd w:val="0"/>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交通运输、仓储和邮政业</w:t>
            </w:r>
          </w:p>
        </w:tc>
        <w:tc>
          <w:tcPr>
            <w:tcW w:w="2264" w:type="dxa"/>
            <w:tcBorders>
              <w:top w:val="single" w:color="000000" w:sz="8" w:space="0"/>
              <w:left w:val="nil"/>
              <w:bottom w:val="single" w:color="000000" w:sz="8" w:space="0"/>
              <w:right w:val="single" w:color="000000" w:sz="8" w:space="0"/>
            </w:tcBorders>
            <w:shd w:val="clear" w:color="auto" w:fill="auto"/>
            <w:vAlign w:val="center"/>
          </w:tcPr>
          <w:p w14:paraId="71A68337">
            <w:pPr>
              <w:keepNext w:val="0"/>
              <w:keepLines w:val="0"/>
              <w:widowControl/>
              <w:suppressLineNumbers w:val="0"/>
              <w:jc w:val="right"/>
              <w:textAlignment w:val="center"/>
              <w:rPr>
                <w:rFonts w:hint="eastAsia" w:ascii="宋体" w:hAnsi="宋体" w:eastAsia="宋体" w:cs="宋体"/>
                <w:highlight w:val="none"/>
              </w:rPr>
            </w:pPr>
            <w:r>
              <w:rPr>
                <w:rFonts w:hint="eastAsia" w:ascii="宋体" w:hAnsi="宋体" w:eastAsia="宋体" w:cs="宋体"/>
                <w:i w:val="0"/>
                <w:iCs w:val="0"/>
                <w:color w:val="000000"/>
                <w:kern w:val="0"/>
                <w:sz w:val="22"/>
                <w:szCs w:val="22"/>
                <w:u w:val="none"/>
                <w:lang w:val="en-US" w:eastAsia="zh-CN" w:bidi="ar"/>
              </w:rPr>
              <w:t>8,924,470.00</w:t>
            </w:r>
          </w:p>
        </w:tc>
        <w:tc>
          <w:tcPr>
            <w:tcW w:w="1185" w:type="dxa"/>
            <w:tcBorders>
              <w:top w:val="single" w:color="000000" w:sz="8" w:space="0"/>
              <w:left w:val="nil"/>
              <w:bottom w:val="single" w:color="000000" w:sz="8" w:space="0"/>
              <w:right w:val="single" w:color="000000" w:sz="8" w:space="0"/>
            </w:tcBorders>
            <w:shd w:val="clear" w:color="auto" w:fill="auto"/>
            <w:vAlign w:val="center"/>
          </w:tcPr>
          <w:p w14:paraId="42CCEAB9">
            <w:pPr>
              <w:keepNext w:val="0"/>
              <w:keepLines w:val="0"/>
              <w:widowControl/>
              <w:suppressLineNumbers w:val="0"/>
              <w:jc w:val="right"/>
              <w:textAlignment w:val="center"/>
              <w:rPr>
                <w:rFonts w:hint="eastAsia" w:ascii="宋体" w:hAnsi="宋体" w:eastAsia="宋体" w:cs="宋体"/>
                <w:highlight w:val="none"/>
              </w:rPr>
            </w:pPr>
            <w:r>
              <w:rPr>
                <w:rFonts w:hint="eastAsia" w:ascii="宋体" w:hAnsi="宋体" w:eastAsia="宋体" w:cs="宋体"/>
                <w:i w:val="0"/>
                <w:iCs w:val="0"/>
                <w:color w:val="000000"/>
                <w:kern w:val="0"/>
                <w:sz w:val="22"/>
                <w:szCs w:val="22"/>
                <w:u w:val="none"/>
                <w:lang w:val="en-US" w:eastAsia="zh-CN" w:bidi="ar"/>
              </w:rPr>
              <w:t xml:space="preserve">3.41 </w:t>
            </w:r>
          </w:p>
        </w:tc>
      </w:tr>
      <w:tr w14:paraId="20EB6E2B">
        <w:tblPrEx>
          <w:tblCellMar>
            <w:top w:w="0" w:type="dxa"/>
            <w:left w:w="108" w:type="dxa"/>
            <w:bottom w:w="0" w:type="dxa"/>
            <w:right w:w="108" w:type="dxa"/>
          </w:tblCellMar>
        </w:tblPrEx>
        <w:trPr>
          <w:trHeight w:val="300" w:hRule="atLeast"/>
        </w:trPr>
        <w:tc>
          <w:tcPr>
            <w:tcW w:w="47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30916115">
            <w:pPr>
              <w:adjustRightInd w:val="0"/>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H</w:t>
            </w:r>
          </w:p>
        </w:tc>
        <w:tc>
          <w:tcPr>
            <w:tcW w:w="2501" w:type="pct"/>
            <w:tcBorders>
              <w:top w:val="single" w:color="000000" w:sz="8" w:space="0"/>
              <w:left w:val="nil"/>
              <w:bottom w:val="single" w:color="000000" w:sz="8" w:space="0"/>
              <w:right w:val="single" w:color="000000" w:sz="8" w:space="0"/>
            </w:tcBorders>
            <w:shd w:val="clear" w:color="auto" w:fill="auto"/>
            <w:vAlign w:val="center"/>
          </w:tcPr>
          <w:p w14:paraId="2CB4B29D">
            <w:pPr>
              <w:adjustRightInd w:val="0"/>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住宿和餐饮业</w:t>
            </w:r>
          </w:p>
        </w:tc>
        <w:tc>
          <w:tcPr>
            <w:tcW w:w="2264" w:type="dxa"/>
            <w:tcBorders>
              <w:top w:val="single" w:color="000000" w:sz="8" w:space="0"/>
              <w:left w:val="nil"/>
              <w:bottom w:val="single" w:color="000000" w:sz="8" w:space="0"/>
              <w:right w:val="single" w:color="000000" w:sz="8" w:space="0"/>
            </w:tcBorders>
            <w:shd w:val="clear" w:color="auto" w:fill="auto"/>
            <w:vAlign w:val="center"/>
          </w:tcPr>
          <w:p w14:paraId="29BDDD6A">
            <w:pPr>
              <w:keepNext w:val="0"/>
              <w:keepLines w:val="0"/>
              <w:widowControl/>
              <w:suppressLineNumbers w:val="0"/>
              <w:jc w:val="right"/>
              <w:textAlignment w:val="center"/>
              <w:rPr>
                <w:rFonts w:hint="eastAsia" w:ascii="宋体" w:hAnsi="宋体" w:eastAsia="宋体" w:cs="宋体"/>
                <w:highlight w:val="none"/>
              </w:rPr>
            </w:pPr>
            <w:r>
              <w:rPr>
                <w:rFonts w:hint="eastAsia" w:ascii="宋体" w:hAnsi="宋体" w:eastAsia="宋体" w:cs="宋体"/>
                <w:sz w:val="21"/>
                <w:szCs w:val="21"/>
                <w:highlight w:val="none"/>
                <w:lang w:val="en-US" w:eastAsia="zh-CN"/>
              </w:rPr>
              <w:t>-</w:t>
            </w:r>
          </w:p>
        </w:tc>
        <w:tc>
          <w:tcPr>
            <w:tcW w:w="1185" w:type="dxa"/>
            <w:tcBorders>
              <w:top w:val="single" w:color="000000" w:sz="8" w:space="0"/>
              <w:left w:val="nil"/>
              <w:bottom w:val="single" w:color="000000" w:sz="8" w:space="0"/>
              <w:right w:val="single" w:color="000000" w:sz="8" w:space="0"/>
            </w:tcBorders>
            <w:shd w:val="clear" w:color="auto" w:fill="auto"/>
            <w:vAlign w:val="center"/>
          </w:tcPr>
          <w:p w14:paraId="47F53AB9">
            <w:pPr>
              <w:keepNext w:val="0"/>
              <w:keepLines w:val="0"/>
              <w:widowControl/>
              <w:suppressLineNumbers w:val="0"/>
              <w:jc w:val="right"/>
              <w:textAlignment w:val="center"/>
              <w:rPr>
                <w:rFonts w:hint="eastAsia" w:ascii="宋体" w:hAnsi="宋体" w:eastAsia="宋体" w:cs="宋体"/>
                <w:highlight w:val="none"/>
              </w:rPr>
            </w:pPr>
            <w:r>
              <w:rPr>
                <w:rFonts w:hint="eastAsia" w:ascii="宋体" w:hAnsi="宋体" w:eastAsia="宋体" w:cs="宋体"/>
                <w:sz w:val="21"/>
                <w:szCs w:val="21"/>
                <w:highlight w:val="none"/>
                <w:lang w:val="en-US" w:eastAsia="zh-CN"/>
              </w:rPr>
              <w:t>-</w:t>
            </w:r>
          </w:p>
        </w:tc>
      </w:tr>
      <w:tr w14:paraId="52EA4E51">
        <w:tblPrEx>
          <w:tblCellMar>
            <w:top w:w="0" w:type="dxa"/>
            <w:left w:w="108" w:type="dxa"/>
            <w:bottom w:w="0" w:type="dxa"/>
            <w:right w:w="108" w:type="dxa"/>
          </w:tblCellMar>
        </w:tblPrEx>
        <w:trPr>
          <w:trHeight w:val="300" w:hRule="atLeast"/>
        </w:trPr>
        <w:tc>
          <w:tcPr>
            <w:tcW w:w="47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42563033">
            <w:pPr>
              <w:adjustRightInd w:val="0"/>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I</w:t>
            </w:r>
          </w:p>
        </w:tc>
        <w:tc>
          <w:tcPr>
            <w:tcW w:w="2501" w:type="pct"/>
            <w:tcBorders>
              <w:top w:val="single" w:color="000000" w:sz="8" w:space="0"/>
              <w:left w:val="nil"/>
              <w:bottom w:val="single" w:color="000000" w:sz="8" w:space="0"/>
              <w:right w:val="single" w:color="000000" w:sz="8" w:space="0"/>
            </w:tcBorders>
            <w:shd w:val="clear" w:color="auto" w:fill="auto"/>
            <w:vAlign w:val="center"/>
          </w:tcPr>
          <w:p w14:paraId="5A6A13CC">
            <w:pPr>
              <w:adjustRightInd w:val="0"/>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信息传输、软件和信息技术服务业</w:t>
            </w:r>
          </w:p>
        </w:tc>
        <w:tc>
          <w:tcPr>
            <w:tcW w:w="2264" w:type="dxa"/>
            <w:tcBorders>
              <w:top w:val="single" w:color="000000" w:sz="8" w:space="0"/>
              <w:left w:val="nil"/>
              <w:bottom w:val="single" w:color="000000" w:sz="8" w:space="0"/>
              <w:right w:val="single" w:color="000000" w:sz="8" w:space="0"/>
            </w:tcBorders>
            <w:shd w:val="clear" w:color="auto" w:fill="auto"/>
            <w:vAlign w:val="center"/>
          </w:tcPr>
          <w:p w14:paraId="3804334C">
            <w:pPr>
              <w:keepNext w:val="0"/>
              <w:keepLines w:val="0"/>
              <w:widowControl/>
              <w:suppressLineNumbers w:val="0"/>
              <w:jc w:val="right"/>
              <w:textAlignment w:val="center"/>
              <w:rPr>
                <w:rFonts w:hint="eastAsia" w:ascii="宋体" w:hAnsi="宋体" w:eastAsia="宋体" w:cs="宋体"/>
                <w:highlight w:val="none"/>
                <w:lang w:eastAsia="zh-CN"/>
              </w:rPr>
            </w:pPr>
            <w:r>
              <w:rPr>
                <w:rFonts w:hint="eastAsia" w:ascii="宋体" w:hAnsi="宋体" w:eastAsia="宋体" w:cs="宋体"/>
                <w:i w:val="0"/>
                <w:iCs w:val="0"/>
                <w:color w:val="000000"/>
                <w:kern w:val="0"/>
                <w:sz w:val="22"/>
                <w:szCs w:val="22"/>
                <w:u w:val="none"/>
                <w:lang w:val="en-US" w:eastAsia="zh-CN" w:bidi="ar"/>
              </w:rPr>
              <w:t>15,604,433.80</w:t>
            </w:r>
          </w:p>
        </w:tc>
        <w:tc>
          <w:tcPr>
            <w:tcW w:w="1185" w:type="dxa"/>
            <w:tcBorders>
              <w:top w:val="single" w:color="000000" w:sz="8" w:space="0"/>
              <w:left w:val="nil"/>
              <w:bottom w:val="single" w:color="000000" w:sz="8" w:space="0"/>
              <w:right w:val="single" w:color="000000" w:sz="8" w:space="0"/>
            </w:tcBorders>
            <w:shd w:val="clear" w:color="auto" w:fill="auto"/>
            <w:vAlign w:val="center"/>
          </w:tcPr>
          <w:p w14:paraId="61B9FA82">
            <w:pPr>
              <w:keepNext w:val="0"/>
              <w:keepLines w:val="0"/>
              <w:widowControl/>
              <w:suppressLineNumbers w:val="0"/>
              <w:jc w:val="right"/>
              <w:textAlignment w:val="center"/>
              <w:rPr>
                <w:rFonts w:hint="eastAsia" w:ascii="宋体" w:hAnsi="宋体" w:eastAsia="宋体" w:cs="宋体"/>
                <w:highlight w:val="none"/>
                <w:lang w:eastAsia="zh-CN"/>
              </w:rPr>
            </w:pPr>
            <w:r>
              <w:rPr>
                <w:rFonts w:hint="eastAsia" w:ascii="宋体" w:hAnsi="宋体" w:eastAsia="宋体" w:cs="宋体"/>
                <w:i w:val="0"/>
                <w:iCs w:val="0"/>
                <w:color w:val="000000"/>
                <w:kern w:val="0"/>
                <w:sz w:val="22"/>
                <w:szCs w:val="22"/>
                <w:u w:val="none"/>
                <w:lang w:val="en-US" w:eastAsia="zh-CN" w:bidi="ar"/>
              </w:rPr>
              <w:t xml:space="preserve">5.97 </w:t>
            </w:r>
          </w:p>
        </w:tc>
      </w:tr>
      <w:tr w14:paraId="5CE298C6">
        <w:tblPrEx>
          <w:tblCellMar>
            <w:top w:w="0" w:type="dxa"/>
            <w:left w:w="108" w:type="dxa"/>
            <w:bottom w:w="0" w:type="dxa"/>
            <w:right w:w="108" w:type="dxa"/>
          </w:tblCellMar>
        </w:tblPrEx>
        <w:trPr>
          <w:trHeight w:val="300" w:hRule="atLeast"/>
        </w:trPr>
        <w:tc>
          <w:tcPr>
            <w:tcW w:w="47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17B2136D">
            <w:pPr>
              <w:adjustRightInd w:val="0"/>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J</w:t>
            </w:r>
          </w:p>
        </w:tc>
        <w:tc>
          <w:tcPr>
            <w:tcW w:w="2501" w:type="pct"/>
            <w:tcBorders>
              <w:top w:val="single" w:color="000000" w:sz="8" w:space="0"/>
              <w:left w:val="nil"/>
              <w:bottom w:val="single" w:color="000000" w:sz="8" w:space="0"/>
              <w:right w:val="single" w:color="000000" w:sz="8" w:space="0"/>
            </w:tcBorders>
            <w:shd w:val="clear" w:color="auto" w:fill="auto"/>
            <w:vAlign w:val="center"/>
          </w:tcPr>
          <w:p w14:paraId="27E692F5">
            <w:pPr>
              <w:adjustRightInd w:val="0"/>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金融业</w:t>
            </w:r>
          </w:p>
        </w:tc>
        <w:tc>
          <w:tcPr>
            <w:tcW w:w="2264" w:type="dxa"/>
            <w:tcBorders>
              <w:top w:val="single" w:color="000000" w:sz="8" w:space="0"/>
              <w:left w:val="nil"/>
              <w:bottom w:val="single" w:color="000000" w:sz="8" w:space="0"/>
              <w:right w:val="single" w:color="000000" w:sz="8" w:space="0"/>
            </w:tcBorders>
            <w:shd w:val="clear" w:color="auto" w:fill="auto"/>
            <w:vAlign w:val="center"/>
          </w:tcPr>
          <w:p w14:paraId="1A286312">
            <w:pPr>
              <w:keepNext w:val="0"/>
              <w:keepLines w:val="0"/>
              <w:widowControl/>
              <w:suppressLineNumbers w:val="0"/>
              <w:jc w:val="right"/>
              <w:textAlignment w:val="center"/>
              <w:rPr>
                <w:rFonts w:hint="eastAsia" w:ascii="宋体" w:hAnsi="宋体" w:eastAsia="宋体" w:cs="宋体"/>
                <w:highlight w:val="none"/>
              </w:rPr>
            </w:pPr>
            <w:r>
              <w:rPr>
                <w:rFonts w:hint="eastAsia" w:ascii="宋体" w:hAnsi="宋体" w:eastAsia="宋体" w:cs="宋体"/>
                <w:i w:val="0"/>
                <w:iCs w:val="0"/>
                <w:color w:val="000000"/>
                <w:kern w:val="0"/>
                <w:sz w:val="22"/>
                <w:szCs w:val="22"/>
                <w:u w:val="none"/>
                <w:lang w:val="en-US" w:eastAsia="zh-CN" w:bidi="ar"/>
              </w:rPr>
              <w:t>2,917,906.00</w:t>
            </w:r>
          </w:p>
        </w:tc>
        <w:tc>
          <w:tcPr>
            <w:tcW w:w="1185" w:type="dxa"/>
            <w:tcBorders>
              <w:top w:val="single" w:color="000000" w:sz="8" w:space="0"/>
              <w:left w:val="nil"/>
              <w:bottom w:val="single" w:color="000000" w:sz="8" w:space="0"/>
              <w:right w:val="single" w:color="000000" w:sz="8" w:space="0"/>
            </w:tcBorders>
            <w:shd w:val="clear" w:color="auto" w:fill="auto"/>
            <w:vAlign w:val="center"/>
          </w:tcPr>
          <w:p w14:paraId="18835348">
            <w:pPr>
              <w:keepNext w:val="0"/>
              <w:keepLines w:val="0"/>
              <w:widowControl/>
              <w:suppressLineNumbers w:val="0"/>
              <w:jc w:val="right"/>
              <w:textAlignment w:val="center"/>
              <w:rPr>
                <w:rFonts w:hint="eastAsia" w:ascii="宋体" w:hAnsi="宋体" w:eastAsia="宋体" w:cs="宋体"/>
                <w:highlight w:val="none"/>
              </w:rPr>
            </w:pPr>
            <w:r>
              <w:rPr>
                <w:rFonts w:hint="eastAsia" w:ascii="宋体" w:hAnsi="宋体" w:eastAsia="宋体" w:cs="宋体"/>
                <w:i w:val="0"/>
                <w:iCs w:val="0"/>
                <w:color w:val="000000"/>
                <w:kern w:val="0"/>
                <w:sz w:val="22"/>
                <w:szCs w:val="22"/>
                <w:u w:val="none"/>
                <w:lang w:val="en-US" w:eastAsia="zh-CN" w:bidi="ar"/>
              </w:rPr>
              <w:t xml:space="preserve">1.12 </w:t>
            </w:r>
          </w:p>
        </w:tc>
      </w:tr>
      <w:tr w14:paraId="0B52503D">
        <w:tblPrEx>
          <w:tblCellMar>
            <w:top w:w="0" w:type="dxa"/>
            <w:left w:w="108" w:type="dxa"/>
            <w:bottom w:w="0" w:type="dxa"/>
            <w:right w:w="108" w:type="dxa"/>
          </w:tblCellMar>
        </w:tblPrEx>
        <w:trPr>
          <w:trHeight w:val="300" w:hRule="atLeast"/>
        </w:trPr>
        <w:tc>
          <w:tcPr>
            <w:tcW w:w="47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545498C5">
            <w:pPr>
              <w:adjustRightInd w:val="0"/>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K</w:t>
            </w:r>
          </w:p>
        </w:tc>
        <w:tc>
          <w:tcPr>
            <w:tcW w:w="2501" w:type="pct"/>
            <w:tcBorders>
              <w:top w:val="single" w:color="000000" w:sz="8" w:space="0"/>
              <w:left w:val="nil"/>
              <w:bottom w:val="single" w:color="000000" w:sz="8" w:space="0"/>
              <w:right w:val="single" w:color="000000" w:sz="8" w:space="0"/>
            </w:tcBorders>
            <w:shd w:val="clear" w:color="auto" w:fill="auto"/>
            <w:vAlign w:val="center"/>
          </w:tcPr>
          <w:p w14:paraId="607F4DD5">
            <w:pPr>
              <w:adjustRightInd w:val="0"/>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房地产业</w:t>
            </w:r>
          </w:p>
        </w:tc>
        <w:tc>
          <w:tcPr>
            <w:tcW w:w="2264" w:type="dxa"/>
            <w:tcBorders>
              <w:top w:val="single" w:color="000000" w:sz="8" w:space="0"/>
              <w:left w:val="nil"/>
              <w:bottom w:val="single" w:color="000000" w:sz="8" w:space="0"/>
              <w:right w:val="single" w:color="000000" w:sz="8" w:space="0"/>
            </w:tcBorders>
            <w:shd w:val="clear" w:color="auto" w:fill="auto"/>
            <w:vAlign w:val="center"/>
          </w:tcPr>
          <w:p w14:paraId="413C5545">
            <w:pPr>
              <w:keepNext w:val="0"/>
              <w:keepLines w:val="0"/>
              <w:widowControl/>
              <w:suppressLineNumbers w:val="0"/>
              <w:jc w:val="right"/>
              <w:textAlignment w:val="center"/>
              <w:rPr>
                <w:rFonts w:hint="eastAsia" w:ascii="宋体" w:hAnsi="宋体" w:eastAsia="宋体" w:cs="宋体"/>
                <w:highlight w:val="none"/>
              </w:rPr>
            </w:pPr>
            <w:r>
              <w:rPr>
                <w:rFonts w:hint="eastAsia" w:ascii="宋体" w:hAnsi="宋体" w:eastAsia="宋体" w:cs="宋体"/>
                <w:sz w:val="21"/>
                <w:szCs w:val="21"/>
                <w:highlight w:val="none"/>
                <w:lang w:val="en-US" w:eastAsia="zh-CN"/>
              </w:rPr>
              <w:t>-</w:t>
            </w:r>
          </w:p>
        </w:tc>
        <w:tc>
          <w:tcPr>
            <w:tcW w:w="1185" w:type="dxa"/>
            <w:tcBorders>
              <w:top w:val="single" w:color="000000" w:sz="8" w:space="0"/>
              <w:left w:val="nil"/>
              <w:bottom w:val="single" w:color="000000" w:sz="8" w:space="0"/>
              <w:right w:val="single" w:color="000000" w:sz="8" w:space="0"/>
            </w:tcBorders>
            <w:shd w:val="clear" w:color="auto" w:fill="auto"/>
            <w:vAlign w:val="center"/>
          </w:tcPr>
          <w:p w14:paraId="11ADE62B">
            <w:pPr>
              <w:keepNext w:val="0"/>
              <w:keepLines w:val="0"/>
              <w:widowControl/>
              <w:suppressLineNumbers w:val="0"/>
              <w:jc w:val="right"/>
              <w:textAlignment w:val="center"/>
              <w:rPr>
                <w:rFonts w:hint="eastAsia" w:ascii="宋体" w:hAnsi="宋体" w:eastAsia="宋体" w:cs="宋体"/>
                <w:highlight w:val="none"/>
              </w:rPr>
            </w:pPr>
            <w:r>
              <w:rPr>
                <w:rFonts w:hint="eastAsia" w:ascii="宋体" w:hAnsi="宋体" w:eastAsia="宋体" w:cs="宋体"/>
                <w:sz w:val="21"/>
                <w:szCs w:val="21"/>
                <w:highlight w:val="none"/>
                <w:lang w:val="en-US" w:eastAsia="zh-CN"/>
              </w:rPr>
              <w:t>-</w:t>
            </w:r>
          </w:p>
        </w:tc>
      </w:tr>
      <w:tr w14:paraId="291E0F36">
        <w:tblPrEx>
          <w:tblCellMar>
            <w:top w:w="0" w:type="dxa"/>
            <w:left w:w="108" w:type="dxa"/>
            <w:bottom w:w="0" w:type="dxa"/>
            <w:right w:w="108" w:type="dxa"/>
          </w:tblCellMar>
        </w:tblPrEx>
        <w:trPr>
          <w:trHeight w:val="300" w:hRule="atLeast"/>
        </w:trPr>
        <w:tc>
          <w:tcPr>
            <w:tcW w:w="47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7E5D3C36">
            <w:pPr>
              <w:adjustRightInd w:val="0"/>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L</w:t>
            </w:r>
          </w:p>
        </w:tc>
        <w:tc>
          <w:tcPr>
            <w:tcW w:w="2501" w:type="pct"/>
            <w:tcBorders>
              <w:top w:val="single" w:color="000000" w:sz="8" w:space="0"/>
              <w:left w:val="nil"/>
              <w:bottom w:val="single" w:color="000000" w:sz="8" w:space="0"/>
              <w:right w:val="single" w:color="000000" w:sz="8" w:space="0"/>
            </w:tcBorders>
            <w:shd w:val="clear" w:color="auto" w:fill="auto"/>
            <w:vAlign w:val="center"/>
          </w:tcPr>
          <w:p w14:paraId="55CFBD21">
            <w:pPr>
              <w:adjustRightInd w:val="0"/>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租赁和商务服务业</w:t>
            </w:r>
          </w:p>
        </w:tc>
        <w:tc>
          <w:tcPr>
            <w:tcW w:w="2264" w:type="dxa"/>
            <w:tcBorders>
              <w:top w:val="single" w:color="000000" w:sz="8" w:space="0"/>
              <w:left w:val="nil"/>
              <w:bottom w:val="single" w:color="000000" w:sz="8" w:space="0"/>
              <w:right w:val="single" w:color="000000" w:sz="8" w:space="0"/>
            </w:tcBorders>
            <w:shd w:val="clear" w:color="auto" w:fill="auto"/>
            <w:vAlign w:val="center"/>
          </w:tcPr>
          <w:p w14:paraId="12C5A2CA">
            <w:pPr>
              <w:keepNext w:val="0"/>
              <w:keepLines w:val="0"/>
              <w:widowControl/>
              <w:suppressLineNumbers w:val="0"/>
              <w:jc w:val="right"/>
              <w:textAlignment w:val="center"/>
              <w:rPr>
                <w:rFonts w:hint="eastAsia" w:ascii="宋体" w:hAnsi="宋体" w:eastAsia="宋体" w:cs="宋体"/>
                <w:highlight w:val="none"/>
              </w:rPr>
            </w:pPr>
            <w:r>
              <w:rPr>
                <w:rFonts w:hint="eastAsia" w:ascii="宋体" w:hAnsi="宋体" w:eastAsia="宋体" w:cs="宋体"/>
                <w:i w:val="0"/>
                <w:iCs w:val="0"/>
                <w:color w:val="000000"/>
                <w:kern w:val="0"/>
                <w:sz w:val="22"/>
                <w:szCs w:val="22"/>
                <w:u w:val="none"/>
                <w:lang w:val="en-US" w:eastAsia="zh-CN" w:bidi="ar"/>
              </w:rPr>
              <w:t>1,357,414.00</w:t>
            </w:r>
          </w:p>
        </w:tc>
        <w:tc>
          <w:tcPr>
            <w:tcW w:w="1185" w:type="dxa"/>
            <w:tcBorders>
              <w:top w:val="single" w:color="000000" w:sz="8" w:space="0"/>
              <w:left w:val="nil"/>
              <w:bottom w:val="single" w:color="000000" w:sz="8" w:space="0"/>
              <w:right w:val="single" w:color="000000" w:sz="8" w:space="0"/>
            </w:tcBorders>
            <w:shd w:val="clear" w:color="auto" w:fill="auto"/>
            <w:vAlign w:val="center"/>
          </w:tcPr>
          <w:p w14:paraId="10FF28FA">
            <w:pPr>
              <w:keepNext w:val="0"/>
              <w:keepLines w:val="0"/>
              <w:widowControl/>
              <w:suppressLineNumbers w:val="0"/>
              <w:jc w:val="right"/>
              <w:textAlignment w:val="center"/>
              <w:rPr>
                <w:rFonts w:hint="eastAsia" w:ascii="宋体" w:hAnsi="宋体" w:eastAsia="宋体" w:cs="宋体"/>
                <w:highlight w:val="none"/>
              </w:rPr>
            </w:pPr>
            <w:r>
              <w:rPr>
                <w:rFonts w:hint="eastAsia" w:ascii="宋体" w:hAnsi="宋体" w:eastAsia="宋体" w:cs="宋体"/>
                <w:i w:val="0"/>
                <w:iCs w:val="0"/>
                <w:color w:val="000000"/>
                <w:kern w:val="0"/>
                <w:sz w:val="22"/>
                <w:szCs w:val="22"/>
                <w:u w:val="none"/>
                <w:lang w:val="en-US" w:eastAsia="zh-CN" w:bidi="ar"/>
              </w:rPr>
              <w:t xml:space="preserve">0.52 </w:t>
            </w:r>
          </w:p>
        </w:tc>
      </w:tr>
      <w:tr w14:paraId="6CA43280">
        <w:tblPrEx>
          <w:tblCellMar>
            <w:top w:w="0" w:type="dxa"/>
            <w:left w:w="108" w:type="dxa"/>
            <w:bottom w:w="0" w:type="dxa"/>
            <w:right w:w="108" w:type="dxa"/>
          </w:tblCellMar>
        </w:tblPrEx>
        <w:trPr>
          <w:trHeight w:val="300" w:hRule="atLeast"/>
        </w:trPr>
        <w:tc>
          <w:tcPr>
            <w:tcW w:w="47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05FD7E48">
            <w:pPr>
              <w:adjustRightInd w:val="0"/>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M</w:t>
            </w:r>
          </w:p>
        </w:tc>
        <w:tc>
          <w:tcPr>
            <w:tcW w:w="2501" w:type="pct"/>
            <w:tcBorders>
              <w:top w:val="single" w:color="000000" w:sz="8" w:space="0"/>
              <w:left w:val="nil"/>
              <w:bottom w:val="single" w:color="000000" w:sz="8" w:space="0"/>
              <w:right w:val="single" w:color="000000" w:sz="8" w:space="0"/>
            </w:tcBorders>
            <w:shd w:val="clear" w:color="auto" w:fill="auto"/>
            <w:vAlign w:val="center"/>
          </w:tcPr>
          <w:p w14:paraId="3BC6591E">
            <w:pPr>
              <w:adjustRightInd w:val="0"/>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科学研究和技术服务业</w:t>
            </w:r>
          </w:p>
        </w:tc>
        <w:tc>
          <w:tcPr>
            <w:tcW w:w="2264" w:type="dxa"/>
            <w:tcBorders>
              <w:top w:val="single" w:color="000000" w:sz="8" w:space="0"/>
              <w:left w:val="nil"/>
              <w:bottom w:val="single" w:color="000000" w:sz="8" w:space="0"/>
              <w:right w:val="single" w:color="000000" w:sz="8" w:space="0"/>
            </w:tcBorders>
            <w:shd w:val="clear" w:color="auto" w:fill="auto"/>
            <w:vAlign w:val="center"/>
          </w:tcPr>
          <w:p w14:paraId="0012B8D0">
            <w:pPr>
              <w:keepNext w:val="0"/>
              <w:keepLines w:val="0"/>
              <w:widowControl/>
              <w:suppressLineNumbers w:val="0"/>
              <w:jc w:val="right"/>
              <w:textAlignment w:val="center"/>
              <w:rPr>
                <w:rFonts w:hint="eastAsia" w:ascii="宋体" w:hAnsi="宋体" w:eastAsia="宋体" w:cs="宋体"/>
                <w:highlight w:val="none"/>
              </w:rPr>
            </w:pPr>
            <w:r>
              <w:rPr>
                <w:rFonts w:hint="eastAsia" w:ascii="宋体" w:hAnsi="宋体" w:eastAsia="宋体" w:cs="宋体"/>
                <w:sz w:val="21"/>
                <w:szCs w:val="21"/>
                <w:highlight w:val="none"/>
                <w:lang w:val="en-US" w:eastAsia="zh-CN"/>
              </w:rPr>
              <w:t>-</w:t>
            </w:r>
          </w:p>
        </w:tc>
        <w:tc>
          <w:tcPr>
            <w:tcW w:w="1185" w:type="dxa"/>
            <w:tcBorders>
              <w:top w:val="single" w:color="000000" w:sz="8" w:space="0"/>
              <w:left w:val="nil"/>
              <w:bottom w:val="single" w:color="000000" w:sz="8" w:space="0"/>
              <w:right w:val="single" w:color="000000" w:sz="8" w:space="0"/>
            </w:tcBorders>
            <w:shd w:val="clear" w:color="auto" w:fill="auto"/>
            <w:vAlign w:val="center"/>
          </w:tcPr>
          <w:p w14:paraId="2FAEBEE4">
            <w:pPr>
              <w:keepNext w:val="0"/>
              <w:keepLines w:val="0"/>
              <w:widowControl/>
              <w:suppressLineNumbers w:val="0"/>
              <w:jc w:val="right"/>
              <w:textAlignment w:val="center"/>
              <w:rPr>
                <w:rFonts w:hint="eastAsia" w:ascii="宋体" w:hAnsi="宋体" w:eastAsia="宋体" w:cs="宋体"/>
                <w:highlight w:val="none"/>
              </w:rPr>
            </w:pPr>
            <w:r>
              <w:rPr>
                <w:rFonts w:hint="eastAsia" w:ascii="宋体" w:hAnsi="宋体" w:eastAsia="宋体" w:cs="宋体"/>
                <w:sz w:val="21"/>
                <w:szCs w:val="21"/>
                <w:highlight w:val="none"/>
                <w:lang w:val="en-US" w:eastAsia="zh-CN"/>
              </w:rPr>
              <w:t>-</w:t>
            </w:r>
          </w:p>
        </w:tc>
      </w:tr>
      <w:tr w14:paraId="78B7CB4D">
        <w:tblPrEx>
          <w:tblCellMar>
            <w:top w:w="0" w:type="dxa"/>
            <w:left w:w="108" w:type="dxa"/>
            <w:bottom w:w="0" w:type="dxa"/>
            <w:right w:w="108" w:type="dxa"/>
          </w:tblCellMar>
        </w:tblPrEx>
        <w:trPr>
          <w:trHeight w:val="300" w:hRule="atLeast"/>
        </w:trPr>
        <w:tc>
          <w:tcPr>
            <w:tcW w:w="47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43629009">
            <w:pPr>
              <w:adjustRightInd w:val="0"/>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N</w:t>
            </w:r>
          </w:p>
        </w:tc>
        <w:tc>
          <w:tcPr>
            <w:tcW w:w="2501" w:type="pct"/>
            <w:tcBorders>
              <w:top w:val="single" w:color="000000" w:sz="8" w:space="0"/>
              <w:left w:val="nil"/>
              <w:bottom w:val="single" w:color="000000" w:sz="8" w:space="0"/>
              <w:right w:val="single" w:color="000000" w:sz="8" w:space="0"/>
            </w:tcBorders>
            <w:shd w:val="clear" w:color="auto" w:fill="auto"/>
            <w:vAlign w:val="center"/>
          </w:tcPr>
          <w:p w14:paraId="296510CB">
            <w:pPr>
              <w:adjustRightInd w:val="0"/>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水利、环境和公共设施管理业</w:t>
            </w:r>
          </w:p>
        </w:tc>
        <w:tc>
          <w:tcPr>
            <w:tcW w:w="2264" w:type="dxa"/>
            <w:tcBorders>
              <w:top w:val="single" w:color="000000" w:sz="8" w:space="0"/>
              <w:left w:val="nil"/>
              <w:bottom w:val="single" w:color="000000" w:sz="8" w:space="0"/>
              <w:right w:val="single" w:color="000000" w:sz="8" w:space="0"/>
            </w:tcBorders>
            <w:shd w:val="clear" w:color="auto" w:fill="auto"/>
            <w:vAlign w:val="center"/>
          </w:tcPr>
          <w:p w14:paraId="1711F491">
            <w:pPr>
              <w:keepNext w:val="0"/>
              <w:keepLines w:val="0"/>
              <w:widowControl/>
              <w:suppressLineNumbers w:val="0"/>
              <w:jc w:val="right"/>
              <w:textAlignment w:val="center"/>
              <w:rPr>
                <w:rFonts w:hint="eastAsia" w:ascii="宋体" w:hAnsi="宋体" w:eastAsia="宋体" w:cs="宋体"/>
                <w:highlight w:val="none"/>
              </w:rPr>
            </w:pPr>
            <w:r>
              <w:rPr>
                <w:rFonts w:hint="eastAsia" w:ascii="宋体" w:hAnsi="宋体" w:eastAsia="宋体" w:cs="宋体"/>
                <w:i w:val="0"/>
                <w:iCs w:val="0"/>
                <w:color w:val="000000"/>
                <w:kern w:val="0"/>
                <w:sz w:val="22"/>
                <w:szCs w:val="22"/>
                <w:u w:val="none"/>
                <w:lang w:val="en-US" w:eastAsia="zh-CN" w:bidi="ar"/>
              </w:rPr>
              <w:t>567,056.00</w:t>
            </w:r>
          </w:p>
        </w:tc>
        <w:tc>
          <w:tcPr>
            <w:tcW w:w="1185" w:type="dxa"/>
            <w:tcBorders>
              <w:top w:val="single" w:color="000000" w:sz="8" w:space="0"/>
              <w:left w:val="nil"/>
              <w:bottom w:val="single" w:color="000000" w:sz="8" w:space="0"/>
              <w:right w:val="single" w:color="000000" w:sz="8" w:space="0"/>
            </w:tcBorders>
            <w:shd w:val="clear" w:color="auto" w:fill="auto"/>
            <w:vAlign w:val="center"/>
          </w:tcPr>
          <w:p w14:paraId="410D09C7">
            <w:pPr>
              <w:keepNext w:val="0"/>
              <w:keepLines w:val="0"/>
              <w:widowControl/>
              <w:suppressLineNumbers w:val="0"/>
              <w:jc w:val="right"/>
              <w:textAlignment w:val="center"/>
              <w:rPr>
                <w:rFonts w:hint="eastAsia" w:ascii="宋体" w:hAnsi="宋体" w:eastAsia="宋体" w:cs="宋体"/>
                <w:highlight w:val="none"/>
              </w:rPr>
            </w:pPr>
            <w:r>
              <w:rPr>
                <w:rFonts w:hint="eastAsia" w:ascii="宋体" w:hAnsi="宋体" w:eastAsia="宋体" w:cs="宋体"/>
                <w:i w:val="0"/>
                <w:iCs w:val="0"/>
                <w:color w:val="000000"/>
                <w:kern w:val="0"/>
                <w:sz w:val="22"/>
                <w:szCs w:val="22"/>
                <w:u w:val="none"/>
                <w:lang w:val="en-US" w:eastAsia="zh-CN" w:bidi="ar"/>
              </w:rPr>
              <w:t xml:space="preserve">0.22 </w:t>
            </w:r>
          </w:p>
        </w:tc>
      </w:tr>
      <w:tr w14:paraId="15BF2765">
        <w:tblPrEx>
          <w:tblCellMar>
            <w:top w:w="0" w:type="dxa"/>
            <w:left w:w="108" w:type="dxa"/>
            <w:bottom w:w="0" w:type="dxa"/>
            <w:right w:w="108" w:type="dxa"/>
          </w:tblCellMar>
        </w:tblPrEx>
        <w:trPr>
          <w:trHeight w:val="300" w:hRule="atLeast"/>
        </w:trPr>
        <w:tc>
          <w:tcPr>
            <w:tcW w:w="47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49254C51">
            <w:pPr>
              <w:adjustRightInd w:val="0"/>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O</w:t>
            </w:r>
          </w:p>
        </w:tc>
        <w:tc>
          <w:tcPr>
            <w:tcW w:w="2501" w:type="pct"/>
            <w:tcBorders>
              <w:top w:val="single" w:color="000000" w:sz="8" w:space="0"/>
              <w:left w:val="nil"/>
              <w:bottom w:val="single" w:color="000000" w:sz="8" w:space="0"/>
              <w:right w:val="single" w:color="000000" w:sz="8" w:space="0"/>
            </w:tcBorders>
            <w:shd w:val="clear" w:color="auto" w:fill="auto"/>
            <w:vAlign w:val="center"/>
          </w:tcPr>
          <w:p w14:paraId="43C07FFB">
            <w:pPr>
              <w:adjustRightInd w:val="0"/>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居民服务、修理和其他服务业</w:t>
            </w:r>
          </w:p>
        </w:tc>
        <w:tc>
          <w:tcPr>
            <w:tcW w:w="2264" w:type="dxa"/>
            <w:tcBorders>
              <w:top w:val="single" w:color="000000" w:sz="8" w:space="0"/>
              <w:left w:val="nil"/>
              <w:bottom w:val="single" w:color="000000" w:sz="8" w:space="0"/>
              <w:right w:val="single" w:color="000000" w:sz="8" w:space="0"/>
            </w:tcBorders>
            <w:shd w:val="clear" w:color="auto" w:fill="auto"/>
            <w:vAlign w:val="center"/>
          </w:tcPr>
          <w:p w14:paraId="5414FB91">
            <w:pPr>
              <w:keepNext w:val="0"/>
              <w:keepLines w:val="0"/>
              <w:widowControl/>
              <w:suppressLineNumbers w:val="0"/>
              <w:jc w:val="right"/>
              <w:textAlignment w:val="center"/>
              <w:rPr>
                <w:rFonts w:hint="eastAsia" w:ascii="宋体" w:hAnsi="宋体" w:eastAsia="宋体" w:cs="宋体"/>
                <w:highlight w:val="none"/>
              </w:rPr>
            </w:pPr>
            <w:r>
              <w:rPr>
                <w:rFonts w:hint="eastAsia" w:ascii="宋体" w:hAnsi="宋体" w:eastAsia="宋体" w:cs="宋体"/>
                <w:sz w:val="21"/>
                <w:szCs w:val="21"/>
                <w:highlight w:val="none"/>
                <w:lang w:val="en-US" w:eastAsia="zh-CN"/>
              </w:rPr>
              <w:t>-</w:t>
            </w:r>
          </w:p>
        </w:tc>
        <w:tc>
          <w:tcPr>
            <w:tcW w:w="1185" w:type="dxa"/>
            <w:tcBorders>
              <w:top w:val="single" w:color="000000" w:sz="8" w:space="0"/>
              <w:left w:val="nil"/>
              <w:bottom w:val="single" w:color="000000" w:sz="8" w:space="0"/>
              <w:right w:val="single" w:color="000000" w:sz="8" w:space="0"/>
            </w:tcBorders>
            <w:shd w:val="clear" w:color="auto" w:fill="auto"/>
            <w:vAlign w:val="center"/>
          </w:tcPr>
          <w:p w14:paraId="12D92B9D">
            <w:pPr>
              <w:keepNext w:val="0"/>
              <w:keepLines w:val="0"/>
              <w:widowControl/>
              <w:suppressLineNumbers w:val="0"/>
              <w:jc w:val="right"/>
              <w:textAlignment w:val="center"/>
              <w:rPr>
                <w:rFonts w:hint="eastAsia" w:ascii="宋体" w:hAnsi="宋体" w:eastAsia="宋体" w:cs="宋体"/>
                <w:highlight w:val="none"/>
              </w:rPr>
            </w:pPr>
            <w:r>
              <w:rPr>
                <w:rFonts w:hint="eastAsia" w:ascii="宋体" w:hAnsi="宋体" w:eastAsia="宋体" w:cs="宋体"/>
                <w:sz w:val="21"/>
                <w:szCs w:val="21"/>
                <w:highlight w:val="none"/>
                <w:lang w:val="en-US" w:eastAsia="zh-CN"/>
              </w:rPr>
              <w:t>-</w:t>
            </w:r>
          </w:p>
        </w:tc>
      </w:tr>
      <w:tr w14:paraId="1E507377">
        <w:tblPrEx>
          <w:tblCellMar>
            <w:top w:w="0" w:type="dxa"/>
            <w:left w:w="108" w:type="dxa"/>
            <w:bottom w:w="0" w:type="dxa"/>
            <w:right w:w="108" w:type="dxa"/>
          </w:tblCellMar>
        </w:tblPrEx>
        <w:trPr>
          <w:trHeight w:val="300" w:hRule="atLeast"/>
        </w:trPr>
        <w:tc>
          <w:tcPr>
            <w:tcW w:w="47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2561B3E6">
            <w:pPr>
              <w:adjustRightInd w:val="0"/>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P</w:t>
            </w:r>
          </w:p>
        </w:tc>
        <w:tc>
          <w:tcPr>
            <w:tcW w:w="2501" w:type="pct"/>
            <w:tcBorders>
              <w:top w:val="single" w:color="000000" w:sz="8" w:space="0"/>
              <w:left w:val="nil"/>
              <w:bottom w:val="single" w:color="000000" w:sz="8" w:space="0"/>
              <w:right w:val="single" w:color="000000" w:sz="8" w:space="0"/>
            </w:tcBorders>
            <w:shd w:val="clear" w:color="auto" w:fill="auto"/>
            <w:vAlign w:val="center"/>
          </w:tcPr>
          <w:p w14:paraId="049DB747">
            <w:pPr>
              <w:adjustRightInd w:val="0"/>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教育</w:t>
            </w:r>
          </w:p>
        </w:tc>
        <w:tc>
          <w:tcPr>
            <w:tcW w:w="2264" w:type="dxa"/>
            <w:tcBorders>
              <w:top w:val="single" w:color="000000" w:sz="8" w:space="0"/>
              <w:left w:val="nil"/>
              <w:bottom w:val="single" w:color="000000" w:sz="8" w:space="0"/>
              <w:right w:val="single" w:color="000000" w:sz="8" w:space="0"/>
            </w:tcBorders>
            <w:shd w:val="clear" w:color="auto" w:fill="auto"/>
            <w:vAlign w:val="center"/>
          </w:tcPr>
          <w:p w14:paraId="7A1B3228">
            <w:pPr>
              <w:keepNext w:val="0"/>
              <w:keepLines w:val="0"/>
              <w:widowControl/>
              <w:suppressLineNumbers w:val="0"/>
              <w:jc w:val="right"/>
              <w:textAlignment w:val="center"/>
              <w:rPr>
                <w:rFonts w:hint="eastAsia" w:ascii="宋体" w:hAnsi="宋体" w:eastAsia="宋体" w:cs="宋体"/>
                <w:highlight w:val="none"/>
              </w:rPr>
            </w:pPr>
            <w:r>
              <w:rPr>
                <w:rFonts w:hint="eastAsia" w:ascii="宋体" w:hAnsi="宋体" w:eastAsia="宋体" w:cs="宋体"/>
                <w:sz w:val="21"/>
                <w:szCs w:val="21"/>
                <w:highlight w:val="none"/>
                <w:lang w:val="en-US" w:eastAsia="zh-CN"/>
              </w:rPr>
              <w:t>-</w:t>
            </w:r>
          </w:p>
        </w:tc>
        <w:tc>
          <w:tcPr>
            <w:tcW w:w="1185" w:type="dxa"/>
            <w:tcBorders>
              <w:top w:val="single" w:color="000000" w:sz="8" w:space="0"/>
              <w:left w:val="nil"/>
              <w:bottom w:val="single" w:color="000000" w:sz="8" w:space="0"/>
              <w:right w:val="single" w:color="000000" w:sz="8" w:space="0"/>
            </w:tcBorders>
            <w:shd w:val="clear" w:color="auto" w:fill="auto"/>
            <w:vAlign w:val="center"/>
          </w:tcPr>
          <w:p w14:paraId="0E5DEE80">
            <w:pPr>
              <w:keepNext w:val="0"/>
              <w:keepLines w:val="0"/>
              <w:widowControl/>
              <w:suppressLineNumbers w:val="0"/>
              <w:jc w:val="right"/>
              <w:textAlignment w:val="center"/>
              <w:rPr>
                <w:rFonts w:hint="eastAsia" w:ascii="宋体" w:hAnsi="宋体" w:eastAsia="宋体" w:cs="宋体"/>
                <w:highlight w:val="none"/>
              </w:rPr>
            </w:pPr>
            <w:r>
              <w:rPr>
                <w:rFonts w:hint="eastAsia" w:ascii="宋体" w:hAnsi="宋体" w:eastAsia="宋体" w:cs="宋体"/>
                <w:sz w:val="21"/>
                <w:szCs w:val="21"/>
                <w:highlight w:val="none"/>
                <w:lang w:val="en-US" w:eastAsia="zh-CN"/>
              </w:rPr>
              <w:t>-</w:t>
            </w:r>
          </w:p>
        </w:tc>
      </w:tr>
      <w:tr w14:paraId="5C820AB3">
        <w:tblPrEx>
          <w:tblCellMar>
            <w:top w:w="0" w:type="dxa"/>
            <w:left w:w="108" w:type="dxa"/>
            <w:bottom w:w="0" w:type="dxa"/>
            <w:right w:w="108" w:type="dxa"/>
          </w:tblCellMar>
        </w:tblPrEx>
        <w:trPr>
          <w:trHeight w:val="300" w:hRule="atLeast"/>
        </w:trPr>
        <w:tc>
          <w:tcPr>
            <w:tcW w:w="47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6702EC0D">
            <w:pPr>
              <w:adjustRightInd w:val="0"/>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Q</w:t>
            </w:r>
          </w:p>
        </w:tc>
        <w:tc>
          <w:tcPr>
            <w:tcW w:w="2501" w:type="pct"/>
            <w:tcBorders>
              <w:top w:val="single" w:color="000000" w:sz="8" w:space="0"/>
              <w:left w:val="nil"/>
              <w:bottom w:val="single" w:color="000000" w:sz="8" w:space="0"/>
              <w:right w:val="single" w:color="000000" w:sz="8" w:space="0"/>
            </w:tcBorders>
            <w:shd w:val="clear" w:color="auto" w:fill="auto"/>
            <w:vAlign w:val="center"/>
          </w:tcPr>
          <w:p w14:paraId="1AD0B62B">
            <w:pPr>
              <w:adjustRightInd w:val="0"/>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卫生和社会工作</w:t>
            </w:r>
          </w:p>
        </w:tc>
        <w:tc>
          <w:tcPr>
            <w:tcW w:w="2264" w:type="dxa"/>
            <w:tcBorders>
              <w:top w:val="single" w:color="000000" w:sz="8" w:space="0"/>
              <w:left w:val="nil"/>
              <w:bottom w:val="single" w:color="000000" w:sz="8" w:space="0"/>
              <w:right w:val="single" w:color="000000" w:sz="8" w:space="0"/>
            </w:tcBorders>
            <w:shd w:val="clear" w:color="auto" w:fill="auto"/>
            <w:vAlign w:val="center"/>
          </w:tcPr>
          <w:p w14:paraId="5F14217C">
            <w:pPr>
              <w:keepNext w:val="0"/>
              <w:keepLines w:val="0"/>
              <w:widowControl/>
              <w:suppressLineNumbers w:val="0"/>
              <w:jc w:val="right"/>
              <w:textAlignment w:val="center"/>
              <w:rPr>
                <w:rFonts w:hint="eastAsia" w:ascii="宋体" w:hAnsi="宋体" w:eastAsia="宋体" w:cs="宋体"/>
                <w:highlight w:val="none"/>
              </w:rPr>
            </w:pPr>
            <w:r>
              <w:rPr>
                <w:rFonts w:hint="eastAsia" w:ascii="宋体" w:hAnsi="宋体" w:eastAsia="宋体" w:cs="宋体"/>
                <w:sz w:val="21"/>
                <w:szCs w:val="21"/>
                <w:highlight w:val="none"/>
                <w:lang w:val="en-US" w:eastAsia="zh-CN"/>
              </w:rPr>
              <w:t>-</w:t>
            </w:r>
          </w:p>
        </w:tc>
        <w:tc>
          <w:tcPr>
            <w:tcW w:w="1185" w:type="dxa"/>
            <w:tcBorders>
              <w:top w:val="single" w:color="000000" w:sz="8" w:space="0"/>
              <w:left w:val="nil"/>
              <w:bottom w:val="single" w:color="000000" w:sz="8" w:space="0"/>
              <w:right w:val="single" w:color="000000" w:sz="8" w:space="0"/>
            </w:tcBorders>
            <w:shd w:val="clear" w:color="auto" w:fill="auto"/>
            <w:vAlign w:val="center"/>
          </w:tcPr>
          <w:p w14:paraId="2660E315">
            <w:pPr>
              <w:keepNext w:val="0"/>
              <w:keepLines w:val="0"/>
              <w:widowControl/>
              <w:suppressLineNumbers w:val="0"/>
              <w:jc w:val="right"/>
              <w:textAlignment w:val="center"/>
              <w:rPr>
                <w:rFonts w:hint="eastAsia" w:ascii="宋体" w:hAnsi="宋体" w:eastAsia="宋体" w:cs="宋体"/>
                <w:highlight w:val="none"/>
              </w:rPr>
            </w:pPr>
            <w:r>
              <w:rPr>
                <w:rFonts w:hint="eastAsia" w:ascii="宋体" w:hAnsi="宋体" w:eastAsia="宋体" w:cs="宋体"/>
                <w:sz w:val="21"/>
                <w:szCs w:val="21"/>
                <w:highlight w:val="none"/>
                <w:lang w:val="en-US" w:eastAsia="zh-CN"/>
              </w:rPr>
              <w:t>-</w:t>
            </w:r>
          </w:p>
        </w:tc>
      </w:tr>
      <w:tr w14:paraId="326397DE">
        <w:tblPrEx>
          <w:tblCellMar>
            <w:top w:w="0" w:type="dxa"/>
            <w:left w:w="108" w:type="dxa"/>
            <w:bottom w:w="0" w:type="dxa"/>
            <w:right w:w="108" w:type="dxa"/>
          </w:tblCellMar>
        </w:tblPrEx>
        <w:trPr>
          <w:trHeight w:val="300" w:hRule="atLeast"/>
        </w:trPr>
        <w:tc>
          <w:tcPr>
            <w:tcW w:w="47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5C9E057D">
            <w:pPr>
              <w:adjustRightInd w:val="0"/>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R</w:t>
            </w:r>
          </w:p>
        </w:tc>
        <w:tc>
          <w:tcPr>
            <w:tcW w:w="2501" w:type="pct"/>
            <w:tcBorders>
              <w:top w:val="single" w:color="000000" w:sz="8" w:space="0"/>
              <w:left w:val="nil"/>
              <w:bottom w:val="single" w:color="000000" w:sz="8" w:space="0"/>
              <w:right w:val="single" w:color="000000" w:sz="8" w:space="0"/>
            </w:tcBorders>
            <w:shd w:val="clear" w:color="auto" w:fill="auto"/>
            <w:vAlign w:val="center"/>
          </w:tcPr>
          <w:p w14:paraId="34274670">
            <w:pPr>
              <w:adjustRightInd w:val="0"/>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文化、体育和娱乐业</w:t>
            </w:r>
          </w:p>
        </w:tc>
        <w:tc>
          <w:tcPr>
            <w:tcW w:w="2264" w:type="dxa"/>
            <w:tcBorders>
              <w:top w:val="single" w:color="000000" w:sz="8" w:space="0"/>
              <w:left w:val="nil"/>
              <w:bottom w:val="single" w:color="000000" w:sz="8" w:space="0"/>
              <w:right w:val="single" w:color="000000" w:sz="8" w:space="0"/>
            </w:tcBorders>
            <w:shd w:val="clear" w:color="auto" w:fill="auto"/>
            <w:vAlign w:val="center"/>
          </w:tcPr>
          <w:p w14:paraId="2DFB47E0">
            <w:pPr>
              <w:keepNext w:val="0"/>
              <w:keepLines w:val="0"/>
              <w:widowControl/>
              <w:suppressLineNumbers w:val="0"/>
              <w:jc w:val="right"/>
              <w:textAlignment w:val="center"/>
              <w:rPr>
                <w:rFonts w:hint="eastAsia" w:ascii="宋体" w:hAnsi="宋体" w:eastAsia="宋体" w:cs="宋体"/>
                <w:highlight w:val="none"/>
              </w:rPr>
            </w:pPr>
            <w:r>
              <w:rPr>
                <w:rFonts w:hint="eastAsia" w:ascii="宋体" w:hAnsi="宋体" w:eastAsia="宋体" w:cs="宋体"/>
                <w:sz w:val="21"/>
                <w:szCs w:val="21"/>
                <w:highlight w:val="none"/>
                <w:lang w:val="en-US" w:eastAsia="zh-CN"/>
              </w:rPr>
              <w:t>-</w:t>
            </w:r>
          </w:p>
        </w:tc>
        <w:tc>
          <w:tcPr>
            <w:tcW w:w="1185" w:type="dxa"/>
            <w:tcBorders>
              <w:top w:val="single" w:color="000000" w:sz="8" w:space="0"/>
              <w:left w:val="nil"/>
              <w:bottom w:val="single" w:color="000000" w:sz="8" w:space="0"/>
              <w:right w:val="single" w:color="000000" w:sz="8" w:space="0"/>
            </w:tcBorders>
            <w:shd w:val="clear" w:color="auto" w:fill="auto"/>
            <w:vAlign w:val="center"/>
          </w:tcPr>
          <w:p w14:paraId="74EB849B">
            <w:pPr>
              <w:keepNext w:val="0"/>
              <w:keepLines w:val="0"/>
              <w:widowControl/>
              <w:suppressLineNumbers w:val="0"/>
              <w:jc w:val="right"/>
              <w:textAlignment w:val="center"/>
              <w:rPr>
                <w:rFonts w:hint="eastAsia" w:ascii="宋体" w:hAnsi="宋体" w:eastAsia="宋体" w:cs="宋体"/>
                <w:highlight w:val="none"/>
              </w:rPr>
            </w:pPr>
            <w:r>
              <w:rPr>
                <w:rFonts w:hint="eastAsia" w:ascii="宋体" w:hAnsi="宋体" w:eastAsia="宋体" w:cs="宋体"/>
                <w:sz w:val="21"/>
                <w:szCs w:val="21"/>
                <w:highlight w:val="none"/>
                <w:lang w:val="en-US" w:eastAsia="zh-CN"/>
              </w:rPr>
              <w:t>-</w:t>
            </w:r>
          </w:p>
        </w:tc>
      </w:tr>
      <w:tr w14:paraId="06ED4EC1">
        <w:tblPrEx>
          <w:tblCellMar>
            <w:top w:w="0" w:type="dxa"/>
            <w:left w:w="108" w:type="dxa"/>
            <w:bottom w:w="0" w:type="dxa"/>
            <w:right w:w="108" w:type="dxa"/>
          </w:tblCellMar>
        </w:tblPrEx>
        <w:trPr>
          <w:trHeight w:val="300" w:hRule="atLeast"/>
        </w:trPr>
        <w:tc>
          <w:tcPr>
            <w:tcW w:w="47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703B8025">
            <w:pPr>
              <w:adjustRightInd w:val="0"/>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S</w:t>
            </w:r>
          </w:p>
        </w:tc>
        <w:tc>
          <w:tcPr>
            <w:tcW w:w="2501" w:type="pct"/>
            <w:tcBorders>
              <w:top w:val="single" w:color="000000" w:sz="8" w:space="0"/>
              <w:left w:val="nil"/>
              <w:bottom w:val="single" w:color="000000" w:sz="8" w:space="0"/>
              <w:right w:val="single" w:color="000000" w:sz="8" w:space="0"/>
            </w:tcBorders>
            <w:shd w:val="clear" w:color="auto" w:fill="auto"/>
            <w:vAlign w:val="center"/>
          </w:tcPr>
          <w:p w14:paraId="181A2149">
            <w:pPr>
              <w:adjustRightInd w:val="0"/>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综合</w:t>
            </w:r>
          </w:p>
        </w:tc>
        <w:tc>
          <w:tcPr>
            <w:tcW w:w="2264" w:type="dxa"/>
            <w:tcBorders>
              <w:top w:val="single" w:color="000000" w:sz="8" w:space="0"/>
              <w:left w:val="nil"/>
              <w:bottom w:val="single" w:color="000000" w:sz="8" w:space="0"/>
              <w:right w:val="single" w:color="000000" w:sz="8" w:space="0"/>
            </w:tcBorders>
            <w:shd w:val="clear" w:color="auto" w:fill="auto"/>
            <w:vAlign w:val="center"/>
          </w:tcPr>
          <w:p w14:paraId="567BFF16">
            <w:pPr>
              <w:keepNext w:val="0"/>
              <w:keepLines w:val="0"/>
              <w:widowControl/>
              <w:suppressLineNumbers w:val="0"/>
              <w:jc w:val="right"/>
              <w:textAlignment w:val="center"/>
              <w:rPr>
                <w:rFonts w:hint="eastAsia" w:ascii="宋体" w:hAnsi="宋体" w:eastAsia="宋体" w:cs="宋体"/>
                <w:highlight w:val="none"/>
              </w:rPr>
            </w:pPr>
            <w:r>
              <w:rPr>
                <w:rFonts w:hint="eastAsia" w:ascii="宋体" w:hAnsi="宋体" w:eastAsia="宋体" w:cs="宋体"/>
                <w:sz w:val="21"/>
                <w:szCs w:val="21"/>
                <w:highlight w:val="none"/>
                <w:lang w:val="en-US" w:eastAsia="zh-CN"/>
              </w:rPr>
              <w:t>-</w:t>
            </w:r>
          </w:p>
        </w:tc>
        <w:tc>
          <w:tcPr>
            <w:tcW w:w="1185" w:type="dxa"/>
            <w:tcBorders>
              <w:top w:val="single" w:color="000000" w:sz="8" w:space="0"/>
              <w:left w:val="nil"/>
              <w:bottom w:val="single" w:color="000000" w:sz="8" w:space="0"/>
              <w:right w:val="single" w:color="000000" w:sz="8" w:space="0"/>
            </w:tcBorders>
            <w:shd w:val="clear" w:color="auto" w:fill="auto"/>
            <w:vAlign w:val="center"/>
          </w:tcPr>
          <w:p w14:paraId="419AC5D6">
            <w:pPr>
              <w:keepNext w:val="0"/>
              <w:keepLines w:val="0"/>
              <w:widowControl/>
              <w:suppressLineNumbers w:val="0"/>
              <w:jc w:val="right"/>
              <w:textAlignment w:val="center"/>
              <w:rPr>
                <w:rFonts w:hint="eastAsia" w:ascii="宋体" w:hAnsi="宋体" w:eastAsia="宋体" w:cs="宋体"/>
                <w:highlight w:val="none"/>
              </w:rPr>
            </w:pPr>
            <w:r>
              <w:rPr>
                <w:rFonts w:hint="eastAsia" w:ascii="宋体" w:hAnsi="宋体" w:eastAsia="宋体" w:cs="宋体"/>
                <w:sz w:val="21"/>
                <w:szCs w:val="21"/>
                <w:highlight w:val="none"/>
                <w:lang w:val="en-US" w:eastAsia="zh-CN"/>
              </w:rPr>
              <w:t>-</w:t>
            </w:r>
          </w:p>
        </w:tc>
      </w:tr>
      <w:tr w14:paraId="6AF478CD">
        <w:tblPrEx>
          <w:tblCellMar>
            <w:top w:w="0" w:type="dxa"/>
            <w:left w:w="108" w:type="dxa"/>
            <w:bottom w:w="0" w:type="dxa"/>
            <w:right w:w="108" w:type="dxa"/>
          </w:tblCellMar>
        </w:tblPrEx>
        <w:trPr>
          <w:trHeight w:val="300" w:hRule="atLeast"/>
        </w:trPr>
        <w:tc>
          <w:tcPr>
            <w:tcW w:w="47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7E572A97">
            <w:pPr>
              <w:adjustRightInd w:val="0"/>
              <w:snapToGrid w:val="0"/>
              <w:spacing w:line="360" w:lineRule="auto"/>
              <w:rPr>
                <w:rFonts w:ascii="Times New Roman" w:hAnsi="Times New Roman" w:cs="Times New Roman"/>
                <w:color w:val="000000"/>
                <w:kern w:val="0"/>
                <w:szCs w:val="21"/>
                <w:highlight w:val="none"/>
              </w:rPr>
            </w:pPr>
          </w:p>
        </w:tc>
        <w:tc>
          <w:tcPr>
            <w:tcW w:w="2501" w:type="pct"/>
            <w:tcBorders>
              <w:top w:val="single" w:color="000000" w:sz="8" w:space="0"/>
              <w:left w:val="nil"/>
              <w:bottom w:val="single" w:color="000000" w:sz="8" w:space="0"/>
              <w:right w:val="single" w:color="000000" w:sz="8" w:space="0"/>
            </w:tcBorders>
            <w:shd w:val="clear" w:color="auto" w:fill="auto"/>
            <w:vAlign w:val="center"/>
          </w:tcPr>
          <w:p w14:paraId="7360E51A">
            <w:pPr>
              <w:adjustRightInd w:val="0"/>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合计</w:t>
            </w:r>
          </w:p>
        </w:tc>
        <w:tc>
          <w:tcPr>
            <w:tcW w:w="1329" w:type="pct"/>
            <w:tcBorders>
              <w:top w:val="single" w:color="000000" w:sz="8" w:space="0"/>
              <w:left w:val="nil"/>
              <w:bottom w:val="single" w:color="000000" w:sz="8" w:space="0"/>
              <w:right w:val="single" w:color="000000" w:sz="8" w:space="0"/>
            </w:tcBorders>
            <w:shd w:val="clear" w:color="auto" w:fill="auto"/>
            <w:vAlign w:val="center"/>
          </w:tcPr>
          <w:p w14:paraId="287332E9">
            <w:pPr>
              <w:jc w:val="right"/>
              <w:rPr>
                <w:rFonts w:hint="eastAsia" w:ascii="宋体" w:hAnsi="宋体" w:eastAsia="宋体" w:cs="宋体"/>
                <w:highlight w:val="none"/>
                <w:lang w:eastAsia="zh-CN"/>
              </w:rPr>
            </w:pPr>
            <w:r>
              <w:rPr>
                <w:rFonts w:hint="eastAsia" w:ascii="宋体" w:hAnsi="宋体" w:eastAsia="宋体" w:cs="宋体"/>
                <w:highlight w:val="none"/>
                <w:lang w:val="en-US" w:eastAsia="zh-CN"/>
              </w:rPr>
              <w:t>115</w:t>
            </w:r>
            <w:r>
              <w:rPr>
                <w:rFonts w:hint="eastAsia" w:ascii="宋体" w:hAnsi="宋体" w:eastAsia="宋体" w:cs="宋体"/>
                <w:i w:val="0"/>
                <w:iCs w:val="0"/>
                <w:color w:val="000000"/>
                <w:kern w:val="0"/>
                <w:sz w:val="22"/>
                <w:szCs w:val="22"/>
                <w:u w:val="none"/>
                <w:lang w:val="en-US" w:eastAsia="zh-CN" w:bidi="ar"/>
              </w:rPr>
              <w:t>,</w:t>
            </w:r>
            <w:r>
              <w:rPr>
                <w:rFonts w:hint="eastAsia" w:ascii="宋体" w:hAnsi="宋体" w:eastAsia="宋体" w:cs="宋体"/>
                <w:highlight w:val="none"/>
                <w:lang w:val="en-US" w:eastAsia="zh-CN"/>
              </w:rPr>
              <w:t>953</w:t>
            </w:r>
            <w:r>
              <w:rPr>
                <w:rFonts w:hint="eastAsia" w:ascii="宋体" w:hAnsi="宋体" w:eastAsia="宋体" w:cs="宋体"/>
                <w:i w:val="0"/>
                <w:iCs w:val="0"/>
                <w:color w:val="000000"/>
                <w:kern w:val="0"/>
                <w:sz w:val="22"/>
                <w:szCs w:val="22"/>
                <w:u w:val="none"/>
                <w:lang w:val="en-US" w:eastAsia="zh-CN" w:bidi="ar"/>
              </w:rPr>
              <w:t>,</w:t>
            </w:r>
            <w:r>
              <w:rPr>
                <w:rFonts w:hint="eastAsia" w:ascii="宋体" w:hAnsi="宋体" w:eastAsia="宋体" w:cs="宋体"/>
                <w:highlight w:val="none"/>
                <w:lang w:val="en-US" w:eastAsia="zh-CN"/>
              </w:rPr>
              <w:t>194.44</w:t>
            </w:r>
          </w:p>
        </w:tc>
        <w:tc>
          <w:tcPr>
            <w:tcW w:w="695" w:type="pct"/>
            <w:tcBorders>
              <w:top w:val="single" w:color="000000" w:sz="8" w:space="0"/>
              <w:left w:val="nil"/>
              <w:bottom w:val="single" w:color="000000" w:sz="8" w:space="0"/>
              <w:right w:val="single" w:color="000000" w:sz="8" w:space="0"/>
            </w:tcBorders>
            <w:shd w:val="clear" w:color="auto" w:fill="auto"/>
            <w:vAlign w:val="center"/>
          </w:tcPr>
          <w:p w14:paraId="446C132C">
            <w:pPr>
              <w:jc w:val="right"/>
              <w:rPr>
                <w:rFonts w:hint="eastAsia" w:ascii="宋体" w:hAnsi="宋体" w:eastAsia="宋体" w:cs="宋体"/>
                <w:highlight w:val="none"/>
                <w:lang w:eastAsia="zh-CN"/>
              </w:rPr>
            </w:pPr>
            <w:r>
              <w:rPr>
                <w:rFonts w:hint="eastAsia" w:ascii="宋体" w:hAnsi="宋体" w:eastAsia="宋体" w:cs="宋体"/>
                <w:highlight w:val="none"/>
                <w:lang w:val="en-US" w:eastAsia="zh-CN"/>
              </w:rPr>
              <w:t>44.33</w:t>
            </w:r>
          </w:p>
        </w:tc>
      </w:tr>
    </w:tbl>
    <w:p w14:paraId="209F06AC">
      <w:pPr>
        <w:widowControl/>
        <w:numPr>
          <w:ilvl w:val="0"/>
          <w:numId w:val="2"/>
        </w:numPr>
        <w:adjustRightInd w:val="0"/>
        <w:snapToGrid w:val="0"/>
        <w:spacing w:before="156" w:beforeLines="50" w:line="360" w:lineRule="auto"/>
        <w:ind w:left="0" w:leftChars="0" w:firstLine="0" w:firstLineChars="0"/>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期末按公允价值占基金资产净值比例大小排序的前十名股票明细</w:t>
      </w:r>
    </w:p>
    <w:tbl>
      <w:tblPr>
        <w:tblStyle w:val="11"/>
        <w:tblW w:w="5102" w:type="pct"/>
        <w:tblInd w:w="-176" w:type="dxa"/>
        <w:tblLayout w:type="fixed"/>
        <w:tblCellMar>
          <w:top w:w="0" w:type="dxa"/>
          <w:left w:w="108" w:type="dxa"/>
          <w:bottom w:w="0" w:type="dxa"/>
          <w:right w:w="108" w:type="dxa"/>
        </w:tblCellMar>
      </w:tblPr>
      <w:tblGrid>
        <w:gridCol w:w="748"/>
        <w:gridCol w:w="1323"/>
        <w:gridCol w:w="1188"/>
        <w:gridCol w:w="1559"/>
        <w:gridCol w:w="2394"/>
        <w:gridCol w:w="1479"/>
      </w:tblGrid>
      <w:tr w14:paraId="7BCB1255">
        <w:tblPrEx>
          <w:tblCellMar>
            <w:top w:w="0" w:type="dxa"/>
            <w:left w:w="108" w:type="dxa"/>
            <w:bottom w:w="0" w:type="dxa"/>
            <w:right w:w="108" w:type="dxa"/>
          </w:tblCellMar>
        </w:tblPrEx>
        <w:trPr>
          <w:trHeight w:val="870" w:hRule="atLeast"/>
        </w:trPr>
        <w:tc>
          <w:tcPr>
            <w:tcW w:w="430" w:type="pct"/>
            <w:tcBorders>
              <w:top w:val="single" w:color="000000" w:sz="8" w:space="0"/>
              <w:left w:val="single" w:color="000000" w:sz="8" w:space="0"/>
              <w:bottom w:val="single" w:color="000000" w:sz="8" w:space="0"/>
              <w:right w:val="single" w:color="000000" w:sz="8" w:space="0"/>
            </w:tcBorders>
            <w:noWrap w:val="0"/>
            <w:vAlign w:val="center"/>
          </w:tcPr>
          <w:p w14:paraId="013B710C">
            <w:pPr>
              <w:widowControl/>
              <w:shd w:val="clear" w:color="auto" w:fill="FFFFFF"/>
              <w:snapToGrid w:val="0"/>
              <w:spacing w:line="360" w:lineRule="auto"/>
              <w:jc w:val="center"/>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序号</w:t>
            </w:r>
          </w:p>
        </w:tc>
        <w:tc>
          <w:tcPr>
            <w:tcW w:w="761" w:type="pct"/>
            <w:tcBorders>
              <w:top w:val="single" w:color="000000" w:sz="8" w:space="0"/>
              <w:left w:val="nil"/>
              <w:bottom w:val="single" w:color="000000" w:sz="8" w:space="0"/>
              <w:right w:val="single" w:color="000000" w:sz="8" w:space="0"/>
            </w:tcBorders>
            <w:noWrap w:val="0"/>
            <w:vAlign w:val="center"/>
          </w:tcPr>
          <w:p w14:paraId="278068BA">
            <w:pPr>
              <w:widowControl/>
              <w:shd w:val="clear" w:color="auto" w:fill="FFFFFF"/>
              <w:snapToGrid w:val="0"/>
              <w:spacing w:line="360" w:lineRule="auto"/>
              <w:jc w:val="center"/>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股票代码</w:t>
            </w:r>
          </w:p>
        </w:tc>
        <w:tc>
          <w:tcPr>
            <w:tcW w:w="683" w:type="pct"/>
            <w:tcBorders>
              <w:top w:val="single" w:color="000000" w:sz="8" w:space="0"/>
              <w:left w:val="nil"/>
              <w:bottom w:val="single" w:color="000000" w:sz="8" w:space="0"/>
              <w:right w:val="single" w:color="000000" w:sz="8" w:space="0"/>
            </w:tcBorders>
            <w:noWrap w:val="0"/>
            <w:vAlign w:val="center"/>
          </w:tcPr>
          <w:p w14:paraId="797D2937">
            <w:pPr>
              <w:widowControl/>
              <w:shd w:val="clear" w:color="auto" w:fill="FFFFFF"/>
              <w:snapToGrid w:val="0"/>
              <w:spacing w:line="360" w:lineRule="auto"/>
              <w:jc w:val="center"/>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股票名称</w:t>
            </w:r>
          </w:p>
        </w:tc>
        <w:tc>
          <w:tcPr>
            <w:tcW w:w="896" w:type="pct"/>
            <w:tcBorders>
              <w:top w:val="single" w:color="000000" w:sz="8" w:space="0"/>
              <w:left w:val="nil"/>
              <w:bottom w:val="single" w:color="000000" w:sz="8" w:space="0"/>
              <w:right w:val="single" w:color="000000" w:sz="8" w:space="0"/>
            </w:tcBorders>
            <w:noWrap w:val="0"/>
            <w:vAlign w:val="center"/>
          </w:tcPr>
          <w:p w14:paraId="604F02C2">
            <w:pPr>
              <w:widowControl/>
              <w:shd w:val="clear" w:color="auto" w:fill="FFFFFF"/>
              <w:snapToGrid w:val="0"/>
              <w:spacing w:line="360" w:lineRule="auto"/>
              <w:jc w:val="center"/>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数量（股）</w:t>
            </w:r>
          </w:p>
        </w:tc>
        <w:tc>
          <w:tcPr>
            <w:tcW w:w="1377" w:type="pct"/>
            <w:tcBorders>
              <w:top w:val="single" w:color="000000" w:sz="8" w:space="0"/>
              <w:left w:val="nil"/>
              <w:bottom w:val="single" w:color="000000" w:sz="8" w:space="0"/>
              <w:right w:val="single" w:color="000000" w:sz="8" w:space="0"/>
            </w:tcBorders>
            <w:noWrap w:val="0"/>
            <w:vAlign w:val="center"/>
          </w:tcPr>
          <w:p w14:paraId="5F824181">
            <w:pPr>
              <w:widowControl/>
              <w:shd w:val="clear" w:color="auto" w:fill="FFFFFF"/>
              <w:snapToGrid w:val="0"/>
              <w:spacing w:line="360" w:lineRule="auto"/>
              <w:jc w:val="center"/>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公允价值（元）</w:t>
            </w:r>
          </w:p>
        </w:tc>
        <w:tc>
          <w:tcPr>
            <w:tcW w:w="850" w:type="pct"/>
            <w:tcBorders>
              <w:top w:val="single" w:color="000000" w:sz="8" w:space="0"/>
              <w:left w:val="nil"/>
              <w:bottom w:val="single" w:color="000000" w:sz="8" w:space="0"/>
              <w:right w:val="single" w:color="000000" w:sz="8" w:space="0"/>
            </w:tcBorders>
            <w:noWrap w:val="0"/>
            <w:vAlign w:val="center"/>
          </w:tcPr>
          <w:p w14:paraId="6E837860">
            <w:pPr>
              <w:widowControl/>
              <w:shd w:val="clear" w:color="auto" w:fill="FFFFFF"/>
              <w:snapToGrid w:val="0"/>
              <w:spacing w:line="360" w:lineRule="auto"/>
              <w:jc w:val="center"/>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占基金资产净值比例（%）</w:t>
            </w:r>
          </w:p>
        </w:tc>
      </w:tr>
      <w:tr w14:paraId="274966BA">
        <w:tblPrEx>
          <w:tblCellMar>
            <w:top w:w="0" w:type="dxa"/>
            <w:left w:w="108" w:type="dxa"/>
            <w:bottom w:w="0" w:type="dxa"/>
            <w:right w:w="108" w:type="dxa"/>
          </w:tblCellMar>
        </w:tblPrEx>
        <w:trPr>
          <w:trHeight w:val="300" w:hRule="atLeast"/>
        </w:trPr>
        <w:tc>
          <w:tcPr>
            <w:tcW w:w="430" w:type="pct"/>
            <w:tcBorders>
              <w:top w:val="single" w:color="auto" w:sz="4" w:space="0"/>
              <w:left w:val="single" w:color="auto" w:sz="4" w:space="0"/>
              <w:bottom w:val="single" w:color="auto" w:sz="4" w:space="0"/>
              <w:right w:val="single" w:color="auto" w:sz="4" w:space="0"/>
            </w:tcBorders>
            <w:noWrap w:val="0"/>
            <w:vAlign w:val="center"/>
          </w:tcPr>
          <w:p w14:paraId="656140C7">
            <w:pPr>
              <w:shd w:val="clear" w:color="auto" w:fill="FFFFFF"/>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1</w:t>
            </w:r>
          </w:p>
        </w:tc>
        <w:tc>
          <w:tcPr>
            <w:tcW w:w="1323" w:type="dxa"/>
            <w:tcBorders>
              <w:top w:val="single" w:color="auto" w:sz="4" w:space="0"/>
              <w:left w:val="single" w:color="auto" w:sz="4" w:space="0"/>
              <w:bottom w:val="single" w:color="auto" w:sz="4" w:space="0"/>
              <w:right w:val="single" w:color="auto" w:sz="4" w:space="0"/>
            </w:tcBorders>
            <w:noWrap w:val="0"/>
            <w:vAlign w:val="center"/>
          </w:tcPr>
          <w:p w14:paraId="0B1149BE">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2"/>
                <w:szCs w:val="22"/>
                <w:u w:val="none"/>
                <w:lang w:val="en-US" w:eastAsia="zh-CN" w:bidi="ar"/>
              </w:rPr>
              <w:t>600519</w:t>
            </w:r>
          </w:p>
        </w:tc>
        <w:tc>
          <w:tcPr>
            <w:tcW w:w="1188" w:type="dxa"/>
            <w:tcBorders>
              <w:top w:val="single" w:color="auto" w:sz="4" w:space="0"/>
              <w:left w:val="single" w:color="auto" w:sz="4" w:space="0"/>
              <w:bottom w:val="single" w:color="auto" w:sz="4" w:space="0"/>
              <w:right w:val="single" w:color="auto" w:sz="4" w:space="0"/>
            </w:tcBorders>
            <w:noWrap w:val="0"/>
            <w:vAlign w:val="center"/>
          </w:tcPr>
          <w:p w14:paraId="7D6450D1">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2"/>
                <w:szCs w:val="22"/>
                <w:u w:val="none"/>
                <w:lang w:val="en-US" w:eastAsia="zh-CN" w:bidi="ar"/>
              </w:rPr>
              <w:t>贵州茅台</w:t>
            </w:r>
          </w:p>
        </w:tc>
        <w:tc>
          <w:tcPr>
            <w:tcW w:w="1559" w:type="dxa"/>
            <w:tcBorders>
              <w:top w:val="single" w:color="auto" w:sz="4" w:space="0"/>
              <w:left w:val="single" w:color="auto" w:sz="4" w:space="0"/>
              <w:bottom w:val="single" w:color="auto" w:sz="4" w:space="0"/>
              <w:right w:val="single" w:color="auto" w:sz="4" w:space="0"/>
            </w:tcBorders>
            <w:noWrap w:val="0"/>
            <w:vAlign w:val="center"/>
          </w:tcPr>
          <w:p w14:paraId="1A6A6F32">
            <w:pPr>
              <w:keepNext w:val="0"/>
              <w:keepLines w:val="0"/>
              <w:widowControl/>
              <w:suppressLineNumbers w:val="0"/>
              <w:jc w:val="righ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2"/>
                <w:szCs w:val="22"/>
                <w:u w:val="none"/>
                <w:lang w:val="en-US" w:eastAsia="zh-CN" w:bidi="ar"/>
              </w:rPr>
              <w:t>9,300.00</w:t>
            </w:r>
          </w:p>
        </w:tc>
        <w:tc>
          <w:tcPr>
            <w:tcW w:w="2394" w:type="dxa"/>
            <w:tcBorders>
              <w:top w:val="single" w:color="auto" w:sz="4" w:space="0"/>
              <w:left w:val="single" w:color="auto" w:sz="4" w:space="0"/>
              <w:bottom w:val="single" w:color="auto" w:sz="4" w:space="0"/>
              <w:right w:val="single" w:color="auto" w:sz="4" w:space="0"/>
            </w:tcBorders>
            <w:noWrap w:val="0"/>
            <w:vAlign w:val="center"/>
          </w:tcPr>
          <w:p w14:paraId="1550E1C5">
            <w:pPr>
              <w:keepNext w:val="0"/>
              <w:keepLines w:val="0"/>
              <w:widowControl/>
              <w:suppressLineNumbers w:val="0"/>
              <w:jc w:val="righ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 11,368,785.00 </w:t>
            </w:r>
          </w:p>
        </w:tc>
        <w:tc>
          <w:tcPr>
            <w:tcW w:w="1479" w:type="dxa"/>
            <w:tcBorders>
              <w:top w:val="single" w:color="auto" w:sz="4" w:space="0"/>
              <w:left w:val="single" w:color="auto" w:sz="4" w:space="0"/>
              <w:bottom w:val="single" w:color="auto" w:sz="4" w:space="0"/>
              <w:right w:val="single" w:color="auto" w:sz="4" w:space="0"/>
            </w:tcBorders>
            <w:noWrap w:val="0"/>
            <w:vAlign w:val="center"/>
          </w:tcPr>
          <w:p w14:paraId="1CB66792">
            <w:pPr>
              <w:keepNext w:val="0"/>
              <w:keepLines w:val="0"/>
              <w:widowControl/>
              <w:suppressLineNumbers w:val="0"/>
              <w:jc w:val="righ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 4.35 </w:t>
            </w:r>
          </w:p>
        </w:tc>
      </w:tr>
      <w:tr w14:paraId="2F07526A">
        <w:tblPrEx>
          <w:tblCellMar>
            <w:top w:w="0" w:type="dxa"/>
            <w:left w:w="108" w:type="dxa"/>
            <w:bottom w:w="0" w:type="dxa"/>
            <w:right w:w="108" w:type="dxa"/>
          </w:tblCellMar>
        </w:tblPrEx>
        <w:trPr>
          <w:trHeight w:val="300" w:hRule="atLeast"/>
        </w:trPr>
        <w:tc>
          <w:tcPr>
            <w:tcW w:w="430" w:type="pct"/>
            <w:tcBorders>
              <w:top w:val="single" w:color="auto" w:sz="4" w:space="0"/>
              <w:left w:val="single" w:color="auto" w:sz="4" w:space="0"/>
              <w:bottom w:val="single" w:color="auto" w:sz="4" w:space="0"/>
              <w:right w:val="single" w:color="auto" w:sz="4" w:space="0"/>
            </w:tcBorders>
            <w:noWrap w:val="0"/>
            <w:vAlign w:val="center"/>
          </w:tcPr>
          <w:p w14:paraId="0F1388F8">
            <w:pPr>
              <w:shd w:val="clear" w:color="auto" w:fill="FFFFFF"/>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2</w:t>
            </w:r>
          </w:p>
        </w:tc>
        <w:tc>
          <w:tcPr>
            <w:tcW w:w="1323" w:type="dxa"/>
            <w:tcBorders>
              <w:top w:val="single" w:color="auto" w:sz="4" w:space="0"/>
              <w:left w:val="single" w:color="auto" w:sz="4" w:space="0"/>
              <w:bottom w:val="single" w:color="auto" w:sz="4" w:space="0"/>
              <w:right w:val="single" w:color="auto" w:sz="4" w:space="0"/>
            </w:tcBorders>
            <w:noWrap w:val="0"/>
            <w:vAlign w:val="center"/>
          </w:tcPr>
          <w:p w14:paraId="123D4D8C">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2"/>
                <w:szCs w:val="22"/>
                <w:u w:val="none"/>
                <w:lang w:val="en-US" w:eastAsia="zh-CN" w:bidi="ar"/>
              </w:rPr>
              <w:t>002555</w:t>
            </w:r>
          </w:p>
        </w:tc>
        <w:tc>
          <w:tcPr>
            <w:tcW w:w="1188" w:type="dxa"/>
            <w:tcBorders>
              <w:top w:val="single" w:color="auto" w:sz="4" w:space="0"/>
              <w:left w:val="single" w:color="auto" w:sz="4" w:space="0"/>
              <w:bottom w:val="single" w:color="auto" w:sz="4" w:space="0"/>
              <w:right w:val="single" w:color="auto" w:sz="4" w:space="0"/>
            </w:tcBorders>
            <w:noWrap w:val="0"/>
            <w:vAlign w:val="center"/>
          </w:tcPr>
          <w:p w14:paraId="7011A1A2">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2"/>
                <w:szCs w:val="22"/>
                <w:u w:val="none"/>
                <w:lang w:val="en-US" w:eastAsia="zh-CN" w:bidi="ar"/>
              </w:rPr>
              <w:t>三七互娱</w:t>
            </w:r>
          </w:p>
        </w:tc>
        <w:tc>
          <w:tcPr>
            <w:tcW w:w="1559" w:type="dxa"/>
            <w:tcBorders>
              <w:top w:val="single" w:color="auto" w:sz="4" w:space="0"/>
              <w:left w:val="single" w:color="auto" w:sz="4" w:space="0"/>
              <w:bottom w:val="single" w:color="auto" w:sz="4" w:space="0"/>
              <w:right w:val="single" w:color="auto" w:sz="4" w:space="0"/>
            </w:tcBorders>
            <w:noWrap w:val="0"/>
            <w:vAlign w:val="center"/>
          </w:tcPr>
          <w:p w14:paraId="0FDC0512">
            <w:pPr>
              <w:keepNext w:val="0"/>
              <w:keepLines w:val="0"/>
              <w:widowControl/>
              <w:suppressLineNumbers w:val="0"/>
              <w:jc w:val="righ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2"/>
                <w:szCs w:val="22"/>
                <w:u w:val="none"/>
                <w:lang w:val="en-US" w:eastAsia="zh-CN" w:bidi="ar"/>
              </w:rPr>
              <w:t>424,400.00</w:t>
            </w:r>
          </w:p>
        </w:tc>
        <w:tc>
          <w:tcPr>
            <w:tcW w:w="2394" w:type="dxa"/>
            <w:tcBorders>
              <w:top w:val="single" w:color="auto" w:sz="4" w:space="0"/>
              <w:left w:val="single" w:color="auto" w:sz="4" w:space="0"/>
              <w:bottom w:val="single" w:color="auto" w:sz="4" w:space="0"/>
              <w:right w:val="single" w:color="auto" w:sz="4" w:space="0"/>
            </w:tcBorders>
            <w:noWrap w:val="0"/>
            <w:vAlign w:val="center"/>
          </w:tcPr>
          <w:p w14:paraId="4D9FA73F">
            <w:pPr>
              <w:keepNext w:val="0"/>
              <w:keepLines w:val="0"/>
              <w:widowControl/>
              <w:suppressLineNumbers w:val="0"/>
              <w:jc w:val="righ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 7,524,612.00 </w:t>
            </w:r>
          </w:p>
        </w:tc>
        <w:tc>
          <w:tcPr>
            <w:tcW w:w="1479" w:type="dxa"/>
            <w:tcBorders>
              <w:top w:val="single" w:color="auto" w:sz="4" w:space="0"/>
              <w:left w:val="single" w:color="auto" w:sz="4" w:space="0"/>
              <w:bottom w:val="single" w:color="auto" w:sz="4" w:space="0"/>
              <w:right w:val="single" w:color="auto" w:sz="4" w:space="0"/>
            </w:tcBorders>
            <w:noWrap w:val="0"/>
            <w:vAlign w:val="center"/>
          </w:tcPr>
          <w:p w14:paraId="06F8EF16">
            <w:pPr>
              <w:keepNext w:val="0"/>
              <w:keepLines w:val="0"/>
              <w:widowControl/>
              <w:suppressLineNumbers w:val="0"/>
              <w:jc w:val="righ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 2.88 </w:t>
            </w:r>
          </w:p>
        </w:tc>
      </w:tr>
      <w:tr w14:paraId="167BA731">
        <w:tblPrEx>
          <w:tblCellMar>
            <w:top w:w="0" w:type="dxa"/>
            <w:left w:w="108" w:type="dxa"/>
            <w:bottom w:w="0" w:type="dxa"/>
            <w:right w:w="108" w:type="dxa"/>
          </w:tblCellMar>
        </w:tblPrEx>
        <w:trPr>
          <w:trHeight w:val="300" w:hRule="atLeast"/>
        </w:trPr>
        <w:tc>
          <w:tcPr>
            <w:tcW w:w="430" w:type="pct"/>
            <w:tcBorders>
              <w:top w:val="single" w:color="auto" w:sz="4" w:space="0"/>
              <w:left w:val="single" w:color="auto" w:sz="4" w:space="0"/>
              <w:bottom w:val="single" w:color="auto" w:sz="4" w:space="0"/>
              <w:right w:val="single" w:color="auto" w:sz="4" w:space="0"/>
            </w:tcBorders>
            <w:noWrap w:val="0"/>
            <w:vAlign w:val="center"/>
          </w:tcPr>
          <w:p w14:paraId="6F642060">
            <w:pPr>
              <w:shd w:val="clear" w:color="auto" w:fill="FFFFFF"/>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3</w:t>
            </w:r>
          </w:p>
        </w:tc>
        <w:tc>
          <w:tcPr>
            <w:tcW w:w="1323" w:type="dxa"/>
            <w:tcBorders>
              <w:top w:val="single" w:color="auto" w:sz="4" w:space="0"/>
              <w:left w:val="single" w:color="auto" w:sz="4" w:space="0"/>
              <w:bottom w:val="single" w:color="auto" w:sz="4" w:space="0"/>
              <w:right w:val="single" w:color="auto" w:sz="4" w:space="0"/>
            </w:tcBorders>
            <w:noWrap w:val="0"/>
            <w:vAlign w:val="center"/>
          </w:tcPr>
          <w:p w14:paraId="762CD49B">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2"/>
                <w:szCs w:val="22"/>
                <w:u w:val="none"/>
                <w:lang w:val="en-US" w:eastAsia="zh-CN" w:bidi="ar"/>
              </w:rPr>
              <w:t>002128</w:t>
            </w:r>
          </w:p>
        </w:tc>
        <w:tc>
          <w:tcPr>
            <w:tcW w:w="1188" w:type="dxa"/>
            <w:tcBorders>
              <w:top w:val="single" w:color="auto" w:sz="4" w:space="0"/>
              <w:left w:val="single" w:color="auto" w:sz="4" w:space="0"/>
              <w:bottom w:val="single" w:color="auto" w:sz="4" w:space="0"/>
              <w:right w:val="single" w:color="auto" w:sz="4" w:space="0"/>
            </w:tcBorders>
            <w:noWrap w:val="0"/>
            <w:vAlign w:val="center"/>
          </w:tcPr>
          <w:p w14:paraId="6565F188">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2"/>
                <w:szCs w:val="22"/>
                <w:u w:val="none"/>
                <w:lang w:val="en-US" w:eastAsia="zh-CN" w:bidi="ar"/>
              </w:rPr>
              <w:t>电投能源</w:t>
            </w:r>
          </w:p>
        </w:tc>
        <w:tc>
          <w:tcPr>
            <w:tcW w:w="1559" w:type="dxa"/>
            <w:tcBorders>
              <w:top w:val="single" w:color="auto" w:sz="4" w:space="0"/>
              <w:left w:val="single" w:color="auto" w:sz="4" w:space="0"/>
              <w:bottom w:val="single" w:color="auto" w:sz="4" w:space="0"/>
              <w:right w:val="single" w:color="auto" w:sz="4" w:space="0"/>
            </w:tcBorders>
            <w:noWrap w:val="0"/>
            <w:vAlign w:val="center"/>
          </w:tcPr>
          <w:p w14:paraId="68EBB4C6">
            <w:pPr>
              <w:keepNext w:val="0"/>
              <w:keepLines w:val="0"/>
              <w:widowControl/>
              <w:suppressLineNumbers w:val="0"/>
              <w:jc w:val="righ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2"/>
                <w:szCs w:val="22"/>
                <w:u w:val="none"/>
                <w:lang w:val="en-US" w:eastAsia="zh-CN" w:bidi="ar"/>
              </w:rPr>
              <w:t>294,700.00</w:t>
            </w:r>
          </w:p>
        </w:tc>
        <w:tc>
          <w:tcPr>
            <w:tcW w:w="2394" w:type="dxa"/>
            <w:tcBorders>
              <w:top w:val="single" w:color="auto" w:sz="4" w:space="0"/>
              <w:left w:val="single" w:color="auto" w:sz="4" w:space="0"/>
              <w:bottom w:val="single" w:color="auto" w:sz="4" w:space="0"/>
              <w:right w:val="single" w:color="auto" w:sz="4" w:space="0"/>
            </w:tcBorders>
            <w:noWrap w:val="0"/>
            <w:vAlign w:val="center"/>
          </w:tcPr>
          <w:p w14:paraId="238FE0B8">
            <w:pPr>
              <w:keepNext w:val="0"/>
              <w:keepLines w:val="0"/>
              <w:widowControl/>
              <w:suppressLineNumbers w:val="0"/>
              <w:jc w:val="righ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 7,296,772.00 </w:t>
            </w:r>
          </w:p>
        </w:tc>
        <w:tc>
          <w:tcPr>
            <w:tcW w:w="1479" w:type="dxa"/>
            <w:tcBorders>
              <w:top w:val="single" w:color="auto" w:sz="4" w:space="0"/>
              <w:left w:val="single" w:color="auto" w:sz="4" w:space="0"/>
              <w:bottom w:val="single" w:color="auto" w:sz="4" w:space="0"/>
              <w:right w:val="single" w:color="auto" w:sz="4" w:space="0"/>
            </w:tcBorders>
            <w:noWrap w:val="0"/>
            <w:vAlign w:val="center"/>
          </w:tcPr>
          <w:p w14:paraId="0A101099">
            <w:pPr>
              <w:keepNext w:val="0"/>
              <w:keepLines w:val="0"/>
              <w:widowControl/>
              <w:suppressLineNumbers w:val="0"/>
              <w:jc w:val="righ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 2.79 </w:t>
            </w:r>
          </w:p>
        </w:tc>
      </w:tr>
      <w:tr w14:paraId="435C07B7">
        <w:tblPrEx>
          <w:tblCellMar>
            <w:top w:w="0" w:type="dxa"/>
            <w:left w:w="108" w:type="dxa"/>
            <w:bottom w:w="0" w:type="dxa"/>
            <w:right w:w="108" w:type="dxa"/>
          </w:tblCellMar>
        </w:tblPrEx>
        <w:trPr>
          <w:trHeight w:val="300" w:hRule="atLeast"/>
        </w:trPr>
        <w:tc>
          <w:tcPr>
            <w:tcW w:w="430" w:type="pct"/>
            <w:tcBorders>
              <w:top w:val="single" w:color="auto" w:sz="4" w:space="0"/>
              <w:left w:val="single" w:color="auto" w:sz="4" w:space="0"/>
              <w:bottom w:val="single" w:color="auto" w:sz="4" w:space="0"/>
              <w:right w:val="single" w:color="auto" w:sz="4" w:space="0"/>
            </w:tcBorders>
            <w:noWrap w:val="0"/>
            <w:vAlign w:val="center"/>
          </w:tcPr>
          <w:p w14:paraId="3DCEDC60">
            <w:pPr>
              <w:shd w:val="clear" w:color="auto" w:fill="FFFFFF"/>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4</w:t>
            </w:r>
          </w:p>
        </w:tc>
        <w:tc>
          <w:tcPr>
            <w:tcW w:w="1323" w:type="dxa"/>
            <w:tcBorders>
              <w:top w:val="single" w:color="auto" w:sz="4" w:space="0"/>
              <w:left w:val="single" w:color="auto" w:sz="4" w:space="0"/>
              <w:bottom w:val="single" w:color="auto" w:sz="4" w:space="0"/>
              <w:right w:val="single" w:color="auto" w:sz="4" w:space="0"/>
            </w:tcBorders>
            <w:noWrap w:val="0"/>
            <w:vAlign w:val="center"/>
          </w:tcPr>
          <w:p w14:paraId="64D7D237">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2"/>
                <w:szCs w:val="22"/>
                <w:u w:val="none"/>
                <w:lang w:val="en-US" w:eastAsia="zh-CN" w:bidi="ar"/>
              </w:rPr>
              <w:t>601600</w:t>
            </w:r>
          </w:p>
        </w:tc>
        <w:tc>
          <w:tcPr>
            <w:tcW w:w="1188" w:type="dxa"/>
            <w:tcBorders>
              <w:top w:val="single" w:color="auto" w:sz="4" w:space="0"/>
              <w:left w:val="single" w:color="auto" w:sz="4" w:space="0"/>
              <w:bottom w:val="single" w:color="auto" w:sz="4" w:space="0"/>
              <w:right w:val="single" w:color="auto" w:sz="4" w:space="0"/>
            </w:tcBorders>
            <w:noWrap w:val="0"/>
            <w:vAlign w:val="center"/>
          </w:tcPr>
          <w:p w14:paraId="51C5F074">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2"/>
                <w:szCs w:val="22"/>
                <w:u w:val="none"/>
                <w:lang w:val="en-US" w:eastAsia="zh-CN" w:bidi="ar"/>
              </w:rPr>
              <w:t>中国铝业</w:t>
            </w:r>
          </w:p>
        </w:tc>
        <w:tc>
          <w:tcPr>
            <w:tcW w:w="1559" w:type="dxa"/>
            <w:tcBorders>
              <w:top w:val="single" w:color="auto" w:sz="4" w:space="0"/>
              <w:left w:val="single" w:color="auto" w:sz="4" w:space="0"/>
              <w:bottom w:val="single" w:color="auto" w:sz="4" w:space="0"/>
              <w:right w:val="single" w:color="auto" w:sz="4" w:space="0"/>
            </w:tcBorders>
            <w:noWrap w:val="0"/>
            <w:vAlign w:val="center"/>
          </w:tcPr>
          <w:p w14:paraId="22F3921B">
            <w:pPr>
              <w:keepNext w:val="0"/>
              <w:keepLines w:val="0"/>
              <w:widowControl/>
              <w:suppressLineNumbers w:val="0"/>
              <w:jc w:val="righ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2"/>
                <w:szCs w:val="22"/>
                <w:u w:val="none"/>
                <w:lang w:val="en-US" w:eastAsia="zh-CN" w:bidi="ar"/>
              </w:rPr>
              <w:t>763,700.00</w:t>
            </w:r>
          </w:p>
        </w:tc>
        <w:tc>
          <w:tcPr>
            <w:tcW w:w="2394" w:type="dxa"/>
            <w:tcBorders>
              <w:top w:val="single" w:color="auto" w:sz="4" w:space="0"/>
              <w:left w:val="single" w:color="auto" w:sz="4" w:space="0"/>
              <w:bottom w:val="single" w:color="auto" w:sz="4" w:space="0"/>
              <w:right w:val="single" w:color="auto" w:sz="4" w:space="0"/>
            </w:tcBorders>
            <w:noWrap w:val="0"/>
            <w:vAlign w:val="center"/>
          </w:tcPr>
          <w:p w14:paraId="189251F7">
            <w:pPr>
              <w:keepNext w:val="0"/>
              <w:keepLines w:val="0"/>
              <w:widowControl/>
              <w:suppressLineNumbers w:val="0"/>
              <w:jc w:val="righ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 6,942,033.00 </w:t>
            </w:r>
          </w:p>
        </w:tc>
        <w:tc>
          <w:tcPr>
            <w:tcW w:w="1479" w:type="dxa"/>
            <w:tcBorders>
              <w:top w:val="single" w:color="auto" w:sz="4" w:space="0"/>
              <w:left w:val="single" w:color="auto" w:sz="4" w:space="0"/>
              <w:bottom w:val="single" w:color="auto" w:sz="4" w:space="0"/>
              <w:right w:val="single" w:color="auto" w:sz="4" w:space="0"/>
            </w:tcBorders>
            <w:noWrap w:val="0"/>
            <w:vAlign w:val="center"/>
          </w:tcPr>
          <w:p w14:paraId="7EFBE693">
            <w:pPr>
              <w:keepNext w:val="0"/>
              <w:keepLines w:val="0"/>
              <w:widowControl/>
              <w:suppressLineNumbers w:val="0"/>
              <w:jc w:val="righ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 2.65 </w:t>
            </w:r>
          </w:p>
        </w:tc>
      </w:tr>
      <w:tr w14:paraId="10FCD698">
        <w:tblPrEx>
          <w:tblCellMar>
            <w:top w:w="0" w:type="dxa"/>
            <w:left w:w="108" w:type="dxa"/>
            <w:bottom w:w="0" w:type="dxa"/>
            <w:right w:w="108" w:type="dxa"/>
          </w:tblCellMar>
        </w:tblPrEx>
        <w:trPr>
          <w:trHeight w:val="300" w:hRule="atLeast"/>
        </w:trPr>
        <w:tc>
          <w:tcPr>
            <w:tcW w:w="430" w:type="pct"/>
            <w:tcBorders>
              <w:top w:val="single" w:color="auto" w:sz="4" w:space="0"/>
              <w:left w:val="single" w:color="auto" w:sz="4" w:space="0"/>
              <w:bottom w:val="single" w:color="auto" w:sz="4" w:space="0"/>
              <w:right w:val="single" w:color="auto" w:sz="4" w:space="0"/>
            </w:tcBorders>
            <w:noWrap w:val="0"/>
            <w:vAlign w:val="center"/>
          </w:tcPr>
          <w:p w14:paraId="7A3F7B60">
            <w:pPr>
              <w:shd w:val="clear" w:color="auto" w:fill="FFFFFF"/>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5</w:t>
            </w:r>
          </w:p>
        </w:tc>
        <w:tc>
          <w:tcPr>
            <w:tcW w:w="1323" w:type="dxa"/>
            <w:tcBorders>
              <w:top w:val="single" w:color="auto" w:sz="4" w:space="0"/>
              <w:left w:val="single" w:color="auto" w:sz="4" w:space="0"/>
              <w:bottom w:val="single" w:color="auto" w:sz="4" w:space="0"/>
              <w:right w:val="single" w:color="auto" w:sz="4" w:space="0"/>
            </w:tcBorders>
            <w:noWrap w:val="0"/>
            <w:vAlign w:val="center"/>
          </w:tcPr>
          <w:p w14:paraId="23CA2896">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2"/>
                <w:szCs w:val="22"/>
                <w:u w:val="none"/>
                <w:lang w:val="en-US" w:eastAsia="zh-CN" w:bidi="ar"/>
              </w:rPr>
              <w:t>000651</w:t>
            </w:r>
          </w:p>
        </w:tc>
        <w:tc>
          <w:tcPr>
            <w:tcW w:w="1188" w:type="dxa"/>
            <w:tcBorders>
              <w:top w:val="single" w:color="auto" w:sz="4" w:space="0"/>
              <w:left w:val="single" w:color="auto" w:sz="4" w:space="0"/>
              <w:bottom w:val="single" w:color="auto" w:sz="4" w:space="0"/>
              <w:right w:val="single" w:color="auto" w:sz="4" w:space="0"/>
            </w:tcBorders>
            <w:noWrap w:val="0"/>
            <w:vAlign w:val="center"/>
          </w:tcPr>
          <w:p w14:paraId="4F8E1C8D">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2"/>
                <w:szCs w:val="22"/>
                <w:u w:val="none"/>
                <w:lang w:val="en-US" w:eastAsia="zh-CN" w:bidi="ar"/>
              </w:rPr>
              <w:t>格力电器</w:t>
            </w:r>
          </w:p>
        </w:tc>
        <w:tc>
          <w:tcPr>
            <w:tcW w:w="1559" w:type="dxa"/>
            <w:tcBorders>
              <w:top w:val="single" w:color="auto" w:sz="4" w:space="0"/>
              <w:left w:val="single" w:color="auto" w:sz="4" w:space="0"/>
              <w:bottom w:val="single" w:color="auto" w:sz="4" w:space="0"/>
              <w:right w:val="single" w:color="auto" w:sz="4" w:space="0"/>
            </w:tcBorders>
            <w:noWrap w:val="0"/>
            <w:vAlign w:val="center"/>
          </w:tcPr>
          <w:p w14:paraId="7413636B">
            <w:pPr>
              <w:keepNext w:val="0"/>
              <w:keepLines w:val="0"/>
              <w:widowControl/>
              <w:suppressLineNumbers w:val="0"/>
              <w:jc w:val="righ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2"/>
                <w:szCs w:val="22"/>
                <w:u w:val="none"/>
                <w:lang w:val="en-US" w:eastAsia="zh-CN" w:bidi="ar"/>
              </w:rPr>
              <w:t>162,500.00</w:t>
            </w:r>
          </w:p>
        </w:tc>
        <w:tc>
          <w:tcPr>
            <w:tcW w:w="2394" w:type="dxa"/>
            <w:tcBorders>
              <w:top w:val="single" w:color="auto" w:sz="4" w:space="0"/>
              <w:left w:val="single" w:color="auto" w:sz="4" w:space="0"/>
              <w:bottom w:val="single" w:color="auto" w:sz="4" w:space="0"/>
              <w:right w:val="single" w:color="auto" w:sz="4" w:space="0"/>
            </w:tcBorders>
            <w:noWrap w:val="0"/>
            <w:vAlign w:val="center"/>
          </w:tcPr>
          <w:p w14:paraId="2CBB01BB">
            <w:pPr>
              <w:keepNext w:val="0"/>
              <w:keepLines w:val="0"/>
              <w:widowControl/>
              <w:suppressLineNumbers w:val="0"/>
              <w:jc w:val="righ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 6,058,000.00 </w:t>
            </w:r>
          </w:p>
        </w:tc>
        <w:tc>
          <w:tcPr>
            <w:tcW w:w="1479" w:type="dxa"/>
            <w:tcBorders>
              <w:top w:val="single" w:color="auto" w:sz="4" w:space="0"/>
              <w:left w:val="single" w:color="auto" w:sz="4" w:space="0"/>
              <w:bottom w:val="single" w:color="auto" w:sz="4" w:space="0"/>
              <w:right w:val="single" w:color="auto" w:sz="4" w:space="0"/>
            </w:tcBorders>
            <w:noWrap w:val="0"/>
            <w:vAlign w:val="center"/>
          </w:tcPr>
          <w:p w14:paraId="4CF099FA">
            <w:pPr>
              <w:keepNext w:val="0"/>
              <w:keepLines w:val="0"/>
              <w:widowControl/>
              <w:suppressLineNumbers w:val="0"/>
              <w:jc w:val="righ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 2.32 </w:t>
            </w:r>
          </w:p>
        </w:tc>
      </w:tr>
      <w:tr w14:paraId="18F9F9B0">
        <w:tblPrEx>
          <w:tblCellMar>
            <w:top w:w="0" w:type="dxa"/>
            <w:left w:w="108" w:type="dxa"/>
            <w:bottom w:w="0" w:type="dxa"/>
            <w:right w:w="108" w:type="dxa"/>
          </w:tblCellMar>
        </w:tblPrEx>
        <w:trPr>
          <w:trHeight w:val="300" w:hRule="atLeast"/>
        </w:trPr>
        <w:tc>
          <w:tcPr>
            <w:tcW w:w="430" w:type="pct"/>
            <w:tcBorders>
              <w:top w:val="single" w:color="auto" w:sz="4" w:space="0"/>
              <w:left w:val="single" w:color="auto" w:sz="4" w:space="0"/>
              <w:bottom w:val="single" w:color="auto" w:sz="4" w:space="0"/>
              <w:right w:val="single" w:color="auto" w:sz="4" w:space="0"/>
            </w:tcBorders>
            <w:noWrap w:val="0"/>
            <w:vAlign w:val="center"/>
          </w:tcPr>
          <w:p w14:paraId="672E44FA">
            <w:pPr>
              <w:shd w:val="clear" w:color="auto" w:fill="FFFFFF"/>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6</w:t>
            </w:r>
          </w:p>
        </w:tc>
        <w:tc>
          <w:tcPr>
            <w:tcW w:w="1323" w:type="dxa"/>
            <w:tcBorders>
              <w:top w:val="single" w:color="auto" w:sz="4" w:space="0"/>
              <w:left w:val="single" w:color="auto" w:sz="4" w:space="0"/>
              <w:bottom w:val="single" w:color="auto" w:sz="4" w:space="0"/>
              <w:right w:val="single" w:color="auto" w:sz="4" w:space="0"/>
            </w:tcBorders>
            <w:noWrap w:val="0"/>
            <w:vAlign w:val="center"/>
          </w:tcPr>
          <w:p w14:paraId="2CEFFA9D">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2"/>
                <w:szCs w:val="22"/>
                <w:u w:val="none"/>
                <w:lang w:val="en-US" w:eastAsia="zh-CN" w:bidi="ar"/>
              </w:rPr>
              <w:t>601872</w:t>
            </w:r>
          </w:p>
        </w:tc>
        <w:tc>
          <w:tcPr>
            <w:tcW w:w="1188" w:type="dxa"/>
            <w:tcBorders>
              <w:top w:val="single" w:color="auto" w:sz="4" w:space="0"/>
              <w:left w:val="single" w:color="auto" w:sz="4" w:space="0"/>
              <w:bottom w:val="single" w:color="auto" w:sz="4" w:space="0"/>
              <w:right w:val="single" w:color="auto" w:sz="4" w:space="0"/>
            </w:tcBorders>
            <w:noWrap w:val="0"/>
            <w:vAlign w:val="center"/>
          </w:tcPr>
          <w:p w14:paraId="11A35D5D">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2"/>
                <w:szCs w:val="22"/>
                <w:u w:val="none"/>
                <w:lang w:val="en-US" w:eastAsia="zh-CN" w:bidi="ar"/>
              </w:rPr>
              <w:t>招商轮船</w:t>
            </w:r>
          </w:p>
        </w:tc>
        <w:tc>
          <w:tcPr>
            <w:tcW w:w="1559" w:type="dxa"/>
            <w:tcBorders>
              <w:top w:val="single" w:color="auto" w:sz="4" w:space="0"/>
              <w:left w:val="single" w:color="auto" w:sz="4" w:space="0"/>
              <w:bottom w:val="single" w:color="auto" w:sz="4" w:space="0"/>
              <w:right w:val="single" w:color="auto" w:sz="4" w:space="0"/>
            </w:tcBorders>
            <w:noWrap w:val="0"/>
            <w:vAlign w:val="center"/>
          </w:tcPr>
          <w:p w14:paraId="4088A525">
            <w:pPr>
              <w:keepNext w:val="0"/>
              <w:keepLines w:val="0"/>
              <w:widowControl/>
              <w:suppressLineNumbers w:val="0"/>
              <w:jc w:val="righ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2"/>
                <w:szCs w:val="22"/>
                <w:u w:val="none"/>
                <w:lang w:val="en-US" w:eastAsia="zh-CN" w:bidi="ar"/>
              </w:rPr>
              <w:t>278,300.00</w:t>
            </w:r>
          </w:p>
        </w:tc>
        <w:tc>
          <w:tcPr>
            <w:tcW w:w="2394" w:type="dxa"/>
            <w:tcBorders>
              <w:top w:val="single" w:color="auto" w:sz="4" w:space="0"/>
              <w:left w:val="single" w:color="auto" w:sz="4" w:space="0"/>
              <w:bottom w:val="single" w:color="auto" w:sz="4" w:space="0"/>
              <w:right w:val="single" w:color="auto" w:sz="4" w:space="0"/>
            </w:tcBorders>
            <w:noWrap w:val="0"/>
            <w:vAlign w:val="center"/>
          </w:tcPr>
          <w:p w14:paraId="1A94A450">
            <w:pPr>
              <w:keepNext w:val="0"/>
              <w:keepLines w:val="0"/>
              <w:widowControl/>
              <w:suppressLineNumbers w:val="0"/>
              <w:jc w:val="righ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 5,543,736.00 </w:t>
            </w:r>
          </w:p>
        </w:tc>
        <w:tc>
          <w:tcPr>
            <w:tcW w:w="1479" w:type="dxa"/>
            <w:tcBorders>
              <w:top w:val="single" w:color="auto" w:sz="4" w:space="0"/>
              <w:left w:val="single" w:color="auto" w:sz="4" w:space="0"/>
              <w:bottom w:val="single" w:color="auto" w:sz="4" w:space="0"/>
              <w:right w:val="single" w:color="auto" w:sz="4" w:space="0"/>
            </w:tcBorders>
            <w:noWrap w:val="0"/>
            <w:vAlign w:val="center"/>
          </w:tcPr>
          <w:p w14:paraId="6BF2DC29">
            <w:pPr>
              <w:keepNext w:val="0"/>
              <w:keepLines w:val="0"/>
              <w:widowControl/>
              <w:suppressLineNumbers w:val="0"/>
              <w:jc w:val="righ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 2.12 </w:t>
            </w:r>
          </w:p>
        </w:tc>
      </w:tr>
      <w:tr w14:paraId="7636BD82">
        <w:tblPrEx>
          <w:tblCellMar>
            <w:top w:w="0" w:type="dxa"/>
            <w:left w:w="108" w:type="dxa"/>
            <w:bottom w:w="0" w:type="dxa"/>
            <w:right w:w="108" w:type="dxa"/>
          </w:tblCellMar>
        </w:tblPrEx>
        <w:trPr>
          <w:trHeight w:val="300" w:hRule="atLeast"/>
        </w:trPr>
        <w:tc>
          <w:tcPr>
            <w:tcW w:w="430" w:type="pct"/>
            <w:tcBorders>
              <w:top w:val="single" w:color="auto" w:sz="4" w:space="0"/>
              <w:left w:val="single" w:color="auto" w:sz="4" w:space="0"/>
              <w:bottom w:val="single" w:color="auto" w:sz="4" w:space="0"/>
              <w:right w:val="single" w:color="auto" w:sz="4" w:space="0"/>
            </w:tcBorders>
            <w:noWrap w:val="0"/>
            <w:vAlign w:val="center"/>
          </w:tcPr>
          <w:p w14:paraId="2FD3A46C">
            <w:pPr>
              <w:shd w:val="clear" w:color="auto" w:fill="FFFFFF"/>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7</w:t>
            </w:r>
          </w:p>
        </w:tc>
        <w:tc>
          <w:tcPr>
            <w:tcW w:w="1323" w:type="dxa"/>
            <w:tcBorders>
              <w:top w:val="single" w:color="auto" w:sz="4" w:space="0"/>
              <w:left w:val="single" w:color="auto" w:sz="4" w:space="0"/>
              <w:bottom w:val="single" w:color="auto" w:sz="4" w:space="0"/>
              <w:right w:val="single" w:color="auto" w:sz="4" w:space="0"/>
            </w:tcBorders>
            <w:noWrap w:val="0"/>
            <w:vAlign w:val="center"/>
          </w:tcPr>
          <w:p w14:paraId="019DA947">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2"/>
                <w:szCs w:val="22"/>
                <w:u w:val="none"/>
                <w:lang w:val="en-US" w:eastAsia="zh-CN" w:bidi="ar"/>
              </w:rPr>
              <w:t>000423</w:t>
            </w:r>
          </w:p>
        </w:tc>
        <w:tc>
          <w:tcPr>
            <w:tcW w:w="1188" w:type="dxa"/>
            <w:tcBorders>
              <w:top w:val="single" w:color="auto" w:sz="4" w:space="0"/>
              <w:left w:val="single" w:color="auto" w:sz="4" w:space="0"/>
              <w:bottom w:val="single" w:color="auto" w:sz="4" w:space="0"/>
              <w:right w:val="single" w:color="auto" w:sz="4" w:space="0"/>
            </w:tcBorders>
            <w:noWrap w:val="0"/>
            <w:vAlign w:val="center"/>
          </w:tcPr>
          <w:p w14:paraId="7887BE62">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2"/>
                <w:szCs w:val="22"/>
                <w:u w:val="none"/>
                <w:lang w:val="en-US" w:eastAsia="zh-CN" w:bidi="ar"/>
              </w:rPr>
              <w:t>东阿阿胶</w:t>
            </w:r>
          </w:p>
        </w:tc>
        <w:tc>
          <w:tcPr>
            <w:tcW w:w="1559" w:type="dxa"/>
            <w:tcBorders>
              <w:top w:val="single" w:color="auto" w:sz="4" w:space="0"/>
              <w:left w:val="single" w:color="auto" w:sz="4" w:space="0"/>
              <w:bottom w:val="single" w:color="auto" w:sz="4" w:space="0"/>
              <w:right w:val="single" w:color="auto" w:sz="4" w:space="0"/>
            </w:tcBorders>
            <w:noWrap w:val="0"/>
            <w:vAlign w:val="center"/>
          </w:tcPr>
          <w:p w14:paraId="58FE0DB0">
            <w:pPr>
              <w:keepNext w:val="0"/>
              <w:keepLines w:val="0"/>
              <w:widowControl/>
              <w:suppressLineNumbers w:val="0"/>
              <w:jc w:val="righ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2"/>
                <w:szCs w:val="22"/>
                <w:u w:val="none"/>
                <w:lang w:val="en-US" w:eastAsia="zh-CN" w:bidi="ar"/>
              </w:rPr>
              <w:t>121,400.00</w:t>
            </w:r>
          </w:p>
        </w:tc>
        <w:tc>
          <w:tcPr>
            <w:tcW w:w="2394" w:type="dxa"/>
            <w:tcBorders>
              <w:top w:val="single" w:color="auto" w:sz="4" w:space="0"/>
              <w:left w:val="single" w:color="auto" w:sz="4" w:space="0"/>
              <w:bottom w:val="single" w:color="auto" w:sz="4" w:space="0"/>
              <w:right w:val="single" w:color="auto" w:sz="4" w:space="0"/>
            </w:tcBorders>
            <w:noWrap w:val="0"/>
            <w:vAlign w:val="center"/>
          </w:tcPr>
          <w:p w14:paraId="38578A92">
            <w:pPr>
              <w:keepNext w:val="0"/>
              <w:keepLines w:val="0"/>
              <w:widowControl/>
              <w:suppressLineNumbers w:val="0"/>
              <w:jc w:val="righ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 5,499,420.00 </w:t>
            </w:r>
          </w:p>
        </w:tc>
        <w:tc>
          <w:tcPr>
            <w:tcW w:w="1479" w:type="dxa"/>
            <w:tcBorders>
              <w:top w:val="single" w:color="auto" w:sz="4" w:space="0"/>
              <w:left w:val="single" w:color="auto" w:sz="4" w:space="0"/>
              <w:bottom w:val="single" w:color="auto" w:sz="4" w:space="0"/>
              <w:right w:val="single" w:color="auto" w:sz="4" w:space="0"/>
            </w:tcBorders>
            <w:noWrap w:val="0"/>
            <w:vAlign w:val="center"/>
          </w:tcPr>
          <w:p w14:paraId="3E130C76">
            <w:pPr>
              <w:keepNext w:val="0"/>
              <w:keepLines w:val="0"/>
              <w:widowControl/>
              <w:suppressLineNumbers w:val="0"/>
              <w:jc w:val="righ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 2.10 </w:t>
            </w:r>
          </w:p>
        </w:tc>
      </w:tr>
      <w:tr w14:paraId="2438A848">
        <w:tblPrEx>
          <w:tblCellMar>
            <w:top w:w="0" w:type="dxa"/>
            <w:left w:w="108" w:type="dxa"/>
            <w:bottom w:w="0" w:type="dxa"/>
            <w:right w:w="108" w:type="dxa"/>
          </w:tblCellMar>
        </w:tblPrEx>
        <w:trPr>
          <w:trHeight w:val="300" w:hRule="atLeast"/>
        </w:trPr>
        <w:tc>
          <w:tcPr>
            <w:tcW w:w="430" w:type="pct"/>
            <w:tcBorders>
              <w:top w:val="single" w:color="auto" w:sz="4" w:space="0"/>
              <w:left w:val="single" w:color="auto" w:sz="4" w:space="0"/>
              <w:bottom w:val="single" w:color="auto" w:sz="4" w:space="0"/>
              <w:right w:val="single" w:color="auto" w:sz="4" w:space="0"/>
            </w:tcBorders>
            <w:noWrap w:val="0"/>
            <w:vAlign w:val="center"/>
          </w:tcPr>
          <w:p w14:paraId="5D26C9F7">
            <w:pPr>
              <w:shd w:val="clear" w:color="auto" w:fill="FFFFFF"/>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8</w:t>
            </w:r>
          </w:p>
        </w:tc>
        <w:tc>
          <w:tcPr>
            <w:tcW w:w="1323" w:type="dxa"/>
            <w:tcBorders>
              <w:top w:val="single" w:color="auto" w:sz="4" w:space="0"/>
              <w:left w:val="single" w:color="auto" w:sz="4" w:space="0"/>
              <w:bottom w:val="single" w:color="auto" w:sz="4" w:space="0"/>
              <w:right w:val="single" w:color="auto" w:sz="4" w:space="0"/>
            </w:tcBorders>
            <w:noWrap w:val="0"/>
            <w:vAlign w:val="center"/>
          </w:tcPr>
          <w:p w14:paraId="3067B287">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2"/>
                <w:szCs w:val="22"/>
                <w:u w:val="none"/>
                <w:lang w:val="en-US" w:eastAsia="zh-CN" w:bidi="ar"/>
              </w:rPr>
              <w:t>002415</w:t>
            </w:r>
          </w:p>
        </w:tc>
        <w:tc>
          <w:tcPr>
            <w:tcW w:w="1188" w:type="dxa"/>
            <w:tcBorders>
              <w:top w:val="single" w:color="auto" w:sz="4" w:space="0"/>
              <w:left w:val="single" w:color="auto" w:sz="4" w:space="0"/>
              <w:bottom w:val="single" w:color="auto" w:sz="4" w:space="0"/>
              <w:right w:val="single" w:color="auto" w:sz="4" w:space="0"/>
            </w:tcBorders>
            <w:noWrap w:val="0"/>
            <w:vAlign w:val="center"/>
          </w:tcPr>
          <w:p w14:paraId="2163F178">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2"/>
                <w:szCs w:val="22"/>
                <w:u w:val="none"/>
                <w:lang w:val="en-US" w:eastAsia="zh-CN" w:bidi="ar"/>
              </w:rPr>
              <w:t>海康威视</w:t>
            </w:r>
          </w:p>
        </w:tc>
        <w:tc>
          <w:tcPr>
            <w:tcW w:w="1559" w:type="dxa"/>
            <w:tcBorders>
              <w:top w:val="single" w:color="auto" w:sz="4" w:space="0"/>
              <w:left w:val="single" w:color="auto" w:sz="4" w:space="0"/>
              <w:bottom w:val="single" w:color="auto" w:sz="4" w:space="0"/>
              <w:right w:val="single" w:color="auto" w:sz="4" w:space="0"/>
            </w:tcBorders>
            <w:noWrap w:val="0"/>
            <w:vAlign w:val="center"/>
          </w:tcPr>
          <w:p w14:paraId="0064C37D">
            <w:pPr>
              <w:keepNext w:val="0"/>
              <w:keepLines w:val="0"/>
              <w:widowControl/>
              <w:suppressLineNumbers w:val="0"/>
              <w:jc w:val="righ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2"/>
                <w:szCs w:val="22"/>
                <w:u w:val="none"/>
                <w:lang w:val="en-US" w:eastAsia="zh-CN" w:bidi="ar"/>
              </w:rPr>
              <w:t>170,900.00</w:t>
            </w:r>
          </w:p>
        </w:tc>
        <w:tc>
          <w:tcPr>
            <w:tcW w:w="2394" w:type="dxa"/>
            <w:tcBorders>
              <w:top w:val="single" w:color="auto" w:sz="4" w:space="0"/>
              <w:left w:val="single" w:color="auto" w:sz="4" w:space="0"/>
              <w:bottom w:val="single" w:color="auto" w:sz="4" w:space="0"/>
              <w:right w:val="single" w:color="auto" w:sz="4" w:space="0"/>
            </w:tcBorders>
            <w:noWrap w:val="0"/>
            <w:vAlign w:val="center"/>
          </w:tcPr>
          <w:p w14:paraId="0DC6A0CF">
            <w:pPr>
              <w:keepNext w:val="0"/>
              <w:keepLines w:val="0"/>
              <w:widowControl/>
              <w:suppressLineNumbers w:val="0"/>
              <w:jc w:val="righ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 5,367,969.00 </w:t>
            </w:r>
          </w:p>
        </w:tc>
        <w:tc>
          <w:tcPr>
            <w:tcW w:w="1479" w:type="dxa"/>
            <w:tcBorders>
              <w:top w:val="single" w:color="auto" w:sz="4" w:space="0"/>
              <w:left w:val="single" w:color="auto" w:sz="4" w:space="0"/>
              <w:bottom w:val="single" w:color="auto" w:sz="4" w:space="0"/>
              <w:right w:val="single" w:color="auto" w:sz="4" w:space="0"/>
            </w:tcBorders>
            <w:noWrap w:val="0"/>
            <w:vAlign w:val="center"/>
          </w:tcPr>
          <w:p w14:paraId="2D07D895">
            <w:pPr>
              <w:keepNext w:val="0"/>
              <w:keepLines w:val="0"/>
              <w:widowControl/>
              <w:suppressLineNumbers w:val="0"/>
              <w:jc w:val="righ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 2.05 </w:t>
            </w:r>
          </w:p>
        </w:tc>
      </w:tr>
      <w:tr w14:paraId="2C196ACE">
        <w:tblPrEx>
          <w:tblCellMar>
            <w:top w:w="0" w:type="dxa"/>
            <w:left w:w="108" w:type="dxa"/>
            <w:bottom w:w="0" w:type="dxa"/>
            <w:right w:w="108" w:type="dxa"/>
          </w:tblCellMar>
        </w:tblPrEx>
        <w:trPr>
          <w:trHeight w:val="300" w:hRule="atLeast"/>
        </w:trPr>
        <w:tc>
          <w:tcPr>
            <w:tcW w:w="430" w:type="pct"/>
            <w:tcBorders>
              <w:top w:val="single" w:color="auto" w:sz="4" w:space="0"/>
              <w:left w:val="single" w:color="auto" w:sz="4" w:space="0"/>
              <w:bottom w:val="single" w:color="auto" w:sz="4" w:space="0"/>
              <w:right w:val="single" w:color="auto" w:sz="4" w:space="0"/>
            </w:tcBorders>
            <w:noWrap w:val="0"/>
            <w:vAlign w:val="center"/>
          </w:tcPr>
          <w:p w14:paraId="1AB5BF66">
            <w:pPr>
              <w:shd w:val="clear" w:color="auto" w:fill="FFFFFF"/>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9</w:t>
            </w:r>
          </w:p>
        </w:tc>
        <w:tc>
          <w:tcPr>
            <w:tcW w:w="1323" w:type="dxa"/>
            <w:tcBorders>
              <w:top w:val="single" w:color="auto" w:sz="4" w:space="0"/>
              <w:left w:val="single" w:color="auto" w:sz="4" w:space="0"/>
              <w:bottom w:val="single" w:color="auto" w:sz="4" w:space="0"/>
              <w:right w:val="single" w:color="auto" w:sz="4" w:space="0"/>
            </w:tcBorders>
            <w:noWrap w:val="0"/>
            <w:vAlign w:val="center"/>
          </w:tcPr>
          <w:p w14:paraId="0ABE0639">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2"/>
                <w:szCs w:val="22"/>
                <w:u w:val="none"/>
                <w:lang w:val="en-US" w:eastAsia="zh-CN" w:bidi="ar"/>
              </w:rPr>
              <w:t>002558</w:t>
            </w:r>
          </w:p>
        </w:tc>
        <w:tc>
          <w:tcPr>
            <w:tcW w:w="1188" w:type="dxa"/>
            <w:tcBorders>
              <w:top w:val="single" w:color="auto" w:sz="4" w:space="0"/>
              <w:left w:val="single" w:color="auto" w:sz="4" w:space="0"/>
              <w:bottom w:val="single" w:color="auto" w:sz="4" w:space="0"/>
              <w:right w:val="single" w:color="auto" w:sz="4" w:space="0"/>
            </w:tcBorders>
            <w:noWrap w:val="0"/>
            <w:vAlign w:val="center"/>
          </w:tcPr>
          <w:p w14:paraId="3E385CD0">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2"/>
                <w:szCs w:val="22"/>
                <w:u w:val="none"/>
                <w:lang w:val="en-US" w:eastAsia="zh-CN" w:bidi="ar"/>
              </w:rPr>
              <w:t>巨人网络</w:t>
            </w:r>
          </w:p>
        </w:tc>
        <w:tc>
          <w:tcPr>
            <w:tcW w:w="1559" w:type="dxa"/>
            <w:tcBorders>
              <w:top w:val="single" w:color="auto" w:sz="4" w:space="0"/>
              <w:left w:val="single" w:color="auto" w:sz="4" w:space="0"/>
              <w:bottom w:val="single" w:color="auto" w:sz="4" w:space="0"/>
              <w:right w:val="single" w:color="auto" w:sz="4" w:space="0"/>
            </w:tcBorders>
            <w:noWrap w:val="0"/>
            <w:vAlign w:val="center"/>
          </w:tcPr>
          <w:p w14:paraId="1F54B53A">
            <w:pPr>
              <w:keepNext w:val="0"/>
              <w:keepLines w:val="0"/>
              <w:widowControl/>
              <w:suppressLineNumbers w:val="0"/>
              <w:jc w:val="righ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2"/>
                <w:szCs w:val="22"/>
                <w:u w:val="none"/>
                <w:lang w:val="en-US" w:eastAsia="zh-CN" w:bidi="ar"/>
              </w:rPr>
              <w:t>196,000.00</w:t>
            </w:r>
          </w:p>
        </w:tc>
        <w:tc>
          <w:tcPr>
            <w:tcW w:w="2394" w:type="dxa"/>
            <w:tcBorders>
              <w:top w:val="single" w:color="auto" w:sz="4" w:space="0"/>
              <w:left w:val="single" w:color="auto" w:sz="4" w:space="0"/>
              <w:bottom w:val="single" w:color="auto" w:sz="4" w:space="0"/>
              <w:right w:val="single" w:color="auto" w:sz="4" w:space="0"/>
            </w:tcBorders>
            <w:noWrap w:val="0"/>
            <w:vAlign w:val="center"/>
          </w:tcPr>
          <w:p w14:paraId="363CB86F">
            <w:pPr>
              <w:keepNext w:val="0"/>
              <w:keepLines w:val="0"/>
              <w:widowControl/>
              <w:suppressLineNumbers w:val="0"/>
              <w:jc w:val="righ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 4,937,240.00 </w:t>
            </w:r>
          </w:p>
        </w:tc>
        <w:tc>
          <w:tcPr>
            <w:tcW w:w="1479" w:type="dxa"/>
            <w:tcBorders>
              <w:top w:val="single" w:color="auto" w:sz="4" w:space="0"/>
              <w:left w:val="single" w:color="auto" w:sz="4" w:space="0"/>
              <w:bottom w:val="single" w:color="auto" w:sz="4" w:space="0"/>
              <w:right w:val="single" w:color="auto" w:sz="4" w:space="0"/>
            </w:tcBorders>
            <w:noWrap w:val="0"/>
            <w:vAlign w:val="center"/>
          </w:tcPr>
          <w:p w14:paraId="27847C3B">
            <w:pPr>
              <w:keepNext w:val="0"/>
              <w:keepLines w:val="0"/>
              <w:widowControl/>
              <w:suppressLineNumbers w:val="0"/>
              <w:jc w:val="righ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 1.89 </w:t>
            </w:r>
          </w:p>
        </w:tc>
      </w:tr>
      <w:tr w14:paraId="169E0ADA">
        <w:tblPrEx>
          <w:tblCellMar>
            <w:top w:w="0" w:type="dxa"/>
            <w:left w:w="108" w:type="dxa"/>
            <w:bottom w:w="0" w:type="dxa"/>
            <w:right w:w="108" w:type="dxa"/>
          </w:tblCellMar>
        </w:tblPrEx>
        <w:trPr>
          <w:trHeight w:val="300" w:hRule="atLeast"/>
        </w:trPr>
        <w:tc>
          <w:tcPr>
            <w:tcW w:w="430" w:type="pct"/>
            <w:tcBorders>
              <w:top w:val="single" w:color="auto" w:sz="4" w:space="0"/>
              <w:left w:val="single" w:color="auto" w:sz="4" w:space="0"/>
              <w:bottom w:val="single" w:color="auto" w:sz="4" w:space="0"/>
              <w:right w:val="single" w:color="auto" w:sz="4" w:space="0"/>
            </w:tcBorders>
            <w:noWrap w:val="0"/>
            <w:vAlign w:val="center"/>
          </w:tcPr>
          <w:p w14:paraId="2EBB83C1">
            <w:pPr>
              <w:shd w:val="clear" w:color="auto" w:fill="FFFFFF"/>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10</w:t>
            </w:r>
          </w:p>
        </w:tc>
        <w:tc>
          <w:tcPr>
            <w:tcW w:w="1323" w:type="dxa"/>
            <w:tcBorders>
              <w:top w:val="single" w:color="auto" w:sz="4" w:space="0"/>
              <w:left w:val="single" w:color="auto" w:sz="4" w:space="0"/>
              <w:bottom w:val="single" w:color="auto" w:sz="4" w:space="0"/>
              <w:right w:val="single" w:color="auto" w:sz="4" w:space="0"/>
            </w:tcBorders>
            <w:noWrap w:val="0"/>
            <w:vAlign w:val="center"/>
          </w:tcPr>
          <w:p w14:paraId="7A0A3436">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2"/>
                <w:szCs w:val="22"/>
                <w:u w:val="none"/>
                <w:lang w:val="en-US" w:eastAsia="zh-CN" w:bidi="ar"/>
              </w:rPr>
              <w:t>300628</w:t>
            </w:r>
          </w:p>
        </w:tc>
        <w:tc>
          <w:tcPr>
            <w:tcW w:w="1188" w:type="dxa"/>
            <w:tcBorders>
              <w:top w:val="single" w:color="auto" w:sz="4" w:space="0"/>
              <w:left w:val="single" w:color="auto" w:sz="4" w:space="0"/>
              <w:bottom w:val="single" w:color="auto" w:sz="4" w:space="0"/>
              <w:right w:val="single" w:color="auto" w:sz="4" w:space="0"/>
            </w:tcBorders>
            <w:noWrap w:val="0"/>
            <w:vAlign w:val="center"/>
          </w:tcPr>
          <w:p w14:paraId="76BE4C69">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2"/>
                <w:szCs w:val="22"/>
                <w:u w:val="none"/>
                <w:lang w:val="en-US" w:eastAsia="zh-CN" w:bidi="ar"/>
              </w:rPr>
              <w:t>亿联网络</w:t>
            </w:r>
          </w:p>
        </w:tc>
        <w:tc>
          <w:tcPr>
            <w:tcW w:w="1559" w:type="dxa"/>
            <w:tcBorders>
              <w:top w:val="single" w:color="auto" w:sz="4" w:space="0"/>
              <w:left w:val="single" w:color="auto" w:sz="4" w:space="0"/>
              <w:bottom w:val="single" w:color="auto" w:sz="4" w:space="0"/>
              <w:right w:val="single" w:color="auto" w:sz="4" w:space="0"/>
            </w:tcBorders>
            <w:noWrap w:val="0"/>
            <w:vAlign w:val="center"/>
          </w:tcPr>
          <w:p w14:paraId="2A06E542">
            <w:pPr>
              <w:keepNext w:val="0"/>
              <w:keepLines w:val="0"/>
              <w:widowControl/>
              <w:suppressLineNumbers w:val="0"/>
              <w:jc w:val="righ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2"/>
                <w:szCs w:val="22"/>
                <w:u w:val="none"/>
                <w:lang w:val="en-US" w:eastAsia="zh-CN" w:bidi="ar"/>
              </w:rPr>
              <w:t>145,700.00</w:t>
            </w:r>
          </w:p>
        </w:tc>
        <w:tc>
          <w:tcPr>
            <w:tcW w:w="2394" w:type="dxa"/>
            <w:tcBorders>
              <w:top w:val="single" w:color="auto" w:sz="4" w:space="0"/>
              <w:left w:val="single" w:color="auto" w:sz="4" w:space="0"/>
              <w:bottom w:val="single" w:color="auto" w:sz="4" w:space="0"/>
              <w:right w:val="single" w:color="auto" w:sz="4" w:space="0"/>
            </w:tcBorders>
            <w:noWrap w:val="0"/>
            <w:vAlign w:val="center"/>
          </w:tcPr>
          <w:p w14:paraId="021D91DB">
            <w:pPr>
              <w:keepNext w:val="0"/>
              <w:keepLines w:val="0"/>
              <w:widowControl/>
              <w:suppressLineNumbers w:val="0"/>
              <w:jc w:val="righ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 4,739,621.00 </w:t>
            </w:r>
          </w:p>
        </w:tc>
        <w:tc>
          <w:tcPr>
            <w:tcW w:w="1479" w:type="dxa"/>
            <w:tcBorders>
              <w:top w:val="single" w:color="auto" w:sz="4" w:space="0"/>
              <w:left w:val="single" w:color="auto" w:sz="4" w:space="0"/>
              <w:bottom w:val="single" w:color="auto" w:sz="4" w:space="0"/>
              <w:right w:val="single" w:color="auto" w:sz="4" w:space="0"/>
            </w:tcBorders>
            <w:noWrap w:val="0"/>
            <w:vAlign w:val="center"/>
          </w:tcPr>
          <w:p w14:paraId="7F0EF43F">
            <w:pPr>
              <w:keepNext w:val="0"/>
              <w:keepLines w:val="0"/>
              <w:widowControl/>
              <w:suppressLineNumbers w:val="0"/>
              <w:jc w:val="righ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 1.81 </w:t>
            </w:r>
          </w:p>
        </w:tc>
      </w:tr>
    </w:tbl>
    <w:p w14:paraId="262B3906">
      <w:pPr>
        <w:widowControl/>
        <w:snapToGrid w:val="0"/>
        <w:spacing w:before="156" w:beforeLines="50"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（四）按券种分类的债券投资组合</w:t>
      </w:r>
    </w:p>
    <w:p w14:paraId="348A25A1">
      <w:pPr>
        <w:widowControl/>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截至</w:t>
      </w:r>
      <w:r>
        <w:rPr>
          <w:rFonts w:hint="eastAsia" w:ascii="Times New Roman" w:hAnsi="Times New Roman" w:cs="Times New Roman"/>
          <w:color w:val="000000"/>
          <w:kern w:val="0"/>
          <w:szCs w:val="21"/>
          <w:highlight w:val="none"/>
          <w:lang w:eastAsia="zh-CN"/>
        </w:rPr>
        <w:t>2026年6月23日</w:t>
      </w:r>
      <w:r>
        <w:rPr>
          <w:rFonts w:ascii="Times New Roman" w:hAnsi="Times New Roman" w:cs="Times New Roman"/>
          <w:color w:val="000000"/>
          <w:kern w:val="0"/>
          <w:szCs w:val="21"/>
          <w:highlight w:val="none"/>
        </w:rPr>
        <w:t>，本基金未持有债券。</w:t>
      </w:r>
    </w:p>
    <w:p w14:paraId="01618A10">
      <w:pPr>
        <w:widowControl/>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（五）按公允价值占基金资产净值比例大小排序的前五名债券明细</w:t>
      </w:r>
    </w:p>
    <w:p w14:paraId="441F0043">
      <w:pPr>
        <w:widowControl/>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截至</w:t>
      </w:r>
      <w:r>
        <w:rPr>
          <w:rFonts w:hint="eastAsia" w:ascii="Times New Roman" w:hAnsi="Times New Roman" w:cs="Times New Roman"/>
          <w:color w:val="000000"/>
          <w:kern w:val="0"/>
          <w:szCs w:val="21"/>
          <w:highlight w:val="none"/>
          <w:lang w:eastAsia="zh-CN"/>
        </w:rPr>
        <w:t>2026年6月23日</w:t>
      </w:r>
      <w:r>
        <w:rPr>
          <w:rFonts w:ascii="Times New Roman" w:hAnsi="Times New Roman" w:cs="Times New Roman"/>
          <w:color w:val="000000"/>
          <w:kern w:val="0"/>
          <w:szCs w:val="21"/>
          <w:highlight w:val="none"/>
        </w:rPr>
        <w:t>，本基金未持有债券。</w:t>
      </w:r>
    </w:p>
    <w:p w14:paraId="05F4B5BD">
      <w:pPr>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 xml:space="preserve">（六）按公允价值占净值比例大小排序的前十名资产支持证券投资明细 </w:t>
      </w:r>
    </w:p>
    <w:p w14:paraId="7444FA52">
      <w:pPr>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截至</w:t>
      </w:r>
      <w:r>
        <w:rPr>
          <w:rFonts w:hint="eastAsia" w:ascii="Times New Roman" w:hAnsi="Times New Roman" w:cs="Times New Roman"/>
          <w:color w:val="000000"/>
          <w:kern w:val="0"/>
          <w:szCs w:val="21"/>
          <w:highlight w:val="none"/>
          <w:lang w:eastAsia="zh-CN"/>
        </w:rPr>
        <w:t>2026年6月23日</w:t>
      </w:r>
      <w:r>
        <w:rPr>
          <w:rFonts w:ascii="Times New Roman" w:hAnsi="Times New Roman" w:cs="Times New Roman"/>
          <w:color w:val="000000"/>
          <w:kern w:val="0"/>
          <w:szCs w:val="21"/>
          <w:highlight w:val="none"/>
        </w:rPr>
        <w:t xml:space="preserve">，本基金未持有资产支持证券。 </w:t>
      </w:r>
    </w:p>
    <w:p w14:paraId="0B6148CD">
      <w:pPr>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 xml:space="preserve">（七）按公允价值占基金资产净值比例大小排序的前五名贵金属投资明细 </w:t>
      </w:r>
    </w:p>
    <w:p w14:paraId="1E810F21">
      <w:pPr>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截至</w:t>
      </w:r>
      <w:r>
        <w:rPr>
          <w:rFonts w:hint="eastAsia" w:ascii="Times New Roman" w:hAnsi="Times New Roman" w:cs="Times New Roman"/>
          <w:color w:val="000000"/>
          <w:kern w:val="0"/>
          <w:szCs w:val="21"/>
          <w:highlight w:val="none"/>
          <w:lang w:eastAsia="zh-CN"/>
        </w:rPr>
        <w:t>2026年6月23日</w:t>
      </w:r>
      <w:r>
        <w:rPr>
          <w:rFonts w:ascii="Times New Roman" w:hAnsi="Times New Roman" w:cs="Times New Roman"/>
          <w:color w:val="000000"/>
          <w:kern w:val="0"/>
          <w:szCs w:val="21"/>
          <w:highlight w:val="none"/>
        </w:rPr>
        <w:t>，本基金未持有贵金属。</w:t>
      </w:r>
    </w:p>
    <w:p w14:paraId="2250544F">
      <w:pPr>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 xml:space="preserve">（八）按公允价值占净值比例大小排序的前五名权证投资明细 </w:t>
      </w:r>
    </w:p>
    <w:p w14:paraId="5357E2D6">
      <w:pPr>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截至</w:t>
      </w:r>
      <w:r>
        <w:rPr>
          <w:rFonts w:hint="eastAsia" w:ascii="Times New Roman" w:hAnsi="Times New Roman" w:cs="Times New Roman"/>
          <w:color w:val="000000"/>
          <w:kern w:val="0"/>
          <w:szCs w:val="21"/>
          <w:highlight w:val="none"/>
          <w:lang w:eastAsia="zh-CN"/>
        </w:rPr>
        <w:t>2026年6月23日</w:t>
      </w:r>
      <w:r>
        <w:rPr>
          <w:rFonts w:ascii="Times New Roman" w:hAnsi="Times New Roman" w:cs="Times New Roman"/>
          <w:color w:val="000000"/>
          <w:kern w:val="0"/>
          <w:szCs w:val="21"/>
          <w:highlight w:val="none"/>
        </w:rPr>
        <w:t>，本基金未持有权证。</w:t>
      </w:r>
    </w:p>
    <w:p w14:paraId="2447C4E4">
      <w:pPr>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 xml:space="preserve">（九）本基金投资的股指期货交易情况说明 </w:t>
      </w:r>
    </w:p>
    <w:p w14:paraId="71305BB9">
      <w:pPr>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截至</w:t>
      </w:r>
      <w:r>
        <w:rPr>
          <w:rFonts w:hint="eastAsia" w:ascii="Times New Roman" w:hAnsi="Times New Roman" w:cs="Times New Roman"/>
          <w:color w:val="000000"/>
          <w:kern w:val="0"/>
          <w:szCs w:val="21"/>
          <w:highlight w:val="none"/>
          <w:lang w:eastAsia="zh-CN"/>
        </w:rPr>
        <w:t>2026年6月23日</w:t>
      </w:r>
      <w:r>
        <w:rPr>
          <w:rFonts w:ascii="Times New Roman" w:hAnsi="Times New Roman" w:cs="Times New Roman"/>
          <w:color w:val="000000"/>
          <w:kern w:val="0"/>
          <w:szCs w:val="21"/>
          <w:highlight w:val="none"/>
        </w:rPr>
        <w:t xml:space="preserve">，本基金未持有股指期货。 </w:t>
      </w:r>
    </w:p>
    <w:p w14:paraId="4ED9EE24">
      <w:pPr>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 xml:space="preserve">（十）本基金投资的国债期货交易情况说明 </w:t>
      </w:r>
    </w:p>
    <w:p w14:paraId="1C60321E">
      <w:pPr>
        <w:widowControl/>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截至</w:t>
      </w:r>
      <w:r>
        <w:rPr>
          <w:rFonts w:hint="eastAsia" w:ascii="Times New Roman" w:hAnsi="Times New Roman" w:cs="Times New Roman"/>
          <w:color w:val="000000"/>
          <w:kern w:val="0"/>
          <w:szCs w:val="21"/>
          <w:highlight w:val="none"/>
          <w:lang w:eastAsia="zh-CN"/>
        </w:rPr>
        <w:t>2026年6月23日</w:t>
      </w:r>
      <w:r>
        <w:rPr>
          <w:rFonts w:ascii="Times New Roman" w:hAnsi="Times New Roman" w:cs="Times New Roman"/>
          <w:color w:val="000000"/>
          <w:kern w:val="0"/>
          <w:szCs w:val="21"/>
          <w:highlight w:val="none"/>
        </w:rPr>
        <w:t>，本基金未持有国债期货。</w:t>
      </w:r>
    </w:p>
    <w:p w14:paraId="609DAE06">
      <w:pPr>
        <w:widowControl/>
        <w:snapToGrid w:val="0"/>
        <w:spacing w:line="360" w:lineRule="auto"/>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（十一）投资组合报告附注</w:t>
      </w:r>
    </w:p>
    <w:p w14:paraId="62A369AC">
      <w:pPr>
        <w:widowControl/>
        <w:snapToGrid w:val="0"/>
        <w:spacing w:line="360" w:lineRule="auto"/>
        <w:ind w:firstLine="420" w:firstLineChars="200"/>
        <w:rPr>
          <w:rFonts w:hint="eastAsia"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1、</w:t>
      </w:r>
      <w:r>
        <w:rPr>
          <w:rFonts w:hint="eastAsia" w:ascii="Times New Roman" w:hAnsi="Times New Roman" w:cs="Times New Roman"/>
          <w:color w:val="000000"/>
          <w:kern w:val="0"/>
          <w:szCs w:val="21"/>
          <w:highlight w:val="none"/>
        </w:rPr>
        <w:t>基金投资前十名证券的发行主体被监管部门立案调查或编制日前一年内受到公开谴责、处罚的投资决策程序说明</w:t>
      </w:r>
    </w:p>
    <w:p w14:paraId="12E66CFF">
      <w:pPr>
        <w:widowControl/>
        <w:snapToGrid w:val="0"/>
        <w:spacing w:line="360" w:lineRule="auto"/>
        <w:ind w:firstLine="420" w:firstLineChars="200"/>
        <w:rPr>
          <w:rFonts w:hint="eastAsia" w:ascii="Times New Roman" w:hAnsi="Times New Roman" w:cs="Times New Roman"/>
          <w:color w:val="000000"/>
          <w:kern w:val="0"/>
          <w:szCs w:val="21"/>
          <w:highlight w:val="none"/>
        </w:rPr>
      </w:pPr>
      <w:r>
        <w:rPr>
          <w:rFonts w:hint="eastAsia" w:ascii="Times New Roman" w:hAnsi="Times New Roman" w:cs="Times New Roman"/>
          <w:color w:val="000000"/>
          <w:kern w:val="0"/>
          <w:szCs w:val="21"/>
          <w:highlight w:val="none"/>
        </w:rPr>
        <w:t>本基金投资的前十名证券的发行主体中，三七互娱网络科技集团股份有限公司在报告编制前一年受到中国证券监督管理委员会的处罚。中国铝业股份有限公司在报告编制前一年受到西宁市生态环境局和贵阳市应急管理局的处罚。本基金对上述证券的投资决策程序符合相关法规及公司制度的要求。</w:t>
      </w:r>
    </w:p>
    <w:p w14:paraId="6F9B2A21">
      <w:pPr>
        <w:widowControl/>
        <w:snapToGrid w:val="0"/>
        <w:spacing w:line="360" w:lineRule="auto"/>
        <w:ind w:firstLine="420" w:firstLineChars="200"/>
        <w:rPr>
          <w:rFonts w:hint="eastAsia" w:ascii="Times New Roman" w:hAnsi="Times New Roman" w:cs="Times New Roman"/>
          <w:color w:val="000000"/>
          <w:kern w:val="0"/>
          <w:szCs w:val="21"/>
          <w:highlight w:val="none"/>
        </w:rPr>
      </w:pPr>
      <w:r>
        <w:rPr>
          <w:rFonts w:hint="eastAsia" w:ascii="Times New Roman" w:hAnsi="Times New Roman" w:cs="Times New Roman"/>
          <w:color w:val="000000"/>
          <w:kern w:val="0"/>
          <w:szCs w:val="21"/>
          <w:highlight w:val="none"/>
        </w:rPr>
        <w:t>除上述主体外，基金管理人未发现本基金投资的前十名证券发行主体出现本期被监管部门立案调查，或在报告编制日前一年受到公开谴责、处罚的情形。</w:t>
      </w:r>
    </w:p>
    <w:p w14:paraId="36985E30">
      <w:pPr>
        <w:widowControl/>
        <w:snapToGrid w:val="0"/>
        <w:spacing w:line="360" w:lineRule="auto"/>
        <w:ind w:firstLine="420" w:firstLineChars="200"/>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2、本基金前十名股票中，没有投资于超出基金合同规定备选股票库之外的股票。</w:t>
      </w:r>
    </w:p>
    <w:p w14:paraId="74E0AA2C">
      <w:pPr>
        <w:widowControl/>
        <w:snapToGrid w:val="0"/>
        <w:spacing w:line="360" w:lineRule="auto"/>
        <w:ind w:firstLine="420" w:firstLineChars="200"/>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3、其他资产构成如下：</w:t>
      </w:r>
    </w:p>
    <w:tbl>
      <w:tblPr>
        <w:tblStyle w:val="11"/>
        <w:tblW w:w="8097" w:type="dxa"/>
        <w:tblInd w:w="91" w:type="dxa"/>
        <w:tblLayout w:type="autofit"/>
        <w:tblCellMar>
          <w:top w:w="0" w:type="dxa"/>
          <w:left w:w="108" w:type="dxa"/>
          <w:bottom w:w="0" w:type="dxa"/>
          <w:right w:w="108" w:type="dxa"/>
        </w:tblCellMar>
      </w:tblPr>
      <w:tblGrid>
        <w:gridCol w:w="1032"/>
        <w:gridCol w:w="2246"/>
        <w:gridCol w:w="4819"/>
      </w:tblGrid>
      <w:tr w14:paraId="2EE26D8B">
        <w:tblPrEx>
          <w:tblCellMar>
            <w:top w:w="0" w:type="dxa"/>
            <w:left w:w="108" w:type="dxa"/>
            <w:bottom w:w="0" w:type="dxa"/>
            <w:right w:w="108" w:type="dxa"/>
          </w:tblCellMar>
        </w:tblPrEx>
        <w:trPr>
          <w:trHeight w:val="285" w:hRule="atLeast"/>
        </w:trPr>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EAAD9E">
            <w:pPr>
              <w:widowControl/>
              <w:snapToGrid w:val="0"/>
              <w:spacing w:line="360" w:lineRule="auto"/>
              <w:jc w:val="center"/>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序号</w:t>
            </w:r>
          </w:p>
        </w:tc>
        <w:tc>
          <w:tcPr>
            <w:tcW w:w="2246" w:type="dxa"/>
            <w:tcBorders>
              <w:top w:val="single" w:color="000000" w:sz="4" w:space="0"/>
              <w:left w:val="nil"/>
              <w:bottom w:val="single" w:color="000000" w:sz="4" w:space="0"/>
              <w:right w:val="single" w:color="000000" w:sz="4" w:space="0"/>
            </w:tcBorders>
            <w:shd w:val="clear" w:color="auto" w:fill="auto"/>
            <w:vAlign w:val="center"/>
          </w:tcPr>
          <w:p w14:paraId="50F91E1F">
            <w:pPr>
              <w:widowControl/>
              <w:snapToGrid w:val="0"/>
              <w:spacing w:line="360" w:lineRule="auto"/>
              <w:jc w:val="center"/>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其他资产</w:t>
            </w:r>
          </w:p>
        </w:tc>
        <w:tc>
          <w:tcPr>
            <w:tcW w:w="4819" w:type="dxa"/>
            <w:tcBorders>
              <w:top w:val="single" w:color="000000" w:sz="4" w:space="0"/>
              <w:left w:val="nil"/>
              <w:bottom w:val="single" w:color="000000" w:sz="4" w:space="0"/>
              <w:right w:val="single" w:color="000000" w:sz="4" w:space="0"/>
            </w:tcBorders>
            <w:shd w:val="clear" w:color="auto" w:fill="auto"/>
            <w:vAlign w:val="center"/>
          </w:tcPr>
          <w:p w14:paraId="76DC44D4">
            <w:pPr>
              <w:widowControl/>
              <w:snapToGrid w:val="0"/>
              <w:spacing w:line="360" w:lineRule="auto"/>
              <w:jc w:val="center"/>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金额（元）</w:t>
            </w:r>
          </w:p>
        </w:tc>
      </w:tr>
      <w:tr w14:paraId="06C20D5E">
        <w:tblPrEx>
          <w:tblCellMar>
            <w:top w:w="0" w:type="dxa"/>
            <w:left w:w="108" w:type="dxa"/>
            <w:bottom w:w="0" w:type="dxa"/>
            <w:right w:w="108" w:type="dxa"/>
          </w:tblCellMar>
        </w:tblPrEx>
        <w:trPr>
          <w:trHeight w:val="285" w:hRule="atLeast"/>
        </w:trPr>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FC81E2">
            <w:pPr>
              <w:widowControl/>
              <w:snapToGrid w:val="0"/>
              <w:spacing w:line="360" w:lineRule="auto"/>
              <w:jc w:val="center"/>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1</w:t>
            </w:r>
          </w:p>
        </w:tc>
        <w:tc>
          <w:tcPr>
            <w:tcW w:w="2246" w:type="dxa"/>
            <w:tcBorders>
              <w:top w:val="single" w:color="000000" w:sz="4" w:space="0"/>
              <w:left w:val="nil"/>
              <w:bottom w:val="single" w:color="000000" w:sz="4" w:space="0"/>
              <w:right w:val="single" w:color="000000" w:sz="4" w:space="0"/>
            </w:tcBorders>
            <w:shd w:val="clear" w:color="auto" w:fill="auto"/>
            <w:vAlign w:val="center"/>
          </w:tcPr>
          <w:p w14:paraId="2812D759">
            <w:pPr>
              <w:widowControl/>
              <w:snapToGrid w:val="0"/>
              <w:spacing w:line="360" w:lineRule="auto"/>
              <w:jc w:val="left"/>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存出保证金</w:t>
            </w:r>
          </w:p>
        </w:tc>
        <w:tc>
          <w:tcPr>
            <w:tcW w:w="4819" w:type="dxa"/>
            <w:tcBorders>
              <w:top w:val="single" w:color="000000" w:sz="4" w:space="0"/>
              <w:left w:val="nil"/>
              <w:bottom w:val="single" w:color="000000" w:sz="4" w:space="0"/>
              <w:right w:val="single" w:color="000000" w:sz="4" w:space="0"/>
            </w:tcBorders>
            <w:shd w:val="clear" w:color="auto" w:fill="auto"/>
          </w:tcPr>
          <w:p w14:paraId="36E4D7A5">
            <w:pPr>
              <w:jc w:val="right"/>
              <w:rPr>
                <w:rFonts w:ascii="Times New Roman" w:hAnsi="Times New Roman" w:cs="Times New Roman"/>
                <w:highlight w:val="none"/>
              </w:rPr>
            </w:pPr>
            <w:r>
              <w:rPr>
                <w:rFonts w:hint="eastAsia" w:ascii="Times New Roman" w:hAnsi="Times New Roman" w:cs="Times New Roman"/>
                <w:highlight w:val="none"/>
              </w:rPr>
              <w:t>-</w:t>
            </w:r>
          </w:p>
        </w:tc>
      </w:tr>
      <w:tr w14:paraId="3A045A32">
        <w:tblPrEx>
          <w:tblCellMar>
            <w:top w:w="0" w:type="dxa"/>
            <w:left w:w="108" w:type="dxa"/>
            <w:bottom w:w="0" w:type="dxa"/>
            <w:right w:w="108" w:type="dxa"/>
          </w:tblCellMar>
        </w:tblPrEx>
        <w:trPr>
          <w:trHeight w:val="285" w:hRule="atLeast"/>
        </w:trPr>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83761E">
            <w:pPr>
              <w:widowControl/>
              <w:snapToGrid w:val="0"/>
              <w:spacing w:line="360" w:lineRule="auto"/>
              <w:jc w:val="center"/>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2</w:t>
            </w:r>
          </w:p>
        </w:tc>
        <w:tc>
          <w:tcPr>
            <w:tcW w:w="2246" w:type="dxa"/>
            <w:tcBorders>
              <w:top w:val="single" w:color="000000" w:sz="4" w:space="0"/>
              <w:left w:val="nil"/>
              <w:bottom w:val="single" w:color="000000" w:sz="4" w:space="0"/>
              <w:right w:val="single" w:color="000000" w:sz="4" w:space="0"/>
            </w:tcBorders>
            <w:shd w:val="clear" w:color="auto" w:fill="auto"/>
          </w:tcPr>
          <w:p w14:paraId="7BA8B6BE">
            <w:pPr>
              <w:widowControl/>
              <w:snapToGrid w:val="0"/>
              <w:spacing w:line="360" w:lineRule="auto"/>
              <w:jc w:val="left"/>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应收证券清算款</w:t>
            </w:r>
          </w:p>
        </w:tc>
        <w:tc>
          <w:tcPr>
            <w:tcW w:w="4819" w:type="dxa"/>
            <w:tcBorders>
              <w:top w:val="single" w:color="000000" w:sz="4" w:space="0"/>
              <w:left w:val="nil"/>
              <w:bottom w:val="single" w:color="000000" w:sz="4" w:space="0"/>
              <w:right w:val="single" w:color="000000" w:sz="4" w:space="0"/>
            </w:tcBorders>
            <w:shd w:val="clear" w:color="auto" w:fill="auto"/>
          </w:tcPr>
          <w:p w14:paraId="3AF83AF9">
            <w:pPr>
              <w:jc w:val="right"/>
              <w:rPr>
                <w:rFonts w:ascii="Times New Roman" w:hAnsi="Times New Roman" w:cs="Times New Roman"/>
                <w:highlight w:val="none"/>
              </w:rPr>
            </w:pPr>
            <w:r>
              <w:rPr>
                <w:rFonts w:hint="eastAsia" w:ascii="Times New Roman" w:hAnsi="Times New Roman" w:cs="Times New Roman"/>
                <w:highlight w:val="none"/>
              </w:rPr>
              <w:t>-</w:t>
            </w:r>
          </w:p>
        </w:tc>
      </w:tr>
      <w:tr w14:paraId="746B092D">
        <w:tblPrEx>
          <w:tblCellMar>
            <w:top w:w="0" w:type="dxa"/>
            <w:left w:w="108" w:type="dxa"/>
            <w:bottom w:w="0" w:type="dxa"/>
            <w:right w:w="108" w:type="dxa"/>
          </w:tblCellMar>
        </w:tblPrEx>
        <w:trPr>
          <w:trHeight w:val="285" w:hRule="atLeast"/>
        </w:trPr>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A237DE">
            <w:pPr>
              <w:widowControl/>
              <w:snapToGrid w:val="0"/>
              <w:spacing w:line="360" w:lineRule="auto"/>
              <w:jc w:val="center"/>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3</w:t>
            </w:r>
          </w:p>
        </w:tc>
        <w:tc>
          <w:tcPr>
            <w:tcW w:w="2246" w:type="dxa"/>
            <w:tcBorders>
              <w:top w:val="single" w:color="000000" w:sz="4" w:space="0"/>
              <w:left w:val="nil"/>
              <w:bottom w:val="single" w:color="000000" w:sz="4" w:space="0"/>
              <w:right w:val="single" w:color="000000" w:sz="4" w:space="0"/>
            </w:tcBorders>
            <w:shd w:val="clear" w:color="auto" w:fill="auto"/>
          </w:tcPr>
          <w:p w14:paraId="60BACA7D">
            <w:pPr>
              <w:widowControl/>
              <w:snapToGrid w:val="0"/>
              <w:spacing w:line="360" w:lineRule="auto"/>
              <w:jc w:val="left"/>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应收利息</w:t>
            </w:r>
          </w:p>
        </w:tc>
        <w:tc>
          <w:tcPr>
            <w:tcW w:w="4819" w:type="dxa"/>
            <w:tcBorders>
              <w:top w:val="single" w:color="000000" w:sz="4" w:space="0"/>
              <w:left w:val="nil"/>
              <w:bottom w:val="single" w:color="000000" w:sz="4" w:space="0"/>
              <w:right w:val="single" w:color="000000" w:sz="4" w:space="0"/>
            </w:tcBorders>
            <w:shd w:val="clear" w:color="auto" w:fill="auto"/>
          </w:tcPr>
          <w:p w14:paraId="189B0B26">
            <w:pPr>
              <w:jc w:val="right"/>
              <w:rPr>
                <w:rFonts w:ascii="Times New Roman" w:hAnsi="Times New Roman" w:cs="Times New Roman"/>
                <w:highlight w:val="none"/>
              </w:rPr>
            </w:pPr>
            <w:r>
              <w:rPr>
                <w:rFonts w:hint="eastAsia" w:ascii="Times New Roman" w:hAnsi="Times New Roman" w:cs="Times New Roman"/>
                <w:highlight w:val="none"/>
              </w:rPr>
              <w:t>-</w:t>
            </w:r>
          </w:p>
        </w:tc>
      </w:tr>
      <w:tr w14:paraId="4AD46F35">
        <w:tblPrEx>
          <w:tblCellMar>
            <w:top w:w="0" w:type="dxa"/>
            <w:left w:w="108" w:type="dxa"/>
            <w:bottom w:w="0" w:type="dxa"/>
            <w:right w:w="108" w:type="dxa"/>
          </w:tblCellMar>
        </w:tblPrEx>
        <w:trPr>
          <w:trHeight w:val="285" w:hRule="atLeast"/>
        </w:trPr>
        <w:tc>
          <w:tcPr>
            <w:tcW w:w="1032" w:type="dxa"/>
            <w:tcBorders>
              <w:top w:val="nil"/>
              <w:left w:val="single" w:color="000000" w:sz="4" w:space="0"/>
              <w:bottom w:val="single" w:color="000000" w:sz="4" w:space="0"/>
              <w:right w:val="single" w:color="000000" w:sz="4" w:space="0"/>
            </w:tcBorders>
            <w:shd w:val="clear" w:color="auto" w:fill="auto"/>
            <w:vAlign w:val="center"/>
          </w:tcPr>
          <w:p w14:paraId="33AB87C8">
            <w:pPr>
              <w:widowControl/>
              <w:snapToGrid w:val="0"/>
              <w:spacing w:line="360" w:lineRule="auto"/>
              <w:jc w:val="center"/>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4</w:t>
            </w:r>
          </w:p>
        </w:tc>
        <w:tc>
          <w:tcPr>
            <w:tcW w:w="2246" w:type="dxa"/>
            <w:tcBorders>
              <w:top w:val="nil"/>
              <w:left w:val="nil"/>
              <w:bottom w:val="single" w:color="000000" w:sz="4" w:space="0"/>
              <w:right w:val="single" w:color="000000" w:sz="4" w:space="0"/>
            </w:tcBorders>
            <w:shd w:val="clear" w:color="auto" w:fill="auto"/>
          </w:tcPr>
          <w:p w14:paraId="29F9A257">
            <w:pPr>
              <w:widowControl/>
              <w:snapToGrid w:val="0"/>
              <w:spacing w:line="360" w:lineRule="auto"/>
              <w:jc w:val="left"/>
              <w:rPr>
                <w:rFonts w:ascii="Times New Roman" w:hAnsi="Times New Roman" w:cs="Times New Roman"/>
                <w:color w:val="000000"/>
                <w:kern w:val="0"/>
                <w:szCs w:val="21"/>
                <w:highlight w:val="none"/>
              </w:rPr>
            </w:pPr>
            <w:r>
              <w:rPr>
                <w:rFonts w:hint="eastAsia"/>
                <w:color w:val="000000"/>
                <w:kern w:val="0"/>
                <w:szCs w:val="21"/>
                <w:highlight w:val="none"/>
              </w:rPr>
              <w:t>待摊费用</w:t>
            </w:r>
          </w:p>
        </w:tc>
        <w:tc>
          <w:tcPr>
            <w:tcW w:w="4819" w:type="dxa"/>
            <w:tcBorders>
              <w:top w:val="nil"/>
              <w:left w:val="nil"/>
              <w:bottom w:val="single" w:color="000000" w:sz="4" w:space="0"/>
              <w:right w:val="single" w:color="000000" w:sz="4" w:space="0"/>
            </w:tcBorders>
            <w:shd w:val="clear" w:color="auto" w:fill="auto"/>
          </w:tcPr>
          <w:p w14:paraId="3BCEB7C7">
            <w:pPr>
              <w:jc w:val="right"/>
              <w:rPr>
                <w:rFonts w:hint="eastAsia" w:ascii="Times New Roman" w:hAnsi="Times New Roman" w:cs="Times New Roman" w:eastAsiaTheme="minorEastAsia"/>
                <w:highlight w:val="none"/>
                <w:lang w:val="en-US" w:eastAsia="zh-CN"/>
              </w:rPr>
            </w:pPr>
            <w:r>
              <w:rPr>
                <w:rFonts w:hint="eastAsia" w:ascii="Times New Roman" w:hAnsi="Times New Roman" w:cs="Times New Roman"/>
                <w:highlight w:val="none"/>
                <w:lang w:val="en-US" w:eastAsia="zh-CN"/>
              </w:rPr>
              <w:t>-</w:t>
            </w:r>
          </w:p>
        </w:tc>
      </w:tr>
      <w:tr w14:paraId="66E684E5">
        <w:tblPrEx>
          <w:tblCellMar>
            <w:top w:w="0" w:type="dxa"/>
            <w:left w:w="108" w:type="dxa"/>
            <w:bottom w:w="0" w:type="dxa"/>
            <w:right w:w="108" w:type="dxa"/>
          </w:tblCellMar>
        </w:tblPrEx>
        <w:trPr>
          <w:trHeight w:val="285" w:hRule="atLeast"/>
        </w:trPr>
        <w:tc>
          <w:tcPr>
            <w:tcW w:w="1032" w:type="dxa"/>
            <w:tcBorders>
              <w:top w:val="nil"/>
              <w:left w:val="single" w:color="000000" w:sz="4" w:space="0"/>
              <w:bottom w:val="single" w:color="000000" w:sz="4" w:space="0"/>
              <w:right w:val="single" w:color="000000" w:sz="4" w:space="0"/>
            </w:tcBorders>
            <w:shd w:val="clear" w:color="auto" w:fill="auto"/>
            <w:vAlign w:val="center"/>
          </w:tcPr>
          <w:p w14:paraId="5911AF70">
            <w:pPr>
              <w:widowControl/>
              <w:snapToGrid w:val="0"/>
              <w:spacing w:line="360" w:lineRule="auto"/>
              <w:jc w:val="center"/>
              <w:rPr>
                <w:rFonts w:hint="eastAsia" w:ascii="Times New Roman" w:hAnsi="Times New Roman" w:cs="Times New Roman" w:eastAsiaTheme="minorEastAsia"/>
                <w:color w:val="000000"/>
                <w:kern w:val="0"/>
                <w:szCs w:val="21"/>
                <w:highlight w:val="none"/>
                <w:lang w:val="en-US" w:eastAsia="zh-CN"/>
              </w:rPr>
            </w:pPr>
            <w:r>
              <w:rPr>
                <w:rFonts w:hint="eastAsia" w:ascii="Times New Roman" w:hAnsi="Times New Roman" w:cs="Times New Roman"/>
                <w:color w:val="000000"/>
                <w:kern w:val="0"/>
                <w:szCs w:val="21"/>
                <w:highlight w:val="none"/>
                <w:lang w:val="en-US" w:eastAsia="zh-CN"/>
              </w:rPr>
              <w:t>5</w:t>
            </w:r>
          </w:p>
        </w:tc>
        <w:tc>
          <w:tcPr>
            <w:tcW w:w="2246" w:type="dxa"/>
            <w:tcBorders>
              <w:top w:val="nil"/>
              <w:left w:val="nil"/>
              <w:bottom w:val="single" w:color="000000" w:sz="4" w:space="0"/>
              <w:right w:val="single" w:color="000000" w:sz="4" w:space="0"/>
            </w:tcBorders>
            <w:shd w:val="clear" w:color="auto" w:fill="auto"/>
          </w:tcPr>
          <w:p w14:paraId="1728B87A">
            <w:pPr>
              <w:widowControl/>
              <w:snapToGrid w:val="0"/>
              <w:spacing w:line="360" w:lineRule="auto"/>
              <w:jc w:val="left"/>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其他</w:t>
            </w:r>
          </w:p>
        </w:tc>
        <w:tc>
          <w:tcPr>
            <w:tcW w:w="4819" w:type="dxa"/>
            <w:tcBorders>
              <w:top w:val="nil"/>
              <w:left w:val="nil"/>
              <w:bottom w:val="single" w:color="000000" w:sz="4" w:space="0"/>
              <w:right w:val="single" w:color="000000" w:sz="4" w:space="0"/>
            </w:tcBorders>
            <w:shd w:val="clear" w:color="auto" w:fill="auto"/>
          </w:tcPr>
          <w:p w14:paraId="3706794D">
            <w:pPr>
              <w:jc w:val="righ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w:t>
            </w:r>
          </w:p>
        </w:tc>
      </w:tr>
      <w:tr w14:paraId="333C7256">
        <w:tblPrEx>
          <w:tblCellMar>
            <w:top w:w="0" w:type="dxa"/>
            <w:left w:w="108" w:type="dxa"/>
            <w:bottom w:w="0" w:type="dxa"/>
            <w:right w:w="108" w:type="dxa"/>
          </w:tblCellMar>
        </w:tblPrEx>
        <w:trPr>
          <w:trHeight w:val="285" w:hRule="atLeast"/>
        </w:trPr>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48872F">
            <w:pPr>
              <w:widowControl/>
              <w:snapToGrid w:val="0"/>
              <w:spacing w:line="360" w:lineRule="auto"/>
              <w:jc w:val="center"/>
              <w:rPr>
                <w:rFonts w:hint="eastAsia" w:ascii="Times New Roman" w:hAnsi="Times New Roman" w:cs="Times New Roman" w:eastAsiaTheme="minorEastAsia"/>
                <w:color w:val="000000"/>
                <w:kern w:val="0"/>
                <w:szCs w:val="21"/>
                <w:highlight w:val="none"/>
                <w:lang w:eastAsia="zh-CN"/>
              </w:rPr>
            </w:pPr>
            <w:r>
              <w:rPr>
                <w:rFonts w:hint="eastAsia" w:ascii="Times New Roman" w:hAnsi="Times New Roman" w:cs="Times New Roman"/>
                <w:color w:val="000000"/>
                <w:kern w:val="0"/>
                <w:szCs w:val="21"/>
                <w:highlight w:val="none"/>
                <w:lang w:val="en-US" w:eastAsia="zh-CN"/>
              </w:rPr>
              <w:t>6</w:t>
            </w:r>
          </w:p>
        </w:tc>
        <w:tc>
          <w:tcPr>
            <w:tcW w:w="2246" w:type="dxa"/>
            <w:tcBorders>
              <w:top w:val="single" w:color="000000" w:sz="4" w:space="0"/>
              <w:left w:val="nil"/>
              <w:bottom w:val="single" w:color="000000" w:sz="4" w:space="0"/>
              <w:right w:val="single" w:color="000000" w:sz="4" w:space="0"/>
            </w:tcBorders>
            <w:shd w:val="clear" w:color="auto" w:fill="auto"/>
          </w:tcPr>
          <w:p w14:paraId="415B626A">
            <w:pPr>
              <w:widowControl/>
              <w:snapToGrid w:val="0"/>
              <w:spacing w:line="360" w:lineRule="auto"/>
              <w:jc w:val="left"/>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合计</w:t>
            </w:r>
          </w:p>
        </w:tc>
        <w:tc>
          <w:tcPr>
            <w:tcW w:w="4819" w:type="dxa"/>
            <w:tcBorders>
              <w:top w:val="single" w:color="000000" w:sz="4" w:space="0"/>
              <w:left w:val="nil"/>
              <w:bottom w:val="single" w:color="000000" w:sz="4" w:space="0"/>
              <w:right w:val="single" w:color="000000" w:sz="4" w:space="0"/>
            </w:tcBorders>
            <w:shd w:val="clear" w:color="auto" w:fill="auto"/>
          </w:tcPr>
          <w:p w14:paraId="641801A0">
            <w:pPr>
              <w:jc w:val="right"/>
              <w:rPr>
                <w:rFonts w:hint="eastAsia" w:ascii="Times New Roman" w:hAnsi="Times New Roman" w:cs="Times New Roman" w:eastAsiaTheme="minorEastAsia"/>
                <w:highlight w:val="none"/>
                <w:lang w:val="en-US" w:eastAsia="zh-CN"/>
              </w:rPr>
            </w:pPr>
            <w:r>
              <w:rPr>
                <w:rFonts w:hint="eastAsia" w:ascii="Times New Roman" w:hAnsi="Times New Roman" w:cs="Times New Roman"/>
                <w:highlight w:val="none"/>
                <w:lang w:val="en-US" w:eastAsia="zh-CN"/>
              </w:rPr>
              <w:t>-</w:t>
            </w:r>
          </w:p>
        </w:tc>
      </w:tr>
    </w:tbl>
    <w:p w14:paraId="0B9D24E0">
      <w:pPr>
        <w:widowControl/>
        <w:snapToGrid w:val="0"/>
        <w:spacing w:line="360" w:lineRule="auto"/>
        <w:ind w:firstLine="420" w:firstLineChars="200"/>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4、本报告期末持有的处于转股期的可转换债券明细</w:t>
      </w:r>
    </w:p>
    <w:p w14:paraId="0E6BBF0C">
      <w:pPr>
        <w:widowControl/>
        <w:snapToGrid w:val="0"/>
        <w:spacing w:line="360" w:lineRule="auto"/>
        <w:ind w:firstLine="420" w:firstLineChars="200"/>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截至</w:t>
      </w:r>
      <w:r>
        <w:rPr>
          <w:rFonts w:hint="eastAsia" w:ascii="Times New Roman" w:hAnsi="Times New Roman" w:cs="Times New Roman"/>
          <w:color w:val="000000"/>
          <w:kern w:val="0"/>
          <w:szCs w:val="21"/>
          <w:highlight w:val="none"/>
          <w:lang w:eastAsia="zh-CN"/>
        </w:rPr>
        <w:t>2026年6月23日</w:t>
      </w:r>
      <w:r>
        <w:rPr>
          <w:rFonts w:ascii="Times New Roman" w:hAnsi="Times New Roman" w:cs="Times New Roman"/>
          <w:color w:val="000000"/>
          <w:kern w:val="0"/>
          <w:szCs w:val="21"/>
          <w:highlight w:val="none"/>
        </w:rPr>
        <w:t>，本基金未持有可转换债券。</w:t>
      </w:r>
    </w:p>
    <w:p w14:paraId="6C33ECB1">
      <w:pPr>
        <w:widowControl/>
        <w:snapToGrid w:val="0"/>
        <w:spacing w:line="360" w:lineRule="auto"/>
        <w:ind w:firstLine="420" w:firstLineChars="200"/>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5、本报告期前十名股票中存在流通受限情况的说明</w:t>
      </w:r>
    </w:p>
    <w:p w14:paraId="3E9A03BF">
      <w:pPr>
        <w:widowControl/>
        <w:snapToGrid w:val="0"/>
        <w:spacing w:line="360" w:lineRule="auto"/>
        <w:ind w:firstLine="420" w:firstLineChars="200"/>
        <w:rPr>
          <w:rFonts w:ascii="Times New Roman" w:hAnsi="Times New Roman" w:cs="Times New Roman"/>
          <w:color w:val="000000"/>
          <w:kern w:val="0"/>
          <w:szCs w:val="21"/>
          <w:highlight w:val="none"/>
        </w:rPr>
      </w:pPr>
      <w:r>
        <w:rPr>
          <w:rFonts w:ascii="Times New Roman" w:hAnsi="Times New Roman" w:cs="Times New Roman"/>
          <w:color w:val="000000"/>
          <w:kern w:val="0"/>
          <w:szCs w:val="21"/>
          <w:highlight w:val="none"/>
        </w:rPr>
        <w:t>截至</w:t>
      </w:r>
      <w:r>
        <w:rPr>
          <w:rFonts w:hint="eastAsia" w:ascii="Times New Roman" w:hAnsi="Times New Roman" w:cs="Times New Roman"/>
          <w:color w:val="000000"/>
          <w:kern w:val="0"/>
          <w:szCs w:val="21"/>
          <w:highlight w:val="none"/>
          <w:lang w:eastAsia="zh-CN"/>
        </w:rPr>
        <w:t>2026年6月23日</w:t>
      </w:r>
      <w:r>
        <w:rPr>
          <w:rFonts w:ascii="Times New Roman" w:hAnsi="Times New Roman" w:cs="Times New Roman"/>
          <w:color w:val="000000"/>
          <w:kern w:val="0"/>
          <w:szCs w:val="21"/>
          <w:highlight w:val="none"/>
        </w:rPr>
        <w:t>，</w:t>
      </w:r>
      <w:r>
        <w:rPr>
          <w:rFonts w:hint="eastAsia" w:ascii="Times New Roman" w:hAnsi="Times New Roman" w:cs="Times New Roman"/>
          <w:color w:val="000000"/>
          <w:kern w:val="0"/>
          <w:szCs w:val="21"/>
          <w:highlight w:val="none"/>
        </w:rPr>
        <w:t>本基金前十名股票中不存在流通受限情况</w:t>
      </w:r>
      <w:r>
        <w:rPr>
          <w:rFonts w:ascii="Times New Roman" w:hAnsi="Times New Roman" w:cs="Times New Roman"/>
          <w:color w:val="000000"/>
          <w:kern w:val="0"/>
          <w:szCs w:val="21"/>
          <w:highlight w:val="none"/>
        </w:rPr>
        <w:t>。</w:t>
      </w:r>
    </w:p>
    <w:p w14:paraId="57F3EB77">
      <w:pPr>
        <w:widowControl/>
        <w:snapToGrid w:val="0"/>
        <w:spacing w:line="360" w:lineRule="auto"/>
        <w:ind w:firstLine="420" w:firstLineChars="200"/>
        <w:rPr>
          <w:rFonts w:hint="eastAsia" w:ascii="Times New Roman" w:hAnsi="Times New Roman" w:cs="Times New Roman"/>
          <w:color w:val="000000"/>
          <w:kern w:val="0"/>
          <w:szCs w:val="21"/>
          <w:highlight w:val="none"/>
          <w:lang w:eastAsia="zh-CN"/>
        </w:rPr>
      </w:pPr>
      <w:r>
        <w:rPr>
          <w:rFonts w:hint="eastAsia" w:ascii="Times New Roman" w:hAnsi="Times New Roman" w:cs="Times New Roman"/>
          <w:color w:val="000000"/>
          <w:kern w:val="0"/>
          <w:szCs w:val="21"/>
          <w:highlight w:val="none"/>
          <w:lang w:eastAsia="zh-CN"/>
        </w:rPr>
        <w:t>6、投资组合报告附注的其他文字描述部分</w:t>
      </w:r>
    </w:p>
    <w:p w14:paraId="6D57434B">
      <w:pPr>
        <w:widowControl/>
        <w:snapToGrid w:val="0"/>
        <w:spacing w:line="360" w:lineRule="auto"/>
        <w:ind w:firstLine="420" w:firstLineChars="200"/>
        <w:rPr>
          <w:rFonts w:hint="eastAsia" w:ascii="Times New Roman" w:hAnsi="Times New Roman" w:cs="Times New Roman"/>
          <w:color w:val="000000"/>
          <w:kern w:val="0"/>
          <w:szCs w:val="21"/>
          <w:highlight w:val="none"/>
          <w:lang w:eastAsia="zh-CN"/>
        </w:rPr>
      </w:pPr>
      <w:r>
        <w:rPr>
          <w:rFonts w:hint="eastAsia" w:ascii="Times New Roman" w:hAnsi="Times New Roman" w:cs="Times New Roman"/>
          <w:color w:val="000000"/>
          <w:kern w:val="0"/>
          <w:szCs w:val="21"/>
          <w:highlight w:val="none"/>
          <w:lang w:eastAsia="zh-CN"/>
        </w:rPr>
        <w:t>由于四舍五入的原因，分项之和与合计项之间可能存在尾差。</w:t>
      </w:r>
    </w:p>
    <w:p w14:paraId="63E10011">
      <w:pPr>
        <w:rPr>
          <w:rFonts w:hint="eastAsia" w:ascii="宋体" w:hAnsi="宋体" w:eastAsia="宋体"/>
          <w:sz w:val="30"/>
          <w:highlight w:val="lightGray"/>
        </w:rPr>
      </w:pPr>
      <w:r>
        <w:rPr>
          <w:rFonts w:hint="eastAsia" w:ascii="宋体" w:hAnsi="宋体" w:eastAsia="宋体"/>
          <w:sz w:val="30"/>
          <w:highlight w:val="lightGray"/>
        </w:rPr>
        <w:br w:type="page"/>
      </w:r>
    </w:p>
    <w:p w14:paraId="4A56D4D0">
      <w:pPr>
        <w:pStyle w:val="2"/>
        <w:jc w:val="center"/>
        <w:rPr>
          <w:rFonts w:ascii="宋体" w:hAnsi="宋体" w:eastAsia="宋体"/>
          <w:sz w:val="30"/>
          <w:highlight w:val="none"/>
        </w:rPr>
      </w:pPr>
      <w:r>
        <w:rPr>
          <w:rFonts w:hint="eastAsia" w:ascii="宋体" w:hAnsi="宋体" w:eastAsia="宋体"/>
          <w:sz w:val="30"/>
          <w:highlight w:val="none"/>
        </w:rPr>
        <w:t>九、重大事件揭示</w:t>
      </w:r>
      <w:bookmarkEnd w:id="40"/>
      <w:bookmarkEnd w:id="41"/>
    </w:p>
    <w:p w14:paraId="71F9DBC5">
      <w:pPr>
        <w:spacing w:line="360" w:lineRule="auto"/>
        <w:ind w:firstLine="420" w:firstLineChars="200"/>
        <w:rPr>
          <w:rFonts w:ascii="宋体" w:hAnsi="宋体" w:eastAsia="宋体"/>
          <w:highlight w:val="none"/>
        </w:rPr>
      </w:pPr>
      <w:bookmarkStart w:id="42" w:name="chapter_level1_9_56151_section_1"/>
      <w:bookmarkEnd w:id="42"/>
      <w:r>
        <w:rPr>
          <w:rFonts w:ascii="宋体" w:hAnsi="宋体" w:eastAsia="宋体"/>
          <w:highlight w:val="none"/>
        </w:rPr>
        <w:t>本基金自合同生效至上市交易公告书公告前未发生对基金份额持有人有较大影响的重</w:t>
      </w:r>
      <w:bookmarkStart w:id="43" w:name="chapter_level1_9_56151_section_1_end"/>
      <w:bookmarkEnd w:id="43"/>
      <w:r>
        <w:rPr>
          <w:rFonts w:ascii="宋体" w:hAnsi="宋体" w:eastAsia="宋体"/>
          <w:highlight w:val="none"/>
        </w:rPr>
        <w:t>大事件。</w:t>
      </w:r>
    </w:p>
    <w:p w14:paraId="25AB2458">
      <w:pPr>
        <w:spacing w:line="360" w:lineRule="auto"/>
        <w:rPr>
          <w:rFonts w:ascii="宋体" w:hAnsi="宋体" w:eastAsia="宋体"/>
          <w:highlight w:val="none"/>
        </w:rPr>
        <w:sectPr>
          <w:pgSz w:w="11906" w:h="16838"/>
          <w:pgMar w:top="1440" w:right="1803" w:bottom="1440" w:left="1803" w:header="851" w:footer="992" w:gutter="0"/>
          <w:cols w:space="425" w:num="1"/>
          <w:docGrid w:type="lines" w:linePitch="312" w:charSpace="0"/>
        </w:sectPr>
      </w:pPr>
    </w:p>
    <w:p w14:paraId="1D78C2C9">
      <w:pPr>
        <w:pStyle w:val="2"/>
        <w:jc w:val="center"/>
        <w:rPr>
          <w:rFonts w:ascii="宋体" w:hAnsi="宋体" w:eastAsia="宋体"/>
          <w:sz w:val="30"/>
          <w:highlight w:val="none"/>
        </w:rPr>
      </w:pPr>
      <w:bookmarkStart w:id="44" w:name="_Toc802"/>
      <w:bookmarkStart w:id="45" w:name="chapter_level1_10_56152"/>
      <w:r>
        <w:rPr>
          <w:rFonts w:hint="eastAsia" w:ascii="宋体" w:hAnsi="宋体" w:eastAsia="宋体"/>
          <w:sz w:val="30"/>
          <w:highlight w:val="none"/>
        </w:rPr>
        <w:t>十、基金管理人承诺</w:t>
      </w:r>
      <w:bookmarkEnd w:id="44"/>
      <w:bookmarkEnd w:id="45"/>
    </w:p>
    <w:p w14:paraId="6CD01CD2">
      <w:pPr>
        <w:pStyle w:val="9"/>
        <w:spacing w:before="0" w:beforeAutospacing="0" w:after="0" w:afterAutospacing="0" w:line="360" w:lineRule="auto"/>
        <w:ind w:firstLine="420"/>
        <w:rPr>
          <w:sz w:val="21"/>
          <w:szCs w:val="21"/>
          <w:highlight w:val="none"/>
        </w:rPr>
      </w:pPr>
      <w:bookmarkStart w:id="46" w:name="chapter_level1_10_56152_section_1"/>
      <w:bookmarkEnd w:id="46"/>
      <w:r>
        <w:rPr>
          <w:rFonts w:hint="eastAsia"/>
          <w:sz w:val="21"/>
          <w:szCs w:val="21"/>
          <w:highlight w:val="none"/>
        </w:rPr>
        <w:t xml:space="preserve">基金管理人就基金上市交易之后履行管理人职责做出以下承诺： </w:t>
      </w:r>
    </w:p>
    <w:p w14:paraId="23D18EC5">
      <w:pPr>
        <w:pStyle w:val="9"/>
        <w:spacing w:before="0" w:beforeAutospacing="0" w:after="0" w:afterAutospacing="0" w:line="360" w:lineRule="auto"/>
        <w:ind w:firstLine="420"/>
        <w:rPr>
          <w:sz w:val="21"/>
          <w:szCs w:val="21"/>
          <w:highlight w:val="none"/>
        </w:rPr>
      </w:pPr>
      <w:r>
        <w:rPr>
          <w:rFonts w:hint="eastAsia"/>
          <w:sz w:val="21"/>
          <w:szCs w:val="21"/>
          <w:highlight w:val="none"/>
        </w:rPr>
        <w:t xml:space="preserve">（一）严格遵守《基金法》及其他法律法规、基金合同的规定，以诚实信用、勤勉尽责的原则管理和运用基金资产。 </w:t>
      </w:r>
    </w:p>
    <w:p w14:paraId="2677F1BA">
      <w:pPr>
        <w:pStyle w:val="9"/>
        <w:spacing w:before="0" w:beforeAutospacing="0" w:after="0" w:afterAutospacing="0" w:line="360" w:lineRule="auto"/>
        <w:ind w:firstLine="420"/>
        <w:rPr>
          <w:sz w:val="21"/>
          <w:szCs w:val="21"/>
          <w:highlight w:val="none"/>
        </w:rPr>
      </w:pPr>
      <w:r>
        <w:rPr>
          <w:rFonts w:hint="eastAsia"/>
          <w:sz w:val="21"/>
          <w:szCs w:val="21"/>
          <w:highlight w:val="none"/>
        </w:rPr>
        <w:t xml:space="preserve">（二）真实、准确、完整和及时地披露定期报告等有关信息披露文件，披露所有对基金份额持有人有重大影响的信息，并接受中国证监会、证券交易所的监督管理。 </w:t>
      </w:r>
    </w:p>
    <w:p w14:paraId="593D9332">
      <w:pPr>
        <w:pStyle w:val="9"/>
        <w:spacing w:before="0" w:beforeAutospacing="0" w:after="0" w:afterAutospacing="0" w:line="360" w:lineRule="auto"/>
        <w:ind w:firstLine="420"/>
        <w:rPr>
          <w:sz w:val="21"/>
          <w:szCs w:val="21"/>
          <w:highlight w:val="none"/>
        </w:rPr>
      </w:pPr>
      <w:r>
        <w:rPr>
          <w:rFonts w:hint="eastAsia"/>
          <w:sz w:val="21"/>
          <w:szCs w:val="21"/>
          <w:highlight w:val="none"/>
        </w:rPr>
        <w:t>（三）在知悉可能对基金价格产生误导性影响或引起较大波动的任何公共传播媒介中出</w:t>
      </w:r>
      <w:bookmarkStart w:id="47" w:name="chapter_level1_10_56152_section_1_end"/>
      <w:bookmarkEnd w:id="47"/>
      <w:r>
        <w:rPr>
          <w:rFonts w:hint="eastAsia"/>
          <w:sz w:val="21"/>
          <w:szCs w:val="21"/>
          <w:highlight w:val="none"/>
        </w:rPr>
        <w:t xml:space="preserve">现的或者在市场上流传的消息后，将及时予以公开澄清。 </w:t>
      </w:r>
    </w:p>
    <w:p w14:paraId="37D28DD3">
      <w:pPr>
        <w:widowControl/>
        <w:jc w:val="left"/>
        <w:rPr>
          <w:rFonts w:ascii="宋体" w:hAnsi="宋体" w:eastAsia="宋体"/>
          <w:highlight w:val="none"/>
        </w:rPr>
      </w:pPr>
      <w:r>
        <w:rPr>
          <w:rFonts w:ascii="宋体" w:hAnsi="宋体" w:eastAsia="宋体"/>
          <w:highlight w:val="none"/>
        </w:rPr>
        <w:br w:type="page"/>
      </w:r>
    </w:p>
    <w:p w14:paraId="20FA1DCD">
      <w:pPr>
        <w:pStyle w:val="2"/>
        <w:jc w:val="center"/>
        <w:rPr>
          <w:rFonts w:ascii="宋体" w:hAnsi="宋体" w:eastAsia="宋体"/>
          <w:sz w:val="30"/>
          <w:highlight w:val="none"/>
        </w:rPr>
      </w:pPr>
      <w:bookmarkStart w:id="48" w:name="_Toc31429"/>
      <w:bookmarkStart w:id="49" w:name="chapter_level1_11_56153"/>
      <w:r>
        <w:rPr>
          <w:rFonts w:hint="eastAsia" w:ascii="宋体" w:hAnsi="宋体" w:eastAsia="宋体"/>
          <w:sz w:val="30"/>
          <w:highlight w:val="none"/>
        </w:rPr>
        <w:t>十一、基金托管人承诺</w:t>
      </w:r>
      <w:bookmarkEnd w:id="48"/>
      <w:bookmarkEnd w:id="49"/>
    </w:p>
    <w:p w14:paraId="54C6021D">
      <w:pPr>
        <w:pStyle w:val="9"/>
        <w:spacing w:before="0" w:beforeAutospacing="0" w:after="0" w:afterAutospacing="0" w:line="360" w:lineRule="auto"/>
        <w:ind w:firstLine="420"/>
        <w:rPr>
          <w:sz w:val="21"/>
          <w:szCs w:val="21"/>
          <w:highlight w:val="none"/>
        </w:rPr>
      </w:pPr>
      <w:bookmarkStart w:id="50" w:name="chapter_level1_11_56153_section_1"/>
      <w:bookmarkEnd w:id="50"/>
      <w:r>
        <w:rPr>
          <w:rFonts w:hint="eastAsia"/>
          <w:sz w:val="21"/>
          <w:szCs w:val="21"/>
          <w:highlight w:val="none"/>
        </w:rPr>
        <w:t xml:space="preserve">基金托管人就本基金上市交易后履行托管人职责做出如下承诺： </w:t>
      </w:r>
    </w:p>
    <w:p w14:paraId="595F7C48">
      <w:pPr>
        <w:pStyle w:val="9"/>
        <w:spacing w:before="0" w:beforeAutospacing="0" w:after="0" w:afterAutospacing="0" w:line="360" w:lineRule="auto"/>
        <w:ind w:firstLine="420"/>
        <w:rPr>
          <w:sz w:val="21"/>
          <w:szCs w:val="21"/>
          <w:highlight w:val="none"/>
        </w:rPr>
      </w:pPr>
      <w:r>
        <w:rPr>
          <w:rFonts w:hint="eastAsia"/>
          <w:sz w:val="21"/>
          <w:szCs w:val="21"/>
          <w:highlight w:val="none"/>
        </w:rPr>
        <w:t xml:space="preserve">（一）严格遵守《基金法》、《公开募集证券投资基金运作管理办法》及本基金《基金合同》、《托管协议》的规定，以诚实信用、勤勉尽责的原则托管基金资产。 </w:t>
      </w:r>
    </w:p>
    <w:p w14:paraId="3DA506A7">
      <w:pPr>
        <w:pStyle w:val="9"/>
        <w:spacing w:before="0" w:beforeAutospacing="0" w:after="0" w:afterAutospacing="0" w:line="360" w:lineRule="auto"/>
        <w:ind w:firstLine="420"/>
        <w:rPr>
          <w:sz w:val="21"/>
          <w:szCs w:val="21"/>
          <w:highlight w:val="none"/>
        </w:rPr>
      </w:pPr>
      <w:r>
        <w:rPr>
          <w:rFonts w:hint="eastAsia"/>
          <w:sz w:val="21"/>
          <w:szCs w:val="21"/>
          <w:highlight w:val="none"/>
        </w:rPr>
        <w:t>（二）根据《基金法》、《公开募集证券投资基金运作管理办法》及本基金《基金合同》、《托管协议》的规定，对基金的投资范围、基金资产的投资组合比例、基金资产净值的计算、基金份额净值计算进行监督和核查；如发现基金管理人违反《基金法》、《公开募集证券投资基金运作管理办法》及本基金《基金合同》、《托管协议》的规定，将及时通知基金管理人纠正；基金管理人对基金托管人通知的违规事项未能在限期内纠正的，基金托管人将及时</w:t>
      </w:r>
      <w:bookmarkStart w:id="51" w:name="chapter_level1_11_56153_section_1_end"/>
      <w:bookmarkEnd w:id="51"/>
      <w:r>
        <w:rPr>
          <w:rFonts w:hint="eastAsia"/>
          <w:sz w:val="21"/>
          <w:szCs w:val="21"/>
          <w:highlight w:val="none"/>
        </w:rPr>
        <w:t xml:space="preserve">向中国证监会报告。 </w:t>
      </w:r>
    </w:p>
    <w:p w14:paraId="437149A4">
      <w:pPr>
        <w:widowControl/>
        <w:jc w:val="left"/>
        <w:rPr>
          <w:rFonts w:ascii="宋体" w:hAnsi="宋体" w:eastAsia="宋体"/>
          <w:highlight w:val="none"/>
        </w:rPr>
      </w:pPr>
      <w:r>
        <w:rPr>
          <w:rFonts w:ascii="宋体" w:hAnsi="宋体" w:eastAsia="宋体"/>
          <w:highlight w:val="none"/>
        </w:rPr>
        <w:br w:type="page"/>
      </w:r>
    </w:p>
    <w:p w14:paraId="15DD2020">
      <w:pPr>
        <w:pStyle w:val="2"/>
        <w:jc w:val="center"/>
        <w:rPr>
          <w:rFonts w:ascii="宋体" w:hAnsi="宋体" w:eastAsia="宋体"/>
          <w:sz w:val="30"/>
          <w:highlight w:val="none"/>
        </w:rPr>
      </w:pPr>
      <w:bookmarkStart w:id="52" w:name="_Toc32296"/>
      <w:bookmarkStart w:id="53" w:name="chapter_level1_12_56154"/>
      <w:r>
        <w:rPr>
          <w:rFonts w:hint="eastAsia" w:ascii="宋体" w:hAnsi="宋体" w:eastAsia="宋体"/>
          <w:sz w:val="30"/>
          <w:highlight w:val="none"/>
        </w:rPr>
        <w:t>十二、基金上市推荐人意见</w:t>
      </w:r>
      <w:bookmarkEnd w:id="52"/>
      <w:bookmarkEnd w:id="53"/>
    </w:p>
    <w:p w14:paraId="1F793C0C">
      <w:pPr>
        <w:pStyle w:val="9"/>
        <w:spacing w:before="0" w:beforeAutospacing="0" w:after="0" w:afterAutospacing="0" w:line="360" w:lineRule="auto"/>
        <w:ind w:firstLine="420"/>
        <w:rPr>
          <w:sz w:val="21"/>
          <w:szCs w:val="21"/>
          <w:highlight w:val="none"/>
        </w:rPr>
      </w:pPr>
      <w:bookmarkStart w:id="54" w:name="chapter_level1_12_56154_section_1"/>
      <w:bookmarkEnd w:id="54"/>
      <w:r>
        <w:rPr>
          <w:rFonts w:hint="eastAsia"/>
          <w:sz w:val="21"/>
          <w:szCs w:val="21"/>
          <w:highlight w:val="none"/>
        </w:rPr>
        <w:t>本基金上市推荐人为</w:t>
      </w:r>
      <w:r>
        <w:rPr>
          <w:rFonts w:hint="eastAsia"/>
          <w:sz w:val="21"/>
          <w:szCs w:val="21"/>
          <w:highlight w:val="none"/>
          <w:lang w:val="en-US" w:eastAsia="zh-CN"/>
        </w:rPr>
        <w:t>招商证券股份有限公司</w:t>
      </w:r>
      <w:r>
        <w:rPr>
          <w:rFonts w:hint="eastAsia"/>
          <w:sz w:val="21"/>
          <w:szCs w:val="21"/>
          <w:highlight w:val="none"/>
        </w:rPr>
        <w:t xml:space="preserve">。上市推荐人就基金上市交易事宜出具如下意见： </w:t>
      </w:r>
    </w:p>
    <w:p w14:paraId="309A3A29">
      <w:pPr>
        <w:pStyle w:val="9"/>
        <w:spacing w:before="0" w:beforeAutospacing="0" w:after="0" w:afterAutospacing="0" w:line="360" w:lineRule="auto"/>
        <w:ind w:firstLine="420"/>
        <w:rPr>
          <w:sz w:val="21"/>
          <w:szCs w:val="21"/>
          <w:highlight w:val="none"/>
        </w:rPr>
      </w:pPr>
      <w:r>
        <w:rPr>
          <w:rFonts w:hint="eastAsia"/>
          <w:sz w:val="21"/>
          <w:szCs w:val="21"/>
          <w:highlight w:val="none"/>
        </w:rPr>
        <w:t xml:space="preserve">1、本基金上市符合《基金法》、《上海证券交易所证券投资基金上市规则》规定的相关条件； </w:t>
      </w:r>
    </w:p>
    <w:p w14:paraId="189DC7C2">
      <w:pPr>
        <w:pStyle w:val="9"/>
        <w:spacing w:before="0" w:beforeAutospacing="0" w:after="0" w:afterAutospacing="0" w:line="360" w:lineRule="auto"/>
        <w:ind w:firstLine="420"/>
        <w:rPr>
          <w:sz w:val="21"/>
          <w:szCs w:val="21"/>
          <w:highlight w:val="none"/>
        </w:rPr>
      </w:pPr>
      <w:r>
        <w:rPr>
          <w:rFonts w:hint="eastAsia"/>
          <w:sz w:val="21"/>
          <w:szCs w:val="21"/>
          <w:highlight w:val="none"/>
        </w:rPr>
        <w:t>2、基金上市文件真实、准确、完整，符合相关规定要求，文件内所载的资料均经过核</w:t>
      </w:r>
      <w:bookmarkStart w:id="55" w:name="chapter_level1_12_56154_section_1_end"/>
      <w:bookmarkEnd w:id="55"/>
      <w:r>
        <w:rPr>
          <w:rFonts w:hint="eastAsia"/>
          <w:sz w:val="21"/>
          <w:szCs w:val="21"/>
          <w:highlight w:val="none"/>
        </w:rPr>
        <w:t xml:space="preserve">实。 </w:t>
      </w:r>
    </w:p>
    <w:p w14:paraId="5125B1C8">
      <w:pPr>
        <w:widowControl/>
        <w:jc w:val="left"/>
        <w:rPr>
          <w:rFonts w:ascii="宋体" w:hAnsi="宋体" w:eastAsia="宋体"/>
          <w:highlight w:val="none"/>
        </w:rPr>
      </w:pPr>
      <w:r>
        <w:rPr>
          <w:rFonts w:ascii="宋体" w:hAnsi="宋体" w:eastAsia="宋体"/>
          <w:highlight w:val="none"/>
        </w:rPr>
        <w:br w:type="page"/>
      </w:r>
    </w:p>
    <w:p w14:paraId="4DEF80CC">
      <w:pPr>
        <w:pStyle w:val="2"/>
        <w:jc w:val="center"/>
        <w:rPr>
          <w:rFonts w:ascii="宋体" w:hAnsi="宋体" w:eastAsia="宋体"/>
          <w:sz w:val="30"/>
          <w:highlight w:val="none"/>
        </w:rPr>
      </w:pPr>
      <w:bookmarkStart w:id="56" w:name="_Toc28556"/>
      <w:bookmarkStart w:id="57" w:name="chapter_level1_13_56155"/>
      <w:r>
        <w:rPr>
          <w:rFonts w:hint="eastAsia" w:ascii="宋体" w:hAnsi="宋体" w:eastAsia="宋体"/>
          <w:sz w:val="30"/>
          <w:highlight w:val="none"/>
        </w:rPr>
        <w:t>十三、备查文件目录</w:t>
      </w:r>
      <w:bookmarkEnd w:id="56"/>
      <w:bookmarkEnd w:id="57"/>
    </w:p>
    <w:p w14:paraId="14C36E26">
      <w:pPr>
        <w:pStyle w:val="9"/>
        <w:spacing w:before="0" w:beforeAutospacing="0" w:after="0" w:afterAutospacing="0" w:line="360" w:lineRule="auto"/>
        <w:ind w:firstLine="420"/>
        <w:rPr>
          <w:sz w:val="21"/>
          <w:szCs w:val="21"/>
          <w:highlight w:val="none"/>
        </w:rPr>
      </w:pPr>
      <w:bookmarkStart w:id="58" w:name="chapter_level1_13_56155_section_1"/>
      <w:bookmarkEnd w:id="58"/>
      <w:r>
        <w:rPr>
          <w:rFonts w:hint="eastAsia"/>
          <w:sz w:val="21"/>
          <w:szCs w:val="21"/>
          <w:highlight w:val="none"/>
        </w:rPr>
        <w:t>（一）中国证监会准予</w:t>
      </w:r>
      <w:r>
        <w:rPr>
          <w:rFonts w:hint="eastAsia"/>
          <w:sz w:val="21"/>
          <w:szCs w:val="21"/>
          <w:highlight w:val="none"/>
          <w:lang w:eastAsia="zh-CN"/>
        </w:rPr>
        <w:t>博时中证全指红利质量交易型开放式指数证券投资基金</w:t>
      </w:r>
      <w:r>
        <w:rPr>
          <w:rFonts w:hint="eastAsia"/>
          <w:sz w:val="21"/>
          <w:szCs w:val="21"/>
          <w:highlight w:val="none"/>
        </w:rPr>
        <w:t xml:space="preserve">注册的批复文件 </w:t>
      </w:r>
    </w:p>
    <w:p w14:paraId="153E8130">
      <w:pPr>
        <w:pStyle w:val="9"/>
        <w:spacing w:before="0" w:beforeAutospacing="0" w:after="0" w:afterAutospacing="0" w:line="360" w:lineRule="auto"/>
        <w:ind w:firstLine="420"/>
        <w:rPr>
          <w:sz w:val="21"/>
          <w:szCs w:val="21"/>
          <w:highlight w:val="none"/>
        </w:rPr>
      </w:pPr>
      <w:r>
        <w:rPr>
          <w:rFonts w:hint="eastAsia"/>
          <w:sz w:val="21"/>
          <w:szCs w:val="21"/>
          <w:highlight w:val="none"/>
        </w:rPr>
        <w:t>（二）《</w:t>
      </w:r>
      <w:r>
        <w:rPr>
          <w:rFonts w:hint="eastAsia"/>
          <w:sz w:val="21"/>
          <w:szCs w:val="21"/>
          <w:highlight w:val="none"/>
          <w:lang w:eastAsia="zh-CN"/>
        </w:rPr>
        <w:t>博时中证全指红利质量交易型开放式指数证券投资基金</w:t>
      </w:r>
      <w:r>
        <w:rPr>
          <w:rFonts w:hint="eastAsia"/>
          <w:sz w:val="21"/>
          <w:szCs w:val="21"/>
          <w:highlight w:val="none"/>
        </w:rPr>
        <w:t xml:space="preserve">基金合同》 </w:t>
      </w:r>
    </w:p>
    <w:p w14:paraId="5F3024DF">
      <w:pPr>
        <w:pStyle w:val="9"/>
        <w:spacing w:before="0" w:beforeAutospacing="0" w:after="0" w:afterAutospacing="0" w:line="360" w:lineRule="auto"/>
        <w:ind w:firstLine="420"/>
        <w:rPr>
          <w:sz w:val="21"/>
          <w:szCs w:val="21"/>
          <w:highlight w:val="none"/>
        </w:rPr>
      </w:pPr>
      <w:r>
        <w:rPr>
          <w:rFonts w:hint="eastAsia"/>
          <w:sz w:val="21"/>
          <w:szCs w:val="21"/>
          <w:highlight w:val="none"/>
        </w:rPr>
        <w:t>（三）《</w:t>
      </w:r>
      <w:r>
        <w:rPr>
          <w:rFonts w:hint="eastAsia"/>
          <w:sz w:val="21"/>
          <w:szCs w:val="21"/>
          <w:highlight w:val="none"/>
          <w:lang w:eastAsia="zh-CN"/>
        </w:rPr>
        <w:t>博时中证全指红利质量交易型开放式指数证券投资基金</w:t>
      </w:r>
      <w:r>
        <w:rPr>
          <w:rFonts w:hint="eastAsia"/>
          <w:sz w:val="21"/>
          <w:szCs w:val="21"/>
          <w:highlight w:val="none"/>
        </w:rPr>
        <w:t xml:space="preserve">托管协议》 </w:t>
      </w:r>
    </w:p>
    <w:p w14:paraId="5EDCEB08">
      <w:pPr>
        <w:pStyle w:val="9"/>
        <w:spacing w:before="0" w:beforeAutospacing="0" w:after="0" w:afterAutospacing="0" w:line="360" w:lineRule="auto"/>
        <w:ind w:firstLine="420"/>
        <w:rPr>
          <w:sz w:val="21"/>
          <w:szCs w:val="21"/>
          <w:highlight w:val="none"/>
        </w:rPr>
      </w:pPr>
      <w:r>
        <w:rPr>
          <w:rFonts w:hint="eastAsia"/>
          <w:sz w:val="21"/>
          <w:szCs w:val="21"/>
          <w:highlight w:val="none"/>
        </w:rPr>
        <w:t>（四）《</w:t>
      </w:r>
      <w:r>
        <w:rPr>
          <w:rFonts w:hint="eastAsia"/>
          <w:sz w:val="21"/>
          <w:szCs w:val="21"/>
          <w:highlight w:val="none"/>
          <w:lang w:eastAsia="zh-CN"/>
        </w:rPr>
        <w:t>博时中证全指红利质量交易型开放式指数证券投资基金</w:t>
      </w:r>
      <w:r>
        <w:rPr>
          <w:rFonts w:hint="eastAsia"/>
          <w:sz w:val="21"/>
          <w:szCs w:val="21"/>
          <w:highlight w:val="none"/>
        </w:rPr>
        <w:t xml:space="preserve">招募说明书》 </w:t>
      </w:r>
    </w:p>
    <w:p w14:paraId="4303E724">
      <w:pPr>
        <w:pStyle w:val="9"/>
        <w:spacing w:before="0" w:beforeAutospacing="0" w:after="0" w:afterAutospacing="0" w:line="360" w:lineRule="auto"/>
        <w:ind w:firstLine="420"/>
        <w:rPr>
          <w:sz w:val="21"/>
          <w:szCs w:val="21"/>
          <w:highlight w:val="none"/>
        </w:rPr>
      </w:pPr>
      <w:r>
        <w:rPr>
          <w:rFonts w:hint="eastAsia"/>
          <w:sz w:val="21"/>
          <w:szCs w:val="21"/>
          <w:highlight w:val="none"/>
        </w:rPr>
        <w:t xml:space="preserve">（五）基金管理人业务资格批件、营业执照 </w:t>
      </w:r>
    </w:p>
    <w:p w14:paraId="36A1CD4A">
      <w:pPr>
        <w:pStyle w:val="9"/>
        <w:spacing w:before="0" w:beforeAutospacing="0" w:after="0" w:afterAutospacing="0" w:line="360" w:lineRule="auto"/>
        <w:ind w:firstLine="420"/>
        <w:rPr>
          <w:sz w:val="21"/>
          <w:szCs w:val="21"/>
          <w:highlight w:val="none"/>
        </w:rPr>
      </w:pPr>
      <w:r>
        <w:rPr>
          <w:rFonts w:hint="eastAsia"/>
          <w:sz w:val="21"/>
          <w:szCs w:val="21"/>
          <w:highlight w:val="none"/>
        </w:rPr>
        <w:t xml:space="preserve">（六）基金托管人业务资格批件、营业执照 </w:t>
      </w:r>
    </w:p>
    <w:p w14:paraId="5749399A">
      <w:pPr>
        <w:pStyle w:val="9"/>
        <w:spacing w:before="0" w:beforeAutospacing="0" w:after="0" w:afterAutospacing="0" w:line="360" w:lineRule="auto"/>
        <w:ind w:firstLine="420"/>
        <w:rPr>
          <w:sz w:val="21"/>
          <w:szCs w:val="21"/>
          <w:highlight w:val="none"/>
        </w:rPr>
      </w:pPr>
      <w:r>
        <w:rPr>
          <w:rFonts w:hint="eastAsia"/>
          <w:sz w:val="21"/>
          <w:szCs w:val="21"/>
          <w:highlight w:val="none"/>
        </w:rPr>
        <w:t xml:space="preserve">（七）法律意见书 </w:t>
      </w:r>
    </w:p>
    <w:p w14:paraId="5294624C">
      <w:pPr>
        <w:pStyle w:val="9"/>
        <w:spacing w:before="0" w:beforeAutospacing="0" w:after="0" w:afterAutospacing="0" w:line="360" w:lineRule="auto"/>
        <w:ind w:firstLine="420"/>
        <w:rPr>
          <w:sz w:val="21"/>
          <w:szCs w:val="21"/>
          <w:highlight w:val="none"/>
        </w:rPr>
      </w:pPr>
      <w:r>
        <w:rPr>
          <w:rFonts w:hint="eastAsia"/>
          <w:sz w:val="21"/>
          <w:szCs w:val="21"/>
          <w:highlight w:val="none"/>
        </w:rPr>
        <w:t xml:space="preserve">（八）中国证监会要求的其他文件 </w:t>
      </w:r>
    </w:p>
    <w:p w14:paraId="480F10F4">
      <w:pPr>
        <w:pStyle w:val="9"/>
        <w:spacing w:before="0" w:beforeAutospacing="0" w:after="0" w:afterAutospacing="0" w:line="360" w:lineRule="auto"/>
        <w:ind w:firstLine="420"/>
        <w:rPr>
          <w:sz w:val="21"/>
          <w:szCs w:val="21"/>
          <w:highlight w:val="none"/>
        </w:rPr>
      </w:pPr>
      <w:r>
        <w:rPr>
          <w:rFonts w:hint="eastAsia"/>
          <w:sz w:val="21"/>
          <w:szCs w:val="21"/>
          <w:highlight w:val="none"/>
        </w:rPr>
        <w:t xml:space="preserve">存放地点：备查文件存放于基金管理人和/或基金托管人处。 </w:t>
      </w:r>
    </w:p>
    <w:p w14:paraId="0F479DA5">
      <w:pPr>
        <w:pStyle w:val="9"/>
        <w:spacing w:before="0" w:beforeAutospacing="0" w:after="0" w:afterAutospacing="0" w:line="360" w:lineRule="auto"/>
        <w:ind w:firstLine="420"/>
        <w:rPr>
          <w:sz w:val="21"/>
          <w:szCs w:val="21"/>
          <w:highlight w:val="none"/>
        </w:rPr>
      </w:pPr>
      <w:r>
        <w:rPr>
          <w:rFonts w:hint="eastAsia"/>
          <w:sz w:val="21"/>
          <w:szCs w:val="21"/>
          <w:highlight w:val="none"/>
        </w:rPr>
        <w:t xml:space="preserve">查阅方式：投资者可在营业时间免费查阅，也可按工本费购买复印件。 </w:t>
      </w:r>
    </w:p>
    <w:p w14:paraId="1C1A5979">
      <w:pPr>
        <w:pStyle w:val="9"/>
        <w:spacing w:before="0" w:beforeAutospacing="0" w:after="0" w:afterAutospacing="0" w:line="360" w:lineRule="auto"/>
        <w:ind w:firstLine="420"/>
        <w:rPr>
          <w:sz w:val="21"/>
          <w:szCs w:val="21"/>
          <w:highlight w:val="none"/>
        </w:rPr>
      </w:pPr>
    </w:p>
    <w:p w14:paraId="77CDDD76">
      <w:pPr>
        <w:pStyle w:val="9"/>
        <w:spacing w:before="0" w:beforeAutospacing="0" w:after="0" w:afterAutospacing="0" w:line="360" w:lineRule="auto"/>
        <w:ind w:firstLine="420"/>
        <w:rPr>
          <w:sz w:val="21"/>
          <w:szCs w:val="21"/>
          <w:highlight w:val="none"/>
        </w:rPr>
      </w:pPr>
      <w:r>
        <w:rPr>
          <w:rFonts w:hint="eastAsia"/>
          <w:sz w:val="21"/>
          <w:szCs w:val="21"/>
          <w:highlight w:val="none"/>
        </w:rPr>
        <w:t xml:space="preserve">风险提示：本基金管理人承诺以诚实信用、勤勉尽责的原则管理和运用基金财产，但不保证基金一定盈利，也不保证最低收益。基金的过往业绩并不代表其将来表现。投资有风险，敬请投资人认真阅读基金的相关法律文件，并选择适合自身风险承受能力的投资品种进行投资。 </w:t>
      </w:r>
    </w:p>
    <w:p w14:paraId="0467CD59">
      <w:pPr>
        <w:pStyle w:val="9"/>
        <w:spacing w:before="0" w:beforeAutospacing="0" w:after="0" w:afterAutospacing="0" w:line="360" w:lineRule="auto"/>
        <w:ind w:firstLine="420"/>
        <w:rPr>
          <w:sz w:val="21"/>
          <w:szCs w:val="21"/>
          <w:highlight w:val="none"/>
        </w:rPr>
      </w:pPr>
    </w:p>
    <w:p w14:paraId="103E59C2">
      <w:pPr>
        <w:pStyle w:val="9"/>
        <w:spacing w:before="0" w:beforeAutospacing="0" w:after="0" w:afterAutospacing="0" w:line="360" w:lineRule="auto"/>
        <w:ind w:firstLine="420"/>
        <w:rPr>
          <w:sz w:val="21"/>
          <w:szCs w:val="21"/>
          <w:highlight w:val="none"/>
        </w:rPr>
      </w:pPr>
    </w:p>
    <w:p w14:paraId="1F881214">
      <w:pPr>
        <w:pStyle w:val="9"/>
        <w:spacing w:before="0" w:beforeAutospacing="0" w:after="0" w:afterAutospacing="0" w:line="360" w:lineRule="auto"/>
        <w:ind w:firstLine="420"/>
        <w:rPr>
          <w:sz w:val="21"/>
          <w:szCs w:val="21"/>
          <w:highlight w:val="none"/>
        </w:rPr>
      </w:pPr>
    </w:p>
    <w:p w14:paraId="01B52C29">
      <w:pPr>
        <w:pStyle w:val="9"/>
        <w:spacing w:before="0" w:beforeAutospacing="0" w:after="0" w:afterAutospacing="0" w:line="360" w:lineRule="auto"/>
        <w:ind w:firstLine="420"/>
        <w:rPr>
          <w:sz w:val="21"/>
          <w:szCs w:val="21"/>
          <w:highlight w:val="none"/>
        </w:rPr>
      </w:pPr>
    </w:p>
    <w:p w14:paraId="06A9C9D3">
      <w:pPr>
        <w:pStyle w:val="9"/>
        <w:spacing w:before="0" w:beforeAutospacing="0" w:after="0" w:afterAutospacing="0" w:line="360" w:lineRule="auto"/>
        <w:ind w:firstLine="420"/>
        <w:rPr>
          <w:sz w:val="21"/>
          <w:szCs w:val="21"/>
          <w:highlight w:val="none"/>
        </w:rPr>
      </w:pPr>
    </w:p>
    <w:p w14:paraId="6D273CED">
      <w:pPr>
        <w:pStyle w:val="9"/>
        <w:spacing w:before="0" w:beforeAutospacing="0" w:after="0" w:afterAutospacing="0" w:line="360" w:lineRule="auto"/>
        <w:ind w:firstLine="420"/>
        <w:rPr>
          <w:sz w:val="21"/>
          <w:szCs w:val="21"/>
          <w:highlight w:val="none"/>
        </w:rPr>
      </w:pPr>
    </w:p>
    <w:p w14:paraId="13C5CEBB">
      <w:pPr>
        <w:pStyle w:val="9"/>
        <w:spacing w:before="0" w:beforeAutospacing="0" w:after="0" w:afterAutospacing="0" w:line="360" w:lineRule="auto"/>
        <w:ind w:firstLine="420"/>
        <w:jc w:val="right"/>
        <w:rPr>
          <w:sz w:val="21"/>
          <w:szCs w:val="21"/>
          <w:highlight w:val="none"/>
        </w:rPr>
      </w:pPr>
      <w:bookmarkStart w:id="59" w:name="field_0_managerorgfullname_3"/>
      <w:r>
        <w:rPr>
          <w:rFonts w:hint="eastAsia"/>
          <w:sz w:val="21"/>
          <w:szCs w:val="21"/>
          <w:highlight w:val="none"/>
        </w:rPr>
        <w:t>博时基金管理有限公司</w:t>
      </w:r>
      <w:bookmarkEnd w:id="59"/>
      <w:r>
        <w:rPr>
          <w:rFonts w:hint="eastAsia"/>
          <w:sz w:val="21"/>
          <w:szCs w:val="21"/>
          <w:highlight w:val="none"/>
        </w:rPr>
        <w:t xml:space="preserve"> </w:t>
      </w:r>
    </w:p>
    <w:p w14:paraId="4830C89A">
      <w:pPr>
        <w:pStyle w:val="9"/>
        <w:spacing w:before="0" w:beforeAutospacing="0" w:after="0" w:afterAutospacing="0" w:line="360" w:lineRule="auto"/>
        <w:ind w:firstLine="420"/>
        <w:jc w:val="right"/>
        <w:rPr>
          <w:sz w:val="21"/>
          <w:szCs w:val="21"/>
          <w:highlight w:val="none"/>
        </w:rPr>
      </w:pPr>
      <w:bookmarkStart w:id="60" w:name="chapter_level1_13_56155_section_1_end"/>
      <w:bookmarkEnd w:id="60"/>
      <w:r>
        <w:rPr>
          <w:rFonts w:hint="eastAsia"/>
          <w:sz w:val="21"/>
          <w:szCs w:val="21"/>
          <w:highlight w:val="none"/>
          <w:lang w:eastAsia="zh-CN"/>
        </w:rPr>
        <w:t>2026年6月25日</w:t>
      </w:r>
      <w:r>
        <w:rPr>
          <w:rFonts w:hint="eastAsia"/>
          <w:sz w:val="21"/>
          <w:szCs w:val="21"/>
          <w:highlight w:val="none"/>
        </w:rPr>
        <w:t xml:space="preserve"> </w:t>
      </w:r>
    </w:p>
    <w:p w14:paraId="373EBBF3">
      <w:pPr>
        <w:widowControl/>
        <w:jc w:val="left"/>
        <w:rPr>
          <w:rFonts w:ascii="宋体" w:hAnsi="宋体" w:eastAsia="宋体"/>
          <w:highlight w:val="lightGray"/>
        </w:rPr>
        <w:sectPr>
          <w:pgSz w:w="11906" w:h="16838"/>
          <w:pgMar w:top="1440" w:right="1803" w:bottom="1440" w:left="1803" w:header="851" w:footer="992" w:gutter="0"/>
          <w:cols w:space="425" w:num="1"/>
          <w:docGrid w:type="lines" w:linePitch="312" w:charSpace="0"/>
        </w:sectPr>
      </w:pPr>
    </w:p>
    <w:p w14:paraId="0B03413B">
      <w:pPr>
        <w:pStyle w:val="2"/>
        <w:jc w:val="center"/>
        <w:rPr>
          <w:rFonts w:ascii="宋体" w:hAnsi="宋体" w:eastAsia="宋体"/>
          <w:sz w:val="30"/>
          <w:highlight w:val="none"/>
        </w:rPr>
      </w:pPr>
      <w:bookmarkStart w:id="61" w:name="_Toc14698"/>
      <w:bookmarkStart w:id="62" w:name="chapter_level1_14_56156"/>
      <w:r>
        <w:rPr>
          <w:rFonts w:hint="eastAsia" w:ascii="宋体" w:hAnsi="宋体" w:eastAsia="宋体"/>
          <w:sz w:val="30"/>
          <w:highlight w:val="none"/>
        </w:rPr>
        <w:t>附件：基金合同摘要</w:t>
      </w:r>
      <w:bookmarkEnd w:id="61"/>
      <w:bookmarkEnd w:id="62"/>
    </w:p>
    <w:p w14:paraId="4D73D43C">
      <w:pPr>
        <w:snapToGrid w:val="0"/>
        <w:spacing w:line="360" w:lineRule="auto"/>
        <w:ind w:firstLine="420" w:firstLineChars="200"/>
        <w:rPr>
          <w:rFonts w:ascii="宋体" w:hAnsi="宋体"/>
          <w:sz w:val="21"/>
          <w:szCs w:val="21"/>
        </w:rPr>
      </w:pPr>
      <w:bookmarkStart w:id="63" w:name="chapter_level1_14_56156_section_1"/>
      <w:bookmarkEnd w:id="63"/>
      <w:bookmarkStart w:id="64" w:name="end"/>
      <w:bookmarkEnd w:id="64"/>
      <w:r>
        <w:rPr>
          <w:rFonts w:hint="eastAsia" w:ascii="宋体" w:hAnsi="宋体"/>
          <w:sz w:val="21"/>
          <w:szCs w:val="21"/>
        </w:rPr>
        <w:t>一、基金份额持有人、基金管理人和基金托管人的权利、义务</w:t>
      </w:r>
    </w:p>
    <w:p w14:paraId="1E706CDF">
      <w:pPr>
        <w:adjustRightInd w:val="0"/>
        <w:snapToGrid w:val="0"/>
        <w:spacing w:line="360" w:lineRule="auto"/>
        <w:ind w:firstLine="420" w:firstLineChars="200"/>
        <w:rPr>
          <w:rFonts w:ascii="宋体" w:hAnsi="宋体"/>
          <w:color w:val="0C0C0C"/>
          <w:sz w:val="21"/>
          <w:szCs w:val="21"/>
        </w:rPr>
      </w:pPr>
      <w:r>
        <w:rPr>
          <w:rFonts w:hint="eastAsia" w:ascii="宋体" w:hAnsi="宋体"/>
          <w:color w:val="0C0C0C"/>
          <w:sz w:val="21"/>
          <w:szCs w:val="21"/>
        </w:rPr>
        <w:t>（一）基金份额持有人的权利与义务</w:t>
      </w:r>
    </w:p>
    <w:p w14:paraId="0B122632">
      <w:pPr>
        <w:adjustRightInd w:val="0"/>
        <w:snapToGrid w:val="0"/>
        <w:spacing w:line="360" w:lineRule="auto"/>
        <w:ind w:firstLine="420" w:firstLineChars="200"/>
        <w:rPr>
          <w:rFonts w:ascii="宋体" w:hAnsi="宋体"/>
          <w:color w:val="0C0C0C"/>
          <w:sz w:val="21"/>
          <w:szCs w:val="21"/>
        </w:rPr>
      </w:pPr>
      <w:r>
        <w:rPr>
          <w:rFonts w:hint="eastAsia" w:ascii="宋体" w:hAnsi="宋体"/>
          <w:color w:val="0C0C0C"/>
          <w:sz w:val="21"/>
          <w:szCs w:val="21"/>
        </w:rPr>
        <w:t>基金投资者持有本基金基金份额的行为即视为对《基金合同》的承认和接受，基金投资者自依据《基金合同》取得基金份额，即成为本基金份额持有人和《基金合同》的当事人，直至其不再持有本基金的基金份额。基金份额持有人作为《基金合同》当事人并不以在《基金合同》上书面签章或签字为必要条件。</w:t>
      </w:r>
    </w:p>
    <w:p w14:paraId="234775F6">
      <w:pPr>
        <w:adjustRightInd w:val="0"/>
        <w:snapToGrid w:val="0"/>
        <w:spacing w:line="360" w:lineRule="auto"/>
        <w:ind w:firstLine="420" w:firstLineChars="200"/>
        <w:rPr>
          <w:rFonts w:ascii="宋体" w:hAnsi="宋体"/>
          <w:color w:val="0C0C0C"/>
          <w:sz w:val="21"/>
          <w:szCs w:val="21"/>
        </w:rPr>
      </w:pPr>
      <w:r>
        <w:rPr>
          <w:rFonts w:hint="eastAsia" w:ascii="宋体" w:hAnsi="宋体"/>
          <w:color w:val="0C0C0C"/>
          <w:sz w:val="21"/>
          <w:szCs w:val="21"/>
        </w:rPr>
        <w:t>每份基金份额具有同等的合法权益。</w:t>
      </w:r>
    </w:p>
    <w:p w14:paraId="409EC3A0">
      <w:pPr>
        <w:adjustRightInd w:val="0"/>
        <w:snapToGrid w:val="0"/>
        <w:spacing w:line="360" w:lineRule="auto"/>
        <w:ind w:firstLine="420" w:firstLineChars="200"/>
        <w:rPr>
          <w:rFonts w:ascii="宋体" w:hAnsi="宋体"/>
          <w:color w:val="0C0C0C"/>
          <w:sz w:val="21"/>
          <w:szCs w:val="21"/>
        </w:rPr>
      </w:pPr>
      <w:r>
        <w:rPr>
          <w:rFonts w:hint="eastAsia" w:ascii="宋体" w:hAnsi="宋体"/>
          <w:color w:val="0C0C0C"/>
          <w:sz w:val="21"/>
          <w:szCs w:val="21"/>
        </w:rPr>
        <w:t>1、根据《基金法》、《运作办法》及其他有关规定，基金份额持有人的权利包括但不限于：</w:t>
      </w:r>
    </w:p>
    <w:p w14:paraId="32F11D8B">
      <w:pPr>
        <w:adjustRightInd w:val="0"/>
        <w:snapToGrid w:val="0"/>
        <w:spacing w:line="360" w:lineRule="auto"/>
        <w:ind w:firstLine="420" w:firstLineChars="200"/>
        <w:rPr>
          <w:rFonts w:ascii="宋体" w:hAnsi="宋体"/>
          <w:color w:val="0C0C0C"/>
          <w:sz w:val="21"/>
          <w:szCs w:val="21"/>
        </w:rPr>
      </w:pPr>
      <w:r>
        <w:rPr>
          <w:rFonts w:hint="eastAsia" w:ascii="宋体" w:hAnsi="宋体"/>
          <w:color w:val="0C0C0C"/>
          <w:sz w:val="21"/>
          <w:szCs w:val="21"/>
        </w:rPr>
        <w:t>（1）分享基金财产收益；</w:t>
      </w:r>
    </w:p>
    <w:p w14:paraId="340B32ED">
      <w:pPr>
        <w:adjustRightInd w:val="0"/>
        <w:snapToGrid w:val="0"/>
        <w:spacing w:line="360" w:lineRule="auto"/>
        <w:ind w:firstLine="420" w:firstLineChars="200"/>
        <w:rPr>
          <w:rFonts w:ascii="宋体" w:hAnsi="宋体"/>
          <w:color w:val="0C0C0C"/>
          <w:sz w:val="21"/>
          <w:szCs w:val="21"/>
        </w:rPr>
      </w:pPr>
      <w:r>
        <w:rPr>
          <w:rFonts w:hint="eastAsia" w:ascii="宋体" w:hAnsi="宋体"/>
          <w:color w:val="0C0C0C"/>
          <w:sz w:val="21"/>
          <w:szCs w:val="21"/>
        </w:rPr>
        <w:t>（2）参与分配清算后的剩余基金财产；</w:t>
      </w:r>
    </w:p>
    <w:p w14:paraId="3CF9F1F0">
      <w:pPr>
        <w:adjustRightInd w:val="0"/>
        <w:snapToGrid w:val="0"/>
        <w:spacing w:line="360" w:lineRule="auto"/>
        <w:ind w:firstLine="420" w:firstLineChars="200"/>
        <w:rPr>
          <w:rFonts w:ascii="宋体" w:hAnsi="宋体"/>
          <w:color w:val="0C0C0C"/>
          <w:sz w:val="21"/>
          <w:szCs w:val="21"/>
        </w:rPr>
      </w:pPr>
      <w:r>
        <w:rPr>
          <w:rFonts w:hint="eastAsia" w:ascii="宋体" w:hAnsi="宋体"/>
          <w:color w:val="0C0C0C"/>
          <w:sz w:val="21"/>
          <w:szCs w:val="21"/>
        </w:rPr>
        <w:t>（3）依法转让或者申请赎回其持有的基金份额；</w:t>
      </w:r>
    </w:p>
    <w:p w14:paraId="447D063D">
      <w:pPr>
        <w:adjustRightInd w:val="0"/>
        <w:snapToGrid w:val="0"/>
        <w:spacing w:line="360" w:lineRule="auto"/>
        <w:ind w:firstLine="420" w:firstLineChars="200"/>
        <w:rPr>
          <w:rFonts w:ascii="宋体" w:hAnsi="宋体"/>
          <w:color w:val="0C0C0C"/>
          <w:sz w:val="21"/>
          <w:szCs w:val="21"/>
        </w:rPr>
      </w:pPr>
      <w:r>
        <w:rPr>
          <w:rFonts w:hint="eastAsia" w:ascii="宋体" w:hAnsi="宋体"/>
          <w:color w:val="0C0C0C"/>
          <w:sz w:val="21"/>
          <w:szCs w:val="21"/>
        </w:rPr>
        <w:t>（4）按照规定要求召开基金份额持有人大会或者召集基金份额持有人大会；</w:t>
      </w:r>
    </w:p>
    <w:p w14:paraId="1086AD79">
      <w:pPr>
        <w:adjustRightInd w:val="0"/>
        <w:snapToGrid w:val="0"/>
        <w:spacing w:line="360" w:lineRule="auto"/>
        <w:ind w:firstLine="420" w:firstLineChars="200"/>
        <w:rPr>
          <w:rFonts w:ascii="宋体" w:hAnsi="宋体"/>
          <w:color w:val="0C0C0C"/>
          <w:sz w:val="21"/>
          <w:szCs w:val="21"/>
        </w:rPr>
      </w:pPr>
      <w:r>
        <w:rPr>
          <w:rFonts w:hint="eastAsia" w:ascii="宋体" w:hAnsi="宋体"/>
          <w:color w:val="0C0C0C"/>
          <w:sz w:val="21"/>
          <w:szCs w:val="21"/>
        </w:rPr>
        <w:t>（5）出席或者委派代表出席基金份额持有人大会，对基金份额持有人大会审议事项行使表决权；</w:t>
      </w:r>
    </w:p>
    <w:p w14:paraId="6A9BB392">
      <w:pPr>
        <w:adjustRightInd w:val="0"/>
        <w:snapToGrid w:val="0"/>
        <w:spacing w:line="360" w:lineRule="auto"/>
        <w:ind w:firstLine="420" w:firstLineChars="200"/>
        <w:rPr>
          <w:rFonts w:ascii="宋体" w:hAnsi="宋体"/>
          <w:color w:val="0C0C0C"/>
          <w:sz w:val="21"/>
          <w:szCs w:val="21"/>
        </w:rPr>
      </w:pPr>
      <w:r>
        <w:rPr>
          <w:rFonts w:hint="eastAsia" w:ascii="宋体" w:hAnsi="宋体"/>
          <w:color w:val="0C0C0C"/>
          <w:sz w:val="21"/>
          <w:szCs w:val="21"/>
        </w:rPr>
        <w:t>（6）查阅或者复制公开披露的基金信息资料；</w:t>
      </w:r>
    </w:p>
    <w:p w14:paraId="3B3DB349">
      <w:pPr>
        <w:adjustRightInd w:val="0"/>
        <w:snapToGrid w:val="0"/>
        <w:spacing w:line="360" w:lineRule="auto"/>
        <w:ind w:firstLine="420" w:firstLineChars="200"/>
        <w:rPr>
          <w:rFonts w:ascii="宋体" w:hAnsi="宋体"/>
          <w:color w:val="0C0C0C"/>
          <w:sz w:val="21"/>
          <w:szCs w:val="21"/>
        </w:rPr>
      </w:pPr>
      <w:r>
        <w:rPr>
          <w:rFonts w:hint="eastAsia" w:ascii="宋体" w:hAnsi="宋体"/>
          <w:color w:val="0C0C0C"/>
          <w:sz w:val="21"/>
          <w:szCs w:val="21"/>
        </w:rPr>
        <w:t>（7）监督基金管理人的投资运作；</w:t>
      </w:r>
    </w:p>
    <w:p w14:paraId="1B04BC2B">
      <w:pPr>
        <w:adjustRightInd w:val="0"/>
        <w:snapToGrid w:val="0"/>
        <w:spacing w:line="360" w:lineRule="auto"/>
        <w:ind w:firstLine="420" w:firstLineChars="200"/>
        <w:rPr>
          <w:rFonts w:ascii="宋体" w:hAnsi="宋体"/>
          <w:color w:val="0C0C0C"/>
          <w:sz w:val="21"/>
          <w:szCs w:val="21"/>
        </w:rPr>
      </w:pPr>
      <w:r>
        <w:rPr>
          <w:rFonts w:hint="eastAsia" w:ascii="宋体" w:hAnsi="宋体"/>
          <w:color w:val="0C0C0C"/>
          <w:sz w:val="21"/>
          <w:szCs w:val="21"/>
        </w:rPr>
        <w:t>（8）对基金管理人、基金托管人、基金服务机构损害其合法权益的行为依法提起诉讼或仲裁；</w:t>
      </w:r>
    </w:p>
    <w:p w14:paraId="4192D50F">
      <w:pPr>
        <w:adjustRightInd w:val="0"/>
        <w:snapToGrid w:val="0"/>
        <w:spacing w:line="360" w:lineRule="auto"/>
        <w:ind w:firstLine="420" w:firstLineChars="200"/>
        <w:rPr>
          <w:rFonts w:ascii="宋体" w:hAnsi="宋体"/>
          <w:color w:val="0C0C0C"/>
          <w:sz w:val="21"/>
          <w:szCs w:val="21"/>
        </w:rPr>
      </w:pPr>
      <w:r>
        <w:rPr>
          <w:rFonts w:hint="eastAsia" w:ascii="宋体" w:hAnsi="宋体"/>
          <w:color w:val="0C0C0C"/>
          <w:sz w:val="21"/>
          <w:szCs w:val="21"/>
        </w:rPr>
        <w:t>（9）法律法规及中国证监会规定的和《基金合同》约定的其他权利。</w:t>
      </w:r>
    </w:p>
    <w:p w14:paraId="7DC7C2A9">
      <w:pPr>
        <w:adjustRightInd w:val="0"/>
        <w:snapToGrid w:val="0"/>
        <w:spacing w:line="360" w:lineRule="auto"/>
        <w:ind w:firstLine="420" w:firstLineChars="200"/>
        <w:rPr>
          <w:rFonts w:ascii="宋体" w:hAnsi="宋体"/>
          <w:color w:val="0C0C0C"/>
          <w:sz w:val="21"/>
          <w:szCs w:val="21"/>
        </w:rPr>
      </w:pPr>
      <w:r>
        <w:rPr>
          <w:rFonts w:hint="eastAsia" w:ascii="宋体" w:hAnsi="宋体"/>
          <w:color w:val="0C0C0C"/>
          <w:sz w:val="21"/>
          <w:szCs w:val="21"/>
        </w:rPr>
        <w:t>2、根据《基金法》、《运作办法》及其他有关规定，基金份额持有人的义务包括但不限于：</w:t>
      </w:r>
    </w:p>
    <w:p w14:paraId="54DA5854">
      <w:pPr>
        <w:adjustRightInd w:val="0"/>
        <w:snapToGrid w:val="0"/>
        <w:spacing w:line="360" w:lineRule="auto"/>
        <w:ind w:firstLine="420" w:firstLineChars="200"/>
        <w:rPr>
          <w:rFonts w:ascii="宋体" w:hAnsi="宋体"/>
          <w:color w:val="0C0C0C"/>
          <w:sz w:val="21"/>
          <w:szCs w:val="21"/>
        </w:rPr>
      </w:pPr>
      <w:r>
        <w:rPr>
          <w:rFonts w:hint="eastAsia" w:ascii="宋体" w:hAnsi="宋体"/>
          <w:color w:val="0C0C0C"/>
          <w:sz w:val="21"/>
          <w:szCs w:val="21"/>
        </w:rPr>
        <w:t>（1）认真阅读并遵守《基金合同》、招募说明书及基金产品资料概要等信息披露文件；</w:t>
      </w:r>
    </w:p>
    <w:p w14:paraId="1138DB03">
      <w:pPr>
        <w:adjustRightInd w:val="0"/>
        <w:snapToGrid w:val="0"/>
        <w:spacing w:line="360" w:lineRule="auto"/>
        <w:ind w:firstLine="420" w:firstLineChars="200"/>
        <w:rPr>
          <w:rFonts w:ascii="宋体" w:hAnsi="宋体"/>
          <w:color w:val="0C0C0C"/>
          <w:sz w:val="21"/>
          <w:szCs w:val="21"/>
        </w:rPr>
      </w:pPr>
      <w:r>
        <w:rPr>
          <w:rFonts w:hint="eastAsia" w:ascii="宋体" w:hAnsi="宋体"/>
          <w:color w:val="0C0C0C"/>
          <w:sz w:val="21"/>
          <w:szCs w:val="21"/>
        </w:rPr>
        <w:t>（2）了解所投资基金产品，了解自身风险承受能力，自主判断基金的投资价值，自主做出投资决策，自行承担投资风险；</w:t>
      </w:r>
    </w:p>
    <w:p w14:paraId="7EB9EE2C">
      <w:pPr>
        <w:adjustRightInd w:val="0"/>
        <w:snapToGrid w:val="0"/>
        <w:spacing w:line="360" w:lineRule="auto"/>
        <w:ind w:firstLine="420" w:firstLineChars="200"/>
        <w:rPr>
          <w:rFonts w:ascii="宋体" w:hAnsi="宋体"/>
          <w:color w:val="0C0C0C"/>
          <w:sz w:val="21"/>
          <w:szCs w:val="21"/>
        </w:rPr>
      </w:pPr>
      <w:r>
        <w:rPr>
          <w:rFonts w:hint="eastAsia" w:ascii="宋体" w:hAnsi="宋体"/>
          <w:color w:val="0C0C0C"/>
          <w:sz w:val="21"/>
          <w:szCs w:val="21"/>
        </w:rPr>
        <w:t>（3）关注基金信息披露，及时行使权利和履行义务；</w:t>
      </w:r>
    </w:p>
    <w:p w14:paraId="0A92A607">
      <w:pPr>
        <w:adjustRightInd w:val="0"/>
        <w:snapToGrid w:val="0"/>
        <w:spacing w:line="360" w:lineRule="auto"/>
        <w:ind w:firstLine="420" w:firstLineChars="200"/>
        <w:rPr>
          <w:rFonts w:ascii="宋体" w:hAnsi="宋体"/>
          <w:color w:val="0C0C0C"/>
          <w:sz w:val="21"/>
          <w:szCs w:val="21"/>
        </w:rPr>
      </w:pPr>
      <w:r>
        <w:rPr>
          <w:rFonts w:hint="eastAsia" w:ascii="宋体" w:hAnsi="宋体"/>
          <w:color w:val="0C0C0C"/>
          <w:sz w:val="21"/>
          <w:szCs w:val="21"/>
        </w:rPr>
        <w:t>（4）交纳基金认购款项和/或认购股票、申购对价及法律法规和《基金合同》所规定的费用；</w:t>
      </w:r>
    </w:p>
    <w:p w14:paraId="31F4BFB1">
      <w:pPr>
        <w:adjustRightInd w:val="0"/>
        <w:snapToGrid w:val="0"/>
        <w:spacing w:line="360" w:lineRule="auto"/>
        <w:ind w:firstLine="420" w:firstLineChars="200"/>
        <w:rPr>
          <w:rFonts w:ascii="宋体" w:hAnsi="宋体"/>
          <w:color w:val="0C0C0C"/>
          <w:sz w:val="21"/>
          <w:szCs w:val="21"/>
        </w:rPr>
      </w:pPr>
      <w:r>
        <w:rPr>
          <w:rFonts w:hint="eastAsia" w:ascii="宋体" w:hAnsi="宋体"/>
          <w:color w:val="0C0C0C"/>
          <w:sz w:val="21"/>
          <w:szCs w:val="21"/>
        </w:rPr>
        <w:t>（5）在其持有的基金份额范围内，承担基金亏损或者《基金合同》终止的有限责任；</w:t>
      </w:r>
    </w:p>
    <w:p w14:paraId="62506C2E">
      <w:pPr>
        <w:adjustRightInd w:val="0"/>
        <w:snapToGrid w:val="0"/>
        <w:spacing w:line="360" w:lineRule="auto"/>
        <w:ind w:firstLine="420" w:firstLineChars="200"/>
        <w:rPr>
          <w:rFonts w:ascii="宋体" w:hAnsi="宋体"/>
          <w:color w:val="0C0C0C"/>
          <w:sz w:val="21"/>
          <w:szCs w:val="21"/>
        </w:rPr>
      </w:pPr>
      <w:r>
        <w:rPr>
          <w:rFonts w:hint="eastAsia" w:ascii="宋体" w:hAnsi="宋体"/>
          <w:color w:val="0C0C0C"/>
          <w:sz w:val="21"/>
          <w:szCs w:val="21"/>
        </w:rPr>
        <w:t>（6）不从事任何有损基金及其他《基金合同》当事人合法权益的活动；</w:t>
      </w:r>
    </w:p>
    <w:p w14:paraId="69D8B024">
      <w:pPr>
        <w:adjustRightInd w:val="0"/>
        <w:snapToGrid w:val="0"/>
        <w:spacing w:line="360" w:lineRule="auto"/>
        <w:ind w:firstLine="420" w:firstLineChars="200"/>
        <w:rPr>
          <w:rFonts w:ascii="宋体" w:hAnsi="宋体"/>
          <w:color w:val="0C0C0C"/>
          <w:sz w:val="21"/>
          <w:szCs w:val="21"/>
        </w:rPr>
      </w:pPr>
      <w:r>
        <w:rPr>
          <w:rFonts w:hint="eastAsia" w:ascii="宋体" w:hAnsi="宋体"/>
          <w:color w:val="0C0C0C"/>
          <w:sz w:val="21"/>
          <w:szCs w:val="21"/>
        </w:rPr>
        <w:t>（7）执行生效的基金份额持有人大会的决议；</w:t>
      </w:r>
    </w:p>
    <w:p w14:paraId="5C02B9E2">
      <w:pPr>
        <w:adjustRightInd w:val="0"/>
        <w:snapToGrid w:val="0"/>
        <w:spacing w:line="360" w:lineRule="auto"/>
        <w:ind w:firstLine="420" w:firstLineChars="200"/>
        <w:rPr>
          <w:rFonts w:ascii="宋体" w:hAnsi="宋体"/>
          <w:color w:val="0C0C0C"/>
          <w:sz w:val="21"/>
          <w:szCs w:val="21"/>
        </w:rPr>
      </w:pPr>
      <w:r>
        <w:rPr>
          <w:rFonts w:hint="eastAsia" w:ascii="宋体" w:hAnsi="宋体"/>
          <w:color w:val="0C0C0C"/>
          <w:sz w:val="21"/>
          <w:szCs w:val="21"/>
        </w:rPr>
        <w:t>（8）返还在基金交易过程中因任何原因获得的不当得利；</w:t>
      </w:r>
    </w:p>
    <w:p w14:paraId="113E73ED">
      <w:pPr>
        <w:adjustRightInd w:val="0"/>
        <w:snapToGrid w:val="0"/>
        <w:spacing w:line="360" w:lineRule="auto"/>
        <w:ind w:firstLine="420" w:firstLineChars="200"/>
        <w:rPr>
          <w:rFonts w:ascii="宋体" w:hAnsi="宋体"/>
          <w:color w:val="0C0C0C"/>
          <w:sz w:val="21"/>
          <w:szCs w:val="21"/>
        </w:rPr>
      </w:pPr>
      <w:r>
        <w:rPr>
          <w:rFonts w:hint="eastAsia" w:ascii="宋体" w:hAnsi="宋体"/>
          <w:color w:val="0C0C0C"/>
          <w:sz w:val="21"/>
          <w:szCs w:val="21"/>
        </w:rPr>
        <w:t>（9）法律法规及中国证监会规定的和《基金合同》约定的其他义务。</w:t>
      </w:r>
    </w:p>
    <w:p w14:paraId="30822618">
      <w:pPr>
        <w:snapToGrid w:val="0"/>
        <w:spacing w:line="360" w:lineRule="auto"/>
        <w:ind w:firstLine="420" w:firstLineChars="200"/>
        <w:rPr>
          <w:rFonts w:ascii="宋体" w:hAnsi="宋体"/>
          <w:sz w:val="21"/>
          <w:szCs w:val="21"/>
        </w:rPr>
      </w:pPr>
      <w:r>
        <w:rPr>
          <w:rFonts w:hint="eastAsia" w:ascii="宋体" w:hAnsi="宋体"/>
          <w:sz w:val="21"/>
          <w:szCs w:val="21"/>
        </w:rPr>
        <w:t>（二）基金管理人的权利与义务</w:t>
      </w:r>
    </w:p>
    <w:p w14:paraId="1A5EE5D0">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asciiTheme="minorEastAsia" w:hAnsiTheme="minorEastAsia"/>
          <w:color w:val="0D0D0D" w:themeColor="text1" w:themeTint="F2"/>
          <w:sz w:val="21"/>
          <w:szCs w:val="21"/>
          <w14:textFill>
            <w14:solidFill>
              <w14:schemeClr w14:val="tx1">
                <w14:lumMod w14:val="95000"/>
                <w14:lumOff w14:val="5000"/>
              </w14:schemeClr>
            </w14:solidFill>
          </w14:textFill>
        </w:rPr>
        <w:t>1</w:t>
      </w: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、根据《基金法》、《运作办法》及其他有关规定，基金管理人的权利包括但不限于：</w:t>
      </w:r>
    </w:p>
    <w:p w14:paraId="3FFF93FB">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w:t>
      </w:r>
      <w:r>
        <w:rPr>
          <w:rFonts w:asciiTheme="minorEastAsia" w:hAnsiTheme="minorEastAsia"/>
          <w:color w:val="0D0D0D" w:themeColor="text1" w:themeTint="F2"/>
          <w:sz w:val="21"/>
          <w:szCs w:val="21"/>
          <w14:textFill>
            <w14:solidFill>
              <w14:schemeClr w14:val="tx1">
                <w14:lumMod w14:val="95000"/>
                <w14:lumOff w14:val="5000"/>
              </w14:schemeClr>
            </w14:solidFill>
          </w14:textFill>
        </w:rPr>
        <w:t>1</w:t>
      </w: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）依法募集资金；</w:t>
      </w:r>
    </w:p>
    <w:p w14:paraId="0D424265">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w:t>
      </w:r>
      <w:r>
        <w:rPr>
          <w:rFonts w:asciiTheme="minorEastAsia" w:hAnsiTheme="minorEastAsia"/>
          <w:color w:val="0D0D0D" w:themeColor="text1" w:themeTint="F2"/>
          <w:sz w:val="21"/>
          <w:szCs w:val="21"/>
          <w14:textFill>
            <w14:solidFill>
              <w14:schemeClr w14:val="tx1">
                <w14:lumMod w14:val="95000"/>
                <w14:lumOff w14:val="5000"/>
              </w14:schemeClr>
            </w14:solidFill>
          </w14:textFill>
        </w:rPr>
        <w:t>2</w:t>
      </w: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）自《基金合同》生效之日起，根据法律法规和《基金合同》独立运用并管理基金财产；</w:t>
      </w:r>
    </w:p>
    <w:p w14:paraId="68A41404">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w:t>
      </w:r>
      <w:r>
        <w:rPr>
          <w:rFonts w:asciiTheme="minorEastAsia" w:hAnsiTheme="minorEastAsia"/>
          <w:color w:val="0D0D0D" w:themeColor="text1" w:themeTint="F2"/>
          <w:sz w:val="21"/>
          <w:szCs w:val="21"/>
          <w14:textFill>
            <w14:solidFill>
              <w14:schemeClr w14:val="tx1">
                <w14:lumMod w14:val="95000"/>
                <w14:lumOff w14:val="5000"/>
              </w14:schemeClr>
            </w14:solidFill>
          </w14:textFill>
        </w:rPr>
        <w:t>3</w:t>
      </w: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）依照《基金合同》收取基金管理费以及法律法规规定或中国证监会批准的其他费用；</w:t>
      </w:r>
    </w:p>
    <w:p w14:paraId="70C56797">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w:t>
      </w:r>
      <w:r>
        <w:rPr>
          <w:rFonts w:asciiTheme="minorEastAsia" w:hAnsiTheme="minorEastAsia"/>
          <w:color w:val="0D0D0D" w:themeColor="text1" w:themeTint="F2"/>
          <w:sz w:val="21"/>
          <w:szCs w:val="21"/>
          <w14:textFill>
            <w14:solidFill>
              <w14:schemeClr w14:val="tx1">
                <w14:lumMod w14:val="95000"/>
                <w14:lumOff w14:val="5000"/>
              </w14:schemeClr>
            </w14:solidFill>
          </w14:textFill>
        </w:rPr>
        <w:t>4</w:t>
      </w: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）销售基金份额；</w:t>
      </w:r>
    </w:p>
    <w:p w14:paraId="509325C6">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w:t>
      </w:r>
      <w:r>
        <w:rPr>
          <w:rFonts w:asciiTheme="minorEastAsia" w:hAnsiTheme="minorEastAsia"/>
          <w:color w:val="0D0D0D" w:themeColor="text1" w:themeTint="F2"/>
          <w:sz w:val="21"/>
          <w:szCs w:val="21"/>
          <w14:textFill>
            <w14:solidFill>
              <w14:schemeClr w14:val="tx1">
                <w14:lumMod w14:val="95000"/>
                <w14:lumOff w14:val="5000"/>
              </w14:schemeClr>
            </w14:solidFill>
          </w14:textFill>
        </w:rPr>
        <w:t>5</w:t>
      </w: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）按照规定召集基金份额持有人大会；</w:t>
      </w:r>
    </w:p>
    <w:p w14:paraId="4310C289">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w:t>
      </w:r>
      <w:r>
        <w:rPr>
          <w:rFonts w:asciiTheme="minorEastAsia" w:hAnsiTheme="minorEastAsia"/>
          <w:color w:val="0D0D0D" w:themeColor="text1" w:themeTint="F2"/>
          <w:sz w:val="21"/>
          <w:szCs w:val="21"/>
          <w14:textFill>
            <w14:solidFill>
              <w14:schemeClr w14:val="tx1">
                <w14:lumMod w14:val="95000"/>
                <w14:lumOff w14:val="5000"/>
              </w14:schemeClr>
            </w14:solidFill>
          </w14:textFill>
        </w:rPr>
        <w:t>6</w:t>
      </w: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）依据《基金合同》及有关法律规定监督基金托管人，如认为基金托管人违反了《基金合同》及国家有关法律规定，应呈报中国证监会和其他监管部门，并采取必要措施保护基金投资者的利益；</w:t>
      </w:r>
    </w:p>
    <w:p w14:paraId="5CFC4C07">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w:t>
      </w:r>
      <w:r>
        <w:rPr>
          <w:rFonts w:asciiTheme="minorEastAsia" w:hAnsiTheme="minorEastAsia"/>
          <w:color w:val="0D0D0D" w:themeColor="text1" w:themeTint="F2"/>
          <w:sz w:val="21"/>
          <w:szCs w:val="21"/>
          <w14:textFill>
            <w14:solidFill>
              <w14:schemeClr w14:val="tx1">
                <w14:lumMod w14:val="95000"/>
                <w14:lumOff w14:val="5000"/>
              </w14:schemeClr>
            </w14:solidFill>
          </w14:textFill>
        </w:rPr>
        <w:t>7</w:t>
      </w: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）在基金托管人更换时，提名新的基金托管人；</w:t>
      </w:r>
    </w:p>
    <w:p w14:paraId="6E7BDF66">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w:t>
      </w:r>
      <w:r>
        <w:rPr>
          <w:rFonts w:asciiTheme="minorEastAsia" w:hAnsiTheme="minorEastAsia"/>
          <w:color w:val="0D0D0D" w:themeColor="text1" w:themeTint="F2"/>
          <w:sz w:val="21"/>
          <w:szCs w:val="21"/>
          <w14:textFill>
            <w14:solidFill>
              <w14:schemeClr w14:val="tx1">
                <w14:lumMod w14:val="95000"/>
                <w14:lumOff w14:val="5000"/>
              </w14:schemeClr>
            </w14:solidFill>
          </w14:textFill>
        </w:rPr>
        <w:t>8</w:t>
      </w: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）选择、更换基金销售机构，对基金销售机构的相关行为进行监督和处理；</w:t>
      </w:r>
      <w:r>
        <w:rPr>
          <w:rFonts w:asciiTheme="minorEastAsia" w:hAnsiTheme="minorEastAsia"/>
          <w:color w:val="0D0D0D" w:themeColor="text1" w:themeTint="F2"/>
          <w:sz w:val="21"/>
          <w:szCs w:val="21"/>
          <w14:textFill>
            <w14:solidFill>
              <w14:schemeClr w14:val="tx1">
                <w14:lumMod w14:val="95000"/>
                <w14:lumOff w14:val="5000"/>
              </w14:schemeClr>
            </w14:solidFill>
          </w14:textFill>
        </w:rPr>
        <w:t xml:space="preserve"> </w:t>
      </w:r>
    </w:p>
    <w:p w14:paraId="57853EB5">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w:t>
      </w:r>
      <w:r>
        <w:rPr>
          <w:rFonts w:asciiTheme="minorEastAsia" w:hAnsiTheme="minorEastAsia"/>
          <w:color w:val="0D0D0D" w:themeColor="text1" w:themeTint="F2"/>
          <w:sz w:val="21"/>
          <w:szCs w:val="21"/>
          <w14:textFill>
            <w14:solidFill>
              <w14:schemeClr w14:val="tx1">
                <w14:lumMod w14:val="95000"/>
                <w14:lumOff w14:val="5000"/>
              </w14:schemeClr>
            </w14:solidFill>
          </w14:textFill>
        </w:rPr>
        <w:t>9</w:t>
      </w: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）担任或委托其他符合条件的机构担任基金登记机构办理基金登记业务并获得《基金合同》规定的费用；</w:t>
      </w:r>
      <w:r>
        <w:rPr>
          <w:rFonts w:asciiTheme="minorEastAsia" w:hAnsiTheme="minorEastAsia"/>
          <w:color w:val="0D0D0D" w:themeColor="text1" w:themeTint="F2"/>
          <w:sz w:val="21"/>
          <w:szCs w:val="21"/>
          <w14:textFill>
            <w14:solidFill>
              <w14:schemeClr w14:val="tx1">
                <w14:lumMod w14:val="95000"/>
                <w14:lumOff w14:val="5000"/>
              </w14:schemeClr>
            </w14:solidFill>
          </w14:textFill>
        </w:rPr>
        <w:t xml:space="preserve"> </w:t>
      </w:r>
    </w:p>
    <w:p w14:paraId="3CC9822A">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w:t>
      </w:r>
      <w:r>
        <w:rPr>
          <w:rFonts w:asciiTheme="minorEastAsia" w:hAnsiTheme="minorEastAsia"/>
          <w:color w:val="0D0D0D" w:themeColor="text1" w:themeTint="F2"/>
          <w:sz w:val="21"/>
          <w:szCs w:val="21"/>
          <w14:textFill>
            <w14:solidFill>
              <w14:schemeClr w14:val="tx1">
                <w14:lumMod w14:val="95000"/>
                <w14:lumOff w14:val="5000"/>
              </w14:schemeClr>
            </w14:solidFill>
          </w14:textFill>
        </w:rPr>
        <w:t>10</w:t>
      </w: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）依据《基金合同》及有关法律规定决定基金收益的分配方案；</w:t>
      </w:r>
      <w:r>
        <w:rPr>
          <w:rFonts w:asciiTheme="minorEastAsia" w:hAnsiTheme="minorEastAsia"/>
          <w:color w:val="0D0D0D" w:themeColor="text1" w:themeTint="F2"/>
          <w:sz w:val="21"/>
          <w:szCs w:val="21"/>
          <w14:textFill>
            <w14:solidFill>
              <w14:schemeClr w14:val="tx1">
                <w14:lumMod w14:val="95000"/>
                <w14:lumOff w14:val="5000"/>
              </w14:schemeClr>
            </w14:solidFill>
          </w14:textFill>
        </w:rPr>
        <w:tab/>
      </w:r>
    </w:p>
    <w:p w14:paraId="381D23B7">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w:t>
      </w:r>
      <w:r>
        <w:rPr>
          <w:rFonts w:asciiTheme="minorEastAsia" w:hAnsiTheme="minorEastAsia"/>
          <w:color w:val="0D0D0D" w:themeColor="text1" w:themeTint="F2"/>
          <w:sz w:val="21"/>
          <w:szCs w:val="21"/>
          <w14:textFill>
            <w14:solidFill>
              <w14:schemeClr w14:val="tx1">
                <w14:lumMod w14:val="95000"/>
                <w14:lumOff w14:val="5000"/>
              </w14:schemeClr>
            </w14:solidFill>
          </w14:textFill>
        </w:rPr>
        <w:t>11</w:t>
      </w: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）在《基金合同》约定的范围内，拒绝或暂停受理申购与赎回申请；</w:t>
      </w:r>
      <w:r>
        <w:rPr>
          <w:rFonts w:asciiTheme="minorEastAsia" w:hAnsiTheme="minorEastAsia"/>
          <w:color w:val="0D0D0D" w:themeColor="text1" w:themeTint="F2"/>
          <w:sz w:val="21"/>
          <w:szCs w:val="21"/>
          <w14:textFill>
            <w14:solidFill>
              <w14:schemeClr w14:val="tx1">
                <w14:lumMod w14:val="95000"/>
                <w14:lumOff w14:val="5000"/>
              </w14:schemeClr>
            </w14:solidFill>
          </w14:textFill>
        </w:rPr>
        <w:t xml:space="preserve"> </w:t>
      </w:r>
    </w:p>
    <w:p w14:paraId="2607036A">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w:t>
      </w:r>
      <w:r>
        <w:rPr>
          <w:rFonts w:asciiTheme="minorEastAsia" w:hAnsiTheme="minorEastAsia"/>
          <w:color w:val="0D0D0D" w:themeColor="text1" w:themeTint="F2"/>
          <w:sz w:val="21"/>
          <w:szCs w:val="21"/>
          <w14:textFill>
            <w14:solidFill>
              <w14:schemeClr w14:val="tx1">
                <w14:lumMod w14:val="95000"/>
                <w14:lumOff w14:val="5000"/>
              </w14:schemeClr>
            </w14:solidFill>
          </w14:textFill>
        </w:rPr>
        <w:t>12</w:t>
      </w: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）依照法律法规为基金的利益对被投资公司行使股东权利，为基金的利益行使因基金财产投资于证券所产生的权利；</w:t>
      </w:r>
    </w:p>
    <w:p w14:paraId="129E3D72">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w:t>
      </w:r>
      <w:r>
        <w:rPr>
          <w:rFonts w:asciiTheme="minorEastAsia" w:hAnsiTheme="minorEastAsia"/>
          <w:color w:val="0D0D0D" w:themeColor="text1" w:themeTint="F2"/>
          <w:sz w:val="21"/>
          <w:szCs w:val="21"/>
          <w14:textFill>
            <w14:solidFill>
              <w14:schemeClr w14:val="tx1">
                <w14:lumMod w14:val="95000"/>
                <w14:lumOff w14:val="5000"/>
              </w14:schemeClr>
            </w14:solidFill>
          </w14:textFill>
        </w:rPr>
        <w:t>13</w:t>
      </w: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）在法律法规允许的前提下，为基金的利益依法为基金进行融资</w:t>
      </w:r>
      <w:r>
        <w:rPr>
          <w:rFonts w:hint="eastAsia"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和转融通证券出借业务；</w:t>
      </w:r>
    </w:p>
    <w:p w14:paraId="161B73F9">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w:t>
      </w:r>
      <w:r>
        <w:rPr>
          <w:rFonts w:asciiTheme="minorEastAsia" w:hAnsiTheme="minorEastAsia"/>
          <w:color w:val="0D0D0D" w:themeColor="text1" w:themeTint="F2"/>
          <w:sz w:val="21"/>
          <w:szCs w:val="21"/>
          <w14:textFill>
            <w14:solidFill>
              <w14:schemeClr w14:val="tx1">
                <w14:lumMod w14:val="95000"/>
                <w14:lumOff w14:val="5000"/>
              </w14:schemeClr>
            </w14:solidFill>
          </w14:textFill>
        </w:rPr>
        <w:t>14</w:t>
      </w: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）以基金管理人的名义，代表基金份额持有人的利益行使诉讼权利或者实施其他法律行为；</w:t>
      </w:r>
      <w:r>
        <w:rPr>
          <w:rFonts w:asciiTheme="minorEastAsia" w:hAnsiTheme="minorEastAsia"/>
          <w:color w:val="0D0D0D" w:themeColor="text1" w:themeTint="F2"/>
          <w:sz w:val="21"/>
          <w:szCs w:val="21"/>
          <w14:textFill>
            <w14:solidFill>
              <w14:schemeClr w14:val="tx1">
                <w14:lumMod w14:val="95000"/>
                <w14:lumOff w14:val="5000"/>
              </w14:schemeClr>
            </w14:solidFill>
          </w14:textFill>
        </w:rPr>
        <w:tab/>
      </w:r>
    </w:p>
    <w:p w14:paraId="36EF170C">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w:t>
      </w:r>
      <w:r>
        <w:rPr>
          <w:rFonts w:asciiTheme="minorEastAsia" w:hAnsiTheme="minorEastAsia"/>
          <w:color w:val="0D0D0D" w:themeColor="text1" w:themeTint="F2"/>
          <w:sz w:val="21"/>
          <w:szCs w:val="21"/>
          <w14:textFill>
            <w14:solidFill>
              <w14:schemeClr w14:val="tx1">
                <w14:lumMod w14:val="95000"/>
                <w14:lumOff w14:val="5000"/>
              </w14:schemeClr>
            </w14:solidFill>
          </w14:textFill>
        </w:rPr>
        <w:t>15</w:t>
      </w: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）选择、更换律师事务所、会计师事务所、</w:t>
      </w:r>
      <w:r>
        <w:rPr>
          <w:rFonts w:hint="eastAsia"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证券、期货经纪商</w:t>
      </w: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或其他为基金提供服务的外部机构；</w:t>
      </w:r>
      <w:r>
        <w:rPr>
          <w:rFonts w:asciiTheme="minorEastAsia" w:hAnsiTheme="minorEastAsia"/>
          <w:color w:val="0D0D0D" w:themeColor="text1" w:themeTint="F2"/>
          <w:sz w:val="21"/>
          <w:szCs w:val="21"/>
          <w14:textFill>
            <w14:solidFill>
              <w14:schemeClr w14:val="tx1">
                <w14:lumMod w14:val="95000"/>
                <w14:lumOff w14:val="5000"/>
              </w14:schemeClr>
            </w14:solidFill>
          </w14:textFill>
        </w:rPr>
        <w:tab/>
      </w:r>
    </w:p>
    <w:p w14:paraId="2BF18D24">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（16）在符合有关法律、法规、相关证券交易所及登记机构相关业务规则的规定及基金合同的前提下，制订和调整有关基金认购、申购、赎回等业务规则；</w:t>
      </w:r>
    </w:p>
    <w:p w14:paraId="40BB4B9C">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17）</w:t>
      </w: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法律法规及中国证监会规定的和《基金合同》约定的其他权利。</w:t>
      </w:r>
    </w:p>
    <w:p w14:paraId="38D29905">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asciiTheme="minorEastAsia" w:hAnsiTheme="minorEastAsia"/>
          <w:color w:val="0D0D0D" w:themeColor="text1" w:themeTint="F2"/>
          <w:sz w:val="21"/>
          <w:szCs w:val="21"/>
          <w14:textFill>
            <w14:solidFill>
              <w14:schemeClr w14:val="tx1">
                <w14:lumMod w14:val="95000"/>
                <w14:lumOff w14:val="5000"/>
              </w14:schemeClr>
            </w14:solidFill>
          </w14:textFill>
        </w:rPr>
        <w:t>2</w:t>
      </w: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、根据《基金法》、《运作办法》及其他有关规定，基金管理人的义务包括但不限于：</w:t>
      </w:r>
    </w:p>
    <w:p w14:paraId="10457AB6">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w:t>
      </w:r>
      <w:r>
        <w:rPr>
          <w:rFonts w:asciiTheme="minorEastAsia" w:hAnsiTheme="minorEastAsia"/>
          <w:color w:val="0D0D0D" w:themeColor="text1" w:themeTint="F2"/>
          <w:sz w:val="21"/>
          <w:szCs w:val="21"/>
          <w14:textFill>
            <w14:solidFill>
              <w14:schemeClr w14:val="tx1">
                <w14:lumMod w14:val="95000"/>
                <w14:lumOff w14:val="5000"/>
              </w14:schemeClr>
            </w14:solidFill>
          </w14:textFill>
        </w:rPr>
        <w:t>1</w:t>
      </w: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）依法募集资金，办理或者委托经中国证监会认定的其他机构代为办理基金份额的发售、申购、赎回和登记事宜；</w:t>
      </w:r>
    </w:p>
    <w:p w14:paraId="6AC6E7BE">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w:t>
      </w:r>
      <w:r>
        <w:rPr>
          <w:rFonts w:asciiTheme="minorEastAsia" w:hAnsiTheme="minorEastAsia"/>
          <w:color w:val="0D0D0D" w:themeColor="text1" w:themeTint="F2"/>
          <w:sz w:val="21"/>
          <w:szCs w:val="21"/>
          <w14:textFill>
            <w14:solidFill>
              <w14:schemeClr w14:val="tx1">
                <w14:lumMod w14:val="95000"/>
                <w14:lumOff w14:val="5000"/>
              </w14:schemeClr>
            </w14:solidFill>
          </w14:textFill>
        </w:rPr>
        <w:t>2</w:t>
      </w: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）办理基金备案手续；</w:t>
      </w:r>
    </w:p>
    <w:p w14:paraId="3502D2B1">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w:t>
      </w:r>
      <w:r>
        <w:rPr>
          <w:rFonts w:asciiTheme="minorEastAsia" w:hAnsiTheme="minorEastAsia"/>
          <w:color w:val="0D0D0D" w:themeColor="text1" w:themeTint="F2"/>
          <w:sz w:val="21"/>
          <w:szCs w:val="21"/>
          <w14:textFill>
            <w14:solidFill>
              <w14:schemeClr w14:val="tx1">
                <w14:lumMod w14:val="95000"/>
                <w14:lumOff w14:val="5000"/>
              </w14:schemeClr>
            </w14:solidFill>
          </w14:textFill>
        </w:rPr>
        <w:t>3</w:t>
      </w: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）自《基金合同》生效之日起</w:t>
      </w:r>
      <w:r>
        <w:rPr>
          <w:rFonts w:hint="eastAsia" w:cs="Arial"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w:t>
      </w: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以诚实信用、谨慎勤勉的原则管理和运用基金财产；</w:t>
      </w:r>
    </w:p>
    <w:p w14:paraId="6C4E7609">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w:t>
      </w:r>
      <w:r>
        <w:rPr>
          <w:rFonts w:asciiTheme="minorEastAsia" w:hAnsiTheme="minorEastAsia"/>
          <w:color w:val="0D0D0D" w:themeColor="text1" w:themeTint="F2"/>
          <w:sz w:val="21"/>
          <w:szCs w:val="21"/>
          <w14:textFill>
            <w14:solidFill>
              <w14:schemeClr w14:val="tx1">
                <w14:lumMod w14:val="95000"/>
                <w14:lumOff w14:val="5000"/>
              </w14:schemeClr>
            </w14:solidFill>
          </w14:textFill>
        </w:rPr>
        <w:t>4</w:t>
      </w: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）配备足够的具有专业资格的人员进行基金投资分析、决策，以专业化的经营方式管理和运作基金财产；</w:t>
      </w:r>
    </w:p>
    <w:p w14:paraId="7EFDAAC9">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w:t>
      </w:r>
      <w:r>
        <w:rPr>
          <w:rFonts w:asciiTheme="minorEastAsia" w:hAnsiTheme="minorEastAsia"/>
          <w:color w:val="0D0D0D" w:themeColor="text1" w:themeTint="F2"/>
          <w:sz w:val="21"/>
          <w:szCs w:val="21"/>
          <w14:textFill>
            <w14:solidFill>
              <w14:schemeClr w14:val="tx1">
                <w14:lumMod w14:val="95000"/>
                <w14:lumOff w14:val="5000"/>
              </w14:schemeClr>
            </w14:solidFill>
          </w14:textFill>
        </w:rPr>
        <w:t>5</w:t>
      </w: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）建立健全内部风险控制、监察与稽核、财务管理及人事管理等制度，保证所管理的基金财产和基金管理人的财产相互独立</w:t>
      </w:r>
      <w:r>
        <w:rPr>
          <w:rFonts w:hint="eastAsia" w:cs="Arial"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w:t>
      </w: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对所管理的不同基金分别管理，分别记账，进行证券投资；</w:t>
      </w:r>
    </w:p>
    <w:p w14:paraId="43DA011E">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w:t>
      </w:r>
      <w:r>
        <w:rPr>
          <w:rFonts w:asciiTheme="minorEastAsia" w:hAnsiTheme="minorEastAsia"/>
          <w:color w:val="0D0D0D" w:themeColor="text1" w:themeTint="F2"/>
          <w:sz w:val="21"/>
          <w:szCs w:val="21"/>
          <w14:textFill>
            <w14:solidFill>
              <w14:schemeClr w14:val="tx1">
                <w14:lumMod w14:val="95000"/>
                <w14:lumOff w14:val="5000"/>
              </w14:schemeClr>
            </w14:solidFill>
          </w14:textFill>
        </w:rPr>
        <w:t>6</w:t>
      </w: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）除依据《基金法》、《基金合同》及其他有关规定外</w:t>
      </w:r>
      <w:r>
        <w:rPr>
          <w:rFonts w:hint="eastAsia" w:cs="Arial"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w:t>
      </w: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不得利用基金财产为自己及任何第三人谋取利益，不得委托第三人运作基金财产；</w:t>
      </w:r>
    </w:p>
    <w:p w14:paraId="41B2CE0D">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w:t>
      </w:r>
      <w:r>
        <w:rPr>
          <w:rFonts w:asciiTheme="minorEastAsia" w:hAnsiTheme="minorEastAsia"/>
          <w:color w:val="0D0D0D" w:themeColor="text1" w:themeTint="F2"/>
          <w:sz w:val="21"/>
          <w:szCs w:val="21"/>
          <w14:textFill>
            <w14:solidFill>
              <w14:schemeClr w14:val="tx1">
                <w14:lumMod w14:val="95000"/>
                <w14:lumOff w14:val="5000"/>
              </w14:schemeClr>
            </w14:solidFill>
          </w14:textFill>
        </w:rPr>
        <w:t>7</w:t>
      </w: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）依法接受基金托管人的监督；</w:t>
      </w:r>
    </w:p>
    <w:p w14:paraId="0A4DF082">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w:t>
      </w:r>
      <w:r>
        <w:rPr>
          <w:rFonts w:asciiTheme="minorEastAsia" w:hAnsiTheme="minorEastAsia"/>
          <w:color w:val="0D0D0D" w:themeColor="text1" w:themeTint="F2"/>
          <w:sz w:val="21"/>
          <w:szCs w:val="21"/>
          <w14:textFill>
            <w14:solidFill>
              <w14:schemeClr w14:val="tx1">
                <w14:lumMod w14:val="95000"/>
                <w14:lumOff w14:val="5000"/>
              </w14:schemeClr>
            </w14:solidFill>
          </w14:textFill>
        </w:rPr>
        <w:t>8</w:t>
      </w: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）采取适当合理的措施使计算基金份额认购</w:t>
      </w:r>
      <w:r>
        <w:rPr>
          <w:rFonts w:hint="eastAsia"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价格</w:t>
      </w: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、申购</w:t>
      </w:r>
      <w:r>
        <w:rPr>
          <w:rFonts w:hint="eastAsia"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对价</w:t>
      </w: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、赎回</w:t>
      </w:r>
      <w:r>
        <w:rPr>
          <w:rFonts w:hint="eastAsia"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对价</w:t>
      </w: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的方法符合《基金合同》等法律文件的规定，按有关规定计算并公告基金净值信息，确定基金份额申购、赎回</w:t>
      </w:r>
      <w:r>
        <w:rPr>
          <w:rFonts w:hint="eastAsia"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对价，编制申购赎回清单</w:t>
      </w: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w:t>
      </w:r>
    </w:p>
    <w:p w14:paraId="2E941140">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w:t>
      </w:r>
      <w:r>
        <w:rPr>
          <w:rFonts w:asciiTheme="minorEastAsia" w:hAnsiTheme="minorEastAsia"/>
          <w:color w:val="0D0D0D" w:themeColor="text1" w:themeTint="F2"/>
          <w:sz w:val="21"/>
          <w:szCs w:val="21"/>
          <w14:textFill>
            <w14:solidFill>
              <w14:schemeClr w14:val="tx1">
                <w14:lumMod w14:val="95000"/>
                <w14:lumOff w14:val="5000"/>
              </w14:schemeClr>
            </w14:solidFill>
          </w14:textFill>
        </w:rPr>
        <w:t>9</w:t>
      </w: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）进行基金会计核算并编制基金财务会计报告；</w:t>
      </w:r>
    </w:p>
    <w:p w14:paraId="262A0CEC">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w:t>
      </w:r>
      <w:r>
        <w:rPr>
          <w:rFonts w:asciiTheme="minorEastAsia" w:hAnsiTheme="minorEastAsia"/>
          <w:color w:val="0D0D0D" w:themeColor="text1" w:themeTint="F2"/>
          <w:sz w:val="21"/>
          <w:szCs w:val="21"/>
          <w14:textFill>
            <w14:solidFill>
              <w14:schemeClr w14:val="tx1">
                <w14:lumMod w14:val="95000"/>
                <w14:lumOff w14:val="5000"/>
              </w14:schemeClr>
            </w14:solidFill>
          </w14:textFill>
        </w:rPr>
        <w:t>10</w:t>
      </w: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）编制季度报告、中期报告和年度报告；</w:t>
      </w:r>
    </w:p>
    <w:p w14:paraId="682EF79A">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w:t>
      </w:r>
      <w:r>
        <w:rPr>
          <w:rFonts w:asciiTheme="minorEastAsia" w:hAnsiTheme="minorEastAsia"/>
          <w:color w:val="0D0D0D" w:themeColor="text1" w:themeTint="F2"/>
          <w:sz w:val="21"/>
          <w:szCs w:val="21"/>
          <w14:textFill>
            <w14:solidFill>
              <w14:schemeClr w14:val="tx1">
                <w14:lumMod w14:val="95000"/>
                <w14:lumOff w14:val="5000"/>
              </w14:schemeClr>
            </w14:solidFill>
          </w14:textFill>
        </w:rPr>
        <w:t>11</w:t>
      </w: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）严格按照《基金法》、《基金合同》及其他有关规定，履行信息披露及报告义务；</w:t>
      </w:r>
    </w:p>
    <w:p w14:paraId="564D0B80">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w:t>
      </w:r>
      <w:r>
        <w:rPr>
          <w:rFonts w:asciiTheme="minorEastAsia" w:hAnsiTheme="minorEastAsia"/>
          <w:color w:val="0D0D0D" w:themeColor="text1" w:themeTint="F2"/>
          <w:sz w:val="21"/>
          <w:szCs w:val="21"/>
          <w14:textFill>
            <w14:solidFill>
              <w14:schemeClr w14:val="tx1">
                <w14:lumMod w14:val="95000"/>
                <w14:lumOff w14:val="5000"/>
              </w14:schemeClr>
            </w14:solidFill>
          </w14:textFill>
        </w:rPr>
        <w:t>12</w:t>
      </w: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保守基金商业秘密，不泄露基金投资计划、投资意向等。除《基金法》、《基金合同》及其他有关规定另有规定外，在基金信息公开披露前应予保密，不向他人泄露，向审计、法律等外部专业顾问提供的情况除外；</w:t>
      </w:r>
    </w:p>
    <w:p w14:paraId="24FF4E95">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w:t>
      </w:r>
      <w:r>
        <w:rPr>
          <w:rFonts w:asciiTheme="minorEastAsia" w:hAnsiTheme="minorEastAsia"/>
          <w:color w:val="0D0D0D" w:themeColor="text1" w:themeTint="F2"/>
          <w:sz w:val="21"/>
          <w:szCs w:val="21"/>
          <w14:textFill>
            <w14:solidFill>
              <w14:schemeClr w14:val="tx1">
                <w14:lumMod w14:val="95000"/>
                <w14:lumOff w14:val="5000"/>
              </w14:schemeClr>
            </w14:solidFill>
          </w14:textFill>
        </w:rPr>
        <w:t>13</w:t>
      </w: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）按《基金合同》的约定确定基金收益分配方案，及时向基金份额持有人分配基金收益；</w:t>
      </w:r>
    </w:p>
    <w:p w14:paraId="32AC278D">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w:t>
      </w:r>
      <w:r>
        <w:rPr>
          <w:rFonts w:asciiTheme="minorEastAsia" w:hAnsiTheme="minorEastAsia"/>
          <w:color w:val="0D0D0D" w:themeColor="text1" w:themeTint="F2"/>
          <w:sz w:val="21"/>
          <w:szCs w:val="21"/>
          <w14:textFill>
            <w14:solidFill>
              <w14:schemeClr w14:val="tx1">
                <w14:lumMod w14:val="95000"/>
                <w14:lumOff w14:val="5000"/>
              </w14:schemeClr>
            </w14:solidFill>
          </w14:textFill>
        </w:rPr>
        <w:t>14</w:t>
      </w: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）按规定受理申购与赎回申请，及时、足额支付赎回</w:t>
      </w:r>
      <w:r>
        <w:rPr>
          <w:rFonts w:hint="eastAsia" w:cs="Arial"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对价</w:t>
      </w: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w:t>
      </w:r>
    </w:p>
    <w:p w14:paraId="5F610B60">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w:t>
      </w:r>
      <w:r>
        <w:rPr>
          <w:rFonts w:asciiTheme="minorEastAsia" w:hAnsiTheme="minorEastAsia"/>
          <w:color w:val="0D0D0D" w:themeColor="text1" w:themeTint="F2"/>
          <w:sz w:val="21"/>
          <w:szCs w:val="21"/>
          <w14:textFill>
            <w14:solidFill>
              <w14:schemeClr w14:val="tx1">
                <w14:lumMod w14:val="95000"/>
                <w14:lumOff w14:val="5000"/>
              </w14:schemeClr>
            </w14:solidFill>
          </w14:textFill>
        </w:rPr>
        <w:t>15</w:t>
      </w: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）依据《基金法》、《基金合同》及其他有关规定召集基金份额持有人大会或配合基金托管人、基金份额持有人依法召集基金份额持有人大会；</w:t>
      </w:r>
    </w:p>
    <w:p w14:paraId="32523C1C">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（16）按规定保存基金财产管理业务活动的会计账册、报表、记录和其他相关资料，保存期限不低于法定最低期限；</w:t>
      </w:r>
    </w:p>
    <w:p w14:paraId="1148ACA6">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w:t>
      </w:r>
      <w:r>
        <w:rPr>
          <w:rFonts w:asciiTheme="minorEastAsia" w:hAnsiTheme="minorEastAsia"/>
          <w:color w:val="0D0D0D" w:themeColor="text1" w:themeTint="F2"/>
          <w:sz w:val="21"/>
          <w:szCs w:val="21"/>
          <w14:textFill>
            <w14:solidFill>
              <w14:schemeClr w14:val="tx1">
                <w14:lumMod w14:val="95000"/>
                <w14:lumOff w14:val="5000"/>
              </w14:schemeClr>
            </w14:solidFill>
          </w14:textFill>
        </w:rPr>
        <w:t>17</w:t>
      </w: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确保需要向基金投资者提供的各项文件或资料在规定时间发出，并且保证投资者能够按照《基金合同》规定的时间和方式，随时查阅到与基金有关的公开资料，并在支付合理成本的条件下得到有关资料的复印件；</w:t>
      </w:r>
    </w:p>
    <w:p w14:paraId="6E8068FB">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w:t>
      </w:r>
      <w:r>
        <w:rPr>
          <w:rFonts w:asciiTheme="minorEastAsia" w:hAnsiTheme="minorEastAsia"/>
          <w:color w:val="0D0D0D" w:themeColor="text1" w:themeTint="F2"/>
          <w:sz w:val="21"/>
          <w:szCs w:val="21"/>
          <w14:textFill>
            <w14:solidFill>
              <w14:schemeClr w14:val="tx1">
                <w14:lumMod w14:val="95000"/>
                <w14:lumOff w14:val="5000"/>
              </w14:schemeClr>
            </w14:solidFill>
          </w14:textFill>
        </w:rPr>
        <w:t>18</w:t>
      </w: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）组织并参加基金财产清算小组</w:t>
      </w:r>
      <w:r>
        <w:rPr>
          <w:rFonts w:hint="eastAsia" w:cs="Arial"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w:t>
      </w: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参与基金财产的保管、清理、估价、变现和分配；</w:t>
      </w:r>
    </w:p>
    <w:p w14:paraId="23484496">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（19）面临解散、依法被撤销或者被依法宣告破产时，及时报告中国证监会，并通知基金托管人；</w:t>
      </w:r>
    </w:p>
    <w:p w14:paraId="04FA15C4">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w:t>
      </w:r>
      <w:r>
        <w:rPr>
          <w:rFonts w:asciiTheme="minorEastAsia" w:hAnsiTheme="minorEastAsia"/>
          <w:color w:val="0D0D0D" w:themeColor="text1" w:themeTint="F2"/>
          <w:sz w:val="21"/>
          <w:szCs w:val="21"/>
          <w14:textFill>
            <w14:solidFill>
              <w14:schemeClr w14:val="tx1">
                <w14:lumMod w14:val="95000"/>
                <w14:lumOff w14:val="5000"/>
              </w14:schemeClr>
            </w14:solidFill>
          </w14:textFill>
        </w:rPr>
        <w:t>20</w:t>
      </w: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）因违反《基金合同》导致基金财产的损失或损害基金份额持有人合法权益时，应当承担赔偿责任，其赔偿责任不因其退任而免除；</w:t>
      </w:r>
    </w:p>
    <w:p w14:paraId="21C3A695">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w:t>
      </w:r>
      <w:r>
        <w:rPr>
          <w:rFonts w:asciiTheme="minorEastAsia" w:hAnsiTheme="minorEastAsia"/>
          <w:color w:val="0D0D0D" w:themeColor="text1" w:themeTint="F2"/>
          <w:sz w:val="21"/>
          <w:szCs w:val="21"/>
          <w14:textFill>
            <w14:solidFill>
              <w14:schemeClr w14:val="tx1">
                <w14:lumMod w14:val="95000"/>
                <w14:lumOff w14:val="5000"/>
              </w14:schemeClr>
            </w14:solidFill>
          </w14:textFill>
        </w:rPr>
        <w:t>21</w:t>
      </w: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）监督基金托管人按法律法规和《基金合同》规定履行自己的义务，基金托管人违反《基金合同》造成基金财产损失时，基金管理人应为基金份额持有人利益向基金托管人追偿；</w:t>
      </w:r>
    </w:p>
    <w:p w14:paraId="4D87D60B">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w:t>
      </w:r>
      <w:r>
        <w:rPr>
          <w:rFonts w:asciiTheme="minorEastAsia" w:hAnsiTheme="minorEastAsia"/>
          <w:color w:val="0D0D0D" w:themeColor="text1" w:themeTint="F2"/>
          <w:sz w:val="21"/>
          <w:szCs w:val="21"/>
          <w14:textFill>
            <w14:solidFill>
              <w14:schemeClr w14:val="tx1">
                <w14:lumMod w14:val="95000"/>
                <w14:lumOff w14:val="5000"/>
              </w14:schemeClr>
            </w14:solidFill>
          </w14:textFill>
        </w:rPr>
        <w:t>22</w:t>
      </w: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）当基金管理人将其义务委托第三方处理时，应当对第三方处理有关基金事务的行为承担责任；</w:t>
      </w:r>
    </w:p>
    <w:p w14:paraId="298E9C67">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w:t>
      </w:r>
      <w:r>
        <w:rPr>
          <w:rFonts w:asciiTheme="minorEastAsia" w:hAnsiTheme="minorEastAsia"/>
          <w:color w:val="0D0D0D" w:themeColor="text1" w:themeTint="F2"/>
          <w:sz w:val="21"/>
          <w:szCs w:val="21"/>
          <w14:textFill>
            <w14:solidFill>
              <w14:schemeClr w14:val="tx1">
                <w14:lumMod w14:val="95000"/>
                <w14:lumOff w14:val="5000"/>
              </w14:schemeClr>
            </w14:solidFill>
          </w14:textFill>
        </w:rPr>
        <w:t>23</w:t>
      </w: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）以基金管理人名义，代表基金份额持有人利益行使诉讼权利或实施其他法律行为；</w:t>
      </w:r>
    </w:p>
    <w:p w14:paraId="2A945114">
      <w:pPr>
        <w:snapToGrid w:val="0"/>
        <w:spacing w:line="360" w:lineRule="auto"/>
        <w:ind w:firstLine="420" w:firstLineChars="200"/>
        <w:rPr>
          <w:rFonts w:asciiTheme="minorEastAsia" w:hAnsiTheme="minorEastAsia"/>
          <w:sz w:val="21"/>
          <w:szCs w:val="21"/>
        </w:rPr>
      </w:pPr>
      <w:r>
        <w:rPr>
          <w:rFonts w:hint="eastAsia" w:asciiTheme="minorEastAsia" w:hAnsiTheme="minorEastAsia"/>
          <w:sz w:val="21"/>
          <w:szCs w:val="21"/>
        </w:rPr>
        <w:t>（</w:t>
      </w:r>
      <w:r>
        <w:rPr>
          <w:rFonts w:asciiTheme="minorEastAsia" w:hAnsiTheme="minorEastAsia"/>
          <w:sz w:val="21"/>
          <w:szCs w:val="21"/>
        </w:rPr>
        <w:t>24）基金在募集期间未能达到基金</w:t>
      </w:r>
      <w:r>
        <w:rPr>
          <w:rFonts w:hint="eastAsia" w:asciiTheme="minorEastAsia" w:hAnsiTheme="minorEastAsia"/>
          <w:sz w:val="21"/>
          <w:szCs w:val="21"/>
        </w:rPr>
        <w:t>的备案条件，《基金合同》不能生效，基金管理人承担全部募集费用，将已募集资金并加计银行同期</w:t>
      </w:r>
      <w:r>
        <w:rPr>
          <w:rFonts w:hint="eastAsia" w:asciiTheme="minorEastAsia" w:hAnsiTheme="minorEastAsia" w:eastAsiaTheme="minorEastAsia"/>
          <w:sz w:val="21"/>
          <w:szCs w:val="21"/>
        </w:rPr>
        <w:t>活期存款</w:t>
      </w:r>
      <w:r>
        <w:rPr>
          <w:rFonts w:hint="eastAsia" w:asciiTheme="minorEastAsia" w:hAnsiTheme="minorEastAsia"/>
          <w:sz w:val="21"/>
          <w:szCs w:val="21"/>
        </w:rPr>
        <w:t>利息在基金募集期结束后</w:t>
      </w:r>
      <w:r>
        <w:rPr>
          <w:rFonts w:asciiTheme="minorEastAsia" w:hAnsiTheme="minorEastAsia"/>
          <w:sz w:val="21"/>
          <w:szCs w:val="21"/>
        </w:rPr>
        <w:t>30</w:t>
      </w:r>
      <w:r>
        <w:rPr>
          <w:rFonts w:hint="eastAsia" w:asciiTheme="minorEastAsia" w:hAnsiTheme="minorEastAsia"/>
          <w:sz w:val="21"/>
          <w:szCs w:val="21"/>
        </w:rPr>
        <w:t>日内退还基金认购人，对于基金募集期间网下股票认购所冻结的股票，发售代理机构应予以解冻；</w:t>
      </w:r>
    </w:p>
    <w:p w14:paraId="4806D774">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w:t>
      </w:r>
      <w:r>
        <w:rPr>
          <w:rFonts w:asciiTheme="minorEastAsia" w:hAnsiTheme="minorEastAsia"/>
          <w:color w:val="0D0D0D" w:themeColor="text1" w:themeTint="F2"/>
          <w:sz w:val="21"/>
          <w:szCs w:val="21"/>
          <w14:textFill>
            <w14:solidFill>
              <w14:schemeClr w14:val="tx1">
                <w14:lumMod w14:val="95000"/>
                <w14:lumOff w14:val="5000"/>
              </w14:schemeClr>
            </w14:solidFill>
          </w14:textFill>
        </w:rPr>
        <w:t>25</w:t>
      </w: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）执行生效的基金份额持有人大会的决议；</w:t>
      </w:r>
    </w:p>
    <w:p w14:paraId="732B0659">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w:t>
      </w:r>
      <w:r>
        <w:rPr>
          <w:rFonts w:asciiTheme="minorEastAsia" w:hAnsiTheme="minorEastAsia"/>
          <w:color w:val="0D0D0D" w:themeColor="text1" w:themeTint="F2"/>
          <w:sz w:val="21"/>
          <w:szCs w:val="21"/>
          <w14:textFill>
            <w14:solidFill>
              <w14:schemeClr w14:val="tx1">
                <w14:lumMod w14:val="95000"/>
                <w14:lumOff w14:val="5000"/>
              </w14:schemeClr>
            </w14:solidFill>
          </w14:textFill>
        </w:rPr>
        <w:t>26</w:t>
      </w: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）建立并保存基金份额持有人名册；</w:t>
      </w:r>
    </w:p>
    <w:p w14:paraId="500F2A82">
      <w:pPr>
        <w:adjustRightInd w:val="0"/>
        <w:snapToGrid w:val="0"/>
        <w:spacing w:line="360" w:lineRule="auto"/>
        <w:ind w:firstLine="420" w:firstLineChars="200"/>
        <w:rPr>
          <w:rFonts w:ascii="宋体" w:hAnsi="宋体"/>
          <w:color w:val="0C0C0C"/>
          <w:sz w:val="21"/>
          <w:szCs w:val="21"/>
        </w:rPr>
      </w:pP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w:t>
      </w:r>
      <w:r>
        <w:rPr>
          <w:rFonts w:asciiTheme="minorEastAsia" w:hAnsiTheme="minorEastAsia"/>
          <w:color w:val="0D0D0D" w:themeColor="text1" w:themeTint="F2"/>
          <w:sz w:val="21"/>
          <w:szCs w:val="21"/>
          <w14:textFill>
            <w14:solidFill>
              <w14:schemeClr w14:val="tx1">
                <w14:lumMod w14:val="95000"/>
                <w14:lumOff w14:val="5000"/>
              </w14:schemeClr>
            </w14:solidFill>
          </w14:textFill>
        </w:rPr>
        <w:t>27</w:t>
      </w: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）法律法规及中国证监会规定的和《基金合同》约定的其他义务。</w:t>
      </w:r>
    </w:p>
    <w:p w14:paraId="3BE5EE83">
      <w:pPr>
        <w:snapToGrid w:val="0"/>
        <w:spacing w:line="360" w:lineRule="auto"/>
        <w:ind w:firstLine="420" w:firstLineChars="200"/>
        <w:rPr>
          <w:rFonts w:ascii="宋体" w:hAnsi="宋体"/>
          <w:sz w:val="21"/>
          <w:szCs w:val="21"/>
        </w:rPr>
      </w:pPr>
      <w:r>
        <w:rPr>
          <w:rFonts w:ascii="宋体" w:hAnsi="宋体"/>
          <w:sz w:val="21"/>
          <w:szCs w:val="21"/>
        </w:rPr>
        <w:t>（</w:t>
      </w:r>
      <w:r>
        <w:rPr>
          <w:rFonts w:hint="eastAsia" w:ascii="宋体" w:hAnsi="宋体"/>
          <w:sz w:val="21"/>
          <w:szCs w:val="21"/>
        </w:rPr>
        <w:t>三</w:t>
      </w:r>
      <w:r>
        <w:rPr>
          <w:rFonts w:ascii="宋体" w:hAnsi="宋体"/>
          <w:sz w:val="21"/>
          <w:szCs w:val="21"/>
        </w:rPr>
        <w:t>）</w:t>
      </w:r>
      <w:r>
        <w:rPr>
          <w:rFonts w:ascii="宋体" w:hAnsi="宋体"/>
          <w:sz w:val="21"/>
          <w:szCs w:val="21"/>
        </w:rPr>
        <w:tab/>
      </w:r>
      <w:r>
        <w:rPr>
          <w:rFonts w:ascii="宋体" w:hAnsi="宋体"/>
          <w:sz w:val="21"/>
          <w:szCs w:val="21"/>
        </w:rPr>
        <w:t>基金托管人的权利与义务</w:t>
      </w:r>
    </w:p>
    <w:p w14:paraId="65C09B79">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asciiTheme="minorEastAsia" w:hAnsiTheme="minorEastAsia"/>
          <w:color w:val="0D0D0D" w:themeColor="text1" w:themeTint="F2"/>
          <w:sz w:val="21"/>
          <w:szCs w:val="21"/>
          <w14:textFill>
            <w14:solidFill>
              <w14:schemeClr w14:val="tx1">
                <w14:lumMod w14:val="95000"/>
                <w14:lumOff w14:val="5000"/>
              </w14:schemeClr>
            </w14:solidFill>
          </w14:textFill>
        </w:rPr>
        <w:t>1</w:t>
      </w: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、根据《基金法》、《运作办法》及其他有关规定，基金托管人的权利包括但不限于：</w:t>
      </w:r>
    </w:p>
    <w:p w14:paraId="0A076AFC">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w:t>
      </w:r>
      <w:r>
        <w:rPr>
          <w:rFonts w:asciiTheme="minorEastAsia" w:hAnsiTheme="minorEastAsia"/>
          <w:color w:val="0D0D0D" w:themeColor="text1" w:themeTint="F2"/>
          <w:sz w:val="21"/>
          <w:szCs w:val="21"/>
          <w14:textFill>
            <w14:solidFill>
              <w14:schemeClr w14:val="tx1">
                <w14:lumMod w14:val="95000"/>
                <w14:lumOff w14:val="5000"/>
              </w14:schemeClr>
            </w14:solidFill>
          </w14:textFill>
        </w:rPr>
        <w:t>1</w:t>
      </w: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）自《基金合同》生效之日起，依法律法规和《基金合同》的规定安全保管基金财产；</w:t>
      </w:r>
    </w:p>
    <w:p w14:paraId="6C2EDEA0">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w:t>
      </w:r>
      <w:r>
        <w:rPr>
          <w:rFonts w:asciiTheme="minorEastAsia" w:hAnsiTheme="minorEastAsia"/>
          <w:color w:val="0D0D0D" w:themeColor="text1" w:themeTint="F2"/>
          <w:sz w:val="21"/>
          <w:szCs w:val="21"/>
          <w14:textFill>
            <w14:solidFill>
              <w14:schemeClr w14:val="tx1">
                <w14:lumMod w14:val="95000"/>
                <w14:lumOff w14:val="5000"/>
              </w14:schemeClr>
            </w14:solidFill>
          </w14:textFill>
        </w:rPr>
        <w:t>2</w:t>
      </w: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）依《基金合同》约定获得基金托管费以及法律法规规定或监管部门批准的其他费用；</w:t>
      </w:r>
    </w:p>
    <w:p w14:paraId="3097E8C1">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w:t>
      </w:r>
      <w:r>
        <w:rPr>
          <w:rFonts w:asciiTheme="minorEastAsia" w:hAnsiTheme="minorEastAsia"/>
          <w:color w:val="0D0D0D" w:themeColor="text1" w:themeTint="F2"/>
          <w:sz w:val="21"/>
          <w:szCs w:val="21"/>
          <w14:textFill>
            <w14:solidFill>
              <w14:schemeClr w14:val="tx1">
                <w14:lumMod w14:val="95000"/>
                <w14:lumOff w14:val="5000"/>
              </w14:schemeClr>
            </w14:solidFill>
          </w14:textFill>
        </w:rPr>
        <w:t>3</w:t>
      </w: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监督基金管理人对本基金的投资运作，如发现基金管理人有违反《基金合同》及国家法律法规行为，对基金财产、其他当事人的利益造成重大损失的情形，应呈报中国证监会，并采取必要措施保护基金投资者的利益；</w:t>
      </w:r>
    </w:p>
    <w:p w14:paraId="072B5DA4">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w:t>
      </w:r>
      <w:r>
        <w:rPr>
          <w:rFonts w:asciiTheme="minorEastAsia" w:hAnsiTheme="minorEastAsia"/>
          <w:color w:val="0D0D0D" w:themeColor="text1" w:themeTint="F2"/>
          <w:sz w:val="21"/>
          <w:szCs w:val="21"/>
          <w14:textFill>
            <w14:solidFill>
              <w14:schemeClr w14:val="tx1">
                <w14:lumMod w14:val="95000"/>
                <w14:lumOff w14:val="5000"/>
              </w14:schemeClr>
            </w14:solidFill>
          </w14:textFill>
        </w:rPr>
        <w:t>4</w:t>
      </w: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）根据相关市场规则，为基金开设</w:t>
      </w:r>
      <w:r>
        <w:rPr>
          <w:rFonts w:hint="eastAsia" w:cs="Arial"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资金账户、</w:t>
      </w: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证券账户等投资所需账户</w:t>
      </w:r>
      <w:r>
        <w:rPr>
          <w:rFonts w:hint="eastAsia" w:cs="Arial"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w:t>
      </w: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为基金办理证券、期货交易资金清算</w:t>
      </w:r>
      <w:r>
        <w:rPr>
          <w:rFonts w:hint="eastAsia" w:cs="Arial"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w:t>
      </w:r>
    </w:p>
    <w:p w14:paraId="6529DB5C">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w:t>
      </w:r>
      <w:r>
        <w:rPr>
          <w:rFonts w:asciiTheme="minorEastAsia" w:hAnsiTheme="minorEastAsia"/>
          <w:color w:val="0D0D0D" w:themeColor="text1" w:themeTint="F2"/>
          <w:sz w:val="21"/>
          <w:szCs w:val="21"/>
          <w14:textFill>
            <w14:solidFill>
              <w14:schemeClr w14:val="tx1">
                <w14:lumMod w14:val="95000"/>
                <w14:lumOff w14:val="5000"/>
              </w14:schemeClr>
            </w14:solidFill>
          </w14:textFill>
        </w:rPr>
        <w:t>5</w:t>
      </w: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）提议召开或召集基金份额持有人大会；</w:t>
      </w:r>
    </w:p>
    <w:p w14:paraId="486246DD">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w:t>
      </w:r>
      <w:r>
        <w:rPr>
          <w:rFonts w:asciiTheme="minorEastAsia" w:hAnsiTheme="minorEastAsia"/>
          <w:color w:val="0D0D0D" w:themeColor="text1" w:themeTint="F2"/>
          <w:sz w:val="21"/>
          <w:szCs w:val="21"/>
          <w14:textFill>
            <w14:solidFill>
              <w14:schemeClr w14:val="tx1">
                <w14:lumMod w14:val="95000"/>
                <w14:lumOff w14:val="5000"/>
              </w14:schemeClr>
            </w14:solidFill>
          </w14:textFill>
        </w:rPr>
        <w:t>6</w:t>
      </w: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）在基金管理人更换时，提名新的基金管理人；</w:t>
      </w:r>
    </w:p>
    <w:p w14:paraId="41808950">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w:t>
      </w:r>
      <w:r>
        <w:rPr>
          <w:rFonts w:asciiTheme="minorEastAsia" w:hAnsiTheme="minorEastAsia"/>
          <w:color w:val="0D0D0D" w:themeColor="text1" w:themeTint="F2"/>
          <w:sz w:val="21"/>
          <w:szCs w:val="21"/>
          <w14:textFill>
            <w14:solidFill>
              <w14:schemeClr w14:val="tx1">
                <w14:lumMod w14:val="95000"/>
                <w14:lumOff w14:val="5000"/>
              </w14:schemeClr>
            </w14:solidFill>
          </w14:textFill>
        </w:rPr>
        <w:t>7</w:t>
      </w: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）法律法规及中国证监会规定的和《基金合同》约定的其他权利。</w:t>
      </w:r>
    </w:p>
    <w:p w14:paraId="71910740">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asciiTheme="minorEastAsia" w:hAnsiTheme="minorEastAsia"/>
          <w:color w:val="0D0D0D" w:themeColor="text1" w:themeTint="F2"/>
          <w:sz w:val="21"/>
          <w:szCs w:val="21"/>
          <w14:textFill>
            <w14:solidFill>
              <w14:schemeClr w14:val="tx1">
                <w14:lumMod w14:val="95000"/>
                <w14:lumOff w14:val="5000"/>
              </w14:schemeClr>
            </w14:solidFill>
          </w14:textFill>
        </w:rPr>
        <w:t>2</w:t>
      </w: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、根据《基金法》、《运作办法》及其他有关规定，基金托管人的义务包括但不限于：</w:t>
      </w:r>
    </w:p>
    <w:p w14:paraId="112A7736">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（1）以诚实信用、勤勉尽责的原则持有并安全保管基金财产；</w:t>
      </w:r>
    </w:p>
    <w:p w14:paraId="5E84A43E">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（2）设立专门的基金托管部门，具有符合要求的营业场所，配备足够的、合格的熟悉基金托管业务的专职人员，负责基金财产托管事宜；</w:t>
      </w:r>
    </w:p>
    <w:p w14:paraId="49A8C869">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14:paraId="0C999615">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（4）除依据《基金法》、《基金合同》及其他有关规定外，不得利用基金财产为自己及任何第三人谋取利益，不得委托第三人托管基金财产；</w:t>
      </w:r>
    </w:p>
    <w:p w14:paraId="53EFBC6A">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（5）保管由基金管理人代表基金签订的与基金有关的重大合同及有关凭证；</w:t>
      </w:r>
    </w:p>
    <w:p w14:paraId="13B90BBF">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（6）按规定开设基金财产的资金账户、证券账户等投资所需账户，按照《基金合同》的约定，根据基金管理人的投资指令，及时办理清算、交割事宜；</w:t>
      </w:r>
    </w:p>
    <w:p w14:paraId="33E8E613">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（7）保守基金商业秘密，除《基金法》、《基金合同》及其他有关规定另有规定外，在基金信息公开披露前予以保密，向审计、法律等外部专业顾问提供的情况除外；</w:t>
      </w:r>
    </w:p>
    <w:p w14:paraId="0873295B">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（8）复核、审查基金管理人计算的基金资产净值、基金份额净值、基金份额申购、赎回对价的现金部分；</w:t>
      </w:r>
    </w:p>
    <w:p w14:paraId="5DD2888F">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（9）办理与基金托管业务活动有关的信息披露事项；</w:t>
      </w:r>
    </w:p>
    <w:p w14:paraId="01C5EACD">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14:paraId="0CAE8A9D">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（11）保存基金托管业务活动的记录、账册、报表和其他相关资料，保存期限按照法律法规的规定执行；</w:t>
      </w:r>
    </w:p>
    <w:p w14:paraId="5D7B1798">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（12）从基金管理人或其委托的登记机构处接收并保存基金份额持有人名册；</w:t>
      </w:r>
    </w:p>
    <w:p w14:paraId="7F3DB652">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（13）按规定制作相关账册并与基金管理人核对；</w:t>
      </w:r>
    </w:p>
    <w:p w14:paraId="57BEE6AC">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（14）依据基金管理人的指令或有关规定向基金份额持有人支付基金收益和赎回对价的现金部分；</w:t>
      </w:r>
    </w:p>
    <w:p w14:paraId="0687B6CC">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（15）依据《基金法》、《基金合同》及其他有关规定，召集基金份额持有人大会或配合基金管理人、基金份额持有人依法召集基金份额持有人大会；</w:t>
      </w:r>
    </w:p>
    <w:p w14:paraId="492EE54D">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（16）按照法律法规和《基金合同》和托管协议的规定监督基金管理人的投资运作；</w:t>
      </w:r>
    </w:p>
    <w:p w14:paraId="1819ECA8">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（17）参加基金财产清算小组，参与基金财产的保管、清理、估价、变现和分配；</w:t>
      </w:r>
    </w:p>
    <w:p w14:paraId="00E69124">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（18）面临解散、依法被撤销或者被依法宣告破产时，及时报告中国证监会</w:t>
      </w:r>
      <w:r>
        <w:rPr>
          <w:rFonts w:hint="eastAsia" w:ascii="宋体" w:hAnsi="宋体"/>
          <w:color w:val="0C0C0C"/>
          <w:sz w:val="21"/>
          <w:szCs w:val="21"/>
        </w:rPr>
        <w:t>和银行业监督管理机构</w:t>
      </w: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，并通知基金管理人；</w:t>
      </w:r>
    </w:p>
    <w:p w14:paraId="2561134F">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（19）因违反《基金合同》导致基金财产损失时，应承担赔偿责任，其赔偿责任不因其退任而免除；</w:t>
      </w:r>
    </w:p>
    <w:p w14:paraId="59F1264C">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（20）按规定监督基金管理人按法律法规和《基金合同》规定履行自己的义务，基金管理人因违反《基金合同》造成基金财产损失时，应为基金份额持有人利益向基金管理人追偿；</w:t>
      </w:r>
    </w:p>
    <w:p w14:paraId="707F1206">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（21）执行生效的基金份额持有人大会的决议；</w:t>
      </w:r>
    </w:p>
    <w:p w14:paraId="41144118">
      <w:pPr>
        <w:snapToGrid w:val="0"/>
        <w:spacing w:line="360" w:lineRule="auto"/>
        <w:ind w:firstLine="420" w:firstLineChars="200"/>
        <w:rPr>
          <w:rFonts w:ascii="宋体" w:hAnsi="宋体"/>
          <w:sz w:val="21"/>
          <w:szCs w:val="21"/>
        </w:rPr>
      </w:pP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（22）法律法规及中国证监会规定的和《基金合同》约定的其他义务。</w:t>
      </w:r>
    </w:p>
    <w:p w14:paraId="3B0B8E0F">
      <w:pPr>
        <w:snapToGrid w:val="0"/>
        <w:spacing w:line="360" w:lineRule="auto"/>
        <w:ind w:firstLine="420" w:firstLineChars="200"/>
        <w:rPr>
          <w:rFonts w:ascii="宋体" w:hAnsi="宋体"/>
          <w:sz w:val="21"/>
          <w:szCs w:val="21"/>
        </w:rPr>
      </w:pPr>
      <w:r>
        <w:rPr>
          <w:rFonts w:hint="eastAsia" w:ascii="宋体" w:hAnsi="宋体"/>
          <w:sz w:val="21"/>
          <w:szCs w:val="21"/>
        </w:rPr>
        <w:t>二、基金份额持有人大会召集、议事及表决的程序和规则</w:t>
      </w:r>
    </w:p>
    <w:p w14:paraId="5DD19156">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基金份额持有人大会由基金份额持有人组成，基金份额持有人的合法授权代表有权代表基金份额持有人出席会议并表决。基金份额持有人持有的每一基金份额拥有平等的投票权。</w:t>
      </w:r>
    </w:p>
    <w:p w14:paraId="4BFA1D99">
      <w:pPr>
        <w:adjustRightInd w:val="0"/>
        <w:snapToGrid w:val="0"/>
        <w:spacing w:line="360" w:lineRule="auto"/>
        <w:ind w:firstLine="420" w:firstLineChars="200"/>
        <w:rPr>
          <w:rFonts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若以本基金为目标</w:t>
      </w:r>
      <w:r>
        <w:rPr>
          <w:rFonts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ETF</w:t>
      </w:r>
      <w:r>
        <w:rPr>
          <w:rFonts w:hint="eastAsia"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且基金管理人和基金托管人与本基金基金管理人和基金托管人一致的联接基金的基金合同生效，鉴于本基金和联接基金的相关性，联接基金的基金份额持有人可以凭所持有的联接基金的基金份额直接出席本基金的基金份额持有人大会或者委派代表出席本基金的基金份额持有人大会并参与表决。在计算参会份额和票数时，联接基金基金份额持有人持有的享有表决权的参会份额数和表决票数为：在本基金基金份额持有人大会的权益登记日，联接基金持有本基金份额的总数乘以该持有人所持有的联接基金份额占联接基金总份额的比例，计算结果按照四舍五入的方法，保留到整数位。联接基金折算为本基金后的每一参会份额和本基金的每一参会份额拥有平等的投票权。</w:t>
      </w:r>
    </w:p>
    <w:p w14:paraId="56B1A141">
      <w:pPr>
        <w:adjustRightInd w:val="0"/>
        <w:snapToGrid w:val="0"/>
        <w:spacing w:line="360" w:lineRule="auto"/>
        <w:ind w:firstLine="420" w:firstLineChars="200"/>
        <w:rPr>
          <w:rFonts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联接基金的基金管理人不应以联接基金的名义代表联接基金的全体基金份额持有人以本基金的基金份额持有人的身份行使表决权，但可接受联接基金的特定基金份额持有人的委托以联接基金的基金份额持有人代理人的身份出席本基金的基金份额持有人大会并参与表决。</w:t>
      </w:r>
    </w:p>
    <w:p w14:paraId="3A8E1FB8">
      <w:pPr>
        <w:adjustRightInd w:val="0"/>
        <w:snapToGrid w:val="0"/>
        <w:spacing w:line="360" w:lineRule="auto"/>
        <w:ind w:firstLine="420" w:firstLineChars="200"/>
        <w:rPr>
          <w:rFonts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联接基金的基金管理人代表联接基金的基金份额持有人提议召开或召集本基金份额持有人大会的，须先遵照联接基金基金合同的约定召开联接基金的基金份额持有人大会，联接基金的基金份额持有人大会决定提议召开或召集本基金份额持有人大会的，由联接基金的基金管理人代表联接基金的基金份额持有人提议召开或召集本基金份额持有人大会。</w:t>
      </w:r>
    </w:p>
    <w:p w14:paraId="3883C06A">
      <w:pPr>
        <w:adjustRightInd w:val="0"/>
        <w:snapToGrid w:val="0"/>
        <w:spacing w:line="360" w:lineRule="auto"/>
        <w:ind w:firstLine="420" w:firstLineChars="200"/>
        <w:rPr>
          <w:rFonts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本基金份额持有人大会不设日常机构。</w:t>
      </w:r>
    </w:p>
    <w:p w14:paraId="13587168">
      <w:pPr>
        <w:adjustRightInd w:val="0"/>
        <w:snapToGrid w:val="0"/>
        <w:spacing w:line="360" w:lineRule="auto"/>
        <w:ind w:firstLine="420" w:firstLineChars="200"/>
        <w:rPr>
          <w:rFonts w:ascii="宋体" w:hAnsi="宋体"/>
          <w:color w:val="0C0C0C"/>
          <w:sz w:val="21"/>
          <w:szCs w:val="21"/>
        </w:rPr>
      </w:pPr>
      <w:r>
        <w:rPr>
          <w:rFonts w:hint="eastAsia"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法律法规或监管机构对基金份额持有人大会另有规定的，从其规定。</w:t>
      </w:r>
    </w:p>
    <w:p w14:paraId="1C7B3611">
      <w:pPr>
        <w:adjustRightInd w:val="0"/>
        <w:snapToGrid w:val="0"/>
        <w:spacing w:line="360" w:lineRule="auto"/>
        <w:ind w:firstLine="420" w:firstLineChars="200"/>
        <w:rPr>
          <w:rFonts w:ascii="宋体" w:hAnsi="宋体"/>
          <w:color w:val="0C0C0C"/>
          <w:sz w:val="21"/>
          <w:szCs w:val="21"/>
        </w:rPr>
      </w:pPr>
      <w:r>
        <w:rPr>
          <w:rFonts w:hint="eastAsia" w:ascii="宋体" w:hAnsi="宋体"/>
          <w:color w:val="0C0C0C"/>
          <w:sz w:val="21"/>
          <w:szCs w:val="21"/>
        </w:rPr>
        <w:t>（一）召开事由</w:t>
      </w:r>
    </w:p>
    <w:p w14:paraId="5D7E6AB8">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asciiTheme="minorEastAsia" w:hAnsiTheme="minorEastAsia"/>
          <w:color w:val="0D0D0D" w:themeColor="text1" w:themeTint="F2"/>
          <w:sz w:val="21"/>
          <w:szCs w:val="21"/>
          <w14:textFill>
            <w14:solidFill>
              <w14:schemeClr w14:val="tx1">
                <w14:lumMod w14:val="95000"/>
                <w14:lumOff w14:val="5000"/>
              </w14:schemeClr>
            </w14:solidFill>
          </w14:textFill>
        </w:rPr>
        <w:t>1</w:t>
      </w: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w:t>
      </w:r>
      <w:r>
        <w:rPr>
          <w:rFonts w:hint="eastAsia"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除法律法规、中国证监会另有规定外，</w:t>
      </w: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当出现或需要决定下列事由之一的，应当召开基金份额持有人大会：</w:t>
      </w:r>
    </w:p>
    <w:p w14:paraId="37F4BB0F">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w:t>
      </w:r>
      <w:r>
        <w:rPr>
          <w:rFonts w:asciiTheme="minorEastAsia" w:hAnsiTheme="minorEastAsia"/>
          <w:color w:val="0D0D0D" w:themeColor="text1" w:themeTint="F2"/>
          <w:sz w:val="21"/>
          <w:szCs w:val="21"/>
          <w14:textFill>
            <w14:solidFill>
              <w14:schemeClr w14:val="tx1">
                <w14:lumMod w14:val="95000"/>
                <w14:lumOff w14:val="5000"/>
              </w14:schemeClr>
            </w14:solidFill>
          </w14:textFill>
        </w:rPr>
        <w:t>1</w:t>
      </w: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）终止《基金合同》，《基金合同》另有约定的除外；</w:t>
      </w:r>
    </w:p>
    <w:p w14:paraId="69F43F45">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w:t>
      </w:r>
      <w:r>
        <w:rPr>
          <w:rFonts w:asciiTheme="minorEastAsia" w:hAnsiTheme="minorEastAsia"/>
          <w:color w:val="0D0D0D" w:themeColor="text1" w:themeTint="F2"/>
          <w:sz w:val="21"/>
          <w:szCs w:val="21"/>
          <w14:textFill>
            <w14:solidFill>
              <w14:schemeClr w14:val="tx1">
                <w14:lumMod w14:val="95000"/>
                <w14:lumOff w14:val="5000"/>
              </w14:schemeClr>
            </w14:solidFill>
          </w14:textFill>
        </w:rPr>
        <w:t>2</w:t>
      </w: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）更换基金管理人；</w:t>
      </w:r>
    </w:p>
    <w:p w14:paraId="23817E28">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w:t>
      </w:r>
      <w:r>
        <w:rPr>
          <w:rFonts w:asciiTheme="minorEastAsia" w:hAnsiTheme="minorEastAsia"/>
          <w:color w:val="0D0D0D" w:themeColor="text1" w:themeTint="F2"/>
          <w:sz w:val="21"/>
          <w:szCs w:val="21"/>
          <w14:textFill>
            <w14:solidFill>
              <w14:schemeClr w14:val="tx1">
                <w14:lumMod w14:val="95000"/>
                <w14:lumOff w14:val="5000"/>
              </w14:schemeClr>
            </w14:solidFill>
          </w14:textFill>
        </w:rPr>
        <w:t>3</w:t>
      </w: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）更换基金托管人；</w:t>
      </w:r>
    </w:p>
    <w:p w14:paraId="7EA49687">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w:t>
      </w:r>
      <w:r>
        <w:rPr>
          <w:rFonts w:asciiTheme="minorEastAsia" w:hAnsiTheme="minorEastAsia"/>
          <w:color w:val="0D0D0D" w:themeColor="text1" w:themeTint="F2"/>
          <w:sz w:val="21"/>
          <w:szCs w:val="21"/>
          <w14:textFill>
            <w14:solidFill>
              <w14:schemeClr w14:val="tx1">
                <w14:lumMod w14:val="95000"/>
                <w14:lumOff w14:val="5000"/>
              </w14:schemeClr>
            </w14:solidFill>
          </w14:textFill>
        </w:rPr>
        <w:t>4</w:t>
      </w: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）转换基金运作方式；</w:t>
      </w:r>
    </w:p>
    <w:p w14:paraId="4D6AA6E7">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w:t>
      </w:r>
      <w:r>
        <w:rPr>
          <w:rFonts w:asciiTheme="minorEastAsia" w:hAnsiTheme="minorEastAsia"/>
          <w:color w:val="0D0D0D" w:themeColor="text1" w:themeTint="F2"/>
          <w:sz w:val="21"/>
          <w:szCs w:val="21"/>
          <w14:textFill>
            <w14:solidFill>
              <w14:schemeClr w14:val="tx1">
                <w14:lumMod w14:val="95000"/>
                <w14:lumOff w14:val="5000"/>
              </w14:schemeClr>
            </w14:solidFill>
          </w14:textFill>
        </w:rPr>
        <w:t>5</w:t>
      </w: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w:t>
      </w:r>
      <w:r>
        <w:rPr>
          <w:rFonts w:hint="eastAsia"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调整</w:t>
      </w: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基金管理人、基金托管人的报酬标准；</w:t>
      </w:r>
    </w:p>
    <w:p w14:paraId="7726AE08">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w:t>
      </w:r>
      <w:r>
        <w:rPr>
          <w:rFonts w:asciiTheme="minorEastAsia" w:hAnsiTheme="minorEastAsia"/>
          <w:color w:val="0D0D0D" w:themeColor="text1" w:themeTint="F2"/>
          <w:sz w:val="21"/>
          <w:szCs w:val="21"/>
          <w14:textFill>
            <w14:solidFill>
              <w14:schemeClr w14:val="tx1">
                <w14:lumMod w14:val="95000"/>
                <w14:lumOff w14:val="5000"/>
              </w14:schemeClr>
            </w14:solidFill>
          </w14:textFill>
        </w:rPr>
        <w:t>6</w:t>
      </w: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）变更基金类别；</w:t>
      </w:r>
    </w:p>
    <w:p w14:paraId="22A5DE48">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w:t>
      </w:r>
      <w:r>
        <w:rPr>
          <w:rFonts w:asciiTheme="minorEastAsia" w:hAnsiTheme="minorEastAsia"/>
          <w:color w:val="0D0D0D" w:themeColor="text1" w:themeTint="F2"/>
          <w:sz w:val="21"/>
          <w:szCs w:val="21"/>
          <w14:textFill>
            <w14:solidFill>
              <w14:schemeClr w14:val="tx1">
                <w14:lumMod w14:val="95000"/>
                <w14:lumOff w14:val="5000"/>
              </w14:schemeClr>
            </w14:solidFill>
          </w14:textFill>
        </w:rPr>
        <w:t>7</w:t>
      </w: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）本基金与其他基金的合并；</w:t>
      </w:r>
    </w:p>
    <w:p w14:paraId="75CC31CF">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w:t>
      </w:r>
      <w:r>
        <w:rPr>
          <w:rFonts w:asciiTheme="minorEastAsia" w:hAnsiTheme="minorEastAsia"/>
          <w:color w:val="0D0D0D" w:themeColor="text1" w:themeTint="F2"/>
          <w:sz w:val="21"/>
          <w:szCs w:val="21"/>
          <w14:textFill>
            <w14:solidFill>
              <w14:schemeClr w14:val="tx1">
                <w14:lumMod w14:val="95000"/>
                <w14:lumOff w14:val="5000"/>
              </w14:schemeClr>
            </w14:solidFill>
          </w14:textFill>
        </w:rPr>
        <w:t>8</w:t>
      </w: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）变更基金投资目标、范围或策略；</w:t>
      </w:r>
    </w:p>
    <w:p w14:paraId="70D352BC">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w:t>
      </w:r>
      <w:r>
        <w:rPr>
          <w:rFonts w:asciiTheme="minorEastAsia" w:hAnsiTheme="minorEastAsia"/>
          <w:color w:val="0D0D0D" w:themeColor="text1" w:themeTint="F2"/>
          <w:sz w:val="21"/>
          <w:szCs w:val="21"/>
          <w14:textFill>
            <w14:solidFill>
              <w14:schemeClr w14:val="tx1">
                <w14:lumMod w14:val="95000"/>
                <w14:lumOff w14:val="5000"/>
              </w14:schemeClr>
            </w14:solidFill>
          </w14:textFill>
        </w:rPr>
        <w:t>9</w:t>
      </w: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）变更基金份额持有人大会程序；</w:t>
      </w:r>
    </w:p>
    <w:p w14:paraId="06F94A49">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w:t>
      </w:r>
      <w:r>
        <w:rPr>
          <w:rFonts w:asciiTheme="minorEastAsia" w:hAnsiTheme="minorEastAsia"/>
          <w:color w:val="0D0D0D" w:themeColor="text1" w:themeTint="F2"/>
          <w:sz w:val="21"/>
          <w:szCs w:val="21"/>
          <w14:textFill>
            <w14:solidFill>
              <w14:schemeClr w14:val="tx1">
                <w14:lumMod w14:val="95000"/>
                <w14:lumOff w14:val="5000"/>
              </w14:schemeClr>
            </w14:solidFill>
          </w14:textFill>
        </w:rPr>
        <w:t>10</w:t>
      </w: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）基金管理人或基金托管人要求召开基金份额持有人大会；</w:t>
      </w:r>
    </w:p>
    <w:p w14:paraId="44961E10">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w:t>
      </w:r>
      <w:r>
        <w:rPr>
          <w:rFonts w:asciiTheme="minorEastAsia" w:hAnsiTheme="minorEastAsia"/>
          <w:color w:val="0D0D0D" w:themeColor="text1" w:themeTint="F2"/>
          <w:sz w:val="21"/>
          <w:szCs w:val="21"/>
          <w14:textFill>
            <w14:solidFill>
              <w14:schemeClr w14:val="tx1">
                <w14:lumMod w14:val="95000"/>
                <w14:lumOff w14:val="5000"/>
              </w14:schemeClr>
            </w14:solidFill>
          </w14:textFill>
        </w:rPr>
        <w:t>11</w:t>
      </w: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）单独或合计持有本基金总份额</w:t>
      </w:r>
      <w:r>
        <w:rPr>
          <w:rFonts w:asciiTheme="minorEastAsia" w:hAnsiTheme="minorEastAsia"/>
          <w:color w:val="0D0D0D" w:themeColor="text1" w:themeTint="F2"/>
          <w:sz w:val="21"/>
          <w:szCs w:val="21"/>
          <w14:textFill>
            <w14:solidFill>
              <w14:schemeClr w14:val="tx1">
                <w14:lumMod w14:val="95000"/>
                <w14:lumOff w14:val="5000"/>
              </w14:schemeClr>
            </w14:solidFill>
          </w14:textFill>
        </w:rPr>
        <w:t>10%</w:t>
      </w: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以上（含</w:t>
      </w:r>
      <w:r>
        <w:rPr>
          <w:rFonts w:asciiTheme="minorEastAsia" w:hAnsiTheme="minorEastAsia"/>
          <w:color w:val="0D0D0D" w:themeColor="text1" w:themeTint="F2"/>
          <w:sz w:val="21"/>
          <w:szCs w:val="21"/>
          <w14:textFill>
            <w14:solidFill>
              <w14:schemeClr w14:val="tx1">
                <w14:lumMod w14:val="95000"/>
                <w14:lumOff w14:val="5000"/>
              </w14:schemeClr>
            </w14:solidFill>
          </w14:textFill>
        </w:rPr>
        <w:t>10%</w:t>
      </w: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）基金份额的基金份额持有人（以基金管理人收到提议当日的基金份额计算，下同）就同一事项书面要求召开基金份额持有人大会；</w:t>
      </w:r>
    </w:p>
    <w:p w14:paraId="1253C771">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w:t>
      </w:r>
      <w:r>
        <w:rPr>
          <w:rFonts w:asciiTheme="minorEastAsia" w:hAnsiTheme="minorEastAsia"/>
          <w:color w:val="0D0D0D" w:themeColor="text1" w:themeTint="F2"/>
          <w:sz w:val="21"/>
          <w:szCs w:val="21"/>
          <w14:textFill>
            <w14:solidFill>
              <w14:schemeClr w14:val="tx1">
                <w14:lumMod w14:val="95000"/>
                <w14:lumOff w14:val="5000"/>
              </w14:schemeClr>
            </w14:solidFill>
          </w14:textFill>
        </w:rPr>
        <w:t>12</w:t>
      </w: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）对基金</w:t>
      </w:r>
      <w:r>
        <w:rPr>
          <w:rFonts w:hint="eastAsia"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合同</w:t>
      </w: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当事人权利和义务产生重大影响的其他事项；</w:t>
      </w:r>
    </w:p>
    <w:p w14:paraId="29FFE9B6">
      <w:pPr>
        <w:adjustRightInd w:val="0"/>
        <w:snapToGrid w:val="0"/>
        <w:spacing w:line="360" w:lineRule="auto"/>
        <w:ind w:firstLine="420" w:firstLineChars="200"/>
        <w:rPr>
          <w:rFonts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13）终止基金上市，但因基金不再具备上市条件而被上海证券交易所终止上市的除外；</w:t>
      </w:r>
    </w:p>
    <w:p w14:paraId="3AEF6FFE">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14</w:t>
      </w: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）法律法规、《基金合同》或中国证监会规定的其他应当召开基金份额持有人大会的事项。</w:t>
      </w:r>
    </w:p>
    <w:p w14:paraId="16507476">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asciiTheme="minorEastAsia" w:hAnsiTheme="minorEastAsia"/>
          <w:color w:val="0D0D0D" w:themeColor="text1" w:themeTint="F2"/>
          <w:sz w:val="21"/>
          <w:szCs w:val="21"/>
          <w14:textFill>
            <w14:solidFill>
              <w14:schemeClr w14:val="tx1">
                <w14:lumMod w14:val="95000"/>
                <w14:lumOff w14:val="5000"/>
              </w14:schemeClr>
            </w14:solidFill>
          </w14:textFill>
        </w:rPr>
        <w:t>2</w:t>
      </w: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、在法律法规规定和《基金合同》约定的范围内且对基金份额持有人利益无实质性不利影响的前提下，以下情况可由基金管理人和基金托管人协商后修改，不需召开基金份额持有人大会：</w:t>
      </w:r>
      <w:r>
        <w:rPr>
          <w:rFonts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 xml:space="preserve"> </w:t>
      </w:r>
    </w:p>
    <w:p w14:paraId="15C27A44">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w:t>
      </w:r>
      <w:r>
        <w:rPr>
          <w:rFonts w:asciiTheme="minorEastAsia" w:hAnsiTheme="minorEastAsia"/>
          <w:color w:val="0D0D0D" w:themeColor="text1" w:themeTint="F2"/>
          <w:sz w:val="21"/>
          <w:szCs w:val="21"/>
          <w14:textFill>
            <w14:solidFill>
              <w14:schemeClr w14:val="tx1">
                <w14:lumMod w14:val="95000"/>
                <w14:lumOff w14:val="5000"/>
              </w14:schemeClr>
            </w14:solidFill>
          </w14:textFill>
        </w:rPr>
        <w:t>1</w:t>
      </w: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）法律法规要求增加的基金费用的收取；</w:t>
      </w:r>
    </w:p>
    <w:p w14:paraId="4B84D335">
      <w:pPr>
        <w:adjustRightInd w:val="0"/>
        <w:snapToGrid w:val="0"/>
        <w:spacing w:line="360" w:lineRule="auto"/>
        <w:ind w:firstLine="420" w:firstLineChars="200"/>
        <w:rPr>
          <w:rFonts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w:t>
      </w:r>
      <w:r>
        <w:rPr>
          <w:rFonts w:asciiTheme="minorEastAsia" w:hAnsiTheme="minorEastAsia"/>
          <w:color w:val="0D0D0D" w:themeColor="text1" w:themeTint="F2"/>
          <w:sz w:val="21"/>
          <w:szCs w:val="21"/>
          <w14:textFill>
            <w14:solidFill>
              <w14:schemeClr w14:val="tx1">
                <w14:lumMod w14:val="95000"/>
                <w14:lumOff w14:val="5000"/>
              </w14:schemeClr>
            </w14:solidFill>
          </w14:textFill>
        </w:rPr>
        <w:t>2）</w:t>
      </w:r>
      <w:r>
        <w:rPr>
          <w:rFonts w:hint="eastAsia"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调整本基金的申购费率、变更收费方式或调整基金份额类别设置、对基金份额分类办法及规则进行调整；</w:t>
      </w:r>
    </w:p>
    <w:p w14:paraId="6925E0CA">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3）</w:t>
      </w: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因相应的法律法规</w:t>
      </w:r>
      <w:r>
        <w:rPr>
          <w:rFonts w:hint="eastAsia"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、上海证券交易所或者登记机构的相关业务规则</w:t>
      </w: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发生变动而应当对《基金合同》进行修改；</w:t>
      </w:r>
    </w:p>
    <w:p w14:paraId="2038DAE3">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4</w:t>
      </w: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）对《基金合同》的修改对基金份额持有人利益无实质性不利影响或修改不涉及《基金合同》当事人权利义务关系发生</w:t>
      </w:r>
      <w:r>
        <w:rPr>
          <w:rFonts w:hint="eastAsia"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重大</w:t>
      </w: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变化；</w:t>
      </w:r>
    </w:p>
    <w:p w14:paraId="2BE3ACB2">
      <w:pPr>
        <w:adjustRightInd w:val="0"/>
        <w:snapToGrid w:val="0"/>
        <w:spacing w:line="360" w:lineRule="auto"/>
        <w:ind w:firstLine="420" w:firstLineChars="200"/>
        <w:rPr>
          <w:rFonts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5）基金管理人、相关证券交易所和登记机构等调整有关基金申购、赎回、交易、转托管、非交易过户</w:t>
      </w:r>
      <w:r>
        <w:rPr>
          <w:rFonts w:hint="eastAsia"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等业务的规则；</w:t>
      </w:r>
    </w:p>
    <w:p w14:paraId="5D17CE6D">
      <w:pPr>
        <w:adjustRightInd w:val="0"/>
        <w:snapToGrid w:val="0"/>
        <w:spacing w:line="360" w:lineRule="auto"/>
        <w:ind w:firstLine="420" w:firstLineChars="200"/>
        <w:rPr>
          <w:rFonts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（6）经履行相关程序后，基金推出新业务或服务；</w:t>
      </w:r>
    </w:p>
    <w:p w14:paraId="3C60830E">
      <w:pPr>
        <w:adjustRightInd w:val="0"/>
        <w:snapToGrid w:val="0"/>
        <w:spacing w:line="360" w:lineRule="auto"/>
        <w:ind w:firstLine="420" w:firstLineChars="200"/>
        <w:rPr>
          <w:rFonts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（7）调整基金的申购赎回方式及申购对价、赎回对价组成；调整申购赎回清单的内容，调整申购赎回清单计算和公告时间或频率；</w:t>
      </w:r>
    </w:p>
    <w:p w14:paraId="200DA8FD">
      <w:pPr>
        <w:adjustRightInd w:val="0"/>
        <w:snapToGrid w:val="0"/>
        <w:spacing w:line="360" w:lineRule="auto"/>
        <w:ind w:firstLine="420" w:firstLineChars="200"/>
        <w:rPr>
          <w:rFonts w:ascii="宋体" w:hAnsi="宋体"/>
          <w:color w:val="0C0C0C"/>
          <w:sz w:val="21"/>
          <w:szCs w:val="21"/>
        </w:rPr>
      </w:pPr>
      <w:r>
        <w:rPr>
          <w:rFonts w:hint="eastAsia"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（8</w:t>
      </w: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）按照法律法规和《基金合同》规定不需召开基金份额持有人大会的其他情形。</w:t>
      </w:r>
    </w:p>
    <w:p w14:paraId="0CE82FB1">
      <w:pPr>
        <w:adjustRightInd w:val="0"/>
        <w:snapToGrid w:val="0"/>
        <w:spacing w:line="360" w:lineRule="auto"/>
        <w:ind w:firstLine="420" w:firstLineChars="200"/>
        <w:rPr>
          <w:rFonts w:ascii="宋体" w:hAnsi="宋体"/>
          <w:color w:val="0C0C0C"/>
          <w:sz w:val="21"/>
          <w:szCs w:val="21"/>
        </w:rPr>
      </w:pPr>
      <w:r>
        <w:rPr>
          <w:rFonts w:hint="eastAsia" w:ascii="宋体" w:hAnsi="宋体"/>
          <w:color w:val="0C0C0C"/>
          <w:sz w:val="21"/>
          <w:szCs w:val="21"/>
        </w:rPr>
        <w:t>（二）会议召集人及召集方式</w:t>
      </w:r>
    </w:p>
    <w:p w14:paraId="643CBB68">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asciiTheme="minorEastAsia" w:hAnsiTheme="minorEastAsia"/>
          <w:color w:val="0D0D0D" w:themeColor="text1" w:themeTint="F2"/>
          <w:sz w:val="21"/>
          <w:szCs w:val="21"/>
          <w14:textFill>
            <w14:solidFill>
              <w14:schemeClr w14:val="tx1">
                <w14:lumMod w14:val="95000"/>
                <w14:lumOff w14:val="5000"/>
              </w14:schemeClr>
            </w14:solidFill>
          </w14:textFill>
        </w:rPr>
        <w:t>1</w:t>
      </w: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、除法律法规规定或《基金合同》另有约定外，基金份额持有人大会由基金管理人召集</w:t>
      </w:r>
      <w:r>
        <w:rPr>
          <w:rFonts w:hint="eastAsia"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w:t>
      </w:r>
    </w:p>
    <w:p w14:paraId="1B0FE932">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asciiTheme="minorEastAsia" w:hAnsiTheme="minorEastAsia"/>
          <w:color w:val="0D0D0D" w:themeColor="text1" w:themeTint="F2"/>
          <w:sz w:val="21"/>
          <w:szCs w:val="21"/>
          <w14:textFill>
            <w14:solidFill>
              <w14:schemeClr w14:val="tx1">
                <w14:lumMod w14:val="95000"/>
                <w14:lumOff w14:val="5000"/>
              </w14:schemeClr>
            </w14:solidFill>
          </w14:textFill>
        </w:rPr>
        <w:t>2</w:t>
      </w: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、基金管理人未按规定召集或不能</w:t>
      </w:r>
      <w:r>
        <w:rPr>
          <w:rFonts w:hint="eastAsia"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召集</w:t>
      </w: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时，由基金托管人召集</w:t>
      </w:r>
      <w:r>
        <w:rPr>
          <w:rFonts w:hint="eastAsia"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w:t>
      </w:r>
    </w:p>
    <w:p w14:paraId="5652FFB7">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asciiTheme="minorEastAsia" w:hAnsiTheme="minorEastAsia"/>
          <w:color w:val="0D0D0D" w:themeColor="text1" w:themeTint="F2"/>
          <w:sz w:val="21"/>
          <w:szCs w:val="21"/>
          <w14:textFill>
            <w14:solidFill>
              <w14:schemeClr w14:val="tx1">
                <w14:lumMod w14:val="95000"/>
                <w14:lumOff w14:val="5000"/>
              </w14:schemeClr>
            </w14:solidFill>
          </w14:textFill>
        </w:rPr>
        <w:t>3</w:t>
      </w: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、基金托管人认为有必要召开基金份额持有人大会的，应当向基金管理人提出书面提议。基金管理人应当自收到书面提议之日起</w:t>
      </w:r>
      <w:r>
        <w:rPr>
          <w:rFonts w:asciiTheme="minorEastAsia" w:hAnsiTheme="minorEastAsia"/>
          <w:color w:val="0D0D0D" w:themeColor="text1" w:themeTint="F2"/>
          <w:sz w:val="21"/>
          <w:szCs w:val="21"/>
          <w14:textFill>
            <w14:solidFill>
              <w14:schemeClr w14:val="tx1">
                <w14:lumMod w14:val="95000"/>
                <w14:lumOff w14:val="5000"/>
              </w14:schemeClr>
            </w14:solidFill>
          </w14:textFill>
        </w:rPr>
        <w:t xml:space="preserve"> 10日内决定是否召集，并书面告知基金托管人。基金管理人决定召集的，应当自出具书面决定之日起60日内召开；基金管理人决定不召集，</w:t>
      </w: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基金托管人仍认为有必要召开的，应当由基金托管人自行召集，并自出具书面决定之日起</w:t>
      </w:r>
      <w:r>
        <w:rPr>
          <w:rFonts w:asciiTheme="minorEastAsia" w:hAnsiTheme="minorEastAsia"/>
          <w:color w:val="0D0D0D" w:themeColor="text1" w:themeTint="F2"/>
          <w:sz w:val="21"/>
          <w:szCs w:val="21"/>
          <w14:textFill>
            <w14:solidFill>
              <w14:schemeClr w14:val="tx1">
                <w14:lumMod w14:val="95000"/>
                <w14:lumOff w14:val="5000"/>
              </w14:schemeClr>
            </w14:solidFill>
          </w14:textFill>
        </w:rPr>
        <w:t>60日内召开并告知基金管理人，基金管理人应当配合。</w:t>
      </w:r>
    </w:p>
    <w:p w14:paraId="5DD2F4FD">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asciiTheme="minorEastAsia" w:hAnsiTheme="minorEastAsia"/>
          <w:color w:val="0D0D0D" w:themeColor="text1" w:themeTint="F2"/>
          <w:sz w:val="21"/>
          <w:szCs w:val="21"/>
          <w14:textFill>
            <w14:solidFill>
              <w14:schemeClr w14:val="tx1">
                <w14:lumMod w14:val="95000"/>
                <w14:lumOff w14:val="5000"/>
              </w14:schemeClr>
            </w14:solidFill>
          </w14:textFill>
        </w:rPr>
        <w:t>4</w:t>
      </w: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、代表基金份额</w:t>
      </w:r>
      <w:r>
        <w:rPr>
          <w:rFonts w:asciiTheme="minorEastAsia" w:hAnsiTheme="minorEastAsia"/>
          <w:color w:val="0D0D0D" w:themeColor="text1" w:themeTint="F2"/>
          <w:sz w:val="21"/>
          <w:szCs w:val="21"/>
          <w14:textFill>
            <w14:solidFill>
              <w14:schemeClr w14:val="tx1">
                <w14:lumMod w14:val="95000"/>
                <w14:lumOff w14:val="5000"/>
              </w14:schemeClr>
            </w14:solidFill>
          </w14:textFill>
        </w:rPr>
        <w:t>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w:t>
      </w: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日内召开并告知基金管理人，基金管理人应当配合。</w:t>
      </w:r>
    </w:p>
    <w:p w14:paraId="2F726D36">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asciiTheme="minorEastAsia" w:hAnsiTheme="minorEastAsia"/>
          <w:color w:val="0D0D0D" w:themeColor="text1" w:themeTint="F2"/>
          <w:sz w:val="21"/>
          <w:szCs w:val="21"/>
          <w14:textFill>
            <w14:solidFill>
              <w14:schemeClr w14:val="tx1">
                <w14:lumMod w14:val="95000"/>
                <w14:lumOff w14:val="5000"/>
              </w14:schemeClr>
            </w14:solidFill>
          </w14:textFill>
        </w:rPr>
        <w:t>5</w:t>
      </w: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、代表基金份额</w:t>
      </w:r>
      <w:r>
        <w:rPr>
          <w:rFonts w:asciiTheme="minorEastAsia" w:hAnsiTheme="minorEastAsia"/>
          <w:color w:val="0D0D0D" w:themeColor="text1" w:themeTint="F2"/>
          <w:sz w:val="21"/>
          <w:szCs w:val="21"/>
          <w14:textFill>
            <w14:solidFill>
              <w14:schemeClr w14:val="tx1">
                <w14:lumMod w14:val="95000"/>
                <w14:lumOff w14:val="5000"/>
              </w14:schemeClr>
            </w14:solidFill>
          </w14:textFill>
        </w:rPr>
        <w:t>10%以上（含10%）的基金份额持有人就同一事项要求召开基金份额持有人大会，而基金管理人、基金托管人都不召集的，单独或合计代表基金份额10%以上（含10%）的基金份额持有人有权自行召集，并至少提前30</w:t>
      </w: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日报中国证监会备案。基金份额持有人依法自行召集基金份额持有人大会的，基金管理人、基金托管人应当配合，不得阻碍、干扰。</w:t>
      </w:r>
    </w:p>
    <w:p w14:paraId="40F1089F">
      <w:pPr>
        <w:adjustRightInd w:val="0"/>
        <w:snapToGrid w:val="0"/>
        <w:spacing w:line="360" w:lineRule="auto"/>
        <w:ind w:firstLine="420" w:firstLineChars="200"/>
        <w:rPr>
          <w:rFonts w:ascii="宋体" w:hAnsi="宋体"/>
          <w:color w:val="0C0C0C"/>
          <w:sz w:val="21"/>
          <w:szCs w:val="21"/>
        </w:rPr>
      </w:pPr>
      <w:r>
        <w:rPr>
          <w:rFonts w:asciiTheme="minorEastAsia" w:hAnsiTheme="minorEastAsia"/>
          <w:color w:val="0D0D0D" w:themeColor="text1" w:themeTint="F2"/>
          <w:sz w:val="21"/>
          <w:szCs w:val="21"/>
          <w14:textFill>
            <w14:solidFill>
              <w14:schemeClr w14:val="tx1">
                <w14:lumMod w14:val="95000"/>
                <w14:lumOff w14:val="5000"/>
              </w14:schemeClr>
            </w14:solidFill>
          </w14:textFill>
        </w:rPr>
        <w:t>6</w:t>
      </w: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、基金份额持有人会议的召集人负责选择确定开会时间、地点、方式和权益登记日。</w:t>
      </w:r>
    </w:p>
    <w:p w14:paraId="5C226D2C">
      <w:pPr>
        <w:adjustRightInd w:val="0"/>
        <w:snapToGrid w:val="0"/>
        <w:spacing w:line="360" w:lineRule="auto"/>
        <w:ind w:firstLine="420" w:firstLineChars="200"/>
        <w:rPr>
          <w:rFonts w:ascii="宋体" w:hAnsi="宋体"/>
          <w:color w:val="0C0C0C"/>
          <w:sz w:val="21"/>
          <w:szCs w:val="21"/>
        </w:rPr>
      </w:pPr>
      <w:r>
        <w:rPr>
          <w:rFonts w:hint="eastAsia" w:ascii="宋体" w:hAnsi="宋体"/>
          <w:color w:val="0C0C0C"/>
          <w:sz w:val="21"/>
          <w:szCs w:val="21"/>
        </w:rPr>
        <w:t>（三）召开基金份额持有人大会的通知时间、通知内容、通知方式</w:t>
      </w:r>
    </w:p>
    <w:p w14:paraId="398D5309">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asciiTheme="minorEastAsia" w:hAnsiTheme="minorEastAsia"/>
          <w:color w:val="0D0D0D" w:themeColor="text1" w:themeTint="F2"/>
          <w:sz w:val="21"/>
          <w:szCs w:val="21"/>
          <w14:textFill>
            <w14:solidFill>
              <w14:schemeClr w14:val="tx1">
                <w14:lumMod w14:val="95000"/>
                <w14:lumOff w14:val="5000"/>
              </w14:schemeClr>
            </w14:solidFill>
          </w14:textFill>
        </w:rPr>
        <w:t>1</w:t>
      </w: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、召开基金份额持有人大会，召集人应于会议召开前</w:t>
      </w:r>
      <w:r>
        <w:rPr>
          <w:rFonts w:asciiTheme="minorEastAsia" w:hAnsiTheme="minorEastAsia"/>
          <w:color w:val="0D0D0D" w:themeColor="text1" w:themeTint="F2"/>
          <w:sz w:val="21"/>
          <w:szCs w:val="21"/>
          <w14:textFill>
            <w14:solidFill>
              <w14:schemeClr w14:val="tx1">
                <w14:lumMod w14:val="95000"/>
                <w14:lumOff w14:val="5000"/>
              </w14:schemeClr>
            </w14:solidFill>
          </w14:textFill>
        </w:rPr>
        <w:t>30日，在规定媒介公告。基金份额持有人大会通知应至少载明以下内容：</w:t>
      </w:r>
    </w:p>
    <w:p w14:paraId="43231833">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w:t>
      </w:r>
      <w:r>
        <w:rPr>
          <w:rFonts w:asciiTheme="minorEastAsia" w:hAnsiTheme="minorEastAsia"/>
          <w:color w:val="0D0D0D" w:themeColor="text1" w:themeTint="F2"/>
          <w:sz w:val="21"/>
          <w:szCs w:val="21"/>
          <w14:textFill>
            <w14:solidFill>
              <w14:schemeClr w14:val="tx1">
                <w14:lumMod w14:val="95000"/>
                <w14:lumOff w14:val="5000"/>
              </w14:schemeClr>
            </w14:solidFill>
          </w14:textFill>
        </w:rPr>
        <w:t>1</w:t>
      </w: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）会议召开的时间、地点和会议形式；</w:t>
      </w:r>
    </w:p>
    <w:p w14:paraId="0A33ECCD">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w:t>
      </w:r>
      <w:r>
        <w:rPr>
          <w:rFonts w:asciiTheme="minorEastAsia" w:hAnsiTheme="minorEastAsia"/>
          <w:color w:val="0D0D0D" w:themeColor="text1" w:themeTint="F2"/>
          <w:sz w:val="21"/>
          <w:szCs w:val="21"/>
          <w14:textFill>
            <w14:solidFill>
              <w14:schemeClr w14:val="tx1">
                <w14:lumMod w14:val="95000"/>
                <w14:lumOff w14:val="5000"/>
              </w14:schemeClr>
            </w14:solidFill>
          </w14:textFill>
        </w:rPr>
        <w:t>2</w:t>
      </w: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）会议拟审议的事项、议事程序和表决方式；</w:t>
      </w:r>
    </w:p>
    <w:p w14:paraId="366BC57D">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w:t>
      </w:r>
      <w:r>
        <w:rPr>
          <w:rFonts w:asciiTheme="minorEastAsia" w:hAnsiTheme="minorEastAsia"/>
          <w:color w:val="0D0D0D" w:themeColor="text1" w:themeTint="F2"/>
          <w:sz w:val="21"/>
          <w:szCs w:val="21"/>
          <w14:textFill>
            <w14:solidFill>
              <w14:schemeClr w14:val="tx1">
                <w14:lumMod w14:val="95000"/>
                <w14:lumOff w14:val="5000"/>
              </w14:schemeClr>
            </w14:solidFill>
          </w14:textFill>
        </w:rPr>
        <w:t>3</w:t>
      </w: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）有权出席基金份额持有人大会的基金份额持有人的权益登记日；</w:t>
      </w:r>
    </w:p>
    <w:p w14:paraId="60F41AC2">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w:t>
      </w:r>
      <w:r>
        <w:rPr>
          <w:rFonts w:asciiTheme="minorEastAsia" w:hAnsiTheme="minorEastAsia"/>
          <w:color w:val="0D0D0D" w:themeColor="text1" w:themeTint="F2"/>
          <w:sz w:val="21"/>
          <w:szCs w:val="21"/>
          <w14:textFill>
            <w14:solidFill>
              <w14:schemeClr w14:val="tx1">
                <w14:lumMod w14:val="95000"/>
                <w14:lumOff w14:val="5000"/>
              </w14:schemeClr>
            </w14:solidFill>
          </w14:textFill>
        </w:rPr>
        <w:t>4</w:t>
      </w: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）授权委托证明的内容要求（包括但不限于代理人身份，代理权限和代理有效期限等）、送达时间和地点</w:t>
      </w:r>
      <w:r>
        <w:rPr>
          <w:rFonts w:hint="eastAsia"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w:t>
      </w:r>
    </w:p>
    <w:p w14:paraId="53526787">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w:t>
      </w:r>
      <w:r>
        <w:rPr>
          <w:rFonts w:asciiTheme="minorEastAsia" w:hAnsiTheme="minorEastAsia"/>
          <w:color w:val="0D0D0D" w:themeColor="text1" w:themeTint="F2"/>
          <w:sz w:val="21"/>
          <w:szCs w:val="21"/>
          <w14:textFill>
            <w14:solidFill>
              <w14:schemeClr w14:val="tx1">
                <w14:lumMod w14:val="95000"/>
                <w14:lumOff w14:val="5000"/>
              </w14:schemeClr>
            </w14:solidFill>
          </w14:textFill>
        </w:rPr>
        <w:t>5</w:t>
      </w: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）会务常设联系人姓名及联系电话；</w:t>
      </w:r>
    </w:p>
    <w:p w14:paraId="50552494">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w:t>
      </w:r>
      <w:r>
        <w:rPr>
          <w:rFonts w:asciiTheme="minorEastAsia" w:hAnsiTheme="minorEastAsia"/>
          <w:color w:val="0D0D0D" w:themeColor="text1" w:themeTint="F2"/>
          <w:sz w:val="21"/>
          <w:szCs w:val="21"/>
          <w14:textFill>
            <w14:solidFill>
              <w14:schemeClr w14:val="tx1">
                <w14:lumMod w14:val="95000"/>
                <w14:lumOff w14:val="5000"/>
              </w14:schemeClr>
            </w14:solidFill>
          </w14:textFill>
        </w:rPr>
        <w:t>6</w:t>
      </w: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）出席会议者必须准备的文件和必须履行的手续；</w:t>
      </w:r>
    </w:p>
    <w:p w14:paraId="5152EDB7">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w:t>
      </w:r>
      <w:r>
        <w:rPr>
          <w:rFonts w:asciiTheme="minorEastAsia" w:hAnsiTheme="minorEastAsia"/>
          <w:color w:val="0D0D0D" w:themeColor="text1" w:themeTint="F2"/>
          <w:sz w:val="21"/>
          <w:szCs w:val="21"/>
          <w14:textFill>
            <w14:solidFill>
              <w14:schemeClr w14:val="tx1">
                <w14:lumMod w14:val="95000"/>
                <w14:lumOff w14:val="5000"/>
              </w14:schemeClr>
            </w14:solidFill>
          </w14:textFill>
        </w:rPr>
        <w:t>7</w:t>
      </w: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）召集人需要通知的其他事项。</w:t>
      </w:r>
    </w:p>
    <w:p w14:paraId="1FEA67CD">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asciiTheme="minorEastAsia" w:hAnsiTheme="minorEastAsia"/>
          <w:color w:val="0D0D0D" w:themeColor="text1" w:themeTint="F2"/>
          <w:sz w:val="21"/>
          <w:szCs w:val="21"/>
          <w14:textFill>
            <w14:solidFill>
              <w14:schemeClr w14:val="tx1">
                <w14:lumMod w14:val="95000"/>
                <w14:lumOff w14:val="5000"/>
              </w14:schemeClr>
            </w14:solidFill>
          </w14:textFill>
        </w:rPr>
        <w:t>2</w:t>
      </w: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、采取通讯开会方式并进行表决的情况下，由会议召集人决定在会议通知中说明本次基金份额持有人大会所采取的具体通讯方式、委托的公证机关及其联系方式和联系人、表决意见寄交的截止时间和收取方式。</w:t>
      </w:r>
    </w:p>
    <w:p w14:paraId="44EED488">
      <w:pPr>
        <w:adjustRightInd w:val="0"/>
        <w:snapToGrid w:val="0"/>
        <w:spacing w:line="360" w:lineRule="auto"/>
        <w:ind w:firstLine="420" w:firstLineChars="200"/>
        <w:rPr>
          <w:rFonts w:ascii="宋体" w:hAnsi="宋体"/>
          <w:color w:val="0C0C0C"/>
          <w:sz w:val="21"/>
          <w:szCs w:val="21"/>
        </w:rPr>
      </w:pPr>
      <w:r>
        <w:rPr>
          <w:rFonts w:asciiTheme="minorEastAsia" w:hAnsiTheme="minorEastAsia"/>
          <w:color w:val="0D0D0D" w:themeColor="text1" w:themeTint="F2"/>
          <w:sz w:val="21"/>
          <w:szCs w:val="21"/>
          <w14:textFill>
            <w14:solidFill>
              <w14:schemeClr w14:val="tx1">
                <w14:lumMod w14:val="95000"/>
                <w14:lumOff w14:val="5000"/>
              </w14:schemeClr>
            </w14:solidFill>
          </w14:textFill>
        </w:rPr>
        <w:t>3</w:t>
      </w: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14:paraId="04FEAD8C">
      <w:pPr>
        <w:adjustRightInd w:val="0"/>
        <w:snapToGrid w:val="0"/>
        <w:spacing w:line="360" w:lineRule="auto"/>
        <w:ind w:firstLine="420" w:firstLineChars="200"/>
        <w:rPr>
          <w:rFonts w:ascii="宋体" w:hAnsi="宋体"/>
          <w:color w:val="0C0C0C"/>
          <w:sz w:val="21"/>
          <w:szCs w:val="21"/>
        </w:rPr>
      </w:pPr>
      <w:r>
        <w:rPr>
          <w:rFonts w:hint="eastAsia" w:ascii="宋体" w:hAnsi="宋体"/>
          <w:color w:val="0C0C0C"/>
          <w:sz w:val="21"/>
          <w:szCs w:val="21"/>
        </w:rPr>
        <w:t>（四）基金份额持有人出席会议的方式</w:t>
      </w:r>
    </w:p>
    <w:p w14:paraId="47149201">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基金份额持有人大会可通过现场开会方式、通讯开会方式或法律法规、监管机构允许的其他方式召开，会议的召开方式由会议召集人确定。</w:t>
      </w:r>
    </w:p>
    <w:p w14:paraId="748DE7D1">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asciiTheme="minorEastAsia" w:hAnsiTheme="minorEastAsia"/>
          <w:color w:val="0D0D0D" w:themeColor="text1" w:themeTint="F2"/>
          <w:sz w:val="21"/>
          <w:szCs w:val="21"/>
          <w14:textFill>
            <w14:solidFill>
              <w14:schemeClr w14:val="tx1">
                <w14:lumMod w14:val="95000"/>
                <w14:lumOff w14:val="5000"/>
              </w14:schemeClr>
            </w14:solidFill>
          </w14:textFill>
        </w:rPr>
        <w:t>1</w:t>
      </w: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14:paraId="5B6545A2">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w:t>
      </w:r>
      <w:r>
        <w:rPr>
          <w:rFonts w:asciiTheme="minorEastAsia" w:hAnsiTheme="minorEastAsia"/>
          <w:color w:val="0D0D0D" w:themeColor="text1" w:themeTint="F2"/>
          <w:sz w:val="21"/>
          <w:szCs w:val="21"/>
          <w14:textFill>
            <w14:solidFill>
              <w14:schemeClr w14:val="tx1">
                <w14:lumMod w14:val="95000"/>
                <w14:lumOff w14:val="5000"/>
              </w14:schemeClr>
            </w14:solidFill>
          </w14:textFill>
        </w:rPr>
        <w:t>1</w:t>
      </w: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14:paraId="5D77FFB7">
      <w:pPr>
        <w:adjustRightInd w:val="0"/>
        <w:snapToGrid w:val="0"/>
        <w:spacing w:line="360" w:lineRule="auto"/>
        <w:ind w:firstLine="420" w:firstLineChars="200"/>
        <w:rPr>
          <w:rFonts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w:t>
      </w:r>
      <w:r>
        <w:rPr>
          <w:rFonts w:asciiTheme="minorEastAsia" w:hAnsiTheme="minorEastAsia"/>
          <w:color w:val="0D0D0D" w:themeColor="text1" w:themeTint="F2"/>
          <w:sz w:val="21"/>
          <w:szCs w:val="21"/>
          <w14:textFill>
            <w14:solidFill>
              <w14:schemeClr w14:val="tx1">
                <w14:lumMod w14:val="95000"/>
                <w14:lumOff w14:val="5000"/>
              </w14:schemeClr>
            </w14:solidFill>
          </w14:textFill>
        </w:rPr>
        <w:t>2</w:t>
      </w: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）经核对，汇总到会者出示的在权益登记日持有基金份额的凭证显示，有效的基金份额不少于本基金在权益登记日基金总份额的二分之一（含二分之一）。</w:t>
      </w:r>
    </w:p>
    <w:p w14:paraId="1888F1FE">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若到会者在权益登记日代表的有效的基金份额少于本基金在权益登记日基金总份额的二分之一，召集人可以在原公告的基金份额持有人大会召开时间的</w:t>
      </w:r>
      <w:r>
        <w:rPr>
          <w:rFonts w:asciiTheme="minorEastAsia" w:hAnsiTheme="minorEastAsia"/>
          <w:color w:val="0D0D0D" w:themeColor="text1" w:themeTint="F2"/>
          <w:sz w:val="21"/>
          <w:szCs w:val="21"/>
          <w14:textFill>
            <w14:solidFill>
              <w14:schemeClr w14:val="tx1">
                <w14:lumMod w14:val="95000"/>
                <w14:lumOff w14:val="5000"/>
              </w14:schemeClr>
            </w14:solidFill>
          </w14:textFill>
        </w:rPr>
        <w:t>3个月以后、6个月以内，就原定审议事项重新召集基金份额持有人大会。重新召集的基金份额持有人大会到会者在权益登记日代表的有效的基金份额应不少于本基金在权益登记日基金总份额的三分之一（含三分之一）。</w:t>
      </w:r>
    </w:p>
    <w:p w14:paraId="5CB0FE6C">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asciiTheme="minorEastAsia" w:hAnsiTheme="minorEastAsia"/>
          <w:color w:val="0D0D0D" w:themeColor="text1" w:themeTint="F2"/>
          <w:sz w:val="21"/>
          <w:szCs w:val="21"/>
          <w14:textFill>
            <w14:solidFill>
              <w14:schemeClr w14:val="tx1">
                <w14:lumMod w14:val="95000"/>
                <w14:lumOff w14:val="5000"/>
              </w14:schemeClr>
            </w14:solidFill>
          </w14:textFill>
        </w:rPr>
        <w:t>2</w:t>
      </w: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通讯开会。通讯开会系指基金份额持有人将其对表决事项的投票以书面形式或基金份额持有人大会公告载明的其他方式在表决截止日以前送达至召集人指定的地址。通讯开会应以书面方式或基金份额持有人大会公告载明的其他方式进行表决。</w:t>
      </w:r>
    </w:p>
    <w:p w14:paraId="516779F1">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在同时符合以下条件时，通讯开会的方式视为有效：</w:t>
      </w:r>
    </w:p>
    <w:p w14:paraId="5512FF16">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w:t>
      </w:r>
      <w:r>
        <w:rPr>
          <w:rFonts w:asciiTheme="minorEastAsia" w:hAnsiTheme="minorEastAsia"/>
          <w:color w:val="0D0D0D" w:themeColor="text1" w:themeTint="F2"/>
          <w:sz w:val="21"/>
          <w:szCs w:val="21"/>
          <w14:textFill>
            <w14:solidFill>
              <w14:schemeClr w14:val="tx1">
                <w14:lumMod w14:val="95000"/>
                <w14:lumOff w14:val="5000"/>
              </w14:schemeClr>
            </w14:solidFill>
          </w14:textFill>
        </w:rPr>
        <w:t>1</w:t>
      </w: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）会议召集人按《基金合同》约定公布会议通知后，在</w:t>
      </w:r>
      <w:r>
        <w:rPr>
          <w:rFonts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 xml:space="preserve"> </w:t>
      </w:r>
      <w:r>
        <w:rPr>
          <w:rFonts w:asciiTheme="minorEastAsia" w:hAnsiTheme="minorEastAsia"/>
          <w:color w:val="0D0D0D" w:themeColor="text1" w:themeTint="F2"/>
          <w:sz w:val="21"/>
          <w:szCs w:val="21"/>
          <w14:textFill>
            <w14:solidFill>
              <w14:schemeClr w14:val="tx1">
                <w14:lumMod w14:val="95000"/>
                <w14:lumOff w14:val="5000"/>
              </w14:schemeClr>
            </w14:solidFill>
          </w14:textFill>
        </w:rPr>
        <w:t>2个工作日内连续公布相关提示性公告；</w:t>
      </w:r>
    </w:p>
    <w:p w14:paraId="531391CF">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w:t>
      </w:r>
      <w:r>
        <w:rPr>
          <w:rFonts w:asciiTheme="minorEastAsia" w:hAnsiTheme="minorEastAsia"/>
          <w:color w:val="0D0D0D" w:themeColor="text1" w:themeTint="F2"/>
          <w:sz w:val="21"/>
          <w:szCs w:val="21"/>
          <w14:textFill>
            <w14:solidFill>
              <w14:schemeClr w14:val="tx1">
                <w14:lumMod w14:val="95000"/>
                <w14:lumOff w14:val="5000"/>
              </w14:schemeClr>
            </w14:solidFill>
          </w14:textFill>
        </w:rPr>
        <w:t>2</w:t>
      </w: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14:paraId="20599A25">
      <w:pPr>
        <w:adjustRightInd w:val="0"/>
        <w:snapToGrid w:val="0"/>
        <w:spacing w:line="360" w:lineRule="auto"/>
        <w:ind w:firstLine="420" w:firstLineChars="200"/>
        <w:rPr>
          <w:rFonts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w:t>
      </w:r>
      <w:r>
        <w:rPr>
          <w:rFonts w:asciiTheme="minorEastAsia" w:hAnsiTheme="minorEastAsia"/>
          <w:color w:val="0D0D0D" w:themeColor="text1" w:themeTint="F2"/>
          <w:sz w:val="21"/>
          <w:szCs w:val="21"/>
          <w14:textFill>
            <w14:solidFill>
              <w14:schemeClr w14:val="tx1">
                <w14:lumMod w14:val="95000"/>
                <w14:lumOff w14:val="5000"/>
              </w14:schemeClr>
            </w14:solidFill>
          </w14:textFill>
        </w:rPr>
        <w:t>3</w:t>
      </w: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）本人直接出具</w:t>
      </w:r>
      <w:r>
        <w:rPr>
          <w:rFonts w:hint="eastAsia"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表决</w:t>
      </w: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意见或授权他人代表出具</w:t>
      </w:r>
      <w:r>
        <w:rPr>
          <w:rFonts w:hint="eastAsia"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表决</w:t>
      </w: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意见的，基金份额持有人所持有的基金份额不小于在权益登记日基金总份额的二分之一（含二分之一）；</w:t>
      </w:r>
    </w:p>
    <w:p w14:paraId="1F942657">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若本人直接出具</w:t>
      </w:r>
      <w:r>
        <w:rPr>
          <w:rFonts w:hint="eastAsia"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表决</w:t>
      </w: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意见或授权他人代表出具</w:t>
      </w:r>
      <w:r>
        <w:rPr>
          <w:rFonts w:hint="eastAsia"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表决</w:t>
      </w: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意见基金份额持有人所持有的基金份额小于在权益登记日基金总份额的二分之一，召集人可以在原公告的基金份额持有人大会召开时间的</w:t>
      </w:r>
      <w:r>
        <w:rPr>
          <w:rFonts w:asciiTheme="minorEastAsia" w:hAnsiTheme="minorEastAsia"/>
          <w:color w:val="0D0D0D" w:themeColor="text1" w:themeTint="F2"/>
          <w:sz w:val="21"/>
          <w:szCs w:val="21"/>
          <w14:textFill>
            <w14:solidFill>
              <w14:schemeClr w14:val="tx1">
                <w14:lumMod w14:val="95000"/>
                <w14:lumOff w14:val="5000"/>
              </w14:schemeClr>
            </w14:solidFill>
          </w14:textFill>
        </w:rPr>
        <w:t>3个月以后、6个月以内，就原定审议事项重新召集基金份额持有人大会。重新召集的基金份额持有人大会应当有代表三分之一以上（含三分之一）基金份额的持有人直接</w:t>
      </w: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出具</w:t>
      </w:r>
      <w:r>
        <w:rPr>
          <w:rFonts w:hint="eastAsia"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表决</w:t>
      </w: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意见或授权他人代表出具</w:t>
      </w:r>
      <w:r>
        <w:rPr>
          <w:rFonts w:hint="eastAsia"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表决</w:t>
      </w: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意见；</w:t>
      </w:r>
    </w:p>
    <w:p w14:paraId="6A877073">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w:t>
      </w:r>
      <w:r>
        <w:rPr>
          <w:rFonts w:asciiTheme="minorEastAsia" w:hAnsiTheme="minorEastAsia"/>
          <w:color w:val="0D0D0D" w:themeColor="text1" w:themeTint="F2"/>
          <w:sz w:val="21"/>
          <w:szCs w:val="21"/>
          <w14:textFill>
            <w14:solidFill>
              <w14:schemeClr w14:val="tx1">
                <w14:lumMod w14:val="95000"/>
                <w14:lumOff w14:val="5000"/>
              </w14:schemeClr>
            </w14:solidFill>
          </w14:textFill>
        </w:rPr>
        <w:t>4</w:t>
      </w: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）上述第（</w:t>
      </w:r>
      <w:r>
        <w:rPr>
          <w:rFonts w:asciiTheme="minorEastAsia" w:hAnsiTheme="minorEastAsia"/>
          <w:color w:val="0D0D0D" w:themeColor="text1" w:themeTint="F2"/>
          <w:sz w:val="21"/>
          <w:szCs w:val="21"/>
          <w14:textFill>
            <w14:solidFill>
              <w14:schemeClr w14:val="tx1">
                <w14:lumMod w14:val="95000"/>
                <w14:lumOff w14:val="5000"/>
              </w14:schemeClr>
            </w14:solidFill>
          </w14:textFill>
        </w:rPr>
        <w:t>3</w:t>
      </w: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）项中直接出具</w:t>
      </w:r>
      <w:r>
        <w:rPr>
          <w:rFonts w:hint="eastAsia"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表决</w:t>
      </w: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意见的基金份额持有人或受托代表他人出具</w:t>
      </w:r>
      <w:r>
        <w:rPr>
          <w:rFonts w:hint="eastAsia"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表决</w:t>
      </w: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意见的代理人，同时提交的持有基金份额的凭证、受托出具</w:t>
      </w:r>
      <w:r>
        <w:rPr>
          <w:rFonts w:hint="eastAsia"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表决</w:t>
      </w: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意见的代理人出具的委托人持有基金份额的凭证及委托人的代理投票授权委托证明符合法律法规、《基金合同》和会议通知的规定，并与基金登记机构记录相符</w:t>
      </w:r>
      <w:r>
        <w:rPr>
          <w:rFonts w:hint="eastAsia"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w:t>
      </w:r>
    </w:p>
    <w:p w14:paraId="36947D85">
      <w:pPr>
        <w:adjustRightInd w:val="0"/>
        <w:snapToGrid w:val="0"/>
        <w:spacing w:line="360" w:lineRule="auto"/>
        <w:ind w:firstLine="420" w:firstLineChars="200"/>
        <w:rPr>
          <w:rFonts w:ascii="宋体" w:hAnsi="宋体"/>
          <w:color w:val="0C0C0C"/>
          <w:sz w:val="21"/>
          <w:szCs w:val="21"/>
        </w:rPr>
      </w:pPr>
      <w:r>
        <w:rPr>
          <w:rFonts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 xml:space="preserve"> 3、在不违反法律法规或监管机构规定的情况下，经会议通知载明，本基金亦可采用网络、电话等其他非现场方式或者以非现场方式与现场方式结合的方式召开基金份额持有人大会，基金份额持有人可以采用书面、网络、电话、短信或其他方式进行表决，或者采用网络、电话或其他方式授权他人代为出席会议并表决，会议程序比照现场开会和通讯方式开会的程序进行。</w:t>
      </w:r>
    </w:p>
    <w:p w14:paraId="3D82669B">
      <w:pPr>
        <w:adjustRightInd w:val="0"/>
        <w:snapToGrid w:val="0"/>
        <w:spacing w:line="360" w:lineRule="auto"/>
        <w:ind w:firstLine="420" w:firstLineChars="200"/>
        <w:rPr>
          <w:rFonts w:ascii="宋体" w:hAnsi="宋体"/>
          <w:color w:val="0C0C0C"/>
          <w:sz w:val="21"/>
          <w:szCs w:val="21"/>
        </w:rPr>
      </w:pPr>
      <w:r>
        <w:rPr>
          <w:rFonts w:hint="eastAsia" w:ascii="宋体" w:hAnsi="宋体"/>
          <w:color w:val="0C0C0C"/>
          <w:sz w:val="21"/>
          <w:szCs w:val="21"/>
        </w:rPr>
        <w:t>（五）议事内容与程序</w:t>
      </w:r>
    </w:p>
    <w:p w14:paraId="688F0F6F">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asciiTheme="minorEastAsia" w:hAnsiTheme="minorEastAsia"/>
          <w:color w:val="0D0D0D" w:themeColor="text1" w:themeTint="F2"/>
          <w:sz w:val="21"/>
          <w:szCs w:val="21"/>
          <w14:textFill>
            <w14:solidFill>
              <w14:schemeClr w14:val="tx1">
                <w14:lumMod w14:val="95000"/>
                <w14:lumOff w14:val="5000"/>
              </w14:schemeClr>
            </w14:solidFill>
          </w14:textFill>
        </w:rPr>
        <w:t>1</w:t>
      </w: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、议事内容及提案权</w:t>
      </w:r>
    </w:p>
    <w:p w14:paraId="1DAC5AA0">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w:t>
      </w:r>
    </w:p>
    <w:p w14:paraId="02C4734C">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基金份额持有人大会的召集人发出召集会议的通知后，对原有提案的修改应当在基金份额持有人大会召开前及时公告。</w:t>
      </w:r>
    </w:p>
    <w:p w14:paraId="3422F46B">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基金份额持有人大会不得对未事先公告的议事内容进行表决。</w:t>
      </w:r>
    </w:p>
    <w:p w14:paraId="7A3824A9">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asciiTheme="minorEastAsia" w:hAnsiTheme="minorEastAsia"/>
          <w:color w:val="0D0D0D" w:themeColor="text1" w:themeTint="F2"/>
          <w:sz w:val="21"/>
          <w:szCs w:val="21"/>
          <w14:textFill>
            <w14:solidFill>
              <w14:schemeClr w14:val="tx1">
                <w14:lumMod w14:val="95000"/>
                <w14:lumOff w14:val="5000"/>
              </w14:schemeClr>
            </w14:solidFill>
          </w14:textFill>
        </w:rPr>
        <w:t>2</w:t>
      </w: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、议事程序</w:t>
      </w:r>
    </w:p>
    <w:p w14:paraId="18AA3AC1">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w:t>
      </w:r>
      <w:r>
        <w:rPr>
          <w:rFonts w:asciiTheme="minorEastAsia" w:hAnsiTheme="minorEastAsia"/>
          <w:color w:val="0D0D0D" w:themeColor="text1" w:themeTint="F2"/>
          <w:sz w:val="21"/>
          <w:szCs w:val="21"/>
          <w14:textFill>
            <w14:solidFill>
              <w14:schemeClr w14:val="tx1">
                <w14:lumMod w14:val="95000"/>
                <w14:lumOff w14:val="5000"/>
              </w14:schemeClr>
            </w14:solidFill>
          </w14:textFill>
        </w:rPr>
        <w:t>1</w:t>
      </w: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）现场开会</w:t>
      </w:r>
    </w:p>
    <w:p w14:paraId="3EAA7E02">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在现场开会的方式下，首先由大会主持人按照下列第（七）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w:t>
      </w:r>
      <w:r>
        <w:rPr>
          <w:rFonts w:hint="eastAsia"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二分之一</w:t>
      </w: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以上（含</w:t>
      </w:r>
      <w:r>
        <w:rPr>
          <w:rFonts w:hint="eastAsia"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二分之一</w:t>
      </w: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）选举产生一名基金份额持有人作为该次基金份额持有人大会的主持人。基金管理人和基金托管人拒不出席或主持基金份额持有人大会，不影响基金份额持有人大会作出的决议的效力。</w:t>
      </w:r>
    </w:p>
    <w:p w14:paraId="707813E4">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会议召集人应当制作出席会议人员的签名册。签名册载明参加会议人员姓名（或单位名称）、身份证明文件号码、持有或代表有表决权的基金份额、委托人姓名（或单位名称）和联系方式等事项。</w:t>
      </w:r>
    </w:p>
    <w:p w14:paraId="6E5F1CA7">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w:t>
      </w:r>
      <w:r>
        <w:rPr>
          <w:rFonts w:asciiTheme="minorEastAsia" w:hAnsiTheme="minorEastAsia"/>
          <w:color w:val="0D0D0D" w:themeColor="text1" w:themeTint="F2"/>
          <w:sz w:val="21"/>
          <w:szCs w:val="21"/>
          <w14:textFill>
            <w14:solidFill>
              <w14:schemeClr w14:val="tx1">
                <w14:lumMod w14:val="95000"/>
                <w14:lumOff w14:val="5000"/>
              </w14:schemeClr>
            </w14:solidFill>
          </w14:textFill>
        </w:rPr>
        <w:t>2</w:t>
      </w: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）通讯开会</w:t>
      </w:r>
    </w:p>
    <w:p w14:paraId="4A3E3F81">
      <w:pPr>
        <w:adjustRightInd w:val="0"/>
        <w:snapToGrid w:val="0"/>
        <w:spacing w:line="360" w:lineRule="auto"/>
        <w:ind w:firstLine="420" w:firstLineChars="200"/>
        <w:rPr>
          <w:rFonts w:ascii="宋体" w:hAnsi="宋体"/>
          <w:color w:val="0C0C0C"/>
          <w:sz w:val="21"/>
          <w:szCs w:val="21"/>
        </w:rPr>
      </w:pP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在通讯开会的情况下，首先由召集人提前</w:t>
      </w:r>
      <w:r>
        <w:rPr>
          <w:rFonts w:asciiTheme="minorEastAsia" w:hAnsiTheme="minorEastAsia"/>
          <w:color w:val="0D0D0D" w:themeColor="text1" w:themeTint="F2"/>
          <w:sz w:val="21"/>
          <w:szCs w:val="21"/>
          <w14:textFill>
            <w14:solidFill>
              <w14:schemeClr w14:val="tx1">
                <w14:lumMod w14:val="95000"/>
                <w14:lumOff w14:val="5000"/>
              </w14:schemeClr>
            </w14:solidFill>
          </w14:textFill>
        </w:rPr>
        <w:t>30日公布提案，在所通知的表决截止日期后2个工作日内在公证机关监督下由召集人统计全部有效表决，在公证机关监督下形成决议。</w:t>
      </w:r>
    </w:p>
    <w:p w14:paraId="21C85F2C">
      <w:pPr>
        <w:adjustRightInd w:val="0"/>
        <w:snapToGrid w:val="0"/>
        <w:spacing w:line="360" w:lineRule="auto"/>
        <w:ind w:firstLine="420" w:firstLineChars="200"/>
        <w:rPr>
          <w:rFonts w:ascii="宋体" w:hAnsi="宋体"/>
          <w:color w:val="0C0C0C"/>
          <w:sz w:val="21"/>
          <w:szCs w:val="21"/>
        </w:rPr>
      </w:pPr>
      <w:r>
        <w:rPr>
          <w:rFonts w:hint="eastAsia" w:ascii="宋体" w:hAnsi="宋体"/>
          <w:color w:val="0C0C0C"/>
          <w:sz w:val="21"/>
          <w:szCs w:val="21"/>
        </w:rPr>
        <w:t>（六）表决</w:t>
      </w:r>
    </w:p>
    <w:p w14:paraId="409260DA">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基金份额持有人所持每份基金份额有一票表决权。</w:t>
      </w:r>
    </w:p>
    <w:p w14:paraId="23519AE3">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基金份额持有人大会决议分为一般决议和特别决议：</w:t>
      </w:r>
    </w:p>
    <w:p w14:paraId="054DA880">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asciiTheme="minorEastAsia" w:hAnsiTheme="minorEastAsia"/>
          <w:color w:val="0D0D0D" w:themeColor="text1" w:themeTint="F2"/>
          <w:sz w:val="21"/>
          <w:szCs w:val="21"/>
          <w14:textFill>
            <w14:solidFill>
              <w14:schemeClr w14:val="tx1">
                <w14:lumMod w14:val="95000"/>
                <w14:lumOff w14:val="5000"/>
              </w14:schemeClr>
            </w14:solidFill>
          </w14:textFill>
        </w:rPr>
        <w:t>1</w:t>
      </w: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、一般决议，一般决议须经参加大会的基金份额持有人或其代理人所持表决权的二分之一以上（含二分之一）通过方为有效；除下列第</w:t>
      </w:r>
      <w:r>
        <w:rPr>
          <w:rFonts w:asciiTheme="minorEastAsia" w:hAnsiTheme="minorEastAsia"/>
          <w:color w:val="0D0D0D" w:themeColor="text1" w:themeTint="F2"/>
          <w:sz w:val="21"/>
          <w:szCs w:val="21"/>
          <w14:textFill>
            <w14:solidFill>
              <w14:schemeClr w14:val="tx1">
                <w14:lumMod w14:val="95000"/>
                <w14:lumOff w14:val="5000"/>
              </w14:schemeClr>
            </w14:solidFill>
          </w14:textFill>
        </w:rPr>
        <w:t>2</w:t>
      </w: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项所规定的须以特别决议通过事项以外的其他事项均以一般决议的方式通过。</w:t>
      </w:r>
    </w:p>
    <w:p w14:paraId="354FCFA2">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asciiTheme="minorEastAsia" w:hAnsiTheme="minorEastAsia"/>
          <w:color w:val="0D0D0D" w:themeColor="text1" w:themeTint="F2"/>
          <w:sz w:val="21"/>
          <w:szCs w:val="21"/>
          <w14:textFill>
            <w14:solidFill>
              <w14:schemeClr w14:val="tx1">
                <w14:lumMod w14:val="95000"/>
                <w14:lumOff w14:val="5000"/>
              </w14:schemeClr>
            </w14:solidFill>
          </w14:textFill>
        </w:rPr>
        <w:t>2</w:t>
      </w: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特别决议，特别决议应当经参加大会的基金份额持有人或其代理人所持表决权的三分之二以上（含三分之二）通过方可做出。除法律法规、监管机构另有规定或基金合同另有约定外，转换基金运作方式、更换基金管理人或者基金托管人、终止《基金合同》、本基金与其他基金合并以特别决议通过方为有效。</w:t>
      </w:r>
    </w:p>
    <w:p w14:paraId="20B9F6E3">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基金份额持有人大会采取记名方式进行投票表决。</w:t>
      </w:r>
    </w:p>
    <w:p w14:paraId="2AC62D0E">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采取通讯方式进行表决时，除非在计票时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w:t>
      </w:r>
      <w:r>
        <w:rPr>
          <w:rFonts w:hint="eastAsia"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表决</w:t>
      </w: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意见的基金份额持有人所代表的基金份额总数。</w:t>
      </w:r>
    </w:p>
    <w:p w14:paraId="5C74F750">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基金份额持有人大会的各项提案或同一项提案内并列的各项议题应当分开审议、逐项表决。</w:t>
      </w:r>
    </w:p>
    <w:p w14:paraId="288F3AD5">
      <w:pPr>
        <w:adjustRightInd w:val="0"/>
        <w:snapToGrid w:val="0"/>
        <w:spacing w:line="360" w:lineRule="auto"/>
        <w:ind w:firstLine="420" w:firstLineChars="200"/>
        <w:rPr>
          <w:rFonts w:ascii="宋体" w:hAnsi="宋体"/>
          <w:color w:val="0C0C0C"/>
          <w:sz w:val="21"/>
          <w:szCs w:val="21"/>
        </w:rPr>
      </w:pP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在上述规则的前提下，具体规则以召集人发布的基金份额持有人大会通知为准。</w:t>
      </w:r>
    </w:p>
    <w:p w14:paraId="322E33FB">
      <w:pPr>
        <w:adjustRightInd w:val="0"/>
        <w:snapToGrid w:val="0"/>
        <w:spacing w:line="360" w:lineRule="auto"/>
        <w:ind w:firstLine="420" w:firstLineChars="200"/>
        <w:rPr>
          <w:rFonts w:ascii="宋体" w:hAnsi="宋体"/>
          <w:color w:val="0C0C0C"/>
          <w:sz w:val="21"/>
          <w:szCs w:val="21"/>
        </w:rPr>
      </w:pPr>
      <w:r>
        <w:rPr>
          <w:rFonts w:hint="eastAsia" w:ascii="宋体" w:hAnsi="宋体"/>
          <w:color w:val="0C0C0C"/>
          <w:sz w:val="21"/>
          <w:szCs w:val="21"/>
        </w:rPr>
        <w:t>（七）计票</w:t>
      </w:r>
    </w:p>
    <w:p w14:paraId="6DA32168">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asciiTheme="minorEastAsia" w:hAnsiTheme="minorEastAsia"/>
          <w:color w:val="0D0D0D" w:themeColor="text1" w:themeTint="F2"/>
          <w:sz w:val="21"/>
          <w:szCs w:val="21"/>
          <w14:textFill>
            <w14:solidFill>
              <w14:schemeClr w14:val="tx1">
                <w14:lumMod w14:val="95000"/>
                <w14:lumOff w14:val="5000"/>
              </w14:schemeClr>
            </w14:solidFill>
          </w14:textFill>
        </w:rPr>
        <w:t>1</w:t>
      </w: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、现场开会</w:t>
      </w:r>
    </w:p>
    <w:p w14:paraId="621A190B">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w:t>
      </w:r>
      <w:r>
        <w:rPr>
          <w:rFonts w:asciiTheme="minorEastAsia" w:hAnsiTheme="minorEastAsia"/>
          <w:color w:val="0D0D0D" w:themeColor="text1" w:themeTint="F2"/>
          <w:sz w:val="21"/>
          <w:szCs w:val="21"/>
          <w14:textFill>
            <w14:solidFill>
              <w14:schemeClr w14:val="tx1">
                <w14:lumMod w14:val="95000"/>
                <w14:lumOff w14:val="5000"/>
              </w14:schemeClr>
            </w14:solidFill>
          </w14:textFill>
        </w:rPr>
        <w:t>1</w:t>
      </w: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w:t>
      </w:r>
    </w:p>
    <w:p w14:paraId="4E728FE9">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w:t>
      </w:r>
      <w:r>
        <w:rPr>
          <w:rFonts w:asciiTheme="minorEastAsia" w:hAnsiTheme="minorEastAsia"/>
          <w:color w:val="0D0D0D" w:themeColor="text1" w:themeTint="F2"/>
          <w:sz w:val="21"/>
          <w:szCs w:val="21"/>
          <w14:textFill>
            <w14:solidFill>
              <w14:schemeClr w14:val="tx1">
                <w14:lumMod w14:val="95000"/>
                <w14:lumOff w14:val="5000"/>
              </w14:schemeClr>
            </w14:solidFill>
          </w14:textFill>
        </w:rPr>
        <w:t>2</w:t>
      </w: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）监票人应当在基金份额持有人表决后立即进行清点并由大会主持人当场公布计票结果。</w:t>
      </w:r>
    </w:p>
    <w:p w14:paraId="1C84EA30">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w:t>
      </w:r>
      <w:r>
        <w:rPr>
          <w:rFonts w:asciiTheme="minorEastAsia" w:hAnsiTheme="minorEastAsia"/>
          <w:color w:val="0D0D0D" w:themeColor="text1" w:themeTint="F2"/>
          <w:sz w:val="21"/>
          <w:szCs w:val="21"/>
          <w14:textFill>
            <w14:solidFill>
              <w14:schemeClr w14:val="tx1">
                <w14:lumMod w14:val="95000"/>
                <w14:lumOff w14:val="5000"/>
              </w14:schemeClr>
            </w14:solidFill>
          </w14:textFill>
        </w:rPr>
        <w:t>3</w:t>
      </w: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14:paraId="755A4D9F">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w:t>
      </w:r>
      <w:r>
        <w:rPr>
          <w:rFonts w:asciiTheme="minorEastAsia" w:hAnsiTheme="minorEastAsia"/>
          <w:color w:val="0D0D0D" w:themeColor="text1" w:themeTint="F2"/>
          <w:sz w:val="21"/>
          <w:szCs w:val="21"/>
          <w14:textFill>
            <w14:solidFill>
              <w14:schemeClr w14:val="tx1">
                <w14:lumMod w14:val="95000"/>
                <w14:lumOff w14:val="5000"/>
              </w14:schemeClr>
            </w14:solidFill>
          </w14:textFill>
        </w:rPr>
        <w:t>4</w:t>
      </w: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）计票过程应由公证机关予以公证</w:t>
      </w:r>
      <w:r>
        <w:rPr>
          <w:rFonts w:hint="eastAsia"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w:t>
      </w: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基金管理人或基金托管人拒不出席大会的，不影响计票的效力。</w:t>
      </w:r>
    </w:p>
    <w:p w14:paraId="4E507638">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asciiTheme="minorEastAsia" w:hAnsiTheme="minorEastAsia"/>
          <w:color w:val="0D0D0D" w:themeColor="text1" w:themeTint="F2"/>
          <w:sz w:val="21"/>
          <w:szCs w:val="21"/>
          <w14:textFill>
            <w14:solidFill>
              <w14:schemeClr w14:val="tx1">
                <w14:lumMod w14:val="95000"/>
                <w14:lumOff w14:val="5000"/>
              </w14:schemeClr>
            </w14:solidFill>
          </w14:textFill>
        </w:rPr>
        <w:t>2</w:t>
      </w: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、通讯开会</w:t>
      </w:r>
    </w:p>
    <w:p w14:paraId="5217BCEA">
      <w:pPr>
        <w:adjustRightInd w:val="0"/>
        <w:snapToGrid w:val="0"/>
        <w:spacing w:line="360" w:lineRule="auto"/>
        <w:ind w:firstLine="420" w:firstLineChars="200"/>
        <w:rPr>
          <w:rFonts w:ascii="宋体" w:hAnsi="宋体"/>
          <w:color w:val="0C0C0C"/>
          <w:sz w:val="21"/>
          <w:szCs w:val="21"/>
        </w:rPr>
      </w:pP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14:paraId="4430D97B">
      <w:pPr>
        <w:adjustRightInd w:val="0"/>
        <w:snapToGrid w:val="0"/>
        <w:spacing w:line="360" w:lineRule="auto"/>
        <w:ind w:firstLine="420" w:firstLineChars="200"/>
        <w:rPr>
          <w:rFonts w:ascii="宋体" w:hAnsi="宋体"/>
          <w:color w:val="0C0C0C"/>
          <w:sz w:val="21"/>
          <w:szCs w:val="21"/>
        </w:rPr>
      </w:pPr>
      <w:r>
        <w:rPr>
          <w:rFonts w:hint="eastAsia" w:ascii="宋体" w:hAnsi="宋体"/>
          <w:color w:val="0C0C0C"/>
          <w:sz w:val="21"/>
          <w:szCs w:val="21"/>
        </w:rPr>
        <w:t>（八）生效与公告</w:t>
      </w:r>
    </w:p>
    <w:p w14:paraId="4554EC90">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基金份额持有人大会的决议，召集人应当自通过之日起</w:t>
      </w:r>
      <w:r>
        <w:rPr>
          <w:rFonts w:asciiTheme="minorEastAsia" w:hAnsiTheme="minorEastAsia"/>
          <w:color w:val="0D0D0D" w:themeColor="text1" w:themeTint="F2"/>
          <w:sz w:val="21"/>
          <w:szCs w:val="21"/>
          <w14:textFill>
            <w14:solidFill>
              <w14:schemeClr w14:val="tx1">
                <w14:lumMod w14:val="95000"/>
                <w14:lumOff w14:val="5000"/>
              </w14:schemeClr>
            </w14:solidFill>
          </w14:textFill>
        </w:rPr>
        <w:t>5日内报中国证监会备案。</w:t>
      </w:r>
    </w:p>
    <w:p w14:paraId="2010677B">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基金份额持有人大会的决议自表决通过之日起生效。</w:t>
      </w:r>
    </w:p>
    <w:p w14:paraId="706682CF">
      <w:pPr>
        <w:adjustRightInd w:val="0"/>
        <w:snapToGrid w:val="0"/>
        <w:spacing w:line="360" w:lineRule="auto"/>
        <w:ind w:firstLine="420" w:firstLineChars="200"/>
        <w:rPr>
          <w:rFonts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基金份额持有人大会决议自生效之日起依照《信息披露办法》在规定媒介上公告。如果采用通讯方式进行表决，在公告基金份额持有人大会决议时，必须将公证书全文、公证机构、公证员姓名等一同公告。</w:t>
      </w:r>
    </w:p>
    <w:p w14:paraId="449C99C8">
      <w:pPr>
        <w:adjustRightInd w:val="0"/>
        <w:snapToGrid w:val="0"/>
        <w:spacing w:line="360" w:lineRule="auto"/>
        <w:ind w:firstLine="420" w:firstLineChars="200"/>
        <w:rPr>
          <w:rFonts w:ascii="宋体" w:hAnsi="宋体"/>
          <w:color w:val="0C0C0C"/>
          <w:sz w:val="21"/>
          <w:szCs w:val="21"/>
        </w:rPr>
      </w:pPr>
      <w:r>
        <w:rPr>
          <w:rFonts w:hint="eastAsia"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基金管理人、基金托管人和基金份额持有人应当执行生效的基金份额持有人大会的决议。生效的基金份额持有人大会决议对全体基金份额持有人、基金管理人、基金托管人均有约束力。</w:t>
      </w:r>
    </w:p>
    <w:p w14:paraId="0068FFDE">
      <w:pPr>
        <w:adjustRightInd w:val="0"/>
        <w:snapToGrid w:val="0"/>
        <w:spacing w:line="360" w:lineRule="auto"/>
        <w:ind w:firstLine="420" w:firstLineChars="200"/>
        <w:rPr>
          <w:rFonts w:ascii="宋体" w:hAnsi="宋体"/>
          <w:color w:val="0C0C0C"/>
          <w:sz w:val="21"/>
          <w:szCs w:val="21"/>
        </w:rPr>
      </w:pPr>
      <w:r>
        <w:rPr>
          <w:rFonts w:hint="eastAsia" w:ascii="宋体" w:hAnsi="宋体"/>
          <w:color w:val="0C0C0C"/>
          <w:sz w:val="21"/>
          <w:szCs w:val="21"/>
        </w:rPr>
        <w:t>（九）</w:t>
      </w:r>
      <w:r>
        <w:rPr>
          <w:rFonts w:hint="eastAsia"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本部分关于基金份额持有人大会召开事由、召开条件、议事程序、表决条件等规定，凡是直接引用法律法规的部分，如将来法律法规修改导致相关内容被取消或变更的，基金管理人与基金托管人协商一致并履行适当程序后，可直接对本部分内容进行修改和调整，无需召开基金份额持有人大会审议。</w:t>
      </w:r>
    </w:p>
    <w:p w14:paraId="6B758226">
      <w:pPr>
        <w:snapToGrid w:val="0"/>
        <w:spacing w:line="360" w:lineRule="auto"/>
        <w:ind w:firstLine="420" w:firstLineChars="200"/>
        <w:rPr>
          <w:rFonts w:ascii="宋体" w:hAnsi="宋体"/>
          <w:sz w:val="21"/>
          <w:szCs w:val="21"/>
        </w:rPr>
      </w:pPr>
      <w:r>
        <w:rPr>
          <w:rFonts w:hint="eastAsia" w:ascii="宋体" w:hAnsi="宋体"/>
          <w:sz w:val="21"/>
          <w:szCs w:val="21"/>
        </w:rPr>
        <w:t>三、基金收益分配原则、执行方式</w:t>
      </w:r>
    </w:p>
    <w:p w14:paraId="7E0E3384">
      <w:pPr>
        <w:adjustRightInd w:val="0"/>
        <w:snapToGrid w:val="0"/>
        <w:spacing w:line="360" w:lineRule="auto"/>
        <w:ind w:firstLine="420" w:firstLineChars="200"/>
        <w:rPr>
          <w:rFonts w:ascii="宋体" w:hAnsi="宋体"/>
          <w:color w:val="0C0C0C"/>
          <w:sz w:val="21"/>
          <w:szCs w:val="21"/>
        </w:rPr>
      </w:pPr>
      <w:r>
        <w:rPr>
          <w:rFonts w:hint="eastAsia" w:ascii="宋体" w:hAnsi="宋体"/>
          <w:color w:val="0C0C0C"/>
          <w:sz w:val="21"/>
          <w:szCs w:val="21"/>
        </w:rPr>
        <w:t>（一）基金收益分配原则</w:t>
      </w:r>
    </w:p>
    <w:p w14:paraId="1C84629F">
      <w:pPr>
        <w:adjustRightInd w:val="0"/>
        <w:snapToGrid w:val="0"/>
        <w:spacing w:line="360" w:lineRule="auto"/>
        <w:ind w:firstLine="420" w:firstLineChars="200"/>
        <w:rPr>
          <w:rFonts w:ascii="宋体" w:hAnsi="宋体"/>
          <w:color w:val="0C0C0C"/>
          <w:sz w:val="21"/>
          <w:szCs w:val="21"/>
        </w:rPr>
      </w:pPr>
      <w:r>
        <w:rPr>
          <w:rFonts w:hint="eastAsia" w:ascii="宋体" w:hAnsi="宋体"/>
          <w:color w:val="0C0C0C"/>
          <w:sz w:val="21"/>
          <w:szCs w:val="21"/>
        </w:rPr>
        <w:t>1、本基金的收益分配方式为现金分红；</w:t>
      </w:r>
    </w:p>
    <w:p w14:paraId="2BD08815">
      <w:pPr>
        <w:adjustRightInd w:val="0"/>
        <w:snapToGrid w:val="0"/>
        <w:spacing w:line="360" w:lineRule="auto"/>
        <w:ind w:firstLine="420" w:firstLineChars="200"/>
        <w:rPr>
          <w:rFonts w:ascii="宋体" w:hAnsi="宋体"/>
          <w:color w:val="0C0C0C"/>
          <w:sz w:val="21"/>
          <w:szCs w:val="21"/>
        </w:rPr>
      </w:pPr>
      <w:r>
        <w:rPr>
          <w:rFonts w:hint="eastAsia" w:ascii="宋体" w:hAnsi="宋体"/>
          <w:color w:val="0C0C0C"/>
          <w:sz w:val="21"/>
          <w:szCs w:val="21"/>
        </w:rPr>
        <w:t>2、基金管理人可每月对基金相对标的指数的超额收益率以及基金的可供分配利润进行评价，收益评价日核定的基金份额净值增长率超过标的指数同期增长率或者基金可供分配利润金额大于零时，基金管理人可进行收益分配；</w:t>
      </w:r>
    </w:p>
    <w:p w14:paraId="2E9C8EC0">
      <w:pPr>
        <w:adjustRightInd w:val="0"/>
        <w:snapToGrid w:val="0"/>
        <w:spacing w:line="360" w:lineRule="auto"/>
        <w:ind w:firstLine="420" w:firstLineChars="200"/>
        <w:rPr>
          <w:rFonts w:ascii="宋体" w:hAnsi="宋体"/>
          <w:color w:val="0C0C0C"/>
          <w:sz w:val="21"/>
          <w:szCs w:val="21"/>
        </w:rPr>
      </w:pPr>
      <w:r>
        <w:rPr>
          <w:rFonts w:hint="eastAsia" w:ascii="宋体" w:hAnsi="宋体"/>
          <w:color w:val="0C0C0C"/>
          <w:sz w:val="21"/>
          <w:szCs w:val="21"/>
        </w:rPr>
        <w:t>3、当基金收益分配根据基金相对标的指数的超额收益率决定时，基于本基金的特点，本基金收益分配无需以弥补亏损为前提，收益分配后基金份额净值有可能低于面值；当基金收益分配根据基金可供分配利润金额决定时，本基金收益分配后基金份额净值不能低于面值，即基金收益分配基准日的基金份额净值减去每单位基金份额收益分配金额后不能低于面值；</w:t>
      </w:r>
    </w:p>
    <w:p w14:paraId="7C9CF274">
      <w:pPr>
        <w:adjustRightInd w:val="0"/>
        <w:snapToGrid w:val="0"/>
        <w:spacing w:line="360" w:lineRule="auto"/>
        <w:ind w:firstLine="420" w:firstLineChars="200"/>
        <w:rPr>
          <w:rFonts w:ascii="宋体" w:hAnsi="宋体"/>
          <w:color w:val="0C0C0C"/>
          <w:sz w:val="21"/>
          <w:szCs w:val="21"/>
        </w:rPr>
      </w:pPr>
      <w:r>
        <w:rPr>
          <w:rFonts w:hint="eastAsia" w:ascii="宋体" w:hAnsi="宋体"/>
          <w:color w:val="0C0C0C"/>
          <w:sz w:val="21"/>
          <w:szCs w:val="21"/>
        </w:rPr>
        <w:t>4、在符合上述基金分红条件的前提下，本基金可每月进行收益分配。评价时间、分配时间、分配方案及每次基金收益分配数额等内容，基金管理人可以根据实际情况确定并按照有关规定公告；</w:t>
      </w:r>
    </w:p>
    <w:p w14:paraId="00CD5AA6">
      <w:pPr>
        <w:adjustRightInd w:val="0"/>
        <w:snapToGrid w:val="0"/>
        <w:spacing w:line="360" w:lineRule="auto"/>
        <w:ind w:firstLine="420" w:firstLineChars="200"/>
        <w:rPr>
          <w:rFonts w:ascii="宋体" w:hAnsi="宋体"/>
          <w:color w:val="0C0C0C"/>
          <w:sz w:val="21"/>
          <w:szCs w:val="21"/>
        </w:rPr>
      </w:pPr>
      <w:r>
        <w:rPr>
          <w:rFonts w:hint="eastAsia" w:ascii="宋体" w:hAnsi="宋体"/>
          <w:color w:val="0C0C0C"/>
          <w:sz w:val="21"/>
          <w:szCs w:val="21"/>
        </w:rPr>
        <w:t>5、每一基金份额享有同等分配权；</w:t>
      </w:r>
    </w:p>
    <w:p w14:paraId="0A67EC56">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hint="eastAsia" w:ascii="宋体" w:hAnsi="宋体"/>
          <w:color w:val="0C0C0C"/>
          <w:sz w:val="21"/>
          <w:szCs w:val="21"/>
        </w:rPr>
        <w:t>6、</w:t>
      </w: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法律法规或监管机构另有规定的，从其规定。在不违反法律法规、基金合同的约定以及对基金份额持有人利益无实质性不利影响的情况下，基金管理人在与基金托管人协商一致并履行适当程序后，可调整基金收益的分配原则和支付方式，但应于变更实施日前在规定媒介上公告。</w:t>
      </w:r>
    </w:p>
    <w:p w14:paraId="38D305CD">
      <w:pPr>
        <w:adjustRightInd w:val="0"/>
        <w:snapToGrid w:val="0"/>
        <w:spacing w:line="360" w:lineRule="auto"/>
        <w:ind w:firstLine="420" w:firstLineChars="200"/>
        <w:rPr>
          <w:rFonts w:ascii="宋体" w:hAnsi="宋体"/>
          <w:color w:val="0C0C0C"/>
          <w:sz w:val="21"/>
          <w:szCs w:val="21"/>
        </w:rPr>
      </w:pPr>
      <w:r>
        <w:rPr>
          <w:rFonts w:hint="eastAsia" w:ascii="宋体" w:hAnsi="宋体"/>
          <w:color w:val="0C0C0C"/>
          <w:sz w:val="21"/>
          <w:szCs w:val="21"/>
        </w:rPr>
        <w:t>（二）基金收益分配比例及金额的确定原则</w:t>
      </w:r>
    </w:p>
    <w:p w14:paraId="2336CAE4">
      <w:pPr>
        <w:adjustRightInd w:val="0"/>
        <w:snapToGrid w:val="0"/>
        <w:spacing w:line="360" w:lineRule="auto"/>
        <w:ind w:firstLine="420" w:firstLineChars="200"/>
        <w:rPr>
          <w:rFonts w:ascii="宋体" w:hAnsi="宋体"/>
          <w:color w:val="0C0C0C"/>
          <w:sz w:val="21"/>
          <w:szCs w:val="21"/>
        </w:rPr>
      </w:pPr>
      <w:r>
        <w:rPr>
          <w:rFonts w:hint="eastAsia" w:ascii="宋体" w:hAnsi="宋体"/>
          <w:color w:val="0C0C0C"/>
          <w:sz w:val="21"/>
          <w:szCs w:val="21"/>
        </w:rPr>
        <w:t>1、在收益评价日，基金管理人计算基金份额净值增长率、标的指数同期增长率。</w:t>
      </w:r>
    </w:p>
    <w:p w14:paraId="3315E39B">
      <w:pPr>
        <w:adjustRightInd w:val="0"/>
        <w:snapToGrid w:val="0"/>
        <w:spacing w:line="360" w:lineRule="auto"/>
        <w:ind w:firstLine="420" w:firstLineChars="200"/>
        <w:rPr>
          <w:rFonts w:ascii="宋体" w:hAnsi="宋体"/>
          <w:color w:val="0C0C0C"/>
          <w:sz w:val="21"/>
          <w:szCs w:val="21"/>
        </w:rPr>
      </w:pPr>
      <w:r>
        <w:rPr>
          <w:rFonts w:hint="eastAsia" w:ascii="宋体" w:hAnsi="宋体"/>
          <w:color w:val="0C0C0C"/>
          <w:sz w:val="21"/>
          <w:szCs w:val="21"/>
        </w:rPr>
        <w:t>基金收益评价日本基金相对标的指数的超额收益率＝基金份额净值增长率－标的指数同期增长率。</w:t>
      </w:r>
    </w:p>
    <w:p w14:paraId="55FBF5F5">
      <w:pPr>
        <w:adjustRightInd w:val="0"/>
        <w:snapToGrid w:val="0"/>
        <w:spacing w:line="360" w:lineRule="auto"/>
        <w:ind w:firstLine="420" w:firstLineChars="200"/>
        <w:rPr>
          <w:rFonts w:ascii="宋体" w:hAnsi="宋体"/>
          <w:color w:val="0C0C0C"/>
          <w:sz w:val="21"/>
          <w:szCs w:val="21"/>
        </w:rPr>
      </w:pPr>
      <w:r>
        <w:rPr>
          <w:rFonts w:hint="eastAsia" w:ascii="宋体" w:hAnsi="宋体"/>
          <w:color w:val="0C0C0C"/>
          <w:sz w:val="21"/>
          <w:szCs w:val="21"/>
        </w:rPr>
        <w:t>基金份额净值增长率为收益评价日基金份额净值与基金上市前一交易日基金份额净值之比减去1乘以100%；标的指数同期增长率为收益评价日标的指数收盘价与基金上市前一交易日标的指数收盘价之比减去1乘以100%。</w:t>
      </w:r>
    </w:p>
    <w:p w14:paraId="50B72569">
      <w:pPr>
        <w:adjustRightInd w:val="0"/>
        <w:snapToGrid w:val="0"/>
        <w:spacing w:line="360" w:lineRule="auto"/>
        <w:ind w:firstLine="420" w:firstLineChars="200"/>
        <w:rPr>
          <w:rFonts w:ascii="宋体" w:hAnsi="宋体"/>
          <w:color w:val="0C0C0C"/>
          <w:sz w:val="21"/>
          <w:szCs w:val="21"/>
        </w:rPr>
      </w:pPr>
      <w:r>
        <w:rPr>
          <w:rFonts w:hint="eastAsia" w:ascii="宋体" w:hAnsi="宋体"/>
          <w:color w:val="0C0C0C"/>
          <w:sz w:val="21"/>
          <w:szCs w:val="21"/>
        </w:rPr>
        <w:t>期间如发生基金份额折算、拆分或合并，则以基金份额折算日、经拆分或合并调整后的基金份额折算日为初始日重新计算上述指标。</w:t>
      </w:r>
    </w:p>
    <w:p w14:paraId="66DCFD05">
      <w:pPr>
        <w:adjustRightInd w:val="0"/>
        <w:snapToGrid w:val="0"/>
        <w:spacing w:line="360" w:lineRule="auto"/>
        <w:ind w:firstLine="420" w:firstLineChars="200"/>
        <w:rPr>
          <w:rFonts w:ascii="宋体" w:hAnsi="宋体"/>
          <w:color w:val="0C0C0C"/>
          <w:sz w:val="21"/>
          <w:szCs w:val="21"/>
        </w:rPr>
      </w:pPr>
      <w:r>
        <w:rPr>
          <w:rFonts w:hint="eastAsia" w:ascii="宋体" w:hAnsi="宋体"/>
          <w:color w:val="0C0C0C"/>
          <w:sz w:val="21"/>
          <w:szCs w:val="21"/>
        </w:rPr>
        <w:t>收益评价日日期以基金管理人相关公告为准。</w:t>
      </w:r>
    </w:p>
    <w:p w14:paraId="6016E94F">
      <w:pPr>
        <w:adjustRightInd w:val="0"/>
        <w:snapToGrid w:val="0"/>
        <w:spacing w:line="360" w:lineRule="auto"/>
        <w:ind w:firstLine="420" w:firstLineChars="200"/>
        <w:rPr>
          <w:rFonts w:ascii="宋体" w:hAnsi="宋体"/>
          <w:color w:val="0C0C0C"/>
          <w:sz w:val="21"/>
          <w:szCs w:val="21"/>
        </w:rPr>
      </w:pPr>
      <w:r>
        <w:rPr>
          <w:rFonts w:hint="eastAsia" w:ascii="宋体" w:hAnsi="宋体"/>
          <w:color w:val="0C0C0C"/>
          <w:sz w:val="21"/>
          <w:szCs w:val="21"/>
        </w:rPr>
        <w:t>2、基金可供分配利润指截至收益分配基准日基金未分配利润与未分配利润中已实现收益的孰低数。</w:t>
      </w:r>
    </w:p>
    <w:p w14:paraId="33BDFC89">
      <w:pPr>
        <w:adjustRightInd w:val="0"/>
        <w:snapToGrid w:val="0"/>
        <w:spacing w:line="360" w:lineRule="auto"/>
        <w:ind w:firstLine="420" w:firstLineChars="200"/>
        <w:rPr>
          <w:rFonts w:ascii="宋体" w:hAnsi="宋体"/>
          <w:color w:val="0C0C0C"/>
          <w:sz w:val="21"/>
          <w:szCs w:val="21"/>
        </w:rPr>
      </w:pPr>
      <w:r>
        <w:rPr>
          <w:rFonts w:hint="eastAsia" w:ascii="宋体" w:hAnsi="宋体"/>
          <w:color w:val="0C0C0C"/>
          <w:sz w:val="21"/>
          <w:szCs w:val="21"/>
        </w:rPr>
        <w:t>3、根据前述收益分配原则计算截至基金收益评价日本基金的超额收益率及基金可供分配利润，并确定收益分配比例。</w:t>
      </w:r>
    </w:p>
    <w:p w14:paraId="2E21FC2D">
      <w:pPr>
        <w:adjustRightInd w:val="0"/>
        <w:snapToGrid w:val="0"/>
        <w:spacing w:line="360" w:lineRule="auto"/>
        <w:ind w:firstLine="420" w:firstLineChars="200"/>
        <w:rPr>
          <w:rFonts w:ascii="宋体" w:hAnsi="宋体"/>
          <w:color w:val="0C0C0C"/>
          <w:sz w:val="21"/>
          <w:szCs w:val="21"/>
        </w:rPr>
      </w:pPr>
      <w:r>
        <w:rPr>
          <w:rFonts w:hint="eastAsia" w:ascii="宋体" w:hAnsi="宋体"/>
          <w:color w:val="0C0C0C"/>
          <w:sz w:val="21"/>
          <w:szCs w:val="21"/>
        </w:rPr>
        <w:t>4、根据前述超额收益率、可供分配利润及收益分配比例计算收益分配金额。</w:t>
      </w:r>
    </w:p>
    <w:p w14:paraId="4E03F7F2">
      <w:pPr>
        <w:adjustRightInd w:val="0"/>
        <w:snapToGrid w:val="0"/>
        <w:spacing w:line="360" w:lineRule="auto"/>
        <w:ind w:firstLine="420" w:firstLineChars="200"/>
        <w:rPr>
          <w:rFonts w:ascii="宋体" w:hAnsi="宋体"/>
          <w:color w:val="0C0C0C"/>
          <w:sz w:val="21"/>
          <w:szCs w:val="21"/>
        </w:rPr>
      </w:pPr>
      <w:r>
        <w:rPr>
          <w:rFonts w:hint="eastAsia" w:ascii="宋体" w:hAnsi="宋体"/>
          <w:color w:val="0C0C0C"/>
          <w:sz w:val="21"/>
          <w:szCs w:val="21"/>
        </w:rPr>
        <w:t>（三）收益分配方案</w:t>
      </w:r>
    </w:p>
    <w:p w14:paraId="6D13E07E">
      <w:pPr>
        <w:adjustRightInd w:val="0"/>
        <w:snapToGrid w:val="0"/>
        <w:spacing w:line="360" w:lineRule="auto"/>
        <w:ind w:firstLine="420" w:firstLineChars="200"/>
        <w:rPr>
          <w:rFonts w:ascii="宋体" w:hAnsi="宋体"/>
          <w:color w:val="0C0C0C"/>
          <w:sz w:val="21"/>
          <w:szCs w:val="21"/>
        </w:rPr>
      </w:pPr>
      <w:r>
        <w:rPr>
          <w:rFonts w:hint="eastAsia" w:ascii="宋体" w:hAnsi="宋体"/>
          <w:color w:val="0C0C0C"/>
          <w:sz w:val="21"/>
          <w:szCs w:val="21"/>
        </w:rPr>
        <w:t>基金收益分配方案中应载明基金收益分配对象、分配时间、分配数额及比例、分配方式等内容。</w:t>
      </w:r>
    </w:p>
    <w:p w14:paraId="37887D92">
      <w:pPr>
        <w:adjustRightInd w:val="0"/>
        <w:snapToGrid w:val="0"/>
        <w:spacing w:line="360" w:lineRule="auto"/>
        <w:ind w:firstLine="420" w:firstLineChars="200"/>
        <w:rPr>
          <w:rFonts w:ascii="宋体" w:hAnsi="宋体"/>
          <w:color w:val="0C0C0C"/>
          <w:sz w:val="21"/>
          <w:szCs w:val="21"/>
        </w:rPr>
      </w:pPr>
      <w:r>
        <w:rPr>
          <w:rFonts w:hint="eastAsia" w:ascii="宋体" w:hAnsi="宋体"/>
          <w:color w:val="0C0C0C"/>
          <w:sz w:val="21"/>
          <w:szCs w:val="21"/>
        </w:rPr>
        <w:t>（四）收益分配方案的确定、公告与实施</w:t>
      </w:r>
    </w:p>
    <w:p w14:paraId="7378F551">
      <w:pPr>
        <w:adjustRightInd w:val="0"/>
        <w:snapToGrid w:val="0"/>
        <w:spacing w:line="360" w:lineRule="auto"/>
        <w:ind w:firstLine="420" w:firstLineChars="200"/>
        <w:rPr>
          <w:rFonts w:ascii="宋体" w:hAnsi="宋体"/>
          <w:color w:val="0C0C0C"/>
          <w:sz w:val="21"/>
          <w:szCs w:val="21"/>
        </w:rPr>
      </w:pPr>
      <w:r>
        <w:rPr>
          <w:rFonts w:hint="eastAsia" w:ascii="宋体" w:hAnsi="宋体"/>
          <w:color w:val="0C0C0C"/>
          <w:sz w:val="21"/>
          <w:szCs w:val="21"/>
        </w:rPr>
        <w:t>本基金收益分配方案由基金管理人拟定，并由基金托管人复核，依照《信息披露办法》的有关规定在规定媒介公告。</w:t>
      </w:r>
    </w:p>
    <w:p w14:paraId="22C6C361">
      <w:pPr>
        <w:adjustRightInd w:val="0"/>
        <w:snapToGrid w:val="0"/>
        <w:spacing w:line="360" w:lineRule="auto"/>
        <w:ind w:firstLine="420" w:firstLineChars="200"/>
        <w:rPr>
          <w:rFonts w:ascii="宋体" w:hAnsi="宋体"/>
          <w:color w:val="0C0C0C"/>
          <w:sz w:val="21"/>
          <w:szCs w:val="21"/>
        </w:rPr>
      </w:pPr>
      <w:r>
        <w:rPr>
          <w:rFonts w:hint="eastAsia" w:ascii="宋体" w:hAnsi="宋体"/>
          <w:color w:val="0C0C0C"/>
          <w:sz w:val="21"/>
          <w:szCs w:val="21"/>
        </w:rPr>
        <w:t>（五）基金收益分配中发生的费用</w:t>
      </w:r>
    </w:p>
    <w:p w14:paraId="4C49B6E2">
      <w:pPr>
        <w:adjustRightInd w:val="0"/>
        <w:snapToGrid w:val="0"/>
        <w:spacing w:line="360" w:lineRule="auto"/>
        <w:ind w:firstLine="420" w:firstLineChars="200"/>
        <w:rPr>
          <w:rFonts w:ascii="宋体" w:hAnsi="宋体"/>
          <w:color w:val="0C0C0C"/>
          <w:sz w:val="21"/>
          <w:szCs w:val="21"/>
        </w:rPr>
      </w:pPr>
      <w:r>
        <w:rPr>
          <w:rFonts w:hint="eastAsia" w:ascii="宋体" w:hAnsi="宋体"/>
          <w:color w:val="0C0C0C"/>
          <w:sz w:val="21"/>
          <w:szCs w:val="21"/>
        </w:rPr>
        <w:t>基金收益分配时所发生的银行转账或其他手续费用由投资者自行承担。</w:t>
      </w:r>
    </w:p>
    <w:p w14:paraId="01C88987">
      <w:pPr>
        <w:snapToGrid w:val="0"/>
        <w:spacing w:line="360" w:lineRule="auto"/>
        <w:ind w:firstLine="420" w:firstLineChars="200"/>
        <w:rPr>
          <w:rFonts w:ascii="宋体" w:hAnsi="宋体"/>
          <w:sz w:val="21"/>
          <w:szCs w:val="21"/>
        </w:rPr>
      </w:pPr>
      <w:r>
        <w:rPr>
          <w:rFonts w:hint="eastAsia" w:ascii="宋体" w:hAnsi="宋体"/>
          <w:sz w:val="21"/>
          <w:szCs w:val="21"/>
        </w:rPr>
        <w:t>四、与基金财产管理、运作有关费用的提取、支付方式与比例</w:t>
      </w:r>
    </w:p>
    <w:p w14:paraId="35B4FD16">
      <w:pPr>
        <w:adjustRightInd w:val="0"/>
        <w:snapToGrid w:val="0"/>
        <w:spacing w:line="360" w:lineRule="auto"/>
        <w:ind w:firstLine="420" w:firstLineChars="200"/>
        <w:rPr>
          <w:rFonts w:ascii="宋体" w:hAnsi="宋体"/>
          <w:color w:val="0C0C0C"/>
          <w:sz w:val="21"/>
          <w:szCs w:val="21"/>
        </w:rPr>
      </w:pPr>
      <w:r>
        <w:rPr>
          <w:rFonts w:hint="eastAsia" w:ascii="宋体" w:hAnsi="宋体"/>
          <w:color w:val="0C0C0C"/>
          <w:sz w:val="21"/>
          <w:szCs w:val="21"/>
        </w:rPr>
        <w:t>（一）基金费用的种类</w:t>
      </w:r>
    </w:p>
    <w:p w14:paraId="53540239">
      <w:pPr>
        <w:adjustRightInd w:val="0"/>
        <w:snapToGrid w:val="0"/>
        <w:spacing w:line="360" w:lineRule="auto"/>
        <w:ind w:firstLine="420" w:firstLineChars="200"/>
        <w:rPr>
          <w:rFonts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1</w:t>
      </w:r>
      <w:r>
        <w:rPr>
          <w:rFonts w:hint="eastAsia"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、基金管理人的管理费；</w:t>
      </w:r>
    </w:p>
    <w:p w14:paraId="155F31BC">
      <w:pPr>
        <w:adjustRightInd w:val="0"/>
        <w:snapToGrid w:val="0"/>
        <w:spacing w:line="360" w:lineRule="auto"/>
        <w:ind w:firstLine="420" w:firstLineChars="200"/>
        <w:rPr>
          <w:rFonts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2</w:t>
      </w:r>
      <w:r>
        <w:rPr>
          <w:rFonts w:hint="eastAsia"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、基金托管人的托管费；</w:t>
      </w:r>
    </w:p>
    <w:p w14:paraId="0514FA7A">
      <w:pPr>
        <w:adjustRightInd w:val="0"/>
        <w:snapToGrid w:val="0"/>
        <w:spacing w:line="360" w:lineRule="auto"/>
        <w:ind w:firstLine="420" w:firstLineChars="200"/>
        <w:rPr>
          <w:rFonts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3、基金的证券、期货、股票期权交易费用；</w:t>
      </w:r>
    </w:p>
    <w:p w14:paraId="486B63F5">
      <w:pPr>
        <w:adjustRightInd w:val="0"/>
        <w:snapToGrid w:val="0"/>
        <w:spacing w:line="360" w:lineRule="auto"/>
        <w:ind w:firstLine="420" w:firstLineChars="200"/>
        <w:rPr>
          <w:rFonts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4、《基金合同》生效后与基金相关的信息披露费用，但法律法规、中国证监会另有规定的除外；</w:t>
      </w:r>
    </w:p>
    <w:p w14:paraId="374E795F">
      <w:pPr>
        <w:adjustRightInd w:val="0"/>
        <w:snapToGrid w:val="0"/>
        <w:spacing w:line="360" w:lineRule="auto"/>
        <w:ind w:firstLine="420" w:firstLineChars="200"/>
        <w:rPr>
          <w:rFonts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5、《基金合同》生效后与基金相关的会计师费、律师费、审计费、仲裁费和诉讼费；</w:t>
      </w:r>
    </w:p>
    <w:p w14:paraId="42F81107">
      <w:pPr>
        <w:adjustRightInd w:val="0"/>
        <w:snapToGrid w:val="0"/>
        <w:spacing w:line="360" w:lineRule="auto"/>
        <w:ind w:firstLine="420" w:firstLineChars="200"/>
        <w:rPr>
          <w:rFonts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6、基金份额持有人大会费用；</w:t>
      </w:r>
    </w:p>
    <w:p w14:paraId="3B438C97">
      <w:pPr>
        <w:adjustRightInd w:val="0"/>
        <w:snapToGrid w:val="0"/>
        <w:spacing w:line="360" w:lineRule="auto"/>
        <w:ind w:firstLine="420" w:firstLineChars="200"/>
        <w:rPr>
          <w:rFonts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7、基金银行汇划费用、账户开户及维护费用、场内注册登记费用、IOPV计算与发布费用、收益分配中发生的费用（银行转账或其他手续费用除外）；</w:t>
      </w:r>
    </w:p>
    <w:p w14:paraId="2B14E788">
      <w:pPr>
        <w:adjustRightInd w:val="0"/>
        <w:snapToGrid w:val="0"/>
        <w:spacing w:line="360" w:lineRule="auto"/>
        <w:ind w:firstLine="420" w:firstLineChars="200"/>
        <w:rPr>
          <w:rFonts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8、基金上市初费及年费；</w:t>
      </w:r>
    </w:p>
    <w:p w14:paraId="3694DF96">
      <w:pPr>
        <w:adjustRightInd w:val="0"/>
        <w:snapToGrid w:val="0"/>
        <w:spacing w:line="360" w:lineRule="auto"/>
        <w:ind w:firstLine="420" w:firstLineChars="200"/>
        <w:rPr>
          <w:rFonts w:ascii="宋体" w:hAnsi="宋体"/>
          <w:color w:val="0C0C0C"/>
          <w:sz w:val="21"/>
          <w:szCs w:val="21"/>
        </w:rPr>
      </w:pPr>
      <w:r>
        <w:rPr>
          <w:rFonts w:hint="eastAsia"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9、按照国家有关规定和《基金合同》约定，可以在基金财产中列支的其他费用。</w:t>
      </w:r>
    </w:p>
    <w:p w14:paraId="00C56B9D">
      <w:pPr>
        <w:adjustRightInd w:val="0"/>
        <w:snapToGrid w:val="0"/>
        <w:spacing w:line="360" w:lineRule="auto"/>
        <w:ind w:firstLine="420" w:firstLineChars="200"/>
        <w:rPr>
          <w:rFonts w:ascii="宋体" w:hAnsi="宋体"/>
          <w:color w:val="0C0C0C"/>
          <w:sz w:val="21"/>
          <w:szCs w:val="21"/>
        </w:rPr>
      </w:pPr>
      <w:r>
        <w:rPr>
          <w:rFonts w:hint="eastAsia" w:ascii="宋体" w:hAnsi="宋体"/>
          <w:color w:val="0C0C0C"/>
          <w:sz w:val="21"/>
          <w:szCs w:val="21"/>
        </w:rPr>
        <w:t>（二）基金费用计提方法、计提标准和支付方式</w:t>
      </w:r>
    </w:p>
    <w:p w14:paraId="1FAF3C6C">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asciiTheme="minorEastAsia" w:hAnsiTheme="minorEastAsia"/>
          <w:color w:val="0D0D0D" w:themeColor="text1" w:themeTint="F2"/>
          <w:sz w:val="21"/>
          <w:szCs w:val="21"/>
          <w14:textFill>
            <w14:solidFill>
              <w14:schemeClr w14:val="tx1">
                <w14:lumMod w14:val="95000"/>
                <w14:lumOff w14:val="5000"/>
              </w14:schemeClr>
            </w14:solidFill>
          </w14:textFill>
        </w:rPr>
        <w:t>1</w:t>
      </w: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、基金管理人的管理费</w:t>
      </w:r>
    </w:p>
    <w:p w14:paraId="0F61AD54">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本基金的管理费按前一日基金资产净值的</w:t>
      </w:r>
      <w:r>
        <w:rPr>
          <w:rFonts w:hint="eastAsia"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0.50%</w:t>
      </w: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年费率计提。管理费的计算方法如下：</w:t>
      </w:r>
    </w:p>
    <w:p w14:paraId="11E50B4D">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asciiTheme="minorEastAsia" w:hAnsiTheme="minorEastAsia"/>
          <w:color w:val="0D0D0D" w:themeColor="text1" w:themeTint="F2"/>
          <w:sz w:val="21"/>
          <w:szCs w:val="21"/>
          <w14:textFill>
            <w14:solidFill>
              <w14:schemeClr w14:val="tx1">
                <w14:lumMod w14:val="95000"/>
                <w14:lumOff w14:val="5000"/>
              </w14:schemeClr>
            </w14:solidFill>
          </w14:textFill>
        </w:rPr>
        <w:t>H</w:t>
      </w: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w:t>
      </w:r>
      <w:r>
        <w:rPr>
          <w:rFonts w:asciiTheme="minorEastAsia" w:hAnsiTheme="minorEastAsia"/>
          <w:color w:val="0D0D0D" w:themeColor="text1" w:themeTint="F2"/>
          <w:sz w:val="21"/>
          <w:szCs w:val="21"/>
          <w14:textFill>
            <w14:solidFill>
              <w14:schemeClr w14:val="tx1">
                <w14:lumMod w14:val="95000"/>
                <w14:lumOff w14:val="5000"/>
              </w14:schemeClr>
            </w14:solidFill>
          </w14:textFill>
        </w:rPr>
        <w:t>E×</w:t>
      </w:r>
      <w:r>
        <w:rPr>
          <w:rFonts w:hint="eastAsia"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0.50%</w:t>
      </w:r>
      <w:r>
        <w:rPr>
          <w:rFonts w:asciiTheme="minorEastAsia" w:hAnsiTheme="minorEastAsia"/>
          <w:color w:val="0D0D0D" w:themeColor="text1" w:themeTint="F2"/>
          <w:sz w:val="21"/>
          <w:szCs w:val="21"/>
          <w14:textFill>
            <w14:solidFill>
              <w14:schemeClr w14:val="tx1">
                <w14:lumMod w14:val="95000"/>
                <w14:lumOff w14:val="5000"/>
              </w14:schemeClr>
            </w14:solidFill>
          </w14:textFill>
        </w:rPr>
        <w:t>÷当年天数</w:t>
      </w:r>
    </w:p>
    <w:p w14:paraId="27D56909">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asciiTheme="minorEastAsia" w:hAnsiTheme="minorEastAsia"/>
          <w:color w:val="0D0D0D" w:themeColor="text1" w:themeTint="F2"/>
          <w:sz w:val="21"/>
          <w:szCs w:val="21"/>
          <w14:textFill>
            <w14:solidFill>
              <w14:schemeClr w14:val="tx1">
                <w14:lumMod w14:val="95000"/>
                <w14:lumOff w14:val="5000"/>
              </w14:schemeClr>
            </w14:solidFill>
          </w14:textFill>
        </w:rPr>
        <w:t>H</w:t>
      </w: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为每日应计提的基金管理费</w:t>
      </w:r>
    </w:p>
    <w:p w14:paraId="71726486">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asciiTheme="minorEastAsia" w:hAnsiTheme="minorEastAsia"/>
          <w:color w:val="0D0D0D" w:themeColor="text1" w:themeTint="F2"/>
          <w:sz w:val="21"/>
          <w:szCs w:val="21"/>
          <w14:textFill>
            <w14:solidFill>
              <w14:schemeClr w14:val="tx1">
                <w14:lumMod w14:val="95000"/>
                <w14:lumOff w14:val="5000"/>
              </w14:schemeClr>
            </w14:solidFill>
          </w14:textFill>
        </w:rPr>
        <w:t>E</w:t>
      </w: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为前一日的基金资产净值</w:t>
      </w:r>
    </w:p>
    <w:p w14:paraId="5DE4C7BB">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基金管理费每日计提，按月支付。由基金托管人根据与基金管理人核对一致的财务数据，自动在月初5个工作日内、按照指定的账户路径进行资金支付，基金管理人无需再出具资金划拨指令。若遇法定节假日、休息日等，支付日期顺延。费用自动扣划后，基金管理人应进行核对，如发现数据不符，及时联系基金托管人协商解决。</w:t>
      </w:r>
    </w:p>
    <w:p w14:paraId="56D573BC">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asciiTheme="minorEastAsia" w:hAnsiTheme="minorEastAsia"/>
          <w:color w:val="0D0D0D" w:themeColor="text1" w:themeTint="F2"/>
          <w:sz w:val="21"/>
          <w:szCs w:val="21"/>
          <w14:textFill>
            <w14:solidFill>
              <w14:schemeClr w14:val="tx1">
                <w14:lumMod w14:val="95000"/>
                <w14:lumOff w14:val="5000"/>
              </w14:schemeClr>
            </w14:solidFill>
          </w14:textFill>
        </w:rPr>
        <w:t>2</w:t>
      </w: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、基金托管人的托管费</w:t>
      </w:r>
    </w:p>
    <w:p w14:paraId="3856377D">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本基金的托管费按前一日基金资产净值的</w:t>
      </w:r>
      <w:r>
        <w:rPr>
          <w:rFonts w:hint="eastAsia"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0.10%</w:t>
      </w: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年费率计提。托管费的计算方法如下：</w:t>
      </w:r>
    </w:p>
    <w:p w14:paraId="4EAD5C28">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asciiTheme="minorEastAsia" w:hAnsiTheme="minorEastAsia"/>
          <w:color w:val="0D0D0D" w:themeColor="text1" w:themeTint="F2"/>
          <w:sz w:val="21"/>
          <w:szCs w:val="21"/>
          <w14:textFill>
            <w14:solidFill>
              <w14:schemeClr w14:val="tx1">
                <w14:lumMod w14:val="95000"/>
                <w14:lumOff w14:val="5000"/>
              </w14:schemeClr>
            </w14:solidFill>
          </w14:textFill>
        </w:rPr>
        <w:t>H</w:t>
      </w: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w:t>
      </w:r>
      <w:r>
        <w:rPr>
          <w:rFonts w:asciiTheme="minorEastAsia" w:hAnsiTheme="minorEastAsia"/>
          <w:color w:val="0D0D0D" w:themeColor="text1" w:themeTint="F2"/>
          <w:sz w:val="21"/>
          <w:szCs w:val="21"/>
          <w14:textFill>
            <w14:solidFill>
              <w14:schemeClr w14:val="tx1">
                <w14:lumMod w14:val="95000"/>
                <w14:lumOff w14:val="5000"/>
              </w14:schemeClr>
            </w14:solidFill>
          </w14:textFill>
        </w:rPr>
        <w:t>E×</w:t>
      </w:r>
      <w:r>
        <w:rPr>
          <w:rFonts w:hint="eastAsia"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0.10%</w:t>
      </w:r>
      <w:r>
        <w:rPr>
          <w:rFonts w:asciiTheme="minorEastAsia" w:hAnsiTheme="minorEastAsia"/>
          <w:color w:val="0D0D0D" w:themeColor="text1" w:themeTint="F2"/>
          <w:sz w:val="21"/>
          <w:szCs w:val="21"/>
          <w14:textFill>
            <w14:solidFill>
              <w14:schemeClr w14:val="tx1">
                <w14:lumMod w14:val="95000"/>
                <w14:lumOff w14:val="5000"/>
              </w14:schemeClr>
            </w14:solidFill>
          </w14:textFill>
        </w:rPr>
        <w:t>÷当年天数</w:t>
      </w:r>
    </w:p>
    <w:p w14:paraId="0E9F8232">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asciiTheme="minorEastAsia" w:hAnsiTheme="minorEastAsia"/>
          <w:color w:val="0D0D0D" w:themeColor="text1" w:themeTint="F2"/>
          <w:sz w:val="21"/>
          <w:szCs w:val="21"/>
          <w14:textFill>
            <w14:solidFill>
              <w14:schemeClr w14:val="tx1">
                <w14:lumMod w14:val="95000"/>
                <w14:lumOff w14:val="5000"/>
              </w14:schemeClr>
            </w14:solidFill>
          </w14:textFill>
        </w:rPr>
        <w:t>H</w:t>
      </w: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为每日应计提的基金托管费</w:t>
      </w:r>
    </w:p>
    <w:p w14:paraId="36ACD861">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asciiTheme="minorEastAsia" w:hAnsiTheme="minorEastAsia"/>
          <w:color w:val="0D0D0D" w:themeColor="text1" w:themeTint="F2"/>
          <w:sz w:val="21"/>
          <w:szCs w:val="21"/>
          <w14:textFill>
            <w14:solidFill>
              <w14:schemeClr w14:val="tx1">
                <w14:lumMod w14:val="95000"/>
                <w14:lumOff w14:val="5000"/>
              </w14:schemeClr>
            </w14:solidFill>
          </w14:textFill>
        </w:rPr>
        <w:t>E</w:t>
      </w: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为前一日的基金资产净值</w:t>
      </w:r>
    </w:p>
    <w:p w14:paraId="4E5683E8">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基金托管费每日计提，按月支付。由基金托管人根据与基金管理人核对一致的财务数据，自动在月初5个工作日内、按照指定的账户路径进行资金支付，基金管理人无需再出具资金划拨指令。若遇法定节假日、休息日等，支付日期顺延。费用自动扣划后，基金管理人应进行核对，如发现数据不符，及时联系基金托管人协商解决。</w:t>
      </w:r>
    </w:p>
    <w:p w14:paraId="65FED13C">
      <w:pPr>
        <w:adjustRightInd w:val="0"/>
        <w:snapToGrid w:val="0"/>
        <w:spacing w:line="360" w:lineRule="auto"/>
        <w:ind w:firstLine="420" w:firstLineChars="200"/>
        <w:rPr>
          <w:rFonts w:ascii="宋体" w:hAnsi="宋体"/>
          <w:color w:val="0C0C0C"/>
          <w:sz w:val="21"/>
          <w:szCs w:val="21"/>
        </w:rPr>
      </w:pPr>
      <w:r>
        <w:rPr>
          <w:rFonts w:hint="eastAsia"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上述“（一）基金费用的种类”中第</w:t>
      </w:r>
      <w:r>
        <w:rPr>
          <w:rFonts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3－</w:t>
      </w:r>
      <w:r>
        <w:rPr>
          <w:rFonts w:hint="eastAsia"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9</w:t>
      </w:r>
      <w:r>
        <w:rPr>
          <w:rFonts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项费用，根据有关法规及相应协议规定，按费用实际支出金额列入当期费用，由基金托管人从基金财产中支付。</w:t>
      </w:r>
    </w:p>
    <w:p w14:paraId="7A0EDF61">
      <w:pPr>
        <w:adjustRightInd w:val="0"/>
        <w:snapToGrid w:val="0"/>
        <w:spacing w:line="360" w:lineRule="auto"/>
        <w:ind w:firstLine="420" w:firstLineChars="200"/>
        <w:rPr>
          <w:rFonts w:ascii="宋体" w:hAnsi="宋体"/>
          <w:color w:val="0C0C0C"/>
          <w:sz w:val="21"/>
          <w:szCs w:val="21"/>
        </w:rPr>
      </w:pPr>
      <w:r>
        <w:rPr>
          <w:rFonts w:hint="eastAsia" w:ascii="宋体" w:hAnsi="宋体"/>
          <w:color w:val="0C0C0C"/>
          <w:sz w:val="21"/>
          <w:szCs w:val="21"/>
        </w:rPr>
        <w:t>（三）不列入基金费用的项目</w:t>
      </w:r>
    </w:p>
    <w:p w14:paraId="1CED9958">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下列费用不列入基金费用：</w:t>
      </w:r>
    </w:p>
    <w:p w14:paraId="18026EDE">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asciiTheme="minorEastAsia" w:hAnsiTheme="minorEastAsia"/>
          <w:color w:val="0D0D0D" w:themeColor="text1" w:themeTint="F2"/>
          <w:sz w:val="21"/>
          <w:szCs w:val="21"/>
          <w14:textFill>
            <w14:solidFill>
              <w14:schemeClr w14:val="tx1">
                <w14:lumMod w14:val="95000"/>
                <w14:lumOff w14:val="5000"/>
              </w14:schemeClr>
            </w14:solidFill>
          </w14:textFill>
        </w:rPr>
        <w:t>1、基金管理人和基金托管人因未履行或未完全履行义务导致的费用支出或基金财产的损失；</w:t>
      </w:r>
    </w:p>
    <w:p w14:paraId="72630FCE">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asciiTheme="minorEastAsia" w:hAnsiTheme="minorEastAsia"/>
          <w:color w:val="0D0D0D" w:themeColor="text1" w:themeTint="F2"/>
          <w:sz w:val="21"/>
          <w:szCs w:val="21"/>
          <w14:textFill>
            <w14:solidFill>
              <w14:schemeClr w14:val="tx1">
                <w14:lumMod w14:val="95000"/>
                <w14:lumOff w14:val="5000"/>
              </w14:schemeClr>
            </w14:solidFill>
          </w14:textFill>
        </w:rPr>
        <w:t>2、基金管理人和基金托管人处理与基金运作无关的事项发生的费用；</w:t>
      </w:r>
    </w:p>
    <w:p w14:paraId="35DE87F7">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asciiTheme="minorEastAsia" w:hAnsiTheme="minorEastAsia"/>
          <w:color w:val="0D0D0D" w:themeColor="text1" w:themeTint="F2"/>
          <w:sz w:val="21"/>
          <w:szCs w:val="21"/>
          <w14:textFill>
            <w14:solidFill>
              <w14:schemeClr w14:val="tx1">
                <w14:lumMod w14:val="95000"/>
                <w14:lumOff w14:val="5000"/>
              </w14:schemeClr>
            </w14:solidFill>
          </w14:textFill>
        </w:rPr>
        <w:t>3、《基金合同》生效前的相关费用；</w:t>
      </w:r>
    </w:p>
    <w:p w14:paraId="453C2806">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asciiTheme="minorEastAsia" w:hAnsiTheme="minorEastAsia"/>
          <w:color w:val="0D0D0D" w:themeColor="text1" w:themeTint="F2"/>
          <w:sz w:val="21"/>
          <w:szCs w:val="21"/>
          <w14:textFill>
            <w14:solidFill>
              <w14:schemeClr w14:val="tx1">
                <w14:lumMod w14:val="95000"/>
                <w14:lumOff w14:val="5000"/>
              </w14:schemeClr>
            </w14:solidFill>
          </w14:textFill>
        </w:rPr>
        <w:t>4、指数许可使用费</w:t>
      </w: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w:t>
      </w:r>
    </w:p>
    <w:p w14:paraId="132AEED1">
      <w:pPr>
        <w:adjustRightInd w:val="0"/>
        <w:snapToGrid w:val="0"/>
        <w:spacing w:line="360" w:lineRule="auto"/>
        <w:ind w:firstLine="420" w:firstLineChars="200"/>
        <w:rPr>
          <w:rFonts w:ascii="宋体" w:hAnsi="宋体" w:cs="Arial"/>
          <w:bCs/>
          <w:kern w:val="0"/>
          <w:sz w:val="21"/>
          <w:szCs w:val="21"/>
        </w:rPr>
      </w:pPr>
      <w:r>
        <w:rPr>
          <w:rFonts w:hint="eastAsia"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本基金按照基金管理人与标的指数许可方所签订的指数使用许可协议中所规定的指数许可使用费计提方法支付指数许可使用费，</w:t>
      </w:r>
      <w:r>
        <w:rPr>
          <w:rFonts w:hint="eastAsia" w:ascii="宋体" w:hAnsi="宋体" w:cs="Arial"/>
          <w:bCs/>
          <w:kern w:val="0"/>
          <w:sz w:val="21"/>
          <w:szCs w:val="21"/>
        </w:rPr>
        <w:t>该指数许可使用费由基金管理人承担，不得从基金财产中列支</w:t>
      </w:r>
      <w:r>
        <w:rPr>
          <w:rFonts w:hint="eastAsia"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w:t>
      </w:r>
    </w:p>
    <w:p w14:paraId="320A788B">
      <w:pPr>
        <w:adjustRightInd w:val="0"/>
        <w:snapToGrid w:val="0"/>
        <w:spacing w:line="360" w:lineRule="auto"/>
        <w:ind w:firstLine="420" w:firstLineChars="200"/>
        <w:rPr>
          <w:rFonts w:asciiTheme="minorEastAsia" w:hAnsi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如果指数许可使用费的计算方法、费率、支付方式和费用承担方等发生调整，本基金将采用调整后的方法或费率计算指数许可使用费；</w:t>
      </w:r>
    </w:p>
    <w:p w14:paraId="241288C8">
      <w:pPr>
        <w:adjustRightInd w:val="0"/>
        <w:snapToGrid w:val="0"/>
        <w:spacing w:line="360" w:lineRule="auto"/>
        <w:ind w:firstLine="420" w:firstLineChars="200"/>
        <w:rPr>
          <w:rFonts w:ascii="宋体" w:hAnsi="宋体"/>
          <w:color w:val="0C0C0C"/>
          <w:sz w:val="21"/>
          <w:szCs w:val="21"/>
        </w:rPr>
      </w:pPr>
      <w:r>
        <w:rPr>
          <w:rFonts w:asciiTheme="minorEastAsia" w:hAnsiTheme="minorEastAsia"/>
          <w:color w:val="0D0D0D" w:themeColor="text1" w:themeTint="F2"/>
          <w:sz w:val="21"/>
          <w:szCs w:val="21"/>
          <w14:textFill>
            <w14:solidFill>
              <w14:schemeClr w14:val="tx1">
                <w14:lumMod w14:val="95000"/>
                <w14:lumOff w14:val="5000"/>
              </w14:schemeClr>
            </w14:solidFill>
          </w14:textFill>
        </w:rPr>
        <w:t>5、其他根据相关法律法规及中国证监会的有关规定不得列入基金费用的项目。</w:t>
      </w:r>
    </w:p>
    <w:p w14:paraId="2917C9ED">
      <w:pPr>
        <w:adjustRightInd w:val="0"/>
        <w:snapToGrid w:val="0"/>
        <w:spacing w:line="360" w:lineRule="auto"/>
        <w:ind w:firstLine="420" w:firstLineChars="200"/>
        <w:rPr>
          <w:rFonts w:ascii="宋体" w:hAnsi="宋体"/>
          <w:color w:val="0C0C0C"/>
          <w:sz w:val="21"/>
          <w:szCs w:val="21"/>
        </w:rPr>
      </w:pPr>
      <w:r>
        <w:rPr>
          <w:rFonts w:hint="eastAsia" w:ascii="宋体" w:hAnsi="宋体"/>
          <w:color w:val="0C0C0C"/>
          <w:sz w:val="21"/>
          <w:szCs w:val="21"/>
        </w:rPr>
        <w:t>（四）基金税收</w:t>
      </w:r>
    </w:p>
    <w:p w14:paraId="00729D51">
      <w:pPr>
        <w:adjustRightInd w:val="0"/>
        <w:snapToGrid w:val="0"/>
        <w:spacing w:line="360" w:lineRule="auto"/>
        <w:ind w:firstLine="420" w:firstLineChars="200"/>
        <w:rPr>
          <w:rFonts w:ascii="宋体" w:hAnsi="宋体"/>
          <w:color w:val="0C0C0C"/>
          <w:sz w:val="21"/>
          <w:szCs w:val="21"/>
        </w:rPr>
      </w:pP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本基金运作过程中涉及的各纳税主体，其纳税义务按国家税收法律、法规执行。基金财产投资的相关税收，由基金份额持有人承担，基金管理人或者其他扣缴义务人按照国家有关税收征收的规定代扣代缴。</w:t>
      </w:r>
    </w:p>
    <w:p w14:paraId="07DC75F3">
      <w:pPr>
        <w:adjustRightInd w:val="0"/>
        <w:snapToGrid w:val="0"/>
        <w:spacing w:line="360" w:lineRule="auto"/>
        <w:ind w:firstLine="420" w:firstLineChars="200"/>
        <w:rPr>
          <w:rFonts w:ascii="宋体" w:hAnsi="宋体"/>
          <w:color w:val="0C0C0C"/>
          <w:sz w:val="21"/>
          <w:szCs w:val="21"/>
        </w:rPr>
      </w:pPr>
      <w:r>
        <w:rPr>
          <w:rFonts w:hint="eastAsia" w:ascii="宋体" w:hAnsi="宋体"/>
          <w:color w:val="0C0C0C"/>
          <w:sz w:val="21"/>
          <w:szCs w:val="21"/>
        </w:rPr>
        <w:t>五、基金资产的投资范围和投资限制</w:t>
      </w:r>
    </w:p>
    <w:p w14:paraId="187526B6">
      <w:pPr>
        <w:adjustRightInd w:val="0"/>
        <w:snapToGrid w:val="0"/>
        <w:spacing w:line="360" w:lineRule="auto"/>
        <w:ind w:firstLine="420" w:firstLineChars="200"/>
        <w:rPr>
          <w:rFonts w:ascii="宋体" w:hAnsi="宋体"/>
          <w:color w:val="0C0C0C"/>
          <w:sz w:val="21"/>
          <w:szCs w:val="21"/>
        </w:rPr>
      </w:pPr>
      <w:r>
        <w:rPr>
          <w:rFonts w:hint="eastAsia" w:ascii="宋体" w:hAnsi="宋体"/>
          <w:color w:val="0C0C0C"/>
          <w:sz w:val="21"/>
          <w:szCs w:val="21"/>
        </w:rPr>
        <w:t>（一）投资范围</w:t>
      </w:r>
    </w:p>
    <w:p w14:paraId="2E4445B2">
      <w:pPr>
        <w:adjustRightInd w:val="0"/>
        <w:snapToGrid w:val="0"/>
        <w:spacing w:line="360" w:lineRule="auto"/>
        <w:ind w:firstLine="420" w:firstLineChars="200"/>
        <w:rPr>
          <w:rFonts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本基金主要投资于标的指数成份股和备选成份股（含存托凭证）。</w:t>
      </w:r>
    </w:p>
    <w:p w14:paraId="5B066502">
      <w:pPr>
        <w:adjustRightInd w:val="0"/>
        <w:snapToGrid w:val="0"/>
        <w:spacing w:line="360" w:lineRule="auto"/>
        <w:ind w:firstLine="420" w:firstLineChars="200"/>
        <w:rPr>
          <w:rFonts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为更好地实现基金的投资目标，本基金可能会少量投资于依法发行上市的非成份股（包括创业板及其他经中国证监会核准或注册上市的股票和存托凭证）、债券（包括国债、金融债、地方政府债、政府支持债券、政府支持机构债券、企业债、公司债、可转换债券（含可分离交易可转债）、可交换债券、央行票据、短期融资券、超短期融资券、中期票据等）、国债期货、股指期货、股票期权、货币市场工具（包括银行存款、同业存单等）、债券回购、资产支持证券以及法律法规或中国证监会允许基金投资的其他金融工具（但须符合中国证监会的相关规定）。</w:t>
      </w:r>
    </w:p>
    <w:p w14:paraId="162837F4">
      <w:pPr>
        <w:adjustRightInd w:val="0"/>
        <w:snapToGrid w:val="0"/>
        <w:spacing w:line="360" w:lineRule="auto"/>
        <w:ind w:firstLine="420" w:firstLineChars="200"/>
        <w:rPr>
          <w:rFonts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本基金可根据法律法规的规定参与融资和转融通证券出借业务。</w:t>
      </w:r>
    </w:p>
    <w:p w14:paraId="67942786">
      <w:pPr>
        <w:adjustRightInd w:val="0"/>
        <w:snapToGrid w:val="0"/>
        <w:spacing w:line="360" w:lineRule="auto"/>
        <w:ind w:firstLine="420" w:firstLineChars="200"/>
        <w:rPr>
          <w:rFonts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如法律法规或中国证监会以后允许基金投资其他品种，本基金管理人在履行适当程序后，可以将其纳入本基金的投资范围。</w:t>
      </w:r>
    </w:p>
    <w:p w14:paraId="638AF39B">
      <w:pPr>
        <w:adjustRightInd w:val="0"/>
        <w:snapToGrid w:val="0"/>
        <w:spacing w:line="360" w:lineRule="auto"/>
        <w:ind w:firstLine="420" w:firstLineChars="200"/>
        <w:rPr>
          <w:rFonts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本基金投资于标的指数成份股和备选成份股（含存托凭证）的资产比例不低于基金资产净值的90%，且不低于非现金基金资产的80%；本基金每个交易日日终在扣除股指期货、股票期权和国债期货合约需缴纳的交易保证金后，应当保持不低于交易保证金一倍的现金，其中现金不包括结算备付金、存出保证金、应收申购款等；股指期货、股票期权、国债期货及其他金融工具的投资比例依照法律法规或监管机构的规定执行。</w:t>
      </w:r>
    </w:p>
    <w:p w14:paraId="7C622392">
      <w:pPr>
        <w:adjustRightInd w:val="0"/>
        <w:snapToGrid w:val="0"/>
        <w:spacing w:line="360" w:lineRule="auto"/>
        <w:ind w:firstLine="420" w:firstLineChars="200"/>
        <w:rPr>
          <w:rFonts w:ascii="宋体" w:hAnsi="宋体"/>
          <w:color w:val="0C0C0C"/>
          <w:sz w:val="21"/>
          <w:szCs w:val="21"/>
        </w:rPr>
      </w:pPr>
      <w:r>
        <w:rPr>
          <w:rFonts w:hint="eastAsia"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若法律法规的相关规定发生变更或监管机构允许，本基金管理人在履行适当程序后，可对上述资产配置比例进行调整。</w:t>
      </w:r>
    </w:p>
    <w:p w14:paraId="57F1B5D1">
      <w:pPr>
        <w:adjustRightInd w:val="0"/>
        <w:snapToGrid w:val="0"/>
        <w:spacing w:line="360" w:lineRule="auto"/>
        <w:ind w:firstLine="420" w:firstLineChars="200"/>
        <w:rPr>
          <w:rFonts w:ascii="宋体" w:hAnsi="宋体"/>
          <w:color w:val="0C0C0C"/>
          <w:sz w:val="21"/>
          <w:szCs w:val="21"/>
        </w:rPr>
      </w:pPr>
      <w:r>
        <w:rPr>
          <w:rFonts w:hint="eastAsia" w:ascii="宋体" w:hAnsi="宋体"/>
          <w:color w:val="0C0C0C"/>
          <w:sz w:val="21"/>
          <w:szCs w:val="21"/>
        </w:rPr>
        <w:t>（二）投资限制</w:t>
      </w:r>
    </w:p>
    <w:p w14:paraId="050D8753">
      <w:pPr>
        <w:adjustRightInd w:val="0"/>
        <w:snapToGrid w:val="0"/>
        <w:spacing w:line="360" w:lineRule="auto"/>
        <w:ind w:firstLine="420" w:firstLineChars="200"/>
        <w:rPr>
          <w:rFonts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1</w:t>
      </w:r>
      <w:r>
        <w:rPr>
          <w:rFonts w:hint="eastAsia"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、组合限制</w:t>
      </w:r>
    </w:p>
    <w:p w14:paraId="68CCFF5B">
      <w:pPr>
        <w:adjustRightInd w:val="0"/>
        <w:snapToGrid w:val="0"/>
        <w:spacing w:line="360" w:lineRule="auto"/>
        <w:ind w:firstLine="420" w:firstLineChars="200"/>
        <w:rPr>
          <w:rFonts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基金的投资组合应遵循以下限制：</w:t>
      </w:r>
    </w:p>
    <w:p w14:paraId="764D0834">
      <w:pPr>
        <w:adjustRightInd w:val="0"/>
        <w:snapToGrid w:val="0"/>
        <w:spacing w:line="360" w:lineRule="auto"/>
        <w:ind w:left="480"/>
        <w:rPr>
          <w:rFonts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（1）本基金投资于标的指数成份股和备选成份股（含存托凭证）的资产比例不低于基金资产净值的90%，且不低于非现金基金资产的80%；</w:t>
      </w:r>
    </w:p>
    <w:p w14:paraId="155E446B">
      <w:pPr>
        <w:adjustRightInd w:val="0"/>
        <w:snapToGrid w:val="0"/>
        <w:spacing w:line="360" w:lineRule="auto"/>
        <w:ind w:left="480"/>
        <w:rPr>
          <w:rFonts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（2）本基金每个交易日日终在扣除股指期货、股票期权和国债期货合约需缴纳的交易保证金后，应当保持不低于交易保证金一倍的现金，其中现金不包括结算备付金、存出保证金和应收申购款等；</w:t>
      </w:r>
    </w:p>
    <w:p w14:paraId="3E6DB7B7">
      <w:pPr>
        <w:adjustRightInd w:val="0"/>
        <w:snapToGrid w:val="0"/>
        <w:spacing w:line="360" w:lineRule="auto"/>
        <w:ind w:firstLine="420" w:firstLineChars="200"/>
        <w:rPr>
          <w:rFonts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（3）本基金持有的全部资产支持证券，其市值不得超过基金资产净值的20％；</w:t>
      </w:r>
    </w:p>
    <w:p w14:paraId="23AB5D0E">
      <w:pPr>
        <w:adjustRightInd w:val="0"/>
        <w:snapToGrid w:val="0"/>
        <w:spacing w:line="360" w:lineRule="auto"/>
        <w:ind w:firstLine="420" w:firstLineChars="200"/>
        <w:rPr>
          <w:rFonts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（4）本基金投资于同一原始权益人的各类资产支持证券的比例，不得超过基金资产净值的10％；</w:t>
      </w:r>
    </w:p>
    <w:p w14:paraId="3814518F">
      <w:pPr>
        <w:adjustRightInd w:val="0"/>
        <w:snapToGrid w:val="0"/>
        <w:spacing w:line="360" w:lineRule="auto"/>
        <w:ind w:firstLine="420" w:firstLineChars="200"/>
        <w:rPr>
          <w:rFonts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（5）本基金持有的同一(指同一信用级别)资产支持证券的比例，不得超过该资产支持证券规模的10％；</w:t>
      </w:r>
    </w:p>
    <w:p w14:paraId="0D9034BB">
      <w:pPr>
        <w:adjustRightInd w:val="0"/>
        <w:snapToGrid w:val="0"/>
        <w:spacing w:line="360" w:lineRule="auto"/>
        <w:ind w:firstLine="420" w:firstLineChars="200"/>
        <w:rPr>
          <w:rFonts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（6）本基金管理人管理的全部基金投资于同一原始权益人的各类资产支持证券，不得超过其各类资产支持证券合计规模的10％；</w:t>
      </w:r>
    </w:p>
    <w:p w14:paraId="7CE7D4E8">
      <w:pPr>
        <w:adjustRightInd w:val="0"/>
        <w:snapToGrid w:val="0"/>
        <w:spacing w:line="360" w:lineRule="auto"/>
        <w:ind w:firstLine="420" w:firstLineChars="200"/>
        <w:rPr>
          <w:rFonts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（7）本基金应投资于信用级别评级为BBB以上(含BBB)的资产支持证券。基金持有资产支持证券期间，如果其信用等级下降、不再符合投资标准，应在评级报告发布之日起3个月内予以全部卖出；</w:t>
      </w:r>
    </w:p>
    <w:p w14:paraId="43FC9D05">
      <w:pPr>
        <w:adjustRightInd w:val="0"/>
        <w:snapToGrid w:val="0"/>
        <w:spacing w:line="360" w:lineRule="auto"/>
        <w:ind w:firstLine="420" w:firstLineChars="200"/>
        <w:rPr>
          <w:rFonts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（8）基金财产参与股票发行申购，本基金所申报的金额不超过本基金的总资产，本基金所申报的股票数量不超过拟发行股票公司本次发行股票的总量；</w:t>
      </w:r>
    </w:p>
    <w:p w14:paraId="430ED643">
      <w:pPr>
        <w:adjustRightInd w:val="0"/>
        <w:snapToGrid w:val="0"/>
        <w:spacing w:line="360" w:lineRule="auto"/>
        <w:ind w:firstLine="420" w:firstLineChars="200"/>
        <w:rPr>
          <w:rFonts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（9）本基金资产总值不得超过基金资产净值的140%；</w:t>
      </w:r>
    </w:p>
    <w:p w14:paraId="1D2F9D94">
      <w:pPr>
        <w:adjustRightInd w:val="0"/>
        <w:snapToGrid w:val="0"/>
        <w:spacing w:line="360" w:lineRule="auto"/>
        <w:ind w:firstLine="420" w:firstLineChars="200"/>
        <w:rPr>
          <w:rFonts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（10）本基金参与融资的，在任何交易日日终，本基金持有的融资买入股票与其他有价证券市值之和，不得超过基金资产净值的95%；</w:t>
      </w:r>
    </w:p>
    <w:p w14:paraId="153A4C76">
      <w:pPr>
        <w:adjustRightInd w:val="0"/>
        <w:snapToGrid w:val="0"/>
        <w:spacing w:line="360" w:lineRule="auto"/>
        <w:ind w:firstLine="420" w:firstLineChars="200"/>
        <w:rPr>
          <w:rFonts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（11）本基金参与转融通证券出借交易应当符合以下要求：</w:t>
      </w:r>
    </w:p>
    <w:p w14:paraId="235E3ED6">
      <w:pPr>
        <w:adjustRightInd w:val="0"/>
        <w:snapToGrid w:val="0"/>
        <w:spacing w:line="360" w:lineRule="auto"/>
        <w:ind w:firstLine="420" w:firstLineChars="200"/>
        <w:rPr>
          <w:rFonts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1）出借证券资产不得超过基金资产净值的30%，出借期限在10个交易日以上的出借证券应纳入《流动性风险管理规定》所述流动性受限证券的范围；</w:t>
      </w:r>
    </w:p>
    <w:p w14:paraId="37CC37BF">
      <w:pPr>
        <w:adjustRightInd w:val="0"/>
        <w:snapToGrid w:val="0"/>
        <w:spacing w:line="360" w:lineRule="auto"/>
        <w:ind w:firstLine="420" w:firstLineChars="200"/>
        <w:rPr>
          <w:rFonts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2）参与出借业务的单只证券不得超过基金持有该证券总量的30%；</w:t>
      </w:r>
    </w:p>
    <w:p w14:paraId="361F0041">
      <w:pPr>
        <w:adjustRightInd w:val="0"/>
        <w:snapToGrid w:val="0"/>
        <w:spacing w:line="360" w:lineRule="auto"/>
        <w:ind w:firstLine="420" w:firstLineChars="200"/>
        <w:rPr>
          <w:rFonts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3）最近6个月内日均基金资产净值不得低于2亿元；</w:t>
      </w:r>
    </w:p>
    <w:p w14:paraId="41A467E2">
      <w:pPr>
        <w:adjustRightInd w:val="0"/>
        <w:snapToGrid w:val="0"/>
        <w:spacing w:line="360" w:lineRule="auto"/>
        <w:ind w:firstLine="420" w:firstLineChars="200"/>
        <w:rPr>
          <w:rFonts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4）证券出借的平均剩余期限不得超过30天，平均剩余期限按照市值加权平均计算；</w:t>
      </w:r>
    </w:p>
    <w:p w14:paraId="138193EA">
      <w:pPr>
        <w:adjustRightInd w:val="0"/>
        <w:snapToGrid w:val="0"/>
        <w:spacing w:line="360" w:lineRule="auto"/>
        <w:ind w:firstLine="420" w:firstLineChars="200"/>
        <w:rPr>
          <w:rFonts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因证券市场波动、上市公司合并、基金规模变动等基金管理人之外的因素致使基金投资不符合上述规定的，基金管理人不得新增出借业务；</w:t>
      </w:r>
    </w:p>
    <w:p w14:paraId="3C8C1CE5">
      <w:pPr>
        <w:adjustRightInd w:val="0"/>
        <w:snapToGrid w:val="0"/>
        <w:spacing w:line="360" w:lineRule="auto"/>
        <w:ind w:firstLine="420" w:firstLineChars="200"/>
        <w:rPr>
          <w:rFonts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（12）本基金参与股指期货、国债期货交易的，应当依据下列标准建构组合：</w:t>
      </w:r>
    </w:p>
    <w:p w14:paraId="62D3B569">
      <w:pPr>
        <w:adjustRightInd w:val="0"/>
        <w:snapToGrid w:val="0"/>
        <w:spacing w:line="360" w:lineRule="auto"/>
        <w:ind w:firstLine="420" w:firstLineChars="200"/>
        <w:rPr>
          <w:rFonts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1）在任何交易日日终，持有的买入股指期货合约价值，不得超过基金资产净值的10%；在任何交易日日终，持有的买入国债期货合约价值，不得超过基金资产净值的15%；</w:t>
      </w:r>
    </w:p>
    <w:p w14:paraId="7A701806">
      <w:pPr>
        <w:adjustRightInd w:val="0"/>
        <w:snapToGrid w:val="0"/>
        <w:spacing w:line="360" w:lineRule="auto"/>
        <w:ind w:firstLine="420" w:firstLineChars="200"/>
        <w:rPr>
          <w:rFonts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2）在任何交易日日终，持有的买入期货合约价值与有价证券市值之和，不得超过基金资产净值的100%，其中，有价证券指股票、债券（不含到期日在一年以内的政府债券）、资产支持证券、买入返售金融资产（不含质押式回购）等；</w:t>
      </w:r>
    </w:p>
    <w:p w14:paraId="6BE7D48B">
      <w:pPr>
        <w:adjustRightInd w:val="0"/>
        <w:snapToGrid w:val="0"/>
        <w:spacing w:line="360" w:lineRule="auto"/>
        <w:ind w:firstLine="420" w:firstLineChars="200"/>
        <w:rPr>
          <w:rFonts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3）在任何交易日日终，持有的卖出股指期货合约价值不得超过基金持有的股票总市值的20%；在任何交易日日终，持有的卖出国债期货合约价值不得超过基金持有的债券总市值的30%；</w:t>
      </w:r>
    </w:p>
    <w:p w14:paraId="3B86C152">
      <w:pPr>
        <w:adjustRightInd w:val="0"/>
        <w:snapToGrid w:val="0"/>
        <w:spacing w:line="360" w:lineRule="auto"/>
        <w:ind w:firstLine="420" w:firstLineChars="200"/>
        <w:rPr>
          <w:rFonts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4）在任何交易日内交易（不包括平仓）的股指期货合约的成交金额不得超过上一交易日基金资产净值的20%；在任何交易日内交易（不包括平仓）的国债期货合约的成交金额不得超过上一交易日基金资产净值的30%；</w:t>
      </w:r>
    </w:p>
    <w:p w14:paraId="2735E5E1">
      <w:pPr>
        <w:adjustRightInd w:val="0"/>
        <w:snapToGrid w:val="0"/>
        <w:spacing w:line="360" w:lineRule="auto"/>
        <w:ind w:firstLine="420" w:firstLineChars="200"/>
        <w:rPr>
          <w:rFonts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5）本基金所持有的股票市值和买入、卖出股指期货合约价值，合计（轧差计算）应当符合基金合同关于股票投资比例有关约定；本基金所持有的债券（不含到期日在一年以内的政府债券）市值和买入、卖出国债期货合约价值，合计（轧差计算）应当符合基金合同关于债券投资比例的有关约定；</w:t>
      </w:r>
    </w:p>
    <w:p w14:paraId="2FF02018">
      <w:pPr>
        <w:adjustRightInd w:val="0"/>
        <w:snapToGrid w:val="0"/>
        <w:spacing w:line="360" w:lineRule="auto"/>
        <w:ind w:firstLine="420" w:firstLineChars="200"/>
        <w:rPr>
          <w:rFonts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（13）本基金投资股票期权应当符合以下要求：</w:t>
      </w:r>
    </w:p>
    <w:p w14:paraId="6D7E9FB0">
      <w:pPr>
        <w:adjustRightInd w:val="0"/>
        <w:snapToGrid w:val="0"/>
        <w:spacing w:line="360" w:lineRule="auto"/>
        <w:ind w:firstLine="420" w:firstLineChars="200"/>
        <w:rPr>
          <w:rFonts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基金因未平仓的股票期权合约支付和收取的权利金总额不得超过基金资产净值的10%；开仓卖出认购股票期权的，应持有足额标的证券；开仓卖出认沽股票期权的，应持有合约行权所需的全额现金或交易所规则认可的可冲抵股票期权保证金的现金等价物；未平仓的股票期权合约面值不得超过基金资产净值的20%。其中，合约面值按照行权价乘以合约乘数计算；</w:t>
      </w:r>
    </w:p>
    <w:p w14:paraId="2364217D">
      <w:pPr>
        <w:adjustRightInd w:val="0"/>
        <w:snapToGrid w:val="0"/>
        <w:spacing w:line="360" w:lineRule="auto"/>
        <w:ind w:firstLine="420" w:firstLineChars="200"/>
        <w:rPr>
          <w:rFonts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（14）本基金投资流通受限证券，基金管理人应制订严格的投资决策流程和风险控制制度，防范流动性风险、法律风险和操作风险等各种风险；</w:t>
      </w:r>
    </w:p>
    <w:p w14:paraId="28237197">
      <w:pPr>
        <w:adjustRightInd w:val="0"/>
        <w:snapToGrid w:val="0"/>
        <w:spacing w:line="360" w:lineRule="auto"/>
        <w:ind w:firstLine="420" w:firstLineChars="200"/>
        <w:rPr>
          <w:rFonts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15）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14:paraId="7AE1EF94">
      <w:pPr>
        <w:adjustRightInd w:val="0"/>
        <w:snapToGrid w:val="0"/>
        <w:spacing w:line="360" w:lineRule="auto"/>
        <w:ind w:firstLine="420" w:firstLineChars="200"/>
        <w:rPr>
          <w:rFonts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（16）本基金与私募类证券资管产品及中国证监会认定的其他主体为交易对手开展逆回购交易的，可接受质押品的资质要求应当与本基金合同约定的投资范围保持一致；</w:t>
      </w:r>
    </w:p>
    <w:p w14:paraId="18AAA597">
      <w:pPr>
        <w:adjustRightInd w:val="0"/>
        <w:snapToGrid w:val="0"/>
        <w:spacing w:line="360" w:lineRule="auto"/>
        <w:ind w:firstLine="420" w:firstLineChars="200"/>
        <w:rPr>
          <w:rFonts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（17）本基金投资存托凭证的比例限制依照境内上市交易的股票执行，与境内上市交易的股票合并计算；</w:t>
      </w:r>
    </w:p>
    <w:p w14:paraId="07728C6E">
      <w:pPr>
        <w:adjustRightInd w:val="0"/>
        <w:snapToGrid w:val="0"/>
        <w:spacing w:line="360" w:lineRule="auto"/>
        <w:ind w:firstLine="420" w:firstLineChars="200"/>
        <w:rPr>
          <w:rFonts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（18）法律法规及中国证监会规定的和《基金合同》约定的其他投资限制。</w:t>
      </w:r>
    </w:p>
    <w:p w14:paraId="3ACDE617">
      <w:pPr>
        <w:adjustRightInd w:val="0"/>
        <w:snapToGrid w:val="0"/>
        <w:spacing w:line="360" w:lineRule="auto"/>
        <w:ind w:firstLine="420" w:firstLineChars="200"/>
        <w:rPr>
          <w:rFonts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除第（2）、（7）、（11）、（15）、（16）条外，因证券/期货市场波动、证券发行人合并、基金规模变动、标的指数成份股调整、标的指数成份股流动性限制等基金管理人之外的因素致使基金投资比例不符合上述规定投资比例的，基金管理人应当在10个交易日内进行调整，但中国证监会规定的特殊情形除外。</w:t>
      </w:r>
    </w:p>
    <w:p w14:paraId="5CBADECC">
      <w:pPr>
        <w:adjustRightInd w:val="0"/>
        <w:snapToGrid w:val="0"/>
        <w:spacing w:line="360" w:lineRule="auto"/>
        <w:ind w:firstLine="420" w:firstLineChars="200"/>
        <w:rPr>
          <w:rFonts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基金管理人应当自基金合同生效之日起</w:t>
      </w:r>
      <w:r>
        <w:rPr>
          <w:rFonts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6个月内使基金的投资组合比例符合基金合同的有关约定。</w:t>
      </w:r>
      <w:r>
        <w:rPr>
          <w:rFonts w:hint="eastAsia"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在上述</w:t>
      </w:r>
      <w:r>
        <w:rPr>
          <w:rFonts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期间</w:t>
      </w:r>
      <w:r>
        <w:rPr>
          <w:rFonts w:hint="eastAsia"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内</w:t>
      </w:r>
      <w:r>
        <w:rPr>
          <w:rFonts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w:t>
      </w:r>
      <w:r>
        <w:rPr>
          <w:rFonts w:hint="eastAsia"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本</w:t>
      </w:r>
      <w:r>
        <w:rPr>
          <w:rFonts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基金的投资范围、投资策略应当符合基金合同的约定。</w:t>
      </w:r>
      <w:r>
        <w:rPr>
          <w:rFonts w:hint="eastAsia"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基金托管人对基金的投资的监督与检查自本基金合同生效之日起开始。</w:t>
      </w:r>
    </w:p>
    <w:p w14:paraId="0816396D">
      <w:pPr>
        <w:adjustRightInd w:val="0"/>
        <w:snapToGrid w:val="0"/>
        <w:spacing w:line="360" w:lineRule="auto"/>
        <w:ind w:firstLine="420" w:firstLineChars="200"/>
        <w:rPr>
          <w:rFonts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法律法规或监管部门取消或调整上述限制，如适用于本基金，基金管理人在与基金托管人协商一致并履行适当程序后，则本基金投资不再受相关限制或按照调整后的规定执行。</w:t>
      </w:r>
    </w:p>
    <w:p w14:paraId="5BC72D88">
      <w:pPr>
        <w:adjustRightInd w:val="0"/>
        <w:snapToGrid w:val="0"/>
        <w:spacing w:line="360" w:lineRule="auto"/>
        <w:ind w:firstLine="420" w:firstLineChars="200"/>
        <w:rPr>
          <w:rFonts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2</w:t>
      </w:r>
      <w:r>
        <w:rPr>
          <w:rFonts w:hint="eastAsia"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、禁止行为</w:t>
      </w:r>
    </w:p>
    <w:p w14:paraId="0C19EBDE">
      <w:pPr>
        <w:adjustRightInd w:val="0"/>
        <w:snapToGrid w:val="0"/>
        <w:spacing w:line="360" w:lineRule="auto"/>
        <w:ind w:firstLine="420" w:firstLineChars="200"/>
        <w:rPr>
          <w:rFonts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为维护基金份额持有人的合法权益，基金财产不得用于下列投资或者活动：</w:t>
      </w:r>
    </w:p>
    <w:p w14:paraId="66FB67C5">
      <w:pPr>
        <w:adjustRightInd w:val="0"/>
        <w:snapToGrid w:val="0"/>
        <w:spacing w:line="360" w:lineRule="auto"/>
        <w:ind w:firstLine="420" w:firstLineChars="200"/>
        <w:rPr>
          <w:rFonts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1</w:t>
      </w:r>
      <w:r>
        <w:rPr>
          <w:rFonts w:hint="eastAsia"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）承销证券；</w:t>
      </w:r>
    </w:p>
    <w:p w14:paraId="15C2DCA3">
      <w:pPr>
        <w:adjustRightInd w:val="0"/>
        <w:snapToGrid w:val="0"/>
        <w:spacing w:line="360" w:lineRule="auto"/>
        <w:ind w:firstLine="420" w:firstLineChars="200"/>
        <w:rPr>
          <w:rFonts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（2）</w:t>
      </w:r>
      <w:r>
        <w:rPr>
          <w:rFonts w:hint="eastAsia"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违反规定</w:t>
      </w:r>
      <w:r>
        <w:rPr>
          <w:rFonts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向他人贷款或者提供担保；</w:t>
      </w:r>
    </w:p>
    <w:p w14:paraId="460EF669">
      <w:pPr>
        <w:adjustRightInd w:val="0"/>
        <w:snapToGrid w:val="0"/>
        <w:spacing w:line="360" w:lineRule="auto"/>
        <w:ind w:firstLine="420" w:firstLineChars="200"/>
        <w:rPr>
          <w:rFonts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（3）从事承担无限责任的投资；</w:t>
      </w:r>
    </w:p>
    <w:p w14:paraId="5F78664E">
      <w:pPr>
        <w:adjustRightInd w:val="0"/>
        <w:snapToGrid w:val="0"/>
        <w:spacing w:line="360" w:lineRule="auto"/>
        <w:ind w:firstLine="420" w:firstLineChars="200"/>
        <w:rPr>
          <w:rFonts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（4）买卖其他基金份额，但是</w:t>
      </w:r>
      <w:r>
        <w:rPr>
          <w:rFonts w:hint="eastAsia"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中国证监会</w:t>
      </w:r>
      <w:r>
        <w:rPr>
          <w:rFonts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另有规定的除外；</w:t>
      </w:r>
    </w:p>
    <w:p w14:paraId="2F971541">
      <w:pPr>
        <w:adjustRightInd w:val="0"/>
        <w:snapToGrid w:val="0"/>
        <w:spacing w:line="360" w:lineRule="auto"/>
        <w:ind w:firstLine="420" w:firstLineChars="200"/>
        <w:rPr>
          <w:rFonts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（5）向</w:t>
      </w:r>
      <w:r>
        <w:rPr>
          <w:rFonts w:hint="eastAsia"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其基金管理人、基金托管人</w:t>
      </w:r>
      <w:r>
        <w:rPr>
          <w:rFonts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出资</w:t>
      </w:r>
      <w:r>
        <w:rPr>
          <w:rFonts w:hint="eastAsia"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w:t>
      </w:r>
    </w:p>
    <w:p w14:paraId="4E456CAD">
      <w:pPr>
        <w:adjustRightInd w:val="0"/>
        <w:snapToGrid w:val="0"/>
        <w:spacing w:line="360" w:lineRule="auto"/>
        <w:ind w:firstLine="420" w:firstLineChars="200"/>
        <w:rPr>
          <w:rFonts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6）从事内幕交易、操纵证券交易价格及其他不正当的证券交易活动；</w:t>
      </w:r>
    </w:p>
    <w:p w14:paraId="10D48BF0">
      <w:pPr>
        <w:adjustRightInd w:val="0"/>
        <w:snapToGrid w:val="0"/>
        <w:spacing w:line="360" w:lineRule="auto"/>
        <w:ind w:firstLine="420" w:firstLineChars="200"/>
        <w:rPr>
          <w:rFonts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7）</w:t>
      </w:r>
      <w:r>
        <w:rPr>
          <w:rFonts w:hint="eastAsia"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法律、行政法规和中国证监会规定禁止的其他活动。</w:t>
      </w:r>
    </w:p>
    <w:p w14:paraId="41D1D6CA">
      <w:pPr>
        <w:adjustRightInd w:val="0"/>
        <w:snapToGrid w:val="0"/>
        <w:spacing w:line="360" w:lineRule="auto"/>
        <w:ind w:firstLine="420" w:firstLineChars="200"/>
        <w:rPr>
          <w:rFonts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基金管理人运用基金财产买卖基金管理人、基金托管人及其控股股东、实际控制人或者与其有其他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14:paraId="7D4D3BEC">
      <w:pPr>
        <w:snapToGrid w:val="0"/>
        <w:spacing w:line="360" w:lineRule="auto"/>
        <w:ind w:firstLine="420" w:firstLineChars="200"/>
        <w:rPr>
          <w:rFonts w:ascii="宋体" w:hAnsi="宋体"/>
          <w:sz w:val="21"/>
          <w:szCs w:val="21"/>
        </w:rPr>
      </w:pPr>
      <w:r>
        <w:rPr>
          <w:rFonts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法律</w:t>
      </w:r>
      <w:r>
        <w:rPr>
          <w:rFonts w:hint="eastAsia"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、行政</w:t>
      </w:r>
      <w:r>
        <w:rPr>
          <w:rFonts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法规或监管部门取消</w:t>
      </w:r>
      <w:r>
        <w:rPr>
          <w:rFonts w:hint="eastAsia"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或调整</w:t>
      </w:r>
      <w:r>
        <w:rPr>
          <w:rFonts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上述限制，如适用于本基金，</w:t>
      </w:r>
      <w:r>
        <w:rPr>
          <w:rFonts w:hint="eastAsia"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基金管理人在履行适当程序后，</w:t>
      </w:r>
      <w:r>
        <w:rPr>
          <w:rFonts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则本基金投资不再受相关限制</w:t>
      </w:r>
      <w:r>
        <w:rPr>
          <w:rFonts w:hint="eastAsia"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或按照调整后的规定执行</w:t>
      </w:r>
      <w:r>
        <w:rPr>
          <w:rFonts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w:t>
      </w:r>
    </w:p>
    <w:p w14:paraId="47485DDB">
      <w:pPr>
        <w:snapToGrid w:val="0"/>
        <w:spacing w:line="360" w:lineRule="auto"/>
        <w:ind w:firstLine="420" w:firstLineChars="200"/>
        <w:rPr>
          <w:rFonts w:ascii="宋体" w:hAnsi="宋体"/>
          <w:sz w:val="21"/>
          <w:szCs w:val="21"/>
        </w:rPr>
      </w:pPr>
      <w:r>
        <w:rPr>
          <w:rFonts w:hint="eastAsia" w:ascii="宋体" w:hAnsi="宋体"/>
          <w:sz w:val="21"/>
          <w:szCs w:val="21"/>
        </w:rPr>
        <w:t>六、基金资产净值的计算方法和公告方式</w:t>
      </w:r>
    </w:p>
    <w:p w14:paraId="491A3089">
      <w:pPr>
        <w:snapToGrid w:val="0"/>
        <w:spacing w:line="360" w:lineRule="auto"/>
        <w:ind w:firstLine="420" w:firstLineChars="200"/>
        <w:rPr>
          <w:rFonts w:ascii="宋体" w:hAnsi="宋体"/>
          <w:sz w:val="21"/>
          <w:szCs w:val="21"/>
        </w:rPr>
      </w:pPr>
      <w:r>
        <w:rPr>
          <w:rFonts w:hint="eastAsia" w:ascii="宋体" w:hAnsi="宋体"/>
          <w:sz w:val="21"/>
          <w:szCs w:val="21"/>
        </w:rPr>
        <w:t>（一）基金资产净值的计算方式</w:t>
      </w:r>
    </w:p>
    <w:p w14:paraId="6D82D6A0">
      <w:pPr>
        <w:snapToGrid w:val="0"/>
        <w:spacing w:line="360" w:lineRule="auto"/>
        <w:ind w:firstLine="420" w:firstLineChars="200"/>
        <w:rPr>
          <w:rFonts w:ascii="宋体" w:hAnsi="宋体"/>
          <w:sz w:val="21"/>
          <w:szCs w:val="21"/>
        </w:rPr>
      </w:pPr>
      <w:r>
        <w:rPr>
          <w:rFonts w:hint="eastAsia" w:asciiTheme="minorEastAsia" w:hAnsiTheme="minorEastAsia"/>
          <w:color w:val="0D0D0D" w:themeColor="text1" w:themeTint="F2"/>
          <w:sz w:val="21"/>
          <w:szCs w:val="21"/>
          <w14:textFill>
            <w14:solidFill>
              <w14:schemeClr w14:val="tx1">
                <w14:lumMod w14:val="95000"/>
                <w14:lumOff w14:val="5000"/>
              </w14:schemeClr>
            </w14:solidFill>
          </w14:textFill>
        </w:rPr>
        <w:t>基金资产净值是指基金资产总值减去基金负债后的价值。</w:t>
      </w:r>
    </w:p>
    <w:p w14:paraId="277DCEEB">
      <w:pPr>
        <w:snapToGrid w:val="0"/>
        <w:spacing w:line="360" w:lineRule="auto"/>
        <w:ind w:firstLine="420" w:firstLineChars="200"/>
        <w:rPr>
          <w:rFonts w:ascii="宋体" w:hAnsi="宋体"/>
          <w:sz w:val="21"/>
          <w:szCs w:val="21"/>
        </w:rPr>
      </w:pPr>
      <w:r>
        <w:rPr>
          <w:rFonts w:ascii="宋体" w:hAnsi="宋体"/>
          <w:sz w:val="21"/>
          <w:szCs w:val="21"/>
        </w:rPr>
        <w:t>（</w:t>
      </w:r>
      <w:r>
        <w:rPr>
          <w:rFonts w:hint="eastAsia" w:ascii="宋体" w:hAnsi="宋体"/>
          <w:sz w:val="21"/>
          <w:szCs w:val="21"/>
        </w:rPr>
        <w:t>二</w:t>
      </w:r>
      <w:r>
        <w:rPr>
          <w:rFonts w:ascii="宋体" w:hAnsi="宋体"/>
          <w:sz w:val="21"/>
          <w:szCs w:val="21"/>
        </w:rPr>
        <w:t>）</w:t>
      </w:r>
      <w:r>
        <w:rPr>
          <w:rFonts w:hint="eastAsia" w:ascii="宋体" w:hAnsi="宋体"/>
          <w:sz w:val="21"/>
          <w:szCs w:val="21"/>
        </w:rPr>
        <w:t>估值方法</w:t>
      </w:r>
    </w:p>
    <w:p w14:paraId="3ABA1935">
      <w:pPr>
        <w:adjustRightInd w:val="0"/>
        <w:snapToGrid w:val="0"/>
        <w:spacing w:line="360" w:lineRule="auto"/>
        <w:ind w:firstLine="420" w:firstLineChars="200"/>
        <w:rPr>
          <w:rFonts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1、交易所上市或挂牌转让的有价证券（包括股票等，本基金合同另有规定的除外），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14:paraId="66F7F3F3">
      <w:pPr>
        <w:adjustRightInd w:val="0"/>
        <w:snapToGrid w:val="0"/>
        <w:spacing w:line="360" w:lineRule="auto"/>
        <w:ind w:firstLine="420" w:firstLineChars="200"/>
        <w:rPr>
          <w:rFonts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2、对于已上市或已挂牌转让的不含权固定收益品种，选取估值日第三方估值基准服务机构提供的相应品种当日的估值全价进行估值。</w:t>
      </w:r>
    </w:p>
    <w:p w14:paraId="26D644AF">
      <w:pPr>
        <w:adjustRightInd w:val="0"/>
        <w:snapToGrid w:val="0"/>
        <w:spacing w:line="360" w:lineRule="auto"/>
        <w:ind w:firstLine="420" w:firstLineChars="200"/>
        <w:rPr>
          <w:rFonts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3、对于已上市或已挂牌转让的含权固定收益品种，选取估值日第三方估值基准服务机构提供的相应品种当日的唯一估值全价或推荐估值全价进行估值。</w:t>
      </w:r>
    </w:p>
    <w:p w14:paraId="699308EA">
      <w:pPr>
        <w:adjustRightInd w:val="0"/>
        <w:snapToGrid w:val="0"/>
        <w:spacing w:line="360" w:lineRule="auto"/>
        <w:ind w:firstLine="420" w:firstLineChars="200"/>
        <w:rPr>
          <w:rFonts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对于含投资者回售权的固定收益品种，行使回售权的，在回售登记日至实际收款日期间选取第三方估值基准服务机构提供的相应品种的唯一估值全价或推荐估值全价。回售登记期截止日（含当日）后未行使回售权的，按照长待偿期所对应的价格进行估值。</w:t>
      </w:r>
    </w:p>
    <w:p w14:paraId="614CBDE2">
      <w:pPr>
        <w:adjustRightInd w:val="0"/>
        <w:snapToGrid w:val="0"/>
        <w:spacing w:line="360" w:lineRule="auto"/>
        <w:ind w:firstLine="420" w:firstLineChars="200"/>
        <w:rPr>
          <w:rFonts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4、对于在交易所市场上市交易的公开发行的可转换债券等有活跃市场的含转股权的债券，实行全价交易的债券选取估值日收盘价作为估值全价；实行净价交易的债券选取估值日收盘价并加计每百元税前应计利息作为估值全价。</w:t>
      </w:r>
    </w:p>
    <w:p w14:paraId="132FBF6B">
      <w:pPr>
        <w:adjustRightInd w:val="0"/>
        <w:snapToGrid w:val="0"/>
        <w:spacing w:line="360" w:lineRule="auto"/>
        <w:ind w:firstLine="420" w:firstLineChars="200"/>
        <w:rPr>
          <w:rFonts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5、对于未上市或未挂牌转让且不存在活跃市场的固定收益品种，应采用在当前情况下适用并且有足够可利用数据和其他信息支持的估值技术确定其公允价值。</w:t>
      </w:r>
    </w:p>
    <w:p w14:paraId="106BC6E6">
      <w:pPr>
        <w:adjustRightInd w:val="0"/>
        <w:snapToGrid w:val="0"/>
        <w:spacing w:line="360" w:lineRule="auto"/>
        <w:ind w:firstLine="420" w:firstLineChars="200"/>
        <w:rPr>
          <w:rFonts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6、处于未上市期间的有价证券应区分如下情况处理：</w:t>
      </w:r>
    </w:p>
    <w:p w14:paraId="14AA7797">
      <w:pPr>
        <w:adjustRightInd w:val="0"/>
        <w:snapToGrid w:val="0"/>
        <w:spacing w:line="360" w:lineRule="auto"/>
        <w:ind w:firstLine="420" w:firstLineChars="200"/>
        <w:rPr>
          <w:rFonts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（1）送股、转增股、配股和公开增发的新股，按估值日在证券交易所挂牌的同一股票的估值方法估值；该日无交易的，以最近一日的市价（收盘价）估值；</w:t>
      </w:r>
    </w:p>
    <w:p w14:paraId="2E43BCCE">
      <w:pPr>
        <w:adjustRightInd w:val="0"/>
        <w:snapToGrid w:val="0"/>
        <w:spacing w:line="360" w:lineRule="auto"/>
        <w:ind w:firstLine="420" w:firstLineChars="200"/>
        <w:rPr>
          <w:rFonts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（2）首次公开发行未上市的股票，采用估值技术确定公允价值；</w:t>
      </w:r>
    </w:p>
    <w:p w14:paraId="37BA8486">
      <w:pPr>
        <w:adjustRightInd w:val="0"/>
        <w:snapToGrid w:val="0"/>
        <w:spacing w:line="360" w:lineRule="auto"/>
        <w:ind w:firstLine="420" w:firstLineChars="200"/>
        <w:rPr>
          <w:rFonts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3）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w:t>
      </w:r>
    </w:p>
    <w:p w14:paraId="18255AB7">
      <w:pPr>
        <w:adjustRightInd w:val="0"/>
        <w:snapToGrid w:val="0"/>
        <w:spacing w:line="360" w:lineRule="auto"/>
        <w:ind w:firstLine="420" w:firstLineChars="200"/>
        <w:rPr>
          <w:rFonts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7、本基金投资存托凭证的估值核算，依照境内上市交易的股票执行。</w:t>
      </w:r>
    </w:p>
    <w:p w14:paraId="366FE967">
      <w:pPr>
        <w:adjustRightInd w:val="0"/>
        <w:snapToGrid w:val="0"/>
        <w:spacing w:line="360" w:lineRule="auto"/>
        <w:ind w:firstLine="420" w:firstLineChars="200"/>
        <w:rPr>
          <w:rFonts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8、同一证券同时在两个或两个以上市场交易的，按证券所处的市场分别估值。</w:t>
      </w:r>
    </w:p>
    <w:p w14:paraId="78E7F8CE">
      <w:pPr>
        <w:adjustRightInd w:val="0"/>
        <w:snapToGrid w:val="0"/>
        <w:spacing w:line="360" w:lineRule="auto"/>
        <w:ind w:firstLine="420" w:firstLineChars="200"/>
        <w:rPr>
          <w:rFonts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9、本基金参与股指期货、国债期货合约交易，一般以估值当日结算价确定公允价值，估值当日无结算价的，且最近交易日后未发生影响公允价值计量的重大事件的，采用最近交易日结算价估值。</w:t>
      </w:r>
    </w:p>
    <w:p w14:paraId="10DDF7C2">
      <w:pPr>
        <w:adjustRightInd w:val="0"/>
        <w:snapToGrid w:val="0"/>
        <w:spacing w:line="360" w:lineRule="auto"/>
        <w:ind w:firstLine="420" w:firstLineChars="200"/>
        <w:rPr>
          <w:rFonts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10、本基金投资股票期权，根据相关法律法规以及监管部门的规定估值。</w:t>
      </w:r>
    </w:p>
    <w:p w14:paraId="1DC998D2">
      <w:pPr>
        <w:adjustRightInd w:val="0"/>
        <w:snapToGrid w:val="0"/>
        <w:spacing w:line="360" w:lineRule="auto"/>
        <w:ind w:firstLine="420" w:firstLineChars="200"/>
        <w:rPr>
          <w:rFonts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11、本基金参与融资及转融通证券出借业务的，应参照法律法规及行业协会的相关规定进行估值。</w:t>
      </w:r>
    </w:p>
    <w:p w14:paraId="4D838B26">
      <w:pPr>
        <w:adjustRightInd w:val="0"/>
        <w:snapToGrid w:val="0"/>
        <w:spacing w:line="360" w:lineRule="auto"/>
        <w:ind w:firstLine="420" w:firstLineChars="200"/>
        <w:rPr>
          <w:rFonts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12、本基金可以采用第三方估值机构按照上述公允价值确定原则提供的估值价格数据。如有确凿证据表明按上述方法进行估值不能客观反映其公允价值的，基金管理人可根据具体情况与基金托管人商定后，按最能反映公允价值的方法估值。</w:t>
      </w:r>
    </w:p>
    <w:p w14:paraId="776A37D6">
      <w:pPr>
        <w:adjustRightInd w:val="0"/>
        <w:snapToGrid w:val="0"/>
        <w:spacing w:line="360" w:lineRule="auto"/>
        <w:ind w:firstLine="420" w:firstLineChars="200"/>
        <w:rPr>
          <w:rFonts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13、相关法律法规以及监管部门有强制规定的，从其规定。如有新增事项，按国家最新规定估值。</w:t>
      </w:r>
    </w:p>
    <w:p w14:paraId="4F4188FB">
      <w:pPr>
        <w:adjustRightInd w:val="0"/>
        <w:snapToGrid w:val="0"/>
        <w:spacing w:line="360" w:lineRule="auto"/>
        <w:ind w:firstLine="420" w:firstLineChars="200"/>
        <w:rPr>
          <w:rFonts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如基金管理人或基金托管人发现基金估值违反基金合同订明的估值方法、程序及相关法律法规的规定或者未能充分维护基金份额持有人利益时，应立即通知对方，共同查明原因，双方协商解决。</w:t>
      </w:r>
    </w:p>
    <w:p w14:paraId="0DCA85E5">
      <w:pPr>
        <w:snapToGrid w:val="0"/>
        <w:spacing w:line="360" w:lineRule="auto"/>
        <w:ind w:firstLine="420" w:firstLineChars="200"/>
        <w:rPr>
          <w:rFonts w:ascii="宋体" w:hAnsi="宋体"/>
          <w:sz w:val="21"/>
          <w:szCs w:val="21"/>
        </w:rPr>
      </w:pPr>
      <w:r>
        <w:rPr>
          <w:rFonts w:hint="eastAsia" w:asciiTheme="minorEastAsia" w:hAnsiTheme="minorEastAsia" w:eastAsiaTheme="minorEastAsia"/>
          <w:color w:val="0D0D0D" w:themeColor="text1" w:themeTint="F2"/>
          <w:sz w:val="21"/>
          <w:szCs w:val="21"/>
          <w14:textFill>
            <w14:solidFill>
              <w14:schemeClr w14:val="tx1">
                <w14:lumMod w14:val="95000"/>
                <w14:lumOff w14:val="5000"/>
              </w14:schemeClr>
            </w14:solidFill>
          </w14:textFill>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予以公布。</w:t>
      </w:r>
    </w:p>
    <w:p w14:paraId="47904865">
      <w:pPr>
        <w:snapToGrid w:val="0"/>
        <w:spacing w:line="360" w:lineRule="auto"/>
        <w:ind w:firstLine="420" w:firstLineChars="200"/>
        <w:rPr>
          <w:rFonts w:ascii="宋体" w:hAnsi="宋体"/>
          <w:sz w:val="21"/>
          <w:szCs w:val="21"/>
        </w:rPr>
      </w:pPr>
      <w:r>
        <w:rPr>
          <w:rFonts w:hint="eastAsia" w:ascii="宋体" w:hAnsi="宋体"/>
          <w:sz w:val="21"/>
          <w:szCs w:val="21"/>
        </w:rPr>
        <w:t>（三）基金净值信息</w:t>
      </w:r>
    </w:p>
    <w:p w14:paraId="0E776D7F">
      <w:pPr>
        <w:spacing w:line="360" w:lineRule="auto"/>
        <w:ind w:firstLine="420" w:firstLineChars="200"/>
        <w:rPr>
          <w:bCs/>
          <w:sz w:val="21"/>
          <w:szCs w:val="21"/>
        </w:rPr>
      </w:pPr>
      <w:r>
        <w:rPr>
          <w:bCs/>
          <w:sz w:val="21"/>
          <w:szCs w:val="21"/>
        </w:rPr>
        <w:t>《基金合同》生效后，在</w:t>
      </w:r>
      <w:r>
        <w:rPr>
          <w:rFonts w:hint="eastAsia"/>
          <w:bCs/>
          <w:sz w:val="21"/>
          <w:szCs w:val="21"/>
        </w:rPr>
        <w:t>基金份额上市交易前且</w:t>
      </w:r>
      <w:r>
        <w:rPr>
          <w:bCs/>
          <w:sz w:val="21"/>
          <w:szCs w:val="21"/>
        </w:rPr>
        <w:t>开始办理基金份额申购或者赎回前，基金管理人应当至少每周</w:t>
      </w:r>
      <w:r>
        <w:rPr>
          <w:rFonts w:hint="eastAsia"/>
          <w:bCs/>
          <w:sz w:val="21"/>
          <w:szCs w:val="21"/>
        </w:rPr>
        <w:t>在规定网站披露一次基金份额净值和基金份额累计净值</w:t>
      </w:r>
      <w:r>
        <w:rPr>
          <w:bCs/>
          <w:sz w:val="21"/>
          <w:szCs w:val="21"/>
        </w:rPr>
        <w:t>。</w:t>
      </w:r>
    </w:p>
    <w:p w14:paraId="635B2729">
      <w:pPr>
        <w:spacing w:line="360" w:lineRule="auto"/>
        <w:ind w:firstLine="420" w:firstLineChars="200"/>
        <w:rPr>
          <w:bCs/>
          <w:sz w:val="21"/>
          <w:szCs w:val="21"/>
        </w:rPr>
      </w:pPr>
      <w:r>
        <w:rPr>
          <w:bCs/>
          <w:sz w:val="21"/>
          <w:szCs w:val="21"/>
        </w:rPr>
        <w:t>在</w:t>
      </w:r>
      <w:r>
        <w:rPr>
          <w:rFonts w:hint="eastAsia"/>
          <w:bCs/>
          <w:sz w:val="21"/>
          <w:szCs w:val="21"/>
        </w:rPr>
        <w:t>基金份额上市交易或</w:t>
      </w:r>
      <w:r>
        <w:rPr>
          <w:bCs/>
          <w:sz w:val="21"/>
          <w:szCs w:val="21"/>
        </w:rPr>
        <w:t>开始办理基金份额申购或者赎回后，基金管理人应当</w:t>
      </w:r>
      <w:r>
        <w:rPr>
          <w:szCs w:val="21"/>
        </w:rPr>
        <w:t>在</w:t>
      </w:r>
      <w:r>
        <w:rPr>
          <w:rFonts w:hint="eastAsia"/>
          <w:bCs/>
          <w:sz w:val="21"/>
          <w:szCs w:val="21"/>
        </w:rPr>
        <w:t>不晚于每个开放日的次日，通过规定网站、基金销售机构网站或者营业网点</w:t>
      </w:r>
      <w:r>
        <w:rPr>
          <w:bCs/>
          <w:sz w:val="21"/>
          <w:szCs w:val="21"/>
        </w:rPr>
        <w:t>披露开放日的基金份额净值和基金份额累计净值。</w:t>
      </w:r>
    </w:p>
    <w:p w14:paraId="5F26AE13">
      <w:pPr>
        <w:spacing w:line="360" w:lineRule="auto"/>
        <w:ind w:firstLine="420" w:firstLineChars="200"/>
        <w:rPr>
          <w:bCs/>
          <w:sz w:val="21"/>
          <w:szCs w:val="21"/>
        </w:rPr>
      </w:pPr>
      <w:r>
        <w:rPr>
          <w:bCs/>
          <w:sz w:val="21"/>
          <w:szCs w:val="21"/>
        </w:rPr>
        <w:t>基金管理人应当</w:t>
      </w:r>
      <w:r>
        <w:rPr>
          <w:rFonts w:hint="eastAsia"/>
          <w:bCs/>
          <w:sz w:val="21"/>
          <w:szCs w:val="21"/>
        </w:rPr>
        <w:t>在不晚于半年度和年度最后一日的次日，在规定网站披露半年度和年度最后一日的基金份额净值和基金份额累计净值。</w:t>
      </w:r>
    </w:p>
    <w:p w14:paraId="02137F67">
      <w:pPr>
        <w:snapToGrid w:val="0"/>
        <w:spacing w:line="360" w:lineRule="auto"/>
        <w:ind w:firstLine="420" w:firstLineChars="200"/>
        <w:rPr>
          <w:rFonts w:ascii="宋体" w:hAnsi="宋体"/>
          <w:sz w:val="21"/>
          <w:szCs w:val="21"/>
        </w:rPr>
      </w:pPr>
      <w:r>
        <w:rPr>
          <w:rFonts w:hint="eastAsia" w:ascii="宋体" w:hAnsi="宋体"/>
          <w:sz w:val="21"/>
          <w:szCs w:val="21"/>
        </w:rPr>
        <w:t>七、</w:t>
      </w:r>
      <w:r>
        <w:rPr>
          <w:rFonts w:ascii="宋体" w:hAnsi="宋体"/>
          <w:sz w:val="21"/>
          <w:szCs w:val="21"/>
        </w:rPr>
        <w:t>基金合同的变更、终止与基金财产的清算</w:t>
      </w:r>
    </w:p>
    <w:p w14:paraId="42FE369A">
      <w:pPr>
        <w:snapToGrid w:val="0"/>
        <w:spacing w:line="360" w:lineRule="auto"/>
        <w:ind w:firstLine="420" w:firstLineChars="200"/>
        <w:rPr>
          <w:rFonts w:ascii="宋体" w:hAnsi="宋体"/>
          <w:sz w:val="21"/>
          <w:szCs w:val="21"/>
        </w:rPr>
      </w:pPr>
      <w:r>
        <w:rPr>
          <w:rFonts w:hint="eastAsia" w:ascii="宋体" w:hAnsi="宋体"/>
          <w:sz w:val="21"/>
          <w:szCs w:val="21"/>
        </w:rPr>
        <w:t>（一）《基金合同》的变更</w:t>
      </w:r>
    </w:p>
    <w:p w14:paraId="686E65E8">
      <w:pPr>
        <w:snapToGrid w:val="0"/>
        <w:spacing w:line="360" w:lineRule="auto"/>
        <w:ind w:firstLine="420" w:firstLineChars="200"/>
        <w:rPr>
          <w:rFonts w:asciiTheme="minorEastAsia" w:hAnsiTheme="minorEastAsia"/>
          <w:sz w:val="21"/>
          <w:szCs w:val="21"/>
        </w:rPr>
      </w:pPr>
      <w:r>
        <w:rPr>
          <w:rFonts w:hint="eastAsia" w:asciiTheme="minorEastAsia" w:hAnsiTheme="minorEastAsia"/>
          <w:sz w:val="21"/>
          <w:szCs w:val="21"/>
        </w:rPr>
        <w:t>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并履行适当程序后变更并公告。</w:t>
      </w:r>
    </w:p>
    <w:p w14:paraId="74A772EE">
      <w:pPr>
        <w:snapToGrid w:val="0"/>
        <w:spacing w:line="360" w:lineRule="auto"/>
        <w:ind w:firstLine="420" w:firstLineChars="200"/>
        <w:rPr>
          <w:rFonts w:ascii="宋体" w:hAnsi="宋体"/>
          <w:sz w:val="21"/>
          <w:szCs w:val="21"/>
        </w:rPr>
      </w:pPr>
      <w:r>
        <w:rPr>
          <w:rFonts w:hint="eastAsia" w:asciiTheme="minorEastAsia" w:hAnsiTheme="minorEastAsia"/>
          <w:sz w:val="21"/>
          <w:szCs w:val="21"/>
        </w:rPr>
        <w:t>2、关于《基金合同》变更的基金份额持有人大会决议自生效后方可执行，自决议生效后按规定在规定媒介公告。</w:t>
      </w:r>
    </w:p>
    <w:p w14:paraId="64D7447B">
      <w:pPr>
        <w:snapToGrid w:val="0"/>
        <w:spacing w:line="360" w:lineRule="auto"/>
        <w:ind w:firstLine="420" w:firstLineChars="200"/>
        <w:rPr>
          <w:rFonts w:ascii="宋体" w:hAnsi="宋体"/>
          <w:sz w:val="21"/>
          <w:szCs w:val="21"/>
        </w:rPr>
      </w:pPr>
      <w:r>
        <w:rPr>
          <w:rFonts w:hint="eastAsia" w:ascii="宋体" w:hAnsi="宋体"/>
          <w:sz w:val="21"/>
          <w:szCs w:val="21"/>
        </w:rPr>
        <w:t>（二）《基金合同》的终止事由</w:t>
      </w:r>
    </w:p>
    <w:p w14:paraId="7BC8B36F">
      <w:pPr>
        <w:snapToGrid w:val="0"/>
        <w:spacing w:line="360" w:lineRule="auto"/>
        <w:ind w:firstLine="420" w:firstLineChars="200"/>
        <w:rPr>
          <w:rFonts w:asciiTheme="minorEastAsia" w:hAnsiTheme="minorEastAsia"/>
          <w:sz w:val="21"/>
          <w:szCs w:val="21"/>
        </w:rPr>
      </w:pPr>
      <w:r>
        <w:rPr>
          <w:rFonts w:hint="eastAsia" w:asciiTheme="minorEastAsia" w:hAnsiTheme="minorEastAsia"/>
          <w:sz w:val="21"/>
          <w:szCs w:val="21"/>
        </w:rPr>
        <w:t>有下列情形之一的，经履行相关程序后，《基金合同》应当终止：</w:t>
      </w:r>
    </w:p>
    <w:p w14:paraId="5EF1805C">
      <w:pPr>
        <w:snapToGrid w:val="0"/>
        <w:spacing w:line="360" w:lineRule="auto"/>
        <w:ind w:firstLine="420" w:firstLineChars="200"/>
        <w:rPr>
          <w:rFonts w:asciiTheme="minorEastAsia" w:hAnsiTheme="minorEastAsia"/>
          <w:sz w:val="21"/>
          <w:szCs w:val="21"/>
        </w:rPr>
      </w:pPr>
      <w:r>
        <w:rPr>
          <w:rFonts w:hint="eastAsia" w:asciiTheme="minorEastAsia" w:hAnsiTheme="minorEastAsia"/>
          <w:sz w:val="21"/>
          <w:szCs w:val="21"/>
        </w:rPr>
        <w:t>1、基金份额持有人大会决定终止的；</w:t>
      </w:r>
    </w:p>
    <w:p w14:paraId="3E0CA741">
      <w:pPr>
        <w:snapToGrid w:val="0"/>
        <w:spacing w:line="360" w:lineRule="auto"/>
        <w:ind w:firstLine="420" w:firstLineChars="200"/>
        <w:rPr>
          <w:rFonts w:asciiTheme="minorEastAsia" w:hAnsiTheme="minorEastAsia"/>
          <w:sz w:val="21"/>
          <w:szCs w:val="21"/>
        </w:rPr>
      </w:pPr>
      <w:r>
        <w:rPr>
          <w:rFonts w:hint="eastAsia" w:asciiTheme="minorEastAsia" w:hAnsiTheme="minorEastAsia"/>
          <w:sz w:val="21"/>
          <w:szCs w:val="21"/>
        </w:rPr>
        <w:t>2、基金管理人、基金托管人职责终止，在6个月内没有新基金管理人、新基金托管人承接的；</w:t>
      </w:r>
    </w:p>
    <w:p w14:paraId="67178D2E">
      <w:pPr>
        <w:snapToGrid w:val="0"/>
        <w:spacing w:line="360" w:lineRule="auto"/>
        <w:ind w:firstLine="420" w:firstLineChars="200"/>
        <w:rPr>
          <w:rFonts w:asciiTheme="minorEastAsia" w:hAnsiTheme="minorEastAsia"/>
          <w:sz w:val="21"/>
          <w:szCs w:val="21"/>
        </w:rPr>
      </w:pPr>
      <w:r>
        <w:rPr>
          <w:rFonts w:hint="eastAsia" w:asciiTheme="minorEastAsia" w:hAnsiTheme="minorEastAsia"/>
          <w:sz w:val="21"/>
          <w:szCs w:val="21"/>
        </w:rPr>
        <w:t>3、《基金合同》约定的其他情形；</w:t>
      </w:r>
    </w:p>
    <w:p w14:paraId="58D44FCF">
      <w:pPr>
        <w:snapToGrid w:val="0"/>
        <w:spacing w:line="360" w:lineRule="auto"/>
        <w:ind w:firstLine="420" w:firstLineChars="200"/>
        <w:rPr>
          <w:rFonts w:ascii="宋体" w:hAnsi="宋体"/>
          <w:sz w:val="21"/>
          <w:szCs w:val="21"/>
        </w:rPr>
      </w:pPr>
      <w:r>
        <w:rPr>
          <w:rFonts w:hint="eastAsia" w:asciiTheme="minorEastAsia" w:hAnsiTheme="minorEastAsia"/>
          <w:sz w:val="21"/>
          <w:szCs w:val="21"/>
        </w:rPr>
        <w:t>4、相关法律法规和中国证监会规定的其他情况。</w:t>
      </w:r>
    </w:p>
    <w:p w14:paraId="4450B27F">
      <w:pPr>
        <w:snapToGrid w:val="0"/>
        <w:spacing w:line="360" w:lineRule="auto"/>
        <w:ind w:firstLine="420" w:firstLineChars="200"/>
        <w:rPr>
          <w:rFonts w:ascii="宋体" w:hAnsi="宋体"/>
          <w:sz w:val="21"/>
          <w:szCs w:val="21"/>
        </w:rPr>
      </w:pPr>
      <w:r>
        <w:rPr>
          <w:rFonts w:hint="eastAsia" w:ascii="宋体" w:hAnsi="宋体"/>
          <w:sz w:val="21"/>
          <w:szCs w:val="21"/>
        </w:rPr>
        <w:t>（三）基金财产的清算</w:t>
      </w:r>
    </w:p>
    <w:p w14:paraId="09B77D43">
      <w:pPr>
        <w:snapToGrid w:val="0"/>
        <w:spacing w:line="360" w:lineRule="auto"/>
        <w:ind w:firstLine="420" w:firstLineChars="200"/>
        <w:rPr>
          <w:rFonts w:asciiTheme="minorEastAsia" w:hAnsiTheme="minorEastAsia"/>
          <w:sz w:val="21"/>
          <w:szCs w:val="21"/>
        </w:rPr>
      </w:pPr>
      <w:r>
        <w:rPr>
          <w:rFonts w:asciiTheme="minorEastAsia" w:hAnsiTheme="minorEastAsia"/>
          <w:sz w:val="21"/>
          <w:szCs w:val="21"/>
        </w:rPr>
        <w:t>1</w:t>
      </w:r>
      <w:r>
        <w:rPr>
          <w:rFonts w:hint="eastAsia" w:asciiTheme="minorEastAsia" w:hAnsiTheme="minorEastAsia"/>
          <w:sz w:val="21"/>
          <w:szCs w:val="21"/>
        </w:rPr>
        <w:t>、基金财产清算小组：自出现《基金合同》终止事由之日起</w:t>
      </w:r>
      <w:r>
        <w:rPr>
          <w:rFonts w:asciiTheme="minorEastAsia" w:hAnsiTheme="minorEastAsia"/>
          <w:sz w:val="21"/>
          <w:szCs w:val="21"/>
        </w:rPr>
        <w:t>30</w:t>
      </w:r>
      <w:r>
        <w:rPr>
          <w:rFonts w:hint="eastAsia" w:asciiTheme="minorEastAsia" w:hAnsiTheme="minorEastAsia"/>
          <w:sz w:val="21"/>
          <w:szCs w:val="21"/>
        </w:rPr>
        <w:t>个工作日内成立基金财产清算小组，基金管理人组织基金财产清算小组并在中国证监会的监督下进行基金清算。</w:t>
      </w:r>
    </w:p>
    <w:p w14:paraId="18AABBF4">
      <w:pPr>
        <w:snapToGrid w:val="0"/>
        <w:spacing w:line="360" w:lineRule="auto"/>
        <w:ind w:firstLine="420" w:firstLineChars="200"/>
        <w:rPr>
          <w:rFonts w:asciiTheme="minorEastAsia" w:hAnsiTheme="minorEastAsia"/>
          <w:sz w:val="21"/>
          <w:szCs w:val="21"/>
        </w:rPr>
      </w:pPr>
      <w:r>
        <w:rPr>
          <w:rFonts w:asciiTheme="minorEastAsia" w:hAnsiTheme="minorEastAsia"/>
          <w:sz w:val="21"/>
          <w:szCs w:val="21"/>
        </w:rPr>
        <w:t>2、在基金财产清算小组接管基金财产之前，基金管理人和基金托管人应按照《基金合同》和托管协议的规定继续履行保护基金财产安全的职责。</w:t>
      </w:r>
    </w:p>
    <w:p w14:paraId="441CBC64">
      <w:pPr>
        <w:snapToGrid w:val="0"/>
        <w:spacing w:line="360" w:lineRule="auto"/>
        <w:ind w:firstLine="420" w:firstLineChars="200"/>
        <w:rPr>
          <w:rFonts w:asciiTheme="minorEastAsia" w:hAnsiTheme="minorEastAsia"/>
          <w:sz w:val="21"/>
          <w:szCs w:val="21"/>
        </w:rPr>
      </w:pPr>
      <w:r>
        <w:rPr>
          <w:rFonts w:asciiTheme="minorEastAsia" w:hAnsiTheme="minorEastAsia"/>
          <w:sz w:val="21"/>
          <w:szCs w:val="21"/>
        </w:rPr>
        <w:t>3</w:t>
      </w:r>
      <w:r>
        <w:rPr>
          <w:rFonts w:hint="eastAsia" w:asciiTheme="minorEastAsia" w:hAnsiTheme="minorEastAsia"/>
          <w:sz w:val="21"/>
          <w:szCs w:val="21"/>
        </w:rPr>
        <w:t>、基金财产清算小组组成：基金财产清算小组成员由基金管理人、基金托管人、符合《证券法》规定的注册会计师、律师以及中国证监会指定的人员组成。基金财产清算小组可以聘用必要的工作人员。</w:t>
      </w:r>
    </w:p>
    <w:p w14:paraId="4593AB83">
      <w:pPr>
        <w:snapToGrid w:val="0"/>
        <w:spacing w:line="360" w:lineRule="auto"/>
        <w:ind w:firstLine="420" w:firstLineChars="200"/>
        <w:rPr>
          <w:rFonts w:asciiTheme="minorEastAsia" w:hAnsiTheme="minorEastAsia"/>
          <w:sz w:val="21"/>
          <w:szCs w:val="21"/>
        </w:rPr>
      </w:pPr>
      <w:r>
        <w:rPr>
          <w:rFonts w:asciiTheme="minorEastAsia" w:hAnsiTheme="minorEastAsia"/>
          <w:sz w:val="21"/>
          <w:szCs w:val="21"/>
        </w:rPr>
        <w:t>4</w:t>
      </w:r>
      <w:r>
        <w:rPr>
          <w:rFonts w:hint="eastAsia" w:asciiTheme="minorEastAsia" w:hAnsiTheme="minorEastAsia"/>
          <w:sz w:val="21"/>
          <w:szCs w:val="21"/>
        </w:rPr>
        <w:t>、基金财产清算小组职责：基金财产清算小组负责基金财产的保管、清理、估价、变现和分配。基金财产清算小组可以依法进行必要的民事活动。</w:t>
      </w:r>
    </w:p>
    <w:p w14:paraId="7CBAB9B2">
      <w:pPr>
        <w:snapToGrid w:val="0"/>
        <w:spacing w:line="360" w:lineRule="auto"/>
        <w:ind w:firstLine="420" w:firstLineChars="200"/>
        <w:rPr>
          <w:rFonts w:asciiTheme="minorEastAsia" w:hAnsiTheme="minorEastAsia"/>
          <w:sz w:val="21"/>
          <w:szCs w:val="21"/>
        </w:rPr>
      </w:pPr>
      <w:r>
        <w:rPr>
          <w:rFonts w:hint="eastAsia" w:asciiTheme="minorEastAsia" w:hAnsiTheme="minorEastAsia"/>
          <w:sz w:val="21"/>
          <w:szCs w:val="21"/>
        </w:rPr>
        <w:t>5、在基金财产清算过程中，基金管理人和基金托管人应各自履行职责，继续忠实、勤勉、尽责地履行基金合同和托管协议规定的义务，维护基金份额持有人的合法权益。</w:t>
      </w:r>
    </w:p>
    <w:p w14:paraId="061768D0">
      <w:pPr>
        <w:snapToGrid w:val="0"/>
        <w:spacing w:line="360" w:lineRule="auto"/>
        <w:ind w:firstLine="420" w:firstLineChars="200"/>
        <w:rPr>
          <w:rFonts w:asciiTheme="minorEastAsia" w:hAnsiTheme="minorEastAsia"/>
          <w:sz w:val="21"/>
          <w:szCs w:val="21"/>
        </w:rPr>
      </w:pPr>
      <w:r>
        <w:rPr>
          <w:rFonts w:hint="eastAsia" w:asciiTheme="minorEastAsia" w:hAnsiTheme="minorEastAsia"/>
          <w:sz w:val="21"/>
          <w:szCs w:val="21"/>
        </w:rPr>
        <w:t>6、基金财产清算程序：</w:t>
      </w:r>
    </w:p>
    <w:p w14:paraId="6BB1286C">
      <w:pPr>
        <w:snapToGrid w:val="0"/>
        <w:spacing w:line="360" w:lineRule="auto"/>
        <w:ind w:firstLine="420" w:firstLineChars="200"/>
        <w:rPr>
          <w:rFonts w:asciiTheme="minorEastAsia" w:hAnsiTheme="minorEastAsia"/>
          <w:sz w:val="21"/>
          <w:szCs w:val="21"/>
        </w:rPr>
      </w:pPr>
      <w:r>
        <w:rPr>
          <w:rFonts w:hint="eastAsia" w:asciiTheme="minorEastAsia" w:hAnsiTheme="minorEastAsia"/>
          <w:sz w:val="21"/>
          <w:szCs w:val="21"/>
        </w:rPr>
        <w:t>（</w:t>
      </w:r>
      <w:r>
        <w:rPr>
          <w:rFonts w:asciiTheme="minorEastAsia" w:hAnsiTheme="minorEastAsia"/>
          <w:sz w:val="21"/>
          <w:szCs w:val="21"/>
        </w:rPr>
        <w:t>1</w:t>
      </w:r>
      <w:r>
        <w:rPr>
          <w:rFonts w:hint="eastAsia" w:asciiTheme="minorEastAsia" w:hAnsiTheme="minorEastAsia"/>
          <w:sz w:val="21"/>
          <w:szCs w:val="21"/>
        </w:rPr>
        <w:t>）《基金合同》终止情形出现时，由基金财产清算小组统一接管基金；</w:t>
      </w:r>
    </w:p>
    <w:p w14:paraId="3D9F675A">
      <w:pPr>
        <w:snapToGrid w:val="0"/>
        <w:spacing w:line="360" w:lineRule="auto"/>
        <w:ind w:firstLine="420" w:firstLineChars="200"/>
        <w:rPr>
          <w:rFonts w:asciiTheme="minorEastAsia" w:hAnsiTheme="minorEastAsia"/>
          <w:sz w:val="21"/>
          <w:szCs w:val="21"/>
        </w:rPr>
      </w:pPr>
      <w:r>
        <w:rPr>
          <w:rFonts w:hint="eastAsia" w:asciiTheme="minorEastAsia" w:hAnsiTheme="minorEastAsia"/>
          <w:sz w:val="21"/>
          <w:szCs w:val="21"/>
        </w:rPr>
        <w:t>（</w:t>
      </w:r>
      <w:r>
        <w:rPr>
          <w:rFonts w:asciiTheme="minorEastAsia" w:hAnsiTheme="minorEastAsia"/>
          <w:sz w:val="21"/>
          <w:szCs w:val="21"/>
        </w:rPr>
        <w:t>2</w:t>
      </w:r>
      <w:r>
        <w:rPr>
          <w:rFonts w:hint="eastAsia" w:asciiTheme="minorEastAsia" w:hAnsiTheme="minorEastAsia"/>
          <w:sz w:val="21"/>
          <w:szCs w:val="21"/>
        </w:rPr>
        <w:t>）对基金财产和债权债务进行清理和确认；</w:t>
      </w:r>
    </w:p>
    <w:p w14:paraId="629E1C27">
      <w:pPr>
        <w:snapToGrid w:val="0"/>
        <w:spacing w:line="360" w:lineRule="auto"/>
        <w:ind w:firstLine="420" w:firstLineChars="200"/>
        <w:rPr>
          <w:rFonts w:asciiTheme="minorEastAsia" w:hAnsiTheme="minorEastAsia"/>
          <w:sz w:val="21"/>
          <w:szCs w:val="21"/>
        </w:rPr>
      </w:pPr>
      <w:r>
        <w:rPr>
          <w:rFonts w:hint="eastAsia" w:asciiTheme="minorEastAsia" w:hAnsiTheme="minorEastAsia"/>
          <w:sz w:val="21"/>
          <w:szCs w:val="21"/>
        </w:rPr>
        <w:t>（</w:t>
      </w:r>
      <w:r>
        <w:rPr>
          <w:rFonts w:asciiTheme="minorEastAsia" w:hAnsiTheme="minorEastAsia"/>
          <w:sz w:val="21"/>
          <w:szCs w:val="21"/>
        </w:rPr>
        <w:t>3</w:t>
      </w:r>
      <w:r>
        <w:rPr>
          <w:rFonts w:hint="eastAsia" w:asciiTheme="minorEastAsia" w:hAnsiTheme="minorEastAsia"/>
          <w:sz w:val="21"/>
          <w:szCs w:val="21"/>
        </w:rPr>
        <w:t>）对基金财产进行估值和变现；</w:t>
      </w:r>
    </w:p>
    <w:p w14:paraId="14D976CA">
      <w:pPr>
        <w:snapToGrid w:val="0"/>
        <w:spacing w:line="360" w:lineRule="auto"/>
        <w:ind w:firstLine="420" w:firstLineChars="200"/>
        <w:rPr>
          <w:rFonts w:asciiTheme="minorEastAsia" w:hAnsiTheme="minorEastAsia"/>
          <w:sz w:val="21"/>
          <w:szCs w:val="21"/>
        </w:rPr>
      </w:pPr>
      <w:r>
        <w:rPr>
          <w:rFonts w:hint="eastAsia" w:asciiTheme="minorEastAsia" w:hAnsiTheme="minorEastAsia"/>
          <w:sz w:val="21"/>
          <w:szCs w:val="21"/>
        </w:rPr>
        <w:t>（</w:t>
      </w:r>
      <w:r>
        <w:rPr>
          <w:rFonts w:asciiTheme="minorEastAsia" w:hAnsiTheme="minorEastAsia"/>
          <w:sz w:val="21"/>
          <w:szCs w:val="21"/>
        </w:rPr>
        <w:t>4</w:t>
      </w:r>
      <w:r>
        <w:rPr>
          <w:rFonts w:hint="eastAsia" w:asciiTheme="minorEastAsia" w:hAnsiTheme="minorEastAsia"/>
          <w:sz w:val="21"/>
          <w:szCs w:val="21"/>
        </w:rPr>
        <w:t>）制作清算报告；</w:t>
      </w:r>
    </w:p>
    <w:p w14:paraId="3243FDFA">
      <w:pPr>
        <w:snapToGrid w:val="0"/>
        <w:spacing w:line="360" w:lineRule="auto"/>
        <w:ind w:firstLine="420" w:firstLineChars="200"/>
        <w:rPr>
          <w:rFonts w:asciiTheme="minorEastAsia" w:hAnsiTheme="minorEastAsia"/>
          <w:sz w:val="21"/>
          <w:szCs w:val="21"/>
        </w:rPr>
      </w:pPr>
      <w:r>
        <w:rPr>
          <w:rFonts w:hint="eastAsia" w:asciiTheme="minorEastAsia" w:hAnsiTheme="minorEastAsia"/>
          <w:sz w:val="21"/>
          <w:szCs w:val="21"/>
        </w:rPr>
        <w:t>（</w:t>
      </w:r>
      <w:r>
        <w:rPr>
          <w:rFonts w:asciiTheme="minorEastAsia" w:hAnsiTheme="minorEastAsia"/>
          <w:sz w:val="21"/>
          <w:szCs w:val="21"/>
        </w:rPr>
        <w:t>5</w:t>
      </w:r>
      <w:r>
        <w:rPr>
          <w:rFonts w:hint="eastAsia" w:asciiTheme="minorEastAsia" w:hAnsiTheme="minorEastAsia"/>
          <w:sz w:val="21"/>
          <w:szCs w:val="21"/>
        </w:rPr>
        <w:t>）聘请符合《证券法》规定的会计师事务所对清算报告进行外部审计，聘请律师事务所对清算报告出具法律意见书；</w:t>
      </w:r>
    </w:p>
    <w:p w14:paraId="05274D2D">
      <w:pPr>
        <w:snapToGrid w:val="0"/>
        <w:spacing w:line="360" w:lineRule="auto"/>
        <w:ind w:firstLine="420" w:firstLineChars="200"/>
        <w:rPr>
          <w:rFonts w:asciiTheme="minorEastAsia" w:hAnsiTheme="minorEastAsia"/>
          <w:sz w:val="21"/>
          <w:szCs w:val="21"/>
        </w:rPr>
      </w:pPr>
      <w:r>
        <w:rPr>
          <w:rFonts w:hint="eastAsia" w:asciiTheme="minorEastAsia" w:hAnsiTheme="minorEastAsia"/>
          <w:sz w:val="21"/>
          <w:szCs w:val="21"/>
        </w:rPr>
        <w:t>（</w:t>
      </w:r>
      <w:r>
        <w:rPr>
          <w:rFonts w:asciiTheme="minorEastAsia" w:hAnsiTheme="minorEastAsia"/>
          <w:sz w:val="21"/>
          <w:szCs w:val="21"/>
        </w:rPr>
        <w:t>6</w:t>
      </w:r>
      <w:r>
        <w:rPr>
          <w:rFonts w:hint="eastAsia" w:asciiTheme="minorEastAsia" w:hAnsiTheme="minorEastAsia"/>
          <w:sz w:val="21"/>
          <w:szCs w:val="21"/>
        </w:rPr>
        <w:t>）将清算报告报中国证监会备案并公告；</w:t>
      </w:r>
    </w:p>
    <w:p w14:paraId="5A0145DD">
      <w:pPr>
        <w:snapToGrid w:val="0"/>
        <w:spacing w:line="360" w:lineRule="auto"/>
        <w:ind w:firstLine="420" w:firstLineChars="200"/>
        <w:rPr>
          <w:rFonts w:asciiTheme="minorEastAsia" w:hAnsiTheme="minorEastAsia"/>
          <w:sz w:val="21"/>
          <w:szCs w:val="21"/>
        </w:rPr>
      </w:pPr>
      <w:r>
        <w:rPr>
          <w:rFonts w:hint="eastAsia" w:asciiTheme="minorEastAsia" w:hAnsiTheme="minorEastAsia"/>
          <w:sz w:val="21"/>
          <w:szCs w:val="21"/>
        </w:rPr>
        <w:t>（</w:t>
      </w:r>
      <w:r>
        <w:rPr>
          <w:rFonts w:asciiTheme="minorEastAsia" w:hAnsiTheme="minorEastAsia"/>
          <w:sz w:val="21"/>
          <w:szCs w:val="21"/>
        </w:rPr>
        <w:t>7</w:t>
      </w:r>
      <w:r>
        <w:rPr>
          <w:rFonts w:hint="eastAsia" w:asciiTheme="minorEastAsia" w:hAnsiTheme="minorEastAsia"/>
          <w:sz w:val="21"/>
          <w:szCs w:val="21"/>
        </w:rPr>
        <w:t>）对基金剩余财产进行分配。</w:t>
      </w:r>
    </w:p>
    <w:p w14:paraId="48CA3A20">
      <w:pPr>
        <w:snapToGrid w:val="0"/>
        <w:spacing w:line="360" w:lineRule="auto"/>
        <w:ind w:firstLine="420" w:firstLineChars="200"/>
        <w:rPr>
          <w:rFonts w:ascii="宋体" w:hAnsi="宋体"/>
          <w:sz w:val="21"/>
          <w:szCs w:val="21"/>
        </w:rPr>
      </w:pPr>
      <w:r>
        <w:rPr>
          <w:rFonts w:hint="eastAsia" w:asciiTheme="minorEastAsia" w:hAnsiTheme="minorEastAsia"/>
          <w:sz w:val="21"/>
          <w:szCs w:val="21"/>
        </w:rPr>
        <w:t>7、基金财产清算的期限为</w:t>
      </w:r>
      <w:r>
        <w:rPr>
          <w:rFonts w:asciiTheme="minorEastAsia" w:hAnsiTheme="minorEastAsia"/>
          <w:sz w:val="21"/>
          <w:szCs w:val="21"/>
        </w:rPr>
        <w:t>6个月，但因本基金所持证券的流动性受到限制而不能及时变现的，清算期限相应顺延。</w:t>
      </w:r>
    </w:p>
    <w:p w14:paraId="31BB2992">
      <w:pPr>
        <w:snapToGrid w:val="0"/>
        <w:spacing w:line="360" w:lineRule="auto"/>
        <w:ind w:firstLine="420" w:firstLineChars="200"/>
        <w:rPr>
          <w:rFonts w:ascii="宋体" w:hAnsi="宋体"/>
          <w:sz w:val="21"/>
          <w:szCs w:val="21"/>
        </w:rPr>
      </w:pPr>
      <w:r>
        <w:rPr>
          <w:rFonts w:hint="eastAsia" w:ascii="宋体" w:hAnsi="宋体"/>
          <w:sz w:val="21"/>
          <w:szCs w:val="21"/>
        </w:rPr>
        <w:t>（四）清算费用</w:t>
      </w:r>
    </w:p>
    <w:p w14:paraId="27DAB99C">
      <w:pPr>
        <w:snapToGrid w:val="0"/>
        <w:spacing w:line="360" w:lineRule="auto"/>
        <w:ind w:firstLine="420" w:firstLineChars="200"/>
        <w:rPr>
          <w:rFonts w:ascii="宋体" w:hAnsi="宋体"/>
          <w:sz w:val="21"/>
          <w:szCs w:val="21"/>
        </w:rPr>
      </w:pPr>
      <w:r>
        <w:rPr>
          <w:rFonts w:hint="eastAsia" w:asciiTheme="minorEastAsia" w:hAnsiTheme="minorEastAsia"/>
          <w:sz w:val="21"/>
          <w:szCs w:val="21"/>
        </w:rPr>
        <w:t>清算费用是指基金财产清算小组在进行基金财产清算过程中发生的所有合理费用，清算费用由基金财产清算小组优先从基金剩余财产中支付。</w:t>
      </w:r>
    </w:p>
    <w:p w14:paraId="453286CA">
      <w:pPr>
        <w:snapToGrid w:val="0"/>
        <w:spacing w:line="360" w:lineRule="auto"/>
        <w:ind w:firstLine="420" w:firstLineChars="200"/>
        <w:rPr>
          <w:rFonts w:ascii="宋体" w:hAnsi="宋体"/>
          <w:sz w:val="21"/>
          <w:szCs w:val="21"/>
        </w:rPr>
      </w:pPr>
      <w:r>
        <w:rPr>
          <w:rFonts w:hint="eastAsia" w:ascii="宋体" w:hAnsi="宋体"/>
          <w:sz w:val="21"/>
          <w:szCs w:val="21"/>
        </w:rPr>
        <w:t>（五）基金财产清算剩余资产的分配</w:t>
      </w:r>
    </w:p>
    <w:p w14:paraId="084159A0">
      <w:pPr>
        <w:snapToGrid w:val="0"/>
        <w:spacing w:line="360" w:lineRule="auto"/>
        <w:ind w:firstLine="420" w:firstLineChars="200"/>
        <w:rPr>
          <w:rFonts w:ascii="宋体" w:hAnsi="宋体"/>
          <w:sz w:val="21"/>
          <w:szCs w:val="21"/>
        </w:rPr>
      </w:pPr>
      <w:r>
        <w:rPr>
          <w:rFonts w:hint="eastAsia" w:asciiTheme="minorEastAsia" w:hAnsiTheme="minorEastAsia"/>
          <w:sz w:val="21"/>
          <w:szCs w:val="21"/>
        </w:rPr>
        <w:t>依据基金财产清算的分配方案，将基金财产清算后的全部剩余资产扣除基金财产清算费用、交纳所欠税款并清偿基金债务后，按基金份额持有人持有的基金份额比例进行分配。</w:t>
      </w:r>
    </w:p>
    <w:p w14:paraId="6C9007C7">
      <w:pPr>
        <w:snapToGrid w:val="0"/>
        <w:spacing w:line="360" w:lineRule="auto"/>
        <w:ind w:firstLine="420" w:firstLineChars="200"/>
        <w:rPr>
          <w:rFonts w:ascii="宋体" w:hAnsi="宋体"/>
          <w:sz w:val="21"/>
          <w:szCs w:val="21"/>
        </w:rPr>
      </w:pPr>
      <w:r>
        <w:rPr>
          <w:rFonts w:hint="eastAsia" w:ascii="宋体" w:hAnsi="宋体"/>
          <w:sz w:val="21"/>
          <w:szCs w:val="21"/>
        </w:rPr>
        <w:t>（六）基金财产清算的公告</w:t>
      </w:r>
    </w:p>
    <w:p w14:paraId="3C5F9938">
      <w:pPr>
        <w:snapToGrid w:val="0"/>
        <w:spacing w:line="360" w:lineRule="auto"/>
        <w:ind w:firstLine="420" w:firstLineChars="200"/>
        <w:rPr>
          <w:rFonts w:ascii="宋体" w:hAnsi="宋体"/>
          <w:sz w:val="21"/>
          <w:szCs w:val="21"/>
        </w:rPr>
      </w:pPr>
      <w:r>
        <w:rPr>
          <w:rFonts w:hint="eastAsia" w:asciiTheme="minorEastAsia" w:hAnsiTheme="minorEastAsia"/>
          <w:sz w:val="21"/>
          <w:szCs w:val="21"/>
        </w:rPr>
        <w:t>清算过程中的有关重大事项须及时公告；基金财产清算报告经符合《证券法》规定的会计师事务所审计并由律师事务所出具法律意见书后报中国证监会备案并公告。基金财产清算公告于基金财产清算报告报中国证监会备案后</w:t>
      </w:r>
      <w:r>
        <w:rPr>
          <w:rFonts w:asciiTheme="minorEastAsia" w:hAnsiTheme="minorEastAsia" w:eastAsiaTheme="minorEastAsia"/>
          <w:sz w:val="21"/>
          <w:szCs w:val="21"/>
        </w:rPr>
        <w:t>5</w:t>
      </w:r>
      <w:r>
        <w:rPr>
          <w:rFonts w:hint="eastAsia" w:asciiTheme="minorEastAsia" w:hAnsiTheme="minorEastAsia"/>
          <w:sz w:val="21"/>
          <w:szCs w:val="21"/>
        </w:rPr>
        <w:t>个工作日内由基金财产清算小组进行公告，基金财产清算小组应当将清算报告登载在规定网站上，并将清算报告提示性公告登载在规定报刊上。</w:t>
      </w:r>
    </w:p>
    <w:p w14:paraId="680FDA75">
      <w:pPr>
        <w:snapToGrid w:val="0"/>
        <w:spacing w:line="360" w:lineRule="auto"/>
        <w:ind w:firstLine="420" w:firstLineChars="200"/>
        <w:rPr>
          <w:rFonts w:ascii="宋体" w:hAnsi="宋体"/>
          <w:sz w:val="21"/>
          <w:szCs w:val="21"/>
        </w:rPr>
      </w:pPr>
      <w:r>
        <w:rPr>
          <w:rFonts w:hint="eastAsia" w:ascii="宋体" w:hAnsi="宋体"/>
          <w:sz w:val="21"/>
          <w:szCs w:val="21"/>
        </w:rPr>
        <w:t>（七）基金财产清算账册及文件的保存</w:t>
      </w:r>
    </w:p>
    <w:p w14:paraId="6034EC2A">
      <w:pPr>
        <w:snapToGrid w:val="0"/>
        <w:spacing w:line="360" w:lineRule="auto"/>
        <w:ind w:firstLine="420" w:firstLineChars="200"/>
        <w:rPr>
          <w:rFonts w:ascii="宋体" w:hAnsi="宋体"/>
          <w:sz w:val="21"/>
          <w:szCs w:val="21"/>
        </w:rPr>
      </w:pPr>
      <w:r>
        <w:rPr>
          <w:rFonts w:hint="eastAsia" w:asciiTheme="minorEastAsia" w:hAnsiTheme="minorEastAsia"/>
          <w:sz w:val="21"/>
          <w:szCs w:val="21"/>
        </w:rPr>
        <w:t>基金财产清算账册及有关文件由基金托管人保存，保存期限按照法律法规的规定执行。</w:t>
      </w:r>
    </w:p>
    <w:p w14:paraId="6AC22CD6">
      <w:pPr>
        <w:snapToGrid w:val="0"/>
        <w:spacing w:line="360" w:lineRule="auto"/>
        <w:ind w:firstLine="420" w:firstLineChars="200"/>
        <w:rPr>
          <w:rFonts w:ascii="宋体" w:hAnsi="宋体"/>
          <w:sz w:val="21"/>
          <w:szCs w:val="21"/>
        </w:rPr>
      </w:pPr>
      <w:r>
        <w:rPr>
          <w:rFonts w:hint="eastAsia" w:ascii="宋体" w:hAnsi="宋体"/>
          <w:sz w:val="21"/>
          <w:szCs w:val="21"/>
        </w:rPr>
        <w:t>八、争议的处理</w:t>
      </w:r>
    </w:p>
    <w:p w14:paraId="6EA17840">
      <w:pPr>
        <w:snapToGrid w:val="0"/>
        <w:spacing w:line="360" w:lineRule="auto"/>
        <w:ind w:firstLine="420" w:firstLineChars="200"/>
        <w:rPr>
          <w:rFonts w:ascii="宋体" w:hAnsi="宋体"/>
          <w:sz w:val="21"/>
          <w:szCs w:val="21"/>
        </w:rPr>
      </w:pPr>
      <w:r>
        <w:rPr>
          <w:rFonts w:hint="eastAsia" w:ascii="宋体" w:hAnsi="宋体"/>
          <w:sz w:val="21"/>
          <w:szCs w:val="21"/>
        </w:rPr>
        <w:t>各方当事人同意，因《基金合同》而产生的或与《基金合同》有关的一切争议，如不愿或者不能通过协商、调解解决的，应将争议提交中国国际经济贸易仲裁委员会，按照中国国际经济贸易仲裁委员会届时有效的仲裁规则进行仲裁。仲裁地点为北京市。仲裁裁决是终局的，对各方当事人均有约束力。除非仲裁裁决另有规定，仲裁费由败诉方承担。</w:t>
      </w:r>
    </w:p>
    <w:p w14:paraId="5B573AEA">
      <w:pPr>
        <w:snapToGrid w:val="0"/>
        <w:spacing w:line="360" w:lineRule="auto"/>
        <w:ind w:firstLine="420" w:firstLineChars="200"/>
        <w:rPr>
          <w:rFonts w:ascii="宋体" w:hAnsi="宋体"/>
          <w:sz w:val="21"/>
          <w:szCs w:val="21"/>
        </w:rPr>
      </w:pPr>
      <w:r>
        <w:rPr>
          <w:rFonts w:hint="eastAsia" w:ascii="宋体" w:hAnsi="宋体"/>
          <w:sz w:val="21"/>
          <w:szCs w:val="21"/>
        </w:rPr>
        <w:t>争议处理期间，基金管理人、基金托管人应恪守基金管理人和基金托管人的职责，各自继续忠实、勤勉、尽责地履行基金合同和基金托管协议规定的义务，维护基金份额持有人的合法权益。</w:t>
      </w:r>
    </w:p>
    <w:p w14:paraId="57755CE7">
      <w:pPr>
        <w:snapToGrid w:val="0"/>
        <w:spacing w:line="360" w:lineRule="auto"/>
        <w:ind w:firstLine="420" w:firstLineChars="200"/>
        <w:rPr>
          <w:rFonts w:ascii="宋体" w:hAnsi="宋体"/>
          <w:sz w:val="21"/>
          <w:szCs w:val="21"/>
        </w:rPr>
      </w:pPr>
      <w:r>
        <w:rPr>
          <w:rFonts w:hint="eastAsia" w:ascii="宋体" w:hAnsi="宋体"/>
          <w:sz w:val="21"/>
          <w:szCs w:val="21"/>
        </w:rPr>
        <w:t>《基金合同》受中国法律（为本基金合同之目的，在此不包括香港、澳门特别行政区法律和台湾地区的有关规定）管辖并从其解释。</w:t>
      </w:r>
    </w:p>
    <w:p w14:paraId="209A0280">
      <w:pPr>
        <w:snapToGrid w:val="0"/>
        <w:spacing w:line="360" w:lineRule="auto"/>
        <w:ind w:firstLine="420" w:firstLineChars="200"/>
        <w:rPr>
          <w:rFonts w:ascii="宋体" w:hAnsi="宋体"/>
          <w:sz w:val="21"/>
          <w:szCs w:val="21"/>
        </w:rPr>
      </w:pPr>
      <w:r>
        <w:rPr>
          <w:rFonts w:hint="eastAsia" w:ascii="宋体" w:hAnsi="宋体"/>
          <w:sz w:val="21"/>
          <w:szCs w:val="21"/>
        </w:rPr>
        <w:t>九、基金合同存放地和投资者取得合同的方式</w:t>
      </w:r>
    </w:p>
    <w:p w14:paraId="397A5A3B">
      <w:pPr>
        <w:snapToGrid w:val="0"/>
        <w:spacing w:line="360" w:lineRule="auto"/>
        <w:ind w:firstLine="420" w:firstLineChars="200"/>
        <w:rPr>
          <w:rFonts w:ascii="宋体" w:hAnsi="宋体"/>
          <w:sz w:val="21"/>
          <w:szCs w:val="21"/>
        </w:rPr>
      </w:pPr>
      <w:r>
        <w:rPr>
          <w:rFonts w:ascii="宋体" w:hAnsi="宋体"/>
          <w:sz w:val="21"/>
          <w:szCs w:val="21"/>
        </w:rPr>
        <w:t>本基金合同</w:t>
      </w:r>
      <w:r>
        <w:rPr>
          <w:rFonts w:hint="eastAsia" w:ascii="宋体" w:hAnsi="宋体"/>
          <w:sz w:val="21"/>
          <w:szCs w:val="21"/>
        </w:rPr>
        <w:t>可印制成册，供</w:t>
      </w:r>
      <w:r>
        <w:rPr>
          <w:rFonts w:ascii="宋体" w:hAnsi="宋体"/>
          <w:sz w:val="21"/>
          <w:szCs w:val="21"/>
        </w:rPr>
        <w:t>投资人</w:t>
      </w:r>
      <w:r>
        <w:rPr>
          <w:rFonts w:hint="eastAsia" w:ascii="宋体" w:hAnsi="宋体"/>
          <w:sz w:val="21"/>
          <w:szCs w:val="21"/>
        </w:rPr>
        <w:t>在基金管理人、基金托管人、</w:t>
      </w:r>
      <w:r>
        <w:rPr>
          <w:rFonts w:ascii="宋体" w:hAnsi="宋体"/>
          <w:sz w:val="21"/>
          <w:szCs w:val="21"/>
        </w:rPr>
        <w:t>代销</w:t>
      </w:r>
      <w:r>
        <w:rPr>
          <w:rFonts w:hint="eastAsia" w:ascii="宋体" w:hAnsi="宋体"/>
          <w:sz w:val="21"/>
          <w:szCs w:val="21"/>
        </w:rPr>
        <w:t>机构</w:t>
      </w:r>
      <w:r>
        <w:rPr>
          <w:rFonts w:ascii="宋体" w:hAnsi="宋体"/>
          <w:sz w:val="21"/>
          <w:szCs w:val="21"/>
        </w:rPr>
        <w:t>和登记机构</w:t>
      </w:r>
      <w:r>
        <w:rPr>
          <w:rFonts w:hint="eastAsia" w:ascii="宋体" w:hAnsi="宋体"/>
          <w:sz w:val="21"/>
          <w:szCs w:val="21"/>
        </w:rPr>
        <w:t>办公场所查阅。</w:t>
      </w:r>
    </w:p>
    <w:p w14:paraId="1A46837D">
      <w:pPr>
        <w:pStyle w:val="9"/>
        <w:spacing w:before="0" w:beforeAutospacing="0" w:after="0" w:afterAutospacing="0" w:line="360" w:lineRule="auto"/>
        <w:ind w:firstLine="420" w:firstLineChars="200"/>
        <w:jc w:val="both"/>
        <w:rPr>
          <w:rFonts w:hint="eastAsia" w:ascii="宋体" w:hAnsi="宋体" w:eastAsia="宋体" w:cs="宋体"/>
          <w:kern w:val="0"/>
          <w:sz w:val="21"/>
          <w:szCs w:val="21"/>
          <w:highlight w:val="lightGray"/>
        </w:rPr>
      </w:pPr>
    </w:p>
    <w:sectPr>
      <w:footerReference r:id="rId6" w:type="default"/>
      <w:pgSz w:w="11906" w:h="16838"/>
      <w:pgMar w:top="1440" w:right="1803" w:bottom="1440" w:left="1803"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monospace">
    <w:altName w:val="Segoe Print"/>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1D400A">
    <w:pPr>
      <w:pStyle w:val="6"/>
      <w:jc w:val="center"/>
    </w:pPr>
    <w:r>
      <w:rPr>
        <w:rFonts w:hint="eastAsia"/>
      </w:rPr>
      <w:t>第</w:t>
    </w:r>
    <w:r>
      <w:fldChar w:fldCharType="begin"/>
    </w:r>
    <w:r>
      <w:instrText xml:space="preserve"> </w:instrText>
    </w:r>
    <w:r>
      <w:rPr>
        <w:rFonts w:hint="eastAsia"/>
      </w:rPr>
      <w:instrText xml:space="preserve">Page \* MERGEFORMAT</w:instrText>
    </w:r>
    <w:r>
      <w:instrText xml:space="preserve"> </w:instrText>
    </w:r>
    <w:r>
      <w:fldChar w:fldCharType="separate"/>
    </w:r>
    <w:r>
      <w:t>1</w:t>
    </w:r>
    <w:r>
      <w:fldChar w:fldCharType="end"/>
    </w:r>
    <w:r>
      <w:rPr>
        <w:rFonts w:hint="eastAsia"/>
      </w:rPr>
      <w:t>页 共</w:t>
    </w:r>
    <w:r>
      <w:fldChar w:fldCharType="begin"/>
    </w:r>
    <w:r>
      <w:instrText xml:space="preserve"> NumPages \* MERGEFORMAT </w:instrText>
    </w:r>
    <w:r>
      <w:fldChar w:fldCharType="separate"/>
    </w:r>
    <w:r>
      <w:t>51</w:t>
    </w:r>
    <w:r>
      <w:fldChar w:fldCharType="end"/>
    </w:r>
    <w:r>
      <w:rPr>
        <w:rFonts w:hint="eastAsia"/>
      </w:rPr>
      <w:t>页</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E51C6B">
    <w:pPr>
      <w:pStyle w:val="6"/>
      <w:jc w:val="center"/>
    </w:pPr>
    <w:r>
      <w:rPr>
        <w:rFonts w:hint="eastAsia"/>
      </w:rPr>
      <w:t>第</w:t>
    </w:r>
    <w:r>
      <w:fldChar w:fldCharType="begin"/>
    </w:r>
    <w:r>
      <w:instrText xml:space="preserve"> </w:instrText>
    </w:r>
    <w:r>
      <w:rPr>
        <w:rFonts w:hint="eastAsia"/>
      </w:rPr>
      <w:instrText xml:space="preserve">Page \* MERGEFORMAT</w:instrText>
    </w:r>
    <w:r>
      <w:instrText xml:space="preserve"> </w:instrText>
    </w:r>
    <w:r>
      <w:fldChar w:fldCharType="separate"/>
    </w:r>
    <w:r>
      <w:t>1</w:t>
    </w:r>
    <w:r>
      <w:fldChar w:fldCharType="end"/>
    </w:r>
    <w:r>
      <w:rPr>
        <w:rFonts w:hint="eastAsia"/>
      </w:rPr>
      <w:t>页 共</w:t>
    </w:r>
    <w:r>
      <w:fldChar w:fldCharType="begin"/>
    </w:r>
    <w:r>
      <w:instrText xml:space="preserve"> NumPages \* MERGEFORMAT </w:instrText>
    </w:r>
    <w:r>
      <w:fldChar w:fldCharType="separate"/>
    </w:r>
    <w:r>
      <w:t>51</w:t>
    </w:r>
    <w:r>
      <w:fldChar w:fldCharType="end"/>
    </w:r>
    <w:r>
      <w:rPr>
        <w:rFonts w:hint="eastAsia"/>
      </w:rPr>
      <w:t>页</w:t>
    </w:r>
  </w:p>
  <w:p w14:paraId="464E191D">
    <w:pPr>
      <w:pStyle w:val="6"/>
      <w:jc w:val="center"/>
      <w:rPr>
        <w:rFonts w:ascii="Arial" w:hAnsi="Arial" w:cs="Arial"/>
        <w:sz w:val="21"/>
        <w:szCs w:val="21"/>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A7A7DC">
    <w:pPr>
      <w:pStyle w:val="7"/>
      <w:pBdr>
        <w:bottom w:val="none" w:color="auto" w:sz="0" w:space="1"/>
      </w:pBdr>
      <w:jc w:val="right"/>
      <w:rPr>
        <w:rFonts w:hint="eastAsia" w:eastAsiaTheme="minorEastAsia"/>
        <w:lang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08B8C6">
    <w:pPr>
      <w:pStyle w:val="7"/>
      <w:jc w:val="right"/>
      <w:rPr>
        <w:rFonts w:hint="eastAsia" w:eastAsiaTheme="minorEastAsia"/>
        <w:lang w:eastAsia="zh-CN"/>
      </w:rPr>
    </w:pPr>
    <w:r>
      <w:rPr>
        <w:rFonts w:hint="eastAsia"/>
        <w:lang w:eastAsia="zh-CN"/>
      </w:rPr>
      <w:t>博时中证全指红利质量交易型开放式指数证券投资基金</w:t>
    </w:r>
    <w:r>
      <w:rPr>
        <w:rFonts w:hint="eastAsia"/>
      </w:rPr>
      <w:t>上市交易公告书</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229859"/>
    <w:multiLevelType w:val="singleLevel"/>
    <w:tmpl w:val="95229859"/>
    <w:lvl w:ilvl="0" w:tentative="0">
      <w:start w:val="1"/>
      <w:numFmt w:val="chineseCounting"/>
      <w:suff w:val="nothing"/>
      <w:lvlText w:val="（%1）"/>
      <w:lvlJc w:val="left"/>
      <w:rPr>
        <w:rFonts w:hint="eastAsia"/>
      </w:rPr>
    </w:lvl>
  </w:abstractNum>
  <w:abstractNum w:abstractNumId="1">
    <w:nsid w:val="AD4BCBEB"/>
    <w:multiLevelType w:val="singleLevel"/>
    <w:tmpl w:val="AD4BCBEB"/>
    <w:lvl w:ilvl="0" w:tentative="0">
      <w:start w:val="2"/>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trackRevisions w:val="1"/>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4196"/>
    <w:rsid w:val="0000010D"/>
    <w:rsid w:val="0002596A"/>
    <w:rsid w:val="00027E3E"/>
    <w:rsid w:val="00061331"/>
    <w:rsid w:val="0009589A"/>
    <w:rsid w:val="000A673F"/>
    <w:rsid w:val="000D4D5C"/>
    <w:rsid w:val="000E12FA"/>
    <w:rsid w:val="000E4A1F"/>
    <w:rsid w:val="00100E17"/>
    <w:rsid w:val="00134196"/>
    <w:rsid w:val="00171C23"/>
    <w:rsid w:val="0018679A"/>
    <w:rsid w:val="001C773F"/>
    <w:rsid w:val="001F7003"/>
    <w:rsid w:val="00260AE1"/>
    <w:rsid w:val="00263411"/>
    <w:rsid w:val="002729FC"/>
    <w:rsid w:val="0029040B"/>
    <w:rsid w:val="002924D0"/>
    <w:rsid w:val="002C5962"/>
    <w:rsid w:val="00313946"/>
    <w:rsid w:val="003219EE"/>
    <w:rsid w:val="003239CA"/>
    <w:rsid w:val="00371CF0"/>
    <w:rsid w:val="00396962"/>
    <w:rsid w:val="003C2E63"/>
    <w:rsid w:val="003E1559"/>
    <w:rsid w:val="003F12CF"/>
    <w:rsid w:val="00400C84"/>
    <w:rsid w:val="00401F2E"/>
    <w:rsid w:val="0047581E"/>
    <w:rsid w:val="00487FCE"/>
    <w:rsid w:val="004A479D"/>
    <w:rsid w:val="004B194F"/>
    <w:rsid w:val="004B5A6B"/>
    <w:rsid w:val="0051629E"/>
    <w:rsid w:val="005341BA"/>
    <w:rsid w:val="00594717"/>
    <w:rsid w:val="005F15AB"/>
    <w:rsid w:val="00674928"/>
    <w:rsid w:val="006A1BC2"/>
    <w:rsid w:val="006D0E36"/>
    <w:rsid w:val="006E2432"/>
    <w:rsid w:val="006E2EE7"/>
    <w:rsid w:val="006F1399"/>
    <w:rsid w:val="00722ACA"/>
    <w:rsid w:val="007371DD"/>
    <w:rsid w:val="0077580E"/>
    <w:rsid w:val="007818B1"/>
    <w:rsid w:val="0079609A"/>
    <w:rsid w:val="0079747D"/>
    <w:rsid w:val="007C18A1"/>
    <w:rsid w:val="00827CDC"/>
    <w:rsid w:val="00871D54"/>
    <w:rsid w:val="00876E8F"/>
    <w:rsid w:val="008C5059"/>
    <w:rsid w:val="008D3BC8"/>
    <w:rsid w:val="008E2D07"/>
    <w:rsid w:val="008F0DDC"/>
    <w:rsid w:val="008F6999"/>
    <w:rsid w:val="009106B4"/>
    <w:rsid w:val="00987B9E"/>
    <w:rsid w:val="0099188E"/>
    <w:rsid w:val="0099374E"/>
    <w:rsid w:val="009C00B4"/>
    <w:rsid w:val="009C1FC1"/>
    <w:rsid w:val="009F404B"/>
    <w:rsid w:val="00A015ED"/>
    <w:rsid w:val="00A028F0"/>
    <w:rsid w:val="00A8346F"/>
    <w:rsid w:val="00A95D3E"/>
    <w:rsid w:val="00AC00CD"/>
    <w:rsid w:val="00AF56CC"/>
    <w:rsid w:val="00B3407F"/>
    <w:rsid w:val="00B67E73"/>
    <w:rsid w:val="00BB35F3"/>
    <w:rsid w:val="00C03241"/>
    <w:rsid w:val="00C153EE"/>
    <w:rsid w:val="00C556E1"/>
    <w:rsid w:val="00C760AE"/>
    <w:rsid w:val="00C86CE5"/>
    <w:rsid w:val="00CD4852"/>
    <w:rsid w:val="00CD5400"/>
    <w:rsid w:val="00D17E48"/>
    <w:rsid w:val="00DA7151"/>
    <w:rsid w:val="00E168F5"/>
    <w:rsid w:val="00E36C49"/>
    <w:rsid w:val="00E36CC6"/>
    <w:rsid w:val="00E54F02"/>
    <w:rsid w:val="00E92B60"/>
    <w:rsid w:val="00EA217C"/>
    <w:rsid w:val="00EA27CB"/>
    <w:rsid w:val="00EA6CE8"/>
    <w:rsid w:val="00ED55BC"/>
    <w:rsid w:val="00F0454D"/>
    <w:rsid w:val="00F22A21"/>
    <w:rsid w:val="00F42FBA"/>
    <w:rsid w:val="00F87159"/>
    <w:rsid w:val="00F938B1"/>
    <w:rsid w:val="00F96B9F"/>
    <w:rsid w:val="00FF03B8"/>
    <w:rsid w:val="01184F34"/>
    <w:rsid w:val="01295C3B"/>
    <w:rsid w:val="01361A93"/>
    <w:rsid w:val="013D1795"/>
    <w:rsid w:val="017C7C14"/>
    <w:rsid w:val="01C32272"/>
    <w:rsid w:val="01E811AC"/>
    <w:rsid w:val="023C66B8"/>
    <w:rsid w:val="03190625"/>
    <w:rsid w:val="032E7E6F"/>
    <w:rsid w:val="035C032D"/>
    <w:rsid w:val="039713C7"/>
    <w:rsid w:val="03A54ED2"/>
    <w:rsid w:val="03AC57BC"/>
    <w:rsid w:val="03AD5615"/>
    <w:rsid w:val="03F72C51"/>
    <w:rsid w:val="040334DE"/>
    <w:rsid w:val="04185410"/>
    <w:rsid w:val="04360E90"/>
    <w:rsid w:val="043D1681"/>
    <w:rsid w:val="047F2F94"/>
    <w:rsid w:val="04AD0690"/>
    <w:rsid w:val="04C715E5"/>
    <w:rsid w:val="050D387B"/>
    <w:rsid w:val="057F16A6"/>
    <w:rsid w:val="05FB30A1"/>
    <w:rsid w:val="064A73D7"/>
    <w:rsid w:val="066B7E24"/>
    <w:rsid w:val="06CA486E"/>
    <w:rsid w:val="06E23AB3"/>
    <w:rsid w:val="06E92564"/>
    <w:rsid w:val="072843AA"/>
    <w:rsid w:val="07780B4E"/>
    <w:rsid w:val="07A2676C"/>
    <w:rsid w:val="07BA233A"/>
    <w:rsid w:val="07CC1898"/>
    <w:rsid w:val="0804612B"/>
    <w:rsid w:val="08A90D2D"/>
    <w:rsid w:val="09511A59"/>
    <w:rsid w:val="09673BFD"/>
    <w:rsid w:val="097A15AD"/>
    <w:rsid w:val="09AF3FF1"/>
    <w:rsid w:val="09B40952"/>
    <w:rsid w:val="09E3055C"/>
    <w:rsid w:val="09FC40F0"/>
    <w:rsid w:val="0A0D0BA8"/>
    <w:rsid w:val="0A397185"/>
    <w:rsid w:val="0B2009CF"/>
    <w:rsid w:val="0B25137C"/>
    <w:rsid w:val="0B66796B"/>
    <w:rsid w:val="0B6912F6"/>
    <w:rsid w:val="0B815345"/>
    <w:rsid w:val="0B984927"/>
    <w:rsid w:val="0BB6683D"/>
    <w:rsid w:val="0C1F5A2F"/>
    <w:rsid w:val="0C5B1651"/>
    <w:rsid w:val="0CCF3C1F"/>
    <w:rsid w:val="0DB645AA"/>
    <w:rsid w:val="0F444E21"/>
    <w:rsid w:val="0FE07C99"/>
    <w:rsid w:val="0FF61EB6"/>
    <w:rsid w:val="100E07B1"/>
    <w:rsid w:val="108F0808"/>
    <w:rsid w:val="10B7227A"/>
    <w:rsid w:val="10E375F3"/>
    <w:rsid w:val="114836DA"/>
    <w:rsid w:val="11750DDE"/>
    <w:rsid w:val="11883AE7"/>
    <w:rsid w:val="118C2FE9"/>
    <w:rsid w:val="11EB3172"/>
    <w:rsid w:val="11F0177A"/>
    <w:rsid w:val="12065420"/>
    <w:rsid w:val="128C697D"/>
    <w:rsid w:val="12DA0C7B"/>
    <w:rsid w:val="13437311"/>
    <w:rsid w:val="1399374C"/>
    <w:rsid w:val="13CC3966"/>
    <w:rsid w:val="14B5526A"/>
    <w:rsid w:val="14BD2115"/>
    <w:rsid w:val="14F1166B"/>
    <w:rsid w:val="15127621"/>
    <w:rsid w:val="15CA457D"/>
    <w:rsid w:val="15D20959"/>
    <w:rsid w:val="162E3271"/>
    <w:rsid w:val="168205E3"/>
    <w:rsid w:val="16C7752A"/>
    <w:rsid w:val="17093E07"/>
    <w:rsid w:val="185773FE"/>
    <w:rsid w:val="1920657C"/>
    <w:rsid w:val="19A60D94"/>
    <w:rsid w:val="19AE6CD8"/>
    <w:rsid w:val="19D01DE3"/>
    <w:rsid w:val="1A2A2B7C"/>
    <w:rsid w:val="1A9F256A"/>
    <w:rsid w:val="1AB67501"/>
    <w:rsid w:val="1AE55CD1"/>
    <w:rsid w:val="1B2E1125"/>
    <w:rsid w:val="1BB340C4"/>
    <w:rsid w:val="1C530F07"/>
    <w:rsid w:val="1C6564EA"/>
    <w:rsid w:val="1CF21D0A"/>
    <w:rsid w:val="1CF81B63"/>
    <w:rsid w:val="1D5B5880"/>
    <w:rsid w:val="1D86257E"/>
    <w:rsid w:val="1E764308"/>
    <w:rsid w:val="1F455FAF"/>
    <w:rsid w:val="1FC82190"/>
    <w:rsid w:val="200E0DCE"/>
    <w:rsid w:val="200F29A4"/>
    <w:rsid w:val="202A5715"/>
    <w:rsid w:val="20322091"/>
    <w:rsid w:val="20415C7A"/>
    <w:rsid w:val="20A4605A"/>
    <w:rsid w:val="211557A3"/>
    <w:rsid w:val="214C385F"/>
    <w:rsid w:val="21D92814"/>
    <w:rsid w:val="21E140A1"/>
    <w:rsid w:val="22945014"/>
    <w:rsid w:val="22BC69FE"/>
    <w:rsid w:val="230131C6"/>
    <w:rsid w:val="2318468D"/>
    <w:rsid w:val="235734A3"/>
    <w:rsid w:val="244254CA"/>
    <w:rsid w:val="247B3126"/>
    <w:rsid w:val="249C1D1C"/>
    <w:rsid w:val="24A312E6"/>
    <w:rsid w:val="25DE436B"/>
    <w:rsid w:val="25E2137E"/>
    <w:rsid w:val="25EB7E37"/>
    <w:rsid w:val="25FC1FD6"/>
    <w:rsid w:val="26061C21"/>
    <w:rsid w:val="26611895"/>
    <w:rsid w:val="269E134D"/>
    <w:rsid w:val="26D12FC0"/>
    <w:rsid w:val="27664ECC"/>
    <w:rsid w:val="28950EC1"/>
    <w:rsid w:val="28CA0B7C"/>
    <w:rsid w:val="290F01F1"/>
    <w:rsid w:val="29194CBB"/>
    <w:rsid w:val="292000D1"/>
    <w:rsid w:val="2AD640D4"/>
    <w:rsid w:val="2B14257A"/>
    <w:rsid w:val="2B994A59"/>
    <w:rsid w:val="2BE86BDC"/>
    <w:rsid w:val="2C4B74B9"/>
    <w:rsid w:val="2C8B07C0"/>
    <w:rsid w:val="2CB86F50"/>
    <w:rsid w:val="2EA81517"/>
    <w:rsid w:val="2F3866D4"/>
    <w:rsid w:val="2F4F1437"/>
    <w:rsid w:val="2FED371A"/>
    <w:rsid w:val="3006055A"/>
    <w:rsid w:val="300F498A"/>
    <w:rsid w:val="30A61108"/>
    <w:rsid w:val="30E8308A"/>
    <w:rsid w:val="31427C32"/>
    <w:rsid w:val="31523460"/>
    <w:rsid w:val="31DC6E5B"/>
    <w:rsid w:val="31E33F4A"/>
    <w:rsid w:val="31F90095"/>
    <w:rsid w:val="322A0A77"/>
    <w:rsid w:val="3281224F"/>
    <w:rsid w:val="32A54325"/>
    <w:rsid w:val="330630C5"/>
    <w:rsid w:val="33522861"/>
    <w:rsid w:val="33F26783"/>
    <w:rsid w:val="343A21BD"/>
    <w:rsid w:val="354E1BB5"/>
    <w:rsid w:val="358B3002"/>
    <w:rsid w:val="35A07F01"/>
    <w:rsid w:val="3639291E"/>
    <w:rsid w:val="363C6B3B"/>
    <w:rsid w:val="36A3184F"/>
    <w:rsid w:val="36D45384"/>
    <w:rsid w:val="3824759E"/>
    <w:rsid w:val="38685B24"/>
    <w:rsid w:val="38CF4326"/>
    <w:rsid w:val="390D70E6"/>
    <w:rsid w:val="39232AE3"/>
    <w:rsid w:val="39770218"/>
    <w:rsid w:val="39F50E2C"/>
    <w:rsid w:val="3A4E0551"/>
    <w:rsid w:val="3A840F8D"/>
    <w:rsid w:val="3A9167AE"/>
    <w:rsid w:val="3ABC62D2"/>
    <w:rsid w:val="3BC94229"/>
    <w:rsid w:val="3C6C46B1"/>
    <w:rsid w:val="3CD704DD"/>
    <w:rsid w:val="3D54332A"/>
    <w:rsid w:val="3D7B6D79"/>
    <w:rsid w:val="3DA114ED"/>
    <w:rsid w:val="3DA8317E"/>
    <w:rsid w:val="3DB44250"/>
    <w:rsid w:val="3E8F30B2"/>
    <w:rsid w:val="3F507121"/>
    <w:rsid w:val="403A7E28"/>
    <w:rsid w:val="40A2464F"/>
    <w:rsid w:val="40F612A2"/>
    <w:rsid w:val="410924C1"/>
    <w:rsid w:val="41361A58"/>
    <w:rsid w:val="41443930"/>
    <w:rsid w:val="41A007B1"/>
    <w:rsid w:val="41D8232D"/>
    <w:rsid w:val="4203114E"/>
    <w:rsid w:val="42354D79"/>
    <w:rsid w:val="42775F1B"/>
    <w:rsid w:val="429554CB"/>
    <w:rsid w:val="43142597"/>
    <w:rsid w:val="439A580C"/>
    <w:rsid w:val="440367EE"/>
    <w:rsid w:val="44626D0C"/>
    <w:rsid w:val="44C97D5C"/>
    <w:rsid w:val="44CB4A40"/>
    <w:rsid w:val="452841EB"/>
    <w:rsid w:val="453B6B56"/>
    <w:rsid w:val="4600016A"/>
    <w:rsid w:val="460F7B7D"/>
    <w:rsid w:val="465B2BE0"/>
    <w:rsid w:val="46707F9C"/>
    <w:rsid w:val="467576A4"/>
    <w:rsid w:val="47E349BA"/>
    <w:rsid w:val="47F17296"/>
    <w:rsid w:val="48194E0F"/>
    <w:rsid w:val="485E2A48"/>
    <w:rsid w:val="48C42A3E"/>
    <w:rsid w:val="493D4634"/>
    <w:rsid w:val="4984133C"/>
    <w:rsid w:val="4A642072"/>
    <w:rsid w:val="4AAC154C"/>
    <w:rsid w:val="4B540A03"/>
    <w:rsid w:val="4BC77042"/>
    <w:rsid w:val="4BEC649C"/>
    <w:rsid w:val="4C105929"/>
    <w:rsid w:val="4C523EBC"/>
    <w:rsid w:val="4C566E0B"/>
    <w:rsid w:val="4CCE2312"/>
    <w:rsid w:val="4CF01E5B"/>
    <w:rsid w:val="4D467EC5"/>
    <w:rsid w:val="4D686C8D"/>
    <w:rsid w:val="4D847AF6"/>
    <w:rsid w:val="4E1C7A36"/>
    <w:rsid w:val="4E9068B5"/>
    <w:rsid w:val="4E9317DB"/>
    <w:rsid w:val="4EB64CD9"/>
    <w:rsid w:val="4EBD75BF"/>
    <w:rsid w:val="4EF8069D"/>
    <w:rsid w:val="4EF97CB9"/>
    <w:rsid w:val="4F292709"/>
    <w:rsid w:val="510D1231"/>
    <w:rsid w:val="5148131A"/>
    <w:rsid w:val="515F7957"/>
    <w:rsid w:val="517B5A7B"/>
    <w:rsid w:val="517E5911"/>
    <w:rsid w:val="51833481"/>
    <w:rsid w:val="51935A63"/>
    <w:rsid w:val="51BD0E26"/>
    <w:rsid w:val="51E03964"/>
    <w:rsid w:val="526A5E71"/>
    <w:rsid w:val="52BE77B3"/>
    <w:rsid w:val="531C58EA"/>
    <w:rsid w:val="534E3B3B"/>
    <w:rsid w:val="53776891"/>
    <w:rsid w:val="53940A2C"/>
    <w:rsid w:val="53C23470"/>
    <w:rsid w:val="53D572C4"/>
    <w:rsid w:val="54B41D77"/>
    <w:rsid w:val="5583158B"/>
    <w:rsid w:val="55ED0F84"/>
    <w:rsid w:val="56937497"/>
    <w:rsid w:val="56CD00D3"/>
    <w:rsid w:val="571406EC"/>
    <w:rsid w:val="5716066D"/>
    <w:rsid w:val="57871C26"/>
    <w:rsid w:val="589D2742"/>
    <w:rsid w:val="58A85581"/>
    <w:rsid w:val="58DA1640"/>
    <w:rsid w:val="58F74BDB"/>
    <w:rsid w:val="59234ECA"/>
    <w:rsid w:val="59EB6FC2"/>
    <w:rsid w:val="5A031FBA"/>
    <w:rsid w:val="5A3D154B"/>
    <w:rsid w:val="5AD964CD"/>
    <w:rsid w:val="5B3F1217"/>
    <w:rsid w:val="5B931E25"/>
    <w:rsid w:val="5BB9653E"/>
    <w:rsid w:val="5C324336"/>
    <w:rsid w:val="5C367226"/>
    <w:rsid w:val="5C55730B"/>
    <w:rsid w:val="5C630774"/>
    <w:rsid w:val="5C9D1C07"/>
    <w:rsid w:val="5D54142D"/>
    <w:rsid w:val="5D731CE1"/>
    <w:rsid w:val="5D7551E4"/>
    <w:rsid w:val="5D786169"/>
    <w:rsid w:val="5DE01011"/>
    <w:rsid w:val="5DFC3DD2"/>
    <w:rsid w:val="5E115063"/>
    <w:rsid w:val="5E612863"/>
    <w:rsid w:val="5E790851"/>
    <w:rsid w:val="607F4DDC"/>
    <w:rsid w:val="60A4759A"/>
    <w:rsid w:val="61161E58"/>
    <w:rsid w:val="6134091C"/>
    <w:rsid w:val="61965C29"/>
    <w:rsid w:val="61AC454A"/>
    <w:rsid w:val="61C30450"/>
    <w:rsid w:val="620A3ED7"/>
    <w:rsid w:val="621D25FA"/>
    <w:rsid w:val="629C76D5"/>
    <w:rsid w:val="62F200E4"/>
    <w:rsid w:val="63E853DA"/>
    <w:rsid w:val="641C5084"/>
    <w:rsid w:val="646C7D20"/>
    <w:rsid w:val="651F1D1E"/>
    <w:rsid w:val="65D4120E"/>
    <w:rsid w:val="65ED6CD8"/>
    <w:rsid w:val="66FF1E88"/>
    <w:rsid w:val="67517E8F"/>
    <w:rsid w:val="67706CC4"/>
    <w:rsid w:val="67994E76"/>
    <w:rsid w:val="67F0485E"/>
    <w:rsid w:val="68685BD7"/>
    <w:rsid w:val="68A839E0"/>
    <w:rsid w:val="69A022B3"/>
    <w:rsid w:val="6A945605"/>
    <w:rsid w:val="6BA0669E"/>
    <w:rsid w:val="6C587073"/>
    <w:rsid w:val="6C982FFE"/>
    <w:rsid w:val="6C9F2CF6"/>
    <w:rsid w:val="6D2163F1"/>
    <w:rsid w:val="6D900673"/>
    <w:rsid w:val="6DA90E3C"/>
    <w:rsid w:val="6E3D7FE4"/>
    <w:rsid w:val="6E8E404B"/>
    <w:rsid w:val="6E931328"/>
    <w:rsid w:val="6EA34655"/>
    <w:rsid w:val="6EC60678"/>
    <w:rsid w:val="6F1C1B20"/>
    <w:rsid w:val="6F6E001D"/>
    <w:rsid w:val="705D49DF"/>
    <w:rsid w:val="70CE7620"/>
    <w:rsid w:val="71130F39"/>
    <w:rsid w:val="714314E5"/>
    <w:rsid w:val="71EA2A02"/>
    <w:rsid w:val="729546DD"/>
    <w:rsid w:val="73406EE2"/>
    <w:rsid w:val="742B4593"/>
    <w:rsid w:val="76401F90"/>
    <w:rsid w:val="766E39D9"/>
    <w:rsid w:val="768F36B2"/>
    <w:rsid w:val="76A622B6"/>
    <w:rsid w:val="78A13CF9"/>
    <w:rsid w:val="792C3D02"/>
    <w:rsid w:val="7A495727"/>
    <w:rsid w:val="7A952665"/>
    <w:rsid w:val="7AA8076E"/>
    <w:rsid w:val="7AFB77FA"/>
    <w:rsid w:val="7AFC51D8"/>
    <w:rsid w:val="7B3926B8"/>
    <w:rsid w:val="7B8D48EC"/>
    <w:rsid w:val="7BA07C27"/>
    <w:rsid w:val="7C38530D"/>
    <w:rsid w:val="7C4C7499"/>
    <w:rsid w:val="7C6B4F43"/>
    <w:rsid w:val="7C9809DF"/>
    <w:rsid w:val="7CD10878"/>
    <w:rsid w:val="7D9E733F"/>
    <w:rsid w:val="7E1626EC"/>
    <w:rsid w:val="7E383819"/>
    <w:rsid w:val="7E5A355A"/>
    <w:rsid w:val="7EB950F3"/>
    <w:rsid w:val="7F132988"/>
    <w:rsid w:val="7F7B374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link w:val="22"/>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12">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25"/>
    <w:semiHidden/>
    <w:unhideWhenUsed/>
    <w:qFormat/>
    <w:uiPriority w:val="99"/>
    <w:pPr>
      <w:jc w:val="left"/>
    </w:pPr>
  </w:style>
  <w:style w:type="paragraph" w:styleId="4">
    <w:name w:val="Date"/>
    <w:basedOn w:val="1"/>
    <w:next w:val="1"/>
    <w:link w:val="28"/>
    <w:semiHidden/>
    <w:unhideWhenUsed/>
    <w:qFormat/>
    <w:uiPriority w:val="99"/>
    <w:pPr>
      <w:ind w:left="100" w:leftChars="2500"/>
    </w:pPr>
  </w:style>
  <w:style w:type="paragraph" w:styleId="5">
    <w:name w:val="Balloon Text"/>
    <w:basedOn w:val="1"/>
    <w:link w:val="27"/>
    <w:semiHidden/>
    <w:unhideWhenUsed/>
    <w:qFormat/>
    <w:uiPriority w:val="99"/>
    <w:rPr>
      <w:sz w:val="18"/>
      <w:szCs w:val="18"/>
    </w:rPr>
  </w:style>
  <w:style w:type="paragraph" w:styleId="6">
    <w:name w:val="footer"/>
    <w:basedOn w:val="1"/>
    <w:link w:val="24"/>
    <w:unhideWhenUsed/>
    <w:qFormat/>
    <w:uiPriority w:val="99"/>
    <w:pPr>
      <w:tabs>
        <w:tab w:val="center" w:pos="4153"/>
        <w:tab w:val="right" w:pos="8306"/>
      </w:tabs>
      <w:snapToGrid w:val="0"/>
      <w:jc w:val="left"/>
    </w:pPr>
    <w:rPr>
      <w:sz w:val="18"/>
      <w:szCs w:val="18"/>
    </w:rPr>
  </w:style>
  <w:style w:type="paragraph" w:styleId="7">
    <w:name w:val="header"/>
    <w:basedOn w:val="1"/>
    <w:link w:val="23"/>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oc 2"/>
    <w:basedOn w:val="1"/>
    <w:next w:val="1"/>
    <w:unhideWhenUsed/>
    <w:qFormat/>
    <w:uiPriority w:val="39"/>
    <w:pPr>
      <w:ind w:left="420" w:leftChars="200"/>
    </w:pPr>
  </w:style>
  <w:style w:type="paragraph" w:styleId="9">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paragraph" w:styleId="10">
    <w:name w:val="annotation subject"/>
    <w:basedOn w:val="3"/>
    <w:next w:val="3"/>
    <w:link w:val="26"/>
    <w:semiHidden/>
    <w:unhideWhenUsed/>
    <w:qFormat/>
    <w:uiPriority w:val="99"/>
    <w:rPr>
      <w:b/>
      <w:bCs/>
    </w:rPr>
  </w:style>
  <w:style w:type="character" w:styleId="13">
    <w:name w:val="Strong"/>
    <w:basedOn w:val="12"/>
    <w:qFormat/>
    <w:uiPriority w:val="22"/>
    <w:rPr>
      <w:b/>
      <w:bCs/>
    </w:rPr>
  </w:style>
  <w:style w:type="character" w:styleId="14">
    <w:name w:val="FollowedHyperlink"/>
    <w:basedOn w:val="12"/>
    <w:semiHidden/>
    <w:unhideWhenUsed/>
    <w:qFormat/>
    <w:uiPriority w:val="99"/>
    <w:rPr>
      <w:color w:val="333333"/>
      <w:u w:val="none"/>
    </w:rPr>
  </w:style>
  <w:style w:type="character" w:styleId="15">
    <w:name w:val="Emphasis"/>
    <w:basedOn w:val="12"/>
    <w:qFormat/>
    <w:uiPriority w:val="20"/>
    <w:rPr>
      <w:color w:val="D70C19"/>
    </w:rPr>
  </w:style>
  <w:style w:type="character" w:styleId="16">
    <w:name w:val="HTML Definition"/>
    <w:basedOn w:val="12"/>
    <w:semiHidden/>
    <w:unhideWhenUsed/>
    <w:qFormat/>
    <w:uiPriority w:val="99"/>
    <w:rPr>
      <w:i/>
      <w:iCs/>
    </w:rPr>
  </w:style>
  <w:style w:type="character" w:styleId="17">
    <w:name w:val="Hyperlink"/>
    <w:basedOn w:val="12"/>
    <w:unhideWhenUsed/>
    <w:qFormat/>
    <w:uiPriority w:val="99"/>
    <w:rPr>
      <w:color w:val="0000FF" w:themeColor="hyperlink"/>
      <w:u w:val="single"/>
      <w14:textFill>
        <w14:solidFill>
          <w14:schemeClr w14:val="hlink"/>
        </w14:solidFill>
      </w14:textFill>
    </w:rPr>
  </w:style>
  <w:style w:type="character" w:styleId="18">
    <w:name w:val="HTML Code"/>
    <w:basedOn w:val="12"/>
    <w:semiHidden/>
    <w:unhideWhenUsed/>
    <w:qFormat/>
    <w:uiPriority w:val="99"/>
    <w:rPr>
      <w:rFonts w:ascii="monospace" w:hAnsi="monospace" w:eastAsia="monospace" w:cs="monospace"/>
      <w:sz w:val="21"/>
      <w:szCs w:val="21"/>
    </w:rPr>
  </w:style>
  <w:style w:type="character" w:styleId="19">
    <w:name w:val="annotation reference"/>
    <w:basedOn w:val="12"/>
    <w:semiHidden/>
    <w:unhideWhenUsed/>
    <w:qFormat/>
    <w:uiPriority w:val="99"/>
    <w:rPr>
      <w:sz w:val="21"/>
      <w:szCs w:val="21"/>
    </w:rPr>
  </w:style>
  <w:style w:type="character" w:styleId="20">
    <w:name w:val="HTML Keyboard"/>
    <w:basedOn w:val="12"/>
    <w:semiHidden/>
    <w:unhideWhenUsed/>
    <w:qFormat/>
    <w:uiPriority w:val="99"/>
    <w:rPr>
      <w:rFonts w:hint="default" w:ascii="monospace" w:hAnsi="monospace" w:eastAsia="monospace" w:cs="monospace"/>
      <w:sz w:val="21"/>
      <w:szCs w:val="21"/>
    </w:rPr>
  </w:style>
  <w:style w:type="character" w:styleId="21">
    <w:name w:val="HTML Sample"/>
    <w:basedOn w:val="12"/>
    <w:semiHidden/>
    <w:unhideWhenUsed/>
    <w:qFormat/>
    <w:uiPriority w:val="99"/>
    <w:rPr>
      <w:rFonts w:hint="default" w:ascii="monospace" w:hAnsi="monospace" w:eastAsia="monospace" w:cs="monospace"/>
      <w:sz w:val="21"/>
      <w:szCs w:val="21"/>
    </w:rPr>
  </w:style>
  <w:style w:type="character" w:customStyle="1" w:styleId="22">
    <w:name w:val="标题 2 字符"/>
    <w:basedOn w:val="12"/>
    <w:link w:val="2"/>
    <w:qFormat/>
    <w:uiPriority w:val="9"/>
    <w:rPr>
      <w:rFonts w:asciiTheme="majorHAnsi" w:hAnsiTheme="majorHAnsi" w:eastAsiaTheme="majorEastAsia" w:cstheme="majorBidi"/>
      <w:b/>
      <w:bCs/>
      <w:sz w:val="32"/>
      <w:szCs w:val="32"/>
    </w:rPr>
  </w:style>
  <w:style w:type="character" w:customStyle="1" w:styleId="23">
    <w:name w:val="页眉 字符"/>
    <w:basedOn w:val="12"/>
    <w:link w:val="7"/>
    <w:qFormat/>
    <w:uiPriority w:val="99"/>
    <w:rPr>
      <w:sz w:val="18"/>
      <w:szCs w:val="18"/>
    </w:rPr>
  </w:style>
  <w:style w:type="character" w:customStyle="1" w:styleId="24">
    <w:name w:val="页脚 字符"/>
    <w:basedOn w:val="12"/>
    <w:link w:val="6"/>
    <w:qFormat/>
    <w:uiPriority w:val="99"/>
    <w:rPr>
      <w:sz w:val="18"/>
      <w:szCs w:val="18"/>
    </w:rPr>
  </w:style>
  <w:style w:type="character" w:customStyle="1" w:styleId="25">
    <w:name w:val="批注文字 字符"/>
    <w:basedOn w:val="12"/>
    <w:link w:val="3"/>
    <w:semiHidden/>
    <w:qFormat/>
    <w:uiPriority w:val="99"/>
  </w:style>
  <w:style w:type="character" w:customStyle="1" w:styleId="26">
    <w:name w:val="批注主题 字符"/>
    <w:basedOn w:val="25"/>
    <w:link w:val="10"/>
    <w:semiHidden/>
    <w:qFormat/>
    <w:uiPriority w:val="99"/>
    <w:rPr>
      <w:b/>
      <w:bCs/>
    </w:rPr>
  </w:style>
  <w:style w:type="character" w:customStyle="1" w:styleId="27">
    <w:name w:val="批注框文本 字符"/>
    <w:basedOn w:val="12"/>
    <w:link w:val="5"/>
    <w:semiHidden/>
    <w:qFormat/>
    <w:uiPriority w:val="99"/>
    <w:rPr>
      <w:sz w:val="18"/>
      <w:szCs w:val="18"/>
    </w:rPr>
  </w:style>
  <w:style w:type="character" w:customStyle="1" w:styleId="28">
    <w:name w:val="日期 字符"/>
    <w:basedOn w:val="12"/>
    <w:link w:val="4"/>
    <w:semiHidden/>
    <w:qFormat/>
    <w:uiPriority w:val="99"/>
  </w:style>
  <w:style w:type="paragraph" w:customStyle="1" w:styleId="29">
    <w:name w:val="List Paragraph"/>
    <w:basedOn w:val="1"/>
    <w:qFormat/>
    <w:uiPriority w:val="0"/>
    <w:pPr>
      <w:ind w:firstLine="420" w:firstLineChars="200"/>
    </w:pPr>
  </w:style>
  <w:style w:type="character" w:customStyle="1" w:styleId="30">
    <w:name w:val="error"/>
    <w:basedOn w:val="12"/>
    <w:qFormat/>
    <w:uiPriority w:val="0"/>
  </w:style>
  <w:style w:type="character" w:customStyle="1" w:styleId="31">
    <w:name w:val="error1"/>
    <w:basedOn w:val="12"/>
    <w:qFormat/>
    <w:uiPriority w:val="0"/>
  </w:style>
  <w:style w:type="character" w:customStyle="1" w:styleId="32">
    <w:name w:val="error2"/>
    <w:basedOn w:val="12"/>
    <w:qFormat/>
    <w:uiPriority w:val="0"/>
    <w:rPr>
      <w:color w:val="D70C19"/>
      <w:sz w:val="12"/>
      <w:szCs w:val="12"/>
    </w:rPr>
  </w:style>
  <w:style w:type="paragraph" w:customStyle="1" w:styleId="33">
    <w:name w:val="正文文本 21"/>
    <w:basedOn w:val="1"/>
    <w:qFormat/>
    <w:uiPriority w:val="99"/>
    <w:pPr>
      <w:spacing w:line="360" w:lineRule="auto"/>
    </w:pPr>
    <w:rPr>
      <w:sz w:val="24"/>
      <w:szCs w:val="24"/>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FF88FF-16CF-4E57-969A-953575BB8878}">
  <ds:schemaRefs/>
</ds:datastoreItem>
</file>

<file path=docProps/app.xml><?xml version="1.0" encoding="utf-8"?>
<Properties xmlns="http://schemas.openxmlformats.org/officeDocument/2006/extended-properties" xmlns:vt="http://schemas.openxmlformats.org/officeDocument/2006/docPropsVTypes">
  <Template>Normal.dotm</Template>
  <Company>mycompany</Company>
  <Pages>48</Pages>
  <Words>34592</Words>
  <Characters>35876</Characters>
  <Lines>275</Lines>
  <Paragraphs>77</Paragraphs>
  <TotalTime>0</TotalTime>
  <ScaleCrop>false</ScaleCrop>
  <LinksUpToDate>false</LinksUpToDate>
  <CharactersWithSpaces>36106</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2022-07-06T07:39:00Z</dcterms:created>
  <dc:creator>BSKMadminDev</dc:creator>
  <cp:lastModifiedBy>zhaiq1</cp:lastModifiedBy>
  <cp:lastPrinted>2022-11-16T06:30:00Z</cp:lastPrinted>
  <dcterms:modified xsi:type="dcterms:W3CDTF">2026-06-24T04:03:08Z</dcterms:modified>
  <cp:revision>66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7CD710C10A8D488F956272A6323A56F8</vt:lpwstr>
  </property>
</Properties>
</file>