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6633E4E">
      <w:pPr>
        <w:jc w:val="center"/>
        <w:rPr>
          <w:rFonts w:hint="eastAsia" w:ascii="宋体" w:hAnsi="宋体" w:eastAsia="宋体" w:cs="宋体"/>
          <w:b/>
          <w:sz w:val="32"/>
          <w:szCs w:val="32"/>
        </w:rPr>
      </w:pPr>
      <w:r>
        <w:rPr>
          <w:rFonts w:hint="eastAsia" w:ascii="宋体" w:hAnsi="宋体" w:eastAsia="宋体" w:cs="宋体"/>
          <w:b/>
          <w:sz w:val="32"/>
          <w:szCs w:val="32"/>
        </w:rPr>
        <w:t>博时纳斯达克100交易型开放式指数证券投资基金（QDII）溢价风险提示及停</w:t>
      </w:r>
      <w:r>
        <w:rPr>
          <w:rFonts w:hint="eastAsia" w:ascii="宋体" w:hAnsi="宋体" w:eastAsia="宋体" w:cs="宋体"/>
          <w:b/>
          <w:sz w:val="32"/>
          <w:szCs w:val="32"/>
          <w:lang w:val="en-US" w:eastAsia="zh-CN"/>
        </w:rPr>
        <w:t>复</w:t>
      </w:r>
      <w:r>
        <w:rPr>
          <w:rFonts w:hint="eastAsia" w:ascii="宋体" w:hAnsi="宋体" w:eastAsia="宋体" w:cs="宋体"/>
          <w:b/>
          <w:sz w:val="32"/>
          <w:szCs w:val="32"/>
        </w:rPr>
        <w:t>牌公告</w:t>
      </w:r>
    </w:p>
    <w:p w14:paraId="007B2FD6">
      <w:pPr>
        <w:autoSpaceDE w:val="0"/>
        <w:autoSpaceDN w:val="0"/>
        <w:adjustRightInd w:val="0"/>
        <w:jc w:val="left"/>
        <w:rPr>
          <w:rFonts w:hint="eastAsia" w:ascii="宋体" w:hAnsi="宋体" w:eastAsia="宋体" w:cs="宋体"/>
          <w:color w:val="000000"/>
          <w:kern w:val="0"/>
          <w:sz w:val="24"/>
          <w:szCs w:val="24"/>
        </w:rPr>
      </w:pPr>
    </w:p>
    <w:p w14:paraId="371F7ABF">
      <w:pPr>
        <w:pStyle w:val="12"/>
        <w:spacing w:line="360" w:lineRule="auto"/>
        <w:ind w:firstLine="420" w:firstLineChars="200"/>
        <w:jc w:val="both"/>
        <w:rPr>
          <w:rFonts w:hint="eastAsia" w:ascii="宋体" w:hAnsi="宋体" w:eastAsia="宋体"/>
          <w:b w:val="0"/>
          <w:bCs w:val="0"/>
          <w:color w:val="auto"/>
          <w:sz w:val="21"/>
          <w:szCs w:val="21"/>
        </w:rPr>
      </w:pPr>
      <w:r>
        <w:rPr>
          <w:rFonts w:hint="eastAsia" w:ascii="宋体" w:hAnsi="宋体" w:eastAsia="宋体"/>
          <w:color w:val="auto"/>
          <w:sz w:val="21"/>
          <w:szCs w:val="21"/>
        </w:rPr>
        <w:t>近期，博时基金管理有限公司（以下简称“本基金管理人”）旗下博时纳斯达克100交易型开放式指数证券投资基金（QDII）（以下简称“本基金”，扩位简称：纳指100ETF博时，交易所代码：513390）在二级市场的交易价格出现大幅度溢价，交易价格明显偏离基金份额净值。</w:t>
      </w:r>
      <w:r>
        <w:rPr>
          <w:rFonts w:hint="eastAsia" w:ascii="宋体" w:hAnsi="宋体" w:eastAsia="宋体"/>
          <w:b w:val="0"/>
          <w:bCs w:val="0"/>
          <w:color w:val="auto"/>
          <w:sz w:val="21"/>
          <w:szCs w:val="21"/>
        </w:rPr>
        <w:t>特此提示投资者关注二级市场交易价格溢价风险，投资者如果盲目投资，可能遭受重大损失。</w:t>
      </w:r>
    </w:p>
    <w:p w14:paraId="3B8DB93D">
      <w:pPr>
        <w:pStyle w:val="12"/>
        <w:spacing w:line="360" w:lineRule="auto"/>
        <w:ind w:firstLine="422" w:firstLineChars="200"/>
        <w:jc w:val="both"/>
        <w:rPr>
          <w:rFonts w:hint="eastAsia" w:ascii="宋体" w:hAnsi="宋体" w:eastAsia="宋体"/>
          <w:b/>
          <w:bCs/>
          <w:color w:val="auto"/>
          <w:sz w:val="21"/>
          <w:szCs w:val="21"/>
        </w:rPr>
      </w:pPr>
      <w:r>
        <w:rPr>
          <w:rFonts w:hint="eastAsia" w:ascii="宋体" w:hAnsi="宋体" w:eastAsia="宋体"/>
          <w:b/>
          <w:bCs/>
          <w:color w:val="auto"/>
          <w:sz w:val="21"/>
          <w:szCs w:val="21"/>
        </w:rPr>
        <w:t>为了保护投资者的利益，本基金将于202</w:t>
      </w:r>
      <w:r>
        <w:rPr>
          <w:rFonts w:hint="eastAsia" w:hAnsi="宋体"/>
          <w:b/>
          <w:bCs/>
          <w:color w:val="auto"/>
          <w:sz w:val="21"/>
          <w:szCs w:val="21"/>
          <w:lang w:val="en-US" w:eastAsia="zh-CN"/>
        </w:rPr>
        <w:t>6</w:t>
      </w:r>
      <w:r>
        <w:rPr>
          <w:rFonts w:hint="eastAsia" w:ascii="宋体" w:hAnsi="宋体" w:eastAsia="宋体"/>
          <w:b/>
          <w:bCs/>
          <w:color w:val="auto"/>
          <w:sz w:val="21"/>
          <w:szCs w:val="21"/>
        </w:rPr>
        <w:t>年</w:t>
      </w:r>
      <w:r>
        <w:rPr>
          <w:rFonts w:hint="eastAsia" w:hAnsi="宋体"/>
          <w:b/>
          <w:bCs/>
          <w:color w:val="auto"/>
          <w:sz w:val="21"/>
          <w:szCs w:val="21"/>
          <w:lang w:val="en-US" w:eastAsia="zh-CN"/>
        </w:rPr>
        <w:t>9月22日</w:t>
      </w:r>
      <w:r>
        <w:rPr>
          <w:rFonts w:hint="eastAsia" w:ascii="宋体" w:hAnsi="宋体" w:eastAsia="宋体"/>
          <w:b/>
          <w:bCs/>
          <w:color w:val="auto"/>
          <w:sz w:val="21"/>
          <w:szCs w:val="21"/>
        </w:rPr>
        <w:t>开市起至当日10：30停牌，202</w:t>
      </w:r>
      <w:r>
        <w:rPr>
          <w:rFonts w:hint="eastAsia" w:hAnsi="宋体"/>
          <w:b/>
          <w:bCs/>
          <w:color w:val="auto"/>
          <w:sz w:val="21"/>
          <w:szCs w:val="21"/>
          <w:lang w:val="en-US" w:eastAsia="zh-CN"/>
        </w:rPr>
        <w:t>6</w:t>
      </w:r>
      <w:r>
        <w:rPr>
          <w:rFonts w:hint="eastAsia" w:ascii="宋体" w:hAnsi="宋体" w:eastAsia="宋体"/>
          <w:b/>
          <w:bCs/>
          <w:color w:val="auto"/>
          <w:sz w:val="21"/>
          <w:szCs w:val="21"/>
        </w:rPr>
        <w:t>年</w:t>
      </w:r>
      <w:r>
        <w:rPr>
          <w:rFonts w:hint="eastAsia" w:hAnsi="宋体"/>
          <w:b/>
          <w:bCs/>
          <w:color w:val="auto"/>
          <w:sz w:val="21"/>
          <w:szCs w:val="21"/>
          <w:lang w:val="en-US" w:eastAsia="zh-CN"/>
        </w:rPr>
        <w:t>9月22日</w:t>
      </w:r>
      <w:r>
        <w:rPr>
          <w:rFonts w:hint="eastAsia" w:ascii="宋体" w:hAnsi="宋体" w:eastAsia="宋体"/>
          <w:b/>
          <w:bCs/>
          <w:color w:val="auto"/>
          <w:sz w:val="21"/>
          <w:szCs w:val="21"/>
        </w:rPr>
        <w:t>10：30复牌。若本基金</w:t>
      </w:r>
      <w:r>
        <w:rPr>
          <w:rFonts w:hint="eastAsia" w:hAnsi="宋体"/>
          <w:b/>
          <w:bCs/>
          <w:color w:val="auto"/>
          <w:sz w:val="21"/>
          <w:szCs w:val="21"/>
          <w:lang w:val="en-US" w:eastAsia="zh-CN"/>
        </w:rPr>
        <w:t>后续</w:t>
      </w:r>
      <w:r>
        <w:rPr>
          <w:rFonts w:hint="eastAsia" w:ascii="宋体" w:hAnsi="宋体" w:eastAsia="宋体"/>
          <w:b/>
          <w:bCs/>
          <w:color w:val="auto"/>
          <w:sz w:val="21"/>
          <w:szCs w:val="21"/>
        </w:rPr>
        <w:t>二级市场交易价格溢价幅度未有效回落，本基金有权采取向上海证券交易所申请盘中临时停牌、延长停牌时间等措施以向市场警示风险，具体以届时公告为准。为此，本基金管理人特向投资者提示如下：</w:t>
      </w:r>
    </w:p>
    <w:p w14:paraId="7E4D0B89">
      <w:pPr>
        <w:pStyle w:val="12"/>
        <w:spacing w:line="360" w:lineRule="auto"/>
        <w:ind w:firstLine="420" w:firstLineChars="200"/>
        <w:jc w:val="both"/>
        <w:rPr>
          <w:rFonts w:hint="eastAsia" w:ascii="宋体" w:hAnsi="宋体" w:eastAsia="宋体"/>
          <w:color w:val="auto"/>
          <w:sz w:val="21"/>
          <w:szCs w:val="21"/>
        </w:rPr>
      </w:pPr>
      <w:r>
        <w:rPr>
          <w:rFonts w:hint="eastAsia" w:ascii="宋体" w:hAnsi="宋体" w:eastAsia="宋体"/>
          <w:color w:val="auto"/>
          <w:sz w:val="21"/>
          <w:szCs w:val="21"/>
        </w:rPr>
        <w:t>一、本基金二级市场的交易价格，除了有基金份额净值变化的风险外，还会受到市场供求关系、系统性风险、流动性风险等其他因素的影响，可能使投资人面临损失。</w:t>
      </w:r>
    </w:p>
    <w:p w14:paraId="65118FBD">
      <w:pPr>
        <w:pStyle w:val="12"/>
        <w:spacing w:line="360" w:lineRule="auto"/>
        <w:ind w:firstLine="420" w:firstLineChars="200"/>
        <w:jc w:val="both"/>
        <w:rPr>
          <w:rFonts w:hint="eastAsia" w:ascii="宋体" w:hAnsi="宋体" w:eastAsia="宋体"/>
          <w:color w:val="auto"/>
          <w:sz w:val="21"/>
          <w:szCs w:val="21"/>
        </w:rPr>
      </w:pPr>
      <w:r>
        <w:rPr>
          <w:rFonts w:hint="eastAsia" w:ascii="宋体" w:hAnsi="宋体" w:eastAsia="宋体"/>
          <w:color w:val="auto"/>
          <w:sz w:val="21"/>
          <w:szCs w:val="21"/>
        </w:rPr>
        <w:t>二、截至目前，本基金运作正常且无应披露而未披露的重大信息，基金管理人将严格按照法律法规及基金合同的规定进行投资运作，履行信息披露义务。</w:t>
      </w:r>
    </w:p>
    <w:p w14:paraId="3D1244B9">
      <w:pPr>
        <w:pStyle w:val="12"/>
        <w:spacing w:line="360" w:lineRule="auto"/>
        <w:ind w:firstLine="420" w:firstLineChars="200"/>
        <w:jc w:val="both"/>
        <w:rPr>
          <w:rFonts w:hint="eastAsia" w:ascii="宋体" w:hAnsi="宋体" w:eastAsia="宋体"/>
          <w:color w:val="auto"/>
          <w:sz w:val="21"/>
          <w:szCs w:val="21"/>
        </w:rPr>
      </w:pPr>
      <w:r>
        <w:rPr>
          <w:rFonts w:hint="eastAsia" w:ascii="宋体" w:hAnsi="宋体" w:eastAsia="宋体"/>
          <w:color w:val="auto"/>
          <w:sz w:val="21"/>
          <w:szCs w:val="21"/>
        </w:rPr>
        <w:t>风险提示：基金管理人承诺以诚实信用、勤勉尽责的原则管理和运用基金资产，但不保证基金一定盈利，也不保证最低收益。投资者投资于本基金前应认真阅读本基金的基金合同和招募说明书等相关法律文件。敬请投资者注意投资风险。</w:t>
      </w:r>
    </w:p>
    <w:p w14:paraId="739E7D24">
      <w:pPr>
        <w:pStyle w:val="12"/>
        <w:spacing w:line="360" w:lineRule="auto"/>
        <w:ind w:firstLine="420" w:firstLineChars="200"/>
        <w:jc w:val="both"/>
        <w:rPr>
          <w:rFonts w:hint="eastAsia" w:ascii="宋体" w:hAnsi="宋体" w:eastAsia="宋体"/>
          <w:color w:val="auto"/>
          <w:sz w:val="21"/>
          <w:szCs w:val="21"/>
        </w:rPr>
      </w:pPr>
      <w:r>
        <w:rPr>
          <w:rFonts w:hint="eastAsia" w:ascii="宋体" w:hAnsi="宋体" w:eastAsia="宋体"/>
          <w:color w:val="auto"/>
          <w:sz w:val="21"/>
          <w:szCs w:val="21"/>
        </w:rPr>
        <w:t xml:space="preserve">特此公告。 </w:t>
      </w:r>
    </w:p>
    <w:p w14:paraId="29C9E72F">
      <w:pPr>
        <w:pStyle w:val="12"/>
        <w:spacing w:line="360" w:lineRule="auto"/>
        <w:jc w:val="right"/>
        <w:rPr>
          <w:rFonts w:hint="eastAsia" w:ascii="宋体" w:hAnsi="宋体" w:eastAsia="宋体"/>
          <w:color w:val="auto"/>
          <w:sz w:val="21"/>
          <w:szCs w:val="21"/>
        </w:rPr>
      </w:pPr>
    </w:p>
    <w:p w14:paraId="498BB79B">
      <w:pPr>
        <w:pStyle w:val="12"/>
        <w:spacing w:line="360" w:lineRule="auto"/>
        <w:jc w:val="right"/>
        <w:rPr>
          <w:rFonts w:hint="eastAsia" w:ascii="宋体" w:hAnsi="宋体" w:eastAsia="宋体"/>
          <w:color w:val="auto"/>
          <w:sz w:val="21"/>
          <w:szCs w:val="21"/>
        </w:rPr>
      </w:pPr>
      <w:r>
        <w:rPr>
          <w:rFonts w:hint="eastAsia" w:ascii="宋体" w:hAnsi="宋体" w:eastAsia="宋体"/>
          <w:color w:val="auto"/>
          <w:sz w:val="21"/>
          <w:szCs w:val="21"/>
        </w:rPr>
        <w:t xml:space="preserve">博时基金管理有限公司 </w:t>
      </w:r>
    </w:p>
    <w:p w14:paraId="19528185">
      <w:pPr>
        <w:spacing w:line="360" w:lineRule="auto"/>
        <w:jc w:val="right"/>
        <w:rPr>
          <w:rFonts w:hint="eastAsia" w:ascii="宋体" w:hAnsi="宋体" w:eastAsia="宋体" w:cs="宋体"/>
          <w:szCs w:val="21"/>
          <w:lang w:eastAsia="zh-CN"/>
        </w:rPr>
      </w:pPr>
      <w:r>
        <w:rPr>
          <w:rFonts w:hint="eastAsia" w:ascii="宋体" w:hAnsi="宋体" w:eastAsia="宋体" w:cs="宋体"/>
          <w:szCs w:val="21"/>
        </w:rPr>
        <w:t>202</w:t>
      </w:r>
      <w:r>
        <w:rPr>
          <w:rFonts w:hint="eastAsia" w:ascii="宋体" w:hAnsi="宋体" w:eastAsia="宋体" w:cs="宋体"/>
          <w:szCs w:val="21"/>
          <w:lang w:val="en-US" w:eastAsia="zh-CN"/>
        </w:rPr>
        <w:t>6</w:t>
      </w:r>
      <w:r>
        <w:rPr>
          <w:rFonts w:hint="eastAsia" w:ascii="宋体" w:hAnsi="宋体" w:eastAsia="宋体" w:cs="宋体"/>
          <w:szCs w:val="21"/>
        </w:rPr>
        <w:t>年</w:t>
      </w:r>
      <w:r>
        <w:rPr>
          <w:rFonts w:hint="eastAsia" w:ascii="宋体" w:hAnsi="宋体" w:eastAsia="宋体" w:cs="宋体"/>
          <w:szCs w:val="21"/>
          <w:lang w:val="en-US" w:eastAsia="zh-CN"/>
        </w:rPr>
        <w:t>9</w:t>
      </w:r>
      <w:r>
        <w:rPr>
          <w:rFonts w:hint="eastAsia" w:ascii="宋体" w:hAnsi="宋体" w:eastAsia="宋体" w:cs="宋体"/>
          <w:szCs w:val="21"/>
          <w:lang w:eastAsia="zh-CN"/>
        </w:rPr>
        <w:t>月</w:t>
      </w:r>
      <w:r>
        <w:rPr>
          <w:rFonts w:hint="eastAsia" w:ascii="宋体" w:hAnsi="宋体" w:eastAsia="宋体" w:cs="宋体"/>
          <w:szCs w:val="21"/>
          <w:lang w:val="en-US" w:eastAsia="zh-CN"/>
        </w:rPr>
        <w:t>22</w:t>
      </w:r>
      <w:bookmarkStart w:id="0" w:name="_GoBack"/>
      <w:bookmarkEnd w:id="0"/>
      <w:r>
        <w:rPr>
          <w:rFonts w:hint="eastAsia" w:ascii="宋体" w:hAnsi="宋体" w:eastAsia="宋体" w:cs="宋体"/>
          <w:szCs w:val="21"/>
          <w:lang w:eastAsia="zh-CN"/>
        </w:rPr>
        <w:t>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6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4B66"/>
    <w:rsid w:val="00006774"/>
    <w:rsid w:val="0000709A"/>
    <w:rsid w:val="00013047"/>
    <w:rsid w:val="000139FD"/>
    <w:rsid w:val="0001529C"/>
    <w:rsid w:val="00020A79"/>
    <w:rsid w:val="000220A0"/>
    <w:rsid w:val="0002217D"/>
    <w:rsid w:val="00023A93"/>
    <w:rsid w:val="0003211E"/>
    <w:rsid w:val="00034E12"/>
    <w:rsid w:val="00044233"/>
    <w:rsid w:val="00047544"/>
    <w:rsid w:val="0005755D"/>
    <w:rsid w:val="000638F1"/>
    <w:rsid w:val="00067446"/>
    <w:rsid w:val="0006773C"/>
    <w:rsid w:val="000802FF"/>
    <w:rsid w:val="00080EFE"/>
    <w:rsid w:val="000817EE"/>
    <w:rsid w:val="00082E87"/>
    <w:rsid w:val="0008612D"/>
    <w:rsid w:val="00090715"/>
    <w:rsid w:val="000922CE"/>
    <w:rsid w:val="00094539"/>
    <w:rsid w:val="0009529E"/>
    <w:rsid w:val="000A2BB3"/>
    <w:rsid w:val="000B3A6D"/>
    <w:rsid w:val="000B78BE"/>
    <w:rsid w:val="000C71BE"/>
    <w:rsid w:val="000C7618"/>
    <w:rsid w:val="000D2B93"/>
    <w:rsid w:val="000D3076"/>
    <w:rsid w:val="000D3504"/>
    <w:rsid w:val="000E0DE9"/>
    <w:rsid w:val="000F0A0B"/>
    <w:rsid w:val="000F5EEE"/>
    <w:rsid w:val="00101FA7"/>
    <w:rsid w:val="001024CD"/>
    <w:rsid w:val="00104C35"/>
    <w:rsid w:val="0010629D"/>
    <w:rsid w:val="00112EA9"/>
    <w:rsid w:val="00114F23"/>
    <w:rsid w:val="00135B7E"/>
    <w:rsid w:val="00142985"/>
    <w:rsid w:val="00145088"/>
    <w:rsid w:val="0014742E"/>
    <w:rsid w:val="001538BE"/>
    <w:rsid w:val="001540CF"/>
    <w:rsid w:val="00156726"/>
    <w:rsid w:val="00171D28"/>
    <w:rsid w:val="001724E6"/>
    <w:rsid w:val="00173E6A"/>
    <w:rsid w:val="001808AC"/>
    <w:rsid w:val="00185322"/>
    <w:rsid w:val="00186998"/>
    <w:rsid w:val="001906EC"/>
    <w:rsid w:val="00194545"/>
    <w:rsid w:val="00195576"/>
    <w:rsid w:val="001B5DC9"/>
    <w:rsid w:val="001B7D6F"/>
    <w:rsid w:val="001C4262"/>
    <w:rsid w:val="001D0E84"/>
    <w:rsid w:val="001D0FD0"/>
    <w:rsid w:val="001D18B4"/>
    <w:rsid w:val="001E6ED3"/>
    <w:rsid w:val="001E7279"/>
    <w:rsid w:val="001F1640"/>
    <w:rsid w:val="00200547"/>
    <w:rsid w:val="00207E7E"/>
    <w:rsid w:val="0021220F"/>
    <w:rsid w:val="00212473"/>
    <w:rsid w:val="002132E4"/>
    <w:rsid w:val="00217A2E"/>
    <w:rsid w:val="002279E7"/>
    <w:rsid w:val="002313BD"/>
    <w:rsid w:val="00235531"/>
    <w:rsid w:val="0023697A"/>
    <w:rsid w:val="002401E0"/>
    <w:rsid w:val="00243704"/>
    <w:rsid w:val="002509B6"/>
    <w:rsid w:val="002546C1"/>
    <w:rsid w:val="00260098"/>
    <w:rsid w:val="0027180F"/>
    <w:rsid w:val="002738C7"/>
    <w:rsid w:val="00286F3A"/>
    <w:rsid w:val="00292CB8"/>
    <w:rsid w:val="0029380C"/>
    <w:rsid w:val="002A2A79"/>
    <w:rsid w:val="002B03E4"/>
    <w:rsid w:val="002B5E25"/>
    <w:rsid w:val="002B7F12"/>
    <w:rsid w:val="002C58A0"/>
    <w:rsid w:val="002C6EB3"/>
    <w:rsid w:val="002D100C"/>
    <w:rsid w:val="002D18CC"/>
    <w:rsid w:val="002D5529"/>
    <w:rsid w:val="002D60B1"/>
    <w:rsid w:val="002E650B"/>
    <w:rsid w:val="002E682C"/>
    <w:rsid w:val="002F3297"/>
    <w:rsid w:val="002F33E8"/>
    <w:rsid w:val="00300C21"/>
    <w:rsid w:val="003078F7"/>
    <w:rsid w:val="003110E0"/>
    <w:rsid w:val="00314844"/>
    <w:rsid w:val="00315384"/>
    <w:rsid w:val="0032248A"/>
    <w:rsid w:val="00334A10"/>
    <w:rsid w:val="00335B8C"/>
    <w:rsid w:val="003478AA"/>
    <w:rsid w:val="0035028A"/>
    <w:rsid w:val="00354FE6"/>
    <w:rsid w:val="00367531"/>
    <w:rsid w:val="00370156"/>
    <w:rsid w:val="003722D5"/>
    <w:rsid w:val="0037550F"/>
    <w:rsid w:val="00375F11"/>
    <w:rsid w:val="003767CE"/>
    <w:rsid w:val="003845B5"/>
    <w:rsid w:val="0039269E"/>
    <w:rsid w:val="003956AD"/>
    <w:rsid w:val="003975B9"/>
    <w:rsid w:val="003A0ACE"/>
    <w:rsid w:val="003A2333"/>
    <w:rsid w:val="003A4871"/>
    <w:rsid w:val="003A6C59"/>
    <w:rsid w:val="003A7D2C"/>
    <w:rsid w:val="003B7009"/>
    <w:rsid w:val="003C1062"/>
    <w:rsid w:val="003C7E12"/>
    <w:rsid w:val="003D3A75"/>
    <w:rsid w:val="003E0ADD"/>
    <w:rsid w:val="003F22D4"/>
    <w:rsid w:val="00400DD1"/>
    <w:rsid w:val="00401F34"/>
    <w:rsid w:val="00405AED"/>
    <w:rsid w:val="00407123"/>
    <w:rsid w:val="00417FD2"/>
    <w:rsid w:val="004209A7"/>
    <w:rsid w:val="00436299"/>
    <w:rsid w:val="00443583"/>
    <w:rsid w:val="00451762"/>
    <w:rsid w:val="004530E9"/>
    <w:rsid w:val="00456EF1"/>
    <w:rsid w:val="00460794"/>
    <w:rsid w:val="00461BA6"/>
    <w:rsid w:val="004631F2"/>
    <w:rsid w:val="0046713E"/>
    <w:rsid w:val="00473026"/>
    <w:rsid w:val="00480A85"/>
    <w:rsid w:val="0048419E"/>
    <w:rsid w:val="004973A0"/>
    <w:rsid w:val="004A6E91"/>
    <w:rsid w:val="004A7A05"/>
    <w:rsid w:val="004B036F"/>
    <w:rsid w:val="004B21C7"/>
    <w:rsid w:val="004C2F70"/>
    <w:rsid w:val="004C55DF"/>
    <w:rsid w:val="004C655F"/>
    <w:rsid w:val="004C71BC"/>
    <w:rsid w:val="004C7222"/>
    <w:rsid w:val="004F773B"/>
    <w:rsid w:val="005001A7"/>
    <w:rsid w:val="00500A5E"/>
    <w:rsid w:val="00502696"/>
    <w:rsid w:val="00506FAC"/>
    <w:rsid w:val="005106AB"/>
    <w:rsid w:val="005114EC"/>
    <w:rsid w:val="00516B51"/>
    <w:rsid w:val="00520655"/>
    <w:rsid w:val="00520B76"/>
    <w:rsid w:val="005276E4"/>
    <w:rsid w:val="00527BD7"/>
    <w:rsid w:val="00527D77"/>
    <w:rsid w:val="0053348C"/>
    <w:rsid w:val="005355FA"/>
    <w:rsid w:val="00545112"/>
    <w:rsid w:val="00550702"/>
    <w:rsid w:val="00551EB3"/>
    <w:rsid w:val="0055262A"/>
    <w:rsid w:val="00552C32"/>
    <w:rsid w:val="00562E43"/>
    <w:rsid w:val="00567AC7"/>
    <w:rsid w:val="005705C4"/>
    <w:rsid w:val="00572855"/>
    <w:rsid w:val="00575257"/>
    <w:rsid w:val="00580576"/>
    <w:rsid w:val="005811EA"/>
    <w:rsid w:val="00583B6D"/>
    <w:rsid w:val="00586BE7"/>
    <w:rsid w:val="00587664"/>
    <w:rsid w:val="00593865"/>
    <w:rsid w:val="0059429C"/>
    <w:rsid w:val="005A0AAD"/>
    <w:rsid w:val="005A0CBD"/>
    <w:rsid w:val="005A47B0"/>
    <w:rsid w:val="005C0AE9"/>
    <w:rsid w:val="005C5A7E"/>
    <w:rsid w:val="005C701A"/>
    <w:rsid w:val="005D0FCC"/>
    <w:rsid w:val="005D1C78"/>
    <w:rsid w:val="005D205A"/>
    <w:rsid w:val="005E149B"/>
    <w:rsid w:val="005E2401"/>
    <w:rsid w:val="005E26D8"/>
    <w:rsid w:val="005E6D75"/>
    <w:rsid w:val="005E72A6"/>
    <w:rsid w:val="005F1F1A"/>
    <w:rsid w:val="005F56AB"/>
    <w:rsid w:val="00603693"/>
    <w:rsid w:val="00603F02"/>
    <w:rsid w:val="00610826"/>
    <w:rsid w:val="0061199B"/>
    <w:rsid w:val="00611C46"/>
    <w:rsid w:val="00622443"/>
    <w:rsid w:val="00625166"/>
    <w:rsid w:val="00625E67"/>
    <w:rsid w:val="0063285D"/>
    <w:rsid w:val="00632C9A"/>
    <w:rsid w:val="00642A32"/>
    <w:rsid w:val="00643E17"/>
    <w:rsid w:val="00647277"/>
    <w:rsid w:val="00661C8E"/>
    <w:rsid w:val="0066259C"/>
    <w:rsid w:val="00663C7A"/>
    <w:rsid w:val="0066657F"/>
    <w:rsid w:val="00671318"/>
    <w:rsid w:val="006838D1"/>
    <w:rsid w:val="00687459"/>
    <w:rsid w:val="006A4397"/>
    <w:rsid w:val="006B2AAF"/>
    <w:rsid w:val="006B692C"/>
    <w:rsid w:val="006C6B37"/>
    <w:rsid w:val="006D035B"/>
    <w:rsid w:val="006D44CE"/>
    <w:rsid w:val="006F60AB"/>
    <w:rsid w:val="00704EE0"/>
    <w:rsid w:val="00705A11"/>
    <w:rsid w:val="007070CB"/>
    <w:rsid w:val="0071023A"/>
    <w:rsid w:val="00710DB5"/>
    <w:rsid w:val="00712303"/>
    <w:rsid w:val="00712EB7"/>
    <w:rsid w:val="007228C8"/>
    <w:rsid w:val="00722C1D"/>
    <w:rsid w:val="00724E18"/>
    <w:rsid w:val="007312D1"/>
    <w:rsid w:val="007401BD"/>
    <w:rsid w:val="007434EE"/>
    <w:rsid w:val="00743732"/>
    <w:rsid w:val="00746ADC"/>
    <w:rsid w:val="007508ED"/>
    <w:rsid w:val="00752C42"/>
    <w:rsid w:val="00755AE3"/>
    <w:rsid w:val="00757C45"/>
    <w:rsid w:val="00762499"/>
    <w:rsid w:val="007640A2"/>
    <w:rsid w:val="007645F7"/>
    <w:rsid w:val="00765CA8"/>
    <w:rsid w:val="00766FAC"/>
    <w:rsid w:val="00770383"/>
    <w:rsid w:val="00773EE6"/>
    <w:rsid w:val="00774017"/>
    <w:rsid w:val="00782DD2"/>
    <w:rsid w:val="0078599A"/>
    <w:rsid w:val="00785AF2"/>
    <w:rsid w:val="00792CC6"/>
    <w:rsid w:val="00796DB4"/>
    <w:rsid w:val="007A4778"/>
    <w:rsid w:val="007A5524"/>
    <w:rsid w:val="007A5CE8"/>
    <w:rsid w:val="007A74D1"/>
    <w:rsid w:val="007B0CC2"/>
    <w:rsid w:val="007B0E81"/>
    <w:rsid w:val="007B43EF"/>
    <w:rsid w:val="007B556C"/>
    <w:rsid w:val="007B6E32"/>
    <w:rsid w:val="007C1659"/>
    <w:rsid w:val="007C2821"/>
    <w:rsid w:val="007C6A51"/>
    <w:rsid w:val="007D24E5"/>
    <w:rsid w:val="007D5A5D"/>
    <w:rsid w:val="007E0839"/>
    <w:rsid w:val="007E2D67"/>
    <w:rsid w:val="007E560C"/>
    <w:rsid w:val="007E5CBE"/>
    <w:rsid w:val="007F17D1"/>
    <w:rsid w:val="007F2CE0"/>
    <w:rsid w:val="008003D9"/>
    <w:rsid w:val="00801066"/>
    <w:rsid w:val="008047F3"/>
    <w:rsid w:val="00805BFA"/>
    <w:rsid w:val="00817464"/>
    <w:rsid w:val="0081749E"/>
    <w:rsid w:val="008277C1"/>
    <w:rsid w:val="00827FCE"/>
    <w:rsid w:val="00831A4C"/>
    <w:rsid w:val="00835E7B"/>
    <w:rsid w:val="00846E25"/>
    <w:rsid w:val="008545D3"/>
    <w:rsid w:val="00856852"/>
    <w:rsid w:val="0086378F"/>
    <w:rsid w:val="0086527B"/>
    <w:rsid w:val="0086595A"/>
    <w:rsid w:val="0087021C"/>
    <w:rsid w:val="00874876"/>
    <w:rsid w:val="0087510F"/>
    <w:rsid w:val="0087556A"/>
    <w:rsid w:val="00875CF7"/>
    <w:rsid w:val="008A0270"/>
    <w:rsid w:val="008A0ACF"/>
    <w:rsid w:val="008A31A1"/>
    <w:rsid w:val="008A36D6"/>
    <w:rsid w:val="008A54DA"/>
    <w:rsid w:val="008B25D2"/>
    <w:rsid w:val="008C07A3"/>
    <w:rsid w:val="008C0D37"/>
    <w:rsid w:val="008C1E07"/>
    <w:rsid w:val="008C40F8"/>
    <w:rsid w:val="008C6BA2"/>
    <w:rsid w:val="008C795C"/>
    <w:rsid w:val="008D24BB"/>
    <w:rsid w:val="008D3AF3"/>
    <w:rsid w:val="008D54A3"/>
    <w:rsid w:val="008E14FA"/>
    <w:rsid w:val="008E1A43"/>
    <w:rsid w:val="008E1F96"/>
    <w:rsid w:val="008E23FA"/>
    <w:rsid w:val="008E4224"/>
    <w:rsid w:val="008E6310"/>
    <w:rsid w:val="008E6982"/>
    <w:rsid w:val="008F0256"/>
    <w:rsid w:val="008F187B"/>
    <w:rsid w:val="008F193B"/>
    <w:rsid w:val="008F5FDE"/>
    <w:rsid w:val="008F653F"/>
    <w:rsid w:val="00901865"/>
    <w:rsid w:val="009025E6"/>
    <w:rsid w:val="00902EC3"/>
    <w:rsid w:val="00907F17"/>
    <w:rsid w:val="00912344"/>
    <w:rsid w:val="009160CF"/>
    <w:rsid w:val="00916C70"/>
    <w:rsid w:val="00931DB9"/>
    <w:rsid w:val="00933F4A"/>
    <w:rsid w:val="00935315"/>
    <w:rsid w:val="00936D75"/>
    <w:rsid w:val="00943937"/>
    <w:rsid w:val="00944FE1"/>
    <w:rsid w:val="00945ADB"/>
    <w:rsid w:val="00952B73"/>
    <w:rsid w:val="009607C5"/>
    <w:rsid w:val="0096141C"/>
    <w:rsid w:val="00971232"/>
    <w:rsid w:val="00975465"/>
    <w:rsid w:val="00976B3D"/>
    <w:rsid w:val="00981125"/>
    <w:rsid w:val="00983C00"/>
    <w:rsid w:val="00983C4C"/>
    <w:rsid w:val="00986BB7"/>
    <w:rsid w:val="009953D0"/>
    <w:rsid w:val="00996716"/>
    <w:rsid w:val="009A3CAA"/>
    <w:rsid w:val="009A5AD5"/>
    <w:rsid w:val="009A71D6"/>
    <w:rsid w:val="009B05EC"/>
    <w:rsid w:val="009B0BC0"/>
    <w:rsid w:val="009B1533"/>
    <w:rsid w:val="009C180D"/>
    <w:rsid w:val="009C53A5"/>
    <w:rsid w:val="009C6B05"/>
    <w:rsid w:val="009D321B"/>
    <w:rsid w:val="009D680F"/>
    <w:rsid w:val="009E4082"/>
    <w:rsid w:val="009E474D"/>
    <w:rsid w:val="009E5F6E"/>
    <w:rsid w:val="009F4B66"/>
    <w:rsid w:val="009F5629"/>
    <w:rsid w:val="009F5B71"/>
    <w:rsid w:val="009F5E63"/>
    <w:rsid w:val="00A01014"/>
    <w:rsid w:val="00A0170D"/>
    <w:rsid w:val="00A0275A"/>
    <w:rsid w:val="00A20897"/>
    <w:rsid w:val="00A21151"/>
    <w:rsid w:val="00A3117F"/>
    <w:rsid w:val="00A33E31"/>
    <w:rsid w:val="00A416E9"/>
    <w:rsid w:val="00A42280"/>
    <w:rsid w:val="00A4632A"/>
    <w:rsid w:val="00A51403"/>
    <w:rsid w:val="00A55C86"/>
    <w:rsid w:val="00A6400A"/>
    <w:rsid w:val="00A73932"/>
    <w:rsid w:val="00A8509C"/>
    <w:rsid w:val="00A85343"/>
    <w:rsid w:val="00A85D6E"/>
    <w:rsid w:val="00A86E2B"/>
    <w:rsid w:val="00A8790B"/>
    <w:rsid w:val="00AB3463"/>
    <w:rsid w:val="00AB5894"/>
    <w:rsid w:val="00AC261B"/>
    <w:rsid w:val="00AD17FC"/>
    <w:rsid w:val="00AD570F"/>
    <w:rsid w:val="00AE0C06"/>
    <w:rsid w:val="00AE66BA"/>
    <w:rsid w:val="00AF22F1"/>
    <w:rsid w:val="00AF3DEB"/>
    <w:rsid w:val="00B01CAD"/>
    <w:rsid w:val="00B11C9A"/>
    <w:rsid w:val="00B14B8E"/>
    <w:rsid w:val="00B14C9F"/>
    <w:rsid w:val="00B260E1"/>
    <w:rsid w:val="00B262B0"/>
    <w:rsid w:val="00B26569"/>
    <w:rsid w:val="00B32071"/>
    <w:rsid w:val="00B3609E"/>
    <w:rsid w:val="00B474A7"/>
    <w:rsid w:val="00B53941"/>
    <w:rsid w:val="00B540BA"/>
    <w:rsid w:val="00B577AC"/>
    <w:rsid w:val="00B61841"/>
    <w:rsid w:val="00B70D0A"/>
    <w:rsid w:val="00B7200E"/>
    <w:rsid w:val="00B755EE"/>
    <w:rsid w:val="00B75D50"/>
    <w:rsid w:val="00B8031C"/>
    <w:rsid w:val="00B842D4"/>
    <w:rsid w:val="00B84868"/>
    <w:rsid w:val="00B848D3"/>
    <w:rsid w:val="00B849F3"/>
    <w:rsid w:val="00B8533E"/>
    <w:rsid w:val="00B87B89"/>
    <w:rsid w:val="00B92575"/>
    <w:rsid w:val="00B92D40"/>
    <w:rsid w:val="00B96337"/>
    <w:rsid w:val="00BA1579"/>
    <w:rsid w:val="00BB372A"/>
    <w:rsid w:val="00BB5CB1"/>
    <w:rsid w:val="00BB6E2D"/>
    <w:rsid w:val="00BB6E6B"/>
    <w:rsid w:val="00BC20EC"/>
    <w:rsid w:val="00BC39B6"/>
    <w:rsid w:val="00BC4F9D"/>
    <w:rsid w:val="00BD442C"/>
    <w:rsid w:val="00BE50B2"/>
    <w:rsid w:val="00BF023C"/>
    <w:rsid w:val="00BF4CE3"/>
    <w:rsid w:val="00BF55A1"/>
    <w:rsid w:val="00C02E9F"/>
    <w:rsid w:val="00C0365E"/>
    <w:rsid w:val="00C039FF"/>
    <w:rsid w:val="00C041FB"/>
    <w:rsid w:val="00C048ED"/>
    <w:rsid w:val="00C04E63"/>
    <w:rsid w:val="00C05376"/>
    <w:rsid w:val="00C05D91"/>
    <w:rsid w:val="00C076D7"/>
    <w:rsid w:val="00C11F3A"/>
    <w:rsid w:val="00C132F9"/>
    <w:rsid w:val="00C14319"/>
    <w:rsid w:val="00C16482"/>
    <w:rsid w:val="00C22CCB"/>
    <w:rsid w:val="00C23F17"/>
    <w:rsid w:val="00C35FFE"/>
    <w:rsid w:val="00C36921"/>
    <w:rsid w:val="00C42503"/>
    <w:rsid w:val="00C515FD"/>
    <w:rsid w:val="00C547D6"/>
    <w:rsid w:val="00C54CF5"/>
    <w:rsid w:val="00C55032"/>
    <w:rsid w:val="00C600E6"/>
    <w:rsid w:val="00C60E5E"/>
    <w:rsid w:val="00C654F9"/>
    <w:rsid w:val="00C66515"/>
    <w:rsid w:val="00C72016"/>
    <w:rsid w:val="00C725E4"/>
    <w:rsid w:val="00C8241B"/>
    <w:rsid w:val="00C8278E"/>
    <w:rsid w:val="00C84842"/>
    <w:rsid w:val="00C86E0F"/>
    <w:rsid w:val="00C87369"/>
    <w:rsid w:val="00CA4AD1"/>
    <w:rsid w:val="00CA630D"/>
    <w:rsid w:val="00CB1D49"/>
    <w:rsid w:val="00CC245C"/>
    <w:rsid w:val="00CD0B5E"/>
    <w:rsid w:val="00CD1EFB"/>
    <w:rsid w:val="00CD67C8"/>
    <w:rsid w:val="00CD68A0"/>
    <w:rsid w:val="00CD759F"/>
    <w:rsid w:val="00CE2209"/>
    <w:rsid w:val="00CE296D"/>
    <w:rsid w:val="00CE65B6"/>
    <w:rsid w:val="00CE6771"/>
    <w:rsid w:val="00CF6CB2"/>
    <w:rsid w:val="00D033D7"/>
    <w:rsid w:val="00D03EF5"/>
    <w:rsid w:val="00D205BF"/>
    <w:rsid w:val="00D21BEC"/>
    <w:rsid w:val="00D33398"/>
    <w:rsid w:val="00D3380F"/>
    <w:rsid w:val="00D35FA9"/>
    <w:rsid w:val="00D455F8"/>
    <w:rsid w:val="00D4562D"/>
    <w:rsid w:val="00D507F0"/>
    <w:rsid w:val="00D52C15"/>
    <w:rsid w:val="00D70495"/>
    <w:rsid w:val="00D74250"/>
    <w:rsid w:val="00D82029"/>
    <w:rsid w:val="00D83C92"/>
    <w:rsid w:val="00D85FBE"/>
    <w:rsid w:val="00D92ACA"/>
    <w:rsid w:val="00D95AAB"/>
    <w:rsid w:val="00DA1D73"/>
    <w:rsid w:val="00DA24D3"/>
    <w:rsid w:val="00DA252B"/>
    <w:rsid w:val="00DA28C9"/>
    <w:rsid w:val="00DA58EB"/>
    <w:rsid w:val="00DB468C"/>
    <w:rsid w:val="00DC4863"/>
    <w:rsid w:val="00DC61C6"/>
    <w:rsid w:val="00DD37C1"/>
    <w:rsid w:val="00DD71E9"/>
    <w:rsid w:val="00DE4930"/>
    <w:rsid w:val="00DE4E93"/>
    <w:rsid w:val="00DE5788"/>
    <w:rsid w:val="00DF56D9"/>
    <w:rsid w:val="00DF65C7"/>
    <w:rsid w:val="00E032A2"/>
    <w:rsid w:val="00E108E3"/>
    <w:rsid w:val="00E14C18"/>
    <w:rsid w:val="00E236B2"/>
    <w:rsid w:val="00E263CD"/>
    <w:rsid w:val="00E30B85"/>
    <w:rsid w:val="00E3304B"/>
    <w:rsid w:val="00E4564C"/>
    <w:rsid w:val="00E45A43"/>
    <w:rsid w:val="00E52084"/>
    <w:rsid w:val="00E56517"/>
    <w:rsid w:val="00E569EA"/>
    <w:rsid w:val="00E6577A"/>
    <w:rsid w:val="00E722A2"/>
    <w:rsid w:val="00E73C33"/>
    <w:rsid w:val="00E827EC"/>
    <w:rsid w:val="00E84FAD"/>
    <w:rsid w:val="00E87AC7"/>
    <w:rsid w:val="00E904CD"/>
    <w:rsid w:val="00E929B4"/>
    <w:rsid w:val="00E93847"/>
    <w:rsid w:val="00E97541"/>
    <w:rsid w:val="00EA47F8"/>
    <w:rsid w:val="00EB0E96"/>
    <w:rsid w:val="00EB0FAF"/>
    <w:rsid w:val="00EB1041"/>
    <w:rsid w:val="00EC4ABF"/>
    <w:rsid w:val="00EC68E2"/>
    <w:rsid w:val="00ED47EF"/>
    <w:rsid w:val="00ED6289"/>
    <w:rsid w:val="00ED6374"/>
    <w:rsid w:val="00EE0561"/>
    <w:rsid w:val="00EE0816"/>
    <w:rsid w:val="00EE17AE"/>
    <w:rsid w:val="00EE48EF"/>
    <w:rsid w:val="00EE7F14"/>
    <w:rsid w:val="00EF0095"/>
    <w:rsid w:val="00EF216A"/>
    <w:rsid w:val="00EF26B6"/>
    <w:rsid w:val="00EF488F"/>
    <w:rsid w:val="00EF5B8A"/>
    <w:rsid w:val="00EF7445"/>
    <w:rsid w:val="00F0187F"/>
    <w:rsid w:val="00F01D6C"/>
    <w:rsid w:val="00F021C6"/>
    <w:rsid w:val="00F023B9"/>
    <w:rsid w:val="00F04410"/>
    <w:rsid w:val="00F044B9"/>
    <w:rsid w:val="00F1543E"/>
    <w:rsid w:val="00F16FBF"/>
    <w:rsid w:val="00F24009"/>
    <w:rsid w:val="00F26490"/>
    <w:rsid w:val="00F26D2E"/>
    <w:rsid w:val="00F26E9A"/>
    <w:rsid w:val="00F33313"/>
    <w:rsid w:val="00F3641A"/>
    <w:rsid w:val="00F40AD1"/>
    <w:rsid w:val="00F40F4E"/>
    <w:rsid w:val="00F46F18"/>
    <w:rsid w:val="00F519AA"/>
    <w:rsid w:val="00F56FE8"/>
    <w:rsid w:val="00F62913"/>
    <w:rsid w:val="00F71AA0"/>
    <w:rsid w:val="00F726CE"/>
    <w:rsid w:val="00F76FFA"/>
    <w:rsid w:val="00F8007E"/>
    <w:rsid w:val="00F80462"/>
    <w:rsid w:val="00F846D3"/>
    <w:rsid w:val="00F84896"/>
    <w:rsid w:val="00F90D57"/>
    <w:rsid w:val="00F94502"/>
    <w:rsid w:val="00F95345"/>
    <w:rsid w:val="00FA07CD"/>
    <w:rsid w:val="00FA1147"/>
    <w:rsid w:val="00FA1724"/>
    <w:rsid w:val="00FA3ED2"/>
    <w:rsid w:val="00FA7C59"/>
    <w:rsid w:val="00FB5A1E"/>
    <w:rsid w:val="00FC4DEB"/>
    <w:rsid w:val="00FD6303"/>
    <w:rsid w:val="00FE028F"/>
    <w:rsid w:val="00FE0F0D"/>
    <w:rsid w:val="00FE2769"/>
    <w:rsid w:val="00FE7F8D"/>
    <w:rsid w:val="00FF2E16"/>
    <w:rsid w:val="03EB7EDE"/>
    <w:rsid w:val="05FB3FCB"/>
    <w:rsid w:val="06925059"/>
    <w:rsid w:val="075F3828"/>
    <w:rsid w:val="0BC95829"/>
    <w:rsid w:val="0E81124B"/>
    <w:rsid w:val="0EF136E7"/>
    <w:rsid w:val="0FBA2F81"/>
    <w:rsid w:val="0FC6166D"/>
    <w:rsid w:val="11B17F14"/>
    <w:rsid w:val="1A7A5DFE"/>
    <w:rsid w:val="1CF7634D"/>
    <w:rsid w:val="216F5A2F"/>
    <w:rsid w:val="256065E1"/>
    <w:rsid w:val="263F01CE"/>
    <w:rsid w:val="26AC1152"/>
    <w:rsid w:val="2D7944A7"/>
    <w:rsid w:val="30AA3FD2"/>
    <w:rsid w:val="32DA39E9"/>
    <w:rsid w:val="335331C4"/>
    <w:rsid w:val="343B25C7"/>
    <w:rsid w:val="34EE5970"/>
    <w:rsid w:val="353820E0"/>
    <w:rsid w:val="35BD2339"/>
    <w:rsid w:val="3D4C17A1"/>
    <w:rsid w:val="3ED8173B"/>
    <w:rsid w:val="3FD37E18"/>
    <w:rsid w:val="44D06643"/>
    <w:rsid w:val="44EA211C"/>
    <w:rsid w:val="4D9F3510"/>
    <w:rsid w:val="4DAB729C"/>
    <w:rsid w:val="5133063D"/>
    <w:rsid w:val="51356733"/>
    <w:rsid w:val="52766056"/>
    <w:rsid w:val="53414172"/>
    <w:rsid w:val="5483675F"/>
    <w:rsid w:val="57844525"/>
    <w:rsid w:val="58017371"/>
    <w:rsid w:val="58245323"/>
    <w:rsid w:val="584C5A0A"/>
    <w:rsid w:val="62243A32"/>
    <w:rsid w:val="63F95413"/>
    <w:rsid w:val="64FB48DA"/>
    <w:rsid w:val="65D43A20"/>
    <w:rsid w:val="662A5FF7"/>
    <w:rsid w:val="6A1862EE"/>
    <w:rsid w:val="6B606921"/>
    <w:rsid w:val="6DFC200B"/>
    <w:rsid w:val="6E4DE92C"/>
    <w:rsid w:val="6F45301C"/>
    <w:rsid w:val="6F7F7F47"/>
    <w:rsid w:val="72A6724F"/>
    <w:rsid w:val="7A143712"/>
    <w:rsid w:val="7E870653"/>
    <w:rsid w:val="7FEA716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3"/>
    <w:qFormat/>
    <w:uiPriority w:val="9"/>
    <w:pPr>
      <w:keepNext/>
      <w:keepLines/>
      <w:spacing w:before="340" w:after="330" w:line="578" w:lineRule="auto"/>
      <w:outlineLvl w:val="0"/>
    </w:pPr>
    <w:rPr>
      <w:b/>
      <w:bCs/>
      <w:kern w:val="44"/>
      <w:sz w:val="44"/>
      <w:szCs w:val="44"/>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link w:val="18"/>
    <w:semiHidden/>
    <w:unhideWhenUsed/>
    <w:qFormat/>
    <w:uiPriority w:val="99"/>
    <w:pPr>
      <w:jc w:val="left"/>
    </w:pPr>
  </w:style>
  <w:style w:type="paragraph" w:styleId="4">
    <w:name w:val="Balloon Text"/>
    <w:basedOn w:val="1"/>
    <w:link w:val="17"/>
    <w:semiHidden/>
    <w:unhideWhenUsed/>
    <w:qFormat/>
    <w:uiPriority w:val="99"/>
    <w:rPr>
      <w:sz w:val="18"/>
      <w:szCs w:val="18"/>
    </w:rPr>
  </w:style>
  <w:style w:type="paragraph" w:styleId="5">
    <w:name w:val="footer"/>
    <w:basedOn w:val="1"/>
    <w:link w:val="16"/>
    <w:unhideWhenUsed/>
    <w:qFormat/>
    <w:uiPriority w:val="99"/>
    <w:pPr>
      <w:tabs>
        <w:tab w:val="center" w:pos="4153"/>
        <w:tab w:val="right" w:pos="8306"/>
      </w:tabs>
      <w:snapToGrid w:val="0"/>
      <w:jc w:val="left"/>
    </w:pPr>
    <w:rPr>
      <w:sz w:val="18"/>
      <w:szCs w:val="18"/>
    </w:rPr>
  </w:style>
  <w:style w:type="paragraph" w:styleId="6">
    <w:name w:val="header"/>
    <w:basedOn w:val="1"/>
    <w:link w:val="15"/>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annotation subject"/>
    <w:basedOn w:val="3"/>
    <w:next w:val="3"/>
    <w:link w:val="19"/>
    <w:semiHidden/>
    <w:unhideWhenUsed/>
    <w:qFormat/>
    <w:uiPriority w:val="99"/>
    <w:rPr>
      <w:b/>
      <w:bCs/>
    </w:rPr>
  </w:style>
  <w:style w:type="table" w:styleId="9">
    <w:name w:val="Table Grid"/>
    <w:basedOn w:val="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annotation reference"/>
    <w:basedOn w:val="10"/>
    <w:semiHidden/>
    <w:unhideWhenUsed/>
    <w:qFormat/>
    <w:uiPriority w:val="99"/>
    <w:rPr>
      <w:sz w:val="21"/>
      <w:szCs w:val="21"/>
    </w:rPr>
  </w:style>
  <w:style w:type="paragraph" w:customStyle="1" w:styleId="12">
    <w:name w:val="Default"/>
    <w:qFormat/>
    <w:uiPriority w:val="0"/>
    <w:pPr>
      <w:widowControl w:val="0"/>
      <w:autoSpaceDE w:val="0"/>
      <w:autoSpaceDN w:val="0"/>
      <w:adjustRightInd w:val="0"/>
    </w:pPr>
    <w:rPr>
      <w:rFonts w:ascii="宋体" w:eastAsia="宋体" w:cs="宋体" w:hAnsiTheme="minorHAnsi"/>
      <w:color w:val="000000"/>
      <w:kern w:val="0"/>
      <w:sz w:val="24"/>
      <w:szCs w:val="24"/>
      <w:lang w:val="en-US" w:eastAsia="zh-CN" w:bidi="ar-SA"/>
    </w:rPr>
  </w:style>
  <w:style w:type="character" w:customStyle="1" w:styleId="13">
    <w:name w:val="标题 1 字符"/>
    <w:basedOn w:val="10"/>
    <w:link w:val="2"/>
    <w:qFormat/>
    <w:uiPriority w:val="9"/>
    <w:rPr>
      <w:b/>
      <w:bCs/>
      <w:kern w:val="44"/>
      <w:sz w:val="44"/>
      <w:szCs w:val="44"/>
    </w:rPr>
  </w:style>
  <w:style w:type="paragraph" w:styleId="14">
    <w:name w:val="No Spacing"/>
    <w:qFormat/>
    <w:uiPriority w:val="1"/>
    <w:pPr>
      <w:widowControl w:val="0"/>
      <w:jc w:val="both"/>
    </w:pPr>
    <w:rPr>
      <w:rFonts w:asciiTheme="minorHAnsi" w:hAnsiTheme="minorHAnsi" w:eastAsiaTheme="minorEastAsia" w:cstheme="minorBidi"/>
      <w:kern w:val="2"/>
      <w:sz w:val="21"/>
      <w:szCs w:val="22"/>
      <w:lang w:val="en-US" w:eastAsia="zh-CN" w:bidi="ar-SA"/>
    </w:rPr>
  </w:style>
  <w:style w:type="character" w:customStyle="1" w:styleId="15">
    <w:name w:val="页眉 字符"/>
    <w:basedOn w:val="10"/>
    <w:link w:val="6"/>
    <w:qFormat/>
    <w:uiPriority w:val="99"/>
    <w:rPr>
      <w:sz w:val="18"/>
      <w:szCs w:val="18"/>
    </w:rPr>
  </w:style>
  <w:style w:type="character" w:customStyle="1" w:styleId="16">
    <w:name w:val="页脚 字符"/>
    <w:basedOn w:val="10"/>
    <w:link w:val="5"/>
    <w:qFormat/>
    <w:uiPriority w:val="99"/>
    <w:rPr>
      <w:sz w:val="18"/>
      <w:szCs w:val="18"/>
    </w:rPr>
  </w:style>
  <w:style w:type="character" w:customStyle="1" w:styleId="17">
    <w:name w:val="批注框文本 字符"/>
    <w:basedOn w:val="10"/>
    <w:link w:val="4"/>
    <w:semiHidden/>
    <w:qFormat/>
    <w:uiPriority w:val="99"/>
    <w:rPr>
      <w:sz w:val="18"/>
      <w:szCs w:val="18"/>
    </w:rPr>
  </w:style>
  <w:style w:type="character" w:customStyle="1" w:styleId="18">
    <w:name w:val="批注文字 字符"/>
    <w:basedOn w:val="10"/>
    <w:link w:val="3"/>
    <w:semiHidden/>
    <w:qFormat/>
    <w:uiPriority w:val="99"/>
  </w:style>
  <w:style w:type="character" w:customStyle="1" w:styleId="19">
    <w:name w:val="批注主题 字符"/>
    <w:basedOn w:val="18"/>
    <w:link w:val="7"/>
    <w:semiHidden/>
    <w:qFormat/>
    <w:uiPriority w:val="99"/>
    <w:rPr>
      <w:b/>
      <w:bCs/>
    </w:rPr>
  </w:style>
  <w:style w:type="paragraph" w:customStyle="1" w:styleId="20">
    <w:name w:val="Revision"/>
    <w:hidden/>
    <w:semiHidden/>
    <w:qFormat/>
    <w:uiPriority w:val="99"/>
    <w:rPr>
      <w:rFonts w:asciiTheme="minorHAnsi" w:hAnsiTheme="minorHAnsi" w:eastAsiaTheme="minorEastAsia" w:cstheme="minorBidi"/>
      <w:kern w:val="2"/>
      <w:sz w:val="21"/>
      <w:szCs w:val="22"/>
      <w:lang w:val="en-US" w:eastAsia="zh-CN"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1</Pages>
  <Words>215</Words>
  <Characters>1230</Characters>
  <Lines>10</Lines>
  <Paragraphs>2</Paragraphs>
  <TotalTime>0</TotalTime>
  <ScaleCrop>false</ScaleCrop>
  <LinksUpToDate>false</LinksUpToDate>
  <CharactersWithSpaces>1443</CharactersWithSpaces>
  <Application>WPS Office_12.1.2.26885_F1E327BC-269C-435d-A152-05C5408002CA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2021-03-02T15:11:00Z</dcterms:created>
  <dc:creator>王郧</dc:creator>
  <cp:lastModifiedBy>chenjy814</cp:lastModifiedBy>
  <dcterms:modified xsi:type="dcterms:W3CDTF">2026-09-21T15:12:53Z</dcterms:modified>
  <cp:revision>22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2052-12.1.2.26885</vt:lpwstr>
  </property>
  <property fmtid="{D5CDD505-2E9C-101B-9397-08002B2CF9AE}" pid="3" name="ICV">
    <vt:lpwstr>259EA2AC3514490CB4C0479694C8DA9B_13</vt:lpwstr>
  </property>
</Properties>
</file>