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9380A">
      <w:pPr>
        <w:rPr>
          <w:rFonts w:hint="eastAsia"/>
          <w:sz w:val="30"/>
          <w:szCs w:val="30"/>
        </w:rPr>
      </w:pPr>
      <w:bookmarkStart w:id="0" w:name="OLE_LINK2"/>
      <w:bookmarkStart w:id="1" w:name="OLE_LINK1"/>
    </w:p>
    <w:p w14:paraId="335071BA">
      <w:pPr>
        <w:rPr>
          <w:sz w:val="30"/>
          <w:szCs w:val="30"/>
        </w:rPr>
      </w:pPr>
    </w:p>
    <w:p w14:paraId="759B590A">
      <w:pPr>
        <w:rPr>
          <w:sz w:val="30"/>
          <w:szCs w:val="30"/>
        </w:rPr>
      </w:pPr>
    </w:p>
    <w:p w14:paraId="59128826">
      <w:pPr>
        <w:rPr>
          <w:sz w:val="30"/>
          <w:szCs w:val="30"/>
        </w:rPr>
      </w:pPr>
    </w:p>
    <w:p w14:paraId="7299D686">
      <w:pPr>
        <w:rPr>
          <w:sz w:val="30"/>
          <w:szCs w:val="30"/>
        </w:rPr>
      </w:pPr>
    </w:p>
    <w:p w14:paraId="19BB9DAC">
      <w:pPr>
        <w:adjustRightInd w:val="0"/>
        <w:snapToGrid w:val="0"/>
        <w:spacing w:line="360" w:lineRule="auto"/>
        <w:jc w:val="center"/>
        <w:outlineLvl w:val="0"/>
        <w:rPr>
          <w:rFonts w:ascii="Arial" w:cs="Arial"/>
          <w:b/>
          <w:sz w:val="44"/>
          <w:szCs w:val="44"/>
        </w:rPr>
      </w:pPr>
      <w:r>
        <w:rPr>
          <w:rFonts w:hint="eastAsia" w:ascii="Arial" w:cs="Arial"/>
          <w:b/>
          <w:sz w:val="44"/>
          <w:szCs w:val="44"/>
          <w:lang w:eastAsia="zh-CN"/>
        </w:rPr>
        <w:t>博时恒生港股通红利低波动交易型开放式指数证券投资基金</w:t>
      </w:r>
      <w:r>
        <w:rPr>
          <w:rFonts w:hint="eastAsia" w:ascii="Arial" w:cs="Arial"/>
          <w:b/>
          <w:sz w:val="44"/>
          <w:szCs w:val="44"/>
        </w:rPr>
        <w:t>基金</w:t>
      </w:r>
      <w:r>
        <w:rPr>
          <w:rFonts w:ascii="Arial" w:cs="Arial"/>
          <w:b/>
          <w:sz w:val="44"/>
          <w:szCs w:val="44"/>
        </w:rPr>
        <w:t>份额发售公告</w:t>
      </w:r>
    </w:p>
    <w:p w14:paraId="46A93288">
      <w:pPr>
        <w:rPr>
          <w:sz w:val="30"/>
          <w:szCs w:val="30"/>
        </w:rPr>
      </w:pPr>
    </w:p>
    <w:p w14:paraId="769D0C2A">
      <w:pPr>
        <w:rPr>
          <w:sz w:val="30"/>
          <w:szCs w:val="30"/>
        </w:rPr>
      </w:pPr>
    </w:p>
    <w:p w14:paraId="26971F5A">
      <w:pPr>
        <w:rPr>
          <w:sz w:val="30"/>
          <w:szCs w:val="30"/>
        </w:rPr>
      </w:pPr>
    </w:p>
    <w:p w14:paraId="4C124F30">
      <w:pPr>
        <w:rPr>
          <w:sz w:val="30"/>
          <w:szCs w:val="30"/>
        </w:rPr>
      </w:pPr>
    </w:p>
    <w:p w14:paraId="0EA1E3BD">
      <w:pPr>
        <w:rPr>
          <w:sz w:val="30"/>
          <w:szCs w:val="30"/>
        </w:rPr>
      </w:pPr>
    </w:p>
    <w:p w14:paraId="2E10B162">
      <w:pPr>
        <w:rPr>
          <w:sz w:val="30"/>
          <w:szCs w:val="30"/>
        </w:rPr>
      </w:pPr>
    </w:p>
    <w:p w14:paraId="4F9175AF">
      <w:pPr>
        <w:rPr>
          <w:rFonts w:hint="eastAsia"/>
          <w:sz w:val="30"/>
          <w:szCs w:val="30"/>
        </w:rPr>
      </w:pPr>
    </w:p>
    <w:p w14:paraId="74DC14FB">
      <w:pPr>
        <w:rPr>
          <w:rFonts w:hint="eastAsia"/>
          <w:sz w:val="30"/>
          <w:szCs w:val="30"/>
        </w:rPr>
      </w:pPr>
    </w:p>
    <w:p w14:paraId="58A83561">
      <w:pPr>
        <w:rPr>
          <w:sz w:val="30"/>
          <w:szCs w:val="30"/>
        </w:rPr>
      </w:pPr>
    </w:p>
    <w:p w14:paraId="00A6CE95">
      <w:pPr>
        <w:rPr>
          <w:sz w:val="30"/>
          <w:szCs w:val="30"/>
        </w:rPr>
      </w:pPr>
    </w:p>
    <w:p w14:paraId="72695581">
      <w:pPr>
        <w:adjustRightInd w:val="0"/>
        <w:snapToGrid w:val="0"/>
        <w:spacing w:line="360" w:lineRule="auto"/>
        <w:jc w:val="center"/>
        <w:rPr>
          <w:rFonts w:hint="eastAsia"/>
        </w:rPr>
      </w:pPr>
      <w:r>
        <w:drawing>
          <wp:inline distT="0" distB="0" distL="114300" distR="114300">
            <wp:extent cx="1680210" cy="305435"/>
            <wp:effectExtent l="0" t="0" r="15240" b="18415"/>
            <wp:docPr id="1" name="图片 1" descr="组合logo-修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组合logo-修改"/>
                    <pic:cNvPicPr>
                      <a:picLocks noChangeAspect="1"/>
                    </pic:cNvPicPr>
                  </pic:nvPicPr>
                  <pic:blipFill>
                    <a:blip r:embed="rId8"/>
                    <a:stretch>
                      <a:fillRect/>
                    </a:stretch>
                  </pic:blipFill>
                  <pic:spPr>
                    <a:xfrm>
                      <a:off x="0" y="0"/>
                      <a:ext cx="1680210" cy="305435"/>
                    </a:xfrm>
                    <a:prstGeom prst="rect">
                      <a:avLst/>
                    </a:prstGeom>
                    <a:noFill/>
                    <a:ln>
                      <a:noFill/>
                    </a:ln>
                  </pic:spPr>
                </pic:pic>
              </a:graphicData>
            </a:graphic>
          </wp:inline>
        </w:drawing>
      </w:r>
    </w:p>
    <w:p w14:paraId="2633F429">
      <w:pPr>
        <w:adjustRightInd w:val="0"/>
        <w:snapToGrid w:val="0"/>
        <w:spacing w:line="360" w:lineRule="auto"/>
        <w:jc w:val="center"/>
        <w:rPr>
          <w:rFonts w:hint="eastAsia" w:ascii="Arial" w:cs="Arial"/>
          <w:b/>
          <w:sz w:val="30"/>
          <w:szCs w:val="30"/>
        </w:rPr>
      </w:pPr>
      <w:r>
        <w:rPr>
          <w:rFonts w:hint="eastAsia" w:ascii="Arial" w:cs="Arial"/>
          <w:b/>
          <w:sz w:val="30"/>
          <w:szCs w:val="30"/>
        </w:rPr>
        <w:t>基金管理人：</w:t>
      </w:r>
      <w:r>
        <w:rPr>
          <w:rFonts w:ascii="Arial" w:cs="Arial"/>
          <w:b/>
          <w:sz w:val="30"/>
          <w:szCs w:val="30"/>
        </w:rPr>
        <w:t>博时基金管理有限公司</w:t>
      </w:r>
    </w:p>
    <w:p w14:paraId="6ADC7C82">
      <w:pPr>
        <w:adjustRightInd w:val="0"/>
        <w:snapToGrid w:val="0"/>
        <w:spacing w:line="360" w:lineRule="auto"/>
        <w:jc w:val="center"/>
        <w:rPr>
          <w:rFonts w:hint="eastAsia" w:ascii="Arial" w:cs="Arial"/>
          <w:b/>
          <w:sz w:val="30"/>
          <w:szCs w:val="30"/>
        </w:rPr>
      </w:pPr>
      <w:r>
        <w:rPr>
          <w:rFonts w:hint="eastAsia" w:ascii="Arial" w:cs="Arial"/>
          <w:b/>
          <w:sz w:val="30"/>
          <w:szCs w:val="30"/>
        </w:rPr>
        <w:t>基金托管人：</w:t>
      </w:r>
      <w:r>
        <w:rPr>
          <w:rFonts w:hint="eastAsia" w:ascii="Arial" w:cs="Arial"/>
          <w:b/>
          <w:sz w:val="30"/>
          <w:szCs w:val="30"/>
          <w:lang w:eastAsia="zh-CN"/>
        </w:rPr>
        <w:t>广发银行</w:t>
      </w:r>
      <w:r>
        <w:rPr>
          <w:rFonts w:hint="eastAsia" w:ascii="Arial" w:cs="Arial"/>
          <w:b/>
          <w:sz w:val="30"/>
          <w:szCs w:val="30"/>
        </w:rPr>
        <w:t>股份有限公司</w:t>
      </w:r>
    </w:p>
    <w:p w14:paraId="1FE4626D">
      <w:pPr>
        <w:adjustRightInd w:val="0"/>
        <w:snapToGrid w:val="0"/>
        <w:spacing w:line="360" w:lineRule="auto"/>
        <w:rPr>
          <w:rFonts w:ascii="Arial" w:hAnsi="Arial" w:cs="Arial"/>
        </w:rPr>
      </w:pPr>
    </w:p>
    <w:p w14:paraId="6CB1E4F6">
      <w:pPr>
        <w:adjustRightInd w:val="0"/>
        <w:snapToGrid w:val="0"/>
        <w:spacing w:line="360" w:lineRule="auto"/>
        <w:rPr>
          <w:rFonts w:ascii="Arial" w:hAnsi="Arial" w:cs="Arial"/>
        </w:rPr>
        <w:sectPr>
          <w:footerReference r:id="rId3" w:type="even"/>
          <w:pgSz w:w="11906" w:h="16838"/>
          <w:pgMar w:top="1247" w:right="1588" w:bottom="1247" w:left="1588" w:header="851" w:footer="992" w:gutter="0"/>
          <w:cols w:space="720" w:num="1"/>
          <w:docGrid w:type="lines" w:linePitch="312" w:charSpace="0"/>
        </w:sectPr>
      </w:pPr>
    </w:p>
    <w:p w14:paraId="252B04A6">
      <w:pPr>
        <w:adjustRightInd w:val="0"/>
        <w:snapToGrid w:val="0"/>
        <w:spacing w:line="360" w:lineRule="auto"/>
        <w:jc w:val="center"/>
        <w:rPr>
          <w:rFonts w:ascii="Arial" w:hAnsi="Arial" w:cs="Arial"/>
          <w:b/>
          <w:sz w:val="28"/>
        </w:rPr>
      </w:pPr>
    </w:p>
    <w:p w14:paraId="7F648906">
      <w:pPr>
        <w:adjustRightInd w:val="0"/>
        <w:snapToGrid w:val="0"/>
        <w:spacing w:line="360" w:lineRule="auto"/>
        <w:jc w:val="center"/>
        <w:rPr>
          <w:rFonts w:ascii="Arial" w:hAnsi="Arial" w:cs="Arial"/>
          <w:b/>
          <w:sz w:val="28"/>
        </w:rPr>
      </w:pPr>
      <w:r>
        <w:rPr>
          <w:rFonts w:ascii="Arial" w:hAnsi="Arial" w:cs="Arial"/>
          <w:b/>
          <w:sz w:val="28"/>
        </w:rPr>
        <w:t>目 录</w:t>
      </w:r>
    </w:p>
    <w:p w14:paraId="11F6FEF0">
      <w:pPr>
        <w:adjustRightInd w:val="0"/>
        <w:snapToGrid w:val="0"/>
        <w:spacing w:line="360" w:lineRule="auto"/>
        <w:jc w:val="center"/>
        <w:rPr>
          <w:rFonts w:ascii="Arial" w:hAnsi="Arial" w:cs="Arial"/>
          <w:b/>
          <w:sz w:val="28"/>
        </w:rPr>
      </w:pPr>
    </w:p>
    <w:p w14:paraId="1E921FBF">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TOC \o "1-3" \h \z </w:instrText>
      </w:r>
      <w:r>
        <w:rPr>
          <w:rFonts w:ascii="Arial" w:hAnsi="Arial" w:cs="Arial"/>
          <w:bCs/>
          <w:szCs w:val="21"/>
        </w:rPr>
        <w:fldChar w:fldCharType="separate"/>
      </w:r>
      <w:r>
        <w:rPr>
          <w:rFonts w:ascii="Arial" w:hAnsi="Arial" w:cs="Arial"/>
          <w:bCs/>
          <w:szCs w:val="21"/>
        </w:rPr>
        <w:fldChar w:fldCharType="begin"/>
      </w:r>
      <w:r>
        <w:rPr>
          <w:rFonts w:ascii="Arial" w:hAnsi="Arial" w:cs="Arial"/>
          <w:bCs/>
          <w:szCs w:val="21"/>
        </w:rPr>
        <w:instrText xml:space="preserve"> HYPERLINK \l _Toc32096 </w:instrText>
      </w:r>
      <w:r>
        <w:rPr>
          <w:rFonts w:ascii="Arial" w:hAnsi="Arial" w:cs="Arial"/>
          <w:bCs/>
          <w:szCs w:val="21"/>
        </w:rPr>
        <w:fldChar w:fldCharType="separate"/>
      </w:r>
      <w:r>
        <w:rPr>
          <w:rFonts w:ascii="Arial" w:hAnsi="Arial" w:cs="Arial"/>
        </w:rPr>
        <w:t>重要提示</w:t>
      </w:r>
      <w:r>
        <w:tab/>
      </w:r>
      <w:r>
        <w:fldChar w:fldCharType="begin"/>
      </w:r>
      <w:r>
        <w:instrText xml:space="preserve"> PAGEREF _Toc32096 \h </w:instrText>
      </w:r>
      <w:r>
        <w:fldChar w:fldCharType="separate"/>
      </w:r>
      <w:r>
        <w:t>1</w:t>
      </w:r>
      <w:r>
        <w:fldChar w:fldCharType="end"/>
      </w:r>
      <w:r>
        <w:rPr>
          <w:rFonts w:ascii="Arial" w:hAnsi="Arial" w:cs="Arial"/>
          <w:bCs/>
          <w:szCs w:val="21"/>
        </w:rPr>
        <w:fldChar w:fldCharType="end"/>
      </w:r>
    </w:p>
    <w:p w14:paraId="53AEDF3F">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_Toc26942 </w:instrText>
      </w:r>
      <w:r>
        <w:rPr>
          <w:rFonts w:ascii="Arial" w:hAnsi="Arial" w:cs="Arial"/>
          <w:bCs/>
          <w:szCs w:val="21"/>
        </w:rPr>
        <w:fldChar w:fldCharType="separate"/>
      </w:r>
      <w:r>
        <w:rPr>
          <w:rFonts w:ascii="Arial" w:hAnsi="Arial" w:cs="Arial"/>
        </w:rPr>
        <w:t>一、本次发售基本情况</w:t>
      </w:r>
      <w:r>
        <w:tab/>
      </w:r>
      <w:r>
        <w:fldChar w:fldCharType="begin"/>
      </w:r>
      <w:r>
        <w:instrText xml:space="preserve"> PAGEREF _Toc26942 \h </w:instrText>
      </w:r>
      <w:r>
        <w:fldChar w:fldCharType="separate"/>
      </w:r>
      <w:r>
        <w:t>5</w:t>
      </w:r>
      <w:r>
        <w:fldChar w:fldCharType="end"/>
      </w:r>
      <w:r>
        <w:rPr>
          <w:rFonts w:ascii="Arial" w:hAnsi="Arial" w:cs="Arial"/>
          <w:bCs/>
          <w:szCs w:val="21"/>
        </w:rPr>
        <w:fldChar w:fldCharType="end"/>
      </w:r>
    </w:p>
    <w:p w14:paraId="4D957CF7">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_Toc26068 </w:instrText>
      </w:r>
      <w:r>
        <w:rPr>
          <w:rFonts w:ascii="Arial" w:hAnsi="Arial" w:cs="Arial"/>
          <w:bCs/>
          <w:szCs w:val="21"/>
        </w:rPr>
        <w:fldChar w:fldCharType="separate"/>
      </w:r>
      <w:r>
        <w:rPr>
          <w:rFonts w:hint="eastAsia" w:ascii="Arial" w:hAnsi="Arial" w:cs="Arial"/>
        </w:rPr>
        <w:t>二</w:t>
      </w:r>
      <w:r>
        <w:rPr>
          <w:rFonts w:ascii="Arial" w:hAnsi="Arial" w:cs="Arial"/>
        </w:rPr>
        <w:t>、投资者开户</w:t>
      </w:r>
      <w:r>
        <w:tab/>
      </w:r>
      <w:r>
        <w:fldChar w:fldCharType="begin"/>
      </w:r>
      <w:r>
        <w:instrText xml:space="preserve"> PAGEREF _Toc26068 \h </w:instrText>
      </w:r>
      <w:r>
        <w:fldChar w:fldCharType="separate"/>
      </w:r>
      <w:r>
        <w:t>9</w:t>
      </w:r>
      <w:r>
        <w:fldChar w:fldCharType="end"/>
      </w:r>
      <w:r>
        <w:rPr>
          <w:rFonts w:ascii="Arial" w:hAnsi="Arial" w:cs="Arial"/>
          <w:bCs/>
          <w:szCs w:val="21"/>
        </w:rPr>
        <w:fldChar w:fldCharType="end"/>
      </w:r>
    </w:p>
    <w:p w14:paraId="34DA48EE">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_Toc32562 </w:instrText>
      </w:r>
      <w:r>
        <w:rPr>
          <w:rFonts w:ascii="Arial" w:hAnsi="Arial" w:cs="Arial"/>
          <w:bCs/>
          <w:szCs w:val="21"/>
        </w:rPr>
        <w:fldChar w:fldCharType="separate"/>
      </w:r>
      <w:r>
        <w:rPr>
          <w:rFonts w:hint="eastAsia" w:ascii="Arial" w:hAnsi="Arial" w:cs="Arial"/>
        </w:rPr>
        <w:t>三</w:t>
      </w:r>
      <w:r>
        <w:rPr>
          <w:rFonts w:ascii="Arial" w:hAnsi="Arial" w:cs="Arial"/>
        </w:rPr>
        <w:t>、网上现金认购的程序</w:t>
      </w:r>
      <w:r>
        <w:tab/>
      </w:r>
      <w:r>
        <w:fldChar w:fldCharType="begin"/>
      </w:r>
      <w:r>
        <w:instrText xml:space="preserve"> PAGEREF _Toc32562 \h </w:instrText>
      </w:r>
      <w:r>
        <w:fldChar w:fldCharType="separate"/>
      </w:r>
      <w:r>
        <w:t>10</w:t>
      </w:r>
      <w:r>
        <w:fldChar w:fldCharType="end"/>
      </w:r>
      <w:r>
        <w:rPr>
          <w:rFonts w:ascii="Arial" w:hAnsi="Arial" w:cs="Arial"/>
          <w:bCs/>
          <w:szCs w:val="21"/>
        </w:rPr>
        <w:fldChar w:fldCharType="end"/>
      </w:r>
    </w:p>
    <w:p w14:paraId="4233EF74">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_Toc22186 </w:instrText>
      </w:r>
      <w:r>
        <w:rPr>
          <w:rFonts w:ascii="Arial" w:hAnsi="Arial" w:cs="Arial"/>
          <w:bCs/>
          <w:szCs w:val="21"/>
        </w:rPr>
        <w:fldChar w:fldCharType="separate"/>
      </w:r>
      <w:r>
        <w:rPr>
          <w:rFonts w:hint="eastAsia" w:ascii="Arial" w:hAnsi="Arial" w:cs="Arial"/>
        </w:rPr>
        <w:t>四</w:t>
      </w:r>
      <w:r>
        <w:rPr>
          <w:rFonts w:ascii="Arial" w:hAnsi="Arial" w:cs="Arial"/>
        </w:rPr>
        <w:t>、网下现金认购的程序</w:t>
      </w:r>
      <w:r>
        <w:tab/>
      </w:r>
      <w:r>
        <w:fldChar w:fldCharType="begin"/>
      </w:r>
      <w:r>
        <w:instrText xml:space="preserve"> PAGEREF _Toc22186 \h </w:instrText>
      </w:r>
      <w:r>
        <w:fldChar w:fldCharType="separate"/>
      </w:r>
      <w:r>
        <w:t>11</w:t>
      </w:r>
      <w:r>
        <w:fldChar w:fldCharType="end"/>
      </w:r>
      <w:r>
        <w:rPr>
          <w:rFonts w:ascii="Arial" w:hAnsi="Arial" w:cs="Arial"/>
          <w:bCs/>
          <w:szCs w:val="21"/>
        </w:rPr>
        <w:fldChar w:fldCharType="end"/>
      </w:r>
    </w:p>
    <w:p w14:paraId="7E3729E3">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_Toc12988 </w:instrText>
      </w:r>
      <w:r>
        <w:rPr>
          <w:rFonts w:ascii="Arial" w:hAnsi="Arial" w:cs="Arial"/>
          <w:bCs/>
          <w:szCs w:val="21"/>
        </w:rPr>
        <w:fldChar w:fldCharType="separate"/>
      </w:r>
      <w:r>
        <w:rPr>
          <w:rFonts w:hint="eastAsia" w:ascii="Arial" w:hAnsi="Arial" w:cs="Arial"/>
        </w:rPr>
        <w:t>五</w:t>
      </w:r>
      <w:r>
        <w:rPr>
          <w:rFonts w:ascii="Arial" w:hAnsi="Arial" w:cs="Arial"/>
        </w:rPr>
        <w:t>、清算与交割</w:t>
      </w:r>
      <w:r>
        <w:tab/>
      </w:r>
      <w:r>
        <w:fldChar w:fldCharType="begin"/>
      </w:r>
      <w:r>
        <w:instrText xml:space="preserve"> PAGEREF _Toc12988 \h </w:instrText>
      </w:r>
      <w:r>
        <w:fldChar w:fldCharType="separate"/>
      </w:r>
      <w:r>
        <w:t>14</w:t>
      </w:r>
      <w:r>
        <w:fldChar w:fldCharType="end"/>
      </w:r>
      <w:r>
        <w:rPr>
          <w:rFonts w:ascii="Arial" w:hAnsi="Arial" w:cs="Arial"/>
          <w:bCs/>
          <w:szCs w:val="21"/>
        </w:rPr>
        <w:fldChar w:fldCharType="end"/>
      </w:r>
    </w:p>
    <w:p w14:paraId="2918D100">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_Toc20355 </w:instrText>
      </w:r>
      <w:r>
        <w:rPr>
          <w:rFonts w:ascii="Arial" w:hAnsi="Arial" w:cs="Arial"/>
          <w:bCs/>
          <w:szCs w:val="21"/>
        </w:rPr>
        <w:fldChar w:fldCharType="separate"/>
      </w:r>
      <w:r>
        <w:rPr>
          <w:rFonts w:hint="eastAsia" w:ascii="Arial" w:hAnsi="Arial" w:cs="Arial"/>
        </w:rPr>
        <w:t>六</w:t>
      </w:r>
      <w:r>
        <w:rPr>
          <w:rFonts w:ascii="Arial" w:hAnsi="Arial" w:cs="Arial"/>
        </w:rPr>
        <w:t>、基金的验资与基金合同生效</w:t>
      </w:r>
      <w:r>
        <w:tab/>
      </w:r>
      <w:r>
        <w:fldChar w:fldCharType="begin"/>
      </w:r>
      <w:r>
        <w:instrText xml:space="preserve"> PAGEREF _Toc20355 \h </w:instrText>
      </w:r>
      <w:r>
        <w:fldChar w:fldCharType="separate"/>
      </w:r>
      <w:r>
        <w:t>15</w:t>
      </w:r>
      <w:r>
        <w:fldChar w:fldCharType="end"/>
      </w:r>
      <w:r>
        <w:rPr>
          <w:rFonts w:ascii="Arial" w:hAnsi="Arial" w:cs="Arial"/>
          <w:bCs/>
          <w:szCs w:val="21"/>
        </w:rPr>
        <w:fldChar w:fldCharType="end"/>
      </w:r>
    </w:p>
    <w:p w14:paraId="7A7982D4">
      <w:pPr>
        <w:pStyle w:val="21"/>
        <w:tabs>
          <w:tab w:val="right" w:leader="dot" w:pos="8312"/>
        </w:tabs>
        <w:adjustRightInd w:val="0"/>
        <w:snapToGrid w:val="0"/>
        <w:spacing w:line="360" w:lineRule="auto"/>
      </w:pPr>
      <w:r>
        <w:rPr>
          <w:rFonts w:ascii="Arial" w:hAnsi="Arial" w:cs="Arial"/>
          <w:bCs/>
          <w:szCs w:val="21"/>
        </w:rPr>
        <w:fldChar w:fldCharType="begin"/>
      </w:r>
      <w:r>
        <w:rPr>
          <w:rFonts w:ascii="Arial" w:hAnsi="Arial" w:cs="Arial"/>
          <w:bCs/>
          <w:szCs w:val="21"/>
        </w:rPr>
        <w:instrText xml:space="preserve"> HYPERLINK \l _Toc7397 </w:instrText>
      </w:r>
      <w:r>
        <w:rPr>
          <w:rFonts w:ascii="Arial" w:hAnsi="Arial" w:cs="Arial"/>
          <w:bCs/>
          <w:szCs w:val="21"/>
        </w:rPr>
        <w:fldChar w:fldCharType="separate"/>
      </w:r>
      <w:r>
        <w:rPr>
          <w:rFonts w:ascii="Arial" w:hAnsi="Arial" w:cs="Arial"/>
        </w:rPr>
        <w:t>七、本次发售当事人或中介机构</w:t>
      </w:r>
      <w:r>
        <w:tab/>
      </w:r>
      <w:r>
        <w:fldChar w:fldCharType="begin"/>
      </w:r>
      <w:r>
        <w:instrText xml:space="preserve"> PAGEREF _Toc7397 \h </w:instrText>
      </w:r>
      <w:r>
        <w:fldChar w:fldCharType="separate"/>
      </w:r>
      <w:r>
        <w:t>16</w:t>
      </w:r>
      <w:r>
        <w:fldChar w:fldCharType="end"/>
      </w:r>
      <w:r>
        <w:rPr>
          <w:rFonts w:ascii="Arial" w:hAnsi="Arial" w:cs="Arial"/>
          <w:bCs/>
          <w:szCs w:val="21"/>
        </w:rPr>
        <w:fldChar w:fldCharType="end"/>
      </w:r>
    </w:p>
    <w:p w14:paraId="75DA8602">
      <w:pPr>
        <w:adjustRightInd w:val="0"/>
        <w:snapToGrid w:val="0"/>
        <w:spacing w:line="360" w:lineRule="auto"/>
        <w:jc w:val="center"/>
        <w:rPr>
          <w:rFonts w:hint="eastAsia" w:ascii="Arial" w:hAnsi="Arial" w:cs="Arial"/>
          <w:b/>
        </w:rPr>
      </w:pPr>
      <w:r>
        <w:rPr>
          <w:rFonts w:ascii="Arial" w:hAnsi="Arial" w:cs="Arial"/>
          <w:bCs/>
          <w:szCs w:val="21"/>
        </w:rPr>
        <w:fldChar w:fldCharType="end"/>
      </w:r>
    </w:p>
    <w:p w14:paraId="75705B28">
      <w:pPr>
        <w:adjustRightInd w:val="0"/>
        <w:snapToGrid w:val="0"/>
        <w:spacing w:line="360" w:lineRule="auto"/>
        <w:jc w:val="center"/>
        <w:rPr>
          <w:rFonts w:ascii="Arial" w:hAnsi="Arial" w:cs="Arial"/>
          <w:b/>
        </w:rPr>
        <w:sectPr>
          <w:headerReference r:id="rId4" w:type="default"/>
          <w:footerReference r:id="rId5" w:type="default"/>
          <w:pgSz w:w="11906" w:h="16838"/>
          <w:pgMar w:top="1440" w:right="1797" w:bottom="1440" w:left="1797" w:header="851" w:footer="851" w:gutter="0"/>
          <w:cols w:space="720" w:num="1"/>
          <w:docGrid w:type="lines" w:linePitch="312" w:charSpace="0"/>
        </w:sectPr>
      </w:pPr>
    </w:p>
    <w:p w14:paraId="7CC60EC3">
      <w:pPr>
        <w:pStyle w:val="2"/>
        <w:snapToGrid w:val="0"/>
        <w:spacing w:before="0" w:after="0"/>
        <w:textAlignment w:val="auto"/>
        <w:rPr>
          <w:rFonts w:ascii="Arial" w:hAnsi="Arial" w:eastAsia="宋体" w:cs="Arial"/>
          <w:b/>
          <w:sz w:val="21"/>
        </w:rPr>
      </w:pPr>
      <w:bookmarkStart w:id="2" w:name="_Toc522521888"/>
      <w:bookmarkStart w:id="3" w:name="_Toc7770"/>
      <w:bookmarkStart w:id="4" w:name="_Toc32096"/>
      <w:r>
        <w:rPr>
          <w:rFonts w:ascii="Arial" w:hAnsi="Arial" w:eastAsia="宋体" w:cs="Arial"/>
          <w:b/>
          <w:sz w:val="21"/>
        </w:rPr>
        <w:t>重要提示</w:t>
      </w:r>
      <w:bookmarkEnd w:id="2"/>
      <w:bookmarkEnd w:id="3"/>
      <w:bookmarkEnd w:id="4"/>
    </w:p>
    <w:p w14:paraId="5BF6EAA3">
      <w:pPr>
        <w:numPr>
          <w:ilvl w:val="0"/>
          <w:numId w:val="0"/>
        </w:numPr>
        <w:autoSpaceDE w:val="0"/>
        <w:autoSpaceDN w:val="0"/>
        <w:adjustRightInd w:val="0"/>
        <w:snapToGrid w:val="0"/>
        <w:spacing w:line="360" w:lineRule="auto"/>
        <w:ind w:firstLine="420" w:firstLineChars="200"/>
        <w:rPr>
          <w:rFonts w:hint="eastAsia" w:ascii="宋体" w:hAnsi="宋体" w:cs="宋体"/>
        </w:rPr>
      </w:pPr>
      <w:r>
        <w:rPr>
          <w:rFonts w:hint="eastAsia" w:ascii="宋体" w:hAnsi="宋体" w:cs="Arial"/>
          <w:lang w:val="en-US" w:eastAsia="zh-CN"/>
        </w:rPr>
        <w:t>1、</w:t>
      </w:r>
      <w:r>
        <w:rPr>
          <w:rFonts w:hint="eastAsia" w:ascii="宋体" w:hAnsi="宋体" w:cs="Arial"/>
        </w:rPr>
        <w:t>博时恒生港股通</w:t>
      </w:r>
      <w:r>
        <w:rPr>
          <w:rFonts w:hint="eastAsia" w:ascii="宋体" w:hAnsi="宋体" w:cs="Arial"/>
          <w:lang w:val="en-US" w:eastAsia="zh-CN"/>
        </w:rPr>
        <w:t>高股息</w:t>
      </w:r>
      <w:r>
        <w:rPr>
          <w:rFonts w:hint="eastAsia" w:ascii="宋体" w:hAnsi="宋体" w:cs="Arial"/>
        </w:rPr>
        <w:t>低波动交易型开放式指数证券投资基金根据20</w:t>
      </w:r>
      <w:r>
        <w:rPr>
          <w:rFonts w:hint="eastAsia" w:ascii="宋体" w:hAnsi="宋体" w:cs="Arial"/>
          <w:lang w:val="en-US" w:eastAsia="zh-CN"/>
        </w:rPr>
        <w:t>26</w:t>
      </w:r>
      <w:r>
        <w:rPr>
          <w:rFonts w:hint="eastAsia" w:ascii="宋体" w:hAnsi="宋体" w:cs="Arial"/>
        </w:rPr>
        <w:t>年</w:t>
      </w:r>
      <w:r>
        <w:rPr>
          <w:rFonts w:hint="eastAsia" w:ascii="宋体" w:hAnsi="宋体" w:cs="Arial"/>
          <w:lang w:val="en-US" w:eastAsia="zh-CN"/>
        </w:rPr>
        <w:t>7</w:t>
      </w:r>
      <w:r>
        <w:rPr>
          <w:rFonts w:hint="eastAsia" w:ascii="宋体" w:hAnsi="宋体" w:cs="Arial"/>
        </w:rPr>
        <w:t>月</w:t>
      </w:r>
      <w:r>
        <w:rPr>
          <w:rFonts w:hint="eastAsia" w:ascii="宋体" w:hAnsi="宋体" w:cs="Arial"/>
          <w:lang w:val="en-US" w:eastAsia="zh-CN"/>
        </w:rPr>
        <w:t>6</w:t>
      </w:r>
      <w:r>
        <w:rPr>
          <w:rFonts w:hint="eastAsia" w:ascii="宋体" w:hAnsi="宋体" w:cs="Arial"/>
        </w:rPr>
        <w:t>日中国证券监督管理委员会《关于准予博时恒生港股通</w:t>
      </w:r>
      <w:r>
        <w:rPr>
          <w:rFonts w:hint="eastAsia" w:ascii="宋体" w:hAnsi="宋体" w:cs="Arial"/>
          <w:lang w:val="en-US" w:eastAsia="zh-CN"/>
        </w:rPr>
        <w:t>高股息</w:t>
      </w:r>
      <w:r>
        <w:rPr>
          <w:rFonts w:hint="eastAsia" w:ascii="宋体" w:hAnsi="宋体" w:cs="Arial"/>
        </w:rPr>
        <w:t>低波动交易型开放式指数证券投资基金注册的批复》（证监许可[20</w:t>
      </w:r>
      <w:r>
        <w:rPr>
          <w:rFonts w:hint="eastAsia" w:ascii="宋体" w:hAnsi="宋体" w:cs="Arial"/>
          <w:lang w:val="en-US" w:eastAsia="zh-CN"/>
        </w:rPr>
        <w:t>26</w:t>
      </w:r>
      <w:r>
        <w:rPr>
          <w:rFonts w:hint="eastAsia" w:ascii="宋体" w:hAnsi="宋体" w:cs="Arial"/>
        </w:rPr>
        <w:t>]</w:t>
      </w:r>
      <w:r>
        <w:rPr>
          <w:rFonts w:hint="eastAsia" w:ascii="宋体" w:hAnsi="宋体" w:cs="Arial"/>
          <w:lang w:val="en-US" w:eastAsia="zh-CN"/>
        </w:rPr>
        <w:t>1664</w:t>
      </w:r>
      <w:r>
        <w:rPr>
          <w:rFonts w:hint="eastAsia" w:ascii="宋体" w:hAnsi="宋体" w:cs="Arial"/>
        </w:rPr>
        <w:t>号）准予注册，进行募集。</w:t>
      </w:r>
      <w:r>
        <w:rPr>
          <w:rFonts w:hint="eastAsia" w:ascii="宋体" w:hAnsi="宋体" w:eastAsia="宋体" w:cs="宋体"/>
          <w:bCs/>
          <w:szCs w:val="21"/>
          <w:highlight w:val="none"/>
          <w:lang w:eastAsia="zh-CN"/>
        </w:rPr>
        <w:t>20</w:t>
      </w:r>
      <w:r>
        <w:rPr>
          <w:rFonts w:hint="eastAsia" w:ascii="宋体" w:hAnsi="宋体" w:cs="宋体"/>
          <w:bCs/>
          <w:szCs w:val="21"/>
          <w:highlight w:val="none"/>
          <w:lang w:val="en-US" w:eastAsia="zh-CN"/>
        </w:rPr>
        <w:t>26</w:t>
      </w:r>
      <w:r>
        <w:rPr>
          <w:rFonts w:hint="eastAsia" w:ascii="宋体" w:hAnsi="宋体" w:eastAsia="宋体" w:cs="宋体"/>
          <w:bCs/>
          <w:szCs w:val="21"/>
          <w:highlight w:val="none"/>
          <w:lang w:eastAsia="zh-CN"/>
        </w:rPr>
        <w:t>年</w:t>
      </w:r>
      <w:r>
        <w:rPr>
          <w:rFonts w:hint="eastAsia" w:ascii="宋体" w:hAnsi="宋体" w:cs="宋体"/>
          <w:bCs/>
          <w:szCs w:val="21"/>
          <w:highlight w:val="none"/>
          <w:lang w:val="en-US" w:eastAsia="zh-CN"/>
        </w:rPr>
        <w:t>9</w:t>
      </w:r>
      <w:r>
        <w:rPr>
          <w:rFonts w:hint="eastAsia" w:ascii="宋体" w:hAnsi="宋体" w:eastAsia="宋体" w:cs="宋体"/>
          <w:bCs/>
          <w:szCs w:val="21"/>
          <w:highlight w:val="none"/>
          <w:lang w:eastAsia="zh-CN"/>
        </w:rPr>
        <w:t>月</w:t>
      </w:r>
      <w:r>
        <w:rPr>
          <w:rFonts w:hint="eastAsia" w:ascii="宋体" w:hAnsi="宋体" w:cs="宋体"/>
          <w:bCs/>
          <w:szCs w:val="21"/>
          <w:highlight w:val="none"/>
          <w:lang w:val="en-US" w:eastAsia="zh-CN"/>
        </w:rPr>
        <w:t>14</w:t>
      </w:r>
      <w:r>
        <w:rPr>
          <w:rFonts w:hint="eastAsia" w:ascii="宋体" w:hAnsi="宋体" w:eastAsia="宋体" w:cs="宋体"/>
          <w:bCs/>
          <w:szCs w:val="21"/>
          <w:highlight w:val="none"/>
          <w:lang w:eastAsia="zh-CN"/>
        </w:rPr>
        <w:t>日</w:t>
      </w:r>
      <w:r>
        <w:rPr>
          <w:rFonts w:hint="eastAsia" w:ascii="宋体" w:hAnsi="宋体" w:cs="宋体"/>
          <w:bCs/>
          <w:szCs w:val="21"/>
          <w:highlight w:val="none"/>
          <w:lang w:val="en-US" w:eastAsia="zh-CN"/>
        </w:rPr>
        <w:t>恒生指数有限公司</w:t>
      </w:r>
      <w:r>
        <w:rPr>
          <w:rFonts w:hint="eastAsia" w:ascii="宋体" w:hAnsi="宋体" w:eastAsia="宋体" w:cs="宋体"/>
          <w:bCs/>
          <w:szCs w:val="21"/>
          <w:highlight w:val="none"/>
          <w:lang w:eastAsia="zh-CN"/>
        </w:rPr>
        <w:t>将</w:t>
      </w:r>
      <w:r>
        <w:rPr>
          <w:rFonts w:hint="eastAsia" w:ascii="宋体" w:hAnsi="宋体" w:cs="Arial"/>
        </w:rPr>
        <w:t>恒生港股通</w:t>
      </w:r>
      <w:r>
        <w:rPr>
          <w:rFonts w:hint="eastAsia" w:ascii="宋体" w:hAnsi="宋体" w:cs="Arial"/>
          <w:lang w:val="en-US" w:eastAsia="zh-CN"/>
        </w:rPr>
        <w:t>高股息</w:t>
      </w:r>
      <w:r>
        <w:rPr>
          <w:rFonts w:hint="eastAsia" w:ascii="宋体" w:hAnsi="宋体" w:cs="Arial"/>
        </w:rPr>
        <w:t>低波动</w:t>
      </w:r>
      <w:r>
        <w:rPr>
          <w:rFonts w:hint="eastAsia" w:ascii="宋体" w:hAnsi="宋体" w:cs="Arial"/>
          <w:lang w:val="en-US" w:eastAsia="zh-CN"/>
        </w:rPr>
        <w:t>指数</w:t>
      </w:r>
      <w:r>
        <w:rPr>
          <w:rFonts w:hint="eastAsia" w:ascii="宋体" w:hAnsi="宋体" w:eastAsia="宋体" w:cs="宋体"/>
          <w:bCs/>
          <w:szCs w:val="21"/>
          <w:highlight w:val="none"/>
          <w:lang w:eastAsia="zh-CN"/>
        </w:rPr>
        <w:t>更名为</w:t>
      </w:r>
      <w:r>
        <w:rPr>
          <w:rFonts w:hint="eastAsia" w:ascii="宋体" w:hAnsi="宋体" w:cs="Arial"/>
        </w:rPr>
        <w:t>恒生港股通</w:t>
      </w:r>
      <w:r>
        <w:rPr>
          <w:rFonts w:hint="eastAsia" w:ascii="宋体" w:hAnsi="宋体" w:cs="Arial"/>
          <w:lang w:val="en-US" w:eastAsia="zh-CN"/>
        </w:rPr>
        <w:t>红利</w:t>
      </w:r>
      <w:r>
        <w:rPr>
          <w:rFonts w:hint="eastAsia" w:ascii="宋体" w:hAnsi="宋体" w:cs="Arial"/>
        </w:rPr>
        <w:t>低波动</w:t>
      </w:r>
      <w:r>
        <w:rPr>
          <w:rFonts w:hint="eastAsia" w:ascii="宋体" w:hAnsi="宋体" w:cs="Arial"/>
          <w:lang w:val="en-US" w:eastAsia="zh-CN"/>
        </w:rPr>
        <w:t>指数</w:t>
      </w:r>
      <w:r>
        <w:rPr>
          <w:rFonts w:hint="eastAsia" w:ascii="宋体" w:hAnsi="宋体" w:eastAsia="宋体" w:cs="宋体"/>
          <w:bCs/>
          <w:szCs w:val="21"/>
          <w:highlight w:val="none"/>
          <w:lang w:eastAsia="zh-CN"/>
        </w:rPr>
        <w:t>，经与基金托管人协商一致，</w:t>
      </w:r>
      <w:r>
        <w:rPr>
          <w:rFonts w:hint="eastAsia" w:ascii="宋体" w:hAnsi="宋体" w:cs="Arial"/>
        </w:rPr>
        <w:t>博时恒生港股通</w:t>
      </w:r>
      <w:r>
        <w:rPr>
          <w:rFonts w:hint="eastAsia" w:ascii="宋体" w:hAnsi="宋体" w:cs="Arial"/>
          <w:lang w:val="en-US" w:eastAsia="zh-CN"/>
        </w:rPr>
        <w:t>高股息</w:t>
      </w:r>
      <w:r>
        <w:rPr>
          <w:rFonts w:hint="eastAsia" w:ascii="宋体" w:hAnsi="宋体" w:cs="Arial"/>
        </w:rPr>
        <w:t>低波动交易型开放式指数证券投资基金</w:t>
      </w:r>
      <w:r>
        <w:rPr>
          <w:rFonts w:hint="eastAsia" w:ascii="宋体" w:hAnsi="宋体" w:eastAsia="宋体" w:cs="宋体"/>
          <w:bCs/>
          <w:szCs w:val="21"/>
          <w:highlight w:val="none"/>
          <w:lang w:eastAsia="zh-CN"/>
        </w:rPr>
        <w:t>更名为</w:t>
      </w:r>
      <w:r>
        <w:rPr>
          <w:rFonts w:hint="eastAsia" w:ascii="宋体" w:hAnsi="宋体" w:cs="Arial"/>
        </w:rPr>
        <w:t>博时恒生港股通</w:t>
      </w:r>
      <w:r>
        <w:rPr>
          <w:rFonts w:hint="eastAsia" w:ascii="宋体" w:hAnsi="宋体" w:cs="Arial"/>
          <w:lang w:val="en-US" w:eastAsia="zh-CN"/>
        </w:rPr>
        <w:t>红利</w:t>
      </w:r>
      <w:r>
        <w:rPr>
          <w:rFonts w:hint="eastAsia" w:ascii="宋体" w:hAnsi="宋体" w:cs="Arial"/>
        </w:rPr>
        <w:t>低波动交易型开放式指数证券投资基金</w:t>
      </w:r>
      <w:r>
        <w:rPr>
          <w:rFonts w:hint="eastAsia" w:ascii="宋体" w:hAnsi="宋体" w:eastAsia="宋体" w:cs="宋体"/>
          <w:bCs/>
          <w:szCs w:val="21"/>
          <w:highlight w:val="none"/>
          <w:lang w:eastAsia="zh-CN"/>
        </w:rPr>
        <w:t>(以下简称“本基金”)。</w:t>
      </w:r>
      <w:r>
        <w:rPr>
          <w:rFonts w:hint="eastAsia" w:ascii="宋体" w:hAnsi="宋体" w:cs="宋体"/>
        </w:rPr>
        <w:t>中国证券监督管理委员会（以下简称“中国证监会”）对本基金的募集准予注册并不代表中国证监会对本基金的风险和收益作出实质性判断、推荐或保证。</w:t>
      </w:r>
    </w:p>
    <w:p w14:paraId="393DCBBB">
      <w:pPr>
        <w:adjustRightInd w:val="0"/>
        <w:snapToGrid w:val="0"/>
        <w:spacing w:line="360" w:lineRule="auto"/>
        <w:ind w:firstLine="420" w:firstLineChars="200"/>
        <w:rPr>
          <w:rFonts w:hint="eastAsia" w:ascii="宋体" w:hAnsi="宋体" w:cs="宋体"/>
        </w:rPr>
      </w:pPr>
      <w:r>
        <w:rPr>
          <w:rFonts w:hint="eastAsia" w:ascii="宋体" w:hAnsi="宋体" w:cs="宋体"/>
        </w:rPr>
        <w:t>2、本基金的类别是股票型基金，运作方式为交易型开放式。</w:t>
      </w:r>
    </w:p>
    <w:p w14:paraId="1210F399">
      <w:pPr>
        <w:adjustRightInd w:val="0"/>
        <w:snapToGrid w:val="0"/>
        <w:spacing w:line="360" w:lineRule="auto"/>
        <w:ind w:firstLine="420" w:firstLineChars="200"/>
        <w:rPr>
          <w:rFonts w:hint="eastAsia" w:ascii="宋体" w:hAnsi="宋体" w:cs="宋体"/>
        </w:rPr>
      </w:pPr>
      <w:r>
        <w:rPr>
          <w:rFonts w:hint="eastAsia" w:ascii="宋体" w:hAnsi="宋体" w:cs="宋体"/>
        </w:rPr>
        <w:t>3、本基金的基金管理人为博时基金管理有限公司（以下简称“本公司”），基金托管人为</w:t>
      </w:r>
      <w:r>
        <w:rPr>
          <w:rFonts w:hint="eastAsia" w:ascii="宋体" w:hAnsi="宋体" w:cs="宋体"/>
          <w:lang w:eastAsia="zh-CN"/>
        </w:rPr>
        <w:t>广发银行</w:t>
      </w:r>
      <w:r>
        <w:rPr>
          <w:rFonts w:hint="eastAsia" w:ascii="宋体" w:hAnsi="宋体" w:cs="宋体"/>
        </w:rPr>
        <w:t>股份有限公司（以下简称“</w:t>
      </w:r>
      <w:r>
        <w:rPr>
          <w:rFonts w:hint="eastAsia" w:ascii="宋体" w:hAnsi="宋体" w:cs="宋体"/>
          <w:lang w:eastAsia="zh-CN"/>
        </w:rPr>
        <w:t>广发银行</w:t>
      </w:r>
      <w:r>
        <w:rPr>
          <w:rFonts w:hint="eastAsia" w:ascii="宋体" w:hAnsi="宋体" w:cs="宋体"/>
        </w:rPr>
        <w:t>”），本基金的登记机构为</w:t>
      </w:r>
      <w:bookmarkStart w:id="5" w:name="OLE_LINK13"/>
      <w:bookmarkStart w:id="6" w:name="OLE_LINK14"/>
      <w:r>
        <w:rPr>
          <w:rFonts w:hint="eastAsia" w:ascii="宋体" w:hAnsi="宋体" w:cs="宋体"/>
        </w:rPr>
        <w:t>中国证券登记结算有限责任公司</w:t>
      </w:r>
      <w:bookmarkEnd w:id="5"/>
      <w:bookmarkEnd w:id="6"/>
      <w:r>
        <w:rPr>
          <w:rFonts w:hint="eastAsia" w:ascii="宋体" w:hAnsi="宋体" w:cs="宋体"/>
        </w:rPr>
        <w:t>。</w:t>
      </w:r>
    </w:p>
    <w:p w14:paraId="1481FA66">
      <w:pPr>
        <w:adjustRightInd w:val="0"/>
        <w:snapToGrid w:val="0"/>
        <w:spacing w:line="360" w:lineRule="auto"/>
        <w:ind w:firstLine="420" w:firstLineChars="200"/>
        <w:rPr>
          <w:rFonts w:hint="eastAsia" w:ascii="宋体" w:hAnsi="宋体" w:cs="宋体"/>
        </w:rPr>
      </w:pPr>
      <w:r>
        <w:rPr>
          <w:rFonts w:hint="eastAsia" w:ascii="宋体" w:hAnsi="宋体" w:cs="宋体"/>
        </w:rPr>
        <w:t>4、本基金发售对象为符合法律法规规定的可投资于证券投资基金的个人投资者、机构投资者、合格境外投资者以及法律法规或中国证监会允许购买证券投资基金的其他投资人。</w:t>
      </w:r>
    </w:p>
    <w:p w14:paraId="34F009A5">
      <w:pPr>
        <w:adjustRightInd w:val="0"/>
        <w:snapToGrid w:val="0"/>
        <w:spacing w:line="360" w:lineRule="auto"/>
        <w:ind w:firstLine="420" w:firstLineChars="200"/>
        <w:rPr>
          <w:rFonts w:hint="eastAsia" w:ascii="宋体" w:hAnsi="宋体" w:cs="宋体"/>
          <w:szCs w:val="21"/>
        </w:rPr>
      </w:pPr>
      <w:r>
        <w:rPr>
          <w:rFonts w:hint="eastAsia" w:ascii="宋体" w:hAnsi="宋体" w:cs="宋体"/>
        </w:rPr>
        <w:t>5、投资者可选择网上现金认购、网下现金认购两种方式认购本基金。本基金网上现金认购是指投资人通过基金管理人指定的发售代理机构通过上海证券交易所网上系统以现金进行的认购</w:t>
      </w:r>
      <w:r>
        <w:rPr>
          <w:rFonts w:hint="eastAsia" w:ascii="宋体" w:hAnsi="宋体" w:cs="宋体"/>
          <w:szCs w:val="21"/>
        </w:rPr>
        <w:t>。网下现金认购是指投资人通过基金管理人及其指定的发售代理机构以现金进行的认购。</w:t>
      </w:r>
    </w:p>
    <w:p w14:paraId="6EE0C273">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rPr>
        <w:t>6、本基金自</w:t>
      </w:r>
      <w:r>
        <w:rPr>
          <w:rFonts w:hint="eastAsia" w:ascii="宋体" w:hAnsi="宋体" w:cs="宋体"/>
          <w:lang w:eastAsia="zh-CN"/>
        </w:rPr>
        <w:t>2026年10月12日起至2026年10月23日</w:t>
      </w:r>
      <w:r>
        <w:rPr>
          <w:rFonts w:hint="eastAsia" w:ascii="宋体" w:hAnsi="宋体" w:cs="宋体"/>
        </w:rPr>
        <w:t>通过销售机构公开发售。</w:t>
      </w:r>
      <w:r>
        <w:rPr>
          <w:rFonts w:hint="eastAsia" w:ascii="宋体" w:hAnsi="宋体" w:cs="宋体"/>
          <w:kern w:val="3"/>
        </w:rPr>
        <w:t>其中，</w:t>
      </w:r>
      <w:r>
        <w:rPr>
          <w:rFonts w:hint="eastAsia" w:ascii="宋体" w:hAnsi="宋体" w:cs="宋体"/>
        </w:rPr>
        <w:t>网下现金发售的日期为</w:t>
      </w:r>
      <w:r>
        <w:rPr>
          <w:rFonts w:hint="eastAsia" w:ascii="宋体" w:hAnsi="宋体" w:cs="宋体"/>
          <w:lang w:eastAsia="zh-CN"/>
        </w:rPr>
        <w:t>2026年10月12日起至2026年10月23日</w:t>
      </w:r>
      <w:r>
        <w:rPr>
          <w:rFonts w:hint="eastAsia" w:ascii="宋体" w:hAnsi="宋体" w:cs="宋体"/>
          <w:kern w:val="0"/>
          <w:szCs w:val="21"/>
        </w:rPr>
        <w:t>，</w:t>
      </w:r>
      <w:r>
        <w:rPr>
          <w:rFonts w:hint="eastAsia" w:ascii="宋体" w:hAnsi="宋体" w:cs="宋体"/>
        </w:rPr>
        <w:t>网上现金发售的日期为</w:t>
      </w:r>
      <w:r>
        <w:rPr>
          <w:rFonts w:hint="eastAsia" w:ascii="宋体" w:hAnsi="宋体" w:cs="宋体"/>
          <w:lang w:eastAsia="zh-CN"/>
        </w:rPr>
        <w:t>2026年10月12日起至2026年10月23日</w:t>
      </w:r>
      <w:r>
        <w:rPr>
          <w:rFonts w:hint="eastAsia" w:ascii="宋体" w:hAnsi="宋体" w:cs="宋体"/>
          <w:kern w:val="0"/>
          <w:szCs w:val="21"/>
        </w:rPr>
        <w:t>。如上海证券交易所对网上现金认购时间做出调整，我司将相应调整并及时公告。</w:t>
      </w:r>
      <w:r>
        <w:rPr>
          <w:rFonts w:hint="eastAsia" w:ascii="宋体" w:hAnsi="宋体" w:cs="宋体"/>
        </w:rPr>
        <w:t>本公司可根据基金销售情况适当延长或缩短基金发售时间，并及时公告</w:t>
      </w:r>
      <w:r>
        <w:rPr>
          <w:rFonts w:hint="eastAsia" w:ascii="宋体" w:hAnsi="宋体" w:cs="宋体"/>
          <w:kern w:val="0"/>
          <w:szCs w:val="21"/>
        </w:rPr>
        <w:t>。</w:t>
      </w:r>
    </w:p>
    <w:p w14:paraId="1A1CB496">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rPr>
        <w:t>7、投资者认购本基金时需具有上海证券账户，上海证券账户是指上海证券交易所A股账户或证券投资基金账户。上海</w:t>
      </w:r>
      <w:r>
        <w:rPr>
          <w:rFonts w:hint="eastAsia" w:ascii="宋体" w:hAnsi="宋体" w:cs="宋体"/>
        </w:rPr>
        <w:t>证券交易所证券投资基金账户只能进行基金的现金认购和二级市场交易，</w:t>
      </w:r>
      <w:r>
        <w:rPr>
          <w:rFonts w:hint="eastAsia" w:ascii="宋体" w:hAnsi="宋体" w:cs="宋体"/>
          <w:color w:val="000000"/>
          <w:szCs w:val="21"/>
        </w:rPr>
        <w:t>如投资者需要使用</w:t>
      </w:r>
      <w:r>
        <w:rPr>
          <w:rFonts w:hint="eastAsia" w:ascii="宋体" w:hAnsi="宋体" w:cs="宋体"/>
          <w:bCs/>
          <w:szCs w:val="21"/>
          <w:lang w:eastAsia="zh-CN"/>
        </w:rPr>
        <w:t>恒生港股通红利低波动指数</w:t>
      </w:r>
      <w:r>
        <w:rPr>
          <w:rFonts w:hint="eastAsia" w:ascii="宋体" w:hAnsi="宋体" w:cs="宋体"/>
          <w:color w:val="000000"/>
          <w:szCs w:val="21"/>
        </w:rPr>
        <w:t>成份股中的上海证券交易所上市股票参与基金份额的申购、赎回，则应开立上海证券交易所A股账户。</w:t>
      </w:r>
    </w:p>
    <w:p w14:paraId="7E8CA9AF">
      <w:pPr>
        <w:adjustRightInd w:val="0"/>
        <w:snapToGrid w:val="0"/>
        <w:spacing w:line="360" w:lineRule="auto"/>
        <w:ind w:firstLine="420" w:firstLineChars="200"/>
        <w:rPr>
          <w:rFonts w:hint="eastAsia" w:ascii="宋体" w:hAnsi="宋体" w:cs="宋体"/>
        </w:rPr>
      </w:pPr>
      <w:r>
        <w:rPr>
          <w:rFonts w:hint="eastAsia" w:ascii="宋体" w:hAnsi="宋体" w:cs="宋体"/>
          <w:color w:val="000000"/>
        </w:rPr>
        <w:t>8、</w:t>
      </w:r>
      <w:r>
        <w:rPr>
          <w:rFonts w:ascii="宋体" w:hAnsi="宋体" w:cs="Arial"/>
        </w:rPr>
        <w:t>通过</w:t>
      </w:r>
      <w:r>
        <w:rPr>
          <w:rFonts w:hint="eastAsia" w:ascii="宋体" w:hAnsi="宋体" w:cs="Arial"/>
        </w:rPr>
        <w:t>基金管理人</w:t>
      </w:r>
      <w:r>
        <w:rPr>
          <w:rFonts w:ascii="宋体" w:hAnsi="宋体" w:cs="Arial"/>
        </w:rPr>
        <w:t>进行网下现金认购的投资人，</w:t>
      </w:r>
      <w:r>
        <w:rPr>
          <w:rFonts w:hint="eastAsia" w:ascii="宋体" w:hAnsi="宋体" w:cs="Arial"/>
        </w:rPr>
        <w:t>不收取认购费用。</w:t>
      </w:r>
      <w:r>
        <w:rPr>
          <w:rFonts w:hint="eastAsia" w:ascii="宋体" w:hAnsi="宋体" w:cs="宋体"/>
          <w:color w:val="000000"/>
        </w:rPr>
        <w:t>发售代理机构办理网上现金认购、网下现金认购时可参照《</w:t>
      </w:r>
      <w:r>
        <w:rPr>
          <w:rFonts w:hint="eastAsia" w:ascii="宋体" w:hAnsi="宋体" w:cs="宋体"/>
          <w:bCs/>
          <w:szCs w:val="21"/>
          <w:lang w:eastAsia="zh-CN"/>
        </w:rPr>
        <w:t>博时恒生港股通红利低波动交易型开放式指数证券投资基金</w:t>
      </w:r>
      <w:r>
        <w:rPr>
          <w:rFonts w:hint="eastAsia" w:ascii="宋体" w:hAnsi="宋体" w:cs="宋体"/>
          <w:bCs/>
          <w:szCs w:val="21"/>
        </w:rPr>
        <w:t>招募说明书</w:t>
      </w:r>
      <w:r>
        <w:rPr>
          <w:rFonts w:hint="eastAsia" w:ascii="宋体" w:hAnsi="宋体" w:cs="宋体"/>
          <w:color w:val="000000"/>
        </w:rPr>
        <w:t>》收取一定的佣金。</w:t>
      </w:r>
    </w:p>
    <w:p w14:paraId="26F6F8BC">
      <w:pPr>
        <w:tabs>
          <w:tab w:val="left" w:pos="3780"/>
        </w:tabs>
        <w:autoSpaceDE w:val="0"/>
        <w:autoSpaceDN w:val="0"/>
        <w:adjustRightInd w:val="0"/>
        <w:snapToGrid w:val="0"/>
        <w:spacing w:line="360" w:lineRule="auto"/>
        <w:ind w:firstLine="420" w:firstLineChars="200"/>
        <w:rPr>
          <w:rFonts w:hint="eastAsia" w:ascii="宋体" w:hAnsi="宋体" w:cs="宋体"/>
        </w:rPr>
      </w:pPr>
      <w:r>
        <w:rPr>
          <w:rFonts w:hint="eastAsia" w:ascii="宋体" w:hAnsi="宋体" w:cs="宋体"/>
        </w:rPr>
        <w:t>9、</w:t>
      </w:r>
      <w:r>
        <w:rPr>
          <w:rFonts w:ascii="宋体" w:hAnsi="宋体" w:cs="Arial"/>
        </w:rPr>
        <w:t>网上现金认购以基金份额申请。单一账户每笔认购份额须为1000份或其整数倍。投资人可多次认购，累计认购份额不设上限</w:t>
      </w:r>
      <w:r>
        <w:rPr>
          <w:rFonts w:hint="eastAsia" w:ascii="宋体" w:hAnsi="宋体" w:cs="Arial"/>
        </w:rPr>
        <w:t>，但法律法规或监管要求另有规定或基金合同另有约定的除外</w:t>
      </w:r>
      <w:r>
        <w:rPr>
          <w:rFonts w:ascii="宋体" w:hAnsi="宋体" w:cs="Arial"/>
        </w:rPr>
        <w:t>。</w:t>
      </w:r>
    </w:p>
    <w:p w14:paraId="458AD8B1">
      <w:pPr>
        <w:adjustRightInd w:val="0"/>
        <w:snapToGrid w:val="0"/>
        <w:spacing w:line="360" w:lineRule="auto"/>
        <w:ind w:firstLine="420" w:firstLineChars="200"/>
        <w:rPr>
          <w:rFonts w:hint="eastAsia" w:ascii="宋体" w:hAnsi="宋体" w:cs="宋体"/>
        </w:rPr>
      </w:pPr>
      <w:r>
        <w:rPr>
          <w:rFonts w:ascii="宋体" w:hAnsi="宋体" w:cs="Arial"/>
        </w:rPr>
        <w:t>网下现金认购以基金份额申请。投资人通过发售代理机构办理网下现金认购的，每笔认购份额须为1000份或其整数倍；投资人通过基金管理人办理网下现金认购的，每笔认购份额须在</w:t>
      </w:r>
      <w:r>
        <w:rPr>
          <w:rFonts w:hint="eastAsia" w:ascii="宋体" w:hAnsi="宋体" w:cs="Arial"/>
        </w:rPr>
        <w:t>5</w:t>
      </w:r>
      <w:r>
        <w:rPr>
          <w:rFonts w:ascii="宋体" w:hAnsi="宋体" w:cs="Arial"/>
        </w:rPr>
        <w:t>万份以上（含</w:t>
      </w:r>
      <w:r>
        <w:rPr>
          <w:rFonts w:hint="eastAsia" w:ascii="宋体" w:hAnsi="宋体" w:cs="Arial"/>
        </w:rPr>
        <w:t>5</w:t>
      </w:r>
      <w:r>
        <w:rPr>
          <w:rFonts w:ascii="宋体" w:hAnsi="宋体" w:cs="Arial"/>
        </w:rPr>
        <w:t>万份），投资人可多次认购，累计认购份额不设上限</w:t>
      </w:r>
      <w:r>
        <w:rPr>
          <w:rFonts w:hint="eastAsia" w:ascii="宋体" w:hAnsi="宋体" w:cs="Arial"/>
        </w:rPr>
        <w:t>，但法律法规或监管要求另有规定或基金合同另有约定的除外</w:t>
      </w:r>
      <w:r>
        <w:rPr>
          <w:rFonts w:ascii="宋体" w:hAnsi="宋体" w:cs="Arial"/>
        </w:rPr>
        <w:t>。</w:t>
      </w:r>
    </w:p>
    <w:p w14:paraId="49357413">
      <w:pPr>
        <w:adjustRightInd w:val="0"/>
        <w:snapToGrid w:val="0"/>
        <w:spacing w:line="360" w:lineRule="auto"/>
        <w:ind w:firstLine="420" w:firstLineChars="200"/>
        <w:rPr>
          <w:rFonts w:hint="eastAsia" w:ascii="宋体" w:hAnsi="宋体" w:cs="宋体"/>
        </w:rPr>
      </w:pPr>
      <w:r>
        <w:rPr>
          <w:rFonts w:hint="eastAsia" w:ascii="宋体" w:hAnsi="宋体" w:cs="宋体"/>
        </w:rPr>
        <w:t>10、</w:t>
      </w:r>
      <w:bookmarkStart w:id="7" w:name="OLE_LINK47"/>
      <w:bookmarkStart w:id="8" w:name="OLE_LINK46"/>
      <w:r>
        <w:rPr>
          <w:rFonts w:hint="eastAsia" w:ascii="宋体" w:hAnsi="宋体" w:cs="宋体"/>
        </w:rPr>
        <w:t>销售机构对认购申请的受理并不代表该申请一定成功，而仅代表销售机构确实接收到认购申请。认购的确认以登记机构的确认结果为准</w:t>
      </w:r>
      <w:bookmarkEnd w:id="7"/>
      <w:bookmarkEnd w:id="8"/>
      <w:r>
        <w:rPr>
          <w:rFonts w:hint="eastAsia" w:ascii="宋体" w:hAnsi="宋体" w:cs="宋体"/>
        </w:rPr>
        <w:t>。在基金合同生效后，投资人可通过其办理认购的销售网点查询认购确认情况。</w:t>
      </w:r>
    </w:p>
    <w:p w14:paraId="10B5D1A7">
      <w:pPr>
        <w:adjustRightInd w:val="0"/>
        <w:snapToGrid w:val="0"/>
        <w:spacing w:line="360" w:lineRule="auto"/>
        <w:ind w:firstLine="420" w:firstLineChars="200"/>
        <w:rPr>
          <w:rFonts w:hint="eastAsia" w:ascii="宋体" w:hAnsi="宋体" w:cs="宋体"/>
        </w:rPr>
      </w:pPr>
      <w:r>
        <w:rPr>
          <w:rFonts w:hint="eastAsia" w:ascii="宋体" w:hAnsi="宋体" w:cs="宋体"/>
        </w:rPr>
        <w:t>11、《</w:t>
      </w:r>
      <w:r>
        <w:rPr>
          <w:rFonts w:hint="eastAsia" w:ascii="宋体" w:hAnsi="宋体" w:cs="宋体"/>
          <w:lang w:eastAsia="zh-CN"/>
        </w:rPr>
        <w:t>博时恒生港股通红利低波动交易型开放式指数证券投资基金</w:t>
      </w:r>
      <w:r>
        <w:rPr>
          <w:rFonts w:hint="eastAsia" w:ascii="宋体" w:hAnsi="宋体" w:cs="宋体"/>
        </w:rPr>
        <w:t>基金合同》（以下简称《基金合同》）生效后，符合基金上市交易条件的，本基金基金份额可申请在上海证券交易所上市交易。上市交易的有关事项将另行公告。</w:t>
      </w:r>
    </w:p>
    <w:p w14:paraId="7430EAB2">
      <w:pPr>
        <w:adjustRightInd w:val="0"/>
        <w:snapToGrid w:val="0"/>
        <w:spacing w:line="360" w:lineRule="auto"/>
        <w:ind w:firstLine="420" w:firstLineChars="200"/>
        <w:rPr>
          <w:rFonts w:hint="eastAsia" w:ascii="宋体" w:hAnsi="宋体" w:cs="宋体"/>
        </w:rPr>
      </w:pPr>
      <w:r>
        <w:rPr>
          <w:rFonts w:hint="eastAsia" w:ascii="宋体" w:hAnsi="宋体" w:cs="宋体"/>
        </w:rPr>
        <w:t>12、本公告仅对本基金发售的有关事项和规定予以说明。投资者欲了解</w:t>
      </w:r>
      <w:r>
        <w:rPr>
          <w:rFonts w:hint="eastAsia" w:ascii="宋体" w:hAnsi="宋体" w:cs="宋体"/>
          <w:lang w:eastAsia="zh-CN"/>
        </w:rPr>
        <w:t>博时恒生港股通红利低波动交易型开放式指数证券投资基金</w:t>
      </w:r>
      <w:r>
        <w:rPr>
          <w:rFonts w:hint="eastAsia" w:ascii="宋体" w:hAnsi="宋体" w:cs="宋体"/>
        </w:rPr>
        <w:t>的详细情况，请详细阅读发布在本公司网站（https://www.bosera.com/）和中国证监会基金电子披露网站（http://eid.csrc.gov.cn/fund）上的本基金招募说明书和产品资料概要等信息披露文件。</w:t>
      </w:r>
    </w:p>
    <w:p w14:paraId="7200110D">
      <w:pPr>
        <w:adjustRightInd w:val="0"/>
        <w:snapToGrid w:val="0"/>
        <w:spacing w:line="360" w:lineRule="auto"/>
        <w:ind w:firstLine="420" w:firstLineChars="200"/>
        <w:rPr>
          <w:rFonts w:hint="eastAsia" w:ascii="宋体" w:hAnsi="宋体" w:cs="宋体"/>
        </w:rPr>
      </w:pPr>
      <w:r>
        <w:rPr>
          <w:rFonts w:hint="eastAsia" w:ascii="宋体" w:hAnsi="宋体" w:cs="宋体"/>
        </w:rPr>
        <w:t>13、本基金的招募说明书及本公告发布在本公司网站（</w:t>
      </w:r>
      <w:r>
        <w:rPr>
          <w:rFonts w:hint="eastAsia" w:ascii="宋体" w:hAnsi="宋体" w:cs="宋体"/>
        </w:rPr>
        <w:fldChar w:fldCharType="begin"/>
      </w:r>
      <w:r>
        <w:rPr>
          <w:rFonts w:hint="eastAsia" w:ascii="宋体" w:hAnsi="宋体" w:cs="宋体"/>
        </w:rPr>
        <w:instrText xml:space="preserve"> HYPERLINK "http://www.bosera.com/" </w:instrText>
      </w:r>
      <w:r>
        <w:rPr>
          <w:rFonts w:hint="eastAsia" w:ascii="宋体" w:hAnsi="宋体" w:cs="宋体"/>
        </w:rPr>
        <w:fldChar w:fldCharType="separate"/>
      </w:r>
      <w:r>
        <w:rPr>
          <w:rStyle w:val="39"/>
          <w:rFonts w:hint="eastAsia" w:ascii="宋体" w:hAnsi="宋体" w:cs="宋体"/>
        </w:rPr>
        <w:t>https://www.bosera.com/</w:t>
      </w:r>
      <w:r>
        <w:rPr>
          <w:rFonts w:hint="eastAsia" w:ascii="宋体" w:hAnsi="宋体" w:cs="宋体"/>
        </w:rPr>
        <w:fldChar w:fldCharType="end"/>
      </w:r>
      <w:r>
        <w:rPr>
          <w:rFonts w:hint="eastAsia" w:ascii="宋体" w:hAnsi="宋体" w:cs="宋体"/>
        </w:rPr>
        <w:t>）。</w:t>
      </w:r>
    </w:p>
    <w:p w14:paraId="5D25A631">
      <w:pPr>
        <w:adjustRightInd w:val="0"/>
        <w:snapToGrid w:val="0"/>
        <w:spacing w:line="360" w:lineRule="auto"/>
        <w:ind w:firstLine="420" w:firstLineChars="200"/>
        <w:rPr>
          <w:rFonts w:hint="eastAsia" w:ascii="宋体" w:hAnsi="宋体" w:cs="宋体"/>
          <w:u w:val="single"/>
        </w:rPr>
      </w:pPr>
      <w:r>
        <w:rPr>
          <w:rFonts w:hint="eastAsia" w:ascii="宋体" w:hAnsi="宋体" w:cs="宋体"/>
        </w:rPr>
        <w:t>14、各发售代理机构办理认购业务的办理网点、办理日期和时间等事项参照各发售代理机构的具体规定。</w:t>
      </w:r>
    </w:p>
    <w:p w14:paraId="3B64908D">
      <w:pPr>
        <w:adjustRightInd w:val="0"/>
        <w:snapToGrid w:val="0"/>
        <w:spacing w:line="360" w:lineRule="auto"/>
        <w:ind w:firstLine="420" w:firstLineChars="200"/>
        <w:rPr>
          <w:rFonts w:hint="eastAsia" w:ascii="宋体" w:hAnsi="宋体" w:cs="宋体"/>
        </w:rPr>
      </w:pPr>
      <w:r>
        <w:rPr>
          <w:rFonts w:hint="eastAsia" w:ascii="宋体" w:hAnsi="宋体" w:cs="宋体"/>
        </w:rPr>
        <w:t>15、在发售期间，除本公告所列的发售代理机构外，如变更或增加其他发售代理机构，本公司将及时在本公司网站列明。</w:t>
      </w:r>
    </w:p>
    <w:p w14:paraId="5C530512">
      <w:pPr>
        <w:adjustRightInd w:val="0"/>
        <w:snapToGrid w:val="0"/>
        <w:spacing w:line="360" w:lineRule="auto"/>
        <w:ind w:firstLine="420" w:firstLineChars="200"/>
        <w:rPr>
          <w:rFonts w:hint="eastAsia" w:ascii="宋体" w:hAnsi="宋体" w:cs="宋体"/>
        </w:rPr>
      </w:pPr>
      <w:r>
        <w:rPr>
          <w:rFonts w:hint="eastAsia" w:ascii="宋体" w:hAnsi="宋体" w:cs="宋体"/>
        </w:rPr>
        <w:t>16、投资者可拨打博时一线通95105568（免长途话费）或各发售代理机构电话咨询。</w:t>
      </w:r>
    </w:p>
    <w:p w14:paraId="02D59ABC">
      <w:pPr>
        <w:snapToGrid w:val="0"/>
        <w:spacing w:line="360" w:lineRule="auto"/>
        <w:ind w:firstLine="420" w:firstLineChars="200"/>
        <w:rPr>
          <w:rFonts w:hint="eastAsia" w:ascii="宋体" w:hAnsi="宋体" w:cs="宋体"/>
          <w:szCs w:val="18"/>
        </w:rPr>
      </w:pPr>
      <w:r>
        <w:rPr>
          <w:rFonts w:hint="eastAsia" w:ascii="宋体" w:hAnsi="宋体" w:cs="宋体"/>
        </w:rPr>
        <w:t>17、</w:t>
      </w:r>
      <w:r>
        <w:rPr>
          <w:rFonts w:hint="eastAsia" w:ascii="宋体" w:hAnsi="宋体" w:cs="宋体"/>
          <w:szCs w:val="18"/>
        </w:rPr>
        <w:t>基金管理人可综合各种情况对发售安排做适当调整。</w:t>
      </w:r>
    </w:p>
    <w:p w14:paraId="1DB91A39">
      <w:pPr>
        <w:adjustRightInd w:val="0"/>
        <w:snapToGrid w:val="0"/>
        <w:spacing w:line="360" w:lineRule="auto"/>
        <w:ind w:firstLine="420" w:firstLineChars="200"/>
        <w:rPr>
          <w:rFonts w:hint="eastAsia" w:ascii="宋体" w:hAnsi="宋体" w:cs="宋体"/>
        </w:rPr>
      </w:pPr>
      <w:r>
        <w:rPr>
          <w:rFonts w:hint="eastAsia" w:ascii="宋体" w:hAnsi="宋体" w:cs="宋体"/>
        </w:rPr>
        <w:t>18、基金募集期结束后，基金管理人确定本基金的申购赎回代理券商名单，报上海证券交易所，经上海证券交易所有关部门认可后，予以公告。基金上市后，指定交易未在申购赎回代理券商的投资人只能进行本基金的二级市场买卖，如投资人需进行本基金申购赎回交易，须指定交易或转指定交易到申购赎回代理券商。</w:t>
      </w:r>
    </w:p>
    <w:p w14:paraId="7B6D0A63">
      <w:pPr>
        <w:adjustRightInd w:val="0"/>
        <w:snapToGrid w:val="0"/>
        <w:spacing w:line="360" w:lineRule="auto"/>
        <w:ind w:firstLine="420" w:firstLineChars="200"/>
        <w:rPr>
          <w:rFonts w:hint="eastAsia" w:ascii="宋体" w:hAnsi="宋体" w:cs="宋体"/>
        </w:rPr>
      </w:pPr>
      <w:r>
        <w:rPr>
          <w:rFonts w:hint="eastAsia" w:ascii="宋体" w:hAnsi="宋体" w:cs="宋体"/>
        </w:rPr>
        <w:t>19、风险提示</w:t>
      </w:r>
    </w:p>
    <w:p w14:paraId="2D781B84">
      <w:pPr>
        <w:spacing w:line="360" w:lineRule="auto"/>
        <w:ind w:firstLine="420" w:firstLineChars="200"/>
        <w:rPr>
          <w:rFonts w:hint="eastAsia" w:ascii="宋体" w:hAnsi="宋体" w:cs="Arial"/>
        </w:rPr>
      </w:pPr>
      <w:r>
        <w:rPr>
          <w:rFonts w:hint="eastAsia" w:ascii="宋体" w:hAnsi="宋体" w:cs="Arial"/>
        </w:rPr>
        <w:t xml:space="preserve">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恒生港股通红利低波动指数，其风险收益特征与标的指数所表征的市场组合的风险收益特征相似。 </w:t>
      </w:r>
    </w:p>
    <w:p w14:paraId="08E85131">
      <w:pPr>
        <w:spacing w:line="360" w:lineRule="auto"/>
        <w:ind w:firstLine="420" w:firstLineChars="200"/>
        <w:rPr>
          <w:rFonts w:hint="eastAsia" w:ascii="宋体" w:hAnsi="宋体" w:cs="Arial"/>
        </w:rPr>
      </w:pPr>
      <w:r>
        <w:rPr>
          <w:rFonts w:hint="eastAsia" w:ascii="宋体" w:hAnsi="宋体" w:cs="Arial"/>
        </w:rPr>
        <w:t xml:space="preserve">本基金按照基金份额初始面值1.00元发售，在市场波动等因素的影响下，基金份额净值可能低于基金份额初始面值。 </w:t>
      </w:r>
    </w:p>
    <w:p w14:paraId="29EA2D29">
      <w:pPr>
        <w:spacing w:line="360" w:lineRule="auto"/>
        <w:ind w:firstLine="420" w:firstLineChars="200"/>
        <w:rPr>
          <w:rFonts w:hint="eastAsia" w:ascii="宋体" w:hAnsi="宋体" w:cs="Arial"/>
        </w:rPr>
      </w:pPr>
      <w:r>
        <w:rPr>
          <w:rFonts w:hint="eastAsia" w:ascii="宋体" w:hAnsi="宋体" w:cs="Arial"/>
        </w:rPr>
        <w:t xml:space="preserve">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14:paraId="769CCF89">
      <w:pPr>
        <w:spacing w:line="360" w:lineRule="auto"/>
        <w:ind w:firstLine="420" w:firstLineChars="200"/>
        <w:rPr>
          <w:rFonts w:hint="eastAsia" w:ascii="宋体" w:hAnsi="宋体" w:cs="Arial"/>
        </w:rPr>
      </w:pPr>
      <w:r>
        <w:rPr>
          <w:rFonts w:hint="eastAsia" w:ascii="宋体" w:hAnsi="宋体" w:cs="Arial"/>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不可抗力等，详见</w:t>
      </w:r>
      <w:r>
        <w:rPr>
          <w:rFonts w:hint="eastAsia" w:ascii="宋体" w:hAnsi="宋体" w:cs="Arial"/>
          <w:lang w:val="en-US" w:eastAsia="zh-CN"/>
        </w:rPr>
        <w:t>招募说明书</w:t>
      </w:r>
      <w:r>
        <w:rPr>
          <w:rFonts w:hint="eastAsia" w:ascii="宋体" w:hAnsi="宋体" w:cs="Arial"/>
        </w:rPr>
        <w:t xml:space="preserve">“风险揭示”章节。 </w:t>
      </w:r>
    </w:p>
    <w:p w14:paraId="568D9886">
      <w:pPr>
        <w:spacing w:line="360" w:lineRule="auto"/>
        <w:ind w:firstLine="420" w:firstLineChars="200"/>
        <w:rPr>
          <w:rFonts w:hint="eastAsia" w:ascii="宋体" w:hAnsi="宋体" w:cs="Arial"/>
        </w:rPr>
      </w:pPr>
      <w:r>
        <w:rPr>
          <w:rFonts w:hint="eastAsia" w:ascii="宋体" w:hAnsi="宋体" w:cs="Arial"/>
        </w:rPr>
        <w:t xml:space="preserve">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0015E62A">
      <w:pPr>
        <w:spacing w:line="360" w:lineRule="auto"/>
        <w:ind w:firstLine="420" w:firstLineChars="200"/>
        <w:rPr>
          <w:rFonts w:hint="eastAsia" w:ascii="宋体" w:hAnsi="宋体" w:cs="Arial"/>
        </w:rPr>
      </w:pPr>
      <w:r>
        <w:rPr>
          <w:rFonts w:hint="eastAsia" w:ascii="宋体" w:hAnsi="宋体" w:cs="Arial"/>
        </w:rPr>
        <w:t xml:space="preserve">本基金基金资产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 </w:t>
      </w:r>
    </w:p>
    <w:p w14:paraId="36CA117E">
      <w:pPr>
        <w:spacing w:line="360" w:lineRule="auto"/>
        <w:ind w:firstLine="420" w:firstLineChars="200"/>
        <w:rPr>
          <w:rFonts w:hint="eastAsia" w:ascii="宋体" w:hAnsi="宋体" w:cs="Arial"/>
        </w:rPr>
      </w:pPr>
      <w:r>
        <w:rPr>
          <w:rFonts w:hint="eastAsia" w:ascii="宋体" w:hAnsi="宋体" w:cs="Arial"/>
        </w:rPr>
        <w:t xml:space="preserve">本基金的投资范围包括存托凭证，本基金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AACE402">
      <w:pPr>
        <w:spacing w:line="360" w:lineRule="auto"/>
        <w:ind w:firstLine="420" w:firstLineChars="200"/>
        <w:rPr>
          <w:rFonts w:hint="eastAsia" w:ascii="宋体" w:hAnsi="宋体" w:cs="Arial"/>
        </w:rPr>
      </w:pPr>
      <w:r>
        <w:rPr>
          <w:rFonts w:hint="eastAsia" w:ascii="宋体" w:hAnsi="宋体" w:cs="Arial"/>
        </w:rPr>
        <w:t>本基金为指数基金，投资者投资于本基金面临跟踪误差控制未达约定目标、指数编制机构停止服务、成份股停牌或退市等潜在风险，详见</w:t>
      </w:r>
      <w:r>
        <w:rPr>
          <w:rFonts w:hint="eastAsia" w:ascii="宋体" w:hAnsi="宋体" w:cs="Arial"/>
          <w:lang w:val="en-US" w:eastAsia="zh-CN"/>
        </w:rPr>
        <w:t>招募说明书</w:t>
      </w:r>
      <w:r>
        <w:rPr>
          <w:rFonts w:hint="eastAsia" w:ascii="宋体" w:hAnsi="宋体" w:cs="Arial"/>
        </w:rPr>
        <w:t>“风险揭示”章节。</w:t>
      </w:r>
    </w:p>
    <w:p w14:paraId="3868FDE4">
      <w:pPr>
        <w:spacing w:line="360" w:lineRule="auto"/>
        <w:ind w:firstLine="420" w:firstLineChars="200"/>
        <w:rPr>
          <w:rFonts w:hint="eastAsia" w:ascii="宋体" w:hAnsi="宋体" w:cs="Arial"/>
        </w:rPr>
      </w:pPr>
      <w:r>
        <w:rPr>
          <w:rFonts w:hint="eastAsia" w:ascii="宋体" w:hAnsi="宋体" w:cs="Arial"/>
        </w:rPr>
        <w:t xml:space="preserve">投资有风险，投资者认购（或申购）基金时应仔细阅读本基金的招募说明书、基金合同及基金产品资料概要等文件，了解本基金的风险收益特征，并根据自身的投资目的、投资期限、投资经验、资产状况等判断基金是否和投资人的风险承受能力相适应。 </w:t>
      </w:r>
    </w:p>
    <w:p w14:paraId="5335A362">
      <w:pPr>
        <w:spacing w:line="360" w:lineRule="auto"/>
        <w:ind w:firstLine="420" w:firstLineChars="200"/>
        <w:rPr>
          <w:rFonts w:ascii="宋体" w:hAnsi="宋体" w:cs="Arial"/>
        </w:rPr>
      </w:pPr>
      <w:r>
        <w:rPr>
          <w:rFonts w:hint="eastAsia" w:ascii="宋体" w:hAnsi="宋体" w:cs="Arial"/>
        </w:rPr>
        <w:t xml:space="preserve">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14:paraId="09231683">
      <w:pPr>
        <w:adjustRightInd w:val="0"/>
        <w:snapToGrid w:val="0"/>
        <w:spacing w:line="360" w:lineRule="auto"/>
        <w:ind w:firstLine="420"/>
        <w:rPr>
          <w:rFonts w:hint="eastAsia" w:ascii="宋体" w:hAnsi="宋体" w:cs="宋体"/>
        </w:rPr>
      </w:pPr>
    </w:p>
    <w:p w14:paraId="7BD58A62">
      <w:pPr>
        <w:pStyle w:val="2"/>
        <w:snapToGrid w:val="0"/>
        <w:spacing w:before="0" w:after="0"/>
        <w:textAlignment w:val="auto"/>
        <w:rPr>
          <w:rFonts w:ascii="Arial" w:hAnsi="Arial" w:eastAsia="宋体" w:cs="Arial"/>
          <w:b/>
          <w:sz w:val="21"/>
        </w:rPr>
      </w:pPr>
      <w:r>
        <w:rPr>
          <w:rFonts w:ascii="Arial" w:hAnsi="Arial" w:eastAsia="宋体" w:cs="Arial"/>
          <w:b/>
          <w:sz w:val="21"/>
        </w:rPr>
        <w:br w:type="page"/>
      </w:r>
      <w:bookmarkStart w:id="9" w:name="_Toc522521889"/>
      <w:bookmarkStart w:id="10" w:name="_Toc26942"/>
      <w:bookmarkStart w:id="11" w:name="_Toc14246"/>
      <w:r>
        <w:rPr>
          <w:rFonts w:ascii="Arial" w:hAnsi="Arial" w:eastAsia="宋体" w:cs="Arial"/>
          <w:b/>
          <w:sz w:val="21"/>
        </w:rPr>
        <w:t>一、本次发售基本情况</w:t>
      </w:r>
      <w:bookmarkEnd w:id="9"/>
      <w:bookmarkEnd w:id="10"/>
      <w:bookmarkEnd w:id="11"/>
    </w:p>
    <w:p w14:paraId="71F9C6B2">
      <w:pPr>
        <w:adjustRightInd w:val="0"/>
        <w:snapToGrid w:val="0"/>
        <w:spacing w:line="360" w:lineRule="auto"/>
        <w:ind w:firstLine="422" w:firstLineChars="200"/>
        <w:rPr>
          <w:rFonts w:ascii="Arial" w:hAnsi="Arial" w:cs="Arial"/>
          <w:b/>
        </w:rPr>
      </w:pPr>
      <w:bookmarkStart w:id="12" w:name="_Toc523138045"/>
      <w:r>
        <w:rPr>
          <w:rFonts w:ascii="Arial" w:hAnsi="Arial" w:cs="Arial"/>
          <w:b/>
        </w:rPr>
        <w:t>（一）基金名称</w:t>
      </w:r>
      <w:bookmarkEnd w:id="12"/>
    </w:p>
    <w:p w14:paraId="0CEF22D3">
      <w:pPr>
        <w:adjustRightInd w:val="0"/>
        <w:snapToGrid w:val="0"/>
        <w:spacing w:line="360" w:lineRule="auto"/>
        <w:ind w:firstLine="420" w:firstLineChars="200"/>
        <w:rPr>
          <w:rFonts w:hint="eastAsia" w:ascii="Arial" w:hAnsi="宋体" w:eastAsia="宋体" w:cs="Arial"/>
          <w:kern w:val="0"/>
          <w:szCs w:val="21"/>
          <w:lang w:eastAsia="zh-CN"/>
        </w:rPr>
      </w:pPr>
      <w:r>
        <w:rPr>
          <w:rFonts w:hint="eastAsia" w:ascii="宋体" w:hAnsi="宋体" w:cs="宋体"/>
          <w:bCs/>
          <w:szCs w:val="21"/>
        </w:rPr>
        <w:t>基金名称：</w:t>
      </w:r>
      <w:r>
        <w:rPr>
          <w:rFonts w:hint="eastAsia" w:ascii="Arial" w:hAnsi="宋体" w:cs="Arial"/>
          <w:bCs/>
          <w:szCs w:val="21"/>
          <w:lang w:eastAsia="zh-CN"/>
        </w:rPr>
        <w:t>博时恒生港股通红利低波动交易型开放式指数证券投资基金</w:t>
      </w:r>
    </w:p>
    <w:p w14:paraId="409FD726">
      <w:pPr>
        <w:adjustRightInd w:val="0"/>
        <w:snapToGrid w:val="0"/>
        <w:spacing w:line="360" w:lineRule="auto"/>
        <w:ind w:firstLine="420" w:firstLineChars="200"/>
        <w:rPr>
          <w:rFonts w:hint="eastAsia" w:ascii="Arial" w:hAnsi="Arial" w:cs="Arial"/>
          <w:kern w:val="0"/>
        </w:rPr>
      </w:pPr>
      <w:r>
        <w:rPr>
          <w:rFonts w:hint="eastAsia" w:ascii="Arial" w:hAnsi="Arial" w:cs="Arial"/>
          <w:kern w:val="0"/>
        </w:rPr>
        <w:t>基金简称：博时恒生港股通</w:t>
      </w:r>
      <w:r>
        <w:rPr>
          <w:rFonts w:hint="eastAsia" w:ascii="Arial" w:hAnsi="Arial" w:cs="Arial"/>
          <w:kern w:val="0"/>
          <w:lang w:val="en-US" w:eastAsia="zh-CN"/>
        </w:rPr>
        <w:t>红利</w:t>
      </w:r>
      <w:r>
        <w:rPr>
          <w:rFonts w:hint="eastAsia" w:ascii="Arial" w:hAnsi="Arial" w:cs="Arial"/>
          <w:kern w:val="0"/>
        </w:rPr>
        <w:t>低波动ETF</w:t>
      </w:r>
    </w:p>
    <w:p w14:paraId="7A6EA101">
      <w:pPr>
        <w:adjustRightInd w:val="0"/>
        <w:snapToGrid w:val="0"/>
        <w:spacing w:line="360" w:lineRule="auto"/>
        <w:ind w:firstLine="420" w:firstLineChars="200"/>
        <w:rPr>
          <w:rFonts w:hint="eastAsia" w:ascii="Arial" w:hAnsi="Arial" w:cs="Arial"/>
          <w:kern w:val="0"/>
        </w:rPr>
      </w:pPr>
      <w:r>
        <w:rPr>
          <w:rFonts w:hint="eastAsia" w:ascii="Arial" w:hAnsi="Arial" w:cs="Arial"/>
          <w:kern w:val="0"/>
        </w:rPr>
        <w:t>场内简称：</w:t>
      </w:r>
      <w:r>
        <w:rPr>
          <w:rFonts w:hint="eastAsia" w:ascii="Arial" w:hAnsi="Arial" w:cs="Arial"/>
          <w:kern w:val="0"/>
          <w:lang w:val="en-US" w:eastAsia="zh-CN"/>
        </w:rPr>
        <w:t>港股低波</w:t>
      </w:r>
      <w:r>
        <w:rPr>
          <w:rFonts w:hint="eastAsia" w:ascii="Arial" w:hAnsi="Arial" w:cs="Arial"/>
          <w:kern w:val="0"/>
        </w:rPr>
        <w:t xml:space="preserve">  </w:t>
      </w:r>
    </w:p>
    <w:p w14:paraId="6FA7A1E7">
      <w:pPr>
        <w:adjustRightInd w:val="0"/>
        <w:snapToGrid w:val="0"/>
        <w:spacing w:line="360" w:lineRule="auto"/>
        <w:ind w:firstLine="420" w:firstLineChars="200"/>
        <w:rPr>
          <w:rFonts w:hint="eastAsia" w:ascii="Arial" w:hAnsi="Arial" w:cs="Arial"/>
          <w:kern w:val="0"/>
        </w:rPr>
      </w:pPr>
      <w:r>
        <w:rPr>
          <w:rFonts w:hint="eastAsia" w:ascii="Arial" w:hAnsi="Arial" w:cs="Arial"/>
          <w:kern w:val="0"/>
        </w:rPr>
        <w:t>扩位简称：</w:t>
      </w:r>
      <w:r>
        <w:rPr>
          <w:rFonts w:hint="eastAsia" w:ascii="Arial" w:hAnsi="Arial" w:cs="Arial"/>
          <w:kern w:val="0"/>
          <w:lang w:val="en-US" w:eastAsia="zh-CN"/>
        </w:rPr>
        <w:t>港股红利低波</w:t>
      </w:r>
      <w:r>
        <w:rPr>
          <w:rFonts w:hint="eastAsia" w:ascii="Arial" w:hAnsi="Arial" w:cs="Arial"/>
          <w:kern w:val="0"/>
        </w:rPr>
        <w:t xml:space="preserve">ETF博时  </w:t>
      </w:r>
    </w:p>
    <w:p w14:paraId="5C5C9421">
      <w:pPr>
        <w:adjustRightInd w:val="0"/>
        <w:snapToGrid w:val="0"/>
        <w:spacing w:line="360" w:lineRule="auto"/>
        <w:ind w:firstLine="420" w:firstLineChars="200"/>
        <w:rPr>
          <w:rFonts w:ascii="Arial" w:hAnsi="Arial" w:cs="Arial"/>
          <w:kern w:val="0"/>
        </w:rPr>
      </w:pPr>
      <w:r>
        <w:rPr>
          <w:rFonts w:hint="eastAsia" w:ascii="Arial" w:hAnsi="Arial" w:cs="Arial"/>
          <w:kern w:val="0"/>
        </w:rPr>
        <w:t>基金认购代码：513793 </w:t>
      </w:r>
    </w:p>
    <w:p w14:paraId="74F6AE34">
      <w:pPr>
        <w:adjustRightInd w:val="0"/>
        <w:snapToGrid w:val="0"/>
        <w:spacing w:line="360" w:lineRule="auto"/>
        <w:ind w:firstLine="420" w:firstLineChars="200"/>
        <w:rPr>
          <w:rFonts w:ascii="Arial" w:hAnsi="Arial" w:cs="Arial"/>
          <w:kern w:val="0"/>
        </w:rPr>
      </w:pPr>
      <w:r>
        <w:rPr>
          <w:rFonts w:hint="eastAsia" w:ascii="Arial" w:hAnsi="Arial" w:cs="Arial"/>
          <w:kern w:val="0"/>
        </w:rPr>
        <w:t>基金证券代码：</w:t>
      </w:r>
      <w:r>
        <w:rPr>
          <w:rFonts w:hint="eastAsia" w:ascii="Arial" w:hAnsi="Arial" w:cs="Arial"/>
          <w:kern w:val="0"/>
          <w:lang w:eastAsia="zh-CN"/>
        </w:rPr>
        <w:t>513790</w:t>
      </w:r>
      <w:r>
        <w:rPr>
          <w:rFonts w:hint="eastAsia" w:ascii="Arial" w:hAnsi="Arial" w:cs="Arial"/>
          <w:kern w:val="0"/>
        </w:rPr>
        <w:t> </w:t>
      </w:r>
    </w:p>
    <w:p w14:paraId="7629D7AF">
      <w:pPr>
        <w:adjustRightInd w:val="0"/>
        <w:snapToGrid w:val="0"/>
        <w:spacing w:line="360" w:lineRule="auto"/>
        <w:ind w:firstLine="422" w:firstLineChars="200"/>
        <w:rPr>
          <w:rFonts w:hint="eastAsia" w:ascii="Arial" w:hAnsi="Arial" w:cs="Arial"/>
          <w:b/>
        </w:rPr>
      </w:pPr>
      <w:bookmarkStart w:id="13" w:name="_Toc523138046"/>
      <w:r>
        <w:rPr>
          <w:rFonts w:ascii="Arial" w:hAnsi="Arial" w:cs="Arial"/>
          <w:b/>
        </w:rPr>
        <w:t>（二）基金运作方式和</w:t>
      </w:r>
      <w:bookmarkEnd w:id="13"/>
      <w:r>
        <w:rPr>
          <w:rFonts w:hint="eastAsia" w:ascii="Arial" w:hAnsi="Arial" w:cs="Arial"/>
          <w:b/>
        </w:rPr>
        <w:t>类别</w:t>
      </w:r>
    </w:p>
    <w:p w14:paraId="268F7885">
      <w:pPr>
        <w:adjustRightInd w:val="0"/>
        <w:snapToGrid w:val="0"/>
        <w:spacing w:line="360" w:lineRule="auto"/>
        <w:ind w:firstLine="420" w:firstLineChars="200"/>
        <w:rPr>
          <w:rFonts w:hint="eastAsia" w:ascii="Arial" w:hAnsi="Arial" w:cs="Arial"/>
        </w:rPr>
      </w:pPr>
      <w:r>
        <w:rPr>
          <w:rFonts w:hint="eastAsia" w:ascii="Arial" w:hAnsi="Arial" w:cs="Arial"/>
        </w:rPr>
        <w:t>基金的运作方式：</w:t>
      </w:r>
      <w:r>
        <w:rPr>
          <w:rFonts w:ascii="Arial" w:hAnsi="Arial" w:cs="Arial"/>
        </w:rPr>
        <w:t>交易型开放式</w:t>
      </w:r>
    </w:p>
    <w:p w14:paraId="74799381">
      <w:pPr>
        <w:adjustRightInd w:val="0"/>
        <w:snapToGrid w:val="0"/>
        <w:spacing w:line="360" w:lineRule="auto"/>
        <w:ind w:firstLine="420" w:firstLineChars="200"/>
        <w:rPr>
          <w:rFonts w:ascii="Arial" w:hAnsi="Arial" w:cs="Arial"/>
        </w:rPr>
      </w:pPr>
      <w:r>
        <w:rPr>
          <w:rFonts w:hint="eastAsia" w:ascii="Arial" w:hAnsi="Arial" w:cs="Arial"/>
        </w:rPr>
        <w:t>基金的类别：股票型证券投资基金</w:t>
      </w:r>
    </w:p>
    <w:p w14:paraId="28EEF48F">
      <w:pPr>
        <w:adjustRightInd w:val="0"/>
        <w:snapToGrid w:val="0"/>
        <w:spacing w:line="360" w:lineRule="auto"/>
        <w:ind w:firstLine="422" w:firstLineChars="200"/>
        <w:rPr>
          <w:rFonts w:ascii="Arial" w:hAnsi="Arial" w:cs="Arial"/>
        </w:rPr>
      </w:pPr>
      <w:r>
        <w:rPr>
          <w:rFonts w:ascii="Arial" w:hAnsi="Arial" w:cs="Arial"/>
          <w:b/>
        </w:rPr>
        <w:t>（三）存续期限：</w:t>
      </w:r>
      <w:bookmarkStart w:id="14" w:name="_Toc523138047"/>
      <w:r>
        <w:rPr>
          <w:rFonts w:ascii="Arial" w:hAnsi="Arial" w:cs="Arial"/>
        </w:rPr>
        <w:t>不定期。</w:t>
      </w:r>
    </w:p>
    <w:p w14:paraId="7E2AF58B">
      <w:pPr>
        <w:adjustRightInd w:val="0"/>
        <w:snapToGrid w:val="0"/>
        <w:spacing w:line="360" w:lineRule="auto"/>
        <w:ind w:firstLine="422" w:firstLineChars="200"/>
        <w:rPr>
          <w:rFonts w:ascii="Arial" w:hAnsi="Arial" w:cs="Arial"/>
        </w:rPr>
      </w:pPr>
      <w:r>
        <w:rPr>
          <w:rFonts w:ascii="Arial" w:hAnsi="Arial" w:cs="Arial"/>
          <w:b/>
        </w:rPr>
        <w:t>（四）基金份额初始面值：</w:t>
      </w:r>
      <w:r>
        <w:rPr>
          <w:rFonts w:ascii="Arial" w:hAnsi="Arial" w:cs="Arial"/>
        </w:rPr>
        <w:t>每</w:t>
      </w:r>
      <w:r>
        <w:rPr>
          <w:rFonts w:hint="eastAsia" w:ascii="Arial" w:hAnsi="Arial" w:cs="Arial"/>
        </w:rPr>
        <w:t>份</w:t>
      </w:r>
      <w:r>
        <w:rPr>
          <w:rFonts w:ascii="Arial" w:hAnsi="Arial" w:cs="Arial"/>
        </w:rPr>
        <w:t>基金份额初始面值为1.00元人民币。</w:t>
      </w:r>
    </w:p>
    <w:p w14:paraId="4CE73A09">
      <w:pPr>
        <w:adjustRightInd w:val="0"/>
        <w:snapToGrid w:val="0"/>
        <w:spacing w:line="360" w:lineRule="auto"/>
        <w:ind w:firstLine="422" w:firstLineChars="200"/>
        <w:rPr>
          <w:rFonts w:ascii="Arial" w:hAnsi="Arial" w:cs="Arial"/>
          <w:b/>
        </w:rPr>
      </w:pPr>
      <w:r>
        <w:rPr>
          <w:rFonts w:ascii="Arial" w:hAnsi="Arial" w:cs="Arial"/>
          <w:b/>
        </w:rPr>
        <w:t>（五）发售对象</w:t>
      </w:r>
    </w:p>
    <w:p w14:paraId="094F4ED7">
      <w:pPr>
        <w:adjustRightInd w:val="0"/>
        <w:snapToGrid w:val="0"/>
        <w:spacing w:line="360" w:lineRule="auto"/>
        <w:ind w:firstLine="420" w:firstLineChars="200"/>
        <w:rPr>
          <w:rFonts w:ascii="Arial" w:hAnsi="Arial" w:cs="Arial"/>
        </w:rPr>
      </w:pPr>
      <w:bookmarkStart w:id="15" w:name="_Toc523138051"/>
      <w:r>
        <w:rPr>
          <w:rFonts w:hint="eastAsia" w:ascii="Arial" w:hAnsi="Arial" w:cs="Arial"/>
        </w:rPr>
        <w:t>符合法律法规规定的可投资于证券投资基金的个人投资者、机构投资者、合格境外投资者以及法律法规或中国证监会允许购买证券投资基金的其他投资人。</w:t>
      </w:r>
    </w:p>
    <w:bookmarkEnd w:id="15"/>
    <w:p w14:paraId="3DB1809A">
      <w:pPr>
        <w:adjustRightInd w:val="0"/>
        <w:snapToGrid w:val="0"/>
        <w:spacing w:line="360" w:lineRule="auto"/>
        <w:ind w:firstLine="422" w:firstLineChars="200"/>
        <w:rPr>
          <w:rFonts w:ascii="Arial" w:hAnsi="Arial" w:cs="Arial"/>
          <w:b/>
        </w:rPr>
      </w:pPr>
      <w:bookmarkStart w:id="16" w:name="_Toc523138056"/>
      <w:bookmarkStart w:id="17" w:name="_Toc523138055"/>
      <w:r>
        <w:rPr>
          <w:rFonts w:ascii="Arial" w:hAnsi="Arial" w:cs="Arial"/>
          <w:b/>
        </w:rPr>
        <w:t>（六）销售机构</w:t>
      </w:r>
    </w:p>
    <w:p w14:paraId="072DD216">
      <w:pPr>
        <w:adjustRightInd w:val="0"/>
        <w:snapToGrid w:val="0"/>
        <w:spacing w:line="360" w:lineRule="auto"/>
        <w:ind w:firstLine="420" w:firstLineChars="200"/>
        <w:rPr>
          <w:rFonts w:hint="eastAsia" w:ascii="Arial" w:hAnsi="Arial" w:cs="Arial"/>
        </w:rPr>
      </w:pPr>
      <w:r>
        <w:rPr>
          <w:rFonts w:hint="eastAsia" w:ascii="Arial" w:hAnsi="Arial" w:cs="Arial"/>
        </w:rPr>
        <w:t>1、网下现金发售直销机构</w:t>
      </w:r>
    </w:p>
    <w:p w14:paraId="63DED862">
      <w:pPr>
        <w:adjustRightInd w:val="0"/>
        <w:snapToGrid w:val="0"/>
        <w:spacing w:line="360" w:lineRule="auto"/>
        <w:ind w:firstLine="420" w:firstLineChars="200"/>
        <w:rPr>
          <w:rFonts w:hint="eastAsia" w:ascii="Arial" w:hAnsi="Arial" w:cs="Arial"/>
          <w:bCs/>
        </w:rPr>
      </w:pPr>
      <w:r>
        <w:rPr>
          <w:rFonts w:hint="eastAsia" w:ascii="Arial" w:hAnsi="Arial" w:cs="Arial"/>
          <w:bCs/>
        </w:rPr>
        <w:t>博时基金管理有限公司北京直销中心</w:t>
      </w:r>
    </w:p>
    <w:p w14:paraId="6A09A1D5">
      <w:pPr>
        <w:adjustRightInd w:val="0"/>
        <w:snapToGrid w:val="0"/>
        <w:spacing w:line="360" w:lineRule="auto"/>
        <w:ind w:firstLine="420" w:firstLineChars="200"/>
        <w:rPr>
          <w:rFonts w:hint="eastAsia" w:ascii="Arial" w:hAnsi="Arial" w:cs="Arial"/>
          <w:bCs/>
        </w:rPr>
      </w:pPr>
      <w:r>
        <w:rPr>
          <w:rFonts w:hint="eastAsia" w:ascii="Arial" w:hAnsi="Arial" w:cs="Arial"/>
          <w:bCs/>
        </w:rPr>
        <w:t>办公地址：北京市东城区建国门内大街8号中粮广场C座609</w:t>
      </w:r>
    </w:p>
    <w:p w14:paraId="29512B56">
      <w:pPr>
        <w:adjustRightInd w:val="0"/>
        <w:snapToGrid w:val="0"/>
        <w:spacing w:line="360" w:lineRule="auto"/>
        <w:ind w:firstLine="420" w:firstLineChars="200"/>
        <w:rPr>
          <w:rFonts w:hint="eastAsia" w:ascii="Arial" w:hAnsi="Arial" w:cs="Arial"/>
          <w:bCs/>
        </w:rPr>
      </w:pPr>
      <w:r>
        <w:rPr>
          <w:rFonts w:hint="eastAsia" w:ascii="Arial" w:hAnsi="Arial" w:cs="Arial"/>
          <w:bCs/>
        </w:rPr>
        <w:t>电话：010-65187055</w:t>
      </w:r>
    </w:p>
    <w:p w14:paraId="140E2EC0">
      <w:pPr>
        <w:adjustRightInd w:val="0"/>
        <w:snapToGrid w:val="0"/>
        <w:spacing w:line="360" w:lineRule="auto"/>
        <w:ind w:firstLine="420" w:firstLineChars="200"/>
        <w:rPr>
          <w:rFonts w:hint="eastAsia" w:ascii="Arial" w:hAnsi="Arial" w:cs="Arial"/>
          <w:bCs/>
        </w:rPr>
      </w:pPr>
      <w:r>
        <w:rPr>
          <w:rFonts w:hint="eastAsia" w:ascii="Arial" w:hAnsi="Arial" w:cs="Arial"/>
          <w:bCs/>
        </w:rPr>
        <w:t>传真：010-65187032、010-65187592</w:t>
      </w:r>
    </w:p>
    <w:p w14:paraId="554A8267">
      <w:pPr>
        <w:adjustRightInd w:val="0"/>
        <w:snapToGrid w:val="0"/>
        <w:spacing w:line="360" w:lineRule="auto"/>
        <w:ind w:firstLine="420" w:firstLineChars="200"/>
        <w:rPr>
          <w:rFonts w:hint="eastAsia" w:ascii="Arial" w:hAnsi="Arial" w:cs="Arial"/>
          <w:bCs/>
        </w:rPr>
      </w:pPr>
      <w:r>
        <w:rPr>
          <w:rFonts w:hint="eastAsia" w:ascii="Arial" w:hAnsi="Arial" w:cs="Arial"/>
          <w:bCs/>
        </w:rPr>
        <w:t>联系人：韩明亮</w:t>
      </w:r>
    </w:p>
    <w:p w14:paraId="1951A56D">
      <w:pPr>
        <w:adjustRightInd w:val="0"/>
        <w:snapToGrid w:val="0"/>
        <w:spacing w:line="360" w:lineRule="auto"/>
        <w:ind w:firstLine="420" w:firstLineChars="200"/>
        <w:rPr>
          <w:rFonts w:hint="eastAsia" w:ascii="Arial" w:hAnsi="Arial" w:cs="Arial"/>
          <w:bCs/>
        </w:rPr>
      </w:pPr>
      <w:r>
        <w:rPr>
          <w:rFonts w:hint="eastAsia" w:ascii="Arial" w:hAnsi="Arial" w:cs="Arial"/>
          <w:bCs/>
        </w:rPr>
        <w:t>博时一线通：95105568（免长途话费）</w:t>
      </w:r>
    </w:p>
    <w:p w14:paraId="42C7B34A">
      <w:pPr>
        <w:snapToGrid w:val="0"/>
        <w:spacing w:line="360" w:lineRule="auto"/>
        <w:ind w:firstLine="420" w:firstLineChars="200"/>
        <w:contextualSpacing/>
        <w:rPr>
          <w:rFonts w:hint="eastAsia" w:ascii="Arial" w:hAnsi="Arial" w:cs="Arial"/>
        </w:rPr>
      </w:pPr>
      <w:r>
        <w:rPr>
          <w:rFonts w:hint="eastAsia" w:ascii="Arial" w:hAnsi="Arial" w:cs="Arial"/>
        </w:rPr>
        <w:t>2</w:t>
      </w:r>
      <w:r>
        <w:rPr>
          <w:rFonts w:ascii="Arial" w:hAnsi="Arial" w:cs="Arial"/>
        </w:rPr>
        <w:t>、网上现金发售代理机构</w:t>
      </w:r>
      <w:r>
        <w:rPr>
          <w:rFonts w:hint="eastAsia" w:ascii="Arial" w:hAnsi="Arial" w:cs="Arial"/>
        </w:rPr>
        <w:t>：</w:t>
      </w:r>
    </w:p>
    <w:p w14:paraId="26860096">
      <w:pPr>
        <w:snapToGrid w:val="0"/>
        <w:spacing w:line="360" w:lineRule="auto"/>
        <w:ind w:firstLine="420" w:firstLineChars="200"/>
        <w:contextualSpacing/>
        <w:rPr>
          <w:rFonts w:ascii="Arial" w:hAnsi="Arial" w:cs="Arial"/>
        </w:rPr>
      </w:pPr>
      <w:r>
        <w:rPr>
          <w:rFonts w:hint="eastAsia" w:ascii="Arial" w:hAnsi="Arial" w:cs="Arial"/>
        </w:rPr>
        <w:t>网上现金发售通过具有基金销售业务资格的上海证券交易所会员单位办理，具体名单可在上海证券交易所网站查询。</w:t>
      </w:r>
    </w:p>
    <w:p w14:paraId="2B7248B2">
      <w:pPr>
        <w:adjustRightInd w:val="0"/>
        <w:snapToGrid w:val="0"/>
        <w:spacing w:line="360" w:lineRule="auto"/>
        <w:ind w:firstLine="420" w:firstLineChars="200"/>
        <w:rPr>
          <w:rFonts w:hint="eastAsia" w:ascii="Arial" w:hAnsi="Arial" w:cs="Arial"/>
        </w:rPr>
      </w:pPr>
      <w:r>
        <w:rPr>
          <w:rFonts w:hint="eastAsia" w:ascii="Arial" w:hAnsi="Arial" w:cs="Arial"/>
        </w:rPr>
        <w:t>3</w:t>
      </w:r>
      <w:r>
        <w:rPr>
          <w:rFonts w:ascii="Arial" w:hAnsi="Arial" w:cs="Arial"/>
        </w:rPr>
        <w:t>、</w:t>
      </w:r>
      <w:r>
        <w:rPr>
          <w:rFonts w:hint="eastAsia" w:ascii="Arial" w:hAnsi="Arial" w:cs="Arial"/>
        </w:rPr>
        <w:t>办理</w:t>
      </w:r>
      <w:r>
        <w:rPr>
          <w:rFonts w:ascii="Arial" w:hAnsi="Arial" w:cs="Arial"/>
        </w:rPr>
        <w:t>网下现金</w:t>
      </w:r>
      <w:r>
        <w:rPr>
          <w:rFonts w:hint="eastAsia" w:ascii="Arial" w:hAnsi="Arial" w:cs="Arial"/>
        </w:rPr>
        <w:t>发售代理机构：详见本公告“七（三）2、网下现金发售其他代理机构”。</w:t>
      </w:r>
    </w:p>
    <w:p w14:paraId="5AAFC09F">
      <w:pPr>
        <w:adjustRightInd w:val="0"/>
        <w:snapToGrid w:val="0"/>
        <w:spacing w:line="360" w:lineRule="auto"/>
        <w:ind w:firstLine="420" w:firstLineChars="200"/>
        <w:rPr>
          <w:rFonts w:ascii="Arial" w:hAnsi="Arial" w:cs="Arial"/>
        </w:rPr>
      </w:pPr>
      <w:r>
        <w:rPr>
          <w:rFonts w:hint="eastAsia" w:ascii="Arial" w:hAnsi="Arial" w:cs="Arial"/>
          <w:szCs w:val="24"/>
        </w:rPr>
        <w:t>如本次募集期间，基金管理人变更网下现金发售代理机构，将另行公告。</w:t>
      </w:r>
    </w:p>
    <w:p w14:paraId="13537897">
      <w:pPr>
        <w:adjustRightInd w:val="0"/>
        <w:snapToGrid w:val="0"/>
        <w:spacing w:line="360" w:lineRule="auto"/>
        <w:ind w:firstLine="422" w:firstLineChars="200"/>
        <w:rPr>
          <w:rFonts w:ascii="Arial" w:hAnsi="Arial" w:cs="Arial"/>
          <w:b/>
          <w:kern w:val="3"/>
        </w:rPr>
      </w:pPr>
      <w:r>
        <w:rPr>
          <w:rFonts w:ascii="Arial" w:hAnsi="Arial" w:cs="Arial"/>
          <w:b/>
          <w:kern w:val="3"/>
        </w:rPr>
        <w:t>（七）发售时间</w:t>
      </w:r>
      <w:bookmarkEnd w:id="16"/>
      <w:r>
        <w:rPr>
          <w:rFonts w:ascii="Arial" w:hAnsi="Arial" w:cs="Arial"/>
          <w:b/>
          <w:kern w:val="3"/>
        </w:rPr>
        <w:t>安排与基金合同生效</w:t>
      </w:r>
    </w:p>
    <w:p w14:paraId="57970E94">
      <w:pPr>
        <w:tabs>
          <w:tab w:val="left" w:pos="3780"/>
        </w:tabs>
        <w:autoSpaceDE w:val="0"/>
        <w:autoSpaceDN w:val="0"/>
        <w:adjustRightInd w:val="0"/>
        <w:snapToGrid w:val="0"/>
        <w:spacing w:line="360" w:lineRule="auto"/>
        <w:ind w:firstLine="420" w:firstLineChars="200"/>
        <w:rPr>
          <w:rFonts w:ascii="Arial" w:hAnsi="Arial" w:cs="Arial"/>
        </w:rPr>
      </w:pPr>
      <w:r>
        <w:rPr>
          <w:rFonts w:ascii="Arial" w:hAnsi="Arial" w:cs="Arial"/>
        </w:rPr>
        <w:t>1</w:t>
      </w:r>
      <w:r>
        <w:rPr>
          <w:rFonts w:hint="eastAsia" w:ascii="Arial" w:cs="Arial"/>
        </w:rPr>
        <w:t>、</w:t>
      </w:r>
      <w:r>
        <w:rPr>
          <w:rFonts w:ascii="Arial" w:hAnsi="Arial" w:cs="Arial"/>
        </w:rPr>
        <w:t>发售时间安排</w:t>
      </w:r>
    </w:p>
    <w:p w14:paraId="6AD11CB8">
      <w:pPr>
        <w:adjustRightInd w:val="0"/>
        <w:snapToGrid w:val="0"/>
        <w:spacing w:line="360" w:lineRule="auto"/>
        <w:ind w:firstLine="420" w:firstLineChars="200"/>
        <w:rPr>
          <w:rFonts w:hint="eastAsia" w:ascii="Arial" w:hAnsi="Arial" w:cs="Arial"/>
          <w:szCs w:val="24"/>
        </w:rPr>
      </w:pPr>
      <w:r>
        <w:rPr>
          <w:rFonts w:ascii="Arial" w:hAnsi="Arial" w:cs="Arial"/>
          <w:szCs w:val="24"/>
        </w:rPr>
        <w:t>本基金的募集期限不超过3个月，自基金份额开始发售之日起计算。</w:t>
      </w:r>
    </w:p>
    <w:p w14:paraId="49447B6A">
      <w:pPr>
        <w:adjustRightInd w:val="0"/>
        <w:snapToGrid w:val="0"/>
        <w:spacing w:line="360" w:lineRule="auto"/>
        <w:ind w:firstLine="420" w:firstLineChars="200"/>
        <w:rPr>
          <w:rFonts w:ascii="Arial" w:hAnsi="Arial" w:cs="Arial"/>
          <w:szCs w:val="24"/>
        </w:rPr>
      </w:pPr>
      <w:r>
        <w:rPr>
          <w:rFonts w:hint="eastAsia" w:ascii="Arial" w:hAnsi="Arial" w:cs="Arial"/>
          <w:szCs w:val="24"/>
        </w:rPr>
        <w:t>本基金自</w:t>
      </w:r>
      <w:r>
        <w:rPr>
          <w:rFonts w:hint="eastAsia" w:ascii="Arial" w:hAnsi="Arial" w:cs="Arial"/>
          <w:szCs w:val="24"/>
          <w:lang w:eastAsia="zh-CN"/>
        </w:rPr>
        <w:t>2026年10月12日起至2026年10月23日</w:t>
      </w:r>
      <w:r>
        <w:rPr>
          <w:rFonts w:hint="eastAsia" w:ascii="Arial" w:hAnsi="Arial" w:cs="Arial"/>
          <w:szCs w:val="24"/>
        </w:rPr>
        <w:t>通过销售机构公开发售。投资者可选择网上现金认购、网下现金认购两种方式认购本基金。其中，网下现金发售的日期为</w:t>
      </w:r>
      <w:r>
        <w:rPr>
          <w:rFonts w:hint="eastAsia" w:ascii="Arial" w:hAnsi="Arial" w:cs="Arial"/>
          <w:szCs w:val="24"/>
          <w:lang w:eastAsia="zh-CN"/>
        </w:rPr>
        <w:t>2026年10月12日起至2026年10月23日</w:t>
      </w:r>
      <w:r>
        <w:rPr>
          <w:rFonts w:hint="eastAsia" w:ascii="Arial" w:hAnsi="Arial" w:cs="Arial"/>
          <w:szCs w:val="24"/>
        </w:rPr>
        <w:t>，网上现金发售的日期为</w:t>
      </w:r>
      <w:r>
        <w:rPr>
          <w:rFonts w:hint="eastAsia" w:ascii="Arial" w:hAnsi="Arial" w:cs="Arial"/>
          <w:szCs w:val="24"/>
          <w:lang w:eastAsia="zh-CN"/>
        </w:rPr>
        <w:t>2026年10月12日起至2026年10月23日</w:t>
      </w:r>
      <w:r>
        <w:rPr>
          <w:rFonts w:hint="eastAsia" w:ascii="Arial" w:hAnsi="Arial" w:cs="Arial"/>
          <w:szCs w:val="24"/>
        </w:rPr>
        <w:t>。如上海证券交易所对网上现金认购时间做出调整，我司将相应调整并及时公告。本公司可根据认购的情况适当调整募集时间，但最长不超过法定募集期限，并予以公告。</w:t>
      </w:r>
    </w:p>
    <w:p w14:paraId="200A9C0E">
      <w:pPr>
        <w:autoSpaceDE w:val="0"/>
        <w:autoSpaceDN w:val="0"/>
        <w:adjustRightInd w:val="0"/>
        <w:snapToGrid w:val="0"/>
        <w:spacing w:line="360" w:lineRule="auto"/>
        <w:ind w:firstLine="420" w:firstLineChars="200"/>
        <w:rPr>
          <w:rFonts w:ascii="Arial" w:hAnsi="Arial" w:cs="Arial"/>
          <w:szCs w:val="24"/>
        </w:rPr>
      </w:pPr>
      <w:r>
        <w:rPr>
          <w:rFonts w:ascii="Arial" w:hAnsi="Arial" w:cs="Arial"/>
          <w:szCs w:val="24"/>
        </w:rPr>
        <w:t>2</w:t>
      </w:r>
      <w:r>
        <w:rPr>
          <w:rFonts w:hint="eastAsia" w:ascii="Arial" w:hAnsi="Arial" w:cs="Arial"/>
        </w:rPr>
        <w:t>、</w:t>
      </w:r>
      <w:r>
        <w:rPr>
          <w:rFonts w:ascii="Arial" w:hAnsi="Arial" w:cs="Arial"/>
        </w:rPr>
        <w:t>基金备案条件</w:t>
      </w:r>
    </w:p>
    <w:p w14:paraId="750981A5">
      <w:pPr>
        <w:adjustRightInd w:val="0"/>
        <w:snapToGrid w:val="0"/>
        <w:spacing w:line="360" w:lineRule="auto"/>
        <w:ind w:firstLine="420"/>
        <w:rPr>
          <w:rFonts w:hint="eastAsia" w:ascii="Arial" w:hAnsi="宋体" w:cs="Arial"/>
          <w:kern w:val="0"/>
          <w:szCs w:val="21"/>
        </w:rPr>
      </w:pPr>
      <w:r>
        <w:rPr>
          <w:rFonts w:hint="eastAsia" w:ascii="Arial" w:hAnsi="宋体" w:cs="Arial"/>
          <w:kern w:val="0"/>
          <w:szCs w:val="21"/>
        </w:rPr>
        <w:t>本基金自基金份额发售之日起3个月内，在基金募集份额总额不少于2亿份，基金募集金额不少于2 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567A5113">
      <w:pPr>
        <w:adjustRightInd w:val="0"/>
        <w:snapToGrid w:val="0"/>
        <w:spacing w:line="360" w:lineRule="auto"/>
        <w:ind w:firstLine="420"/>
        <w:rPr>
          <w:rFonts w:hint="eastAsia" w:ascii="Arial" w:hAnsi="宋体" w:cs="Arial"/>
          <w:kern w:val="0"/>
          <w:szCs w:val="21"/>
        </w:rPr>
      </w:pPr>
      <w:r>
        <w:rPr>
          <w:rFonts w:hint="eastAsia" w:ascii="Arial" w:hAnsi="宋体" w:cs="Arial"/>
          <w:kern w:val="0"/>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3549B87F">
      <w:pPr>
        <w:adjustRightInd w:val="0"/>
        <w:snapToGrid w:val="0"/>
        <w:spacing w:line="360" w:lineRule="auto"/>
        <w:ind w:firstLine="420"/>
        <w:rPr>
          <w:rFonts w:hint="eastAsia" w:ascii="Arial" w:hAnsi="Arial" w:cs="Arial"/>
          <w:kern w:val="3"/>
        </w:rPr>
      </w:pPr>
      <w:r>
        <w:rPr>
          <w:rFonts w:hint="eastAsia" w:ascii="Arial" w:hAnsi="宋体" w:cs="Arial"/>
          <w:kern w:val="0"/>
          <w:szCs w:val="21"/>
        </w:rPr>
        <w:t>基金管理人应将基金募集期间募集的资金存入专门账户，在基金募集行为结束前，任何人不得动用。</w:t>
      </w:r>
    </w:p>
    <w:p w14:paraId="7070D970">
      <w:pPr>
        <w:adjustRightInd w:val="0"/>
        <w:snapToGrid w:val="0"/>
        <w:spacing w:line="360" w:lineRule="auto"/>
        <w:ind w:firstLine="420"/>
        <w:rPr>
          <w:rFonts w:ascii="Arial" w:hAnsi="Arial" w:cs="Arial"/>
          <w:kern w:val="3"/>
        </w:rPr>
      </w:pPr>
      <w:r>
        <w:rPr>
          <w:rFonts w:hint="eastAsia" w:ascii="Arial" w:hAnsi="Arial" w:cs="Arial"/>
          <w:kern w:val="3"/>
        </w:rPr>
        <w:t>3、</w:t>
      </w:r>
      <w:r>
        <w:rPr>
          <w:rFonts w:ascii="Arial" w:hAnsi="Arial" w:cs="Arial"/>
          <w:kern w:val="3"/>
        </w:rPr>
        <w:t>基金募集失败</w:t>
      </w:r>
    </w:p>
    <w:p w14:paraId="28FC13E4">
      <w:pPr>
        <w:adjustRightInd w:val="0"/>
        <w:snapToGrid w:val="0"/>
        <w:spacing w:line="360" w:lineRule="auto"/>
        <w:ind w:firstLine="420" w:firstLineChars="200"/>
        <w:rPr>
          <w:rFonts w:hint="eastAsia" w:ascii="Arial" w:hAnsi="宋体" w:cs="Arial"/>
          <w:kern w:val="0"/>
          <w:szCs w:val="21"/>
        </w:rPr>
      </w:pPr>
      <w:r>
        <w:rPr>
          <w:rFonts w:hint="eastAsia" w:ascii="Arial" w:hAnsi="宋体" w:cs="Arial"/>
          <w:kern w:val="0"/>
          <w:szCs w:val="21"/>
        </w:rPr>
        <w:t>如果募集期限届满，未满足基金备案条件，基金管理人应当承担下列责任：</w:t>
      </w:r>
    </w:p>
    <w:p w14:paraId="5177D992">
      <w:pPr>
        <w:adjustRightInd w:val="0"/>
        <w:snapToGrid w:val="0"/>
        <w:spacing w:line="360" w:lineRule="auto"/>
        <w:ind w:firstLine="420" w:firstLineChars="200"/>
        <w:rPr>
          <w:rFonts w:hint="eastAsia" w:ascii="Arial" w:hAnsi="宋体" w:cs="Arial"/>
          <w:kern w:val="0"/>
          <w:szCs w:val="21"/>
        </w:rPr>
      </w:pPr>
      <w:r>
        <w:rPr>
          <w:rFonts w:hint="eastAsia" w:ascii="Arial" w:hAnsi="宋体" w:cs="Arial"/>
          <w:kern w:val="0"/>
          <w:szCs w:val="21"/>
        </w:rPr>
        <w:t>1、以其固有财产承担因募集行为而产生的债务和费用；</w:t>
      </w:r>
    </w:p>
    <w:p w14:paraId="591768DB">
      <w:pPr>
        <w:adjustRightInd w:val="0"/>
        <w:snapToGrid w:val="0"/>
        <w:spacing w:line="360" w:lineRule="auto"/>
        <w:ind w:firstLine="420" w:firstLineChars="200"/>
        <w:rPr>
          <w:rFonts w:hint="eastAsia" w:ascii="Arial" w:hAnsi="宋体" w:cs="Arial"/>
          <w:kern w:val="0"/>
          <w:szCs w:val="21"/>
        </w:rPr>
      </w:pPr>
      <w:r>
        <w:rPr>
          <w:rFonts w:hint="eastAsia" w:ascii="Arial" w:hAnsi="宋体" w:cs="Arial"/>
          <w:kern w:val="0"/>
          <w:szCs w:val="21"/>
        </w:rPr>
        <w:t>2、在基金募集期限届满后30日内返还投资者已缴纳的款项，并加计银行同期活期存款利息；</w:t>
      </w:r>
    </w:p>
    <w:p w14:paraId="71E2D935">
      <w:pPr>
        <w:adjustRightInd w:val="0"/>
        <w:snapToGrid w:val="0"/>
        <w:spacing w:line="360" w:lineRule="auto"/>
        <w:ind w:firstLine="420" w:firstLineChars="200"/>
        <w:rPr>
          <w:rFonts w:hint="eastAsia" w:ascii="Arial" w:hAnsi="宋体" w:cs="Arial"/>
          <w:kern w:val="0"/>
          <w:szCs w:val="21"/>
        </w:rPr>
      </w:pPr>
      <w:r>
        <w:rPr>
          <w:rFonts w:hint="eastAsia" w:ascii="Arial" w:hAnsi="宋体" w:cs="Arial"/>
          <w:kern w:val="0"/>
          <w:szCs w:val="21"/>
        </w:rPr>
        <w:t>3、如基金募集失败，基金管理人、基金托管人及销售机构不得请求报酬。</w:t>
      </w:r>
    </w:p>
    <w:p w14:paraId="30C6778B">
      <w:pPr>
        <w:adjustRightInd w:val="0"/>
        <w:snapToGrid w:val="0"/>
        <w:spacing w:line="360" w:lineRule="auto"/>
        <w:ind w:firstLine="420" w:firstLineChars="200"/>
        <w:rPr>
          <w:rFonts w:ascii="Arial" w:hAnsi="Arial" w:cs="Arial"/>
          <w:b/>
        </w:rPr>
      </w:pPr>
      <w:r>
        <w:rPr>
          <w:rFonts w:hint="eastAsia" w:ascii="Arial" w:hAnsi="宋体" w:cs="Arial"/>
          <w:kern w:val="0"/>
          <w:szCs w:val="21"/>
        </w:rPr>
        <w:t>基金管理人、基金托管人和销售机构为基金募集支付之一切费用应由各方各自承担。</w:t>
      </w:r>
      <w:bookmarkEnd w:id="17"/>
      <w:bookmarkStart w:id="18" w:name="_Toc523138058"/>
    </w:p>
    <w:p w14:paraId="1CCA1CD0">
      <w:pPr>
        <w:adjustRightInd w:val="0"/>
        <w:snapToGrid w:val="0"/>
        <w:spacing w:line="360" w:lineRule="auto"/>
        <w:ind w:firstLine="422" w:firstLineChars="200"/>
        <w:rPr>
          <w:rFonts w:ascii="Arial" w:hAnsi="Arial" w:cs="Arial"/>
          <w:b/>
        </w:rPr>
      </w:pPr>
      <w:r>
        <w:rPr>
          <w:rFonts w:ascii="Arial" w:hAnsi="Arial" w:cs="Arial"/>
          <w:b/>
        </w:rPr>
        <w:t>（八）认购方式与费率</w:t>
      </w:r>
    </w:p>
    <w:p w14:paraId="3A390841">
      <w:pPr>
        <w:adjustRightInd w:val="0"/>
        <w:snapToGrid w:val="0"/>
        <w:spacing w:line="360" w:lineRule="auto"/>
        <w:ind w:firstLine="420" w:firstLineChars="200"/>
        <w:rPr>
          <w:rFonts w:ascii="Arial" w:hAnsi="Arial" w:cs="Arial"/>
          <w:kern w:val="3"/>
        </w:rPr>
      </w:pPr>
      <w:r>
        <w:rPr>
          <w:rFonts w:ascii="Arial" w:hAnsi="Arial" w:cs="Arial"/>
          <w:kern w:val="3"/>
        </w:rPr>
        <w:t>1</w:t>
      </w:r>
      <w:r>
        <w:rPr>
          <w:rFonts w:hint="eastAsia" w:ascii="Arial" w:hAnsi="Arial" w:cs="Arial"/>
          <w:kern w:val="3"/>
        </w:rPr>
        <w:t>、</w:t>
      </w:r>
      <w:r>
        <w:rPr>
          <w:rFonts w:ascii="Arial" w:hAnsi="Arial" w:cs="Arial"/>
          <w:kern w:val="3"/>
        </w:rPr>
        <w:t>基金份额初始面值：本基金份额初始面值为人民币1.00元</w:t>
      </w:r>
      <w:r>
        <w:rPr>
          <w:rFonts w:hint="eastAsia" w:ascii="Arial" w:hAnsi="Arial" w:cs="Arial"/>
          <w:kern w:val="3"/>
        </w:rPr>
        <w:t>，认购价格为人民币1.00元</w:t>
      </w:r>
      <w:r>
        <w:rPr>
          <w:rFonts w:ascii="Arial" w:hAnsi="Arial" w:cs="Arial"/>
          <w:kern w:val="3"/>
        </w:rPr>
        <w:t>。</w:t>
      </w:r>
    </w:p>
    <w:p w14:paraId="71B9E8B7">
      <w:pPr>
        <w:adjustRightInd w:val="0"/>
        <w:snapToGrid w:val="0"/>
        <w:spacing w:line="360" w:lineRule="auto"/>
        <w:ind w:firstLine="420" w:firstLineChars="200"/>
        <w:rPr>
          <w:rFonts w:hint="eastAsia" w:ascii="Arial" w:hAnsi="Arial" w:cs="Arial"/>
          <w:kern w:val="3"/>
        </w:rPr>
      </w:pPr>
      <w:r>
        <w:rPr>
          <w:rFonts w:ascii="Arial" w:hAnsi="Arial" w:cs="Arial"/>
          <w:kern w:val="3"/>
        </w:rPr>
        <w:t>2</w:t>
      </w:r>
      <w:r>
        <w:rPr>
          <w:rFonts w:hint="eastAsia" w:ascii="Arial" w:hAnsi="Arial" w:cs="Arial"/>
          <w:kern w:val="3"/>
        </w:rPr>
        <w:t>、</w:t>
      </w:r>
      <w:r>
        <w:rPr>
          <w:rFonts w:ascii="Arial" w:hAnsi="Arial" w:cs="Arial"/>
          <w:kern w:val="3"/>
        </w:rPr>
        <w:t>认购费率</w:t>
      </w:r>
    </w:p>
    <w:p w14:paraId="56C93053">
      <w:pPr>
        <w:adjustRightInd w:val="0"/>
        <w:snapToGrid w:val="0"/>
        <w:spacing w:line="360" w:lineRule="auto"/>
        <w:ind w:firstLine="420"/>
        <w:rPr>
          <w:rFonts w:ascii="宋体" w:hAnsi="宋体" w:cs="Arial"/>
          <w:kern w:val="3"/>
        </w:rPr>
      </w:pPr>
      <w:r>
        <w:rPr>
          <w:rFonts w:hint="eastAsia" w:ascii="宋体" w:hAnsi="宋体" w:cs="Arial"/>
          <w:kern w:val="3"/>
        </w:rPr>
        <w:t>本基金的认购采用份额认购的原则。认购费用由认购基金份额的投资人承担，认购费用不列入基金财产。认购费率如下表所示：</w:t>
      </w:r>
    </w:p>
    <w:p w14:paraId="57B36397">
      <w:pPr>
        <w:snapToGrid w:val="0"/>
        <w:spacing w:line="360" w:lineRule="auto"/>
        <w:ind w:firstLine="3570" w:firstLineChars="1700"/>
        <w:rPr>
          <w:rFonts w:ascii="宋体" w:hAnsi="宋体" w:cs="Arial"/>
        </w:rPr>
      </w:pPr>
      <w:r>
        <w:rPr>
          <w:rFonts w:hint="eastAsia" w:ascii="宋体" w:hAnsi="宋体" w:cs="Arial"/>
        </w:rPr>
        <w:t>表：认购费率</w:t>
      </w:r>
    </w:p>
    <w:tbl>
      <w:tblPr>
        <w:tblStyle w:val="32"/>
        <w:tblW w:w="5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789"/>
      </w:tblGrid>
      <w:tr w14:paraId="0242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7" w:type="dxa"/>
            <w:noWrap w:val="0"/>
            <w:vAlign w:val="center"/>
          </w:tcPr>
          <w:p w14:paraId="2EB39F73">
            <w:pPr>
              <w:autoSpaceDE w:val="0"/>
              <w:autoSpaceDN w:val="0"/>
              <w:adjustRightInd w:val="0"/>
              <w:snapToGrid w:val="0"/>
              <w:spacing w:line="360" w:lineRule="auto"/>
              <w:jc w:val="center"/>
              <w:rPr>
                <w:rFonts w:ascii="宋体" w:hAnsi="宋体" w:cs="Arial"/>
                <w:b/>
                <w:bCs/>
              </w:rPr>
            </w:pPr>
            <w:r>
              <w:rPr>
                <w:rFonts w:ascii="宋体" w:hAnsi="宋体" w:cs="Arial"/>
                <w:b/>
                <w:bCs/>
              </w:rPr>
              <w:t>认购份额</w:t>
            </w:r>
          </w:p>
        </w:tc>
        <w:tc>
          <w:tcPr>
            <w:tcW w:w="1690" w:type="dxa"/>
            <w:noWrap w:val="0"/>
            <w:vAlign w:val="center"/>
          </w:tcPr>
          <w:p w14:paraId="3F3D9A95">
            <w:pPr>
              <w:autoSpaceDE w:val="0"/>
              <w:autoSpaceDN w:val="0"/>
              <w:adjustRightInd w:val="0"/>
              <w:snapToGrid w:val="0"/>
              <w:spacing w:line="360" w:lineRule="auto"/>
              <w:jc w:val="center"/>
              <w:rPr>
                <w:rFonts w:ascii="宋体" w:hAnsi="宋体" w:cs="Arial"/>
                <w:b/>
                <w:bCs/>
              </w:rPr>
            </w:pPr>
            <w:r>
              <w:rPr>
                <w:rFonts w:ascii="宋体" w:hAnsi="宋体" w:cs="Arial"/>
                <w:b/>
                <w:bCs/>
              </w:rPr>
              <w:t>认购费率</w:t>
            </w:r>
          </w:p>
        </w:tc>
      </w:tr>
      <w:tr w14:paraId="5EE5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7" w:type="dxa"/>
            <w:noWrap w:val="0"/>
            <w:vAlign w:val="center"/>
          </w:tcPr>
          <w:p w14:paraId="3984D392">
            <w:pPr>
              <w:autoSpaceDE w:val="0"/>
              <w:autoSpaceDN w:val="0"/>
              <w:adjustRightInd w:val="0"/>
              <w:snapToGrid w:val="0"/>
              <w:spacing w:line="360" w:lineRule="auto"/>
              <w:jc w:val="center"/>
              <w:rPr>
                <w:rFonts w:ascii="宋体" w:hAnsi="宋体" w:cs="Arial"/>
              </w:rPr>
            </w:pPr>
            <w:r>
              <w:rPr>
                <w:rFonts w:hint="eastAsia" w:ascii="宋体" w:hAnsi="宋体" w:cs="Arial"/>
              </w:rPr>
              <w:t>100</w:t>
            </w:r>
            <w:r>
              <w:rPr>
                <w:rFonts w:ascii="宋体" w:hAnsi="宋体" w:cs="Arial"/>
              </w:rPr>
              <w:t>万份以下</w:t>
            </w:r>
          </w:p>
        </w:tc>
        <w:tc>
          <w:tcPr>
            <w:tcW w:w="1690" w:type="dxa"/>
            <w:noWrap w:val="0"/>
            <w:vAlign w:val="center"/>
          </w:tcPr>
          <w:p w14:paraId="200DCED9">
            <w:pPr>
              <w:autoSpaceDE w:val="0"/>
              <w:autoSpaceDN w:val="0"/>
              <w:adjustRightInd w:val="0"/>
              <w:snapToGrid w:val="0"/>
              <w:spacing w:line="360" w:lineRule="auto"/>
              <w:jc w:val="center"/>
              <w:rPr>
                <w:rFonts w:ascii="宋体" w:hAnsi="宋体" w:cs="Arial"/>
              </w:rPr>
            </w:pPr>
            <w:r>
              <w:rPr>
                <w:rFonts w:ascii="宋体" w:hAnsi="宋体" w:cs="Arial"/>
              </w:rPr>
              <w:t>0.30%</w:t>
            </w:r>
          </w:p>
        </w:tc>
      </w:tr>
      <w:tr w14:paraId="4406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7" w:type="dxa"/>
            <w:noWrap w:val="0"/>
            <w:vAlign w:val="center"/>
          </w:tcPr>
          <w:p w14:paraId="36FF5C7D">
            <w:pPr>
              <w:autoSpaceDE w:val="0"/>
              <w:autoSpaceDN w:val="0"/>
              <w:adjustRightInd w:val="0"/>
              <w:snapToGrid w:val="0"/>
              <w:spacing w:line="360" w:lineRule="auto"/>
              <w:jc w:val="center"/>
              <w:rPr>
                <w:rFonts w:ascii="宋体" w:hAnsi="宋体" w:cs="Arial"/>
              </w:rPr>
            </w:pPr>
            <w:r>
              <w:rPr>
                <w:rFonts w:ascii="宋体" w:hAnsi="宋体" w:cs="Arial"/>
              </w:rPr>
              <w:t>100万份以上</w:t>
            </w:r>
            <w:r>
              <w:rPr>
                <w:rFonts w:ascii="宋体" w:hAnsi="宋体" w:cs="Arial"/>
                <w:bCs/>
                <w:kern w:val="0"/>
              </w:rPr>
              <w:t>（含）</w:t>
            </w:r>
          </w:p>
        </w:tc>
        <w:tc>
          <w:tcPr>
            <w:tcW w:w="1690" w:type="dxa"/>
            <w:noWrap w:val="0"/>
            <w:vAlign w:val="center"/>
          </w:tcPr>
          <w:p w14:paraId="170D0BA8">
            <w:pPr>
              <w:autoSpaceDE w:val="0"/>
              <w:autoSpaceDN w:val="0"/>
              <w:adjustRightInd w:val="0"/>
              <w:snapToGrid w:val="0"/>
              <w:spacing w:line="360" w:lineRule="auto"/>
              <w:jc w:val="center"/>
              <w:rPr>
                <w:rFonts w:ascii="宋体" w:hAnsi="宋体" w:cs="Arial"/>
              </w:rPr>
            </w:pPr>
            <w:r>
              <w:rPr>
                <w:rFonts w:ascii="宋体" w:hAnsi="宋体" w:cs="Arial"/>
              </w:rPr>
              <w:t>每笔</w:t>
            </w:r>
            <w:r>
              <w:rPr>
                <w:rFonts w:hint="eastAsia" w:ascii="宋体" w:hAnsi="宋体" w:cs="Arial"/>
              </w:rPr>
              <w:t>1000</w:t>
            </w:r>
            <w:r>
              <w:rPr>
                <w:rFonts w:ascii="宋体" w:hAnsi="宋体" w:cs="Arial"/>
              </w:rPr>
              <w:t>元</w:t>
            </w:r>
          </w:p>
        </w:tc>
      </w:tr>
    </w:tbl>
    <w:p w14:paraId="459A595F">
      <w:pPr>
        <w:adjustRightInd w:val="0"/>
        <w:snapToGrid w:val="0"/>
        <w:spacing w:line="360" w:lineRule="auto"/>
        <w:ind w:firstLine="420" w:firstLineChars="200"/>
        <w:rPr>
          <w:rFonts w:hint="eastAsia" w:ascii="宋体" w:hAnsi="宋体" w:cs="Arial"/>
        </w:rPr>
      </w:pPr>
      <w:r>
        <w:rPr>
          <w:rFonts w:ascii="宋体" w:hAnsi="宋体" w:cs="Arial"/>
        </w:rPr>
        <w:t>通过</w:t>
      </w:r>
      <w:r>
        <w:rPr>
          <w:rFonts w:hint="eastAsia" w:ascii="宋体" w:hAnsi="宋体" w:cs="Arial"/>
        </w:rPr>
        <w:t>基金管理人</w:t>
      </w:r>
      <w:r>
        <w:rPr>
          <w:rFonts w:ascii="宋体" w:hAnsi="宋体" w:cs="Arial"/>
        </w:rPr>
        <w:t>进行网下现金认购的投资人，</w:t>
      </w:r>
      <w:r>
        <w:rPr>
          <w:rFonts w:hint="eastAsia" w:ascii="宋体" w:hAnsi="宋体" w:cs="Arial"/>
        </w:rPr>
        <w:t>不收取认购费用。发售代理机构办理网上现金认购、网下现金认购时可参照上述费率结构收取一定的佣金。投资人可以多次认购本基金，认购费率按每笔认购申请单独计算。</w:t>
      </w:r>
    </w:p>
    <w:p w14:paraId="262A13B8">
      <w:pPr>
        <w:adjustRightInd w:val="0"/>
        <w:snapToGrid w:val="0"/>
        <w:spacing w:line="360" w:lineRule="auto"/>
        <w:ind w:firstLine="420" w:firstLineChars="200"/>
        <w:rPr>
          <w:rFonts w:ascii="Arial" w:hAnsi="Arial" w:cs="Arial"/>
          <w:kern w:val="3"/>
        </w:rPr>
      </w:pPr>
      <w:r>
        <w:rPr>
          <w:rFonts w:ascii="Arial" w:hAnsi="Arial" w:cs="Arial"/>
          <w:kern w:val="3"/>
        </w:rPr>
        <w:t>3</w:t>
      </w:r>
      <w:r>
        <w:rPr>
          <w:rFonts w:hint="eastAsia" w:ascii="Arial" w:hAnsi="Arial" w:cs="Arial"/>
          <w:kern w:val="3"/>
        </w:rPr>
        <w:t>、</w:t>
      </w:r>
      <w:r>
        <w:rPr>
          <w:rFonts w:ascii="Arial" w:hAnsi="Arial" w:cs="Arial"/>
          <w:kern w:val="3"/>
        </w:rPr>
        <w:t>认购费用计算公式和收取方式</w:t>
      </w:r>
    </w:p>
    <w:p w14:paraId="3F446236">
      <w:pPr>
        <w:adjustRightInd w:val="0"/>
        <w:snapToGrid w:val="0"/>
        <w:spacing w:line="360" w:lineRule="auto"/>
        <w:ind w:firstLine="420" w:firstLineChars="200"/>
        <w:rPr>
          <w:rFonts w:hint="eastAsia" w:ascii="宋体" w:hAnsi="宋体" w:cs="Arial"/>
        </w:rPr>
      </w:pPr>
      <w:r>
        <w:rPr>
          <w:rFonts w:hint="eastAsia" w:ascii="宋体" w:hAnsi="宋体" w:cs="Arial"/>
        </w:rPr>
        <w:t>（1）网上现金认购</w:t>
      </w:r>
    </w:p>
    <w:p w14:paraId="01EB2058">
      <w:pPr>
        <w:adjustRightInd w:val="0"/>
        <w:snapToGrid w:val="0"/>
        <w:spacing w:line="360" w:lineRule="auto"/>
        <w:ind w:firstLine="420" w:firstLineChars="200"/>
        <w:rPr>
          <w:rFonts w:hint="eastAsia" w:ascii="宋体" w:hAnsi="宋体" w:cs="Arial"/>
        </w:rPr>
      </w:pPr>
      <w:r>
        <w:rPr>
          <w:rFonts w:hint="eastAsia" w:ascii="宋体" w:hAnsi="宋体" w:cs="Arial"/>
        </w:rPr>
        <w:t>网上现金认购以基金份额申请。单一账户每笔认购份额须为1000份或其整数倍。投资人可多次认购，累计认购份额不设上限，但法律法规或监管要求另有规定或基金合同另有约定的除外。</w:t>
      </w:r>
    </w:p>
    <w:p w14:paraId="27052C46">
      <w:pPr>
        <w:adjustRightInd w:val="0"/>
        <w:snapToGrid w:val="0"/>
        <w:spacing w:line="360" w:lineRule="auto"/>
        <w:ind w:firstLine="420" w:firstLineChars="200"/>
        <w:rPr>
          <w:rFonts w:hint="eastAsia" w:ascii="宋体" w:hAnsi="宋体" w:cs="Arial"/>
        </w:rPr>
      </w:pPr>
      <w:r>
        <w:rPr>
          <w:rFonts w:hint="eastAsia" w:ascii="宋体" w:hAnsi="宋体" w:cs="Arial"/>
        </w:rPr>
        <w:t>通过发售代理机构进行网上现金认购的投资人，认购以基金份额申请，认购佣金、认购金额的计算公式为：</w:t>
      </w:r>
    </w:p>
    <w:p w14:paraId="481339BF">
      <w:pPr>
        <w:adjustRightInd w:val="0"/>
        <w:snapToGrid w:val="0"/>
        <w:spacing w:line="360" w:lineRule="auto"/>
        <w:ind w:firstLine="420" w:firstLineChars="200"/>
        <w:rPr>
          <w:rFonts w:hint="eastAsia" w:ascii="宋体" w:hAnsi="宋体" w:cs="Arial"/>
        </w:rPr>
      </w:pPr>
      <w:r>
        <w:rPr>
          <w:rFonts w:hint="eastAsia" w:ascii="宋体" w:hAnsi="宋体" w:cs="Arial"/>
        </w:rPr>
        <w:t xml:space="preserve">认购佣金＝认购价格×认购份额×佣金比率 </w:t>
      </w:r>
    </w:p>
    <w:p w14:paraId="46AB05CA">
      <w:pPr>
        <w:adjustRightInd w:val="0"/>
        <w:snapToGrid w:val="0"/>
        <w:spacing w:line="360" w:lineRule="auto"/>
        <w:ind w:firstLine="420" w:firstLineChars="200"/>
        <w:rPr>
          <w:rFonts w:hint="eastAsia" w:ascii="宋体" w:hAnsi="宋体" w:cs="Arial"/>
        </w:rPr>
      </w:pPr>
      <w:r>
        <w:rPr>
          <w:rFonts w:hint="eastAsia" w:ascii="宋体" w:hAnsi="宋体" w:cs="Arial"/>
        </w:rPr>
        <w:t>（或若适用固定费用的，认购佣金=固定费用）</w:t>
      </w:r>
    </w:p>
    <w:p w14:paraId="76C275AA">
      <w:pPr>
        <w:adjustRightInd w:val="0"/>
        <w:snapToGrid w:val="0"/>
        <w:spacing w:line="360" w:lineRule="auto"/>
        <w:ind w:firstLine="420" w:firstLineChars="200"/>
        <w:rPr>
          <w:rFonts w:hint="eastAsia" w:ascii="宋体" w:hAnsi="宋体" w:cs="Arial"/>
        </w:rPr>
      </w:pPr>
      <w:r>
        <w:rPr>
          <w:rFonts w:hint="eastAsia" w:ascii="宋体" w:hAnsi="宋体" w:cs="Arial"/>
        </w:rPr>
        <w:t xml:space="preserve">认购金额＝认购价格×认购份额×(1＋佣金比率) </w:t>
      </w:r>
    </w:p>
    <w:p w14:paraId="35633A99">
      <w:pPr>
        <w:adjustRightInd w:val="0"/>
        <w:snapToGrid w:val="0"/>
        <w:spacing w:line="360" w:lineRule="auto"/>
        <w:ind w:firstLine="420" w:firstLineChars="200"/>
        <w:rPr>
          <w:rFonts w:ascii="宋体" w:hAnsi="宋体" w:cs="Arial"/>
        </w:rPr>
      </w:pPr>
      <w:r>
        <w:rPr>
          <w:rFonts w:hint="eastAsia" w:ascii="宋体" w:hAnsi="宋体" w:cs="Arial"/>
        </w:rPr>
        <w:t>（或若适用固定费用的，认购金额＝认购价格×认购份额+固定费用）</w:t>
      </w:r>
    </w:p>
    <w:p w14:paraId="08D2AEC3">
      <w:pPr>
        <w:adjustRightInd w:val="0"/>
        <w:snapToGrid w:val="0"/>
        <w:spacing w:line="360" w:lineRule="auto"/>
        <w:ind w:firstLine="420" w:firstLineChars="200"/>
        <w:rPr>
          <w:rFonts w:hint="eastAsia" w:ascii="宋体" w:hAnsi="宋体" w:cs="Arial"/>
        </w:rPr>
      </w:pPr>
      <w:bookmarkStart w:id="19" w:name="OLE_LINK30"/>
      <w:bookmarkStart w:id="20" w:name="OLE_LINK29"/>
      <w:bookmarkStart w:id="21" w:name="OLE_LINK70"/>
      <w:bookmarkStart w:id="22" w:name="OLE_LINK71"/>
      <w:r>
        <w:rPr>
          <w:rFonts w:hint="eastAsia" w:ascii="宋体" w:hAnsi="宋体" w:cs="Arial"/>
        </w:rPr>
        <w:t>利息折算的份额＝利息/认购价格</w:t>
      </w:r>
      <w:bookmarkEnd w:id="19"/>
      <w:bookmarkEnd w:id="20"/>
    </w:p>
    <w:bookmarkEnd w:id="21"/>
    <w:bookmarkEnd w:id="22"/>
    <w:p w14:paraId="3C4894A9">
      <w:pPr>
        <w:adjustRightInd w:val="0"/>
        <w:snapToGrid w:val="0"/>
        <w:spacing w:line="360" w:lineRule="auto"/>
        <w:ind w:firstLine="420" w:firstLineChars="200"/>
        <w:rPr>
          <w:rFonts w:hint="eastAsia" w:ascii="宋体" w:hAnsi="宋体" w:cs="Arial"/>
        </w:rPr>
      </w:pPr>
      <w:r>
        <w:rPr>
          <w:rFonts w:hint="eastAsia" w:ascii="宋体" w:hAnsi="宋体" w:cs="Arial"/>
        </w:rPr>
        <w:t xml:space="preserve">认购佣金由发售代理机构向投资人收取，投资人需以现金方式交纳认购佣金。 </w:t>
      </w:r>
    </w:p>
    <w:p w14:paraId="49A2126C">
      <w:pPr>
        <w:adjustRightInd w:val="0"/>
        <w:snapToGrid w:val="0"/>
        <w:spacing w:line="360" w:lineRule="auto"/>
        <w:ind w:firstLine="420" w:firstLineChars="200"/>
        <w:rPr>
          <w:rFonts w:ascii="宋体" w:hAnsi="宋体" w:cs="Arial"/>
        </w:rPr>
      </w:pPr>
      <w:r>
        <w:rPr>
          <w:rFonts w:hint="eastAsia" w:ascii="宋体" w:hAnsi="宋体" w:cs="Arial"/>
        </w:rPr>
        <w:t>例：某投资人通过某发售代理机构以网上现金认购方式认购</w:t>
      </w:r>
      <w:r>
        <w:rPr>
          <w:rFonts w:ascii="宋体" w:hAnsi="宋体" w:cs="Arial"/>
        </w:rPr>
        <w:t>1,000</w:t>
      </w:r>
      <w:r>
        <w:rPr>
          <w:rFonts w:hint="eastAsia" w:ascii="宋体" w:hAnsi="宋体" w:cs="Arial"/>
        </w:rPr>
        <w:t>份本基金，假设该发售代理机构确认的佣金比率为</w:t>
      </w:r>
      <w:r>
        <w:rPr>
          <w:rFonts w:ascii="宋体" w:hAnsi="宋体" w:cs="Arial"/>
        </w:rPr>
        <w:t>0.3</w:t>
      </w:r>
      <w:r>
        <w:rPr>
          <w:rFonts w:hint="eastAsia" w:ascii="宋体" w:hAnsi="宋体" w:cs="Arial"/>
        </w:rPr>
        <w:t>0</w:t>
      </w:r>
      <w:r>
        <w:rPr>
          <w:rFonts w:ascii="宋体" w:hAnsi="宋体" w:cs="Arial"/>
        </w:rPr>
        <w:t>%</w:t>
      </w:r>
      <w:r>
        <w:rPr>
          <w:rFonts w:hint="eastAsia" w:ascii="宋体" w:hAnsi="宋体" w:cs="Arial"/>
        </w:rPr>
        <w:t>，</w:t>
      </w:r>
      <w:r>
        <w:rPr>
          <w:rFonts w:hint="eastAsia" w:ascii="宋体" w:hAnsi="宋体" w:cs="Arial"/>
          <w:highlight w:val="none"/>
        </w:rPr>
        <w:t>假设</w:t>
      </w:r>
      <w:r>
        <w:rPr>
          <w:rFonts w:hint="eastAsia" w:ascii="宋体" w:hAnsi="宋体" w:cs="Arial"/>
        </w:rPr>
        <w:t>利息为2元，则投资人需支付的认购佣金和需准备的认购金额计算如下：</w:t>
      </w:r>
      <w:r>
        <w:rPr>
          <w:rFonts w:ascii="宋体" w:hAnsi="宋体" w:cs="Arial"/>
        </w:rPr>
        <w:t xml:space="preserve"> </w:t>
      </w:r>
    </w:p>
    <w:p w14:paraId="7E1F2BFB">
      <w:pPr>
        <w:adjustRightInd w:val="0"/>
        <w:snapToGrid w:val="0"/>
        <w:spacing w:line="360" w:lineRule="auto"/>
        <w:ind w:left="420"/>
        <w:rPr>
          <w:rFonts w:ascii="宋体" w:hAnsi="宋体" w:cs="Arial"/>
        </w:rPr>
      </w:pPr>
      <w:r>
        <w:rPr>
          <w:rFonts w:hint="eastAsia" w:ascii="宋体" w:hAnsi="宋体" w:cs="Arial"/>
        </w:rPr>
        <w:t>认购佣金＝</w:t>
      </w:r>
      <w:r>
        <w:rPr>
          <w:rFonts w:ascii="宋体" w:hAnsi="宋体" w:cs="Arial"/>
        </w:rPr>
        <w:t>1.00</w:t>
      </w:r>
      <w:r>
        <w:rPr>
          <w:rFonts w:hint="eastAsia" w:ascii="宋体" w:hAnsi="宋体" w:cs="Arial"/>
        </w:rPr>
        <w:t>×</w:t>
      </w:r>
      <w:r>
        <w:rPr>
          <w:rFonts w:ascii="宋体" w:hAnsi="宋体" w:cs="Arial"/>
        </w:rPr>
        <w:t>1,000</w:t>
      </w:r>
      <w:r>
        <w:rPr>
          <w:rFonts w:hint="eastAsia" w:ascii="宋体" w:hAnsi="宋体" w:cs="Arial"/>
        </w:rPr>
        <w:t>×</w:t>
      </w:r>
      <w:r>
        <w:rPr>
          <w:rFonts w:ascii="宋体" w:hAnsi="宋体" w:cs="Arial"/>
        </w:rPr>
        <w:t>0.3</w:t>
      </w:r>
      <w:r>
        <w:rPr>
          <w:rFonts w:hint="eastAsia" w:ascii="宋体" w:hAnsi="宋体" w:cs="Arial"/>
        </w:rPr>
        <w:t>0</w:t>
      </w:r>
      <w:r>
        <w:rPr>
          <w:rFonts w:ascii="宋体" w:hAnsi="宋体" w:cs="Arial"/>
        </w:rPr>
        <w:t>%</w:t>
      </w:r>
      <w:r>
        <w:rPr>
          <w:rFonts w:hint="eastAsia" w:ascii="宋体" w:hAnsi="宋体" w:cs="Arial"/>
        </w:rPr>
        <w:t>＝</w:t>
      </w:r>
      <w:r>
        <w:rPr>
          <w:rFonts w:ascii="宋体" w:hAnsi="宋体" w:cs="Arial"/>
        </w:rPr>
        <w:t>3</w:t>
      </w:r>
      <w:r>
        <w:rPr>
          <w:rFonts w:hint="eastAsia" w:ascii="宋体" w:hAnsi="宋体" w:cs="Arial"/>
        </w:rPr>
        <w:t>.00元</w:t>
      </w:r>
      <w:r>
        <w:rPr>
          <w:rFonts w:ascii="宋体" w:hAnsi="宋体" w:cs="Arial"/>
        </w:rPr>
        <w:t xml:space="preserve"> </w:t>
      </w:r>
    </w:p>
    <w:p w14:paraId="6EE65713">
      <w:pPr>
        <w:adjustRightInd w:val="0"/>
        <w:snapToGrid w:val="0"/>
        <w:spacing w:line="360" w:lineRule="auto"/>
        <w:ind w:left="420"/>
        <w:rPr>
          <w:rFonts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1,000</w:t>
      </w:r>
      <w:r>
        <w:rPr>
          <w:rFonts w:hint="eastAsia" w:ascii="宋体" w:hAnsi="宋体" w:cs="Arial"/>
        </w:rPr>
        <w:t>×</w:t>
      </w:r>
      <w:r>
        <w:rPr>
          <w:rFonts w:ascii="宋体" w:hAnsi="宋体" w:cs="Arial"/>
        </w:rPr>
        <w:t>(1+0.3</w:t>
      </w:r>
      <w:r>
        <w:rPr>
          <w:rFonts w:hint="eastAsia" w:ascii="宋体" w:hAnsi="宋体" w:cs="Arial"/>
        </w:rPr>
        <w:t>0</w:t>
      </w:r>
      <w:r>
        <w:rPr>
          <w:rFonts w:ascii="宋体" w:hAnsi="宋体" w:cs="Arial"/>
        </w:rPr>
        <w:t>%)</w:t>
      </w:r>
      <w:r>
        <w:rPr>
          <w:rFonts w:hint="eastAsia" w:ascii="宋体" w:hAnsi="宋体" w:cs="Arial"/>
        </w:rPr>
        <w:t>＝</w:t>
      </w:r>
      <w:r>
        <w:rPr>
          <w:rFonts w:ascii="宋体" w:hAnsi="宋体" w:cs="Arial"/>
        </w:rPr>
        <w:t>1,003</w:t>
      </w:r>
      <w:r>
        <w:rPr>
          <w:rFonts w:hint="eastAsia" w:ascii="宋体" w:hAnsi="宋体" w:cs="Arial"/>
        </w:rPr>
        <w:t>.00元</w:t>
      </w:r>
      <w:r>
        <w:rPr>
          <w:rFonts w:ascii="宋体" w:hAnsi="宋体" w:cs="Arial"/>
        </w:rPr>
        <w:t xml:space="preserve"> </w:t>
      </w:r>
    </w:p>
    <w:p w14:paraId="3DB86237">
      <w:pPr>
        <w:adjustRightInd w:val="0"/>
        <w:snapToGrid w:val="0"/>
        <w:spacing w:line="360" w:lineRule="auto"/>
        <w:ind w:firstLine="420" w:firstLineChars="200"/>
        <w:rPr>
          <w:rFonts w:ascii="宋体" w:hAnsi="宋体" w:cs="Arial"/>
        </w:rPr>
      </w:pPr>
      <w:bookmarkStart w:id="23" w:name="OLE_LINK27"/>
      <w:bookmarkStart w:id="24" w:name="OLE_LINK28"/>
      <w:r>
        <w:rPr>
          <w:rFonts w:hint="eastAsia" w:ascii="宋体" w:hAnsi="宋体" w:cs="Arial"/>
        </w:rPr>
        <w:t>利息折算的份额=2/1.00=2份</w:t>
      </w:r>
    </w:p>
    <w:p w14:paraId="1D85648A">
      <w:pPr>
        <w:adjustRightInd w:val="0"/>
        <w:snapToGrid w:val="0"/>
        <w:spacing w:line="360" w:lineRule="auto"/>
        <w:ind w:firstLine="420" w:firstLineChars="200"/>
        <w:rPr>
          <w:rFonts w:ascii="宋体" w:hAnsi="宋体" w:cs="Arial"/>
        </w:rPr>
      </w:pPr>
      <w:r>
        <w:rPr>
          <w:rFonts w:hint="eastAsia" w:ascii="宋体" w:hAnsi="宋体" w:cs="Arial"/>
        </w:rPr>
        <w:t>投资人实际可得份额=1,000+2=</w:t>
      </w:r>
      <w:bookmarkStart w:id="25" w:name="OLE_LINK20"/>
      <w:bookmarkStart w:id="26" w:name="OLE_LINK24"/>
      <w:bookmarkStart w:id="27" w:name="OLE_LINK21"/>
      <w:r>
        <w:rPr>
          <w:rFonts w:hint="eastAsia" w:ascii="宋体" w:hAnsi="宋体" w:cs="Arial"/>
        </w:rPr>
        <w:t>1,0</w:t>
      </w:r>
      <w:bookmarkEnd w:id="25"/>
      <w:bookmarkEnd w:id="26"/>
      <w:bookmarkEnd w:id="27"/>
      <w:r>
        <w:rPr>
          <w:rFonts w:hint="eastAsia" w:ascii="宋体" w:hAnsi="宋体" w:cs="Arial"/>
        </w:rPr>
        <w:t>02份</w:t>
      </w:r>
      <w:bookmarkEnd w:id="23"/>
      <w:bookmarkEnd w:id="24"/>
    </w:p>
    <w:p w14:paraId="0FEF0874">
      <w:pPr>
        <w:adjustRightInd w:val="0"/>
        <w:snapToGrid w:val="0"/>
        <w:spacing w:line="360" w:lineRule="auto"/>
        <w:ind w:firstLine="420" w:firstLineChars="200"/>
        <w:rPr>
          <w:rFonts w:ascii="宋体" w:hAnsi="宋体" w:cs="Arial"/>
        </w:rPr>
      </w:pPr>
      <w:r>
        <w:rPr>
          <w:rFonts w:hint="eastAsia" w:ascii="宋体" w:hAnsi="宋体" w:cs="Arial"/>
        </w:rPr>
        <w:t>即投资人需准备</w:t>
      </w:r>
      <w:r>
        <w:rPr>
          <w:rFonts w:ascii="宋体" w:hAnsi="宋体" w:cs="Arial"/>
        </w:rPr>
        <w:t>1,003</w:t>
      </w:r>
      <w:r>
        <w:rPr>
          <w:rFonts w:hint="eastAsia" w:ascii="宋体" w:hAnsi="宋体" w:cs="Arial"/>
        </w:rPr>
        <w:t>.00元资金，方可认购到</w:t>
      </w:r>
      <w:r>
        <w:rPr>
          <w:rFonts w:ascii="宋体" w:hAnsi="宋体" w:cs="Arial"/>
        </w:rPr>
        <w:t>1,000</w:t>
      </w:r>
      <w:r>
        <w:rPr>
          <w:rFonts w:hint="eastAsia" w:ascii="宋体" w:hAnsi="宋体" w:cs="Arial"/>
        </w:rPr>
        <w:t>份本基金基金份额，</w:t>
      </w:r>
      <w:r>
        <w:rPr>
          <w:rFonts w:hint="eastAsia" w:ascii="宋体" w:hAnsi="宋体" w:cs="Arial"/>
          <w:highlight w:val="none"/>
        </w:rPr>
        <w:t>假设</w:t>
      </w:r>
      <w:r>
        <w:rPr>
          <w:rFonts w:hint="eastAsia" w:ascii="宋体" w:hAnsi="宋体" w:cs="Arial"/>
        </w:rPr>
        <w:t>利息为2元，</w:t>
      </w:r>
      <w:r>
        <w:rPr>
          <w:rFonts w:hint="eastAsia" w:ascii="宋体" w:hAnsi="宋体" w:cs="Arial"/>
          <w:lang w:val="en-US" w:eastAsia="zh-CN"/>
        </w:rPr>
        <w:t>则</w:t>
      </w:r>
      <w:r>
        <w:rPr>
          <w:rFonts w:hint="eastAsia" w:ascii="宋体" w:hAnsi="宋体" w:cs="Arial"/>
        </w:rPr>
        <w:t>其最终实际所得的基金份额为</w:t>
      </w:r>
      <w:r>
        <w:rPr>
          <w:rFonts w:ascii="宋体" w:hAnsi="宋体" w:cs="Arial"/>
        </w:rPr>
        <w:t>1,002</w:t>
      </w:r>
      <w:r>
        <w:rPr>
          <w:rFonts w:hint="eastAsia" w:ascii="宋体" w:hAnsi="宋体" w:cs="Arial"/>
        </w:rPr>
        <w:t>份。</w:t>
      </w:r>
    </w:p>
    <w:p w14:paraId="7E15BFA5">
      <w:pPr>
        <w:adjustRightInd w:val="0"/>
        <w:snapToGrid w:val="0"/>
        <w:spacing w:line="360" w:lineRule="auto"/>
        <w:ind w:firstLine="420" w:firstLineChars="200"/>
        <w:rPr>
          <w:rFonts w:hint="eastAsia" w:ascii="宋体" w:hAnsi="宋体" w:cs="Arial"/>
        </w:rPr>
      </w:pPr>
      <w:r>
        <w:rPr>
          <w:rFonts w:hint="eastAsia" w:ascii="宋体" w:hAnsi="宋体" w:cs="Arial"/>
        </w:rPr>
        <w:t>（2）网下现金认购</w:t>
      </w:r>
    </w:p>
    <w:p w14:paraId="63EA6AA9">
      <w:pPr>
        <w:adjustRightInd w:val="0"/>
        <w:snapToGrid w:val="0"/>
        <w:spacing w:line="360" w:lineRule="auto"/>
        <w:ind w:firstLine="420"/>
        <w:rPr>
          <w:rFonts w:hint="eastAsia" w:ascii="宋体" w:hAnsi="宋体" w:cs="Arial"/>
        </w:rPr>
      </w:pPr>
      <w:r>
        <w:rPr>
          <w:rFonts w:ascii="宋体" w:hAnsi="宋体" w:cs="Arial"/>
        </w:rPr>
        <w:t>网下现金认购以基金份额申请。投资人通过发售代理机构办理网下现金认购的，每笔认购份额须为1000份或其整数倍；投资人通过基金管理人办理网下现金认购的，每笔认购份额须在</w:t>
      </w:r>
      <w:r>
        <w:rPr>
          <w:rFonts w:hint="eastAsia" w:ascii="宋体" w:hAnsi="宋体" w:cs="Arial"/>
        </w:rPr>
        <w:t>5</w:t>
      </w:r>
      <w:r>
        <w:rPr>
          <w:rFonts w:ascii="宋体" w:hAnsi="宋体" w:cs="Arial"/>
        </w:rPr>
        <w:t>万份以上（含</w:t>
      </w:r>
      <w:r>
        <w:rPr>
          <w:rFonts w:hint="eastAsia" w:ascii="宋体" w:hAnsi="宋体" w:cs="Arial"/>
        </w:rPr>
        <w:t>5</w:t>
      </w:r>
      <w:r>
        <w:rPr>
          <w:rFonts w:ascii="宋体" w:hAnsi="宋体" w:cs="Arial"/>
        </w:rPr>
        <w:t>万份），投资人可多次认购，累计认购份额不设上限</w:t>
      </w:r>
      <w:r>
        <w:rPr>
          <w:rFonts w:hint="eastAsia" w:ascii="宋体" w:hAnsi="宋体" w:cs="Arial"/>
        </w:rPr>
        <w:t>，但法律法规或监管要求另有规定或基金合同另有约定的除外</w:t>
      </w:r>
      <w:r>
        <w:rPr>
          <w:rFonts w:ascii="宋体" w:hAnsi="宋体" w:cs="Arial"/>
        </w:rPr>
        <w:t>。</w:t>
      </w:r>
    </w:p>
    <w:p w14:paraId="46F008DF">
      <w:pPr>
        <w:adjustRightInd w:val="0"/>
        <w:snapToGrid w:val="0"/>
        <w:spacing w:line="360" w:lineRule="auto"/>
        <w:ind w:firstLine="420"/>
        <w:rPr>
          <w:rFonts w:ascii="宋体" w:hAnsi="宋体" w:cs="Arial"/>
        </w:rPr>
      </w:pPr>
      <w:r>
        <w:rPr>
          <w:rFonts w:hint="eastAsia" w:ascii="宋体" w:hAnsi="宋体" w:cs="Arial"/>
        </w:rPr>
        <w:t>1）</w:t>
      </w:r>
      <w:r>
        <w:rPr>
          <w:rFonts w:ascii="宋体" w:hAnsi="宋体" w:cs="Arial"/>
        </w:rPr>
        <w:t>通过</w:t>
      </w:r>
      <w:r>
        <w:rPr>
          <w:rFonts w:hint="eastAsia" w:ascii="宋体" w:hAnsi="宋体" w:cs="Arial"/>
        </w:rPr>
        <w:t>基金管理人</w:t>
      </w:r>
      <w:r>
        <w:rPr>
          <w:rFonts w:ascii="宋体" w:hAnsi="宋体" w:cs="Arial"/>
        </w:rPr>
        <w:t>进行网下现金认购的投资人，</w:t>
      </w:r>
      <w:r>
        <w:rPr>
          <w:rFonts w:hint="eastAsia" w:ascii="宋体" w:hAnsi="宋体" w:cs="Arial"/>
        </w:rPr>
        <w:t>不收取认购费用。</w:t>
      </w:r>
      <w:r>
        <w:rPr>
          <w:rFonts w:ascii="宋体" w:hAnsi="宋体" w:cs="Arial"/>
        </w:rPr>
        <w:t>认购以基金份额申请，认购金额的计算公式为：</w:t>
      </w:r>
    </w:p>
    <w:p w14:paraId="185E3DA0">
      <w:pPr>
        <w:adjustRightInd w:val="0"/>
        <w:snapToGrid w:val="0"/>
        <w:spacing w:line="360" w:lineRule="auto"/>
        <w:ind w:firstLine="420"/>
        <w:rPr>
          <w:rFonts w:ascii="宋体" w:hAnsi="宋体" w:cs="Arial"/>
        </w:rPr>
      </w:pPr>
      <w:r>
        <w:rPr>
          <w:rFonts w:ascii="宋体" w:hAnsi="宋体" w:cs="Arial"/>
        </w:rPr>
        <w:t>认购金额＝认购份额×</w:t>
      </w:r>
      <w:r>
        <w:rPr>
          <w:rFonts w:hint="eastAsia" w:ascii="宋体" w:hAnsi="宋体" w:cs="Arial"/>
        </w:rPr>
        <w:t>认购价格</w:t>
      </w:r>
    </w:p>
    <w:p w14:paraId="2B2CBFFD">
      <w:pPr>
        <w:adjustRightInd w:val="0"/>
        <w:snapToGrid w:val="0"/>
        <w:spacing w:line="360" w:lineRule="auto"/>
        <w:ind w:firstLine="420"/>
        <w:rPr>
          <w:rFonts w:ascii="宋体" w:hAnsi="宋体" w:cs="Arial"/>
        </w:rPr>
      </w:pPr>
      <w:r>
        <w:rPr>
          <w:rFonts w:hint="eastAsia" w:ascii="宋体" w:hAnsi="宋体" w:cs="Arial"/>
        </w:rPr>
        <w:t>利息折算的份额＝利息/认购价格</w:t>
      </w:r>
      <w:bookmarkStart w:id="64" w:name="_GoBack"/>
      <w:bookmarkEnd w:id="64"/>
    </w:p>
    <w:p w14:paraId="3B39BCE2">
      <w:pPr>
        <w:adjustRightInd w:val="0"/>
        <w:snapToGrid w:val="0"/>
        <w:spacing w:line="360" w:lineRule="auto"/>
        <w:ind w:firstLine="420"/>
        <w:rPr>
          <w:rFonts w:ascii="宋体" w:hAnsi="宋体" w:cs="Arial"/>
        </w:rPr>
      </w:pPr>
      <w:r>
        <w:rPr>
          <w:rFonts w:hint="eastAsia" w:ascii="宋体" w:hAnsi="宋体" w:cs="Arial"/>
        </w:rPr>
        <w:t>例：某投资人通过基金管理人以网下现金认购方式认购1</w:t>
      </w:r>
      <w:r>
        <w:rPr>
          <w:rFonts w:ascii="宋体" w:hAnsi="宋体" w:cs="Arial"/>
        </w:rPr>
        <w:t>00</w:t>
      </w:r>
      <w:r>
        <w:rPr>
          <w:rFonts w:hint="eastAsia" w:ascii="宋体" w:hAnsi="宋体" w:cs="Arial"/>
        </w:rPr>
        <w:t>,000份本基金，不收取认购费用，利息为10元，则投资人需准备的认购金额计算如下：</w:t>
      </w:r>
      <w:r>
        <w:rPr>
          <w:rFonts w:ascii="宋体" w:hAnsi="宋体" w:cs="Arial"/>
        </w:rPr>
        <w:t xml:space="preserve"> </w:t>
      </w:r>
    </w:p>
    <w:p w14:paraId="518919EC">
      <w:pPr>
        <w:adjustRightInd w:val="0"/>
        <w:snapToGrid w:val="0"/>
        <w:spacing w:line="360" w:lineRule="auto"/>
        <w:ind w:firstLine="420"/>
        <w:rPr>
          <w:rFonts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＝100,</w:t>
      </w:r>
      <w:r>
        <w:rPr>
          <w:rFonts w:ascii="宋体" w:hAnsi="宋体" w:cs="Arial"/>
        </w:rPr>
        <w:t>0</w:t>
      </w:r>
      <w:r>
        <w:rPr>
          <w:rFonts w:hint="eastAsia" w:ascii="宋体" w:hAnsi="宋体" w:cs="Arial"/>
        </w:rPr>
        <w:t>00元</w:t>
      </w:r>
    </w:p>
    <w:p w14:paraId="671DF63C">
      <w:pPr>
        <w:adjustRightInd w:val="0"/>
        <w:snapToGrid w:val="0"/>
        <w:spacing w:line="360" w:lineRule="auto"/>
        <w:ind w:firstLine="420"/>
        <w:rPr>
          <w:rFonts w:ascii="宋体" w:hAnsi="宋体" w:cs="Arial"/>
        </w:rPr>
      </w:pPr>
      <w:r>
        <w:rPr>
          <w:rFonts w:hint="eastAsia" w:ascii="宋体" w:hAnsi="宋体" w:cs="Arial"/>
        </w:rPr>
        <w:t>利息折算的份额=10/1.00=10份</w:t>
      </w:r>
    </w:p>
    <w:p w14:paraId="485F73BE">
      <w:pPr>
        <w:adjustRightInd w:val="0"/>
        <w:snapToGrid w:val="0"/>
        <w:spacing w:line="360" w:lineRule="auto"/>
        <w:ind w:firstLine="420"/>
        <w:rPr>
          <w:rFonts w:ascii="宋体" w:hAnsi="宋体" w:cs="Arial"/>
        </w:rPr>
      </w:pPr>
      <w:r>
        <w:rPr>
          <w:rFonts w:hint="eastAsia" w:ascii="宋体" w:hAnsi="宋体" w:cs="Arial"/>
        </w:rPr>
        <w:t>投资人实际可得份额=100,000+10=100,010份</w:t>
      </w:r>
    </w:p>
    <w:p w14:paraId="3A501C0F">
      <w:pPr>
        <w:adjustRightInd w:val="0"/>
        <w:snapToGrid w:val="0"/>
        <w:spacing w:line="360" w:lineRule="auto"/>
        <w:ind w:firstLine="420"/>
        <w:rPr>
          <w:rFonts w:ascii="宋体" w:hAnsi="宋体" w:cs="Arial"/>
        </w:rPr>
      </w:pPr>
      <w:r>
        <w:rPr>
          <w:rFonts w:hint="eastAsia" w:ascii="宋体" w:hAnsi="宋体" w:cs="Arial"/>
        </w:rPr>
        <w:t>即，投资人需准备</w:t>
      </w:r>
      <w:r>
        <w:rPr>
          <w:rFonts w:ascii="宋体" w:hAnsi="宋体" w:cs="Arial"/>
        </w:rPr>
        <w:t>100</w:t>
      </w:r>
      <w:r>
        <w:rPr>
          <w:rFonts w:hint="eastAsia" w:ascii="宋体" w:hAnsi="宋体" w:cs="Arial"/>
        </w:rPr>
        <w:t>,</w:t>
      </w:r>
      <w:r>
        <w:rPr>
          <w:rFonts w:ascii="宋体" w:hAnsi="宋体" w:cs="Arial"/>
        </w:rPr>
        <w:t>0</w:t>
      </w:r>
      <w:r>
        <w:rPr>
          <w:rFonts w:hint="eastAsia" w:ascii="宋体" w:hAnsi="宋体" w:cs="Arial"/>
        </w:rPr>
        <w:t>00元资金方可认购到1</w:t>
      </w:r>
      <w:r>
        <w:rPr>
          <w:rFonts w:ascii="宋体" w:hAnsi="宋体" w:cs="Arial"/>
        </w:rPr>
        <w:t>00</w:t>
      </w:r>
      <w:r>
        <w:rPr>
          <w:rFonts w:hint="eastAsia" w:ascii="宋体" w:hAnsi="宋体" w:cs="Arial"/>
        </w:rPr>
        <w:t>,000份本基金基金份额，假设利息10元，</w:t>
      </w:r>
      <w:r>
        <w:rPr>
          <w:rFonts w:hint="eastAsia" w:ascii="宋体" w:hAnsi="宋体" w:cs="Arial"/>
          <w:lang w:val="en-US" w:eastAsia="zh-CN"/>
        </w:rPr>
        <w:t>则</w:t>
      </w:r>
      <w:r>
        <w:rPr>
          <w:rFonts w:hint="eastAsia" w:ascii="宋体" w:hAnsi="宋体" w:cs="Arial"/>
        </w:rPr>
        <w:t>其最终实际所得的基金份额为100,010份。</w:t>
      </w:r>
    </w:p>
    <w:p w14:paraId="574C3E31">
      <w:pPr>
        <w:adjustRightInd w:val="0"/>
        <w:snapToGrid w:val="0"/>
        <w:spacing w:line="360" w:lineRule="auto"/>
        <w:ind w:firstLine="420" w:firstLineChars="200"/>
        <w:rPr>
          <w:rFonts w:hint="eastAsia" w:ascii="宋体" w:hAnsi="宋体" w:cs="Arial"/>
        </w:rPr>
      </w:pPr>
      <w:r>
        <w:rPr>
          <w:rFonts w:hint="eastAsia" w:ascii="宋体" w:hAnsi="宋体" w:cs="Arial"/>
        </w:rPr>
        <w:t>2）通过发售代理机构进行网下现金认购的投资人，认购以基金份额申请，认购佣金和认购金额的计算公式为：</w:t>
      </w:r>
    </w:p>
    <w:p w14:paraId="08447047">
      <w:pPr>
        <w:adjustRightInd w:val="0"/>
        <w:snapToGrid w:val="0"/>
        <w:spacing w:line="360" w:lineRule="auto"/>
        <w:ind w:firstLine="420"/>
        <w:rPr>
          <w:rFonts w:ascii="宋体" w:hAnsi="宋体" w:cs="Arial"/>
        </w:rPr>
      </w:pPr>
      <w:r>
        <w:rPr>
          <w:rFonts w:ascii="宋体" w:hAnsi="宋体" w:cs="Arial"/>
        </w:rPr>
        <w:t>认购</w:t>
      </w:r>
      <w:r>
        <w:rPr>
          <w:rFonts w:hint="eastAsia" w:ascii="宋体" w:hAnsi="宋体" w:cs="Arial"/>
        </w:rPr>
        <w:t>佣金</w:t>
      </w:r>
      <w:r>
        <w:rPr>
          <w:rFonts w:ascii="宋体" w:hAnsi="宋体" w:cs="Arial"/>
        </w:rPr>
        <w:t>＝认购份额×基金份额</w:t>
      </w:r>
      <w:r>
        <w:rPr>
          <w:rFonts w:hint="eastAsia" w:ascii="宋体" w:hAnsi="宋体" w:cs="Arial"/>
        </w:rPr>
        <w:t>发售</w:t>
      </w:r>
      <w:r>
        <w:rPr>
          <w:rFonts w:ascii="宋体" w:hAnsi="宋体" w:cs="Arial"/>
        </w:rPr>
        <w:t>面值×</w:t>
      </w:r>
      <w:r>
        <w:rPr>
          <w:rFonts w:hint="eastAsia" w:ascii="宋体" w:hAnsi="宋体" w:cs="Arial"/>
        </w:rPr>
        <w:t>佣金比率</w:t>
      </w:r>
    </w:p>
    <w:p w14:paraId="1D2EF4EC">
      <w:pPr>
        <w:adjustRightInd w:val="0"/>
        <w:snapToGrid w:val="0"/>
        <w:spacing w:line="360" w:lineRule="auto"/>
        <w:ind w:firstLine="420"/>
        <w:rPr>
          <w:rFonts w:ascii="宋体" w:hAnsi="宋体" w:cs="Arial"/>
        </w:rPr>
      </w:pPr>
      <w:r>
        <w:rPr>
          <w:rFonts w:hint="eastAsia" w:ascii="宋体" w:hAnsi="宋体" w:cs="Arial"/>
        </w:rPr>
        <w:t>（或若适用固定费用的，认购佣金=固定费用）</w:t>
      </w:r>
    </w:p>
    <w:p w14:paraId="348E535F">
      <w:pPr>
        <w:adjustRightInd w:val="0"/>
        <w:snapToGrid w:val="0"/>
        <w:spacing w:line="360" w:lineRule="auto"/>
        <w:ind w:firstLine="420"/>
        <w:rPr>
          <w:rFonts w:ascii="宋体" w:hAnsi="宋体" w:cs="Arial"/>
        </w:rPr>
      </w:pPr>
      <w:r>
        <w:rPr>
          <w:rFonts w:ascii="宋体" w:hAnsi="宋体" w:cs="Arial"/>
        </w:rPr>
        <w:t>认购金额＝认购份额×基金份额</w:t>
      </w:r>
      <w:r>
        <w:rPr>
          <w:rFonts w:hint="eastAsia" w:ascii="宋体" w:hAnsi="宋体" w:cs="Arial"/>
        </w:rPr>
        <w:t>发售</w:t>
      </w:r>
      <w:r>
        <w:rPr>
          <w:rFonts w:ascii="宋体" w:hAnsi="宋体" w:cs="Arial"/>
        </w:rPr>
        <w:t>面值×（1＋</w:t>
      </w:r>
      <w:r>
        <w:rPr>
          <w:rFonts w:hint="eastAsia" w:ascii="宋体" w:hAnsi="宋体" w:cs="Arial"/>
        </w:rPr>
        <w:t>佣金比率</w:t>
      </w:r>
      <w:r>
        <w:rPr>
          <w:rFonts w:ascii="宋体" w:hAnsi="宋体" w:cs="Arial"/>
        </w:rPr>
        <w:t>）</w:t>
      </w:r>
    </w:p>
    <w:p w14:paraId="769753C5">
      <w:pPr>
        <w:adjustRightInd w:val="0"/>
        <w:snapToGrid w:val="0"/>
        <w:spacing w:line="360" w:lineRule="auto"/>
        <w:ind w:firstLine="420"/>
        <w:rPr>
          <w:rFonts w:ascii="宋体" w:hAnsi="宋体" w:cs="Arial"/>
        </w:rPr>
      </w:pPr>
      <w:r>
        <w:rPr>
          <w:rFonts w:hint="eastAsia" w:ascii="宋体" w:hAnsi="宋体" w:cs="Arial"/>
        </w:rPr>
        <w:t>（或若适用固定费用的，认购金额＝认购价格 ×认购份额+固定费用）</w:t>
      </w:r>
    </w:p>
    <w:p w14:paraId="728E31D1">
      <w:pPr>
        <w:adjustRightInd w:val="0"/>
        <w:snapToGrid w:val="0"/>
        <w:spacing w:line="360" w:lineRule="auto"/>
        <w:ind w:firstLine="420" w:firstLineChars="200"/>
        <w:rPr>
          <w:rFonts w:hint="eastAsia" w:ascii="宋体" w:hAnsi="宋体" w:cs="Arial"/>
        </w:rPr>
      </w:pPr>
      <w:bookmarkStart w:id="28" w:name="OLE_LINK83"/>
      <w:bookmarkStart w:id="29" w:name="OLE_LINK82"/>
      <w:r>
        <w:rPr>
          <w:rFonts w:hint="eastAsia" w:ascii="宋体" w:hAnsi="宋体" w:cs="Arial"/>
        </w:rPr>
        <w:t>利息折算的份额＝利息/认购价格</w:t>
      </w:r>
    </w:p>
    <w:bookmarkEnd w:id="28"/>
    <w:bookmarkEnd w:id="29"/>
    <w:p w14:paraId="081DDD66">
      <w:pPr>
        <w:adjustRightInd w:val="0"/>
        <w:snapToGrid w:val="0"/>
        <w:spacing w:line="360" w:lineRule="auto"/>
        <w:ind w:firstLine="420" w:firstLineChars="200"/>
        <w:rPr>
          <w:rFonts w:ascii="宋体" w:hAnsi="宋体" w:cs="Arial"/>
        </w:rPr>
      </w:pPr>
      <w:r>
        <w:rPr>
          <w:rFonts w:hint="eastAsia" w:ascii="宋体" w:hAnsi="宋体" w:cs="Arial"/>
        </w:rPr>
        <w:t>认购佣金由发售代理机构向投资人收取，投资人需以现金方式交纳认购佣金。</w:t>
      </w:r>
    </w:p>
    <w:p w14:paraId="0DB9361D">
      <w:pPr>
        <w:adjustRightInd w:val="0"/>
        <w:snapToGrid w:val="0"/>
        <w:spacing w:line="360" w:lineRule="auto"/>
        <w:ind w:firstLine="420" w:firstLineChars="200"/>
        <w:rPr>
          <w:rFonts w:ascii="宋体" w:hAnsi="宋体" w:cs="Arial"/>
        </w:rPr>
      </w:pPr>
      <w:bookmarkStart w:id="30" w:name="OLE_LINK91"/>
      <w:bookmarkStart w:id="31" w:name="OLE_LINK90"/>
      <w:r>
        <w:rPr>
          <w:rFonts w:hint="eastAsia" w:ascii="宋体" w:hAnsi="宋体" w:cs="Arial"/>
        </w:rPr>
        <w:t>例：某投资人到某发售代理机构网点认购10,000份本基金，假设该发售代理机构确认的佣金比率为0.</w:t>
      </w:r>
      <w:r>
        <w:rPr>
          <w:rFonts w:ascii="宋体" w:hAnsi="宋体" w:cs="Arial"/>
        </w:rPr>
        <w:t>3</w:t>
      </w:r>
      <w:r>
        <w:rPr>
          <w:rFonts w:hint="eastAsia" w:ascii="宋体" w:hAnsi="宋体" w:cs="Arial"/>
        </w:rPr>
        <w:t>0%，</w:t>
      </w:r>
      <w:r>
        <w:rPr>
          <w:rFonts w:hint="eastAsia" w:ascii="宋体" w:hAnsi="宋体" w:cs="Arial"/>
          <w:highlight w:val="none"/>
        </w:rPr>
        <w:t>假设</w:t>
      </w:r>
      <w:r>
        <w:rPr>
          <w:rFonts w:hint="eastAsia" w:ascii="宋体" w:hAnsi="宋体" w:cs="Arial"/>
        </w:rPr>
        <w:t>利息为5元，则需准备的资金金额计算如下：</w:t>
      </w:r>
    </w:p>
    <w:p w14:paraId="7EC3AE8E">
      <w:pPr>
        <w:adjustRightInd w:val="0"/>
        <w:snapToGrid w:val="0"/>
        <w:spacing w:line="360" w:lineRule="auto"/>
        <w:ind w:firstLine="420" w:firstLineChars="200"/>
        <w:rPr>
          <w:rFonts w:ascii="宋体" w:hAnsi="宋体" w:cs="Arial"/>
        </w:rPr>
      </w:pPr>
      <w:r>
        <w:rPr>
          <w:rFonts w:hint="eastAsia" w:ascii="宋体" w:hAnsi="宋体" w:cs="Arial"/>
        </w:rPr>
        <w:t>认购佣金=1.00×10,000×0.</w:t>
      </w:r>
      <w:r>
        <w:rPr>
          <w:rFonts w:ascii="宋体" w:hAnsi="宋体" w:cs="Arial"/>
        </w:rPr>
        <w:t>3</w:t>
      </w:r>
      <w:r>
        <w:rPr>
          <w:rFonts w:hint="eastAsia" w:ascii="宋体" w:hAnsi="宋体" w:cs="Arial"/>
        </w:rPr>
        <w:t>0%=</w:t>
      </w:r>
      <w:r>
        <w:rPr>
          <w:rFonts w:ascii="宋体" w:hAnsi="宋体" w:cs="Arial"/>
        </w:rPr>
        <w:t>3</w:t>
      </w:r>
      <w:r>
        <w:rPr>
          <w:rFonts w:hint="eastAsia" w:ascii="宋体" w:hAnsi="宋体" w:cs="Arial"/>
        </w:rPr>
        <w:t>0元</w:t>
      </w:r>
    </w:p>
    <w:p w14:paraId="7B63F17E">
      <w:pPr>
        <w:adjustRightInd w:val="0"/>
        <w:snapToGrid w:val="0"/>
        <w:spacing w:line="360" w:lineRule="auto"/>
        <w:ind w:firstLine="420" w:firstLineChars="200"/>
        <w:rPr>
          <w:rFonts w:ascii="宋体" w:hAnsi="宋体" w:cs="Arial"/>
        </w:rPr>
      </w:pPr>
      <w:r>
        <w:rPr>
          <w:rFonts w:hint="eastAsia" w:ascii="宋体" w:hAnsi="宋体" w:cs="Arial"/>
        </w:rPr>
        <w:t>认购金额=1.00×10,000×（1＋0.</w:t>
      </w:r>
      <w:r>
        <w:rPr>
          <w:rFonts w:ascii="宋体" w:hAnsi="宋体" w:cs="Arial"/>
        </w:rPr>
        <w:t>3</w:t>
      </w:r>
      <w:r>
        <w:rPr>
          <w:rFonts w:hint="eastAsia" w:ascii="宋体" w:hAnsi="宋体" w:cs="Arial"/>
        </w:rPr>
        <w:t>0%）＝10,0</w:t>
      </w:r>
      <w:r>
        <w:rPr>
          <w:rFonts w:ascii="宋体" w:hAnsi="宋体" w:cs="Arial"/>
        </w:rPr>
        <w:t>3</w:t>
      </w:r>
      <w:r>
        <w:rPr>
          <w:rFonts w:hint="eastAsia" w:ascii="宋体" w:hAnsi="宋体" w:cs="Arial"/>
        </w:rPr>
        <w:t>0元</w:t>
      </w:r>
    </w:p>
    <w:p w14:paraId="34A8496C">
      <w:pPr>
        <w:adjustRightInd w:val="0"/>
        <w:snapToGrid w:val="0"/>
        <w:spacing w:line="360" w:lineRule="auto"/>
        <w:ind w:firstLine="420" w:firstLineChars="200"/>
        <w:rPr>
          <w:rFonts w:ascii="宋体" w:hAnsi="宋体" w:cs="Arial"/>
        </w:rPr>
      </w:pPr>
      <w:r>
        <w:rPr>
          <w:rFonts w:hint="eastAsia" w:ascii="宋体" w:hAnsi="宋体" w:cs="Arial"/>
        </w:rPr>
        <w:t>利息折算的份额=</w:t>
      </w:r>
      <w:r>
        <w:rPr>
          <w:rFonts w:ascii="宋体" w:hAnsi="宋体" w:cs="Arial"/>
        </w:rPr>
        <w:t>5</w:t>
      </w:r>
      <w:r>
        <w:rPr>
          <w:rFonts w:hint="eastAsia" w:ascii="宋体" w:hAnsi="宋体" w:cs="Arial"/>
        </w:rPr>
        <w:t>/1.00=</w:t>
      </w:r>
      <w:r>
        <w:rPr>
          <w:rFonts w:ascii="宋体" w:hAnsi="宋体" w:cs="Arial"/>
        </w:rPr>
        <w:t>5</w:t>
      </w:r>
      <w:r>
        <w:rPr>
          <w:rFonts w:hint="eastAsia" w:ascii="宋体" w:hAnsi="宋体" w:cs="Arial"/>
        </w:rPr>
        <w:t>份</w:t>
      </w:r>
    </w:p>
    <w:p w14:paraId="6C061A9B">
      <w:pPr>
        <w:adjustRightInd w:val="0"/>
        <w:snapToGrid w:val="0"/>
        <w:spacing w:line="360" w:lineRule="auto"/>
        <w:ind w:firstLine="420" w:firstLineChars="200"/>
        <w:rPr>
          <w:rFonts w:hint="eastAsia" w:ascii="宋体" w:hAnsi="宋体" w:cs="Arial"/>
        </w:rPr>
      </w:pPr>
      <w:r>
        <w:rPr>
          <w:rFonts w:hint="eastAsia" w:ascii="宋体" w:hAnsi="宋体" w:cs="Arial"/>
        </w:rPr>
        <w:t>投资人实际可得份额=10,000+</w:t>
      </w:r>
      <w:r>
        <w:rPr>
          <w:rFonts w:ascii="宋体" w:hAnsi="宋体" w:cs="Arial"/>
        </w:rPr>
        <w:t>5</w:t>
      </w:r>
      <w:r>
        <w:rPr>
          <w:rFonts w:hint="eastAsia" w:ascii="宋体" w:hAnsi="宋体" w:cs="Arial"/>
        </w:rPr>
        <w:t>=</w:t>
      </w:r>
      <w:bookmarkStart w:id="32" w:name="OLE_LINK38"/>
      <w:bookmarkStart w:id="33" w:name="OLE_LINK39"/>
      <w:r>
        <w:rPr>
          <w:rFonts w:ascii="宋体" w:hAnsi="宋体" w:cs="Arial"/>
        </w:rPr>
        <w:t>10,005</w:t>
      </w:r>
      <w:bookmarkEnd w:id="32"/>
      <w:bookmarkEnd w:id="33"/>
      <w:r>
        <w:rPr>
          <w:rFonts w:hint="eastAsia" w:ascii="宋体" w:hAnsi="宋体" w:cs="Arial"/>
        </w:rPr>
        <w:t>份</w:t>
      </w:r>
    </w:p>
    <w:p w14:paraId="39B1C94F">
      <w:pPr>
        <w:adjustRightInd w:val="0"/>
        <w:snapToGrid w:val="0"/>
        <w:spacing w:line="360" w:lineRule="auto"/>
        <w:ind w:firstLine="420" w:firstLineChars="200"/>
        <w:rPr>
          <w:rFonts w:ascii="宋体" w:hAnsi="宋体" w:cs="Arial"/>
        </w:rPr>
      </w:pPr>
      <w:r>
        <w:rPr>
          <w:rFonts w:hint="eastAsia" w:ascii="宋体" w:hAnsi="宋体" w:cs="Arial"/>
        </w:rPr>
        <w:t>即投资人需准备10,0</w:t>
      </w:r>
      <w:r>
        <w:rPr>
          <w:rFonts w:ascii="宋体" w:hAnsi="宋体" w:cs="Arial"/>
        </w:rPr>
        <w:t>3</w:t>
      </w:r>
      <w:r>
        <w:rPr>
          <w:rFonts w:hint="eastAsia" w:ascii="宋体" w:hAnsi="宋体" w:cs="Arial"/>
        </w:rPr>
        <w:t>0元资金，方可认购到10,000份本基金基金份额，</w:t>
      </w:r>
      <w:r>
        <w:rPr>
          <w:rFonts w:hint="eastAsia" w:ascii="宋体" w:hAnsi="宋体" w:cs="Arial"/>
          <w:highlight w:val="none"/>
        </w:rPr>
        <w:t>假设</w:t>
      </w:r>
      <w:r>
        <w:rPr>
          <w:rFonts w:hint="eastAsia" w:ascii="宋体" w:hAnsi="宋体" w:cs="Arial"/>
        </w:rPr>
        <w:t>利息为5元，</w:t>
      </w:r>
      <w:r>
        <w:rPr>
          <w:rFonts w:hint="eastAsia" w:ascii="宋体" w:hAnsi="宋体" w:cs="Arial"/>
          <w:lang w:val="en-US" w:eastAsia="zh-CN"/>
        </w:rPr>
        <w:t>则</w:t>
      </w:r>
      <w:r>
        <w:rPr>
          <w:rFonts w:hint="eastAsia" w:ascii="宋体" w:hAnsi="宋体" w:cs="Arial"/>
        </w:rPr>
        <w:t>其最终实际所得的基金份额为10,005份。</w:t>
      </w:r>
    </w:p>
    <w:bookmarkEnd w:id="14"/>
    <w:bookmarkEnd w:id="18"/>
    <w:bookmarkEnd w:id="30"/>
    <w:bookmarkEnd w:id="31"/>
    <w:p w14:paraId="50EC9BD4">
      <w:pPr>
        <w:pStyle w:val="2"/>
        <w:snapToGrid w:val="0"/>
        <w:spacing w:before="0" w:after="0"/>
        <w:textAlignment w:val="auto"/>
        <w:rPr>
          <w:rFonts w:ascii="Arial" w:hAnsi="Arial" w:eastAsia="宋体" w:cs="Arial"/>
          <w:b/>
          <w:sz w:val="21"/>
        </w:rPr>
      </w:pPr>
      <w:r>
        <w:rPr>
          <w:rFonts w:ascii="Arial" w:hAnsi="Arial" w:eastAsia="宋体" w:cs="Arial"/>
          <w:b/>
          <w:sz w:val="21"/>
        </w:rPr>
        <w:br w:type="page"/>
      </w:r>
      <w:bookmarkStart w:id="34" w:name="_Toc522521890"/>
      <w:bookmarkStart w:id="35" w:name="_Toc24701"/>
      <w:bookmarkStart w:id="36" w:name="_Toc26068"/>
      <w:r>
        <w:rPr>
          <w:rFonts w:hint="eastAsia" w:ascii="Arial" w:hAnsi="Arial" w:eastAsia="宋体" w:cs="Arial"/>
          <w:b/>
          <w:sz w:val="21"/>
        </w:rPr>
        <w:t>二</w:t>
      </w:r>
      <w:r>
        <w:rPr>
          <w:rFonts w:ascii="Arial" w:hAnsi="Arial" w:eastAsia="宋体" w:cs="Arial"/>
          <w:b/>
          <w:sz w:val="21"/>
        </w:rPr>
        <w:t>、投资者开户</w:t>
      </w:r>
      <w:bookmarkEnd w:id="34"/>
      <w:bookmarkEnd w:id="35"/>
      <w:bookmarkEnd w:id="36"/>
    </w:p>
    <w:p w14:paraId="204CD9BC">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投资人认购本基金时需具有上海证券交易所A股账户或证券投资基金账户（以下统称“上海证券账户”）。</w:t>
      </w:r>
    </w:p>
    <w:p w14:paraId="45AF04C2">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已有上海证券交易所A股账户或证券投资基金账户的投资人不必再办理开户手续。</w:t>
      </w:r>
    </w:p>
    <w:p w14:paraId="5416C207">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尚无上海证券交易所A股账户或证券投资基金账户的投资人，需在认购前持本人身份证到中国证券登记结算有限责任公司上海分公司的开户代理机构办理上海证券交易所A股账户或证券投资基金账户的开户手续。有关开设上海证券交易所A股账户和证券投资基金账户的具体程序和办法，请到各开户网点详细咨询有关规定。</w:t>
      </w:r>
    </w:p>
    <w:p w14:paraId="29FE3367">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（一）如投资人需新开立证券账户，则应注意：</w:t>
      </w:r>
    </w:p>
    <w:p w14:paraId="71BEA415">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（1）上海证券交易所证券投资基金账户只能进行基金份额的现金认购和二级市场交易，如投资人需要使用</w:t>
      </w:r>
      <w:r>
        <w:rPr>
          <w:rFonts w:hint="eastAsia" w:ascii="Arial" w:hAnsi="Arial" w:cs="Arial"/>
          <w:kern w:val="3"/>
          <w:lang w:eastAsia="zh-CN"/>
        </w:rPr>
        <w:t>恒生港股通红利低波动指数</w:t>
      </w:r>
      <w:r>
        <w:rPr>
          <w:rFonts w:hint="eastAsia" w:ascii="Arial" w:hAnsi="Arial" w:cs="Arial"/>
          <w:kern w:val="3"/>
        </w:rPr>
        <w:t>成份股中的上海证券交易所上市股票参与基金份额的申购、赎回，则应开立上海证券交易所A股账户。</w:t>
      </w:r>
    </w:p>
    <w:p w14:paraId="4A06E571">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（2）开户当日无法办理指定交易，建议投资人在进行认购前至少2个工作日办理开户手续。</w:t>
      </w:r>
    </w:p>
    <w:p w14:paraId="318D1BB2">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（二）如投资人已开立上海证券账户，则应注意：</w:t>
      </w:r>
    </w:p>
    <w:p w14:paraId="0FF03792">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（1）如投资人未办理指定交易或指定交易在不办理本基金发售业务的证券公司，需要指定交易或转指定交易在可办理本基金发售业务的证券公司。</w:t>
      </w:r>
    </w:p>
    <w:p w14:paraId="138C724A">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（2）当日办理指定交易或转指定交易的投资人当日无法进行认购，建议投资人在进行认购前至少1个工作日办理指定交易或转指定交易手续。</w:t>
      </w:r>
    </w:p>
    <w:p w14:paraId="462F18A9">
      <w:pPr>
        <w:adjustRightInd w:val="0"/>
        <w:snapToGrid w:val="0"/>
        <w:spacing w:line="360" w:lineRule="auto"/>
        <w:ind w:firstLine="420" w:firstLineChars="200"/>
        <w:rPr>
          <w:rFonts w:hint="eastAsia" w:ascii="Arial" w:hAnsi="Arial" w:cs="Arial"/>
          <w:kern w:val="3"/>
        </w:rPr>
      </w:pPr>
      <w:r>
        <w:rPr>
          <w:rFonts w:hint="eastAsia" w:ascii="Arial" w:hAnsi="Arial" w:cs="Arial"/>
          <w:kern w:val="3"/>
        </w:rPr>
        <w:t>（三）使用专用交易单元的机构投资人则无需办理指定交易。</w:t>
      </w:r>
    </w:p>
    <w:p w14:paraId="4A131430">
      <w:pPr>
        <w:pStyle w:val="2"/>
        <w:snapToGrid w:val="0"/>
        <w:spacing w:before="0" w:after="0"/>
        <w:textAlignment w:val="auto"/>
        <w:rPr>
          <w:rFonts w:ascii="Arial" w:hAnsi="Arial" w:eastAsia="宋体" w:cs="Arial"/>
          <w:b/>
          <w:sz w:val="21"/>
        </w:rPr>
      </w:pPr>
      <w:r>
        <w:rPr>
          <w:rFonts w:ascii="Arial" w:hAnsi="Arial" w:eastAsia="宋体" w:cs="Arial"/>
          <w:b/>
          <w:sz w:val="21"/>
        </w:rPr>
        <w:br w:type="page"/>
      </w:r>
      <w:bookmarkStart w:id="37" w:name="_Toc522521891"/>
      <w:bookmarkStart w:id="38" w:name="_Toc28660"/>
      <w:bookmarkStart w:id="39" w:name="_Toc32562"/>
      <w:r>
        <w:rPr>
          <w:rFonts w:hint="eastAsia" w:ascii="Arial" w:hAnsi="Arial" w:eastAsia="宋体" w:cs="Arial"/>
          <w:b/>
          <w:sz w:val="21"/>
        </w:rPr>
        <w:t>三</w:t>
      </w:r>
      <w:r>
        <w:rPr>
          <w:rFonts w:ascii="Arial" w:hAnsi="Arial" w:eastAsia="宋体" w:cs="Arial"/>
          <w:b/>
          <w:sz w:val="21"/>
        </w:rPr>
        <w:t>、网上现金认购的程序</w:t>
      </w:r>
      <w:bookmarkEnd w:id="37"/>
      <w:bookmarkEnd w:id="38"/>
      <w:bookmarkEnd w:id="39"/>
    </w:p>
    <w:p w14:paraId="244EF75E">
      <w:pPr>
        <w:adjustRightInd w:val="0"/>
        <w:snapToGrid w:val="0"/>
        <w:spacing w:line="360" w:lineRule="auto"/>
        <w:ind w:firstLine="420" w:firstLineChars="200"/>
        <w:rPr>
          <w:rFonts w:ascii="Arial" w:hAnsi="Arial" w:cs="Arial"/>
        </w:rPr>
      </w:pPr>
      <w:r>
        <w:rPr>
          <w:rFonts w:ascii="Arial" w:hAnsi="Arial" w:cs="Arial"/>
          <w:kern w:val="0"/>
        </w:rPr>
        <w:t>1</w:t>
      </w:r>
      <w:r>
        <w:rPr>
          <w:rFonts w:hint="eastAsia" w:ascii="Arial" w:hAnsi="Arial" w:cs="Arial"/>
          <w:kern w:val="0"/>
        </w:rPr>
        <w:t>、</w:t>
      </w:r>
      <w:r>
        <w:rPr>
          <w:rFonts w:ascii="Arial" w:hAnsi="Arial" w:cs="Arial"/>
        </w:rPr>
        <w:t>业务办理时间：</w:t>
      </w:r>
      <w:r>
        <w:rPr>
          <w:rFonts w:hint="eastAsia" w:ascii="Arial" w:hAnsi="Arial" w:cs="Arial"/>
          <w:lang w:eastAsia="zh-CN"/>
        </w:rPr>
        <w:t>2026年10月12日起至2026年10月23日</w:t>
      </w:r>
      <w:r>
        <w:rPr>
          <w:rFonts w:ascii="Arial" w:hAnsi="Arial" w:cs="Arial"/>
          <w:kern w:val="3"/>
        </w:rPr>
        <w:t>上午</w:t>
      </w:r>
      <w:r>
        <w:rPr>
          <w:rFonts w:ascii="Arial" w:hAnsi="Arial" w:cs="Arial"/>
        </w:rPr>
        <w:t>9:30-11:30和下午13:00-15:00</w:t>
      </w:r>
      <w:r>
        <w:rPr>
          <w:rFonts w:hint="eastAsia" w:ascii="Arial" w:hAnsi="Arial" w:cs="Arial"/>
        </w:rPr>
        <w:t>（周六、周日及法定节假日不受理）</w:t>
      </w:r>
      <w:r>
        <w:rPr>
          <w:rFonts w:ascii="Arial" w:hAnsi="Arial" w:cs="Arial"/>
        </w:rPr>
        <w:t>。</w:t>
      </w:r>
    </w:p>
    <w:p w14:paraId="6C7F79F6">
      <w:pPr>
        <w:adjustRightInd w:val="0"/>
        <w:snapToGrid w:val="0"/>
        <w:spacing w:line="360" w:lineRule="auto"/>
        <w:ind w:firstLine="420" w:firstLineChars="200"/>
        <w:rPr>
          <w:rFonts w:ascii="Arial" w:hAnsi="Arial" w:cs="Arial"/>
          <w:kern w:val="0"/>
        </w:rPr>
      </w:pPr>
      <w:r>
        <w:rPr>
          <w:rFonts w:ascii="Arial" w:hAnsi="Arial" w:cs="Arial"/>
          <w:kern w:val="0"/>
        </w:rPr>
        <w:t>2</w:t>
      </w:r>
      <w:r>
        <w:rPr>
          <w:rFonts w:hint="eastAsia" w:ascii="Arial" w:hAnsi="Arial" w:cs="Arial"/>
          <w:kern w:val="0"/>
        </w:rPr>
        <w:t>、</w:t>
      </w:r>
      <w:r>
        <w:rPr>
          <w:rFonts w:ascii="Arial" w:hAnsi="Arial" w:cs="Arial"/>
          <w:kern w:val="0"/>
        </w:rPr>
        <w:t>认购手续：</w:t>
      </w:r>
      <w:r>
        <w:rPr>
          <w:rFonts w:hint="eastAsia" w:ascii="Arial" w:hAnsi="Arial" w:cs="Arial"/>
          <w:kern w:val="0"/>
        </w:rPr>
        <w:t>投资人在认购本基金时，需按发售代理机构的规定，备足认购资金，办理认购手续。网上现金认购申请提交后，投资人可以在当日交易时间内撤销指定的认购申请。</w:t>
      </w:r>
    </w:p>
    <w:p w14:paraId="3A7CBF72">
      <w:pPr>
        <w:adjustRightInd w:val="0"/>
        <w:snapToGrid w:val="0"/>
        <w:spacing w:line="360" w:lineRule="auto"/>
        <w:ind w:firstLine="420" w:firstLineChars="200"/>
        <w:rPr>
          <w:rFonts w:ascii="Arial" w:hAnsi="Arial" w:cs="Arial"/>
          <w:kern w:val="0"/>
        </w:rPr>
      </w:pPr>
      <w:r>
        <w:rPr>
          <w:rFonts w:ascii="Arial" w:hAnsi="Arial" w:cs="Arial"/>
          <w:kern w:val="0"/>
        </w:rPr>
        <w:t>（1）开立上海证券交易所A股账户或</w:t>
      </w:r>
      <w:r>
        <w:rPr>
          <w:rFonts w:hint="eastAsia" w:ascii="Arial" w:hAnsi="Arial" w:cs="Arial"/>
          <w:kern w:val="0"/>
        </w:rPr>
        <w:t>证券投资</w:t>
      </w:r>
      <w:r>
        <w:rPr>
          <w:rFonts w:ascii="Arial" w:hAnsi="Arial" w:cs="Arial"/>
          <w:kern w:val="0"/>
        </w:rPr>
        <w:t>基金账户，办理指定交易在发售代理机构。</w:t>
      </w:r>
    </w:p>
    <w:p w14:paraId="6E6C3D49">
      <w:pPr>
        <w:adjustRightInd w:val="0"/>
        <w:snapToGrid w:val="0"/>
        <w:spacing w:line="360" w:lineRule="auto"/>
        <w:ind w:firstLine="420" w:firstLineChars="200"/>
        <w:rPr>
          <w:rFonts w:ascii="Arial" w:hAnsi="Arial" w:cs="Arial"/>
          <w:kern w:val="0"/>
        </w:rPr>
      </w:pPr>
      <w:r>
        <w:rPr>
          <w:rFonts w:ascii="Arial" w:hAnsi="Arial" w:cs="Arial"/>
          <w:kern w:val="0"/>
        </w:rPr>
        <w:t>（2）在认购前向资金账户中存入足够的认购资金。</w:t>
      </w:r>
    </w:p>
    <w:p w14:paraId="2180D48D">
      <w:pPr>
        <w:adjustRightInd w:val="0"/>
        <w:snapToGrid w:val="0"/>
        <w:spacing w:line="360" w:lineRule="auto"/>
        <w:ind w:firstLine="420" w:firstLineChars="200"/>
        <w:rPr>
          <w:rFonts w:hint="eastAsia" w:ascii="Arial" w:hAnsi="Arial" w:cs="Arial"/>
          <w:kern w:val="0"/>
        </w:rPr>
      </w:pPr>
      <w:r>
        <w:rPr>
          <w:rFonts w:ascii="Arial" w:hAnsi="Arial" w:cs="Arial"/>
          <w:kern w:val="0"/>
        </w:rPr>
        <w:t>（3）投资者可通过填写认购委托单、电话委托、磁卡委托、网上委托等方式申报认购委托，可多次申报，申报一经确认，认购资金即被冻结。</w:t>
      </w:r>
    </w:p>
    <w:p w14:paraId="6D57AD71">
      <w:pPr>
        <w:adjustRightInd w:val="0"/>
        <w:snapToGrid w:val="0"/>
        <w:spacing w:line="360" w:lineRule="auto"/>
        <w:ind w:firstLine="420" w:firstLineChars="200"/>
        <w:rPr>
          <w:rFonts w:ascii="Arial" w:hAnsi="Arial" w:cs="Arial"/>
          <w:kern w:val="0"/>
        </w:rPr>
      </w:pPr>
      <w:r>
        <w:rPr>
          <w:rFonts w:hint="eastAsia" w:ascii="Arial" w:hAnsi="Arial" w:cs="Arial"/>
          <w:kern w:val="0"/>
        </w:rPr>
        <w:t>具体时间和认购手续以上海证券交易所和发售代理机构的相关规则为准。</w:t>
      </w:r>
    </w:p>
    <w:p w14:paraId="1C7AECCC">
      <w:pPr>
        <w:pStyle w:val="2"/>
        <w:snapToGrid w:val="0"/>
        <w:spacing w:before="0" w:after="0"/>
        <w:textAlignment w:val="auto"/>
        <w:rPr>
          <w:rFonts w:ascii="Arial" w:hAnsi="Arial" w:eastAsia="宋体" w:cs="Arial"/>
          <w:b/>
          <w:sz w:val="21"/>
        </w:rPr>
      </w:pPr>
      <w:r>
        <w:rPr>
          <w:rFonts w:ascii="Arial" w:hAnsi="Arial" w:eastAsia="宋体" w:cs="Arial"/>
          <w:b/>
          <w:sz w:val="21"/>
        </w:rPr>
        <w:br w:type="page"/>
      </w:r>
      <w:bookmarkStart w:id="40" w:name="_Toc22186"/>
      <w:bookmarkStart w:id="41" w:name="_Toc11021"/>
      <w:bookmarkStart w:id="42" w:name="_Toc522521892"/>
      <w:r>
        <w:rPr>
          <w:rFonts w:hint="eastAsia" w:ascii="Arial" w:hAnsi="Arial" w:eastAsia="宋体" w:cs="Arial"/>
          <w:b/>
          <w:sz w:val="21"/>
        </w:rPr>
        <w:t>四</w:t>
      </w:r>
      <w:r>
        <w:rPr>
          <w:rFonts w:ascii="Arial" w:hAnsi="Arial" w:eastAsia="宋体" w:cs="Arial"/>
          <w:b/>
          <w:sz w:val="21"/>
        </w:rPr>
        <w:t>、网下现金认购的程序</w:t>
      </w:r>
      <w:bookmarkEnd w:id="40"/>
      <w:bookmarkEnd w:id="41"/>
      <w:bookmarkEnd w:id="42"/>
    </w:p>
    <w:p w14:paraId="1678D5F1">
      <w:pPr>
        <w:adjustRightInd w:val="0"/>
        <w:snapToGrid w:val="0"/>
        <w:spacing w:line="360" w:lineRule="auto"/>
        <w:ind w:firstLine="420" w:firstLineChars="200"/>
        <w:rPr>
          <w:rFonts w:ascii="Arial" w:hAnsi="Arial" w:cs="Arial"/>
          <w:kern w:val="0"/>
        </w:rPr>
      </w:pPr>
      <w:r>
        <w:rPr>
          <w:rFonts w:ascii="Arial" w:hAnsi="Arial" w:cs="Arial"/>
          <w:kern w:val="0"/>
        </w:rPr>
        <w:t>（一）直销机构</w:t>
      </w:r>
    </w:p>
    <w:p w14:paraId="5B66FE10">
      <w:pPr>
        <w:adjustRightInd w:val="0"/>
        <w:snapToGrid w:val="0"/>
        <w:spacing w:line="360" w:lineRule="auto"/>
        <w:ind w:firstLine="420" w:firstLineChars="200"/>
        <w:rPr>
          <w:rFonts w:ascii="Arial" w:hAnsi="Arial" w:cs="Arial"/>
        </w:rPr>
      </w:pPr>
      <w:r>
        <w:rPr>
          <w:rFonts w:ascii="Arial" w:hAnsi="Arial" w:cs="Arial"/>
        </w:rPr>
        <w:t>1</w:t>
      </w:r>
      <w:r>
        <w:rPr>
          <w:rFonts w:hint="eastAsia" w:ascii="Arial" w:hAnsi="Arial" w:cs="Arial"/>
        </w:rPr>
        <w:t>、</w:t>
      </w:r>
      <w:r>
        <w:rPr>
          <w:rFonts w:ascii="Arial" w:hAnsi="Arial" w:cs="Arial"/>
        </w:rPr>
        <w:t>业务办理时间：</w:t>
      </w:r>
      <w:r>
        <w:rPr>
          <w:rFonts w:hint="eastAsia" w:ascii="Arial" w:hAnsi="Arial" w:cs="Arial"/>
          <w:lang w:eastAsia="zh-CN"/>
        </w:rPr>
        <w:t>2026年10月12日起至2026年10月23日</w:t>
      </w:r>
      <w:r>
        <w:rPr>
          <w:rFonts w:ascii="Arial" w:hAnsi="Arial" w:cs="Arial"/>
        </w:rPr>
        <w:t>9：30-17：00（周六、周日</w:t>
      </w:r>
      <w:r>
        <w:rPr>
          <w:rFonts w:hint="eastAsia" w:ascii="Arial" w:hAnsi="Arial" w:cs="Arial"/>
        </w:rPr>
        <w:t>及法定节假日</w:t>
      </w:r>
      <w:r>
        <w:rPr>
          <w:rFonts w:ascii="Arial" w:hAnsi="Arial" w:cs="Arial"/>
        </w:rPr>
        <w:t>不受理）。</w:t>
      </w:r>
    </w:p>
    <w:p w14:paraId="4753B97B">
      <w:pPr>
        <w:adjustRightInd w:val="0"/>
        <w:snapToGrid w:val="0"/>
        <w:spacing w:line="360" w:lineRule="auto"/>
        <w:ind w:firstLine="420" w:firstLineChars="200"/>
        <w:rPr>
          <w:rFonts w:ascii="Arial" w:hAnsi="Arial" w:cs="Arial"/>
        </w:rPr>
      </w:pPr>
      <w:r>
        <w:rPr>
          <w:rFonts w:hint="eastAsia" w:ascii="Arial" w:hAnsi="Arial" w:cs="Arial"/>
        </w:rPr>
        <w:t>2、</w:t>
      </w:r>
      <w:r>
        <w:rPr>
          <w:rFonts w:ascii="Arial" w:hAnsi="Arial" w:cs="Arial"/>
        </w:rPr>
        <w:t>到直销网点提供下列资料办理基金的认购手续：</w:t>
      </w:r>
    </w:p>
    <w:p w14:paraId="0C9F6311">
      <w:pPr>
        <w:adjustRightInd w:val="0"/>
        <w:snapToGrid w:val="0"/>
        <w:spacing w:line="360" w:lineRule="auto"/>
        <w:ind w:firstLine="420" w:firstLineChars="200"/>
        <w:rPr>
          <w:rFonts w:hint="eastAsia" w:ascii="Arial" w:hAnsi="Arial" w:cs="Arial"/>
          <w:kern w:val="0"/>
        </w:rPr>
      </w:pPr>
      <w:r>
        <w:rPr>
          <w:rFonts w:hint="eastAsia" w:ascii="Arial" w:hAnsi="Arial" w:cs="Arial"/>
          <w:kern w:val="0"/>
        </w:rPr>
        <w:t>投资人在认购本基金时，需按</w:t>
      </w:r>
      <w:r>
        <w:rPr>
          <w:rFonts w:ascii="Arial" w:hAnsi="Arial" w:cs="Arial"/>
        </w:rPr>
        <w:t>直销网点</w:t>
      </w:r>
      <w:r>
        <w:rPr>
          <w:rFonts w:hint="eastAsia" w:ascii="Arial" w:hAnsi="Arial" w:cs="Arial"/>
          <w:kern w:val="0"/>
        </w:rPr>
        <w:t>的规定，到</w:t>
      </w:r>
      <w:r>
        <w:rPr>
          <w:rFonts w:ascii="Arial" w:hAnsi="Arial" w:cs="Arial"/>
        </w:rPr>
        <w:t>直销网点</w:t>
      </w:r>
      <w:r>
        <w:rPr>
          <w:rFonts w:hint="eastAsia" w:ascii="Arial" w:hAnsi="Arial" w:cs="Arial"/>
          <w:kern w:val="0"/>
        </w:rPr>
        <w:t>办理相关认购手续，并备足认购资金。网下现金认购申请提交后</w:t>
      </w:r>
      <w:r>
        <w:rPr>
          <w:rFonts w:hint="eastAsia" w:ascii="宋体" w:hAnsi="宋体"/>
        </w:rPr>
        <w:t>在</w:t>
      </w:r>
      <w:r>
        <w:rPr>
          <w:rFonts w:ascii="Arial" w:hAnsi="Arial" w:cs="Arial"/>
        </w:rPr>
        <w:t>直销网点</w:t>
      </w:r>
      <w:r>
        <w:rPr>
          <w:rFonts w:hint="eastAsia" w:ascii="宋体" w:hAnsi="宋体"/>
        </w:rPr>
        <w:t>规定的时间之后</w:t>
      </w:r>
      <w:r>
        <w:rPr>
          <w:rFonts w:hint="eastAsia" w:ascii="Arial" w:hAnsi="Arial" w:cs="Arial"/>
          <w:kern w:val="0"/>
        </w:rPr>
        <w:t>不得撤销。</w:t>
      </w:r>
    </w:p>
    <w:p w14:paraId="5F7191E7">
      <w:pPr>
        <w:adjustRightInd w:val="0"/>
        <w:snapToGrid w:val="0"/>
        <w:spacing w:line="360" w:lineRule="auto"/>
        <w:ind w:firstLine="420" w:firstLineChars="200"/>
        <w:rPr>
          <w:rFonts w:ascii="Arial" w:hAnsi="Arial" w:cs="Arial"/>
        </w:rPr>
      </w:pPr>
      <w:r>
        <w:rPr>
          <w:rFonts w:ascii="Arial" w:hAnsi="Arial" w:cs="Arial"/>
        </w:rPr>
        <w:t>（1）个人投资者</w:t>
      </w:r>
    </w:p>
    <w:p w14:paraId="108E0561">
      <w:pPr>
        <w:adjustRightInd w:val="0"/>
        <w:snapToGrid w:val="0"/>
        <w:spacing w:line="360" w:lineRule="auto"/>
        <w:ind w:firstLine="420" w:firstLineChars="200"/>
        <w:rPr>
          <w:rFonts w:ascii="Arial" w:hAnsi="Arial" w:cs="Arial"/>
        </w:rPr>
      </w:pPr>
      <w:r>
        <w:rPr>
          <w:rFonts w:ascii="Arial" w:hAnsi="Arial" w:cs="Arial"/>
        </w:rPr>
        <w:t>1）填妥并签字或签章的《网下认购业务申请表》</w:t>
      </w:r>
      <w:r>
        <w:rPr>
          <w:rFonts w:hint="eastAsia" w:ascii="Arial" w:hAnsi="Arial" w:cs="Arial"/>
        </w:rPr>
        <w:t>；</w:t>
      </w:r>
    </w:p>
    <w:p w14:paraId="223A6AA1">
      <w:pPr>
        <w:adjustRightInd w:val="0"/>
        <w:snapToGrid w:val="0"/>
        <w:spacing w:line="360" w:lineRule="auto"/>
        <w:ind w:firstLine="420" w:firstLineChars="200"/>
        <w:rPr>
          <w:rFonts w:ascii="Arial" w:hAnsi="Arial" w:cs="Arial"/>
        </w:rPr>
      </w:pPr>
      <w:r>
        <w:rPr>
          <w:rFonts w:ascii="Arial" w:hAnsi="Arial" w:cs="Arial"/>
        </w:rPr>
        <w:t>2）投资者有效身份证件原件及</w:t>
      </w:r>
      <w:r>
        <w:rPr>
          <w:rFonts w:hint="eastAsia" w:ascii="Arial" w:hAnsi="Arial" w:cs="Arial"/>
        </w:rPr>
        <w:t>签字</w:t>
      </w:r>
      <w:r>
        <w:rPr>
          <w:rFonts w:ascii="Arial" w:hAnsi="Arial" w:cs="Arial"/>
        </w:rPr>
        <w:t>复印件</w:t>
      </w:r>
      <w:r>
        <w:rPr>
          <w:rFonts w:hint="eastAsia" w:ascii="Arial" w:hAnsi="Arial" w:cs="Arial"/>
        </w:rPr>
        <w:t>；</w:t>
      </w:r>
    </w:p>
    <w:p w14:paraId="4D741C9D">
      <w:pPr>
        <w:adjustRightInd w:val="0"/>
        <w:snapToGrid w:val="0"/>
        <w:spacing w:line="360" w:lineRule="auto"/>
        <w:ind w:firstLine="420" w:firstLineChars="200"/>
        <w:rPr>
          <w:rFonts w:hint="eastAsia" w:ascii="Arial" w:hAnsi="Arial" w:cs="Arial"/>
        </w:rPr>
      </w:pPr>
      <w:r>
        <w:rPr>
          <w:rFonts w:ascii="Arial" w:hAnsi="Arial" w:cs="Arial"/>
        </w:rPr>
        <w:t>3）</w:t>
      </w:r>
      <w:r>
        <w:rPr>
          <w:rFonts w:hint="eastAsia" w:ascii="Arial" w:hAnsi="Arial" w:cs="Arial"/>
        </w:rPr>
        <w:t>上海</w:t>
      </w:r>
      <w:r>
        <w:rPr>
          <w:rFonts w:ascii="Arial" w:hAnsi="Arial" w:cs="Arial"/>
        </w:rPr>
        <w:t>证券</w:t>
      </w:r>
      <w:r>
        <w:rPr>
          <w:rFonts w:hint="eastAsia" w:ascii="宋体" w:hAnsi="宋体" w:cs="宋体"/>
          <w:szCs w:val="21"/>
        </w:rPr>
        <w:t>交易所</w:t>
      </w:r>
      <w:r>
        <w:rPr>
          <w:rFonts w:ascii="宋体" w:hAnsi="宋体" w:cs="宋体"/>
          <w:szCs w:val="21"/>
        </w:rPr>
        <w:t>A</w:t>
      </w:r>
      <w:r>
        <w:rPr>
          <w:rFonts w:hint="eastAsia" w:ascii="宋体" w:hAnsi="宋体" w:cs="宋体"/>
          <w:szCs w:val="21"/>
        </w:rPr>
        <w:t>股账户卡或基金账户卡</w:t>
      </w:r>
      <w:r>
        <w:rPr>
          <w:rFonts w:hint="eastAsia" w:ascii="Arial" w:hAnsi="Arial" w:cs="Arial"/>
        </w:rPr>
        <w:t>；</w:t>
      </w:r>
    </w:p>
    <w:p w14:paraId="0A8A9689">
      <w:pPr>
        <w:adjustRightInd w:val="0"/>
        <w:snapToGrid w:val="0"/>
        <w:spacing w:line="360" w:lineRule="auto"/>
        <w:ind w:firstLine="420" w:firstLineChars="200"/>
        <w:rPr>
          <w:rFonts w:ascii="宋体" w:hAnsi="宋体" w:cs="宋体"/>
          <w:szCs w:val="21"/>
        </w:rPr>
      </w:pPr>
      <w:r>
        <w:rPr>
          <w:rFonts w:hint="eastAsia" w:ascii="Arial" w:hAnsi="Arial" w:cs="Arial"/>
        </w:rPr>
        <w:t>4）</w:t>
      </w:r>
      <w:r>
        <w:rPr>
          <w:rFonts w:hint="eastAsia" w:ascii="宋体" w:hAnsi="宋体" w:cs="宋体"/>
          <w:szCs w:val="21"/>
        </w:rPr>
        <w:t>加盖银行受理印章的汇款凭证复印件；</w:t>
      </w:r>
    </w:p>
    <w:p w14:paraId="466EC2BC">
      <w:pPr>
        <w:adjustRightInd w:val="0"/>
        <w:snapToGrid w:val="0"/>
        <w:spacing w:line="360" w:lineRule="auto"/>
        <w:ind w:firstLine="420" w:firstLineChars="200"/>
        <w:rPr>
          <w:rFonts w:hint="eastAsia" w:ascii="Arial" w:hAnsi="Arial" w:cs="Arial"/>
        </w:rPr>
      </w:pPr>
      <w:r>
        <w:rPr>
          <w:rFonts w:hint="eastAsia" w:ascii="Arial" w:hAnsi="Arial" w:cs="Arial"/>
        </w:rPr>
        <w:t>5）提供法律法规要求的投资者适当性管理及反洗钱等相关信息；</w:t>
      </w:r>
    </w:p>
    <w:p w14:paraId="4BF0D65C">
      <w:pPr>
        <w:adjustRightInd w:val="0"/>
        <w:snapToGrid w:val="0"/>
        <w:spacing w:line="360" w:lineRule="auto"/>
        <w:ind w:firstLine="420" w:firstLineChars="200"/>
        <w:rPr>
          <w:rFonts w:ascii="Arial" w:hAnsi="Arial" w:cs="Arial"/>
        </w:rPr>
      </w:pPr>
      <w:r>
        <w:rPr>
          <w:rFonts w:hint="eastAsia" w:ascii="Arial" w:hAnsi="Arial" w:cs="Arial"/>
        </w:rPr>
        <w:t>6）公司要求提供的其他有关材料。</w:t>
      </w:r>
    </w:p>
    <w:p w14:paraId="3108C33E">
      <w:pPr>
        <w:adjustRightInd w:val="0"/>
        <w:snapToGrid w:val="0"/>
        <w:spacing w:line="360" w:lineRule="auto"/>
        <w:ind w:firstLine="420" w:firstLineChars="200"/>
        <w:rPr>
          <w:rFonts w:ascii="Arial" w:hAnsi="Arial" w:cs="Arial"/>
        </w:rPr>
      </w:pPr>
      <w:r>
        <w:rPr>
          <w:rFonts w:ascii="Arial" w:hAnsi="Arial" w:cs="Arial"/>
        </w:rPr>
        <w:t>（2）机构投资者</w:t>
      </w:r>
    </w:p>
    <w:p w14:paraId="0D062B0C">
      <w:pPr>
        <w:adjustRightInd w:val="0"/>
        <w:snapToGrid w:val="0"/>
        <w:spacing w:line="360" w:lineRule="auto"/>
        <w:ind w:firstLine="420" w:firstLineChars="200"/>
        <w:rPr>
          <w:rFonts w:hint="eastAsia" w:ascii="Arial" w:hAnsi="Arial" w:cs="Arial"/>
        </w:rPr>
      </w:pPr>
      <w:r>
        <w:rPr>
          <w:rFonts w:hint="eastAsia" w:ascii="Arial" w:hAnsi="Arial" w:cs="Arial"/>
        </w:rPr>
        <w:t>1）填妥并加盖单位公章及法定代表人章或交易预留印鉴的《网下认购业务申请表》；</w:t>
      </w:r>
    </w:p>
    <w:p w14:paraId="00094DB5">
      <w:pPr>
        <w:adjustRightInd w:val="0"/>
        <w:snapToGrid w:val="0"/>
        <w:spacing w:line="360" w:lineRule="auto"/>
        <w:ind w:firstLine="420" w:firstLineChars="200"/>
        <w:rPr>
          <w:rFonts w:hint="eastAsia" w:ascii="Arial" w:hAnsi="Arial" w:cs="Arial"/>
        </w:rPr>
      </w:pPr>
      <w:r>
        <w:rPr>
          <w:rFonts w:hint="eastAsia" w:ascii="Arial" w:hAnsi="Arial" w:cs="Arial"/>
        </w:rPr>
        <w:t>2）上海证券交易所A股账户卡或基金账户卡；</w:t>
      </w:r>
    </w:p>
    <w:p w14:paraId="2DE2AB09">
      <w:pPr>
        <w:adjustRightInd w:val="0"/>
        <w:snapToGrid w:val="0"/>
        <w:spacing w:line="360" w:lineRule="auto"/>
        <w:ind w:firstLine="420" w:firstLineChars="200"/>
        <w:rPr>
          <w:rFonts w:hint="eastAsia" w:ascii="Arial" w:hAnsi="Arial" w:cs="Arial"/>
        </w:rPr>
      </w:pPr>
      <w:r>
        <w:rPr>
          <w:rFonts w:hint="eastAsia" w:ascii="Arial" w:hAnsi="Arial" w:cs="Arial"/>
        </w:rPr>
        <w:t>3）加盖公章和法定代表人章的基金业务授权委托书；</w:t>
      </w:r>
    </w:p>
    <w:p w14:paraId="70B0FA8A">
      <w:pPr>
        <w:adjustRightInd w:val="0"/>
        <w:snapToGrid w:val="0"/>
        <w:spacing w:line="360" w:lineRule="auto"/>
        <w:ind w:firstLine="420" w:firstLineChars="200"/>
        <w:rPr>
          <w:rFonts w:hint="eastAsia" w:ascii="Arial" w:hAnsi="Arial" w:cs="Arial"/>
        </w:rPr>
      </w:pPr>
      <w:r>
        <w:rPr>
          <w:rFonts w:hint="eastAsia" w:ascii="Arial" w:hAnsi="Arial" w:cs="Arial"/>
        </w:rPr>
        <w:t>4）加盖单位公章的经办人有效身份证件复印件；</w:t>
      </w:r>
    </w:p>
    <w:p w14:paraId="3659E9C4">
      <w:pPr>
        <w:adjustRightInd w:val="0"/>
        <w:snapToGrid w:val="0"/>
        <w:spacing w:line="360" w:lineRule="auto"/>
        <w:ind w:firstLine="420" w:firstLineChars="200"/>
        <w:rPr>
          <w:rFonts w:hint="eastAsia" w:ascii="Arial" w:hAnsi="Arial" w:cs="Arial"/>
        </w:rPr>
      </w:pPr>
      <w:r>
        <w:rPr>
          <w:rFonts w:hint="eastAsia" w:ascii="Arial" w:hAnsi="Arial" w:cs="Arial"/>
        </w:rPr>
        <w:t>5）加盖单位公章的营业执照复印件（未换发三证合一营业执照的需同时提供加盖单位公章的组织机构代码证和税务登记证复印件）；</w:t>
      </w:r>
    </w:p>
    <w:p w14:paraId="2811D53E">
      <w:pPr>
        <w:adjustRightInd w:val="0"/>
        <w:snapToGrid w:val="0"/>
        <w:spacing w:line="360" w:lineRule="auto"/>
        <w:ind w:firstLine="420" w:firstLineChars="200"/>
        <w:rPr>
          <w:rFonts w:hint="eastAsia" w:ascii="Arial" w:hAnsi="Arial" w:cs="Arial"/>
        </w:rPr>
      </w:pPr>
      <w:r>
        <w:rPr>
          <w:rFonts w:hint="eastAsia" w:ascii="Arial" w:hAnsi="Arial" w:cs="Arial"/>
        </w:rPr>
        <w:t>6）加盖银行受理印章的汇款凭证复印件；</w:t>
      </w:r>
    </w:p>
    <w:p w14:paraId="309CF01D">
      <w:pPr>
        <w:adjustRightInd w:val="0"/>
        <w:snapToGrid w:val="0"/>
        <w:spacing w:line="360" w:lineRule="auto"/>
        <w:ind w:firstLine="420" w:firstLineChars="200"/>
        <w:rPr>
          <w:rFonts w:hint="eastAsia" w:ascii="Arial" w:hAnsi="Arial" w:cs="Arial"/>
        </w:rPr>
      </w:pPr>
      <w:r>
        <w:rPr>
          <w:rFonts w:hint="eastAsia" w:ascii="Arial" w:hAnsi="Arial" w:cs="Arial"/>
        </w:rPr>
        <w:t>7）提供法律法规要求的投资者适当性管理及反洗钱等相关信息；</w:t>
      </w:r>
    </w:p>
    <w:p w14:paraId="5E5EB35A">
      <w:pPr>
        <w:adjustRightInd w:val="0"/>
        <w:snapToGrid w:val="0"/>
        <w:spacing w:line="360" w:lineRule="auto"/>
        <w:ind w:firstLine="420" w:firstLineChars="200"/>
        <w:rPr>
          <w:rFonts w:ascii="Arial" w:hAnsi="Arial" w:cs="Arial"/>
        </w:rPr>
      </w:pPr>
      <w:r>
        <w:rPr>
          <w:rFonts w:hint="eastAsia" w:ascii="Arial" w:hAnsi="Arial" w:cs="Arial"/>
        </w:rPr>
        <w:t>8）公司要求提供的其他有关材料。</w:t>
      </w:r>
    </w:p>
    <w:p w14:paraId="679A6626">
      <w:pPr>
        <w:adjustRightInd w:val="0"/>
        <w:snapToGrid w:val="0"/>
        <w:spacing w:line="360" w:lineRule="auto"/>
        <w:ind w:firstLine="420" w:firstLineChars="200"/>
        <w:rPr>
          <w:rFonts w:ascii="Arial" w:hAnsi="Arial" w:cs="Arial"/>
        </w:rPr>
      </w:pPr>
      <w:r>
        <w:rPr>
          <w:rFonts w:ascii="Arial" w:hAnsi="Arial" w:cs="Arial"/>
        </w:rPr>
        <w:t>3</w:t>
      </w:r>
      <w:r>
        <w:rPr>
          <w:rFonts w:hint="eastAsia" w:ascii="Arial" w:hAnsi="Arial" w:cs="Arial"/>
        </w:rPr>
        <w:t>、</w:t>
      </w:r>
      <w:r>
        <w:rPr>
          <w:rFonts w:ascii="Arial" w:hAnsi="Arial" w:cs="Arial"/>
        </w:rPr>
        <w:t>在认购期内，将足额认购资金汇入本公司指定的任一直销资金专户：</w:t>
      </w:r>
    </w:p>
    <w:p w14:paraId="63A27F30">
      <w:pPr>
        <w:adjustRightInd w:val="0"/>
        <w:snapToGrid w:val="0"/>
        <w:spacing w:line="360" w:lineRule="auto"/>
        <w:ind w:firstLine="420" w:firstLineChars="200"/>
        <w:rPr>
          <w:rFonts w:hint="eastAsia" w:ascii="Arial" w:hAnsi="Arial" w:cs="Arial"/>
        </w:rPr>
      </w:pPr>
      <w:r>
        <w:rPr>
          <w:rFonts w:hint="eastAsia" w:ascii="Arial" w:hAnsi="Arial" w:cs="Arial"/>
        </w:rPr>
        <w:t>（1）中国工商银行直销专户：</w:t>
      </w:r>
    </w:p>
    <w:p w14:paraId="19224164">
      <w:pPr>
        <w:adjustRightInd w:val="0"/>
        <w:snapToGrid w:val="0"/>
        <w:spacing w:line="360" w:lineRule="auto"/>
        <w:ind w:firstLine="420" w:firstLineChars="200"/>
        <w:rPr>
          <w:rFonts w:hint="eastAsia" w:ascii="Arial" w:hAnsi="Arial" w:cs="Arial"/>
        </w:rPr>
      </w:pPr>
      <w:r>
        <w:rPr>
          <w:rFonts w:hint="eastAsia" w:ascii="Arial" w:hAnsi="Arial" w:cs="Arial"/>
        </w:rPr>
        <w:t>账户名称：博时基金管理有限公司</w:t>
      </w:r>
    </w:p>
    <w:p w14:paraId="2FB23104">
      <w:pPr>
        <w:adjustRightInd w:val="0"/>
        <w:snapToGrid w:val="0"/>
        <w:spacing w:line="360" w:lineRule="auto"/>
        <w:ind w:firstLine="420" w:firstLineChars="200"/>
        <w:rPr>
          <w:rFonts w:hint="eastAsia" w:ascii="Arial" w:hAnsi="Arial" w:cs="Arial"/>
        </w:rPr>
      </w:pPr>
      <w:r>
        <w:rPr>
          <w:rFonts w:hint="eastAsia" w:ascii="Arial" w:hAnsi="Arial" w:cs="Arial"/>
        </w:rPr>
        <w:t>银行全称：中国工商银行股份有限公司北京国家文化与金融合作示范区金街支行</w:t>
      </w:r>
    </w:p>
    <w:p w14:paraId="3E8AF185">
      <w:pPr>
        <w:adjustRightInd w:val="0"/>
        <w:snapToGrid w:val="0"/>
        <w:spacing w:line="360" w:lineRule="auto"/>
        <w:ind w:firstLine="420" w:firstLineChars="200"/>
        <w:rPr>
          <w:rFonts w:hint="eastAsia" w:ascii="Arial" w:hAnsi="Arial" w:cs="Arial"/>
        </w:rPr>
      </w:pPr>
      <w:r>
        <w:rPr>
          <w:rFonts w:hint="eastAsia" w:ascii="Arial" w:hAnsi="Arial" w:cs="Arial"/>
        </w:rPr>
        <w:t>银行账号：0200000729027305830</w:t>
      </w:r>
    </w:p>
    <w:p w14:paraId="654D7708">
      <w:pPr>
        <w:adjustRightInd w:val="0"/>
        <w:snapToGrid w:val="0"/>
        <w:spacing w:line="360" w:lineRule="auto"/>
        <w:ind w:firstLine="420" w:firstLineChars="200"/>
        <w:rPr>
          <w:rFonts w:hint="eastAsia" w:ascii="Arial" w:hAnsi="Arial" w:cs="Arial"/>
        </w:rPr>
      </w:pPr>
      <w:r>
        <w:rPr>
          <w:rFonts w:hint="eastAsia" w:ascii="Arial" w:hAnsi="Arial" w:cs="Arial"/>
        </w:rPr>
        <w:t>人行同城交换号：1221</w:t>
      </w:r>
    </w:p>
    <w:p w14:paraId="26CB825F">
      <w:pPr>
        <w:adjustRightInd w:val="0"/>
        <w:snapToGrid w:val="0"/>
        <w:spacing w:line="360" w:lineRule="auto"/>
        <w:ind w:firstLine="420" w:firstLineChars="200"/>
        <w:rPr>
          <w:rFonts w:hint="eastAsia" w:ascii="Arial" w:hAnsi="Arial" w:cs="Arial"/>
        </w:rPr>
      </w:pPr>
      <w:r>
        <w:rPr>
          <w:rFonts w:hint="eastAsia" w:ascii="Arial" w:hAnsi="Arial" w:cs="Arial"/>
        </w:rPr>
        <w:t>工行实时清算系统行号：20100042</w:t>
      </w:r>
    </w:p>
    <w:p w14:paraId="156A0642">
      <w:pPr>
        <w:adjustRightInd w:val="0"/>
        <w:snapToGrid w:val="0"/>
        <w:spacing w:line="360" w:lineRule="auto"/>
        <w:ind w:firstLine="420" w:firstLineChars="200"/>
        <w:rPr>
          <w:rFonts w:hint="eastAsia" w:ascii="Arial" w:hAnsi="Arial" w:cs="Arial"/>
        </w:rPr>
      </w:pPr>
      <w:r>
        <w:rPr>
          <w:rFonts w:hint="eastAsia" w:ascii="Arial" w:hAnsi="Arial" w:cs="Arial"/>
        </w:rPr>
        <w:t>人行跨行支付系统号：102100000072</w:t>
      </w:r>
    </w:p>
    <w:p w14:paraId="528850BD">
      <w:pPr>
        <w:adjustRightInd w:val="0"/>
        <w:snapToGrid w:val="0"/>
        <w:spacing w:line="360" w:lineRule="auto"/>
        <w:ind w:firstLine="420" w:firstLineChars="200"/>
        <w:rPr>
          <w:rFonts w:hint="eastAsia" w:ascii="Arial" w:hAnsi="Arial" w:cs="Arial"/>
        </w:rPr>
      </w:pPr>
      <w:r>
        <w:rPr>
          <w:rFonts w:hint="eastAsia" w:ascii="Arial" w:hAnsi="Arial" w:cs="Arial"/>
        </w:rPr>
        <w:t>（2）中国建设银行直销专户：</w:t>
      </w:r>
    </w:p>
    <w:p w14:paraId="706288B3">
      <w:pPr>
        <w:adjustRightInd w:val="0"/>
        <w:snapToGrid w:val="0"/>
        <w:spacing w:line="360" w:lineRule="auto"/>
        <w:ind w:firstLine="420" w:firstLineChars="200"/>
        <w:rPr>
          <w:rFonts w:hint="eastAsia" w:ascii="Arial" w:hAnsi="Arial" w:cs="Arial"/>
        </w:rPr>
      </w:pPr>
      <w:r>
        <w:rPr>
          <w:rFonts w:hint="eastAsia" w:ascii="Arial" w:hAnsi="Arial" w:cs="Arial"/>
        </w:rPr>
        <w:t>账户名称：博时基金管理有限公司</w:t>
      </w:r>
    </w:p>
    <w:p w14:paraId="7D34C2FE">
      <w:pPr>
        <w:adjustRightInd w:val="0"/>
        <w:snapToGrid w:val="0"/>
        <w:spacing w:line="360" w:lineRule="auto"/>
        <w:ind w:firstLine="420" w:firstLineChars="200"/>
        <w:rPr>
          <w:rFonts w:hint="eastAsia" w:ascii="Arial" w:hAnsi="Arial" w:cs="Arial"/>
        </w:rPr>
      </w:pPr>
      <w:r>
        <w:rPr>
          <w:rFonts w:hint="eastAsia" w:ascii="Arial" w:hAnsi="Arial" w:cs="Arial"/>
        </w:rPr>
        <w:t>银行全称：中国建设银行北京地坛支行</w:t>
      </w:r>
    </w:p>
    <w:p w14:paraId="03A036BF">
      <w:pPr>
        <w:adjustRightInd w:val="0"/>
        <w:snapToGrid w:val="0"/>
        <w:spacing w:line="360" w:lineRule="auto"/>
        <w:ind w:firstLine="420" w:firstLineChars="200"/>
        <w:rPr>
          <w:rFonts w:hint="eastAsia" w:ascii="Arial" w:hAnsi="Arial" w:cs="Arial"/>
        </w:rPr>
      </w:pPr>
      <w:r>
        <w:rPr>
          <w:rFonts w:hint="eastAsia" w:ascii="Arial" w:hAnsi="Arial" w:cs="Arial"/>
        </w:rPr>
        <w:t>银行账号：11001042900056000600</w:t>
      </w:r>
    </w:p>
    <w:p w14:paraId="5545C090">
      <w:pPr>
        <w:adjustRightInd w:val="0"/>
        <w:snapToGrid w:val="0"/>
        <w:spacing w:line="360" w:lineRule="auto"/>
        <w:ind w:firstLine="420" w:firstLineChars="200"/>
        <w:rPr>
          <w:rFonts w:hint="eastAsia" w:ascii="Arial" w:hAnsi="Arial" w:cs="Arial"/>
        </w:rPr>
      </w:pPr>
      <w:r>
        <w:rPr>
          <w:rFonts w:hint="eastAsia" w:ascii="Arial" w:hAnsi="Arial" w:cs="Arial"/>
        </w:rPr>
        <w:t>同城交换号：429</w:t>
      </w:r>
    </w:p>
    <w:p w14:paraId="1E9D06C5">
      <w:pPr>
        <w:adjustRightInd w:val="0"/>
        <w:snapToGrid w:val="0"/>
        <w:spacing w:line="360" w:lineRule="auto"/>
        <w:ind w:firstLine="420" w:firstLineChars="200"/>
        <w:rPr>
          <w:rFonts w:hint="eastAsia" w:ascii="Arial" w:hAnsi="Arial" w:cs="Arial"/>
        </w:rPr>
      </w:pPr>
      <w:r>
        <w:rPr>
          <w:rFonts w:hint="eastAsia" w:ascii="Arial" w:hAnsi="Arial" w:cs="Arial"/>
        </w:rPr>
        <w:t>联行行号：50190</w:t>
      </w:r>
    </w:p>
    <w:p w14:paraId="2A62707B">
      <w:pPr>
        <w:adjustRightInd w:val="0"/>
        <w:snapToGrid w:val="0"/>
        <w:spacing w:line="360" w:lineRule="auto"/>
        <w:ind w:firstLine="420" w:firstLineChars="200"/>
        <w:rPr>
          <w:rFonts w:hint="eastAsia" w:ascii="Arial" w:hAnsi="Arial" w:cs="Arial"/>
        </w:rPr>
      </w:pPr>
      <w:r>
        <w:rPr>
          <w:rFonts w:hint="eastAsia" w:ascii="Arial" w:hAnsi="Arial" w:cs="Arial"/>
        </w:rPr>
        <w:t>人行支付系统机构号：105100002037</w:t>
      </w:r>
    </w:p>
    <w:p w14:paraId="332AE2AB">
      <w:pPr>
        <w:adjustRightInd w:val="0"/>
        <w:snapToGrid w:val="0"/>
        <w:spacing w:line="360" w:lineRule="auto"/>
        <w:ind w:firstLine="420" w:firstLineChars="200"/>
        <w:rPr>
          <w:rFonts w:hint="eastAsia" w:ascii="Arial" w:hAnsi="Arial" w:cs="Arial"/>
        </w:rPr>
      </w:pPr>
      <w:r>
        <w:rPr>
          <w:rFonts w:hint="eastAsia" w:ascii="Arial" w:hAnsi="Arial" w:cs="Arial"/>
        </w:rPr>
        <w:t>（3）交通银行直销专户：</w:t>
      </w:r>
    </w:p>
    <w:p w14:paraId="6A99E0BC">
      <w:pPr>
        <w:adjustRightInd w:val="0"/>
        <w:snapToGrid w:val="0"/>
        <w:spacing w:line="360" w:lineRule="auto"/>
        <w:ind w:firstLine="420" w:firstLineChars="200"/>
        <w:rPr>
          <w:rFonts w:hint="eastAsia" w:ascii="Arial" w:hAnsi="Arial" w:cs="Arial"/>
        </w:rPr>
      </w:pPr>
      <w:r>
        <w:rPr>
          <w:rFonts w:hint="eastAsia" w:ascii="Arial" w:hAnsi="Arial" w:cs="Arial"/>
        </w:rPr>
        <w:t>账户名称：博时基金管理有限公司</w:t>
      </w:r>
    </w:p>
    <w:p w14:paraId="2070D0CF">
      <w:pPr>
        <w:adjustRightInd w:val="0"/>
        <w:snapToGrid w:val="0"/>
        <w:spacing w:line="360" w:lineRule="auto"/>
        <w:ind w:firstLine="420" w:firstLineChars="200"/>
        <w:rPr>
          <w:rFonts w:hint="eastAsia" w:ascii="Arial" w:hAnsi="Arial" w:cs="Arial"/>
        </w:rPr>
      </w:pPr>
      <w:r>
        <w:rPr>
          <w:rFonts w:hint="eastAsia" w:ascii="Arial" w:hAnsi="Arial" w:cs="Arial"/>
        </w:rPr>
        <w:t>银行全称：交通银行北京分行营业部</w:t>
      </w:r>
    </w:p>
    <w:p w14:paraId="58C30ADB">
      <w:pPr>
        <w:adjustRightInd w:val="0"/>
        <w:snapToGrid w:val="0"/>
        <w:spacing w:line="360" w:lineRule="auto"/>
        <w:ind w:firstLine="420" w:firstLineChars="200"/>
        <w:rPr>
          <w:rFonts w:hint="eastAsia" w:ascii="Arial" w:hAnsi="Arial" w:cs="Arial"/>
        </w:rPr>
      </w:pPr>
      <w:r>
        <w:rPr>
          <w:rFonts w:hint="eastAsia" w:ascii="Arial" w:hAnsi="Arial" w:cs="Arial"/>
        </w:rPr>
        <w:t>银行账号：110060149018001401403</w:t>
      </w:r>
    </w:p>
    <w:p w14:paraId="357338D3">
      <w:pPr>
        <w:adjustRightInd w:val="0"/>
        <w:snapToGrid w:val="0"/>
        <w:spacing w:line="360" w:lineRule="auto"/>
        <w:ind w:firstLine="420" w:firstLineChars="200"/>
        <w:rPr>
          <w:rFonts w:hint="eastAsia" w:ascii="Arial" w:hAnsi="Arial" w:cs="Arial"/>
        </w:rPr>
      </w:pPr>
      <w:r>
        <w:rPr>
          <w:rFonts w:hint="eastAsia" w:ascii="Arial" w:hAnsi="Arial" w:cs="Arial"/>
        </w:rPr>
        <w:t>同城交换号：060149</w:t>
      </w:r>
    </w:p>
    <w:p w14:paraId="3DE3892A">
      <w:pPr>
        <w:adjustRightInd w:val="0"/>
        <w:snapToGrid w:val="0"/>
        <w:spacing w:line="360" w:lineRule="auto"/>
        <w:ind w:firstLine="420" w:firstLineChars="200"/>
        <w:rPr>
          <w:rFonts w:hint="eastAsia" w:ascii="Arial" w:hAnsi="Arial" w:cs="Arial"/>
        </w:rPr>
      </w:pPr>
      <w:r>
        <w:rPr>
          <w:rFonts w:hint="eastAsia" w:ascii="Arial" w:hAnsi="Arial" w:cs="Arial"/>
        </w:rPr>
        <w:t>联行行号：61113</w:t>
      </w:r>
    </w:p>
    <w:p w14:paraId="4EEBFB73">
      <w:pPr>
        <w:adjustRightInd w:val="0"/>
        <w:snapToGrid w:val="0"/>
        <w:spacing w:line="360" w:lineRule="auto"/>
        <w:ind w:firstLine="420" w:firstLineChars="200"/>
        <w:rPr>
          <w:rFonts w:hint="eastAsia" w:ascii="Arial" w:hAnsi="Arial" w:cs="Arial"/>
        </w:rPr>
      </w:pPr>
      <w:r>
        <w:rPr>
          <w:rFonts w:hint="eastAsia" w:ascii="Arial" w:hAnsi="Arial" w:cs="Arial"/>
        </w:rPr>
        <w:t>人行支付系统机构号：301100000023</w:t>
      </w:r>
    </w:p>
    <w:p w14:paraId="1EF99D89">
      <w:pPr>
        <w:adjustRightInd w:val="0"/>
        <w:snapToGrid w:val="0"/>
        <w:spacing w:line="360" w:lineRule="auto"/>
        <w:ind w:firstLine="420" w:firstLineChars="200"/>
        <w:rPr>
          <w:rFonts w:ascii="Arial" w:hAnsi="Arial" w:cs="Arial"/>
        </w:rPr>
      </w:pPr>
      <w:r>
        <w:rPr>
          <w:rFonts w:ascii="Arial" w:hAnsi="Arial" w:cs="Arial"/>
        </w:rPr>
        <w:t>4</w:t>
      </w:r>
      <w:r>
        <w:rPr>
          <w:rFonts w:hint="eastAsia" w:ascii="Arial" w:hAnsi="Arial" w:cs="Arial"/>
        </w:rPr>
        <w:t>、</w:t>
      </w:r>
      <w:r>
        <w:rPr>
          <w:rFonts w:ascii="Arial" w:hAnsi="Arial" w:cs="Arial"/>
        </w:rPr>
        <w:t>注意事项：</w:t>
      </w:r>
    </w:p>
    <w:p w14:paraId="31D351F5">
      <w:pPr>
        <w:adjustRightInd w:val="0"/>
        <w:snapToGrid w:val="0"/>
        <w:spacing w:line="360" w:lineRule="auto"/>
        <w:ind w:firstLine="420" w:firstLineChars="200"/>
        <w:rPr>
          <w:rFonts w:ascii="Arial" w:hAnsi="Arial" w:cs="Arial"/>
        </w:rPr>
      </w:pPr>
      <w:r>
        <w:rPr>
          <w:rFonts w:ascii="Arial" w:hAnsi="Arial" w:cs="Arial"/>
        </w:rPr>
        <w:t>（1）若投资人的认购资金在认购申请当日17：00之前未到本公司指定的直销资金专户，则</w:t>
      </w:r>
      <w:r>
        <w:rPr>
          <w:rFonts w:hint="eastAsia" w:ascii="Arial" w:hAnsi="Arial" w:cs="Arial"/>
        </w:rPr>
        <w:t>认购申请无效。</w:t>
      </w:r>
    </w:p>
    <w:p w14:paraId="46039EFD">
      <w:pPr>
        <w:adjustRightInd w:val="0"/>
        <w:snapToGrid w:val="0"/>
        <w:spacing w:line="360" w:lineRule="auto"/>
        <w:ind w:firstLine="420" w:firstLineChars="200"/>
        <w:rPr>
          <w:rFonts w:hint="eastAsia" w:ascii="Arial" w:hAnsi="Arial" w:cs="Arial"/>
        </w:rPr>
      </w:pPr>
      <w:r>
        <w:rPr>
          <w:rFonts w:ascii="Arial" w:hAnsi="Arial" w:cs="Arial"/>
        </w:rPr>
        <w:t>（2）办理汇款时，投资者必须</w:t>
      </w:r>
      <w:r>
        <w:rPr>
          <w:rFonts w:hint="eastAsia" w:ascii="Arial" w:hAnsi="Arial" w:cs="Arial"/>
        </w:rPr>
        <w:t>仔细阅读《</w:t>
      </w:r>
      <w:r>
        <w:rPr>
          <w:rFonts w:ascii="Arial" w:hAnsi="Arial"/>
          <w:color w:val="202020"/>
        </w:rPr>
        <w:t>博时基金管理有限公司关于直销个人投资者汇款购买基金的提示性公告</w:t>
      </w:r>
      <w:r>
        <w:rPr>
          <w:rFonts w:hint="eastAsia" w:ascii="Arial" w:hAnsi="Arial" w:cs="Arial"/>
        </w:rPr>
        <w:t>》，并</w:t>
      </w:r>
      <w:r>
        <w:rPr>
          <w:rFonts w:ascii="Arial" w:hAnsi="Arial" w:cs="Arial"/>
        </w:rPr>
        <w:t>注意以下事项：</w:t>
      </w:r>
    </w:p>
    <w:p w14:paraId="31EF1B60">
      <w:pPr>
        <w:adjustRightInd w:val="0"/>
        <w:snapToGrid w:val="0"/>
        <w:spacing w:line="360" w:lineRule="auto"/>
        <w:ind w:firstLine="420" w:firstLineChars="200"/>
        <w:rPr>
          <w:rFonts w:ascii="Arial" w:hAnsi="Arial" w:cs="Arial"/>
        </w:rPr>
      </w:pPr>
      <w:r>
        <w:rPr>
          <w:rFonts w:hint="eastAsia" w:ascii="Arial" w:hAnsi="Arial" w:cs="Arial"/>
        </w:rPr>
        <w:t>1）</w:t>
      </w:r>
      <w:r>
        <w:rPr>
          <w:rFonts w:ascii="Arial" w:hAnsi="Arial" w:cs="Arial"/>
        </w:rPr>
        <w:t>投资者必须使用其预留账户</w:t>
      </w:r>
      <w:r>
        <w:rPr>
          <w:rFonts w:hint="eastAsia" w:ascii="Arial" w:hAnsi="Arial" w:cs="Arial"/>
        </w:rPr>
        <w:t>（</w:t>
      </w:r>
      <w:r>
        <w:rPr>
          <w:rFonts w:ascii="Arial" w:hAnsi="Arial" w:cs="Arial"/>
        </w:rPr>
        <w:t>投资者在本公司直销开立交易账户时登记的银行账户</w:t>
      </w:r>
      <w:r>
        <w:rPr>
          <w:rFonts w:hint="eastAsia" w:ascii="Arial" w:hAnsi="Arial" w:cs="Arial"/>
        </w:rPr>
        <w:t>）</w:t>
      </w:r>
      <w:r>
        <w:rPr>
          <w:rFonts w:ascii="Arial" w:hAnsi="Arial" w:cs="Arial"/>
        </w:rPr>
        <w:t>办理汇款，如使用非预留账户、现金或其他无法及时识别投资者身份的方式汇款，则汇款资金无效</w:t>
      </w:r>
      <w:r>
        <w:rPr>
          <w:rFonts w:hint="eastAsia" w:ascii="Arial" w:hAnsi="Arial" w:cs="Arial"/>
        </w:rPr>
        <w:t>；</w:t>
      </w:r>
    </w:p>
    <w:p w14:paraId="6534BAD0">
      <w:pPr>
        <w:adjustRightInd w:val="0"/>
        <w:snapToGrid w:val="0"/>
        <w:spacing w:line="360" w:lineRule="auto"/>
        <w:ind w:firstLine="420" w:firstLineChars="200"/>
        <w:rPr>
          <w:rFonts w:ascii="Arial" w:hAnsi="Arial" w:cs="Arial"/>
        </w:rPr>
      </w:pPr>
      <w:r>
        <w:rPr>
          <w:rFonts w:hint="eastAsia" w:ascii="Arial" w:hAnsi="Arial" w:cs="Arial"/>
        </w:rPr>
        <w:t>2）</w:t>
      </w:r>
      <w:r>
        <w:rPr>
          <w:rFonts w:ascii="Arial" w:hAnsi="Arial" w:cs="Arial"/>
        </w:rPr>
        <w:t>投资者应在汇款附言/用途/摘要/备注栏正确填写</w:t>
      </w:r>
      <w:r>
        <w:rPr>
          <w:rFonts w:hint="eastAsia" w:ascii="Arial" w:hAnsi="Arial" w:cs="Arial"/>
        </w:rPr>
        <w:t>上海</w:t>
      </w:r>
      <w:r>
        <w:rPr>
          <w:rFonts w:ascii="Arial" w:hAnsi="Arial" w:cs="Arial"/>
        </w:rPr>
        <w:t>证券账户信息</w:t>
      </w:r>
      <w:r>
        <w:rPr>
          <w:rFonts w:hint="eastAsia" w:ascii="Arial" w:hAnsi="Arial" w:cs="Arial"/>
        </w:rPr>
        <w:t>，并预留</w:t>
      </w:r>
      <w:r>
        <w:rPr>
          <w:rFonts w:ascii="Arial" w:hAnsi="Arial" w:cs="Arial"/>
        </w:rPr>
        <w:t>有效的联系方式</w:t>
      </w:r>
      <w:r>
        <w:rPr>
          <w:rFonts w:hint="eastAsia" w:ascii="Arial" w:hAnsi="Arial" w:cs="Arial"/>
        </w:rPr>
        <w:t>，</w:t>
      </w:r>
      <w:r>
        <w:rPr>
          <w:rFonts w:ascii="Arial" w:hAnsi="Arial" w:cs="Arial"/>
        </w:rPr>
        <w:t>便于发生资金异常时及时通知</w:t>
      </w:r>
      <w:r>
        <w:rPr>
          <w:rFonts w:hint="eastAsia" w:ascii="Arial" w:hAnsi="Arial" w:cs="Arial"/>
        </w:rPr>
        <w:t>；</w:t>
      </w:r>
    </w:p>
    <w:p w14:paraId="7AB33D3B">
      <w:pPr>
        <w:adjustRightInd w:val="0"/>
        <w:snapToGrid w:val="0"/>
        <w:spacing w:line="360" w:lineRule="auto"/>
        <w:ind w:firstLine="420" w:firstLineChars="200"/>
        <w:rPr>
          <w:rFonts w:hint="eastAsia" w:ascii="Arial" w:hAnsi="Arial" w:cs="Arial"/>
        </w:rPr>
      </w:pPr>
      <w:r>
        <w:rPr>
          <w:rFonts w:hint="eastAsia" w:ascii="Arial" w:hAnsi="Arial" w:cs="Arial"/>
        </w:rPr>
        <w:t>3）投资者应在每次使用预留账户汇款后于汇款当日17点前将汇款单传真至本公司汇款指定专用传真号码（010-65187032、010-65187592），并拨打电话（010-65187055）确认；</w:t>
      </w:r>
    </w:p>
    <w:p w14:paraId="362A5D8B">
      <w:pPr>
        <w:adjustRightInd w:val="0"/>
        <w:snapToGrid w:val="0"/>
        <w:spacing w:line="360" w:lineRule="auto"/>
        <w:ind w:firstLine="420" w:firstLineChars="200"/>
        <w:rPr>
          <w:rFonts w:hint="eastAsia" w:ascii="Arial" w:hAnsi="Arial" w:cs="Arial"/>
        </w:rPr>
      </w:pPr>
      <w:r>
        <w:rPr>
          <w:rFonts w:hint="eastAsia" w:ascii="Arial" w:hAnsi="Arial" w:cs="Arial"/>
        </w:rPr>
        <w:t>4）</w:t>
      </w:r>
      <w:r>
        <w:rPr>
          <w:rFonts w:ascii="Arial" w:hAnsi="Arial" w:cs="Arial"/>
        </w:rPr>
        <w:t>投资者采用汇款交易方式发生的银行转账手续费由投资者自行承担</w:t>
      </w:r>
      <w:r>
        <w:rPr>
          <w:rFonts w:hint="eastAsia" w:ascii="Arial" w:hAnsi="Arial" w:cs="Arial"/>
        </w:rPr>
        <w:t>；</w:t>
      </w:r>
    </w:p>
    <w:p w14:paraId="775FC5F1">
      <w:pPr>
        <w:adjustRightInd w:val="0"/>
        <w:snapToGrid w:val="0"/>
        <w:spacing w:line="360" w:lineRule="auto"/>
        <w:ind w:firstLine="420" w:firstLineChars="200"/>
        <w:rPr>
          <w:rFonts w:ascii="Arial" w:hAnsi="Arial" w:cs="Arial"/>
        </w:rPr>
      </w:pPr>
      <w:r>
        <w:rPr>
          <w:rFonts w:hint="eastAsia" w:ascii="Arial" w:hAnsi="Arial" w:cs="Arial"/>
        </w:rPr>
        <w:t>5）</w:t>
      </w:r>
      <w:r>
        <w:rPr>
          <w:rFonts w:hint="eastAsia" w:ascii="Arial" w:hAnsi="Arial"/>
        </w:rPr>
        <w:t>投资者应足额汇款，</w:t>
      </w:r>
      <w:r>
        <w:rPr>
          <w:rFonts w:ascii="Arial" w:hAnsi="Arial"/>
        </w:rPr>
        <w:t>认购申请当日下午17：00之前，若投资者的认购资金未全额到本公司指定直销专户，则认购</w:t>
      </w:r>
      <w:r>
        <w:rPr>
          <w:rFonts w:hint="eastAsia" w:ascii="Arial" w:hAnsi="Arial"/>
        </w:rPr>
        <w:t>申请无效。</w:t>
      </w:r>
    </w:p>
    <w:p w14:paraId="7662FF9B">
      <w:pPr>
        <w:adjustRightInd w:val="0"/>
        <w:snapToGrid w:val="0"/>
        <w:spacing w:line="360" w:lineRule="auto"/>
        <w:ind w:firstLine="420" w:firstLineChars="200"/>
        <w:rPr>
          <w:rFonts w:ascii="Arial" w:hAnsi="Arial" w:cs="Arial"/>
          <w:kern w:val="0"/>
        </w:rPr>
      </w:pPr>
      <w:r>
        <w:rPr>
          <w:rFonts w:ascii="Arial" w:hAnsi="Arial" w:cs="Arial"/>
          <w:kern w:val="0"/>
        </w:rPr>
        <w:t>（二）发售代理机构</w:t>
      </w:r>
    </w:p>
    <w:p w14:paraId="36407D9D">
      <w:pPr>
        <w:adjustRightInd w:val="0"/>
        <w:snapToGrid w:val="0"/>
        <w:spacing w:line="360" w:lineRule="auto"/>
        <w:ind w:firstLine="420" w:firstLineChars="200"/>
        <w:rPr>
          <w:rFonts w:ascii="Arial" w:hAnsi="Arial" w:cs="Arial"/>
        </w:rPr>
      </w:pPr>
      <w:r>
        <w:rPr>
          <w:rFonts w:ascii="Arial" w:hAnsi="Arial" w:cs="Arial"/>
        </w:rPr>
        <w:t>1</w:t>
      </w:r>
      <w:r>
        <w:rPr>
          <w:rFonts w:hint="eastAsia" w:ascii="Arial" w:hAnsi="Arial" w:cs="Arial"/>
        </w:rPr>
        <w:t>、</w:t>
      </w:r>
      <w:r>
        <w:rPr>
          <w:rFonts w:ascii="Arial" w:hAnsi="Arial" w:cs="Arial"/>
        </w:rPr>
        <w:t>业务办理时间</w:t>
      </w:r>
      <w:r>
        <w:rPr>
          <w:rFonts w:hint="eastAsia" w:ascii="Arial" w:hAnsi="Arial" w:cs="Arial"/>
        </w:rPr>
        <w:t>：</w:t>
      </w:r>
      <w:r>
        <w:rPr>
          <w:rFonts w:hint="eastAsia" w:ascii="Arial" w:hAnsi="Arial" w:cs="Arial"/>
          <w:lang w:eastAsia="zh-CN"/>
        </w:rPr>
        <w:t>2026年10月12日起至2026年10月23日</w:t>
      </w:r>
      <w:r>
        <w:rPr>
          <w:rFonts w:ascii="Arial" w:hAnsi="Arial" w:cs="Arial"/>
        </w:rPr>
        <w:t>9:30-17:00（周六、周日</w:t>
      </w:r>
      <w:r>
        <w:rPr>
          <w:rFonts w:hint="eastAsia" w:ascii="Arial" w:hAnsi="Arial" w:cs="Arial"/>
        </w:rPr>
        <w:t>及法定节假日</w:t>
      </w:r>
      <w:r>
        <w:rPr>
          <w:rFonts w:ascii="Arial" w:hAnsi="Arial" w:cs="Arial"/>
        </w:rPr>
        <w:t>不受理），具体时间以各发售代理机构的规定为准。</w:t>
      </w:r>
    </w:p>
    <w:p w14:paraId="0E335304">
      <w:pPr>
        <w:adjustRightInd w:val="0"/>
        <w:snapToGrid w:val="0"/>
        <w:spacing w:line="360" w:lineRule="auto"/>
        <w:ind w:firstLine="420" w:firstLineChars="200"/>
        <w:rPr>
          <w:rFonts w:hint="eastAsia" w:ascii="Arial" w:hAnsi="Arial" w:cs="Arial"/>
          <w:kern w:val="0"/>
        </w:rPr>
      </w:pPr>
      <w:r>
        <w:rPr>
          <w:rFonts w:ascii="Arial" w:hAnsi="Arial" w:cs="Arial"/>
        </w:rPr>
        <w:t>2</w:t>
      </w:r>
      <w:r>
        <w:rPr>
          <w:rFonts w:hint="eastAsia" w:ascii="Arial" w:hAnsi="Arial" w:cs="Arial"/>
        </w:rPr>
        <w:t>、</w:t>
      </w:r>
      <w:r>
        <w:rPr>
          <w:rFonts w:ascii="Arial" w:hAnsi="Arial" w:cs="Arial"/>
        </w:rPr>
        <w:t>认购</w:t>
      </w:r>
      <w:r>
        <w:rPr>
          <w:rFonts w:ascii="Arial" w:hAnsi="Arial" w:cs="Arial"/>
          <w:kern w:val="0"/>
        </w:rPr>
        <w:t>手续：</w:t>
      </w:r>
    </w:p>
    <w:p w14:paraId="30C1A473">
      <w:pPr>
        <w:adjustRightInd w:val="0"/>
        <w:snapToGrid w:val="0"/>
        <w:spacing w:line="360" w:lineRule="auto"/>
        <w:ind w:firstLine="420" w:firstLineChars="200"/>
        <w:rPr>
          <w:rFonts w:ascii="Arial" w:hAnsi="Arial" w:cs="Arial"/>
          <w:kern w:val="0"/>
        </w:rPr>
      </w:pPr>
      <w:r>
        <w:rPr>
          <w:rFonts w:hint="eastAsia" w:ascii="Arial" w:hAnsi="Arial" w:cs="Arial"/>
          <w:kern w:val="0"/>
        </w:rPr>
        <w:t>投资人在认购本基金时，需按销售机构的规定，到销售网点办理相关认购手续，并备足认购资金。网下现金认购申请提交后在销售机构规定的时间之后不得撤销。</w:t>
      </w:r>
    </w:p>
    <w:p w14:paraId="1498D289">
      <w:pPr>
        <w:adjustRightInd w:val="0"/>
        <w:snapToGrid w:val="0"/>
        <w:spacing w:line="360" w:lineRule="auto"/>
        <w:ind w:firstLine="420" w:firstLineChars="200"/>
        <w:rPr>
          <w:rFonts w:ascii="Arial" w:hAnsi="Arial" w:cs="Arial"/>
          <w:kern w:val="0"/>
        </w:rPr>
      </w:pPr>
      <w:r>
        <w:rPr>
          <w:rFonts w:ascii="Arial" w:hAnsi="Arial" w:cs="Arial"/>
          <w:kern w:val="0"/>
        </w:rPr>
        <w:t>（1）开立</w:t>
      </w:r>
      <w:r>
        <w:rPr>
          <w:rFonts w:hint="eastAsia" w:ascii="Arial" w:hAnsi="Arial" w:cs="Arial"/>
          <w:kern w:val="0"/>
        </w:rPr>
        <w:t>上海</w:t>
      </w:r>
      <w:r>
        <w:rPr>
          <w:rFonts w:ascii="Arial" w:hAnsi="Arial" w:cs="Arial"/>
          <w:kern w:val="0"/>
        </w:rPr>
        <w:t>A股账户或</w:t>
      </w:r>
      <w:r>
        <w:rPr>
          <w:rFonts w:hint="eastAsia" w:ascii="Arial" w:hAnsi="Arial" w:cs="Arial"/>
          <w:kern w:val="0"/>
        </w:rPr>
        <w:t>证券投资</w:t>
      </w:r>
      <w:r>
        <w:rPr>
          <w:rFonts w:ascii="Arial" w:hAnsi="Arial" w:cs="Arial"/>
          <w:kern w:val="0"/>
        </w:rPr>
        <w:t>基金账户</w:t>
      </w:r>
      <w:r>
        <w:rPr>
          <w:rFonts w:hint="eastAsia" w:ascii="Arial" w:hAnsi="Arial" w:cs="Arial"/>
          <w:kern w:val="0"/>
        </w:rPr>
        <w:t>；</w:t>
      </w:r>
    </w:p>
    <w:p w14:paraId="7836291F">
      <w:pPr>
        <w:adjustRightInd w:val="0"/>
        <w:snapToGrid w:val="0"/>
        <w:spacing w:line="360" w:lineRule="auto"/>
        <w:ind w:firstLine="420" w:firstLineChars="200"/>
        <w:rPr>
          <w:rFonts w:ascii="Arial" w:hAnsi="Arial" w:cs="Arial"/>
          <w:kern w:val="0"/>
        </w:rPr>
      </w:pPr>
      <w:r>
        <w:rPr>
          <w:rFonts w:ascii="Arial" w:hAnsi="Arial" w:cs="Arial"/>
          <w:kern w:val="0"/>
        </w:rPr>
        <w:t>（2）在认购前向资金账户中存入足够的认购资金</w:t>
      </w:r>
      <w:r>
        <w:rPr>
          <w:rFonts w:hint="eastAsia" w:ascii="Arial" w:hAnsi="Arial" w:cs="Arial"/>
          <w:kern w:val="0"/>
        </w:rPr>
        <w:t>；</w:t>
      </w:r>
    </w:p>
    <w:p w14:paraId="3CA24070">
      <w:pPr>
        <w:adjustRightInd w:val="0"/>
        <w:snapToGrid w:val="0"/>
        <w:spacing w:line="360" w:lineRule="auto"/>
        <w:ind w:firstLine="420" w:firstLineChars="200"/>
        <w:rPr>
          <w:rFonts w:ascii="Arial" w:hAnsi="Arial" w:cs="Arial"/>
        </w:rPr>
      </w:pPr>
      <w:r>
        <w:rPr>
          <w:rFonts w:ascii="Arial" w:hAnsi="Arial" w:cs="Arial"/>
          <w:kern w:val="0"/>
        </w:rPr>
        <w:t>（3）投资人填写认购委托单，同时填写委托该发售代理机构代为办理网上现金认购的委托申请书。申报一经确认，认购资金即被冻结。</w:t>
      </w:r>
    </w:p>
    <w:p w14:paraId="47C15909">
      <w:pPr>
        <w:pStyle w:val="2"/>
        <w:snapToGrid w:val="0"/>
        <w:spacing w:before="0" w:after="0"/>
        <w:textAlignment w:val="auto"/>
        <w:rPr>
          <w:rFonts w:ascii="Arial" w:hAnsi="Arial" w:eastAsia="宋体" w:cs="Arial"/>
          <w:b/>
          <w:sz w:val="21"/>
        </w:rPr>
      </w:pPr>
      <w:r>
        <w:rPr>
          <w:rFonts w:ascii="Arial" w:hAnsi="Arial" w:eastAsia="宋体" w:cs="Arial"/>
          <w:b/>
          <w:sz w:val="21"/>
        </w:rPr>
        <w:br w:type="page"/>
      </w:r>
      <w:bookmarkStart w:id="43" w:name="_Toc12988"/>
      <w:bookmarkStart w:id="44" w:name="_Toc522521894"/>
      <w:bookmarkStart w:id="45" w:name="_Toc26357"/>
      <w:r>
        <w:rPr>
          <w:rFonts w:hint="eastAsia" w:ascii="Arial" w:hAnsi="Arial" w:eastAsia="宋体" w:cs="Arial"/>
          <w:b/>
          <w:sz w:val="21"/>
        </w:rPr>
        <w:t>五</w:t>
      </w:r>
      <w:r>
        <w:rPr>
          <w:rFonts w:ascii="Arial" w:hAnsi="Arial" w:eastAsia="宋体" w:cs="Arial"/>
          <w:b/>
          <w:sz w:val="21"/>
        </w:rPr>
        <w:t>、清算与交割</w:t>
      </w:r>
      <w:bookmarkEnd w:id="43"/>
      <w:bookmarkEnd w:id="44"/>
      <w:bookmarkEnd w:id="45"/>
    </w:p>
    <w:p w14:paraId="5E161DD0">
      <w:pPr>
        <w:adjustRightInd w:val="0"/>
        <w:snapToGrid w:val="0"/>
        <w:spacing w:line="360" w:lineRule="auto"/>
        <w:ind w:firstLine="420" w:firstLineChars="200"/>
        <w:rPr>
          <w:rFonts w:hint="eastAsia" w:ascii="Arial" w:hAnsi="Arial" w:cs="Arial"/>
          <w:szCs w:val="17"/>
        </w:rPr>
      </w:pPr>
      <w:r>
        <w:rPr>
          <w:rFonts w:hint="eastAsia" w:ascii="Arial" w:hAnsi="Arial" w:cs="Arial"/>
          <w:szCs w:val="17"/>
        </w:rPr>
        <w:t>（一）清算交收</w:t>
      </w:r>
    </w:p>
    <w:p w14:paraId="250EA9CD">
      <w:pPr>
        <w:adjustRightInd w:val="0"/>
        <w:snapToGrid w:val="0"/>
        <w:spacing w:line="360" w:lineRule="auto"/>
        <w:ind w:firstLine="420" w:firstLineChars="200"/>
        <w:rPr>
          <w:rFonts w:hint="eastAsia" w:ascii="Arial" w:hAnsi="Arial" w:cs="Arial"/>
          <w:szCs w:val="17"/>
        </w:rPr>
      </w:pPr>
      <w:r>
        <w:rPr>
          <w:rFonts w:hint="eastAsia" w:ascii="Arial" w:hAnsi="Arial" w:cs="Arial"/>
          <w:szCs w:val="17"/>
        </w:rPr>
        <w:t>1、网上现金认购：投资者提交的认购委托，由登记机构进行有效认购款项的清算交收。</w:t>
      </w:r>
    </w:p>
    <w:p w14:paraId="456D1556">
      <w:pPr>
        <w:adjustRightInd w:val="0"/>
        <w:snapToGrid w:val="0"/>
        <w:spacing w:line="360" w:lineRule="auto"/>
        <w:ind w:firstLine="420" w:firstLineChars="200"/>
        <w:rPr>
          <w:rFonts w:hint="eastAsia" w:ascii="Arial" w:hAnsi="Arial" w:cs="Arial"/>
          <w:szCs w:val="17"/>
        </w:rPr>
      </w:pPr>
      <w:r>
        <w:rPr>
          <w:rFonts w:hint="eastAsia" w:ascii="Arial" w:hAnsi="Arial" w:cs="Arial"/>
          <w:szCs w:val="17"/>
        </w:rPr>
        <w:t>2、网下现金认购：通过基金管理人提交的网下现金认购申请，由基金管理人进行有效认购款项的清算交收。通过发售代理机构提交的网下现金认购申请，由登记机构进行有效认购款项的清算交收。</w:t>
      </w:r>
    </w:p>
    <w:p w14:paraId="3379D53B">
      <w:pPr>
        <w:adjustRightInd w:val="0"/>
        <w:snapToGrid w:val="0"/>
        <w:spacing w:line="360" w:lineRule="auto"/>
        <w:ind w:firstLine="420" w:firstLineChars="200"/>
        <w:rPr>
          <w:rFonts w:ascii="Arial" w:hAnsi="Arial" w:cs="Arial"/>
          <w:szCs w:val="17"/>
        </w:rPr>
      </w:pPr>
      <w:r>
        <w:rPr>
          <w:rFonts w:hint="eastAsia" w:ascii="Arial" w:hAnsi="Arial" w:cs="Arial"/>
          <w:szCs w:val="17"/>
        </w:rPr>
        <w:t>（二）募集资金</w:t>
      </w:r>
      <w:bookmarkStart w:id="46" w:name="OLE_LINK115"/>
      <w:bookmarkStart w:id="47" w:name="OLE_LINK114"/>
      <w:r>
        <w:rPr>
          <w:rFonts w:hint="eastAsia" w:ascii="Arial" w:hAnsi="Arial" w:cs="Arial"/>
          <w:szCs w:val="17"/>
        </w:rPr>
        <w:t>利息</w:t>
      </w:r>
      <w:bookmarkEnd w:id="46"/>
      <w:bookmarkEnd w:id="47"/>
      <w:r>
        <w:rPr>
          <w:rFonts w:hint="eastAsia" w:ascii="Arial" w:hAnsi="Arial" w:cs="Arial"/>
          <w:szCs w:val="17"/>
        </w:rPr>
        <w:t>的处理方式</w:t>
      </w:r>
    </w:p>
    <w:p w14:paraId="09FEDF49">
      <w:pPr>
        <w:adjustRightInd w:val="0"/>
        <w:snapToGrid w:val="0"/>
        <w:spacing w:line="360" w:lineRule="auto"/>
        <w:ind w:firstLine="420" w:firstLineChars="200"/>
        <w:rPr>
          <w:rFonts w:hint="eastAsia" w:ascii="Arial" w:hAnsi="Arial" w:cs="Arial"/>
          <w:szCs w:val="17"/>
        </w:rPr>
      </w:pPr>
      <w:r>
        <w:rPr>
          <w:rFonts w:hint="eastAsia" w:ascii="Arial" w:hAnsi="Arial" w:cs="Arial"/>
          <w:szCs w:val="17"/>
        </w:rPr>
        <w:t>网下现金认购及网上现金认购的有效认购资金在募集期间产生的利息将折算为基金份额归</w:t>
      </w:r>
      <w:r>
        <w:rPr>
          <w:rFonts w:hint="eastAsia" w:ascii="宋体" w:hAnsi="宋体" w:cs="Arial"/>
          <w:bCs/>
        </w:rPr>
        <w:t>基金份额持有人</w:t>
      </w:r>
      <w:r>
        <w:rPr>
          <w:rFonts w:hint="eastAsia" w:ascii="Arial" w:hAnsi="Arial" w:cs="Arial"/>
          <w:szCs w:val="17"/>
        </w:rPr>
        <w:t>所有，利息折算的份额以基金管理人及登记机构的记录为准。</w:t>
      </w:r>
    </w:p>
    <w:p w14:paraId="1CEB7FB8">
      <w:pPr>
        <w:adjustRightInd w:val="0"/>
        <w:snapToGrid w:val="0"/>
        <w:spacing w:line="360" w:lineRule="auto"/>
        <w:ind w:firstLine="420" w:firstLineChars="200"/>
        <w:rPr>
          <w:rFonts w:ascii="Arial" w:hAnsi="Arial" w:cs="Arial"/>
        </w:rPr>
      </w:pPr>
      <w:r>
        <w:rPr>
          <w:rFonts w:hint="eastAsia" w:ascii="Arial" w:hAnsi="Arial" w:cs="Arial"/>
        </w:rPr>
        <w:t>（三）基金管理人应将基金募集期间募集的资金存入专门账户，上述资金在基金募集行为</w:t>
      </w:r>
      <w:bookmarkStart w:id="48" w:name="OLE_LINK111"/>
      <w:bookmarkStart w:id="49" w:name="OLE_LINK110"/>
      <w:r>
        <w:rPr>
          <w:rFonts w:hint="eastAsia" w:ascii="Arial" w:hAnsi="Arial" w:cs="Arial"/>
        </w:rPr>
        <w:t>结束前任何人不得动用。基</w:t>
      </w:r>
      <w:bookmarkEnd w:id="48"/>
      <w:bookmarkEnd w:id="49"/>
      <w:r>
        <w:rPr>
          <w:rFonts w:hint="eastAsia" w:ascii="Arial" w:hAnsi="Arial" w:cs="Arial"/>
        </w:rPr>
        <w:t>金募集期间的信息披露费、会计师费、律师费以及其他费用，不得从基金</w:t>
      </w:r>
      <w:bookmarkStart w:id="50" w:name="OLE_LINK113"/>
      <w:bookmarkStart w:id="51" w:name="OLE_LINK112"/>
      <w:r>
        <w:rPr>
          <w:rFonts w:hint="eastAsia" w:ascii="Arial" w:hAnsi="Arial" w:cs="Arial"/>
        </w:rPr>
        <w:t>财产中列支。</w:t>
      </w:r>
    </w:p>
    <w:bookmarkEnd w:id="50"/>
    <w:bookmarkEnd w:id="51"/>
    <w:p w14:paraId="251DC593">
      <w:pPr>
        <w:pStyle w:val="2"/>
        <w:snapToGrid w:val="0"/>
        <w:spacing w:before="0" w:after="0"/>
        <w:textAlignment w:val="auto"/>
        <w:rPr>
          <w:rFonts w:hint="eastAsia" w:ascii="Arial" w:hAnsi="Arial" w:eastAsia="宋体" w:cs="Arial"/>
          <w:b/>
          <w:sz w:val="21"/>
        </w:rPr>
      </w:pPr>
      <w:r>
        <w:rPr>
          <w:rFonts w:ascii="Arial" w:hAnsi="Arial" w:eastAsia="宋体" w:cs="Arial"/>
          <w:b/>
          <w:sz w:val="21"/>
        </w:rPr>
        <w:br w:type="page"/>
      </w:r>
      <w:bookmarkStart w:id="52" w:name="_Toc20355"/>
      <w:bookmarkStart w:id="53" w:name="_Toc11922"/>
      <w:bookmarkStart w:id="54" w:name="_Toc522521895"/>
      <w:r>
        <w:rPr>
          <w:rFonts w:hint="eastAsia" w:ascii="Arial" w:hAnsi="Arial" w:eastAsia="宋体" w:cs="Arial"/>
          <w:b/>
          <w:sz w:val="21"/>
        </w:rPr>
        <w:t>六</w:t>
      </w:r>
      <w:r>
        <w:rPr>
          <w:rFonts w:ascii="Arial" w:hAnsi="Arial" w:eastAsia="宋体" w:cs="Arial"/>
          <w:b/>
          <w:sz w:val="21"/>
        </w:rPr>
        <w:t>、基金的验资与基金合同生效</w:t>
      </w:r>
      <w:bookmarkEnd w:id="52"/>
      <w:bookmarkEnd w:id="53"/>
      <w:bookmarkEnd w:id="54"/>
    </w:p>
    <w:p w14:paraId="5C88C5FA"/>
    <w:p w14:paraId="0C09637A">
      <w:pPr>
        <w:adjustRightInd w:val="0"/>
        <w:snapToGrid w:val="0"/>
        <w:spacing w:line="360" w:lineRule="auto"/>
        <w:ind w:firstLine="420" w:firstLineChars="200"/>
        <w:rPr>
          <w:rFonts w:hint="eastAsia" w:ascii="Arial" w:hAnsi="Arial" w:cs="Arial"/>
          <w:szCs w:val="17"/>
        </w:rPr>
      </w:pPr>
      <w:r>
        <w:rPr>
          <w:rFonts w:hint="eastAsia" w:ascii="Arial" w:hAnsi="Arial" w:cs="Arial"/>
          <w:szCs w:val="17"/>
        </w:rPr>
        <w:t>1、基金备案的条件</w:t>
      </w:r>
    </w:p>
    <w:p w14:paraId="0AA2FD42">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本基金自基金份额发售之日起3个月内，在基金募集份额总额不少于2亿份，基金募集金额不少于2 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4F625BF1">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754B315C">
      <w:pPr>
        <w:adjustRightInd w:val="0"/>
        <w:snapToGrid w:val="0"/>
        <w:spacing w:line="360" w:lineRule="auto"/>
        <w:ind w:firstLine="420" w:firstLineChars="200"/>
        <w:rPr>
          <w:rFonts w:ascii="宋体" w:hAnsi="宋体" w:cs="Arial"/>
          <w:kern w:val="0"/>
          <w:szCs w:val="21"/>
        </w:rPr>
      </w:pPr>
      <w:r>
        <w:rPr>
          <w:rFonts w:hint="eastAsia" w:ascii="宋体" w:hAnsi="宋体" w:cs="Arial"/>
          <w:kern w:val="0"/>
          <w:szCs w:val="21"/>
        </w:rPr>
        <w:t>基金管理人应将基金募集期间募集的资金存入专门账户，在基金募集行为结束前，任何人不得动用。</w:t>
      </w:r>
    </w:p>
    <w:p w14:paraId="487F8462">
      <w:pPr>
        <w:adjustRightInd w:val="0"/>
        <w:snapToGrid w:val="0"/>
        <w:spacing w:line="360" w:lineRule="auto"/>
        <w:ind w:firstLine="420" w:firstLineChars="200"/>
        <w:rPr>
          <w:rFonts w:hint="eastAsia" w:ascii="Arial" w:hAnsi="Arial" w:cs="Arial"/>
          <w:szCs w:val="17"/>
        </w:rPr>
      </w:pPr>
      <w:r>
        <w:rPr>
          <w:rFonts w:hint="eastAsia" w:ascii="Arial" w:hAnsi="Arial" w:cs="Arial"/>
          <w:szCs w:val="17"/>
        </w:rPr>
        <w:t>2、基金合同不能生效时募集资金的处理方式</w:t>
      </w:r>
    </w:p>
    <w:p w14:paraId="604E2342">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如果募集期限届满，未满足基金备案条件，基金管理人应当承担下列责任：</w:t>
      </w:r>
    </w:p>
    <w:p w14:paraId="444C5A8A">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1、以其固有财产承担因募集行为而产生的债务和费用；</w:t>
      </w:r>
    </w:p>
    <w:p w14:paraId="644B917B">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2、在基金募集期限届满后30日内返还投资者已缴纳的款项，并加计银行同期活期存款利息；</w:t>
      </w:r>
    </w:p>
    <w:p w14:paraId="6BBB54C7">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3、如基金募集失败，基金管理人、基金托管人及销售机构不得请求报酬。</w:t>
      </w:r>
    </w:p>
    <w:p w14:paraId="559EE157">
      <w:pPr>
        <w:snapToGrid w:val="0"/>
        <w:spacing w:line="360" w:lineRule="auto"/>
        <w:ind w:firstLine="42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基金管理人、基金托管人和销售机构为基金募集支付之一切费用应由各方各自承担。</w:t>
      </w:r>
    </w:p>
    <w:p w14:paraId="6CDD2D44">
      <w:pPr>
        <w:adjustRightInd w:val="0"/>
        <w:snapToGrid w:val="0"/>
        <w:spacing w:line="360" w:lineRule="auto"/>
        <w:ind w:firstLine="420" w:firstLineChars="200"/>
        <w:rPr>
          <w:rFonts w:ascii="Arial" w:hAnsi="Arial" w:cs="Arial"/>
          <w:bCs/>
          <w:kern w:val="0"/>
          <w:szCs w:val="21"/>
        </w:rPr>
      </w:pPr>
    </w:p>
    <w:p w14:paraId="40DD6598">
      <w:pPr>
        <w:pStyle w:val="2"/>
        <w:snapToGrid w:val="0"/>
        <w:spacing w:before="0" w:after="0"/>
        <w:textAlignment w:val="auto"/>
        <w:rPr>
          <w:rFonts w:ascii="Arial" w:hAnsi="Arial" w:eastAsia="宋体" w:cs="Arial"/>
          <w:b/>
          <w:sz w:val="21"/>
        </w:rPr>
      </w:pPr>
      <w:r>
        <w:rPr>
          <w:rFonts w:ascii="Arial" w:hAnsi="Arial" w:cs="Arial"/>
          <w:szCs w:val="17"/>
        </w:rPr>
        <w:br w:type="page"/>
      </w:r>
      <w:bookmarkStart w:id="55" w:name="_Toc7397"/>
      <w:bookmarkStart w:id="56" w:name="_Toc522521896"/>
      <w:bookmarkStart w:id="57" w:name="_Toc23792"/>
      <w:r>
        <w:rPr>
          <w:rFonts w:ascii="Arial" w:hAnsi="Arial" w:eastAsia="宋体" w:cs="Arial"/>
          <w:b/>
          <w:sz w:val="21"/>
        </w:rPr>
        <w:t>七、本次发售当事人或中介机构</w:t>
      </w:r>
      <w:bookmarkEnd w:id="55"/>
      <w:bookmarkEnd w:id="56"/>
      <w:bookmarkEnd w:id="57"/>
    </w:p>
    <w:p w14:paraId="38C0388C">
      <w:pPr>
        <w:widowControl/>
        <w:adjustRightInd w:val="0"/>
        <w:snapToGrid w:val="0"/>
        <w:spacing w:line="360" w:lineRule="auto"/>
        <w:ind w:right="-178" w:rightChars="-85" w:firstLine="420" w:firstLineChars="200"/>
        <w:rPr>
          <w:rFonts w:ascii="Arial" w:hAnsi="Arial" w:cs="Arial"/>
          <w:bCs/>
        </w:rPr>
      </w:pPr>
      <w:r>
        <w:rPr>
          <w:rFonts w:ascii="Arial" w:hAnsi="Arial" w:cs="Arial"/>
          <w:bCs/>
        </w:rPr>
        <w:t>（一）基金管理人</w:t>
      </w:r>
    </w:p>
    <w:p w14:paraId="1A39433E">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名称：博时基金管理有限公司</w:t>
      </w:r>
    </w:p>
    <w:p w14:paraId="76FE887C">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住所：深圳市福田区莲花街道福新社区益田路5999号基金大厦21层</w:t>
      </w:r>
    </w:p>
    <w:p w14:paraId="6F5D61EA">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办公地址：广东省深圳市福田区益田路5999号基金大厦21层</w:t>
      </w:r>
    </w:p>
    <w:p w14:paraId="76386C09">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法定代表人：张东</w:t>
      </w:r>
    </w:p>
    <w:p w14:paraId="33F9B27A">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成立时间：1998年7月13日</w:t>
      </w:r>
    </w:p>
    <w:p w14:paraId="56AB33DC">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注册资本：2.5亿元人民币</w:t>
      </w:r>
    </w:p>
    <w:p w14:paraId="754500A7">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存续期间：持续经营</w:t>
      </w:r>
    </w:p>
    <w:p w14:paraId="16110979">
      <w:pPr>
        <w:widowControl/>
        <w:adjustRightInd w:val="0"/>
        <w:snapToGrid w:val="0"/>
        <w:spacing w:line="360" w:lineRule="auto"/>
        <w:ind w:right="-178" w:rightChars="-85" w:firstLine="420" w:firstLineChars="200"/>
        <w:rPr>
          <w:rFonts w:hint="eastAsia" w:ascii="Arial" w:hAnsi="Arial" w:cs="Arial"/>
          <w:bCs/>
        </w:rPr>
      </w:pPr>
      <w:r>
        <w:rPr>
          <w:rFonts w:hint="eastAsia" w:ascii="Arial" w:hAnsi="Arial" w:cs="Arial"/>
          <w:bCs/>
        </w:rPr>
        <w:t>联系人：杜松岭</w:t>
      </w:r>
    </w:p>
    <w:p w14:paraId="6B773F3A">
      <w:pPr>
        <w:widowControl/>
        <w:adjustRightInd w:val="0"/>
        <w:snapToGrid w:val="0"/>
        <w:spacing w:line="360" w:lineRule="auto"/>
        <w:ind w:right="-178" w:rightChars="-85" w:firstLine="420" w:firstLineChars="200"/>
        <w:rPr>
          <w:rFonts w:ascii="Arial" w:hAnsi="Arial" w:cs="Arial"/>
          <w:bCs/>
        </w:rPr>
      </w:pPr>
      <w:r>
        <w:rPr>
          <w:rFonts w:hint="eastAsia" w:ascii="Arial" w:hAnsi="Arial" w:cs="Arial"/>
          <w:bCs/>
        </w:rPr>
        <w:t>联系电话：（0755）8316 9999</w:t>
      </w:r>
    </w:p>
    <w:p w14:paraId="50843C68">
      <w:pPr>
        <w:widowControl/>
        <w:adjustRightInd w:val="0"/>
        <w:snapToGrid w:val="0"/>
        <w:spacing w:line="360" w:lineRule="auto"/>
        <w:ind w:right="-178" w:rightChars="-85" w:firstLine="420" w:firstLineChars="200"/>
        <w:rPr>
          <w:rFonts w:ascii="Arial" w:hAnsi="Arial" w:cs="Arial"/>
          <w:bCs/>
        </w:rPr>
      </w:pPr>
      <w:r>
        <w:rPr>
          <w:rFonts w:ascii="Arial" w:hAnsi="Arial" w:cs="Arial"/>
          <w:bCs/>
        </w:rPr>
        <w:t>（二）基金托管人</w:t>
      </w:r>
    </w:p>
    <w:p w14:paraId="7C5CC697">
      <w:pPr>
        <w:widowControl/>
        <w:adjustRightInd w:val="0"/>
        <w:snapToGrid w:val="0"/>
        <w:spacing w:line="360" w:lineRule="auto"/>
        <w:ind w:right="-178" w:rightChars="-85" w:firstLine="420" w:firstLineChars="200"/>
        <w:rPr>
          <w:rFonts w:hint="eastAsia" w:ascii="Arial" w:hAnsi="Arial" w:eastAsia="宋体" w:cs="Arial"/>
          <w:bCs/>
        </w:rPr>
      </w:pPr>
      <w:r>
        <w:rPr>
          <w:rFonts w:hint="eastAsia" w:ascii="Arial" w:hAnsi="Arial" w:eastAsia="宋体" w:cs="Arial"/>
          <w:bCs/>
        </w:rPr>
        <w:t>名称：</w:t>
      </w:r>
      <w:r>
        <w:rPr>
          <w:rFonts w:hint="eastAsia" w:ascii="Arial" w:hAnsi="Arial" w:cs="Arial"/>
          <w:bCs/>
          <w:lang w:eastAsia="zh-CN"/>
        </w:rPr>
        <w:t>广发银行</w:t>
      </w:r>
      <w:r>
        <w:rPr>
          <w:rFonts w:hint="eastAsia" w:ascii="Arial" w:hAnsi="Arial" w:eastAsia="宋体" w:cs="Arial"/>
          <w:bCs/>
        </w:rPr>
        <w:t>股份有限公司</w:t>
      </w:r>
    </w:p>
    <w:p w14:paraId="3BEEEE1B">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住所：广州市越秀区东风东路713号</w:t>
      </w:r>
    </w:p>
    <w:p w14:paraId="53C2963F">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办公地址：北京市西城区金融大街十五号鑫茂大厦北楼4层</w:t>
      </w:r>
    </w:p>
    <w:p w14:paraId="1F0B96CD">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法定代表人：王凯</w:t>
      </w:r>
    </w:p>
    <w:p w14:paraId="12ADA811">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成立时间：1988 年7月8日</w:t>
      </w:r>
    </w:p>
    <w:p w14:paraId="329A79D2">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组织形式：股份有限公司</w:t>
      </w:r>
    </w:p>
    <w:p w14:paraId="71B4D358">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注册资本：217.9亿人民币</w:t>
      </w:r>
    </w:p>
    <w:p w14:paraId="05E401F6">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存续期间：持续经营</w:t>
      </w:r>
    </w:p>
    <w:p w14:paraId="07A08FF3">
      <w:pPr>
        <w:widowControl/>
        <w:adjustRightInd w:val="0"/>
        <w:snapToGrid w:val="0"/>
        <w:spacing w:line="360" w:lineRule="auto"/>
        <w:ind w:right="-178" w:rightChars="-85" w:firstLine="420" w:firstLineChars="200"/>
        <w:rPr>
          <w:rFonts w:hint="eastAsia" w:ascii="Arial" w:hAnsi="Arial" w:eastAsia="宋体" w:cs="Arial"/>
          <w:bCs/>
          <w:sz w:val="21"/>
          <w:szCs w:val="20"/>
        </w:rPr>
      </w:pPr>
      <w:r>
        <w:rPr>
          <w:rFonts w:hint="eastAsia" w:ascii="Arial" w:hAnsi="Arial" w:eastAsia="宋体" w:cs="Arial"/>
          <w:bCs/>
          <w:sz w:val="21"/>
          <w:szCs w:val="20"/>
        </w:rPr>
        <w:t>基金托管资格批文及文号：中国证监会、中国银监会《关于核准广东发展银行证券投资基金托管资格的批复》，证监许可[2009]363号</w:t>
      </w:r>
    </w:p>
    <w:p w14:paraId="400A3408">
      <w:pPr>
        <w:adjustRightInd w:val="0"/>
        <w:snapToGrid w:val="0"/>
        <w:spacing w:line="360" w:lineRule="auto"/>
        <w:ind w:firstLine="420" w:firstLineChars="200"/>
        <w:rPr>
          <w:rFonts w:ascii="Arial" w:hAnsi="Arial" w:cs="Arial"/>
        </w:rPr>
      </w:pPr>
      <w:r>
        <w:rPr>
          <w:rFonts w:ascii="Arial" w:hAnsi="Arial" w:cs="Arial"/>
        </w:rPr>
        <w:t>（三）</w:t>
      </w:r>
      <w:r>
        <w:rPr>
          <w:rFonts w:hint="eastAsia" w:ascii="Arial" w:hAnsi="Arial" w:cs="Arial"/>
        </w:rPr>
        <w:t>基金份额发售机构</w:t>
      </w:r>
    </w:p>
    <w:p w14:paraId="445D87AB">
      <w:pPr>
        <w:adjustRightInd w:val="0"/>
        <w:snapToGrid w:val="0"/>
        <w:spacing w:line="360" w:lineRule="auto"/>
        <w:ind w:firstLine="420" w:firstLineChars="200"/>
        <w:rPr>
          <w:rFonts w:ascii="Arial" w:hAnsi="Arial" w:cs="Arial"/>
        </w:rPr>
      </w:pPr>
      <w:r>
        <w:rPr>
          <w:rFonts w:ascii="Arial" w:hAnsi="Arial" w:cs="Arial"/>
        </w:rPr>
        <w:t>1</w:t>
      </w:r>
      <w:r>
        <w:rPr>
          <w:rFonts w:hint="eastAsia" w:ascii="Arial" w:hAnsi="Arial" w:cs="Arial"/>
        </w:rPr>
        <w:t>、</w:t>
      </w:r>
      <w:r>
        <w:rPr>
          <w:rFonts w:ascii="Arial" w:hAnsi="Arial" w:cs="Arial"/>
        </w:rPr>
        <w:t>网下现金发售的直销机构</w:t>
      </w:r>
    </w:p>
    <w:p w14:paraId="03CCF105">
      <w:pPr>
        <w:adjustRightInd w:val="0"/>
        <w:snapToGrid w:val="0"/>
        <w:spacing w:line="360" w:lineRule="auto"/>
        <w:ind w:firstLine="420" w:firstLineChars="200"/>
        <w:rPr>
          <w:rFonts w:hint="eastAsia" w:ascii="Arial" w:hAnsi="Arial" w:cs="Arial"/>
          <w:bCs/>
        </w:rPr>
      </w:pPr>
      <w:r>
        <w:rPr>
          <w:rFonts w:hint="eastAsia" w:ascii="Arial" w:hAnsi="Arial" w:cs="Arial"/>
          <w:bCs/>
        </w:rPr>
        <w:t>名称：博时基金管理有限公司</w:t>
      </w:r>
    </w:p>
    <w:p w14:paraId="307CEF2B">
      <w:pPr>
        <w:adjustRightInd w:val="0"/>
        <w:snapToGrid w:val="0"/>
        <w:spacing w:line="360" w:lineRule="auto"/>
        <w:ind w:firstLine="420" w:firstLineChars="200"/>
        <w:rPr>
          <w:rFonts w:hint="eastAsia" w:ascii="Arial" w:hAnsi="Arial" w:cs="Arial"/>
          <w:bCs/>
        </w:rPr>
      </w:pPr>
      <w:r>
        <w:rPr>
          <w:rFonts w:hint="eastAsia" w:ascii="Arial" w:hAnsi="Arial" w:cs="Arial"/>
          <w:bCs/>
        </w:rPr>
        <w:t>住所：深圳市福田区莲花街道福新社区益田路5999号基金大厦21层</w:t>
      </w:r>
    </w:p>
    <w:p w14:paraId="73E3ACDA">
      <w:pPr>
        <w:adjustRightInd w:val="0"/>
        <w:snapToGrid w:val="0"/>
        <w:spacing w:line="360" w:lineRule="auto"/>
        <w:ind w:firstLine="420" w:firstLineChars="200"/>
        <w:rPr>
          <w:rFonts w:hint="eastAsia" w:ascii="Arial" w:hAnsi="Arial" w:cs="Arial"/>
          <w:bCs/>
        </w:rPr>
      </w:pPr>
      <w:r>
        <w:rPr>
          <w:rFonts w:hint="eastAsia" w:ascii="Arial" w:hAnsi="Arial" w:cs="Arial"/>
          <w:bCs/>
        </w:rPr>
        <w:t>办公地址：北京市东城区建国门内大街8号中粮广场C座609</w:t>
      </w:r>
    </w:p>
    <w:p w14:paraId="2B228B11">
      <w:pPr>
        <w:adjustRightInd w:val="0"/>
        <w:snapToGrid w:val="0"/>
        <w:spacing w:line="360" w:lineRule="auto"/>
        <w:ind w:firstLine="420" w:firstLineChars="200"/>
        <w:rPr>
          <w:rFonts w:hint="eastAsia" w:ascii="Arial" w:hAnsi="Arial" w:cs="Arial"/>
          <w:bCs/>
        </w:rPr>
      </w:pPr>
      <w:r>
        <w:rPr>
          <w:rFonts w:hint="eastAsia" w:ascii="Arial" w:hAnsi="Arial" w:cs="Arial"/>
          <w:bCs/>
        </w:rPr>
        <w:t>电话：010-65187055</w:t>
      </w:r>
    </w:p>
    <w:p w14:paraId="0A2EBB83">
      <w:pPr>
        <w:adjustRightInd w:val="0"/>
        <w:snapToGrid w:val="0"/>
        <w:spacing w:line="360" w:lineRule="auto"/>
        <w:ind w:firstLine="420" w:firstLineChars="200"/>
        <w:rPr>
          <w:rFonts w:hint="eastAsia" w:ascii="Arial" w:hAnsi="Arial" w:cs="Arial"/>
          <w:bCs/>
        </w:rPr>
      </w:pPr>
      <w:r>
        <w:rPr>
          <w:rFonts w:hint="eastAsia" w:ascii="Arial" w:hAnsi="Arial" w:cs="Arial"/>
          <w:bCs/>
        </w:rPr>
        <w:t>传真：010-65187032</w:t>
      </w:r>
    </w:p>
    <w:p w14:paraId="59182F9B">
      <w:pPr>
        <w:adjustRightInd w:val="0"/>
        <w:snapToGrid w:val="0"/>
        <w:spacing w:line="360" w:lineRule="auto"/>
        <w:ind w:firstLine="420" w:firstLineChars="200"/>
        <w:rPr>
          <w:rFonts w:hint="eastAsia" w:ascii="Arial" w:hAnsi="Arial" w:cs="Arial"/>
          <w:bCs/>
        </w:rPr>
      </w:pPr>
      <w:r>
        <w:rPr>
          <w:rFonts w:hint="eastAsia" w:ascii="Arial" w:hAnsi="Arial" w:cs="Arial"/>
          <w:bCs/>
        </w:rPr>
        <w:t>联系人：韩明亮</w:t>
      </w:r>
    </w:p>
    <w:p w14:paraId="4D67423C">
      <w:pPr>
        <w:adjustRightInd w:val="0"/>
        <w:snapToGrid w:val="0"/>
        <w:spacing w:line="360" w:lineRule="auto"/>
        <w:ind w:firstLine="420" w:firstLineChars="200"/>
        <w:rPr>
          <w:rFonts w:ascii="Arial" w:hAnsi="Arial" w:cs="Arial"/>
          <w:bCs/>
        </w:rPr>
      </w:pPr>
      <w:r>
        <w:rPr>
          <w:rFonts w:hint="eastAsia" w:ascii="Arial" w:hAnsi="Arial" w:cs="Arial"/>
          <w:bCs/>
        </w:rPr>
        <w:t>全国统一客服热线：95105568（免长途费）</w:t>
      </w:r>
    </w:p>
    <w:p w14:paraId="68CF0859">
      <w:pPr>
        <w:numPr>
          <w:ilvl w:val="0"/>
          <w:numId w:val="1"/>
        </w:numPr>
        <w:adjustRightInd w:val="0"/>
        <w:snapToGrid w:val="0"/>
        <w:spacing w:line="360" w:lineRule="auto"/>
        <w:ind w:firstLine="420" w:firstLineChars="200"/>
        <w:rPr>
          <w:rFonts w:ascii="Arial" w:hAnsi="Arial" w:cs="Arial"/>
          <w:highlight w:val="none"/>
        </w:rPr>
      </w:pPr>
      <w:r>
        <w:rPr>
          <w:rFonts w:ascii="Arial" w:hAnsi="Arial" w:cs="Arial"/>
          <w:highlight w:val="none"/>
        </w:rPr>
        <w:t>网下现金发售其他代理机构</w:t>
      </w:r>
    </w:p>
    <w:p w14:paraId="2549135B">
      <w:pPr>
        <w:adjustRightInd w:val="0"/>
        <w:snapToGrid w:val="0"/>
        <w:spacing w:line="360" w:lineRule="auto"/>
        <w:ind w:firstLine="420" w:firstLineChars="200"/>
        <w:rPr>
          <w:rFonts w:hint="eastAsia"/>
          <w:szCs w:val="21"/>
        </w:rPr>
      </w:pPr>
      <w:r>
        <w:rPr>
          <w:rFonts w:hint="eastAsia"/>
          <w:szCs w:val="21"/>
        </w:rPr>
        <w:t>本公司可以根据情况变化增加或者减少基金份额网下发售机构并在官网公示。基金份额发售机构可以根据情况增加或者减少其销售城市、网点。销售机构的具体业务办理状况以其各自规定为准。投资者可登录本基金管理人网</w:t>
      </w:r>
      <w:bookmarkStart w:id="58" w:name="OLE_LINK125"/>
      <w:bookmarkStart w:id="59" w:name="OLE_LINK124"/>
      <w:r>
        <w:rPr>
          <w:rFonts w:hint="eastAsia"/>
          <w:szCs w:val="21"/>
        </w:rPr>
        <w:t>站查询网下发售机构信</w:t>
      </w:r>
      <w:bookmarkEnd w:id="58"/>
      <w:bookmarkEnd w:id="59"/>
      <w:r>
        <w:rPr>
          <w:rFonts w:hint="eastAsia"/>
          <w:szCs w:val="21"/>
        </w:rPr>
        <w:t>息。</w:t>
      </w:r>
    </w:p>
    <w:p w14:paraId="41A5FF2B">
      <w:pPr>
        <w:snapToGrid w:val="0"/>
        <w:spacing w:line="360" w:lineRule="auto"/>
        <w:ind w:firstLine="420" w:firstLineChars="200"/>
        <w:contextualSpacing/>
        <w:rPr>
          <w:rFonts w:hint="eastAsia" w:ascii="Arial" w:hAnsi="Arial" w:cs="Arial"/>
        </w:rPr>
      </w:pPr>
      <w:r>
        <w:rPr>
          <w:rFonts w:hint="eastAsia" w:ascii="Arial" w:hAnsi="Arial" w:cs="Arial"/>
        </w:rPr>
        <w:t>3、</w:t>
      </w:r>
      <w:r>
        <w:rPr>
          <w:rFonts w:ascii="Arial" w:hAnsi="Arial" w:cs="Arial"/>
        </w:rPr>
        <w:t>网上现金发售代理机构</w:t>
      </w:r>
    </w:p>
    <w:p w14:paraId="5E699BD5">
      <w:pPr>
        <w:snapToGrid w:val="0"/>
        <w:spacing w:line="360" w:lineRule="auto"/>
        <w:ind w:firstLine="420" w:firstLineChars="200"/>
        <w:contextualSpacing/>
        <w:rPr>
          <w:rFonts w:hint="eastAsia" w:ascii="Arial" w:hAnsi="Arial" w:cs="Arial"/>
        </w:rPr>
      </w:pPr>
      <w:r>
        <w:rPr>
          <w:rFonts w:hint="eastAsia" w:ascii="Arial" w:hAnsi="Arial" w:cs="Arial"/>
        </w:rPr>
        <w:t>网上现金发售通过具有基金销售业务资格的上海证券交易所会员单位办理，具体名单可在上海证券交易所网</w:t>
      </w:r>
      <w:bookmarkStart w:id="60" w:name="OLE_LINK126"/>
      <w:bookmarkStart w:id="61" w:name="OLE_LINK127"/>
      <w:r>
        <w:rPr>
          <w:rFonts w:hint="eastAsia" w:ascii="Arial" w:hAnsi="Arial" w:cs="Arial"/>
        </w:rPr>
        <w:t>站查询。</w:t>
      </w:r>
    </w:p>
    <w:bookmarkEnd w:id="60"/>
    <w:bookmarkEnd w:id="61"/>
    <w:p w14:paraId="2E13BC8B">
      <w:pPr>
        <w:adjustRightInd w:val="0"/>
        <w:snapToGrid w:val="0"/>
        <w:spacing w:line="360" w:lineRule="auto"/>
        <w:ind w:firstLine="420" w:firstLineChars="200"/>
        <w:rPr>
          <w:rFonts w:ascii="Arial" w:hAnsi="Arial" w:cs="Arial"/>
        </w:rPr>
      </w:pPr>
      <w:r>
        <w:rPr>
          <w:rFonts w:ascii="Arial" w:hAnsi="Arial" w:cs="Arial"/>
        </w:rPr>
        <w:t>4</w:t>
      </w:r>
      <w:r>
        <w:rPr>
          <w:rFonts w:hint="eastAsia" w:ascii="Arial" w:hAnsi="Arial" w:cs="Arial"/>
        </w:rPr>
        <w:t>、</w:t>
      </w:r>
      <w:r>
        <w:rPr>
          <w:rFonts w:ascii="Arial" w:hAnsi="Arial" w:cs="Arial"/>
        </w:rPr>
        <w:t>基金管理人可根据《中华人民共和国证券投资基金法》、《</w:t>
      </w:r>
      <w:r>
        <w:rPr>
          <w:rFonts w:hint="eastAsia" w:ascii="Arial" w:hAnsi="Arial" w:cs="Arial"/>
        </w:rPr>
        <w:t>公开募集</w:t>
      </w:r>
      <w:r>
        <w:rPr>
          <w:rFonts w:ascii="Arial" w:hAnsi="Arial" w:cs="Arial"/>
        </w:rPr>
        <w:t>证券投资基金运作管理办法》、《</w:t>
      </w:r>
      <w:r>
        <w:rPr>
          <w:rFonts w:hint="eastAsia" w:ascii="Arial" w:hAnsi="Arial" w:cs="Arial"/>
        </w:rPr>
        <w:t>公开募集</w:t>
      </w:r>
      <w:r>
        <w:rPr>
          <w:rFonts w:ascii="Arial" w:hAnsi="Arial" w:cs="Arial"/>
        </w:rPr>
        <w:t>证券投资基金销售</w:t>
      </w:r>
      <w:r>
        <w:rPr>
          <w:rFonts w:hint="eastAsia" w:ascii="Arial" w:hAnsi="Arial" w:cs="Arial"/>
        </w:rPr>
        <w:t>机构监督</w:t>
      </w:r>
      <w:r>
        <w:rPr>
          <w:rFonts w:ascii="Arial" w:hAnsi="Arial" w:cs="Arial"/>
        </w:rPr>
        <w:t>管理办法》和本基金基金合同等规定，选择其他符合要求的机构</w:t>
      </w:r>
      <w:bookmarkStart w:id="62" w:name="OLE_LINK129"/>
      <w:bookmarkStart w:id="63" w:name="OLE_LINK128"/>
      <w:r>
        <w:rPr>
          <w:rFonts w:ascii="Arial" w:hAnsi="Arial" w:cs="Arial"/>
        </w:rPr>
        <w:t>代理销售本基金，</w:t>
      </w:r>
      <w:r>
        <w:rPr>
          <w:rFonts w:hint="eastAsia" w:ascii="Arial" w:hAnsi="Arial" w:cs="Arial"/>
        </w:rPr>
        <w:t>本公司将及时在本公司网站</w:t>
      </w:r>
      <w:bookmarkEnd w:id="62"/>
      <w:bookmarkEnd w:id="63"/>
      <w:r>
        <w:rPr>
          <w:rFonts w:hint="eastAsia" w:ascii="Arial" w:hAnsi="Arial" w:cs="Arial"/>
        </w:rPr>
        <w:t>列明</w:t>
      </w:r>
      <w:r>
        <w:rPr>
          <w:rFonts w:ascii="Arial" w:hAnsi="Arial" w:cs="Arial"/>
        </w:rPr>
        <w:t>。</w:t>
      </w:r>
    </w:p>
    <w:p w14:paraId="65042AE1">
      <w:pPr>
        <w:adjustRightInd w:val="0"/>
        <w:snapToGrid w:val="0"/>
        <w:spacing w:line="360" w:lineRule="auto"/>
        <w:ind w:firstLine="420" w:firstLineChars="200"/>
        <w:rPr>
          <w:rFonts w:ascii="Arial" w:hAnsi="Arial" w:cs="Arial"/>
        </w:rPr>
      </w:pPr>
      <w:r>
        <w:rPr>
          <w:rFonts w:ascii="Arial" w:hAnsi="Arial" w:cs="Arial"/>
        </w:rPr>
        <w:t>（四）登记机构</w:t>
      </w:r>
    </w:p>
    <w:p w14:paraId="00A9DF87">
      <w:pPr>
        <w:snapToGrid w:val="0"/>
        <w:spacing w:line="360" w:lineRule="auto"/>
        <w:ind w:firstLine="420" w:firstLineChars="200"/>
        <w:rPr>
          <w:rFonts w:ascii="Arial" w:hAnsi="Arial" w:cs="Arial"/>
        </w:rPr>
      </w:pPr>
      <w:r>
        <w:rPr>
          <w:rFonts w:ascii="Arial" w:hAnsi="Arial" w:cs="Arial"/>
        </w:rPr>
        <w:t>名称：中国证券登记结算有限责任公司</w:t>
      </w:r>
    </w:p>
    <w:p w14:paraId="3707CE75">
      <w:pPr>
        <w:snapToGrid w:val="0"/>
        <w:spacing w:line="360" w:lineRule="auto"/>
        <w:ind w:firstLine="420" w:firstLineChars="200"/>
        <w:rPr>
          <w:rFonts w:ascii="Arial" w:hAnsi="Arial" w:cs="Arial"/>
        </w:rPr>
      </w:pPr>
      <w:r>
        <w:rPr>
          <w:rFonts w:ascii="Arial" w:hAnsi="Arial" w:cs="Arial"/>
        </w:rPr>
        <w:t xml:space="preserve">注册地址：北京市西城区太平桥大街17号 </w:t>
      </w:r>
    </w:p>
    <w:p w14:paraId="5DC2363C">
      <w:pPr>
        <w:snapToGrid w:val="0"/>
        <w:spacing w:line="360" w:lineRule="auto"/>
        <w:ind w:firstLine="420" w:firstLineChars="200"/>
        <w:rPr>
          <w:rFonts w:ascii="Arial" w:hAnsi="Arial" w:cs="Arial"/>
        </w:rPr>
      </w:pPr>
      <w:r>
        <w:rPr>
          <w:rFonts w:ascii="Arial" w:hAnsi="Arial" w:cs="Arial"/>
        </w:rPr>
        <w:t xml:space="preserve">办公地址：北京市西城区太平桥大街17号 </w:t>
      </w:r>
    </w:p>
    <w:p w14:paraId="1CD945EF">
      <w:pPr>
        <w:snapToGrid w:val="0"/>
        <w:spacing w:line="360" w:lineRule="auto"/>
        <w:ind w:firstLine="420" w:firstLineChars="200"/>
        <w:rPr>
          <w:rFonts w:ascii="Arial" w:hAnsi="Arial" w:cs="Arial"/>
        </w:rPr>
      </w:pPr>
      <w:r>
        <w:rPr>
          <w:rFonts w:ascii="Arial" w:hAnsi="Arial" w:cs="Arial"/>
        </w:rPr>
        <w:t>法定代表人：</w:t>
      </w:r>
      <w:r>
        <w:rPr>
          <w:rFonts w:hint="eastAsia" w:ascii="Arial" w:hAnsi="Arial" w:cs="Arial"/>
        </w:rPr>
        <w:t>于文强</w:t>
      </w:r>
    </w:p>
    <w:p w14:paraId="2401FC06">
      <w:pPr>
        <w:snapToGrid w:val="0"/>
        <w:spacing w:line="360" w:lineRule="auto"/>
        <w:ind w:firstLine="420" w:firstLineChars="200"/>
        <w:rPr>
          <w:rFonts w:ascii="Arial" w:hAnsi="Arial" w:cs="Arial"/>
        </w:rPr>
      </w:pPr>
      <w:r>
        <w:rPr>
          <w:rFonts w:ascii="Arial" w:hAnsi="Arial" w:cs="Arial"/>
        </w:rPr>
        <w:t xml:space="preserve">电 话：0755-25946013 </w:t>
      </w:r>
    </w:p>
    <w:p w14:paraId="09D9699A">
      <w:pPr>
        <w:snapToGrid w:val="0"/>
        <w:spacing w:line="360" w:lineRule="auto"/>
        <w:ind w:firstLine="420" w:firstLineChars="200"/>
        <w:rPr>
          <w:rFonts w:ascii="Arial" w:hAnsi="Arial" w:cs="Arial"/>
        </w:rPr>
      </w:pPr>
      <w:r>
        <w:rPr>
          <w:rFonts w:ascii="Arial" w:hAnsi="Arial" w:cs="Arial"/>
        </w:rPr>
        <w:t>传 真：0755-25987122</w:t>
      </w:r>
    </w:p>
    <w:p w14:paraId="78048129">
      <w:pPr>
        <w:pStyle w:val="4"/>
        <w:adjustRightInd w:val="0"/>
        <w:snapToGrid w:val="0"/>
        <w:spacing w:line="360" w:lineRule="auto"/>
        <w:ind w:firstLineChars="200"/>
        <w:rPr>
          <w:rFonts w:ascii="Arial" w:hAnsi="Arial" w:cs="Arial"/>
        </w:rPr>
      </w:pPr>
      <w:r>
        <w:rPr>
          <w:rFonts w:ascii="Arial" w:hAnsi="Arial" w:cs="Arial"/>
        </w:rPr>
        <w:t>联系人：严峰</w:t>
      </w:r>
    </w:p>
    <w:p w14:paraId="5497AB57">
      <w:pPr>
        <w:pStyle w:val="4"/>
        <w:adjustRightInd w:val="0"/>
        <w:snapToGrid w:val="0"/>
        <w:spacing w:line="360" w:lineRule="auto"/>
        <w:ind w:firstLineChars="200"/>
        <w:rPr>
          <w:rFonts w:ascii="Arial" w:hAnsi="Arial" w:cs="Arial"/>
        </w:rPr>
      </w:pPr>
      <w:r>
        <w:rPr>
          <w:rFonts w:ascii="Arial" w:hAnsi="Arial" w:cs="Arial"/>
        </w:rPr>
        <w:t>（五）出具法律意见书的律师事务所</w:t>
      </w:r>
    </w:p>
    <w:p w14:paraId="3D498665">
      <w:pPr>
        <w:pStyle w:val="29"/>
        <w:spacing w:before="0" w:beforeAutospacing="0" w:after="0" w:afterAutospacing="0" w:line="360" w:lineRule="auto"/>
        <w:ind w:firstLine="420"/>
        <w:jc w:val="both"/>
        <w:rPr>
          <w:sz w:val="21"/>
          <w:szCs w:val="21"/>
        </w:rPr>
      </w:pPr>
      <w:r>
        <w:rPr>
          <w:rFonts w:hint="eastAsia"/>
          <w:sz w:val="21"/>
          <w:szCs w:val="21"/>
        </w:rPr>
        <w:t>名称：上海市通力律师事务所</w:t>
      </w:r>
    </w:p>
    <w:p w14:paraId="7B9137EC">
      <w:pPr>
        <w:pStyle w:val="29"/>
        <w:spacing w:before="0" w:beforeAutospacing="0" w:after="0" w:afterAutospacing="0" w:line="360" w:lineRule="auto"/>
        <w:ind w:firstLine="420"/>
        <w:jc w:val="both"/>
        <w:rPr>
          <w:sz w:val="21"/>
          <w:szCs w:val="21"/>
        </w:rPr>
      </w:pPr>
      <w:r>
        <w:rPr>
          <w:rFonts w:hint="eastAsia"/>
          <w:sz w:val="21"/>
          <w:szCs w:val="21"/>
        </w:rPr>
        <w:t>注册地址：上海市银城中路68号时代金融中心19楼</w:t>
      </w:r>
    </w:p>
    <w:p w14:paraId="1755AD13">
      <w:pPr>
        <w:pStyle w:val="29"/>
        <w:spacing w:before="0" w:beforeAutospacing="0" w:after="0" w:afterAutospacing="0" w:line="360" w:lineRule="auto"/>
        <w:ind w:firstLine="420"/>
        <w:jc w:val="both"/>
        <w:rPr>
          <w:sz w:val="21"/>
          <w:szCs w:val="21"/>
        </w:rPr>
      </w:pPr>
      <w:r>
        <w:rPr>
          <w:rFonts w:hint="eastAsia"/>
          <w:sz w:val="21"/>
          <w:szCs w:val="21"/>
        </w:rPr>
        <w:t>办公地址：上海市银城中路68号时代金融中心19楼</w:t>
      </w:r>
    </w:p>
    <w:p w14:paraId="04280162">
      <w:pPr>
        <w:pStyle w:val="29"/>
        <w:spacing w:before="0" w:beforeAutospacing="0" w:after="0" w:afterAutospacing="0" w:line="360" w:lineRule="auto"/>
        <w:ind w:firstLine="420"/>
        <w:jc w:val="both"/>
        <w:rPr>
          <w:sz w:val="21"/>
          <w:szCs w:val="21"/>
        </w:rPr>
      </w:pPr>
      <w:r>
        <w:rPr>
          <w:rFonts w:hint="eastAsia"/>
          <w:sz w:val="21"/>
          <w:szCs w:val="21"/>
        </w:rPr>
        <w:t>负责人：韩炯</w:t>
      </w:r>
    </w:p>
    <w:p w14:paraId="05CA2D4C">
      <w:pPr>
        <w:pStyle w:val="29"/>
        <w:spacing w:before="0" w:beforeAutospacing="0" w:after="0" w:afterAutospacing="0" w:line="360" w:lineRule="auto"/>
        <w:ind w:firstLine="420"/>
        <w:jc w:val="both"/>
        <w:rPr>
          <w:sz w:val="21"/>
          <w:szCs w:val="21"/>
        </w:rPr>
      </w:pPr>
      <w:r>
        <w:rPr>
          <w:rFonts w:hint="eastAsia"/>
          <w:sz w:val="21"/>
          <w:szCs w:val="21"/>
        </w:rPr>
        <w:t>电话： 021- 31358666</w:t>
      </w:r>
    </w:p>
    <w:p w14:paraId="7FD0C727">
      <w:pPr>
        <w:pStyle w:val="29"/>
        <w:spacing w:before="0" w:beforeAutospacing="0" w:after="0" w:afterAutospacing="0" w:line="360" w:lineRule="auto"/>
        <w:ind w:firstLine="420"/>
        <w:jc w:val="both"/>
        <w:rPr>
          <w:sz w:val="21"/>
          <w:szCs w:val="21"/>
        </w:rPr>
      </w:pPr>
      <w:r>
        <w:rPr>
          <w:rFonts w:hint="eastAsia"/>
          <w:sz w:val="21"/>
          <w:szCs w:val="21"/>
        </w:rPr>
        <w:t>传真： 021- 31358600</w:t>
      </w:r>
    </w:p>
    <w:p w14:paraId="4F9B8CC6">
      <w:pPr>
        <w:pStyle w:val="29"/>
        <w:spacing w:before="0" w:beforeAutospacing="0" w:after="0" w:afterAutospacing="0" w:line="360" w:lineRule="auto"/>
        <w:ind w:firstLine="420"/>
        <w:jc w:val="both"/>
        <w:rPr>
          <w:sz w:val="21"/>
          <w:szCs w:val="21"/>
        </w:rPr>
      </w:pPr>
      <w:r>
        <w:rPr>
          <w:rFonts w:hint="eastAsia"/>
          <w:sz w:val="21"/>
          <w:szCs w:val="21"/>
        </w:rPr>
        <w:t>联系人：陈雅秋</w:t>
      </w:r>
    </w:p>
    <w:p w14:paraId="0422E160">
      <w:pPr>
        <w:snapToGrid w:val="0"/>
        <w:spacing w:line="360" w:lineRule="auto"/>
        <w:ind w:firstLine="420" w:firstLineChars="200"/>
        <w:rPr>
          <w:szCs w:val="21"/>
        </w:rPr>
      </w:pPr>
      <w:r>
        <w:rPr>
          <w:rFonts w:hint="eastAsia"/>
          <w:szCs w:val="21"/>
        </w:rPr>
        <w:t>经办律师：陆奇、陈雅秋</w:t>
      </w:r>
    </w:p>
    <w:p w14:paraId="6F4680A1">
      <w:pPr>
        <w:pStyle w:val="4"/>
        <w:adjustRightInd w:val="0"/>
        <w:snapToGrid w:val="0"/>
        <w:spacing w:line="360" w:lineRule="auto"/>
        <w:ind w:firstLineChars="200"/>
        <w:rPr>
          <w:rFonts w:ascii="Arial" w:hAnsi="Arial" w:cs="Arial"/>
        </w:rPr>
      </w:pPr>
      <w:r>
        <w:rPr>
          <w:rFonts w:ascii="Arial" w:hAnsi="Arial" w:cs="Arial"/>
        </w:rPr>
        <w:t>（六）会计师事务所</w:t>
      </w:r>
    </w:p>
    <w:p w14:paraId="7E58C437">
      <w:pPr>
        <w:snapToGrid w:val="0"/>
        <w:spacing w:line="360" w:lineRule="auto"/>
        <w:ind w:firstLine="420" w:firstLineChars="200"/>
        <w:rPr>
          <w:rFonts w:hint="eastAsia" w:ascii="宋体" w:hAnsi="宋体" w:cs="Arial"/>
          <w:kern w:val="0"/>
        </w:rPr>
      </w:pPr>
      <w:r>
        <w:rPr>
          <w:rFonts w:hint="eastAsia" w:ascii="宋体" w:hAnsi="宋体" w:cs="Arial"/>
          <w:kern w:val="0"/>
        </w:rPr>
        <w:t>本基金的法定验资机构为安永华明会计师事务所（特殊普通合伙）</w:t>
      </w:r>
    </w:p>
    <w:p w14:paraId="5124E2A0">
      <w:pPr>
        <w:snapToGrid w:val="0"/>
        <w:spacing w:line="360" w:lineRule="auto"/>
        <w:ind w:firstLine="420" w:firstLineChars="200"/>
        <w:rPr>
          <w:rFonts w:hint="eastAsia" w:ascii="宋体" w:hAnsi="宋体" w:cs="Arial"/>
          <w:kern w:val="0"/>
        </w:rPr>
      </w:pPr>
      <w:r>
        <w:rPr>
          <w:rFonts w:hint="eastAsia" w:ascii="宋体" w:hAnsi="宋体" w:cs="Arial"/>
          <w:kern w:val="0"/>
        </w:rPr>
        <w:t>名称：安永华明会计师事务所（特殊普通合伙）</w:t>
      </w:r>
    </w:p>
    <w:p w14:paraId="3C07D28C">
      <w:pPr>
        <w:snapToGrid w:val="0"/>
        <w:spacing w:line="360" w:lineRule="auto"/>
        <w:ind w:firstLine="420" w:firstLineChars="200"/>
        <w:rPr>
          <w:rFonts w:hint="eastAsia" w:ascii="宋体" w:hAnsi="宋体" w:cs="Arial"/>
          <w:kern w:val="0"/>
        </w:rPr>
      </w:pPr>
      <w:r>
        <w:rPr>
          <w:rFonts w:hint="eastAsia" w:ascii="宋体" w:hAnsi="宋体" w:cs="Arial"/>
          <w:kern w:val="0"/>
        </w:rPr>
        <w:t>住所：北京市东城区东长安街1号东方广场安永大楼17层01-12室</w:t>
      </w:r>
    </w:p>
    <w:p w14:paraId="0335964B">
      <w:pPr>
        <w:snapToGrid w:val="0"/>
        <w:spacing w:line="360" w:lineRule="auto"/>
        <w:ind w:firstLine="420" w:firstLineChars="200"/>
        <w:rPr>
          <w:rFonts w:hint="eastAsia" w:ascii="宋体" w:hAnsi="宋体" w:cs="Arial"/>
          <w:kern w:val="0"/>
        </w:rPr>
      </w:pPr>
      <w:r>
        <w:rPr>
          <w:rFonts w:hint="eastAsia" w:ascii="宋体" w:hAnsi="宋体" w:cs="Arial"/>
          <w:kern w:val="0"/>
        </w:rPr>
        <w:t>办公地址：北京市东城区东长安街1号东方广场安永大楼17层01-12室</w:t>
      </w:r>
    </w:p>
    <w:p w14:paraId="4E0AF000">
      <w:pPr>
        <w:snapToGrid w:val="0"/>
        <w:spacing w:line="360" w:lineRule="auto"/>
        <w:ind w:firstLine="420" w:firstLineChars="200"/>
        <w:rPr>
          <w:rFonts w:hint="eastAsia" w:ascii="宋体" w:hAnsi="宋体" w:cs="Arial"/>
          <w:kern w:val="0"/>
        </w:rPr>
      </w:pPr>
      <w:r>
        <w:rPr>
          <w:rFonts w:hint="eastAsia" w:ascii="宋体" w:hAnsi="宋体" w:cs="Arial"/>
          <w:kern w:val="0"/>
        </w:rPr>
        <w:t>执行事务合伙人：毛鞍宁</w:t>
      </w:r>
    </w:p>
    <w:p w14:paraId="186440B6">
      <w:pPr>
        <w:snapToGrid w:val="0"/>
        <w:spacing w:line="360" w:lineRule="auto"/>
        <w:ind w:firstLine="420" w:firstLineChars="200"/>
        <w:rPr>
          <w:rFonts w:hint="eastAsia" w:ascii="宋体" w:hAnsi="宋体" w:cs="Arial"/>
          <w:kern w:val="0"/>
        </w:rPr>
      </w:pPr>
      <w:r>
        <w:rPr>
          <w:rFonts w:hint="eastAsia" w:ascii="宋体" w:hAnsi="宋体" w:cs="Arial"/>
          <w:kern w:val="0"/>
        </w:rPr>
        <w:t>联系电话：（010）58153000</w:t>
      </w:r>
    </w:p>
    <w:p w14:paraId="653EBF90">
      <w:pPr>
        <w:snapToGrid w:val="0"/>
        <w:spacing w:line="360" w:lineRule="auto"/>
        <w:ind w:firstLine="420" w:firstLineChars="200"/>
        <w:rPr>
          <w:rFonts w:hint="eastAsia" w:ascii="宋体" w:hAnsi="宋体" w:cs="Arial"/>
          <w:kern w:val="0"/>
        </w:rPr>
      </w:pPr>
      <w:r>
        <w:rPr>
          <w:rFonts w:hint="eastAsia" w:ascii="宋体" w:hAnsi="宋体" w:cs="Arial"/>
          <w:kern w:val="0"/>
        </w:rPr>
        <w:t>传真电话：（010）85188298</w:t>
      </w:r>
    </w:p>
    <w:p w14:paraId="5CD766C5">
      <w:pPr>
        <w:snapToGrid w:val="0"/>
        <w:spacing w:line="360" w:lineRule="auto"/>
        <w:ind w:firstLine="420" w:firstLineChars="200"/>
        <w:rPr>
          <w:rFonts w:hint="eastAsia" w:ascii="宋体" w:hAnsi="宋体" w:cs="Arial"/>
          <w:kern w:val="0"/>
        </w:rPr>
      </w:pPr>
      <w:r>
        <w:rPr>
          <w:rFonts w:hint="eastAsia" w:ascii="宋体" w:hAnsi="宋体" w:cs="Arial"/>
          <w:kern w:val="0"/>
        </w:rPr>
        <w:t>经办注册会计师： 高鹤、楼坚、王海彦</w:t>
      </w:r>
    </w:p>
    <w:p w14:paraId="7BC15F10">
      <w:pPr>
        <w:snapToGrid w:val="0"/>
        <w:spacing w:line="360" w:lineRule="auto"/>
        <w:ind w:firstLine="420" w:firstLineChars="200"/>
        <w:rPr>
          <w:rFonts w:hint="eastAsia" w:ascii="宋体" w:hAnsi="宋体" w:cs="Arial"/>
          <w:kern w:val="0"/>
        </w:rPr>
      </w:pPr>
      <w:r>
        <w:rPr>
          <w:rFonts w:hint="eastAsia" w:ascii="宋体" w:hAnsi="宋体" w:cs="Arial"/>
          <w:kern w:val="0"/>
        </w:rPr>
        <w:t>联系人：王海彦</w:t>
      </w:r>
    </w:p>
    <w:p w14:paraId="1A397CF9">
      <w:pPr>
        <w:snapToGrid w:val="0"/>
        <w:spacing w:line="360" w:lineRule="auto"/>
        <w:ind w:firstLine="420" w:firstLineChars="200"/>
        <w:rPr>
          <w:rFonts w:hint="eastAsia" w:ascii="宋体" w:hAnsi="宋体" w:cs="Arial"/>
          <w:kern w:val="0"/>
        </w:rPr>
      </w:pPr>
    </w:p>
    <w:p w14:paraId="7C66DE22">
      <w:pPr>
        <w:snapToGrid w:val="0"/>
        <w:spacing w:line="360" w:lineRule="auto"/>
        <w:ind w:firstLine="420" w:firstLineChars="200"/>
        <w:rPr>
          <w:rFonts w:ascii="宋体" w:hAnsi="宋体" w:cs="Arial"/>
          <w:kern w:val="0"/>
        </w:rPr>
      </w:pPr>
    </w:p>
    <w:p w14:paraId="571D8358">
      <w:pPr>
        <w:adjustRightInd w:val="0"/>
        <w:snapToGrid w:val="0"/>
        <w:spacing w:line="360" w:lineRule="auto"/>
        <w:jc w:val="right"/>
        <w:rPr>
          <w:rFonts w:hint="eastAsia" w:ascii="Arial" w:hAnsi="Arial" w:cs="Arial"/>
        </w:rPr>
      </w:pPr>
    </w:p>
    <w:p w14:paraId="429109C5">
      <w:pPr>
        <w:pStyle w:val="18"/>
        <w:rPr>
          <w:rFonts w:hint="eastAsia" w:ascii="Arial" w:hAnsi="Arial" w:cs="Arial"/>
        </w:rPr>
      </w:pPr>
    </w:p>
    <w:p w14:paraId="60BFB658">
      <w:pPr>
        <w:pStyle w:val="18"/>
        <w:rPr>
          <w:rFonts w:hint="eastAsia" w:ascii="Arial" w:hAnsi="Arial" w:cs="Arial"/>
        </w:rPr>
      </w:pPr>
    </w:p>
    <w:p w14:paraId="2291E024">
      <w:pPr>
        <w:pStyle w:val="18"/>
        <w:rPr>
          <w:rFonts w:hint="eastAsia" w:ascii="Arial" w:hAnsi="Arial" w:cs="Arial"/>
        </w:rPr>
      </w:pPr>
    </w:p>
    <w:p w14:paraId="28ED17FB">
      <w:pPr>
        <w:adjustRightInd w:val="0"/>
        <w:snapToGrid w:val="0"/>
        <w:spacing w:line="360" w:lineRule="auto"/>
        <w:jc w:val="right"/>
        <w:rPr>
          <w:rFonts w:ascii="Arial" w:hAnsi="Arial" w:cs="Arial"/>
        </w:rPr>
      </w:pPr>
      <w:r>
        <w:rPr>
          <w:rFonts w:ascii="Arial" w:hAnsi="Arial" w:cs="Arial"/>
        </w:rPr>
        <w:t>博时基金管理有限公司</w:t>
      </w:r>
    </w:p>
    <w:p w14:paraId="329E60D2">
      <w:pPr>
        <w:wordWrap w:val="0"/>
        <w:adjustRightInd w:val="0"/>
        <w:snapToGrid w:val="0"/>
        <w:spacing w:line="360" w:lineRule="auto"/>
        <w:jc w:val="right"/>
        <w:rPr>
          <w:rFonts w:hint="eastAsia"/>
        </w:rPr>
      </w:pPr>
      <w:r>
        <w:rPr>
          <w:rFonts w:hint="eastAsia" w:ascii="Arial" w:hAnsi="Arial" w:cs="Arial"/>
        </w:rPr>
        <w:t xml:space="preserve"> 2026年</w:t>
      </w:r>
      <w:r>
        <w:rPr>
          <w:rFonts w:hint="eastAsia" w:ascii="Arial" w:hAnsi="Arial" w:cs="Arial"/>
          <w:lang w:val="en-US" w:eastAsia="zh-CN"/>
        </w:rPr>
        <w:t>10</w:t>
      </w:r>
      <w:r>
        <w:rPr>
          <w:rFonts w:hint="eastAsia" w:ascii="Arial" w:hAnsi="Arial" w:cs="Arial"/>
        </w:rPr>
        <w:t>月</w:t>
      </w:r>
      <w:r>
        <w:rPr>
          <w:rFonts w:hint="eastAsia" w:ascii="Arial" w:hAnsi="Arial" w:cs="Arial"/>
          <w:lang w:val="en-US" w:eastAsia="zh-CN"/>
        </w:rPr>
        <w:t>9</w:t>
      </w:r>
      <w:r>
        <w:rPr>
          <w:rFonts w:hint="eastAsia" w:ascii="Arial" w:hAnsi="Arial" w:cs="Arial"/>
        </w:rPr>
        <w:t>日</w:t>
      </w:r>
      <w:bookmarkEnd w:id="0"/>
      <w:bookmarkEnd w:id="1"/>
    </w:p>
    <w:sectPr>
      <w:footerReference r:id="rId6" w:type="default"/>
      <w:pgSz w:w="11906" w:h="16838"/>
      <w:pgMar w:top="1440" w:right="1797" w:bottom="1440" w:left="1797" w:header="851" w:footer="851"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10609000101010101"/>
    <w:charset w:val="88"/>
    <w:family w:val="modern"/>
    <w:pitch w:val="default"/>
    <w:sig w:usb0="00000000" w:usb1="00000000" w:usb2="00000010" w:usb3="00000000" w:csb0="00100000" w:csb1="00000000"/>
  </w:font>
  <w:font w:name="Arial Unicode MS">
    <w:altName w:val="宋体"/>
    <w:panose1 w:val="020B0604020202020204"/>
    <w:charset w:val="86"/>
    <w:family w:val="swiss"/>
    <w:pitch w:val="default"/>
    <w:sig w:usb0="00000000" w:usb1="00000000" w:usb2="0000003F" w:usb3="00000000" w:csb0="003F01FF"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46C72">
    <w:pPr>
      <w:pStyle w:val="19"/>
      <w:framePr w:wrap="around" w:vAnchor="text" w:hAnchor="margin" w:xAlign="center" w:y="1"/>
      <w:rPr>
        <w:rStyle w:val="36"/>
      </w:rPr>
    </w:pPr>
    <w:r>
      <w:fldChar w:fldCharType="begin"/>
    </w:r>
    <w:r>
      <w:rPr>
        <w:rStyle w:val="36"/>
      </w:rPr>
      <w:instrText xml:space="preserve">PAGE  </w:instrText>
    </w:r>
    <w:r>
      <w:fldChar w:fldCharType="separate"/>
    </w:r>
    <w:r>
      <w:rPr>
        <w:rStyle w:val="36"/>
      </w:rPr>
      <w:t>21</w:t>
    </w:r>
    <w:r>
      <w:fldChar w:fldCharType="end"/>
    </w:r>
  </w:p>
  <w:p w14:paraId="32F5BBC7">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0DB6B">
    <w:pPr>
      <w:pStyle w:val="19"/>
      <w:jc w:val="center"/>
      <w:rPr>
        <w:rFonts w:hint="eastAsia"/>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C4631">
    <w:pPr>
      <w:pStyle w:val="19"/>
      <w:framePr w:w="826" w:wrap="around" w:vAnchor="text" w:hAnchor="page" w:x="5791" w:y="5"/>
      <w:rPr>
        <w:rStyle w:val="36"/>
        <w:rFonts w:ascii="Arial" w:hAnsi="Arial" w:cs="Arial"/>
        <w:szCs w:val="18"/>
      </w:rPr>
    </w:pPr>
    <w:r>
      <w:rPr>
        <w:rFonts w:ascii="Arial" w:hAnsi="Arial" w:cs="Arial"/>
        <w:szCs w:val="18"/>
      </w:rPr>
      <w:fldChar w:fldCharType="begin"/>
    </w:r>
    <w:r>
      <w:rPr>
        <w:rStyle w:val="36"/>
        <w:rFonts w:ascii="Arial" w:hAnsi="Arial" w:cs="Arial"/>
        <w:szCs w:val="18"/>
      </w:rPr>
      <w:instrText xml:space="preserve"> PAGE   \* MERGEFORMAT </w:instrText>
    </w:r>
    <w:r>
      <w:rPr>
        <w:rFonts w:ascii="Arial" w:hAnsi="Arial" w:cs="Arial"/>
        <w:szCs w:val="18"/>
      </w:rPr>
      <w:fldChar w:fldCharType="separate"/>
    </w:r>
    <w:r>
      <w:rPr>
        <w:rStyle w:val="36"/>
        <w:rFonts w:ascii="Arial" w:hAnsi="Arial" w:cs="Arial"/>
        <w:szCs w:val="18"/>
        <w:lang w:val="zh-CN"/>
      </w:rPr>
      <w:t>1</w:t>
    </w:r>
    <w:r>
      <w:rPr>
        <w:rFonts w:ascii="Arial" w:hAnsi="Arial" w:cs="Arial"/>
        <w:szCs w:val="18"/>
      </w:rPr>
      <w:fldChar w:fldCharType="end"/>
    </w:r>
  </w:p>
  <w:p w14:paraId="6E6BCE0C">
    <w:pPr>
      <w:pStyle w:val="19"/>
      <w:rPr>
        <w:rFonts w:hint="eastAsia"/>
        <w:sz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B2968">
    <w:pPr>
      <w:pStyle w:val="20"/>
      <w:pBdr>
        <w:bottom w:val="single" w:color="auto" w:sz="4" w:space="1"/>
      </w:pBdr>
      <w:wordWrap w:val="0"/>
      <w:jc w:val="right"/>
    </w:pPr>
    <w:r>
      <w:rPr>
        <w:rFonts w:hint="eastAsia" w:ascii="宋体" w:hAnsi="宋体"/>
        <w:lang w:eastAsia="zh-CN"/>
      </w:rPr>
      <w:t>博时恒生港股通红利低波动交易型开放式指数证券投资基金</w:t>
    </w:r>
    <w:r>
      <w:rPr>
        <w:rFonts w:hint="eastAsia" w:ascii="宋体" w:hAnsi="宋体"/>
      </w:rPr>
      <w:t>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E20E26"/>
    <w:multiLevelType w:val="singleLevel"/>
    <w:tmpl w:val="24E20E26"/>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2F"/>
    <w:rsid w:val="0000005A"/>
    <w:rsid w:val="0000061B"/>
    <w:rsid w:val="0000091A"/>
    <w:rsid w:val="000009AA"/>
    <w:rsid w:val="00001112"/>
    <w:rsid w:val="0000165C"/>
    <w:rsid w:val="000017CC"/>
    <w:rsid w:val="00001870"/>
    <w:rsid w:val="00003942"/>
    <w:rsid w:val="00003F49"/>
    <w:rsid w:val="000040A9"/>
    <w:rsid w:val="0000425D"/>
    <w:rsid w:val="00004BBE"/>
    <w:rsid w:val="00004EE3"/>
    <w:rsid w:val="000058E2"/>
    <w:rsid w:val="00006370"/>
    <w:rsid w:val="00006855"/>
    <w:rsid w:val="00007128"/>
    <w:rsid w:val="00007241"/>
    <w:rsid w:val="00007F41"/>
    <w:rsid w:val="00010088"/>
    <w:rsid w:val="0001033C"/>
    <w:rsid w:val="00010570"/>
    <w:rsid w:val="00010D9A"/>
    <w:rsid w:val="00011073"/>
    <w:rsid w:val="0001149B"/>
    <w:rsid w:val="00011518"/>
    <w:rsid w:val="00011A79"/>
    <w:rsid w:val="00012E4A"/>
    <w:rsid w:val="00013024"/>
    <w:rsid w:val="00013C93"/>
    <w:rsid w:val="00014187"/>
    <w:rsid w:val="000149F8"/>
    <w:rsid w:val="00014DD7"/>
    <w:rsid w:val="00015B4E"/>
    <w:rsid w:val="00015FDE"/>
    <w:rsid w:val="00016E5F"/>
    <w:rsid w:val="000174FC"/>
    <w:rsid w:val="00017999"/>
    <w:rsid w:val="000179A6"/>
    <w:rsid w:val="00017BD6"/>
    <w:rsid w:val="00017D7B"/>
    <w:rsid w:val="00020254"/>
    <w:rsid w:val="00020A93"/>
    <w:rsid w:val="00021F43"/>
    <w:rsid w:val="00022348"/>
    <w:rsid w:val="00022587"/>
    <w:rsid w:val="00022D48"/>
    <w:rsid w:val="00023263"/>
    <w:rsid w:val="00023A8B"/>
    <w:rsid w:val="00023F67"/>
    <w:rsid w:val="0002404E"/>
    <w:rsid w:val="00024BA6"/>
    <w:rsid w:val="00025616"/>
    <w:rsid w:val="00025C96"/>
    <w:rsid w:val="00025EC6"/>
    <w:rsid w:val="000262BB"/>
    <w:rsid w:val="000265C9"/>
    <w:rsid w:val="00026932"/>
    <w:rsid w:val="00026A03"/>
    <w:rsid w:val="00026E43"/>
    <w:rsid w:val="00026F1C"/>
    <w:rsid w:val="00030394"/>
    <w:rsid w:val="000319AA"/>
    <w:rsid w:val="00031A10"/>
    <w:rsid w:val="000323C1"/>
    <w:rsid w:val="0003272A"/>
    <w:rsid w:val="00032790"/>
    <w:rsid w:val="00032AF9"/>
    <w:rsid w:val="0003366D"/>
    <w:rsid w:val="00033796"/>
    <w:rsid w:val="00033A06"/>
    <w:rsid w:val="00033C98"/>
    <w:rsid w:val="00033E3E"/>
    <w:rsid w:val="00033EFB"/>
    <w:rsid w:val="00034466"/>
    <w:rsid w:val="00034F07"/>
    <w:rsid w:val="00035395"/>
    <w:rsid w:val="00035742"/>
    <w:rsid w:val="00035889"/>
    <w:rsid w:val="00036609"/>
    <w:rsid w:val="000369E3"/>
    <w:rsid w:val="00036A55"/>
    <w:rsid w:val="00037133"/>
    <w:rsid w:val="00040199"/>
    <w:rsid w:val="00040813"/>
    <w:rsid w:val="00040C8F"/>
    <w:rsid w:val="00040D94"/>
    <w:rsid w:val="000410B8"/>
    <w:rsid w:val="000412ED"/>
    <w:rsid w:val="000415E2"/>
    <w:rsid w:val="0004175F"/>
    <w:rsid w:val="000426A7"/>
    <w:rsid w:val="0004379F"/>
    <w:rsid w:val="00043A4C"/>
    <w:rsid w:val="00044158"/>
    <w:rsid w:val="000443A8"/>
    <w:rsid w:val="00044E70"/>
    <w:rsid w:val="0004511A"/>
    <w:rsid w:val="00045AB3"/>
    <w:rsid w:val="00045F93"/>
    <w:rsid w:val="000469B5"/>
    <w:rsid w:val="00046FEB"/>
    <w:rsid w:val="000473F2"/>
    <w:rsid w:val="00047DA5"/>
    <w:rsid w:val="00051CF1"/>
    <w:rsid w:val="00051D4D"/>
    <w:rsid w:val="000535D1"/>
    <w:rsid w:val="00053B52"/>
    <w:rsid w:val="000549B1"/>
    <w:rsid w:val="00054AC9"/>
    <w:rsid w:val="0005549E"/>
    <w:rsid w:val="00055577"/>
    <w:rsid w:val="00055DA3"/>
    <w:rsid w:val="00055EB7"/>
    <w:rsid w:val="0005608F"/>
    <w:rsid w:val="000573FB"/>
    <w:rsid w:val="0005768B"/>
    <w:rsid w:val="00057C26"/>
    <w:rsid w:val="00057C58"/>
    <w:rsid w:val="00057C67"/>
    <w:rsid w:val="000607ED"/>
    <w:rsid w:val="00060DD0"/>
    <w:rsid w:val="00061FC0"/>
    <w:rsid w:val="0006249A"/>
    <w:rsid w:val="000627F3"/>
    <w:rsid w:val="00062FAB"/>
    <w:rsid w:val="00063450"/>
    <w:rsid w:val="00063C26"/>
    <w:rsid w:val="00064323"/>
    <w:rsid w:val="000648E2"/>
    <w:rsid w:val="00064927"/>
    <w:rsid w:val="00064937"/>
    <w:rsid w:val="00064EE0"/>
    <w:rsid w:val="00066DEC"/>
    <w:rsid w:val="00066FAA"/>
    <w:rsid w:val="00067967"/>
    <w:rsid w:val="00067CD7"/>
    <w:rsid w:val="00067D65"/>
    <w:rsid w:val="000700BB"/>
    <w:rsid w:val="00070757"/>
    <w:rsid w:val="00071679"/>
    <w:rsid w:val="000718EA"/>
    <w:rsid w:val="00071F26"/>
    <w:rsid w:val="00072420"/>
    <w:rsid w:val="000725DD"/>
    <w:rsid w:val="00072675"/>
    <w:rsid w:val="0007281D"/>
    <w:rsid w:val="00072922"/>
    <w:rsid w:val="00072FC8"/>
    <w:rsid w:val="000732EB"/>
    <w:rsid w:val="00073F82"/>
    <w:rsid w:val="00074310"/>
    <w:rsid w:val="00075018"/>
    <w:rsid w:val="000759C0"/>
    <w:rsid w:val="00075CB3"/>
    <w:rsid w:val="00077125"/>
    <w:rsid w:val="0007759A"/>
    <w:rsid w:val="00077C3D"/>
    <w:rsid w:val="00077D37"/>
    <w:rsid w:val="0008002B"/>
    <w:rsid w:val="0008093D"/>
    <w:rsid w:val="00080DD2"/>
    <w:rsid w:val="00080F94"/>
    <w:rsid w:val="00081023"/>
    <w:rsid w:val="000811A3"/>
    <w:rsid w:val="000813C4"/>
    <w:rsid w:val="000814AB"/>
    <w:rsid w:val="000817AA"/>
    <w:rsid w:val="00081F4F"/>
    <w:rsid w:val="000824A2"/>
    <w:rsid w:val="000826AB"/>
    <w:rsid w:val="00083665"/>
    <w:rsid w:val="000837F7"/>
    <w:rsid w:val="00083C22"/>
    <w:rsid w:val="0008548D"/>
    <w:rsid w:val="00085506"/>
    <w:rsid w:val="000858FF"/>
    <w:rsid w:val="00086016"/>
    <w:rsid w:val="00086775"/>
    <w:rsid w:val="00086E92"/>
    <w:rsid w:val="000902AC"/>
    <w:rsid w:val="00090533"/>
    <w:rsid w:val="0009081B"/>
    <w:rsid w:val="0009105C"/>
    <w:rsid w:val="00091D46"/>
    <w:rsid w:val="0009312F"/>
    <w:rsid w:val="0009395E"/>
    <w:rsid w:val="000939EF"/>
    <w:rsid w:val="00093C05"/>
    <w:rsid w:val="00093F67"/>
    <w:rsid w:val="0009474D"/>
    <w:rsid w:val="00094BCC"/>
    <w:rsid w:val="00094C53"/>
    <w:rsid w:val="00094E8E"/>
    <w:rsid w:val="00094FED"/>
    <w:rsid w:val="000951A5"/>
    <w:rsid w:val="00095254"/>
    <w:rsid w:val="00095264"/>
    <w:rsid w:val="000955D3"/>
    <w:rsid w:val="000960F8"/>
    <w:rsid w:val="000967D6"/>
    <w:rsid w:val="00096F51"/>
    <w:rsid w:val="00096FC0"/>
    <w:rsid w:val="000A0199"/>
    <w:rsid w:val="000A055F"/>
    <w:rsid w:val="000A13A8"/>
    <w:rsid w:val="000A13E5"/>
    <w:rsid w:val="000A1433"/>
    <w:rsid w:val="000A1544"/>
    <w:rsid w:val="000A1A2A"/>
    <w:rsid w:val="000A1D6D"/>
    <w:rsid w:val="000A3010"/>
    <w:rsid w:val="000A3499"/>
    <w:rsid w:val="000A3896"/>
    <w:rsid w:val="000A3D24"/>
    <w:rsid w:val="000A3FEB"/>
    <w:rsid w:val="000A410E"/>
    <w:rsid w:val="000A42DF"/>
    <w:rsid w:val="000A430A"/>
    <w:rsid w:val="000A43C2"/>
    <w:rsid w:val="000A4633"/>
    <w:rsid w:val="000A4AEA"/>
    <w:rsid w:val="000A4E79"/>
    <w:rsid w:val="000A58D6"/>
    <w:rsid w:val="000A6141"/>
    <w:rsid w:val="000A7134"/>
    <w:rsid w:val="000A7470"/>
    <w:rsid w:val="000A7E4E"/>
    <w:rsid w:val="000B0182"/>
    <w:rsid w:val="000B03BE"/>
    <w:rsid w:val="000B0AB8"/>
    <w:rsid w:val="000B0B2F"/>
    <w:rsid w:val="000B0D75"/>
    <w:rsid w:val="000B1B08"/>
    <w:rsid w:val="000B1DEB"/>
    <w:rsid w:val="000B2556"/>
    <w:rsid w:val="000B27BA"/>
    <w:rsid w:val="000B2C2D"/>
    <w:rsid w:val="000B39F7"/>
    <w:rsid w:val="000B3A13"/>
    <w:rsid w:val="000B3A6C"/>
    <w:rsid w:val="000B3B3A"/>
    <w:rsid w:val="000B3D95"/>
    <w:rsid w:val="000B3FC4"/>
    <w:rsid w:val="000B52FC"/>
    <w:rsid w:val="000B576E"/>
    <w:rsid w:val="000B5797"/>
    <w:rsid w:val="000B580A"/>
    <w:rsid w:val="000B58C6"/>
    <w:rsid w:val="000B594F"/>
    <w:rsid w:val="000B595A"/>
    <w:rsid w:val="000B5C38"/>
    <w:rsid w:val="000B796F"/>
    <w:rsid w:val="000B7DD3"/>
    <w:rsid w:val="000C0658"/>
    <w:rsid w:val="000C0BEF"/>
    <w:rsid w:val="000C0D22"/>
    <w:rsid w:val="000C140E"/>
    <w:rsid w:val="000C1486"/>
    <w:rsid w:val="000C168B"/>
    <w:rsid w:val="000C17AE"/>
    <w:rsid w:val="000C18C4"/>
    <w:rsid w:val="000C1995"/>
    <w:rsid w:val="000C1AE2"/>
    <w:rsid w:val="000C1D3E"/>
    <w:rsid w:val="000C1E57"/>
    <w:rsid w:val="000C1F15"/>
    <w:rsid w:val="000C2277"/>
    <w:rsid w:val="000C2F28"/>
    <w:rsid w:val="000C2FA9"/>
    <w:rsid w:val="000C3DE3"/>
    <w:rsid w:val="000C4681"/>
    <w:rsid w:val="000C4A84"/>
    <w:rsid w:val="000C4E4B"/>
    <w:rsid w:val="000C503D"/>
    <w:rsid w:val="000C5BDF"/>
    <w:rsid w:val="000C602D"/>
    <w:rsid w:val="000C6BAD"/>
    <w:rsid w:val="000C6D53"/>
    <w:rsid w:val="000C6F16"/>
    <w:rsid w:val="000C6F4B"/>
    <w:rsid w:val="000C6F96"/>
    <w:rsid w:val="000C710C"/>
    <w:rsid w:val="000D00D2"/>
    <w:rsid w:val="000D0FCC"/>
    <w:rsid w:val="000D108D"/>
    <w:rsid w:val="000D1130"/>
    <w:rsid w:val="000D11D1"/>
    <w:rsid w:val="000D11E1"/>
    <w:rsid w:val="000D12A9"/>
    <w:rsid w:val="000D2926"/>
    <w:rsid w:val="000D2F2A"/>
    <w:rsid w:val="000D32A0"/>
    <w:rsid w:val="000D3DF3"/>
    <w:rsid w:val="000D4301"/>
    <w:rsid w:val="000D4986"/>
    <w:rsid w:val="000D4D39"/>
    <w:rsid w:val="000D4E1C"/>
    <w:rsid w:val="000D4ED6"/>
    <w:rsid w:val="000D5157"/>
    <w:rsid w:val="000D6FD1"/>
    <w:rsid w:val="000D773A"/>
    <w:rsid w:val="000D7949"/>
    <w:rsid w:val="000D7BA1"/>
    <w:rsid w:val="000E0576"/>
    <w:rsid w:val="000E069D"/>
    <w:rsid w:val="000E0ADD"/>
    <w:rsid w:val="000E0E13"/>
    <w:rsid w:val="000E0E42"/>
    <w:rsid w:val="000E13A5"/>
    <w:rsid w:val="000E2261"/>
    <w:rsid w:val="000E27D3"/>
    <w:rsid w:val="000E36A4"/>
    <w:rsid w:val="000E4356"/>
    <w:rsid w:val="000E544D"/>
    <w:rsid w:val="000E5CA5"/>
    <w:rsid w:val="000E66A8"/>
    <w:rsid w:val="000E66BD"/>
    <w:rsid w:val="000E6F87"/>
    <w:rsid w:val="000F0C83"/>
    <w:rsid w:val="000F10D4"/>
    <w:rsid w:val="000F1112"/>
    <w:rsid w:val="000F1373"/>
    <w:rsid w:val="000F1646"/>
    <w:rsid w:val="000F17B2"/>
    <w:rsid w:val="000F1D71"/>
    <w:rsid w:val="000F21FB"/>
    <w:rsid w:val="000F25B6"/>
    <w:rsid w:val="000F2691"/>
    <w:rsid w:val="000F2878"/>
    <w:rsid w:val="000F28E8"/>
    <w:rsid w:val="000F29CD"/>
    <w:rsid w:val="000F30B0"/>
    <w:rsid w:val="000F3678"/>
    <w:rsid w:val="000F3DEF"/>
    <w:rsid w:val="000F4738"/>
    <w:rsid w:val="000F47D5"/>
    <w:rsid w:val="000F48A4"/>
    <w:rsid w:val="000F4F4E"/>
    <w:rsid w:val="000F57C8"/>
    <w:rsid w:val="000F5E15"/>
    <w:rsid w:val="000F63A1"/>
    <w:rsid w:val="000F667F"/>
    <w:rsid w:val="000F6763"/>
    <w:rsid w:val="000F6B38"/>
    <w:rsid w:val="000F7104"/>
    <w:rsid w:val="000F724C"/>
    <w:rsid w:val="000F7811"/>
    <w:rsid w:val="000F78D9"/>
    <w:rsid w:val="000F7EDB"/>
    <w:rsid w:val="001009F7"/>
    <w:rsid w:val="00100C92"/>
    <w:rsid w:val="001010BC"/>
    <w:rsid w:val="001011E2"/>
    <w:rsid w:val="0010162F"/>
    <w:rsid w:val="00101A22"/>
    <w:rsid w:val="00101AB7"/>
    <w:rsid w:val="00101EDC"/>
    <w:rsid w:val="001024E3"/>
    <w:rsid w:val="001025C7"/>
    <w:rsid w:val="001025FD"/>
    <w:rsid w:val="00102FAF"/>
    <w:rsid w:val="00103417"/>
    <w:rsid w:val="0010363E"/>
    <w:rsid w:val="0010486B"/>
    <w:rsid w:val="001054F4"/>
    <w:rsid w:val="001055D1"/>
    <w:rsid w:val="00105D3B"/>
    <w:rsid w:val="001065CF"/>
    <w:rsid w:val="00106AB2"/>
    <w:rsid w:val="00106D6C"/>
    <w:rsid w:val="001070A0"/>
    <w:rsid w:val="00107247"/>
    <w:rsid w:val="00107998"/>
    <w:rsid w:val="00110124"/>
    <w:rsid w:val="00110CF7"/>
    <w:rsid w:val="0011163D"/>
    <w:rsid w:val="00111C79"/>
    <w:rsid w:val="00111CB9"/>
    <w:rsid w:val="00112E03"/>
    <w:rsid w:val="00113AD0"/>
    <w:rsid w:val="00113B23"/>
    <w:rsid w:val="00113B4A"/>
    <w:rsid w:val="00113F25"/>
    <w:rsid w:val="0011429E"/>
    <w:rsid w:val="00114334"/>
    <w:rsid w:val="00116C8A"/>
    <w:rsid w:val="0011714A"/>
    <w:rsid w:val="0011774C"/>
    <w:rsid w:val="00117E51"/>
    <w:rsid w:val="001204CC"/>
    <w:rsid w:val="001209E3"/>
    <w:rsid w:val="00121256"/>
    <w:rsid w:val="0012153A"/>
    <w:rsid w:val="00121CE9"/>
    <w:rsid w:val="001229B7"/>
    <w:rsid w:val="00122AA4"/>
    <w:rsid w:val="0012326A"/>
    <w:rsid w:val="0012335D"/>
    <w:rsid w:val="001236ED"/>
    <w:rsid w:val="001238D5"/>
    <w:rsid w:val="00123CA1"/>
    <w:rsid w:val="00123ECF"/>
    <w:rsid w:val="00124484"/>
    <w:rsid w:val="00124820"/>
    <w:rsid w:val="00124BAC"/>
    <w:rsid w:val="00124DED"/>
    <w:rsid w:val="001252AE"/>
    <w:rsid w:val="00125772"/>
    <w:rsid w:val="001259CA"/>
    <w:rsid w:val="00126559"/>
    <w:rsid w:val="00126EEE"/>
    <w:rsid w:val="001272C3"/>
    <w:rsid w:val="001272FB"/>
    <w:rsid w:val="0012773D"/>
    <w:rsid w:val="00127852"/>
    <w:rsid w:val="00127B8B"/>
    <w:rsid w:val="001300DC"/>
    <w:rsid w:val="001301C6"/>
    <w:rsid w:val="001306B9"/>
    <w:rsid w:val="001310A1"/>
    <w:rsid w:val="00131285"/>
    <w:rsid w:val="0013146D"/>
    <w:rsid w:val="00131E74"/>
    <w:rsid w:val="0013282C"/>
    <w:rsid w:val="00132977"/>
    <w:rsid w:val="001329F4"/>
    <w:rsid w:val="00132A36"/>
    <w:rsid w:val="00133AD9"/>
    <w:rsid w:val="00133E1F"/>
    <w:rsid w:val="0013555F"/>
    <w:rsid w:val="00136EB1"/>
    <w:rsid w:val="00136EF6"/>
    <w:rsid w:val="00136F68"/>
    <w:rsid w:val="0013716A"/>
    <w:rsid w:val="001378D5"/>
    <w:rsid w:val="00137F55"/>
    <w:rsid w:val="001400F9"/>
    <w:rsid w:val="001409E1"/>
    <w:rsid w:val="0014115D"/>
    <w:rsid w:val="0014181E"/>
    <w:rsid w:val="001419E8"/>
    <w:rsid w:val="00142166"/>
    <w:rsid w:val="00142502"/>
    <w:rsid w:val="00142789"/>
    <w:rsid w:val="00142B33"/>
    <w:rsid w:val="00142DE8"/>
    <w:rsid w:val="00142F52"/>
    <w:rsid w:val="001438F0"/>
    <w:rsid w:val="00144217"/>
    <w:rsid w:val="001448A0"/>
    <w:rsid w:val="00145EF2"/>
    <w:rsid w:val="001461C3"/>
    <w:rsid w:val="001462E1"/>
    <w:rsid w:val="00146695"/>
    <w:rsid w:val="001470DF"/>
    <w:rsid w:val="00147275"/>
    <w:rsid w:val="00147929"/>
    <w:rsid w:val="001502D9"/>
    <w:rsid w:val="00150336"/>
    <w:rsid w:val="00150B69"/>
    <w:rsid w:val="00150C89"/>
    <w:rsid w:val="00151902"/>
    <w:rsid w:val="00151D42"/>
    <w:rsid w:val="00151ECC"/>
    <w:rsid w:val="00152122"/>
    <w:rsid w:val="00152710"/>
    <w:rsid w:val="00152FA9"/>
    <w:rsid w:val="00153789"/>
    <w:rsid w:val="0015425A"/>
    <w:rsid w:val="00155205"/>
    <w:rsid w:val="00155754"/>
    <w:rsid w:val="0015585D"/>
    <w:rsid w:val="001559C2"/>
    <w:rsid w:val="00155E63"/>
    <w:rsid w:val="00155EC5"/>
    <w:rsid w:val="00156F6F"/>
    <w:rsid w:val="001575BC"/>
    <w:rsid w:val="001578EE"/>
    <w:rsid w:val="00157B6E"/>
    <w:rsid w:val="00157C1E"/>
    <w:rsid w:val="00157E2E"/>
    <w:rsid w:val="001605D1"/>
    <w:rsid w:val="00160AD8"/>
    <w:rsid w:val="00160B40"/>
    <w:rsid w:val="00160CA7"/>
    <w:rsid w:val="00162565"/>
    <w:rsid w:val="001627F4"/>
    <w:rsid w:val="00162A77"/>
    <w:rsid w:val="00162D65"/>
    <w:rsid w:val="0016371E"/>
    <w:rsid w:val="0016386A"/>
    <w:rsid w:val="00163DC5"/>
    <w:rsid w:val="001640EC"/>
    <w:rsid w:val="00164303"/>
    <w:rsid w:val="00164B49"/>
    <w:rsid w:val="00165631"/>
    <w:rsid w:val="00165824"/>
    <w:rsid w:val="00165A22"/>
    <w:rsid w:val="001662EA"/>
    <w:rsid w:val="00166664"/>
    <w:rsid w:val="00166B0B"/>
    <w:rsid w:val="00166CCE"/>
    <w:rsid w:val="00166EA4"/>
    <w:rsid w:val="00166EB0"/>
    <w:rsid w:val="0016773B"/>
    <w:rsid w:val="001677A6"/>
    <w:rsid w:val="001679C9"/>
    <w:rsid w:val="00170459"/>
    <w:rsid w:val="00170977"/>
    <w:rsid w:val="001709E2"/>
    <w:rsid w:val="00170A56"/>
    <w:rsid w:val="00170E9D"/>
    <w:rsid w:val="00171111"/>
    <w:rsid w:val="00171135"/>
    <w:rsid w:val="0017143C"/>
    <w:rsid w:val="001719FE"/>
    <w:rsid w:val="00172985"/>
    <w:rsid w:val="00172989"/>
    <w:rsid w:val="001730AD"/>
    <w:rsid w:val="00173453"/>
    <w:rsid w:val="001734A5"/>
    <w:rsid w:val="001740B0"/>
    <w:rsid w:val="001742D0"/>
    <w:rsid w:val="0017491A"/>
    <w:rsid w:val="001750CF"/>
    <w:rsid w:val="00175340"/>
    <w:rsid w:val="00175B31"/>
    <w:rsid w:val="001765EA"/>
    <w:rsid w:val="00176699"/>
    <w:rsid w:val="00177334"/>
    <w:rsid w:val="001776BE"/>
    <w:rsid w:val="00177C78"/>
    <w:rsid w:val="00177F15"/>
    <w:rsid w:val="0018025B"/>
    <w:rsid w:val="00180428"/>
    <w:rsid w:val="00180ABB"/>
    <w:rsid w:val="0018146E"/>
    <w:rsid w:val="00181A50"/>
    <w:rsid w:val="00181FC2"/>
    <w:rsid w:val="001823E2"/>
    <w:rsid w:val="00182967"/>
    <w:rsid w:val="001829E0"/>
    <w:rsid w:val="00183158"/>
    <w:rsid w:val="0018337F"/>
    <w:rsid w:val="001838DA"/>
    <w:rsid w:val="001839B3"/>
    <w:rsid w:val="00183A6E"/>
    <w:rsid w:val="00183E05"/>
    <w:rsid w:val="00183F92"/>
    <w:rsid w:val="00184385"/>
    <w:rsid w:val="00185B48"/>
    <w:rsid w:val="00185E66"/>
    <w:rsid w:val="0018638E"/>
    <w:rsid w:val="001865BF"/>
    <w:rsid w:val="00186978"/>
    <w:rsid w:val="00186A71"/>
    <w:rsid w:val="00186AAE"/>
    <w:rsid w:val="00187164"/>
    <w:rsid w:val="001872F2"/>
    <w:rsid w:val="0018743C"/>
    <w:rsid w:val="00187D17"/>
    <w:rsid w:val="00187EF5"/>
    <w:rsid w:val="00190538"/>
    <w:rsid w:val="001905BD"/>
    <w:rsid w:val="001909A5"/>
    <w:rsid w:val="00190BE6"/>
    <w:rsid w:val="0019122C"/>
    <w:rsid w:val="00191A1F"/>
    <w:rsid w:val="00191F75"/>
    <w:rsid w:val="00192A27"/>
    <w:rsid w:val="00192ABC"/>
    <w:rsid w:val="00192E9D"/>
    <w:rsid w:val="00192F23"/>
    <w:rsid w:val="0019301D"/>
    <w:rsid w:val="001930E1"/>
    <w:rsid w:val="001940CD"/>
    <w:rsid w:val="00194132"/>
    <w:rsid w:val="00194154"/>
    <w:rsid w:val="00194175"/>
    <w:rsid w:val="00194280"/>
    <w:rsid w:val="00195080"/>
    <w:rsid w:val="00195C2F"/>
    <w:rsid w:val="0019693D"/>
    <w:rsid w:val="00196BE2"/>
    <w:rsid w:val="00196C20"/>
    <w:rsid w:val="00196D2E"/>
    <w:rsid w:val="00196E13"/>
    <w:rsid w:val="00197B8E"/>
    <w:rsid w:val="001A07A9"/>
    <w:rsid w:val="001A0B2E"/>
    <w:rsid w:val="001A0FB6"/>
    <w:rsid w:val="001A132F"/>
    <w:rsid w:val="001A138A"/>
    <w:rsid w:val="001A21F5"/>
    <w:rsid w:val="001A234D"/>
    <w:rsid w:val="001A2866"/>
    <w:rsid w:val="001A3707"/>
    <w:rsid w:val="001A3EF6"/>
    <w:rsid w:val="001A413E"/>
    <w:rsid w:val="001A434B"/>
    <w:rsid w:val="001A4E37"/>
    <w:rsid w:val="001A4F91"/>
    <w:rsid w:val="001A4FE0"/>
    <w:rsid w:val="001A5AA2"/>
    <w:rsid w:val="001A676B"/>
    <w:rsid w:val="001A7A4F"/>
    <w:rsid w:val="001A7C67"/>
    <w:rsid w:val="001B01EA"/>
    <w:rsid w:val="001B06F5"/>
    <w:rsid w:val="001B0BED"/>
    <w:rsid w:val="001B0D9B"/>
    <w:rsid w:val="001B102F"/>
    <w:rsid w:val="001B1040"/>
    <w:rsid w:val="001B11EC"/>
    <w:rsid w:val="001B1201"/>
    <w:rsid w:val="001B13EE"/>
    <w:rsid w:val="001B15ED"/>
    <w:rsid w:val="001B162E"/>
    <w:rsid w:val="001B185A"/>
    <w:rsid w:val="001B1865"/>
    <w:rsid w:val="001B1C68"/>
    <w:rsid w:val="001B1F19"/>
    <w:rsid w:val="001B245C"/>
    <w:rsid w:val="001B2709"/>
    <w:rsid w:val="001B274C"/>
    <w:rsid w:val="001B32BA"/>
    <w:rsid w:val="001B33A7"/>
    <w:rsid w:val="001B3BB7"/>
    <w:rsid w:val="001B3C8E"/>
    <w:rsid w:val="001B3D13"/>
    <w:rsid w:val="001B3FFF"/>
    <w:rsid w:val="001B4081"/>
    <w:rsid w:val="001B40AE"/>
    <w:rsid w:val="001B51FB"/>
    <w:rsid w:val="001B56EA"/>
    <w:rsid w:val="001B5E16"/>
    <w:rsid w:val="001B5EB7"/>
    <w:rsid w:val="001B6D97"/>
    <w:rsid w:val="001B724E"/>
    <w:rsid w:val="001B76FE"/>
    <w:rsid w:val="001B799C"/>
    <w:rsid w:val="001C1741"/>
    <w:rsid w:val="001C1A84"/>
    <w:rsid w:val="001C1A8D"/>
    <w:rsid w:val="001C279B"/>
    <w:rsid w:val="001C32E7"/>
    <w:rsid w:val="001C3467"/>
    <w:rsid w:val="001C37B8"/>
    <w:rsid w:val="001C3858"/>
    <w:rsid w:val="001C3C6A"/>
    <w:rsid w:val="001C48EE"/>
    <w:rsid w:val="001C4B77"/>
    <w:rsid w:val="001C50CF"/>
    <w:rsid w:val="001C6538"/>
    <w:rsid w:val="001C6893"/>
    <w:rsid w:val="001C6CED"/>
    <w:rsid w:val="001C6F35"/>
    <w:rsid w:val="001C7954"/>
    <w:rsid w:val="001C7A72"/>
    <w:rsid w:val="001C7FB4"/>
    <w:rsid w:val="001D1705"/>
    <w:rsid w:val="001D2E1B"/>
    <w:rsid w:val="001D2E21"/>
    <w:rsid w:val="001D3211"/>
    <w:rsid w:val="001D357E"/>
    <w:rsid w:val="001D44B0"/>
    <w:rsid w:val="001D46DD"/>
    <w:rsid w:val="001D49A6"/>
    <w:rsid w:val="001D4C3E"/>
    <w:rsid w:val="001D4D37"/>
    <w:rsid w:val="001D4E74"/>
    <w:rsid w:val="001D5B1F"/>
    <w:rsid w:val="001D5EA8"/>
    <w:rsid w:val="001D6875"/>
    <w:rsid w:val="001D6D64"/>
    <w:rsid w:val="001D75E2"/>
    <w:rsid w:val="001D7A2A"/>
    <w:rsid w:val="001E03D7"/>
    <w:rsid w:val="001E0683"/>
    <w:rsid w:val="001E1473"/>
    <w:rsid w:val="001E1B58"/>
    <w:rsid w:val="001E1DA2"/>
    <w:rsid w:val="001E2251"/>
    <w:rsid w:val="001E280D"/>
    <w:rsid w:val="001E31B0"/>
    <w:rsid w:val="001E32E2"/>
    <w:rsid w:val="001E3A90"/>
    <w:rsid w:val="001E4787"/>
    <w:rsid w:val="001E5445"/>
    <w:rsid w:val="001E5E28"/>
    <w:rsid w:val="001E65B2"/>
    <w:rsid w:val="001E6809"/>
    <w:rsid w:val="001E6A13"/>
    <w:rsid w:val="001E7919"/>
    <w:rsid w:val="001F0364"/>
    <w:rsid w:val="001F0767"/>
    <w:rsid w:val="001F0FC5"/>
    <w:rsid w:val="001F1FE6"/>
    <w:rsid w:val="001F2687"/>
    <w:rsid w:val="001F26C2"/>
    <w:rsid w:val="001F2D2C"/>
    <w:rsid w:val="001F3240"/>
    <w:rsid w:val="001F34C1"/>
    <w:rsid w:val="001F37E3"/>
    <w:rsid w:val="001F387F"/>
    <w:rsid w:val="001F3B94"/>
    <w:rsid w:val="001F3C26"/>
    <w:rsid w:val="001F42C4"/>
    <w:rsid w:val="001F47A8"/>
    <w:rsid w:val="001F492B"/>
    <w:rsid w:val="001F4988"/>
    <w:rsid w:val="001F4AF8"/>
    <w:rsid w:val="001F53D2"/>
    <w:rsid w:val="001F59ED"/>
    <w:rsid w:val="001F7499"/>
    <w:rsid w:val="001F7855"/>
    <w:rsid w:val="00200481"/>
    <w:rsid w:val="00200D7F"/>
    <w:rsid w:val="00201212"/>
    <w:rsid w:val="002032E1"/>
    <w:rsid w:val="00203925"/>
    <w:rsid w:val="002040B5"/>
    <w:rsid w:val="00204291"/>
    <w:rsid w:val="002042F8"/>
    <w:rsid w:val="00204541"/>
    <w:rsid w:val="00204994"/>
    <w:rsid w:val="00205843"/>
    <w:rsid w:val="00205B1E"/>
    <w:rsid w:val="002062B2"/>
    <w:rsid w:val="002067F1"/>
    <w:rsid w:val="00206D88"/>
    <w:rsid w:val="00206E1C"/>
    <w:rsid w:val="00207238"/>
    <w:rsid w:val="002073F2"/>
    <w:rsid w:val="0021025A"/>
    <w:rsid w:val="002103FF"/>
    <w:rsid w:val="0021055B"/>
    <w:rsid w:val="00210656"/>
    <w:rsid w:val="00210741"/>
    <w:rsid w:val="00210800"/>
    <w:rsid w:val="00211940"/>
    <w:rsid w:val="00211FA2"/>
    <w:rsid w:val="0021227F"/>
    <w:rsid w:val="00212829"/>
    <w:rsid w:val="00213233"/>
    <w:rsid w:val="00213445"/>
    <w:rsid w:val="00213672"/>
    <w:rsid w:val="002138CA"/>
    <w:rsid w:val="00213DE8"/>
    <w:rsid w:val="0021441B"/>
    <w:rsid w:val="002144FE"/>
    <w:rsid w:val="00214B86"/>
    <w:rsid w:val="00214CAD"/>
    <w:rsid w:val="00214E00"/>
    <w:rsid w:val="002153D9"/>
    <w:rsid w:val="00215B0A"/>
    <w:rsid w:val="00215E4C"/>
    <w:rsid w:val="002163D1"/>
    <w:rsid w:val="00217062"/>
    <w:rsid w:val="00217BDE"/>
    <w:rsid w:val="00217DBD"/>
    <w:rsid w:val="00220BDB"/>
    <w:rsid w:val="00220C3F"/>
    <w:rsid w:val="0022105D"/>
    <w:rsid w:val="00221648"/>
    <w:rsid w:val="00221A78"/>
    <w:rsid w:val="00221F7D"/>
    <w:rsid w:val="002222A5"/>
    <w:rsid w:val="00222395"/>
    <w:rsid w:val="00222519"/>
    <w:rsid w:val="002225A3"/>
    <w:rsid w:val="00223720"/>
    <w:rsid w:val="0022406A"/>
    <w:rsid w:val="00224D34"/>
    <w:rsid w:val="0022552E"/>
    <w:rsid w:val="00225BC8"/>
    <w:rsid w:val="00225F0A"/>
    <w:rsid w:val="00226C99"/>
    <w:rsid w:val="00226EC9"/>
    <w:rsid w:val="00227089"/>
    <w:rsid w:val="00227A46"/>
    <w:rsid w:val="00230243"/>
    <w:rsid w:val="0023056F"/>
    <w:rsid w:val="002316AB"/>
    <w:rsid w:val="00231B7D"/>
    <w:rsid w:val="00231DDE"/>
    <w:rsid w:val="00232361"/>
    <w:rsid w:val="002324ED"/>
    <w:rsid w:val="00233DF2"/>
    <w:rsid w:val="00233E97"/>
    <w:rsid w:val="00233FA3"/>
    <w:rsid w:val="00234187"/>
    <w:rsid w:val="00234E75"/>
    <w:rsid w:val="002353D9"/>
    <w:rsid w:val="002354E7"/>
    <w:rsid w:val="00235D7C"/>
    <w:rsid w:val="002369CF"/>
    <w:rsid w:val="0023767E"/>
    <w:rsid w:val="00237920"/>
    <w:rsid w:val="00237F64"/>
    <w:rsid w:val="00240029"/>
    <w:rsid w:val="0024066D"/>
    <w:rsid w:val="00240A2C"/>
    <w:rsid w:val="002417AC"/>
    <w:rsid w:val="00241A89"/>
    <w:rsid w:val="00241B69"/>
    <w:rsid w:val="00241D3C"/>
    <w:rsid w:val="00242338"/>
    <w:rsid w:val="002424C2"/>
    <w:rsid w:val="00242534"/>
    <w:rsid w:val="00242A2F"/>
    <w:rsid w:val="00243719"/>
    <w:rsid w:val="0024385E"/>
    <w:rsid w:val="0024395B"/>
    <w:rsid w:val="00243E98"/>
    <w:rsid w:val="00243FC0"/>
    <w:rsid w:val="00244140"/>
    <w:rsid w:val="002441DD"/>
    <w:rsid w:val="00244810"/>
    <w:rsid w:val="00244CB8"/>
    <w:rsid w:val="00245312"/>
    <w:rsid w:val="002454FA"/>
    <w:rsid w:val="00245502"/>
    <w:rsid w:val="002461C1"/>
    <w:rsid w:val="002500B6"/>
    <w:rsid w:val="00250629"/>
    <w:rsid w:val="00250747"/>
    <w:rsid w:val="002515A9"/>
    <w:rsid w:val="00251924"/>
    <w:rsid w:val="00251AA5"/>
    <w:rsid w:val="00251E71"/>
    <w:rsid w:val="00252217"/>
    <w:rsid w:val="0025225F"/>
    <w:rsid w:val="002523BD"/>
    <w:rsid w:val="002529C7"/>
    <w:rsid w:val="00253474"/>
    <w:rsid w:val="002534F8"/>
    <w:rsid w:val="00253675"/>
    <w:rsid w:val="0025456B"/>
    <w:rsid w:val="00254735"/>
    <w:rsid w:val="002552FA"/>
    <w:rsid w:val="00255846"/>
    <w:rsid w:val="00255CC8"/>
    <w:rsid w:val="00255D7F"/>
    <w:rsid w:val="00256960"/>
    <w:rsid w:val="0026025E"/>
    <w:rsid w:val="00260426"/>
    <w:rsid w:val="0026177E"/>
    <w:rsid w:val="00261CE4"/>
    <w:rsid w:val="00261F2C"/>
    <w:rsid w:val="00262003"/>
    <w:rsid w:val="002620BE"/>
    <w:rsid w:val="0026210D"/>
    <w:rsid w:val="00262A46"/>
    <w:rsid w:val="00262B90"/>
    <w:rsid w:val="00262CB2"/>
    <w:rsid w:val="00262D97"/>
    <w:rsid w:val="00262E8D"/>
    <w:rsid w:val="0026331A"/>
    <w:rsid w:val="002634EB"/>
    <w:rsid w:val="0026350F"/>
    <w:rsid w:val="0026385A"/>
    <w:rsid w:val="00263A07"/>
    <w:rsid w:val="00263CBC"/>
    <w:rsid w:val="00264698"/>
    <w:rsid w:val="00264B17"/>
    <w:rsid w:val="00265C01"/>
    <w:rsid w:val="00265FF0"/>
    <w:rsid w:val="00266054"/>
    <w:rsid w:val="002662B3"/>
    <w:rsid w:val="00266B32"/>
    <w:rsid w:val="00266C3E"/>
    <w:rsid w:val="00267C46"/>
    <w:rsid w:val="00270C47"/>
    <w:rsid w:val="00270FC9"/>
    <w:rsid w:val="00272057"/>
    <w:rsid w:val="0027381F"/>
    <w:rsid w:val="00273949"/>
    <w:rsid w:val="00273F36"/>
    <w:rsid w:val="002740EE"/>
    <w:rsid w:val="0027447D"/>
    <w:rsid w:val="00274D1C"/>
    <w:rsid w:val="002752FA"/>
    <w:rsid w:val="002759A1"/>
    <w:rsid w:val="00275C02"/>
    <w:rsid w:val="00276A08"/>
    <w:rsid w:val="002771C0"/>
    <w:rsid w:val="00277AF6"/>
    <w:rsid w:val="00277DDC"/>
    <w:rsid w:val="00280336"/>
    <w:rsid w:val="00281171"/>
    <w:rsid w:val="00281B34"/>
    <w:rsid w:val="00281C8F"/>
    <w:rsid w:val="00282546"/>
    <w:rsid w:val="00282F00"/>
    <w:rsid w:val="002832D3"/>
    <w:rsid w:val="00284E0B"/>
    <w:rsid w:val="00286063"/>
    <w:rsid w:val="002862DA"/>
    <w:rsid w:val="0028689B"/>
    <w:rsid w:val="0028692B"/>
    <w:rsid w:val="002869B0"/>
    <w:rsid w:val="00287768"/>
    <w:rsid w:val="002877D9"/>
    <w:rsid w:val="00287865"/>
    <w:rsid w:val="002879CE"/>
    <w:rsid w:val="00287BE1"/>
    <w:rsid w:val="00287F53"/>
    <w:rsid w:val="00292A03"/>
    <w:rsid w:val="002931D6"/>
    <w:rsid w:val="0029349F"/>
    <w:rsid w:val="0029370C"/>
    <w:rsid w:val="002942B4"/>
    <w:rsid w:val="0029438D"/>
    <w:rsid w:val="00294C10"/>
    <w:rsid w:val="00295040"/>
    <w:rsid w:val="002952D2"/>
    <w:rsid w:val="002952EA"/>
    <w:rsid w:val="00295379"/>
    <w:rsid w:val="00295443"/>
    <w:rsid w:val="002955FE"/>
    <w:rsid w:val="002957D4"/>
    <w:rsid w:val="00295D1F"/>
    <w:rsid w:val="00295E6A"/>
    <w:rsid w:val="0029657C"/>
    <w:rsid w:val="002974D7"/>
    <w:rsid w:val="00297F78"/>
    <w:rsid w:val="002A05A5"/>
    <w:rsid w:val="002A0654"/>
    <w:rsid w:val="002A0C1C"/>
    <w:rsid w:val="002A1760"/>
    <w:rsid w:val="002A1B35"/>
    <w:rsid w:val="002A1B7C"/>
    <w:rsid w:val="002A22F0"/>
    <w:rsid w:val="002A24D5"/>
    <w:rsid w:val="002A24DB"/>
    <w:rsid w:val="002A2917"/>
    <w:rsid w:val="002A2D91"/>
    <w:rsid w:val="002A2E6E"/>
    <w:rsid w:val="002A3AF1"/>
    <w:rsid w:val="002A3C41"/>
    <w:rsid w:val="002A46C9"/>
    <w:rsid w:val="002A4C84"/>
    <w:rsid w:val="002A4DC9"/>
    <w:rsid w:val="002A563D"/>
    <w:rsid w:val="002A565C"/>
    <w:rsid w:val="002A5867"/>
    <w:rsid w:val="002A5B4B"/>
    <w:rsid w:val="002A60A0"/>
    <w:rsid w:val="002A64A1"/>
    <w:rsid w:val="002A64E0"/>
    <w:rsid w:val="002A6702"/>
    <w:rsid w:val="002A697F"/>
    <w:rsid w:val="002A7514"/>
    <w:rsid w:val="002A7807"/>
    <w:rsid w:val="002B0A84"/>
    <w:rsid w:val="002B1809"/>
    <w:rsid w:val="002B1F3B"/>
    <w:rsid w:val="002B21AD"/>
    <w:rsid w:val="002B27DF"/>
    <w:rsid w:val="002B2913"/>
    <w:rsid w:val="002B2981"/>
    <w:rsid w:val="002B2BB9"/>
    <w:rsid w:val="002B2FB2"/>
    <w:rsid w:val="002B321A"/>
    <w:rsid w:val="002B37CB"/>
    <w:rsid w:val="002B41DA"/>
    <w:rsid w:val="002B45D4"/>
    <w:rsid w:val="002B48A9"/>
    <w:rsid w:val="002B4E7C"/>
    <w:rsid w:val="002B5A43"/>
    <w:rsid w:val="002B65B6"/>
    <w:rsid w:val="002B6832"/>
    <w:rsid w:val="002B7114"/>
    <w:rsid w:val="002B7422"/>
    <w:rsid w:val="002B7952"/>
    <w:rsid w:val="002C0410"/>
    <w:rsid w:val="002C0470"/>
    <w:rsid w:val="002C0E8D"/>
    <w:rsid w:val="002C1458"/>
    <w:rsid w:val="002C1583"/>
    <w:rsid w:val="002C2DE7"/>
    <w:rsid w:val="002C35CE"/>
    <w:rsid w:val="002C3BF1"/>
    <w:rsid w:val="002C4715"/>
    <w:rsid w:val="002C4AD0"/>
    <w:rsid w:val="002C5195"/>
    <w:rsid w:val="002C56DD"/>
    <w:rsid w:val="002C5F10"/>
    <w:rsid w:val="002C60AF"/>
    <w:rsid w:val="002C6299"/>
    <w:rsid w:val="002C6ECF"/>
    <w:rsid w:val="002D0118"/>
    <w:rsid w:val="002D0239"/>
    <w:rsid w:val="002D0628"/>
    <w:rsid w:val="002D0790"/>
    <w:rsid w:val="002D0AD6"/>
    <w:rsid w:val="002D0F9F"/>
    <w:rsid w:val="002D1078"/>
    <w:rsid w:val="002D12B2"/>
    <w:rsid w:val="002D156F"/>
    <w:rsid w:val="002D168D"/>
    <w:rsid w:val="002D25B8"/>
    <w:rsid w:val="002D2AE1"/>
    <w:rsid w:val="002D437F"/>
    <w:rsid w:val="002D498C"/>
    <w:rsid w:val="002D526C"/>
    <w:rsid w:val="002D526D"/>
    <w:rsid w:val="002D5347"/>
    <w:rsid w:val="002D60DD"/>
    <w:rsid w:val="002D60F7"/>
    <w:rsid w:val="002D6BA9"/>
    <w:rsid w:val="002D71AF"/>
    <w:rsid w:val="002D7E9E"/>
    <w:rsid w:val="002E0F62"/>
    <w:rsid w:val="002E121D"/>
    <w:rsid w:val="002E14AD"/>
    <w:rsid w:val="002E1FC8"/>
    <w:rsid w:val="002E3DF3"/>
    <w:rsid w:val="002E40EF"/>
    <w:rsid w:val="002E410A"/>
    <w:rsid w:val="002E449B"/>
    <w:rsid w:val="002E4A01"/>
    <w:rsid w:val="002E4A42"/>
    <w:rsid w:val="002E4CD3"/>
    <w:rsid w:val="002E58B5"/>
    <w:rsid w:val="002E5BC6"/>
    <w:rsid w:val="002E756C"/>
    <w:rsid w:val="002E7892"/>
    <w:rsid w:val="002F038C"/>
    <w:rsid w:val="002F0BFB"/>
    <w:rsid w:val="002F0DDB"/>
    <w:rsid w:val="002F24A2"/>
    <w:rsid w:val="002F2854"/>
    <w:rsid w:val="002F2A66"/>
    <w:rsid w:val="002F3EB5"/>
    <w:rsid w:val="002F4552"/>
    <w:rsid w:val="002F4837"/>
    <w:rsid w:val="002F4843"/>
    <w:rsid w:val="002F49B4"/>
    <w:rsid w:val="002F4F3D"/>
    <w:rsid w:val="002F5142"/>
    <w:rsid w:val="002F5765"/>
    <w:rsid w:val="002F7462"/>
    <w:rsid w:val="002F7761"/>
    <w:rsid w:val="002F7B8B"/>
    <w:rsid w:val="00300091"/>
    <w:rsid w:val="00300C1E"/>
    <w:rsid w:val="003015A9"/>
    <w:rsid w:val="0030175F"/>
    <w:rsid w:val="00301B39"/>
    <w:rsid w:val="00302070"/>
    <w:rsid w:val="0030251A"/>
    <w:rsid w:val="003027AF"/>
    <w:rsid w:val="00302F59"/>
    <w:rsid w:val="003030CA"/>
    <w:rsid w:val="0030338E"/>
    <w:rsid w:val="00303B1F"/>
    <w:rsid w:val="00303EC3"/>
    <w:rsid w:val="00304179"/>
    <w:rsid w:val="00304307"/>
    <w:rsid w:val="003044D6"/>
    <w:rsid w:val="00304533"/>
    <w:rsid w:val="003046BB"/>
    <w:rsid w:val="0030474A"/>
    <w:rsid w:val="00304751"/>
    <w:rsid w:val="00305C44"/>
    <w:rsid w:val="00305C6D"/>
    <w:rsid w:val="00305D49"/>
    <w:rsid w:val="00306453"/>
    <w:rsid w:val="00306B88"/>
    <w:rsid w:val="00306DF6"/>
    <w:rsid w:val="00306EBB"/>
    <w:rsid w:val="0030710E"/>
    <w:rsid w:val="003073F9"/>
    <w:rsid w:val="00307C5F"/>
    <w:rsid w:val="00307EDF"/>
    <w:rsid w:val="003100E7"/>
    <w:rsid w:val="00310211"/>
    <w:rsid w:val="003102DB"/>
    <w:rsid w:val="003103A6"/>
    <w:rsid w:val="00310998"/>
    <w:rsid w:val="00310E4C"/>
    <w:rsid w:val="0031110D"/>
    <w:rsid w:val="003115CF"/>
    <w:rsid w:val="003121C0"/>
    <w:rsid w:val="003132F4"/>
    <w:rsid w:val="00313315"/>
    <w:rsid w:val="00313465"/>
    <w:rsid w:val="00313D0D"/>
    <w:rsid w:val="00314E05"/>
    <w:rsid w:val="00314F03"/>
    <w:rsid w:val="00315C20"/>
    <w:rsid w:val="00316596"/>
    <w:rsid w:val="003168A4"/>
    <w:rsid w:val="00316ED7"/>
    <w:rsid w:val="003177FE"/>
    <w:rsid w:val="00317A5F"/>
    <w:rsid w:val="00317EA8"/>
    <w:rsid w:val="00320448"/>
    <w:rsid w:val="00320DBC"/>
    <w:rsid w:val="0032122F"/>
    <w:rsid w:val="00321988"/>
    <w:rsid w:val="00321B1E"/>
    <w:rsid w:val="00321EAB"/>
    <w:rsid w:val="00322583"/>
    <w:rsid w:val="003226B7"/>
    <w:rsid w:val="0032378E"/>
    <w:rsid w:val="003242EE"/>
    <w:rsid w:val="00324B3B"/>
    <w:rsid w:val="00324C5A"/>
    <w:rsid w:val="003252C4"/>
    <w:rsid w:val="003257EA"/>
    <w:rsid w:val="00325D5D"/>
    <w:rsid w:val="00325FB2"/>
    <w:rsid w:val="00326293"/>
    <w:rsid w:val="00326D34"/>
    <w:rsid w:val="00326D6E"/>
    <w:rsid w:val="0032756D"/>
    <w:rsid w:val="00327909"/>
    <w:rsid w:val="00327B2A"/>
    <w:rsid w:val="00330631"/>
    <w:rsid w:val="00331694"/>
    <w:rsid w:val="00331EEE"/>
    <w:rsid w:val="00332490"/>
    <w:rsid w:val="003325A2"/>
    <w:rsid w:val="003326CF"/>
    <w:rsid w:val="00332AF2"/>
    <w:rsid w:val="003337F5"/>
    <w:rsid w:val="003339F6"/>
    <w:rsid w:val="00333B0B"/>
    <w:rsid w:val="00333E43"/>
    <w:rsid w:val="00333F92"/>
    <w:rsid w:val="003366CF"/>
    <w:rsid w:val="00336CAD"/>
    <w:rsid w:val="00336D8D"/>
    <w:rsid w:val="003376C4"/>
    <w:rsid w:val="003377AF"/>
    <w:rsid w:val="00337A62"/>
    <w:rsid w:val="00337E2B"/>
    <w:rsid w:val="00337E47"/>
    <w:rsid w:val="003402D9"/>
    <w:rsid w:val="0034047D"/>
    <w:rsid w:val="003406F8"/>
    <w:rsid w:val="00340807"/>
    <w:rsid w:val="00340B7B"/>
    <w:rsid w:val="00340C0A"/>
    <w:rsid w:val="00340F06"/>
    <w:rsid w:val="0034150A"/>
    <w:rsid w:val="003420B9"/>
    <w:rsid w:val="003421FE"/>
    <w:rsid w:val="00342465"/>
    <w:rsid w:val="00342A89"/>
    <w:rsid w:val="00342E17"/>
    <w:rsid w:val="00343120"/>
    <w:rsid w:val="0034329E"/>
    <w:rsid w:val="0034346A"/>
    <w:rsid w:val="00343DAF"/>
    <w:rsid w:val="0034411A"/>
    <w:rsid w:val="00344711"/>
    <w:rsid w:val="00344B4F"/>
    <w:rsid w:val="003450BF"/>
    <w:rsid w:val="00345564"/>
    <w:rsid w:val="00345AAB"/>
    <w:rsid w:val="00345B41"/>
    <w:rsid w:val="00346918"/>
    <w:rsid w:val="00346E8D"/>
    <w:rsid w:val="0034742D"/>
    <w:rsid w:val="00350135"/>
    <w:rsid w:val="003505E7"/>
    <w:rsid w:val="00350FF3"/>
    <w:rsid w:val="003516C5"/>
    <w:rsid w:val="00351818"/>
    <w:rsid w:val="0035275E"/>
    <w:rsid w:val="00352F1E"/>
    <w:rsid w:val="00353272"/>
    <w:rsid w:val="003539D0"/>
    <w:rsid w:val="00354030"/>
    <w:rsid w:val="003542A5"/>
    <w:rsid w:val="003544A5"/>
    <w:rsid w:val="003549BE"/>
    <w:rsid w:val="00354D2A"/>
    <w:rsid w:val="00354E1E"/>
    <w:rsid w:val="00354FF0"/>
    <w:rsid w:val="00356745"/>
    <w:rsid w:val="0035712D"/>
    <w:rsid w:val="00357EB1"/>
    <w:rsid w:val="003609A0"/>
    <w:rsid w:val="00360B83"/>
    <w:rsid w:val="0036161E"/>
    <w:rsid w:val="00361642"/>
    <w:rsid w:val="00361B15"/>
    <w:rsid w:val="00361B73"/>
    <w:rsid w:val="00361C01"/>
    <w:rsid w:val="003620C6"/>
    <w:rsid w:val="003628E5"/>
    <w:rsid w:val="003632A6"/>
    <w:rsid w:val="003637A2"/>
    <w:rsid w:val="00363B85"/>
    <w:rsid w:val="0036483C"/>
    <w:rsid w:val="00364E7F"/>
    <w:rsid w:val="003658BB"/>
    <w:rsid w:val="00365B27"/>
    <w:rsid w:val="00365DCC"/>
    <w:rsid w:val="00365F99"/>
    <w:rsid w:val="003661BA"/>
    <w:rsid w:val="003661C9"/>
    <w:rsid w:val="00366216"/>
    <w:rsid w:val="003663FB"/>
    <w:rsid w:val="0036648D"/>
    <w:rsid w:val="003665E7"/>
    <w:rsid w:val="003667A0"/>
    <w:rsid w:val="00366B35"/>
    <w:rsid w:val="003676DB"/>
    <w:rsid w:val="00367728"/>
    <w:rsid w:val="00367D57"/>
    <w:rsid w:val="00370171"/>
    <w:rsid w:val="00370241"/>
    <w:rsid w:val="00370283"/>
    <w:rsid w:val="0037045A"/>
    <w:rsid w:val="003704B6"/>
    <w:rsid w:val="00370533"/>
    <w:rsid w:val="00371851"/>
    <w:rsid w:val="00372504"/>
    <w:rsid w:val="00372E4F"/>
    <w:rsid w:val="003739F5"/>
    <w:rsid w:val="00373D70"/>
    <w:rsid w:val="00373D90"/>
    <w:rsid w:val="003752DF"/>
    <w:rsid w:val="0037573C"/>
    <w:rsid w:val="00375C42"/>
    <w:rsid w:val="00375D7D"/>
    <w:rsid w:val="00375EE0"/>
    <w:rsid w:val="00375EE4"/>
    <w:rsid w:val="00376044"/>
    <w:rsid w:val="003771FF"/>
    <w:rsid w:val="003772AB"/>
    <w:rsid w:val="00377899"/>
    <w:rsid w:val="00377EC6"/>
    <w:rsid w:val="003801E4"/>
    <w:rsid w:val="003802B9"/>
    <w:rsid w:val="0038079F"/>
    <w:rsid w:val="0038086D"/>
    <w:rsid w:val="0038138B"/>
    <w:rsid w:val="003816A5"/>
    <w:rsid w:val="00381FA5"/>
    <w:rsid w:val="003825F6"/>
    <w:rsid w:val="00382FB8"/>
    <w:rsid w:val="00383498"/>
    <w:rsid w:val="003836BD"/>
    <w:rsid w:val="003843A4"/>
    <w:rsid w:val="003857F7"/>
    <w:rsid w:val="00385933"/>
    <w:rsid w:val="00386213"/>
    <w:rsid w:val="00387471"/>
    <w:rsid w:val="00387662"/>
    <w:rsid w:val="003876FD"/>
    <w:rsid w:val="00387945"/>
    <w:rsid w:val="003879ED"/>
    <w:rsid w:val="003909C1"/>
    <w:rsid w:val="00392693"/>
    <w:rsid w:val="003927D3"/>
    <w:rsid w:val="0039339C"/>
    <w:rsid w:val="003934B1"/>
    <w:rsid w:val="00393D4B"/>
    <w:rsid w:val="00394CAB"/>
    <w:rsid w:val="00394F7B"/>
    <w:rsid w:val="00395A8A"/>
    <w:rsid w:val="00396E62"/>
    <w:rsid w:val="003978ED"/>
    <w:rsid w:val="003A0108"/>
    <w:rsid w:val="003A0267"/>
    <w:rsid w:val="003A0F4F"/>
    <w:rsid w:val="003A192B"/>
    <w:rsid w:val="003A2317"/>
    <w:rsid w:val="003A27AD"/>
    <w:rsid w:val="003A2F9C"/>
    <w:rsid w:val="003A3349"/>
    <w:rsid w:val="003A4034"/>
    <w:rsid w:val="003A4480"/>
    <w:rsid w:val="003A493A"/>
    <w:rsid w:val="003A4B46"/>
    <w:rsid w:val="003A4B6E"/>
    <w:rsid w:val="003A5385"/>
    <w:rsid w:val="003A5C4C"/>
    <w:rsid w:val="003A5D0C"/>
    <w:rsid w:val="003A7170"/>
    <w:rsid w:val="003A782B"/>
    <w:rsid w:val="003B1204"/>
    <w:rsid w:val="003B1242"/>
    <w:rsid w:val="003B1356"/>
    <w:rsid w:val="003B13EB"/>
    <w:rsid w:val="003B16DB"/>
    <w:rsid w:val="003B21DE"/>
    <w:rsid w:val="003B273D"/>
    <w:rsid w:val="003B2766"/>
    <w:rsid w:val="003B2C2A"/>
    <w:rsid w:val="003B399B"/>
    <w:rsid w:val="003B3C0F"/>
    <w:rsid w:val="003B4F7C"/>
    <w:rsid w:val="003B5A1A"/>
    <w:rsid w:val="003B5BD6"/>
    <w:rsid w:val="003B60C0"/>
    <w:rsid w:val="003B6145"/>
    <w:rsid w:val="003B726E"/>
    <w:rsid w:val="003B7275"/>
    <w:rsid w:val="003C0B03"/>
    <w:rsid w:val="003C11FB"/>
    <w:rsid w:val="003C1A29"/>
    <w:rsid w:val="003C20D8"/>
    <w:rsid w:val="003C2710"/>
    <w:rsid w:val="003C3693"/>
    <w:rsid w:val="003C36FA"/>
    <w:rsid w:val="003C4D0A"/>
    <w:rsid w:val="003C5A9F"/>
    <w:rsid w:val="003C5C5B"/>
    <w:rsid w:val="003C5FEC"/>
    <w:rsid w:val="003C69D6"/>
    <w:rsid w:val="003C7172"/>
    <w:rsid w:val="003C7C16"/>
    <w:rsid w:val="003C7E18"/>
    <w:rsid w:val="003C7E9D"/>
    <w:rsid w:val="003C7EC9"/>
    <w:rsid w:val="003D0644"/>
    <w:rsid w:val="003D15E3"/>
    <w:rsid w:val="003D1BF6"/>
    <w:rsid w:val="003D1E73"/>
    <w:rsid w:val="003D26A4"/>
    <w:rsid w:val="003D315B"/>
    <w:rsid w:val="003D3858"/>
    <w:rsid w:val="003D3894"/>
    <w:rsid w:val="003D39C2"/>
    <w:rsid w:val="003D49C6"/>
    <w:rsid w:val="003D4BE4"/>
    <w:rsid w:val="003D4FCA"/>
    <w:rsid w:val="003D552E"/>
    <w:rsid w:val="003D5875"/>
    <w:rsid w:val="003D5FBD"/>
    <w:rsid w:val="003D6384"/>
    <w:rsid w:val="003D6A7F"/>
    <w:rsid w:val="003D77B9"/>
    <w:rsid w:val="003D785D"/>
    <w:rsid w:val="003D7D33"/>
    <w:rsid w:val="003D7E65"/>
    <w:rsid w:val="003E00D2"/>
    <w:rsid w:val="003E013D"/>
    <w:rsid w:val="003E0A15"/>
    <w:rsid w:val="003E1546"/>
    <w:rsid w:val="003E188F"/>
    <w:rsid w:val="003E1940"/>
    <w:rsid w:val="003E1BC2"/>
    <w:rsid w:val="003E1DD9"/>
    <w:rsid w:val="003E202B"/>
    <w:rsid w:val="003E2A14"/>
    <w:rsid w:val="003E3229"/>
    <w:rsid w:val="003E344B"/>
    <w:rsid w:val="003E3EF8"/>
    <w:rsid w:val="003E4897"/>
    <w:rsid w:val="003E4B61"/>
    <w:rsid w:val="003E4F0E"/>
    <w:rsid w:val="003E52F0"/>
    <w:rsid w:val="003E5348"/>
    <w:rsid w:val="003E5CB5"/>
    <w:rsid w:val="003E634F"/>
    <w:rsid w:val="003E6905"/>
    <w:rsid w:val="003E6E41"/>
    <w:rsid w:val="003E7221"/>
    <w:rsid w:val="003E743B"/>
    <w:rsid w:val="003E7696"/>
    <w:rsid w:val="003F0279"/>
    <w:rsid w:val="003F05AB"/>
    <w:rsid w:val="003F0A35"/>
    <w:rsid w:val="003F0B1F"/>
    <w:rsid w:val="003F0E76"/>
    <w:rsid w:val="003F1301"/>
    <w:rsid w:val="003F1D74"/>
    <w:rsid w:val="003F24FB"/>
    <w:rsid w:val="003F272D"/>
    <w:rsid w:val="003F3818"/>
    <w:rsid w:val="003F413C"/>
    <w:rsid w:val="003F41D9"/>
    <w:rsid w:val="003F4CB6"/>
    <w:rsid w:val="003F5096"/>
    <w:rsid w:val="003F54A2"/>
    <w:rsid w:val="003F56E0"/>
    <w:rsid w:val="003F5B63"/>
    <w:rsid w:val="003F619F"/>
    <w:rsid w:val="003F6544"/>
    <w:rsid w:val="003F65A8"/>
    <w:rsid w:val="003F67A2"/>
    <w:rsid w:val="003F7462"/>
    <w:rsid w:val="003F78DB"/>
    <w:rsid w:val="003F7B55"/>
    <w:rsid w:val="00400242"/>
    <w:rsid w:val="00400593"/>
    <w:rsid w:val="00400A29"/>
    <w:rsid w:val="00400D82"/>
    <w:rsid w:val="00401782"/>
    <w:rsid w:val="0040381E"/>
    <w:rsid w:val="00403944"/>
    <w:rsid w:val="00403CEE"/>
    <w:rsid w:val="00404095"/>
    <w:rsid w:val="0040483D"/>
    <w:rsid w:val="0040519D"/>
    <w:rsid w:val="004051C9"/>
    <w:rsid w:val="0040678A"/>
    <w:rsid w:val="00406802"/>
    <w:rsid w:val="0040715C"/>
    <w:rsid w:val="004074BC"/>
    <w:rsid w:val="004077F7"/>
    <w:rsid w:val="00407FA7"/>
    <w:rsid w:val="0041004E"/>
    <w:rsid w:val="004103A4"/>
    <w:rsid w:val="0041045F"/>
    <w:rsid w:val="00410A98"/>
    <w:rsid w:val="00410B9B"/>
    <w:rsid w:val="00411551"/>
    <w:rsid w:val="0041288F"/>
    <w:rsid w:val="00412C03"/>
    <w:rsid w:val="00413E66"/>
    <w:rsid w:val="0041421E"/>
    <w:rsid w:val="0041457E"/>
    <w:rsid w:val="004148FD"/>
    <w:rsid w:val="00414A68"/>
    <w:rsid w:val="00414B94"/>
    <w:rsid w:val="00414DBC"/>
    <w:rsid w:val="00414F8C"/>
    <w:rsid w:val="00415D16"/>
    <w:rsid w:val="00416231"/>
    <w:rsid w:val="00417CEC"/>
    <w:rsid w:val="004206D3"/>
    <w:rsid w:val="00420B47"/>
    <w:rsid w:val="00421F3B"/>
    <w:rsid w:val="00422098"/>
    <w:rsid w:val="00422333"/>
    <w:rsid w:val="0042274A"/>
    <w:rsid w:val="004230F5"/>
    <w:rsid w:val="004234DF"/>
    <w:rsid w:val="004236A1"/>
    <w:rsid w:val="00423737"/>
    <w:rsid w:val="00423824"/>
    <w:rsid w:val="00424932"/>
    <w:rsid w:val="00424BF6"/>
    <w:rsid w:val="00424DB8"/>
    <w:rsid w:val="00425706"/>
    <w:rsid w:val="0042580B"/>
    <w:rsid w:val="00426D2B"/>
    <w:rsid w:val="00426FDF"/>
    <w:rsid w:val="004275F2"/>
    <w:rsid w:val="00427667"/>
    <w:rsid w:val="00427836"/>
    <w:rsid w:val="00427BA2"/>
    <w:rsid w:val="00427ED2"/>
    <w:rsid w:val="00427FED"/>
    <w:rsid w:val="00430016"/>
    <w:rsid w:val="00430189"/>
    <w:rsid w:val="00430724"/>
    <w:rsid w:val="00430FAA"/>
    <w:rsid w:val="004310B9"/>
    <w:rsid w:val="00431DF7"/>
    <w:rsid w:val="00432BDD"/>
    <w:rsid w:val="00433300"/>
    <w:rsid w:val="00433F93"/>
    <w:rsid w:val="00434217"/>
    <w:rsid w:val="0043435C"/>
    <w:rsid w:val="004348D5"/>
    <w:rsid w:val="00435825"/>
    <w:rsid w:val="00435D14"/>
    <w:rsid w:val="00435F64"/>
    <w:rsid w:val="00436349"/>
    <w:rsid w:val="00436A4F"/>
    <w:rsid w:val="00436B8F"/>
    <w:rsid w:val="0043762D"/>
    <w:rsid w:val="00437706"/>
    <w:rsid w:val="004377AA"/>
    <w:rsid w:val="004403B6"/>
    <w:rsid w:val="004404A9"/>
    <w:rsid w:val="00440E7A"/>
    <w:rsid w:val="00441028"/>
    <w:rsid w:val="004415F6"/>
    <w:rsid w:val="0044179D"/>
    <w:rsid w:val="00441A0C"/>
    <w:rsid w:val="004422AE"/>
    <w:rsid w:val="004422C1"/>
    <w:rsid w:val="00442570"/>
    <w:rsid w:val="00442DEA"/>
    <w:rsid w:val="00443131"/>
    <w:rsid w:val="0044316C"/>
    <w:rsid w:val="004434A8"/>
    <w:rsid w:val="004435B4"/>
    <w:rsid w:val="00443739"/>
    <w:rsid w:val="00443D0B"/>
    <w:rsid w:val="004441AA"/>
    <w:rsid w:val="00444236"/>
    <w:rsid w:val="0044443E"/>
    <w:rsid w:val="00444491"/>
    <w:rsid w:val="00444598"/>
    <w:rsid w:val="00444EF5"/>
    <w:rsid w:val="004450DF"/>
    <w:rsid w:val="0044573B"/>
    <w:rsid w:val="00445A00"/>
    <w:rsid w:val="00445BDE"/>
    <w:rsid w:val="00445BF1"/>
    <w:rsid w:val="00445C76"/>
    <w:rsid w:val="00445F98"/>
    <w:rsid w:val="00446005"/>
    <w:rsid w:val="00446457"/>
    <w:rsid w:val="00446A1D"/>
    <w:rsid w:val="00446D90"/>
    <w:rsid w:val="00447088"/>
    <w:rsid w:val="004476FC"/>
    <w:rsid w:val="00450734"/>
    <w:rsid w:val="00450920"/>
    <w:rsid w:val="00450D47"/>
    <w:rsid w:val="00451439"/>
    <w:rsid w:val="00451CD2"/>
    <w:rsid w:val="00451FD4"/>
    <w:rsid w:val="00452619"/>
    <w:rsid w:val="00452A0F"/>
    <w:rsid w:val="00452CF0"/>
    <w:rsid w:val="004545EA"/>
    <w:rsid w:val="004546D6"/>
    <w:rsid w:val="00454A3D"/>
    <w:rsid w:val="004558A1"/>
    <w:rsid w:val="00456955"/>
    <w:rsid w:val="004575DA"/>
    <w:rsid w:val="00457B73"/>
    <w:rsid w:val="0046004A"/>
    <w:rsid w:val="00460181"/>
    <w:rsid w:val="0046050E"/>
    <w:rsid w:val="00460979"/>
    <w:rsid w:val="00460E0A"/>
    <w:rsid w:val="00460E7D"/>
    <w:rsid w:val="00460EC7"/>
    <w:rsid w:val="00461475"/>
    <w:rsid w:val="00461DB4"/>
    <w:rsid w:val="00461DB9"/>
    <w:rsid w:val="00462789"/>
    <w:rsid w:val="004628CF"/>
    <w:rsid w:val="00462E0A"/>
    <w:rsid w:val="00463205"/>
    <w:rsid w:val="00463AF9"/>
    <w:rsid w:val="00463DD9"/>
    <w:rsid w:val="00464312"/>
    <w:rsid w:val="004643E9"/>
    <w:rsid w:val="00464550"/>
    <w:rsid w:val="0046476C"/>
    <w:rsid w:val="0046483D"/>
    <w:rsid w:val="00464FF4"/>
    <w:rsid w:val="004651AE"/>
    <w:rsid w:val="00465283"/>
    <w:rsid w:val="0046583B"/>
    <w:rsid w:val="00465A0D"/>
    <w:rsid w:val="00465A9F"/>
    <w:rsid w:val="0046628F"/>
    <w:rsid w:val="0046704D"/>
    <w:rsid w:val="00467063"/>
    <w:rsid w:val="00467739"/>
    <w:rsid w:val="00467CD0"/>
    <w:rsid w:val="004704CE"/>
    <w:rsid w:val="004707B7"/>
    <w:rsid w:val="00471B56"/>
    <w:rsid w:val="00471F25"/>
    <w:rsid w:val="00471F69"/>
    <w:rsid w:val="004720EA"/>
    <w:rsid w:val="004727C2"/>
    <w:rsid w:val="00472855"/>
    <w:rsid w:val="00472B1D"/>
    <w:rsid w:val="00473164"/>
    <w:rsid w:val="00473696"/>
    <w:rsid w:val="00473A08"/>
    <w:rsid w:val="0047431C"/>
    <w:rsid w:val="0047438F"/>
    <w:rsid w:val="004744C2"/>
    <w:rsid w:val="00474781"/>
    <w:rsid w:val="004749EE"/>
    <w:rsid w:val="004749EF"/>
    <w:rsid w:val="00475A52"/>
    <w:rsid w:val="004763E7"/>
    <w:rsid w:val="00476484"/>
    <w:rsid w:val="004764E0"/>
    <w:rsid w:val="0047698D"/>
    <w:rsid w:val="00476BB8"/>
    <w:rsid w:val="00476CAE"/>
    <w:rsid w:val="00476FAB"/>
    <w:rsid w:val="004772E0"/>
    <w:rsid w:val="00477511"/>
    <w:rsid w:val="00477953"/>
    <w:rsid w:val="00480382"/>
    <w:rsid w:val="004804C9"/>
    <w:rsid w:val="00481396"/>
    <w:rsid w:val="0048174A"/>
    <w:rsid w:val="0048189A"/>
    <w:rsid w:val="00481994"/>
    <w:rsid w:val="00481C34"/>
    <w:rsid w:val="00482009"/>
    <w:rsid w:val="004823E9"/>
    <w:rsid w:val="00482413"/>
    <w:rsid w:val="00482461"/>
    <w:rsid w:val="00482A46"/>
    <w:rsid w:val="004834B1"/>
    <w:rsid w:val="00483A31"/>
    <w:rsid w:val="004840C6"/>
    <w:rsid w:val="004844EA"/>
    <w:rsid w:val="00484E71"/>
    <w:rsid w:val="004850CE"/>
    <w:rsid w:val="00485962"/>
    <w:rsid w:val="00485984"/>
    <w:rsid w:val="004859D1"/>
    <w:rsid w:val="00485EF2"/>
    <w:rsid w:val="0048660D"/>
    <w:rsid w:val="004869F3"/>
    <w:rsid w:val="00486DEF"/>
    <w:rsid w:val="0048755B"/>
    <w:rsid w:val="004875C5"/>
    <w:rsid w:val="00487DC4"/>
    <w:rsid w:val="00487E08"/>
    <w:rsid w:val="004900DE"/>
    <w:rsid w:val="0049022A"/>
    <w:rsid w:val="00490260"/>
    <w:rsid w:val="00491334"/>
    <w:rsid w:val="0049143F"/>
    <w:rsid w:val="0049189A"/>
    <w:rsid w:val="00491FCB"/>
    <w:rsid w:val="004920F6"/>
    <w:rsid w:val="00492315"/>
    <w:rsid w:val="00492B5B"/>
    <w:rsid w:val="00493399"/>
    <w:rsid w:val="00493DF0"/>
    <w:rsid w:val="00494A0E"/>
    <w:rsid w:val="00495B80"/>
    <w:rsid w:val="00495D5F"/>
    <w:rsid w:val="00495D75"/>
    <w:rsid w:val="00497591"/>
    <w:rsid w:val="00497B28"/>
    <w:rsid w:val="004A0B0A"/>
    <w:rsid w:val="004A162A"/>
    <w:rsid w:val="004A20BE"/>
    <w:rsid w:val="004A2664"/>
    <w:rsid w:val="004A3B83"/>
    <w:rsid w:val="004A3E74"/>
    <w:rsid w:val="004A4114"/>
    <w:rsid w:val="004A4785"/>
    <w:rsid w:val="004A4BA9"/>
    <w:rsid w:val="004A507C"/>
    <w:rsid w:val="004A51DD"/>
    <w:rsid w:val="004A56C5"/>
    <w:rsid w:val="004A5C6F"/>
    <w:rsid w:val="004A5E6D"/>
    <w:rsid w:val="004A738F"/>
    <w:rsid w:val="004A74C5"/>
    <w:rsid w:val="004A762B"/>
    <w:rsid w:val="004A7A9F"/>
    <w:rsid w:val="004B00A5"/>
    <w:rsid w:val="004B0D8D"/>
    <w:rsid w:val="004B115A"/>
    <w:rsid w:val="004B1345"/>
    <w:rsid w:val="004B1A0E"/>
    <w:rsid w:val="004B1A33"/>
    <w:rsid w:val="004B1D88"/>
    <w:rsid w:val="004B2070"/>
    <w:rsid w:val="004B2230"/>
    <w:rsid w:val="004B2243"/>
    <w:rsid w:val="004B2F15"/>
    <w:rsid w:val="004B335C"/>
    <w:rsid w:val="004B3970"/>
    <w:rsid w:val="004B3FB2"/>
    <w:rsid w:val="004B4066"/>
    <w:rsid w:val="004B40CC"/>
    <w:rsid w:val="004B43AF"/>
    <w:rsid w:val="004B49DC"/>
    <w:rsid w:val="004B4B49"/>
    <w:rsid w:val="004B5253"/>
    <w:rsid w:val="004B55E2"/>
    <w:rsid w:val="004B5616"/>
    <w:rsid w:val="004B6216"/>
    <w:rsid w:val="004B6CC5"/>
    <w:rsid w:val="004B6DDA"/>
    <w:rsid w:val="004B7787"/>
    <w:rsid w:val="004B77AA"/>
    <w:rsid w:val="004B77EE"/>
    <w:rsid w:val="004B77F4"/>
    <w:rsid w:val="004B78F3"/>
    <w:rsid w:val="004C0886"/>
    <w:rsid w:val="004C09B8"/>
    <w:rsid w:val="004C0A56"/>
    <w:rsid w:val="004C13DD"/>
    <w:rsid w:val="004C1777"/>
    <w:rsid w:val="004C1A24"/>
    <w:rsid w:val="004C1F88"/>
    <w:rsid w:val="004C2F6E"/>
    <w:rsid w:val="004C3784"/>
    <w:rsid w:val="004C3D41"/>
    <w:rsid w:val="004C3EB7"/>
    <w:rsid w:val="004C4AAE"/>
    <w:rsid w:val="004C4D77"/>
    <w:rsid w:val="004C4E06"/>
    <w:rsid w:val="004C513A"/>
    <w:rsid w:val="004C566E"/>
    <w:rsid w:val="004C594E"/>
    <w:rsid w:val="004C5CE4"/>
    <w:rsid w:val="004C65CE"/>
    <w:rsid w:val="004C69B9"/>
    <w:rsid w:val="004C6B0F"/>
    <w:rsid w:val="004C6B22"/>
    <w:rsid w:val="004C71C3"/>
    <w:rsid w:val="004C774E"/>
    <w:rsid w:val="004D00B8"/>
    <w:rsid w:val="004D1333"/>
    <w:rsid w:val="004D17C0"/>
    <w:rsid w:val="004D1B93"/>
    <w:rsid w:val="004D291B"/>
    <w:rsid w:val="004D29BC"/>
    <w:rsid w:val="004D2CDB"/>
    <w:rsid w:val="004D3BDF"/>
    <w:rsid w:val="004D3E40"/>
    <w:rsid w:val="004D4A85"/>
    <w:rsid w:val="004D51B6"/>
    <w:rsid w:val="004D568A"/>
    <w:rsid w:val="004D591B"/>
    <w:rsid w:val="004D607C"/>
    <w:rsid w:val="004D6159"/>
    <w:rsid w:val="004D7181"/>
    <w:rsid w:val="004D7F2F"/>
    <w:rsid w:val="004E0111"/>
    <w:rsid w:val="004E0AEA"/>
    <w:rsid w:val="004E0FF9"/>
    <w:rsid w:val="004E215A"/>
    <w:rsid w:val="004E2CCA"/>
    <w:rsid w:val="004E2EA2"/>
    <w:rsid w:val="004E34DB"/>
    <w:rsid w:val="004E39D6"/>
    <w:rsid w:val="004E39D9"/>
    <w:rsid w:val="004E3C85"/>
    <w:rsid w:val="004E40B7"/>
    <w:rsid w:val="004E486A"/>
    <w:rsid w:val="004E4C5D"/>
    <w:rsid w:val="004E4C69"/>
    <w:rsid w:val="004E4CD9"/>
    <w:rsid w:val="004E5171"/>
    <w:rsid w:val="004E57B1"/>
    <w:rsid w:val="004E58F5"/>
    <w:rsid w:val="004E5A9B"/>
    <w:rsid w:val="004E6A03"/>
    <w:rsid w:val="004E6D00"/>
    <w:rsid w:val="004E6F31"/>
    <w:rsid w:val="004E6F32"/>
    <w:rsid w:val="004E7B03"/>
    <w:rsid w:val="004E7E7C"/>
    <w:rsid w:val="004F0778"/>
    <w:rsid w:val="004F0DBE"/>
    <w:rsid w:val="004F10E6"/>
    <w:rsid w:val="004F15E2"/>
    <w:rsid w:val="004F1B5E"/>
    <w:rsid w:val="004F26B2"/>
    <w:rsid w:val="004F2C30"/>
    <w:rsid w:val="004F33DB"/>
    <w:rsid w:val="004F38EA"/>
    <w:rsid w:val="004F48AB"/>
    <w:rsid w:val="004F49CC"/>
    <w:rsid w:val="004F52FE"/>
    <w:rsid w:val="004F5E9F"/>
    <w:rsid w:val="004F6002"/>
    <w:rsid w:val="004F632A"/>
    <w:rsid w:val="004F6817"/>
    <w:rsid w:val="004F68F8"/>
    <w:rsid w:val="004F7428"/>
    <w:rsid w:val="004F7932"/>
    <w:rsid w:val="005000A5"/>
    <w:rsid w:val="005005CB"/>
    <w:rsid w:val="0050161D"/>
    <w:rsid w:val="0050195E"/>
    <w:rsid w:val="00501B5B"/>
    <w:rsid w:val="005021E8"/>
    <w:rsid w:val="005027B1"/>
    <w:rsid w:val="005037D4"/>
    <w:rsid w:val="005037FF"/>
    <w:rsid w:val="00503CED"/>
    <w:rsid w:val="00504EBF"/>
    <w:rsid w:val="005050A2"/>
    <w:rsid w:val="00505256"/>
    <w:rsid w:val="005061DF"/>
    <w:rsid w:val="00506892"/>
    <w:rsid w:val="00507003"/>
    <w:rsid w:val="005076D0"/>
    <w:rsid w:val="005106CA"/>
    <w:rsid w:val="00510AE8"/>
    <w:rsid w:val="00512B65"/>
    <w:rsid w:val="00512DC9"/>
    <w:rsid w:val="00512FAE"/>
    <w:rsid w:val="00513102"/>
    <w:rsid w:val="00513252"/>
    <w:rsid w:val="0051380E"/>
    <w:rsid w:val="0051399E"/>
    <w:rsid w:val="00513C0D"/>
    <w:rsid w:val="00514388"/>
    <w:rsid w:val="0051459D"/>
    <w:rsid w:val="005149CE"/>
    <w:rsid w:val="00514B26"/>
    <w:rsid w:val="00514B73"/>
    <w:rsid w:val="00514BDF"/>
    <w:rsid w:val="00516200"/>
    <w:rsid w:val="005162F0"/>
    <w:rsid w:val="00516C5C"/>
    <w:rsid w:val="00517A60"/>
    <w:rsid w:val="005201F9"/>
    <w:rsid w:val="00520256"/>
    <w:rsid w:val="0052044E"/>
    <w:rsid w:val="00520D58"/>
    <w:rsid w:val="00520E83"/>
    <w:rsid w:val="0052116D"/>
    <w:rsid w:val="00521175"/>
    <w:rsid w:val="00521E93"/>
    <w:rsid w:val="0052384F"/>
    <w:rsid w:val="005241ED"/>
    <w:rsid w:val="00526716"/>
    <w:rsid w:val="005304F5"/>
    <w:rsid w:val="0053054A"/>
    <w:rsid w:val="0053074C"/>
    <w:rsid w:val="0053104D"/>
    <w:rsid w:val="0053139E"/>
    <w:rsid w:val="00531FC7"/>
    <w:rsid w:val="0053235A"/>
    <w:rsid w:val="005332F2"/>
    <w:rsid w:val="005337F9"/>
    <w:rsid w:val="00533D29"/>
    <w:rsid w:val="005340BD"/>
    <w:rsid w:val="005341E5"/>
    <w:rsid w:val="00534E25"/>
    <w:rsid w:val="00535136"/>
    <w:rsid w:val="00535988"/>
    <w:rsid w:val="00536139"/>
    <w:rsid w:val="00536B39"/>
    <w:rsid w:val="00537227"/>
    <w:rsid w:val="00540520"/>
    <w:rsid w:val="00540BAB"/>
    <w:rsid w:val="00540C28"/>
    <w:rsid w:val="0054110A"/>
    <w:rsid w:val="005415B0"/>
    <w:rsid w:val="005415C5"/>
    <w:rsid w:val="0054243E"/>
    <w:rsid w:val="005426E8"/>
    <w:rsid w:val="005432BA"/>
    <w:rsid w:val="00543580"/>
    <w:rsid w:val="0054372E"/>
    <w:rsid w:val="00545309"/>
    <w:rsid w:val="00545ABD"/>
    <w:rsid w:val="005460FF"/>
    <w:rsid w:val="00546171"/>
    <w:rsid w:val="00546301"/>
    <w:rsid w:val="00546320"/>
    <w:rsid w:val="0054773C"/>
    <w:rsid w:val="00547B52"/>
    <w:rsid w:val="005503E6"/>
    <w:rsid w:val="005506D9"/>
    <w:rsid w:val="00550A7D"/>
    <w:rsid w:val="00550DA6"/>
    <w:rsid w:val="00550FE0"/>
    <w:rsid w:val="00551A94"/>
    <w:rsid w:val="00551F27"/>
    <w:rsid w:val="00552084"/>
    <w:rsid w:val="0055238D"/>
    <w:rsid w:val="0055290A"/>
    <w:rsid w:val="00552A6F"/>
    <w:rsid w:val="00552CC2"/>
    <w:rsid w:val="00552F76"/>
    <w:rsid w:val="005535B8"/>
    <w:rsid w:val="005537B5"/>
    <w:rsid w:val="005541BA"/>
    <w:rsid w:val="00554453"/>
    <w:rsid w:val="00554863"/>
    <w:rsid w:val="00554A47"/>
    <w:rsid w:val="00554BC8"/>
    <w:rsid w:val="00554C1B"/>
    <w:rsid w:val="005552B2"/>
    <w:rsid w:val="00555A54"/>
    <w:rsid w:val="00555F60"/>
    <w:rsid w:val="005563D7"/>
    <w:rsid w:val="005567EC"/>
    <w:rsid w:val="00557C1A"/>
    <w:rsid w:val="00557DD3"/>
    <w:rsid w:val="00560C0B"/>
    <w:rsid w:val="00560CBC"/>
    <w:rsid w:val="00561425"/>
    <w:rsid w:val="0056180C"/>
    <w:rsid w:val="00561923"/>
    <w:rsid w:val="00561934"/>
    <w:rsid w:val="0056203C"/>
    <w:rsid w:val="005623DD"/>
    <w:rsid w:val="0056261E"/>
    <w:rsid w:val="0056451D"/>
    <w:rsid w:val="00564CE3"/>
    <w:rsid w:val="005652D5"/>
    <w:rsid w:val="00565529"/>
    <w:rsid w:val="00565711"/>
    <w:rsid w:val="00565845"/>
    <w:rsid w:val="005663DB"/>
    <w:rsid w:val="00566B53"/>
    <w:rsid w:val="00567219"/>
    <w:rsid w:val="00567AEE"/>
    <w:rsid w:val="00567E75"/>
    <w:rsid w:val="005701E6"/>
    <w:rsid w:val="005703A1"/>
    <w:rsid w:val="005705FD"/>
    <w:rsid w:val="00570DFF"/>
    <w:rsid w:val="00570E5E"/>
    <w:rsid w:val="00570EE9"/>
    <w:rsid w:val="005716A5"/>
    <w:rsid w:val="00571749"/>
    <w:rsid w:val="00571804"/>
    <w:rsid w:val="00571A13"/>
    <w:rsid w:val="005720D3"/>
    <w:rsid w:val="0057279A"/>
    <w:rsid w:val="00572A48"/>
    <w:rsid w:val="00572D58"/>
    <w:rsid w:val="00574416"/>
    <w:rsid w:val="00574954"/>
    <w:rsid w:val="00574AEB"/>
    <w:rsid w:val="00574C4E"/>
    <w:rsid w:val="0057524D"/>
    <w:rsid w:val="00575BB5"/>
    <w:rsid w:val="00576A18"/>
    <w:rsid w:val="00576A98"/>
    <w:rsid w:val="00576E79"/>
    <w:rsid w:val="005773A7"/>
    <w:rsid w:val="005775A0"/>
    <w:rsid w:val="00577747"/>
    <w:rsid w:val="005778B4"/>
    <w:rsid w:val="00577FF0"/>
    <w:rsid w:val="0058001B"/>
    <w:rsid w:val="00580119"/>
    <w:rsid w:val="005801B5"/>
    <w:rsid w:val="00580456"/>
    <w:rsid w:val="005805CA"/>
    <w:rsid w:val="00580E35"/>
    <w:rsid w:val="00581ABE"/>
    <w:rsid w:val="00582595"/>
    <w:rsid w:val="0058263F"/>
    <w:rsid w:val="005831B5"/>
    <w:rsid w:val="005837C0"/>
    <w:rsid w:val="005838EF"/>
    <w:rsid w:val="00583D16"/>
    <w:rsid w:val="00584975"/>
    <w:rsid w:val="005849CE"/>
    <w:rsid w:val="00584A73"/>
    <w:rsid w:val="00584B2C"/>
    <w:rsid w:val="00584E91"/>
    <w:rsid w:val="00586DA5"/>
    <w:rsid w:val="00586F64"/>
    <w:rsid w:val="005872FB"/>
    <w:rsid w:val="00587DB9"/>
    <w:rsid w:val="00587E16"/>
    <w:rsid w:val="0059076F"/>
    <w:rsid w:val="005926D2"/>
    <w:rsid w:val="005927BF"/>
    <w:rsid w:val="00592E50"/>
    <w:rsid w:val="0059310F"/>
    <w:rsid w:val="0059319E"/>
    <w:rsid w:val="005932AD"/>
    <w:rsid w:val="005934A0"/>
    <w:rsid w:val="00593942"/>
    <w:rsid w:val="00593DFE"/>
    <w:rsid w:val="0059431D"/>
    <w:rsid w:val="0059538F"/>
    <w:rsid w:val="005957F4"/>
    <w:rsid w:val="00595AA9"/>
    <w:rsid w:val="005964CB"/>
    <w:rsid w:val="005969DE"/>
    <w:rsid w:val="00596B8D"/>
    <w:rsid w:val="0059722A"/>
    <w:rsid w:val="00597350"/>
    <w:rsid w:val="005A07DC"/>
    <w:rsid w:val="005A0AEA"/>
    <w:rsid w:val="005A21A2"/>
    <w:rsid w:val="005A2454"/>
    <w:rsid w:val="005A2CA8"/>
    <w:rsid w:val="005A34CC"/>
    <w:rsid w:val="005A362C"/>
    <w:rsid w:val="005A3D29"/>
    <w:rsid w:val="005A3E5D"/>
    <w:rsid w:val="005A3F33"/>
    <w:rsid w:val="005A4131"/>
    <w:rsid w:val="005A441C"/>
    <w:rsid w:val="005A44EB"/>
    <w:rsid w:val="005A497D"/>
    <w:rsid w:val="005A4EE9"/>
    <w:rsid w:val="005A4FC1"/>
    <w:rsid w:val="005A5940"/>
    <w:rsid w:val="005A5EC8"/>
    <w:rsid w:val="005A60B6"/>
    <w:rsid w:val="005A6419"/>
    <w:rsid w:val="005A70B4"/>
    <w:rsid w:val="005A7700"/>
    <w:rsid w:val="005A7703"/>
    <w:rsid w:val="005A7A03"/>
    <w:rsid w:val="005B0050"/>
    <w:rsid w:val="005B055A"/>
    <w:rsid w:val="005B066E"/>
    <w:rsid w:val="005B098E"/>
    <w:rsid w:val="005B1692"/>
    <w:rsid w:val="005B1743"/>
    <w:rsid w:val="005B227B"/>
    <w:rsid w:val="005B279B"/>
    <w:rsid w:val="005B2CC0"/>
    <w:rsid w:val="005B35EE"/>
    <w:rsid w:val="005B3B1A"/>
    <w:rsid w:val="005B4543"/>
    <w:rsid w:val="005B4879"/>
    <w:rsid w:val="005B502F"/>
    <w:rsid w:val="005B5295"/>
    <w:rsid w:val="005B5603"/>
    <w:rsid w:val="005B57A9"/>
    <w:rsid w:val="005B71B1"/>
    <w:rsid w:val="005B7973"/>
    <w:rsid w:val="005C0030"/>
    <w:rsid w:val="005C08F5"/>
    <w:rsid w:val="005C0E54"/>
    <w:rsid w:val="005C0EE5"/>
    <w:rsid w:val="005C0F7B"/>
    <w:rsid w:val="005C10C7"/>
    <w:rsid w:val="005C12E6"/>
    <w:rsid w:val="005C140A"/>
    <w:rsid w:val="005C19D7"/>
    <w:rsid w:val="005C1C1F"/>
    <w:rsid w:val="005C1D6D"/>
    <w:rsid w:val="005C1DE9"/>
    <w:rsid w:val="005C1EC2"/>
    <w:rsid w:val="005C209B"/>
    <w:rsid w:val="005C266A"/>
    <w:rsid w:val="005C32E0"/>
    <w:rsid w:val="005C3B5E"/>
    <w:rsid w:val="005C3DA1"/>
    <w:rsid w:val="005C3EE4"/>
    <w:rsid w:val="005C41D1"/>
    <w:rsid w:val="005C427E"/>
    <w:rsid w:val="005C42B4"/>
    <w:rsid w:val="005C519A"/>
    <w:rsid w:val="005C52D2"/>
    <w:rsid w:val="005C5626"/>
    <w:rsid w:val="005C5F1F"/>
    <w:rsid w:val="005C61A6"/>
    <w:rsid w:val="005C6A5A"/>
    <w:rsid w:val="005C6B26"/>
    <w:rsid w:val="005C7327"/>
    <w:rsid w:val="005C73C6"/>
    <w:rsid w:val="005C7A5D"/>
    <w:rsid w:val="005D0AE7"/>
    <w:rsid w:val="005D0D0E"/>
    <w:rsid w:val="005D0F12"/>
    <w:rsid w:val="005D1413"/>
    <w:rsid w:val="005D14BF"/>
    <w:rsid w:val="005D1BF1"/>
    <w:rsid w:val="005D1C5C"/>
    <w:rsid w:val="005D333F"/>
    <w:rsid w:val="005D4D2F"/>
    <w:rsid w:val="005D5D71"/>
    <w:rsid w:val="005D662D"/>
    <w:rsid w:val="005D6BD8"/>
    <w:rsid w:val="005D6EE3"/>
    <w:rsid w:val="005D7004"/>
    <w:rsid w:val="005D7098"/>
    <w:rsid w:val="005D7624"/>
    <w:rsid w:val="005D7631"/>
    <w:rsid w:val="005D76A6"/>
    <w:rsid w:val="005D7C28"/>
    <w:rsid w:val="005D7D36"/>
    <w:rsid w:val="005E0811"/>
    <w:rsid w:val="005E094C"/>
    <w:rsid w:val="005E0C0F"/>
    <w:rsid w:val="005E1278"/>
    <w:rsid w:val="005E1702"/>
    <w:rsid w:val="005E2395"/>
    <w:rsid w:val="005E25D5"/>
    <w:rsid w:val="005E2C34"/>
    <w:rsid w:val="005E301A"/>
    <w:rsid w:val="005E349C"/>
    <w:rsid w:val="005E39C1"/>
    <w:rsid w:val="005E3BE2"/>
    <w:rsid w:val="005E3E2F"/>
    <w:rsid w:val="005E412B"/>
    <w:rsid w:val="005E4295"/>
    <w:rsid w:val="005E45D4"/>
    <w:rsid w:val="005E4846"/>
    <w:rsid w:val="005E4A9B"/>
    <w:rsid w:val="005E4EE0"/>
    <w:rsid w:val="005E514D"/>
    <w:rsid w:val="005E6B73"/>
    <w:rsid w:val="005E723E"/>
    <w:rsid w:val="005E7547"/>
    <w:rsid w:val="005E78E3"/>
    <w:rsid w:val="005E7927"/>
    <w:rsid w:val="005F0378"/>
    <w:rsid w:val="005F0AD1"/>
    <w:rsid w:val="005F12FD"/>
    <w:rsid w:val="005F20B9"/>
    <w:rsid w:val="005F218E"/>
    <w:rsid w:val="005F24D5"/>
    <w:rsid w:val="005F24DB"/>
    <w:rsid w:val="005F2B2D"/>
    <w:rsid w:val="005F2B3C"/>
    <w:rsid w:val="005F2CDF"/>
    <w:rsid w:val="005F2F09"/>
    <w:rsid w:val="005F30E5"/>
    <w:rsid w:val="005F3A98"/>
    <w:rsid w:val="005F3B18"/>
    <w:rsid w:val="005F3D13"/>
    <w:rsid w:val="005F44C5"/>
    <w:rsid w:val="005F4819"/>
    <w:rsid w:val="005F488F"/>
    <w:rsid w:val="005F497C"/>
    <w:rsid w:val="005F507D"/>
    <w:rsid w:val="005F55A5"/>
    <w:rsid w:val="005F5611"/>
    <w:rsid w:val="005F5B5A"/>
    <w:rsid w:val="005F6855"/>
    <w:rsid w:val="005F6B86"/>
    <w:rsid w:val="005F6C94"/>
    <w:rsid w:val="005F7218"/>
    <w:rsid w:val="006003A8"/>
    <w:rsid w:val="00600492"/>
    <w:rsid w:val="00601CBB"/>
    <w:rsid w:val="006023CB"/>
    <w:rsid w:val="00602CB3"/>
    <w:rsid w:val="00602DAF"/>
    <w:rsid w:val="00604561"/>
    <w:rsid w:val="0060484B"/>
    <w:rsid w:val="00604DA0"/>
    <w:rsid w:val="00604F48"/>
    <w:rsid w:val="00604FD1"/>
    <w:rsid w:val="0060508B"/>
    <w:rsid w:val="00605394"/>
    <w:rsid w:val="00605413"/>
    <w:rsid w:val="00605D37"/>
    <w:rsid w:val="00606319"/>
    <w:rsid w:val="00606630"/>
    <w:rsid w:val="006066D2"/>
    <w:rsid w:val="0060685A"/>
    <w:rsid w:val="0060699E"/>
    <w:rsid w:val="00606B2E"/>
    <w:rsid w:val="00606D1D"/>
    <w:rsid w:val="006078E4"/>
    <w:rsid w:val="00610705"/>
    <w:rsid w:val="00610938"/>
    <w:rsid w:val="00610A9A"/>
    <w:rsid w:val="00610B7B"/>
    <w:rsid w:val="0061117B"/>
    <w:rsid w:val="00611969"/>
    <w:rsid w:val="006120CE"/>
    <w:rsid w:val="006123E6"/>
    <w:rsid w:val="00613295"/>
    <w:rsid w:val="00613426"/>
    <w:rsid w:val="0061417E"/>
    <w:rsid w:val="00614298"/>
    <w:rsid w:val="00614698"/>
    <w:rsid w:val="00615175"/>
    <w:rsid w:val="00615199"/>
    <w:rsid w:val="0061618A"/>
    <w:rsid w:val="00616627"/>
    <w:rsid w:val="00616A3D"/>
    <w:rsid w:val="00617387"/>
    <w:rsid w:val="00617621"/>
    <w:rsid w:val="00620809"/>
    <w:rsid w:val="0062121B"/>
    <w:rsid w:val="00621919"/>
    <w:rsid w:val="00622A43"/>
    <w:rsid w:val="00622BF2"/>
    <w:rsid w:val="006232BB"/>
    <w:rsid w:val="00623546"/>
    <w:rsid w:val="006237F9"/>
    <w:rsid w:val="0062466C"/>
    <w:rsid w:val="0062488A"/>
    <w:rsid w:val="00624CBD"/>
    <w:rsid w:val="00624F7C"/>
    <w:rsid w:val="00625276"/>
    <w:rsid w:val="00627704"/>
    <w:rsid w:val="0063064E"/>
    <w:rsid w:val="00630D57"/>
    <w:rsid w:val="006311B8"/>
    <w:rsid w:val="0063149C"/>
    <w:rsid w:val="0063154F"/>
    <w:rsid w:val="0063161B"/>
    <w:rsid w:val="00632629"/>
    <w:rsid w:val="0063273A"/>
    <w:rsid w:val="00632883"/>
    <w:rsid w:val="00632A57"/>
    <w:rsid w:val="00633020"/>
    <w:rsid w:val="00633812"/>
    <w:rsid w:val="0063397F"/>
    <w:rsid w:val="00633D52"/>
    <w:rsid w:val="00633E01"/>
    <w:rsid w:val="00634477"/>
    <w:rsid w:val="00634BCB"/>
    <w:rsid w:val="00635051"/>
    <w:rsid w:val="00635257"/>
    <w:rsid w:val="00635409"/>
    <w:rsid w:val="00635549"/>
    <w:rsid w:val="0063573B"/>
    <w:rsid w:val="0063634A"/>
    <w:rsid w:val="00636854"/>
    <w:rsid w:val="00636DF0"/>
    <w:rsid w:val="00636F1A"/>
    <w:rsid w:val="0063700C"/>
    <w:rsid w:val="00637170"/>
    <w:rsid w:val="00637443"/>
    <w:rsid w:val="00640472"/>
    <w:rsid w:val="00640503"/>
    <w:rsid w:val="006407B8"/>
    <w:rsid w:val="0064111B"/>
    <w:rsid w:val="00641150"/>
    <w:rsid w:val="00641356"/>
    <w:rsid w:val="00641385"/>
    <w:rsid w:val="00641629"/>
    <w:rsid w:val="006417DF"/>
    <w:rsid w:val="00641BD4"/>
    <w:rsid w:val="00641EE6"/>
    <w:rsid w:val="00642057"/>
    <w:rsid w:val="00642291"/>
    <w:rsid w:val="006423C9"/>
    <w:rsid w:val="0064298F"/>
    <w:rsid w:val="00642F44"/>
    <w:rsid w:val="0064309B"/>
    <w:rsid w:val="006431C9"/>
    <w:rsid w:val="0064381F"/>
    <w:rsid w:val="00643B2F"/>
    <w:rsid w:val="00643FE3"/>
    <w:rsid w:val="0064468B"/>
    <w:rsid w:val="0064483B"/>
    <w:rsid w:val="00644A30"/>
    <w:rsid w:val="00645C5F"/>
    <w:rsid w:val="00645CD2"/>
    <w:rsid w:val="00645E74"/>
    <w:rsid w:val="0064618F"/>
    <w:rsid w:val="0064688B"/>
    <w:rsid w:val="006468D0"/>
    <w:rsid w:val="00646C1E"/>
    <w:rsid w:val="00647526"/>
    <w:rsid w:val="006478C2"/>
    <w:rsid w:val="00647F24"/>
    <w:rsid w:val="0065025F"/>
    <w:rsid w:val="006503A0"/>
    <w:rsid w:val="006507A1"/>
    <w:rsid w:val="00650BC1"/>
    <w:rsid w:val="0065157A"/>
    <w:rsid w:val="0065159B"/>
    <w:rsid w:val="006519BC"/>
    <w:rsid w:val="00651EAF"/>
    <w:rsid w:val="006523F1"/>
    <w:rsid w:val="00652CA8"/>
    <w:rsid w:val="00652E05"/>
    <w:rsid w:val="00653B5A"/>
    <w:rsid w:val="00653D9C"/>
    <w:rsid w:val="00653EF2"/>
    <w:rsid w:val="00654205"/>
    <w:rsid w:val="00654652"/>
    <w:rsid w:val="00654D92"/>
    <w:rsid w:val="00655B81"/>
    <w:rsid w:val="00655D3F"/>
    <w:rsid w:val="00655EC2"/>
    <w:rsid w:val="0065752F"/>
    <w:rsid w:val="006577B3"/>
    <w:rsid w:val="006610B1"/>
    <w:rsid w:val="00661832"/>
    <w:rsid w:val="00661F3A"/>
    <w:rsid w:val="00662F35"/>
    <w:rsid w:val="00663849"/>
    <w:rsid w:val="0066482E"/>
    <w:rsid w:val="00665225"/>
    <w:rsid w:val="0066523F"/>
    <w:rsid w:val="00665270"/>
    <w:rsid w:val="006652C5"/>
    <w:rsid w:val="006661C1"/>
    <w:rsid w:val="0066641E"/>
    <w:rsid w:val="00666D3C"/>
    <w:rsid w:val="006675AA"/>
    <w:rsid w:val="006675B3"/>
    <w:rsid w:val="00667B33"/>
    <w:rsid w:val="00671195"/>
    <w:rsid w:val="00671348"/>
    <w:rsid w:val="00671534"/>
    <w:rsid w:val="00671A6A"/>
    <w:rsid w:val="006721C1"/>
    <w:rsid w:val="00672C20"/>
    <w:rsid w:val="00672DAF"/>
    <w:rsid w:val="00672FB2"/>
    <w:rsid w:val="006732C5"/>
    <w:rsid w:val="00673B27"/>
    <w:rsid w:val="00673FCD"/>
    <w:rsid w:val="0067483D"/>
    <w:rsid w:val="00674C04"/>
    <w:rsid w:val="00674FC8"/>
    <w:rsid w:val="00675A72"/>
    <w:rsid w:val="0067635D"/>
    <w:rsid w:val="00676519"/>
    <w:rsid w:val="00676651"/>
    <w:rsid w:val="006767F6"/>
    <w:rsid w:val="006772E1"/>
    <w:rsid w:val="00680138"/>
    <w:rsid w:val="006802EF"/>
    <w:rsid w:val="0068035A"/>
    <w:rsid w:val="00680FED"/>
    <w:rsid w:val="006813E8"/>
    <w:rsid w:val="00681900"/>
    <w:rsid w:val="00681CD7"/>
    <w:rsid w:val="00682212"/>
    <w:rsid w:val="00682ABB"/>
    <w:rsid w:val="00682E3C"/>
    <w:rsid w:val="00683769"/>
    <w:rsid w:val="0068411E"/>
    <w:rsid w:val="00684C2B"/>
    <w:rsid w:val="00685228"/>
    <w:rsid w:val="00685CAC"/>
    <w:rsid w:val="00685D92"/>
    <w:rsid w:val="00685FB8"/>
    <w:rsid w:val="00686031"/>
    <w:rsid w:val="00686202"/>
    <w:rsid w:val="0068638F"/>
    <w:rsid w:val="006865E3"/>
    <w:rsid w:val="00686F1B"/>
    <w:rsid w:val="00690275"/>
    <w:rsid w:val="006908EB"/>
    <w:rsid w:val="00690AF7"/>
    <w:rsid w:val="00690DD6"/>
    <w:rsid w:val="00690E96"/>
    <w:rsid w:val="00691001"/>
    <w:rsid w:val="0069158B"/>
    <w:rsid w:val="0069158D"/>
    <w:rsid w:val="0069188A"/>
    <w:rsid w:val="00691DF8"/>
    <w:rsid w:val="00691EE4"/>
    <w:rsid w:val="006921BE"/>
    <w:rsid w:val="0069240A"/>
    <w:rsid w:val="006938E1"/>
    <w:rsid w:val="00693978"/>
    <w:rsid w:val="00693ECC"/>
    <w:rsid w:val="006940C4"/>
    <w:rsid w:val="00694137"/>
    <w:rsid w:val="006941BF"/>
    <w:rsid w:val="00694832"/>
    <w:rsid w:val="00694ECC"/>
    <w:rsid w:val="00695128"/>
    <w:rsid w:val="006955A3"/>
    <w:rsid w:val="00695F31"/>
    <w:rsid w:val="006960E5"/>
    <w:rsid w:val="00696657"/>
    <w:rsid w:val="0069678E"/>
    <w:rsid w:val="00696926"/>
    <w:rsid w:val="00696EDD"/>
    <w:rsid w:val="00697098"/>
    <w:rsid w:val="006970E5"/>
    <w:rsid w:val="00697C9A"/>
    <w:rsid w:val="00697E21"/>
    <w:rsid w:val="006A0947"/>
    <w:rsid w:val="006A11FE"/>
    <w:rsid w:val="006A13C5"/>
    <w:rsid w:val="006A227E"/>
    <w:rsid w:val="006A2847"/>
    <w:rsid w:val="006A28A8"/>
    <w:rsid w:val="006A2DE2"/>
    <w:rsid w:val="006A2EC4"/>
    <w:rsid w:val="006A3294"/>
    <w:rsid w:val="006A3320"/>
    <w:rsid w:val="006A3395"/>
    <w:rsid w:val="006A350E"/>
    <w:rsid w:val="006A3946"/>
    <w:rsid w:val="006A3A9E"/>
    <w:rsid w:val="006A5219"/>
    <w:rsid w:val="006A56B7"/>
    <w:rsid w:val="006A5AB6"/>
    <w:rsid w:val="006A5DB7"/>
    <w:rsid w:val="006A5DBD"/>
    <w:rsid w:val="006A5E3D"/>
    <w:rsid w:val="006A619C"/>
    <w:rsid w:val="006A660A"/>
    <w:rsid w:val="006A68C8"/>
    <w:rsid w:val="006A69C8"/>
    <w:rsid w:val="006A770D"/>
    <w:rsid w:val="006A7BD9"/>
    <w:rsid w:val="006B075F"/>
    <w:rsid w:val="006B0C19"/>
    <w:rsid w:val="006B102B"/>
    <w:rsid w:val="006B11FB"/>
    <w:rsid w:val="006B1417"/>
    <w:rsid w:val="006B16E6"/>
    <w:rsid w:val="006B182C"/>
    <w:rsid w:val="006B1A4F"/>
    <w:rsid w:val="006B1ED7"/>
    <w:rsid w:val="006B2D3F"/>
    <w:rsid w:val="006B3E13"/>
    <w:rsid w:val="006B4CAD"/>
    <w:rsid w:val="006B5336"/>
    <w:rsid w:val="006B5340"/>
    <w:rsid w:val="006B53DD"/>
    <w:rsid w:val="006B54C7"/>
    <w:rsid w:val="006B55F7"/>
    <w:rsid w:val="006B5ADD"/>
    <w:rsid w:val="006B6774"/>
    <w:rsid w:val="006B6CBA"/>
    <w:rsid w:val="006B6CCA"/>
    <w:rsid w:val="006B7E44"/>
    <w:rsid w:val="006C0058"/>
    <w:rsid w:val="006C008B"/>
    <w:rsid w:val="006C06C1"/>
    <w:rsid w:val="006C0832"/>
    <w:rsid w:val="006C0938"/>
    <w:rsid w:val="006C0C33"/>
    <w:rsid w:val="006C1397"/>
    <w:rsid w:val="006C1755"/>
    <w:rsid w:val="006C19FB"/>
    <w:rsid w:val="006C1BE1"/>
    <w:rsid w:val="006C1D32"/>
    <w:rsid w:val="006C290B"/>
    <w:rsid w:val="006C2C34"/>
    <w:rsid w:val="006C2FB6"/>
    <w:rsid w:val="006C3008"/>
    <w:rsid w:val="006C317F"/>
    <w:rsid w:val="006C340B"/>
    <w:rsid w:val="006C374D"/>
    <w:rsid w:val="006C4520"/>
    <w:rsid w:val="006C463D"/>
    <w:rsid w:val="006C47CF"/>
    <w:rsid w:val="006C48B5"/>
    <w:rsid w:val="006C5052"/>
    <w:rsid w:val="006C5264"/>
    <w:rsid w:val="006C6BC7"/>
    <w:rsid w:val="006C6EF0"/>
    <w:rsid w:val="006C73B6"/>
    <w:rsid w:val="006D0151"/>
    <w:rsid w:val="006D01BC"/>
    <w:rsid w:val="006D16B1"/>
    <w:rsid w:val="006D1ED2"/>
    <w:rsid w:val="006D25ED"/>
    <w:rsid w:val="006D28E6"/>
    <w:rsid w:val="006D2B68"/>
    <w:rsid w:val="006D3026"/>
    <w:rsid w:val="006D3B7A"/>
    <w:rsid w:val="006D3C2C"/>
    <w:rsid w:val="006D4573"/>
    <w:rsid w:val="006D47A7"/>
    <w:rsid w:val="006D4A01"/>
    <w:rsid w:val="006D4FC9"/>
    <w:rsid w:val="006D519E"/>
    <w:rsid w:val="006D53A5"/>
    <w:rsid w:val="006D5444"/>
    <w:rsid w:val="006D5ECC"/>
    <w:rsid w:val="006D6894"/>
    <w:rsid w:val="006D6D8F"/>
    <w:rsid w:val="006D702B"/>
    <w:rsid w:val="006D717E"/>
    <w:rsid w:val="006D7188"/>
    <w:rsid w:val="006D7267"/>
    <w:rsid w:val="006D780D"/>
    <w:rsid w:val="006D797A"/>
    <w:rsid w:val="006E032B"/>
    <w:rsid w:val="006E0B05"/>
    <w:rsid w:val="006E0CC7"/>
    <w:rsid w:val="006E1740"/>
    <w:rsid w:val="006E208A"/>
    <w:rsid w:val="006E3333"/>
    <w:rsid w:val="006E36E9"/>
    <w:rsid w:val="006E3A26"/>
    <w:rsid w:val="006E3BCA"/>
    <w:rsid w:val="006E3E6F"/>
    <w:rsid w:val="006E3EF2"/>
    <w:rsid w:val="006E4361"/>
    <w:rsid w:val="006E45C7"/>
    <w:rsid w:val="006E4C4E"/>
    <w:rsid w:val="006E5FA8"/>
    <w:rsid w:val="006E73E4"/>
    <w:rsid w:val="006E7639"/>
    <w:rsid w:val="006E767C"/>
    <w:rsid w:val="006E767E"/>
    <w:rsid w:val="006E79CD"/>
    <w:rsid w:val="006E7AE6"/>
    <w:rsid w:val="006F0380"/>
    <w:rsid w:val="006F04A4"/>
    <w:rsid w:val="006F1828"/>
    <w:rsid w:val="006F1B19"/>
    <w:rsid w:val="006F1C96"/>
    <w:rsid w:val="006F2111"/>
    <w:rsid w:val="006F2B98"/>
    <w:rsid w:val="006F2BB2"/>
    <w:rsid w:val="006F2CDA"/>
    <w:rsid w:val="006F322D"/>
    <w:rsid w:val="006F330D"/>
    <w:rsid w:val="006F455B"/>
    <w:rsid w:val="006F4637"/>
    <w:rsid w:val="006F4F38"/>
    <w:rsid w:val="006F509E"/>
    <w:rsid w:val="006F540F"/>
    <w:rsid w:val="006F545C"/>
    <w:rsid w:val="006F5FC4"/>
    <w:rsid w:val="006F796F"/>
    <w:rsid w:val="006F7A3F"/>
    <w:rsid w:val="00700902"/>
    <w:rsid w:val="0070092A"/>
    <w:rsid w:val="007010CD"/>
    <w:rsid w:val="007014FE"/>
    <w:rsid w:val="00701BB8"/>
    <w:rsid w:val="00701DB6"/>
    <w:rsid w:val="0070227F"/>
    <w:rsid w:val="00702918"/>
    <w:rsid w:val="00702A04"/>
    <w:rsid w:val="00702B9D"/>
    <w:rsid w:val="00702D52"/>
    <w:rsid w:val="0070343B"/>
    <w:rsid w:val="00703512"/>
    <w:rsid w:val="0070461E"/>
    <w:rsid w:val="00704DAC"/>
    <w:rsid w:val="00704EC8"/>
    <w:rsid w:val="00705592"/>
    <w:rsid w:val="0070576E"/>
    <w:rsid w:val="0070593E"/>
    <w:rsid w:val="00705B6D"/>
    <w:rsid w:val="00706169"/>
    <w:rsid w:val="00706411"/>
    <w:rsid w:val="007070E0"/>
    <w:rsid w:val="00707727"/>
    <w:rsid w:val="00707940"/>
    <w:rsid w:val="00707BE6"/>
    <w:rsid w:val="00707D5F"/>
    <w:rsid w:val="00707FCA"/>
    <w:rsid w:val="0071008B"/>
    <w:rsid w:val="007105D1"/>
    <w:rsid w:val="0071087B"/>
    <w:rsid w:val="00710CE7"/>
    <w:rsid w:val="00710DD8"/>
    <w:rsid w:val="0071145E"/>
    <w:rsid w:val="00711756"/>
    <w:rsid w:val="00712607"/>
    <w:rsid w:val="00712CD7"/>
    <w:rsid w:val="00712D1A"/>
    <w:rsid w:val="0071327A"/>
    <w:rsid w:val="007144ED"/>
    <w:rsid w:val="007149AF"/>
    <w:rsid w:val="007156BD"/>
    <w:rsid w:val="00715904"/>
    <w:rsid w:val="00716988"/>
    <w:rsid w:val="00716FEA"/>
    <w:rsid w:val="007202D3"/>
    <w:rsid w:val="00720A81"/>
    <w:rsid w:val="00720C75"/>
    <w:rsid w:val="00721BB7"/>
    <w:rsid w:val="00721E2F"/>
    <w:rsid w:val="00721F24"/>
    <w:rsid w:val="00722610"/>
    <w:rsid w:val="007227E9"/>
    <w:rsid w:val="00723333"/>
    <w:rsid w:val="0072397B"/>
    <w:rsid w:val="00723C2D"/>
    <w:rsid w:val="007241C9"/>
    <w:rsid w:val="00724677"/>
    <w:rsid w:val="00724DED"/>
    <w:rsid w:val="00725293"/>
    <w:rsid w:val="00725407"/>
    <w:rsid w:val="007254CA"/>
    <w:rsid w:val="0072612E"/>
    <w:rsid w:val="00726609"/>
    <w:rsid w:val="0072790D"/>
    <w:rsid w:val="00727F23"/>
    <w:rsid w:val="0073096B"/>
    <w:rsid w:val="00730E1F"/>
    <w:rsid w:val="0073107B"/>
    <w:rsid w:val="007314DF"/>
    <w:rsid w:val="00731567"/>
    <w:rsid w:val="00732458"/>
    <w:rsid w:val="00732888"/>
    <w:rsid w:val="007329F2"/>
    <w:rsid w:val="00733532"/>
    <w:rsid w:val="00733659"/>
    <w:rsid w:val="007338AB"/>
    <w:rsid w:val="007348C2"/>
    <w:rsid w:val="00734D45"/>
    <w:rsid w:val="007350C9"/>
    <w:rsid w:val="00735202"/>
    <w:rsid w:val="00735570"/>
    <w:rsid w:val="00735A99"/>
    <w:rsid w:val="007362E9"/>
    <w:rsid w:val="007371B2"/>
    <w:rsid w:val="007377E3"/>
    <w:rsid w:val="00737CF4"/>
    <w:rsid w:val="00737F99"/>
    <w:rsid w:val="0074026B"/>
    <w:rsid w:val="00740B73"/>
    <w:rsid w:val="00740D57"/>
    <w:rsid w:val="0074151A"/>
    <w:rsid w:val="0074175E"/>
    <w:rsid w:val="007418AE"/>
    <w:rsid w:val="00741F1E"/>
    <w:rsid w:val="007423BA"/>
    <w:rsid w:val="007431A8"/>
    <w:rsid w:val="007438EB"/>
    <w:rsid w:val="007445CA"/>
    <w:rsid w:val="0074480A"/>
    <w:rsid w:val="00744C44"/>
    <w:rsid w:val="007454BD"/>
    <w:rsid w:val="007454CE"/>
    <w:rsid w:val="0074561D"/>
    <w:rsid w:val="00745E98"/>
    <w:rsid w:val="00745F21"/>
    <w:rsid w:val="00746097"/>
    <w:rsid w:val="007460EA"/>
    <w:rsid w:val="00746834"/>
    <w:rsid w:val="00746ED0"/>
    <w:rsid w:val="00746F0B"/>
    <w:rsid w:val="00746F89"/>
    <w:rsid w:val="00747214"/>
    <w:rsid w:val="00747C50"/>
    <w:rsid w:val="007505CA"/>
    <w:rsid w:val="00750674"/>
    <w:rsid w:val="00750913"/>
    <w:rsid w:val="00750D71"/>
    <w:rsid w:val="00751106"/>
    <w:rsid w:val="00751319"/>
    <w:rsid w:val="0075179C"/>
    <w:rsid w:val="007519E5"/>
    <w:rsid w:val="007523A5"/>
    <w:rsid w:val="00752A2B"/>
    <w:rsid w:val="00752F1C"/>
    <w:rsid w:val="0075347E"/>
    <w:rsid w:val="00753E99"/>
    <w:rsid w:val="00754262"/>
    <w:rsid w:val="00754A85"/>
    <w:rsid w:val="00754B9F"/>
    <w:rsid w:val="00754F13"/>
    <w:rsid w:val="00755071"/>
    <w:rsid w:val="007556D1"/>
    <w:rsid w:val="00755884"/>
    <w:rsid w:val="00756303"/>
    <w:rsid w:val="007573AC"/>
    <w:rsid w:val="00757B03"/>
    <w:rsid w:val="00757FA0"/>
    <w:rsid w:val="0076035F"/>
    <w:rsid w:val="00760651"/>
    <w:rsid w:val="00760C9A"/>
    <w:rsid w:val="00761BC1"/>
    <w:rsid w:val="00763D1A"/>
    <w:rsid w:val="007640B5"/>
    <w:rsid w:val="0076420A"/>
    <w:rsid w:val="0076431A"/>
    <w:rsid w:val="00764737"/>
    <w:rsid w:val="007647A6"/>
    <w:rsid w:val="0076482C"/>
    <w:rsid w:val="00764D1A"/>
    <w:rsid w:val="00764FA4"/>
    <w:rsid w:val="007651B0"/>
    <w:rsid w:val="007656A3"/>
    <w:rsid w:val="00765CB2"/>
    <w:rsid w:val="007662CA"/>
    <w:rsid w:val="00766F9A"/>
    <w:rsid w:val="00767193"/>
    <w:rsid w:val="007707D8"/>
    <w:rsid w:val="007708FD"/>
    <w:rsid w:val="00770AE9"/>
    <w:rsid w:val="00770C98"/>
    <w:rsid w:val="00770CFA"/>
    <w:rsid w:val="007715EF"/>
    <w:rsid w:val="007717A4"/>
    <w:rsid w:val="00773247"/>
    <w:rsid w:val="00773673"/>
    <w:rsid w:val="00773D70"/>
    <w:rsid w:val="00773F3A"/>
    <w:rsid w:val="00774E03"/>
    <w:rsid w:val="007753BE"/>
    <w:rsid w:val="00775B1F"/>
    <w:rsid w:val="007763B0"/>
    <w:rsid w:val="00776782"/>
    <w:rsid w:val="00776D60"/>
    <w:rsid w:val="00776E2B"/>
    <w:rsid w:val="0077737C"/>
    <w:rsid w:val="007774F4"/>
    <w:rsid w:val="00780214"/>
    <w:rsid w:val="00780425"/>
    <w:rsid w:val="007804B3"/>
    <w:rsid w:val="00781199"/>
    <w:rsid w:val="0078122E"/>
    <w:rsid w:val="00781280"/>
    <w:rsid w:val="00781819"/>
    <w:rsid w:val="00781840"/>
    <w:rsid w:val="00782113"/>
    <w:rsid w:val="00782CB6"/>
    <w:rsid w:val="007832A9"/>
    <w:rsid w:val="00783308"/>
    <w:rsid w:val="00783826"/>
    <w:rsid w:val="00783A2B"/>
    <w:rsid w:val="00783E84"/>
    <w:rsid w:val="007842D5"/>
    <w:rsid w:val="0078433B"/>
    <w:rsid w:val="0078457C"/>
    <w:rsid w:val="00785185"/>
    <w:rsid w:val="007852C6"/>
    <w:rsid w:val="00785709"/>
    <w:rsid w:val="007857FC"/>
    <w:rsid w:val="00785818"/>
    <w:rsid w:val="00785856"/>
    <w:rsid w:val="00785CA4"/>
    <w:rsid w:val="00785E72"/>
    <w:rsid w:val="0078669A"/>
    <w:rsid w:val="007868E8"/>
    <w:rsid w:val="00786D01"/>
    <w:rsid w:val="0078763C"/>
    <w:rsid w:val="00787D9A"/>
    <w:rsid w:val="00790471"/>
    <w:rsid w:val="00790AA2"/>
    <w:rsid w:val="007913D7"/>
    <w:rsid w:val="0079189C"/>
    <w:rsid w:val="00791A95"/>
    <w:rsid w:val="00791B11"/>
    <w:rsid w:val="00791D10"/>
    <w:rsid w:val="007926CB"/>
    <w:rsid w:val="00792F16"/>
    <w:rsid w:val="00793187"/>
    <w:rsid w:val="00793A5A"/>
    <w:rsid w:val="00793DB6"/>
    <w:rsid w:val="00794517"/>
    <w:rsid w:val="007945DA"/>
    <w:rsid w:val="0079484C"/>
    <w:rsid w:val="007949F3"/>
    <w:rsid w:val="00794FD9"/>
    <w:rsid w:val="007951B8"/>
    <w:rsid w:val="00795603"/>
    <w:rsid w:val="00795912"/>
    <w:rsid w:val="00795D9F"/>
    <w:rsid w:val="007960A3"/>
    <w:rsid w:val="00796266"/>
    <w:rsid w:val="007963DA"/>
    <w:rsid w:val="00796B08"/>
    <w:rsid w:val="00796D26"/>
    <w:rsid w:val="007A00B1"/>
    <w:rsid w:val="007A0783"/>
    <w:rsid w:val="007A0BEA"/>
    <w:rsid w:val="007A127B"/>
    <w:rsid w:val="007A1454"/>
    <w:rsid w:val="007A14E3"/>
    <w:rsid w:val="007A1A14"/>
    <w:rsid w:val="007A1F3A"/>
    <w:rsid w:val="007A2168"/>
    <w:rsid w:val="007A2436"/>
    <w:rsid w:val="007A2BEC"/>
    <w:rsid w:val="007A4230"/>
    <w:rsid w:val="007A432E"/>
    <w:rsid w:val="007A4837"/>
    <w:rsid w:val="007A4D50"/>
    <w:rsid w:val="007A4F24"/>
    <w:rsid w:val="007A520C"/>
    <w:rsid w:val="007A5A29"/>
    <w:rsid w:val="007A5CAD"/>
    <w:rsid w:val="007A61E4"/>
    <w:rsid w:val="007A65B2"/>
    <w:rsid w:val="007A68C7"/>
    <w:rsid w:val="007A6F21"/>
    <w:rsid w:val="007A73A8"/>
    <w:rsid w:val="007A7ADA"/>
    <w:rsid w:val="007B03E3"/>
    <w:rsid w:val="007B0605"/>
    <w:rsid w:val="007B1AD2"/>
    <w:rsid w:val="007B2CA4"/>
    <w:rsid w:val="007B2CE2"/>
    <w:rsid w:val="007B3798"/>
    <w:rsid w:val="007B39F3"/>
    <w:rsid w:val="007B4276"/>
    <w:rsid w:val="007B4644"/>
    <w:rsid w:val="007B59CF"/>
    <w:rsid w:val="007B6A0A"/>
    <w:rsid w:val="007B6EB2"/>
    <w:rsid w:val="007B73F8"/>
    <w:rsid w:val="007B7422"/>
    <w:rsid w:val="007B7466"/>
    <w:rsid w:val="007B78AA"/>
    <w:rsid w:val="007B7BB7"/>
    <w:rsid w:val="007C0415"/>
    <w:rsid w:val="007C05BE"/>
    <w:rsid w:val="007C06BA"/>
    <w:rsid w:val="007C0A58"/>
    <w:rsid w:val="007C0D84"/>
    <w:rsid w:val="007C0F32"/>
    <w:rsid w:val="007C125D"/>
    <w:rsid w:val="007C131A"/>
    <w:rsid w:val="007C17D9"/>
    <w:rsid w:val="007C236E"/>
    <w:rsid w:val="007C3663"/>
    <w:rsid w:val="007C37E3"/>
    <w:rsid w:val="007C3A47"/>
    <w:rsid w:val="007C4148"/>
    <w:rsid w:val="007C41EA"/>
    <w:rsid w:val="007C428F"/>
    <w:rsid w:val="007C479A"/>
    <w:rsid w:val="007C4DD3"/>
    <w:rsid w:val="007C5550"/>
    <w:rsid w:val="007C59D9"/>
    <w:rsid w:val="007C5B68"/>
    <w:rsid w:val="007C60CB"/>
    <w:rsid w:val="007C673B"/>
    <w:rsid w:val="007C6DD3"/>
    <w:rsid w:val="007C7273"/>
    <w:rsid w:val="007C77D3"/>
    <w:rsid w:val="007C781F"/>
    <w:rsid w:val="007D0564"/>
    <w:rsid w:val="007D0C99"/>
    <w:rsid w:val="007D1127"/>
    <w:rsid w:val="007D164B"/>
    <w:rsid w:val="007D1AF2"/>
    <w:rsid w:val="007D28CF"/>
    <w:rsid w:val="007D2B00"/>
    <w:rsid w:val="007D2DAA"/>
    <w:rsid w:val="007D3070"/>
    <w:rsid w:val="007D36E0"/>
    <w:rsid w:val="007D3E52"/>
    <w:rsid w:val="007D4912"/>
    <w:rsid w:val="007D4DA9"/>
    <w:rsid w:val="007D4E18"/>
    <w:rsid w:val="007D4E4C"/>
    <w:rsid w:val="007D4E6E"/>
    <w:rsid w:val="007D50BB"/>
    <w:rsid w:val="007D55F0"/>
    <w:rsid w:val="007D59E4"/>
    <w:rsid w:val="007D6957"/>
    <w:rsid w:val="007D6BD3"/>
    <w:rsid w:val="007D6ED9"/>
    <w:rsid w:val="007D72A5"/>
    <w:rsid w:val="007D7826"/>
    <w:rsid w:val="007D78CF"/>
    <w:rsid w:val="007D7C3B"/>
    <w:rsid w:val="007D7EC4"/>
    <w:rsid w:val="007E06A2"/>
    <w:rsid w:val="007E088F"/>
    <w:rsid w:val="007E0D16"/>
    <w:rsid w:val="007E12F2"/>
    <w:rsid w:val="007E14A4"/>
    <w:rsid w:val="007E16C2"/>
    <w:rsid w:val="007E1B05"/>
    <w:rsid w:val="007E2144"/>
    <w:rsid w:val="007E3223"/>
    <w:rsid w:val="007E359C"/>
    <w:rsid w:val="007E3A75"/>
    <w:rsid w:val="007E4444"/>
    <w:rsid w:val="007E47D2"/>
    <w:rsid w:val="007E4ACF"/>
    <w:rsid w:val="007E56EA"/>
    <w:rsid w:val="007E59CA"/>
    <w:rsid w:val="007E6FA9"/>
    <w:rsid w:val="007E705A"/>
    <w:rsid w:val="007E7631"/>
    <w:rsid w:val="007E781D"/>
    <w:rsid w:val="007E7A41"/>
    <w:rsid w:val="007F102A"/>
    <w:rsid w:val="007F154C"/>
    <w:rsid w:val="007F15ED"/>
    <w:rsid w:val="007F26BA"/>
    <w:rsid w:val="007F30B0"/>
    <w:rsid w:val="007F30B5"/>
    <w:rsid w:val="007F319F"/>
    <w:rsid w:val="007F352D"/>
    <w:rsid w:val="007F37B7"/>
    <w:rsid w:val="007F37EF"/>
    <w:rsid w:val="007F46E6"/>
    <w:rsid w:val="007F4714"/>
    <w:rsid w:val="007F4E95"/>
    <w:rsid w:val="007F5391"/>
    <w:rsid w:val="007F5780"/>
    <w:rsid w:val="007F57B8"/>
    <w:rsid w:val="007F582A"/>
    <w:rsid w:val="007F5B74"/>
    <w:rsid w:val="007F7567"/>
    <w:rsid w:val="00800234"/>
    <w:rsid w:val="008005A9"/>
    <w:rsid w:val="008007FB"/>
    <w:rsid w:val="008008A2"/>
    <w:rsid w:val="008008F5"/>
    <w:rsid w:val="00800C3B"/>
    <w:rsid w:val="00802113"/>
    <w:rsid w:val="008022FE"/>
    <w:rsid w:val="00802933"/>
    <w:rsid w:val="00802F03"/>
    <w:rsid w:val="0080317D"/>
    <w:rsid w:val="00803952"/>
    <w:rsid w:val="00803B55"/>
    <w:rsid w:val="00803E5F"/>
    <w:rsid w:val="00803EF2"/>
    <w:rsid w:val="008042C4"/>
    <w:rsid w:val="00804C5E"/>
    <w:rsid w:val="0080529E"/>
    <w:rsid w:val="008055A3"/>
    <w:rsid w:val="00805758"/>
    <w:rsid w:val="00805A0A"/>
    <w:rsid w:val="00805C77"/>
    <w:rsid w:val="00805DD8"/>
    <w:rsid w:val="008063FC"/>
    <w:rsid w:val="008106C6"/>
    <w:rsid w:val="00811607"/>
    <w:rsid w:val="00812036"/>
    <w:rsid w:val="00812594"/>
    <w:rsid w:val="008125E6"/>
    <w:rsid w:val="0081298B"/>
    <w:rsid w:val="00812FC4"/>
    <w:rsid w:val="0081315C"/>
    <w:rsid w:val="00813597"/>
    <w:rsid w:val="00813AC1"/>
    <w:rsid w:val="00813F6F"/>
    <w:rsid w:val="00813FD1"/>
    <w:rsid w:val="008145E9"/>
    <w:rsid w:val="00814C68"/>
    <w:rsid w:val="00814EA6"/>
    <w:rsid w:val="00815C13"/>
    <w:rsid w:val="00816069"/>
    <w:rsid w:val="0081682D"/>
    <w:rsid w:val="008169BC"/>
    <w:rsid w:val="008171DE"/>
    <w:rsid w:val="00817282"/>
    <w:rsid w:val="008176BB"/>
    <w:rsid w:val="0081784F"/>
    <w:rsid w:val="00817DDA"/>
    <w:rsid w:val="00817E91"/>
    <w:rsid w:val="00820B28"/>
    <w:rsid w:val="00820E3E"/>
    <w:rsid w:val="00821591"/>
    <w:rsid w:val="008215AF"/>
    <w:rsid w:val="00821713"/>
    <w:rsid w:val="00821871"/>
    <w:rsid w:val="00822171"/>
    <w:rsid w:val="008228B6"/>
    <w:rsid w:val="00822984"/>
    <w:rsid w:val="008229E8"/>
    <w:rsid w:val="00822EDE"/>
    <w:rsid w:val="00823F83"/>
    <w:rsid w:val="00824125"/>
    <w:rsid w:val="008246C0"/>
    <w:rsid w:val="008254F6"/>
    <w:rsid w:val="00826CE6"/>
    <w:rsid w:val="00826DB7"/>
    <w:rsid w:val="00826E44"/>
    <w:rsid w:val="008276ED"/>
    <w:rsid w:val="00827891"/>
    <w:rsid w:val="00827B3D"/>
    <w:rsid w:val="00830724"/>
    <w:rsid w:val="008308B0"/>
    <w:rsid w:val="00830D50"/>
    <w:rsid w:val="00831982"/>
    <w:rsid w:val="00831C4C"/>
    <w:rsid w:val="00831C7B"/>
    <w:rsid w:val="0083237A"/>
    <w:rsid w:val="00832421"/>
    <w:rsid w:val="008334D6"/>
    <w:rsid w:val="00834001"/>
    <w:rsid w:val="0083410C"/>
    <w:rsid w:val="00834264"/>
    <w:rsid w:val="00834266"/>
    <w:rsid w:val="0083480A"/>
    <w:rsid w:val="00834E9D"/>
    <w:rsid w:val="00835264"/>
    <w:rsid w:val="00835FDF"/>
    <w:rsid w:val="00836064"/>
    <w:rsid w:val="008360F5"/>
    <w:rsid w:val="00836985"/>
    <w:rsid w:val="008374FE"/>
    <w:rsid w:val="008375DC"/>
    <w:rsid w:val="008378D4"/>
    <w:rsid w:val="00840404"/>
    <w:rsid w:val="00840A8C"/>
    <w:rsid w:val="00841523"/>
    <w:rsid w:val="00841721"/>
    <w:rsid w:val="00841921"/>
    <w:rsid w:val="00841F87"/>
    <w:rsid w:val="00842045"/>
    <w:rsid w:val="008424EA"/>
    <w:rsid w:val="00842DAD"/>
    <w:rsid w:val="00842DC4"/>
    <w:rsid w:val="00842E7D"/>
    <w:rsid w:val="0084333F"/>
    <w:rsid w:val="00843A81"/>
    <w:rsid w:val="00844182"/>
    <w:rsid w:val="0084420F"/>
    <w:rsid w:val="00844D29"/>
    <w:rsid w:val="0084507B"/>
    <w:rsid w:val="008451B8"/>
    <w:rsid w:val="00845464"/>
    <w:rsid w:val="00845570"/>
    <w:rsid w:val="00845F17"/>
    <w:rsid w:val="008465A6"/>
    <w:rsid w:val="00846E7B"/>
    <w:rsid w:val="00846F85"/>
    <w:rsid w:val="00847187"/>
    <w:rsid w:val="008476C5"/>
    <w:rsid w:val="00847969"/>
    <w:rsid w:val="008505D6"/>
    <w:rsid w:val="00850D3D"/>
    <w:rsid w:val="008518BB"/>
    <w:rsid w:val="008519A4"/>
    <w:rsid w:val="00851C24"/>
    <w:rsid w:val="0085239D"/>
    <w:rsid w:val="00852F27"/>
    <w:rsid w:val="008533E6"/>
    <w:rsid w:val="00853B49"/>
    <w:rsid w:val="00853D8E"/>
    <w:rsid w:val="0085474A"/>
    <w:rsid w:val="00854772"/>
    <w:rsid w:val="0085508A"/>
    <w:rsid w:val="00855230"/>
    <w:rsid w:val="00855A17"/>
    <w:rsid w:val="00855AE3"/>
    <w:rsid w:val="00856322"/>
    <w:rsid w:val="008574E8"/>
    <w:rsid w:val="0086069A"/>
    <w:rsid w:val="0086080E"/>
    <w:rsid w:val="00860E92"/>
    <w:rsid w:val="0086137C"/>
    <w:rsid w:val="008616CA"/>
    <w:rsid w:val="008627B9"/>
    <w:rsid w:val="00862C7B"/>
    <w:rsid w:val="00863E6A"/>
    <w:rsid w:val="00863EED"/>
    <w:rsid w:val="0086426D"/>
    <w:rsid w:val="008644A8"/>
    <w:rsid w:val="00864D8C"/>
    <w:rsid w:val="0086508C"/>
    <w:rsid w:val="0086598E"/>
    <w:rsid w:val="008662F5"/>
    <w:rsid w:val="008663FC"/>
    <w:rsid w:val="00866D50"/>
    <w:rsid w:val="0086744B"/>
    <w:rsid w:val="00870032"/>
    <w:rsid w:val="008701BF"/>
    <w:rsid w:val="008701D6"/>
    <w:rsid w:val="00870E7F"/>
    <w:rsid w:val="00871511"/>
    <w:rsid w:val="00871771"/>
    <w:rsid w:val="00871975"/>
    <w:rsid w:val="00871A4B"/>
    <w:rsid w:val="008724A2"/>
    <w:rsid w:val="00873258"/>
    <w:rsid w:val="0087404C"/>
    <w:rsid w:val="00874361"/>
    <w:rsid w:val="0087447D"/>
    <w:rsid w:val="0087590B"/>
    <w:rsid w:val="00875EC1"/>
    <w:rsid w:val="00875EC7"/>
    <w:rsid w:val="008762AC"/>
    <w:rsid w:val="00876791"/>
    <w:rsid w:val="008778E8"/>
    <w:rsid w:val="00877A80"/>
    <w:rsid w:val="00877AB0"/>
    <w:rsid w:val="00877C88"/>
    <w:rsid w:val="008800F8"/>
    <w:rsid w:val="008807AE"/>
    <w:rsid w:val="00880C2C"/>
    <w:rsid w:val="008817CB"/>
    <w:rsid w:val="0088191F"/>
    <w:rsid w:val="008819DA"/>
    <w:rsid w:val="00881CB9"/>
    <w:rsid w:val="00881F97"/>
    <w:rsid w:val="008829C4"/>
    <w:rsid w:val="00882B56"/>
    <w:rsid w:val="00882F5D"/>
    <w:rsid w:val="00883065"/>
    <w:rsid w:val="008831A1"/>
    <w:rsid w:val="00883633"/>
    <w:rsid w:val="00883D14"/>
    <w:rsid w:val="00883D77"/>
    <w:rsid w:val="0088435C"/>
    <w:rsid w:val="00884BF1"/>
    <w:rsid w:val="00884C17"/>
    <w:rsid w:val="00884CDB"/>
    <w:rsid w:val="00884E7C"/>
    <w:rsid w:val="008850F1"/>
    <w:rsid w:val="00885767"/>
    <w:rsid w:val="00885BB4"/>
    <w:rsid w:val="008863A7"/>
    <w:rsid w:val="0088677E"/>
    <w:rsid w:val="0088748E"/>
    <w:rsid w:val="008877D4"/>
    <w:rsid w:val="0089029E"/>
    <w:rsid w:val="008902F2"/>
    <w:rsid w:val="008902FD"/>
    <w:rsid w:val="0089039F"/>
    <w:rsid w:val="008904CA"/>
    <w:rsid w:val="00890C51"/>
    <w:rsid w:val="00890D41"/>
    <w:rsid w:val="00890FE9"/>
    <w:rsid w:val="00891439"/>
    <w:rsid w:val="0089265F"/>
    <w:rsid w:val="00892745"/>
    <w:rsid w:val="00892907"/>
    <w:rsid w:val="00893BCA"/>
    <w:rsid w:val="00893C46"/>
    <w:rsid w:val="00893E0E"/>
    <w:rsid w:val="0089586A"/>
    <w:rsid w:val="00895CEA"/>
    <w:rsid w:val="00896001"/>
    <w:rsid w:val="00896133"/>
    <w:rsid w:val="00896176"/>
    <w:rsid w:val="00896621"/>
    <w:rsid w:val="00896AD0"/>
    <w:rsid w:val="00896F07"/>
    <w:rsid w:val="00897B0F"/>
    <w:rsid w:val="00897DAA"/>
    <w:rsid w:val="008A0A51"/>
    <w:rsid w:val="008A1A62"/>
    <w:rsid w:val="008A1CB7"/>
    <w:rsid w:val="008A1E0D"/>
    <w:rsid w:val="008A2732"/>
    <w:rsid w:val="008A3A03"/>
    <w:rsid w:val="008A3A16"/>
    <w:rsid w:val="008A3EB7"/>
    <w:rsid w:val="008A5900"/>
    <w:rsid w:val="008A5958"/>
    <w:rsid w:val="008A6518"/>
    <w:rsid w:val="008A6635"/>
    <w:rsid w:val="008A68F5"/>
    <w:rsid w:val="008A6F53"/>
    <w:rsid w:val="008A7905"/>
    <w:rsid w:val="008A796A"/>
    <w:rsid w:val="008B025A"/>
    <w:rsid w:val="008B154C"/>
    <w:rsid w:val="008B1FB1"/>
    <w:rsid w:val="008B297B"/>
    <w:rsid w:val="008B2BAB"/>
    <w:rsid w:val="008B2D8F"/>
    <w:rsid w:val="008B333B"/>
    <w:rsid w:val="008B4019"/>
    <w:rsid w:val="008B48A4"/>
    <w:rsid w:val="008B4ABA"/>
    <w:rsid w:val="008B5E15"/>
    <w:rsid w:val="008B6533"/>
    <w:rsid w:val="008B6FB3"/>
    <w:rsid w:val="008B70AA"/>
    <w:rsid w:val="008B7F8D"/>
    <w:rsid w:val="008C0675"/>
    <w:rsid w:val="008C0E1B"/>
    <w:rsid w:val="008C10F5"/>
    <w:rsid w:val="008C13B2"/>
    <w:rsid w:val="008C1814"/>
    <w:rsid w:val="008C19F3"/>
    <w:rsid w:val="008C1C0D"/>
    <w:rsid w:val="008C1E6E"/>
    <w:rsid w:val="008C2356"/>
    <w:rsid w:val="008C2A44"/>
    <w:rsid w:val="008C2CD8"/>
    <w:rsid w:val="008C3BA6"/>
    <w:rsid w:val="008C4732"/>
    <w:rsid w:val="008C489A"/>
    <w:rsid w:val="008C48F5"/>
    <w:rsid w:val="008C55B7"/>
    <w:rsid w:val="008C632D"/>
    <w:rsid w:val="008C65BA"/>
    <w:rsid w:val="008C6AAE"/>
    <w:rsid w:val="008C6B49"/>
    <w:rsid w:val="008C7942"/>
    <w:rsid w:val="008C7DD1"/>
    <w:rsid w:val="008D0630"/>
    <w:rsid w:val="008D06DD"/>
    <w:rsid w:val="008D0902"/>
    <w:rsid w:val="008D0C7E"/>
    <w:rsid w:val="008D0FF9"/>
    <w:rsid w:val="008D11A8"/>
    <w:rsid w:val="008D133F"/>
    <w:rsid w:val="008D1726"/>
    <w:rsid w:val="008D21D1"/>
    <w:rsid w:val="008D24CC"/>
    <w:rsid w:val="008D29CA"/>
    <w:rsid w:val="008D2AC7"/>
    <w:rsid w:val="008D4B32"/>
    <w:rsid w:val="008D4F12"/>
    <w:rsid w:val="008D5503"/>
    <w:rsid w:val="008D5802"/>
    <w:rsid w:val="008D6614"/>
    <w:rsid w:val="008D6996"/>
    <w:rsid w:val="008D6B55"/>
    <w:rsid w:val="008E0173"/>
    <w:rsid w:val="008E019B"/>
    <w:rsid w:val="008E03B0"/>
    <w:rsid w:val="008E1B1D"/>
    <w:rsid w:val="008E25A1"/>
    <w:rsid w:val="008E3088"/>
    <w:rsid w:val="008E38FE"/>
    <w:rsid w:val="008E43BC"/>
    <w:rsid w:val="008E4D48"/>
    <w:rsid w:val="008E50C6"/>
    <w:rsid w:val="008E5234"/>
    <w:rsid w:val="008E5824"/>
    <w:rsid w:val="008E5DAA"/>
    <w:rsid w:val="008E63C0"/>
    <w:rsid w:val="008E6983"/>
    <w:rsid w:val="008E6C6C"/>
    <w:rsid w:val="008E6E6F"/>
    <w:rsid w:val="008E70C5"/>
    <w:rsid w:val="008E78DE"/>
    <w:rsid w:val="008E79F2"/>
    <w:rsid w:val="008E7B20"/>
    <w:rsid w:val="008F053D"/>
    <w:rsid w:val="008F1B0C"/>
    <w:rsid w:val="008F1C51"/>
    <w:rsid w:val="008F1E73"/>
    <w:rsid w:val="008F21B4"/>
    <w:rsid w:val="008F2ED6"/>
    <w:rsid w:val="008F358C"/>
    <w:rsid w:val="008F409A"/>
    <w:rsid w:val="008F40B1"/>
    <w:rsid w:val="008F46A3"/>
    <w:rsid w:val="008F54FD"/>
    <w:rsid w:val="008F5A4C"/>
    <w:rsid w:val="008F5E9D"/>
    <w:rsid w:val="008F603E"/>
    <w:rsid w:val="008F60D4"/>
    <w:rsid w:val="008F6397"/>
    <w:rsid w:val="008F69E7"/>
    <w:rsid w:val="008F758F"/>
    <w:rsid w:val="008F796A"/>
    <w:rsid w:val="008F7E52"/>
    <w:rsid w:val="008F7F30"/>
    <w:rsid w:val="00901B70"/>
    <w:rsid w:val="00904324"/>
    <w:rsid w:val="00904840"/>
    <w:rsid w:val="00904D3F"/>
    <w:rsid w:val="00905069"/>
    <w:rsid w:val="009055BF"/>
    <w:rsid w:val="00905D5F"/>
    <w:rsid w:val="00905DBE"/>
    <w:rsid w:val="00906312"/>
    <w:rsid w:val="009064A4"/>
    <w:rsid w:val="0090667F"/>
    <w:rsid w:val="00906F22"/>
    <w:rsid w:val="009070D3"/>
    <w:rsid w:val="0090742B"/>
    <w:rsid w:val="009074D4"/>
    <w:rsid w:val="00907DF8"/>
    <w:rsid w:val="009107CA"/>
    <w:rsid w:val="00910F96"/>
    <w:rsid w:val="0091157C"/>
    <w:rsid w:val="00911BE6"/>
    <w:rsid w:val="009121A3"/>
    <w:rsid w:val="009126EE"/>
    <w:rsid w:val="009128CE"/>
    <w:rsid w:val="00912C3C"/>
    <w:rsid w:val="0091371A"/>
    <w:rsid w:val="00913BD4"/>
    <w:rsid w:val="00914FBD"/>
    <w:rsid w:val="00915818"/>
    <w:rsid w:val="00915846"/>
    <w:rsid w:val="00916CB6"/>
    <w:rsid w:val="00916DF1"/>
    <w:rsid w:val="009174A4"/>
    <w:rsid w:val="00917D8D"/>
    <w:rsid w:val="00917E8F"/>
    <w:rsid w:val="009204AA"/>
    <w:rsid w:val="0092076E"/>
    <w:rsid w:val="00920890"/>
    <w:rsid w:val="009213BA"/>
    <w:rsid w:val="00922063"/>
    <w:rsid w:val="009222D0"/>
    <w:rsid w:val="00922645"/>
    <w:rsid w:val="00922DCA"/>
    <w:rsid w:val="009230D5"/>
    <w:rsid w:val="0092323F"/>
    <w:rsid w:val="009232CD"/>
    <w:rsid w:val="0092426E"/>
    <w:rsid w:val="009247BA"/>
    <w:rsid w:val="00924D99"/>
    <w:rsid w:val="00925124"/>
    <w:rsid w:val="00925488"/>
    <w:rsid w:val="00926218"/>
    <w:rsid w:val="009265C1"/>
    <w:rsid w:val="009266F7"/>
    <w:rsid w:val="00927D49"/>
    <w:rsid w:val="00930452"/>
    <w:rsid w:val="0093081E"/>
    <w:rsid w:val="00930B1B"/>
    <w:rsid w:val="00930CAA"/>
    <w:rsid w:val="00931709"/>
    <w:rsid w:val="0093188F"/>
    <w:rsid w:val="00931E56"/>
    <w:rsid w:val="009327E9"/>
    <w:rsid w:val="00933D79"/>
    <w:rsid w:val="00934400"/>
    <w:rsid w:val="00935818"/>
    <w:rsid w:val="00935911"/>
    <w:rsid w:val="0093599F"/>
    <w:rsid w:val="00935A1D"/>
    <w:rsid w:val="00935D9B"/>
    <w:rsid w:val="00936C69"/>
    <w:rsid w:val="00936CBE"/>
    <w:rsid w:val="00937379"/>
    <w:rsid w:val="00940F23"/>
    <w:rsid w:val="00940F24"/>
    <w:rsid w:val="0094128A"/>
    <w:rsid w:val="00941718"/>
    <w:rsid w:val="00941913"/>
    <w:rsid w:val="00942489"/>
    <w:rsid w:val="00942588"/>
    <w:rsid w:val="00942901"/>
    <w:rsid w:val="00942DD5"/>
    <w:rsid w:val="00942EDE"/>
    <w:rsid w:val="00943269"/>
    <w:rsid w:val="00944276"/>
    <w:rsid w:val="009443B2"/>
    <w:rsid w:val="00944BBE"/>
    <w:rsid w:val="00945744"/>
    <w:rsid w:val="00945909"/>
    <w:rsid w:val="00945B2A"/>
    <w:rsid w:val="00945ED5"/>
    <w:rsid w:val="009468A7"/>
    <w:rsid w:val="00947BE7"/>
    <w:rsid w:val="00947D0B"/>
    <w:rsid w:val="00947F95"/>
    <w:rsid w:val="00947FC4"/>
    <w:rsid w:val="00950EF6"/>
    <w:rsid w:val="00951251"/>
    <w:rsid w:val="009521E9"/>
    <w:rsid w:val="009523E7"/>
    <w:rsid w:val="0095241E"/>
    <w:rsid w:val="00952A31"/>
    <w:rsid w:val="00952ED5"/>
    <w:rsid w:val="0095340A"/>
    <w:rsid w:val="00954732"/>
    <w:rsid w:val="00954ECA"/>
    <w:rsid w:val="00954ECB"/>
    <w:rsid w:val="00956094"/>
    <w:rsid w:val="009562CA"/>
    <w:rsid w:val="009564C3"/>
    <w:rsid w:val="00956B24"/>
    <w:rsid w:val="00957367"/>
    <w:rsid w:val="00957DEE"/>
    <w:rsid w:val="00957E78"/>
    <w:rsid w:val="009600D2"/>
    <w:rsid w:val="009600F5"/>
    <w:rsid w:val="0096069A"/>
    <w:rsid w:val="00960B60"/>
    <w:rsid w:val="00961110"/>
    <w:rsid w:val="00961126"/>
    <w:rsid w:val="00961747"/>
    <w:rsid w:val="00961A9E"/>
    <w:rsid w:val="00961CDE"/>
    <w:rsid w:val="009625F8"/>
    <w:rsid w:val="009626F9"/>
    <w:rsid w:val="009630A9"/>
    <w:rsid w:val="00963378"/>
    <w:rsid w:val="0096380F"/>
    <w:rsid w:val="009639D1"/>
    <w:rsid w:val="00963DBC"/>
    <w:rsid w:val="00964090"/>
    <w:rsid w:val="00964A93"/>
    <w:rsid w:val="00964B2A"/>
    <w:rsid w:val="00964BF0"/>
    <w:rsid w:val="00965250"/>
    <w:rsid w:val="009658C1"/>
    <w:rsid w:val="00965E0A"/>
    <w:rsid w:val="00965F18"/>
    <w:rsid w:val="00966A04"/>
    <w:rsid w:val="00966B52"/>
    <w:rsid w:val="00966CDE"/>
    <w:rsid w:val="00967F32"/>
    <w:rsid w:val="00970399"/>
    <w:rsid w:val="00970AE1"/>
    <w:rsid w:val="00970EC5"/>
    <w:rsid w:val="00971B10"/>
    <w:rsid w:val="00971CCB"/>
    <w:rsid w:val="0097219C"/>
    <w:rsid w:val="009721A0"/>
    <w:rsid w:val="0097225D"/>
    <w:rsid w:val="009725DE"/>
    <w:rsid w:val="00972B0A"/>
    <w:rsid w:val="0097382A"/>
    <w:rsid w:val="0097382E"/>
    <w:rsid w:val="009754FE"/>
    <w:rsid w:val="009758BA"/>
    <w:rsid w:val="0097612A"/>
    <w:rsid w:val="00976EE7"/>
    <w:rsid w:val="00977299"/>
    <w:rsid w:val="00977A3D"/>
    <w:rsid w:val="00977A7C"/>
    <w:rsid w:val="00977DFC"/>
    <w:rsid w:val="00980E78"/>
    <w:rsid w:val="00981A7B"/>
    <w:rsid w:val="00981F2E"/>
    <w:rsid w:val="00982627"/>
    <w:rsid w:val="009826C4"/>
    <w:rsid w:val="00982E0F"/>
    <w:rsid w:val="00983808"/>
    <w:rsid w:val="00983C32"/>
    <w:rsid w:val="00984915"/>
    <w:rsid w:val="00984BFA"/>
    <w:rsid w:val="00984C0E"/>
    <w:rsid w:val="00985D7B"/>
    <w:rsid w:val="00986A41"/>
    <w:rsid w:val="00986B85"/>
    <w:rsid w:val="00986C4C"/>
    <w:rsid w:val="00986FB8"/>
    <w:rsid w:val="00987007"/>
    <w:rsid w:val="00987076"/>
    <w:rsid w:val="009875E1"/>
    <w:rsid w:val="0098799A"/>
    <w:rsid w:val="009879B4"/>
    <w:rsid w:val="0099037B"/>
    <w:rsid w:val="0099058F"/>
    <w:rsid w:val="00990BAE"/>
    <w:rsid w:val="00991043"/>
    <w:rsid w:val="00991ABC"/>
    <w:rsid w:val="00992CD7"/>
    <w:rsid w:val="009932EB"/>
    <w:rsid w:val="009933AE"/>
    <w:rsid w:val="009935C4"/>
    <w:rsid w:val="00994068"/>
    <w:rsid w:val="0099406E"/>
    <w:rsid w:val="009941E4"/>
    <w:rsid w:val="00995228"/>
    <w:rsid w:val="00995571"/>
    <w:rsid w:val="009958EC"/>
    <w:rsid w:val="00995C33"/>
    <w:rsid w:val="00996544"/>
    <w:rsid w:val="00996578"/>
    <w:rsid w:val="00996D3F"/>
    <w:rsid w:val="00996D9A"/>
    <w:rsid w:val="009979E1"/>
    <w:rsid w:val="00997D08"/>
    <w:rsid w:val="00997EBB"/>
    <w:rsid w:val="009A099D"/>
    <w:rsid w:val="009A10FA"/>
    <w:rsid w:val="009A1519"/>
    <w:rsid w:val="009A15BD"/>
    <w:rsid w:val="009A1B46"/>
    <w:rsid w:val="009A1D47"/>
    <w:rsid w:val="009A23E8"/>
    <w:rsid w:val="009A28A5"/>
    <w:rsid w:val="009A2E1C"/>
    <w:rsid w:val="009A30AD"/>
    <w:rsid w:val="009A3DC0"/>
    <w:rsid w:val="009A4092"/>
    <w:rsid w:val="009A412C"/>
    <w:rsid w:val="009A46E3"/>
    <w:rsid w:val="009A47DF"/>
    <w:rsid w:val="009A4B91"/>
    <w:rsid w:val="009A4E1B"/>
    <w:rsid w:val="009A505F"/>
    <w:rsid w:val="009A5FFB"/>
    <w:rsid w:val="009A6A8F"/>
    <w:rsid w:val="009A6CD3"/>
    <w:rsid w:val="009A7AAE"/>
    <w:rsid w:val="009A7B72"/>
    <w:rsid w:val="009B0085"/>
    <w:rsid w:val="009B0333"/>
    <w:rsid w:val="009B08D5"/>
    <w:rsid w:val="009B0C01"/>
    <w:rsid w:val="009B1295"/>
    <w:rsid w:val="009B13EA"/>
    <w:rsid w:val="009B1449"/>
    <w:rsid w:val="009B18CC"/>
    <w:rsid w:val="009B18ED"/>
    <w:rsid w:val="009B2372"/>
    <w:rsid w:val="009B23FF"/>
    <w:rsid w:val="009B2A74"/>
    <w:rsid w:val="009B32CF"/>
    <w:rsid w:val="009B33F3"/>
    <w:rsid w:val="009B3C82"/>
    <w:rsid w:val="009B4288"/>
    <w:rsid w:val="009B4C8B"/>
    <w:rsid w:val="009B5936"/>
    <w:rsid w:val="009B5C5C"/>
    <w:rsid w:val="009B5D2E"/>
    <w:rsid w:val="009B61D2"/>
    <w:rsid w:val="009B6AF8"/>
    <w:rsid w:val="009B7843"/>
    <w:rsid w:val="009B7AAC"/>
    <w:rsid w:val="009B7DB6"/>
    <w:rsid w:val="009B7DD7"/>
    <w:rsid w:val="009C0001"/>
    <w:rsid w:val="009C00FC"/>
    <w:rsid w:val="009C047D"/>
    <w:rsid w:val="009C0531"/>
    <w:rsid w:val="009C0A24"/>
    <w:rsid w:val="009C0BC6"/>
    <w:rsid w:val="009C1079"/>
    <w:rsid w:val="009C1A1A"/>
    <w:rsid w:val="009C2C8A"/>
    <w:rsid w:val="009C3283"/>
    <w:rsid w:val="009C42DE"/>
    <w:rsid w:val="009C435E"/>
    <w:rsid w:val="009C4A94"/>
    <w:rsid w:val="009C4E8D"/>
    <w:rsid w:val="009C50E8"/>
    <w:rsid w:val="009C5637"/>
    <w:rsid w:val="009C58FA"/>
    <w:rsid w:val="009C592B"/>
    <w:rsid w:val="009C59FE"/>
    <w:rsid w:val="009C64E0"/>
    <w:rsid w:val="009C6568"/>
    <w:rsid w:val="009C6E3A"/>
    <w:rsid w:val="009C6F04"/>
    <w:rsid w:val="009C76FA"/>
    <w:rsid w:val="009C7D5B"/>
    <w:rsid w:val="009C7E7A"/>
    <w:rsid w:val="009D057E"/>
    <w:rsid w:val="009D0E57"/>
    <w:rsid w:val="009D2B1E"/>
    <w:rsid w:val="009D2C6D"/>
    <w:rsid w:val="009D3228"/>
    <w:rsid w:val="009D3610"/>
    <w:rsid w:val="009D39E4"/>
    <w:rsid w:val="009D443E"/>
    <w:rsid w:val="009D4594"/>
    <w:rsid w:val="009D4A48"/>
    <w:rsid w:val="009D5BCF"/>
    <w:rsid w:val="009D5D2C"/>
    <w:rsid w:val="009D61F7"/>
    <w:rsid w:val="009D62DB"/>
    <w:rsid w:val="009D6575"/>
    <w:rsid w:val="009D6D8B"/>
    <w:rsid w:val="009D76C4"/>
    <w:rsid w:val="009D7911"/>
    <w:rsid w:val="009D7A39"/>
    <w:rsid w:val="009E0174"/>
    <w:rsid w:val="009E0558"/>
    <w:rsid w:val="009E1631"/>
    <w:rsid w:val="009E193F"/>
    <w:rsid w:val="009E256B"/>
    <w:rsid w:val="009E294A"/>
    <w:rsid w:val="009E30DF"/>
    <w:rsid w:val="009E31BF"/>
    <w:rsid w:val="009E392B"/>
    <w:rsid w:val="009E3F4E"/>
    <w:rsid w:val="009E465A"/>
    <w:rsid w:val="009E4A3B"/>
    <w:rsid w:val="009E4CA9"/>
    <w:rsid w:val="009E5106"/>
    <w:rsid w:val="009E5B27"/>
    <w:rsid w:val="009E5CB2"/>
    <w:rsid w:val="009E5EEC"/>
    <w:rsid w:val="009E66AE"/>
    <w:rsid w:val="009E6EFE"/>
    <w:rsid w:val="009F0480"/>
    <w:rsid w:val="009F0C00"/>
    <w:rsid w:val="009F0C5F"/>
    <w:rsid w:val="009F0E12"/>
    <w:rsid w:val="009F0FDF"/>
    <w:rsid w:val="009F108D"/>
    <w:rsid w:val="009F1B03"/>
    <w:rsid w:val="009F1D7A"/>
    <w:rsid w:val="009F1DFE"/>
    <w:rsid w:val="009F20E7"/>
    <w:rsid w:val="009F2485"/>
    <w:rsid w:val="009F2904"/>
    <w:rsid w:val="009F3284"/>
    <w:rsid w:val="009F33DA"/>
    <w:rsid w:val="009F3452"/>
    <w:rsid w:val="009F3CEB"/>
    <w:rsid w:val="009F4819"/>
    <w:rsid w:val="009F4C6E"/>
    <w:rsid w:val="009F4CC1"/>
    <w:rsid w:val="009F4CDB"/>
    <w:rsid w:val="009F4E26"/>
    <w:rsid w:val="009F522E"/>
    <w:rsid w:val="009F54DA"/>
    <w:rsid w:val="009F5507"/>
    <w:rsid w:val="009F5D11"/>
    <w:rsid w:val="009F5DD6"/>
    <w:rsid w:val="009F699A"/>
    <w:rsid w:val="009F6C72"/>
    <w:rsid w:val="009F6CDB"/>
    <w:rsid w:val="009F6DAF"/>
    <w:rsid w:val="009F73AA"/>
    <w:rsid w:val="009F7E26"/>
    <w:rsid w:val="00A00B86"/>
    <w:rsid w:val="00A00BBB"/>
    <w:rsid w:val="00A00EE7"/>
    <w:rsid w:val="00A013EC"/>
    <w:rsid w:val="00A014D0"/>
    <w:rsid w:val="00A02425"/>
    <w:rsid w:val="00A028C2"/>
    <w:rsid w:val="00A0304B"/>
    <w:rsid w:val="00A04B9F"/>
    <w:rsid w:val="00A04BB0"/>
    <w:rsid w:val="00A0521E"/>
    <w:rsid w:val="00A0522A"/>
    <w:rsid w:val="00A056DE"/>
    <w:rsid w:val="00A0652A"/>
    <w:rsid w:val="00A06788"/>
    <w:rsid w:val="00A06827"/>
    <w:rsid w:val="00A06BE7"/>
    <w:rsid w:val="00A06F61"/>
    <w:rsid w:val="00A06F6E"/>
    <w:rsid w:val="00A06FF4"/>
    <w:rsid w:val="00A07001"/>
    <w:rsid w:val="00A0721D"/>
    <w:rsid w:val="00A07324"/>
    <w:rsid w:val="00A07641"/>
    <w:rsid w:val="00A07D6D"/>
    <w:rsid w:val="00A07F58"/>
    <w:rsid w:val="00A1022C"/>
    <w:rsid w:val="00A102FF"/>
    <w:rsid w:val="00A10720"/>
    <w:rsid w:val="00A1084F"/>
    <w:rsid w:val="00A10EA3"/>
    <w:rsid w:val="00A1122E"/>
    <w:rsid w:val="00A11552"/>
    <w:rsid w:val="00A11C89"/>
    <w:rsid w:val="00A126A7"/>
    <w:rsid w:val="00A12AC1"/>
    <w:rsid w:val="00A13101"/>
    <w:rsid w:val="00A1328A"/>
    <w:rsid w:val="00A135BD"/>
    <w:rsid w:val="00A14164"/>
    <w:rsid w:val="00A144F1"/>
    <w:rsid w:val="00A146E5"/>
    <w:rsid w:val="00A14E98"/>
    <w:rsid w:val="00A1538F"/>
    <w:rsid w:val="00A15BC5"/>
    <w:rsid w:val="00A15C6C"/>
    <w:rsid w:val="00A15F45"/>
    <w:rsid w:val="00A1653A"/>
    <w:rsid w:val="00A1713E"/>
    <w:rsid w:val="00A174C0"/>
    <w:rsid w:val="00A17BC9"/>
    <w:rsid w:val="00A20396"/>
    <w:rsid w:val="00A20F03"/>
    <w:rsid w:val="00A210FA"/>
    <w:rsid w:val="00A217C1"/>
    <w:rsid w:val="00A219C2"/>
    <w:rsid w:val="00A2212B"/>
    <w:rsid w:val="00A22155"/>
    <w:rsid w:val="00A22BC5"/>
    <w:rsid w:val="00A240C1"/>
    <w:rsid w:val="00A248B4"/>
    <w:rsid w:val="00A24FC3"/>
    <w:rsid w:val="00A2532C"/>
    <w:rsid w:val="00A259BB"/>
    <w:rsid w:val="00A25F72"/>
    <w:rsid w:val="00A260BB"/>
    <w:rsid w:val="00A26118"/>
    <w:rsid w:val="00A2640D"/>
    <w:rsid w:val="00A2687A"/>
    <w:rsid w:val="00A26AB7"/>
    <w:rsid w:val="00A2735F"/>
    <w:rsid w:val="00A30325"/>
    <w:rsid w:val="00A30389"/>
    <w:rsid w:val="00A307C8"/>
    <w:rsid w:val="00A30E6D"/>
    <w:rsid w:val="00A31121"/>
    <w:rsid w:val="00A32AF5"/>
    <w:rsid w:val="00A32CE9"/>
    <w:rsid w:val="00A32DEF"/>
    <w:rsid w:val="00A33490"/>
    <w:rsid w:val="00A3373B"/>
    <w:rsid w:val="00A338A2"/>
    <w:rsid w:val="00A33E03"/>
    <w:rsid w:val="00A340F5"/>
    <w:rsid w:val="00A34BF5"/>
    <w:rsid w:val="00A36609"/>
    <w:rsid w:val="00A367C6"/>
    <w:rsid w:val="00A36F01"/>
    <w:rsid w:val="00A37814"/>
    <w:rsid w:val="00A378F8"/>
    <w:rsid w:val="00A37CF7"/>
    <w:rsid w:val="00A37F54"/>
    <w:rsid w:val="00A4033B"/>
    <w:rsid w:val="00A412D7"/>
    <w:rsid w:val="00A42554"/>
    <w:rsid w:val="00A4278C"/>
    <w:rsid w:val="00A429BC"/>
    <w:rsid w:val="00A42DCF"/>
    <w:rsid w:val="00A4308D"/>
    <w:rsid w:val="00A4362D"/>
    <w:rsid w:val="00A4470E"/>
    <w:rsid w:val="00A44A32"/>
    <w:rsid w:val="00A46989"/>
    <w:rsid w:val="00A46FB6"/>
    <w:rsid w:val="00A4714F"/>
    <w:rsid w:val="00A47625"/>
    <w:rsid w:val="00A478D7"/>
    <w:rsid w:val="00A47BA7"/>
    <w:rsid w:val="00A50057"/>
    <w:rsid w:val="00A518A7"/>
    <w:rsid w:val="00A52375"/>
    <w:rsid w:val="00A529EE"/>
    <w:rsid w:val="00A534B7"/>
    <w:rsid w:val="00A54398"/>
    <w:rsid w:val="00A54423"/>
    <w:rsid w:val="00A54698"/>
    <w:rsid w:val="00A55122"/>
    <w:rsid w:val="00A5660E"/>
    <w:rsid w:val="00A56BB6"/>
    <w:rsid w:val="00A57137"/>
    <w:rsid w:val="00A57771"/>
    <w:rsid w:val="00A57F4C"/>
    <w:rsid w:val="00A604B4"/>
    <w:rsid w:val="00A60A8D"/>
    <w:rsid w:val="00A60D21"/>
    <w:rsid w:val="00A611B4"/>
    <w:rsid w:val="00A6166C"/>
    <w:rsid w:val="00A61945"/>
    <w:rsid w:val="00A62226"/>
    <w:rsid w:val="00A6281E"/>
    <w:rsid w:val="00A6294C"/>
    <w:rsid w:val="00A62AF9"/>
    <w:rsid w:val="00A63E40"/>
    <w:rsid w:val="00A64BEE"/>
    <w:rsid w:val="00A656A1"/>
    <w:rsid w:val="00A6594F"/>
    <w:rsid w:val="00A65C84"/>
    <w:rsid w:val="00A668C2"/>
    <w:rsid w:val="00A67093"/>
    <w:rsid w:val="00A67729"/>
    <w:rsid w:val="00A67778"/>
    <w:rsid w:val="00A67D11"/>
    <w:rsid w:val="00A67D80"/>
    <w:rsid w:val="00A67E3E"/>
    <w:rsid w:val="00A70671"/>
    <w:rsid w:val="00A70A4B"/>
    <w:rsid w:val="00A70E0F"/>
    <w:rsid w:val="00A71123"/>
    <w:rsid w:val="00A713FE"/>
    <w:rsid w:val="00A71755"/>
    <w:rsid w:val="00A7176F"/>
    <w:rsid w:val="00A71C92"/>
    <w:rsid w:val="00A71EE4"/>
    <w:rsid w:val="00A7221E"/>
    <w:rsid w:val="00A72454"/>
    <w:rsid w:val="00A72558"/>
    <w:rsid w:val="00A72785"/>
    <w:rsid w:val="00A72A37"/>
    <w:rsid w:val="00A73073"/>
    <w:rsid w:val="00A7333D"/>
    <w:rsid w:val="00A7394C"/>
    <w:rsid w:val="00A741AB"/>
    <w:rsid w:val="00A74E8A"/>
    <w:rsid w:val="00A75092"/>
    <w:rsid w:val="00A75519"/>
    <w:rsid w:val="00A75735"/>
    <w:rsid w:val="00A7583C"/>
    <w:rsid w:val="00A75A85"/>
    <w:rsid w:val="00A76263"/>
    <w:rsid w:val="00A76517"/>
    <w:rsid w:val="00A76AA7"/>
    <w:rsid w:val="00A76C12"/>
    <w:rsid w:val="00A76EEC"/>
    <w:rsid w:val="00A77524"/>
    <w:rsid w:val="00A80351"/>
    <w:rsid w:val="00A807BB"/>
    <w:rsid w:val="00A8108B"/>
    <w:rsid w:val="00A81744"/>
    <w:rsid w:val="00A819AE"/>
    <w:rsid w:val="00A81CC7"/>
    <w:rsid w:val="00A81E90"/>
    <w:rsid w:val="00A8277B"/>
    <w:rsid w:val="00A829D6"/>
    <w:rsid w:val="00A82D12"/>
    <w:rsid w:val="00A830C0"/>
    <w:rsid w:val="00A833DD"/>
    <w:rsid w:val="00A83965"/>
    <w:rsid w:val="00A84BD7"/>
    <w:rsid w:val="00A84C04"/>
    <w:rsid w:val="00A85046"/>
    <w:rsid w:val="00A85BA9"/>
    <w:rsid w:val="00A85E7F"/>
    <w:rsid w:val="00A860B7"/>
    <w:rsid w:val="00A86699"/>
    <w:rsid w:val="00A877F0"/>
    <w:rsid w:val="00A87FE5"/>
    <w:rsid w:val="00A910B0"/>
    <w:rsid w:val="00A910D0"/>
    <w:rsid w:val="00A912E7"/>
    <w:rsid w:val="00A91491"/>
    <w:rsid w:val="00A91CBB"/>
    <w:rsid w:val="00A934F2"/>
    <w:rsid w:val="00A93534"/>
    <w:rsid w:val="00A935B3"/>
    <w:rsid w:val="00A938D8"/>
    <w:rsid w:val="00A9394D"/>
    <w:rsid w:val="00A93968"/>
    <w:rsid w:val="00A93C87"/>
    <w:rsid w:val="00A94883"/>
    <w:rsid w:val="00A955A0"/>
    <w:rsid w:val="00A956E5"/>
    <w:rsid w:val="00A95C30"/>
    <w:rsid w:val="00A96183"/>
    <w:rsid w:val="00A96B2B"/>
    <w:rsid w:val="00A97029"/>
    <w:rsid w:val="00A974D8"/>
    <w:rsid w:val="00A97835"/>
    <w:rsid w:val="00A97B4E"/>
    <w:rsid w:val="00A97BCB"/>
    <w:rsid w:val="00AA0141"/>
    <w:rsid w:val="00AA0C18"/>
    <w:rsid w:val="00AA10F8"/>
    <w:rsid w:val="00AA1671"/>
    <w:rsid w:val="00AA1855"/>
    <w:rsid w:val="00AA1C78"/>
    <w:rsid w:val="00AA1F2A"/>
    <w:rsid w:val="00AA20B1"/>
    <w:rsid w:val="00AA237D"/>
    <w:rsid w:val="00AA2406"/>
    <w:rsid w:val="00AA299F"/>
    <w:rsid w:val="00AA2F9B"/>
    <w:rsid w:val="00AA360F"/>
    <w:rsid w:val="00AA385A"/>
    <w:rsid w:val="00AA3AD7"/>
    <w:rsid w:val="00AA43A7"/>
    <w:rsid w:val="00AA4460"/>
    <w:rsid w:val="00AA5A9F"/>
    <w:rsid w:val="00AA6555"/>
    <w:rsid w:val="00AA6B9B"/>
    <w:rsid w:val="00AA6CC9"/>
    <w:rsid w:val="00AA700A"/>
    <w:rsid w:val="00AA750C"/>
    <w:rsid w:val="00AA7CF2"/>
    <w:rsid w:val="00AA7DBC"/>
    <w:rsid w:val="00AA7E02"/>
    <w:rsid w:val="00AB0082"/>
    <w:rsid w:val="00AB02A3"/>
    <w:rsid w:val="00AB080D"/>
    <w:rsid w:val="00AB10D7"/>
    <w:rsid w:val="00AB1119"/>
    <w:rsid w:val="00AB1349"/>
    <w:rsid w:val="00AB145F"/>
    <w:rsid w:val="00AB1824"/>
    <w:rsid w:val="00AB194C"/>
    <w:rsid w:val="00AB1E9E"/>
    <w:rsid w:val="00AB20B5"/>
    <w:rsid w:val="00AB26FD"/>
    <w:rsid w:val="00AB2CF7"/>
    <w:rsid w:val="00AB3684"/>
    <w:rsid w:val="00AB378B"/>
    <w:rsid w:val="00AB3F32"/>
    <w:rsid w:val="00AB42D7"/>
    <w:rsid w:val="00AB4386"/>
    <w:rsid w:val="00AB5635"/>
    <w:rsid w:val="00AB5E5B"/>
    <w:rsid w:val="00AB67C4"/>
    <w:rsid w:val="00AB67D6"/>
    <w:rsid w:val="00AB7180"/>
    <w:rsid w:val="00AB727E"/>
    <w:rsid w:val="00AB759A"/>
    <w:rsid w:val="00AB7F71"/>
    <w:rsid w:val="00AC02DB"/>
    <w:rsid w:val="00AC0C2E"/>
    <w:rsid w:val="00AC1994"/>
    <w:rsid w:val="00AC1BBE"/>
    <w:rsid w:val="00AC1E1D"/>
    <w:rsid w:val="00AC256B"/>
    <w:rsid w:val="00AC2A2F"/>
    <w:rsid w:val="00AC35E3"/>
    <w:rsid w:val="00AC43FA"/>
    <w:rsid w:val="00AC4BB6"/>
    <w:rsid w:val="00AC54EF"/>
    <w:rsid w:val="00AC594A"/>
    <w:rsid w:val="00AC6388"/>
    <w:rsid w:val="00AC63AE"/>
    <w:rsid w:val="00AC688F"/>
    <w:rsid w:val="00AC6B45"/>
    <w:rsid w:val="00AC78AF"/>
    <w:rsid w:val="00AC7E1D"/>
    <w:rsid w:val="00AD03AB"/>
    <w:rsid w:val="00AD0C51"/>
    <w:rsid w:val="00AD0E42"/>
    <w:rsid w:val="00AD0F98"/>
    <w:rsid w:val="00AD0FD5"/>
    <w:rsid w:val="00AD0FF5"/>
    <w:rsid w:val="00AD12FB"/>
    <w:rsid w:val="00AD1875"/>
    <w:rsid w:val="00AD18A7"/>
    <w:rsid w:val="00AD191D"/>
    <w:rsid w:val="00AD1BA3"/>
    <w:rsid w:val="00AD1FE0"/>
    <w:rsid w:val="00AD233E"/>
    <w:rsid w:val="00AD2A5A"/>
    <w:rsid w:val="00AD33C2"/>
    <w:rsid w:val="00AD33EB"/>
    <w:rsid w:val="00AD3B43"/>
    <w:rsid w:val="00AD40D3"/>
    <w:rsid w:val="00AD4D23"/>
    <w:rsid w:val="00AD4E48"/>
    <w:rsid w:val="00AD51CB"/>
    <w:rsid w:val="00AD5D4F"/>
    <w:rsid w:val="00AD5F4A"/>
    <w:rsid w:val="00AD629B"/>
    <w:rsid w:val="00AD7DCC"/>
    <w:rsid w:val="00AE088A"/>
    <w:rsid w:val="00AE1266"/>
    <w:rsid w:val="00AE1754"/>
    <w:rsid w:val="00AE1771"/>
    <w:rsid w:val="00AE17D5"/>
    <w:rsid w:val="00AE17E7"/>
    <w:rsid w:val="00AE1F83"/>
    <w:rsid w:val="00AE26D8"/>
    <w:rsid w:val="00AE2908"/>
    <w:rsid w:val="00AE2E83"/>
    <w:rsid w:val="00AE3080"/>
    <w:rsid w:val="00AE30C0"/>
    <w:rsid w:val="00AE31CC"/>
    <w:rsid w:val="00AE3F10"/>
    <w:rsid w:val="00AE46E2"/>
    <w:rsid w:val="00AE47F8"/>
    <w:rsid w:val="00AE494C"/>
    <w:rsid w:val="00AE511F"/>
    <w:rsid w:val="00AE5134"/>
    <w:rsid w:val="00AE558F"/>
    <w:rsid w:val="00AE5DDE"/>
    <w:rsid w:val="00AE5FEE"/>
    <w:rsid w:val="00AE632E"/>
    <w:rsid w:val="00AE6B26"/>
    <w:rsid w:val="00AE7112"/>
    <w:rsid w:val="00AE7303"/>
    <w:rsid w:val="00AE7C3F"/>
    <w:rsid w:val="00AE7D29"/>
    <w:rsid w:val="00AF06C3"/>
    <w:rsid w:val="00AF0C61"/>
    <w:rsid w:val="00AF0F2E"/>
    <w:rsid w:val="00AF13A4"/>
    <w:rsid w:val="00AF18E7"/>
    <w:rsid w:val="00AF2F89"/>
    <w:rsid w:val="00AF324B"/>
    <w:rsid w:val="00AF3417"/>
    <w:rsid w:val="00AF41B9"/>
    <w:rsid w:val="00AF4763"/>
    <w:rsid w:val="00AF4BFA"/>
    <w:rsid w:val="00AF4F00"/>
    <w:rsid w:val="00AF50C3"/>
    <w:rsid w:val="00AF58A6"/>
    <w:rsid w:val="00AF58ED"/>
    <w:rsid w:val="00AF59AA"/>
    <w:rsid w:val="00AF6077"/>
    <w:rsid w:val="00AF7A07"/>
    <w:rsid w:val="00AF7B8D"/>
    <w:rsid w:val="00AF7EDA"/>
    <w:rsid w:val="00AF7FF1"/>
    <w:rsid w:val="00B00476"/>
    <w:rsid w:val="00B008DE"/>
    <w:rsid w:val="00B00CA5"/>
    <w:rsid w:val="00B00E8A"/>
    <w:rsid w:val="00B0104A"/>
    <w:rsid w:val="00B014F9"/>
    <w:rsid w:val="00B01B4C"/>
    <w:rsid w:val="00B02298"/>
    <w:rsid w:val="00B03126"/>
    <w:rsid w:val="00B03383"/>
    <w:rsid w:val="00B036E6"/>
    <w:rsid w:val="00B03A0A"/>
    <w:rsid w:val="00B05929"/>
    <w:rsid w:val="00B0600A"/>
    <w:rsid w:val="00B0679B"/>
    <w:rsid w:val="00B06FC4"/>
    <w:rsid w:val="00B076CD"/>
    <w:rsid w:val="00B078E7"/>
    <w:rsid w:val="00B07CAE"/>
    <w:rsid w:val="00B10676"/>
    <w:rsid w:val="00B108BA"/>
    <w:rsid w:val="00B1101F"/>
    <w:rsid w:val="00B11468"/>
    <w:rsid w:val="00B11475"/>
    <w:rsid w:val="00B1152E"/>
    <w:rsid w:val="00B11951"/>
    <w:rsid w:val="00B122C2"/>
    <w:rsid w:val="00B122FE"/>
    <w:rsid w:val="00B12307"/>
    <w:rsid w:val="00B1260D"/>
    <w:rsid w:val="00B13697"/>
    <w:rsid w:val="00B1379A"/>
    <w:rsid w:val="00B13A3A"/>
    <w:rsid w:val="00B14432"/>
    <w:rsid w:val="00B14DA4"/>
    <w:rsid w:val="00B14E29"/>
    <w:rsid w:val="00B15090"/>
    <w:rsid w:val="00B15666"/>
    <w:rsid w:val="00B15B8E"/>
    <w:rsid w:val="00B16416"/>
    <w:rsid w:val="00B16858"/>
    <w:rsid w:val="00B168A8"/>
    <w:rsid w:val="00B1776E"/>
    <w:rsid w:val="00B1781E"/>
    <w:rsid w:val="00B201D5"/>
    <w:rsid w:val="00B20288"/>
    <w:rsid w:val="00B203F4"/>
    <w:rsid w:val="00B20570"/>
    <w:rsid w:val="00B20BAC"/>
    <w:rsid w:val="00B20BCD"/>
    <w:rsid w:val="00B210A0"/>
    <w:rsid w:val="00B21367"/>
    <w:rsid w:val="00B2137F"/>
    <w:rsid w:val="00B217B4"/>
    <w:rsid w:val="00B21C4F"/>
    <w:rsid w:val="00B21D6A"/>
    <w:rsid w:val="00B221F6"/>
    <w:rsid w:val="00B23090"/>
    <w:rsid w:val="00B23D28"/>
    <w:rsid w:val="00B2525E"/>
    <w:rsid w:val="00B252C3"/>
    <w:rsid w:val="00B253E4"/>
    <w:rsid w:val="00B254F5"/>
    <w:rsid w:val="00B258CA"/>
    <w:rsid w:val="00B2595D"/>
    <w:rsid w:val="00B25B51"/>
    <w:rsid w:val="00B2648C"/>
    <w:rsid w:val="00B26AD5"/>
    <w:rsid w:val="00B26B62"/>
    <w:rsid w:val="00B26BB3"/>
    <w:rsid w:val="00B26F9E"/>
    <w:rsid w:val="00B27928"/>
    <w:rsid w:val="00B279EC"/>
    <w:rsid w:val="00B3043D"/>
    <w:rsid w:val="00B31FD7"/>
    <w:rsid w:val="00B3223D"/>
    <w:rsid w:val="00B32D4B"/>
    <w:rsid w:val="00B32D9E"/>
    <w:rsid w:val="00B33900"/>
    <w:rsid w:val="00B33B32"/>
    <w:rsid w:val="00B33C16"/>
    <w:rsid w:val="00B34155"/>
    <w:rsid w:val="00B34577"/>
    <w:rsid w:val="00B345DF"/>
    <w:rsid w:val="00B352A8"/>
    <w:rsid w:val="00B35D61"/>
    <w:rsid w:val="00B36487"/>
    <w:rsid w:val="00B36566"/>
    <w:rsid w:val="00B36669"/>
    <w:rsid w:val="00B36C09"/>
    <w:rsid w:val="00B36FA7"/>
    <w:rsid w:val="00B37164"/>
    <w:rsid w:val="00B37EBF"/>
    <w:rsid w:val="00B405C6"/>
    <w:rsid w:val="00B406AB"/>
    <w:rsid w:val="00B408E4"/>
    <w:rsid w:val="00B40AD6"/>
    <w:rsid w:val="00B41327"/>
    <w:rsid w:val="00B413D8"/>
    <w:rsid w:val="00B4144B"/>
    <w:rsid w:val="00B4155D"/>
    <w:rsid w:val="00B4160C"/>
    <w:rsid w:val="00B4267F"/>
    <w:rsid w:val="00B43200"/>
    <w:rsid w:val="00B43634"/>
    <w:rsid w:val="00B438B7"/>
    <w:rsid w:val="00B43BBA"/>
    <w:rsid w:val="00B44362"/>
    <w:rsid w:val="00B44616"/>
    <w:rsid w:val="00B446CE"/>
    <w:rsid w:val="00B44771"/>
    <w:rsid w:val="00B4491F"/>
    <w:rsid w:val="00B450D6"/>
    <w:rsid w:val="00B45328"/>
    <w:rsid w:val="00B45E09"/>
    <w:rsid w:val="00B45F8E"/>
    <w:rsid w:val="00B4642D"/>
    <w:rsid w:val="00B46699"/>
    <w:rsid w:val="00B46ECC"/>
    <w:rsid w:val="00B47BC4"/>
    <w:rsid w:val="00B50DCD"/>
    <w:rsid w:val="00B50F59"/>
    <w:rsid w:val="00B51044"/>
    <w:rsid w:val="00B5129D"/>
    <w:rsid w:val="00B51F83"/>
    <w:rsid w:val="00B524AC"/>
    <w:rsid w:val="00B53195"/>
    <w:rsid w:val="00B53BAD"/>
    <w:rsid w:val="00B55222"/>
    <w:rsid w:val="00B559D3"/>
    <w:rsid w:val="00B5621A"/>
    <w:rsid w:val="00B56383"/>
    <w:rsid w:val="00B56BF7"/>
    <w:rsid w:val="00B56C92"/>
    <w:rsid w:val="00B578E8"/>
    <w:rsid w:val="00B6088B"/>
    <w:rsid w:val="00B60E78"/>
    <w:rsid w:val="00B61070"/>
    <w:rsid w:val="00B6154F"/>
    <w:rsid w:val="00B615CA"/>
    <w:rsid w:val="00B61C0F"/>
    <w:rsid w:val="00B61F75"/>
    <w:rsid w:val="00B62AD0"/>
    <w:rsid w:val="00B62B58"/>
    <w:rsid w:val="00B62DE8"/>
    <w:rsid w:val="00B643A4"/>
    <w:rsid w:val="00B647AE"/>
    <w:rsid w:val="00B64955"/>
    <w:rsid w:val="00B65229"/>
    <w:rsid w:val="00B65770"/>
    <w:rsid w:val="00B65B77"/>
    <w:rsid w:val="00B66098"/>
    <w:rsid w:val="00B6656B"/>
    <w:rsid w:val="00B6660A"/>
    <w:rsid w:val="00B66C30"/>
    <w:rsid w:val="00B66D60"/>
    <w:rsid w:val="00B67B5B"/>
    <w:rsid w:val="00B67E8F"/>
    <w:rsid w:val="00B70344"/>
    <w:rsid w:val="00B70624"/>
    <w:rsid w:val="00B70CAE"/>
    <w:rsid w:val="00B70D12"/>
    <w:rsid w:val="00B71563"/>
    <w:rsid w:val="00B717CD"/>
    <w:rsid w:val="00B71F2F"/>
    <w:rsid w:val="00B725A9"/>
    <w:rsid w:val="00B729C9"/>
    <w:rsid w:val="00B72E57"/>
    <w:rsid w:val="00B730FD"/>
    <w:rsid w:val="00B7378D"/>
    <w:rsid w:val="00B737B8"/>
    <w:rsid w:val="00B738B4"/>
    <w:rsid w:val="00B739C3"/>
    <w:rsid w:val="00B7457D"/>
    <w:rsid w:val="00B74811"/>
    <w:rsid w:val="00B752B1"/>
    <w:rsid w:val="00B755E1"/>
    <w:rsid w:val="00B7564F"/>
    <w:rsid w:val="00B757E7"/>
    <w:rsid w:val="00B762BA"/>
    <w:rsid w:val="00B767C9"/>
    <w:rsid w:val="00B80BB3"/>
    <w:rsid w:val="00B81AE9"/>
    <w:rsid w:val="00B824EF"/>
    <w:rsid w:val="00B825D9"/>
    <w:rsid w:val="00B82724"/>
    <w:rsid w:val="00B8289E"/>
    <w:rsid w:val="00B82EC5"/>
    <w:rsid w:val="00B83572"/>
    <w:rsid w:val="00B83D00"/>
    <w:rsid w:val="00B8420C"/>
    <w:rsid w:val="00B84E52"/>
    <w:rsid w:val="00B84E72"/>
    <w:rsid w:val="00B856CA"/>
    <w:rsid w:val="00B85878"/>
    <w:rsid w:val="00B85F1F"/>
    <w:rsid w:val="00B8615D"/>
    <w:rsid w:val="00B86664"/>
    <w:rsid w:val="00B8706B"/>
    <w:rsid w:val="00B873D1"/>
    <w:rsid w:val="00B87671"/>
    <w:rsid w:val="00B876EC"/>
    <w:rsid w:val="00B87E5B"/>
    <w:rsid w:val="00B90A70"/>
    <w:rsid w:val="00B90F5F"/>
    <w:rsid w:val="00B910EC"/>
    <w:rsid w:val="00B91896"/>
    <w:rsid w:val="00B91A73"/>
    <w:rsid w:val="00B91B8C"/>
    <w:rsid w:val="00B9274E"/>
    <w:rsid w:val="00B92BF3"/>
    <w:rsid w:val="00B9382A"/>
    <w:rsid w:val="00B93A39"/>
    <w:rsid w:val="00B93EB7"/>
    <w:rsid w:val="00B93EBA"/>
    <w:rsid w:val="00B94889"/>
    <w:rsid w:val="00B94D74"/>
    <w:rsid w:val="00B94E1F"/>
    <w:rsid w:val="00B94FFE"/>
    <w:rsid w:val="00B95620"/>
    <w:rsid w:val="00B9570A"/>
    <w:rsid w:val="00B95B09"/>
    <w:rsid w:val="00B96ED9"/>
    <w:rsid w:val="00B9721D"/>
    <w:rsid w:val="00B973CA"/>
    <w:rsid w:val="00B976CB"/>
    <w:rsid w:val="00B97995"/>
    <w:rsid w:val="00B97E05"/>
    <w:rsid w:val="00BA1044"/>
    <w:rsid w:val="00BA132C"/>
    <w:rsid w:val="00BA19BC"/>
    <w:rsid w:val="00BA21D2"/>
    <w:rsid w:val="00BA30E2"/>
    <w:rsid w:val="00BA339C"/>
    <w:rsid w:val="00BA4F92"/>
    <w:rsid w:val="00BA51AA"/>
    <w:rsid w:val="00BA5974"/>
    <w:rsid w:val="00BA5AF1"/>
    <w:rsid w:val="00BA5F37"/>
    <w:rsid w:val="00BA602D"/>
    <w:rsid w:val="00BA7BEE"/>
    <w:rsid w:val="00BA7E25"/>
    <w:rsid w:val="00BB010B"/>
    <w:rsid w:val="00BB079E"/>
    <w:rsid w:val="00BB156F"/>
    <w:rsid w:val="00BB2194"/>
    <w:rsid w:val="00BB23F4"/>
    <w:rsid w:val="00BB265D"/>
    <w:rsid w:val="00BB2A85"/>
    <w:rsid w:val="00BB31DC"/>
    <w:rsid w:val="00BB3C1D"/>
    <w:rsid w:val="00BB40C2"/>
    <w:rsid w:val="00BB42FE"/>
    <w:rsid w:val="00BB462A"/>
    <w:rsid w:val="00BB4F04"/>
    <w:rsid w:val="00BB58AF"/>
    <w:rsid w:val="00BB5DDB"/>
    <w:rsid w:val="00BB5DE4"/>
    <w:rsid w:val="00BB60E9"/>
    <w:rsid w:val="00BB62DF"/>
    <w:rsid w:val="00BB639D"/>
    <w:rsid w:val="00BB6BB5"/>
    <w:rsid w:val="00BB71DE"/>
    <w:rsid w:val="00BB74A3"/>
    <w:rsid w:val="00BB764E"/>
    <w:rsid w:val="00BC0234"/>
    <w:rsid w:val="00BC0247"/>
    <w:rsid w:val="00BC0337"/>
    <w:rsid w:val="00BC0875"/>
    <w:rsid w:val="00BC0A6E"/>
    <w:rsid w:val="00BC0C59"/>
    <w:rsid w:val="00BC0D11"/>
    <w:rsid w:val="00BC144F"/>
    <w:rsid w:val="00BC15BA"/>
    <w:rsid w:val="00BC1E3D"/>
    <w:rsid w:val="00BC3E80"/>
    <w:rsid w:val="00BC3FE0"/>
    <w:rsid w:val="00BC457A"/>
    <w:rsid w:val="00BC4D27"/>
    <w:rsid w:val="00BC5EC5"/>
    <w:rsid w:val="00BC6273"/>
    <w:rsid w:val="00BC6B15"/>
    <w:rsid w:val="00BC6C61"/>
    <w:rsid w:val="00BC6D02"/>
    <w:rsid w:val="00BC7E1C"/>
    <w:rsid w:val="00BD03F0"/>
    <w:rsid w:val="00BD0562"/>
    <w:rsid w:val="00BD06D5"/>
    <w:rsid w:val="00BD07B0"/>
    <w:rsid w:val="00BD0A7E"/>
    <w:rsid w:val="00BD0B3F"/>
    <w:rsid w:val="00BD1706"/>
    <w:rsid w:val="00BD17AD"/>
    <w:rsid w:val="00BD1F1E"/>
    <w:rsid w:val="00BD1FEB"/>
    <w:rsid w:val="00BD2006"/>
    <w:rsid w:val="00BD24CB"/>
    <w:rsid w:val="00BD280F"/>
    <w:rsid w:val="00BD320C"/>
    <w:rsid w:val="00BD3662"/>
    <w:rsid w:val="00BD4177"/>
    <w:rsid w:val="00BD5009"/>
    <w:rsid w:val="00BD5511"/>
    <w:rsid w:val="00BD5927"/>
    <w:rsid w:val="00BD597D"/>
    <w:rsid w:val="00BD5B10"/>
    <w:rsid w:val="00BD5B9C"/>
    <w:rsid w:val="00BD5F44"/>
    <w:rsid w:val="00BD615F"/>
    <w:rsid w:val="00BD65EE"/>
    <w:rsid w:val="00BD7D1A"/>
    <w:rsid w:val="00BE03C4"/>
    <w:rsid w:val="00BE0D10"/>
    <w:rsid w:val="00BE1091"/>
    <w:rsid w:val="00BE1A86"/>
    <w:rsid w:val="00BE1B8B"/>
    <w:rsid w:val="00BE1E2F"/>
    <w:rsid w:val="00BE1EBF"/>
    <w:rsid w:val="00BE1F00"/>
    <w:rsid w:val="00BE20E9"/>
    <w:rsid w:val="00BE2CDB"/>
    <w:rsid w:val="00BE3A54"/>
    <w:rsid w:val="00BE3FB2"/>
    <w:rsid w:val="00BE426D"/>
    <w:rsid w:val="00BE4AA5"/>
    <w:rsid w:val="00BE4FDE"/>
    <w:rsid w:val="00BE521B"/>
    <w:rsid w:val="00BE59AE"/>
    <w:rsid w:val="00BE64B4"/>
    <w:rsid w:val="00BE6FF8"/>
    <w:rsid w:val="00BE7CA3"/>
    <w:rsid w:val="00BF047E"/>
    <w:rsid w:val="00BF07FE"/>
    <w:rsid w:val="00BF101A"/>
    <w:rsid w:val="00BF105C"/>
    <w:rsid w:val="00BF171F"/>
    <w:rsid w:val="00BF2306"/>
    <w:rsid w:val="00BF2A7E"/>
    <w:rsid w:val="00BF2E88"/>
    <w:rsid w:val="00BF3333"/>
    <w:rsid w:val="00BF4111"/>
    <w:rsid w:val="00BF4F01"/>
    <w:rsid w:val="00BF5F62"/>
    <w:rsid w:val="00BF6077"/>
    <w:rsid w:val="00BF66FA"/>
    <w:rsid w:val="00BF67A2"/>
    <w:rsid w:val="00BF6A8F"/>
    <w:rsid w:val="00BF6ADB"/>
    <w:rsid w:val="00BF759E"/>
    <w:rsid w:val="00BF7D08"/>
    <w:rsid w:val="00C00690"/>
    <w:rsid w:val="00C007C3"/>
    <w:rsid w:val="00C00A48"/>
    <w:rsid w:val="00C011D5"/>
    <w:rsid w:val="00C01FB4"/>
    <w:rsid w:val="00C02003"/>
    <w:rsid w:val="00C02BA6"/>
    <w:rsid w:val="00C02F54"/>
    <w:rsid w:val="00C032F7"/>
    <w:rsid w:val="00C034D6"/>
    <w:rsid w:val="00C0432A"/>
    <w:rsid w:val="00C04AB8"/>
    <w:rsid w:val="00C05862"/>
    <w:rsid w:val="00C05AD3"/>
    <w:rsid w:val="00C06481"/>
    <w:rsid w:val="00C078BE"/>
    <w:rsid w:val="00C10388"/>
    <w:rsid w:val="00C104DA"/>
    <w:rsid w:val="00C10C29"/>
    <w:rsid w:val="00C10D2A"/>
    <w:rsid w:val="00C1133E"/>
    <w:rsid w:val="00C11585"/>
    <w:rsid w:val="00C118F3"/>
    <w:rsid w:val="00C11C28"/>
    <w:rsid w:val="00C11DFF"/>
    <w:rsid w:val="00C12CAC"/>
    <w:rsid w:val="00C12EB4"/>
    <w:rsid w:val="00C13799"/>
    <w:rsid w:val="00C13C07"/>
    <w:rsid w:val="00C13FDE"/>
    <w:rsid w:val="00C1400B"/>
    <w:rsid w:val="00C14206"/>
    <w:rsid w:val="00C15A82"/>
    <w:rsid w:val="00C15D43"/>
    <w:rsid w:val="00C15FDE"/>
    <w:rsid w:val="00C169EF"/>
    <w:rsid w:val="00C16A87"/>
    <w:rsid w:val="00C16AA5"/>
    <w:rsid w:val="00C16C4B"/>
    <w:rsid w:val="00C16EEA"/>
    <w:rsid w:val="00C16F3B"/>
    <w:rsid w:val="00C17229"/>
    <w:rsid w:val="00C17400"/>
    <w:rsid w:val="00C1742F"/>
    <w:rsid w:val="00C200AA"/>
    <w:rsid w:val="00C20216"/>
    <w:rsid w:val="00C20291"/>
    <w:rsid w:val="00C20CC3"/>
    <w:rsid w:val="00C21CAC"/>
    <w:rsid w:val="00C2262B"/>
    <w:rsid w:val="00C23844"/>
    <w:rsid w:val="00C23A7B"/>
    <w:rsid w:val="00C23B02"/>
    <w:rsid w:val="00C23B71"/>
    <w:rsid w:val="00C23BB8"/>
    <w:rsid w:val="00C23E53"/>
    <w:rsid w:val="00C24F3C"/>
    <w:rsid w:val="00C25356"/>
    <w:rsid w:val="00C25628"/>
    <w:rsid w:val="00C256DA"/>
    <w:rsid w:val="00C2591C"/>
    <w:rsid w:val="00C262DB"/>
    <w:rsid w:val="00C26CEA"/>
    <w:rsid w:val="00C271C2"/>
    <w:rsid w:val="00C27474"/>
    <w:rsid w:val="00C30E4B"/>
    <w:rsid w:val="00C31FA4"/>
    <w:rsid w:val="00C323E7"/>
    <w:rsid w:val="00C32418"/>
    <w:rsid w:val="00C327AF"/>
    <w:rsid w:val="00C3315E"/>
    <w:rsid w:val="00C33409"/>
    <w:rsid w:val="00C33567"/>
    <w:rsid w:val="00C33F95"/>
    <w:rsid w:val="00C3489E"/>
    <w:rsid w:val="00C34FD9"/>
    <w:rsid w:val="00C353C4"/>
    <w:rsid w:val="00C3643D"/>
    <w:rsid w:val="00C36AE5"/>
    <w:rsid w:val="00C36EC3"/>
    <w:rsid w:val="00C36F4D"/>
    <w:rsid w:val="00C37043"/>
    <w:rsid w:val="00C3746D"/>
    <w:rsid w:val="00C3749D"/>
    <w:rsid w:val="00C37579"/>
    <w:rsid w:val="00C37778"/>
    <w:rsid w:val="00C37BA1"/>
    <w:rsid w:val="00C37D33"/>
    <w:rsid w:val="00C40256"/>
    <w:rsid w:val="00C41384"/>
    <w:rsid w:val="00C413CB"/>
    <w:rsid w:val="00C415C0"/>
    <w:rsid w:val="00C41B95"/>
    <w:rsid w:val="00C42898"/>
    <w:rsid w:val="00C428B9"/>
    <w:rsid w:val="00C42B44"/>
    <w:rsid w:val="00C42D16"/>
    <w:rsid w:val="00C43859"/>
    <w:rsid w:val="00C43A96"/>
    <w:rsid w:val="00C43C19"/>
    <w:rsid w:val="00C43EBD"/>
    <w:rsid w:val="00C440D6"/>
    <w:rsid w:val="00C45059"/>
    <w:rsid w:val="00C45920"/>
    <w:rsid w:val="00C45DE6"/>
    <w:rsid w:val="00C45FD1"/>
    <w:rsid w:val="00C46177"/>
    <w:rsid w:val="00C46184"/>
    <w:rsid w:val="00C47049"/>
    <w:rsid w:val="00C47774"/>
    <w:rsid w:val="00C47AB5"/>
    <w:rsid w:val="00C47C11"/>
    <w:rsid w:val="00C50D94"/>
    <w:rsid w:val="00C50EFA"/>
    <w:rsid w:val="00C512CD"/>
    <w:rsid w:val="00C51421"/>
    <w:rsid w:val="00C51431"/>
    <w:rsid w:val="00C51D34"/>
    <w:rsid w:val="00C52150"/>
    <w:rsid w:val="00C5234B"/>
    <w:rsid w:val="00C52D5A"/>
    <w:rsid w:val="00C53BEE"/>
    <w:rsid w:val="00C53F51"/>
    <w:rsid w:val="00C543FD"/>
    <w:rsid w:val="00C544B1"/>
    <w:rsid w:val="00C544B8"/>
    <w:rsid w:val="00C5471A"/>
    <w:rsid w:val="00C54897"/>
    <w:rsid w:val="00C54D51"/>
    <w:rsid w:val="00C55607"/>
    <w:rsid w:val="00C55675"/>
    <w:rsid w:val="00C559AD"/>
    <w:rsid w:val="00C55A69"/>
    <w:rsid w:val="00C55A84"/>
    <w:rsid w:val="00C55AF3"/>
    <w:rsid w:val="00C564FC"/>
    <w:rsid w:val="00C56520"/>
    <w:rsid w:val="00C567B0"/>
    <w:rsid w:val="00C571F1"/>
    <w:rsid w:val="00C57290"/>
    <w:rsid w:val="00C57B20"/>
    <w:rsid w:val="00C57F3F"/>
    <w:rsid w:val="00C60C56"/>
    <w:rsid w:val="00C61634"/>
    <w:rsid w:val="00C622BF"/>
    <w:rsid w:val="00C6256C"/>
    <w:rsid w:val="00C62C9B"/>
    <w:rsid w:val="00C63822"/>
    <w:rsid w:val="00C63B17"/>
    <w:rsid w:val="00C63E48"/>
    <w:rsid w:val="00C640D5"/>
    <w:rsid w:val="00C6483C"/>
    <w:rsid w:val="00C64964"/>
    <w:rsid w:val="00C64BD3"/>
    <w:rsid w:val="00C64C9A"/>
    <w:rsid w:val="00C64DF9"/>
    <w:rsid w:val="00C65079"/>
    <w:rsid w:val="00C6531D"/>
    <w:rsid w:val="00C65913"/>
    <w:rsid w:val="00C65F3A"/>
    <w:rsid w:val="00C666BB"/>
    <w:rsid w:val="00C6699B"/>
    <w:rsid w:val="00C6753C"/>
    <w:rsid w:val="00C676BF"/>
    <w:rsid w:val="00C7115F"/>
    <w:rsid w:val="00C715F2"/>
    <w:rsid w:val="00C716F8"/>
    <w:rsid w:val="00C71825"/>
    <w:rsid w:val="00C71E20"/>
    <w:rsid w:val="00C737CF"/>
    <w:rsid w:val="00C73D4A"/>
    <w:rsid w:val="00C73E6E"/>
    <w:rsid w:val="00C73F1A"/>
    <w:rsid w:val="00C74990"/>
    <w:rsid w:val="00C74CF6"/>
    <w:rsid w:val="00C74D19"/>
    <w:rsid w:val="00C74EEB"/>
    <w:rsid w:val="00C75314"/>
    <w:rsid w:val="00C76753"/>
    <w:rsid w:val="00C76833"/>
    <w:rsid w:val="00C76CC6"/>
    <w:rsid w:val="00C77768"/>
    <w:rsid w:val="00C77A0B"/>
    <w:rsid w:val="00C77E83"/>
    <w:rsid w:val="00C800A6"/>
    <w:rsid w:val="00C8016F"/>
    <w:rsid w:val="00C80275"/>
    <w:rsid w:val="00C80729"/>
    <w:rsid w:val="00C809CC"/>
    <w:rsid w:val="00C80EA8"/>
    <w:rsid w:val="00C81F55"/>
    <w:rsid w:val="00C82975"/>
    <w:rsid w:val="00C829EA"/>
    <w:rsid w:val="00C834FC"/>
    <w:rsid w:val="00C83663"/>
    <w:rsid w:val="00C83B94"/>
    <w:rsid w:val="00C83D04"/>
    <w:rsid w:val="00C83E72"/>
    <w:rsid w:val="00C844E8"/>
    <w:rsid w:val="00C84547"/>
    <w:rsid w:val="00C84966"/>
    <w:rsid w:val="00C850B4"/>
    <w:rsid w:val="00C85607"/>
    <w:rsid w:val="00C85755"/>
    <w:rsid w:val="00C8598A"/>
    <w:rsid w:val="00C85A68"/>
    <w:rsid w:val="00C85F41"/>
    <w:rsid w:val="00C8601D"/>
    <w:rsid w:val="00C86A54"/>
    <w:rsid w:val="00C86F22"/>
    <w:rsid w:val="00C873CB"/>
    <w:rsid w:val="00C8746D"/>
    <w:rsid w:val="00C87627"/>
    <w:rsid w:val="00C87DBA"/>
    <w:rsid w:val="00C9048C"/>
    <w:rsid w:val="00C90754"/>
    <w:rsid w:val="00C90B12"/>
    <w:rsid w:val="00C90C5F"/>
    <w:rsid w:val="00C92C2B"/>
    <w:rsid w:val="00C92C45"/>
    <w:rsid w:val="00C92D88"/>
    <w:rsid w:val="00C92E22"/>
    <w:rsid w:val="00C93467"/>
    <w:rsid w:val="00C9358E"/>
    <w:rsid w:val="00C9400F"/>
    <w:rsid w:val="00C94120"/>
    <w:rsid w:val="00C9485B"/>
    <w:rsid w:val="00C94E5A"/>
    <w:rsid w:val="00C94F64"/>
    <w:rsid w:val="00C953C9"/>
    <w:rsid w:val="00C95803"/>
    <w:rsid w:val="00C96270"/>
    <w:rsid w:val="00C963AC"/>
    <w:rsid w:val="00C963F5"/>
    <w:rsid w:val="00C96A73"/>
    <w:rsid w:val="00C96C26"/>
    <w:rsid w:val="00C973DB"/>
    <w:rsid w:val="00C97728"/>
    <w:rsid w:val="00C97817"/>
    <w:rsid w:val="00C979FF"/>
    <w:rsid w:val="00CA025B"/>
    <w:rsid w:val="00CA096A"/>
    <w:rsid w:val="00CA13BC"/>
    <w:rsid w:val="00CA145F"/>
    <w:rsid w:val="00CA16BF"/>
    <w:rsid w:val="00CA1E0C"/>
    <w:rsid w:val="00CA2303"/>
    <w:rsid w:val="00CA366C"/>
    <w:rsid w:val="00CA369B"/>
    <w:rsid w:val="00CA3994"/>
    <w:rsid w:val="00CA3CED"/>
    <w:rsid w:val="00CA4C5F"/>
    <w:rsid w:val="00CA5892"/>
    <w:rsid w:val="00CA6B28"/>
    <w:rsid w:val="00CA6B3A"/>
    <w:rsid w:val="00CA6D41"/>
    <w:rsid w:val="00CA7181"/>
    <w:rsid w:val="00CA74A0"/>
    <w:rsid w:val="00CA778D"/>
    <w:rsid w:val="00CA794A"/>
    <w:rsid w:val="00CA7F2A"/>
    <w:rsid w:val="00CB0431"/>
    <w:rsid w:val="00CB0457"/>
    <w:rsid w:val="00CB04B6"/>
    <w:rsid w:val="00CB0C4C"/>
    <w:rsid w:val="00CB0D7A"/>
    <w:rsid w:val="00CB0EE1"/>
    <w:rsid w:val="00CB18D0"/>
    <w:rsid w:val="00CB1D3F"/>
    <w:rsid w:val="00CB1F61"/>
    <w:rsid w:val="00CB2197"/>
    <w:rsid w:val="00CB2E2B"/>
    <w:rsid w:val="00CB3809"/>
    <w:rsid w:val="00CB3D60"/>
    <w:rsid w:val="00CB453A"/>
    <w:rsid w:val="00CB50D2"/>
    <w:rsid w:val="00CB52FF"/>
    <w:rsid w:val="00CB5C76"/>
    <w:rsid w:val="00CB7309"/>
    <w:rsid w:val="00CB7576"/>
    <w:rsid w:val="00CC0063"/>
    <w:rsid w:val="00CC0585"/>
    <w:rsid w:val="00CC065E"/>
    <w:rsid w:val="00CC0831"/>
    <w:rsid w:val="00CC0B7E"/>
    <w:rsid w:val="00CC1116"/>
    <w:rsid w:val="00CC18A8"/>
    <w:rsid w:val="00CC21B1"/>
    <w:rsid w:val="00CC2510"/>
    <w:rsid w:val="00CC3456"/>
    <w:rsid w:val="00CC4002"/>
    <w:rsid w:val="00CC41CA"/>
    <w:rsid w:val="00CC441F"/>
    <w:rsid w:val="00CC535E"/>
    <w:rsid w:val="00CC5671"/>
    <w:rsid w:val="00CC6232"/>
    <w:rsid w:val="00CC6984"/>
    <w:rsid w:val="00CC7A68"/>
    <w:rsid w:val="00CC7B39"/>
    <w:rsid w:val="00CD0393"/>
    <w:rsid w:val="00CD03A0"/>
    <w:rsid w:val="00CD0A8F"/>
    <w:rsid w:val="00CD100C"/>
    <w:rsid w:val="00CD1103"/>
    <w:rsid w:val="00CD16D1"/>
    <w:rsid w:val="00CD1E21"/>
    <w:rsid w:val="00CD21CD"/>
    <w:rsid w:val="00CD2638"/>
    <w:rsid w:val="00CD2BC4"/>
    <w:rsid w:val="00CD33E7"/>
    <w:rsid w:val="00CD33F3"/>
    <w:rsid w:val="00CD34C4"/>
    <w:rsid w:val="00CD401E"/>
    <w:rsid w:val="00CD4240"/>
    <w:rsid w:val="00CD4EDE"/>
    <w:rsid w:val="00CD5047"/>
    <w:rsid w:val="00CD5779"/>
    <w:rsid w:val="00CD6170"/>
    <w:rsid w:val="00CD6527"/>
    <w:rsid w:val="00CD6B54"/>
    <w:rsid w:val="00CD6E6A"/>
    <w:rsid w:val="00CE0AEE"/>
    <w:rsid w:val="00CE13A3"/>
    <w:rsid w:val="00CE242F"/>
    <w:rsid w:val="00CE2C56"/>
    <w:rsid w:val="00CE3334"/>
    <w:rsid w:val="00CE3646"/>
    <w:rsid w:val="00CE3814"/>
    <w:rsid w:val="00CE3816"/>
    <w:rsid w:val="00CE44A4"/>
    <w:rsid w:val="00CE4C8F"/>
    <w:rsid w:val="00CE4DA0"/>
    <w:rsid w:val="00CE5373"/>
    <w:rsid w:val="00CE5647"/>
    <w:rsid w:val="00CE60D5"/>
    <w:rsid w:val="00CE66E6"/>
    <w:rsid w:val="00CE69A5"/>
    <w:rsid w:val="00CE7205"/>
    <w:rsid w:val="00CE75A1"/>
    <w:rsid w:val="00CE7FCC"/>
    <w:rsid w:val="00CF3777"/>
    <w:rsid w:val="00CF4C25"/>
    <w:rsid w:val="00CF4E13"/>
    <w:rsid w:val="00CF5726"/>
    <w:rsid w:val="00CF5F04"/>
    <w:rsid w:val="00CF5F89"/>
    <w:rsid w:val="00CF640E"/>
    <w:rsid w:val="00CF648F"/>
    <w:rsid w:val="00CF67C6"/>
    <w:rsid w:val="00CF7950"/>
    <w:rsid w:val="00CF7F6B"/>
    <w:rsid w:val="00D00126"/>
    <w:rsid w:val="00D001F7"/>
    <w:rsid w:val="00D00A74"/>
    <w:rsid w:val="00D01654"/>
    <w:rsid w:val="00D017F3"/>
    <w:rsid w:val="00D01B2B"/>
    <w:rsid w:val="00D01D90"/>
    <w:rsid w:val="00D0229C"/>
    <w:rsid w:val="00D02BEE"/>
    <w:rsid w:val="00D03A9F"/>
    <w:rsid w:val="00D03C1B"/>
    <w:rsid w:val="00D03DFD"/>
    <w:rsid w:val="00D04833"/>
    <w:rsid w:val="00D050AD"/>
    <w:rsid w:val="00D055BB"/>
    <w:rsid w:val="00D05D12"/>
    <w:rsid w:val="00D06377"/>
    <w:rsid w:val="00D074B6"/>
    <w:rsid w:val="00D07C87"/>
    <w:rsid w:val="00D10032"/>
    <w:rsid w:val="00D1022D"/>
    <w:rsid w:val="00D1047E"/>
    <w:rsid w:val="00D104F0"/>
    <w:rsid w:val="00D108F7"/>
    <w:rsid w:val="00D10E25"/>
    <w:rsid w:val="00D110D6"/>
    <w:rsid w:val="00D119C3"/>
    <w:rsid w:val="00D11D48"/>
    <w:rsid w:val="00D1229A"/>
    <w:rsid w:val="00D12AFC"/>
    <w:rsid w:val="00D12BA2"/>
    <w:rsid w:val="00D1356E"/>
    <w:rsid w:val="00D13576"/>
    <w:rsid w:val="00D13896"/>
    <w:rsid w:val="00D13F0F"/>
    <w:rsid w:val="00D1445A"/>
    <w:rsid w:val="00D14634"/>
    <w:rsid w:val="00D1463C"/>
    <w:rsid w:val="00D14EFB"/>
    <w:rsid w:val="00D1551E"/>
    <w:rsid w:val="00D156DD"/>
    <w:rsid w:val="00D156EB"/>
    <w:rsid w:val="00D1647A"/>
    <w:rsid w:val="00D16C25"/>
    <w:rsid w:val="00D1701A"/>
    <w:rsid w:val="00D17579"/>
    <w:rsid w:val="00D20717"/>
    <w:rsid w:val="00D20FD4"/>
    <w:rsid w:val="00D21EDD"/>
    <w:rsid w:val="00D22916"/>
    <w:rsid w:val="00D22E21"/>
    <w:rsid w:val="00D24B3A"/>
    <w:rsid w:val="00D25200"/>
    <w:rsid w:val="00D25329"/>
    <w:rsid w:val="00D2533E"/>
    <w:rsid w:val="00D256E0"/>
    <w:rsid w:val="00D26438"/>
    <w:rsid w:val="00D2653A"/>
    <w:rsid w:val="00D270C2"/>
    <w:rsid w:val="00D27634"/>
    <w:rsid w:val="00D27F63"/>
    <w:rsid w:val="00D306DC"/>
    <w:rsid w:val="00D307F3"/>
    <w:rsid w:val="00D30B53"/>
    <w:rsid w:val="00D30C2E"/>
    <w:rsid w:val="00D30FD2"/>
    <w:rsid w:val="00D31309"/>
    <w:rsid w:val="00D31519"/>
    <w:rsid w:val="00D319D5"/>
    <w:rsid w:val="00D31F66"/>
    <w:rsid w:val="00D3215B"/>
    <w:rsid w:val="00D3265E"/>
    <w:rsid w:val="00D32933"/>
    <w:rsid w:val="00D32BE7"/>
    <w:rsid w:val="00D32E75"/>
    <w:rsid w:val="00D3384E"/>
    <w:rsid w:val="00D33F39"/>
    <w:rsid w:val="00D34927"/>
    <w:rsid w:val="00D34CC7"/>
    <w:rsid w:val="00D35172"/>
    <w:rsid w:val="00D3519F"/>
    <w:rsid w:val="00D35410"/>
    <w:rsid w:val="00D3565C"/>
    <w:rsid w:val="00D357F4"/>
    <w:rsid w:val="00D35B52"/>
    <w:rsid w:val="00D361F4"/>
    <w:rsid w:val="00D3640B"/>
    <w:rsid w:val="00D404C3"/>
    <w:rsid w:val="00D4269A"/>
    <w:rsid w:val="00D430FE"/>
    <w:rsid w:val="00D43340"/>
    <w:rsid w:val="00D43614"/>
    <w:rsid w:val="00D4394D"/>
    <w:rsid w:val="00D43A92"/>
    <w:rsid w:val="00D43D2A"/>
    <w:rsid w:val="00D43E14"/>
    <w:rsid w:val="00D44767"/>
    <w:rsid w:val="00D448BD"/>
    <w:rsid w:val="00D452B9"/>
    <w:rsid w:val="00D45B60"/>
    <w:rsid w:val="00D46086"/>
    <w:rsid w:val="00D46960"/>
    <w:rsid w:val="00D469CA"/>
    <w:rsid w:val="00D46AE9"/>
    <w:rsid w:val="00D50294"/>
    <w:rsid w:val="00D5094F"/>
    <w:rsid w:val="00D5166C"/>
    <w:rsid w:val="00D5172D"/>
    <w:rsid w:val="00D5274E"/>
    <w:rsid w:val="00D531CD"/>
    <w:rsid w:val="00D537E8"/>
    <w:rsid w:val="00D53F42"/>
    <w:rsid w:val="00D545D9"/>
    <w:rsid w:val="00D546A0"/>
    <w:rsid w:val="00D546F1"/>
    <w:rsid w:val="00D550D5"/>
    <w:rsid w:val="00D567F8"/>
    <w:rsid w:val="00D57228"/>
    <w:rsid w:val="00D5794D"/>
    <w:rsid w:val="00D60A93"/>
    <w:rsid w:val="00D60FCE"/>
    <w:rsid w:val="00D61168"/>
    <w:rsid w:val="00D612FD"/>
    <w:rsid w:val="00D6155D"/>
    <w:rsid w:val="00D61713"/>
    <w:rsid w:val="00D62467"/>
    <w:rsid w:val="00D62532"/>
    <w:rsid w:val="00D63220"/>
    <w:rsid w:val="00D63465"/>
    <w:rsid w:val="00D635C1"/>
    <w:rsid w:val="00D638E0"/>
    <w:rsid w:val="00D638F9"/>
    <w:rsid w:val="00D63CBB"/>
    <w:rsid w:val="00D63D7E"/>
    <w:rsid w:val="00D63DEA"/>
    <w:rsid w:val="00D63EB4"/>
    <w:rsid w:val="00D6400F"/>
    <w:rsid w:val="00D6430A"/>
    <w:rsid w:val="00D66165"/>
    <w:rsid w:val="00D66838"/>
    <w:rsid w:val="00D6698B"/>
    <w:rsid w:val="00D66C55"/>
    <w:rsid w:val="00D6765A"/>
    <w:rsid w:val="00D6777C"/>
    <w:rsid w:val="00D70177"/>
    <w:rsid w:val="00D709A6"/>
    <w:rsid w:val="00D712A3"/>
    <w:rsid w:val="00D7145F"/>
    <w:rsid w:val="00D71FA2"/>
    <w:rsid w:val="00D723FC"/>
    <w:rsid w:val="00D725CB"/>
    <w:rsid w:val="00D73206"/>
    <w:rsid w:val="00D735E3"/>
    <w:rsid w:val="00D73E7A"/>
    <w:rsid w:val="00D74248"/>
    <w:rsid w:val="00D742BF"/>
    <w:rsid w:val="00D74CD4"/>
    <w:rsid w:val="00D751A1"/>
    <w:rsid w:val="00D752D2"/>
    <w:rsid w:val="00D75BF0"/>
    <w:rsid w:val="00D75E55"/>
    <w:rsid w:val="00D7620B"/>
    <w:rsid w:val="00D7623F"/>
    <w:rsid w:val="00D773C2"/>
    <w:rsid w:val="00D77FDC"/>
    <w:rsid w:val="00D806BF"/>
    <w:rsid w:val="00D80896"/>
    <w:rsid w:val="00D80A99"/>
    <w:rsid w:val="00D811F3"/>
    <w:rsid w:val="00D813F0"/>
    <w:rsid w:val="00D81475"/>
    <w:rsid w:val="00D81486"/>
    <w:rsid w:val="00D81588"/>
    <w:rsid w:val="00D82B23"/>
    <w:rsid w:val="00D83394"/>
    <w:rsid w:val="00D83610"/>
    <w:rsid w:val="00D83784"/>
    <w:rsid w:val="00D84376"/>
    <w:rsid w:val="00D847E6"/>
    <w:rsid w:val="00D86067"/>
    <w:rsid w:val="00D867F0"/>
    <w:rsid w:val="00D86A94"/>
    <w:rsid w:val="00D86D92"/>
    <w:rsid w:val="00D86F09"/>
    <w:rsid w:val="00D86FAA"/>
    <w:rsid w:val="00D86FF0"/>
    <w:rsid w:val="00D87909"/>
    <w:rsid w:val="00D87C4F"/>
    <w:rsid w:val="00D9052D"/>
    <w:rsid w:val="00D9057C"/>
    <w:rsid w:val="00D90CF3"/>
    <w:rsid w:val="00D91061"/>
    <w:rsid w:val="00D91334"/>
    <w:rsid w:val="00D914E6"/>
    <w:rsid w:val="00D91EF1"/>
    <w:rsid w:val="00D92CCA"/>
    <w:rsid w:val="00D92D58"/>
    <w:rsid w:val="00D9376A"/>
    <w:rsid w:val="00D93831"/>
    <w:rsid w:val="00D93999"/>
    <w:rsid w:val="00D93EAE"/>
    <w:rsid w:val="00D94135"/>
    <w:rsid w:val="00D947E5"/>
    <w:rsid w:val="00D954CD"/>
    <w:rsid w:val="00D95B33"/>
    <w:rsid w:val="00D95BC9"/>
    <w:rsid w:val="00D9607C"/>
    <w:rsid w:val="00D960F2"/>
    <w:rsid w:val="00D968DB"/>
    <w:rsid w:val="00D96C8A"/>
    <w:rsid w:val="00D97291"/>
    <w:rsid w:val="00D9756E"/>
    <w:rsid w:val="00D97A9A"/>
    <w:rsid w:val="00D97AC2"/>
    <w:rsid w:val="00DA0008"/>
    <w:rsid w:val="00DA03EC"/>
    <w:rsid w:val="00DA0B7E"/>
    <w:rsid w:val="00DA1217"/>
    <w:rsid w:val="00DA2F21"/>
    <w:rsid w:val="00DA34C4"/>
    <w:rsid w:val="00DA3929"/>
    <w:rsid w:val="00DA3AFA"/>
    <w:rsid w:val="00DA3FD6"/>
    <w:rsid w:val="00DA406E"/>
    <w:rsid w:val="00DA45B9"/>
    <w:rsid w:val="00DA4A75"/>
    <w:rsid w:val="00DA4DD5"/>
    <w:rsid w:val="00DA54CE"/>
    <w:rsid w:val="00DA570D"/>
    <w:rsid w:val="00DA57E5"/>
    <w:rsid w:val="00DA588D"/>
    <w:rsid w:val="00DA5986"/>
    <w:rsid w:val="00DA63F4"/>
    <w:rsid w:val="00DA65F4"/>
    <w:rsid w:val="00DA6729"/>
    <w:rsid w:val="00DA6AAC"/>
    <w:rsid w:val="00DA731B"/>
    <w:rsid w:val="00DA74C5"/>
    <w:rsid w:val="00DA7892"/>
    <w:rsid w:val="00DA7D17"/>
    <w:rsid w:val="00DB0597"/>
    <w:rsid w:val="00DB0B0B"/>
    <w:rsid w:val="00DB0CA1"/>
    <w:rsid w:val="00DB2C22"/>
    <w:rsid w:val="00DB2C2D"/>
    <w:rsid w:val="00DB31EE"/>
    <w:rsid w:val="00DB342A"/>
    <w:rsid w:val="00DB385F"/>
    <w:rsid w:val="00DB3974"/>
    <w:rsid w:val="00DB3A8F"/>
    <w:rsid w:val="00DB3ED2"/>
    <w:rsid w:val="00DB41F9"/>
    <w:rsid w:val="00DB426C"/>
    <w:rsid w:val="00DB4900"/>
    <w:rsid w:val="00DB4DE4"/>
    <w:rsid w:val="00DB4EC2"/>
    <w:rsid w:val="00DB5476"/>
    <w:rsid w:val="00DB5BC9"/>
    <w:rsid w:val="00DB5ECA"/>
    <w:rsid w:val="00DB60DF"/>
    <w:rsid w:val="00DB7124"/>
    <w:rsid w:val="00DB7369"/>
    <w:rsid w:val="00DB7513"/>
    <w:rsid w:val="00DC0FFC"/>
    <w:rsid w:val="00DC107E"/>
    <w:rsid w:val="00DC167D"/>
    <w:rsid w:val="00DC1803"/>
    <w:rsid w:val="00DC19B2"/>
    <w:rsid w:val="00DC1A91"/>
    <w:rsid w:val="00DC1F73"/>
    <w:rsid w:val="00DC23A7"/>
    <w:rsid w:val="00DC268F"/>
    <w:rsid w:val="00DC31FC"/>
    <w:rsid w:val="00DC351E"/>
    <w:rsid w:val="00DC356C"/>
    <w:rsid w:val="00DC3EDB"/>
    <w:rsid w:val="00DC4111"/>
    <w:rsid w:val="00DC4605"/>
    <w:rsid w:val="00DC497C"/>
    <w:rsid w:val="00DC4D00"/>
    <w:rsid w:val="00DC4DDC"/>
    <w:rsid w:val="00DC4E49"/>
    <w:rsid w:val="00DC597E"/>
    <w:rsid w:val="00DC5CE9"/>
    <w:rsid w:val="00DC685A"/>
    <w:rsid w:val="00DC7349"/>
    <w:rsid w:val="00DC7547"/>
    <w:rsid w:val="00DC7882"/>
    <w:rsid w:val="00DD054D"/>
    <w:rsid w:val="00DD072D"/>
    <w:rsid w:val="00DD0D1F"/>
    <w:rsid w:val="00DD246F"/>
    <w:rsid w:val="00DD30E6"/>
    <w:rsid w:val="00DD43EF"/>
    <w:rsid w:val="00DD56A7"/>
    <w:rsid w:val="00DD5710"/>
    <w:rsid w:val="00DD6484"/>
    <w:rsid w:val="00DD6EE3"/>
    <w:rsid w:val="00DD6F48"/>
    <w:rsid w:val="00DE02D3"/>
    <w:rsid w:val="00DE0F87"/>
    <w:rsid w:val="00DE11DA"/>
    <w:rsid w:val="00DE128E"/>
    <w:rsid w:val="00DE1619"/>
    <w:rsid w:val="00DE165F"/>
    <w:rsid w:val="00DE1CDF"/>
    <w:rsid w:val="00DE2238"/>
    <w:rsid w:val="00DE23F7"/>
    <w:rsid w:val="00DE2ADF"/>
    <w:rsid w:val="00DE33BE"/>
    <w:rsid w:val="00DE38FC"/>
    <w:rsid w:val="00DE47EF"/>
    <w:rsid w:val="00DE5261"/>
    <w:rsid w:val="00DE5657"/>
    <w:rsid w:val="00DE5A65"/>
    <w:rsid w:val="00DE6A58"/>
    <w:rsid w:val="00DE6DEF"/>
    <w:rsid w:val="00DE7E87"/>
    <w:rsid w:val="00DF01CE"/>
    <w:rsid w:val="00DF0953"/>
    <w:rsid w:val="00DF0B5E"/>
    <w:rsid w:val="00DF1325"/>
    <w:rsid w:val="00DF1AEC"/>
    <w:rsid w:val="00DF1C0D"/>
    <w:rsid w:val="00DF1E43"/>
    <w:rsid w:val="00DF2756"/>
    <w:rsid w:val="00DF27D9"/>
    <w:rsid w:val="00DF32ED"/>
    <w:rsid w:val="00DF3D29"/>
    <w:rsid w:val="00DF3FEF"/>
    <w:rsid w:val="00DF4121"/>
    <w:rsid w:val="00DF45FB"/>
    <w:rsid w:val="00DF46C8"/>
    <w:rsid w:val="00DF554A"/>
    <w:rsid w:val="00DF554B"/>
    <w:rsid w:val="00DF5670"/>
    <w:rsid w:val="00DF5C39"/>
    <w:rsid w:val="00DF5ED8"/>
    <w:rsid w:val="00DF6138"/>
    <w:rsid w:val="00DF6553"/>
    <w:rsid w:val="00DF694F"/>
    <w:rsid w:val="00DF69B0"/>
    <w:rsid w:val="00DF69F3"/>
    <w:rsid w:val="00DF6C05"/>
    <w:rsid w:val="00DF703F"/>
    <w:rsid w:val="00DF7153"/>
    <w:rsid w:val="00DF77E5"/>
    <w:rsid w:val="00DF7B6A"/>
    <w:rsid w:val="00DF7FB8"/>
    <w:rsid w:val="00E000F1"/>
    <w:rsid w:val="00E00C69"/>
    <w:rsid w:val="00E00D35"/>
    <w:rsid w:val="00E02B0D"/>
    <w:rsid w:val="00E034A2"/>
    <w:rsid w:val="00E03ADE"/>
    <w:rsid w:val="00E05163"/>
    <w:rsid w:val="00E056B6"/>
    <w:rsid w:val="00E06064"/>
    <w:rsid w:val="00E06963"/>
    <w:rsid w:val="00E07462"/>
    <w:rsid w:val="00E07E2E"/>
    <w:rsid w:val="00E07E7D"/>
    <w:rsid w:val="00E07F16"/>
    <w:rsid w:val="00E106CE"/>
    <w:rsid w:val="00E10B52"/>
    <w:rsid w:val="00E11DEB"/>
    <w:rsid w:val="00E11EBD"/>
    <w:rsid w:val="00E121A3"/>
    <w:rsid w:val="00E12DA0"/>
    <w:rsid w:val="00E134D5"/>
    <w:rsid w:val="00E136BB"/>
    <w:rsid w:val="00E137F4"/>
    <w:rsid w:val="00E138B8"/>
    <w:rsid w:val="00E14597"/>
    <w:rsid w:val="00E154D7"/>
    <w:rsid w:val="00E15503"/>
    <w:rsid w:val="00E158AE"/>
    <w:rsid w:val="00E15B3E"/>
    <w:rsid w:val="00E16030"/>
    <w:rsid w:val="00E163AE"/>
    <w:rsid w:val="00E16C1F"/>
    <w:rsid w:val="00E171EE"/>
    <w:rsid w:val="00E1723D"/>
    <w:rsid w:val="00E17340"/>
    <w:rsid w:val="00E17A55"/>
    <w:rsid w:val="00E20464"/>
    <w:rsid w:val="00E218B7"/>
    <w:rsid w:val="00E23470"/>
    <w:rsid w:val="00E235B9"/>
    <w:rsid w:val="00E245F1"/>
    <w:rsid w:val="00E24FE1"/>
    <w:rsid w:val="00E25416"/>
    <w:rsid w:val="00E256EC"/>
    <w:rsid w:val="00E25E57"/>
    <w:rsid w:val="00E26473"/>
    <w:rsid w:val="00E2649B"/>
    <w:rsid w:val="00E266F2"/>
    <w:rsid w:val="00E26C06"/>
    <w:rsid w:val="00E27812"/>
    <w:rsid w:val="00E278C5"/>
    <w:rsid w:val="00E27BC4"/>
    <w:rsid w:val="00E27F1C"/>
    <w:rsid w:val="00E3004E"/>
    <w:rsid w:val="00E300F1"/>
    <w:rsid w:val="00E3051C"/>
    <w:rsid w:val="00E31123"/>
    <w:rsid w:val="00E31558"/>
    <w:rsid w:val="00E320DD"/>
    <w:rsid w:val="00E3218A"/>
    <w:rsid w:val="00E322CE"/>
    <w:rsid w:val="00E32678"/>
    <w:rsid w:val="00E32C05"/>
    <w:rsid w:val="00E333D2"/>
    <w:rsid w:val="00E33F35"/>
    <w:rsid w:val="00E34581"/>
    <w:rsid w:val="00E3482F"/>
    <w:rsid w:val="00E34D41"/>
    <w:rsid w:val="00E35199"/>
    <w:rsid w:val="00E352C8"/>
    <w:rsid w:val="00E35625"/>
    <w:rsid w:val="00E36594"/>
    <w:rsid w:val="00E36BB7"/>
    <w:rsid w:val="00E36ED9"/>
    <w:rsid w:val="00E36FE5"/>
    <w:rsid w:val="00E3738B"/>
    <w:rsid w:val="00E3785D"/>
    <w:rsid w:val="00E400B7"/>
    <w:rsid w:val="00E40549"/>
    <w:rsid w:val="00E4124F"/>
    <w:rsid w:val="00E41F18"/>
    <w:rsid w:val="00E42BB6"/>
    <w:rsid w:val="00E42FDA"/>
    <w:rsid w:val="00E4349D"/>
    <w:rsid w:val="00E440C1"/>
    <w:rsid w:val="00E444A4"/>
    <w:rsid w:val="00E4467F"/>
    <w:rsid w:val="00E4543A"/>
    <w:rsid w:val="00E4615D"/>
    <w:rsid w:val="00E46FA9"/>
    <w:rsid w:val="00E4706B"/>
    <w:rsid w:val="00E47079"/>
    <w:rsid w:val="00E470C6"/>
    <w:rsid w:val="00E47278"/>
    <w:rsid w:val="00E476C5"/>
    <w:rsid w:val="00E47E25"/>
    <w:rsid w:val="00E500E4"/>
    <w:rsid w:val="00E5082C"/>
    <w:rsid w:val="00E518A8"/>
    <w:rsid w:val="00E51C1D"/>
    <w:rsid w:val="00E52AB7"/>
    <w:rsid w:val="00E53430"/>
    <w:rsid w:val="00E53AD0"/>
    <w:rsid w:val="00E546AE"/>
    <w:rsid w:val="00E54F03"/>
    <w:rsid w:val="00E551CA"/>
    <w:rsid w:val="00E5521A"/>
    <w:rsid w:val="00E5522C"/>
    <w:rsid w:val="00E555F0"/>
    <w:rsid w:val="00E56197"/>
    <w:rsid w:val="00E5631E"/>
    <w:rsid w:val="00E56367"/>
    <w:rsid w:val="00E56474"/>
    <w:rsid w:val="00E56CE9"/>
    <w:rsid w:val="00E56DBE"/>
    <w:rsid w:val="00E56E9C"/>
    <w:rsid w:val="00E577F8"/>
    <w:rsid w:val="00E5797B"/>
    <w:rsid w:val="00E60049"/>
    <w:rsid w:val="00E603CE"/>
    <w:rsid w:val="00E604BF"/>
    <w:rsid w:val="00E60B20"/>
    <w:rsid w:val="00E6109A"/>
    <w:rsid w:val="00E61588"/>
    <w:rsid w:val="00E6170A"/>
    <w:rsid w:val="00E61FE1"/>
    <w:rsid w:val="00E62701"/>
    <w:rsid w:val="00E6284C"/>
    <w:rsid w:val="00E62CE8"/>
    <w:rsid w:val="00E62D6C"/>
    <w:rsid w:val="00E63365"/>
    <w:rsid w:val="00E63462"/>
    <w:rsid w:val="00E63E4D"/>
    <w:rsid w:val="00E6471E"/>
    <w:rsid w:val="00E64778"/>
    <w:rsid w:val="00E64B34"/>
    <w:rsid w:val="00E658FB"/>
    <w:rsid w:val="00E6615E"/>
    <w:rsid w:val="00E67200"/>
    <w:rsid w:val="00E6739B"/>
    <w:rsid w:val="00E67783"/>
    <w:rsid w:val="00E67EF8"/>
    <w:rsid w:val="00E70333"/>
    <w:rsid w:val="00E7086B"/>
    <w:rsid w:val="00E708E0"/>
    <w:rsid w:val="00E70DDC"/>
    <w:rsid w:val="00E70EE9"/>
    <w:rsid w:val="00E7103B"/>
    <w:rsid w:val="00E711A4"/>
    <w:rsid w:val="00E71313"/>
    <w:rsid w:val="00E72402"/>
    <w:rsid w:val="00E72BC0"/>
    <w:rsid w:val="00E72EFB"/>
    <w:rsid w:val="00E734F8"/>
    <w:rsid w:val="00E73906"/>
    <w:rsid w:val="00E7396A"/>
    <w:rsid w:val="00E739D8"/>
    <w:rsid w:val="00E73ACA"/>
    <w:rsid w:val="00E74574"/>
    <w:rsid w:val="00E74F6A"/>
    <w:rsid w:val="00E74FDB"/>
    <w:rsid w:val="00E750BE"/>
    <w:rsid w:val="00E752A8"/>
    <w:rsid w:val="00E75A72"/>
    <w:rsid w:val="00E75E3E"/>
    <w:rsid w:val="00E75F16"/>
    <w:rsid w:val="00E76201"/>
    <w:rsid w:val="00E76376"/>
    <w:rsid w:val="00E76720"/>
    <w:rsid w:val="00E77AE0"/>
    <w:rsid w:val="00E77C02"/>
    <w:rsid w:val="00E805D4"/>
    <w:rsid w:val="00E80A6C"/>
    <w:rsid w:val="00E80C44"/>
    <w:rsid w:val="00E8112D"/>
    <w:rsid w:val="00E8154A"/>
    <w:rsid w:val="00E81613"/>
    <w:rsid w:val="00E817F0"/>
    <w:rsid w:val="00E819CA"/>
    <w:rsid w:val="00E82229"/>
    <w:rsid w:val="00E822C3"/>
    <w:rsid w:val="00E82324"/>
    <w:rsid w:val="00E82851"/>
    <w:rsid w:val="00E83A3D"/>
    <w:rsid w:val="00E83B5E"/>
    <w:rsid w:val="00E83CA2"/>
    <w:rsid w:val="00E84918"/>
    <w:rsid w:val="00E84A67"/>
    <w:rsid w:val="00E84EAD"/>
    <w:rsid w:val="00E84FC5"/>
    <w:rsid w:val="00E854B0"/>
    <w:rsid w:val="00E85832"/>
    <w:rsid w:val="00E86294"/>
    <w:rsid w:val="00E86D64"/>
    <w:rsid w:val="00E86E2A"/>
    <w:rsid w:val="00E87B23"/>
    <w:rsid w:val="00E87E20"/>
    <w:rsid w:val="00E87E35"/>
    <w:rsid w:val="00E90195"/>
    <w:rsid w:val="00E9132C"/>
    <w:rsid w:val="00E9171E"/>
    <w:rsid w:val="00E91E02"/>
    <w:rsid w:val="00E920EB"/>
    <w:rsid w:val="00E92345"/>
    <w:rsid w:val="00E92708"/>
    <w:rsid w:val="00E92A5D"/>
    <w:rsid w:val="00E93BF5"/>
    <w:rsid w:val="00E93F7C"/>
    <w:rsid w:val="00E94ADA"/>
    <w:rsid w:val="00E94E23"/>
    <w:rsid w:val="00E94E35"/>
    <w:rsid w:val="00E951DB"/>
    <w:rsid w:val="00E96850"/>
    <w:rsid w:val="00E9691E"/>
    <w:rsid w:val="00E96CCC"/>
    <w:rsid w:val="00E97388"/>
    <w:rsid w:val="00E974F6"/>
    <w:rsid w:val="00E97685"/>
    <w:rsid w:val="00EA0BF8"/>
    <w:rsid w:val="00EA0C05"/>
    <w:rsid w:val="00EA1232"/>
    <w:rsid w:val="00EA1D61"/>
    <w:rsid w:val="00EA267B"/>
    <w:rsid w:val="00EA357F"/>
    <w:rsid w:val="00EA367D"/>
    <w:rsid w:val="00EA3D8F"/>
    <w:rsid w:val="00EA4322"/>
    <w:rsid w:val="00EA439A"/>
    <w:rsid w:val="00EA503B"/>
    <w:rsid w:val="00EA5EA1"/>
    <w:rsid w:val="00EA6684"/>
    <w:rsid w:val="00EA6801"/>
    <w:rsid w:val="00EA6ED5"/>
    <w:rsid w:val="00EA70AB"/>
    <w:rsid w:val="00EA73BC"/>
    <w:rsid w:val="00EA764A"/>
    <w:rsid w:val="00EA7960"/>
    <w:rsid w:val="00EA7A96"/>
    <w:rsid w:val="00EA7F75"/>
    <w:rsid w:val="00EB0383"/>
    <w:rsid w:val="00EB123B"/>
    <w:rsid w:val="00EB135D"/>
    <w:rsid w:val="00EB1716"/>
    <w:rsid w:val="00EB2A78"/>
    <w:rsid w:val="00EB2BDC"/>
    <w:rsid w:val="00EB3606"/>
    <w:rsid w:val="00EB47B4"/>
    <w:rsid w:val="00EB49C0"/>
    <w:rsid w:val="00EB4D1A"/>
    <w:rsid w:val="00EB6687"/>
    <w:rsid w:val="00EB6B19"/>
    <w:rsid w:val="00EB72AC"/>
    <w:rsid w:val="00EB7300"/>
    <w:rsid w:val="00EB7AAE"/>
    <w:rsid w:val="00EB7D67"/>
    <w:rsid w:val="00EB7E75"/>
    <w:rsid w:val="00EC0139"/>
    <w:rsid w:val="00EC048D"/>
    <w:rsid w:val="00EC0873"/>
    <w:rsid w:val="00EC0BD7"/>
    <w:rsid w:val="00EC10DD"/>
    <w:rsid w:val="00EC14B4"/>
    <w:rsid w:val="00EC2102"/>
    <w:rsid w:val="00EC2291"/>
    <w:rsid w:val="00EC2472"/>
    <w:rsid w:val="00EC27E2"/>
    <w:rsid w:val="00EC322D"/>
    <w:rsid w:val="00EC3D12"/>
    <w:rsid w:val="00EC41B2"/>
    <w:rsid w:val="00EC46A9"/>
    <w:rsid w:val="00EC4E7C"/>
    <w:rsid w:val="00EC5191"/>
    <w:rsid w:val="00EC52C7"/>
    <w:rsid w:val="00EC5680"/>
    <w:rsid w:val="00EC5A0D"/>
    <w:rsid w:val="00EC5B44"/>
    <w:rsid w:val="00EC6411"/>
    <w:rsid w:val="00EC7445"/>
    <w:rsid w:val="00EC74C0"/>
    <w:rsid w:val="00EC78B9"/>
    <w:rsid w:val="00EC7F4F"/>
    <w:rsid w:val="00EC7FBD"/>
    <w:rsid w:val="00ED0614"/>
    <w:rsid w:val="00ED0624"/>
    <w:rsid w:val="00ED0838"/>
    <w:rsid w:val="00ED0962"/>
    <w:rsid w:val="00ED1A1D"/>
    <w:rsid w:val="00ED1C57"/>
    <w:rsid w:val="00ED2396"/>
    <w:rsid w:val="00ED2411"/>
    <w:rsid w:val="00ED2B2B"/>
    <w:rsid w:val="00ED2CC5"/>
    <w:rsid w:val="00ED3105"/>
    <w:rsid w:val="00ED3A67"/>
    <w:rsid w:val="00ED3E3C"/>
    <w:rsid w:val="00ED4348"/>
    <w:rsid w:val="00ED44CD"/>
    <w:rsid w:val="00ED4D4C"/>
    <w:rsid w:val="00ED5116"/>
    <w:rsid w:val="00ED59CD"/>
    <w:rsid w:val="00ED5B99"/>
    <w:rsid w:val="00ED6335"/>
    <w:rsid w:val="00ED63DA"/>
    <w:rsid w:val="00ED6E70"/>
    <w:rsid w:val="00ED72E4"/>
    <w:rsid w:val="00ED73ED"/>
    <w:rsid w:val="00ED7AD7"/>
    <w:rsid w:val="00ED7DD4"/>
    <w:rsid w:val="00EE0010"/>
    <w:rsid w:val="00EE077A"/>
    <w:rsid w:val="00EE07F5"/>
    <w:rsid w:val="00EE10C7"/>
    <w:rsid w:val="00EE112D"/>
    <w:rsid w:val="00EE1589"/>
    <w:rsid w:val="00EE1DAD"/>
    <w:rsid w:val="00EE1ECF"/>
    <w:rsid w:val="00EE2599"/>
    <w:rsid w:val="00EE282B"/>
    <w:rsid w:val="00EE32AE"/>
    <w:rsid w:val="00EE3671"/>
    <w:rsid w:val="00EE37B4"/>
    <w:rsid w:val="00EE3CE4"/>
    <w:rsid w:val="00EE3D2C"/>
    <w:rsid w:val="00EE3D33"/>
    <w:rsid w:val="00EE446F"/>
    <w:rsid w:val="00EE5168"/>
    <w:rsid w:val="00EE598C"/>
    <w:rsid w:val="00EE5991"/>
    <w:rsid w:val="00EE64FB"/>
    <w:rsid w:val="00EE6802"/>
    <w:rsid w:val="00EE7894"/>
    <w:rsid w:val="00EF0413"/>
    <w:rsid w:val="00EF04A4"/>
    <w:rsid w:val="00EF07A5"/>
    <w:rsid w:val="00EF07CB"/>
    <w:rsid w:val="00EF08CE"/>
    <w:rsid w:val="00EF0E86"/>
    <w:rsid w:val="00EF16FF"/>
    <w:rsid w:val="00EF1783"/>
    <w:rsid w:val="00EF1A79"/>
    <w:rsid w:val="00EF26FE"/>
    <w:rsid w:val="00EF294C"/>
    <w:rsid w:val="00EF4217"/>
    <w:rsid w:val="00EF434A"/>
    <w:rsid w:val="00EF476B"/>
    <w:rsid w:val="00EF49AB"/>
    <w:rsid w:val="00EF4E90"/>
    <w:rsid w:val="00EF5E89"/>
    <w:rsid w:val="00EF69D9"/>
    <w:rsid w:val="00EF6CBB"/>
    <w:rsid w:val="00EF6D36"/>
    <w:rsid w:val="00EF7472"/>
    <w:rsid w:val="00EF7719"/>
    <w:rsid w:val="00EF7C22"/>
    <w:rsid w:val="00F00B01"/>
    <w:rsid w:val="00F00E2E"/>
    <w:rsid w:val="00F0134D"/>
    <w:rsid w:val="00F01839"/>
    <w:rsid w:val="00F01A8C"/>
    <w:rsid w:val="00F01DF2"/>
    <w:rsid w:val="00F01E39"/>
    <w:rsid w:val="00F01F0F"/>
    <w:rsid w:val="00F02719"/>
    <w:rsid w:val="00F02B81"/>
    <w:rsid w:val="00F0465F"/>
    <w:rsid w:val="00F04751"/>
    <w:rsid w:val="00F04C73"/>
    <w:rsid w:val="00F0596A"/>
    <w:rsid w:val="00F06910"/>
    <w:rsid w:val="00F06E43"/>
    <w:rsid w:val="00F0722E"/>
    <w:rsid w:val="00F07553"/>
    <w:rsid w:val="00F07585"/>
    <w:rsid w:val="00F1069A"/>
    <w:rsid w:val="00F10B79"/>
    <w:rsid w:val="00F10CCB"/>
    <w:rsid w:val="00F11127"/>
    <w:rsid w:val="00F117A2"/>
    <w:rsid w:val="00F1269F"/>
    <w:rsid w:val="00F12816"/>
    <w:rsid w:val="00F1293A"/>
    <w:rsid w:val="00F12AB2"/>
    <w:rsid w:val="00F12CEE"/>
    <w:rsid w:val="00F131B7"/>
    <w:rsid w:val="00F13281"/>
    <w:rsid w:val="00F135E0"/>
    <w:rsid w:val="00F13610"/>
    <w:rsid w:val="00F13D62"/>
    <w:rsid w:val="00F13D8F"/>
    <w:rsid w:val="00F13F38"/>
    <w:rsid w:val="00F14E13"/>
    <w:rsid w:val="00F15557"/>
    <w:rsid w:val="00F155AB"/>
    <w:rsid w:val="00F156F6"/>
    <w:rsid w:val="00F157AA"/>
    <w:rsid w:val="00F159AE"/>
    <w:rsid w:val="00F1649D"/>
    <w:rsid w:val="00F17007"/>
    <w:rsid w:val="00F178D9"/>
    <w:rsid w:val="00F178FD"/>
    <w:rsid w:val="00F17ED3"/>
    <w:rsid w:val="00F210E7"/>
    <w:rsid w:val="00F21863"/>
    <w:rsid w:val="00F21CC0"/>
    <w:rsid w:val="00F21D63"/>
    <w:rsid w:val="00F21EF8"/>
    <w:rsid w:val="00F224E2"/>
    <w:rsid w:val="00F2281D"/>
    <w:rsid w:val="00F22D10"/>
    <w:rsid w:val="00F230A2"/>
    <w:rsid w:val="00F232B1"/>
    <w:rsid w:val="00F2362C"/>
    <w:rsid w:val="00F238B0"/>
    <w:rsid w:val="00F238BF"/>
    <w:rsid w:val="00F23BB9"/>
    <w:rsid w:val="00F23FAC"/>
    <w:rsid w:val="00F24011"/>
    <w:rsid w:val="00F24B14"/>
    <w:rsid w:val="00F24F34"/>
    <w:rsid w:val="00F25F84"/>
    <w:rsid w:val="00F2639F"/>
    <w:rsid w:val="00F2688A"/>
    <w:rsid w:val="00F26F04"/>
    <w:rsid w:val="00F273A9"/>
    <w:rsid w:val="00F275E8"/>
    <w:rsid w:val="00F276D4"/>
    <w:rsid w:val="00F27E0A"/>
    <w:rsid w:val="00F308FE"/>
    <w:rsid w:val="00F30E5E"/>
    <w:rsid w:val="00F30E79"/>
    <w:rsid w:val="00F31425"/>
    <w:rsid w:val="00F314BF"/>
    <w:rsid w:val="00F318E1"/>
    <w:rsid w:val="00F32397"/>
    <w:rsid w:val="00F32C6A"/>
    <w:rsid w:val="00F32F98"/>
    <w:rsid w:val="00F33C4A"/>
    <w:rsid w:val="00F34846"/>
    <w:rsid w:val="00F34D1B"/>
    <w:rsid w:val="00F35D8F"/>
    <w:rsid w:val="00F361CF"/>
    <w:rsid w:val="00F362A3"/>
    <w:rsid w:val="00F36928"/>
    <w:rsid w:val="00F36DE5"/>
    <w:rsid w:val="00F3707D"/>
    <w:rsid w:val="00F3737F"/>
    <w:rsid w:val="00F37BC8"/>
    <w:rsid w:val="00F4000F"/>
    <w:rsid w:val="00F4043B"/>
    <w:rsid w:val="00F407B3"/>
    <w:rsid w:val="00F408E2"/>
    <w:rsid w:val="00F40EEC"/>
    <w:rsid w:val="00F40FC4"/>
    <w:rsid w:val="00F41336"/>
    <w:rsid w:val="00F41B57"/>
    <w:rsid w:val="00F4219F"/>
    <w:rsid w:val="00F424B2"/>
    <w:rsid w:val="00F42D35"/>
    <w:rsid w:val="00F42E0E"/>
    <w:rsid w:val="00F430E3"/>
    <w:rsid w:val="00F4326D"/>
    <w:rsid w:val="00F43DEC"/>
    <w:rsid w:val="00F44656"/>
    <w:rsid w:val="00F448C1"/>
    <w:rsid w:val="00F44CBD"/>
    <w:rsid w:val="00F44EE4"/>
    <w:rsid w:val="00F45DF4"/>
    <w:rsid w:val="00F4601C"/>
    <w:rsid w:val="00F4661F"/>
    <w:rsid w:val="00F46721"/>
    <w:rsid w:val="00F46805"/>
    <w:rsid w:val="00F47992"/>
    <w:rsid w:val="00F47D47"/>
    <w:rsid w:val="00F5041F"/>
    <w:rsid w:val="00F5044B"/>
    <w:rsid w:val="00F50614"/>
    <w:rsid w:val="00F506F2"/>
    <w:rsid w:val="00F50A9B"/>
    <w:rsid w:val="00F50D8C"/>
    <w:rsid w:val="00F50E7B"/>
    <w:rsid w:val="00F51B99"/>
    <w:rsid w:val="00F52203"/>
    <w:rsid w:val="00F53056"/>
    <w:rsid w:val="00F53405"/>
    <w:rsid w:val="00F53487"/>
    <w:rsid w:val="00F53506"/>
    <w:rsid w:val="00F5363C"/>
    <w:rsid w:val="00F53B01"/>
    <w:rsid w:val="00F54B09"/>
    <w:rsid w:val="00F5536A"/>
    <w:rsid w:val="00F558C5"/>
    <w:rsid w:val="00F5609B"/>
    <w:rsid w:val="00F5625D"/>
    <w:rsid w:val="00F56275"/>
    <w:rsid w:val="00F56766"/>
    <w:rsid w:val="00F56CF4"/>
    <w:rsid w:val="00F56ECB"/>
    <w:rsid w:val="00F573E2"/>
    <w:rsid w:val="00F57AD8"/>
    <w:rsid w:val="00F6020A"/>
    <w:rsid w:val="00F60736"/>
    <w:rsid w:val="00F60FB3"/>
    <w:rsid w:val="00F6132B"/>
    <w:rsid w:val="00F6191F"/>
    <w:rsid w:val="00F62AFA"/>
    <w:rsid w:val="00F63195"/>
    <w:rsid w:val="00F63A10"/>
    <w:rsid w:val="00F63D9F"/>
    <w:rsid w:val="00F63F7C"/>
    <w:rsid w:val="00F64489"/>
    <w:rsid w:val="00F64B6C"/>
    <w:rsid w:val="00F64C23"/>
    <w:rsid w:val="00F652D9"/>
    <w:rsid w:val="00F65414"/>
    <w:rsid w:val="00F658CA"/>
    <w:rsid w:val="00F65DEE"/>
    <w:rsid w:val="00F66C36"/>
    <w:rsid w:val="00F66EBF"/>
    <w:rsid w:val="00F67BA2"/>
    <w:rsid w:val="00F67EA4"/>
    <w:rsid w:val="00F70AB6"/>
    <w:rsid w:val="00F70C92"/>
    <w:rsid w:val="00F71293"/>
    <w:rsid w:val="00F71505"/>
    <w:rsid w:val="00F71CA4"/>
    <w:rsid w:val="00F71E99"/>
    <w:rsid w:val="00F71F52"/>
    <w:rsid w:val="00F7254B"/>
    <w:rsid w:val="00F730C1"/>
    <w:rsid w:val="00F73A83"/>
    <w:rsid w:val="00F73FD3"/>
    <w:rsid w:val="00F74AB8"/>
    <w:rsid w:val="00F74D5F"/>
    <w:rsid w:val="00F759D6"/>
    <w:rsid w:val="00F75CFC"/>
    <w:rsid w:val="00F75F31"/>
    <w:rsid w:val="00F760CC"/>
    <w:rsid w:val="00F77009"/>
    <w:rsid w:val="00F7742C"/>
    <w:rsid w:val="00F77512"/>
    <w:rsid w:val="00F77851"/>
    <w:rsid w:val="00F779EF"/>
    <w:rsid w:val="00F77A05"/>
    <w:rsid w:val="00F77D79"/>
    <w:rsid w:val="00F77DF9"/>
    <w:rsid w:val="00F80D33"/>
    <w:rsid w:val="00F81DF4"/>
    <w:rsid w:val="00F821A5"/>
    <w:rsid w:val="00F82368"/>
    <w:rsid w:val="00F82954"/>
    <w:rsid w:val="00F82A7E"/>
    <w:rsid w:val="00F837C0"/>
    <w:rsid w:val="00F8476C"/>
    <w:rsid w:val="00F84952"/>
    <w:rsid w:val="00F850F1"/>
    <w:rsid w:val="00F856BB"/>
    <w:rsid w:val="00F8585E"/>
    <w:rsid w:val="00F86691"/>
    <w:rsid w:val="00F86DDF"/>
    <w:rsid w:val="00F872F8"/>
    <w:rsid w:val="00F875F4"/>
    <w:rsid w:val="00F87FF9"/>
    <w:rsid w:val="00F90C07"/>
    <w:rsid w:val="00F90E73"/>
    <w:rsid w:val="00F91299"/>
    <w:rsid w:val="00F913B0"/>
    <w:rsid w:val="00F93CAA"/>
    <w:rsid w:val="00F9454A"/>
    <w:rsid w:val="00F94798"/>
    <w:rsid w:val="00F94F9A"/>
    <w:rsid w:val="00F9573F"/>
    <w:rsid w:val="00F9580E"/>
    <w:rsid w:val="00F96249"/>
    <w:rsid w:val="00FA09EC"/>
    <w:rsid w:val="00FA0B26"/>
    <w:rsid w:val="00FA1AD3"/>
    <w:rsid w:val="00FA1C03"/>
    <w:rsid w:val="00FA23BF"/>
    <w:rsid w:val="00FA289C"/>
    <w:rsid w:val="00FA2A27"/>
    <w:rsid w:val="00FA2B31"/>
    <w:rsid w:val="00FA2C18"/>
    <w:rsid w:val="00FA2CBC"/>
    <w:rsid w:val="00FA304F"/>
    <w:rsid w:val="00FA466C"/>
    <w:rsid w:val="00FA4BD9"/>
    <w:rsid w:val="00FA522E"/>
    <w:rsid w:val="00FA575A"/>
    <w:rsid w:val="00FA58D3"/>
    <w:rsid w:val="00FA5C0A"/>
    <w:rsid w:val="00FA5EFE"/>
    <w:rsid w:val="00FA5F26"/>
    <w:rsid w:val="00FA6571"/>
    <w:rsid w:val="00FA6BCD"/>
    <w:rsid w:val="00FA6F83"/>
    <w:rsid w:val="00FA7387"/>
    <w:rsid w:val="00FA7C39"/>
    <w:rsid w:val="00FB0CD6"/>
    <w:rsid w:val="00FB0E27"/>
    <w:rsid w:val="00FB1179"/>
    <w:rsid w:val="00FB1FAB"/>
    <w:rsid w:val="00FB23FA"/>
    <w:rsid w:val="00FB2B9B"/>
    <w:rsid w:val="00FB3395"/>
    <w:rsid w:val="00FB38B3"/>
    <w:rsid w:val="00FB4999"/>
    <w:rsid w:val="00FB4B71"/>
    <w:rsid w:val="00FB4B81"/>
    <w:rsid w:val="00FB55FA"/>
    <w:rsid w:val="00FB576E"/>
    <w:rsid w:val="00FB5851"/>
    <w:rsid w:val="00FB5C11"/>
    <w:rsid w:val="00FB6014"/>
    <w:rsid w:val="00FB643A"/>
    <w:rsid w:val="00FB6D76"/>
    <w:rsid w:val="00FB6E18"/>
    <w:rsid w:val="00FB6F2D"/>
    <w:rsid w:val="00FB7580"/>
    <w:rsid w:val="00FB7803"/>
    <w:rsid w:val="00FB7DCA"/>
    <w:rsid w:val="00FC0D1F"/>
    <w:rsid w:val="00FC1003"/>
    <w:rsid w:val="00FC130B"/>
    <w:rsid w:val="00FC1725"/>
    <w:rsid w:val="00FC194D"/>
    <w:rsid w:val="00FC19AB"/>
    <w:rsid w:val="00FC1FA8"/>
    <w:rsid w:val="00FC2969"/>
    <w:rsid w:val="00FC2B8C"/>
    <w:rsid w:val="00FC2D8D"/>
    <w:rsid w:val="00FC2F34"/>
    <w:rsid w:val="00FC387A"/>
    <w:rsid w:val="00FC3BA1"/>
    <w:rsid w:val="00FC3D3C"/>
    <w:rsid w:val="00FC44C7"/>
    <w:rsid w:val="00FC539E"/>
    <w:rsid w:val="00FC5F93"/>
    <w:rsid w:val="00FC6003"/>
    <w:rsid w:val="00FC656A"/>
    <w:rsid w:val="00FC6B31"/>
    <w:rsid w:val="00FC7B84"/>
    <w:rsid w:val="00FC7CB5"/>
    <w:rsid w:val="00FC7D93"/>
    <w:rsid w:val="00FC7D99"/>
    <w:rsid w:val="00FD01A1"/>
    <w:rsid w:val="00FD0274"/>
    <w:rsid w:val="00FD064D"/>
    <w:rsid w:val="00FD102A"/>
    <w:rsid w:val="00FD18DA"/>
    <w:rsid w:val="00FD1C58"/>
    <w:rsid w:val="00FD2AAA"/>
    <w:rsid w:val="00FD30A2"/>
    <w:rsid w:val="00FD39D1"/>
    <w:rsid w:val="00FD4145"/>
    <w:rsid w:val="00FD42CF"/>
    <w:rsid w:val="00FD44A5"/>
    <w:rsid w:val="00FD45AD"/>
    <w:rsid w:val="00FD4C33"/>
    <w:rsid w:val="00FD4CAA"/>
    <w:rsid w:val="00FD55AA"/>
    <w:rsid w:val="00FD6522"/>
    <w:rsid w:val="00FD6552"/>
    <w:rsid w:val="00FD6653"/>
    <w:rsid w:val="00FD743C"/>
    <w:rsid w:val="00FD7F1B"/>
    <w:rsid w:val="00FE01A0"/>
    <w:rsid w:val="00FE0419"/>
    <w:rsid w:val="00FE0D4E"/>
    <w:rsid w:val="00FE0E61"/>
    <w:rsid w:val="00FE1058"/>
    <w:rsid w:val="00FE1463"/>
    <w:rsid w:val="00FE1FEA"/>
    <w:rsid w:val="00FE2CE7"/>
    <w:rsid w:val="00FE2DB1"/>
    <w:rsid w:val="00FE2FD2"/>
    <w:rsid w:val="00FE3506"/>
    <w:rsid w:val="00FE394F"/>
    <w:rsid w:val="00FE3DBF"/>
    <w:rsid w:val="00FE429A"/>
    <w:rsid w:val="00FE4C95"/>
    <w:rsid w:val="00FE5B93"/>
    <w:rsid w:val="00FE5E84"/>
    <w:rsid w:val="00FE64C5"/>
    <w:rsid w:val="00FE6A02"/>
    <w:rsid w:val="00FE6DD6"/>
    <w:rsid w:val="00FE7365"/>
    <w:rsid w:val="00FE736B"/>
    <w:rsid w:val="00FE752C"/>
    <w:rsid w:val="00FE7952"/>
    <w:rsid w:val="00FE7EAB"/>
    <w:rsid w:val="00FF05AD"/>
    <w:rsid w:val="00FF0724"/>
    <w:rsid w:val="00FF0B5B"/>
    <w:rsid w:val="00FF12A8"/>
    <w:rsid w:val="00FF2BE8"/>
    <w:rsid w:val="00FF30E0"/>
    <w:rsid w:val="00FF32E1"/>
    <w:rsid w:val="00FF34A8"/>
    <w:rsid w:val="00FF4852"/>
    <w:rsid w:val="00FF4981"/>
    <w:rsid w:val="00FF4B4A"/>
    <w:rsid w:val="00FF4DBD"/>
    <w:rsid w:val="00FF5162"/>
    <w:rsid w:val="00FF5474"/>
    <w:rsid w:val="00FF5B37"/>
    <w:rsid w:val="00FF5C80"/>
    <w:rsid w:val="00FF5CBB"/>
    <w:rsid w:val="00FF5E90"/>
    <w:rsid w:val="00FF5F55"/>
    <w:rsid w:val="00FF6F1A"/>
    <w:rsid w:val="00FF7599"/>
    <w:rsid w:val="00FF7F18"/>
    <w:rsid w:val="00FF7FBB"/>
    <w:rsid w:val="01515E08"/>
    <w:rsid w:val="01A9480E"/>
    <w:rsid w:val="01C963F3"/>
    <w:rsid w:val="02B14D54"/>
    <w:rsid w:val="02B26417"/>
    <w:rsid w:val="02CB047F"/>
    <w:rsid w:val="03051984"/>
    <w:rsid w:val="03220B20"/>
    <w:rsid w:val="033430D2"/>
    <w:rsid w:val="036C0014"/>
    <w:rsid w:val="03851ED2"/>
    <w:rsid w:val="040233E5"/>
    <w:rsid w:val="05A84448"/>
    <w:rsid w:val="05B0696B"/>
    <w:rsid w:val="05B137E3"/>
    <w:rsid w:val="062C2248"/>
    <w:rsid w:val="063C3527"/>
    <w:rsid w:val="06ED62EE"/>
    <w:rsid w:val="07901B2A"/>
    <w:rsid w:val="07CF0CF6"/>
    <w:rsid w:val="07DA6273"/>
    <w:rsid w:val="080368BD"/>
    <w:rsid w:val="084D14E4"/>
    <w:rsid w:val="08E745A8"/>
    <w:rsid w:val="094D3D4C"/>
    <w:rsid w:val="096426FD"/>
    <w:rsid w:val="09AD0AEE"/>
    <w:rsid w:val="09CA328F"/>
    <w:rsid w:val="0A813571"/>
    <w:rsid w:val="0AC9016A"/>
    <w:rsid w:val="0B067E26"/>
    <w:rsid w:val="0B8C0007"/>
    <w:rsid w:val="0BE61B14"/>
    <w:rsid w:val="0C2B0C40"/>
    <w:rsid w:val="0C7763F9"/>
    <w:rsid w:val="0D7D2A2D"/>
    <w:rsid w:val="0DB85821"/>
    <w:rsid w:val="0E7C4DF4"/>
    <w:rsid w:val="0E7E7158"/>
    <w:rsid w:val="0F930ADC"/>
    <w:rsid w:val="0FE82EA7"/>
    <w:rsid w:val="114378E0"/>
    <w:rsid w:val="11FA7885"/>
    <w:rsid w:val="120C7329"/>
    <w:rsid w:val="122431D2"/>
    <w:rsid w:val="123E0DFD"/>
    <w:rsid w:val="15643C7F"/>
    <w:rsid w:val="156B7CAF"/>
    <w:rsid w:val="15C962BF"/>
    <w:rsid w:val="17371525"/>
    <w:rsid w:val="17DF2A99"/>
    <w:rsid w:val="17E27E83"/>
    <w:rsid w:val="17E44EC0"/>
    <w:rsid w:val="1809187D"/>
    <w:rsid w:val="183D6BF4"/>
    <w:rsid w:val="1899514E"/>
    <w:rsid w:val="1A1946BB"/>
    <w:rsid w:val="1AE14AB2"/>
    <w:rsid w:val="1D546F4A"/>
    <w:rsid w:val="1E6F6321"/>
    <w:rsid w:val="1EE82632"/>
    <w:rsid w:val="208E4586"/>
    <w:rsid w:val="20D42C6A"/>
    <w:rsid w:val="20D5593A"/>
    <w:rsid w:val="20E7172C"/>
    <w:rsid w:val="212244F4"/>
    <w:rsid w:val="22166AFA"/>
    <w:rsid w:val="23125A98"/>
    <w:rsid w:val="232F3C26"/>
    <w:rsid w:val="233A115A"/>
    <w:rsid w:val="23456A19"/>
    <w:rsid w:val="23712AE3"/>
    <w:rsid w:val="24273BF0"/>
    <w:rsid w:val="244B2840"/>
    <w:rsid w:val="24FD6646"/>
    <w:rsid w:val="258A19A4"/>
    <w:rsid w:val="25B90744"/>
    <w:rsid w:val="25D565A0"/>
    <w:rsid w:val="26043A0E"/>
    <w:rsid w:val="2693225F"/>
    <w:rsid w:val="26C132CC"/>
    <w:rsid w:val="26E83861"/>
    <w:rsid w:val="27055C4E"/>
    <w:rsid w:val="2791373C"/>
    <w:rsid w:val="2799045D"/>
    <w:rsid w:val="27D150E1"/>
    <w:rsid w:val="284F54D2"/>
    <w:rsid w:val="2887358B"/>
    <w:rsid w:val="2921565E"/>
    <w:rsid w:val="29E14C88"/>
    <w:rsid w:val="2A4028DC"/>
    <w:rsid w:val="2A5B0142"/>
    <w:rsid w:val="2ACE6CC8"/>
    <w:rsid w:val="2B567EA6"/>
    <w:rsid w:val="2B7E6D62"/>
    <w:rsid w:val="2C062248"/>
    <w:rsid w:val="2CB650E2"/>
    <w:rsid w:val="2E664308"/>
    <w:rsid w:val="2EA1540F"/>
    <w:rsid w:val="2EF9389F"/>
    <w:rsid w:val="2F196353"/>
    <w:rsid w:val="30283F91"/>
    <w:rsid w:val="30F57EEF"/>
    <w:rsid w:val="31D126A0"/>
    <w:rsid w:val="32C87EFB"/>
    <w:rsid w:val="332E7A04"/>
    <w:rsid w:val="3350149A"/>
    <w:rsid w:val="336F1BEF"/>
    <w:rsid w:val="347E4C07"/>
    <w:rsid w:val="34A63A67"/>
    <w:rsid w:val="3547400E"/>
    <w:rsid w:val="359E1A84"/>
    <w:rsid w:val="35F63798"/>
    <w:rsid w:val="36103193"/>
    <w:rsid w:val="36293BE7"/>
    <w:rsid w:val="36CB6C73"/>
    <w:rsid w:val="372A0312"/>
    <w:rsid w:val="374E1C16"/>
    <w:rsid w:val="37897DC1"/>
    <w:rsid w:val="38710629"/>
    <w:rsid w:val="38A11FA0"/>
    <w:rsid w:val="38C05E29"/>
    <w:rsid w:val="38D03EC5"/>
    <w:rsid w:val="39AE68E3"/>
    <w:rsid w:val="39EB0D7E"/>
    <w:rsid w:val="3B6D378E"/>
    <w:rsid w:val="3BB62604"/>
    <w:rsid w:val="3C850BDC"/>
    <w:rsid w:val="3C8A7164"/>
    <w:rsid w:val="3CA769C0"/>
    <w:rsid w:val="3CC44D40"/>
    <w:rsid w:val="3D3426D6"/>
    <w:rsid w:val="3DEF482D"/>
    <w:rsid w:val="3E320799"/>
    <w:rsid w:val="3F586580"/>
    <w:rsid w:val="3F94445C"/>
    <w:rsid w:val="40A15C6D"/>
    <w:rsid w:val="41150C73"/>
    <w:rsid w:val="412F10C8"/>
    <w:rsid w:val="41D6742B"/>
    <w:rsid w:val="42221735"/>
    <w:rsid w:val="429D5C17"/>
    <w:rsid w:val="43033BC2"/>
    <w:rsid w:val="44187FD3"/>
    <w:rsid w:val="44247CAE"/>
    <w:rsid w:val="445057A1"/>
    <w:rsid w:val="44507CDA"/>
    <w:rsid w:val="4457512C"/>
    <w:rsid w:val="4526317B"/>
    <w:rsid w:val="45830295"/>
    <w:rsid w:val="458F6682"/>
    <w:rsid w:val="45B83A6E"/>
    <w:rsid w:val="45EF7078"/>
    <w:rsid w:val="46C42BD7"/>
    <w:rsid w:val="47285200"/>
    <w:rsid w:val="47327EB9"/>
    <w:rsid w:val="486F665A"/>
    <w:rsid w:val="48B87FA9"/>
    <w:rsid w:val="48CB4747"/>
    <w:rsid w:val="4A2C0DD9"/>
    <w:rsid w:val="4B2657DA"/>
    <w:rsid w:val="4B637B1D"/>
    <w:rsid w:val="4B6C26CB"/>
    <w:rsid w:val="4BEB429E"/>
    <w:rsid w:val="4C6361D0"/>
    <w:rsid w:val="4C8A6EEA"/>
    <w:rsid w:val="4CA960C3"/>
    <w:rsid w:val="4E20643C"/>
    <w:rsid w:val="4E240EEE"/>
    <w:rsid w:val="4F6532BF"/>
    <w:rsid w:val="4FCD197A"/>
    <w:rsid w:val="4FDC6EFC"/>
    <w:rsid w:val="502169F8"/>
    <w:rsid w:val="512A3F66"/>
    <w:rsid w:val="519A1DCA"/>
    <w:rsid w:val="523A7CC3"/>
    <w:rsid w:val="52697133"/>
    <w:rsid w:val="52AF74B4"/>
    <w:rsid w:val="531E0DED"/>
    <w:rsid w:val="54736482"/>
    <w:rsid w:val="549C57F3"/>
    <w:rsid w:val="560F1140"/>
    <w:rsid w:val="57276389"/>
    <w:rsid w:val="57685148"/>
    <w:rsid w:val="57B74973"/>
    <w:rsid w:val="5941447A"/>
    <w:rsid w:val="594E5E02"/>
    <w:rsid w:val="5B0D5CEF"/>
    <w:rsid w:val="5BA67D81"/>
    <w:rsid w:val="5BE66D64"/>
    <w:rsid w:val="5C906CFC"/>
    <w:rsid w:val="5D350C07"/>
    <w:rsid w:val="5E2511AD"/>
    <w:rsid w:val="5E6C52B2"/>
    <w:rsid w:val="5EC37085"/>
    <w:rsid w:val="5EEE613D"/>
    <w:rsid w:val="5F763632"/>
    <w:rsid w:val="5FDA20D0"/>
    <w:rsid w:val="60033C5A"/>
    <w:rsid w:val="60D22668"/>
    <w:rsid w:val="61135650"/>
    <w:rsid w:val="616131D1"/>
    <w:rsid w:val="616366D4"/>
    <w:rsid w:val="6251635C"/>
    <w:rsid w:val="62C05BCC"/>
    <w:rsid w:val="63361C80"/>
    <w:rsid w:val="63E61C76"/>
    <w:rsid w:val="64486DF2"/>
    <w:rsid w:val="649F5FED"/>
    <w:rsid w:val="64F77CB9"/>
    <w:rsid w:val="663414BA"/>
    <w:rsid w:val="6839684B"/>
    <w:rsid w:val="68461EA7"/>
    <w:rsid w:val="68AA7FF5"/>
    <w:rsid w:val="69462FE1"/>
    <w:rsid w:val="699E0658"/>
    <w:rsid w:val="69A74365"/>
    <w:rsid w:val="69B226F6"/>
    <w:rsid w:val="6A6E51EA"/>
    <w:rsid w:val="6C37486F"/>
    <w:rsid w:val="6C664EB0"/>
    <w:rsid w:val="6CA96259"/>
    <w:rsid w:val="6D886E76"/>
    <w:rsid w:val="6DA63570"/>
    <w:rsid w:val="6DEB6263"/>
    <w:rsid w:val="6DF2462C"/>
    <w:rsid w:val="6E087D91"/>
    <w:rsid w:val="6E265FD2"/>
    <w:rsid w:val="6EF13CED"/>
    <w:rsid w:val="6F37470B"/>
    <w:rsid w:val="6F915DAB"/>
    <w:rsid w:val="704604FD"/>
    <w:rsid w:val="706076F2"/>
    <w:rsid w:val="70CC2A28"/>
    <w:rsid w:val="70FE236E"/>
    <w:rsid w:val="71041CF8"/>
    <w:rsid w:val="71236D2A"/>
    <w:rsid w:val="712B3C39"/>
    <w:rsid w:val="71C813EE"/>
    <w:rsid w:val="71DB1290"/>
    <w:rsid w:val="728320DC"/>
    <w:rsid w:val="73F423CB"/>
    <w:rsid w:val="742F2E40"/>
    <w:rsid w:val="749921E3"/>
    <w:rsid w:val="749B72EA"/>
    <w:rsid w:val="758B61E2"/>
    <w:rsid w:val="76E94F50"/>
    <w:rsid w:val="76EC220D"/>
    <w:rsid w:val="76F529B8"/>
    <w:rsid w:val="772E6BE0"/>
    <w:rsid w:val="78451951"/>
    <w:rsid w:val="794A1A1B"/>
    <w:rsid w:val="7BF95119"/>
    <w:rsid w:val="7CF5040F"/>
    <w:rsid w:val="7DD64B04"/>
    <w:rsid w:val="7E69393D"/>
    <w:rsid w:val="7EB01E35"/>
    <w:rsid w:val="7FD9418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nhideWhenUsed="0" w:uiPriority="0"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qFormat="1" w:unhideWhenUsed="0" w:uiPriority="0" w:name="Body Text 2"/>
    <w:lsdException w:qFormat="1" w:unhideWhenUsed="0" w:uiPriority="0" w:name="Body Text 3"/>
    <w:lsdException w:qFormat="1" w:unhideWhenUsed="0" w:uiPriority="0" w:name="Body Text Indent 2"/>
    <w:lsdException w:qFormat="1" w:unhideWhenUsed="0" w:uiPriority="0" w:name="Body Text Indent 3"/>
    <w:lsdException w:uiPriority="99" w:name="Block Text"/>
    <w:lsdException w:qFormat="1" w:unhideWhenUsed="0" w:uiPriority="99" w:semiHidden="0" w:name="Hyperlink"/>
    <w:lsdException w:qFormat="1" w:unhideWhenUsed="0" w:uiPriority="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1"/>
    <w:qFormat/>
    <w:uiPriority w:val="0"/>
    <w:pPr>
      <w:keepNext/>
      <w:keepLines/>
      <w:adjustRightInd w:val="0"/>
      <w:spacing w:before="360" w:after="240" w:line="360" w:lineRule="auto"/>
      <w:jc w:val="center"/>
      <w:textAlignment w:val="baseline"/>
      <w:outlineLvl w:val="0"/>
    </w:pPr>
    <w:rPr>
      <w:rFonts w:eastAsia="黑体"/>
      <w:kern w:val="44"/>
      <w:sz w:val="32"/>
    </w:rPr>
  </w:style>
  <w:style w:type="paragraph" w:styleId="3">
    <w:name w:val="heading 2"/>
    <w:basedOn w:val="1"/>
    <w:next w:val="4"/>
    <w:link w:val="42"/>
    <w:qFormat/>
    <w:uiPriority w:val="0"/>
    <w:pPr>
      <w:keepNext/>
      <w:keepLines/>
      <w:spacing w:before="260" w:after="260" w:line="360" w:lineRule="auto"/>
      <w:jc w:val="center"/>
      <w:outlineLvl w:val="1"/>
    </w:pPr>
    <w:rPr>
      <w:rFonts w:ascii="宋体" w:hAnsi="Arial"/>
      <w:b/>
    </w:rPr>
  </w:style>
  <w:style w:type="paragraph" w:styleId="5">
    <w:name w:val="heading 3"/>
    <w:basedOn w:val="1"/>
    <w:next w:val="4"/>
    <w:link w:val="43"/>
    <w:qFormat/>
    <w:uiPriority w:val="0"/>
    <w:pPr>
      <w:keepNext/>
      <w:keepLines/>
      <w:spacing w:before="260" w:after="260" w:line="416" w:lineRule="auto"/>
      <w:outlineLvl w:val="2"/>
    </w:pPr>
    <w:rPr>
      <w:b/>
      <w:kern w:val="4"/>
      <w:sz w:val="30"/>
    </w:rPr>
  </w:style>
  <w:style w:type="paragraph" w:styleId="6">
    <w:name w:val="heading 4"/>
    <w:basedOn w:val="1"/>
    <w:next w:val="1"/>
    <w:link w:val="44"/>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34">
    <w:name w:val="Default Paragraph Font"/>
    <w:unhideWhenUsed/>
    <w:qFormat/>
    <w:uiPriority w:val="1"/>
  </w:style>
  <w:style w:type="table" w:default="1" w:styleId="32">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pPr>
  </w:style>
  <w:style w:type="paragraph" w:styleId="7">
    <w:name w:val="toc 7"/>
    <w:basedOn w:val="1"/>
    <w:next w:val="1"/>
    <w:semiHidden/>
    <w:qFormat/>
    <w:uiPriority w:val="0"/>
    <w:pPr>
      <w:ind w:left="2520" w:leftChars="1200"/>
    </w:pPr>
  </w:style>
  <w:style w:type="paragraph" w:styleId="8">
    <w:name w:val="Document Map"/>
    <w:basedOn w:val="1"/>
    <w:link w:val="45"/>
    <w:unhideWhenUsed/>
    <w:qFormat/>
    <w:uiPriority w:val="99"/>
    <w:rPr>
      <w:rFonts w:ascii="宋体"/>
      <w:sz w:val="18"/>
      <w:szCs w:val="18"/>
    </w:rPr>
  </w:style>
  <w:style w:type="paragraph" w:styleId="9">
    <w:name w:val="annotation text"/>
    <w:basedOn w:val="1"/>
    <w:link w:val="46"/>
    <w:semiHidden/>
    <w:qFormat/>
    <w:uiPriority w:val="99"/>
    <w:pPr>
      <w:jc w:val="left"/>
    </w:pPr>
  </w:style>
  <w:style w:type="paragraph" w:styleId="10">
    <w:name w:val="Body Text 3"/>
    <w:basedOn w:val="1"/>
    <w:link w:val="47"/>
    <w:semiHidden/>
    <w:qFormat/>
    <w:uiPriority w:val="0"/>
    <w:rPr>
      <w:rFonts w:ascii="宋体"/>
      <w:spacing w:val="20"/>
      <w:kern w:val="3"/>
      <w:sz w:val="24"/>
    </w:rPr>
  </w:style>
  <w:style w:type="paragraph" w:styleId="11">
    <w:name w:val="Body Text"/>
    <w:basedOn w:val="1"/>
    <w:link w:val="48"/>
    <w:semiHidden/>
    <w:qFormat/>
    <w:uiPriority w:val="0"/>
    <w:pPr>
      <w:adjustRightInd w:val="0"/>
      <w:spacing w:after="120"/>
      <w:textAlignment w:val="baseline"/>
    </w:pPr>
    <w:rPr>
      <w:sz w:val="28"/>
    </w:rPr>
  </w:style>
  <w:style w:type="paragraph" w:styleId="12">
    <w:name w:val="Body Text Indent"/>
    <w:basedOn w:val="1"/>
    <w:link w:val="49"/>
    <w:semiHidden/>
    <w:qFormat/>
    <w:uiPriority w:val="0"/>
    <w:pPr>
      <w:spacing w:line="360" w:lineRule="auto"/>
      <w:ind w:firstLine="600"/>
    </w:pPr>
    <w:rPr>
      <w:sz w:val="24"/>
    </w:rPr>
  </w:style>
  <w:style w:type="paragraph" w:styleId="13">
    <w:name w:val="toc 5"/>
    <w:basedOn w:val="1"/>
    <w:next w:val="1"/>
    <w:semiHidden/>
    <w:qFormat/>
    <w:uiPriority w:val="0"/>
    <w:pPr>
      <w:ind w:left="1680" w:leftChars="800"/>
    </w:pPr>
  </w:style>
  <w:style w:type="paragraph" w:styleId="14">
    <w:name w:val="toc 3"/>
    <w:basedOn w:val="1"/>
    <w:next w:val="1"/>
    <w:semiHidden/>
    <w:qFormat/>
    <w:uiPriority w:val="0"/>
    <w:pPr>
      <w:ind w:left="840" w:leftChars="400"/>
    </w:pPr>
  </w:style>
  <w:style w:type="paragraph" w:styleId="15">
    <w:name w:val="Plain Text"/>
    <w:basedOn w:val="1"/>
    <w:link w:val="50"/>
    <w:semiHidden/>
    <w:qFormat/>
    <w:uiPriority w:val="0"/>
    <w:rPr>
      <w:rFonts w:ascii="宋体" w:hAnsi="Courier New"/>
    </w:rPr>
  </w:style>
  <w:style w:type="paragraph" w:styleId="16">
    <w:name w:val="toc 8"/>
    <w:basedOn w:val="1"/>
    <w:next w:val="1"/>
    <w:semiHidden/>
    <w:qFormat/>
    <w:uiPriority w:val="0"/>
    <w:pPr>
      <w:ind w:left="2940" w:leftChars="1400"/>
    </w:pPr>
  </w:style>
  <w:style w:type="paragraph" w:styleId="17">
    <w:name w:val="Body Text Indent 2"/>
    <w:basedOn w:val="1"/>
    <w:link w:val="51"/>
    <w:semiHidden/>
    <w:qFormat/>
    <w:uiPriority w:val="0"/>
    <w:pPr>
      <w:spacing w:line="360" w:lineRule="auto"/>
      <w:ind w:firstLine="465"/>
    </w:pPr>
    <w:rPr>
      <w:rFonts w:ascii="宋体"/>
      <w:kern w:val="3"/>
      <w:sz w:val="24"/>
    </w:rPr>
  </w:style>
  <w:style w:type="paragraph" w:styleId="18">
    <w:name w:val="Balloon Text"/>
    <w:basedOn w:val="1"/>
    <w:link w:val="52"/>
    <w:unhideWhenUsed/>
    <w:qFormat/>
    <w:uiPriority w:val="99"/>
    <w:rPr>
      <w:sz w:val="18"/>
      <w:szCs w:val="18"/>
    </w:rPr>
  </w:style>
  <w:style w:type="paragraph" w:styleId="19">
    <w:name w:val="footer"/>
    <w:basedOn w:val="1"/>
    <w:link w:val="53"/>
    <w:qFormat/>
    <w:uiPriority w:val="99"/>
    <w:pPr>
      <w:tabs>
        <w:tab w:val="center" w:pos="4153"/>
        <w:tab w:val="right" w:pos="8306"/>
      </w:tabs>
      <w:snapToGrid w:val="0"/>
      <w:jc w:val="left"/>
    </w:pPr>
    <w:rPr>
      <w:sz w:val="18"/>
    </w:rPr>
  </w:style>
  <w:style w:type="paragraph" w:styleId="20">
    <w:name w:val="header"/>
    <w:basedOn w:val="1"/>
    <w:link w:val="54"/>
    <w:qFormat/>
    <w:uiPriority w:val="99"/>
    <w:pPr>
      <w:pBdr>
        <w:bottom w:val="single" w:color="auto" w:sz="6" w:space="1"/>
      </w:pBdr>
      <w:tabs>
        <w:tab w:val="center" w:pos="4153"/>
        <w:tab w:val="right" w:pos="8306"/>
      </w:tabs>
      <w:snapToGrid w:val="0"/>
      <w:jc w:val="center"/>
    </w:pPr>
    <w:rPr>
      <w:sz w:val="18"/>
    </w:rPr>
  </w:style>
  <w:style w:type="paragraph" w:styleId="21">
    <w:name w:val="toc 1"/>
    <w:basedOn w:val="1"/>
    <w:next w:val="1"/>
    <w:qFormat/>
    <w:uiPriority w:val="39"/>
  </w:style>
  <w:style w:type="paragraph" w:styleId="22">
    <w:name w:val="toc 4"/>
    <w:basedOn w:val="1"/>
    <w:next w:val="1"/>
    <w:semiHidden/>
    <w:qFormat/>
    <w:uiPriority w:val="0"/>
    <w:pPr>
      <w:ind w:left="1260" w:leftChars="600"/>
    </w:pPr>
  </w:style>
  <w:style w:type="paragraph" w:styleId="23">
    <w:name w:val="footnote text"/>
    <w:basedOn w:val="1"/>
    <w:link w:val="55"/>
    <w:semiHidden/>
    <w:qFormat/>
    <w:uiPriority w:val="0"/>
    <w:pPr>
      <w:snapToGrid w:val="0"/>
      <w:jc w:val="left"/>
    </w:pPr>
    <w:rPr>
      <w:sz w:val="18"/>
      <w:szCs w:val="18"/>
    </w:rPr>
  </w:style>
  <w:style w:type="paragraph" w:styleId="24">
    <w:name w:val="toc 6"/>
    <w:basedOn w:val="1"/>
    <w:next w:val="1"/>
    <w:semiHidden/>
    <w:qFormat/>
    <w:uiPriority w:val="0"/>
    <w:pPr>
      <w:ind w:left="2100" w:leftChars="1000"/>
    </w:pPr>
  </w:style>
  <w:style w:type="paragraph" w:styleId="25">
    <w:name w:val="Body Text Indent 3"/>
    <w:basedOn w:val="1"/>
    <w:link w:val="56"/>
    <w:semiHidden/>
    <w:qFormat/>
    <w:uiPriority w:val="0"/>
    <w:pPr>
      <w:spacing w:line="360" w:lineRule="auto"/>
      <w:ind w:firstLine="480"/>
    </w:pPr>
    <w:rPr>
      <w:rFonts w:ascii="宋体"/>
      <w:sz w:val="24"/>
    </w:rPr>
  </w:style>
  <w:style w:type="paragraph" w:styleId="26">
    <w:name w:val="toc 2"/>
    <w:basedOn w:val="1"/>
    <w:next w:val="1"/>
    <w:semiHidden/>
    <w:qFormat/>
    <w:uiPriority w:val="0"/>
    <w:pPr>
      <w:ind w:left="420" w:leftChars="200"/>
    </w:pPr>
  </w:style>
  <w:style w:type="paragraph" w:styleId="27">
    <w:name w:val="toc 9"/>
    <w:basedOn w:val="1"/>
    <w:next w:val="1"/>
    <w:semiHidden/>
    <w:qFormat/>
    <w:uiPriority w:val="0"/>
    <w:pPr>
      <w:ind w:left="3360" w:leftChars="1600"/>
    </w:pPr>
  </w:style>
  <w:style w:type="paragraph" w:styleId="28">
    <w:name w:val="Body Text 2"/>
    <w:basedOn w:val="1"/>
    <w:link w:val="57"/>
    <w:semiHidden/>
    <w:qFormat/>
    <w:uiPriority w:val="0"/>
    <w:rPr>
      <w:sz w:val="28"/>
    </w:rPr>
  </w:style>
  <w:style w:type="paragraph" w:styleId="29">
    <w:name w:val="Normal (Web)"/>
    <w:basedOn w:val="1"/>
    <w:semiHidden/>
    <w:qFormat/>
    <w:uiPriority w:val="0"/>
    <w:pPr>
      <w:widowControl/>
      <w:spacing w:before="100" w:beforeAutospacing="1" w:after="100" w:afterAutospacing="1"/>
      <w:jc w:val="left"/>
    </w:pPr>
    <w:rPr>
      <w:rFonts w:ascii="宋体" w:hAnsi="宋体"/>
      <w:color w:val="000000"/>
      <w:kern w:val="0"/>
      <w:sz w:val="24"/>
      <w:szCs w:val="24"/>
    </w:rPr>
  </w:style>
  <w:style w:type="paragraph" w:styleId="30">
    <w:name w:val="annotation subject"/>
    <w:basedOn w:val="9"/>
    <w:next w:val="9"/>
    <w:link w:val="58"/>
    <w:unhideWhenUsed/>
    <w:qFormat/>
    <w:uiPriority w:val="99"/>
    <w:rPr>
      <w:b/>
      <w:bCs/>
    </w:rPr>
  </w:style>
  <w:style w:type="paragraph" w:styleId="31">
    <w:name w:val="Body Text First Indent"/>
    <w:basedOn w:val="11"/>
    <w:link w:val="59"/>
    <w:unhideWhenUsed/>
    <w:qFormat/>
    <w:uiPriority w:val="99"/>
    <w:pPr>
      <w:adjustRightInd/>
      <w:ind w:firstLine="420" w:firstLineChars="100"/>
      <w:textAlignment w:val="auto"/>
    </w:pPr>
    <w:rPr>
      <w:sz w:val="21"/>
    </w:rPr>
  </w:style>
  <w:style w:type="table" w:styleId="33">
    <w:name w:val="Light List Accent 5"/>
    <w:basedOn w:val="32"/>
    <w:qFormat/>
    <w:uiPriority w:val="61"/>
    <w:rPr>
      <w:rFonts w:ascii="Times New Roman" w:hAnsi="Times New Roman"/>
    </w:rPr>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character" w:styleId="35">
    <w:name w:val="Strong"/>
    <w:qFormat/>
    <w:uiPriority w:val="0"/>
    <w:rPr>
      <w:b/>
      <w:bCs/>
    </w:rPr>
  </w:style>
  <w:style w:type="character" w:styleId="36">
    <w:name w:val="page number"/>
    <w:qFormat/>
    <w:uiPriority w:val="0"/>
  </w:style>
  <w:style w:type="character" w:styleId="37">
    <w:name w:val="FollowedHyperlink"/>
    <w:semiHidden/>
    <w:qFormat/>
    <w:uiPriority w:val="0"/>
    <w:rPr>
      <w:color w:val="800080"/>
      <w:u w:val="single"/>
    </w:rPr>
  </w:style>
  <w:style w:type="character" w:styleId="38">
    <w:name w:val="Emphasis"/>
    <w:qFormat/>
    <w:uiPriority w:val="20"/>
    <w:rPr>
      <w:color w:val="CC0033"/>
    </w:rPr>
  </w:style>
  <w:style w:type="character" w:styleId="39">
    <w:name w:val="Hyperlink"/>
    <w:qFormat/>
    <w:uiPriority w:val="99"/>
    <w:rPr>
      <w:color w:val="0000FF"/>
      <w:u w:val="single"/>
    </w:rPr>
  </w:style>
  <w:style w:type="character" w:styleId="40">
    <w:name w:val="annotation reference"/>
    <w:semiHidden/>
    <w:qFormat/>
    <w:uiPriority w:val="99"/>
    <w:rPr>
      <w:sz w:val="21"/>
      <w:szCs w:val="21"/>
    </w:rPr>
  </w:style>
  <w:style w:type="character" w:customStyle="1" w:styleId="41">
    <w:name w:val="标题 1 Char"/>
    <w:link w:val="2"/>
    <w:qFormat/>
    <w:uiPriority w:val="0"/>
    <w:rPr>
      <w:rFonts w:ascii="Times New Roman" w:hAnsi="Times New Roman" w:eastAsia="黑体" w:cs="Times New Roman"/>
      <w:kern w:val="44"/>
      <w:sz w:val="32"/>
      <w:szCs w:val="20"/>
    </w:rPr>
  </w:style>
  <w:style w:type="character" w:customStyle="1" w:styleId="42">
    <w:name w:val="标题 2 Char"/>
    <w:link w:val="3"/>
    <w:qFormat/>
    <w:uiPriority w:val="0"/>
    <w:rPr>
      <w:rFonts w:ascii="宋体" w:hAnsi="Arial" w:eastAsia="宋体" w:cs="Times New Roman"/>
      <w:b/>
      <w:szCs w:val="20"/>
    </w:rPr>
  </w:style>
  <w:style w:type="character" w:customStyle="1" w:styleId="43">
    <w:name w:val="标题 3 Char"/>
    <w:link w:val="5"/>
    <w:qFormat/>
    <w:uiPriority w:val="0"/>
    <w:rPr>
      <w:rFonts w:ascii="Times New Roman" w:hAnsi="Times New Roman" w:eastAsia="宋体" w:cs="Times New Roman"/>
      <w:b/>
      <w:kern w:val="4"/>
      <w:sz w:val="30"/>
      <w:szCs w:val="20"/>
    </w:rPr>
  </w:style>
  <w:style w:type="character" w:customStyle="1" w:styleId="44">
    <w:name w:val="标题 4 Char"/>
    <w:link w:val="6"/>
    <w:qFormat/>
    <w:uiPriority w:val="0"/>
    <w:rPr>
      <w:rFonts w:ascii="Cambria" w:hAnsi="Cambria" w:eastAsia="宋体" w:cs="Times New Roman"/>
      <w:b/>
      <w:bCs/>
      <w:kern w:val="2"/>
      <w:sz w:val="28"/>
      <w:szCs w:val="28"/>
    </w:rPr>
  </w:style>
  <w:style w:type="character" w:customStyle="1" w:styleId="45">
    <w:name w:val="文档结构图 Char"/>
    <w:link w:val="8"/>
    <w:semiHidden/>
    <w:qFormat/>
    <w:uiPriority w:val="99"/>
    <w:rPr>
      <w:rFonts w:ascii="宋体" w:hAnsi="Times New Roman"/>
      <w:kern w:val="2"/>
      <w:sz w:val="18"/>
      <w:szCs w:val="18"/>
    </w:rPr>
  </w:style>
  <w:style w:type="character" w:customStyle="1" w:styleId="46">
    <w:name w:val="批注文字 Char1"/>
    <w:link w:val="9"/>
    <w:semiHidden/>
    <w:qFormat/>
    <w:uiPriority w:val="99"/>
    <w:rPr>
      <w:rFonts w:ascii="Times New Roman" w:hAnsi="Times New Roman" w:eastAsia="宋体" w:cs="Times New Roman"/>
      <w:szCs w:val="20"/>
    </w:rPr>
  </w:style>
  <w:style w:type="character" w:customStyle="1" w:styleId="47">
    <w:name w:val="正文文本 3 Char"/>
    <w:link w:val="10"/>
    <w:semiHidden/>
    <w:qFormat/>
    <w:uiPriority w:val="0"/>
    <w:rPr>
      <w:rFonts w:ascii="宋体" w:hAnsi="Times New Roman" w:eastAsia="宋体" w:cs="Times New Roman"/>
      <w:spacing w:val="20"/>
      <w:kern w:val="3"/>
      <w:sz w:val="24"/>
      <w:szCs w:val="20"/>
    </w:rPr>
  </w:style>
  <w:style w:type="character" w:customStyle="1" w:styleId="48">
    <w:name w:val="正文文本 Char"/>
    <w:link w:val="11"/>
    <w:semiHidden/>
    <w:qFormat/>
    <w:uiPriority w:val="0"/>
    <w:rPr>
      <w:rFonts w:ascii="Times New Roman" w:hAnsi="Times New Roman" w:eastAsia="宋体" w:cs="Times New Roman"/>
      <w:sz w:val="28"/>
      <w:szCs w:val="20"/>
    </w:rPr>
  </w:style>
  <w:style w:type="character" w:customStyle="1" w:styleId="49">
    <w:name w:val="正文文本缩进 Char"/>
    <w:link w:val="12"/>
    <w:semiHidden/>
    <w:qFormat/>
    <w:uiPriority w:val="0"/>
    <w:rPr>
      <w:rFonts w:ascii="Times New Roman" w:hAnsi="Times New Roman" w:eastAsia="宋体" w:cs="Times New Roman"/>
      <w:sz w:val="24"/>
      <w:szCs w:val="20"/>
    </w:rPr>
  </w:style>
  <w:style w:type="character" w:customStyle="1" w:styleId="50">
    <w:name w:val="纯文本 Char"/>
    <w:link w:val="15"/>
    <w:semiHidden/>
    <w:qFormat/>
    <w:uiPriority w:val="0"/>
    <w:rPr>
      <w:rFonts w:ascii="宋体" w:hAnsi="Courier New" w:eastAsia="宋体" w:cs="Times New Roman"/>
      <w:szCs w:val="20"/>
    </w:rPr>
  </w:style>
  <w:style w:type="character" w:customStyle="1" w:styleId="51">
    <w:name w:val="正文文本缩进 2 Char"/>
    <w:link w:val="17"/>
    <w:semiHidden/>
    <w:qFormat/>
    <w:uiPriority w:val="0"/>
    <w:rPr>
      <w:rFonts w:ascii="宋体" w:hAnsi="Times New Roman" w:eastAsia="宋体" w:cs="Times New Roman"/>
      <w:kern w:val="3"/>
      <w:sz w:val="24"/>
      <w:szCs w:val="20"/>
    </w:rPr>
  </w:style>
  <w:style w:type="character" w:customStyle="1" w:styleId="52">
    <w:name w:val="批注框文本 Char"/>
    <w:link w:val="18"/>
    <w:semiHidden/>
    <w:qFormat/>
    <w:uiPriority w:val="99"/>
    <w:rPr>
      <w:rFonts w:ascii="Times New Roman" w:hAnsi="Times New Roman" w:eastAsia="宋体" w:cs="Times New Roman"/>
      <w:sz w:val="18"/>
      <w:szCs w:val="18"/>
    </w:rPr>
  </w:style>
  <w:style w:type="character" w:customStyle="1" w:styleId="53">
    <w:name w:val="页脚 Char"/>
    <w:link w:val="19"/>
    <w:qFormat/>
    <w:uiPriority w:val="99"/>
    <w:rPr>
      <w:rFonts w:ascii="Times New Roman" w:hAnsi="Times New Roman" w:eastAsia="宋体" w:cs="Times New Roman"/>
      <w:sz w:val="18"/>
      <w:szCs w:val="20"/>
    </w:rPr>
  </w:style>
  <w:style w:type="character" w:customStyle="1" w:styleId="54">
    <w:name w:val="页眉 Char"/>
    <w:link w:val="20"/>
    <w:qFormat/>
    <w:uiPriority w:val="99"/>
    <w:rPr>
      <w:rFonts w:ascii="Times New Roman" w:hAnsi="Times New Roman" w:eastAsia="宋体" w:cs="Times New Roman"/>
      <w:sz w:val="18"/>
      <w:szCs w:val="20"/>
    </w:rPr>
  </w:style>
  <w:style w:type="character" w:customStyle="1" w:styleId="55">
    <w:name w:val="脚注文本 Char"/>
    <w:link w:val="23"/>
    <w:semiHidden/>
    <w:qFormat/>
    <w:uiPriority w:val="0"/>
    <w:rPr>
      <w:rFonts w:ascii="Times New Roman" w:hAnsi="Times New Roman" w:eastAsia="宋体" w:cs="Times New Roman"/>
      <w:sz w:val="18"/>
      <w:szCs w:val="18"/>
    </w:rPr>
  </w:style>
  <w:style w:type="character" w:customStyle="1" w:styleId="56">
    <w:name w:val="正文文本缩进 3 Char"/>
    <w:link w:val="25"/>
    <w:semiHidden/>
    <w:qFormat/>
    <w:uiPriority w:val="0"/>
    <w:rPr>
      <w:rFonts w:ascii="宋体" w:hAnsi="Times New Roman" w:eastAsia="宋体" w:cs="Times New Roman"/>
      <w:sz w:val="24"/>
      <w:szCs w:val="20"/>
    </w:rPr>
  </w:style>
  <w:style w:type="character" w:customStyle="1" w:styleId="57">
    <w:name w:val="正文文本 2 Char"/>
    <w:link w:val="28"/>
    <w:semiHidden/>
    <w:qFormat/>
    <w:uiPriority w:val="0"/>
    <w:rPr>
      <w:rFonts w:ascii="Times New Roman" w:hAnsi="Times New Roman" w:eastAsia="宋体" w:cs="Times New Roman"/>
      <w:sz w:val="28"/>
      <w:szCs w:val="20"/>
    </w:rPr>
  </w:style>
  <w:style w:type="character" w:customStyle="1" w:styleId="58">
    <w:name w:val="批注主题 Char"/>
    <w:link w:val="30"/>
    <w:semiHidden/>
    <w:qFormat/>
    <w:uiPriority w:val="99"/>
    <w:rPr>
      <w:rFonts w:ascii="Times New Roman" w:hAnsi="Times New Roman" w:eastAsia="宋体" w:cs="Times New Roman"/>
      <w:b/>
      <w:bCs/>
      <w:kern w:val="2"/>
      <w:sz w:val="21"/>
      <w:szCs w:val="20"/>
    </w:rPr>
  </w:style>
  <w:style w:type="character" w:customStyle="1" w:styleId="59">
    <w:name w:val="正文首行缩进 Char"/>
    <w:link w:val="31"/>
    <w:qFormat/>
    <w:uiPriority w:val="99"/>
  </w:style>
  <w:style w:type="character" w:customStyle="1" w:styleId="60">
    <w:name w:val="title31"/>
    <w:qFormat/>
    <w:uiPriority w:val="0"/>
    <w:rPr>
      <w:b/>
      <w:bCs/>
      <w:color w:val="000000"/>
      <w:sz w:val="21"/>
      <w:szCs w:val="21"/>
      <w:u w:val="none"/>
    </w:rPr>
  </w:style>
  <w:style w:type="character" w:customStyle="1" w:styleId="61">
    <w:name w:val="Char Char3"/>
    <w:qFormat/>
    <w:uiPriority w:val="0"/>
    <w:rPr>
      <w:rFonts w:ascii="宋体" w:hAnsi="MingLiU" w:eastAsia="宋体" w:cs="Arial"/>
      <w:b/>
      <w:kern w:val="44"/>
      <w:sz w:val="36"/>
      <w:szCs w:val="32"/>
      <w:lang w:val="en-US" w:eastAsia="zh-CN" w:bidi="ar-SA"/>
    </w:rPr>
  </w:style>
  <w:style w:type="character" w:customStyle="1" w:styleId="62">
    <w:name w:val="c1"/>
    <w:qFormat/>
    <w:uiPriority w:val="0"/>
  </w:style>
  <w:style w:type="paragraph" w:customStyle="1" w:styleId="63">
    <w:name w:val="_Style 62"/>
    <w:semiHidden/>
    <w:qFormat/>
    <w:uiPriority w:val="99"/>
    <w:rPr>
      <w:rFonts w:ascii="Times New Roman" w:hAnsi="Times New Roman" w:eastAsia="宋体" w:cs="Times New Roman"/>
      <w:kern w:val="2"/>
      <w:sz w:val="21"/>
      <w:lang w:val="en-US" w:eastAsia="zh-CN" w:bidi="ar-SA"/>
    </w:rPr>
  </w:style>
  <w:style w:type="paragraph" w:styleId="64">
    <w:name w:val="List Paragraph"/>
    <w:basedOn w:val="1"/>
    <w:qFormat/>
    <w:uiPriority w:val="0"/>
    <w:pPr>
      <w:widowControl/>
      <w:ind w:firstLine="420"/>
    </w:pPr>
    <w:rPr>
      <w:rFonts w:ascii="Calibri" w:hAnsi="Calibri" w:cs="宋体"/>
      <w:kern w:val="0"/>
      <w:szCs w:val="21"/>
    </w:rPr>
  </w:style>
  <w:style w:type="paragraph" w:customStyle="1" w:styleId="65">
    <w:name w:val="c"/>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color w:val="000000"/>
      <w:kern w:val="0"/>
      <w:sz w:val="18"/>
      <w:szCs w:val="18"/>
    </w:rPr>
  </w:style>
  <w:style w:type="paragraph" w:customStyle="1" w:styleId="66">
    <w:name w:val=" Char Char Char Char Char1 Char"/>
    <w:basedOn w:val="1"/>
    <w:qFormat/>
    <w:uiPriority w:val="0"/>
    <w:rPr>
      <w:szCs w:val="24"/>
    </w:rPr>
  </w:style>
  <w:style w:type="paragraph" w:customStyle="1" w:styleId="67">
    <w:name w:val="正文所"/>
    <w:basedOn w:val="1"/>
    <w:qFormat/>
    <w:uiPriority w:val="0"/>
    <w:pPr>
      <w:spacing w:line="360" w:lineRule="auto"/>
      <w:ind w:firstLine="420" w:firstLineChars="200"/>
    </w:pPr>
    <w:rPr>
      <w:rFonts w:ascii="宋体"/>
    </w:rPr>
  </w:style>
  <w:style w:type="character" w:customStyle="1" w:styleId="68">
    <w:name w:val="批注文字 Char"/>
    <w:semiHidden/>
    <w:qFormat/>
    <w:uiPriority w:val="99"/>
    <w:rPr>
      <w:rFonts w:ascii="Times New Roman" w:hAnsi="Times New Roman" w:eastAsia="宋体" w:cs="Times New Roman"/>
      <w:szCs w:val="20"/>
    </w:rPr>
  </w:style>
  <w:style w:type="paragraph" w:customStyle="1" w:styleId="69">
    <w:name w:val="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0">
    <w:name w:val="List Paragraph1"/>
    <w:basedOn w:val="1"/>
    <w:qFormat/>
    <w:uiPriority w:val="0"/>
    <w:pPr>
      <w:ind w:firstLine="420" w:firstLineChars="200"/>
    </w:pPr>
  </w:style>
  <w:style w:type="paragraph" w:customStyle="1" w:styleId="71">
    <w:name w:val="正文文本 21"/>
    <w:basedOn w:val="1"/>
    <w:qFormat/>
    <w:uiPriority w:val="99"/>
    <w:pPr>
      <w:spacing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2193</Words>
  <Characters>12501</Characters>
  <Lines>104</Lines>
  <Paragraphs>29</Paragraphs>
  <TotalTime>0</TotalTime>
  <ScaleCrop>false</ScaleCrop>
  <LinksUpToDate>false</LinksUpToDate>
  <CharactersWithSpaces>14665</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2019-12-09T03:21:00Z</dcterms:created>
  <dc:creator>liush</dc:creator>
  <cp:lastModifiedBy>tangl</cp:lastModifiedBy>
  <cp:lastPrinted>2021-05-28T06:11:00Z</cp:lastPrinted>
  <dcterms:modified xsi:type="dcterms:W3CDTF">2026-09-27T08:33:17Z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944749EF7B9C457090041A03BD1A9833_13</vt:lpwstr>
  </property>
</Properties>
</file>