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A11AC1">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bookmarkStart w:id="0" w:name="CTS_1e4cda9ef7d04a03af2d4d340c1d96cc"/>
      <w:bookmarkEnd w:id="0"/>
      <w:bookmarkStart w:id="1" w:name="CLAUSE_1e4cda9ef7d04a03af2d4d340c1d96cc"/>
    </w:p>
    <w:p w14:paraId="228DF6A5">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18A08987">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2EF5C35B">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1F6B2AB7">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4549C1BE">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
          <w:color w:val="0D0D0D" w:themeColor="text1" w:themeTint="F2"/>
          <w:sz w:val="48"/>
          <w:szCs w:val="48"/>
          <w14:textFill>
            <w14:solidFill>
              <w14:schemeClr w14:val="tx1">
                <w14:lumMod w14:val="95000"/>
                <w14:lumOff w14:val="5000"/>
              </w14:schemeClr>
            </w14:solidFill>
          </w14:textFill>
        </w:rPr>
        <w:t>博时中证细分化工产业主题交易型开放式指数证券投资基金</w:t>
      </w:r>
      <w:r>
        <w:rPr>
          <w:rFonts w:hint="eastAsia" w:asciiTheme="minorEastAsia" w:hAnsiTheme="minorEastAsia" w:eastAsiaTheme="minorEastAsia"/>
          <w:b/>
          <w:color w:val="0D0D0D" w:themeColor="text1" w:themeTint="F2"/>
          <w:sz w:val="48"/>
          <w:szCs w:val="48"/>
          <w14:textFill>
            <w14:solidFill>
              <w14:schemeClr w14:val="tx1">
                <w14:lumMod w14:val="95000"/>
                <w14:lumOff w14:val="5000"/>
              </w14:schemeClr>
            </w14:solidFill>
          </w14:textFill>
        </w:rPr>
        <w:t>基金合同</w:t>
      </w:r>
    </w:p>
    <w:p w14:paraId="4C33D448">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74376938">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6C686BF3">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71F65D58">
      <w:pPr>
        <w:adjustRightInd w:val="0"/>
        <w:snapToGrid w:val="0"/>
        <w:spacing w:line="360" w:lineRule="auto"/>
        <w:jc w:val="center"/>
        <w:rPr>
          <w:rFonts w:hint="eastAsia" w:cs="Arial"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25A88D71">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719F3140">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228586A4">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60CB6FD3">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54942302">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517768CB">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p>
    <w:p w14:paraId="388B2CA1">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bookmarkStart w:id="2" w:name="_Toc123701383"/>
      <w:bookmarkStart w:id="3" w:name="_Toc139992301"/>
      <w:bookmarkStart w:id="4" w:name="_Toc123112263"/>
      <w:bookmarkStart w:id="5" w:name="_Toc123112224"/>
      <w:bookmarkStart w:id="6" w:name="_Toc139991726"/>
      <w: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t>基金管理人：</w:t>
      </w:r>
      <w:bookmarkEnd w:id="2"/>
      <w:bookmarkEnd w:id="3"/>
      <w:bookmarkEnd w:id="4"/>
      <w:bookmarkEnd w:id="5"/>
      <w:bookmarkEnd w:id="6"/>
      <w:bookmarkStart w:id="7" w:name="_Hlk168385933"/>
      <w:r>
        <w:rPr>
          <w:rFonts w:cs="Arial" w:asciiTheme="minorEastAsia" w:hAnsiTheme="minorEastAsia" w:eastAsiaTheme="minorEastAsia"/>
          <w:b/>
          <w:bCs/>
          <w:color w:val="0D0D0D" w:themeColor="text1" w:themeTint="F2"/>
          <w:sz w:val="24"/>
          <w:szCs w:val="24"/>
          <w14:textFill>
            <w14:solidFill>
              <w14:schemeClr w14:val="tx1">
                <w14:lumMod w14:val="95000"/>
                <w14:lumOff w14:val="5000"/>
              </w14:schemeClr>
            </w14:solidFill>
          </w14:textFill>
        </w:rPr>
        <w:t>博时基金管理有限公司</w:t>
      </w:r>
      <w:bookmarkEnd w:id="7"/>
    </w:p>
    <w:p w14:paraId="6B0D45E5">
      <w:pPr>
        <w:adjustRightInd w:val="0"/>
        <w:snapToGrid w:val="0"/>
        <w:spacing w:line="360" w:lineRule="auto"/>
        <w:jc w:val="cente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pPr>
      <w:bookmarkStart w:id="8" w:name="_Toc123112225"/>
      <w:bookmarkStart w:id="9" w:name="_Toc139992302"/>
      <w:bookmarkStart w:id="10" w:name="_Toc139991727"/>
      <w:bookmarkStart w:id="11" w:name="_Toc123112264"/>
      <w:bookmarkStart w:id="12" w:name="_Toc123701384"/>
      <w: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t>基金托管人：</w:t>
      </w:r>
      <w:bookmarkEnd w:id="8"/>
      <w:bookmarkEnd w:id="9"/>
      <w:bookmarkEnd w:id="10"/>
      <w:bookmarkEnd w:id="11"/>
      <w:bookmarkEnd w:id="12"/>
      <w:r>
        <w:rPr>
          <w:rFonts w:hint="eastAsia" w:asciiTheme="minorEastAsia" w:hAnsiTheme="minorEastAsia" w:eastAsiaTheme="minorEastAsia"/>
          <w:b/>
          <w:color w:val="0D0D0D" w:themeColor="text1" w:themeTint="F2"/>
          <w:sz w:val="24"/>
          <w:szCs w:val="24"/>
          <w14:textFill>
            <w14:solidFill>
              <w14:schemeClr w14:val="tx1">
                <w14:lumMod w14:val="95000"/>
                <w14:lumOff w14:val="5000"/>
              </w14:schemeClr>
            </w14:solidFill>
          </w14:textFill>
        </w:rPr>
        <w:t>北京银行股份有限公司</w:t>
      </w:r>
    </w:p>
    <w:bookmarkEnd w:id="1"/>
    <w:p w14:paraId="027CAD07">
      <w:pPr>
        <w:spacing w:line="360" w:lineRule="auto"/>
        <w:jc w:val="center"/>
        <w:rPr>
          <w:rFonts w:hint="eastAsia" w:cs="Arial" w:asciiTheme="minorEastAsia" w:hAnsiTheme="minorEastAsia" w:eastAsiaTheme="minorEastAsia"/>
          <w:b/>
          <w:bCs/>
          <w:color w:val="0D0D0D" w:themeColor="text1" w:themeTint="F2"/>
          <w:sz w:val="24"/>
          <w:szCs w:val="24"/>
          <w14:textFill>
            <w14:solidFill>
              <w14:schemeClr w14:val="tx1">
                <w14:lumMod w14:val="95000"/>
                <w14:lumOff w14:val="5000"/>
              </w14:schemeClr>
            </w14:solidFill>
          </w14:textFill>
        </w:rPr>
        <w:sectPr>
          <w:footerReference r:id="rId5" w:type="first"/>
          <w:headerReference r:id="rId3" w:type="default"/>
          <w:footerReference r:id="rId4" w:type="default"/>
          <w:pgSz w:w="11906" w:h="16838"/>
          <w:pgMar w:top="1440" w:right="1800" w:bottom="1440" w:left="1800" w:header="851" w:footer="992" w:gutter="0"/>
          <w:cols w:space="425" w:num="1"/>
          <w:titlePg/>
          <w:docGrid w:type="lines" w:linePitch="312" w:charSpace="0"/>
        </w:sectPr>
      </w:pPr>
      <w:bookmarkStart w:id="13" w:name="CLAUSE_11606cca7f0c4bf7a5f87c9437b80dfa"/>
      <w:bookmarkStart w:id="14" w:name="_Toc123701386"/>
      <w:bookmarkStart w:id="15" w:name="_Toc123112266"/>
      <w:bookmarkStart w:id="16" w:name="_Toc139991729"/>
      <w:bookmarkStart w:id="17" w:name="_Toc123112227"/>
      <w:r>
        <w:rPr>
          <w:rFonts w:asciiTheme="minorEastAsia" w:hAnsiTheme="minorEastAsia" w:eastAsiaTheme="minorEastAsia"/>
          <w:sz w:val="24"/>
          <w:szCs w:val="24"/>
        </w:rPr>
        <w:t xml:space="preserve"> </w:t>
      </w:r>
      <w:bookmarkStart w:id="18" w:name="CTS_11606cca7f0c4bf7a5f87c9437b80dfa"/>
      <w:bookmarkEnd w:id="18"/>
      <w:r>
        <w:rPr>
          <w:rFonts w:hint="eastAsia" w:asciiTheme="minorEastAsia" w:hAnsiTheme="minorEastAsia" w:eastAsiaTheme="minorEastAsia"/>
          <w:b/>
          <w:bCs/>
          <w:color w:val="0D0D0D" w:themeColor="text1" w:themeTint="F2"/>
          <w:sz w:val="24"/>
          <w:szCs w:val="24"/>
          <w14:textFill>
            <w14:solidFill>
              <w14:schemeClr w14:val="tx1">
                <w14:lumMod w14:val="95000"/>
                <w14:lumOff w14:val="5000"/>
              </w14:schemeClr>
            </w14:solidFill>
          </w14:textFill>
        </w:rPr>
        <w:t>二零二六年</w:t>
      </w:r>
      <w:r>
        <w:rPr>
          <w:rFonts w:hint="eastAsia" w:asciiTheme="minorEastAsia" w:hAnsiTheme="minorEastAsia" w:eastAsiaTheme="minorEastAsia"/>
          <w:b/>
          <w:bCs/>
          <w:color w:val="0D0D0D" w:themeColor="text1" w:themeTint="F2"/>
          <w:sz w:val="24"/>
          <w:szCs w:val="24"/>
          <w:lang w:val="en-US" w:eastAsia="zh-CN"/>
          <w14:textFill>
            <w14:solidFill>
              <w14:schemeClr w14:val="tx1">
                <w14:lumMod w14:val="95000"/>
                <w14:lumOff w14:val="5000"/>
              </w14:schemeClr>
            </w14:solidFill>
          </w14:textFill>
        </w:rPr>
        <w:t>七</w:t>
      </w:r>
      <w:r>
        <w:rPr>
          <w:rFonts w:hint="eastAsia" w:asciiTheme="minorEastAsia" w:hAnsiTheme="minorEastAsia" w:eastAsiaTheme="minorEastAsia"/>
          <w:b/>
          <w:bCs/>
          <w:color w:val="0D0D0D" w:themeColor="text1" w:themeTint="F2"/>
          <w:sz w:val="24"/>
          <w:szCs w:val="24"/>
          <w14:textFill>
            <w14:solidFill>
              <w14:schemeClr w14:val="tx1">
                <w14:lumMod w14:val="95000"/>
                <w14:lumOff w14:val="5000"/>
              </w14:schemeClr>
            </w14:solidFill>
          </w14:textFill>
        </w:rPr>
        <w:t>月</w:t>
      </w:r>
    </w:p>
    <w:bookmarkEnd w:id="13"/>
    <w:p w14:paraId="4C80AB09">
      <w:pPr>
        <w:adjustRightInd w:val="0"/>
        <w:snapToGrid w:val="0"/>
        <w:spacing w:line="360" w:lineRule="auto"/>
        <w:jc w:val="center"/>
        <w:rPr>
          <w:rFonts w:hint="eastAsia" w:asciiTheme="minorEastAsia" w:hAnsiTheme="minorEastAsia" w:eastAsiaTheme="minorEastAsia"/>
          <w:b/>
          <w:sz w:val="30"/>
          <w:szCs w:val="30"/>
        </w:rPr>
      </w:pPr>
      <w:bookmarkStart w:id="19" w:name="CLAUSE_7964f364388a444fbc5ed698e7f07ff5"/>
      <w:r>
        <w:rPr>
          <w:rFonts w:asciiTheme="minorEastAsia" w:hAnsiTheme="minorEastAsia" w:eastAsiaTheme="minorEastAsia"/>
          <w:b/>
          <w:sz w:val="30"/>
          <w:szCs w:val="30"/>
        </w:rPr>
        <w:t xml:space="preserve"> </w:t>
      </w:r>
      <w:bookmarkStart w:id="20" w:name="CTS_7964f364388a444fbc5ed698e7f07ff5"/>
      <w:bookmarkEnd w:id="20"/>
      <w:r>
        <w:rPr>
          <w:rFonts w:hint="eastAsia" w:asciiTheme="minorEastAsia" w:hAnsiTheme="minorEastAsia" w:eastAsiaTheme="minorEastAsia"/>
          <w:b/>
          <w:sz w:val="30"/>
          <w:szCs w:val="30"/>
        </w:rPr>
        <w:t>目</w:t>
      </w:r>
      <w:r>
        <w:rPr>
          <w:rFonts w:asciiTheme="minorEastAsia" w:hAnsiTheme="minorEastAsia" w:eastAsiaTheme="minorEastAsia"/>
          <w:b/>
          <w:sz w:val="30"/>
          <w:szCs w:val="30"/>
        </w:rPr>
        <w:t xml:space="preserve">  </w:t>
      </w:r>
      <w:r>
        <w:rPr>
          <w:rFonts w:hint="eastAsia" w:asciiTheme="minorEastAsia" w:hAnsiTheme="minorEastAsia" w:eastAsiaTheme="minorEastAsia"/>
          <w:b/>
          <w:sz w:val="30"/>
          <w:szCs w:val="30"/>
        </w:rPr>
        <w:t>录</w:t>
      </w:r>
      <w:bookmarkEnd w:id="14"/>
      <w:bookmarkEnd w:id="15"/>
      <w:bookmarkEnd w:id="16"/>
      <w:bookmarkEnd w:id="17"/>
    </w:p>
    <w:p w14:paraId="00674D89">
      <w:pPr>
        <w:pStyle w:val="19"/>
        <w:tabs>
          <w:tab w:val="right" w:leader="dot" w:pos="8296"/>
        </w:tabs>
        <w:spacing w:line="360" w:lineRule="auto"/>
        <w:rPr>
          <w:rFonts w:asciiTheme="minorHAnsi" w:hAnsiTheme="minorHAnsi" w:eastAsiaTheme="minorEastAsia" w:cstheme="minorBidi"/>
          <w:sz w:val="24"/>
          <w:szCs w:val="24"/>
        </w:rPr>
      </w:pPr>
      <w:bookmarkStart w:id="21" w:name="_Toc11660"/>
      <w:bookmarkStart w:id="22" w:name="_Toc8727"/>
      <w:bookmarkStart w:id="23" w:name="_Toc4867"/>
      <w:bookmarkStart w:id="24" w:name="_Toc26897"/>
      <w:bookmarkStart w:id="25" w:name="_Toc15517"/>
      <w:bookmarkStart w:id="26" w:name="_Toc6306"/>
      <w:bookmarkStart w:id="27" w:name="_Toc141703880"/>
      <w:bookmarkStart w:id="28" w:name="_Toc32639"/>
      <w:bookmarkStart w:id="29" w:name="_Toc30935"/>
      <w:bookmarkStart w:id="30" w:name="_Toc4966"/>
      <w:bookmarkStart w:id="31" w:name="_Toc139991730"/>
      <w:bookmarkStart w:id="32" w:name="_Toc23386"/>
      <w:bookmarkStart w:id="33" w:name="_Toc29629"/>
      <w:bookmarkStart w:id="34" w:name="_Toc123112229"/>
      <w:bookmarkStart w:id="35" w:name="_Toc123701389"/>
      <w:bookmarkStart w:id="36" w:name="_Toc123112268"/>
      <w:bookmarkStart w:id="37" w:name="_Toc233456271"/>
      <w:r>
        <w:rPr>
          <w:rFonts w:ascii="宋体" w:hAnsi="宋体"/>
          <w:color w:val="0D0D0D" w:themeColor="text1" w:themeTint="F2"/>
          <w:sz w:val="24"/>
          <w:szCs w:val="24"/>
          <w14:textFill>
            <w14:solidFill>
              <w14:schemeClr w14:val="tx1">
                <w14:lumMod w14:val="95000"/>
                <w14:lumOff w14:val="5000"/>
              </w14:schemeClr>
            </w14:solidFill>
          </w14:textFill>
        </w:rPr>
        <w:fldChar w:fldCharType="begin"/>
      </w:r>
      <w:r>
        <w:rPr>
          <w:rFonts w:ascii="宋体" w:hAnsi="宋体"/>
          <w:color w:val="0D0D0D" w:themeColor="text1" w:themeTint="F2"/>
          <w:sz w:val="24"/>
          <w:szCs w:val="24"/>
          <w14:textFill>
            <w14:solidFill>
              <w14:schemeClr w14:val="tx1">
                <w14:lumMod w14:val="95000"/>
                <w14:lumOff w14:val="5000"/>
              </w14:schemeClr>
            </w14:solidFill>
          </w14:textFill>
        </w:rPr>
        <w:instrText xml:space="preserve"> TOC \o "1-</w:instrText>
      </w:r>
      <w:r>
        <w:rPr>
          <w:rFonts w:ascii="宋体" w:hAnsi="宋体" w:cs="Arial"/>
          <w:color w:val="0D0D0D" w:themeColor="text1" w:themeTint="F2"/>
          <w:sz w:val="24"/>
          <w:szCs w:val="24"/>
          <w14:textFill>
            <w14:solidFill>
              <w14:schemeClr w14:val="tx1">
                <w14:lumMod w14:val="95000"/>
                <w14:lumOff w14:val="5000"/>
              </w14:schemeClr>
            </w14:solidFill>
          </w14:textFill>
        </w:rPr>
        <w:instrText xml:space="preserve">3</w:instrText>
      </w:r>
      <w:r>
        <w:rPr>
          <w:rFonts w:ascii="宋体" w:hAnsi="宋体"/>
          <w:color w:val="0D0D0D" w:themeColor="text1" w:themeTint="F2"/>
          <w:sz w:val="24"/>
          <w:szCs w:val="24"/>
          <w14:textFill>
            <w14:solidFill>
              <w14:schemeClr w14:val="tx1">
                <w14:lumMod w14:val="95000"/>
                <w14:lumOff w14:val="5000"/>
              </w14:schemeClr>
            </w14:solidFill>
          </w14:textFill>
        </w:rPr>
        <w:instrText xml:space="preserve">" \h \z \u </w:instrText>
      </w:r>
      <w:r>
        <w:rPr>
          <w:rFonts w:ascii="宋体" w:hAnsi="宋体"/>
          <w:color w:val="0D0D0D" w:themeColor="text1" w:themeTint="F2"/>
          <w:sz w:val="24"/>
          <w:szCs w:val="24"/>
          <w14:textFill>
            <w14:solidFill>
              <w14:schemeClr w14:val="tx1">
                <w14:lumMod w14:val="95000"/>
                <w14:lumOff w14:val="5000"/>
              </w14:schemeClr>
            </w14:solidFill>
          </w14:textFill>
        </w:rPr>
        <w:fldChar w:fldCharType="separate"/>
      </w:r>
      <w:r>
        <w:fldChar w:fldCharType="begin"/>
      </w:r>
      <w:r>
        <w:instrText xml:space="preserve"> HYPERLINK \l "_Toc86655075" </w:instrText>
      </w:r>
      <w:r>
        <w:fldChar w:fldCharType="separate"/>
      </w:r>
      <w:r>
        <w:rPr>
          <w:rStyle w:val="30"/>
          <w:rFonts w:hint="eastAsia"/>
          <w:sz w:val="24"/>
          <w:szCs w:val="24"/>
        </w:rPr>
        <w:t>第一部分</w:t>
      </w:r>
      <w:r>
        <w:rPr>
          <w:rStyle w:val="30"/>
          <w:sz w:val="24"/>
          <w:szCs w:val="24"/>
        </w:rPr>
        <w:t xml:space="preserve"> </w:t>
      </w:r>
      <w:r>
        <w:rPr>
          <w:rStyle w:val="30"/>
          <w:rFonts w:hint="eastAsia"/>
          <w:sz w:val="24"/>
          <w:szCs w:val="24"/>
        </w:rPr>
        <w:t>前言</w:t>
      </w:r>
      <w:r>
        <w:rPr>
          <w:sz w:val="24"/>
          <w:szCs w:val="24"/>
        </w:rPr>
        <w:tab/>
      </w:r>
      <w:r>
        <w:rPr>
          <w:rFonts w:hint="eastAsia"/>
          <w:sz w:val="24"/>
          <w:szCs w:val="24"/>
        </w:rPr>
        <w:t>1-</w:t>
      </w:r>
      <w:r>
        <w:rPr>
          <w:sz w:val="24"/>
          <w:szCs w:val="24"/>
        </w:rPr>
        <w:fldChar w:fldCharType="begin"/>
      </w:r>
      <w:r>
        <w:rPr>
          <w:sz w:val="24"/>
          <w:szCs w:val="24"/>
        </w:rPr>
        <w:instrText xml:space="preserve"> PAGEREF _Toc86655075 \h </w:instrText>
      </w:r>
      <w:r>
        <w:rPr>
          <w:sz w:val="24"/>
          <w:szCs w:val="24"/>
        </w:rPr>
        <w:fldChar w:fldCharType="separate"/>
      </w:r>
      <w:r>
        <w:rPr>
          <w:sz w:val="24"/>
          <w:szCs w:val="24"/>
        </w:rPr>
        <w:t>1</w:t>
      </w:r>
      <w:r>
        <w:rPr>
          <w:sz w:val="24"/>
          <w:szCs w:val="24"/>
        </w:rPr>
        <w:fldChar w:fldCharType="end"/>
      </w:r>
      <w:r>
        <w:rPr>
          <w:sz w:val="24"/>
          <w:szCs w:val="24"/>
        </w:rPr>
        <w:fldChar w:fldCharType="end"/>
      </w:r>
    </w:p>
    <w:p w14:paraId="634DB415">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"_Toc86655076" </w:instrText>
      </w:r>
      <w:r>
        <w:fldChar w:fldCharType="separate"/>
      </w:r>
      <w:r>
        <w:rPr>
          <w:rStyle w:val="30"/>
          <w:rFonts w:hint="eastAsia"/>
          <w:sz w:val="24"/>
          <w:szCs w:val="24"/>
        </w:rPr>
        <w:t>第二部分</w:t>
      </w:r>
      <w:r>
        <w:rPr>
          <w:rStyle w:val="30"/>
          <w:sz w:val="24"/>
          <w:szCs w:val="24"/>
        </w:rPr>
        <w:t xml:space="preserve"> </w:t>
      </w:r>
      <w:r>
        <w:rPr>
          <w:rStyle w:val="30"/>
          <w:rFonts w:hint="eastAsia"/>
          <w:sz w:val="24"/>
          <w:szCs w:val="24"/>
        </w:rPr>
        <w:t>释义</w:t>
      </w:r>
      <w:r>
        <w:rPr>
          <w:sz w:val="24"/>
          <w:szCs w:val="24"/>
        </w:rPr>
        <w:tab/>
      </w:r>
      <w:r>
        <w:rPr>
          <w:rFonts w:hint="eastAsia"/>
          <w:sz w:val="24"/>
          <w:szCs w:val="24"/>
        </w:rPr>
        <w:t>2-</w:t>
      </w:r>
      <w:r>
        <w:rPr>
          <w:sz w:val="24"/>
          <w:szCs w:val="24"/>
        </w:rPr>
        <w:fldChar w:fldCharType="begin"/>
      </w:r>
      <w:r>
        <w:rPr>
          <w:sz w:val="24"/>
          <w:szCs w:val="24"/>
        </w:rPr>
        <w:instrText xml:space="preserve"> PAGEREF _Toc86655076 \h </w:instrText>
      </w:r>
      <w:r>
        <w:rPr>
          <w:sz w:val="24"/>
          <w:szCs w:val="24"/>
        </w:rPr>
        <w:fldChar w:fldCharType="separate"/>
      </w:r>
      <w:r>
        <w:rPr>
          <w:sz w:val="24"/>
          <w:szCs w:val="24"/>
        </w:rPr>
        <w:t>1</w:t>
      </w:r>
      <w:r>
        <w:rPr>
          <w:sz w:val="24"/>
          <w:szCs w:val="24"/>
        </w:rPr>
        <w:fldChar w:fldCharType="end"/>
      </w:r>
      <w:r>
        <w:rPr>
          <w:sz w:val="24"/>
          <w:szCs w:val="24"/>
        </w:rPr>
        <w:fldChar w:fldCharType="end"/>
      </w:r>
    </w:p>
    <w:p w14:paraId="132AF11E">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"_Toc86655077" </w:instrText>
      </w:r>
      <w:r>
        <w:fldChar w:fldCharType="separate"/>
      </w:r>
      <w:r>
        <w:rPr>
          <w:rStyle w:val="30"/>
          <w:rFonts w:hint="eastAsia"/>
          <w:sz w:val="24"/>
          <w:szCs w:val="24"/>
        </w:rPr>
        <w:t>第三部分</w:t>
      </w:r>
      <w:r>
        <w:rPr>
          <w:rStyle w:val="30"/>
          <w:sz w:val="24"/>
          <w:szCs w:val="24"/>
        </w:rPr>
        <w:t xml:space="preserve"> </w:t>
      </w:r>
      <w:r>
        <w:rPr>
          <w:rStyle w:val="30"/>
          <w:rFonts w:hint="eastAsia"/>
          <w:sz w:val="24"/>
          <w:szCs w:val="24"/>
        </w:rPr>
        <w:t>基金的基本情况</w:t>
      </w:r>
      <w:r>
        <w:rPr>
          <w:sz w:val="24"/>
          <w:szCs w:val="24"/>
        </w:rPr>
        <w:tab/>
      </w:r>
      <w:r>
        <w:rPr>
          <w:rFonts w:hint="eastAsia"/>
          <w:sz w:val="24"/>
          <w:szCs w:val="24"/>
        </w:rPr>
        <w:t>3-</w:t>
      </w:r>
      <w:r>
        <w:rPr>
          <w:sz w:val="24"/>
          <w:szCs w:val="24"/>
        </w:rPr>
        <w:fldChar w:fldCharType="begin"/>
      </w:r>
      <w:r>
        <w:rPr>
          <w:sz w:val="24"/>
          <w:szCs w:val="24"/>
        </w:rPr>
        <w:instrText xml:space="preserve"> PAGEREF _Toc86655077 \h </w:instrText>
      </w:r>
      <w:r>
        <w:rPr>
          <w:sz w:val="24"/>
          <w:szCs w:val="24"/>
        </w:rPr>
        <w:fldChar w:fldCharType="separate"/>
      </w:r>
      <w:r>
        <w:rPr>
          <w:sz w:val="24"/>
          <w:szCs w:val="24"/>
        </w:rPr>
        <w:t>1</w:t>
      </w:r>
      <w:r>
        <w:rPr>
          <w:sz w:val="24"/>
          <w:szCs w:val="24"/>
        </w:rPr>
        <w:fldChar w:fldCharType="end"/>
      </w:r>
      <w:r>
        <w:rPr>
          <w:sz w:val="24"/>
          <w:szCs w:val="24"/>
        </w:rPr>
        <w:fldChar w:fldCharType="end"/>
      </w:r>
    </w:p>
    <w:p w14:paraId="319B610D">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"_Toc86655078" </w:instrText>
      </w:r>
      <w:r>
        <w:fldChar w:fldCharType="separate"/>
      </w:r>
      <w:r>
        <w:rPr>
          <w:rStyle w:val="30"/>
          <w:rFonts w:hint="eastAsia"/>
          <w:sz w:val="24"/>
          <w:szCs w:val="24"/>
        </w:rPr>
        <w:t>第四部分</w:t>
      </w:r>
      <w:r>
        <w:rPr>
          <w:rStyle w:val="30"/>
          <w:sz w:val="24"/>
          <w:szCs w:val="24"/>
        </w:rPr>
        <w:t xml:space="preserve"> </w:t>
      </w:r>
      <w:r>
        <w:rPr>
          <w:rStyle w:val="30"/>
          <w:rFonts w:hint="eastAsia"/>
          <w:sz w:val="24"/>
          <w:szCs w:val="24"/>
        </w:rPr>
        <w:t>基金份额的发售</w:t>
      </w:r>
      <w:r>
        <w:rPr>
          <w:sz w:val="24"/>
          <w:szCs w:val="24"/>
        </w:rPr>
        <w:tab/>
      </w:r>
      <w:r>
        <w:rPr>
          <w:rFonts w:hint="eastAsia"/>
          <w:sz w:val="24"/>
          <w:szCs w:val="24"/>
        </w:rPr>
        <w:t>4-</w:t>
      </w:r>
      <w:r>
        <w:rPr>
          <w:sz w:val="24"/>
          <w:szCs w:val="24"/>
        </w:rPr>
        <w:fldChar w:fldCharType="begin"/>
      </w:r>
      <w:r>
        <w:rPr>
          <w:sz w:val="24"/>
          <w:szCs w:val="24"/>
        </w:rPr>
        <w:instrText xml:space="preserve"> PAGEREF _Toc86655078 \h </w:instrText>
      </w:r>
      <w:r>
        <w:rPr>
          <w:sz w:val="24"/>
          <w:szCs w:val="24"/>
        </w:rPr>
        <w:fldChar w:fldCharType="separate"/>
      </w:r>
      <w:r>
        <w:rPr>
          <w:sz w:val="24"/>
          <w:szCs w:val="24"/>
        </w:rPr>
        <w:t>1</w:t>
      </w:r>
      <w:r>
        <w:rPr>
          <w:sz w:val="24"/>
          <w:szCs w:val="24"/>
        </w:rPr>
        <w:fldChar w:fldCharType="end"/>
      </w:r>
      <w:r>
        <w:rPr>
          <w:sz w:val="24"/>
          <w:szCs w:val="24"/>
        </w:rPr>
        <w:fldChar w:fldCharType="end"/>
      </w:r>
    </w:p>
    <w:p w14:paraId="28A3CE4D">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"_Toc86655079" </w:instrText>
      </w:r>
      <w:r>
        <w:fldChar w:fldCharType="separate"/>
      </w:r>
      <w:r>
        <w:rPr>
          <w:rStyle w:val="30"/>
          <w:rFonts w:hint="eastAsia"/>
          <w:sz w:val="24"/>
          <w:szCs w:val="24"/>
        </w:rPr>
        <w:t>第五部分</w:t>
      </w:r>
      <w:r>
        <w:rPr>
          <w:rStyle w:val="30"/>
          <w:sz w:val="24"/>
          <w:szCs w:val="24"/>
        </w:rPr>
        <w:t xml:space="preserve"> </w:t>
      </w:r>
      <w:r>
        <w:rPr>
          <w:rStyle w:val="30"/>
          <w:rFonts w:hint="eastAsia"/>
          <w:sz w:val="24"/>
          <w:szCs w:val="24"/>
        </w:rPr>
        <w:t>基金备案</w:t>
      </w:r>
      <w:r>
        <w:rPr>
          <w:sz w:val="24"/>
          <w:szCs w:val="24"/>
        </w:rPr>
        <w:tab/>
      </w:r>
      <w:r>
        <w:rPr>
          <w:rFonts w:hint="eastAsia"/>
          <w:sz w:val="24"/>
          <w:szCs w:val="24"/>
        </w:rPr>
        <w:t>5-</w:t>
      </w:r>
      <w:r>
        <w:rPr>
          <w:sz w:val="24"/>
          <w:szCs w:val="24"/>
        </w:rPr>
        <w:fldChar w:fldCharType="begin"/>
      </w:r>
      <w:r>
        <w:rPr>
          <w:sz w:val="24"/>
          <w:szCs w:val="24"/>
        </w:rPr>
        <w:instrText xml:space="preserve"> PAGEREF _Toc86655079 \h </w:instrText>
      </w:r>
      <w:r>
        <w:rPr>
          <w:sz w:val="24"/>
          <w:szCs w:val="24"/>
        </w:rPr>
        <w:fldChar w:fldCharType="separate"/>
      </w:r>
      <w:r>
        <w:rPr>
          <w:sz w:val="24"/>
          <w:szCs w:val="24"/>
        </w:rPr>
        <w:t>1</w:t>
      </w:r>
      <w:r>
        <w:rPr>
          <w:sz w:val="24"/>
          <w:szCs w:val="24"/>
        </w:rPr>
        <w:fldChar w:fldCharType="end"/>
      </w:r>
      <w:r>
        <w:rPr>
          <w:sz w:val="24"/>
          <w:szCs w:val="24"/>
        </w:rPr>
        <w:fldChar w:fldCharType="end"/>
      </w:r>
    </w:p>
    <w:p w14:paraId="721DB39E">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"_Toc86655080" </w:instrText>
      </w:r>
      <w:r>
        <w:fldChar w:fldCharType="separate"/>
      </w:r>
      <w:r>
        <w:rPr>
          <w:rStyle w:val="30"/>
          <w:rFonts w:hint="eastAsia"/>
          <w:sz w:val="24"/>
          <w:szCs w:val="24"/>
        </w:rPr>
        <w:t>第六部分</w:t>
      </w:r>
      <w:r>
        <w:rPr>
          <w:rStyle w:val="30"/>
          <w:sz w:val="24"/>
          <w:szCs w:val="24"/>
        </w:rPr>
        <w:t xml:space="preserve"> </w:t>
      </w:r>
      <w:r>
        <w:rPr>
          <w:rStyle w:val="30"/>
          <w:rFonts w:hint="eastAsia"/>
          <w:sz w:val="24"/>
          <w:szCs w:val="24"/>
        </w:rPr>
        <w:t>基金份额折算与变更登记</w:t>
      </w:r>
      <w:r>
        <w:rPr>
          <w:sz w:val="24"/>
          <w:szCs w:val="24"/>
        </w:rPr>
        <w:tab/>
      </w:r>
      <w:r>
        <w:rPr>
          <w:rFonts w:hint="eastAsia"/>
          <w:sz w:val="24"/>
          <w:szCs w:val="24"/>
        </w:rPr>
        <w:t>6-</w:t>
      </w:r>
      <w:r>
        <w:rPr>
          <w:sz w:val="24"/>
          <w:szCs w:val="24"/>
        </w:rPr>
        <w:fldChar w:fldCharType="begin"/>
      </w:r>
      <w:r>
        <w:rPr>
          <w:sz w:val="24"/>
          <w:szCs w:val="24"/>
        </w:rPr>
        <w:instrText xml:space="preserve"> PAGEREF _Toc86655080 \h </w:instrText>
      </w:r>
      <w:r>
        <w:rPr>
          <w:sz w:val="24"/>
          <w:szCs w:val="24"/>
        </w:rPr>
        <w:fldChar w:fldCharType="separate"/>
      </w:r>
      <w:r>
        <w:rPr>
          <w:sz w:val="24"/>
          <w:szCs w:val="24"/>
        </w:rPr>
        <w:t>1</w:t>
      </w:r>
      <w:r>
        <w:rPr>
          <w:sz w:val="24"/>
          <w:szCs w:val="24"/>
        </w:rPr>
        <w:fldChar w:fldCharType="end"/>
      </w:r>
      <w:r>
        <w:rPr>
          <w:sz w:val="24"/>
          <w:szCs w:val="24"/>
        </w:rPr>
        <w:fldChar w:fldCharType="end"/>
      </w:r>
    </w:p>
    <w:p w14:paraId="1BE8925F">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"_Toc86655081" </w:instrText>
      </w:r>
      <w:r>
        <w:fldChar w:fldCharType="separate"/>
      </w:r>
      <w:r>
        <w:rPr>
          <w:rStyle w:val="30"/>
          <w:rFonts w:hint="eastAsia"/>
          <w:sz w:val="24"/>
          <w:szCs w:val="24"/>
        </w:rPr>
        <w:t>第七部分</w:t>
      </w:r>
      <w:r>
        <w:rPr>
          <w:rStyle w:val="30"/>
          <w:sz w:val="24"/>
          <w:szCs w:val="24"/>
        </w:rPr>
        <w:t xml:space="preserve"> </w:t>
      </w:r>
      <w:r>
        <w:rPr>
          <w:rStyle w:val="30"/>
          <w:rFonts w:hint="eastAsia"/>
          <w:sz w:val="24"/>
          <w:szCs w:val="24"/>
        </w:rPr>
        <w:t>基金份额的上市交易</w:t>
      </w:r>
      <w:r>
        <w:rPr>
          <w:sz w:val="24"/>
          <w:szCs w:val="24"/>
        </w:rPr>
        <w:tab/>
      </w:r>
      <w:r>
        <w:rPr>
          <w:rFonts w:hint="eastAsia"/>
          <w:sz w:val="24"/>
          <w:szCs w:val="24"/>
        </w:rPr>
        <w:t>7-</w:t>
      </w:r>
      <w:r>
        <w:rPr>
          <w:sz w:val="24"/>
          <w:szCs w:val="24"/>
        </w:rPr>
        <w:fldChar w:fldCharType="begin"/>
      </w:r>
      <w:r>
        <w:rPr>
          <w:sz w:val="24"/>
          <w:szCs w:val="24"/>
        </w:rPr>
        <w:instrText xml:space="preserve"> PAGEREF _Toc86655081 \h </w:instrText>
      </w:r>
      <w:r>
        <w:rPr>
          <w:sz w:val="24"/>
          <w:szCs w:val="24"/>
        </w:rPr>
        <w:fldChar w:fldCharType="separate"/>
      </w:r>
      <w:r>
        <w:rPr>
          <w:sz w:val="24"/>
          <w:szCs w:val="24"/>
        </w:rPr>
        <w:t>1</w:t>
      </w:r>
      <w:r>
        <w:rPr>
          <w:sz w:val="24"/>
          <w:szCs w:val="24"/>
        </w:rPr>
        <w:fldChar w:fldCharType="end"/>
      </w:r>
      <w:r>
        <w:rPr>
          <w:sz w:val="24"/>
          <w:szCs w:val="24"/>
        </w:rPr>
        <w:fldChar w:fldCharType="end"/>
      </w:r>
    </w:p>
    <w:p w14:paraId="0539E3DD">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"_Toc86655082" </w:instrText>
      </w:r>
      <w:r>
        <w:fldChar w:fldCharType="separate"/>
      </w:r>
      <w:r>
        <w:rPr>
          <w:rStyle w:val="30"/>
          <w:rFonts w:hint="eastAsia" w:cs="Arial"/>
          <w:sz w:val="24"/>
          <w:szCs w:val="24"/>
        </w:rPr>
        <w:t>第八部分</w:t>
      </w:r>
      <w:r>
        <w:rPr>
          <w:rStyle w:val="30"/>
          <w:rFonts w:cs="Arial"/>
          <w:sz w:val="24"/>
          <w:szCs w:val="24"/>
        </w:rPr>
        <w:t xml:space="preserve"> </w:t>
      </w:r>
      <w:r>
        <w:rPr>
          <w:rStyle w:val="30"/>
          <w:rFonts w:hint="eastAsia"/>
          <w:sz w:val="24"/>
          <w:szCs w:val="24"/>
        </w:rPr>
        <w:t>基金份额的申购与赎回</w:t>
      </w:r>
      <w:r>
        <w:rPr>
          <w:sz w:val="24"/>
          <w:szCs w:val="24"/>
        </w:rPr>
        <w:tab/>
      </w:r>
      <w:r>
        <w:rPr>
          <w:rFonts w:hint="eastAsia"/>
          <w:sz w:val="24"/>
          <w:szCs w:val="24"/>
        </w:rPr>
        <w:t>8-</w:t>
      </w:r>
      <w:r>
        <w:rPr>
          <w:sz w:val="24"/>
          <w:szCs w:val="24"/>
        </w:rPr>
        <w:fldChar w:fldCharType="begin"/>
      </w:r>
      <w:r>
        <w:rPr>
          <w:sz w:val="24"/>
          <w:szCs w:val="24"/>
        </w:rPr>
        <w:instrText xml:space="preserve"> PAGEREF _Toc86655082 \h </w:instrText>
      </w:r>
      <w:r>
        <w:rPr>
          <w:sz w:val="24"/>
          <w:szCs w:val="24"/>
        </w:rPr>
        <w:fldChar w:fldCharType="separate"/>
      </w:r>
      <w:r>
        <w:rPr>
          <w:sz w:val="24"/>
          <w:szCs w:val="24"/>
        </w:rPr>
        <w:t>1</w:t>
      </w:r>
      <w:r>
        <w:rPr>
          <w:sz w:val="24"/>
          <w:szCs w:val="24"/>
        </w:rPr>
        <w:fldChar w:fldCharType="end"/>
      </w:r>
      <w:r>
        <w:rPr>
          <w:sz w:val="24"/>
          <w:szCs w:val="24"/>
        </w:rPr>
        <w:fldChar w:fldCharType="end"/>
      </w:r>
    </w:p>
    <w:p w14:paraId="1E92A614">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"_Toc86655083" </w:instrText>
      </w:r>
      <w:r>
        <w:fldChar w:fldCharType="separate"/>
      </w:r>
      <w:r>
        <w:rPr>
          <w:rStyle w:val="30"/>
          <w:rFonts w:hint="eastAsia" w:cs="Arial"/>
          <w:sz w:val="24"/>
          <w:szCs w:val="24"/>
        </w:rPr>
        <w:t>第九部分</w:t>
      </w:r>
      <w:r>
        <w:rPr>
          <w:rStyle w:val="30"/>
          <w:rFonts w:cs="Arial"/>
          <w:sz w:val="24"/>
          <w:szCs w:val="24"/>
        </w:rPr>
        <w:t xml:space="preserve"> </w:t>
      </w:r>
      <w:r>
        <w:rPr>
          <w:rStyle w:val="30"/>
          <w:rFonts w:hint="eastAsia"/>
          <w:sz w:val="24"/>
          <w:szCs w:val="24"/>
        </w:rPr>
        <w:t>基金合同当事人及权利义务</w:t>
      </w:r>
      <w:r>
        <w:rPr>
          <w:sz w:val="24"/>
          <w:szCs w:val="24"/>
        </w:rPr>
        <w:tab/>
      </w:r>
      <w:r>
        <w:rPr>
          <w:rFonts w:hint="eastAsia"/>
          <w:sz w:val="24"/>
          <w:szCs w:val="24"/>
        </w:rPr>
        <w:t>9-</w:t>
      </w:r>
      <w:r>
        <w:rPr>
          <w:sz w:val="24"/>
          <w:szCs w:val="24"/>
        </w:rPr>
        <w:fldChar w:fldCharType="begin"/>
      </w:r>
      <w:r>
        <w:rPr>
          <w:sz w:val="24"/>
          <w:szCs w:val="24"/>
        </w:rPr>
        <w:instrText xml:space="preserve"> PAGEREF _Toc86655083 \h </w:instrText>
      </w:r>
      <w:r>
        <w:rPr>
          <w:sz w:val="24"/>
          <w:szCs w:val="24"/>
        </w:rPr>
        <w:fldChar w:fldCharType="separate"/>
      </w:r>
      <w:r>
        <w:rPr>
          <w:sz w:val="24"/>
          <w:szCs w:val="24"/>
        </w:rPr>
        <w:t>1</w:t>
      </w:r>
      <w:r>
        <w:rPr>
          <w:sz w:val="24"/>
          <w:szCs w:val="24"/>
        </w:rPr>
        <w:fldChar w:fldCharType="end"/>
      </w:r>
      <w:r>
        <w:rPr>
          <w:sz w:val="24"/>
          <w:szCs w:val="24"/>
        </w:rPr>
        <w:fldChar w:fldCharType="end"/>
      </w:r>
    </w:p>
    <w:p w14:paraId="5A52AA37">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"_Toc86655084" </w:instrText>
      </w:r>
      <w:r>
        <w:fldChar w:fldCharType="separate"/>
      </w:r>
      <w:r>
        <w:rPr>
          <w:rStyle w:val="30"/>
          <w:rFonts w:hint="eastAsia" w:cs="Arial"/>
          <w:sz w:val="24"/>
          <w:szCs w:val="24"/>
        </w:rPr>
        <w:t>第十部分</w:t>
      </w:r>
      <w:r>
        <w:rPr>
          <w:rStyle w:val="30"/>
          <w:rFonts w:cs="Arial"/>
          <w:sz w:val="24"/>
          <w:szCs w:val="24"/>
        </w:rPr>
        <w:t xml:space="preserve"> </w:t>
      </w:r>
      <w:r>
        <w:rPr>
          <w:rStyle w:val="30"/>
          <w:rFonts w:hint="eastAsia"/>
          <w:sz w:val="24"/>
          <w:szCs w:val="24"/>
        </w:rPr>
        <w:t>基金份额持有人大会</w:t>
      </w:r>
      <w:r>
        <w:rPr>
          <w:sz w:val="24"/>
          <w:szCs w:val="24"/>
        </w:rPr>
        <w:tab/>
      </w:r>
      <w:r>
        <w:rPr>
          <w:rFonts w:hint="eastAsia"/>
          <w:sz w:val="24"/>
          <w:szCs w:val="24"/>
        </w:rPr>
        <w:t>10-</w:t>
      </w:r>
      <w:r>
        <w:rPr>
          <w:sz w:val="24"/>
          <w:szCs w:val="24"/>
        </w:rPr>
        <w:fldChar w:fldCharType="begin"/>
      </w:r>
      <w:r>
        <w:rPr>
          <w:sz w:val="24"/>
          <w:szCs w:val="24"/>
        </w:rPr>
        <w:instrText xml:space="preserve"> PAGEREF _Toc86655084 \h </w:instrText>
      </w:r>
      <w:r>
        <w:rPr>
          <w:sz w:val="24"/>
          <w:szCs w:val="24"/>
        </w:rPr>
        <w:fldChar w:fldCharType="separate"/>
      </w:r>
      <w:r>
        <w:rPr>
          <w:sz w:val="24"/>
          <w:szCs w:val="24"/>
        </w:rPr>
        <w:t>1</w:t>
      </w:r>
      <w:r>
        <w:rPr>
          <w:sz w:val="24"/>
          <w:szCs w:val="24"/>
        </w:rPr>
        <w:fldChar w:fldCharType="end"/>
      </w:r>
      <w:r>
        <w:rPr>
          <w:sz w:val="24"/>
          <w:szCs w:val="24"/>
        </w:rPr>
        <w:fldChar w:fldCharType="end"/>
      </w:r>
    </w:p>
    <w:p w14:paraId="7CBD56F5">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"_Toc86655085" </w:instrText>
      </w:r>
      <w:r>
        <w:fldChar w:fldCharType="separate"/>
      </w:r>
      <w:r>
        <w:rPr>
          <w:rStyle w:val="30"/>
          <w:rFonts w:hint="eastAsia" w:cs="Arial"/>
          <w:sz w:val="24"/>
          <w:szCs w:val="24"/>
        </w:rPr>
        <w:t>第十一部分</w:t>
      </w:r>
      <w:r>
        <w:rPr>
          <w:rStyle w:val="30"/>
          <w:rFonts w:cs="Arial"/>
          <w:sz w:val="24"/>
          <w:szCs w:val="24"/>
        </w:rPr>
        <w:t xml:space="preserve"> </w:t>
      </w:r>
      <w:r>
        <w:rPr>
          <w:rStyle w:val="30"/>
          <w:rFonts w:hint="eastAsia"/>
          <w:sz w:val="24"/>
          <w:szCs w:val="24"/>
        </w:rPr>
        <w:t>基金管理人、基金托管人的更换条件和程序</w:t>
      </w:r>
      <w:r>
        <w:rPr>
          <w:sz w:val="24"/>
          <w:szCs w:val="24"/>
        </w:rPr>
        <w:tab/>
      </w:r>
      <w:r>
        <w:rPr>
          <w:rFonts w:hint="eastAsia"/>
          <w:sz w:val="24"/>
          <w:szCs w:val="24"/>
        </w:rPr>
        <w:t>11-</w:t>
      </w:r>
      <w:r>
        <w:rPr>
          <w:sz w:val="24"/>
          <w:szCs w:val="24"/>
        </w:rPr>
        <w:fldChar w:fldCharType="begin"/>
      </w:r>
      <w:r>
        <w:rPr>
          <w:sz w:val="24"/>
          <w:szCs w:val="24"/>
        </w:rPr>
        <w:instrText xml:space="preserve"> PAGEREF _Toc86655085 \h </w:instrText>
      </w:r>
      <w:r>
        <w:rPr>
          <w:sz w:val="24"/>
          <w:szCs w:val="24"/>
        </w:rPr>
        <w:fldChar w:fldCharType="separate"/>
      </w:r>
      <w:r>
        <w:rPr>
          <w:sz w:val="24"/>
          <w:szCs w:val="24"/>
        </w:rPr>
        <w:t>1</w:t>
      </w:r>
      <w:r>
        <w:rPr>
          <w:sz w:val="24"/>
          <w:szCs w:val="24"/>
        </w:rPr>
        <w:fldChar w:fldCharType="end"/>
      </w:r>
      <w:r>
        <w:rPr>
          <w:sz w:val="24"/>
          <w:szCs w:val="24"/>
        </w:rPr>
        <w:fldChar w:fldCharType="end"/>
      </w:r>
    </w:p>
    <w:p w14:paraId="7B3FB639">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"_Toc86655086" </w:instrText>
      </w:r>
      <w:r>
        <w:fldChar w:fldCharType="separate"/>
      </w:r>
      <w:r>
        <w:rPr>
          <w:rStyle w:val="30"/>
          <w:rFonts w:hint="eastAsia" w:cs="Arial"/>
          <w:sz w:val="24"/>
          <w:szCs w:val="24"/>
        </w:rPr>
        <w:t>第十二部分</w:t>
      </w:r>
      <w:r>
        <w:rPr>
          <w:rStyle w:val="30"/>
          <w:rFonts w:cs="Arial"/>
          <w:sz w:val="24"/>
          <w:szCs w:val="24"/>
        </w:rPr>
        <w:t xml:space="preserve"> </w:t>
      </w:r>
      <w:r>
        <w:rPr>
          <w:rStyle w:val="30"/>
          <w:rFonts w:hint="eastAsia"/>
          <w:sz w:val="24"/>
          <w:szCs w:val="24"/>
        </w:rPr>
        <w:t>基金的托管</w:t>
      </w:r>
      <w:r>
        <w:rPr>
          <w:sz w:val="24"/>
          <w:szCs w:val="24"/>
        </w:rPr>
        <w:tab/>
      </w:r>
      <w:r>
        <w:rPr>
          <w:rFonts w:hint="eastAsia"/>
          <w:sz w:val="24"/>
          <w:szCs w:val="24"/>
        </w:rPr>
        <w:t>12-</w:t>
      </w:r>
      <w:r>
        <w:rPr>
          <w:sz w:val="24"/>
          <w:szCs w:val="24"/>
        </w:rPr>
        <w:fldChar w:fldCharType="begin"/>
      </w:r>
      <w:r>
        <w:rPr>
          <w:sz w:val="24"/>
          <w:szCs w:val="24"/>
        </w:rPr>
        <w:instrText xml:space="preserve"> PAGEREF _Toc86655086 \h </w:instrText>
      </w:r>
      <w:r>
        <w:rPr>
          <w:sz w:val="24"/>
          <w:szCs w:val="24"/>
        </w:rPr>
        <w:fldChar w:fldCharType="separate"/>
      </w:r>
      <w:r>
        <w:rPr>
          <w:sz w:val="24"/>
          <w:szCs w:val="24"/>
        </w:rPr>
        <w:t>1</w:t>
      </w:r>
      <w:r>
        <w:rPr>
          <w:sz w:val="24"/>
          <w:szCs w:val="24"/>
        </w:rPr>
        <w:fldChar w:fldCharType="end"/>
      </w:r>
      <w:r>
        <w:rPr>
          <w:sz w:val="24"/>
          <w:szCs w:val="24"/>
        </w:rPr>
        <w:fldChar w:fldCharType="end"/>
      </w:r>
    </w:p>
    <w:p w14:paraId="0F230BB4">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"_Toc86655087" </w:instrText>
      </w:r>
      <w:r>
        <w:fldChar w:fldCharType="separate"/>
      </w:r>
      <w:r>
        <w:rPr>
          <w:rStyle w:val="30"/>
          <w:rFonts w:hint="eastAsia" w:cs="Arial"/>
          <w:sz w:val="24"/>
          <w:szCs w:val="24"/>
        </w:rPr>
        <w:t>第十三部分</w:t>
      </w:r>
      <w:r>
        <w:rPr>
          <w:rStyle w:val="30"/>
          <w:rFonts w:cs="Arial"/>
          <w:sz w:val="24"/>
          <w:szCs w:val="24"/>
        </w:rPr>
        <w:t xml:space="preserve"> </w:t>
      </w:r>
      <w:r>
        <w:rPr>
          <w:rStyle w:val="30"/>
          <w:rFonts w:hint="eastAsia"/>
          <w:sz w:val="24"/>
          <w:szCs w:val="24"/>
        </w:rPr>
        <w:t>基金份额的登记</w:t>
      </w:r>
      <w:r>
        <w:rPr>
          <w:sz w:val="24"/>
          <w:szCs w:val="24"/>
        </w:rPr>
        <w:tab/>
      </w:r>
      <w:r>
        <w:rPr>
          <w:rFonts w:hint="eastAsia"/>
          <w:sz w:val="24"/>
          <w:szCs w:val="24"/>
        </w:rPr>
        <w:t>13-</w:t>
      </w:r>
      <w:r>
        <w:rPr>
          <w:sz w:val="24"/>
          <w:szCs w:val="24"/>
        </w:rPr>
        <w:fldChar w:fldCharType="begin"/>
      </w:r>
      <w:r>
        <w:rPr>
          <w:sz w:val="24"/>
          <w:szCs w:val="24"/>
        </w:rPr>
        <w:instrText xml:space="preserve"> PAGEREF _Toc86655087 \h </w:instrText>
      </w:r>
      <w:r>
        <w:rPr>
          <w:sz w:val="24"/>
          <w:szCs w:val="24"/>
        </w:rPr>
        <w:fldChar w:fldCharType="separate"/>
      </w:r>
      <w:r>
        <w:rPr>
          <w:sz w:val="24"/>
          <w:szCs w:val="24"/>
        </w:rPr>
        <w:t>1</w:t>
      </w:r>
      <w:r>
        <w:rPr>
          <w:sz w:val="24"/>
          <w:szCs w:val="24"/>
        </w:rPr>
        <w:fldChar w:fldCharType="end"/>
      </w:r>
      <w:r>
        <w:rPr>
          <w:sz w:val="24"/>
          <w:szCs w:val="24"/>
        </w:rPr>
        <w:fldChar w:fldCharType="end"/>
      </w:r>
    </w:p>
    <w:p w14:paraId="7A194AE5">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"_Toc86655088" </w:instrText>
      </w:r>
      <w:r>
        <w:fldChar w:fldCharType="separate"/>
      </w:r>
      <w:r>
        <w:rPr>
          <w:rStyle w:val="30"/>
          <w:rFonts w:hint="eastAsia" w:cs="Arial"/>
          <w:sz w:val="24"/>
          <w:szCs w:val="24"/>
        </w:rPr>
        <w:t>第十四部分</w:t>
      </w:r>
      <w:r>
        <w:rPr>
          <w:rStyle w:val="30"/>
          <w:rFonts w:cs="Arial"/>
          <w:sz w:val="24"/>
          <w:szCs w:val="24"/>
        </w:rPr>
        <w:t xml:space="preserve"> </w:t>
      </w:r>
      <w:r>
        <w:rPr>
          <w:rStyle w:val="30"/>
          <w:rFonts w:hint="eastAsia"/>
          <w:sz w:val="24"/>
          <w:szCs w:val="24"/>
        </w:rPr>
        <w:t>基金的投资</w:t>
      </w:r>
      <w:r>
        <w:rPr>
          <w:sz w:val="24"/>
          <w:szCs w:val="24"/>
        </w:rPr>
        <w:tab/>
      </w:r>
      <w:r>
        <w:rPr>
          <w:rFonts w:hint="eastAsia"/>
          <w:sz w:val="24"/>
          <w:szCs w:val="24"/>
        </w:rPr>
        <w:t>14-</w:t>
      </w:r>
      <w:r>
        <w:rPr>
          <w:sz w:val="24"/>
          <w:szCs w:val="24"/>
        </w:rPr>
        <w:fldChar w:fldCharType="begin"/>
      </w:r>
      <w:r>
        <w:rPr>
          <w:sz w:val="24"/>
          <w:szCs w:val="24"/>
        </w:rPr>
        <w:instrText xml:space="preserve"> PAGEREF _Toc86655088 \h </w:instrText>
      </w:r>
      <w:r>
        <w:rPr>
          <w:sz w:val="24"/>
          <w:szCs w:val="24"/>
        </w:rPr>
        <w:fldChar w:fldCharType="separate"/>
      </w:r>
      <w:r>
        <w:rPr>
          <w:sz w:val="24"/>
          <w:szCs w:val="24"/>
        </w:rPr>
        <w:t>1</w:t>
      </w:r>
      <w:r>
        <w:rPr>
          <w:sz w:val="24"/>
          <w:szCs w:val="24"/>
        </w:rPr>
        <w:fldChar w:fldCharType="end"/>
      </w:r>
      <w:r>
        <w:rPr>
          <w:sz w:val="24"/>
          <w:szCs w:val="24"/>
        </w:rPr>
        <w:fldChar w:fldCharType="end"/>
      </w:r>
    </w:p>
    <w:p w14:paraId="78BDBCFB">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"_Toc86655089" </w:instrText>
      </w:r>
      <w:r>
        <w:fldChar w:fldCharType="separate"/>
      </w:r>
      <w:r>
        <w:rPr>
          <w:rStyle w:val="30"/>
          <w:rFonts w:hint="eastAsia" w:cs="Arial"/>
          <w:sz w:val="24"/>
          <w:szCs w:val="24"/>
        </w:rPr>
        <w:t>第十五部分</w:t>
      </w:r>
      <w:r>
        <w:rPr>
          <w:rStyle w:val="30"/>
          <w:rFonts w:cs="Arial"/>
          <w:sz w:val="24"/>
          <w:szCs w:val="24"/>
        </w:rPr>
        <w:t xml:space="preserve"> </w:t>
      </w:r>
      <w:r>
        <w:rPr>
          <w:rStyle w:val="30"/>
          <w:rFonts w:hint="eastAsia"/>
          <w:sz w:val="24"/>
          <w:szCs w:val="24"/>
        </w:rPr>
        <w:t>基金的财产</w:t>
      </w:r>
      <w:r>
        <w:rPr>
          <w:sz w:val="24"/>
          <w:szCs w:val="24"/>
        </w:rPr>
        <w:tab/>
      </w:r>
      <w:r>
        <w:rPr>
          <w:rFonts w:hint="eastAsia"/>
          <w:sz w:val="24"/>
          <w:szCs w:val="24"/>
        </w:rPr>
        <w:t>15-</w:t>
      </w:r>
      <w:r>
        <w:rPr>
          <w:sz w:val="24"/>
          <w:szCs w:val="24"/>
        </w:rPr>
        <w:fldChar w:fldCharType="begin"/>
      </w:r>
      <w:r>
        <w:rPr>
          <w:sz w:val="24"/>
          <w:szCs w:val="24"/>
        </w:rPr>
        <w:instrText xml:space="preserve"> PAGEREF _Toc86655089 \h </w:instrText>
      </w:r>
      <w:r>
        <w:rPr>
          <w:sz w:val="24"/>
          <w:szCs w:val="24"/>
        </w:rPr>
        <w:fldChar w:fldCharType="separate"/>
      </w:r>
      <w:r>
        <w:rPr>
          <w:sz w:val="24"/>
          <w:szCs w:val="24"/>
        </w:rPr>
        <w:t>1</w:t>
      </w:r>
      <w:r>
        <w:rPr>
          <w:sz w:val="24"/>
          <w:szCs w:val="24"/>
        </w:rPr>
        <w:fldChar w:fldCharType="end"/>
      </w:r>
      <w:r>
        <w:rPr>
          <w:sz w:val="24"/>
          <w:szCs w:val="24"/>
        </w:rPr>
        <w:fldChar w:fldCharType="end"/>
      </w:r>
    </w:p>
    <w:p w14:paraId="1A3F5CC2">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"_Toc86655090" </w:instrText>
      </w:r>
      <w:r>
        <w:fldChar w:fldCharType="separate"/>
      </w:r>
      <w:r>
        <w:rPr>
          <w:rStyle w:val="30"/>
          <w:rFonts w:hint="eastAsia" w:cs="Arial"/>
          <w:sz w:val="24"/>
          <w:szCs w:val="24"/>
        </w:rPr>
        <w:t>第十六部分</w:t>
      </w:r>
      <w:r>
        <w:rPr>
          <w:rStyle w:val="30"/>
          <w:rFonts w:cs="Arial"/>
          <w:sz w:val="24"/>
          <w:szCs w:val="24"/>
        </w:rPr>
        <w:t xml:space="preserve"> </w:t>
      </w:r>
      <w:r>
        <w:rPr>
          <w:rStyle w:val="30"/>
          <w:rFonts w:hint="eastAsia"/>
          <w:sz w:val="24"/>
          <w:szCs w:val="24"/>
        </w:rPr>
        <w:t>基金资产估值</w:t>
      </w:r>
      <w:r>
        <w:rPr>
          <w:sz w:val="24"/>
          <w:szCs w:val="24"/>
        </w:rPr>
        <w:tab/>
      </w:r>
      <w:r>
        <w:rPr>
          <w:rFonts w:hint="eastAsia"/>
          <w:sz w:val="24"/>
          <w:szCs w:val="24"/>
        </w:rPr>
        <w:t>16-</w:t>
      </w:r>
      <w:r>
        <w:rPr>
          <w:sz w:val="24"/>
          <w:szCs w:val="24"/>
        </w:rPr>
        <w:fldChar w:fldCharType="begin"/>
      </w:r>
      <w:r>
        <w:rPr>
          <w:sz w:val="24"/>
          <w:szCs w:val="24"/>
        </w:rPr>
        <w:instrText xml:space="preserve"> PAGEREF _Toc86655090 \h </w:instrText>
      </w:r>
      <w:r>
        <w:rPr>
          <w:sz w:val="24"/>
          <w:szCs w:val="24"/>
        </w:rPr>
        <w:fldChar w:fldCharType="separate"/>
      </w:r>
      <w:r>
        <w:rPr>
          <w:sz w:val="24"/>
          <w:szCs w:val="24"/>
        </w:rPr>
        <w:t>1</w:t>
      </w:r>
      <w:r>
        <w:rPr>
          <w:sz w:val="24"/>
          <w:szCs w:val="24"/>
        </w:rPr>
        <w:fldChar w:fldCharType="end"/>
      </w:r>
      <w:r>
        <w:rPr>
          <w:sz w:val="24"/>
          <w:szCs w:val="24"/>
        </w:rPr>
        <w:fldChar w:fldCharType="end"/>
      </w:r>
    </w:p>
    <w:p w14:paraId="2E5EE236">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"_Toc86655091" </w:instrText>
      </w:r>
      <w:r>
        <w:fldChar w:fldCharType="separate"/>
      </w:r>
      <w:r>
        <w:rPr>
          <w:rStyle w:val="30"/>
          <w:rFonts w:hint="eastAsia" w:cs="Arial"/>
          <w:sz w:val="24"/>
          <w:szCs w:val="24"/>
        </w:rPr>
        <w:t>第十七部分</w:t>
      </w:r>
      <w:r>
        <w:rPr>
          <w:rStyle w:val="30"/>
          <w:rFonts w:cs="Arial"/>
          <w:sz w:val="24"/>
          <w:szCs w:val="24"/>
        </w:rPr>
        <w:t xml:space="preserve"> </w:t>
      </w:r>
      <w:r>
        <w:rPr>
          <w:rStyle w:val="30"/>
          <w:rFonts w:hint="eastAsia"/>
          <w:sz w:val="24"/>
          <w:szCs w:val="24"/>
        </w:rPr>
        <w:t>基金</w:t>
      </w:r>
      <w:r>
        <w:rPr>
          <w:rStyle w:val="30"/>
          <w:rFonts w:hint="eastAsia" w:cs="Arial"/>
          <w:sz w:val="24"/>
          <w:szCs w:val="24"/>
        </w:rPr>
        <w:t>的</w:t>
      </w:r>
      <w:r>
        <w:rPr>
          <w:rStyle w:val="30"/>
          <w:rFonts w:hint="eastAsia"/>
          <w:sz w:val="24"/>
          <w:szCs w:val="24"/>
        </w:rPr>
        <w:t>费用与税收</w:t>
      </w:r>
      <w:r>
        <w:rPr>
          <w:sz w:val="24"/>
          <w:szCs w:val="24"/>
        </w:rPr>
        <w:tab/>
      </w:r>
      <w:r>
        <w:rPr>
          <w:rFonts w:hint="eastAsia"/>
          <w:sz w:val="24"/>
          <w:szCs w:val="24"/>
        </w:rPr>
        <w:t>17-</w:t>
      </w:r>
      <w:r>
        <w:rPr>
          <w:sz w:val="24"/>
          <w:szCs w:val="24"/>
        </w:rPr>
        <w:fldChar w:fldCharType="begin"/>
      </w:r>
      <w:r>
        <w:rPr>
          <w:sz w:val="24"/>
          <w:szCs w:val="24"/>
        </w:rPr>
        <w:instrText xml:space="preserve"> PAGEREF _Toc86655091 \h </w:instrText>
      </w:r>
      <w:r>
        <w:rPr>
          <w:sz w:val="24"/>
          <w:szCs w:val="24"/>
        </w:rPr>
        <w:fldChar w:fldCharType="separate"/>
      </w:r>
      <w:r>
        <w:rPr>
          <w:sz w:val="24"/>
          <w:szCs w:val="24"/>
        </w:rPr>
        <w:t>1</w:t>
      </w:r>
      <w:r>
        <w:rPr>
          <w:sz w:val="24"/>
          <w:szCs w:val="24"/>
        </w:rPr>
        <w:fldChar w:fldCharType="end"/>
      </w:r>
      <w:r>
        <w:rPr>
          <w:sz w:val="24"/>
          <w:szCs w:val="24"/>
        </w:rPr>
        <w:fldChar w:fldCharType="end"/>
      </w:r>
    </w:p>
    <w:p w14:paraId="4FC1C934">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"_Toc86655092" </w:instrText>
      </w:r>
      <w:r>
        <w:fldChar w:fldCharType="separate"/>
      </w:r>
      <w:r>
        <w:rPr>
          <w:rStyle w:val="30"/>
          <w:rFonts w:hint="eastAsia" w:cs="Arial"/>
          <w:sz w:val="24"/>
          <w:szCs w:val="24"/>
        </w:rPr>
        <w:t>第十八部分</w:t>
      </w:r>
      <w:r>
        <w:rPr>
          <w:rStyle w:val="30"/>
          <w:rFonts w:cs="Arial"/>
          <w:sz w:val="24"/>
          <w:szCs w:val="24"/>
        </w:rPr>
        <w:t xml:space="preserve"> </w:t>
      </w:r>
      <w:r>
        <w:rPr>
          <w:rStyle w:val="30"/>
          <w:rFonts w:hint="eastAsia"/>
          <w:sz w:val="24"/>
          <w:szCs w:val="24"/>
        </w:rPr>
        <w:t>基金的收益与分配</w:t>
      </w:r>
      <w:r>
        <w:rPr>
          <w:sz w:val="24"/>
          <w:szCs w:val="24"/>
        </w:rPr>
        <w:tab/>
      </w:r>
      <w:r>
        <w:rPr>
          <w:rFonts w:hint="eastAsia"/>
          <w:sz w:val="24"/>
          <w:szCs w:val="24"/>
        </w:rPr>
        <w:t>18-</w:t>
      </w:r>
      <w:r>
        <w:rPr>
          <w:sz w:val="24"/>
          <w:szCs w:val="24"/>
        </w:rPr>
        <w:fldChar w:fldCharType="begin"/>
      </w:r>
      <w:r>
        <w:rPr>
          <w:sz w:val="24"/>
          <w:szCs w:val="24"/>
        </w:rPr>
        <w:instrText xml:space="preserve"> PAGEREF _Toc86655092 \h </w:instrText>
      </w:r>
      <w:r>
        <w:rPr>
          <w:sz w:val="24"/>
          <w:szCs w:val="24"/>
        </w:rPr>
        <w:fldChar w:fldCharType="separate"/>
      </w:r>
      <w:r>
        <w:rPr>
          <w:sz w:val="24"/>
          <w:szCs w:val="24"/>
        </w:rPr>
        <w:t>1</w:t>
      </w:r>
      <w:r>
        <w:rPr>
          <w:sz w:val="24"/>
          <w:szCs w:val="24"/>
        </w:rPr>
        <w:fldChar w:fldCharType="end"/>
      </w:r>
      <w:r>
        <w:rPr>
          <w:sz w:val="24"/>
          <w:szCs w:val="24"/>
        </w:rPr>
        <w:fldChar w:fldCharType="end"/>
      </w:r>
    </w:p>
    <w:p w14:paraId="31E58457">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"_Toc86655093" </w:instrText>
      </w:r>
      <w:r>
        <w:fldChar w:fldCharType="separate"/>
      </w:r>
      <w:r>
        <w:rPr>
          <w:rStyle w:val="30"/>
          <w:rFonts w:hint="eastAsia"/>
          <w:sz w:val="24"/>
          <w:szCs w:val="24"/>
        </w:rPr>
        <w:t>第十九部分</w:t>
      </w:r>
      <w:r>
        <w:rPr>
          <w:rStyle w:val="30"/>
          <w:sz w:val="24"/>
          <w:szCs w:val="24"/>
        </w:rPr>
        <w:t xml:space="preserve"> </w:t>
      </w:r>
      <w:r>
        <w:rPr>
          <w:rStyle w:val="30"/>
          <w:rFonts w:hint="eastAsia"/>
          <w:sz w:val="24"/>
          <w:szCs w:val="24"/>
        </w:rPr>
        <w:t>基金的会计与审计</w:t>
      </w:r>
      <w:r>
        <w:rPr>
          <w:sz w:val="24"/>
          <w:szCs w:val="24"/>
        </w:rPr>
        <w:tab/>
      </w:r>
      <w:r>
        <w:rPr>
          <w:rFonts w:hint="eastAsia"/>
          <w:sz w:val="24"/>
          <w:szCs w:val="24"/>
        </w:rPr>
        <w:t>19-</w:t>
      </w:r>
      <w:r>
        <w:rPr>
          <w:sz w:val="24"/>
          <w:szCs w:val="24"/>
        </w:rPr>
        <w:fldChar w:fldCharType="begin"/>
      </w:r>
      <w:r>
        <w:rPr>
          <w:sz w:val="24"/>
          <w:szCs w:val="24"/>
        </w:rPr>
        <w:instrText xml:space="preserve"> PAGEREF _Toc86655093 \h </w:instrText>
      </w:r>
      <w:r>
        <w:rPr>
          <w:sz w:val="24"/>
          <w:szCs w:val="24"/>
        </w:rPr>
        <w:fldChar w:fldCharType="separate"/>
      </w:r>
      <w:r>
        <w:rPr>
          <w:sz w:val="24"/>
          <w:szCs w:val="24"/>
        </w:rPr>
        <w:t>1</w:t>
      </w:r>
      <w:r>
        <w:rPr>
          <w:sz w:val="24"/>
          <w:szCs w:val="24"/>
        </w:rPr>
        <w:fldChar w:fldCharType="end"/>
      </w:r>
      <w:r>
        <w:rPr>
          <w:sz w:val="24"/>
          <w:szCs w:val="24"/>
        </w:rPr>
        <w:fldChar w:fldCharType="end"/>
      </w:r>
    </w:p>
    <w:p w14:paraId="514ACCCA">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"_Toc86655094" </w:instrText>
      </w:r>
      <w:r>
        <w:fldChar w:fldCharType="separate"/>
      </w:r>
      <w:r>
        <w:rPr>
          <w:rStyle w:val="30"/>
          <w:rFonts w:hint="eastAsia" w:cs="Arial"/>
          <w:sz w:val="24"/>
          <w:szCs w:val="24"/>
        </w:rPr>
        <w:t>第二十部分</w:t>
      </w:r>
      <w:r>
        <w:rPr>
          <w:rStyle w:val="30"/>
          <w:rFonts w:cs="Arial"/>
          <w:sz w:val="24"/>
          <w:szCs w:val="24"/>
        </w:rPr>
        <w:t xml:space="preserve"> </w:t>
      </w:r>
      <w:r>
        <w:rPr>
          <w:rStyle w:val="30"/>
          <w:rFonts w:hint="eastAsia"/>
          <w:sz w:val="24"/>
          <w:szCs w:val="24"/>
        </w:rPr>
        <w:t>基金的信息披露</w:t>
      </w:r>
      <w:r>
        <w:rPr>
          <w:sz w:val="24"/>
          <w:szCs w:val="24"/>
        </w:rPr>
        <w:tab/>
      </w:r>
      <w:r>
        <w:rPr>
          <w:rFonts w:hint="eastAsia"/>
          <w:sz w:val="24"/>
          <w:szCs w:val="24"/>
        </w:rPr>
        <w:t>20-</w:t>
      </w:r>
      <w:r>
        <w:rPr>
          <w:sz w:val="24"/>
          <w:szCs w:val="24"/>
        </w:rPr>
        <w:fldChar w:fldCharType="begin"/>
      </w:r>
      <w:r>
        <w:rPr>
          <w:sz w:val="24"/>
          <w:szCs w:val="24"/>
        </w:rPr>
        <w:instrText xml:space="preserve"> PAGEREF _Toc86655094 \h </w:instrText>
      </w:r>
      <w:r>
        <w:rPr>
          <w:sz w:val="24"/>
          <w:szCs w:val="24"/>
        </w:rPr>
        <w:fldChar w:fldCharType="separate"/>
      </w:r>
      <w:r>
        <w:rPr>
          <w:sz w:val="24"/>
          <w:szCs w:val="24"/>
        </w:rPr>
        <w:t>1</w:t>
      </w:r>
      <w:r>
        <w:rPr>
          <w:sz w:val="24"/>
          <w:szCs w:val="24"/>
        </w:rPr>
        <w:fldChar w:fldCharType="end"/>
      </w:r>
      <w:r>
        <w:rPr>
          <w:sz w:val="24"/>
          <w:szCs w:val="24"/>
        </w:rPr>
        <w:fldChar w:fldCharType="end"/>
      </w:r>
    </w:p>
    <w:p w14:paraId="53168781">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"_Toc86655095" </w:instrText>
      </w:r>
      <w:r>
        <w:fldChar w:fldCharType="separate"/>
      </w:r>
      <w:r>
        <w:rPr>
          <w:rStyle w:val="30"/>
          <w:rFonts w:hint="eastAsia" w:cs="Arial"/>
          <w:sz w:val="24"/>
          <w:szCs w:val="24"/>
        </w:rPr>
        <w:t>第二十一部分</w:t>
      </w:r>
      <w:r>
        <w:rPr>
          <w:rStyle w:val="30"/>
          <w:rFonts w:cs="Arial"/>
          <w:sz w:val="24"/>
          <w:szCs w:val="24"/>
        </w:rPr>
        <w:t xml:space="preserve"> </w:t>
      </w:r>
      <w:r>
        <w:rPr>
          <w:rStyle w:val="30"/>
          <w:rFonts w:hint="eastAsia"/>
          <w:sz w:val="24"/>
          <w:szCs w:val="24"/>
        </w:rPr>
        <w:t>基金合同的变更、终止与基金财产的清算</w:t>
      </w:r>
      <w:r>
        <w:rPr>
          <w:sz w:val="24"/>
          <w:szCs w:val="24"/>
        </w:rPr>
        <w:tab/>
      </w:r>
      <w:r>
        <w:rPr>
          <w:rFonts w:hint="eastAsia"/>
          <w:sz w:val="24"/>
          <w:szCs w:val="24"/>
        </w:rPr>
        <w:t>21-</w:t>
      </w:r>
      <w:r>
        <w:rPr>
          <w:sz w:val="24"/>
          <w:szCs w:val="24"/>
        </w:rPr>
        <w:fldChar w:fldCharType="begin"/>
      </w:r>
      <w:r>
        <w:rPr>
          <w:sz w:val="24"/>
          <w:szCs w:val="24"/>
        </w:rPr>
        <w:instrText xml:space="preserve"> PAGEREF _Toc86655095 \h </w:instrText>
      </w:r>
      <w:r>
        <w:rPr>
          <w:sz w:val="24"/>
          <w:szCs w:val="24"/>
        </w:rPr>
        <w:fldChar w:fldCharType="separate"/>
      </w:r>
      <w:r>
        <w:rPr>
          <w:sz w:val="24"/>
          <w:szCs w:val="24"/>
        </w:rPr>
        <w:t>1</w:t>
      </w:r>
      <w:r>
        <w:rPr>
          <w:sz w:val="24"/>
          <w:szCs w:val="24"/>
        </w:rPr>
        <w:fldChar w:fldCharType="end"/>
      </w:r>
      <w:r>
        <w:rPr>
          <w:sz w:val="24"/>
          <w:szCs w:val="24"/>
        </w:rPr>
        <w:fldChar w:fldCharType="end"/>
      </w:r>
    </w:p>
    <w:p w14:paraId="4F597A16">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"_Toc86655096" </w:instrText>
      </w:r>
      <w:r>
        <w:fldChar w:fldCharType="separate"/>
      </w:r>
      <w:r>
        <w:rPr>
          <w:rStyle w:val="30"/>
          <w:rFonts w:hint="eastAsia" w:cs="Arial"/>
          <w:sz w:val="24"/>
          <w:szCs w:val="24"/>
        </w:rPr>
        <w:t>第二十二部分</w:t>
      </w:r>
      <w:r>
        <w:rPr>
          <w:rStyle w:val="30"/>
          <w:rFonts w:cs="Arial"/>
          <w:sz w:val="24"/>
          <w:szCs w:val="24"/>
        </w:rPr>
        <w:t xml:space="preserve"> </w:t>
      </w:r>
      <w:r>
        <w:rPr>
          <w:rStyle w:val="30"/>
          <w:rFonts w:hint="eastAsia"/>
          <w:sz w:val="24"/>
          <w:szCs w:val="24"/>
        </w:rPr>
        <w:t>违约责任</w:t>
      </w:r>
      <w:r>
        <w:rPr>
          <w:sz w:val="24"/>
          <w:szCs w:val="24"/>
        </w:rPr>
        <w:tab/>
      </w:r>
      <w:r>
        <w:rPr>
          <w:rFonts w:hint="eastAsia"/>
          <w:sz w:val="24"/>
          <w:szCs w:val="24"/>
        </w:rPr>
        <w:t>22-</w:t>
      </w:r>
      <w:r>
        <w:rPr>
          <w:sz w:val="24"/>
          <w:szCs w:val="24"/>
        </w:rPr>
        <w:fldChar w:fldCharType="begin"/>
      </w:r>
      <w:r>
        <w:rPr>
          <w:sz w:val="24"/>
          <w:szCs w:val="24"/>
        </w:rPr>
        <w:instrText xml:space="preserve"> PAGEREF _Toc86655096 \h </w:instrText>
      </w:r>
      <w:r>
        <w:rPr>
          <w:sz w:val="24"/>
          <w:szCs w:val="24"/>
        </w:rPr>
        <w:fldChar w:fldCharType="separate"/>
      </w:r>
      <w:r>
        <w:rPr>
          <w:sz w:val="24"/>
          <w:szCs w:val="24"/>
        </w:rPr>
        <w:t>1</w:t>
      </w:r>
      <w:r>
        <w:rPr>
          <w:sz w:val="24"/>
          <w:szCs w:val="24"/>
        </w:rPr>
        <w:fldChar w:fldCharType="end"/>
      </w:r>
      <w:r>
        <w:rPr>
          <w:sz w:val="24"/>
          <w:szCs w:val="24"/>
        </w:rPr>
        <w:fldChar w:fldCharType="end"/>
      </w:r>
    </w:p>
    <w:p w14:paraId="41E0DFDC">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"_Toc86655097" </w:instrText>
      </w:r>
      <w:r>
        <w:fldChar w:fldCharType="separate"/>
      </w:r>
      <w:r>
        <w:rPr>
          <w:rStyle w:val="30"/>
          <w:rFonts w:hint="eastAsia" w:cs="Arial"/>
          <w:sz w:val="24"/>
          <w:szCs w:val="24"/>
        </w:rPr>
        <w:t>第二十三部分</w:t>
      </w:r>
      <w:r>
        <w:rPr>
          <w:rStyle w:val="30"/>
          <w:rFonts w:cs="Arial"/>
          <w:sz w:val="24"/>
          <w:szCs w:val="24"/>
        </w:rPr>
        <w:t xml:space="preserve"> </w:t>
      </w:r>
      <w:r>
        <w:rPr>
          <w:rStyle w:val="30"/>
          <w:rFonts w:hint="eastAsia"/>
          <w:sz w:val="24"/>
          <w:szCs w:val="24"/>
        </w:rPr>
        <w:t>争议的处理和适用的法律</w:t>
      </w:r>
      <w:r>
        <w:rPr>
          <w:sz w:val="24"/>
          <w:szCs w:val="24"/>
        </w:rPr>
        <w:tab/>
      </w:r>
      <w:r>
        <w:rPr>
          <w:rFonts w:hint="eastAsia"/>
          <w:sz w:val="24"/>
          <w:szCs w:val="24"/>
        </w:rPr>
        <w:t>23-</w:t>
      </w:r>
      <w:r>
        <w:rPr>
          <w:sz w:val="24"/>
          <w:szCs w:val="24"/>
        </w:rPr>
        <w:fldChar w:fldCharType="begin"/>
      </w:r>
      <w:r>
        <w:rPr>
          <w:sz w:val="24"/>
          <w:szCs w:val="24"/>
        </w:rPr>
        <w:instrText xml:space="preserve"> PAGEREF _Toc86655097 \h </w:instrText>
      </w:r>
      <w:r>
        <w:rPr>
          <w:sz w:val="24"/>
          <w:szCs w:val="24"/>
        </w:rPr>
        <w:fldChar w:fldCharType="separate"/>
      </w:r>
      <w:r>
        <w:rPr>
          <w:sz w:val="24"/>
          <w:szCs w:val="24"/>
        </w:rPr>
        <w:t>1</w:t>
      </w:r>
      <w:r>
        <w:rPr>
          <w:sz w:val="24"/>
          <w:szCs w:val="24"/>
        </w:rPr>
        <w:fldChar w:fldCharType="end"/>
      </w:r>
      <w:r>
        <w:rPr>
          <w:sz w:val="24"/>
          <w:szCs w:val="24"/>
        </w:rPr>
        <w:fldChar w:fldCharType="end"/>
      </w:r>
    </w:p>
    <w:p w14:paraId="34F195CE">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"_Toc86655098" </w:instrText>
      </w:r>
      <w:r>
        <w:fldChar w:fldCharType="separate"/>
      </w:r>
      <w:r>
        <w:rPr>
          <w:rStyle w:val="30"/>
          <w:rFonts w:hint="eastAsia" w:cs="Arial"/>
          <w:sz w:val="24"/>
          <w:szCs w:val="24"/>
        </w:rPr>
        <w:t>第二十四部分</w:t>
      </w:r>
      <w:r>
        <w:rPr>
          <w:rStyle w:val="30"/>
          <w:rFonts w:cs="Arial"/>
          <w:sz w:val="24"/>
          <w:szCs w:val="24"/>
        </w:rPr>
        <w:t xml:space="preserve"> </w:t>
      </w:r>
      <w:r>
        <w:rPr>
          <w:rStyle w:val="30"/>
          <w:rFonts w:hint="eastAsia"/>
          <w:sz w:val="24"/>
          <w:szCs w:val="24"/>
        </w:rPr>
        <w:t>基金合同的效力</w:t>
      </w:r>
      <w:r>
        <w:rPr>
          <w:sz w:val="24"/>
          <w:szCs w:val="24"/>
        </w:rPr>
        <w:tab/>
      </w:r>
      <w:r>
        <w:rPr>
          <w:rFonts w:hint="eastAsia"/>
          <w:sz w:val="24"/>
          <w:szCs w:val="24"/>
        </w:rPr>
        <w:t>24-</w:t>
      </w:r>
      <w:r>
        <w:rPr>
          <w:sz w:val="24"/>
          <w:szCs w:val="24"/>
        </w:rPr>
        <w:fldChar w:fldCharType="begin"/>
      </w:r>
      <w:r>
        <w:rPr>
          <w:sz w:val="24"/>
          <w:szCs w:val="24"/>
        </w:rPr>
        <w:instrText xml:space="preserve"> PAGEREF _Toc86655098 \h </w:instrText>
      </w:r>
      <w:r>
        <w:rPr>
          <w:sz w:val="24"/>
          <w:szCs w:val="24"/>
        </w:rPr>
        <w:fldChar w:fldCharType="separate"/>
      </w:r>
      <w:r>
        <w:rPr>
          <w:sz w:val="24"/>
          <w:szCs w:val="24"/>
        </w:rPr>
        <w:t>1</w:t>
      </w:r>
      <w:r>
        <w:rPr>
          <w:sz w:val="24"/>
          <w:szCs w:val="24"/>
        </w:rPr>
        <w:fldChar w:fldCharType="end"/>
      </w:r>
      <w:r>
        <w:rPr>
          <w:sz w:val="24"/>
          <w:szCs w:val="24"/>
        </w:rPr>
        <w:fldChar w:fldCharType="end"/>
      </w:r>
    </w:p>
    <w:p w14:paraId="097CB50F">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"_Toc86655099" </w:instrText>
      </w:r>
      <w:r>
        <w:fldChar w:fldCharType="separate"/>
      </w:r>
      <w:r>
        <w:rPr>
          <w:rStyle w:val="30"/>
          <w:rFonts w:hint="eastAsia" w:cs="Arial"/>
          <w:sz w:val="24"/>
          <w:szCs w:val="24"/>
        </w:rPr>
        <w:t>第二十五部分</w:t>
      </w:r>
      <w:r>
        <w:rPr>
          <w:rStyle w:val="30"/>
          <w:rFonts w:cs="Arial"/>
          <w:sz w:val="24"/>
          <w:szCs w:val="24"/>
        </w:rPr>
        <w:t xml:space="preserve"> </w:t>
      </w:r>
      <w:r>
        <w:rPr>
          <w:rStyle w:val="30"/>
          <w:rFonts w:hint="eastAsia"/>
          <w:sz w:val="24"/>
          <w:szCs w:val="24"/>
        </w:rPr>
        <w:t>其他事项</w:t>
      </w:r>
      <w:r>
        <w:rPr>
          <w:sz w:val="24"/>
          <w:szCs w:val="24"/>
        </w:rPr>
        <w:tab/>
      </w:r>
      <w:r>
        <w:rPr>
          <w:rFonts w:hint="eastAsia"/>
          <w:sz w:val="24"/>
          <w:szCs w:val="24"/>
        </w:rPr>
        <w:t>25-</w:t>
      </w:r>
      <w:r>
        <w:rPr>
          <w:sz w:val="24"/>
          <w:szCs w:val="24"/>
        </w:rPr>
        <w:fldChar w:fldCharType="begin"/>
      </w:r>
      <w:r>
        <w:rPr>
          <w:sz w:val="24"/>
          <w:szCs w:val="24"/>
        </w:rPr>
        <w:instrText xml:space="preserve"> PAGEREF _Toc86655099 \h </w:instrText>
      </w:r>
      <w:r>
        <w:rPr>
          <w:sz w:val="24"/>
          <w:szCs w:val="24"/>
        </w:rPr>
        <w:fldChar w:fldCharType="separate"/>
      </w:r>
      <w:r>
        <w:rPr>
          <w:sz w:val="24"/>
          <w:szCs w:val="24"/>
        </w:rPr>
        <w:t>1</w:t>
      </w:r>
      <w:r>
        <w:rPr>
          <w:sz w:val="24"/>
          <w:szCs w:val="24"/>
        </w:rPr>
        <w:fldChar w:fldCharType="end"/>
      </w:r>
      <w:r>
        <w:rPr>
          <w:sz w:val="24"/>
          <w:szCs w:val="24"/>
        </w:rPr>
        <w:fldChar w:fldCharType="end"/>
      </w:r>
    </w:p>
    <w:p w14:paraId="472D5C6A">
      <w:pPr>
        <w:pStyle w:val="19"/>
        <w:tabs>
          <w:tab w:val="right" w:leader="dot" w:pos="8296"/>
        </w:tabs>
        <w:spacing w:line="360" w:lineRule="auto"/>
        <w:rPr>
          <w:rFonts w:asciiTheme="minorHAnsi" w:hAnsiTheme="minorHAnsi" w:eastAsiaTheme="minorEastAsia" w:cstheme="minorBidi"/>
          <w:sz w:val="24"/>
          <w:szCs w:val="24"/>
        </w:rPr>
      </w:pPr>
      <w:r>
        <w:fldChar w:fldCharType="begin"/>
      </w:r>
      <w:r>
        <w:instrText xml:space="preserve"> HYPERLINK \l "_Toc86655100" </w:instrText>
      </w:r>
      <w:r>
        <w:fldChar w:fldCharType="separate"/>
      </w:r>
      <w:r>
        <w:rPr>
          <w:rStyle w:val="30"/>
          <w:rFonts w:hint="eastAsia"/>
          <w:sz w:val="24"/>
          <w:szCs w:val="24"/>
        </w:rPr>
        <w:t>第二十六部分</w:t>
      </w:r>
      <w:r>
        <w:rPr>
          <w:rStyle w:val="30"/>
          <w:sz w:val="24"/>
          <w:szCs w:val="24"/>
        </w:rPr>
        <w:t xml:space="preserve"> </w:t>
      </w:r>
      <w:r>
        <w:rPr>
          <w:rStyle w:val="30"/>
          <w:rFonts w:hint="eastAsia"/>
          <w:sz w:val="24"/>
          <w:szCs w:val="24"/>
        </w:rPr>
        <w:t>基金合同摘要</w:t>
      </w:r>
      <w:r>
        <w:rPr>
          <w:sz w:val="24"/>
          <w:szCs w:val="24"/>
        </w:rPr>
        <w:tab/>
      </w:r>
      <w:r>
        <w:rPr>
          <w:rFonts w:hint="eastAsia"/>
          <w:sz w:val="24"/>
          <w:szCs w:val="24"/>
        </w:rPr>
        <w:t>26-</w:t>
      </w:r>
      <w:r>
        <w:rPr>
          <w:sz w:val="24"/>
          <w:szCs w:val="24"/>
        </w:rPr>
        <w:fldChar w:fldCharType="begin"/>
      </w:r>
      <w:r>
        <w:rPr>
          <w:sz w:val="24"/>
          <w:szCs w:val="24"/>
        </w:rPr>
        <w:instrText xml:space="preserve"> PAGEREF _Toc86655100 \h </w:instrText>
      </w:r>
      <w:r>
        <w:rPr>
          <w:sz w:val="24"/>
          <w:szCs w:val="24"/>
        </w:rPr>
        <w:fldChar w:fldCharType="separate"/>
      </w:r>
      <w:r>
        <w:rPr>
          <w:sz w:val="24"/>
          <w:szCs w:val="24"/>
        </w:rPr>
        <w:t>1</w:t>
      </w:r>
      <w:r>
        <w:rPr>
          <w:sz w:val="24"/>
          <w:szCs w:val="24"/>
        </w:rPr>
        <w:fldChar w:fldCharType="end"/>
      </w:r>
      <w:r>
        <w:rPr>
          <w:sz w:val="24"/>
          <w:szCs w:val="24"/>
        </w:rPr>
        <w:fldChar w:fldCharType="end"/>
      </w:r>
    </w:p>
    <w:p w14:paraId="14FD1F6B">
      <w:pPr>
        <w:pStyle w:val="2"/>
        <w:rPr>
          <w:rFonts w:hint="eastAsia"/>
          <w:kern w:val="2"/>
          <w:szCs w:val="24"/>
        </w:rPr>
        <w:sectPr>
          <w:headerReference r:id="rId6" w:type="default"/>
          <w:footerReference r:id="rId7" w:type="default"/>
          <w:pgSz w:w="11906" w:h="16838"/>
          <w:pgMar w:top="1440" w:right="1800" w:bottom="1440" w:left="1800" w:header="851" w:footer="992" w:gutter="0"/>
          <w:cols w:space="720" w:num="1"/>
          <w:docGrid w:type="lines" w:linePitch="312" w:charSpace="0"/>
        </w:sectPr>
      </w:pPr>
      <w:r>
        <w:rPr>
          <w:szCs w:val="24"/>
        </w:rPr>
        <w:fldChar w:fldCharType="end"/>
      </w:r>
    </w:p>
    <w:bookmarkEnd w:id="19"/>
    <w:p w14:paraId="5195DC10">
      <w:pPr>
        <w:pStyle w:val="2"/>
        <w:rPr>
          <w:rFonts w:hint="eastAsia"/>
          <w:szCs w:val="24"/>
        </w:rPr>
      </w:pPr>
      <w:bookmarkStart w:id="38" w:name="CTS_4f19456cd08f49bd8fd8446605e1288e"/>
      <w:bookmarkEnd w:id="38"/>
      <w:bookmarkStart w:id="39" w:name="_Toc90742318"/>
      <w:bookmarkStart w:id="40" w:name="_Toc90742685"/>
      <w:bookmarkStart w:id="41" w:name="_Toc90742387"/>
      <w:bookmarkStart w:id="42" w:name="_Toc86655075"/>
      <w:bookmarkStart w:id="43" w:name="CLAUSE_aab1dd75ce6642719ce7dff545bd31fc"/>
      <w:r>
        <w:rPr>
          <w:rFonts w:hint="eastAsia"/>
          <w:szCs w:val="24"/>
        </w:rPr>
        <w:t xml:space="preserve">第一部分 </w:t>
      </w:r>
      <w:bookmarkStart w:id="44" w:name="CTS_aab1dd75ce6642719ce7dff545bd31fc"/>
      <w:bookmarkEnd w:id="44"/>
      <w:r>
        <w:rPr>
          <w:szCs w:val="24"/>
        </w:rPr>
        <w:t>前言</w:t>
      </w:r>
      <w:bookmarkEnd w:id="21"/>
      <w:bookmarkEnd w:id="22"/>
      <w:bookmarkEnd w:id="23"/>
      <w:bookmarkEnd w:id="24"/>
      <w:bookmarkEnd w:id="25"/>
      <w:bookmarkEnd w:id="26"/>
      <w:bookmarkEnd w:id="27"/>
      <w:bookmarkEnd w:id="28"/>
      <w:bookmarkEnd w:id="29"/>
      <w:bookmarkEnd w:id="30"/>
      <w:bookmarkEnd w:id="31"/>
      <w:bookmarkEnd w:id="32"/>
      <w:bookmarkEnd w:id="33"/>
      <w:bookmarkEnd w:id="39"/>
      <w:bookmarkEnd w:id="40"/>
      <w:bookmarkEnd w:id="41"/>
      <w:bookmarkEnd w:id="42"/>
    </w:p>
    <w:bookmarkEnd w:id="34"/>
    <w:bookmarkEnd w:id="35"/>
    <w:bookmarkEnd w:id="36"/>
    <w:p w14:paraId="1BA107D9">
      <w:pPr>
        <w:rPr>
          <w:rFonts w:hint="eastAsia" w:asciiTheme="minorEastAsia" w:hAnsiTheme="minorEastAsia" w:eastAsiaTheme="minorEastAsia"/>
          <w:bCs/>
          <w:sz w:val="24"/>
          <w:szCs w:val="24"/>
        </w:rPr>
      </w:pPr>
      <w:bookmarkStart w:id="45" w:name="_Toc139991731"/>
      <w:bookmarkStart w:id="46" w:name="_Toc258829399"/>
    </w:p>
    <w:bookmarkEnd w:id="45"/>
    <w:p w14:paraId="66DEE2C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一、订立本基金合同的目的、依据和原则</w:t>
      </w:r>
    </w:p>
    <w:p w14:paraId="29DFB77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、订立本基金合同的目的是保护投资人合法权益，明确基金合同当事人的权利义务，规范基金运作。</w:t>
      </w:r>
    </w:p>
    <w:p w14:paraId="70EE5F5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、订立本基金合同的依据是《中华人民共和国民法典》、</w:t>
      </w:r>
      <w:bookmarkStart w:id="47" w:name="_Hlk37984380"/>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《中华人民共和国证券法》(以下简称“《证券法》”)、</w:t>
      </w:r>
      <w:bookmarkEnd w:id="47"/>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《中华人民共和国证券投资基金法》</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以下简称</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《基金法》</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、《公开募集证券投资基金运作管理办法》(以下简称</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《运作办法》</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、《公开募集证券投资基金销售机构监督管理办法》</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以下简称</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《销售办法》</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、《公开募集证券投资基金信息披露管理办法》</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以下简称</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《信息披露办法》</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公开募集开放式证券投资基金流动性风险管理规定》（以下简称“《流动性风险管理规定》”）、《公开募集证券投资基金运作指引第3号——指数基金指引》（以下简称“《指数基金指引》”）和其他有关法律法规。</w:t>
      </w:r>
    </w:p>
    <w:p w14:paraId="1BAF5ED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、订立本基金合同的原则是平等自愿、诚实信用、充分保护投资人合法权益。</w:t>
      </w:r>
    </w:p>
    <w:p w14:paraId="318431D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7E2D8CA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合同的当事人包括基金管理人、基金托管人和基金份额持有人。基金投资人自依本基金合同取得基金份额，即成为基金份额持有人和本基金合同的当事人，其持有基金份额的行为本身即表明其对基金合同的承认和接受。</w:t>
      </w:r>
    </w:p>
    <w:p w14:paraId="2C7E7C1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三、</w:t>
      </w:r>
      <w:r>
        <w:rPr>
          <w:rFonts w:hint="eastAsia" w:cs="Arial"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博时中证细分化工产业主题交易型开放式指数证券投资基金（以下简称“本基金”）</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由基金管理人依照《基金法》、基金合同及其他有关规定募集，并经中国证券监督管理委员会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以下简称</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注册。</w:t>
      </w:r>
    </w:p>
    <w:p w14:paraId="2C21A3D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中国证监会对本基金募集的注册，并不表明其对本基金的投资价值、市场前景和收益做出实质性判断或保证，也不表明投资于本基金没有风险。</w:t>
      </w:r>
    </w:p>
    <w:p w14:paraId="3D4745F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基金管理人依照恪尽职守、诚实信用、谨慎勤勉的原则管理和运用基金财产，但不保证投资于本基金一定盈利，也不保证最低收益。</w:t>
      </w:r>
    </w:p>
    <w:p w14:paraId="23F1FDC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投资者应当认真阅读基金招募说明书、基金合同、基金产品资料概要等信息披露文件，自主判断基金的投资价值，自主做出投资决策，自行承担投资风险。</w:t>
      </w:r>
    </w:p>
    <w:p w14:paraId="054769D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四、</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基金管理人、基金托管人在本基金合同之外披露涉及本基金的信息，其内容涉及界定基金合同当事人之间权利义务关系的，如与基金合同有冲突，以基金合同为准。</w:t>
      </w:r>
    </w:p>
    <w:p w14:paraId="3427BD3E">
      <w:pPr>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五、本基金按照中国法律法规成立并运作，若基金合同的内容与届时有效的法律法规的强制性规定不一致，应当以届时有效的法律法规的规定为准。</w:t>
      </w:r>
    </w:p>
    <w:p w14:paraId="62AA6A93">
      <w:pPr>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六、本基金为指数基金，投资者投资于本基金面临跟踪误差控制未达约定目标、指数编制机构停止服务、成份股停牌或退市等潜在风险，具体风险详见本基金招募说明书。</w:t>
      </w:r>
    </w:p>
    <w:p w14:paraId="584B18EB">
      <w:pPr>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七、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7E5E3A72">
      <w:pPr>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八、本基金的投资范围包括存托凭证，除与其他仅投资于</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境内</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市场股票的基金所面临的共同风险外，本基金还将面临中国存托凭证价格大幅波动甚至出现较大亏损的风险，以及与中国存托凭证发行机制相关的风险。</w:t>
      </w:r>
    </w:p>
    <w:bookmarkEnd w:id="43"/>
    <w:p w14:paraId="5F775392">
      <w:pPr>
        <w:adjustRightInd w:val="0"/>
        <w:snapToGrid w:val="0"/>
        <w:spacing w:line="360" w:lineRule="auto"/>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sectPr>
          <w:headerReference r:id="rId8" w:type="default"/>
          <w:footerReference r:id="rId9" w:type="default"/>
          <w:pgSz w:w="11906" w:h="16838"/>
          <w:pgMar w:top="1440" w:right="1800" w:bottom="1440" w:left="1800" w:header="851" w:footer="992" w:gutter="0"/>
          <w:pgNumType w:start="1"/>
          <w:cols w:space="425" w:num="1"/>
          <w:docGrid w:type="lines" w:linePitch="312" w:charSpace="0"/>
        </w:sectPr>
      </w:pPr>
      <w:bookmarkStart w:id="48" w:name="_Toc13020"/>
      <w:bookmarkStart w:id="49" w:name="_Toc819"/>
      <w:bookmarkStart w:id="50" w:name="_Toc2465"/>
      <w:bookmarkStart w:id="51" w:name="_Toc22864"/>
      <w:bookmarkStart w:id="52" w:name="_Toc6617"/>
      <w:bookmarkStart w:id="53" w:name="_Toc3224"/>
      <w:bookmarkStart w:id="54" w:name="_Toc24860"/>
      <w:bookmarkStart w:id="55" w:name="_Toc31551"/>
      <w:bookmarkStart w:id="56" w:name="_Toc21301"/>
      <w:bookmarkStart w:id="57" w:name="_Toc15067"/>
      <w:bookmarkStart w:id="58" w:name="_Toc19592"/>
    </w:p>
    <w:p w14:paraId="1B63A6F0">
      <w:pPr>
        <w:adjustRightInd w:val="0"/>
        <w:snapToGrid w:val="0"/>
        <w:spacing w:line="360" w:lineRule="auto"/>
        <w:jc w:val="cente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59" w:name="CTS_eee538634e0f48d7bfcd1e419f7e5629"/>
      <w:bookmarkEnd w:id="59"/>
      <w:bookmarkStart w:id="60" w:name="CLAUSE_eee538634e0f48d7bfcd1e419f7e5629"/>
    </w:p>
    <w:p w14:paraId="713CCCB8">
      <w:pPr>
        <w:pStyle w:val="2"/>
        <w:rPr>
          <w:rFonts w:hint="eastAsia"/>
          <w:szCs w:val="24"/>
        </w:rPr>
      </w:pPr>
      <w:bookmarkStart w:id="61" w:name="_Toc90742319"/>
      <w:bookmarkStart w:id="62" w:name="_Toc90742686"/>
      <w:bookmarkStart w:id="63" w:name="_Toc90742388"/>
      <w:r>
        <w:rPr>
          <w:rFonts w:hint="eastAsia"/>
          <w:szCs w:val="24"/>
        </w:rPr>
        <w:t xml:space="preserve"> </w:t>
      </w:r>
      <w:bookmarkStart w:id="64" w:name="_Toc86655076"/>
      <w:r>
        <w:rPr>
          <w:rFonts w:hint="eastAsia"/>
          <w:szCs w:val="24"/>
        </w:rPr>
        <w:t xml:space="preserve">第二部分 </w:t>
      </w:r>
      <w:r>
        <w:rPr>
          <w:szCs w:val="24"/>
        </w:rPr>
        <w:t>释义</w:t>
      </w:r>
      <w:bookmarkEnd w:id="37"/>
      <w:bookmarkEnd w:id="46"/>
      <w:bookmarkEnd w:id="48"/>
      <w:bookmarkEnd w:id="49"/>
      <w:bookmarkEnd w:id="50"/>
      <w:bookmarkEnd w:id="51"/>
      <w:bookmarkEnd w:id="52"/>
      <w:bookmarkEnd w:id="53"/>
      <w:bookmarkEnd w:id="54"/>
      <w:bookmarkEnd w:id="55"/>
      <w:bookmarkEnd w:id="56"/>
      <w:bookmarkEnd w:id="57"/>
      <w:bookmarkEnd w:id="58"/>
      <w:bookmarkEnd w:id="61"/>
      <w:bookmarkEnd w:id="62"/>
      <w:bookmarkEnd w:id="63"/>
      <w:bookmarkEnd w:id="64"/>
    </w:p>
    <w:p w14:paraId="49BDF46C">
      <w:pPr>
        <w:adjustRightInd w:val="0"/>
        <w:snapToGrid w:val="0"/>
        <w:spacing w:line="360" w:lineRule="auto"/>
        <w:rPr>
          <w:rFonts w:hint="eastAsia" w:asciiTheme="minorEastAsia" w:hAnsiTheme="minorEastAsia" w:eastAsiaTheme="minorEastAsia"/>
          <w:bCs/>
          <w:sz w:val="24"/>
          <w:szCs w:val="24"/>
        </w:rPr>
      </w:pPr>
    </w:p>
    <w:p w14:paraId="25D342E8">
      <w:pPr>
        <w:adjustRightInd w:val="0"/>
        <w:snapToGrid w:val="0"/>
        <w:spacing w:line="360" w:lineRule="auto"/>
        <w:ind w:firstLine="480" w:firstLineChars="200"/>
        <w:rPr>
          <w:rFonts w:hint="eastAsia" w:asciiTheme="minorEastAsia" w:hAnsiTheme="minorEastAsia" w:eastAsiaTheme="minorEastAsia"/>
          <w:color w:val="0D0D0D" w:themeColor="text1" w:themeTint="F2"/>
          <w:spacing w:val="8"/>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在本基金合同中，除非文意另有所指，下列词语或简称具有如下含义：</w:t>
      </w:r>
    </w:p>
    <w:p w14:paraId="2E901D63">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基金或本基金：指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博时中证细分化工产业主题交易型开放式指数证券投资基金</w:t>
      </w:r>
    </w:p>
    <w:p w14:paraId="69C85EC8">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博时基金管理有限公司</w:t>
      </w:r>
    </w:p>
    <w:p w14:paraId="077BC1ED">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北京银行股份有限公司</w:t>
      </w:r>
    </w:p>
    <w:p w14:paraId="2BF578A7">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基金合同或本基金合同：指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《博时中证细分化工产业主题交易型开放式指数证券投资基金基金合同》</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及对本基金合同的任何有效修订和补充</w:t>
      </w:r>
    </w:p>
    <w:p w14:paraId="5E83F1D5">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托管协议：指基金管理人与基金托管人就本基金签订之</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《博时中证细分化工产业主题交易型开放式指数证券投资基金托管协议》</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及对该托管协议的任何有效修订和补充</w:t>
      </w:r>
    </w:p>
    <w:p w14:paraId="5E40FB3F">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招募说明书：指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《博时中证细分化工产业主题交易型开放式指数证券投资基金招募说明书》</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及其更新</w:t>
      </w:r>
    </w:p>
    <w:p w14:paraId="643B3C48">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基金产品资料概要：指《博时中证细分化工产业主题交易型开放式指数证券投资基金基金产品资料概要》及其更新</w:t>
      </w:r>
    </w:p>
    <w:p w14:paraId="69BD8B34">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基金份额发售公告：指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《博时中证细分化工产业主题交易型开放式指数证券投资基金基金份额发售公告》</w:t>
      </w:r>
    </w:p>
    <w:p w14:paraId="54358E02">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上市交易公告书：指《博时中证细分化工产业主题交易型开放式指数证券投资基金上市交易公告书》</w:t>
      </w:r>
    </w:p>
    <w:p w14:paraId="64BB6C99">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法律法规：指中国现行有效并公布实施的法律、行政法规、规范性文件、司法解释、行政规章以及其他对基金合同当事人有约束力的决定、决议、通知等</w:t>
      </w:r>
    </w:p>
    <w:p w14:paraId="430C9868">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《基金法》：</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指</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2003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年</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月</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日经第十届全国人民代表大会常务委员会第五次会议通过，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经</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2012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年</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月</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日第十一届全国人民代表大会常务委员会第三十次会议修订，自</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2013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年</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月</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日起实施</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，并经</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2015</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年</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4</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月</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24</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日第十二届全国人民代表大会常务委员会第十四次会议《全国人民代表大会常务委员会关于修改</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&lt;</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中华人民共和国港口法</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&gt;</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等七部法律的决定》修正</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的《中华人民共和国证券投资基金法》及颁布机关对其不时做出的修订</w:t>
      </w:r>
    </w:p>
    <w:p w14:paraId="4EEBA2FA">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《销售办法》：指中国证监会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20年8月28日颁布、同年10月</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日实施的《公开募集证券投资基金销售机构监督管理办法》及颁布机关对其不时做出的修订</w:t>
      </w:r>
    </w:p>
    <w:p w14:paraId="546E4A51">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《信息披露办法》：指中国证监会</w:t>
      </w:r>
      <w:r>
        <w:rPr>
          <w:rFonts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2019年7月26日颁布、同年9月1日</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实施，并经2020年3月20日中国证监会《关于修改部分证券期货规章的决定》修改的《</w:t>
      </w:r>
      <w:r>
        <w:rPr>
          <w:rFonts w:hint="eastAsia"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公开募集</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证券投资基金信息披露管理办法》及颁布机关对其不时做出的修订</w:t>
      </w:r>
    </w:p>
    <w:p w14:paraId="2A41170C">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《运作办法》：指中国证监会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2014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年</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月</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日颁布、同年</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月</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日实施的《公开募集证券投资基金运作管理办法》及颁布机关对其不时做出的修订</w:t>
      </w:r>
    </w:p>
    <w:p w14:paraId="1A26D2AE">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《流动性风险管理规定》：指中国证监会</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2017</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年</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8</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月</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31</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日颁布、同年</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10</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月</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日实施的《公开募集开放式证券投资基金流动性风险管理规定》及颁布机关对其不时做出的修订</w:t>
      </w:r>
    </w:p>
    <w:p w14:paraId="2C3446C2">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《指数基金指引》：指中国证监会2021年</w:t>
      </w:r>
      <w:r>
        <w:rPr>
          <w:rFonts w:ascii="宋体" w:hAnsi="宋体"/>
          <w:color w:val="0D0D0D" w:themeColor="text1" w:themeTint="F2"/>
          <w:kern w:val="0"/>
          <w:sz w:val="24"/>
          <w:szCs w:val="24"/>
          <w14:textFill>
            <w14:solidFill>
              <w14:schemeClr w14:val="tx1">
                <w14:lumMod w14:val="95000"/>
                <w14:lumOff w14:val="5000"/>
              </w14:schemeClr>
            </w14:solidFill>
          </w14:textFill>
        </w:rPr>
        <w:t>1月22日</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颁布、同年2月1日实施的《公开募集证券投资基金运作指引第3号——指数基金指引》及颁布机关对其不时做出的修订</w:t>
      </w:r>
    </w:p>
    <w:p w14:paraId="3BCF5F6F">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业务规则：指深圳证券交易所、登记机构等相关机构发布的其他相关规则及其不时做出的修订</w:t>
      </w:r>
    </w:p>
    <w:p w14:paraId="3E25BDDB">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中国证监会：指中国证券监督管理委员会</w:t>
      </w:r>
    </w:p>
    <w:p w14:paraId="7F50355E">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银行</w:t>
      </w:r>
      <w:r>
        <w:rPr>
          <w:rFonts w:hint="eastAsia"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业监督管理机构：指中国人民银行和/或国家金融监督管理总局</w:t>
      </w:r>
    </w:p>
    <w:p w14:paraId="74A9BE14">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基金合同当事人：指受基金合同约束，根据基金合同享有权利并承担义务的法律主体，包括基金管理人、基金托管人和基金份额持有人</w:t>
      </w:r>
    </w:p>
    <w:p w14:paraId="439D3128">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个人投资者：指依据有关法律法规规定可投资于证券投资基金的自然人</w:t>
      </w:r>
    </w:p>
    <w:p w14:paraId="3E2BEE93">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机构投资者：指依法可以投资证券投资基金的、在中华人民共和国境内合法登记并存续或经有关政府部门批准设立并存续的企业法人、事业法人、社会团体或其他组织</w:t>
      </w:r>
    </w:p>
    <w:p w14:paraId="410E7810">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7A7874F0">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投资人、投资者：指个人投资者、机构投资者、合格境外投资者以及法律法规或中国证监会允许购买证券投资基金的其他投资人的合称</w:t>
      </w:r>
    </w:p>
    <w:p w14:paraId="74A50A53">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基金份额持有人：指依基金合同和招募说明书合法取得基金份额的投资人</w:t>
      </w:r>
    </w:p>
    <w:p w14:paraId="42D07C5A">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发售代理机构</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符合《销售办法》和中国证监会规定的其他条件，由</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指定的代理本基金发售业务的</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机构</w:t>
      </w:r>
    </w:p>
    <w:p w14:paraId="6011ADBE">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申购、赎回代理券商：指</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管理人指定的，在</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合同生效后代理</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办理</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本</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基金申购、赎回业务</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的证券公司，又称为代办证券公司</w:t>
      </w:r>
    </w:p>
    <w:p w14:paraId="7C2E49BF">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直销</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机构：指</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博时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管理有限公司</w:t>
      </w:r>
    </w:p>
    <w:p w14:paraId="47507E6D">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代销机构：指符合《销售办法》和中国证监会规定的其他条件，取得基金销售业务资格并与基金管理人签订了基金销售服务协议，办理基金销售业务的机构，包括发售代理机构和申购、赎回代理券商（即代办证券公司）</w:t>
      </w:r>
    </w:p>
    <w:p w14:paraId="6077723F">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销售机构：指直销机构与代销机构</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 xml:space="preserve"> </w:t>
      </w:r>
    </w:p>
    <w:p w14:paraId="554156A1">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登记机构：指办理登记业务的机构。本基金的登记机构为中国证券登记结算有限责任公司</w:t>
      </w:r>
    </w:p>
    <w:p w14:paraId="74A5A26F">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登记</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业务：指《中国证券登记结算有限责任公司关于交易所交易型开放式证券投资基金登记结算业务实施细则》及其不时修订以及相关业务规则所定义的基金份额的登记、存管、结算及</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相关</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业务</w:t>
      </w:r>
    </w:p>
    <w:p w14:paraId="0214F8B9">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深圳证券账户：指深圳证券交易所人民币普通股票账户（即A股账户）或深圳证券交易所基金账户</w:t>
      </w:r>
    </w:p>
    <w:p w14:paraId="78859436">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基金合同生效日：指基金募集达到法律法规规定及基金合同规定的条件，基金管理人向中国证监会办理基金备案手续完毕，并获得中国证监会书面确认的日期</w:t>
      </w:r>
    </w:p>
    <w:p w14:paraId="30236042">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基金合同终止日：指基金合同规定的基金合同终止事由出现后，基金财产清算完毕，清算结果报中国证监会备案并予以公告的日期</w:t>
      </w:r>
    </w:p>
    <w:p w14:paraId="0454EC30">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基金募集期：指自基金份额发售之日起至发售结束之日止的期间，最长不得超过</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个月</w:t>
      </w:r>
    </w:p>
    <w:p w14:paraId="2894ACAE">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存续期：指基金合同生效至终止之间的不定期期限</w:t>
      </w:r>
    </w:p>
    <w:p w14:paraId="573C77AA">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工作日：指上海证券交易所、深圳证券交易所的正常交易日</w:t>
      </w:r>
    </w:p>
    <w:p w14:paraId="07D91A05">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日：指销售机构在规定时间受理投资人申购、赎回或其他业务申请的开放日</w:t>
      </w:r>
    </w:p>
    <w:p w14:paraId="1E9AA594">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T+n</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日：指自</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日起第</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n</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个工作日</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不包含</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w:t>
      </w:r>
    </w:p>
    <w:p w14:paraId="55B022E2">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开放日：指为投资人办理基金份额申购、赎回或其他业务的工作日</w:t>
      </w:r>
    </w:p>
    <w:p w14:paraId="5BBD8CB9">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开放时间：指开放日基金接受申购、赎回或其他交易的时间段</w:t>
      </w:r>
    </w:p>
    <w:p w14:paraId="5693CDAE">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认购：指在基金募集期内，投资人</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根据基金合同和招募说明书的规定</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申请购买基金份额的行为</w:t>
      </w:r>
    </w:p>
    <w:p w14:paraId="1E0080FB">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申购：指基金合同生效后，投资人根据基金合同和招募说明书的规定，以申购赎回清单规定的申购对价申请购买基金份额的行为</w:t>
      </w:r>
    </w:p>
    <w:p w14:paraId="32621E94">
      <w:pPr>
        <w:numPr>
          <w:ilvl w:val="0"/>
          <w:numId w:val="2"/>
        </w:numPr>
        <w:snapToGrid w:val="0"/>
        <w:spacing w:line="360" w:lineRule="auto"/>
        <w:ind w:left="0" w:firstLine="360" w:firstLineChars="15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赎回：指基金合同生效后，基金份额持有人按基金合同和招募说明书规定的条件要</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求将本</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基金份额兑换为申购赎回清单规定的赎回对价的行为</w:t>
      </w:r>
    </w:p>
    <w:p w14:paraId="2326F83F">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 xml:space="preserve">申购赎回清单：指由基金管理人编制的用以公告申购对价、赎回对价等信息的文件 </w:t>
      </w:r>
    </w:p>
    <w:p w14:paraId="60B86CEC">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申购对价：指投资人申购基金份额时，按基金合同和招募说明书规定应交付的组合证券、现金替代、现金差额和/或其他对价</w:t>
      </w:r>
    </w:p>
    <w:p w14:paraId="6424DC73">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赎回对价：指投资人赎回</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时，基金</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管理</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人按基金合同和招募说明书规定应交付给赎回人的组合证券、现金替代、现金差额和/或其他对价</w:t>
      </w:r>
    </w:p>
    <w:p w14:paraId="3CA59404">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组合证券：指本基金标的指数所包含的全部或部分证券</w:t>
      </w:r>
    </w:p>
    <w:p w14:paraId="11A6513D">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标的指数：指中证指数有限公司编制并发布的中证细分化工产业主题指数及其未来可能发生的变更</w:t>
      </w:r>
    </w:p>
    <w:p w14:paraId="1558919E">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现金替代：指申购、赎回过程中，投资人按基金合同和招募说明书的规定，用于替代组合证券中部分证券的一定数量的现金</w:t>
      </w:r>
    </w:p>
    <w:p w14:paraId="5C52439B">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 xml:space="preserve">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3193663B">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14:paraId="77D3D575">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最小申购、赎回单位：指本基金申购、赎回份额的最低数量，投资人申购、赎回的基金份额应为最小申购、赎回单位的整数倍</w:t>
      </w:r>
    </w:p>
    <w:p w14:paraId="4D590966">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基金份额参考净值：指基金管理人或基金管理人委托其他机构在相关证券交易所交易时间内根据申购赎回清单和组合证券内各只证券的实时成交数据计算并发布的基金份额参考净值，简称IOPV</w:t>
      </w:r>
    </w:p>
    <w:p w14:paraId="3427F67C">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预估现金差额：指为便于计算基金份额参考净值及申购、赎回代理券商预先冻结申请申购、赎回的投资人的相应资金，由基金管理人计算并公布的现金差额的预估值</w:t>
      </w:r>
    </w:p>
    <w:p w14:paraId="5063C130">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元：指人民币元</w:t>
      </w:r>
    </w:p>
    <w:p w14:paraId="3AD7D5C7">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收益：</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指基金投资所得红利、股息、债券利息、买卖证券价差、银行存款利息、已实现的其他合法收入及因运用基金财产带来的成本和费用的节约</w:t>
      </w:r>
    </w:p>
    <w:p w14:paraId="12CE0404">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基金份额折算：指基金管理人根据基金合同规定将投资人的基金份额进行变更登记的行为</w:t>
      </w:r>
    </w:p>
    <w:p w14:paraId="05708902">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收益评价日：指基金管理人计算本基金份额净值增长率与标的指数同期增长率差额之日</w:t>
      </w:r>
    </w:p>
    <w:p w14:paraId="3CC7ECDB">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份额净值增长率：指收益评价日基金份额净值与基金上市前一交易日基金份额净值之比减去1乘以100%（期间发生基金份额折算、拆分或合并，则以基金份额折算日、经拆分或合并调整后的基金份额折算日为初始日重新计算）</w:t>
      </w:r>
    </w:p>
    <w:p w14:paraId="34E34AD3">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标的指数同期增长率：指收益评价日标的指数收盘价与基金上市前一交易日标的指数收盘价之比减去</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1</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乘以</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100%</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（期间发生基金份额折算、拆分或合并，则以基金份额折算日、经拆分或合并调整后的基金份额折算日为初始日重新计算）</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 xml:space="preserve"> </w:t>
      </w:r>
    </w:p>
    <w:p w14:paraId="50C1D09F">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基金资产总值：指基金拥有的各类有价证券、银行存款本息、基金应收款项及其他资产的价值总和</w:t>
      </w:r>
    </w:p>
    <w:p w14:paraId="601CCE8C">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基金资产净值：指基金资产总值减去基金负债后的价值</w:t>
      </w:r>
    </w:p>
    <w:p w14:paraId="023B01E4">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基金份额净值：指计算日基金资产净值除以计算日基金份额总数</w:t>
      </w:r>
    </w:p>
    <w:p w14:paraId="027E5D5E">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基金资产估值：指计算评估基金资产和负债的价值，以确定基金资产净值和基金份额净值的过程</w:t>
      </w:r>
    </w:p>
    <w:p w14:paraId="0F1BDA7B">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规定媒介：指符合中国证监会规定条件的用以进行信息披露的全国性</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报刊</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及《信息披露办法》规定的</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互联网网站</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（包括基金管理人网站、基金托管人网站、中国证监会基金电子披露网站）等媒介</w:t>
      </w:r>
    </w:p>
    <w:p w14:paraId="4B01B29A">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bookmarkStart w:id="65" w:name="_Toc5246"/>
      <w:bookmarkStart w:id="66" w:name="_Toc545"/>
      <w:bookmarkStart w:id="67" w:name="_Toc733"/>
      <w:bookmarkStart w:id="68" w:name="_Toc20318"/>
      <w:bookmarkStart w:id="69" w:name="_Toc6149"/>
      <w:bookmarkStart w:id="70" w:name="_Toc6683"/>
      <w:bookmarkStart w:id="71" w:name="_Toc18631"/>
      <w:bookmarkStart w:id="72" w:name="_Toc13288"/>
      <w:bookmarkStart w:id="73" w:name="_Toc20627"/>
      <w:bookmarkStart w:id="74" w:name="_Toc24571"/>
      <w:bookmarkStart w:id="75" w:name="_Toc22708"/>
      <w:bookmarkStart w:id="76" w:name="_Toc233456272"/>
      <w:bookmarkStart w:id="77" w:name="_Toc258829400"/>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ETF：指《深圳证券交易所证券投资基金交易和申购赎回实施细则》定义的“交易型开放式基金”</w:t>
      </w:r>
    </w:p>
    <w:p w14:paraId="18E76592">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联接基金：指将绝大部分基金财产投资于跟踪同一标的指数的基金（即目标</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ETF</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），紧密跟踪标的指数表现，追求跟踪偏离度和跟踪误差最小化，获得与指数收益相似的回报，采用开放式运作方式的基金</w:t>
      </w:r>
    </w:p>
    <w:p w14:paraId="23258CCC">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流动性受限资产：指由于法律法规、监管、合同或操作障碍等原因无法以合理价格予以变现的资产，包括但不限于到期日在</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10</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个交易日以上的逆回购与银行定期存款（含协议约定有条件提前支取的银行存款）、停牌股票、流通受限的新股及非公开发行股票、资产支持证券、因发行人债务违约无法进行转让或交易的债券等</w:t>
      </w:r>
    </w:p>
    <w:p w14:paraId="1BB89CC6">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0CD35F2A">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特定投资者：指《中国证券登记结算有限责任公司深圳分公司交易型开放式基金登记结算业务指南》规定的不通过代办证券公司经纪交易单元，而通过基金管理人直销申报跨市场股票</w:t>
      </w:r>
      <w:r>
        <w:rPr>
          <w:rFonts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ETF</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场外组合证券申购赎回申请的保险产品、全国社保基金、证券投资基金、证券集合资产管理计划等特殊机构及产品投资者</w:t>
      </w:r>
    </w:p>
    <w:p w14:paraId="73C32922">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中国法律：指中华人民共和国法律，就本基金合同而言，不包括香港特别行政区、澳门特别行政区法律和台湾地区的有关规定</w:t>
      </w:r>
    </w:p>
    <w:p w14:paraId="5E17325D">
      <w:pPr>
        <w:numPr>
          <w:ilvl w:val="0"/>
          <w:numId w:val="2"/>
        </w:numPr>
        <w:snapToGrid w:val="0"/>
        <w:spacing w:line="360" w:lineRule="auto"/>
        <w:ind w:left="0" w:firstLine="360" w:firstLineChars="150"/>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不可抗力：指本基金合同当事人不能预见、不能避免且不能克服的客观事件</w:t>
      </w:r>
    </w:p>
    <w:p w14:paraId="4BB0A6AA">
      <w:pPr>
        <w:pStyle w:val="2"/>
        <w:rPr>
          <w:rFonts w:hint="eastAsia"/>
          <w:szCs w:val="24"/>
        </w:rPr>
        <w:sectPr>
          <w:footerReference r:id="rId10" w:type="default"/>
          <w:pgSz w:w="11906" w:h="16838"/>
          <w:pgMar w:top="1440" w:right="1800" w:bottom="1440" w:left="1800" w:header="851" w:footer="992" w:gutter="0"/>
          <w:pgNumType w:start="1"/>
          <w:cols w:space="425" w:num="1"/>
          <w:docGrid w:type="lines" w:linePitch="312" w:charSpace="0"/>
        </w:sectPr>
      </w:pPr>
      <w:bookmarkStart w:id="78" w:name="_Toc90742320"/>
      <w:bookmarkStart w:id="79" w:name="_Toc90742687"/>
      <w:bookmarkStart w:id="80" w:name="_Toc90742389"/>
    </w:p>
    <w:bookmarkEnd w:id="60"/>
    <w:p w14:paraId="328A752B">
      <w:pPr>
        <w:pStyle w:val="2"/>
        <w:rPr>
          <w:rFonts w:hint="eastAsia"/>
          <w:szCs w:val="24"/>
        </w:rPr>
      </w:pPr>
      <w:bookmarkStart w:id="81" w:name="CLAUSE_947a99ec03914ad29283f168953a9d59"/>
      <w:r>
        <w:rPr>
          <w:szCs w:val="24"/>
        </w:rPr>
        <w:t xml:space="preserve"> </w:t>
      </w:r>
      <w:bookmarkStart w:id="82" w:name="CTS_947a99ec03914ad29283f168953a9d59"/>
      <w:bookmarkEnd w:id="82"/>
      <w:bookmarkStart w:id="83" w:name="_Toc86655077"/>
      <w:r>
        <w:rPr>
          <w:rFonts w:hint="eastAsia"/>
          <w:szCs w:val="24"/>
        </w:rPr>
        <w:t xml:space="preserve">第三部分 </w:t>
      </w:r>
      <w:r>
        <w:rPr>
          <w:szCs w:val="24"/>
        </w:rPr>
        <w:t>基金的基本情况</w:t>
      </w:r>
      <w:bookmarkEnd w:id="65"/>
      <w:bookmarkEnd w:id="66"/>
      <w:bookmarkEnd w:id="67"/>
      <w:bookmarkEnd w:id="68"/>
      <w:bookmarkEnd w:id="69"/>
      <w:bookmarkEnd w:id="70"/>
      <w:bookmarkEnd w:id="71"/>
      <w:bookmarkEnd w:id="72"/>
      <w:bookmarkEnd w:id="73"/>
      <w:bookmarkEnd w:id="74"/>
      <w:bookmarkEnd w:id="75"/>
      <w:bookmarkEnd w:id="78"/>
      <w:bookmarkEnd w:id="79"/>
      <w:bookmarkEnd w:id="80"/>
      <w:bookmarkEnd w:id="83"/>
      <w:bookmarkStart w:id="84" w:name="_Toc79392573"/>
    </w:p>
    <w:p w14:paraId="527A6A8B">
      <w:pPr>
        <w:adjustRightInd w:val="0"/>
        <w:snapToGrid w:val="0"/>
        <w:spacing w:line="360" w:lineRule="auto"/>
        <w:rPr>
          <w:rFonts w:hint="eastAsia" w:asciiTheme="minorEastAsia" w:hAnsiTheme="minorEastAsia" w:eastAsiaTheme="minorEastAsia"/>
          <w:bCs/>
          <w:sz w:val="24"/>
          <w:szCs w:val="24"/>
        </w:rPr>
      </w:pPr>
      <w:bookmarkStart w:id="85" w:name="_Hlt88031774"/>
      <w:bookmarkEnd w:id="85"/>
    </w:p>
    <w:p w14:paraId="01B6C0C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一、基金名称</w:t>
      </w:r>
      <w:bookmarkEnd w:id="84"/>
    </w:p>
    <w:p w14:paraId="4A8EDB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博时中证细分化工产业主题交易型开放式指数证券投资基金</w:t>
      </w:r>
    </w:p>
    <w:p w14:paraId="6A1938C0">
      <w:pPr>
        <w:adjustRightInd w:val="0"/>
        <w:snapToGrid w:val="0"/>
        <w:spacing w:line="360" w:lineRule="auto"/>
        <w:rPr>
          <w:rFonts w:hint="eastAsia" w:asciiTheme="minorEastAsia" w:hAnsiTheme="minorEastAsia" w:eastAsiaTheme="minorEastAsia"/>
          <w:bCs/>
          <w:sz w:val="24"/>
          <w:szCs w:val="24"/>
        </w:rPr>
      </w:pPr>
      <w:bookmarkStart w:id="86" w:name="_Toc79392574"/>
    </w:p>
    <w:p w14:paraId="1288371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二、基金的类别</w:t>
      </w:r>
      <w:bookmarkEnd w:id="86"/>
    </w:p>
    <w:p w14:paraId="4E2BD18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股票型指数基金</w:t>
      </w:r>
    </w:p>
    <w:p w14:paraId="2D768820">
      <w:pPr>
        <w:adjustRightInd w:val="0"/>
        <w:snapToGrid w:val="0"/>
        <w:spacing w:line="360" w:lineRule="auto"/>
        <w:rPr>
          <w:rFonts w:hint="eastAsia" w:asciiTheme="minorEastAsia" w:hAnsiTheme="minorEastAsia" w:eastAsiaTheme="minorEastAsia"/>
          <w:bCs/>
          <w:sz w:val="24"/>
          <w:szCs w:val="24"/>
        </w:rPr>
      </w:pPr>
      <w:bookmarkStart w:id="87" w:name="_Toc79392575"/>
    </w:p>
    <w:p w14:paraId="35D7A82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三、基金的运作方式</w:t>
      </w:r>
    </w:p>
    <w:p w14:paraId="225DB22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交易型</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开放式</w:t>
      </w:r>
    </w:p>
    <w:p w14:paraId="6B368E77">
      <w:pPr>
        <w:adjustRightInd w:val="0"/>
        <w:snapToGrid w:val="0"/>
        <w:spacing w:line="360" w:lineRule="auto"/>
        <w:rPr>
          <w:rFonts w:hint="eastAsia" w:asciiTheme="minorEastAsia" w:hAnsiTheme="minorEastAsia" w:eastAsiaTheme="minorEastAsia"/>
          <w:bCs/>
          <w:sz w:val="24"/>
          <w:szCs w:val="24"/>
        </w:rPr>
      </w:pPr>
    </w:p>
    <w:p w14:paraId="64C8E44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四、基金的投资目标</w:t>
      </w:r>
      <w:bookmarkEnd w:id="87"/>
    </w:p>
    <w:p w14:paraId="0AE46FF7">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紧密跟踪标的指数，追求跟踪偏离度和跟踪误差的最小化</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7E182329">
      <w:pPr>
        <w:adjustRightInd w:val="0"/>
        <w:snapToGrid w:val="0"/>
        <w:spacing w:line="360" w:lineRule="auto"/>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3BAD4C2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五、基金</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标</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的</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指数</w:t>
      </w:r>
    </w:p>
    <w:p w14:paraId="7A6AFAB6">
      <w:pPr>
        <w:adjustRightInd w:val="0"/>
        <w:snapToGrid w:val="0"/>
        <w:spacing w:line="360" w:lineRule="auto"/>
        <w:ind w:firstLine="480" w:firstLineChars="200"/>
        <w:rPr>
          <w:rFonts w:hint="eastAsia" w:cs="Arial"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中证细分化工产业主题指数</w:t>
      </w:r>
    </w:p>
    <w:p w14:paraId="550A1E51">
      <w:pPr>
        <w:snapToGrid w:val="0"/>
        <w:spacing w:line="360" w:lineRule="auto"/>
        <w:rPr>
          <w:rFonts w:hint="eastAsia" w:asciiTheme="minorEastAsia" w:hAnsiTheme="minorEastAsia" w:eastAsiaTheme="minorEastAsia"/>
          <w:sz w:val="24"/>
          <w:szCs w:val="24"/>
        </w:rPr>
      </w:pPr>
      <w:bookmarkStart w:id="88" w:name="_Toc79392577"/>
    </w:p>
    <w:p w14:paraId="45B1E71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六、基金的最低募集份额总额</w:t>
      </w:r>
    </w:p>
    <w:p w14:paraId="74E2270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本基金的最低募集份额总额为2亿份。</w:t>
      </w:r>
    </w:p>
    <w:p w14:paraId="722B616B">
      <w:pPr>
        <w:snapToGrid w:val="0"/>
        <w:spacing w:line="360" w:lineRule="auto"/>
        <w:rPr>
          <w:rFonts w:hint="eastAsia" w:asciiTheme="minorEastAsia" w:hAnsiTheme="minorEastAsia" w:eastAsiaTheme="minorEastAsia"/>
          <w:bCs/>
          <w:sz w:val="24"/>
          <w:szCs w:val="24"/>
        </w:rPr>
      </w:pPr>
    </w:p>
    <w:p w14:paraId="192A03C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七、基金份额发售面值和认购费用</w:t>
      </w:r>
    </w:p>
    <w:p w14:paraId="08BAB7F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本基金基金份额发售面值为人民币</w:t>
      </w:r>
      <w:r>
        <w:rPr>
          <w:rFonts w:asciiTheme="minorEastAsia" w:hAnsiTheme="minorEastAsia" w:eastAsiaTheme="minorEastAsia"/>
          <w:sz w:val="24"/>
          <w:szCs w:val="24"/>
        </w:rPr>
        <w:t>1.00</w:t>
      </w:r>
      <w:r>
        <w:rPr>
          <w:rFonts w:hint="eastAsia" w:asciiTheme="minorEastAsia" w:hAnsiTheme="minorEastAsia" w:eastAsiaTheme="minorEastAsia"/>
          <w:sz w:val="24"/>
          <w:szCs w:val="24"/>
        </w:rPr>
        <w:t>元。</w:t>
      </w:r>
    </w:p>
    <w:p w14:paraId="3D19AD1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本基金具体认购费率按招募说明书及基金产品资料概要的规定执行。</w:t>
      </w:r>
    </w:p>
    <w:p w14:paraId="6555C0D3">
      <w:pPr>
        <w:adjustRightInd w:val="0"/>
        <w:snapToGrid w:val="0"/>
        <w:spacing w:line="360" w:lineRule="auto"/>
        <w:rPr>
          <w:rFonts w:hint="eastAsia" w:asciiTheme="minorEastAsia" w:hAnsiTheme="minorEastAsia" w:eastAsiaTheme="minorEastAsia"/>
          <w:bCs/>
          <w:sz w:val="24"/>
          <w:szCs w:val="24"/>
        </w:rPr>
      </w:pPr>
    </w:p>
    <w:p w14:paraId="0AB271E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八</w:t>
      </w:r>
      <w:bookmarkEnd w:id="88"/>
      <w:bookmarkStart w:id="89" w:name="_Toc79392578"/>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、基金存续期限</w:t>
      </w:r>
      <w:bookmarkEnd w:id="89"/>
    </w:p>
    <w:p w14:paraId="02C00F3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不定期</w:t>
      </w:r>
    </w:p>
    <w:p w14:paraId="131A535F">
      <w:pPr>
        <w:adjustRightInd w:val="0"/>
        <w:snapToGrid w:val="0"/>
        <w:spacing w:line="360" w:lineRule="auto"/>
        <w:rPr>
          <w:rFonts w:hint="eastAsia" w:asciiTheme="minorEastAsia" w:hAnsiTheme="minorEastAsia" w:eastAsiaTheme="minorEastAsia"/>
          <w:bCs/>
          <w:sz w:val="24"/>
          <w:szCs w:val="24"/>
        </w:rPr>
      </w:pPr>
    </w:p>
    <w:p w14:paraId="71677FAF">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九、发行联接基金或增设新的份额类别等相关业务</w:t>
      </w:r>
    </w:p>
    <w:p w14:paraId="335D0C86">
      <w:pPr>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90" w:name="_Toc90742322"/>
      <w:bookmarkStart w:id="91" w:name="_Toc90742391"/>
      <w:bookmarkStart w:id="92" w:name="_Toc90742689"/>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不违反法律法规及对基金份额持有人利益无实质性不利影响的前提下，基金管理人可根据基金发展需要，经与基金托管人协商一致并履行相关程序后，为本基金募集并管理以本基金为目标ETF的联接基金，或增设新的基金份额类别，</w:t>
      </w:r>
      <w:r>
        <w:rPr>
          <w:rFonts w:hint="eastAsia" w:cs="Arial" w:asciiTheme="minorEastAsia" w:hAnsiTheme="minorEastAsia" w:eastAsiaTheme="minorEastAsia"/>
          <w:bCs/>
          <w:color w:val="0D0D0D" w:themeColor="text1" w:themeTint="F2"/>
          <w:sz w:val="24"/>
          <w:szCs w:val="24"/>
          <w14:textFill>
            <w14:solidFill>
              <w14:schemeClr w14:val="tx1">
                <w14:lumMod w14:val="95000"/>
                <w14:lumOff w14:val="5000"/>
              </w14:schemeClr>
            </w14:solidFill>
          </w14:textFill>
        </w:rPr>
        <w:t>或开通场外申购、赎回等相关业务并制定、公布相应的交易规则等，</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无</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需</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召开基金份额持有人大会审议。</w:t>
      </w:r>
    </w:p>
    <w:p w14:paraId="66CA38A6">
      <w:pPr>
        <w:spacing w:line="360" w:lineRule="auto"/>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315897DB">
      <w:pPr>
        <w:sectPr>
          <w:footerReference r:id="rId11" w:type="default"/>
          <w:pgSz w:w="11906" w:h="16838"/>
          <w:pgMar w:top="1440" w:right="1800" w:bottom="1440" w:left="1800" w:header="851" w:footer="992" w:gutter="0"/>
          <w:pgNumType w:start="1"/>
          <w:cols w:space="425" w:num="1"/>
          <w:docGrid w:type="lines" w:linePitch="312" w:charSpace="0"/>
        </w:sectPr>
      </w:pPr>
    </w:p>
    <w:bookmarkEnd w:id="81"/>
    <w:p w14:paraId="5122AED2">
      <w:pPr>
        <w:pStyle w:val="2"/>
        <w:rPr>
          <w:rFonts w:hint="eastAsia"/>
          <w:szCs w:val="24"/>
        </w:rPr>
      </w:pPr>
      <w:bookmarkStart w:id="93" w:name="CLAUSE_411678b0fc2f4e7e85ab796e80ab1926"/>
      <w:r>
        <w:rPr>
          <w:szCs w:val="24"/>
        </w:rPr>
        <w:t xml:space="preserve"> </w:t>
      </w:r>
      <w:bookmarkStart w:id="94" w:name="CTS_411678b0fc2f4e7e85ab796e80ab1926"/>
      <w:bookmarkEnd w:id="94"/>
      <w:bookmarkStart w:id="95" w:name="_Toc86655078"/>
      <w:r>
        <w:rPr>
          <w:rFonts w:hint="eastAsia"/>
          <w:szCs w:val="24"/>
        </w:rPr>
        <w:t xml:space="preserve">第四部分 </w:t>
      </w:r>
      <w:r>
        <w:rPr>
          <w:szCs w:val="24"/>
        </w:rPr>
        <w:t>基金</w:t>
      </w:r>
      <w:bookmarkEnd w:id="90"/>
      <w:bookmarkEnd w:id="91"/>
      <w:bookmarkEnd w:id="92"/>
      <w:r>
        <w:rPr>
          <w:rFonts w:hint="eastAsia"/>
          <w:szCs w:val="24"/>
        </w:rPr>
        <w:t>份额的发售</w:t>
      </w:r>
      <w:bookmarkEnd w:id="95"/>
    </w:p>
    <w:p w14:paraId="177796C6">
      <w:pPr>
        <w:adjustRightInd w:val="0"/>
        <w:snapToGrid w:val="0"/>
        <w:spacing w:line="360" w:lineRule="auto"/>
        <w:rPr>
          <w:rFonts w:hint="eastAsia" w:asciiTheme="minorEastAsia" w:hAnsiTheme="minorEastAsia" w:eastAsiaTheme="minorEastAsia"/>
          <w:bCs/>
          <w:kern w:val="44"/>
          <w:sz w:val="24"/>
          <w:szCs w:val="24"/>
        </w:rPr>
      </w:pPr>
    </w:p>
    <w:p w14:paraId="07767FD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一、基金份额的发售时间、发售方式、发售对象</w:t>
      </w:r>
    </w:p>
    <w:p w14:paraId="0E40FDE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、发售时间</w:t>
      </w:r>
    </w:p>
    <w:p w14:paraId="1BB473F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自基金份额发售之日起最长不得超过</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个月，具体发售时间见基金份额发售公告。</w:t>
      </w:r>
    </w:p>
    <w:p w14:paraId="186BF5A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、发售方式</w:t>
      </w:r>
    </w:p>
    <w:p w14:paraId="66EA3B3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投资人可选择网上现金认购、网下现金认购和网下股票认购三种方式认购本基金：</w:t>
      </w:r>
    </w:p>
    <w:p w14:paraId="0AE6859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网上现金认购是指投资人通过基金管理人指定的发售代理机构通过深圳证券交易所网上系统以现金进行的认购；</w:t>
      </w:r>
    </w:p>
    <w:p w14:paraId="62E2D8F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网下现金认购是指投资人通过基金管理人及其指定的发售代理机构以现金进行的认购；</w:t>
      </w:r>
    </w:p>
    <w:p w14:paraId="4CE6C9D8">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网下股票认购是指投资人通过基金管理人及其指定的发售代理机构以股票进行的认购。</w:t>
      </w:r>
    </w:p>
    <w:p w14:paraId="52F135B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以及基金管理人网站。</w:t>
      </w:r>
    </w:p>
    <w:p w14:paraId="1CE8261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基金管理人可依据实际情况增减、变更发售代理机构，发售代理机构的具体名单见基金份额发售公告以及基金管理人网站。</w:t>
      </w:r>
    </w:p>
    <w:p w14:paraId="104E919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若证券交易所、中国证券登记结算有限责任公司对发售方式、发售场所有所调整的，本基金将进行相应调整。</w:t>
      </w:r>
    </w:p>
    <w:p w14:paraId="4B3D586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销售机构对认购申请的受理并不代表该申请一定成功，而仅代表销售机构确实接收到认购申请。认购的确认以登记机构的确认结果为准。对于认购申请及认购份额的确认情况，投资者应及时查询并妥善行使合法权利。</w:t>
      </w:r>
    </w:p>
    <w:p w14:paraId="61B1D29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、发售对象</w:t>
      </w:r>
    </w:p>
    <w:p w14:paraId="2277E128">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符合法律法规规定的可投资于证券投资基金的个人投资者、机构投资者、合格境外投资者以及法律法规或中国证监会允许购买证券投资基金的其他投资人。</w:t>
      </w:r>
    </w:p>
    <w:p w14:paraId="565C9BAA">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二、基金份额的认购</w:t>
      </w:r>
    </w:p>
    <w:p w14:paraId="375DEFF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、认购费用</w:t>
      </w:r>
    </w:p>
    <w:p w14:paraId="6E70E50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本基金的认购费率由基金管理人决定，并在招募说明书、基金产品资料概要和基金份额发售公告中列示。基金认购费用不列入基金财产。</w:t>
      </w:r>
    </w:p>
    <w:p w14:paraId="4FC56C3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、募集期资金和股票的处理方式</w:t>
      </w:r>
    </w:p>
    <w:p w14:paraId="0A11480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应将基金募集期间募集的资金存入专门账户，网下股票认购募集的股票按照交易所和登记机构的规则和流程办理股票的冻结与过户，上述资金及网下股票认购募集的股票在基金募集行为结束前任何人不得动用。</w:t>
      </w:r>
    </w:p>
    <w:p w14:paraId="73FFA4E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、募集期利息与募集股票权益的处理方式</w:t>
      </w:r>
    </w:p>
    <w:p w14:paraId="571286E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网下现金认购及网上现金认购的有效认购资金在募集期间产生的利息将折算为基金份额归基金份额持有人所有。投资者的认购股票在股票认购日至登记机构进行股票过户日的冻结期间的权益归投资者所有。</w:t>
      </w:r>
    </w:p>
    <w:p w14:paraId="42FD82B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、基金认购份额的计算</w:t>
      </w:r>
    </w:p>
    <w:p w14:paraId="1EAA735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基金认购份额具体的计算方法在招募说明书中列示。</w:t>
      </w:r>
    </w:p>
    <w:p w14:paraId="0668D08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、基金份额认购的限制</w:t>
      </w:r>
    </w:p>
    <w:p w14:paraId="5834803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基金管理人可以对投资者的认购数额进行限制，具体限制和处理方式请参看招募说明书或相关公告。</w:t>
      </w:r>
    </w:p>
    <w:p w14:paraId="292EA4BB">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三、基金认购的其他具体规定</w:t>
      </w:r>
    </w:p>
    <w:p w14:paraId="1E5C886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投资人认购原则、认购时间安排、投资人认购应提交的文件和办理的手续等事项，由基金管理人根据相关法律法规以及本基金合同的规定，在招募说明书或基金份额发售公告中确定并披露。</w:t>
      </w:r>
      <w:bookmarkStart w:id="96" w:name="_Hlt70495313"/>
      <w:bookmarkEnd w:id="96"/>
    </w:p>
    <w:p w14:paraId="2E2693FA">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四、本基金可设置首次募集规模上限，具体募集上限及规模控制的方案详见基金份额发售公告或其他公告。若本基金设置首次募集规模上限，基金合同生效后不受首次募集规模的限制。</w:t>
      </w:r>
    </w:p>
    <w:p w14:paraId="7415F4A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p>
    <w:bookmarkEnd w:id="93"/>
    <w:p w14:paraId="7DB2BCEE">
      <w:pPr>
        <w:pStyle w:val="2"/>
        <w:rPr>
          <w:rFonts w:hint="eastAsia"/>
          <w:szCs w:val="24"/>
        </w:rPr>
        <w:sectPr>
          <w:footerReference r:id="rId12" w:type="default"/>
          <w:pgSz w:w="11906" w:h="16838"/>
          <w:pgMar w:top="1440" w:right="1800" w:bottom="1440" w:left="1800" w:header="851" w:footer="992" w:gutter="0"/>
          <w:pgNumType w:start="1"/>
          <w:cols w:space="425" w:num="1"/>
          <w:docGrid w:type="lines" w:linePitch="312" w:charSpace="0"/>
        </w:sectPr>
      </w:pPr>
    </w:p>
    <w:p w14:paraId="49F7E5FD">
      <w:pPr>
        <w:pStyle w:val="2"/>
        <w:rPr>
          <w:rFonts w:hint="eastAsia"/>
          <w:szCs w:val="24"/>
        </w:rPr>
      </w:pPr>
      <w:bookmarkStart w:id="97" w:name="CLAUSE_82005793dce748a79111178f94002b78"/>
      <w:r>
        <w:rPr>
          <w:szCs w:val="24"/>
        </w:rPr>
        <w:t xml:space="preserve"> </w:t>
      </w:r>
      <w:bookmarkStart w:id="98" w:name="CTS_82005793dce748a79111178f94002b78"/>
      <w:bookmarkEnd w:id="98"/>
      <w:bookmarkStart w:id="99" w:name="_Toc86655079"/>
      <w:r>
        <w:rPr>
          <w:rFonts w:hint="eastAsia"/>
          <w:szCs w:val="24"/>
        </w:rPr>
        <w:t>第五部分 基金备案</w:t>
      </w:r>
      <w:bookmarkEnd w:id="99"/>
    </w:p>
    <w:p w14:paraId="41EE60A1">
      <w:pPr>
        <w:adjustRightInd w:val="0"/>
        <w:snapToGrid w:val="0"/>
        <w:spacing w:line="360" w:lineRule="auto"/>
        <w:rPr>
          <w:rFonts w:hint="eastAsia" w:asciiTheme="minorEastAsia" w:hAnsiTheme="minorEastAsia" w:eastAsiaTheme="minorEastAsia"/>
          <w:bCs/>
          <w:sz w:val="24"/>
          <w:szCs w:val="24"/>
        </w:rPr>
      </w:pPr>
    </w:p>
    <w:p w14:paraId="0BE878A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一、基金备案的条件</w:t>
      </w:r>
    </w:p>
    <w:p w14:paraId="6014AC1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本基金自基金份额发售之日起</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个月内，在基金募集份额总额不少于</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亿份，基金募集金额（含网下股票认购所募集的股票按基金合同约定的估值方法计算的价值）不少于</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亿元人民币且基金认购人数不少于</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200</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人的条件下，基金募集期届满或基金管理人依据法律法规及招募说明书可以决定停止基金发售，并在</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日内聘请法定验资机构验资，</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自收到验资报告之日起</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日内，向中国证监会办理基金备案手续。</w:t>
      </w:r>
    </w:p>
    <w:p w14:paraId="13AACC2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网下股票认购募集的股票按照交易所和登记机构的规则和流程办理股票的冻结与过户，在基金募集行为结束前任何人不得动用。</w:t>
      </w:r>
    </w:p>
    <w:p w14:paraId="50BAA2A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二、基金合同不能生效时募集资金及股票的处理方式</w:t>
      </w:r>
    </w:p>
    <w:p w14:paraId="3F9386A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如果募集期限届满，未满足基金备案条件，基金管理人应当承担下列责任：</w:t>
      </w:r>
    </w:p>
    <w:p w14:paraId="669F1F1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、以其固有财产承担因募集行为而产生的债务和费用；</w:t>
      </w:r>
    </w:p>
    <w:p w14:paraId="5E29295A">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、在基金募集期限届满后</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30</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日内返还投资者已</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交</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纳的款项，并加计银行同期活期存款利息；已冻结的股票应根据交易所及登记机构相关规则予以解冻，登记机构及发售代理机构将协助基金管理人完成相关资金和股票的退还工作，基金管理人不承担相关股票冻结期间交易价格波动的责任；</w:t>
      </w:r>
    </w:p>
    <w:p w14:paraId="5A52F14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、如基金募集失败，基金管理人、基金托管人及发售代理机构不得请求报酬。基金管理人、基金托管人和发售代理机构为基金募集支付之一切费用应由各方各自承担。</w:t>
      </w:r>
    </w:p>
    <w:p w14:paraId="60CED69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三、基金存续期内的基金份额持有人数量和资产规模</w:t>
      </w:r>
    </w:p>
    <w:p w14:paraId="148437F8">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《基金合同》生效后，连续20个工作日出现基金份额持有人数量不满200人或者基金资产净值低于5000 万元情形的，基金管理人应当在定期报告中予以披露；连续60个工作日出现前述情形的，基金管理人应当在10个工作日内向中国证监会报告并提出解决方案</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，并应及时通知基金托管人</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，如持续运作、转换运作方式、与其他基金合并或者终止基金合同等，并在6个月内召集基金份额持有人大会。</w:t>
      </w:r>
    </w:p>
    <w:p w14:paraId="2DAA288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法律法规或中国证监会另有规定时，从其规定。</w:t>
      </w:r>
    </w:p>
    <w:p w14:paraId="3729DB7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p>
    <w:bookmarkEnd w:id="97"/>
    <w:p w14:paraId="0EF9DE8F">
      <w:pPr>
        <w:snapToGrid w:val="0"/>
        <w:spacing w:line="360" w:lineRule="auto"/>
        <w:ind w:firstLine="482" w:firstLineChars="200"/>
        <w:rPr>
          <w:rFonts w:hint="eastAsia" w:asciiTheme="minorEastAsia" w:hAnsiTheme="minorEastAsia" w:eastAsiaTheme="minorEastAsia"/>
          <w:b/>
          <w:sz w:val="24"/>
          <w:szCs w:val="24"/>
        </w:rPr>
        <w:sectPr>
          <w:footerReference r:id="rId13" w:type="default"/>
          <w:pgSz w:w="11906" w:h="16838"/>
          <w:pgMar w:top="1440" w:right="1800" w:bottom="1440" w:left="1800" w:header="851" w:footer="992" w:gutter="0"/>
          <w:pgNumType w:start="1"/>
          <w:cols w:space="425" w:num="1"/>
          <w:docGrid w:type="lines" w:linePitch="312" w:charSpace="0"/>
        </w:sectPr>
      </w:pPr>
    </w:p>
    <w:p w14:paraId="1B7A6597">
      <w:pPr>
        <w:pStyle w:val="2"/>
        <w:rPr>
          <w:rFonts w:hint="eastAsia"/>
          <w:szCs w:val="24"/>
        </w:rPr>
      </w:pPr>
      <w:bookmarkStart w:id="100" w:name="CLAUSE_f8a2c7ea9115405eb5690619f2e812cd"/>
      <w:r>
        <w:rPr>
          <w:szCs w:val="24"/>
        </w:rPr>
        <w:t xml:space="preserve"> </w:t>
      </w:r>
      <w:bookmarkStart w:id="101" w:name="CTS_f8a2c7ea9115405eb5690619f2e812cd"/>
      <w:bookmarkEnd w:id="101"/>
      <w:bookmarkStart w:id="102" w:name="_Toc86655080"/>
      <w:r>
        <w:rPr>
          <w:rFonts w:hint="eastAsia"/>
          <w:szCs w:val="24"/>
        </w:rPr>
        <w:t xml:space="preserve">第六部分 </w:t>
      </w:r>
      <w:r>
        <w:rPr>
          <w:szCs w:val="24"/>
        </w:rPr>
        <w:t>基金份额折算与变更登记</w:t>
      </w:r>
      <w:bookmarkEnd w:id="102"/>
    </w:p>
    <w:p w14:paraId="386F9CE9">
      <w:pPr>
        <w:adjustRightInd w:val="0"/>
        <w:snapToGrid w:val="0"/>
        <w:spacing w:line="360" w:lineRule="auto"/>
        <w:rPr>
          <w:rFonts w:hint="eastAsia" w:cs="Arial"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p>
    <w:p w14:paraId="24E8493F">
      <w:pPr>
        <w:widowControl/>
        <w:adjustRightInd w:val="0"/>
        <w:snapToGrid w:val="0"/>
        <w:spacing w:beforeAutospacing="1" w:afterAutospacing="1" w:line="360" w:lineRule="auto"/>
        <w:ind w:firstLine="480" w:firstLineChars="200"/>
        <w:jc w:val="left"/>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基金合同生效后，在不违反法律法规</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且</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对基金份额持有人的权益无实质性不利影响的前提下</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本基金可以进行份额折算。</w:t>
      </w:r>
    </w:p>
    <w:p w14:paraId="7663DC2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一、基金份额折算的时间</w:t>
      </w:r>
    </w:p>
    <w:p w14:paraId="63B8FF08">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基金管理人应事先确定基金份额折算日，并依照《信息披露办法》的有关规定进行公告。</w:t>
      </w:r>
    </w:p>
    <w:p w14:paraId="3B47401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二、基金份额折算的原则</w:t>
      </w:r>
    </w:p>
    <w:p w14:paraId="3A6AB19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基金份额折算由基金管理人向登记机构申请办理，并由登记机构进行基金份额的变更登记。</w:t>
      </w: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基金份额折算的比例和具体安排见基金管理人届时发布的相关公告。</w:t>
      </w:r>
    </w:p>
    <w:p w14:paraId="17979BDC">
      <w:pPr>
        <w:widowControl/>
        <w:adjustRightInd w:val="0"/>
        <w:snapToGrid w:val="0"/>
        <w:spacing w:beforeAutospacing="1" w:afterAutospacing="1" w:line="360" w:lineRule="auto"/>
        <w:ind w:firstLine="480" w:firstLineChars="200"/>
        <w:jc w:val="left"/>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的</w:t>
      </w: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（因尾数处理而产生的损益不视为实质性影响），无需召开基金份额持有人大会审议</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。基金份额折算后，基金份额持有人将按照折算后的基金份额享有权利并承担义务。基金管理人应就其具体事宜进行必要公告，并提前以书面形式通知基金托管人。</w:t>
      </w:r>
    </w:p>
    <w:p w14:paraId="7B89AEF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如果基金份额折算过程中发生不可抗力等特殊情形，基金管理人可延迟办理基金份额折算。</w:t>
      </w:r>
    </w:p>
    <w:p w14:paraId="4FB0E2B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三、基金份额折算的方法</w:t>
      </w:r>
    </w:p>
    <w:p w14:paraId="1D84732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基金份额折算的具体方法在份额折算公告中列示。</w:t>
      </w:r>
    </w:p>
    <w:p w14:paraId="248BC1DE">
      <w:pPr>
        <w:pStyle w:val="21"/>
        <w:adjustRightInd w:val="0"/>
        <w:snapToGrid w:val="0"/>
        <w:rPr>
          <w:rFonts w:hint="eastAsia" w:cs="Arial" w:asciiTheme="minorEastAsia" w:hAnsiTheme="minorEastAsia" w:eastAsiaTheme="minorEastAsia"/>
          <w:color w:val="0D0D0D" w:themeColor="text1" w:themeTint="F2"/>
          <w:sz w:val="24"/>
          <w14:textFill>
            <w14:solidFill>
              <w14:schemeClr w14:val="tx1">
                <w14:lumMod w14:val="95000"/>
                <w14:lumOff w14:val="5000"/>
              </w14:schemeClr>
            </w14:solidFill>
          </w14:textFill>
        </w:rPr>
      </w:pPr>
    </w:p>
    <w:bookmarkEnd w:id="100"/>
    <w:p w14:paraId="4891D689">
      <w:pPr>
        <w:pStyle w:val="2"/>
        <w:rPr>
          <w:rFonts w:hint="eastAsia"/>
          <w:szCs w:val="24"/>
        </w:rPr>
        <w:sectPr>
          <w:footerReference r:id="rId14" w:type="default"/>
          <w:pgSz w:w="11906" w:h="16838"/>
          <w:pgMar w:top="1440" w:right="1800" w:bottom="1440" w:left="1800" w:header="851" w:footer="992" w:gutter="0"/>
          <w:pgNumType w:start="1"/>
          <w:cols w:space="425" w:num="1"/>
          <w:docGrid w:type="lines" w:linePitch="312" w:charSpace="0"/>
        </w:sectPr>
      </w:pPr>
    </w:p>
    <w:p w14:paraId="3EB9EE1F">
      <w:pPr>
        <w:pStyle w:val="2"/>
        <w:rPr>
          <w:rFonts w:hint="eastAsia"/>
          <w:szCs w:val="24"/>
        </w:rPr>
      </w:pPr>
      <w:bookmarkStart w:id="103" w:name="CLAUSE_2602dfeb98664f4e9342b071e32d99ea"/>
      <w:r>
        <w:rPr>
          <w:szCs w:val="24"/>
        </w:rPr>
        <w:t xml:space="preserve"> </w:t>
      </w:r>
      <w:bookmarkStart w:id="104" w:name="CTS_2602dfeb98664f4e9342b071e32d99ea"/>
      <w:bookmarkEnd w:id="104"/>
      <w:bookmarkStart w:id="105" w:name="_Toc86655081"/>
      <w:r>
        <w:rPr>
          <w:rFonts w:hint="eastAsia"/>
          <w:szCs w:val="24"/>
        </w:rPr>
        <w:t xml:space="preserve">第七部分 </w:t>
      </w:r>
      <w:r>
        <w:rPr>
          <w:szCs w:val="24"/>
        </w:rPr>
        <w:t>基金份额的</w:t>
      </w:r>
      <w:r>
        <w:rPr>
          <w:rFonts w:hint="eastAsia"/>
          <w:szCs w:val="24"/>
        </w:rPr>
        <w:t>上市</w:t>
      </w:r>
      <w:r>
        <w:rPr>
          <w:szCs w:val="24"/>
        </w:rPr>
        <w:t>交易</w:t>
      </w:r>
      <w:bookmarkEnd w:id="105"/>
    </w:p>
    <w:p w14:paraId="3EEE82A1">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5CF2D4E8">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一、基金上市</w:t>
      </w:r>
    </w:p>
    <w:p w14:paraId="41F3176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基金合同生效后，具备以下条件的，基金管理人可依据《深圳证券交易所证券投资基金上市规则》，向深圳证券交易所申请基金份额上市：</w:t>
      </w:r>
    </w:p>
    <w:p w14:paraId="7606B518">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 xml:space="preserve">（1）基金场内募集金额（含网下股票认购所募集的股票市值）不低于2亿元； </w:t>
      </w:r>
    </w:p>
    <w:p w14:paraId="7375377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（2）场内基金份额持有人不少于1000人；</w:t>
      </w:r>
    </w:p>
    <w:p w14:paraId="6E531BF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（3）法律法规或深圳证券交易所规定的其他条件。</w:t>
      </w:r>
    </w:p>
    <w:p w14:paraId="75787BC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基金上市前，基金管理人应与深圳证券交易所签订上市协议书。基金获准在深圳证券交易所上市的，基金管理人应按照相关规定发布基金上市交易公告书。</w:t>
      </w:r>
    </w:p>
    <w:p w14:paraId="76385BE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二、基金份额的上市交易</w:t>
      </w:r>
    </w:p>
    <w:p w14:paraId="04A9271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基金份额在深圳证券交易所的上市交易应遵照《深圳证券交易所交易规则》、《深圳证券交易所证券投资基金上市规则》、《深圳证券交易所证券投资基金交易和申购赎回实施细则》等有关规定。</w:t>
      </w:r>
    </w:p>
    <w:p w14:paraId="5B58770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三、</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停复牌、</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暂停上市</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、恢复上市</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或终止上市的情形和处理方式</w:t>
      </w:r>
    </w:p>
    <w:p w14:paraId="088BD6D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本基金份额在深圳证券交易所上市后，如遇</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停复牌、</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暂停上市</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、恢复上市</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或终止上市的情形，按照《深圳证券交易所证券投资基金上市规则》的相关规定执行。</w:t>
      </w:r>
    </w:p>
    <w:p w14:paraId="5D501F3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若本基金发生深圳证券交易所相关规定所规定的因不再具备上市条件而应当终止上市的情形时，经基金管理人和基金托管人协商一致，本基金将转型为非上市的开放式指数基金，无需召开基金份额持有人大会，具体处理方法见基金管理人相关公告。</w:t>
      </w:r>
    </w:p>
    <w:p w14:paraId="18DB964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四、基金份额参考净值的计算与公告</w:t>
      </w:r>
    </w:p>
    <w:p w14:paraId="18538A7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基金管理人在每一个交易日开市前向深圳证券交易所提供当日的申购赎回清单。本基金基金份额参考净值（</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IOPV</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）由基金管理人或基金管理人委托的机构计算，并交由深圳证券交易所发布，供投资者交易、申购、赎回基金份额时参考。基金份额参考净值（</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IOPV）的具体计算方法参见招募说明书。</w:t>
      </w:r>
    </w:p>
    <w:p w14:paraId="5F68E487">
      <w:pPr>
        <w:adjustRightInd w:val="0"/>
        <w:snapToGrid w:val="0"/>
        <w:spacing w:line="360" w:lineRule="auto"/>
        <w:ind w:firstLine="480" w:firstLineChars="200"/>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基金管理人可以调整基金份额参考净值计算公式，并予以公告。如深圳</w:t>
      </w:r>
      <w:r>
        <w:rPr>
          <w:rFonts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证券交易所对基金份额参考净值的计算方法另有规定的，从其规定。</w:t>
      </w:r>
    </w:p>
    <w:p w14:paraId="5ACC6AE7">
      <w:pPr>
        <w:adjustRightInd w:val="0"/>
        <w:snapToGrid w:val="0"/>
        <w:spacing w:line="360" w:lineRule="auto"/>
        <w:ind w:firstLine="480" w:firstLineChars="200"/>
        <w:rPr>
          <w:rFonts w:hint="eastAsia" w:ascii="宋体" w:hAnsi="宋体" w:cs="Arial"/>
          <w:b/>
          <w:kern w:val="0"/>
          <w:sz w:val="24"/>
          <w:szCs w:val="24"/>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五、</w:t>
      </w:r>
      <w:r>
        <w:rPr>
          <w:rFonts w:hint="eastAsia" w:ascii="宋体" w:hAnsi="宋体" w:cs="Arial"/>
          <w:kern w:val="0"/>
          <w:sz w:val="24"/>
          <w:szCs w:val="24"/>
        </w:rPr>
        <w:t>其他</w:t>
      </w:r>
    </w:p>
    <w:p w14:paraId="6A61E1C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若深圳证券交易所、中国证券登记结算有限责任公司增加了基金上市交易的新功能，本基金管理人可以在履行适当的程序后增加相应功能。</w:t>
      </w:r>
    </w:p>
    <w:p w14:paraId="5BFCBE5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相关法律法规、中国证监会、登记机构或深圳证券交易所对基金上市交易的规则等相关规定内容进行调整的，经基金管理人</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在与基金托管人协商一致并</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履行适当程序后，本基金按照新规定执行，若</w:t>
      </w: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由此需要对基金合同进行修订的，</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无需召开基金份额持有人大会。</w:t>
      </w:r>
    </w:p>
    <w:p w14:paraId="18BBBA1B">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在不违反法律法规且对基金份额持有人利益无实质不利影响的前提下，基金管理人在</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与基金托管人协商一致并</w:t>
      </w: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履行适当的程序后，本基金可以申请在包括境外交易所在内的其他证券交易所上市交易，而无需召开基金份额持有人大会。</w:t>
      </w:r>
    </w:p>
    <w:bookmarkEnd w:id="103"/>
    <w:p w14:paraId="63C78656">
      <w:pPr>
        <w:rPr>
          <w:b/>
          <w:sz w:val="24"/>
          <w:szCs w:val="24"/>
        </w:rPr>
        <w:sectPr>
          <w:footerReference r:id="rId15" w:type="default"/>
          <w:pgSz w:w="11906" w:h="16838"/>
          <w:pgMar w:top="1440" w:right="1800" w:bottom="1440" w:left="1800" w:header="851" w:footer="992" w:gutter="0"/>
          <w:pgNumType w:start="1"/>
          <w:cols w:space="425" w:num="1"/>
          <w:docGrid w:type="lines" w:linePitch="312" w:charSpace="0"/>
        </w:sectPr>
      </w:pPr>
    </w:p>
    <w:p w14:paraId="6F360DD1">
      <w:pPr>
        <w:pStyle w:val="2"/>
        <w:rPr>
          <w:rFonts w:hint="eastAsia"/>
          <w:szCs w:val="24"/>
        </w:rPr>
      </w:pPr>
      <w:bookmarkStart w:id="106" w:name="CLAUSE_c783c198b8fc4169b5e9d8f09e6b46d3"/>
      <w:r>
        <w:rPr>
          <w:szCs w:val="24"/>
        </w:rPr>
        <w:t xml:space="preserve"> </w:t>
      </w:r>
      <w:bookmarkStart w:id="107" w:name="CTS_c783c198b8fc4169b5e9d8f09e6b46d3"/>
      <w:bookmarkEnd w:id="107"/>
      <w:bookmarkStart w:id="108" w:name="_Toc86655082"/>
      <w:r>
        <w:rPr>
          <w:rFonts w:hint="eastAsia" w:cs="Arial"/>
          <w:szCs w:val="24"/>
        </w:rPr>
        <w:t xml:space="preserve">第八部分 </w:t>
      </w:r>
      <w:r>
        <w:rPr>
          <w:szCs w:val="24"/>
        </w:rPr>
        <w:t>基金份额的申购与赎回</w:t>
      </w:r>
      <w:bookmarkEnd w:id="108"/>
    </w:p>
    <w:p w14:paraId="3E93855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一、申购和赎回场所</w:t>
      </w:r>
    </w:p>
    <w:p w14:paraId="5FCE6EE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bookmarkStart w:id="109" w:name="_Hlk37986905"/>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本基金投资人应当通过申购、赎回代理券商办理基金申购、赎回业务的营业场所或按申购、赎回代理券商提供的其他方式办理本基金的申购和赎回。</w:t>
      </w:r>
      <w:bookmarkEnd w:id="109"/>
    </w:p>
    <w:p w14:paraId="70290FEB">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基金管理人在开始申购、赎回业务前公告</w:t>
      </w:r>
      <w:bookmarkStart w:id="110" w:name="_Hlk37986971"/>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申购、赎回代理券商的名单</w:t>
      </w:r>
      <w:bookmarkEnd w:id="110"/>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，并可依据实际情况变更申购、赎回代理券商并在基金管理人网站公示。基金管理人在确定、变更申购、赎回代理券商名单时，均应在公告之前报请深圳证券交易所认可。</w:t>
      </w:r>
    </w:p>
    <w:p w14:paraId="05ED0A90">
      <w:pPr>
        <w:tabs>
          <w:tab w:val="left" w:pos="3780"/>
        </w:tabs>
        <w:autoSpaceDE w:val="0"/>
        <w:autoSpaceDN w:val="0"/>
        <w:adjustRightInd w:val="0"/>
        <w:snapToGrid w:val="0"/>
        <w:spacing w:line="360" w:lineRule="auto"/>
        <w:ind w:firstLine="480" w:firstLineChars="200"/>
        <w:textAlignment w:val="bottom"/>
        <w:rPr>
          <w:rFonts w:hint="eastAsia" w:ascii="宋体" w:hAnsi="宋体" w:cs="Arial"/>
          <w:kern w:val="0"/>
          <w:sz w:val="24"/>
          <w:szCs w:val="24"/>
        </w:rPr>
      </w:pPr>
      <w:r>
        <w:rPr>
          <w:rFonts w:hint="eastAsia" w:ascii="宋体" w:hAnsi="宋体" w:cs="Arial"/>
          <w:kern w:val="0"/>
          <w:sz w:val="24"/>
          <w:szCs w:val="24"/>
        </w:rPr>
        <w:t>在法律法规、基金合同及未来条件允许的情况下，基金管理人直销机构可以开通申购赎回业务，具体业务的办理时间及办理方式基金管理人将另行公告。</w:t>
      </w:r>
    </w:p>
    <w:p w14:paraId="2A49874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二、申购和赎回的开放日及时间</w:t>
      </w:r>
    </w:p>
    <w:p w14:paraId="7B31016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、开放日及开放时间</w:t>
      </w:r>
    </w:p>
    <w:p w14:paraId="3F6E324B">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在开放日办理基金份额的申购和赎回，具体办理时间为上海证券交易所、深圳证券交易所的正常交易日的交易时间，但基金管理人根据法律法规、中国证监会的要求或本基金合同的规定公告暂停申购、赎回时除外。</w:t>
      </w:r>
    </w:p>
    <w:p w14:paraId="04B5F4B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基金合同生效后，若出现新的证券</w:t>
      </w:r>
      <w:r>
        <w:rPr>
          <w:rFonts w:hint="eastAsia" w:asciiTheme="minorEastAsia" w:hAnsiTheme="minorEastAsia"/>
          <w:color w:val="0D0D0D" w:themeColor="text1" w:themeTint="F2"/>
          <w:kern w:val="0"/>
          <w:sz w:val="24"/>
          <w:szCs w:val="24"/>
          <w14:textFill>
            <w14:solidFill>
              <w14:schemeClr w14:val="tx1">
                <w14:lumMod w14:val="95000"/>
                <w14:lumOff w14:val="5000"/>
              </w14:schemeClr>
            </w14:solidFill>
          </w14:textFill>
        </w:rPr>
        <w:t>/期货</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交易市场、证券</w:t>
      </w:r>
      <w:r>
        <w:rPr>
          <w:rFonts w:hint="eastAsia" w:asciiTheme="minorEastAsia" w:hAnsiTheme="minorEastAsia"/>
          <w:color w:val="0D0D0D" w:themeColor="text1" w:themeTint="F2"/>
          <w:kern w:val="0"/>
          <w:sz w:val="24"/>
          <w:szCs w:val="24"/>
          <w14:textFill>
            <w14:solidFill>
              <w14:schemeClr w14:val="tx1">
                <w14:lumMod w14:val="95000"/>
                <w14:lumOff w14:val="5000"/>
              </w14:schemeClr>
            </w14:solidFill>
          </w14:textFill>
        </w:rPr>
        <w:t>/期货</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交易所交易时间变更或其他特殊情况，基金管理人将视情况对前述开放日及开放时间进行相应的调整，但应在实施日前依照《信息披露办法》的有关规定在规定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媒介</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上公告。</w:t>
      </w:r>
    </w:p>
    <w:p w14:paraId="50AEE5F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、申购、赎回开始日及业务办理时间</w:t>
      </w:r>
    </w:p>
    <w:p w14:paraId="74D4C88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基金管理人可以根据实际情况依法决定本基金开始办理申购的具体日期，具体业务办理时间在申购开始公告中规定。</w:t>
      </w:r>
    </w:p>
    <w:p w14:paraId="7CB5BE1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基金管理人自基金合同生效之日起不超过</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个月开始办理赎回，具体业务办理时间在赎回开始公告中规定。</w:t>
      </w:r>
    </w:p>
    <w:p w14:paraId="4A085BE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在确定申购开始与赎回开始时间后，基金管理人应在申购、赎回开放日前依照《信息披露办法》的有关规定在规定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媒介</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上公告申购与赎回的开始时间。</w:t>
      </w:r>
    </w:p>
    <w:p w14:paraId="3A21B01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三、申购与赎回的原则</w:t>
      </w:r>
    </w:p>
    <w:p w14:paraId="1B9E4D8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、“份额申购、份额赎回”原则，即申购、赎回均以份额申请；</w:t>
      </w:r>
    </w:p>
    <w:p w14:paraId="6A74031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、本基金的申购对价、赎回对价包括组合证券、现金替代、现金差额和</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或其他对价；</w:t>
      </w:r>
    </w:p>
    <w:p w14:paraId="20318BF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、申购、赎回申请提交后不得撤销；</w:t>
      </w:r>
    </w:p>
    <w:p w14:paraId="011CCB3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申购、赎回应遵守业务规则及其他相关规定</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p>
    <w:p w14:paraId="302FD3A1">
      <w:pPr>
        <w:adjustRightInd w:val="0"/>
        <w:snapToGrid w:val="0"/>
        <w:spacing w:line="360" w:lineRule="auto"/>
        <w:ind w:firstLine="480" w:firstLineChars="200"/>
        <w:rPr>
          <w:sz w:val="24"/>
        </w:rPr>
      </w:pPr>
      <w:r>
        <w:rPr>
          <w:rFonts w:hint="eastAsia"/>
          <w:sz w:val="24"/>
        </w:rPr>
        <w:t>5、办理申购、赎回业务时，应当遵循基金份额持有人利益优先原则，确保投资者的合法权益不受损害并得到公平对待。</w:t>
      </w:r>
    </w:p>
    <w:p w14:paraId="67F4DCAB">
      <w:pPr>
        <w:widowControl/>
        <w:adjustRightInd w:val="0"/>
        <w:snapToGrid w:val="0"/>
        <w:spacing w:beforeAutospacing="1" w:afterAutospacing="1" w:line="360" w:lineRule="auto"/>
        <w:ind w:firstLine="480" w:firstLineChars="200"/>
        <w:jc w:val="left"/>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基金管理人可在不违反法律法规规定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且对基金份额持有人权益无实质性不利影响</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的情况下，对上述原则进行调整。基金管理人必须在新</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原</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则开始实施前依照《信息披露办法》的有关规定在规定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媒介</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上公告。</w:t>
      </w:r>
    </w:p>
    <w:p w14:paraId="64C9460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四、申购与赎回的程序</w:t>
      </w:r>
    </w:p>
    <w:p w14:paraId="71B0201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、申购和赎回的申请方式</w:t>
      </w:r>
    </w:p>
    <w:p w14:paraId="24F5F1F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投资人必须根据申购、赎回代理券商或基金管理人规定的程序，在开放日的具体业务办理时间内提出申购或赎回的申请。</w:t>
      </w:r>
    </w:p>
    <w:p w14:paraId="4151183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投资人交付</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申购对价</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成立；登记机构确认申请时，申购生效</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2AEEF3A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、申购和赎回</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申请</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的</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确认</w:t>
      </w:r>
    </w:p>
    <w:p w14:paraId="0FED8D62">
      <w:pPr>
        <w:adjustRightInd w:val="0"/>
        <w:snapToGrid w:val="0"/>
        <w:spacing w:line="360" w:lineRule="auto"/>
        <w:ind w:firstLine="480" w:firstLineChars="200"/>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本基金申购和赎回的确认适用业务规则的规定，具体在招募说明书中列示。</w:t>
      </w:r>
    </w:p>
    <w:p w14:paraId="4D86031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731F11B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赎回代理</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券商对申购、赎回申请的受理并不代表该申请一定成功，而仅代表</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赎回代理</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券商确实接收到该申请。申购、赎回的确认以登记机构的确认结果为准。对于申购、赎回申请的确认情况，投资人应及时查询并妥善行使合法权利。</w:t>
      </w:r>
    </w:p>
    <w:p w14:paraId="6AB6434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若深圳证券交易所和中国证券登记结算有限责任公司针对跨市场交易型开放式指数证券投资基金推出新的清算交收与登记模式并引入新的申购、赎回方式，在</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与基金托管人协商一致并</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履行适当程序后，本基金管理人将根据新的业务规则新增或调整申购和赎回申请的确认方式，届时将发布公告予以披露并对本基金的招募说明书予以更新，无</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需</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召开基金份额持有人大会审议。</w:t>
      </w:r>
    </w:p>
    <w:p w14:paraId="5A51C9D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、申购和赎回的清算交收与登记</w:t>
      </w:r>
    </w:p>
    <w:p w14:paraId="7FD75D0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的申购和赎回的清算交收与登记规则详见招募说明书规定。本基金获批后，若深圳证券交易所和中国证券登记结算有限责任公司针对跨市场交易型开放式指数证券投资基金推出新的清算交收与登记模式并引入新的申购、赎回方式，</w:t>
      </w:r>
    </w:p>
    <w:p w14:paraId="5F3A6481">
      <w:pPr>
        <w:adjustRightInd w:val="0"/>
        <w:snapToGrid w:val="0"/>
        <w:spacing w:line="360" w:lineRule="auto"/>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szCs w:val="24"/>
          <w14:textFill>
            <w14:solidFill>
              <w14:schemeClr w14:val="tx1">
                <w14:lumMod w14:val="95000"/>
                <w14:lumOff w14:val="5000"/>
              </w14:schemeClr>
            </w14:solidFill>
          </w14:textFill>
        </w:rPr>
        <w:t>在与基金托管人协商一致并履行适当程序后，</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本基金管理人有权调整本基金的清算交收与登记模式及申购、赎回方式，或新增本基金的清算交收与登记模式并引入新的申购、赎回方式，详见“九、基金清算交收与登记模式的调整或新增”。</w:t>
      </w:r>
    </w:p>
    <w:p w14:paraId="244CC9B0">
      <w:pPr>
        <w:adjustRightInd w:val="0"/>
        <w:snapToGrid w:val="0"/>
        <w:spacing w:line="360" w:lineRule="auto"/>
        <w:ind w:firstLine="480" w:firstLineChars="200"/>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者应按照本基金合同的约定和申购、赎回代理券商的规定按时足额支付应付的现金差额和现金替代退补款。因投资者原因导致现金差额或现金替代退补款未能按时足额交收的，基金管理人有权为基金的利益向该投资者追偿，并要求其承担由此导致的其他基金份额持有人或基金资产的损失。</w:t>
      </w:r>
    </w:p>
    <w:p w14:paraId="3BACB8E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五、</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申购和赎回的数量限制</w:t>
      </w:r>
    </w:p>
    <w:p w14:paraId="5989A91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、投资人申购、赎回的基金份额需为最小申购、赎回单位的整数倍。最小申购、赎回单位由基金管理人确定和调整，详见本基金招募说明书或相关公告。</w:t>
      </w:r>
    </w:p>
    <w:p w14:paraId="4EA2E166">
      <w:pPr>
        <w:adjustRightInd w:val="0"/>
        <w:snapToGrid w:val="0"/>
        <w:spacing w:line="360" w:lineRule="auto"/>
        <w:ind w:firstLine="480" w:firstLineChars="200"/>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基金管理人可根据基金运作情况、市场变化以及投资者需求等因素对基金的最小申购赎回单位进行调整，并在调整实施前依照《信息披露办法》的有关规定在规定媒介公告。</w:t>
      </w:r>
    </w:p>
    <w:p w14:paraId="55FA7D4A">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、基金管理人可以规定本基金当日申购份额及当日赎回份额上限，具体规定详见申购赎回清单。</w:t>
      </w:r>
    </w:p>
    <w:p w14:paraId="4C542FA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3、基金管理人可以规定投资人每个交易账户的最低基金份额余额，具体规定请参见招募说明书或相关公告。</w:t>
      </w:r>
    </w:p>
    <w:p w14:paraId="27F8188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、基金管理人可以规定单个投资人累计持有的基金份额上限，具体规定请参见招募说明书或相关公告。</w:t>
      </w:r>
    </w:p>
    <w:p w14:paraId="7597CA9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5、当接受申购申请对存量基金份额持有人利益构成潜在重大不利影响时，基金管理人</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应当</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采取设定单一投资者申购</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份</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额上限或基金单日净申购比例上限、拒绝大额申购、暂停基金申购等措施，切实保护存量基金份额持有人的合法权益。</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基金管理人基于投资运作与风险控制的需要，可采取上述措施对基金规模予以控制。</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具体见</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相关公告。</w:t>
      </w:r>
    </w:p>
    <w:p w14:paraId="4982F3F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6、基金管理人可根据市场情况，在不违反法律法规规定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且对基金份额持有人的权益无实质性不利影响</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的情况下，调整上述规定数量或比例等限制。基金管理人必须在调整实施前依照《信息披露办法》的有关规定在规定</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媒介</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上公告（其中上述第</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3、4</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条可由基金管理人于前一交易日设定并在当日基金申购赎回清单上公布，而不必在规定媒介上公告也无需报中国证监会备案）。</w:t>
      </w:r>
    </w:p>
    <w:p w14:paraId="1B8AB88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六、</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申购和赎回的</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对价、费用</w:t>
      </w:r>
    </w:p>
    <w:p w14:paraId="61D9B41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、本基金份额净值的计算，保留到小数点后</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位，小数点后第</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位四舍五入，由此产生的收益或损失由基金财产承担。</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日的基金份额净值在当天收市后计算，并在T+1日内公告。遇特殊情况，经履行适当程序，可以适当延迟计算或公告。</w:t>
      </w:r>
    </w:p>
    <w:p w14:paraId="031BD5A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对价、赎回对价根据申购赎回清单和投资者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p>
    <w:p w14:paraId="76EB7AB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、申购赎回清单由基金管理人编制。</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T日的申购赎回清单在当日</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深圳证券交易所开市前公告。如遇特殊情况，可以适当延迟计算或公告。申购赎回清单的内容与格式详见《招募说明书》。</w:t>
      </w:r>
    </w:p>
    <w:p w14:paraId="525AF82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4、投资者在申购或赎回本基金时，申购赎回代理</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券商</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可按照一定标准收取佣金，其中包含证券交易所、登记机构等收取的相关费用，具体规定详见招募说明书。</w:t>
      </w:r>
    </w:p>
    <w:p w14:paraId="32D99EA7">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5、</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基金管理人可以在不违反相关法律法规且对基金份额持有人的权益无实质性不利影响的情况下对基金份额净值、申购赎回清单计算和公告时间进行调整并提前公告。</w:t>
      </w:r>
    </w:p>
    <w:p w14:paraId="1E0B25E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七、拒绝或暂停申购的情形及处理方式</w:t>
      </w:r>
    </w:p>
    <w:p w14:paraId="222EBD6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发生下列情况时，基金管理人可拒绝或暂停接受投资人的申购申请：</w:t>
      </w:r>
      <w:bookmarkStart w:id="111" w:name="_Hlt70481650"/>
      <w:bookmarkEnd w:id="111"/>
    </w:p>
    <w:p w14:paraId="4D8CF24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、因不可抗力导致基金无法正常运作、基金管理人无法受理或办理基金份额持有人的申购申请；</w:t>
      </w:r>
    </w:p>
    <w:p w14:paraId="341FAD3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2、证券/</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期货交易所交易时间非正常停市，导致基金管理人无法计算当日基金资产净值或无法进行证券交易；</w:t>
      </w:r>
    </w:p>
    <w:p w14:paraId="22C6BCF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3、发生基金合同规定的暂停基金资产估值情况</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时</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p>
    <w:p w14:paraId="3D9E253A">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4、基金管理人开市前因异常情况无法公布申购、赎回清单、基金份额净值或者IOPV计算错误、申购、赎回清单编制错误；</w:t>
      </w:r>
    </w:p>
    <w:p w14:paraId="04EA7EB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5</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接受某笔或某些申购申请可能会影响或损害现有基金份额持有人利益时；</w:t>
      </w:r>
    </w:p>
    <w:p w14:paraId="7F2BE26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6、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6649739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7</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、申请超过基金管理人设定的基金总规模、单日净申购比例上限、单一投资者单日或单笔申购</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份额</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上限的；</w:t>
      </w:r>
    </w:p>
    <w:p w14:paraId="10609E3B">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8</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、当前一估值日基金资产净值50%以上的资产出现无可参考的活跃市场价格且采用估值技术仍导致公允价值存在重大不确定性时，经与基金托管人协商确认后</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，基金管理人应当暂停接受基金申购申请；</w:t>
      </w:r>
    </w:p>
    <w:p w14:paraId="550C14A3">
      <w:pPr>
        <w:adjustRightInd w:val="0"/>
        <w:snapToGrid w:val="0"/>
        <w:spacing w:line="360" w:lineRule="auto"/>
        <w:ind w:firstLine="480" w:firstLineChars="200"/>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9、</w:t>
      </w:r>
      <w:r>
        <w:rPr>
          <w:rFonts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基金资产规模过大，使基金管理人无法找到合适的投资品种，或其他可能对基金业绩产生负面影响，</w:t>
      </w: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或发生其他</w:t>
      </w:r>
      <w:r>
        <w:rPr>
          <w:rFonts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损害现有基金份额持有人利益的情形</w:t>
      </w:r>
      <w:r>
        <w:rPr>
          <w:rFonts w:hint="eastAsia" w:asciiTheme="minorEastAsia" w:hAnsiTheme="minorEastAsia" w:eastAsiaTheme="minorEastAsia"/>
          <w:bCs/>
          <w:color w:val="0D0D0D" w:themeColor="text1" w:themeTint="F2"/>
          <w:kern w:val="0"/>
          <w:sz w:val="24"/>
          <w:szCs w:val="24"/>
          <w14:textFill>
            <w14:solidFill>
              <w14:schemeClr w14:val="tx1">
                <w14:lumMod w14:val="95000"/>
                <w14:lumOff w14:val="5000"/>
              </w14:schemeClr>
            </w14:solidFill>
          </w14:textFill>
        </w:rPr>
        <w:t>；</w:t>
      </w:r>
    </w:p>
    <w:p w14:paraId="3AA5B0C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10、法律法规、深圳证券交易所规定或中国证监会认定的其他情形。</w:t>
      </w:r>
    </w:p>
    <w:p w14:paraId="0A3847E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发生上述第</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1、2、3、</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4、6</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7、8、9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w:t>
      </w:r>
    </w:p>
    <w:p w14:paraId="4FF0A2D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在发生暂停申购或赎回的情形之一时，本基金的申购和赎回可能同时暂停。</w:t>
      </w:r>
    </w:p>
    <w:p w14:paraId="1747B06C">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八、暂停赎回或延缓支付赎回对价的情形及处理方式</w:t>
      </w:r>
    </w:p>
    <w:p w14:paraId="23E4ED78">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发生下列情形时，基金管理人可暂停接受投资人的赎回申请或延缓支付赎回对价：</w:t>
      </w:r>
    </w:p>
    <w:p w14:paraId="626AFB1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、因不可抗力导致基金管理人无法受理或办理基金份额持有人的赎回申请；</w:t>
      </w:r>
    </w:p>
    <w:p w14:paraId="31D07F5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2、证券/</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期货交易所交易时间非正常停市，导致基金管理人无法计算当日基金资产</w:t>
      </w:r>
      <w:bookmarkStart w:id="112" w:name="_Hlt152500890"/>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净值或无法进行证券交易；</w:t>
      </w:r>
    </w:p>
    <w:bookmarkEnd w:id="112"/>
    <w:p w14:paraId="1795752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3、发生基金合同规定的暂停基金资产估值情况</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时</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w:t>
      </w:r>
    </w:p>
    <w:p w14:paraId="7B01F1BF">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4、发生继续接受赎回申请将损害现有基金份额持有人利益的情形时，基金管理人可暂停接受投资人的赎回申请；</w:t>
      </w:r>
    </w:p>
    <w:p w14:paraId="6B3B75A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5、本基金当日总赎回份额达到基金管理人所设定的上限，基金管理人可拒绝赎回申请；</w:t>
      </w:r>
    </w:p>
    <w:p w14:paraId="5E8E971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6</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、当前一估值日基金资产净值50%以上的资产出现无可参考的活跃市场价格且采用估值技术仍导致公允价值存在重大不确定性时，经与基金托管人协商确认后，</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基金管理人应当</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延缓支付赎回对价或暂停接受基金赎回申请；</w:t>
      </w:r>
    </w:p>
    <w:p w14:paraId="3ACA5B7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7、法律法规、深圳证券交易所规定或中国证监会认定的其他情形。</w:t>
      </w:r>
    </w:p>
    <w:p w14:paraId="632DE41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w:t>
      </w:r>
      <w:bookmarkStart w:id="113" w:name="_Toc139991737"/>
      <w:bookmarkStart w:id="114" w:name="_Toc26207"/>
      <w:bookmarkStart w:id="115" w:name="_Toc15143"/>
      <w:bookmarkStart w:id="116" w:name="_Toc3601"/>
      <w:bookmarkStart w:id="117" w:name="_Toc123051453"/>
      <w:bookmarkStart w:id="118" w:name="_Toc12245"/>
      <w:bookmarkStart w:id="119" w:name="_Toc16859"/>
      <w:bookmarkStart w:id="120" w:name="_Toc98560353"/>
      <w:bookmarkStart w:id="121" w:name="_Toc14835"/>
      <w:bookmarkStart w:id="122" w:name="_Toc31235"/>
      <w:bookmarkStart w:id="123" w:name="_Toc6405"/>
      <w:bookmarkStart w:id="124" w:name="_Toc141703887"/>
      <w:bookmarkStart w:id="125" w:name="_Toc123112235"/>
      <w:bookmarkStart w:id="126" w:name="_Toc31653"/>
      <w:bookmarkStart w:id="127" w:name="_Toc123102454"/>
      <w:bookmarkStart w:id="128" w:name="_Toc31644"/>
      <w:bookmarkStart w:id="129" w:name="_Toc29251"/>
    </w:p>
    <w:p w14:paraId="170AD05A">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在发生暂停申购或赎回的情形之一时，本基金的申购和赎回可能同时暂停。</w:t>
      </w:r>
    </w:p>
    <w:p w14:paraId="62662263">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九、基金清算交收与登记模式的调整或新增</w:t>
      </w:r>
    </w:p>
    <w:p w14:paraId="18F11B1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若深圳证券交易所和中国证券登记结算有限责任公司针对跨市场交易型开放式指数证券投资基金推出新的清算交收与登记模式并引入新的申购、赎回方式，在履行适当程序</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并与基金托管人协商一致</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后，本基金管理人有权调整本基金的清算交收与登记模式及申购、赎回方式，或新增本基金的清算交收与登记模式并引入新的申购、赎回方式，届时将发布公告予以披露并对本基金的招募说明书予以更新，无</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需</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召开持有人大会审议。</w:t>
      </w:r>
    </w:p>
    <w:p w14:paraId="6D561734">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十、基金份额拆分与合并</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 xml:space="preserve"> </w:t>
      </w:r>
    </w:p>
    <w:p w14:paraId="02066D8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基金成立后，在法律法规规定的范围内</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且对基金份额持有人的权益无实质性不利影响的情况下</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，在履行</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适当程序并与基金托管人协商一致</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后，本基金可实施基金份额拆分或合并。</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 xml:space="preserve"> </w:t>
      </w:r>
    </w:p>
    <w:p w14:paraId="1088C79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7E3D278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十一、基金份额的转让</w:t>
      </w:r>
    </w:p>
    <w:p w14:paraId="5D046A46">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在法律法规允许且条件具备的情况下，如对</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存量基金份额持有人利益</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无实质性</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不利影响</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，基金管理人经履行相关程序</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并与基金托管人协商一致</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3A18875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十二、基金份额的非交易过户、冻结、解冻等其他业务</w:t>
      </w:r>
    </w:p>
    <w:p w14:paraId="5308A8C0">
      <w:pPr>
        <w:spacing w:line="360" w:lineRule="auto"/>
        <w:ind w:firstLine="480" w:firstLineChars="200"/>
        <w:rPr>
          <w:bCs/>
          <w:sz w:val="24"/>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基金份额的登记机构可依据其业务规则，受理基金的非交易过户、冻结与解冻等业务，并收取一定的手续费用。</w:t>
      </w:r>
    </w:p>
    <w:p w14:paraId="208A06B7">
      <w:pPr>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bCs/>
          <w:sz w:val="24"/>
        </w:rPr>
        <w:t>基金份额被冻结的，被冻结部分产生的权益一并冻结，被冻结部分份额仍然参与收益分配。法律法规或监管机构另有规定的除外。</w:t>
      </w:r>
    </w:p>
    <w:p w14:paraId="4F480212">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十三、联接基金的特殊申购</w:t>
      </w:r>
    </w:p>
    <w:p w14:paraId="5C0EAAF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若基金管理人推出以本基金为目标</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ETF</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的联接基金，本基金可根据实际情况需要向本基金的联接基金开通特殊申购，不收取申购费用。具体见招募说明书。</w:t>
      </w:r>
    </w:p>
    <w:p w14:paraId="1F94D28A">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十四、基金份额折算</w:t>
      </w:r>
    </w:p>
    <w:p w14:paraId="01A87560">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为提高交易便利或根据需要，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的</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，无需召开基金份额持有人大会审议。基金份额折算后，基金份额持有人将按照折算后的基金份额享有权利并承担义务。基金管理人应就其具体事宜进行必要公告，并提前通知基金托管人。</w:t>
      </w:r>
    </w:p>
    <w:p w14:paraId="09DF2395">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十五、其他</w:t>
      </w:r>
    </w:p>
    <w:p w14:paraId="076D8901">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1、在不违反法律法规且对基金份额持有人利益无实质性不利影响的情况下，经履行相关程序</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并与基金托管人协商一致</w:t>
      </w: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后，基金管理人可开放集合申购。基金管理人有权制定集合申购业务的相关规则。</w:t>
      </w:r>
    </w:p>
    <w:p w14:paraId="684F4F5D">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在条件允许时，基金管理人也可采取其他合理的申购方式，并于新的申购方式开始执行前予以公告。</w:t>
      </w:r>
    </w:p>
    <w:p w14:paraId="501D6E69">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2、基金管理人指定的代理机构可依据法律法规和本基金合同的规定开展其他服务，双方需签订书面委托代理协议。</w:t>
      </w:r>
    </w:p>
    <w:p w14:paraId="2B00C74E">
      <w:pPr>
        <w:adjustRightInd w:val="0"/>
        <w:snapToGrid w:val="0"/>
        <w:spacing w:line="360" w:lineRule="auto"/>
        <w:ind w:firstLine="480" w:firstLineChars="200"/>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3</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、对于符合《</w:t>
      </w:r>
      <w:r>
        <w:rPr>
          <w:rFonts w:hint="eastAsia"/>
          <w:sz w:val="24"/>
          <w:szCs w:val="24"/>
        </w:rPr>
        <w:t>中国证券登记结算有限责任公司深圳分公司交易型开放式基金登记结算业务指南</w:t>
      </w:r>
      <w:r>
        <w:rPr>
          <w:rFonts w:asciiTheme="minorEastAsia" w:hAnsiTheme="minorEastAsia" w:eastAsiaTheme="minorEastAsia"/>
          <w:color w:val="0D0D0D" w:themeColor="text1" w:themeTint="F2"/>
          <w:kern w:val="0"/>
          <w:sz w:val="24"/>
          <w:szCs w:val="24"/>
          <w14:textFill>
            <w14:solidFill>
              <w14:schemeClr w14:val="tx1">
                <w14:lumMod w14:val="95000"/>
                <w14:lumOff w14:val="5000"/>
              </w14:schemeClr>
            </w14:solidFill>
          </w14:textFill>
        </w:rPr>
        <w:t>》要求的特定投资者，基金管理人可在不违反法律法规且对基金份额持有人利益无实质性不利影响的情况下，安排专门的申购方式。</w:t>
      </w:r>
    </w:p>
    <w:p w14:paraId="693532FA">
      <w:pPr>
        <w:adjustRightInd w:val="0"/>
        <w:snapToGrid w:val="0"/>
        <w:spacing w:line="360" w:lineRule="auto"/>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bookmarkEnd w:id="106"/>
    <w:p w14:paraId="3A1703E2">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sectPr>
          <w:footerReference r:id="rId16" w:type="default"/>
          <w:pgSz w:w="11906" w:h="16838"/>
          <w:pgMar w:top="1440" w:right="1800" w:bottom="1440" w:left="1800" w:header="851" w:footer="992" w:gutter="0"/>
          <w:pgNumType w:start="1"/>
          <w:cols w:space="425" w:num="1"/>
          <w:docGrid w:type="lines" w:linePitch="312" w:charSpace="0"/>
        </w:sectPr>
      </w:pPr>
    </w:p>
    <w:p w14:paraId="6D474390">
      <w:pPr>
        <w:pStyle w:val="2"/>
        <w:rPr>
          <w:rFonts w:hint="eastAsia"/>
          <w:szCs w:val="24"/>
        </w:rPr>
      </w:pPr>
      <w:bookmarkStart w:id="130" w:name="CLAUSE_093627b63be94cfa9c14ce403e9127ec"/>
      <w:r>
        <w:rPr>
          <w:szCs w:val="24"/>
        </w:rPr>
        <w:t xml:space="preserve"> </w:t>
      </w:r>
      <w:bookmarkStart w:id="131" w:name="CTS_093627b63be94cfa9c14ce403e9127ec"/>
      <w:bookmarkEnd w:id="131"/>
      <w:bookmarkStart w:id="132" w:name="_Toc86655083"/>
      <w:r>
        <w:rPr>
          <w:rFonts w:hint="eastAsia" w:cs="Arial"/>
          <w:szCs w:val="24"/>
        </w:rPr>
        <w:t xml:space="preserve">第九部分 </w:t>
      </w:r>
      <w:r>
        <w:rPr>
          <w:szCs w:val="24"/>
        </w:rPr>
        <w:t>基金合同当事人及权利义务</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2"/>
      <w:bookmarkStart w:id="133" w:name="_Hlt55355235"/>
      <w:bookmarkEnd w:id="133"/>
      <w:bookmarkStart w:id="134" w:name="_Toc523711668"/>
      <w:bookmarkStart w:id="135" w:name="_Toc15118234"/>
      <w:bookmarkStart w:id="136" w:name="_Toc79392580"/>
      <w:bookmarkStart w:id="137" w:name="_Toc57530239"/>
    </w:p>
    <w:p w14:paraId="0402F9B2">
      <w:pPr>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054A6D8F">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w:t>
      </w:r>
      <w:bookmarkEnd w:id="134"/>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管理人</w:t>
      </w:r>
      <w:bookmarkEnd w:id="135"/>
      <w:bookmarkEnd w:id="136"/>
      <w:bookmarkEnd w:id="137"/>
    </w:p>
    <w:p w14:paraId="54790BE3">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38" w:name="_Toc15118235"/>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基金管理人简况</w:t>
      </w:r>
      <w:bookmarkEnd w:id="138"/>
    </w:p>
    <w:p w14:paraId="26E6C46C">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39" w:name="_Toc15118236"/>
      <w:bookmarkStart w:id="140" w:name="_Toc15118237"/>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名称：博时基金管理有限公司</w:t>
      </w:r>
    </w:p>
    <w:p w14:paraId="48E0A141">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住所：深圳市福田区莲花街道福新社区益田路5999号基金大厦21层</w:t>
      </w:r>
    </w:p>
    <w:p w14:paraId="271250C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法定代表人：张东</w:t>
      </w:r>
    </w:p>
    <w:p w14:paraId="317CE2B7">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设立日期：</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1998年7月13日</w:t>
      </w:r>
    </w:p>
    <w:p w14:paraId="08EFB43F">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批准设立机关及批准设立文号：中国证监会证监基字【1998】26号</w:t>
      </w:r>
    </w:p>
    <w:p w14:paraId="3E8C56B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组织形式：有限责任公司</w:t>
      </w:r>
    </w:p>
    <w:p w14:paraId="5B2E3281">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注册资本：</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2.5亿元人民币</w:t>
      </w:r>
    </w:p>
    <w:p w14:paraId="520B4D9B">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存续期限：</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持续经营</w:t>
      </w:r>
    </w:p>
    <w:p w14:paraId="3AC8D05D">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联系电话：</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0755-83169999</w:t>
      </w:r>
    </w:p>
    <w:bookmarkEnd w:id="139"/>
    <w:p w14:paraId="5C1A2E33">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基金管理人的权利与义务</w:t>
      </w:r>
      <w:bookmarkEnd w:id="140"/>
    </w:p>
    <w:p w14:paraId="3144CDD0">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、根据《基金法》、《运作办法》及其他有关规定，基金管理人的权利包括但不限于：</w:t>
      </w:r>
    </w:p>
    <w:p w14:paraId="5DCD88D4">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）依法募集资金；</w:t>
      </w:r>
    </w:p>
    <w:p w14:paraId="1D39FFC0">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）自《基金合同》生效之日起，根据法律法规和《基金合同》独立运用并管理基金财产；</w:t>
      </w:r>
    </w:p>
    <w:p w14:paraId="75CDBDE0">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）依照《基金合同》收取基金管理费以及法律法规规定或中国证监会批准的其他费用；</w:t>
      </w:r>
    </w:p>
    <w:p w14:paraId="2A9B9289">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）销售基金份额；</w:t>
      </w:r>
    </w:p>
    <w:p w14:paraId="488A9EA7">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bookmarkStart w:id="141" w:name="_Hlt88896155"/>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按照规定召集</w:t>
      </w:r>
      <w:bookmarkEnd w:id="141"/>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w:t>
      </w:r>
    </w:p>
    <w:p w14:paraId="44D8B04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）依据《基金合同》及有关法律规定监督基金托管人，如认为基金托管人违反了《基金合同》及国家有关法律规定，应</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通知基金托管人并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呈报中国证监会和其他监管部门，并采取必要措施保护基金投资者的利益；</w:t>
      </w:r>
    </w:p>
    <w:p w14:paraId="3044DBA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）在基金托管人更换时，提名新的基金托管人；</w:t>
      </w:r>
    </w:p>
    <w:p w14:paraId="18E2ACB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）选择、更换基金销售机构，对基金销售机构的相关行为进行监督和处理；</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p>
    <w:p w14:paraId="7E5E575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）担任或委托其他符合条件的机构担任基金登记机构办理基金登记业务并获得《基金合同》规定的费用；</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p>
    <w:p w14:paraId="07F72CE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）依据《基金合同》及有关法律规定决定基金收益的分配方案；</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p>
    <w:p w14:paraId="358CD70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）在《基金合同》约定的范围内，拒绝或暂停受理申购与赎回申请；</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p>
    <w:p w14:paraId="472E3EE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）依照法律法规为基金的利益对被投资公司行使股东权利，为基金的利益行使因基金财产投资于证券所产生的权利；</w:t>
      </w:r>
    </w:p>
    <w:p w14:paraId="05209CC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）在法律法规允许的前提下，为基金的利益依法为基金进行融资和转融通证券出借业务；</w:t>
      </w:r>
    </w:p>
    <w:p w14:paraId="1E7A40D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）以基金管理人的名义，代表基金份额持有人的利益行使诉讼权利或者实施其他法律行为；</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p>
    <w:p w14:paraId="714438B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）选择、更换律师事务所、会计师事务所、证券、期货经纪商或其他为基金提供服务的外部机构；</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p>
    <w:p w14:paraId="33D78D4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）在符合有关法律、法规的前提下，制订和调整有关基金认购</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申购、赎回、非交易过户</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等</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业务规则；</w:t>
      </w:r>
    </w:p>
    <w:p w14:paraId="1F487E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）法律法规及中国证监会规定的和《基金合同》约定的其他权利。</w:t>
      </w:r>
    </w:p>
    <w:p w14:paraId="7BFD088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、根据《基金法》、《运作办法》及其他有关规定，基金管理人的义务包括但不限于：</w:t>
      </w:r>
    </w:p>
    <w:p w14:paraId="7903F03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42" w:name="_Toc523711669"/>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）依法募集资金，办理或者委托经中国证监会认定的其他机构代为办理基金份额的发售、申购、赎回和登记事宜；</w:t>
      </w:r>
    </w:p>
    <w:p w14:paraId="7862C42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）办理基金备案手续；</w:t>
      </w:r>
    </w:p>
    <w:p w14:paraId="6EE478C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）自《基金合同》生效之日起</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以诚实信用、谨慎勤勉的原则管理和运用基金财产；</w:t>
      </w:r>
    </w:p>
    <w:p w14:paraId="24AC73D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）配备足够的具有专业资格的人员进行基金投资分析、决策，以专业化的经营方式管理和运作基金财产；</w:t>
      </w:r>
    </w:p>
    <w:p w14:paraId="698E0CE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）建立健全内部风险控制、监察与稽核、财务管理及人事管理等制度，保证所管理的基金财产和基金管理人的财产相互独立</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对所管理的不同基金分别管理，分别记账，进行证券投资；</w:t>
      </w:r>
    </w:p>
    <w:p w14:paraId="64C8FC2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）除依据《基金法》、《基金合同》及其他有关规定外</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不得利用基金财产为自己及任何第三人谋取利益，不得委托第三人运作基金财产；</w:t>
      </w:r>
      <w:bookmarkStart w:id="143" w:name="_Hlt88897298"/>
      <w:bookmarkEnd w:id="143"/>
    </w:p>
    <w:p w14:paraId="134EA67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）依法接受基金托管人的监督；</w:t>
      </w:r>
    </w:p>
    <w:p w14:paraId="1AF3658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）采取适当合理的措施使计算基金份额认购价格、申购对价、赎回对价的方法符合《基金合同》等法律文件的规定，按有关规定计算并公告基金净值信息，确定基金份额申购、赎回对价，编制申购赎回清单；</w:t>
      </w:r>
    </w:p>
    <w:p w14:paraId="4254A30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）进行基金会计核算并编制基金财务会计报告；</w:t>
      </w:r>
    </w:p>
    <w:p w14:paraId="3368A81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）编制季度报告、中期报告和年度报告；</w:t>
      </w:r>
    </w:p>
    <w:p w14:paraId="249EAE7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）严格按照《基金法》、《基金合同》及其他有关规定，履行信息披露及报告义务；</w:t>
      </w:r>
    </w:p>
    <w:p w14:paraId="60D85A6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37AD383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）按《基金合同》的约定确定基金收益分配方案，及时向基金份额持有人分配基金收益；</w:t>
      </w:r>
    </w:p>
    <w:p w14:paraId="3C03E7E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）按规定受理申购与赎回申请，及时、足额支付赎回</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对价</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2C50B71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）依据《基金法》、《基金合同》及其他有关规定召集基金份额持有人大会或配合基金托管人、基金份额持有人依法召集基金份额持有人大会；</w:t>
      </w:r>
    </w:p>
    <w:p w14:paraId="29948A0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）按规定保存基金财产管理业务活动的会计账册、报表、记录和其他相关资料，保存期限不低于法定最低期限；</w:t>
      </w:r>
    </w:p>
    <w:p w14:paraId="747BC1D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24A0E7C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）组织并参加基金财产清算小组</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参与基金财产的保管、清理、估价、变现和分配；</w:t>
      </w:r>
    </w:p>
    <w:p w14:paraId="636255D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）面临解散、依法被撤销或者被依法宣告破产时，及时报告中国证监会和银行业监督管理机构并通知基金托管人；</w:t>
      </w:r>
    </w:p>
    <w:p w14:paraId="4DCFD57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）因违反《基金合同》导致基金财产的损失或损害基金份额持有人合法权益时，应当承担赔偿责任，其赔偿责任不因其退任而免除；</w:t>
      </w:r>
    </w:p>
    <w:p w14:paraId="7323A51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）监督基金托管人按法律法规和《基金合同》规定履行自己的义务，基金托管人违反《基金合同》造成基金财产损失时，基金管理人应为基金份额持有人利益向基金托管人追偿；</w:t>
      </w:r>
    </w:p>
    <w:p w14:paraId="6AAB196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）当基金管理人将其义务委托第三方处理时，应当对第三方处理有关基金事务的行为承担责任；</w:t>
      </w:r>
    </w:p>
    <w:p w14:paraId="22B2372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）以基金管理人名义，代表基金份额持有人利益行使诉讼权利或实施其他法律行为；</w:t>
      </w:r>
    </w:p>
    <w:p w14:paraId="5AE4A3F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（24）基金在募集期间未能达到基金</w:t>
      </w:r>
      <w:bookmarkStart w:id="144" w:name="_Hlt88823209"/>
      <w:bookmarkEnd w:id="144"/>
      <w:r>
        <w:rPr>
          <w:rFonts w:hint="eastAsia" w:asciiTheme="minorEastAsia" w:hAnsiTheme="minorEastAsia" w:eastAsiaTheme="minorEastAsia"/>
          <w:sz w:val="24"/>
          <w:szCs w:val="24"/>
        </w:rPr>
        <w:t>的备案条件，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《基金合同》</w:t>
      </w:r>
      <w:r>
        <w:rPr>
          <w:rFonts w:hint="eastAsia" w:asciiTheme="minorEastAsia" w:hAnsiTheme="minorEastAsia" w:eastAsiaTheme="minorEastAsia"/>
          <w:sz w:val="24"/>
          <w:szCs w:val="24"/>
        </w:rPr>
        <w:t>不能生效，基金管理人承担全部募集费用，将已募集资金并加计银行同期活期存款利息在基金募集期结束后</w:t>
      </w:r>
      <w:r>
        <w:rPr>
          <w:rFonts w:asciiTheme="minorEastAsia" w:hAnsiTheme="minorEastAsia" w:eastAsiaTheme="minorEastAsia"/>
          <w:sz w:val="24"/>
          <w:szCs w:val="24"/>
        </w:rPr>
        <w:t>30</w:t>
      </w:r>
      <w:r>
        <w:rPr>
          <w:rFonts w:hint="eastAsia" w:asciiTheme="minorEastAsia" w:hAnsiTheme="minorEastAsia" w:eastAsiaTheme="minorEastAsia"/>
          <w:sz w:val="24"/>
          <w:szCs w:val="24"/>
        </w:rPr>
        <w:t>日内退还基金认购人，对于基金募集期间网下股票认购所冻结的股票，发售代理机构应予以解冻；</w:t>
      </w:r>
    </w:p>
    <w:p w14:paraId="08037DD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）执行生效的基金份额持有人大会的决议；</w:t>
      </w:r>
    </w:p>
    <w:p w14:paraId="314C83F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）建立并保存基金份额持有人名册；</w:t>
      </w:r>
    </w:p>
    <w:p w14:paraId="58ED41E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）法律法规及中国证监会规定的和《基金合同》约定的其他义务。</w:t>
      </w:r>
    </w:p>
    <w:p w14:paraId="71D1738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45" w:name="_Toc57530240"/>
      <w:bookmarkStart w:id="146" w:name="_Toc15118238"/>
      <w:bookmarkStart w:id="147" w:name="_Toc79392581"/>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二、基金托管人</w:t>
      </w:r>
      <w:bookmarkEnd w:id="142"/>
      <w:bookmarkEnd w:id="145"/>
      <w:bookmarkEnd w:id="146"/>
      <w:bookmarkEnd w:id="147"/>
    </w:p>
    <w:p w14:paraId="474A19F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48" w:name="_Toc15118239"/>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基金托管人简况</w:t>
      </w:r>
      <w:bookmarkEnd w:id="148"/>
    </w:p>
    <w:p w14:paraId="5FAC210D">
      <w:pPr>
        <w:spacing w:line="360" w:lineRule="auto"/>
        <w:ind w:firstLine="480" w:firstLineChars="200"/>
        <w:rPr>
          <w:bCs/>
          <w:sz w:val="24"/>
        </w:rPr>
      </w:pPr>
      <w:bookmarkStart w:id="149" w:name="_Toc15118240"/>
      <w:r>
        <w:rPr>
          <w:rFonts w:hint="eastAsia"/>
          <w:bCs/>
          <w:sz w:val="24"/>
        </w:rPr>
        <w:t>名称：北京银行股份有限公司</w:t>
      </w:r>
    </w:p>
    <w:p w14:paraId="0210593F">
      <w:pPr>
        <w:spacing w:line="360" w:lineRule="auto"/>
        <w:ind w:firstLine="480" w:firstLineChars="200"/>
        <w:rPr>
          <w:bCs/>
          <w:sz w:val="24"/>
        </w:rPr>
      </w:pPr>
      <w:r>
        <w:rPr>
          <w:rFonts w:hint="eastAsia"/>
          <w:bCs/>
          <w:sz w:val="24"/>
        </w:rPr>
        <w:t>住所：北京市西城区金融大街甲17号首层</w:t>
      </w:r>
    </w:p>
    <w:p w14:paraId="6B897013">
      <w:pPr>
        <w:spacing w:line="360" w:lineRule="auto"/>
        <w:ind w:firstLine="480" w:firstLineChars="200"/>
        <w:rPr>
          <w:bCs/>
          <w:sz w:val="24"/>
        </w:rPr>
      </w:pPr>
      <w:r>
        <w:rPr>
          <w:rFonts w:hint="eastAsia"/>
          <w:bCs/>
          <w:sz w:val="24"/>
        </w:rPr>
        <w:t>法定代表人：</w:t>
      </w:r>
      <w:r>
        <w:rPr>
          <w:bCs/>
          <w:sz w:val="24"/>
        </w:rPr>
        <w:t>关文杰</w:t>
      </w:r>
    </w:p>
    <w:p w14:paraId="62FAD280">
      <w:pPr>
        <w:spacing w:line="360" w:lineRule="auto"/>
        <w:ind w:firstLine="480" w:firstLineChars="200"/>
        <w:rPr>
          <w:bCs/>
          <w:sz w:val="24"/>
        </w:rPr>
      </w:pPr>
      <w:r>
        <w:rPr>
          <w:rFonts w:hint="eastAsia"/>
          <w:bCs/>
          <w:sz w:val="24"/>
        </w:rPr>
        <w:t>成立时间：1996年1月29日</w:t>
      </w:r>
    </w:p>
    <w:p w14:paraId="4A285EF1">
      <w:pPr>
        <w:spacing w:line="360" w:lineRule="auto"/>
        <w:ind w:firstLine="480" w:firstLineChars="200"/>
        <w:rPr>
          <w:bCs/>
          <w:sz w:val="24"/>
        </w:rPr>
      </w:pPr>
      <w:r>
        <w:rPr>
          <w:rFonts w:hint="eastAsia"/>
          <w:bCs/>
          <w:sz w:val="24"/>
        </w:rPr>
        <w:t>组织形式：股份有限公司（上市）</w:t>
      </w:r>
    </w:p>
    <w:p w14:paraId="1B9C0650">
      <w:pPr>
        <w:spacing w:line="360" w:lineRule="auto"/>
        <w:ind w:firstLine="480" w:firstLineChars="200"/>
        <w:rPr>
          <w:bCs/>
          <w:sz w:val="24"/>
        </w:rPr>
      </w:pPr>
      <w:r>
        <w:rPr>
          <w:rFonts w:hint="eastAsia"/>
          <w:bCs/>
          <w:sz w:val="24"/>
        </w:rPr>
        <w:t>注册资本：2114298.4272万元人民币</w:t>
      </w:r>
    </w:p>
    <w:p w14:paraId="543C2731">
      <w:pPr>
        <w:spacing w:line="360" w:lineRule="auto"/>
        <w:ind w:firstLine="480" w:firstLineChars="200"/>
        <w:rPr>
          <w:bCs/>
          <w:sz w:val="24"/>
        </w:rPr>
      </w:pPr>
      <w:r>
        <w:rPr>
          <w:rFonts w:hint="eastAsia"/>
          <w:bCs/>
          <w:sz w:val="24"/>
        </w:rPr>
        <w:t>批准设立机关和设立文号：中国人民银行1995年12月28日《关于北京城市合作银行开业的批复》（银复[1995]470号）</w:t>
      </w:r>
    </w:p>
    <w:p w14:paraId="79E45E3F">
      <w:pPr>
        <w:spacing w:line="360" w:lineRule="auto"/>
        <w:ind w:firstLine="480" w:firstLineChars="200"/>
        <w:rPr>
          <w:bCs/>
          <w:sz w:val="24"/>
        </w:rPr>
      </w:pPr>
      <w:r>
        <w:rPr>
          <w:rFonts w:hint="eastAsia"/>
          <w:bCs/>
          <w:sz w:val="24"/>
        </w:rPr>
        <w:t>基金托管资格批准文号：中国证监会证监许可 [2008]776号</w:t>
      </w:r>
    </w:p>
    <w:p w14:paraId="6BBAA75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bCs/>
          <w:sz w:val="24"/>
        </w:rPr>
        <w:t>存续期间：持续经营</w:t>
      </w:r>
    </w:p>
    <w:p w14:paraId="47594FD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基金托管人的权利与义务</w:t>
      </w:r>
      <w:bookmarkEnd w:id="149"/>
    </w:p>
    <w:p w14:paraId="662C179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、根据《基金法》、《运作办法》及其他有关规定，基金托管人的权利包括但不限于：</w:t>
      </w:r>
    </w:p>
    <w:p w14:paraId="3ADEAEF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）自《基金合同》生效之日起，依法律法规和《基金合同》的规定安全保管基金财产；</w:t>
      </w:r>
    </w:p>
    <w:p w14:paraId="6915D6E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）依《基金合同》约定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及时、足额</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获得基金托管费以及法律法规规定或监管部门批准的其他费用；</w:t>
      </w:r>
    </w:p>
    <w:p w14:paraId="6EF2D6D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）监督基金管理人对本基金的投资运作，如发现基金管理人有违反《基金合同》及国家法律法规行为，对基金财产、其他当事人的利益造成重大损失的情形，</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有权</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呈报中国证监会，并</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有权</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采取必要措施保护基金投资者的利益；</w:t>
      </w:r>
    </w:p>
    <w:p w14:paraId="45490FE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）根据相关市场规则，</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协助基金管理人</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为基金开设</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资金账户、</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证券账户</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等投资所需账户，</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根据基金管理人的投资指令，及时办理清算、交割事宜</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6E0853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）提议召开或召集基金份额持有人大会；</w:t>
      </w:r>
    </w:p>
    <w:p w14:paraId="772F45A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）在基金管理人更换时，提名新的基金管理人；</w:t>
      </w:r>
    </w:p>
    <w:p w14:paraId="1FED8BD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）法律法规及中国证监会规定的和《基金合同》约定的其他权利。</w:t>
      </w:r>
    </w:p>
    <w:p w14:paraId="58E1CDC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、根据《基金法》、《运作办法》及其他有关规定，基金托管人的义务包括但不限于：</w:t>
      </w:r>
    </w:p>
    <w:p w14:paraId="4C5FABC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）以诚实信用、勤勉尽责的原则持有并安全保管基金财产</w:t>
      </w:r>
      <w:r>
        <w:rPr>
          <w:rFonts w:hint="eastAsia" w:ascii="宋体" w:hAnsi="宋体" w:cs="宋体"/>
          <w:color w:val="000000"/>
          <w:sz w:val="24"/>
          <w:szCs w:val="24"/>
          <w:highlight w:val="white"/>
          <w:lang w:bidi="ar"/>
        </w:rPr>
        <w:t>，但对于已根据基金管理人指令划转出托管账户的财产，以及处于基金托管人实际控制之外的财产不承担保管责任</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3757947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）设立专门的基金托管部门，具有符合要求的营业场所，配备足够的、合格的熟悉基金托管业务的专职人员，负责基金财产托管事宜；</w:t>
      </w:r>
    </w:p>
    <w:p w14:paraId="18D758E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43E9C2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）除依据《基金法》、《基金合同》及其他有关规定外，不得利用基金财产为自己及任何第三人谋取</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非法</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利益，不得委托第三人托管基金财产；</w:t>
      </w:r>
    </w:p>
    <w:p w14:paraId="352EDFF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）保管由基金管理人代表基金签订的与基金有关的重大合同及有关凭证；</w:t>
      </w:r>
    </w:p>
    <w:p w14:paraId="5E0394C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）按规定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协助基金管理人</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开设基金财产的资金账户</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证券账户</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等投资所需账户，</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按照《基金合同》的约定，根据基金管理人的投资指令，及时办理清算、交割事宜；</w:t>
      </w:r>
    </w:p>
    <w:p w14:paraId="6B2C995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）保守基金商业秘密，除《基金法》、《基金合同》及其他有关规定另有规定外，在基金信息公开披露前予以保密，不得向他人泄露，但</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根据法律法规规定、</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因监管机构、司法机关等有权机关</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或任一方上市的证券交易所</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要求，或因审计、法律等外部专业顾问提供服务需要提供的情况除外；</w:t>
      </w:r>
    </w:p>
    <w:p w14:paraId="06DC61F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）复核、审查基金管理人计算的基金资产净值、基金份额净值、基金份额申购、赎回对价；</w:t>
      </w:r>
    </w:p>
    <w:p w14:paraId="07B4C61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）办理与基金托管业务活动有关的信息披露事项；</w:t>
      </w:r>
    </w:p>
    <w:p w14:paraId="78528A3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091F49F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）保存基金托管业务活动的记录、账册、报表和其他相关资料，保存期限不低于法定最低期限；</w:t>
      </w:r>
    </w:p>
    <w:p w14:paraId="730E35E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）从基金管理人或其委托的登记机构处接收并保存基金份额持有人名册；</w:t>
      </w:r>
    </w:p>
    <w:p w14:paraId="267396D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）按规定制作相关账册并与基金管理人核对；</w:t>
      </w:r>
    </w:p>
    <w:p w14:paraId="470744C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）依据基金管理人的指令或有关规定向基金份额持有人支付基金收益和赎回</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对价的现金部分</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67DF331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）依据《基金法》、《基金合同》及其他有关规定，召集基金份额持有人大会或配合基金</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管理人、</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基金份额持有人依法召集基金份额持有人大会；</w:t>
      </w:r>
    </w:p>
    <w:p w14:paraId="29C87E9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有权</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按照《基金合同》、《托管协议》的</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约</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定监督基金管理人的投资运作</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，基金托管人不因提供监督服务而对基金管理人的违法违规投资等承担责任</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4628617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）参加基金财产清算小组，参与基金财产的保管、清理、估价、变现和分配；</w:t>
      </w:r>
    </w:p>
    <w:p w14:paraId="39D340A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）面临解散、依法被撤销或者被依法宣告破产时，及时报告中国证监会，并通知基金管理人；</w:t>
      </w:r>
    </w:p>
    <w:p w14:paraId="58D303D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）因</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基金托管人过错</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违反《基金合同》导致基金财产损失时，应</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基金财产</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的直接经济损失</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承担赔偿责任，其赔偿责任不因其退任而免除；</w:t>
      </w:r>
    </w:p>
    <w:p w14:paraId="7F897D5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有权</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按《基金合同》、《托管协议》的约定监督基金管理人的投资运作，基金管理人因违反《基金合同》、《托管协议》造成基金财产损失时，</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有权</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为基金份额持有人利益向基金管理人追偿</w:t>
      </w:r>
      <w:bookmarkStart w:id="150" w:name="_Hlt88825668"/>
      <w:bookmarkEnd w:id="150"/>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4310050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决议</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54B4EDC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bookmarkStart w:id="151" w:name="_Toc523711670"/>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法律法规及中国证监会规定的和《基金合同》、《托管协议》约定的其他义务。</w:t>
      </w:r>
    </w:p>
    <w:bookmarkEnd w:id="151"/>
    <w:p w14:paraId="24103E1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52" w:name="_Toc79392582"/>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三、基金份额持有人</w:t>
      </w:r>
      <w:bookmarkEnd w:id="152"/>
    </w:p>
    <w:p w14:paraId="5440173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基金投资者持有本基金</w:t>
      </w:r>
      <w:bookmarkStart w:id="153" w:name="_Hlt88899909"/>
      <w:bookmarkEnd w:id="153"/>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A318C0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每份基金份额具有同等的合法权益。</w:t>
      </w:r>
    </w:p>
    <w:p w14:paraId="0175762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、根据《基金法》、《运作办法》及其他有关规定，基金份额持有人的权利包括但不限于：</w:t>
      </w:r>
    </w:p>
    <w:p w14:paraId="7FE8ECA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）分享基金财产收益；</w:t>
      </w:r>
    </w:p>
    <w:p w14:paraId="35EFB8C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）参与分配清算后的剩余基金财产；</w:t>
      </w:r>
      <w:bookmarkStart w:id="154" w:name="_Hlt88825574"/>
      <w:bookmarkEnd w:id="154"/>
    </w:p>
    <w:p w14:paraId="4863DB6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）依法转让或者申请赎回其持有的基金份额；</w:t>
      </w:r>
    </w:p>
    <w:p w14:paraId="35B5B44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）按照规定要求召开基金份额持有人大会或者召集基金份额持有人大会；</w:t>
      </w:r>
    </w:p>
    <w:p w14:paraId="2B33999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）出席或者委派代表出席基金份额持有人大会，对基金份额持有人大会审议事项行使表决权；</w:t>
      </w:r>
    </w:p>
    <w:p w14:paraId="6AA5E8C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）查阅或者复制公开披露的基金信息资料；</w:t>
      </w:r>
    </w:p>
    <w:p w14:paraId="4FADEDA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）监督基金管理人的投资运作；</w:t>
      </w:r>
    </w:p>
    <w:p w14:paraId="173E883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）对基金管理人、基金托管人、基金</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服务</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机构损害其合法权益的行为依法提起诉讼或仲裁；</w:t>
      </w:r>
    </w:p>
    <w:p w14:paraId="6302248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）法律法规及中国证监会规定的和《基金合同》约定的其他权利。</w:t>
      </w:r>
    </w:p>
    <w:p w14:paraId="13B14C4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、根据《基金法》、《运作办法》及其他有关规定，基金份额持有人的义务包括但不限于：</w:t>
      </w:r>
    </w:p>
    <w:p w14:paraId="56E47BE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）认真阅读并遵守《基金合同》、</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招募说明书及基金产品资料概要等信息披露文件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46F0174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）了解所投资基金产品，了解自身风险承受能力，自主判断基金的投资价值，自主做出投资决策，自行承担投资风险；</w:t>
      </w:r>
    </w:p>
    <w:p w14:paraId="50B2D82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）关注基金信息披露，及时行使权利和履行义务；</w:t>
      </w:r>
    </w:p>
    <w:p w14:paraId="31BDA4D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）交纳基金认购款项和认购股票、申购对价及法律法规和《基金合同》所规定的费用；</w:t>
      </w:r>
    </w:p>
    <w:p w14:paraId="4C2B0FF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）在其持有的基金份额范围内，承担基金亏损或者《基金合同》终止的有限责任；</w:t>
      </w:r>
    </w:p>
    <w:p w14:paraId="34B7DF7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）不从事任何有损基金及其他《基金合同》当事人合法权益的活动；</w:t>
      </w:r>
    </w:p>
    <w:p w14:paraId="42D1266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决议</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19DBF27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）返还在基金交易过程中因任何原因获得的不当得利；</w:t>
      </w:r>
    </w:p>
    <w:p w14:paraId="60FC877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）法律法规及中国证监会规定的和《基金合同》约定的其他义务。</w:t>
      </w:r>
    </w:p>
    <w:p w14:paraId="338BCB42">
      <w:pPr>
        <w:adjustRightInd w:val="0"/>
        <w:snapToGrid w:val="0"/>
        <w:spacing w:line="360" w:lineRule="auto"/>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55" w:name="_Toc10650"/>
      <w:bookmarkStart w:id="156" w:name="_Toc3321"/>
      <w:bookmarkStart w:id="157" w:name="_Toc9706"/>
      <w:bookmarkStart w:id="158" w:name="_Toc141703888"/>
      <w:bookmarkStart w:id="159" w:name="_Toc6447"/>
      <w:bookmarkStart w:id="160" w:name="_Toc7058"/>
      <w:bookmarkStart w:id="161" w:name="_Toc20768"/>
      <w:bookmarkStart w:id="162" w:name="_Toc3771"/>
      <w:bookmarkStart w:id="163" w:name="_Toc79392583"/>
      <w:bookmarkStart w:id="164" w:name="_Toc123112236"/>
      <w:bookmarkStart w:id="165" w:name="_Toc98560354"/>
      <w:bookmarkStart w:id="166" w:name="_Toc139991738"/>
      <w:bookmarkStart w:id="167" w:name="_Toc4559"/>
      <w:bookmarkStart w:id="168" w:name="_Toc123051454"/>
      <w:bookmarkStart w:id="169" w:name="_Toc18567"/>
      <w:bookmarkStart w:id="170" w:name="_Toc123102455"/>
      <w:bookmarkStart w:id="171" w:name="_Toc11030"/>
      <w:bookmarkStart w:id="172" w:name="_Toc25783"/>
    </w:p>
    <w:p w14:paraId="5B0EF0EB">
      <w:pPr>
        <w:pStyle w:val="2"/>
        <w:rPr>
          <w:rFonts w:hint="eastAsia"/>
          <w:szCs w:val="24"/>
        </w:rPr>
        <w:sectPr>
          <w:footerReference r:id="rId17" w:type="default"/>
          <w:pgSz w:w="11906" w:h="16838"/>
          <w:pgMar w:top="1440" w:right="1800" w:bottom="1440" w:left="1800" w:header="851" w:footer="992" w:gutter="0"/>
          <w:pgNumType w:start="1"/>
          <w:cols w:space="425" w:num="1"/>
          <w:docGrid w:type="lines" w:linePitch="312" w:charSpace="0"/>
        </w:sectPr>
      </w:pPr>
      <w:bookmarkStart w:id="173" w:name="_Hlt130956763"/>
      <w:bookmarkStart w:id="174" w:name="_Toc90742692"/>
      <w:bookmarkStart w:id="175" w:name="_Toc90742325"/>
      <w:bookmarkStart w:id="176" w:name="_Toc90742394"/>
    </w:p>
    <w:bookmarkEnd w:id="130"/>
    <w:bookmarkEnd w:id="173"/>
    <w:p w14:paraId="410F66B0">
      <w:pPr>
        <w:pStyle w:val="2"/>
        <w:rPr>
          <w:rFonts w:hint="eastAsia"/>
          <w:szCs w:val="24"/>
        </w:rPr>
      </w:pPr>
      <w:bookmarkStart w:id="177" w:name="CTS_396dce3acb8e42dbb1f5b80666a7a5a0"/>
      <w:bookmarkEnd w:id="177"/>
      <w:bookmarkStart w:id="178" w:name="_Toc86655084"/>
      <w:bookmarkStart w:id="179" w:name="CLAUSE_396dce3acb8e42dbb1f5b80666a7a5a0"/>
      <w:r>
        <w:rPr>
          <w:rFonts w:hint="eastAsia" w:cs="Arial"/>
          <w:szCs w:val="24"/>
        </w:rPr>
        <w:t xml:space="preserve">第十部分 </w:t>
      </w:r>
      <w:r>
        <w:rPr>
          <w:szCs w:val="24"/>
        </w:rPr>
        <w:t>基金份额持有人大会</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4"/>
      <w:bookmarkEnd w:id="175"/>
      <w:bookmarkEnd w:id="176"/>
      <w:bookmarkEnd w:id="178"/>
    </w:p>
    <w:p w14:paraId="67C9C7F0">
      <w:pPr>
        <w:tabs>
          <w:tab w:val="left" w:pos="1080"/>
        </w:tabs>
        <w:adjustRightInd w:val="0"/>
        <w:snapToGrid w:val="0"/>
        <w:spacing w:line="360" w:lineRule="auto"/>
        <w:ind w:left="1075" w:leftChars="199" w:hanging="657" w:hangingChars="274"/>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4B6E694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168B04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80" w:name="_Toc57530243"/>
      <w:bookmarkStart w:id="181" w:name="_Toc15641220"/>
      <w:bookmarkStart w:id="182" w:name="_Toc79392584"/>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2F70073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3B49CDB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250335E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法律法规或监管机构对基金份额持有人大会另有规定的，从其规定。</w:t>
      </w:r>
    </w:p>
    <w:p w14:paraId="3CF84CF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本基金份额持有人大会不设日常机构。</w:t>
      </w:r>
    </w:p>
    <w:p w14:paraId="3F51FA6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一、召开事由</w:t>
      </w:r>
      <w:bookmarkEnd w:id="180"/>
      <w:bookmarkEnd w:id="181"/>
      <w:bookmarkEnd w:id="182"/>
    </w:p>
    <w:p w14:paraId="2277DC0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、除法律法规、中国证监会和基金合同另有规定外，当出现或需要决定下列事由之一的，应当召开基金份额持有人大会：</w:t>
      </w:r>
    </w:p>
    <w:p w14:paraId="6F2F984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）终止《基金合同》；</w:t>
      </w:r>
    </w:p>
    <w:p w14:paraId="44DF38B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）更换基金管理人；</w:t>
      </w:r>
    </w:p>
    <w:p w14:paraId="7913525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）更换基金托管人；</w:t>
      </w:r>
    </w:p>
    <w:p w14:paraId="651720C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）转换基金运作方式；</w:t>
      </w:r>
    </w:p>
    <w:p w14:paraId="58DA05C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）调整基金管理人、基金托管人的报酬标准；</w:t>
      </w:r>
    </w:p>
    <w:p w14:paraId="3507E8A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）变更基金类别；</w:t>
      </w:r>
    </w:p>
    <w:p w14:paraId="29BE483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）本基金与其他基金的合并；</w:t>
      </w:r>
    </w:p>
    <w:p w14:paraId="52B76B3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）变更基金投资目标、范围或策略；</w:t>
      </w:r>
    </w:p>
    <w:p w14:paraId="416AEEB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）变更基金份额持有人大会程序；</w:t>
      </w:r>
    </w:p>
    <w:p w14:paraId="4DBB76C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）基金管理人或基金托管人要求召开基金份额持有人大会；</w:t>
      </w:r>
    </w:p>
    <w:p w14:paraId="1CC632A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）单独或合计持有本基金总份额</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以上（含</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）基金份额的基金份额持有人（以基金管理人收到提议当日的基金份额计算，下同）就同一事项书面要求召开基金份额持有人大会；</w:t>
      </w:r>
    </w:p>
    <w:p w14:paraId="6C6CBA1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）对基金合同当事人权利和义务产生重大影响的其他事项；</w:t>
      </w:r>
    </w:p>
    <w:p w14:paraId="60CE55C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（13）终止基金上市，但因基金不再具备上市条件而被深圳证券交易所终止上市的情形除外；</w:t>
      </w:r>
    </w:p>
    <w:p w14:paraId="1126D97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（14）法律法规、《基金合同》或中国证监会规定的其他应当召开基金份额持有人大会的事项。</w:t>
      </w:r>
    </w:p>
    <w:p w14:paraId="6A01583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、在法律法规规定和《基金合同》约定的范围内且对基金份额持有人利益无实质性不利影响的前提下，以下情况可由基金管理人和基金托管人协商后修改，不需召开基金份额持有人大会：</w:t>
      </w:r>
    </w:p>
    <w:p w14:paraId="5C47B96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（1）法律法规要求增加的基金费用的收取；</w:t>
      </w:r>
    </w:p>
    <w:p w14:paraId="2A960FD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（2）调整本基金的申购费率、变更收费方式或调整基金份额类别设置、对基金份额分类办法及规则进行调整；</w:t>
      </w:r>
    </w:p>
    <w:p w14:paraId="6B0AE9E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（3）因相应的法律法规、深圳证券交易所或者登记机构的相关业务规则发生变动而应当对《基金合同》进行修改；</w:t>
      </w:r>
    </w:p>
    <w:p w14:paraId="025EDA9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（4）对《基金合同》的修改对基金份额持有人利益无实质性不利影响或修改不涉及《基金合同》当事人权利义务关系发生重大变化；</w:t>
      </w:r>
    </w:p>
    <w:p w14:paraId="54EE2A6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（5）基金管理人、相关证券交易所和登记机构等调整有关基金申购、赎回、交易、转托管、非交易过户等业务的规则（包括申购赎回清单的调整、开放时间的调整等）；</w:t>
      </w:r>
    </w:p>
    <w:p w14:paraId="49A0590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（6）经履行相关程序后，基金推出新业务或服务；</w:t>
      </w:r>
    </w:p>
    <w:p w14:paraId="109731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（7）调整基金的申购赎回方式及申购对价、赎回对价组成；调整申购赎回清单的内容，调整申购赎回清单计算和公告时间或频率；</w:t>
      </w:r>
    </w:p>
    <w:p w14:paraId="7A9EF17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（8）按照法律法规和《基金合同》规定不需召开基金份额持有人大会的其他情形。</w:t>
      </w:r>
    </w:p>
    <w:p w14:paraId="3FE8D34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83" w:name="_Toc15641221"/>
      <w:bookmarkStart w:id="184" w:name="_Toc79392585"/>
      <w:bookmarkStart w:id="185" w:name="_Toc57530244"/>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二、会议召集人及召集方式</w:t>
      </w:r>
      <w:bookmarkEnd w:id="183"/>
      <w:bookmarkEnd w:id="184"/>
      <w:bookmarkEnd w:id="185"/>
    </w:p>
    <w:p w14:paraId="2CD1520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86" w:name="_Toc15641222"/>
      <w:bookmarkStart w:id="187" w:name="_Toc57530245"/>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、除法律法规规定或《基金合同》另有约定外，基金份额持有人大会由基金管理人召集。</w:t>
      </w:r>
    </w:p>
    <w:p w14:paraId="6452A4F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、基金管理人未按规定召集或不能召集时，由基金托管人召集。</w:t>
      </w:r>
    </w:p>
    <w:p w14:paraId="594A857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、基金托管人认为有必要召开基金份额持有人大会的，应当向基金管理人提出书面提议。基金管理人应当自收到书面提议之日起</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640C9A8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日内召开并告知基金管理人，基金管理人应当配合。</w:t>
      </w:r>
    </w:p>
    <w:p w14:paraId="20B3944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日报中国证监会备案。基金份额持有人依法自行召集基金份额持有人大会的，基金管理人、基金托管人应当配合，不得阻碍、干扰。</w:t>
      </w:r>
    </w:p>
    <w:p w14:paraId="753563F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、基金份额持有人会议的召集人负责选择确定开会时间、地点、方式和权益登记日。</w:t>
      </w:r>
    </w:p>
    <w:p w14:paraId="61E853E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88" w:name="_Toc79392586"/>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三、召开基金份额持有人大会的通知时间、通知内容、通知方式</w:t>
      </w:r>
      <w:bookmarkEnd w:id="186"/>
      <w:bookmarkEnd w:id="187"/>
      <w:bookmarkEnd w:id="188"/>
    </w:p>
    <w:p w14:paraId="1EA335E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、召开基金份额持有人大会，召集人应于会议召开前30日，在规定媒介公告。基金份额持有人大会通知应至少载明以下内容：</w:t>
      </w:r>
    </w:p>
    <w:p w14:paraId="7EE57FC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）会议召开的时间、地点和会议形式；</w:t>
      </w:r>
    </w:p>
    <w:p w14:paraId="4BAC0CC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）会议拟审议的事项、议事程序和表决方式；</w:t>
      </w:r>
    </w:p>
    <w:p w14:paraId="46631BD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）有权出席基金份额持有人大会的基金份额持有人的权益登记日；</w:t>
      </w:r>
    </w:p>
    <w:p w14:paraId="0FDC33C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）授权委托证明的内容要求（包括但不限于代理人身份，代理权限和代理有效期限等）、送达时间和地点；</w:t>
      </w:r>
    </w:p>
    <w:p w14:paraId="2ECD98E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）会务常设联系人姓名及联系电话；</w:t>
      </w:r>
    </w:p>
    <w:p w14:paraId="630FA02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）出席会议者必须准备的文件和必须履行的手续；</w:t>
      </w:r>
    </w:p>
    <w:p w14:paraId="5897E0D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）召集人需要通知的其他事项。</w:t>
      </w:r>
    </w:p>
    <w:p w14:paraId="5330374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2701B23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7805F4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89" w:name="_Toc57530246"/>
      <w:bookmarkStart w:id="190" w:name="_Toc79392587"/>
      <w:bookmarkStart w:id="191" w:name="_Toc15641223"/>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四、基金份额持有人出席会议的方式</w:t>
      </w:r>
      <w:bookmarkEnd w:id="189"/>
      <w:bookmarkEnd w:id="190"/>
      <w:bookmarkEnd w:id="191"/>
    </w:p>
    <w:p w14:paraId="16FD9C9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4AC6B51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20844F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6D969CC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242FC43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28D2333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在同时符合以下条件时，通讯开会的方式视为有效：</w:t>
      </w:r>
    </w:p>
    <w:p w14:paraId="2A92207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）会议召集人按《基金合同》约定公布会议通知后，在2个工作日内连续公布相关提示性公告；</w:t>
      </w:r>
    </w:p>
    <w:p w14:paraId="647BF7E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01B5B95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）本人直接出具表决意见或授权他人代表出具表决意见的，基金份额持有人所持有的基金份额不小于在权益登记日基金总份额的二分之一（含二分之一）；</w:t>
      </w:r>
    </w:p>
    <w:p w14:paraId="2753833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4255DCE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）上述第（</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7BFB52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5E49051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92" w:name="_Toc79392588"/>
      <w:bookmarkStart w:id="193" w:name="_Toc57530247"/>
      <w:bookmarkStart w:id="194" w:name="_Toc15641224"/>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五、议事内容与程序</w:t>
      </w:r>
      <w:bookmarkEnd w:id="192"/>
      <w:bookmarkEnd w:id="193"/>
      <w:bookmarkEnd w:id="194"/>
    </w:p>
    <w:p w14:paraId="1BE1EE6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、议事内容及提案权</w:t>
      </w:r>
    </w:p>
    <w:p w14:paraId="71F237B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C7CD4E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1C2AA74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基金份额持有人大会不得对未事先公告的议事内容进行表决。</w:t>
      </w:r>
    </w:p>
    <w:p w14:paraId="53FA2F3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、议事程序</w:t>
      </w:r>
    </w:p>
    <w:p w14:paraId="72E1FEE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）现场开会</w:t>
      </w:r>
    </w:p>
    <w:p w14:paraId="3941A2E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5ACEC5A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7C3E3B4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）通讯开会</w:t>
      </w:r>
    </w:p>
    <w:p w14:paraId="6495DBE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7E1ABC5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95" w:name="_Toc57530248"/>
      <w:bookmarkStart w:id="196" w:name="_Toc79392589"/>
      <w:bookmarkStart w:id="197" w:name="_Toc15641225"/>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六、表决</w:t>
      </w:r>
      <w:bookmarkEnd w:id="195"/>
      <w:bookmarkEnd w:id="196"/>
      <w:bookmarkEnd w:id="197"/>
    </w:p>
    <w:p w14:paraId="1AF79D2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基金份额持有人所持每份基金份额有一票表决权。</w:t>
      </w:r>
    </w:p>
    <w:p w14:paraId="60436ED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基金份额持有人大会决议分为一般决议和特别决议：</w:t>
      </w:r>
    </w:p>
    <w:p w14:paraId="5FA77B3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、一般决议，一般决议须经参加大会的基金份额持有人或其代理人所持表决权的二分之一以上（含二分之一）通过方为有效；除下列第</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项所规定的须以特别决议通过事项以外的其他事项均以一般决议的方式通过。</w:t>
      </w:r>
    </w:p>
    <w:p w14:paraId="3742EC0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071ABA7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基金份额持有人大会采取记名方式进行投票表决。</w:t>
      </w:r>
    </w:p>
    <w:p w14:paraId="462E6E1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AE58FD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基金份额持有人大会的各项提案或同一项提案内并列的各项议题应当分开审议、逐项表决。</w:t>
      </w:r>
    </w:p>
    <w:p w14:paraId="61B25FD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在上述规则的前提下，具体规则以召集人发布的基金份额持有人大会通知为准。</w:t>
      </w:r>
    </w:p>
    <w:p w14:paraId="1CD76F4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198" w:name="_Toc15641226"/>
      <w:bookmarkStart w:id="199" w:name="_Toc57530249"/>
      <w:bookmarkStart w:id="200" w:name="_Toc79392590"/>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七、计票</w:t>
      </w:r>
      <w:bookmarkEnd w:id="198"/>
      <w:bookmarkEnd w:id="199"/>
      <w:bookmarkEnd w:id="200"/>
    </w:p>
    <w:p w14:paraId="79F9726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、现场开会</w:t>
      </w:r>
    </w:p>
    <w:p w14:paraId="664CD6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65A952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）监票人应当在基金份额持有人表决后立即进行清点并由大会主持人当场公布计票结果。</w:t>
      </w:r>
    </w:p>
    <w:p w14:paraId="7603BEB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6816FA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）计票过程应由公证机关予以公证，基金管理人或基金托管人拒不出席大会的，不影响计票的效力。</w:t>
      </w:r>
    </w:p>
    <w:p w14:paraId="1303B6A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、通讯开会</w:t>
      </w:r>
    </w:p>
    <w:p w14:paraId="1779A30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w:t>
      </w:r>
      <w:bookmarkStart w:id="201" w:name="_Toc57530250"/>
      <w:bookmarkStart w:id="202" w:name="_Toc79392591"/>
      <w:bookmarkStart w:id="203" w:name="_Toc15641227"/>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。基金管理人或基金托管人拒派代表对表决意见的计票进行监督的，不影响计票和表决结果。</w:t>
      </w:r>
    </w:p>
    <w:p w14:paraId="2CABDC2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八、生效与公告</w:t>
      </w:r>
      <w:bookmarkEnd w:id="201"/>
      <w:bookmarkEnd w:id="202"/>
      <w:bookmarkEnd w:id="203"/>
    </w:p>
    <w:p w14:paraId="0AA3BFC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基金份额持有人大会的决议，召集人应当自通过之日起5日内报中国证监会备案。</w:t>
      </w:r>
    </w:p>
    <w:p w14:paraId="3731D77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基金份额持有人大会的决议自表决通过之日起生效。</w:t>
      </w:r>
    </w:p>
    <w:p w14:paraId="1552440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基金份额持有人大会决议自生效之日起按规定在规定媒介上公告。</w:t>
      </w:r>
      <w:bookmarkStart w:id="204" w:name="_Hlt88820702"/>
      <w:bookmarkEnd w:id="204"/>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如果采用通讯方式进行表决，在公告基金份额持有人大会决议时，必须将公证书全文、公证机构、公证员姓名等一同公告。</w:t>
      </w:r>
    </w:p>
    <w:p w14:paraId="0100078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0AE4AEF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05" w:name="_Toc16164"/>
      <w:bookmarkStart w:id="206" w:name="_Toc18206"/>
      <w:bookmarkStart w:id="207" w:name="_Toc123102456"/>
      <w:bookmarkStart w:id="208" w:name="_Toc18769"/>
      <w:bookmarkStart w:id="209" w:name="_Toc3963"/>
      <w:bookmarkStart w:id="210" w:name="_Toc10398"/>
      <w:bookmarkStart w:id="211" w:name="_Toc3080"/>
      <w:bookmarkStart w:id="212" w:name="_Toc3572"/>
      <w:bookmarkStart w:id="213" w:name="_Toc139991739"/>
      <w:bookmarkStart w:id="214" w:name="_Toc123112237"/>
      <w:bookmarkStart w:id="215" w:name="_Toc141703889"/>
      <w:bookmarkStart w:id="216" w:name="_Toc31821"/>
      <w:bookmarkStart w:id="217" w:name="_Toc725"/>
      <w:bookmarkStart w:id="218" w:name="_Toc21735"/>
      <w:bookmarkStart w:id="219" w:name="_Toc1745"/>
      <w:bookmarkStart w:id="220" w:name="_Toc98560355"/>
      <w:bookmarkStart w:id="221" w:name="_Toc123051455"/>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提前公告后，可直接对本部分内容进行修改和调整，无需召开基金份额持有人大会审议。</w:t>
      </w:r>
      <w:bookmarkStart w:id="222" w:name="_Hlt70479195"/>
      <w:bookmarkEnd w:id="222"/>
    </w:p>
    <w:p w14:paraId="2E3EB0E7">
      <w:pPr>
        <w:pStyle w:val="2"/>
        <w:rPr>
          <w:rFonts w:hint="eastAsia"/>
          <w:szCs w:val="24"/>
        </w:rPr>
        <w:sectPr>
          <w:footerReference r:id="rId18" w:type="default"/>
          <w:pgSz w:w="11906" w:h="16838"/>
          <w:pgMar w:top="1440" w:right="1800" w:bottom="1440" w:left="1800" w:header="851" w:footer="992" w:gutter="0"/>
          <w:pgNumType w:start="1"/>
          <w:cols w:space="425" w:num="1"/>
          <w:docGrid w:type="lines" w:linePitch="312" w:charSpace="0"/>
        </w:sectPr>
      </w:pPr>
      <w:bookmarkStart w:id="223" w:name="_Toc90742693"/>
      <w:bookmarkStart w:id="224" w:name="_Toc90742395"/>
      <w:bookmarkStart w:id="225" w:name="_Toc90742326"/>
    </w:p>
    <w:bookmarkEnd w:id="179"/>
    <w:p w14:paraId="0B0442C7">
      <w:pPr>
        <w:pStyle w:val="2"/>
        <w:rPr>
          <w:rFonts w:hint="eastAsia"/>
          <w:szCs w:val="24"/>
        </w:rPr>
      </w:pPr>
      <w:bookmarkStart w:id="226" w:name="CLAUSE_823dc9468bc849cbaecf69069b7a07df"/>
      <w:r>
        <w:rPr>
          <w:szCs w:val="24"/>
        </w:rPr>
        <w:t xml:space="preserve"> </w:t>
      </w:r>
      <w:bookmarkStart w:id="227" w:name="CTS_823dc9468bc849cbaecf69069b7a07df"/>
      <w:bookmarkEnd w:id="227"/>
      <w:bookmarkStart w:id="228" w:name="_Toc86655085"/>
      <w:r>
        <w:rPr>
          <w:rFonts w:hint="eastAsia" w:cs="Arial"/>
          <w:szCs w:val="24"/>
        </w:rPr>
        <w:t xml:space="preserve">第十一部分 </w:t>
      </w:r>
      <w:r>
        <w:rPr>
          <w:szCs w:val="24"/>
        </w:rPr>
        <w:t>基金管理人、基金托管人的更换条件和程序</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3"/>
      <w:bookmarkEnd w:id="224"/>
      <w:bookmarkEnd w:id="225"/>
      <w:bookmarkEnd w:id="228"/>
    </w:p>
    <w:p w14:paraId="12CF43FB">
      <w:pPr>
        <w:autoSpaceDE w:val="0"/>
        <w:autoSpaceDN w:val="0"/>
        <w:spacing w:line="360" w:lineRule="auto"/>
        <w:textAlignment w:val="bottom"/>
        <w:rPr>
          <w:rFonts w:hint="eastAsia" w:asciiTheme="minorEastAsia" w:hAnsiTheme="minorEastAsia" w:eastAsiaTheme="minorEastAsia"/>
          <w:bCs/>
          <w:sz w:val="24"/>
          <w:szCs w:val="24"/>
        </w:rPr>
      </w:pPr>
      <w:bookmarkStart w:id="229" w:name="_Toc15118245"/>
      <w:bookmarkStart w:id="230" w:name="_Toc79392593"/>
      <w:bookmarkStart w:id="231" w:name="_Toc57530252"/>
    </w:p>
    <w:p w14:paraId="227D2D4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一、基金管理人和基金托管人职责终止的情形</w:t>
      </w:r>
      <w:bookmarkEnd w:id="229"/>
      <w:bookmarkEnd w:id="230"/>
      <w:bookmarkEnd w:id="231"/>
    </w:p>
    <w:p w14:paraId="563EFF2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32" w:name="_Toc22005971"/>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基金管理人职责终止的情形</w:t>
      </w:r>
      <w:bookmarkEnd w:id="232"/>
    </w:p>
    <w:p w14:paraId="22F8D9A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有下列情形之一的，基金管理人职责终止：</w:t>
      </w:r>
    </w:p>
    <w:p w14:paraId="3F806A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、被依法取消基金管理资格；</w:t>
      </w:r>
    </w:p>
    <w:p w14:paraId="04919BD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、被基金份额持有人大会解任；</w:t>
      </w:r>
    </w:p>
    <w:p w14:paraId="1754C00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、依法解散、被依法撤销或被依法宣告破产；</w:t>
      </w:r>
    </w:p>
    <w:p w14:paraId="6B1251A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、法律法规及中国证监会规定的和《基金合同》约定的其他情形。</w:t>
      </w:r>
    </w:p>
    <w:p w14:paraId="2E6F798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33" w:name="_Toc22005972"/>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基金托管人职责终止的情形</w:t>
      </w:r>
      <w:bookmarkEnd w:id="233"/>
    </w:p>
    <w:p w14:paraId="0669D39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有下列情形之一的，基金托管人职责终止：</w:t>
      </w:r>
    </w:p>
    <w:p w14:paraId="2196473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、被依法取消基金托管资格；</w:t>
      </w:r>
    </w:p>
    <w:p w14:paraId="63714DF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、被基金份额持有人大会解任；</w:t>
      </w:r>
    </w:p>
    <w:p w14:paraId="3AC1514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、依法解散、被依法撤销或被依法宣告破产；</w:t>
      </w:r>
    </w:p>
    <w:p w14:paraId="6EF51F7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、法律法规及中国证监会规定的和《基金合同》约定的其他情形。</w:t>
      </w:r>
    </w:p>
    <w:p w14:paraId="0342C06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34" w:name="_Toc79392594"/>
      <w:bookmarkStart w:id="235" w:name="_Toc15118246"/>
      <w:bookmarkStart w:id="236" w:name="_Toc57530253"/>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二、基金管理人和基金托管人的更换程序</w:t>
      </w:r>
      <w:bookmarkEnd w:id="234"/>
      <w:bookmarkEnd w:id="235"/>
      <w:bookmarkEnd w:id="236"/>
    </w:p>
    <w:p w14:paraId="2A5AD38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37" w:name="_Toc22005974"/>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基金管理人的更换程序</w:t>
      </w:r>
      <w:bookmarkEnd w:id="237"/>
    </w:p>
    <w:p w14:paraId="1E5D786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、提名：新任基金管理人由基金托管人或由单独或合计持有</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以上（含</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）基金份额的基金份额持有人提名；</w:t>
      </w:r>
    </w:p>
    <w:p w14:paraId="6C4577A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、决议：基金份额持有人大会在基金管理人职责终止后</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个月内对被提名的基金管理人形成决议，该决议需经参加大会的基金份额持有人所持表决权的三分之二以上（含三分之二）表决通过，决议自表决通过之日起生效；</w:t>
      </w:r>
    </w:p>
    <w:p w14:paraId="421DC3B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、临时基金管理人：新任基金管理人产生之前，由中国证监会指定临时基金管理人；</w:t>
      </w:r>
    </w:p>
    <w:p w14:paraId="6DAB951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、备案：基金份额持有人大会更换基金管理人的决议须报中国证监会备案；</w:t>
      </w:r>
    </w:p>
    <w:p w14:paraId="12ACBD7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、公告：基金管理人更换后，由基金托管人在更换基金管理人的基金份额持有人大会决议生效后依照《信息披露办法》在规定媒介公告；</w:t>
      </w:r>
    </w:p>
    <w:p w14:paraId="5F748EC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净值；</w:t>
      </w:r>
    </w:p>
    <w:p w14:paraId="71F508A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、审计：基金管理人职责终止的，应当按照法律法规规定聘请会计师事务所对基金财产进行审计，并将审计结果予以公告，同时报中国证监会备案，审计费用从基金财产中列支；</w:t>
      </w:r>
    </w:p>
    <w:p w14:paraId="22985B0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、基金名称变更：基金管理人更换后，如果原任或新任基金管理人要求，应按其要求替换或删除基金名称中与原基金管理人有关的名称字样。</w:t>
      </w:r>
    </w:p>
    <w:p w14:paraId="7E903BE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38" w:name="_Toc22005975"/>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基金托管人的更换程序</w:t>
      </w:r>
      <w:bookmarkEnd w:id="238"/>
    </w:p>
    <w:p w14:paraId="5F86C34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、提名：新任基金托管人由基金管理人或由单独或合计持有</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以上（含</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）基金份额的基金份额持有人提名；</w:t>
      </w:r>
    </w:p>
    <w:p w14:paraId="7DADEC3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、决议：基金份额持有人大会在基金托管人职责终止后</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个月内对被提名的基金托管人形成决议，该决议需经参加大会的基金份额持有人所持表决权的三分之二以上（含三分之二）表决通过，决议自表决通过之日起生效；</w:t>
      </w:r>
    </w:p>
    <w:p w14:paraId="4105F61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、临时基金托管人：新任基金托管人产生之前，由中国证监会指定临时基金托管人；</w:t>
      </w:r>
    </w:p>
    <w:p w14:paraId="1183E77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、备案：基金份额持有人大会更换基金托管人的决议须报中国证监会备案；</w:t>
      </w:r>
    </w:p>
    <w:p w14:paraId="613783B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、公告：基金托管人更换后，由基金管理人在更换基金托管人的基金份额持有人大会决议生效后依照《信息披露办法》在规定媒介公告；</w:t>
      </w:r>
    </w:p>
    <w:p w14:paraId="478F77F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、交接：基金托管人职责终止的，</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应当妥善保管基金财产和基金托管业务资料，及时办理基金财产和基金托管业务的移交手续，新任基金托管人或者临时基金托管人应当及时接收。新任基金托管人或者临时基金托管人应与基金管理人核对基金资产总值和净值；</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p>
    <w:p w14:paraId="7AA37FC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、审计：基金托管人职责终止的，应当按照法律法规规定聘请会计师事务所对基金财产进行审计，并将审计结果予以公告，同时报中国证监会备案，审计费用从基金财产中列支。</w:t>
      </w:r>
    </w:p>
    <w:p w14:paraId="03F1685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39" w:name="_Toc1357"/>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（三）基金管理人与基金托管人同时更换的条件和程序</w:t>
      </w:r>
      <w:bookmarkEnd w:id="239"/>
    </w:p>
    <w:p w14:paraId="3745A69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、提名：如果基金管理人和基金托管人同时更换，由单独或合计持有基金总份额</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以上（含</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）的基金份额持有人提名新的基金管理人和基金托管人；</w:t>
      </w:r>
    </w:p>
    <w:p w14:paraId="71A6C6F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、基金管理人和基金托管人的更换分别按上述程序进行；</w:t>
      </w:r>
    </w:p>
    <w:p w14:paraId="3BC33D8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、公告：新任基金管理人和新任基金托管人应在更换基金管理人和基金托管人的基金份额持有人大会决议生效后依照《信息披露办法》在规定媒介上联合公告。</w:t>
      </w:r>
    </w:p>
    <w:p w14:paraId="7629EF2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新任或临时基金管理人接收基金管理业务或新任或临时基金托管人接收基金财产和基金托管业务前，原基金管理人或原基金托管人应依据法律法规和基金合同的规定继续履行相关职责，并保证不做出对基金份额持有人的利益造成损害的行为。原基金管理人或原基金托管人在继续履行相关职责期间，仍有权按照基金合同的规定收取基金管理费或基金托管费。</w:t>
      </w:r>
    </w:p>
    <w:p w14:paraId="2367144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本部分关于基金管理人、基金托管人更换条件和程序的约定，凡是直接引用法律法规或监管规则的部分，如将来法律法规或监管规则修改导致相关内容被取消或变更的，基金管理人与基金托管人协商一致并提前公告后，可直接对相应内容进行修改和调整，无需召开基金份额持有人大会审议。</w:t>
      </w:r>
    </w:p>
    <w:p w14:paraId="6F6D383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sectPr>
          <w:footerReference r:id="rId19" w:type="default"/>
          <w:pgSz w:w="11906" w:h="16838"/>
          <w:pgMar w:top="1440" w:right="1800" w:bottom="1440" w:left="1800" w:header="851" w:footer="992" w:gutter="0"/>
          <w:pgNumType w:start="1"/>
          <w:cols w:space="425" w:num="1"/>
          <w:docGrid w:type="lines" w:linePitch="312" w:charSpace="0"/>
        </w:sectPr>
      </w:pPr>
    </w:p>
    <w:p w14:paraId="2E09BB7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bookmarkEnd w:id="226"/>
    <w:p w14:paraId="1F6D7EB8">
      <w:pPr>
        <w:pStyle w:val="2"/>
        <w:rPr>
          <w:rFonts w:hint="eastAsia"/>
          <w:szCs w:val="24"/>
        </w:rPr>
      </w:pPr>
      <w:bookmarkStart w:id="240" w:name="_Toc123102457"/>
      <w:bookmarkStart w:id="241" w:name="_Toc48649708"/>
      <w:bookmarkStart w:id="242" w:name="_Toc123112238"/>
      <w:bookmarkStart w:id="243" w:name="_Toc17198"/>
      <w:bookmarkStart w:id="244" w:name="_Toc21237"/>
      <w:bookmarkStart w:id="245" w:name="_Toc3329"/>
      <w:bookmarkStart w:id="246" w:name="_Toc8791"/>
      <w:bookmarkStart w:id="247" w:name="_Toc20976"/>
      <w:bookmarkStart w:id="248" w:name="_Toc17920"/>
      <w:bookmarkStart w:id="249" w:name="_Toc79392622"/>
      <w:bookmarkStart w:id="250" w:name="_Toc32584"/>
      <w:bookmarkStart w:id="251" w:name="_Toc90742327"/>
      <w:bookmarkStart w:id="252" w:name="_Toc739"/>
      <w:bookmarkStart w:id="253" w:name="_Toc90742396"/>
      <w:bookmarkStart w:id="254" w:name="_Toc5170"/>
      <w:bookmarkStart w:id="255" w:name="_Toc141703890"/>
      <w:bookmarkStart w:id="256" w:name="_Toc90742694"/>
      <w:bookmarkStart w:id="257" w:name="_Toc29408"/>
      <w:bookmarkStart w:id="258" w:name="_Toc139991740"/>
      <w:bookmarkStart w:id="259" w:name="_Toc32092"/>
      <w:bookmarkStart w:id="260" w:name="_Toc98560356"/>
      <w:bookmarkStart w:id="261" w:name="_Toc123051456"/>
      <w:bookmarkStart w:id="262" w:name="CLAUSE_cf06234a2fbe4900a7a3eadf36be3887"/>
      <w:r>
        <w:rPr>
          <w:szCs w:val="24"/>
        </w:rPr>
        <w:t xml:space="preserve"> </w:t>
      </w:r>
      <w:bookmarkStart w:id="263" w:name="CTS_cf06234a2fbe4900a7a3eadf36be3887"/>
      <w:bookmarkEnd w:id="263"/>
      <w:bookmarkStart w:id="264" w:name="_Toc86655086"/>
      <w:r>
        <w:rPr>
          <w:rFonts w:hint="eastAsia" w:cs="Arial"/>
          <w:szCs w:val="24"/>
        </w:rPr>
        <w:t xml:space="preserve">第十二部分 </w:t>
      </w:r>
      <w:r>
        <w:rPr>
          <w:szCs w:val="24"/>
        </w:rPr>
        <w:t>基金的托管</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4"/>
    </w:p>
    <w:p w14:paraId="56D17BFB">
      <w:pPr>
        <w:autoSpaceDE w:val="0"/>
        <w:autoSpaceDN w:val="0"/>
        <w:spacing w:line="360" w:lineRule="auto"/>
        <w:textAlignment w:val="bottom"/>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39373C6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基金托管人和基金管理人按照《基金法》、《基金合同》及其他有关规定订立托管协议。</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基金托管事宜以托管协议约定为准。</w:t>
      </w:r>
    </w:p>
    <w:p w14:paraId="63B8165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0BEA2F18">
      <w:pPr>
        <w:adjustRightInd w:val="0"/>
        <w:snapToGrid w:val="0"/>
        <w:spacing w:line="360" w:lineRule="auto"/>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65" w:name="_Toc139991741"/>
      <w:bookmarkStart w:id="266" w:name="_Toc14725"/>
      <w:bookmarkStart w:id="267" w:name="_Toc26383"/>
      <w:bookmarkStart w:id="268" w:name="_Toc123102458"/>
      <w:bookmarkStart w:id="269" w:name="_Toc2255"/>
      <w:bookmarkStart w:id="270" w:name="_Toc3244"/>
      <w:bookmarkStart w:id="271" w:name="_Toc26084"/>
      <w:bookmarkStart w:id="272" w:name="_Toc22674"/>
      <w:bookmarkStart w:id="273" w:name="_Toc16789"/>
      <w:bookmarkStart w:id="274" w:name="_Toc141703891"/>
      <w:bookmarkStart w:id="275" w:name="_Toc26152"/>
      <w:bookmarkStart w:id="276" w:name="_Toc48649710"/>
      <w:bookmarkStart w:id="277" w:name="_Toc98560357"/>
      <w:bookmarkStart w:id="278" w:name="_Toc19520"/>
      <w:bookmarkStart w:id="279" w:name="_Toc123051457"/>
      <w:bookmarkStart w:id="280" w:name="_Toc31469"/>
      <w:bookmarkStart w:id="281" w:name="_Toc21886"/>
      <w:bookmarkStart w:id="282" w:name="_Toc123112239"/>
      <w:bookmarkStart w:id="283" w:name="_Toc79392624"/>
    </w:p>
    <w:bookmarkEnd w:id="262"/>
    <w:p w14:paraId="3BEED945">
      <w:pPr>
        <w:pStyle w:val="2"/>
        <w:rPr>
          <w:rFonts w:hint="eastAsia"/>
          <w:szCs w:val="24"/>
        </w:rPr>
        <w:sectPr>
          <w:footerReference r:id="rId20" w:type="default"/>
          <w:pgSz w:w="11906" w:h="16838"/>
          <w:pgMar w:top="1440" w:right="1800" w:bottom="1440" w:left="1800" w:header="851" w:footer="992" w:gutter="0"/>
          <w:pgNumType w:start="1"/>
          <w:cols w:space="425" w:num="1"/>
          <w:docGrid w:type="lines" w:linePitch="312" w:charSpace="0"/>
        </w:sectPr>
      </w:pPr>
    </w:p>
    <w:p w14:paraId="390B3A0A">
      <w:pPr>
        <w:pStyle w:val="2"/>
        <w:rPr>
          <w:rFonts w:hint="eastAsia"/>
          <w:szCs w:val="24"/>
        </w:rPr>
      </w:pPr>
      <w:bookmarkStart w:id="284" w:name="CLAUSE_bfa81950e3c644629507a2e36591d953"/>
      <w:r>
        <w:rPr>
          <w:szCs w:val="24"/>
        </w:rPr>
        <w:t xml:space="preserve"> </w:t>
      </w:r>
      <w:bookmarkStart w:id="285" w:name="CTS_bfa81950e3c644629507a2e36591d953"/>
      <w:bookmarkEnd w:id="285"/>
      <w:bookmarkStart w:id="286" w:name="_Toc86655087"/>
      <w:r>
        <w:rPr>
          <w:rFonts w:hint="eastAsia" w:cs="Arial"/>
          <w:szCs w:val="24"/>
        </w:rPr>
        <w:t xml:space="preserve">第十三部分 </w:t>
      </w:r>
      <w:r>
        <w:rPr>
          <w:szCs w:val="24"/>
        </w:rPr>
        <w:t>基金份额的登记</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6"/>
    </w:p>
    <w:p w14:paraId="3E9ACD69">
      <w:pPr>
        <w:autoSpaceDE w:val="0"/>
        <w:autoSpaceDN w:val="0"/>
        <w:spacing w:line="360" w:lineRule="auto"/>
        <w:textAlignment w:val="bottom"/>
        <w:rPr>
          <w:rFonts w:hint="eastAsia" w:asciiTheme="minorEastAsia" w:hAnsiTheme="minorEastAsia" w:eastAsiaTheme="minorEastAsia"/>
          <w:bCs/>
          <w:sz w:val="24"/>
          <w:szCs w:val="24"/>
        </w:rPr>
      </w:pPr>
    </w:p>
    <w:p w14:paraId="133725B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一、基金份额的登记业务</w:t>
      </w:r>
    </w:p>
    <w:p w14:paraId="7CBA818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本基金的登记业务指《中国证券登记结算有限责任公司关于交易所交易型开放式证券投资基金登记结算业务实施细则》定义的基金份额的登记、存管、结算及相关业务。</w:t>
      </w:r>
    </w:p>
    <w:p w14:paraId="1AAEC17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二、基金登记业务办理机构</w:t>
      </w:r>
    </w:p>
    <w:p w14:paraId="0189E49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登记业务由基金管理人或基金管理人委托的其他符合条件的机构办理，但基金管理人依法应当承担的责任不因委托而免除。基金管理人委托其他机构办理本基金登记业务的，应与有关机构签订委托代理协议，以明确基金管理人和代理机构在登记业务中的权利和义务，保护基金份额持有人的合法权益。本基金的登记业务由中国证券登记结算有限责任公司负责办理。</w:t>
      </w:r>
    </w:p>
    <w:p w14:paraId="343A0CE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三、基金登记机构的权利</w:t>
      </w:r>
      <w:bookmarkStart w:id="287" w:name="_Hlt88820748"/>
      <w:bookmarkEnd w:id="287"/>
    </w:p>
    <w:p w14:paraId="7815264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基金登记机构享有以下权利：</w:t>
      </w:r>
    </w:p>
    <w:p w14:paraId="747E89F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、取得登记费；</w:t>
      </w:r>
    </w:p>
    <w:p w14:paraId="6CAA8AB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、建立和管理投资者相关账户；</w:t>
      </w:r>
    </w:p>
    <w:p w14:paraId="47AE744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、保管基金份额持有人开户资料、交易资料、基金份额持有人名册等；</w:t>
      </w:r>
    </w:p>
    <w:p w14:paraId="69A76C2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、在法律法规允许的范围内，对登记业务的办理时间进行调整，并依照有关规定于开始实施前在规定媒介上公告；</w:t>
      </w:r>
    </w:p>
    <w:p w14:paraId="6019747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、法律法规及中国证监会规定的和《基金合同》约定的其他权利。</w:t>
      </w:r>
    </w:p>
    <w:p w14:paraId="095DFFB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四、基金登记机构的义务</w:t>
      </w:r>
    </w:p>
    <w:p w14:paraId="749192E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基金登记机构承担以下义务：</w:t>
      </w:r>
    </w:p>
    <w:p w14:paraId="5C85EEE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、配备足够的专业人员办理本基金份额的登记业务；</w:t>
      </w:r>
    </w:p>
    <w:p w14:paraId="3E4BC9B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、严格按照法律法规和《基金合同》规定的条件办理本基金份额的登记业务；</w:t>
      </w:r>
    </w:p>
    <w:p w14:paraId="0BA32A6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、妥善保存登记数据，并将基金份额持有人名称、身份信息及基金份额明细等数据备份至中国证监会认定的机构。其保存期限自相关账户销户之日起不得少于20年；</w:t>
      </w:r>
    </w:p>
    <w:p w14:paraId="4C7D827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基金份额持有人的相关账户信息负有保密义务，因违反该保密义务对投资者或基金带来的损失，须承担相应的赔偿责任，但司法强制检查情形及法律法规及中国证监会规定的和《基金合同》约定的其他情形除外；</w:t>
      </w:r>
    </w:p>
    <w:p w14:paraId="2FC75F2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、按《基金合同》及招募说明书规定为投资者办理非交易过户业务、提供其他必要的服务；</w:t>
      </w:r>
    </w:p>
    <w:p w14:paraId="56A4B52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、接受基金管理人的监督；</w:t>
      </w:r>
    </w:p>
    <w:p w14:paraId="5FF58BB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、法律法规及中国证监会规定的和《基金合同》约定的其他义务。</w:t>
      </w:r>
    </w:p>
    <w:p w14:paraId="56B83EF9">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288" w:name="_Toc5477"/>
      <w:bookmarkStart w:id="289" w:name="_Toc21917"/>
      <w:bookmarkStart w:id="290" w:name="_Toc11395"/>
      <w:bookmarkStart w:id="291" w:name="_Toc801"/>
      <w:bookmarkStart w:id="292" w:name="_Toc2981"/>
      <w:bookmarkStart w:id="293" w:name="_Toc16437"/>
      <w:bookmarkStart w:id="294" w:name="_Toc13343"/>
      <w:bookmarkStart w:id="295" w:name="_Toc22538"/>
      <w:bookmarkStart w:id="296" w:name="_Toc578"/>
      <w:bookmarkStart w:id="297" w:name="_Toc11351"/>
      <w:bookmarkStart w:id="298" w:name="_Toc3872"/>
    </w:p>
    <w:p w14:paraId="34D1954F">
      <w:pPr>
        <w:pStyle w:val="2"/>
        <w:rPr>
          <w:rFonts w:hint="eastAsia"/>
          <w:szCs w:val="24"/>
        </w:rPr>
        <w:sectPr>
          <w:footerReference r:id="rId21" w:type="default"/>
          <w:pgSz w:w="11906" w:h="16838"/>
          <w:pgMar w:top="1440" w:right="1800" w:bottom="1440" w:left="1800" w:header="851" w:footer="992" w:gutter="0"/>
          <w:pgNumType w:start="1"/>
          <w:cols w:space="425" w:num="1"/>
          <w:docGrid w:type="lines" w:linePitch="312" w:charSpace="0"/>
        </w:sectPr>
      </w:pPr>
      <w:bookmarkStart w:id="299" w:name="_Toc90742398"/>
      <w:bookmarkStart w:id="300" w:name="_Toc90742329"/>
      <w:bookmarkStart w:id="301" w:name="_Toc90742696"/>
    </w:p>
    <w:bookmarkEnd w:id="284"/>
    <w:p w14:paraId="56672CF0">
      <w:pPr>
        <w:pStyle w:val="2"/>
        <w:rPr>
          <w:rFonts w:hint="eastAsia"/>
          <w:szCs w:val="24"/>
        </w:rPr>
      </w:pPr>
      <w:bookmarkStart w:id="302" w:name="CLAUSE_f31ad7d3cb5c4cbe853348e241930cf5"/>
      <w:r>
        <w:rPr>
          <w:szCs w:val="24"/>
        </w:rPr>
        <w:t xml:space="preserve"> </w:t>
      </w:r>
      <w:bookmarkStart w:id="303" w:name="CTS_f31ad7d3cb5c4cbe853348e241930cf5"/>
      <w:bookmarkEnd w:id="303"/>
      <w:bookmarkStart w:id="304" w:name="_Toc86655088"/>
      <w:r>
        <w:rPr>
          <w:rFonts w:hint="eastAsia" w:cs="Arial"/>
          <w:szCs w:val="24"/>
        </w:rPr>
        <w:t xml:space="preserve">第十四部分 </w:t>
      </w:r>
      <w:r>
        <w:rPr>
          <w:szCs w:val="24"/>
        </w:rPr>
        <w:t>基金的投资</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4"/>
    </w:p>
    <w:p w14:paraId="47E854F8">
      <w:pPr>
        <w:spacing w:line="360" w:lineRule="auto"/>
        <w:ind w:firstLine="480" w:firstLineChars="200"/>
        <w:rPr>
          <w:rFonts w:hint="eastAsia" w:asciiTheme="minorEastAsia" w:hAnsiTheme="minorEastAsia" w:eastAsiaTheme="minorEastAsia"/>
          <w:bCs/>
          <w:sz w:val="24"/>
          <w:szCs w:val="24"/>
        </w:rPr>
      </w:pPr>
    </w:p>
    <w:p w14:paraId="3587B42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一、投资目标</w:t>
      </w:r>
    </w:p>
    <w:p w14:paraId="370B69D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紧密跟踪标的指数，追求跟踪偏离度和跟踪误差的最小化。</w:t>
      </w:r>
    </w:p>
    <w:p w14:paraId="6049E4C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二、投资范围</w:t>
      </w:r>
    </w:p>
    <w:p w14:paraId="36D62F3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本基金主要投资于标的指数成份股和备选成份股(含存托凭证)。 </w:t>
      </w:r>
    </w:p>
    <w:p w14:paraId="1C68E58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4360665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本基金可根据法律法规的规定参与融资和转融通证券出借业务。未来在法律法规允许的前提下，本基金可根据相关法律法规规定参与融券业务。 </w:t>
      </w:r>
    </w:p>
    <w:p w14:paraId="420976F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如法律法规或中国证监会以后允许基金投资其他品种，本基金管理人在履行适当程序后，可以将其纳入本基金的投资范围。 </w:t>
      </w:r>
    </w:p>
    <w:p w14:paraId="3955EA8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14:paraId="24BF3FE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若法律法规的相关规定发生变更或监管机构允许，本基金管理人在履行适当程序</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并与基金托管人协商一致</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后，可对上述资产配置比例进行调整。 </w:t>
      </w:r>
    </w:p>
    <w:p w14:paraId="019910A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三、投资策略</w:t>
      </w:r>
    </w:p>
    <w:p w14:paraId="3F910A75">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1、组合复制策略 </w:t>
      </w:r>
    </w:p>
    <w:p w14:paraId="1D4E08AF">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28E25EC0">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如果标的指数成份股发生明显负面事件面临退市或违约风险，且指数编制机构暂未作出调整的，基金管理人应当按照基金份额持有人利益优先原则，履行内部决策程序后及时对相关成份股进行调整。 </w:t>
      </w:r>
    </w:p>
    <w:p w14:paraId="20D6A144">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 </w:t>
      </w:r>
    </w:p>
    <w:p w14:paraId="241CFFA2">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179E5596">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2、债券（除可转换债券、可交换债券）投资策略 </w:t>
      </w:r>
    </w:p>
    <w:p w14:paraId="0716BC16">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本基金债券投资组合将着重考虑基金的流动性管理及策略性投资的需要进行配置。债券投资的目的是保证基金资产流动性，有效利用基金资产，提高基金资产的投资收益。 </w:t>
      </w:r>
    </w:p>
    <w:p w14:paraId="3F12C872">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3、资产支持证券投资策略 </w:t>
      </w:r>
    </w:p>
    <w:p w14:paraId="2358B9B1">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7FA3866D">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4、可转换债券、可交换债券投资策略 </w:t>
      </w:r>
    </w:p>
    <w:p w14:paraId="0800E3D6">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7C062675">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6ED3A4D8">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5、金融衍生品投资策略 </w:t>
      </w:r>
    </w:p>
    <w:p w14:paraId="477AF178">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（1）股指期货交易策略 </w:t>
      </w:r>
    </w:p>
    <w:p w14:paraId="499B38F1">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将在风险可控的前提下，根据风险管理原则，以套期保值为目的适度参与股指期货交易。本基金将根据对现货和期货市场的分析，充分考虑股指期货的风险收益特征进行股指期货交易，以改善交易组合的交易效果。 </w:t>
      </w:r>
    </w:p>
    <w:p w14:paraId="0D0C8653">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（2）股票期权投资策略 </w:t>
      </w:r>
    </w:p>
    <w:p w14:paraId="04E55E0F">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050BACA8">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（3）国债期货交易策略 </w:t>
      </w:r>
    </w:p>
    <w:p w14:paraId="6150476F">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本基金参与国债期货交易，以套期保值为目的，将根据风险管理的原则，充分考虑国债期货的流动性和风险收益特征，在风险可控的前提下，适度参与国债期货交易。 </w:t>
      </w:r>
    </w:p>
    <w:p w14:paraId="7240979C">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6、融资和转融通证券出借业务投资策略 </w:t>
      </w:r>
    </w:p>
    <w:p w14:paraId="5FB048DA">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可根据相关法律法规规定参与融券业务。 </w:t>
      </w:r>
    </w:p>
    <w:p w14:paraId="2750214D">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7、存托凭证投资策略 </w:t>
      </w:r>
    </w:p>
    <w:p w14:paraId="7D365F78">
      <w:pPr>
        <w:adjustRightInd w:val="0"/>
        <w:snapToGrid w:val="0"/>
        <w:spacing w:line="360" w:lineRule="auto"/>
        <w:ind w:firstLine="480" w:firstLineChars="200"/>
        <w:rPr>
          <w:rFonts w:hint="eastAsia" w:cs="华文楷体" w:asciiTheme="minorEastAsia" w:hAnsiTheme="minorEastAsia" w:eastAsiaTheme="minorEastAsia"/>
          <w:bCs/>
          <w:color w:val="000000"/>
          <w:sz w:val="24"/>
          <w:szCs w:val="24"/>
          <w:lang w:bidi="ar"/>
        </w:rPr>
      </w:pPr>
      <w:r>
        <w:rPr>
          <w:rFonts w:hint="eastAsia" w:cs="华文楷体" w:asciiTheme="minorEastAsia" w:hAnsiTheme="minorEastAsia" w:eastAsiaTheme="minorEastAsia"/>
          <w:bCs/>
          <w:color w:val="000000"/>
          <w:sz w:val="24"/>
          <w:szCs w:val="24"/>
          <w:lang w:bidi="ar"/>
        </w:rPr>
        <w:t xml:space="preserve">本基金将根据本基金的投资目标和股票投资策略，基于对基础证券投资价值的深入研究判断，进行存托凭证的投资。 </w:t>
      </w:r>
    </w:p>
    <w:p w14:paraId="1A5E611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华文楷体" w:asciiTheme="minorEastAsia" w:hAnsiTheme="minorEastAsia" w:eastAsiaTheme="minorEastAsia"/>
          <w:bCs/>
          <w:color w:val="000000"/>
          <w:sz w:val="24"/>
          <w:szCs w:val="24"/>
          <w:lang w:bidi="ar"/>
        </w:rPr>
        <w:t>未来，随着投资工具的发展和丰富，本基金可在不改变投资目标的前提下，在履行适当程序后，相应调整和更新相关投资策略，并在招募说明书更新中公告。</w:t>
      </w:r>
    </w:p>
    <w:p w14:paraId="54FB06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投资组合</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限制</w:t>
      </w:r>
    </w:p>
    <w:p w14:paraId="66779E2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1、组合限制 </w:t>
      </w:r>
    </w:p>
    <w:p w14:paraId="6AB7073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基金的投资组合应遵循以下限制： </w:t>
      </w:r>
    </w:p>
    <w:p w14:paraId="3E74DCD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（1）本基金投资于标的指数成份股和备选成份股（含存托凭证）的资产比例不低于基金资产净值的90%，且不低于非现金基金资产的80%； </w:t>
      </w:r>
    </w:p>
    <w:p w14:paraId="4108B10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（2）每个交易日日终在扣除股指期货、股票期权和国债期货合约需缴纳的交易保证金后，本基金应当保持不低于交易保证金一倍的现金，其中现金不包括结算备付金、存出保证金和应收申购款等； </w:t>
      </w:r>
    </w:p>
    <w:p w14:paraId="502B494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（3）本基金参与股指期货和国债期货交易，需遵守下列投资比例限制： </w:t>
      </w:r>
    </w:p>
    <w:p w14:paraId="7FF3461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1）本基金在任何交易日日终，持有的买入股指期货合约价值，不得超过基金资产净值的10%；在任何交易日日终，持有的买入国债期货合约价值，不得超过基金资产净值的15%； </w:t>
      </w:r>
    </w:p>
    <w:p w14:paraId="69478CC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0C7E85C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2B2574E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72E920A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14:paraId="0FBE5F3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（4）本基金投资于同一原始权益人的各类资产支持证券的比例，不得超过基金资产净值的10％； </w:t>
      </w:r>
    </w:p>
    <w:p w14:paraId="763DA12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（5）本基金持有的全部资产支持证券，其市值不得超过基金资产净值的20％； </w:t>
      </w:r>
    </w:p>
    <w:p w14:paraId="6171EE0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（6）本基金持有的同一(指同一信用级别)资产支持证券的比例，不得超过该资产支持证券规模的10％； </w:t>
      </w:r>
    </w:p>
    <w:p w14:paraId="164345E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（7）本基金管理人管理的全部基金投资于同一原始权益人的各类资产支持证券，不得超过其各类资产支持证券合计规模的10％； </w:t>
      </w:r>
    </w:p>
    <w:p w14:paraId="47DBB81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（8）本基金应投资于信用级别评级为BBB以上(含BBB)的资产支持证券。基金持有资产支持证券期间，如果其信用等级下降、不再符合投资标准，应在评级报告发布之日起3个月内予以全部卖出； </w:t>
      </w:r>
    </w:p>
    <w:p w14:paraId="48F9DD8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（9）基金财产参与股票发行申购，本基金所申报的金额不超过本基金的总资产，本基金所申报的股票数量不超过拟发行股票公司本次发行股票的总量； </w:t>
      </w:r>
    </w:p>
    <w:p w14:paraId="3A1A00E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（10）本基金参与融资的，在任何交易日日终，本基金持有的融资买入股票与其他有价证券市值之和，不得超过基金资产净值的95%； </w:t>
      </w:r>
    </w:p>
    <w:p w14:paraId="6598705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（11）本基金参与转融通证券出借业务，需遵守下列投资限制： </w:t>
      </w:r>
    </w:p>
    <w:p w14:paraId="4492909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1）出借证券资产不得超过基金资产净值的30%，出借期限在10个交易日以上的出借证券应纳入《流动性风险管理规定》所述流动性受限证券的范围； </w:t>
      </w:r>
    </w:p>
    <w:p w14:paraId="59F049D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2）参与出借业务的单只证券不得超过本基金持有该证券总量的30%； </w:t>
      </w:r>
    </w:p>
    <w:p w14:paraId="19891EC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3）最近6个月内日均基金资产净值不得低于2亿元； </w:t>
      </w:r>
    </w:p>
    <w:p w14:paraId="1A957CE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4）证券出借的平均剩余期限不得超过30天，平均剩余期限按照市值加权平均计算； </w:t>
      </w:r>
    </w:p>
    <w:p w14:paraId="1507A23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因证券、期货市场波动、证券发行人合并、基金规模变动等基金管理人之外的因素致使基金投资不符合上述规定的，基金管理人不得新增出借业务； </w:t>
      </w:r>
    </w:p>
    <w:p w14:paraId="4DFCCFA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（12）本基金投资股票期权应当符合以下要求： </w:t>
      </w:r>
    </w:p>
    <w:p w14:paraId="23305C4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74F842A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6ACACBF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基金管理人承诺</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本基金与私募类证券资管产品及中国证监会认定的其他主体为交易对手开展逆回购交易的，可接受质押品的资质要求应当与本基金合同约定的投资范围保持一致； </w:t>
      </w:r>
    </w:p>
    <w:p w14:paraId="76E525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（15）本基金资产总值不得超过基金资产净值的140%； </w:t>
      </w:r>
    </w:p>
    <w:p w14:paraId="75B9DF3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（16）本基金投资存托凭证的比例限制依照境内上市交易的股票执行； </w:t>
      </w:r>
    </w:p>
    <w:p w14:paraId="281997D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（17）法律法规及中国证监会规定的和《基金合同》约定的其他投资限制。 </w:t>
      </w:r>
    </w:p>
    <w:p w14:paraId="0A2B162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7202AC1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r>
        <w:rPr>
          <w:rFonts w:hint="eastAsia" w:ascii="宋体" w:cs="Calibri"/>
          <w:bCs/>
          <w:sz w:val="24"/>
          <w:highlight w:val="white"/>
          <w:lang w:bidi="ar"/>
        </w:rPr>
        <w:t>基金托管人不因提供监督而对基金管理人的违法违规、违反基金合同约定投资等承担责任。</w:t>
      </w:r>
      <w:r>
        <w:rPr>
          <w:rFonts w:ascii="宋体" w:hAnsi="宋体" w:cs="宋体"/>
          <w:sz w:val="24"/>
          <w:szCs w:val="24"/>
        </w:rPr>
        <w:t xml:space="preserve"> </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p>
    <w:p w14:paraId="5C021F65">
      <w:pPr>
        <w:adjustRightInd w:val="0"/>
        <w:snapToGrid w:val="0"/>
        <w:spacing w:line="360" w:lineRule="auto"/>
        <w:ind w:firstLine="480" w:firstLineChars="200"/>
        <w:rPr>
          <w:sz w:val="24"/>
          <w:szCs w:val="24"/>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法律法规或监管部门取消或调整上述限制，如适用于本基金，基金管理人在与基金托管人协商一致并履行适当程序后，则本基金投资不再受相关限制或按照调整后的规定执行。 </w:t>
      </w:r>
    </w:p>
    <w:p w14:paraId="67F8C99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、禁止行为</w:t>
      </w:r>
    </w:p>
    <w:p w14:paraId="3CAC0DE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为维护基金份额持有人的合法权益，基金财产不得用于下列投资或者活动：</w:t>
      </w:r>
    </w:p>
    <w:p w14:paraId="5C0306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）承销证券；</w:t>
      </w:r>
    </w:p>
    <w:p w14:paraId="1FECBFA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违反规定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向他人贷款或者提供担保；</w:t>
      </w:r>
    </w:p>
    <w:p w14:paraId="3B93D52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（3）从事承担无限责任的投资；</w:t>
      </w:r>
    </w:p>
    <w:p w14:paraId="0DAF3C0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（4）买卖其他基金份额，但是</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另有规定的除外；</w:t>
      </w:r>
    </w:p>
    <w:p w14:paraId="754A4BC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（5）向</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其基金管理人、基金托管人</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出资</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5ADDF2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6）从事内幕交易、操纵证券交易价格及其他不正当的证券交易活动；</w:t>
      </w:r>
    </w:p>
    <w:p w14:paraId="7B6DF9F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法律、行政法规和中国证监会规定禁止的其他活动。</w:t>
      </w:r>
    </w:p>
    <w:p w14:paraId="3C3E0CF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r>
        <w:rPr>
          <w:rFonts w:hint="eastAsia" w:ascii="宋体" w:cs="宋体"/>
          <w:bCs/>
          <w:sz w:val="24"/>
          <w:szCs w:val="24"/>
          <w:highlight w:val="white"/>
          <w:lang w:bidi="ar"/>
        </w:rPr>
        <w:t>基金托管人不对基金管理人的违法违规投资等上述事项和由此造成的损失承担责任。</w:t>
      </w:r>
    </w:p>
    <w:p w14:paraId="126E6D9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、行政</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法规或监管部门取消</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或调整</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上述限制，如适用于本基金，</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基金管理人在履行适当程序并与基金托管人协商一致后，</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则本基金投资不再受相关限制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或按照调整后的规定执行</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443C354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五、标的指数与业绩比较基准</w:t>
      </w:r>
    </w:p>
    <w:p w14:paraId="0FEC0E70">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1、标的指数</w:t>
      </w:r>
    </w:p>
    <w:p w14:paraId="3D0D355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本基金的标的指数：中证细分化工产业主题指数。</w:t>
      </w:r>
    </w:p>
    <w:p w14:paraId="497E137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w:t>
      </w:r>
    </w:p>
    <w:p w14:paraId="718E999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自指数编制机构停止标的指数的编制及发布至解决方案确定期间，基金管理人应按照指数编制机构提供的最近一个交易日的指数信息遵循基金份额持有人利益优先原则维持基金投资运作。</w:t>
      </w:r>
    </w:p>
    <w:p w14:paraId="57D5393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若业绩比较基准变更对基金投资无实质性影响（包括但不限于编制机构变更、指数更名等），</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基金管理人在</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履行适当程序</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并与基金托管人协商一致后</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变更基金名称和业绩比较基准，并及时公告。</w:t>
      </w:r>
    </w:p>
    <w:p w14:paraId="38EBAB61">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2、业绩比较基准选择</w:t>
      </w:r>
    </w:p>
    <w:p w14:paraId="1F1FA801">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本基金的业绩比较基准为标的指数收益率，即中证细分化工产业主题指数收益率。</w:t>
      </w:r>
    </w:p>
    <w:p w14:paraId="7B0608CE">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（1）业绩比较基准设定的原因</w:t>
      </w:r>
    </w:p>
    <w:p w14:paraId="18484870">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为股票型ETF,主要采用完全复制法跟踪标的指数，追求跟踪偏离度和跟踪误差的最小化。本基金的标的指数为中证细分化工产业主题指数，相应选取中证细分化工产业主题指数收益率作为基准要素，同时将中证细分化工产业主题指数收益率的基准要素权重设置为100%。</w:t>
      </w:r>
    </w:p>
    <w:p w14:paraId="5D326094">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综上，本基金选取的业绩比较基准与基金投资目标、投资范围、投资策略、投资比例限制相匹配。</w:t>
      </w:r>
    </w:p>
    <w:p w14:paraId="336111D1">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（2）业绩比较基准要素的基本信息</w:t>
      </w:r>
    </w:p>
    <w:p w14:paraId="760F822D">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中证细分化工产业主题指数由中证指数有限公司编制发布，指数代码为000813，具体信息详见中证指数有限公司网站，网址：</w:t>
      </w:r>
      <w:r>
        <w:rPr>
          <w:rFonts w:hint="eastAsia" w:asciiTheme="minorEastAsia" w:hAnsiTheme="minorEastAsia" w:eastAsiaTheme="minorEastAsia"/>
          <w:color w:val="000000" w:themeColor="text1"/>
          <w:sz w:val="24"/>
          <w:szCs w:val="24"/>
          <w14:textFill>
            <w14:solidFill>
              <w14:schemeClr w14:val="tx1"/>
            </w14:solidFill>
          </w14:textFill>
        </w:rPr>
        <w:t>http://www.csindex.com.cn。</w:t>
      </w:r>
    </w:p>
    <w:p w14:paraId="238B2B11">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（3）业绩比较基准的计算方法</w:t>
      </w:r>
    </w:p>
    <w:p w14:paraId="1D2AD468">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本基金业绩比较基准收益率的计算方法以每日收益率为基础，以时间加权为计算原则。</w:t>
      </w:r>
    </w:p>
    <w:p w14:paraId="519235CE">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（4）管理投资偏离业绩比较基准的定性或定量方法</w:t>
      </w:r>
    </w:p>
    <w:p w14:paraId="0DC8700E">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将日均跟踪偏离度的绝对值控制在0.</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%以内，年化跟踪误差控制在</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%以内。如因标的指数编制规则调整或其他因素导致跟踪误差超过上述范围的，本基金将采取合理措施避免跟踪误差过大。</w:t>
      </w:r>
    </w:p>
    <w:p w14:paraId="7F747D8F">
      <w:pPr>
        <w:widowControl/>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（5）未来可能变更业绩比较基准的情况和程序</w:t>
      </w:r>
    </w:p>
    <w:p w14:paraId="30471A0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本基金的业绩比较基准与标的指数一致，相关变更情形和程序详见本基金合同“基金的投资”章节中“五、标的指数与业绩比较基准”项下“1、标的指数”部分内容。</w:t>
      </w:r>
    </w:p>
    <w:p w14:paraId="0A55232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若本基金调整业绩比较基准的要素权重，本基金将根据法律法规、中国证监会的规定和基金合同约定履行相关程序。</w:t>
      </w:r>
    </w:p>
    <w:p w14:paraId="2B8408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六、风险收益特征</w:t>
      </w:r>
    </w:p>
    <w:p w14:paraId="2214B31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305" w:name="_Toc92662704"/>
      <w:bookmarkStart w:id="306" w:name="_Toc93226145"/>
      <w:bookmarkStart w:id="307" w:name="_Toc18000"/>
      <w:bookmarkStart w:id="308" w:name="_Toc21642"/>
      <w:bookmarkStart w:id="309" w:name="_Toc32030"/>
      <w:bookmarkStart w:id="310" w:name="_Toc29561"/>
      <w:bookmarkStart w:id="311" w:name="_Toc128310496"/>
      <w:bookmarkStart w:id="312" w:name="_Toc24474"/>
      <w:bookmarkStart w:id="313" w:name="_Toc26114"/>
      <w:bookmarkStart w:id="314" w:name="_Toc31611"/>
      <w:bookmarkStart w:id="315" w:name="_Toc139991743"/>
      <w:bookmarkStart w:id="316" w:name="_Toc3054"/>
      <w:bookmarkStart w:id="317" w:name="_Toc141703893"/>
      <w:bookmarkStart w:id="318" w:name="_Toc13819"/>
      <w:bookmarkStart w:id="319" w:name="_Toc20782"/>
      <w:bookmarkStart w:id="320" w:name="_Toc20102"/>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本基金属于股票型基金，其预期收益及</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预期</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风险水平高于混合</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基金、债券</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型</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基金与货币市场基金。</w:t>
      </w:r>
    </w:p>
    <w:p w14:paraId="7BA97AE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本基金为被动式投资的股票型指数基金，跟踪</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中证细分化工产业主题指数</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，其风险收益特征与标的指数所表征的市场组合的风险收益特征相似。</w:t>
      </w:r>
    </w:p>
    <w:p w14:paraId="2F7EB03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七、基金管理人代表基金行使股东或债权人权利的处理原则及方法</w:t>
      </w:r>
    </w:p>
    <w:p w14:paraId="3D8D5A5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1、基金管理人按照国家有关规定代表基金独立行使股东或债权人权利，保护基金份额持有人的利益； </w:t>
      </w:r>
    </w:p>
    <w:p w14:paraId="2DAFAA2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2、不谋求对上市公司的控股； </w:t>
      </w:r>
    </w:p>
    <w:p w14:paraId="3D18171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3、有利于基金财产的安全与增值； </w:t>
      </w:r>
    </w:p>
    <w:p w14:paraId="7EF7FEF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4、不通过关联交易为自身、雇员、授权代理人或任何存在利害关系的第三人牟取任何不当利益。</w:t>
      </w:r>
    </w:p>
    <w:p w14:paraId="15DAA04A">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321" w:name="_Hlt70058259"/>
      <w:bookmarkEnd w:id="321"/>
    </w:p>
    <w:p w14:paraId="2634F288">
      <w:pPr>
        <w:pStyle w:val="2"/>
        <w:rPr>
          <w:rFonts w:hint="eastAsia"/>
          <w:szCs w:val="24"/>
        </w:rPr>
        <w:sectPr>
          <w:footerReference r:id="rId22" w:type="default"/>
          <w:pgSz w:w="11906" w:h="16838"/>
          <w:pgMar w:top="1440" w:right="1800" w:bottom="1440" w:left="1800" w:header="851" w:footer="992" w:gutter="0"/>
          <w:pgNumType w:start="1"/>
          <w:cols w:space="425" w:num="1"/>
          <w:docGrid w:type="lines" w:linePitch="312" w:charSpace="0"/>
        </w:sectPr>
      </w:pPr>
      <w:bookmarkStart w:id="322" w:name="_Toc90742697"/>
      <w:bookmarkStart w:id="323" w:name="_Toc90742330"/>
      <w:bookmarkStart w:id="324" w:name="_Toc90742399"/>
    </w:p>
    <w:bookmarkEnd w:id="302"/>
    <w:p w14:paraId="24C991BA">
      <w:pPr>
        <w:pStyle w:val="2"/>
        <w:rPr>
          <w:rFonts w:hint="eastAsia"/>
          <w:szCs w:val="24"/>
        </w:rPr>
      </w:pPr>
      <w:bookmarkStart w:id="325" w:name="CLAUSE_cdb3939cfcec4330a25cfcb4ecc653e8"/>
      <w:r>
        <w:rPr>
          <w:szCs w:val="24"/>
        </w:rPr>
        <w:t xml:space="preserve"> </w:t>
      </w:r>
      <w:bookmarkStart w:id="326" w:name="CTS_cdb3939cfcec4330a25cfcb4ecc653e8"/>
      <w:bookmarkEnd w:id="326"/>
      <w:bookmarkStart w:id="327" w:name="_Toc86655089"/>
      <w:r>
        <w:rPr>
          <w:rFonts w:hint="eastAsia" w:cs="Arial"/>
          <w:szCs w:val="24"/>
        </w:rPr>
        <w:t xml:space="preserve">第十五部分 </w:t>
      </w:r>
      <w:r>
        <w:rPr>
          <w:szCs w:val="24"/>
        </w:rPr>
        <w:t>基金</w:t>
      </w:r>
      <w:bookmarkEnd w:id="305"/>
      <w:bookmarkEnd w:id="306"/>
      <w:r>
        <w:rPr>
          <w:szCs w:val="24"/>
        </w:rPr>
        <w:t>的财产</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2"/>
      <w:bookmarkEnd w:id="323"/>
      <w:bookmarkEnd w:id="324"/>
      <w:bookmarkEnd w:id="327"/>
    </w:p>
    <w:p w14:paraId="33E2808E">
      <w:pPr>
        <w:spacing w:line="360" w:lineRule="auto"/>
        <w:ind w:firstLine="480" w:firstLineChars="200"/>
        <w:rPr>
          <w:rFonts w:hint="eastAsia" w:asciiTheme="minorEastAsia" w:hAnsiTheme="minorEastAsia" w:eastAsiaTheme="minorEastAsia"/>
          <w:bCs/>
          <w:sz w:val="24"/>
          <w:szCs w:val="24"/>
        </w:rPr>
      </w:pPr>
    </w:p>
    <w:p w14:paraId="41C0A96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一、基金资产总值</w:t>
      </w:r>
    </w:p>
    <w:p w14:paraId="09177C6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基金资产总值是指基金拥有的各类有价证券、银行存款本息、基金应收款项及其他资产的价值总和。</w:t>
      </w:r>
    </w:p>
    <w:p w14:paraId="053AB3B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二、基金资产净值</w:t>
      </w:r>
    </w:p>
    <w:p w14:paraId="706B35C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基金资产净值是指基金资产总值减去基金负债后的价值。</w:t>
      </w:r>
    </w:p>
    <w:p w14:paraId="0A1577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三、基金财产的账户</w:t>
      </w:r>
    </w:p>
    <w:p w14:paraId="7EE5247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基金托管人或基金管理人根据相关法律法规、规范性文件为本基金开立资金账户、证券账户以及投资所需的其他专用账户</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，另一方应进行必要协助</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。开立的基金专用账户与基金管理人、基金托管人、基金销售机构和基金登记机构自有的财产账户以及其他基金财产账户相独立。</w:t>
      </w:r>
      <w:bookmarkStart w:id="328" w:name="_Hlt88841837"/>
      <w:bookmarkEnd w:id="328"/>
    </w:p>
    <w:p w14:paraId="16D39BE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四、基金财产的保管和处分</w:t>
      </w:r>
      <w:bookmarkStart w:id="329" w:name="_Hlt88900062"/>
      <w:bookmarkEnd w:id="329"/>
    </w:p>
    <w:p w14:paraId="24A0CE1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20103B4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108E532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330" w:name="_Hlt70506067"/>
      <w:bookmarkEnd w:id="330"/>
      <w:bookmarkStart w:id="331" w:name="_Hlt70482237"/>
      <w:bookmarkEnd w:id="331"/>
      <w:bookmarkStart w:id="332" w:name="_Toc7802"/>
      <w:bookmarkStart w:id="333" w:name="_Toc31917"/>
      <w:bookmarkStart w:id="334" w:name="_Toc27832"/>
      <w:bookmarkStart w:id="335" w:name="_Toc871"/>
      <w:bookmarkStart w:id="336" w:name="_Toc2623"/>
      <w:bookmarkStart w:id="337" w:name="_Toc17782"/>
      <w:bookmarkStart w:id="338" w:name="_Toc19714"/>
      <w:bookmarkStart w:id="339" w:name="_Toc141703894"/>
      <w:bookmarkStart w:id="340" w:name="_Toc139991744"/>
    </w:p>
    <w:p w14:paraId="008BFAF8">
      <w:pPr>
        <w:pStyle w:val="2"/>
        <w:rPr>
          <w:rFonts w:hint="eastAsia"/>
          <w:szCs w:val="24"/>
        </w:rPr>
        <w:sectPr>
          <w:footerReference r:id="rId23" w:type="default"/>
          <w:pgSz w:w="11906" w:h="16838"/>
          <w:pgMar w:top="1440" w:right="1800" w:bottom="1440" w:left="1800" w:header="851" w:footer="992" w:gutter="0"/>
          <w:pgNumType w:start="1"/>
          <w:cols w:space="425" w:num="1"/>
          <w:docGrid w:type="lines" w:linePitch="312" w:charSpace="0"/>
        </w:sectPr>
      </w:pPr>
      <w:bookmarkStart w:id="341" w:name="_Toc90742400"/>
      <w:bookmarkStart w:id="342" w:name="_Toc90742331"/>
      <w:bookmarkStart w:id="343" w:name="_Toc90742698"/>
    </w:p>
    <w:bookmarkEnd w:id="325"/>
    <w:p w14:paraId="11DCFEAB">
      <w:pPr>
        <w:pStyle w:val="2"/>
        <w:rPr>
          <w:rFonts w:hint="eastAsia"/>
          <w:szCs w:val="24"/>
        </w:rPr>
      </w:pPr>
      <w:bookmarkStart w:id="344" w:name="CLAUSE_61fe40d983b44dbaab7c97b19094c415"/>
      <w:r>
        <w:rPr>
          <w:szCs w:val="24"/>
        </w:rPr>
        <w:t xml:space="preserve"> </w:t>
      </w:r>
      <w:bookmarkStart w:id="345" w:name="CTS_61fe40d983b44dbaab7c97b19094c415"/>
      <w:bookmarkEnd w:id="345"/>
      <w:bookmarkStart w:id="346" w:name="_Toc86655090"/>
      <w:r>
        <w:rPr>
          <w:rFonts w:hint="eastAsia" w:cs="Arial"/>
          <w:szCs w:val="24"/>
        </w:rPr>
        <w:t xml:space="preserve">第十六部分 </w:t>
      </w:r>
      <w:r>
        <w:rPr>
          <w:szCs w:val="24"/>
        </w:rPr>
        <w:t>基金资产估值</w:t>
      </w:r>
      <w:bookmarkEnd w:id="332"/>
      <w:bookmarkEnd w:id="333"/>
      <w:bookmarkEnd w:id="334"/>
      <w:bookmarkEnd w:id="335"/>
      <w:bookmarkEnd w:id="336"/>
      <w:bookmarkEnd w:id="337"/>
      <w:bookmarkEnd w:id="338"/>
      <w:bookmarkEnd w:id="341"/>
      <w:bookmarkEnd w:id="342"/>
      <w:bookmarkEnd w:id="343"/>
      <w:bookmarkEnd w:id="346"/>
    </w:p>
    <w:bookmarkEnd w:id="339"/>
    <w:bookmarkEnd w:id="340"/>
    <w:p w14:paraId="5BC5739F">
      <w:pPr>
        <w:spacing w:line="360" w:lineRule="auto"/>
        <w:ind w:firstLine="480" w:firstLineChars="200"/>
        <w:rPr>
          <w:rFonts w:hint="eastAsia" w:asciiTheme="minorEastAsia" w:hAnsiTheme="minorEastAsia" w:eastAsiaTheme="minorEastAsia"/>
          <w:bCs/>
          <w:sz w:val="24"/>
          <w:szCs w:val="24"/>
        </w:rPr>
      </w:pPr>
      <w:bookmarkStart w:id="347" w:name="_Toc32046"/>
      <w:bookmarkStart w:id="348" w:name="_Toc139991745"/>
      <w:bookmarkStart w:id="349" w:name="_Toc141703895"/>
    </w:p>
    <w:p w14:paraId="75C6E15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一、估值日</w:t>
      </w:r>
    </w:p>
    <w:p w14:paraId="091B1EF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本基金的估值日为本基金相关的证券、期货交易场所的交易日以及国家法律法规规定需要对外披露基金净值的非交易日。</w:t>
      </w:r>
    </w:p>
    <w:p w14:paraId="6494A92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二、估值对象</w:t>
      </w:r>
    </w:p>
    <w:p w14:paraId="21EC105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基金所拥有的股票（含存托凭证）、债券、股指期货合约、国债期货合约、股票期权合约和银行存款本息、应收款项、资产支持证券、其它投资等资产及负债。</w:t>
      </w:r>
    </w:p>
    <w:p w14:paraId="1979311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三、估值原则</w:t>
      </w:r>
    </w:p>
    <w:p w14:paraId="4248D46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基金管理人在确定相关金融资产和金融负债的公允价值时，应符合《企业会计准则》、监管部门有关规定。</w:t>
      </w:r>
    </w:p>
    <w:p w14:paraId="513F439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5BB2C3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2AE03F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73AA493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四、估值方法</w:t>
      </w:r>
    </w:p>
    <w:p w14:paraId="1CF4405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44349B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2、对于已上市或已挂牌转让的不含权固定收益品种，选取估值日第三方估值基准服务机构提供的相应品种当日的估值全价进行估值。</w:t>
      </w:r>
    </w:p>
    <w:p w14:paraId="665634D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3、对于已上市或已挂牌转让的含权固定收益品种，选取估值日第三方估值基准服务机构提供的相应品种当日的唯一估值全价或推荐估值全价进行估值。</w:t>
      </w:r>
    </w:p>
    <w:p w14:paraId="7A9A0DB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4964980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6A3FED0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5、对于未上市或未挂牌转让且不存在活跃市场的固定收益品种，应采用在当前情况下适用并且有足够可利用数据和其他信息支持的估值技术确定其公允价值。</w:t>
      </w:r>
    </w:p>
    <w:p w14:paraId="31CA2EF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6、处于未上市期间的有价证券应区分如下情况处理：</w:t>
      </w:r>
    </w:p>
    <w:p w14:paraId="70B80A0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4E4EF6B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（2）首次公开发行未上市的股票，采用估值技术确定公允价值；</w:t>
      </w:r>
    </w:p>
    <w:p w14:paraId="7C804AC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2F162E0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7、本基金投资存托凭证的估值核算，依照境内上市交易的股票执行。</w:t>
      </w:r>
    </w:p>
    <w:p w14:paraId="494D59E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8、同一证券同时在两个或两个以上市场交易的，按证券所处的市场分别估值。</w:t>
      </w:r>
    </w:p>
    <w:p w14:paraId="37FB6FB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4AEB185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10、本基金投资股票期权，根据相关法律法规以及监管部门的规定估值。</w:t>
      </w:r>
    </w:p>
    <w:p w14:paraId="7098CE4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11、本基金参与融资及转融通证券出借业务的，应参照法律法规及行业协会的相关规定进行估值。</w:t>
      </w:r>
    </w:p>
    <w:p w14:paraId="61C8DF9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、银行存款、回购等固定收益工具按照约定利率在持有期内逐日确认利息收入，在利息到账日以实收利息入账。</w:t>
      </w:r>
    </w:p>
    <w:p w14:paraId="426ADF2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、如有确凿证据表明按上述方法进行估值不能客观反映其公允价值的，基金管理人可根据具体情况与基金托管人商定后，按最能反映公允价值的方法估值。</w:t>
      </w:r>
    </w:p>
    <w:p w14:paraId="40FFA9E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相关法律法规以及监管部门有强制规定的，从其规定。如有新增事项，按国家最新规定估值。如基金管理人或基金托管人发现基金估值违反基金合同订明的估值方法、程序及相关法律法规的规定或者未能充分维护基金份额持有人利益时，应立即通知对方，共同查明原因，双方协商解决。</w:t>
      </w:r>
    </w:p>
    <w:p w14:paraId="432ACC92">
      <w:pPr>
        <w:widowControl/>
        <w:adjustRightInd w:val="0"/>
        <w:snapToGrid w:val="0"/>
        <w:spacing w:line="360" w:lineRule="auto"/>
        <w:ind w:firstLine="480" w:firstLineChars="200"/>
        <w:jc w:val="left"/>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，基金托管人不承担由此引致的任何责任和损失</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1922D6C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五、估值程序</w:t>
      </w:r>
    </w:p>
    <w:p w14:paraId="1E69F66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净值是按照每个工作日闭市后，基金资产净值除以当日基金份额的余额数量计算，精确到0.0001元，小数点后第5位四舍五入，由此产生的误差计入基金财产。基金管理人可以设立大额赎回情形下的净值精度应急调整机制。国家另有规定的，从其规定。</w:t>
      </w:r>
    </w:p>
    <w:p w14:paraId="76E2450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基金管理人于每个工作日计算基金资产净值及基金份额净值，并按规定公告。</w:t>
      </w:r>
    </w:p>
    <w:p w14:paraId="6FEC19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、基金管理人应每个工作日对基金资产估值。但基金管理人根据法律法规或本基金合同的规定暂停估值时除外。基金管理人每个工作日对基金资产估值后，将基金份额净值结果</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以双方认可的方式</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发送基金托管人，基金托管人复核无误后，</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将复核结果以双方认可的方式反馈给基金管理人，</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由基金管理人按</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规定</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对外公布。</w:t>
      </w:r>
    </w:p>
    <w:p w14:paraId="33B2959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六、估值错误的处理</w:t>
      </w:r>
    </w:p>
    <w:p w14:paraId="0CD709B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基金管理人和基金托管人将采取必要、适当、合理的措施确保基金资产估值的准确性、及时性。当基金份额净值小数点后4位以内</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含第4位</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发生估值错误时，视为基金份额净值错误。</w:t>
      </w:r>
    </w:p>
    <w:p w14:paraId="0185B96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本基金合同的当事人应按照以下约定处理：</w:t>
      </w:r>
    </w:p>
    <w:p w14:paraId="256FA4A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、估值错误类型</w:t>
      </w:r>
    </w:p>
    <w:p w14:paraId="01F71E9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本基金运作过程中，如果由于基金管理人或基金托管人、或登记机构、或销售机构、或投资人自身的过错造成估值错误，导致其他当事人遭受损失的，过错的责任人应当对由于该估值错误遭受损失当事人</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受损方</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的直接损失按下述</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估值错误处理原则</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给予赔偿，承担赔偿责任。</w:t>
      </w:r>
    </w:p>
    <w:p w14:paraId="30803B1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上述估值错误的主要类型包括但不限于：资料申报差错、数据传输差错、数据计算差错、系统故障差错、下达指令差错等。</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对于因技术原因引起的差错，若系同行业现有技术水平不能预见、不能避免、不能克服，则属不可抗力，按照相关规定执行。</w:t>
      </w:r>
    </w:p>
    <w:p w14:paraId="3EAF1FB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14:paraId="1B81827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、估值错误处理原则</w:t>
      </w:r>
    </w:p>
    <w:p w14:paraId="7E08FD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4D965E1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）估值错误的责任方对有关当事人的直接损失负责，不对间接损失负责，并且仅对估值错误的有关直接当事人负责，不对第三方负责。</w:t>
      </w:r>
    </w:p>
    <w:p w14:paraId="6680EA1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）因估值错误而获得不当得利的当事人负有及时返还不当得利的义务。但估值错误责任方仍应对估值错误负责。如果由于获得不当得利的当事人不返还或不全部返还不当得利造成其他当事人的利益损失</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受损方</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1387BF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）估值错误调整采用尽量恢复至假设未发生估值错误的正确情形的方式。</w:t>
      </w:r>
    </w:p>
    <w:p w14:paraId="7275D65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、估值错误处理程序</w:t>
      </w:r>
    </w:p>
    <w:p w14:paraId="70188E7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估值错误被发现后，有关的当事人应当及时进行处理，处理的程序如下：</w:t>
      </w:r>
    </w:p>
    <w:p w14:paraId="79D8D00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）查明估值错误发生的原因，列明所有的当事人，并根据估值错误发生的原因确定估值错误的责任方；</w:t>
      </w:r>
    </w:p>
    <w:p w14:paraId="25C9DDD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）根据估值错误处理原则或当事人协商的方法对因估值错误造成的损失进行评估；</w:t>
      </w:r>
    </w:p>
    <w:p w14:paraId="0D33C1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）根据估值错误处理原则或当事人协商的方法由估值错误的责任方进行更正和赔偿损失；</w:t>
      </w:r>
    </w:p>
    <w:p w14:paraId="432492A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）根据估值错误处理的方法，需要修改基金登记机构交易数据的，由基金登记机构进行更正，并就估值错误的更正向有关当事人进行确认。</w:t>
      </w:r>
    </w:p>
    <w:p w14:paraId="2880972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、基金份额净值估值错误处理的方法如下：</w:t>
      </w:r>
    </w:p>
    <w:p w14:paraId="53A5E14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（1）基金份额净值计算出现错误时，基金管理人应当立即予以纠正，通报基金托管人，并采取合理的措施防止损失进一步扩大。</w:t>
      </w:r>
    </w:p>
    <w:p w14:paraId="13163B9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（2）错误偏差达到基金份额净值的0.25%时，基金管理人应当通报基金托管人并报中国证监会备案；错误偏差达到基金份额净值的0.5%时，基金管理人应当公告，</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及时通知基金托管人</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并报中国证监会备案。</w:t>
      </w:r>
    </w:p>
    <w:p w14:paraId="0B3D907E">
      <w:pPr>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bCs/>
          <w:sz w:val="24"/>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前述内容如法律法规或者监管部门另有规定的，从其规定。如果行业另有通行做法，基金管理人和基金托管人应本着平等和保护基金份额持有人利益的原则进行协商。</w:t>
      </w:r>
    </w:p>
    <w:p w14:paraId="60E45BC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七、暂停估值的情形</w:t>
      </w:r>
    </w:p>
    <w:p w14:paraId="49CEC81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、基金投资所涉及的证券/期货交易市场遇法定节假日或因其他原因暂停营业时；</w:t>
      </w:r>
    </w:p>
    <w:p w14:paraId="6D333A9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、因不可抗力或者其他情形致使基金管理人、基金托管人无法准确评估基金资产价值时；</w:t>
      </w:r>
    </w:p>
    <w:p w14:paraId="11B9B1B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、当前一估值日基金资产净值</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以上的资产出现无可参考的活跃市场价格且采用估值技术仍导致公允价值存在重大不确定性时，经与基金托管人协商确认后，基金管理人应当暂停估值；</w:t>
      </w:r>
    </w:p>
    <w:p w14:paraId="510B865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、法律法规、中国证监会和基金合同认定的其它情形。</w:t>
      </w:r>
    </w:p>
    <w:p w14:paraId="03E6330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八、基金净值的确认</w:t>
      </w:r>
    </w:p>
    <w:p w14:paraId="741017D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信息按约定予以公布。</w:t>
      </w:r>
    </w:p>
    <w:p w14:paraId="5546C7A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350" w:name="_Toc6493"/>
      <w:bookmarkStart w:id="351" w:name="_Toc13987"/>
      <w:bookmarkStart w:id="352" w:name="_Toc15779"/>
      <w:bookmarkStart w:id="353" w:name="_Toc32227"/>
      <w:bookmarkStart w:id="354" w:name="_Toc19752"/>
      <w:bookmarkStart w:id="355" w:name="_Toc32041"/>
      <w:bookmarkStart w:id="356" w:name="_Toc3365"/>
      <w:bookmarkStart w:id="357" w:name="_Toc12105"/>
      <w:bookmarkStart w:id="358" w:name="_Toc19706"/>
      <w:bookmarkStart w:id="359" w:name="_Toc24601"/>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九、特殊情况的处理</w:t>
      </w:r>
    </w:p>
    <w:p w14:paraId="5CE4EC3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1、基金管理人或基金托管人按估值方法的第1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项进行估值时，所造成的误差不作为基金资产估值错误处理。</w:t>
      </w:r>
    </w:p>
    <w:p w14:paraId="2DF61EDE">
      <w:pPr>
        <w:widowControl/>
        <w:adjustRightInd w:val="0"/>
        <w:snapToGrid w:val="0"/>
        <w:spacing w:beforeAutospacing="1" w:afterAutospacing="1" w:line="360" w:lineRule="auto"/>
        <w:ind w:firstLine="480" w:firstLineChars="200"/>
        <w:jc w:val="left"/>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、由于不可抗力原因，或证券/期货交易所、指数编制机构</w:t>
      </w:r>
      <w:r>
        <w:rPr>
          <w:rFonts w:hint="eastAsia" w:ascii="宋体" w:hAnsi="宋体" w:cs="宋体"/>
          <w:bCs/>
          <w:color w:val="000000"/>
          <w:sz w:val="24"/>
          <w:szCs w:val="24"/>
          <w:lang w:bidi="ar"/>
        </w:rPr>
        <w:t>、第三方估值基准服务机构及存款银行等第三方</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及登记结算公司等机构发送的数据错误、遗漏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7E35800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7C6E368D">
      <w:pPr>
        <w:pStyle w:val="2"/>
        <w:rPr>
          <w:rFonts w:hint="eastAsia"/>
          <w:szCs w:val="24"/>
        </w:rPr>
        <w:sectPr>
          <w:footerReference r:id="rId24" w:type="default"/>
          <w:pgSz w:w="11906" w:h="16838"/>
          <w:pgMar w:top="1440" w:right="1800" w:bottom="1440" w:left="1800" w:header="851" w:footer="992" w:gutter="0"/>
          <w:pgNumType w:start="1"/>
          <w:cols w:space="425" w:num="1"/>
          <w:docGrid w:type="lines" w:linePitch="312" w:charSpace="0"/>
        </w:sectPr>
      </w:pPr>
      <w:bookmarkStart w:id="360" w:name="_Toc90742401"/>
      <w:bookmarkStart w:id="361" w:name="_Toc90742699"/>
      <w:bookmarkStart w:id="362" w:name="_Toc90742332"/>
    </w:p>
    <w:bookmarkEnd w:id="344"/>
    <w:p w14:paraId="5C78CC14">
      <w:pPr>
        <w:pStyle w:val="2"/>
        <w:rPr>
          <w:rFonts w:hint="eastAsia"/>
          <w:szCs w:val="24"/>
        </w:rPr>
      </w:pPr>
      <w:bookmarkStart w:id="363" w:name="CLAUSE_5979ebcde86d427bbe68531bf1780126"/>
      <w:r>
        <w:rPr>
          <w:szCs w:val="24"/>
        </w:rPr>
        <w:t xml:space="preserve"> </w:t>
      </w:r>
      <w:bookmarkStart w:id="364" w:name="CTS_5979ebcde86d427bbe68531bf1780126"/>
      <w:bookmarkEnd w:id="364"/>
      <w:bookmarkStart w:id="365" w:name="_Toc86655091"/>
      <w:r>
        <w:rPr>
          <w:rFonts w:hint="eastAsia" w:cs="Arial"/>
          <w:szCs w:val="24"/>
        </w:rPr>
        <w:t xml:space="preserve">第十七部分 </w:t>
      </w:r>
      <w:r>
        <w:rPr>
          <w:szCs w:val="24"/>
        </w:rPr>
        <w:t>基金</w:t>
      </w:r>
      <w:r>
        <w:rPr>
          <w:rFonts w:cs="Arial"/>
          <w:szCs w:val="24"/>
        </w:rPr>
        <w:t>的</w:t>
      </w:r>
      <w:r>
        <w:rPr>
          <w:szCs w:val="24"/>
        </w:rPr>
        <w:t>费用与税收</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5"/>
    </w:p>
    <w:p w14:paraId="31506E5C">
      <w:pPr>
        <w:spacing w:line="360" w:lineRule="auto"/>
        <w:ind w:firstLine="480" w:firstLineChars="200"/>
        <w:rPr>
          <w:rFonts w:hint="eastAsia" w:asciiTheme="minorEastAsia" w:hAnsiTheme="minorEastAsia" w:eastAsiaTheme="minorEastAsia"/>
          <w:bCs/>
          <w:sz w:val="24"/>
          <w:szCs w:val="24"/>
        </w:rPr>
      </w:pPr>
    </w:p>
    <w:p w14:paraId="0DC96B2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一、基金费用的种类</w:t>
      </w:r>
    </w:p>
    <w:p w14:paraId="77084D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、基金管理人的管理费；</w:t>
      </w:r>
    </w:p>
    <w:p w14:paraId="1A15826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、基金托管人的托管费；</w:t>
      </w:r>
    </w:p>
    <w:p w14:paraId="7EA51E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3、基金的证券、期货、期权交易费用；</w:t>
      </w:r>
    </w:p>
    <w:p w14:paraId="25AC1E5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4、《基金合同》生效后与基金相关的信息披露费用，但法律法规、中国证监会另有规定的除外；</w:t>
      </w:r>
    </w:p>
    <w:p w14:paraId="59AD1D7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5、《基金合同》生效后与基金相关的公证费、会计师费、审计费、律师费、仲裁费和诉讼费；</w:t>
      </w:r>
    </w:p>
    <w:p w14:paraId="4A49B50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6、基金份额持有人大会费用；</w:t>
      </w:r>
    </w:p>
    <w:p w14:paraId="2506902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7、基金银行汇划费用、账户开户及维护费用、场内注册登记费用、IOPV计算与发布费用、收益分配中发生的费用（银行转账或其他手续费用除外）；</w:t>
      </w:r>
    </w:p>
    <w:p w14:paraId="52C15F1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8、基金上市初费及年费；</w:t>
      </w:r>
    </w:p>
    <w:p w14:paraId="149F9EC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9、按照国家有关规定和《基金合同》约定，可以在基金财产中列支的其他费用。</w:t>
      </w:r>
    </w:p>
    <w:p w14:paraId="643E792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二、基金费用计提方法、计提标准和支付方式</w:t>
      </w:r>
    </w:p>
    <w:p w14:paraId="65D353E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、基金管理人的管理费</w:t>
      </w:r>
    </w:p>
    <w:p w14:paraId="305ECA6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本基金的管理费按前一日基金资产净值的</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50</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年费率计提。管理费的计算方法如下：</w:t>
      </w:r>
    </w:p>
    <w:p w14:paraId="132B4A1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＝E×0.50%÷当年天数</w:t>
      </w:r>
    </w:p>
    <w:p w14:paraId="5228FB0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为每日应计提的基金管理费</w:t>
      </w:r>
    </w:p>
    <w:p w14:paraId="3731FF3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为前一日的基金资产净值</w:t>
      </w:r>
    </w:p>
    <w:p w14:paraId="00CEEFCD">
      <w:pPr>
        <w:spacing w:line="360" w:lineRule="auto"/>
        <w:ind w:firstLine="480" w:firstLineChars="200"/>
        <w:rPr>
          <w:bCs/>
          <w:sz w:val="24"/>
        </w:rPr>
      </w:pPr>
      <w:r>
        <w:rPr>
          <w:rFonts w:hint="eastAsia"/>
          <w:bCs/>
          <w:sz w:val="24"/>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w:t>
      </w:r>
      <w:r>
        <w:rPr>
          <w:rFonts w:hint="eastAsia" w:ascii="Times New Roman" w:hAnsi="Times New Roman"/>
          <w:bCs/>
          <w:sz w:val="24"/>
          <w:szCs w:val="20"/>
          <w:lang w:bidi="ar"/>
        </w:rPr>
        <w:t>至最近一个工作日</w:t>
      </w:r>
      <w:r>
        <w:rPr>
          <w:rFonts w:ascii="宋体" w:hAnsi="宋体" w:cs="宋体"/>
          <w:sz w:val="24"/>
          <w:szCs w:val="24"/>
        </w:rPr>
        <w:t xml:space="preserve"> </w:t>
      </w:r>
      <w:r>
        <w:rPr>
          <w:rFonts w:hint="eastAsia"/>
          <w:bCs/>
          <w:sz w:val="24"/>
        </w:rPr>
        <w:t>。</w:t>
      </w:r>
    </w:p>
    <w:p w14:paraId="1310EB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、基金托管人的托管费</w:t>
      </w:r>
    </w:p>
    <w:p w14:paraId="532B31B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本基金的托管费按前一日基金资产净值的</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年费率计提。托管费的计算方法如下：</w:t>
      </w:r>
    </w:p>
    <w:p w14:paraId="72B41DC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＝E×0.10%÷当年天数</w:t>
      </w:r>
    </w:p>
    <w:p w14:paraId="4B3817C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为每日应计提的基金托管费</w:t>
      </w:r>
    </w:p>
    <w:p w14:paraId="1B83500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E</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为前一日的基金资产净值</w:t>
      </w:r>
    </w:p>
    <w:p w14:paraId="050436C4">
      <w:pPr>
        <w:adjustRightInd w:val="0"/>
        <w:snapToGrid w:val="0"/>
        <w:spacing w:line="360" w:lineRule="auto"/>
        <w:ind w:firstLine="480" w:firstLineChars="200"/>
        <w:rPr>
          <w:bCs/>
          <w:sz w:val="24"/>
        </w:rPr>
      </w:pPr>
      <w:r>
        <w:rPr>
          <w:rFonts w:hint="eastAsia"/>
          <w:bCs/>
          <w:sz w:val="24"/>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w:t>
      </w:r>
      <w:r>
        <w:rPr>
          <w:rFonts w:hint="eastAsia" w:ascii="Times New Roman" w:hAnsi="Times New Roman"/>
          <w:bCs/>
          <w:sz w:val="24"/>
          <w:szCs w:val="20"/>
          <w:lang w:bidi="ar"/>
        </w:rPr>
        <w:t>至最近一个工作日</w:t>
      </w:r>
      <w:r>
        <w:rPr>
          <w:rFonts w:ascii="宋体" w:hAnsi="宋体" w:cs="宋体"/>
          <w:sz w:val="24"/>
          <w:szCs w:val="24"/>
        </w:rPr>
        <w:t xml:space="preserve"> </w:t>
      </w:r>
      <w:r>
        <w:rPr>
          <w:rFonts w:hint="eastAsia"/>
          <w:bCs/>
          <w:sz w:val="24"/>
        </w:rPr>
        <w:t>。</w:t>
      </w:r>
    </w:p>
    <w:p w14:paraId="1A3265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bCs/>
          <w:sz w:val="24"/>
        </w:rPr>
        <w:t>上述</w:t>
      </w:r>
      <w:r>
        <w:rPr>
          <w:rFonts w:hint="eastAsia" w:asciiTheme="minorEastAsia" w:hAnsiTheme="minorEastAsia" w:eastAsiaTheme="minorEastAsia"/>
          <w:bCs/>
          <w:sz w:val="24"/>
        </w:rPr>
        <w:t>“</w:t>
      </w:r>
      <w:r>
        <w:rPr>
          <w:rFonts w:asciiTheme="minorEastAsia" w:hAnsiTheme="minorEastAsia" w:eastAsiaTheme="minorEastAsia"/>
          <w:bCs/>
          <w:sz w:val="24"/>
        </w:rPr>
        <w:t>一、基金费用的种类</w:t>
      </w:r>
      <w:r>
        <w:rPr>
          <w:rFonts w:hint="eastAsia" w:asciiTheme="minorEastAsia" w:hAnsiTheme="minorEastAsia" w:eastAsiaTheme="minorEastAsia"/>
          <w:bCs/>
          <w:sz w:val="24"/>
        </w:rPr>
        <w:t>”</w:t>
      </w:r>
      <w:r>
        <w:rPr>
          <w:rFonts w:asciiTheme="minorEastAsia" w:hAnsiTheme="minorEastAsia" w:eastAsiaTheme="minorEastAsia"/>
          <w:bCs/>
          <w:sz w:val="24"/>
        </w:rPr>
        <w:t>中第</w:t>
      </w:r>
      <w:r>
        <w:rPr>
          <w:rFonts w:hint="eastAsia" w:asciiTheme="minorEastAsia" w:hAnsiTheme="minorEastAsia" w:eastAsiaTheme="minorEastAsia"/>
          <w:bCs/>
          <w:sz w:val="24"/>
        </w:rPr>
        <w:t>3</w:t>
      </w:r>
      <w:r>
        <w:rPr>
          <w:rFonts w:asciiTheme="minorEastAsia" w:hAnsiTheme="minorEastAsia" w:eastAsiaTheme="minorEastAsia"/>
          <w:bCs/>
          <w:sz w:val="24"/>
        </w:rPr>
        <w:t>－</w:t>
      </w:r>
      <w:r>
        <w:rPr>
          <w:rFonts w:hint="eastAsia" w:asciiTheme="minorEastAsia" w:hAnsiTheme="minorEastAsia" w:eastAsiaTheme="minorEastAsia"/>
          <w:bCs/>
          <w:sz w:val="24"/>
        </w:rPr>
        <w:t>9</w:t>
      </w:r>
      <w:r>
        <w:rPr>
          <w:rFonts w:asciiTheme="minorEastAsia" w:hAnsiTheme="minorEastAsia" w:eastAsiaTheme="minorEastAsia"/>
          <w:bCs/>
          <w:sz w:val="24"/>
        </w:rPr>
        <w:t>项费用，根据有关法规及相应协议规定，按费用实际支出金额列入当期费用，由基金托管人从基金财产中支付。</w:t>
      </w:r>
    </w:p>
    <w:p w14:paraId="312B8A7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三、不列入基金费用的项目</w:t>
      </w:r>
    </w:p>
    <w:p w14:paraId="46F92F3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1、基金管理人和基金托管人因未履行或未完全履行义务导致的费用支出或基金财产的损失；</w:t>
      </w:r>
    </w:p>
    <w:p w14:paraId="7E0CDF3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2、基金管理人和基金托管人处理与基金运作无关的事项发生的费用；</w:t>
      </w:r>
    </w:p>
    <w:p w14:paraId="1E7CC85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3、《基金合同》生效前的相关费用；</w:t>
      </w:r>
    </w:p>
    <w:p w14:paraId="0790F29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4、指数许可使用费；</w:t>
      </w:r>
    </w:p>
    <w:p w14:paraId="4A67DED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5、其他根据相关法律法规及中国证监会的有关规定不得列入基金费用的项目。</w:t>
      </w:r>
    </w:p>
    <w:p w14:paraId="094C52F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四、基金税收</w:t>
      </w:r>
    </w:p>
    <w:p w14:paraId="224675F0">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366" w:name="_Hlt70496289"/>
      <w:bookmarkEnd w:id="366"/>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bookmarkEnd w:id="363"/>
    <w:p w14:paraId="50CD0B90">
      <w:pPr>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73A37D6B">
      <w:pPr>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2B26FCC5">
      <w:pPr>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1290BE78">
      <w:pPr>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67E84D48">
      <w:pPr>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0EC411B0">
      <w:pPr>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60DEA346">
      <w:pPr>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sectPr>
          <w:footerReference r:id="rId25" w:type="default"/>
          <w:pgSz w:w="11906" w:h="16838"/>
          <w:pgMar w:top="1440" w:right="1800" w:bottom="1440" w:left="1800" w:header="851" w:footer="992" w:gutter="0"/>
          <w:pgNumType w:start="1"/>
          <w:cols w:space="425" w:num="1"/>
          <w:docGrid w:type="lines" w:linePitch="312" w:charSpace="0"/>
        </w:sectPr>
      </w:pPr>
    </w:p>
    <w:p w14:paraId="1537141E">
      <w:pPr>
        <w:pStyle w:val="2"/>
        <w:rPr>
          <w:rFonts w:hint="eastAsia"/>
          <w:szCs w:val="24"/>
        </w:rPr>
      </w:pPr>
      <w:bookmarkStart w:id="367" w:name="CLAUSE_4050b55c792c4bc9a6ceb5286a9a5258"/>
      <w:r>
        <w:rPr>
          <w:szCs w:val="24"/>
        </w:rPr>
        <w:t xml:space="preserve"> </w:t>
      </w:r>
      <w:bookmarkStart w:id="368" w:name="CTS_4050b55c792c4bc9a6ceb5286a9a5258"/>
      <w:bookmarkEnd w:id="368"/>
      <w:bookmarkStart w:id="369" w:name="_Toc86655092"/>
      <w:r>
        <w:rPr>
          <w:rFonts w:hint="eastAsia" w:cs="Arial"/>
          <w:szCs w:val="24"/>
        </w:rPr>
        <w:t xml:space="preserve">第十八部分 </w:t>
      </w:r>
      <w:r>
        <w:rPr>
          <w:szCs w:val="24"/>
        </w:rPr>
        <w:t>基金的收益与分配</w:t>
      </w:r>
      <w:bookmarkEnd w:id="369"/>
    </w:p>
    <w:p w14:paraId="64BFCB7A">
      <w:pPr>
        <w:autoSpaceDE w:val="0"/>
        <w:autoSpaceDN w:val="0"/>
        <w:adjustRightInd w:val="0"/>
        <w:jc w:val="left"/>
        <w:rPr>
          <w:rFonts w:hint="eastAsia" w:ascii="宋体" w:hAnsi="宋体" w:cs="宋体"/>
          <w:color w:val="000000"/>
          <w:kern w:val="0"/>
          <w:sz w:val="24"/>
          <w:szCs w:val="24"/>
        </w:rPr>
      </w:pPr>
    </w:p>
    <w:p w14:paraId="446E5BAC">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一、基金收益分配原则</w:t>
      </w:r>
    </w:p>
    <w:p w14:paraId="3437458D">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 xml:space="preserve">1、本基金基金份额的收益分配方式采用现金分红； </w:t>
      </w:r>
    </w:p>
    <w:p w14:paraId="01604713">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 xml:space="preserve">2、当收益评价日核定的基金份额净值增长率超过标的指数同期增长率达到0.01%以上时，可进行收益分配； </w:t>
      </w:r>
    </w:p>
    <w:p w14:paraId="645D4A99">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 xml:space="preserve">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 </w:t>
      </w:r>
    </w:p>
    <w:p w14:paraId="320C7A33">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 xml:space="preserve">4、若《基金合同》生效不满3个月可不进行收益分配； </w:t>
      </w:r>
    </w:p>
    <w:p w14:paraId="794B6227">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 xml:space="preserve">5、每一基金份额享有同等分配权； </w:t>
      </w:r>
    </w:p>
    <w:p w14:paraId="6251BD65">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 xml:space="preserve">6、法律法规或监管机关、证券交易所、登记机构另有规定的，从其规定。 </w:t>
      </w:r>
    </w:p>
    <w:p w14:paraId="7E33D94E">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 xml:space="preserve">在不违反法律法规且对基金份额持有人利益无实质性不利影响的前提下，基金管理人经与基金托管人协商一致后可对基金收益分配原则进行调整，并及时公告。 </w:t>
      </w:r>
    </w:p>
    <w:p w14:paraId="0711789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、基金收益分配比例及金额的确定原则</w:t>
      </w:r>
    </w:p>
    <w:p w14:paraId="63E57C6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1、在收益评价日，基金管理人计算基金份额净值增长率、标的指数同期增长率。</w:t>
      </w:r>
    </w:p>
    <w:p w14:paraId="34710F4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基金收益评价日本基金相对标的指数的超额收益率＝基金份额净值增长率－标的指数同期增长率。</w:t>
      </w:r>
    </w:p>
    <w:p w14:paraId="66716BC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30391F5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期间如发生基金份额折算、拆分或合并，则以基金份额折算、经拆分或合并调整后的基金份额折算日为初始日重新计算上述指标。</w:t>
      </w:r>
    </w:p>
    <w:p w14:paraId="40CA587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收益评价日日期以本基金日后相关公告为准。</w:t>
      </w:r>
    </w:p>
    <w:p w14:paraId="64CF88C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2、根据前述收益分配原则计算截至基金收益评价日本基金的份额可分配收益，并确定收益分配比例。</w:t>
      </w:r>
    </w:p>
    <w:p w14:paraId="6E58CD5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3、根据前述可分配利润及收益分配比例计算收益分配金额。</w:t>
      </w:r>
    </w:p>
    <w:p w14:paraId="0FADACE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三、收益分配方案</w:t>
      </w:r>
    </w:p>
    <w:p w14:paraId="3FED5DD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基金收益分配方案中应载明基金收益分配对象、分配时间、分配数额及比例、分配方式等内容。</w:t>
      </w:r>
    </w:p>
    <w:p w14:paraId="2DF9AEC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四、收益分配方案的确定、公告与实施</w:t>
      </w:r>
    </w:p>
    <w:p w14:paraId="1B502C0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本基金收益分配方案由基金管理人拟定，并由基金托管人复核，依照《信息披露办法》的有关规定在规定媒介公告。</w:t>
      </w:r>
    </w:p>
    <w:p w14:paraId="25EF9A8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五、基金收益分配中发生的费用</w:t>
      </w:r>
    </w:p>
    <w:p w14:paraId="18F2B6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基金收益分配时所发生的银行转账或其他手续费用由投资者自行承担。</w:t>
      </w:r>
    </w:p>
    <w:p w14:paraId="574182AB">
      <w:pP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sectPr>
          <w:footerReference r:id="rId26" w:type="default"/>
          <w:pgSz w:w="11906" w:h="16838"/>
          <w:pgMar w:top="1440" w:right="1800" w:bottom="1440" w:left="1800" w:header="851" w:footer="992" w:gutter="0"/>
          <w:pgNumType w:start="1"/>
          <w:cols w:space="425" w:num="1"/>
          <w:docGrid w:type="lines" w:linePitch="312" w:charSpace="0"/>
        </w:sectPr>
      </w:pPr>
    </w:p>
    <w:bookmarkEnd w:id="367"/>
    <w:p w14:paraId="41A44EEA">
      <w:pPr>
        <w:rPr>
          <w:szCs w:val="24"/>
        </w:rPr>
      </w:pPr>
      <w:bookmarkStart w:id="370" w:name="_Toc92662708"/>
      <w:bookmarkStart w:id="371" w:name="_Toc93226150"/>
      <w:bookmarkStart w:id="372" w:name="_Toc18007"/>
      <w:bookmarkStart w:id="373" w:name="_Toc141703897"/>
      <w:bookmarkStart w:id="374" w:name="_Toc21206"/>
      <w:bookmarkStart w:id="375" w:name="_Toc90742701"/>
      <w:bookmarkStart w:id="376" w:name="_Toc139991747"/>
      <w:bookmarkStart w:id="377" w:name="_Toc1043"/>
      <w:bookmarkStart w:id="378" w:name="_Toc18747"/>
      <w:bookmarkStart w:id="379" w:name="_Toc29695"/>
      <w:bookmarkStart w:id="380" w:name="_Toc90742334"/>
      <w:bookmarkStart w:id="381" w:name="_Toc31736"/>
      <w:bookmarkStart w:id="382" w:name="_Toc23859"/>
      <w:bookmarkStart w:id="383" w:name="_Toc17499"/>
      <w:bookmarkStart w:id="384" w:name="_Toc13255"/>
      <w:bookmarkStart w:id="385" w:name="_Toc128310500"/>
      <w:bookmarkStart w:id="386" w:name="_Toc90742403"/>
      <w:bookmarkStart w:id="387" w:name="_Toc28961"/>
      <w:bookmarkStart w:id="388" w:name="_Toc10894"/>
      <w:bookmarkStart w:id="389" w:name="CLAUSE_71c58533a21145f98d9d1bd34ae2666a"/>
    </w:p>
    <w:p w14:paraId="128B20B9">
      <w:pPr>
        <w:rPr>
          <w:szCs w:val="24"/>
        </w:rPr>
      </w:pPr>
    </w:p>
    <w:p w14:paraId="5D87B22B">
      <w:pPr>
        <w:pStyle w:val="2"/>
        <w:rPr>
          <w:rFonts w:hint="eastAsia"/>
          <w:szCs w:val="24"/>
        </w:rPr>
      </w:pPr>
      <w:bookmarkStart w:id="390" w:name="CTS_71c58533a21145f98d9d1bd34ae2666a"/>
      <w:bookmarkEnd w:id="390"/>
      <w:bookmarkStart w:id="391" w:name="_Toc86655093"/>
      <w:r>
        <w:rPr>
          <w:rFonts w:hint="eastAsia"/>
          <w:szCs w:val="24"/>
        </w:rPr>
        <w:t xml:space="preserve">第十九部分 </w:t>
      </w:r>
      <w:r>
        <w:rPr>
          <w:szCs w:val="24"/>
        </w:rPr>
        <w:t>基金</w:t>
      </w:r>
      <w:bookmarkEnd w:id="370"/>
      <w:bookmarkEnd w:id="371"/>
      <w:r>
        <w:rPr>
          <w:szCs w:val="24"/>
        </w:rPr>
        <w:t>的会计与审计</w:t>
      </w:r>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91"/>
    </w:p>
    <w:p w14:paraId="2771137D">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一、基金会计政策</w:t>
      </w:r>
    </w:p>
    <w:p w14:paraId="6D90CCD8">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、基金管理人为本基金的基金会计责任方；</w:t>
      </w:r>
    </w:p>
    <w:p w14:paraId="26FA87FD">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、基金的会计年度为公历年度的</w:t>
      </w:r>
      <w:r>
        <w:rPr>
          <w:rFonts w:asciiTheme="minorEastAsia" w:hAnsiTheme="minorEastAsia" w:eastAsiaTheme="minorEastAsia"/>
          <w:sz w:val="24"/>
          <w:szCs w:val="24"/>
        </w:rPr>
        <w:t>1</w:t>
      </w:r>
      <w:r>
        <w:rPr>
          <w:rFonts w:hint="eastAsia" w:asciiTheme="minorEastAsia" w:hAnsiTheme="minorEastAsia" w:eastAsiaTheme="minorEastAsia"/>
          <w:sz w:val="24"/>
          <w:szCs w:val="24"/>
        </w:rPr>
        <w:t>月</w:t>
      </w:r>
      <w:r>
        <w:rPr>
          <w:rFonts w:asciiTheme="minorEastAsia" w:hAnsiTheme="minorEastAsia" w:eastAsiaTheme="minorEastAsia"/>
          <w:sz w:val="24"/>
          <w:szCs w:val="24"/>
        </w:rPr>
        <w:t>1</w:t>
      </w:r>
      <w:r>
        <w:rPr>
          <w:rFonts w:hint="eastAsia" w:asciiTheme="minorEastAsia" w:hAnsiTheme="minorEastAsia" w:eastAsiaTheme="minorEastAsia"/>
          <w:sz w:val="24"/>
          <w:szCs w:val="24"/>
        </w:rPr>
        <w:t>日至</w:t>
      </w:r>
      <w:r>
        <w:rPr>
          <w:rFonts w:asciiTheme="minorEastAsia" w:hAnsiTheme="minorEastAsia" w:eastAsiaTheme="minorEastAsia"/>
          <w:sz w:val="24"/>
          <w:szCs w:val="24"/>
        </w:rPr>
        <w:t>12</w:t>
      </w:r>
      <w:r>
        <w:rPr>
          <w:rFonts w:hint="eastAsia" w:asciiTheme="minorEastAsia" w:hAnsiTheme="minorEastAsia" w:eastAsiaTheme="minorEastAsia"/>
          <w:sz w:val="24"/>
          <w:szCs w:val="24"/>
        </w:rPr>
        <w:t>月</w:t>
      </w:r>
      <w:r>
        <w:rPr>
          <w:rFonts w:asciiTheme="minorEastAsia" w:hAnsiTheme="minorEastAsia" w:eastAsiaTheme="minorEastAsia"/>
          <w:sz w:val="24"/>
          <w:szCs w:val="24"/>
        </w:rPr>
        <w:t>31</w:t>
      </w:r>
      <w:r>
        <w:rPr>
          <w:rFonts w:hint="eastAsia" w:asciiTheme="minorEastAsia" w:hAnsiTheme="minorEastAsia" w:eastAsiaTheme="minorEastAsia"/>
          <w:sz w:val="24"/>
          <w:szCs w:val="24"/>
        </w:rPr>
        <w:t>日；基金首次募集的会计年度按如下原则：如果《基金合同》生效少于2个月，可以并入下一个会计年度披露；</w:t>
      </w:r>
    </w:p>
    <w:p w14:paraId="6B5627DF">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、基金核算以人民币为记账本位币，以人民币元为记账单位；</w:t>
      </w:r>
    </w:p>
    <w:p w14:paraId="200B40DD">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、会计制度执行国家有关会计制度；</w:t>
      </w:r>
    </w:p>
    <w:p w14:paraId="0647D7C3">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、本基金独立建账、独立核算；</w:t>
      </w:r>
    </w:p>
    <w:p w14:paraId="7B2A58A7">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、基金管理人及基金托管人各自保留完整的会计账目、凭证并进行日常的会计核算，按照有关规定编制基金会计报表；</w:t>
      </w:r>
    </w:p>
    <w:p w14:paraId="7CB1298C">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7</w:t>
      </w:r>
      <w:r>
        <w:rPr>
          <w:rFonts w:hint="eastAsia" w:asciiTheme="minorEastAsia" w:hAnsiTheme="minorEastAsia" w:eastAsiaTheme="minorEastAsia"/>
          <w:sz w:val="24"/>
          <w:szCs w:val="24"/>
        </w:rPr>
        <w:t>、基金</w:t>
      </w:r>
      <w:r>
        <w:rPr>
          <w:rFonts w:asciiTheme="minorEastAsia" w:hAnsiTheme="minorEastAsia" w:eastAsiaTheme="minorEastAsia"/>
          <w:sz w:val="24"/>
          <w:szCs w:val="24"/>
        </w:rPr>
        <w:t>管理</w:t>
      </w:r>
      <w:r>
        <w:rPr>
          <w:rFonts w:hint="eastAsia" w:asciiTheme="minorEastAsia" w:hAnsiTheme="minorEastAsia" w:eastAsiaTheme="minorEastAsia"/>
          <w:sz w:val="24"/>
          <w:szCs w:val="24"/>
        </w:rPr>
        <w:t>人每月与基金</w:t>
      </w:r>
      <w:r>
        <w:rPr>
          <w:rFonts w:asciiTheme="minorEastAsia" w:hAnsiTheme="minorEastAsia" w:eastAsiaTheme="minorEastAsia"/>
          <w:sz w:val="24"/>
          <w:szCs w:val="24"/>
        </w:rPr>
        <w:t>托管</w:t>
      </w:r>
      <w:r>
        <w:rPr>
          <w:rFonts w:hint="eastAsia" w:asciiTheme="minorEastAsia" w:hAnsiTheme="minorEastAsia" w:eastAsiaTheme="minorEastAsia"/>
          <w:sz w:val="24"/>
          <w:szCs w:val="24"/>
        </w:rPr>
        <w:t>人就基金的会计核算、报表编制等进行核对并以书面方式确认。</w:t>
      </w:r>
    </w:p>
    <w:p w14:paraId="1177209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二、基金的年度审计</w:t>
      </w:r>
    </w:p>
    <w:p w14:paraId="65BE126A">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、基金管理人聘请与基金管理人、基金托管人相互独立的符合《证券法》规定的会计师事务所及其注册会计师对本基金的年度财务报表进行审计。</w:t>
      </w:r>
    </w:p>
    <w:p w14:paraId="5AEDD8FC">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、会计师事务所更换经办注册会计师，应事先征得基金管理人同意。</w:t>
      </w:r>
    </w:p>
    <w:p w14:paraId="4B9A55A4">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、基金管理人认为有充足理由更换会计师事务所，须通报基金托管人。更换会计师事务所需按照《信息披露办法》的有关规定在规定媒介公告。</w:t>
      </w:r>
    </w:p>
    <w:p w14:paraId="087E060D">
      <w:pPr>
        <w:adjustRightInd w:val="0"/>
        <w:snapToGrid w:val="0"/>
        <w:spacing w:line="360" w:lineRule="auto"/>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392" w:name="_Toc92662709"/>
      <w:bookmarkStart w:id="393" w:name="_Toc93226151"/>
      <w:bookmarkStart w:id="394" w:name="_Toc8512"/>
      <w:bookmarkStart w:id="395" w:name="_Toc31866"/>
      <w:bookmarkStart w:id="396" w:name="_Toc11802"/>
      <w:bookmarkStart w:id="397" w:name="_Toc193"/>
      <w:bookmarkStart w:id="398" w:name="_Toc21351"/>
      <w:bookmarkStart w:id="399" w:name="_Toc1173"/>
      <w:bookmarkStart w:id="400" w:name="_Toc141703898"/>
      <w:bookmarkStart w:id="401" w:name="_Toc139991748"/>
      <w:bookmarkStart w:id="402" w:name="_Toc128310501"/>
      <w:bookmarkStart w:id="403" w:name="_Toc1421"/>
      <w:bookmarkStart w:id="404" w:name="_Toc3056"/>
      <w:bookmarkStart w:id="405" w:name="_Toc12028"/>
      <w:bookmarkStart w:id="406" w:name="_Toc11049"/>
      <w:bookmarkStart w:id="407" w:name="_Toc29289"/>
    </w:p>
    <w:p w14:paraId="361707BF">
      <w:pPr>
        <w:pStyle w:val="2"/>
        <w:rPr>
          <w:rFonts w:hint="eastAsia"/>
          <w:szCs w:val="24"/>
        </w:rPr>
        <w:sectPr>
          <w:footerReference r:id="rId27" w:type="default"/>
          <w:pgSz w:w="11906" w:h="16838"/>
          <w:pgMar w:top="1440" w:right="1800" w:bottom="1440" w:left="1800" w:header="851" w:footer="992" w:gutter="0"/>
          <w:pgNumType w:start="1"/>
          <w:cols w:space="425" w:num="1"/>
          <w:docGrid w:type="lines" w:linePitch="312" w:charSpace="0"/>
        </w:sectPr>
      </w:pPr>
      <w:bookmarkStart w:id="408" w:name="_Hlt4221115"/>
      <w:bookmarkStart w:id="409" w:name="_Toc90742404"/>
      <w:bookmarkStart w:id="410" w:name="_Toc90742335"/>
      <w:bookmarkStart w:id="411" w:name="_Toc90742702"/>
    </w:p>
    <w:bookmarkEnd w:id="389"/>
    <w:bookmarkEnd w:id="408"/>
    <w:p w14:paraId="17D03F30">
      <w:pPr>
        <w:pStyle w:val="2"/>
        <w:rPr>
          <w:rFonts w:hint="eastAsia"/>
          <w:szCs w:val="24"/>
        </w:rPr>
      </w:pPr>
      <w:bookmarkStart w:id="412" w:name="CLAUSE_b4bd628fc54940d596ac1d00d338db3a"/>
      <w:r>
        <w:rPr>
          <w:szCs w:val="24"/>
        </w:rPr>
        <w:t xml:space="preserve"> </w:t>
      </w:r>
      <w:bookmarkStart w:id="413" w:name="CTS_b4bd628fc54940d596ac1d00d338db3a"/>
      <w:bookmarkEnd w:id="413"/>
      <w:bookmarkStart w:id="414" w:name="_Toc86655094"/>
      <w:r>
        <w:rPr>
          <w:rFonts w:hint="eastAsia" w:cs="Arial"/>
          <w:szCs w:val="24"/>
        </w:rPr>
        <w:t xml:space="preserve">第二十部分 </w:t>
      </w:r>
      <w:r>
        <w:rPr>
          <w:szCs w:val="24"/>
        </w:rPr>
        <w:t>基金</w:t>
      </w:r>
      <w:bookmarkEnd w:id="392"/>
      <w:bookmarkEnd w:id="393"/>
      <w:r>
        <w:rPr>
          <w:szCs w:val="24"/>
        </w:rPr>
        <w:t>的信息披露</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9"/>
      <w:bookmarkEnd w:id="410"/>
      <w:bookmarkEnd w:id="411"/>
      <w:bookmarkEnd w:id="414"/>
    </w:p>
    <w:p w14:paraId="16BBFB53">
      <w:pPr>
        <w:spacing w:line="360" w:lineRule="auto"/>
        <w:ind w:firstLine="480" w:firstLineChars="200"/>
        <w:rPr>
          <w:rFonts w:hint="eastAsia" w:asciiTheme="minorEastAsia" w:hAnsiTheme="minorEastAsia" w:eastAsiaTheme="minorEastAsia"/>
          <w:bCs/>
          <w:sz w:val="24"/>
          <w:szCs w:val="24"/>
        </w:rPr>
      </w:pPr>
    </w:p>
    <w:p w14:paraId="3C3A2BE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一、本基金的信息披露应符合《基金法》、《运作办法》、《信息披露办法》、《流动性风险管理规定》、《</w:t>
      </w:r>
      <w:r>
        <w:rPr>
          <w:rFonts w:asciiTheme="minorEastAsia" w:hAnsiTheme="minorEastAsia" w:eastAsiaTheme="minorEastAsia"/>
          <w:sz w:val="24"/>
          <w:szCs w:val="24"/>
        </w:rPr>
        <w:t>基金合同</w:t>
      </w:r>
      <w:r>
        <w:rPr>
          <w:rFonts w:hint="eastAsia" w:asciiTheme="minorEastAsia" w:hAnsiTheme="minorEastAsia" w:eastAsiaTheme="minorEastAsia"/>
          <w:sz w:val="24"/>
          <w:szCs w:val="24"/>
        </w:rPr>
        <w:t>》</w:t>
      </w:r>
      <w:r>
        <w:rPr>
          <w:rFonts w:asciiTheme="minorEastAsia" w:hAnsiTheme="minorEastAsia" w:eastAsiaTheme="minorEastAsia"/>
          <w:sz w:val="24"/>
          <w:szCs w:val="24"/>
        </w:rPr>
        <w:t>及其他有关规定。</w:t>
      </w:r>
      <w:r>
        <w:rPr>
          <w:rFonts w:hint="eastAsia" w:asciiTheme="minorEastAsia" w:hAnsiTheme="minorEastAsia" w:eastAsiaTheme="minorEastAsia"/>
          <w:sz w:val="24"/>
          <w:szCs w:val="24"/>
        </w:rPr>
        <w:t>相关法律法规关于信息披露的披露方式、登载媒介、报备方式等规定发生变化时，本基金从其最新规定。</w:t>
      </w:r>
    </w:p>
    <w:p w14:paraId="76C3536D">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二、信息披露义务人</w:t>
      </w:r>
    </w:p>
    <w:p w14:paraId="47557A54">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本基金信息披露义务人包括基金管理人、基金托管人、召集基金份额持有人大会的基金份额持有人等法律、行政法规和中国证监会规定的自然人、法人和非法人组织。</w:t>
      </w:r>
    </w:p>
    <w:p w14:paraId="75DB1D37">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本基金信息披露义务人以保护基金份额持有人利益为根本出发点，按照法律法规和中国证监会的规定披露基金信息，并保证所披露信息的真实性、准确性、完整性、及时性、简明性和易得性。</w:t>
      </w:r>
    </w:p>
    <w:p w14:paraId="2F33D087">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等媒介披露，并保证基金投资者能够按照《基金合同》约定的时间和方式查阅或者复制公开披露的信息资料。</w:t>
      </w:r>
    </w:p>
    <w:p w14:paraId="10A9B1F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三、本基金信息披露义务人承诺公开披露的基金信息，不得有下列行为：</w:t>
      </w:r>
    </w:p>
    <w:p w14:paraId="65EBD018">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、虚假记载、误导性陈述或者重大遗漏；</w:t>
      </w:r>
    </w:p>
    <w:p w14:paraId="74CFB27B">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、对证券投资业绩进行预测；</w:t>
      </w:r>
    </w:p>
    <w:p w14:paraId="0166605A">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、违规承诺收益或者承担损失；</w:t>
      </w:r>
    </w:p>
    <w:p w14:paraId="48DD0145">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、诋毁其他基金管理人、基金托管人或者基金销售机构；</w:t>
      </w:r>
    </w:p>
    <w:p w14:paraId="3D321CA0">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、登载任何自然人、法人和非法人组织的祝贺性、恭维性或推荐性的文字；</w:t>
      </w:r>
    </w:p>
    <w:p w14:paraId="18EAFBE0">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、中国证监会禁止的其他行为。</w:t>
      </w:r>
    </w:p>
    <w:p w14:paraId="6AAC842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四、本基金公开披露的信息应采用中文文本。如同时采用外文文本的，基金信息披露义务人应保证不同文本的内容一致。不同文本之间发生歧义的，以中文文本为准。</w:t>
      </w:r>
    </w:p>
    <w:p w14:paraId="09BC246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本基金公开披露的信息采用阿拉伯数字；除特别说明外，货币单位为人民币元。</w:t>
      </w:r>
    </w:p>
    <w:p w14:paraId="7E04DAA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五、</w:t>
      </w:r>
      <w:r>
        <w:rPr>
          <w:rFonts w:asciiTheme="minorEastAsia" w:hAnsiTheme="minorEastAsia" w:eastAsiaTheme="minorEastAsia"/>
          <w:sz w:val="24"/>
          <w:szCs w:val="24"/>
        </w:rPr>
        <w:t>公开披露的基金信息</w:t>
      </w:r>
    </w:p>
    <w:p w14:paraId="258CC11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公开披露的基金信息包括：</w:t>
      </w:r>
    </w:p>
    <w:p w14:paraId="79C9CA6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（一）基金招募说明书、基金</w:t>
      </w:r>
      <w:r>
        <w:rPr>
          <w:rFonts w:asciiTheme="minorEastAsia" w:hAnsiTheme="minorEastAsia" w:eastAsiaTheme="minorEastAsia"/>
          <w:sz w:val="24"/>
          <w:szCs w:val="24"/>
        </w:rPr>
        <w:t>合同、</w:t>
      </w:r>
      <w:r>
        <w:rPr>
          <w:rFonts w:hint="eastAsia" w:asciiTheme="minorEastAsia" w:hAnsiTheme="minorEastAsia" w:eastAsiaTheme="minorEastAsia"/>
          <w:sz w:val="24"/>
          <w:szCs w:val="24"/>
        </w:rPr>
        <w:t>基金托管协议、基金产品资料概要</w:t>
      </w:r>
    </w:p>
    <w:p w14:paraId="67224ECB">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1、基金合同是界定基金合同当事人的各项权利、义务关系，明确基金份额持有人大会召开的规则及具体程序，说明基金产品的特性等涉及基金投资者重大利益的事项的法律文件。</w:t>
      </w:r>
    </w:p>
    <w:p w14:paraId="08896E78">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2、基金招募说明书应当最大限度地披露影响基金投资者决策的全部事项，说明基金认购、申购和赎回安排、基金投资、基金产品特性、风险揭示、信息披露及基金份额持有人服务等内容。基金合同生效后，</w:t>
      </w:r>
      <w:r>
        <w:rPr>
          <w:rFonts w:hint="eastAsia" w:asciiTheme="minorEastAsia" w:hAnsiTheme="minorEastAsia" w:eastAsiaTheme="minorEastAsia"/>
          <w:sz w:val="24"/>
          <w:szCs w:val="24"/>
        </w:rPr>
        <w:t>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r>
        <w:rPr>
          <w:rFonts w:asciiTheme="minorEastAsia" w:hAnsiTheme="minorEastAsia" w:eastAsiaTheme="minorEastAsia"/>
          <w:sz w:val="24"/>
          <w:szCs w:val="24"/>
        </w:rPr>
        <w:t>。</w:t>
      </w:r>
    </w:p>
    <w:p w14:paraId="2BF9203B">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3、基金托管协议是界定基金托管人和基金管理人在基金财产保管及基金运作监督等活动中的权利、义务关系的法律文件。</w:t>
      </w:r>
    </w:p>
    <w:p w14:paraId="1019D3DB">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2591CA88">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r>
        <w:rPr>
          <w:rFonts w:asciiTheme="minorEastAsia" w:hAnsiTheme="minorEastAsia" w:eastAsiaTheme="minorEastAsia"/>
          <w:sz w:val="24"/>
          <w:szCs w:val="24"/>
        </w:rPr>
        <w:t>基金募集申请经中国证监会</w:t>
      </w:r>
      <w:r>
        <w:rPr>
          <w:rFonts w:hint="eastAsia" w:asciiTheme="minorEastAsia" w:hAnsiTheme="minorEastAsia" w:eastAsiaTheme="minorEastAsia"/>
          <w:sz w:val="24"/>
          <w:szCs w:val="24"/>
        </w:rPr>
        <w:t>注册</w:t>
      </w:r>
      <w:r>
        <w:rPr>
          <w:rFonts w:asciiTheme="minorEastAsia" w:hAnsiTheme="minorEastAsia" w:eastAsiaTheme="minorEastAsia"/>
          <w:sz w:val="24"/>
          <w:szCs w:val="24"/>
        </w:rPr>
        <w:t>后，基金管理人在基金份额发售的3日前，将</w:t>
      </w:r>
      <w:r>
        <w:rPr>
          <w:rFonts w:hint="eastAsia" w:asciiTheme="minorEastAsia" w:hAnsiTheme="minorEastAsia" w:eastAsiaTheme="minorEastAsia"/>
          <w:sz w:val="24"/>
          <w:szCs w:val="24"/>
        </w:rPr>
        <w:t>基金份额发售公告、</w:t>
      </w:r>
      <w:r>
        <w:rPr>
          <w:rFonts w:asciiTheme="minorEastAsia" w:hAnsiTheme="minorEastAsia" w:eastAsiaTheme="minorEastAsia"/>
          <w:sz w:val="24"/>
          <w:szCs w:val="24"/>
        </w:rPr>
        <w:t>基金招募说明书</w:t>
      </w:r>
      <w:r>
        <w:rPr>
          <w:rFonts w:hint="eastAsia"/>
          <w:bCs/>
          <w:sz w:val="24"/>
        </w:rPr>
        <w:t>提示性公告和</w:t>
      </w:r>
      <w:r>
        <w:rPr>
          <w:rFonts w:asciiTheme="minorEastAsia" w:hAnsiTheme="minorEastAsia" w:eastAsiaTheme="minorEastAsia"/>
          <w:sz w:val="24"/>
          <w:szCs w:val="24"/>
        </w:rPr>
        <w:t>《基金合同》</w:t>
      </w:r>
      <w:r>
        <w:rPr>
          <w:rFonts w:hint="eastAsia"/>
          <w:bCs/>
          <w:sz w:val="24"/>
        </w:rPr>
        <w:t>提示性公告</w:t>
      </w:r>
      <w:r>
        <w:rPr>
          <w:rFonts w:asciiTheme="minorEastAsia" w:hAnsiTheme="minorEastAsia" w:eastAsiaTheme="minorEastAsia"/>
          <w:sz w:val="24"/>
          <w:szCs w:val="24"/>
        </w:rPr>
        <w:t>登载在</w:t>
      </w:r>
      <w:r>
        <w:rPr>
          <w:rFonts w:hint="eastAsia" w:asciiTheme="minorEastAsia" w:hAnsiTheme="minorEastAsia" w:eastAsiaTheme="minorEastAsia"/>
          <w:sz w:val="24"/>
          <w:szCs w:val="24"/>
        </w:rPr>
        <w:t>规定报刊上，将基金份额发售公告、基金招募说明书、基金产品资料概要、《基金合同》和基金托管协议登载在规定网站上，并将基金产品资料概要登载在基金销售机构网站或营业网点</w:t>
      </w:r>
      <w:r>
        <w:rPr>
          <w:rFonts w:asciiTheme="minorEastAsia" w:hAnsiTheme="minorEastAsia" w:eastAsiaTheme="minorEastAsia"/>
          <w:sz w:val="24"/>
          <w:szCs w:val="24"/>
        </w:rPr>
        <w:t>；基金托管人应当</w:t>
      </w:r>
      <w:r>
        <w:rPr>
          <w:rFonts w:hint="eastAsia" w:asciiTheme="minorEastAsia" w:hAnsiTheme="minorEastAsia" w:eastAsiaTheme="minorEastAsia"/>
          <w:sz w:val="24"/>
          <w:szCs w:val="24"/>
        </w:rPr>
        <w:t>同时</w:t>
      </w:r>
      <w:r>
        <w:rPr>
          <w:rFonts w:asciiTheme="minorEastAsia" w:hAnsiTheme="minorEastAsia" w:eastAsiaTheme="minorEastAsia"/>
          <w:sz w:val="24"/>
          <w:szCs w:val="24"/>
        </w:rPr>
        <w:t>将《基金合同》、基金托管协议登载在</w:t>
      </w:r>
      <w:r>
        <w:rPr>
          <w:rFonts w:hint="eastAsia" w:asciiTheme="minorEastAsia" w:hAnsiTheme="minorEastAsia" w:eastAsiaTheme="minorEastAsia"/>
          <w:sz w:val="24"/>
          <w:szCs w:val="24"/>
        </w:rPr>
        <w:t>规定</w:t>
      </w:r>
      <w:r>
        <w:rPr>
          <w:rFonts w:asciiTheme="minorEastAsia" w:hAnsiTheme="minorEastAsia" w:eastAsiaTheme="minorEastAsia"/>
          <w:sz w:val="24"/>
          <w:szCs w:val="24"/>
        </w:rPr>
        <w:t>网站上。</w:t>
      </w:r>
    </w:p>
    <w:p w14:paraId="02023070">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二</w:t>
      </w:r>
      <w:r>
        <w:rPr>
          <w:rFonts w:asciiTheme="minorEastAsia" w:hAnsiTheme="minorEastAsia" w:eastAsiaTheme="minorEastAsia"/>
          <w:sz w:val="24"/>
          <w:szCs w:val="24"/>
        </w:rPr>
        <w:t>）基金份额发售公告</w:t>
      </w:r>
    </w:p>
    <w:p w14:paraId="5C2F8BA7">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基金管理人应当就基金份额发售的具体事宜编制基金份额发售公告。</w:t>
      </w:r>
    </w:p>
    <w:p w14:paraId="12AC5AB5">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三</w:t>
      </w:r>
      <w:r>
        <w:rPr>
          <w:rFonts w:asciiTheme="minorEastAsia" w:hAnsiTheme="minorEastAsia" w:eastAsiaTheme="minorEastAsia"/>
          <w:sz w:val="24"/>
          <w:szCs w:val="24"/>
        </w:rPr>
        <w:t>）《基金合同》生效公告</w:t>
      </w:r>
    </w:p>
    <w:p w14:paraId="360175A7">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基金管理人应当在收到中国证监会确认文件的次日在规定媒介上登载《基金合同》生效公告。</w:t>
      </w:r>
    </w:p>
    <w:p w14:paraId="372DC80D">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（四）</w:t>
      </w:r>
      <w:r>
        <w:rPr>
          <w:rFonts w:asciiTheme="minorEastAsia" w:hAnsiTheme="minorEastAsia" w:eastAsiaTheme="minorEastAsia"/>
          <w:sz w:val="24"/>
          <w:szCs w:val="24"/>
        </w:rPr>
        <w:t>基金开始申购、赎回</w:t>
      </w:r>
      <w:r>
        <w:rPr>
          <w:rFonts w:hint="eastAsia" w:asciiTheme="minorEastAsia" w:hAnsiTheme="minorEastAsia" w:eastAsiaTheme="minorEastAsia"/>
          <w:sz w:val="24"/>
          <w:szCs w:val="24"/>
        </w:rPr>
        <w:t>公告</w:t>
      </w:r>
    </w:p>
    <w:p w14:paraId="1A5D316D">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w:t>
      </w:r>
      <w:r>
        <w:rPr>
          <w:rFonts w:asciiTheme="minorEastAsia" w:hAnsiTheme="minorEastAsia" w:eastAsiaTheme="minorEastAsia"/>
          <w:sz w:val="24"/>
          <w:szCs w:val="24"/>
        </w:rPr>
        <w:t>应于申购开始日、赎回开始日前</w:t>
      </w:r>
      <w:r>
        <w:rPr>
          <w:rFonts w:hint="eastAsia" w:asciiTheme="minorEastAsia" w:hAnsiTheme="minorEastAsia" w:eastAsiaTheme="minorEastAsia"/>
          <w:sz w:val="24"/>
          <w:szCs w:val="24"/>
        </w:rPr>
        <w:t>按规定在规定</w:t>
      </w:r>
      <w:r>
        <w:rPr>
          <w:rFonts w:asciiTheme="minorEastAsia" w:hAnsiTheme="minorEastAsia" w:eastAsiaTheme="minorEastAsia"/>
          <w:sz w:val="24"/>
          <w:szCs w:val="24"/>
        </w:rPr>
        <w:t>报刊及网站</w:t>
      </w:r>
      <w:r>
        <w:rPr>
          <w:rFonts w:hint="eastAsia" w:asciiTheme="minorEastAsia" w:hAnsiTheme="minorEastAsia" w:eastAsiaTheme="minorEastAsia"/>
          <w:sz w:val="24"/>
          <w:szCs w:val="24"/>
        </w:rPr>
        <w:t>上公告。</w:t>
      </w:r>
    </w:p>
    <w:p w14:paraId="5C35EAF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（五）基金份额</w:t>
      </w:r>
      <w:r>
        <w:rPr>
          <w:rFonts w:asciiTheme="minorEastAsia" w:hAnsiTheme="minorEastAsia" w:eastAsiaTheme="minorEastAsia"/>
          <w:sz w:val="24"/>
          <w:szCs w:val="24"/>
        </w:rPr>
        <w:t>上市交易公告书</w:t>
      </w:r>
    </w:p>
    <w:p w14:paraId="4AFFE0C0">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基金份额获准在证券交易所上市交易的，基金管理人应当在基金份额上市交易</w:t>
      </w:r>
      <w:r>
        <w:rPr>
          <w:rFonts w:hint="eastAsia" w:asciiTheme="minorEastAsia" w:hAnsiTheme="minorEastAsia" w:eastAsiaTheme="minorEastAsia"/>
          <w:sz w:val="24"/>
          <w:szCs w:val="24"/>
        </w:rPr>
        <w:t>三</w:t>
      </w:r>
      <w:r>
        <w:rPr>
          <w:rFonts w:asciiTheme="minorEastAsia" w:hAnsiTheme="minorEastAsia" w:eastAsiaTheme="minorEastAsia"/>
          <w:sz w:val="24"/>
          <w:szCs w:val="24"/>
        </w:rPr>
        <w:t>个工作日前</w:t>
      </w:r>
      <w:r>
        <w:rPr>
          <w:rFonts w:hint="eastAsia" w:asciiTheme="minorEastAsia" w:hAnsiTheme="minorEastAsia" w:eastAsiaTheme="minorEastAsia"/>
          <w:sz w:val="24"/>
          <w:szCs w:val="24"/>
        </w:rPr>
        <w:t>，将基金份额上市交易公告书登载在规定网站上，并将上市交易公告书提示性公告登载在规定报刊上</w:t>
      </w:r>
      <w:r>
        <w:rPr>
          <w:rFonts w:asciiTheme="minorEastAsia" w:hAnsiTheme="minorEastAsia" w:eastAsiaTheme="minorEastAsia"/>
          <w:sz w:val="24"/>
          <w:szCs w:val="24"/>
        </w:rPr>
        <w:t>。</w:t>
      </w:r>
    </w:p>
    <w:p w14:paraId="571C40F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（六）基金份额折算日和折算结果公告</w:t>
      </w:r>
    </w:p>
    <w:p w14:paraId="514238AB">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基金管理人确定基金份额折算日，并依照《信息披露办法》的有关规定将基金份额折算日公告登载于规定媒介上。</w:t>
      </w:r>
    </w:p>
    <w:p w14:paraId="01DEEB80">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基金份额进行折算并由登记机构完成基金份额的变更登记后，基金管理人将基金份额折算结果公告登载于规定媒介上。</w:t>
      </w:r>
    </w:p>
    <w:p w14:paraId="061062F5">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w:t>
      </w:r>
      <w:r>
        <w:rPr>
          <w:rFonts w:hint="eastAsia" w:asciiTheme="minorEastAsia" w:hAnsiTheme="minorEastAsia" w:eastAsiaTheme="minorEastAsia"/>
          <w:sz w:val="24"/>
          <w:szCs w:val="24"/>
        </w:rPr>
        <w:t>七</w:t>
      </w:r>
      <w:r>
        <w:rPr>
          <w:rFonts w:asciiTheme="minorEastAsia" w:hAnsiTheme="minorEastAsia" w:eastAsiaTheme="minorEastAsia"/>
          <w:sz w:val="24"/>
          <w:szCs w:val="24"/>
        </w:rPr>
        <w:t>）</w:t>
      </w:r>
      <w:r>
        <w:rPr>
          <w:rFonts w:hint="eastAsia" w:asciiTheme="minorEastAsia" w:hAnsiTheme="minorEastAsia" w:eastAsiaTheme="minorEastAsia"/>
          <w:sz w:val="24"/>
          <w:szCs w:val="24"/>
        </w:rPr>
        <w:t>基金净值信息</w:t>
      </w:r>
    </w:p>
    <w:p w14:paraId="57F8A1A7">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《基金合同》生效后，在基金份额上市交易或者开始办理基金份额申购或者赎回前，基金管理人应当至少每周在规定网站披露一次基金份额净值和基金份额累计净值。</w:t>
      </w:r>
    </w:p>
    <w:p w14:paraId="6F31F908">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21220107">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基金管理人应当在不晚于半年度和年度最后一日的次日，在规定网站披露半年度和年度最后一日的基金份额净值和基金份额累计净值。</w:t>
      </w:r>
    </w:p>
    <w:p w14:paraId="4B26CA5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（八</w:t>
      </w:r>
      <w:r>
        <w:rPr>
          <w:rFonts w:asciiTheme="minorEastAsia" w:hAnsiTheme="minorEastAsia" w:eastAsiaTheme="minorEastAsia"/>
          <w:sz w:val="24"/>
          <w:szCs w:val="24"/>
        </w:rPr>
        <w:t>）申购赎回清单</w:t>
      </w:r>
    </w:p>
    <w:p w14:paraId="10230504">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在开始办理</w:t>
      </w:r>
      <w:r>
        <w:rPr>
          <w:rFonts w:hint="eastAsia" w:asciiTheme="minorEastAsia" w:hAnsiTheme="minorEastAsia" w:eastAsiaTheme="minorEastAsia"/>
          <w:sz w:val="24"/>
          <w:szCs w:val="24"/>
        </w:rPr>
        <w:t>基金份额申购</w:t>
      </w:r>
      <w:r>
        <w:rPr>
          <w:rFonts w:asciiTheme="minorEastAsia" w:hAnsiTheme="minorEastAsia" w:eastAsiaTheme="minorEastAsia"/>
          <w:sz w:val="24"/>
          <w:szCs w:val="24"/>
        </w:rPr>
        <w:t>或者</w:t>
      </w:r>
      <w:r>
        <w:rPr>
          <w:rFonts w:hint="eastAsia" w:asciiTheme="minorEastAsia" w:hAnsiTheme="minorEastAsia" w:eastAsiaTheme="minorEastAsia"/>
          <w:sz w:val="24"/>
          <w:szCs w:val="24"/>
        </w:rPr>
        <w:t>赎回</w:t>
      </w:r>
      <w:r>
        <w:rPr>
          <w:rFonts w:asciiTheme="minorEastAsia" w:hAnsiTheme="minorEastAsia" w:eastAsiaTheme="minorEastAsia"/>
          <w:sz w:val="24"/>
          <w:szCs w:val="24"/>
        </w:rPr>
        <w:t>之后，</w:t>
      </w:r>
      <w:r>
        <w:rPr>
          <w:rFonts w:hint="eastAsia" w:asciiTheme="minorEastAsia" w:hAnsiTheme="minorEastAsia" w:eastAsiaTheme="minorEastAsia"/>
          <w:sz w:val="24"/>
          <w:szCs w:val="24"/>
        </w:rPr>
        <w:t>基金管理人应当在</w:t>
      </w:r>
      <w:r>
        <w:rPr>
          <w:rFonts w:asciiTheme="minorEastAsia" w:hAnsiTheme="minorEastAsia" w:eastAsiaTheme="minorEastAsia"/>
          <w:sz w:val="24"/>
          <w:szCs w:val="24"/>
        </w:rPr>
        <w:t>每个开放日，通过</w:t>
      </w:r>
      <w:r>
        <w:rPr>
          <w:rFonts w:hint="eastAsia" w:asciiTheme="minorEastAsia" w:hAnsiTheme="minorEastAsia" w:eastAsiaTheme="minorEastAsia"/>
          <w:sz w:val="24"/>
          <w:szCs w:val="24"/>
        </w:rPr>
        <w:t>规定</w:t>
      </w:r>
      <w:r>
        <w:rPr>
          <w:rFonts w:asciiTheme="minorEastAsia" w:hAnsiTheme="minorEastAsia" w:eastAsiaTheme="minorEastAsia"/>
          <w:sz w:val="24"/>
          <w:szCs w:val="24"/>
        </w:rPr>
        <w:t>网站、</w:t>
      </w:r>
      <w:r>
        <w:rPr>
          <w:rFonts w:hint="eastAsia" w:asciiTheme="minorEastAsia" w:hAnsiTheme="minorEastAsia" w:eastAsiaTheme="minorEastAsia"/>
          <w:sz w:val="24"/>
          <w:szCs w:val="24"/>
        </w:rPr>
        <w:t>基金份额申购、赎回代理券商</w:t>
      </w:r>
      <w:r>
        <w:rPr>
          <w:rFonts w:asciiTheme="minorEastAsia" w:hAnsiTheme="minorEastAsia" w:eastAsiaTheme="minorEastAsia"/>
          <w:sz w:val="24"/>
          <w:szCs w:val="24"/>
        </w:rPr>
        <w:t>以及其他媒介公告当日</w:t>
      </w:r>
      <w:r>
        <w:rPr>
          <w:rFonts w:hint="eastAsia" w:asciiTheme="minorEastAsia" w:hAnsiTheme="minorEastAsia" w:eastAsiaTheme="minorEastAsia"/>
          <w:sz w:val="24"/>
          <w:szCs w:val="24"/>
        </w:rPr>
        <w:t>的申购赎回</w:t>
      </w:r>
      <w:r>
        <w:rPr>
          <w:rFonts w:asciiTheme="minorEastAsia" w:hAnsiTheme="minorEastAsia" w:eastAsiaTheme="minorEastAsia"/>
          <w:sz w:val="24"/>
          <w:szCs w:val="24"/>
        </w:rPr>
        <w:t>清单</w:t>
      </w:r>
      <w:r>
        <w:rPr>
          <w:rFonts w:hint="eastAsia" w:asciiTheme="minorEastAsia" w:hAnsiTheme="minorEastAsia" w:eastAsiaTheme="minorEastAsia"/>
          <w:sz w:val="24"/>
          <w:szCs w:val="24"/>
        </w:rPr>
        <w:t>。</w:t>
      </w:r>
    </w:p>
    <w:p w14:paraId="2EB0DE5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（九）基金定期报告，包括基金年度报告、基金中期报告和基金季度报告（含资产组合季度报告）</w:t>
      </w:r>
    </w:p>
    <w:p w14:paraId="61A62410">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每年结束之日起三个月内，编制完成基金年度报告，将年度报告登载在规定网站上，并将年度报告提示性公告登载在规定报刊上。基金年度报告中的财务会计报告应当经过符合《证券法》规定的会计师事务所审计。</w:t>
      </w:r>
    </w:p>
    <w:p w14:paraId="0BCDC56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基金管理人应当在上半年结束之日起两个月内，编制完成基金中期报告，将中期报告登载在规定网站上，并将中期报告提示性公告登载在规定报刊上。</w:t>
      </w:r>
    </w:p>
    <w:p w14:paraId="4D5756F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基金管理人应当在季度结束之日起15个工作日内，编制完成基金季度报告，将季度报告登载在规定网站上，并将季度报告提示性公告登载在规定报刊上。</w:t>
      </w:r>
    </w:p>
    <w:p w14:paraId="678C111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基金合同生效不足</w:t>
      </w:r>
      <w:r>
        <w:rPr>
          <w:rFonts w:asciiTheme="minorEastAsia" w:hAnsiTheme="minorEastAsia" w:eastAsiaTheme="minorEastAsia"/>
          <w:sz w:val="24"/>
          <w:szCs w:val="24"/>
        </w:rPr>
        <w:t>2</w:t>
      </w:r>
      <w:r>
        <w:rPr>
          <w:rFonts w:hint="eastAsia" w:asciiTheme="minorEastAsia" w:hAnsiTheme="minorEastAsia" w:eastAsiaTheme="minorEastAsia"/>
          <w:sz w:val="24"/>
          <w:szCs w:val="24"/>
        </w:rPr>
        <w:t>个月的，</w:t>
      </w:r>
      <w:r>
        <w:rPr>
          <w:rFonts w:asciiTheme="minorEastAsia" w:hAnsiTheme="minorEastAsia" w:eastAsiaTheme="minorEastAsia"/>
          <w:sz w:val="24"/>
          <w:szCs w:val="24"/>
        </w:rPr>
        <w:t>本</w:t>
      </w:r>
      <w:r>
        <w:rPr>
          <w:rFonts w:hint="eastAsia" w:asciiTheme="minorEastAsia" w:hAnsiTheme="minorEastAsia" w:eastAsiaTheme="minorEastAsia"/>
          <w:sz w:val="24"/>
          <w:szCs w:val="24"/>
        </w:rPr>
        <w:t>基金管理人可以不编制当期季度报告、中期报告或者年度报告。</w:t>
      </w:r>
    </w:p>
    <w:p w14:paraId="6F33B3A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39AD72E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基金管理人应当在基金年度报告和中期报告中披露基金组合资产情况及其流动性风险分析等。</w:t>
      </w:r>
    </w:p>
    <w:p w14:paraId="345A0EF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（十）临时报告</w:t>
      </w:r>
    </w:p>
    <w:p w14:paraId="52F6F574">
      <w:pPr>
        <w:snapToGrid w:val="0"/>
        <w:spacing w:line="360" w:lineRule="auto"/>
        <w:ind w:firstLine="480" w:firstLineChars="200"/>
        <w:rPr>
          <w:sz w:val="24"/>
          <w:szCs w:val="24"/>
        </w:rPr>
      </w:pPr>
      <w:r>
        <w:rPr>
          <w:rFonts w:hint="eastAsia" w:asciiTheme="minorEastAsia" w:hAnsiTheme="minorEastAsia" w:eastAsiaTheme="minorEastAsia"/>
          <w:sz w:val="24"/>
          <w:szCs w:val="24"/>
        </w:rPr>
        <w:t>本基金发生重大事件，有关信息披露义务人应当依照《信息披露办法》编制临时报告书，并登载在规定报刊和规定网站上。</w:t>
      </w:r>
    </w:p>
    <w:p w14:paraId="2CC6757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前款所称重大事件，是指可能对基金份额持有人权益或者基金份额的价格产生重大影响的下列事件：</w:t>
      </w:r>
    </w:p>
    <w:p w14:paraId="053DDC3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1、基金份额持有人大会的召开及决定的事项；</w:t>
      </w:r>
    </w:p>
    <w:p w14:paraId="1A5D09D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2、《基金合同》终止、基金清算；</w:t>
      </w:r>
    </w:p>
    <w:p w14:paraId="12742D50">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3、转换基金运作方式、基金合并；</w:t>
      </w:r>
    </w:p>
    <w:p w14:paraId="5873E19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4、更换基金管理人、基金托管人、基金份额登记机构，基金改聘会计师事务所；</w:t>
      </w:r>
    </w:p>
    <w:p w14:paraId="66BF9F68">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5、基金管理人委托基金服务机构代为办理基金的份额登记、核算、估值等事项，基金托管人委托基金服务机构代为办理基金的核算、估值、复核等事项；</w:t>
      </w:r>
    </w:p>
    <w:p w14:paraId="6D2D1704">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6、基金管理人、基金托管人的法定名称、住所发生变更；</w:t>
      </w:r>
    </w:p>
    <w:p w14:paraId="5028DCC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7、基金管理人变更持有百分之五以上股权的股东、变更基金管理人的实际控制人；</w:t>
      </w:r>
    </w:p>
    <w:p w14:paraId="760F3137">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8、基金募集期延长或提前结束募集；</w:t>
      </w:r>
    </w:p>
    <w:p w14:paraId="122D626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9、基金管理人的高级管理人员、基金经理和基金托管人专门基金托管部门负责人发生变动；</w:t>
      </w:r>
    </w:p>
    <w:p w14:paraId="7F6BC67B">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10、基金管理人的董事在最近12个月内变更超过百分之五十；基金管理人、基金托管人专门基金托管部门的主要业务人员在最近12个月内变动超过百分之三十；</w:t>
      </w:r>
    </w:p>
    <w:p w14:paraId="4C83A082">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11、涉及基金财产、基金管理业务、基金托管业务的诉讼或仲裁；</w:t>
      </w:r>
    </w:p>
    <w:p w14:paraId="686EA5C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7257CF9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068E9DE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14、基金收益分配事项；</w:t>
      </w:r>
    </w:p>
    <w:p w14:paraId="6F514DA7">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5、管理费、托管费、申购费、赎回费等费用计提标准、计提方式和费率发生变更；</w:t>
      </w:r>
    </w:p>
    <w:p w14:paraId="2FF40652">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6、基金份额净值计价错误达基金份额净值0.5%；</w:t>
      </w:r>
    </w:p>
    <w:p w14:paraId="34EF646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17、本基金开始办理申购、赎回；</w:t>
      </w:r>
    </w:p>
    <w:p w14:paraId="209BEE68">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18、本基金暂停接受申购、赎回申请或重新接受申购、赎回申请；</w:t>
      </w:r>
    </w:p>
    <w:p w14:paraId="7E7E402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19、基金份额停复牌、暂停上市、恢复上市或终止上市交易；</w:t>
      </w:r>
    </w:p>
    <w:p w14:paraId="2F6C1CF8">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20、本基金变更标的指数；</w:t>
      </w:r>
    </w:p>
    <w:p w14:paraId="6016702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21、调整基金份额类别的设置；</w:t>
      </w:r>
    </w:p>
    <w:p w14:paraId="64A6367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22、基金推出新业务或服务；</w:t>
      </w:r>
    </w:p>
    <w:p w14:paraId="7405A01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23、调整最小申购赎回单位、申购赎回方式及申购对价、赎回对价组成；</w:t>
      </w:r>
    </w:p>
    <w:p w14:paraId="523E77A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24、发生涉及本基金申购、赎回事项调整或潜在影响投资者赎回等重大事项时；</w:t>
      </w:r>
    </w:p>
    <w:p w14:paraId="6215B5B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25、基金信息披露义务人认为可能对基金份额持有人权益或者基金份额的价格产生重大影响的其他事项、中国证监会</w:t>
      </w:r>
      <w:r>
        <w:rPr>
          <w:rFonts w:asciiTheme="minorEastAsia" w:hAnsiTheme="minorEastAsia" w:eastAsiaTheme="minorEastAsia"/>
          <w:sz w:val="24"/>
          <w:szCs w:val="24"/>
        </w:rPr>
        <w:t>或本基金合同</w:t>
      </w:r>
      <w:r>
        <w:rPr>
          <w:rFonts w:hint="eastAsia" w:asciiTheme="minorEastAsia" w:hAnsiTheme="minorEastAsia" w:eastAsiaTheme="minorEastAsia"/>
          <w:sz w:val="24"/>
          <w:szCs w:val="24"/>
        </w:rPr>
        <w:t>规定的其他事项。</w:t>
      </w:r>
    </w:p>
    <w:p w14:paraId="397E362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（十一）澄清公告</w:t>
      </w:r>
    </w:p>
    <w:p w14:paraId="197D7227">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在</w:t>
      </w: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4A998E53">
      <w:pPr>
        <w:spacing w:line="360" w:lineRule="auto"/>
        <w:ind w:firstLine="480" w:firstLineChars="200"/>
        <w:rPr>
          <w:rFonts w:ascii="Times New Roman" w:hAnsi="Times New Roman"/>
          <w:bCs/>
          <w:sz w:val="24"/>
          <w:szCs w:val="20"/>
        </w:rPr>
      </w:pPr>
      <w:r>
        <w:rPr>
          <w:rFonts w:hint="eastAsia" w:ascii="Times New Roman" w:hAnsi="Times New Roman"/>
          <w:bCs/>
          <w:sz w:val="24"/>
          <w:szCs w:val="20"/>
        </w:rPr>
        <w:t>（十二）清算报告</w:t>
      </w:r>
    </w:p>
    <w:p w14:paraId="5C51C0B0">
      <w:pPr>
        <w:spacing w:line="360" w:lineRule="auto"/>
        <w:ind w:firstLine="480" w:firstLineChars="200"/>
        <w:rPr>
          <w:rFonts w:ascii="Times New Roman" w:hAnsi="Times New Roman"/>
          <w:bCs/>
          <w:sz w:val="24"/>
          <w:szCs w:val="20"/>
        </w:rPr>
      </w:pPr>
      <w:r>
        <w:rPr>
          <w:rFonts w:hint="eastAsia" w:ascii="Times New Roman" w:hAnsi="Times New Roman"/>
          <w:bCs/>
          <w:sz w:val="24"/>
          <w:szCs w:val="20"/>
        </w:rPr>
        <w:t>基金终止运作的，基金管理人应当依法组织基金财产清算小组对基金财产进行清算并作出清算报告。清算报告应当经过符合《证券法》规定的会计师事务所审计，并由律师事务所出具法律意见书。清算组应当将清算报告登载在规定网站上，并将清算报告提示性公告登载在规定报刊上。</w:t>
      </w:r>
    </w:p>
    <w:p w14:paraId="30D05E7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（十三）基金份额持有人大会决议</w:t>
      </w:r>
    </w:p>
    <w:p w14:paraId="368A721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基金份额持有人大会决定的事项，应当依法报中国证监会备案，并予以公告。</w:t>
      </w:r>
    </w:p>
    <w:p w14:paraId="5C81CA7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（十四）基金投资资产支持证券的信息披露</w:t>
      </w:r>
    </w:p>
    <w:p w14:paraId="2D394BB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4C60E50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（十五）基金参与股票期权交易的信息披露</w:t>
      </w:r>
    </w:p>
    <w:p w14:paraId="6243224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基金季度报告、基金中期报告、基金年度报告等定期报告和招募说明书（更新）等文件中披露股票期权交易情况，包括交易政策、持仓情况、损益情况、风险指标、估值方法等，并充分揭示股票期权交易对基金总体风险的影响以及是否符合既定的投资政策和投资目标等。</w:t>
      </w:r>
    </w:p>
    <w:p w14:paraId="1B062D0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（十六）基金参与股指期货、国债期货交易的信息披露</w:t>
      </w:r>
    </w:p>
    <w:p w14:paraId="0326921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基金季度报告、基金中期报告、基金年度报告等定期报告和招募说明书（更新）等文件中披露股指期货、国债期货交易情况，包括交易政策、持仓情况、损益情况、风险指标等，并充分揭示股指期货、国债期货交易对基金总体风险的影响以及是否符合既定的交易政策和交易目标等。</w:t>
      </w:r>
    </w:p>
    <w:p w14:paraId="67F7AC72">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（十七）基金参与融资和转融通证券出借业务的信息披露</w:t>
      </w:r>
    </w:p>
    <w:p w14:paraId="4F0E2E0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并就转融通证券出借业务在报告期内发生的重大关联交易事项做详细说明。</w:t>
      </w:r>
    </w:p>
    <w:p w14:paraId="300DF6AD">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（十八）中国证监会规定的其他信息</w:t>
      </w:r>
    </w:p>
    <w:p w14:paraId="7A61925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六、信息披露事务管理</w:t>
      </w:r>
    </w:p>
    <w:p w14:paraId="5625D1BD">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基金管理人、基金托管人应当建立健全信息披露管理制度，指定专门部门及高级管理人员负责管理信息披露事务。</w:t>
      </w:r>
    </w:p>
    <w:p w14:paraId="0D84BD6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基金信息披露义务人公开披露基金信息，应当符合中国证监会相关基金信息披露内容与格式准则等法规以及证券交易所的自律管理规则的规定。</w:t>
      </w:r>
    </w:p>
    <w:p w14:paraId="2BF4BC5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托管人应当按照相关法律法规、中国证监会的规定和基金合同的约定，对基金管理人编制的基金资产净值、基金份额净值、申购对价、赎回对价、基金定期报告、更新的招募说明书、基金产品资料概要、基金清算报告等公开披露的相关基金信息进行复核、审查，并向基金管理人进行书面或电子确认。</w:t>
      </w:r>
    </w:p>
    <w:p w14:paraId="2D5EABBB">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基金管理人、基金托管人应当在规定媒介中选择一家披露信息的媒介。基金管理人、基金托管人应当向中国证监会基金电子披露网站报送拟披露的基金信息，并保证相关报送信息的真实、准确、完整、及时。</w:t>
      </w:r>
    </w:p>
    <w:p w14:paraId="13C856BB">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w:t>
      </w:r>
    </w:p>
    <w:p w14:paraId="350BDC48">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为基金信息披露义务人公开披露的基金信息出具审计报告、法律意见书的专业机构，应当制作工作底稿，并将相关档案至少保存到《基金合同》终止后10年。</w:t>
      </w:r>
    </w:p>
    <w:p w14:paraId="7CD81E4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七、信息披露文件的存放与查阅</w:t>
      </w:r>
    </w:p>
    <w:p w14:paraId="4E173FDE">
      <w:pPr>
        <w:spacing w:line="360" w:lineRule="auto"/>
        <w:ind w:firstLine="480" w:firstLineChars="200"/>
        <w:rPr>
          <w:sz w:val="24"/>
        </w:rPr>
      </w:pPr>
      <w:r>
        <w:rPr>
          <w:rFonts w:hint="eastAsia"/>
          <w:bCs/>
          <w:sz w:val="24"/>
        </w:rPr>
        <w:t>依法必须披露的信息发布</w:t>
      </w:r>
      <w:r>
        <w:rPr>
          <w:rFonts w:hint="eastAsia"/>
          <w:sz w:val="24"/>
        </w:rPr>
        <w:t>后，基金管理人、基金托管</w:t>
      </w:r>
      <w:r>
        <w:rPr>
          <w:rFonts w:hint="eastAsia"/>
          <w:bCs/>
          <w:sz w:val="24"/>
        </w:rPr>
        <w:t>人应当按照相关法律法规规定将信息置备于各自住所和</w:t>
      </w:r>
      <w:r>
        <w:rPr>
          <w:rFonts w:hint="eastAsia"/>
          <w:sz w:val="24"/>
        </w:rPr>
        <w:t>基金</w:t>
      </w:r>
      <w:r>
        <w:rPr>
          <w:rFonts w:hint="eastAsia"/>
          <w:bCs/>
          <w:sz w:val="24"/>
        </w:rPr>
        <w:t>上市交易</w:t>
      </w:r>
      <w:r>
        <w:rPr>
          <w:rFonts w:hint="eastAsia"/>
          <w:sz w:val="24"/>
        </w:rPr>
        <w:t>的</w:t>
      </w:r>
      <w:r>
        <w:rPr>
          <w:rFonts w:hint="eastAsia"/>
          <w:bCs/>
          <w:sz w:val="24"/>
        </w:rPr>
        <w:t>证券交易所</w:t>
      </w:r>
      <w:r>
        <w:rPr>
          <w:rFonts w:hint="eastAsia"/>
          <w:sz w:val="24"/>
        </w:rPr>
        <w:t>，供</w:t>
      </w:r>
      <w:r>
        <w:rPr>
          <w:rFonts w:hint="eastAsia"/>
          <w:bCs/>
          <w:sz w:val="24"/>
        </w:rPr>
        <w:t>社会</w:t>
      </w:r>
      <w:r>
        <w:rPr>
          <w:rFonts w:hint="eastAsia"/>
          <w:sz w:val="24"/>
        </w:rPr>
        <w:t>公众查阅、复制。</w:t>
      </w:r>
    </w:p>
    <w:p w14:paraId="37984B95">
      <w:pPr>
        <w:snapToGrid w:val="0"/>
        <w:spacing w:line="360" w:lineRule="auto"/>
        <w:ind w:firstLine="480" w:firstLineChars="200"/>
        <w:rPr>
          <w:rFonts w:hint="eastAsia" w:asciiTheme="minorEastAsia" w:hAnsiTheme="minorEastAsia" w:eastAsiaTheme="minorEastAsia"/>
          <w:sz w:val="24"/>
          <w:szCs w:val="24"/>
        </w:rPr>
      </w:pPr>
      <w:bookmarkStart w:id="415" w:name="_Toc11113"/>
      <w:bookmarkStart w:id="416" w:name="_Toc141703899"/>
      <w:bookmarkStart w:id="417" w:name="_Toc8049"/>
      <w:bookmarkStart w:id="418" w:name="_Toc27464"/>
      <w:bookmarkStart w:id="419" w:name="_Toc10006"/>
      <w:bookmarkStart w:id="420" w:name="_Toc9005"/>
      <w:bookmarkStart w:id="421" w:name="_Toc123102466"/>
      <w:bookmarkStart w:id="422" w:name="_Toc25647"/>
      <w:bookmarkStart w:id="423" w:name="_Toc6237"/>
      <w:bookmarkStart w:id="424" w:name="_Toc123051465"/>
      <w:bookmarkStart w:id="425" w:name="_Toc139991749"/>
      <w:bookmarkStart w:id="426" w:name="_Toc7170"/>
      <w:bookmarkStart w:id="427" w:name="_Toc123112247"/>
      <w:bookmarkStart w:id="428" w:name="_Toc22978"/>
      <w:bookmarkStart w:id="429" w:name="_Toc98560364"/>
      <w:bookmarkStart w:id="430" w:name="_Toc8059"/>
      <w:bookmarkStart w:id="431" w:name="_Toc29891"/>
      <w:r>
        <w:rPr>
          <w:rFonts w:hint="eastAsia" w:asciiTheme="minorEastAsia" w:hAnsiTheme="minorEastAsia" w:eastAsiaTheme="minorEastAsia"/>
          <w:sz w:val="24"/>
          <w:szCs w:val="24"/>
        </w:rPr>
        <w:t>八、暂停或延迟披露基金相关信息的情形</w:t>
      </w:r>
    </w:p>
    <w:p w14:paraId="421573D4">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当出现下述情况时，基金管理人和基金托管人可暂停或延迟披露基金相关信息：</w:t>
      </w:r>
    </w:p>
    <w:p w14:paraId="568265E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、不可抗力；</w:t>
      </w:r>
    </w:p>
    <w:p w14:paraId="750992F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、发生暂停基金估值的情形时；</w:t>
      </w:r>
    </w:p>
    <w:p w14:paraId="33F86C1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、法律法规规定、中国证监会和基金合同认定的其它情形。</w:t>
      </w:r>
    </w:p>
    <w:p w14:paraId="3A6CBBE0">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p w14:paraId="147F194A">
      <w:pPr>
        <w:pStyle w:val="2"/>
        <w:rPr>
          <w:rFonts w:hint="eastAsia"/>
          <w:szCs w:val="24"/>
        </w:rPr>
        <w:sectPr>
          <w:footerReference r:id="rId28" w:type="default"/>
          <w:pgSz w:w="11906" w:h="16838"/>
          <w:pgMar w:top="1440" w:right="1800" w:bottom="1440" w:left="1800" w:header="851" w:footer="992" w:gutter="0"/>
          <w:pgNumType w:start="1"/>
          <w:cols w:space="425" w:num="1"/>
          <w:docGrid w:type="lines" w:linePitch="312" w:charSpace="0"/>
        </w:sectPr>
      </w:pPr>
      <w:bookmarkStart w:id="432" w:name="_Toc90742336"/>
      <w:bookmarkStart w:id="433" w:name="_Toc90742703"/>
      <w:bookmarkStart w:id="434" w:name="_Toc90742405"/>
    </w:p>
    <w:bookmarkEnd w:id="412"/>
    <w:p w14:paraId="0B47063F">
      <w:pPr>
        <w:pStyle w:val="2"/>
        <w:rPr>
          <w:rFonts w:hint="eastAsia"/>
          <w:szCs w:val="24"/>
        </w:rPr>
      </w:pPr>
      <w:bookmarkStart w:id="435" w:name="CLAUSE_d8d3aba4060d44e09bfc607b026e1c17"/>
      <w:r>
        <w:rPr>
          <w:szCs w:val="24"/>
        </w:rPr>
        <w:t xml:space="preserve"> </w:t>
      </w:r>
      <w:bookmarkStart w:id="436" w:name="CTS_d8d3aba4060d44e09bfc607b026e1c17"/>
      <w:bookmarkEnd w:id="436"/>
      <w:bookmarkStart w:id="437" w:name="_Hlt88828593"/>
      <w:bookmarkStart w:id="438" w:name="_Toc86655095"/>
      <w:r>
        <w:rPr>
          <w:rFonts w:hint="eastAsia" w:cs="Arial"/>
          <w:szCs w:val="24"/>
        </w:rPr>
        <w:t xml:space="preserve">第二十一部分 </w:t>
      </w:r>
      <w:r>
        <w:rPr>
          <w:szCs w:val="24"/>
        </w:rPr>
        <w:t>基金合同</w:t>
      </w:r>
      <w:bookmarkEnd w:id="437"/>
      <w:r>
        <w:rPr>
          <w:szCs w:val="24"/>
        </w:rPr>
        <w:t>的变更、终止与基金财产的清算</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8"/>
    </w:p>
    <w:p w14:paraId="6393DE37">
      <w:pPr>
        <w:spacing w:line="360" w:lineRule="auto"/>
        <w:ind w:firstLine="480" w:firstLineChars="200"/>
        <w:rPr>
          <w:rFonts w:hint="eastAsia" w:asciiTheme="minorEastAsia" w:hAnsiTheme="minorEastAsia" w:eastAsiaTheme="minorEastAsia"/>
          <w:bCs/>
          <w:sz w:val="24"/>
          <w:szCs w:val="24"/>
        </w:rPr>
      </w:pPr>
      <w:bookmarkStart w:id="439" w:name="_Toc79392639"/>
    </w:p>
    <w:p w14:paraId="27BF83E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一、《基金合同》的变更</w:t>
      </w:r>
      <w:bookmarkEnd w:id="439"/>
    </w:p>
    <w:p w14:paraId="690C6291">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26AFF045">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、关于《基金合同》变更的基金份额持有人大会决议自生效后方可执行，自决议生效后按规定在规定媒介公告。</w:t>
      </w:r>
    </w:p>
    <w:p w14:paraId="0850B77B">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二、《基金合同》的终止事由</w:t>
      </w:r>
    </w:p>
    <w:p w14:paraId="710DF90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有下列情形之一的，经履行相关程序后，《基金合同》应当终止：</w:t>
      </w:r>
    </w:p>
    <w:p w14:paraId="430AC03E">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、基金份额持有人大会决定终止的；</w:t>
      </w:r>
    </w:p>
    <w:p w14:paraId="0FDCDD4F">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、基金管理人、基金托管人职责终止，在</w:t>
      </w:r>
      <w:r>
        <w:rPr>
          <w:rFonts w:asciiTheme="minorEastAsia" w:hAnsiTheme="minorEastAsia" w:eastAsiaTheme="minorEastAsia"/>
          <w:sz w:val="24"/>
          <w:szCs w:val="24"/>
        </w:rPr>
        <w:t>6</w:t>
      </w:r>
      <w:r>
        <w:rPr>
          <w:rFonts w:hint="eastAsia" w:asciiTheme="minorEastAsia" w:hAnsiTheme="minorEastAsia" w:eastAsiaTheme="minorEastAsia"/>
          <w:sz w:val="24"/>
          <w:szCs w:val="24"/>
        </w:rPr>
        <w:t>个月内没有新基金管理人、新基金托管人承接的；</w:t>
      </w:r>
    </w:p>
    <w:p w14:paraId="5D23F0E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rPr>
        <w:t>3、</w:t>
      </w:r>
      <w:r>
        <w:rPr>
          <w:rFonts w:hint="eastAsia" w:asciiTheme="minorEastAsia" w:hAnsiTheme="minorEastAsia" w:eastAsiaTheme="minorEastAsia"/>
          <w:sz w:val="24"/>
          <w:szCs w:val="24"/>
        </w:rPr>
        <w:t>《基金合同》约定的其他情形；</w:t>
      </w:r>
    </w:p>
    <w:p w14:paraId="29C0F8B6">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、相关法律法规和中国证监会规定的其他情况。</w:t>
      </w:r>
    </w:p>
    <w:p w14:paraId="0C9F7D7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三、基金财产的清算</w:t>
      </w:r>
    </w:p>
    <w:p w14:paraId="63E9188B">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、基金财产清算小组：自出现《基金合同》终止事由之日起</w:t>
      </w:r>
      <w:r>
        <w:rPr>
          <w:rFonts w:asciiTheme="minorEastAsia" w:hAnsiTheme="minorEastAsia" w:eastAsiaTheme="minorEastAsia"/>
          <w:sz w:val="24"/>
          <w:szCs w:val="24"/>
        </w:rPr>
        <w:t>30</w:t>
      </w:r>
      <w:r>
        <w:rPr>
          <w:rFonts w:hint="eastAsia" w:asciiTheme="minorEastAsia" w:hAnsiTheme="minorEastAsia" w:eastAsiaTheme="minorEastAsia"/>
          <w:sz w:val="24"/>
          <w:szCs w:val="24"/>
        </w:rPr>
        <w:t>个工作日内成立基金财产清算小组，基金管理人组织基金财产清算小组并在中国证监会的监督下进行基金清算。</w:t>
      </w:r>
    </w:p>
    <w:p w14:paraId="687369B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2、在基金财产清算小组接管基金财产之前，基金管理人和基金托管人应按照《基金合同》和托管协议的规定继续履行保护基金财产安全的职责。</w:t>
      </w:r>
    </w:p>
    <w:p w14:paraId="2F71AC38">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财产清算小组组成：基金财产清算小组成员由基金管理人、基金托管人、符合《中华人民共和国证券法》规定的注册会计师、律师以及中国证监会指定的人员组成。基金财产清算小组可以聘用必要的工作人员。</w:t>
      </w:r>
    </w:p>
    <w:p w14:paraId="53E3E454">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、基金财产清算小组职责：基金财产清算小组负责基金财产的保管、清理、估价、变现和分配。基金财产清算小组可以依法进行必要的民事活动。</w:t>
      </w:r>
    </w:p>
    <w:p w14:paraId="54DF260B">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、基金财产清算程序：</w:t>
      </w:r>
    </w:p>
    <w:p w14:paraId="77F866B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）《基金合同》终止情形出现时，由基金财产清算小组统一接管基金；</w:t>
      </w:r>
    </w:p>
    <w:p w14:paraId="67FCD9E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）对基金财产和债权债务进行清理和确认；</w:t>
      </w:r>
    </w:p>
    <w:p w14:paraId="682F3E08">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）对基金财产进行估值和变现；</w:t>
      </w:r>
    </w:p>
    <w:p w14:paraId="5465B90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）制作清算报告；</w:t>
      </w:r>
    </w:p>
    <w:p w14:paraId="164D2BA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）聘请会计师事务所对清算报告进行外部审计，聘请律师事务所对清算报告出具法律意见书；</w:t>
      </w:r>
    </w:p>
    <w:p w14:paraId="139B0470">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6</w:t>
      </w:r>
      <w:r>
        <w:rPr>
          <w:rFonts w:hint="eastAsia" w:asciiTheme="minorEastAsia" w:hAnsiTheme="minorEastAsia" w:eastAsiaTheme="minorEastAsia"/>
          <w:sz w:val="24"/>
          <w:szCs w:val="24"/>
        </w:rPr>
        <w:t>）将清算报告报中国证监会备案并公告；</w:t>
      </w:r>
    </w:p>
    <w:p w14:paraId="330A589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7</w:t>
      </w:r>
      <w:r>
        <w:rPr>
          <w:rFonts w:hint="eastAsia" w:asciiTheme="minorEastAsia" w:hAnsiTheme="minorEastAsia" w:eastAsiaTheme="minorEastAsia"/>
          <w:sz w:val="24"/>
          <w:szCs w:val="24"/>
        </w:rPr>
        <w:t>）对基金剩余财产进行分配。</w:t>
      </w:r>
    </w:p>
    <w:p w14:paraId="60726F47">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、基金财产清算的期限为6个月，但因本基金所持证券的流动性受到限制而不能及时变现的，清算期限相应顺延。</w:t>
      </w:r>
    </w:p>
    <w:p w14:paraId="70E3E90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四、清算费用</w:t>
      </w:r>
    </w:p>
    <w:p w14:paraId="1CE58A40">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清算费用是指基金财产清算小组在进行基金财产清算过程中发生的所有合理费用，清算费用由基金财产清算小组优先从基金剩余财产中支付。</w:t>
      </w:r>
    </w:p>
    <w:p w14:paraId="5E967C2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五、基金财产清算剩余资产的分配</w:t>
      </w:r>
    </w:p>
    <w:p w14:paraId="40C66A0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依据基金财产清算的分配方案，将基金财产清算后的全部剩余资产扣除基金财产清算费用、交纳所欠税款并清偿基金债务后，按基金份额持有人持有的基金份额比例进行分配。</w:t>
      </w:r>
    </w:p>
    <w:p w14:paraId="6B9DAE04">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六、基金财产清算的公告</w:t>
      </w:r>
    </w:p>
    <w:p w14:paraId="68DA26B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0367715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七、基金财产清算账册及文件的保存</w:t>
      </w:r>
    </w:p>
    <w:p w14:paraId="15187165">
      <w:pPr>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sz w:val="24"/>
          <w:szCs w:val="24"/>
        </w:rPr>
        <w:t>基金财产清算账册及有关文件由基金托管人保存，保存期限不低于法定最低期限。</w:t>
      </w:r>
      <w:bookmarkStart w:id="440" w:name="_Hlt130184353"/>
      <w:bookmarkEnd w:id="440"/>
    </w:p>
    <w:bookmarkEnd w:id="435"/>
    <w:p w14:paraId="5351A6A8">
      <w:pPr>
        <w:pStyle w:val="2"/>
        <w:rPr>
          <w:rFonts w:hint="eastAsia"/>
          <w:szCs w:val="24"/>
        </w:rPr>
        <w:sectPr>
          <w:footerReference r:id="rId29" w:type="default"/>
          <w:pgSz w:w="11906" w:h="16838"/>
          <w:pgMar w:top="1440" w:right="1800" w:bottom="1440" w:left="1800" w:header="851" w:footer="992" w:gutter="0"/>
          <w:pgNumType w:start="1"/>
          <w:cols w:space="425" w:num="1"/>
          <w:docGrid w:type="lines" w:linePitch="312" w:charSpace="0"/>
        </w:sectPr>
      </w:pPr>
      <w:bookmarkStart w:id="441" w:name="_Toc9708"/>
      <w:bookmarkStart w:id="442" w:name="_Toc123102467"/>
      <w:bookmarkStart w:id="443" w:name="_Toc98560365"/>
      <w:bookmarkStart w:id="444" w:name="_Toc7367"/>
      <w:bookmarkStart w:id="445" w:name="_Toc23166"/>
      <w:bookmarkStart w:id="446" w:name="_Toc21240"/>
      <w:bookmarkStart w:id="447" w:name="_Toc90742406"/>
      <w:bookmarkStart w:id="448" w:name="_Toc123112248"/>
      <w:bookmarkStart w:id="449" w:name="_Toc8710"/>
      <w:bookmarkStart w:id="450" w:name="_Toc79392641"/>
      <w:bookmarkStart w:id="451" w:name="_Toc23022"/>
      <w:bookmarkStart w:id="452" w:name="_Toc28549"/>
      <w:bookmarkStart w:id="453" w:name="_Toc12191"/>
      <w:bookmarkStart w:id="454" w:name="_Toc139991750"/>
      <w:bookmarkStart w:id="455" w:name="_Toc90742704"/>
      <w:bookmarkStart w:id="456" w:name="_Toc27058"/>
      <w:bookmarkStart w:id="457" w:name="_Toc90742337"/>
      <w:bookmarkStart w:id="458" w:name="_Toc30645"/>
      <w:bookmarkStart w:id="459" w:name="_Toc48649720"/>
      <w:bookmarkStart w:id="460" w:name="_Toc13398"/>
      <w:bookmarkStart w:id="461" w:name="_Toc123051466"/>
      <w:bookmarkStart w:id="462" w:name="_Toc141703901"/>
    </w:p>
    <w:p w14:paraId="50829D03">
      <w:pPr>
        <w:pStyle w:val="2"/>
        <w:rPr>
          <w:rFonts w:hint="eastAsia"/>
          <w:szCs w:val="24"/>
        </w:rPr>
      </w:pPr>
      <w:bookmarkStart w:id="463" w:name="CLAUSE_b69c6869f1eb4e2db4b0286f2444be4e"/>
      <w:r>
        <w:rPr>
          <w:szCs w:val="24"/>
        </w:rPr>
        <w:t xml:space="preserve"> </w:t>
      </w:r>
      <w:bookmarkStart w:id="464" w:name="CTS_b69c6869f1eb4e2db4b0286f2444be4e"/>
      <w:bookmarkEnd w:id="464"/>
      <w:bookmarkStart w:id="465" w:name="_Toc86655096"/>
      <w:r>
        <w:rPr>
          <w:rFonts w:hint="eastAsia" w:cs="Arial"/>
          <w:szCs w:val="24"/>
        </w:rPr>
        <w:t xml:space="preserve">第二十二部分 </w:t>
      </w:r>
      <w:r>
        <w:rPr>
          <w:szCs w:val="24"/>
        </w:rPr>
        <w:t>违约责任</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5"/>
    </w:p>
    <w:p w14:paraId="11317936">
      <w:pPr>
        <w:spacing w:line="360" w:lineRule="auto"/>
        <w:ind w:firstLine="480" w:firstLineChars="200"/>
        <w:rPr>
          <w:rFonts w:hint="eastAsia" w:asciiTheme="minorEastAsia" w:hAnsiTheme="minorEastAsia" w:eastAsiaTheme="minorEastAsia"/>
          <w:bCs/>
          <w:sz w:val="24"/>
          <w:szCs w:val="24"/>
        </w:rPr>
      </w:pPr>
    </w:p>
    <w:p w14:paraId="0A83968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w:t>
      </w:r>
      <w:r>
        <w:rPr>
          <w:rFonts w:asciiTheme="minorEastAsia" w:hAnsiTheme="minorEastAsia" w:eastAsiaTheme="minorEastAsia"/>
          <w:sz w:val="24"/>
          <w:szCs w:val="24"/>
        </w:rPr>
        <w:t>经济</w:t>
      </w:r>
      <w:r>
        <w:rPr>
          <w:rFonts w:hint="eastAsia" w:asciiTheme="minorEastAsia" w:hAnsiTheme="minorEastAsia" w:eastAsiaTheme="minorEastAsia"/>
          <w:sz w:val="24"/>
          <w:szCs w:val="24"/>
        </w:rPr>
        <w:t>损失。但是发生下列情况的，当事人免责：</w:t>
      </w:r>
    </w:p>
    <w:p w14:paraId="00C1BDAE">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、不可抗力；</w:t>
      </w:r>
    </w:p>
    <w:p w14:paraId="319FB038">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、基金管理人和</w:t>
      </w:r>
      <w:r>
        <w:rPr>
          <w:rFonts w:asciiTheme="minorEastAsia" w:hAnsiTheme="minorEastAsia" w:eastAsiaTheme="minorEastAsia"/>
          <w:sz w:val="24"/>
          <w:szCs w:val="24"/>
        </w:rPr>
        <w:t>/</w:t>
      </w:r>
      <w:r>
        <w:rPr>
          <w:rFonts w:hint="eastAsia" w:asciiTheme="minorEastAsia" w:hAnsiTheme="minorEastAsia" w:eastAsiaTheme="minorEastAsia"/>
          <w:sz w:val="24"/>
          <w:szCs w:val="24"/>
        </w:rPr>
        <w:t>或基金托管人按照</w:t>
      </w:r>
      <w:r>
        <w:rPr>
          <w:rFonts w:asciiTheme="minorEastAsia" w:hAnsiTheme="minorEastAsia" w:eastAsiaTheme="minorEastAsia"/>
          <w:sz w:val="24"/>
          <w:szCs w:val="24"/>
        </w:rPr>
        <w:t>届</w:t>
      </w:r>
      <w:r>
        <w:rPr>
          <w:rFonts w:hint="eastAsia" w:asciiTheme="minorEastAsia" w:hAnsiTheme="minorEastAsia" w:eastAsiaTheme="minorEastAsia"/>
          <w:sz w:val="24"/>
          <w:szCs w:val="24"/>
        </w:rPr>
        <w:t>时有效的法律法规</w:t>
      </w:r>
      <w:r>
        <w:rPr>
          <w:rFonts w:asciiTheme="minorEastAsia" w:hAnsiTheme="minorEastAsia" w:eastAsiaTheme="minorEastAsia"/>
          <w:sz w:val="24"/>
          <w:szCs w:val="24"/>
        </w:rPr>
        <w:t>、部门规章、市场交易规则</w:t>
      </w:r>
      <w:r>
        <w:rPr>
          <w:rFonts w:hint="eastAsia" w:asciiTheme="minorEastAsia" w:hAnsiTheme="minorEastAsia" w:eastAsiaTheme="minorEastAsia"/>
          <w:sz w:val="24"/>
          <w:szCs w:val="24"/>
        </w:rPr>
        <w:t>或</w:t>
      </w:r>
      <w:r>
        <w:rPr>
          <w:rFonts w:asciiTheme="minorEastAsia" w:hAnsiTheme="minorEastAsia" w:eastAsiaTheme="minorEastAsia"/>
          <w:sz w:val="24"/>
          <w:szCs w:val="24"/>
        </w:rPr>
        <w:t>监管机构</w:t>
      </w:r>
      <w:r>
        <w:rPr>
          <w:rFonts w:hint="eastAsia" w:asciiTheme="minorEastAsia" w:hAnsiTheme="minorEastAsia" w:eastAsiaTheme="minorEastAsia"/>
          <w:sz w:val="24"/>
          <w:szCs w:val="24"/>
        </w:rPr>
        <w:t>的规定作为或不作为而造成的损失等；</w:t>
      </w:r>
    </w:p>
    <w:p w14:paraId="2B3EFFCD">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、基金管理人由于按照基金合同规定行使或不行使其投资权而造成的损失等。</w:t>
      </w:r>
    </w:p>
    <w:p w14:paraId="27867390">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w:t>
      </w:r>
      <w:r>
        <w:rPr>
          <w:rFonts w:asciiTheme="minorEastAsia" w:hAnsiTheme="minorEastAsia" w:eastAsiaTheme="minorEastAsia"/>
          <w:sz w:val="24"/>
          <w:szCs w:val="24"/>
        </w:rPr>
        <w:t xml:space="preserve"> </w:t>
      </w:r>
    </w:p>
    <w:p w14:paraId="7E202642">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三、由于基金管理人、基金托管人不可控制的因素导致业务出现差错，基金管理人和基金托管人虽然已经采取必要、适当、合理的措施进行检查，但是未能发现错误或虽发现错误但因前述原因无法及时更正的，由此造成基金财产或投资人损失，基金管理人和基金托管人免除赔偿责任。但是基金管理人和基金托管人应积极采取必要的措施消除或减轻由此造成的影响。</w:t>
      </w:r>
    </w:p>
    <w:p w14:paraId="3B113DA1">
      <w:pPr>
        <w:spacing w:line="360" w:lineRule="auto"/>
        <w:ind w:firstLine="480" w:firstLineChars="200"/>
        <w:rPr>
          <w:rFonts w:hint="eastAsia" w:asciiTheme="minorEastAsia" w:hAnsiTheme="minorEastAsia" w:eastAsiaTheme="minorEastAsia"/>
          <w:bCs/>
          <w:sz w:val="24"/>
          <w:szCs w:val="24"/>
        </w:rPr>
      </w:pPr>
      <w:bookmarkStart w:id="466" w:name="_Toc90742338"/>
      <w:bookmarkStart w:id="467" w:name="_Toc90742407"/>
      <w:bookmarkStart w:id="468" w:name="_Toc90742705"/>
      <w:bookmarkStart w:id="469" w:name="_Toc8636"/>
      <w:bookmarkStart w:id="470" w:name="_Toc24923"/>
      <w:bookmarkStart w:id="471" w:name="_Toc141703902"/>
      <w:bookmarkStart w:id="472" w:name="_Toc3319"/>
      <w:bookmarkStart w:id="473" w:name="_Toc123112249"/>
      <w:bookmarkStart w:id="474" w:name="_Toc23999"/>
      <w:bookmarkStart w:id="475" w:name="_Toc25651"/>
      <w:bookmarkStart w:id="476" w:name="_Toc1790"/>
      <w:bookmarkStart w:id="477" w:name="_Toc6110"/>
      <w:bookmarkStart w:id="478" w:name="_Toc21983"/>
      <w:bookmarkStart w:id="479" w:name="_Toc30350"/>
      <w:bookmarkStart w:id="480" w:name="_Toc123051467"/>
      <w:bookmarkStart w:id="481" w:name="_Toc139991751"/>
      <w:bookmarkStart w:id="482" w:name="_Toc6202"/>
      <w:bookmarkStart w:id="483" w:name="_Toc98560366"/>
      <w:bookmarkStart w:id="484" w:name="_Toc123102468"/>
      <w:bookmarkStart w:id="485" w:name="_Toc7288"/>
    </w:p>
    <w:bookmarkEnd w:id="463"/>
    <w:p w14:paraId="70CE3E7E">
      <w:pPr>
        <w:pStyle w:val="2"/>
        <w:rPr>
          <w:rFonts w:hint="eastAsia"/>
          <w:szCs w:val="24"/>
        </w:rPr>
        <w:sectPr>
          <w:footerReference r:id="rId30" w:type="default"/>
          <w:pgSz w:w="11906" w:h="16838"/>
          <w:pgMar w:top="1440" w:right="1800" w:bottom="1440" w:left="1800" w:header="851" w:footer="992" w:gutter="0"/>
          <w:pgNumType w:start="1"/>
          <w:cols w:space="425" w:num="1"/>
          <w:docGrid w:type="lines" w:linePitch="312" w:charSpace="0"/>
        </w:sectPr>
      </w:pPr>
    </w:p>
    <w:p w14:paraId="16144552">
      <w:pPr>
        <w:pStyle w:val="2"/>
        <w:rPr>
          <w:rFonts w:hint="eastAsia"/>
          <w:szCs w:val="24"/>
        </w:rPr>
      </w:pPr>
      <w:bookmarkStart w:id="486" w:name="CLAUSE_ca48ed0358bf4882801c7e4af7e0c98a"/>
      <w:r>
        <w:rPr>
          <w:szCs w:val="24"/>
        </w:rPr>
        <w:t xml:space="preserve"> </w:t>
      </w:r>
      <w:bookmarkStart w:id="487" w:name="CTS_ca48ed0358bf4882801c7e4af7e0c98a"/>
      <w:bookmarkEnd w:id="487"/>
      <w:bookmarkStart w:id="488" w:name="_Toc86655097"/>
      <w:r>
        <w:rPr>
          <w:rFonts w:hint="eastAsia" w:cs="Arial"/>
          <w:szCs w:val="24"/>
        </w:rPr>
        <w:t xml:space="preserve">第二十三部分 </w:t>
      </w:r>
      <w:r>
        <w:rPr>
          <w:szCs w:val="24"/>
        </w:rPr>
        <w:t>争议的处理</w:t>
      </w:r>
      <w:bookmarkEnd w:id="466"/>
      <w:bookmarkEnd w:id="467"/>
      <w:bookmarkEnd w:id="468"/>
      <w:r>
        <w:rPr>
          <w:rFonts w:hint="eastAsia"/>
          <w:szCs w:val="24"/>
        </w:rPr>
        <w:t>和适用的法律</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8"/>
    </w:p>
    <w:p w14:paraId="19654A29">
      <w:pPr>
        <w:spacing w:line="360" w:lineRule="auto"/>
        <w:ind w:firstLine="480" w:firstLineChars="200"/>
        <w:rPr>
          <w:rFonts w:hint="eastAsia" w:asciiTheme="minorEastAsia" w:hAnsiTheme="minorEastAsia" w:eastAsiaTheme="minorEastAsia"/>
          <w:bCs/>
          <w:sz w:val="24"/>
          <w:szCs w:val="24"/>
        </w:rPr>
      </w:pPr>
    </w:p>
    <w:p w14:paraId="2A747E78">
      <w:pPr>
        <w:adjustRightInd w:val="0"/>
        <w:snapToGrid w:val="0"/>
        <w:spacing w:line="360" w:lineRule="auto"/>
        <w:ind w:firstLine="420"/>
        <w:rPr>
          <w:rFonts w:hint="eastAsia" w:asciiTheme="minorEastAsia" w:hAnsiTheme="minorEastAsia" w:eastAsiaTheme="minorEastAsia"/>
          <w:b/>
          <w:i/>
          <w:sz w:val="24"/>
          <w:szCs w:val="24"/>
        </w:rPr>
      </w:pPr>
      <w:r>
        <w:rPr>
          <w:rFonts w:hint="eastAsia" w:asciiTheme="minorEastAsia" w:hAnsiTheme="minorEastAsia" w:eastAsiaTheme="minorEastAsia"/>
          <w:b/>
          <w:i/>
          <w:sz w:val="24"/>
          <w:szCs w:val="24"/>
        </w:rPr>
        <w:t>各方当事人同意，因《基金合同》而产生的或与《基金合同》有关的一切争议，如不愿或者不能通过协商、</w:t>
      </w:r>
      <w:bookmarkStart w:id="489" w:name="_Hlk198478027"/>
      <w:r>
        <w:rPr>
          <w:rFonts w:hint="eastAsia" w:asciiTheme="minorEastAsia" w:hAnsiTheme="minorEastAsia" w:eastAsiaTheme="minorEastAsia"/>
          <w:b/>
          <w:i/>
          <w:sz w:val="24"/>
          <w:szCs w:val="24"/>
        </w:rPr>
        <w:t>调解</w:t>
      </w:r>
      <w:bookmarkEnd w:id="489"/>
      <w:r>
        <w:rPr>
          <w:rFonts w:hint="eastAsia" w:asciiTheme="minorEastAsia" w:hAnsiTheme="minorEastAsia" w:eastAsiaTheme="minorEastAsia"/>
          <w:b/>
          <w:i/>
          <w:sz w:val="24"/>
          <w:szCs w:val="24"/>
        </w:rPr>
        <w:t>解决的，应将争议提交</w:t>
      </w:r>
      <w:r>
        <w:rPr>
          <w:rFonts w:asciiTheme="minorEastAsia" w:hAnsiTheme="minorEastAsia" w:eastAsiaTheme="minorEastAsia"/>
          <w:b/>
          <w:i/>
          <w:sz w:val="24"/>
          <w:szCs w:val="24"/>
        </w:rPr>
        <w:t>中国国际经济贸易仲裁委员会</w:t>
      </w:r>
      <w:r>
        <w:rPr>
          <w:rFonts w:hint="eastAsia" w:asciiTheme="minorEastAsia" w:hAnsiTheme="minorEastAsia" w:eastAsiaTheme="minorEastAsia"/>
          <w:b/>
          <w:i/>
          <w:sz w:val="24"/>
          <w:szCs w:val="24"/>
        </w:rPr>
        <w:t>，按照</w:t>
      </w:r>
      <w:r>
        <w:rPr>
          <w:rFonts w:asciiTheme="minorEastAsia" w:hAnsiTheme="minorEastAsia" w:eastAsiaTheme="minorEastAsia"/>
          <w:b/>
          <w:i/>
          <w:sz w:val="24"/>
          <w:szCs w:val="24"/>
        </w:rPr>
        <w:t>中国国际经济贸易仲裁委员会</w:t>
      </w:r>
      <w:r>
        <w:rPr>
          <w:rFonts w:hint="eastAsia" w:asciiTheme="minorEastAsia" w:hAnsiTheme="minorEastAsia" w:eastAsiaTheme="minorEastAsia"/>
          <w:b/>
          <w:i/>
          <w:sz w:val="24"/>
          <w:szCs w:val="24"/>
        </w:rPr>
        <w:t>届时有效的仲裁规则进行仲裁。仲裁地点为</w:t>
      </w:r>
      <w:r>
        <w:rPr>
          <w:rFonts w:asciiTheme="minorEastAsia" w:hAnsiTheme="minorEastAsia" w:eastAsiaTheme="minorEastAsia"/>
          <w:b/>
          <w:i/>
          <w:sz w:val="24"/>
          <w:szCs w:val="24"/>
        </w:rPr>
        <w:t>北京</w:t>
      </w:r>
      <w:r>
        <w:rPr>
          <w:rFonts w:hint="eastAsia" w:asciiTheme="minorEastAsia" w:hAnsiTheme="minorEastAsia" w:eastAsiaTheme="minorEastAsia"/>
          <w:b/>
          <w:i/>
          <w:sz w:val="24"/>
          <w:szCs w:val="24"/>
        </w:rPr>
        <w:t>市。仲裁裁决是终局的，对</w:t>
      </w:r>
      <w:r>
        <w:rPr>
          <w:rFonts w:asciiTheme="minorEastAsia" w:hAnsiTheme="minorEastAsia" w:eastAsiaTheme="minorEastAsia"/>
          <w:b/>
          <w:i/>
          <w:sz w:val="24"/>
          <w:szCs w:val="24"/>
        </w:rPr>
        <w:t>各</w:t>
      </w:r>
      <w:r>
        <w:rPr>
          <w:rFonts w:hint="eastAsia" w:asciiTheme="minorEastAsia" w:hAnsiTheme="minorEastAsia" w:eastAsiaTheme="minorEastAsia"/>
          <w:b/>
          <w:i/>
          <w:sz w:val="24"/>
          <w:szCs w:val="24"/>
        </w:rPr>
        <w:t>方当事人均有约束力。</w:t>
      </w:r>
      <w:bookmarkStart w:id="490" w:name="_Hlk181717165"/>
      <w:r>
        <w:rPr>
          <w:rFonts w:hint="eastAsia" w:asciiTheme="minorEastAsia" w:hAnsiTheme="minorEastAsia" w:eastAsiaTheme="minorEastAsia"/>
          <w:b/>
          <w:i/>
          <w:sz w:val="24"/>
          <w:szCs w:val="24"/>
        </w:rPr>
        <w:t>除非仲裁裁决另有规定，仲裁费用</w:t>
      </w:r>
      <w:bookmarkEnd w:id="490"/>
      <w:r>
        <w:rPr>
          <w:rFonts w:hint="eastAsia" w:asciiTheme="minorEastAsia" w:hAnsiTheme="minorEastAsia" w:eastAsiaTheme="minorEastAsia"/>
          <w:b/>
          <w:i/>
          <w:sz w:val="24"/>
          <w:szCs w:val="24"/>
        </w:rPr>
        <w:t>由败诉方承担。</w:t>
      </w:r>
    </w:p>
    <w:p w14:paraId="377865FF">
      <w:pPr>
        <w:adjustRightInd w:val="0"/>
        <w:snapToGrid w:val="0"/>
        <w:spacing w:line="360" w:lineRule="auto"/>
        <w:ind w:firstLine="420"/>
        <w:rPr>
          <w:rFonts w:hint="eastAsia" w:asciiTheme="minorEastAsia" w:hAnsiTheme="minorEastAsia" w:eastAsiaTheme="minorEastAsia"/>
          <w:b/>
          <w:i/>
          <w:sz w:val="24"/>
          <w:szCs w:val="24"/>
        </w:rPr>
      </w:pPr>
      <w:r>
        <w:rPr>
          <w:rFonts w:hint="eastAsia" w:asciiTheme="minorEastAsia" w:hAnsiTheme="minorEastAsia" w:eastAsiaTheme="minorEastAsia"/>
          <w:b/>
          <w:i/>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2FAB056E">
      <w:pPr>
        <w:adjustRightInd w:val="0"/>
        <w:snapToGrid w:val="0"/>
        <w:spacing w:line="360" w:lineRule="auto"/>
        <w:ind w:firstLine="420"/>
        <w:rPr>
          <w:rFonts w:hint="eastAsia" w:asciiTheme="minorEastAsia" w:hAnsiTheme="minorEastAsia" w:eastAsiaTheme="minorEastAsia"/>
          <w:b/>
          <w:i/>
          <w:sz w:val="24"/>
          <w:szCs w:val="24"/>
        </w:rPr>
      </w:pPr>
      <w:r>
        <w:rPr>
          <w:rFonts w:hint="eastAsia" w:asciiTheme="minorEastAsia" w:hAnsiTheme="minorEastAsia" w:eastAsiaTheme="minorEastAsia"/>
          <w:b/>
          <w:i/>
          <w:sz w:val="24"/>
          <w:szCs w:val="24"/>
        </w:rPr>
        <w:t>《基金合同》受中国法律（为本基金合同之目的，在此不包括香港</w:t>
      </w:r>
      <w:r>
        <w:rPr>
          <w:rFonts w:asciiTheme="minorEastAsia" w:hAnsiTheme="minorEastAsia" w:eastAsiaTheme="minorEastAsia"/>
          <w:b/>
          <w:i/>
          <w:sz w:val="24"/>
          <w:szCs w:val="24"/>
        </w:rPr>
        <w:t>特别行政区</w:t>
      </w:r>
      <w:r>
        <w:rPr>
          <w:rFonts w:hint="eastAsia" w:asciiTheme="minorEastAsia" w:hAnsiTheme="minorEastAsia" w:eastAsiaTheme="minorEastAsia"/>
          <w:b/>
          <w:i/>
          <w:sz w:val="24"/>
          <w:szCs w:val="24"/>
        </w:rPr>
        <w:t>、澳门特别行政区法律和台湾地区的有关规定）管辖并从其解释。</w:t>
      </w:r>
    </w:p>
    <w:p w14:paraId="0C0D12AB">
      <w:pPr>
        <w:adjustRightInd w:val="0"/>
        <w:snapToGrid w:val="0"/>
        <w:spacing w:line="360" w:lineRule="auto"/>
        <w:ind w:firstLine="42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bookmarkEnd w:id="486"/>
    <w:p w14:paraId="725BEDB8">
      <w:pPr>
        <w:pStyle w:val="2"/>
        <w:rPr>
          <w:rFonts w:hint="eastAsia"/>
          <w:szCs w:val="24"/>
        </w:rPr>
        <w:sectPr>
          <w:footerReference r:id="rId31" w:type="default"/>
          <w:pgSz w:w="11906" w:h="16838"/>
          <w:pgMar w:top="1440" w:right="1800" w:bottom="1440" w:left="1800" w:header="851" w:footer="992" w:gutter="0"/>
          <w:pgNumType w:start="1"/>
          <w:cols w:space="425" w:num="1"/>
          <w:docGrid w:type="lines" w:linePitch="312" w:charSpace="0"/>
        </w:sectPr>
      </w:pPr>
    </w:p>
    <w:p w14:paraId="41875BA6">
      <w:pPr>
        <w:pStyle w:val="2"/>
        <w:rPr>
          <w:rFonts w:hint="eastAsia"/>
          <w:szCs w:val="24"/>
        </w:rPr>
      </w:pPr>
      <w:bookmarkStart w:id="491" w:name="CLAUSE_e0293bcfa4544bac8a39c99acec0c0b6"/>
      <w:r>
        <w:rPr>
          <w:szCs w:val="24"/>
        </w:rPr>
        <w:t xml:space="preserve"> </w:t>
      </w:r>
      <w:bookmarkStart w:id="492" w:name="CTS_e0293bcfa4544bac8a39c99acec0c0b6"/>
      <w:bookmarkEnd w:id="492"/>
      <w:bookmarkStart w:id="493" w:name="_Toc86655098"/>
      <w:r>
        <w:rPr>
          <w:rFonts w:hint="eastAsia" w:cs="Arial"/>
          <w:szCs w:val="24"/>
        </w:rPr>
        <w:t xml:space="preserve">第二十四部分 </w:t>
      </w:r>
      <w:r>
        <w:rPr>
          <w:szCs w:val="24"/>
        </w:rPr>
        <w:t>基金合同的效力</w:t>
      </w:r>
      <w:bookmarkEnd w:id="493"/>
    </w:p>
    <w:p w14:paraId="61DC403D">
      <w:pPr>
        <w:snapToGrid w:val="0"/>
        <w:spacing w:line="360" w:lineRule="auto"/>
        <w:ind w:firstLine="480" w:firstLineChars="200"/>
        <w:rPr>
          <w:rFonts w:hint="eastAsia" w:asciiTheme="minorEastAsia" w:hAnsiTheme="minorEastAsia" w:eastAsiaTheme="minorEastAsia"/>
          <w:sz w:val="24"/>
          <w:szCs w:val="24"/>
        </w:rPr>
      </w:pPr>
    </w:p>
    <w:p w14:paraId="249A4B83">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基金合同</w:t>
      </w:r>
      <w:r>
        <w:rPr>
          <w:rFonts w:hint="eastAsia" w:asciiTheme="minorEastAsia" w:hAnsiTheme="minorEastAsia" w:eastAsiaTheme="minorEastAsia"/>
          <w:sz w:val="24"/>
          <w:szCs w:val="24"/>
        </w:rPr>
        <w:t>是约定基金合同当事人之间权利义务关系的法律文件。</w:t>
      </w:r>
    </w:p>
    <w:p w14:paraId="6B6A7D4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合同》经基金管理人、基金托管人双方盖章（公章或合同专用章或业务专用章）以及双方法定代表人或授权代表签章并在募集结束后经基金管理人向中国证监会办理基金备案手续，并经中国证监会书面确认后生效。</w:t>
      </w:r>
    </w:p>
    <w:p w14:paraId="06435F52">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二、《基金合同》的有效期自其生效之日起至基金财产清算结果报中国证监会备案并公告之日止。</w:t>
      </w:r>
    </w:p>
    <w:p w14:paraId="62D5B55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三、</w:t>
      </w: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自生效之日起对包括基金管理人、基金托管人和基金份额持有人在内的</w:t>
      </w:r>
      <w:r>
        <w:rPr>
          <w:rFonts w:asciiTheme="minorEastAsia" w:hAnsiTheme="minorEastAsia" w:eastAsiaTheme="minorEastAsia"/>
          <w:sz w:val="24"/>
          <w:szCs w:val="24"/>
        </w:rPr>
        <w:t>基金合同</w:t>
      </w:r>
      <w:r>
        <w:rPr>
          <w:rFonts w:hint="eastAsia" w:asciiTheme="minorEastAsia" w:hAnsiTheme="minorEastAsia" w:eastAsiaTheme="minorEastAsia"/>
          <w:sz w:val="24"/>
          <w:szCs w:val="24"/>
        </w:rPr>
        <w:t>各方当事人具有同等的法律约束力。</w:t>
      </w:r>
    </w:p>
    <w:p w14:paraId="551D22A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四、《基金合同》正本一式三份，除上报有关监管机构一份外，基金管理人、基金托管人各持有一份，每份具有同等的法律效力。</w:t>
      </w:r>
    </w:p>
    <w:p w14:paraId="50BF6987">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五、</w:t>
      </w: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可印制成册，供</w:t>
      </w:r>
      <w:r>
        <w:rPr>
          <w:rFonts w:asciiTheme="minorEastAsia" w:hAnsiTheme="minorEastAsia" w:eastAsiaTheme="minorEastAsia"/>
          <w:sz w:val="24"/>
          <w:szCs w:val="24"/>
        </w:rPr>
        <w:t>投资人</w:t>
      </w:r>
      <w:r>
        <w:rPr>
          <w:rFonts w:hint="eastAsia" w:asciiTheme="minorEastAsia" w:hAnsiTheme="minorEastAsia" w:eastAsiaTheme="minorEastAsia"/>
          <w:sz w:val="24"/>
          <w:szCs w:val="24"/>
        </w:rPr>
        <w:t>在基金管理人、基金托管人、</w:t>
      </w:r>
      <w:r>
        <w:rPr>
          <w:rFonts w:asciiTheme="minorEastAsia" w:hAnsiTheme="minorEastAsia" w:eastAsiaTheme="minorEastAsia"/>
          <w:sz w:val="24"/>
          <w:szCs w:val="24"/>
        </w:rPr>
        <w:t>代销</w:t>
      </w:r>
      <w:r>
        <w:rPr>
          <w:rFonts w:hint="eastAsia" w:asciiTheme="minorEastAsia" w:hAnsiTheme="minorEastAsia" w:eastAsiaTheme="minorEastAsia"/>
          <w:sz w:val="24"/>
          <w:szCs w:val="24"/>
        </w:rPr>
        <w:t>机构的办公场所查阅。</w:t>
      </w:r>
    </w:p>
    <w:p w14:paraId="09802D92">
      <w:pPr>
        <w:adjustRightInd w:val="0"/>
        <w:snapToGrid w:val="0"/>
        <w:spacing w:line="360" w:lineRule="auto"/>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p>
    <w:bookmarkEnd w:id="491"/>
    <w:p w14:paraId="7BFDCEB1">
      <w:pPr>
        <w:pStyle w:val="2"/>
        <w:rPr>
          <w:rFonts w:hint="eastAsia"/>
          <w:szCs w:val="24"/>
        </w:rPr>
        <w:sectPr>
          <w:footerReference r:id="rId32" w:type="default"/>
          <w:pgSz w:w="11906" w:h="16838"/>
          <w:pgMar w:top="1440" w:right="1800" w:bottom="1440" w:left="1800" w:header="851" w:footer="992" w:gutter="0"/>
          <w:pgNumType w:start="1"/>
          <w:cols w:space="425" w:num="1"/>
          <w:docGrid w:type="lines" w:linePitch="312" w:charSpace="0"/>
        </w:sectPr>
      </w:pPr>
    </w:p>
    <w:p w14:paraId="5445B14B">
      <w:pPr>
        <w:pStyle w:val="2"/>
        <w:rPr>
          <w:rFonts w:hint="eastAsia"/>
          <w:szCs w:val="24"/>
        </w:rPr>
      </w:pPr>
      <w:bookmarkStart w:id="494" w:name="CLAUSE_0467a38cd9ce462381256d127af2578b"/>
      <w:r>
        <w:rPr>
          <w:szCs w:val="24"/>
        </w:rPr>
        <w:t xml:space="preserve"> </w:t>
      </w:r>
      <w:bookmarkStart w:id="495" w:name="CTS_0467a38cd9ce462381256d127af2578b"/>
      <w:bookmarkEnd w:id="495"/>
      <w:bookmarkStart w:id="496" w:name="_Toc86655099"/>
      <w:r>
        <w:rPr>
          <w:rFonts w:hint="eastAsia" w:cs="Arial"/>
          <w:szCs w:val="24"/>
        </w:rPr>
        <w:t xml:space="preserve">第二十五部分 </w:t>
      </w:r>
      <w:r>
        <w:rPr>
          <w:szCs w:val="24"/>
        </w:rPr>
        <w:t>其他事项</w:t>
      </w:r>
      <w:bookmarkEnd w:id="496"/>
    </w:p>
    <w:p w14:paraId="767C3192">
      <w:pPr>
        <w:snapToGrid w:val="0"/>
        <w:spacing w:line="360" w:lineRule="auto"/>
        <w:ind w:firstLine="480" w:firstLineChars="200"/>
        <w:rPr>
          <w:rFonts w:hint="eastAsia" w:asciiTheme="minorEastAsia" w:hAnsiTheme="minorEastAsia" w:eastAsiaTheme="minorEastAsia"/>
          <w:sz w:val="24"/>
          <w:szCs w:val="24"/>
        </w:rPr>
      </w:pPr>
    </w:p>
    <w:p w14:paraId="23C79B44">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本基金合同如有未尽事宜，由本基金合同当事人各方按有关法律法规和规定协商解决。</w:t>
      </w:r>
    </w:p>
    <w:p w14:paraId="37B87517">
      <w:pPr>
        <w:widowControl/>
        <w:adjustRightInd w:val="0"/>
        <w:snapToGrid w:val="0"/>
        <w:spacing w:line="360" w:lineRule="auto"/>
        <w:ind w:firstLine="420"/>
        <w:jc w:val="left"/>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sectPr>
          <w:footerReference r:id="rId33" w:type="default"/>
          <w:pgSz w:w="11906" w:h="16838"/>
          <w:pgMar w:top="1440" w:right="1800" w:bottom="1440" w:left="1800" w:header="851" w:footer="992" w:gutter="0"/>
          <w:pgNumType w:start="1"/>
          <w:cols w:space="425" w:num="1"/>
          <w:docGrid w:type="lines" w:linePitch="312" w:charSpace="0"/>
        </w:sectPr>
      </w:pPr>
      <w:bookmarkStart w:id="497" w:name="_Hlt70506133"/>
      <w:bookmarkEnd w:id="497"/>
    </w:p>
    <w:p w14:paraId="42EDC1CE">
      <w:pPr>
        <w:pStyle w:val="2"/>
        <w:rPr>
          <w:rFonts w:hint="eastAsia"/>
          <w:szCs w:val="24"/>
        </w:rPr>
      </w:pPr>
      <w:r>
        <w:rPr>
          <w:rFonts w:hint="eastAsia"/>
          <w:szCs w:val="24"/>
        </w:rPr>
        <w:t xml:space="preserve"> </w:t>
      </w:r>
      <w:bookmarkStart w:id="498" w:name="_Toc86655100"/>
      <w:r>
        <w:rPr>
          <w:rFonts w:hint="eastAsia"/>
          <w:szCs w:val="24"/>
        </w:rPr>
        <w:t>第二十六部分 基金合同摘要</w:t>
      </w:r>
      <w:bookmarkEnd w:id="498"/>
    </w:p>
    <w:p w14:paraId="48CE7AD8">
      <w:pPr>
        <w:adjustRightInd w:val="0"/>
        <w:snapToGrid w:val="0"/>
        <w:spacing w:line="360" w:lineRule="auto"/>
        <w:rPr>
          <w:rFonts w:hint="eastAsia" w:asciiTheme="minorEastAsia" w:hAnsiTheme="minorEastAsia"/>
          <w:b/>
          <w:color w:val="0D0D0D" w:themeColor="text1" w:themeTint="F2"/>
          <w:sz w:val="24"/>
          <w14:textFill>
            <w14:solidFill>
              <w14:schemeClr w14:val="tx1">
                <w14:lumMod w14:val="95000"/>
                <w14:lumOff w14:val="5000"/>
              </w14:schemeClr>
            </w14:solidFill>
          </w14:textFill>
        </w:rPr>
      </w:pPr>
    </w:p>
    <w:p w14:paraId="452121EC">
      <w:pPr>
        <w:adjustRightInd w:val="0"/>
        <w:snapToGrid w:val="0"/>
        <w:spacing w:line="360" w:lineRule="auto"/>
        <w:rPr>
          <w:rFonts w:hint="eastAsia" w:asciiTheme="minorEastAsia" w:hAnsiTheme="minorEastAsia"/>
          <w:b/>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b/>
          <w:color w:val="0D0D0D" w:themeColor="text1" w:themeTint="F2"/>
          <w:sz w:val="24"/>
          <w14:textFill>
            <w14:solidFill>
              <w14:schemeClr w14:val="tx1">
                <w14:lumMod w14:val="95000"/>
                <w14:lumOff w14:val="5000"/>
              </w14:schemeClr>
            </w14:solidFill>
          </w14:textFill>
        </w:rPr>
        <w:t>一、基金份额持有人、基金管理人和基金托管人的权利、义务</w:t>
      </w:r>
    </w:p>
    <w:p w14:paraId="627D6EEF">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（一）基金份额持有人的权利与义务</w:t>
      </w:r>
    </w:p>
    <w:p w14:paraId="391F680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294FB9A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每份基金份额具有同等的合法权益。</w:t>
      </w:r>
    </w:p>
    <w:p w14:paraId="70426D4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、根据《基金法》、《运作办法》及其他有关规定，基金份额持有人的权利包括但不限于：</w:t>
      </w:r>
    </w:p>
    <w:p w14:paraId="66B6BF8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）分享基金财产收益；</w:t>
      </w:r>
    </w:p>
    <w:p w14:paraId="7CE61F0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）参与分配清算后的剩余基金财产；</w:t>
      </w:r>
    </w:p>
    <w:p w14:paraId="3483B3E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）依法转让或者申请赎回其持有的基金份额；</w:t>
      </w:r>
    </w:p>
    <w:p w14:paraId="3427D86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）按照规定要求召开基金份额持有人大会或者召集基金份额持有人大会；</w:t>
      </w:r>
    </w:p>
    <w:p w14:paraId="537500A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）出席或者委派代表出席基金份额持有人大会，对基金份额持有人大会审议事项行使表决权；</w:t>
      </w:r>
    </w:p>
    <w:p w14:paraId="415619A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）查阅或者复制公开披露的基金信息资料；</w:t>
      </w:r>
    </w:p>
    <w:p w14:paraId="4F1D114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）监督基金管理人的投资运作；</w:t>
      </w:r>
    </w:p>
    <w:p w14:paraId="18B82C6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）对基金管理人、基金托管人、基金</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服务</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机构损害其合法权益的行为依法提起诉讼或仲裁；</w:t>
      </w:r>
    </w:p>
    <w:p w14:paraId="09C40E5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）法律法规及中国证监会规定的和《基金合同》约定的其他权利。</w:t>
      </w:r>
    </w:p>
    <w:p w14:paraId="4AD6D22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、根据《基金法》、《运作办法》及其他有关规定，基金份额持有人的义务包括但不限于：</w:t>
      </w:r>
    </w:p>
    <w:p w14:paraId="0E8EB4D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）认真阅读并遵守《基金合同》、</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招募说明书及基金产品资料概要等信息披露文件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0282E05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）了解所投资基金产品，了解自身风险承受能力，自主判断基金的投资价值，自主做出投资决策，自行承担投资风险；</w:t>
      </w:r>
    </w:p>
    <w:p w14:paraId="55B9A0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）关注基金信息披露，及时行使权利和履行义务；</w:t>
      </w:r>
    </w:p>
    <w:p w14:paraId="6A55EB3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）交纳基金认购款项和认购股票、申购对价及法律法规和《基金合同》所规定的费用；</w:t>
      </w:r>
    </w:p>
    <w:p w14:paraId="20A10E3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）在其持有的基金份额范围内，承担基金亏损或者《基金合同》终止的有限责任；</w:t>
      </w:r>
    </w:p>
    <w:p w14:paraId="26F2B82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）不从事任何有损基金及其他《基金合同》当事人合法权益的活动；</w:t>
      </w:r>
    </w:p>
    <w:p w14:paraId="7119E7B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）执行生效的基金份额持有人大会的</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决议</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1D1D1BC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）返还在基金交易过程中因任何原因获得的不当得利；</w:t>
      </w:r>
    </w:p>
    <w:p w14:paraId="4CB2E813">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）法律法规及中国证监会规定的和《基金合同》约定的其他义务。</w:t>
      </w:r>
    </w:p>
    <w:p w14:paraId="2CD1F65F">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（二）基金管理人的权利与义务</w:t>
      </w:r>
    </w:p>
    <w:p w14:paraId="134FABD7">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499" w:name="OLE_LINK4"/>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1、根据《基金法》、《运作办法》及其他有关规定，基金管理人的权利包括但不限于：</w:t>
      </w:r>
    </w:p>
    <w:p w14:paraId="5565221C">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（1）依法募集资金；</w:t>
      </w:r>
    </w:p>
    <w:p w14:paraId="2A111D4D">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（2）自《基金合同》生效之日起，根据法律法规和《基金合同》独立运用并管理基金财产；</w:t>
      </w:r>
    </w:p>
    <w:p w14:paraId="10323B23">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（3）依照《基金合同》收取基金管理费以及法律法规规定或中国证监会批准的其他费用；</w:t>
      </w:r>
    </w:p>
    <w:p w14:paraId="0E5AAAE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（4）销售基金份额；</w:t>
      </w:r>
    </w:p>
    <w:p w14:paraId="37DD7715">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（5）按照规定召集基金份额持有人大会；</w:t>
      </w:r>
    </w:p>
    <w:p w14:paraId="23B14059">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依据《基金合同》及有关法律规定监督基金托管人，如认为基金托管人违反了《基金合同》及国家有关法律规定，应通知基金托管人并呈报中国证监会和其他监管部门，并采取必要措施保护基金投资者的利益；</w:t>
      </w:r>
    </w:p>
    <w:p w14:paraId="61EB6246">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（7）在基金托管人更换时，提名新的基金托管人；</w:t>
      </w:r>
    </w:p>
    <w:p w14:paraId="016AE941">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（8）选择、更换基金销售机构，对基金销售机构的相关行为进行监督和处理； </w:t>
      </w:r>
    </w:p>
    <w:p w14:paraId="55873135">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（9）担任或委托其他符合条件的机构担任基金登记机构办理基金登记业务并获得《基金合同》规定的费用； </w:t>
      </w:r>
    </w:p>
    <w:p w14:paraId="6759FF25">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（10）依据《基金合同》及有关法律规定决定基金收益的分配方案；</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p>
    <w:p w14:paraId="1D989F32">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（11）在《基金合同》约定的范围内，拒绝或暂停受理申购与赎回申请； </w:t>
      </w:r>
    </w:p>
    <w:p w14:paraId="0D27C780">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（12）依照法律法规为基金的利益对被投资公司行使股东权利，为基金的利益行使因基金财产投资于证券所产生的权利；</w:t>
      </w:r>
    </w:p>
    <w:p w14:paraId="0B9EF4E1">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（13）在法律法规允许的前提下，为基金的利益依法为基金进行融资和转融通证券出借业务；</w:t>
      </w:r>
    </w:p>
    <w:p w14:paraId="657D272C">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（14）以基金管理人的名义，代表基金份额持有人的利益行使诉讼权利或者实施其他法律行为；</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p>
    <w:p w14:paraId="5066D6A4">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（15）选择、更换律师事务所、会计师事务所、证券、期货经纪商或其他为基金提供服务的外部机构；</w:t>
      </w: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ab/>
      </w:r>
    </w:p>
    <w:p w14:paraId="1831B553">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（16）在符合有关法律、法规的前提下，制订和调整有关基金认购、申购、赎回、非交易过户等业务规则；</w:t>
      </w:r>
    </w:p>
    <w:p w14:paraId="25B7CAAC">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（17）法律法规及中国证监会规定的和《基金合同》约定的其他权利。</w:t>
      </w:r>
    </w:p>
    <w:p w14:paraId="26D4D3E7">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2、根据《基金法》、《运作办法》及其他有关规定，基金管理人的义务包括但不限于：</w:t>
      </w:r>
    </w:p>
    <w:p w14:paraId="3091C3B6">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（1）依法募集资金，办理或者委托经中国证监会认定的其他机构代为办理基金份额的发售、申购、赎回和登记事宜；</w:t>
      </w:r>
    </w:p>
    <w:p w14:paraId="032DED73">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（2）办理基金备案手续；</w:t>
      </w:r>
    </w:p>
    <w:p w14:paraId="2836C9C9">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（3）自《基金合同》生效之日起，以诚实信用、谨慎勤勉的原则管理和运用基金财产；</w:t>
      </w:r>
    </w:p>
    <w:p w14:paraId="29C8945B">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（4）配备足够的具有专业资格的人员进行基金投资分析、决策，以专业化的经营方式管理和运作基金财产；</w:t>
      </w:r>
    </w:p>
    <w:p w14:paraId="54826C4F">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（5）建立健全内部风险控制、监察与稽核、财务管理及人事管理等制度，保证所管理的基金财产和基金管理人的财产相互独立，对所管理的不同基金分别管理，分别记账，进行证券投资；</w:t>
      </w:r>
    </w:p>
    <w:p w14:paraId="521D37B3">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（6）除依据《基金法》、《基金合同》及其他有关规定外，不得利用基金财产为自己及任何第三人谋取利益，不得委托第三人运作基金财产；</w:t>
      </w:r>
    </w:p>
    <w:p w14:paraId="5D18D404">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（7）依法接受基金托管人的监督；</w:t>
      </w:r>
    </w:p>
    <w:p w14:paraId="5CCC373F">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（8）采取适当合理的措施使计算基金份额认购价格、申购对价、赎回对价的方法符合《基金合同》等法律文件的规定，按有关规定计算并公告基金净值信息，确定基金份额申购、赎回对价，编制申购赎回清单；</w:t>
      </w:r>
    </w:p>
    <w:p w14:paraId="5F9D88B6">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（9）进行基金会计核算并编制基金财务会计报告；</w:t>
      </w:r>
    </w:p>
    <w:p w14:paraId="62AA687B">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（10）编制季度报告、中期报告和年度报告；</w:t>
      </w:r>
    </w:p>
    <w:p w14:paraId="551C87F7">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（11）严格按照《基金法》、《基金合同》及其他有关规定，履行信息披露及报告义务；</w:t>
      </w:r>
    </w:p>
    <w:p w14:paraId="708AF4C4">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31187F04">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（13）按《基金合同》的约定确定基金收益分配方案，及时向基金份额持有人分配基金收益；</w:t>
      </w:r>
    </w:p>
    <w:p w14:paraId="56C015D6">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（14）按规定受理申购与赎回申请，及时、足额支付赎回对价；</w:t>
      </w:r>
    </w:p>
    <w:p w14:paraId="0B32D95B">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（15）依据《基金法》、《基金合同》及其他有关规定召集基金份额持有人大会或配合基金托管人、基金份额持有人依法召集基金份额持有人大会；</w:t>
      </w:r>
    </w:p>
    <w:p w14:paraId="302E224D">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（16）按规定保存基金财产管理业务活动的会计账册、报表、记录和其他相关资料，保存期限不低于法定最低期限；</w:t>
      </w:r>
    </w:p>
    <w:p w14:paraId="582BB82D">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54E4DA6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（18）组织并参加基金财产清算小组，参与基金财产的保管、清理、估价、变现和分配；</w:t>
      </w:r>
    </w:p>
    <w:p w14:paraId="3D5D74D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（19）面临解散、依法被撤销或者被依法宣告破产时，及时报告中国证监会和银行业监督管理机构并通知基金托管人；</w:t>
      </w:r>
    </w:p>
    <w:p w14:paraId="07DAAD93">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（20）因违反《基金合同》导致基金财产的损失或损害基金份额持有人合法权益时，应当承担赔偿责任，其赔偿责任不因其退任而免除；</w:t>
      </w:r>
    </w:p>
    <w:p w14:paraId="2A1D0EAF">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（21）监督基金托管人按法律法规和《基金合同》规定履行自己的义务，基金托管人违反《基金合同》造成基金财产损失时，基金管理人应为基金份额持有人利益向基金托管人追偿；</w:t>
      </w:r>
    </w:p>
    <w:p w14:paraId="08FD2F5B">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（22）当基金管理人将其义务委托第三方处理时，应当对第三方处理有关基金事务的行为承担责任；</w:t>
      </w:r>
    </w:p>
    <w:p w14:paraId="1C7DA075">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（23）以基金管理人名义，代表基金份额持有人利益行使诉讼权利或实施其他法律行为；</w:t>
      </w:r>
    </w:p>
    <w:p w14:paraId="38F2D1A2">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6DEB41C4">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（25）执行生效的基金份额持有人大会的决议；</w:t>
      </w:r>
    </w:p>
    <w:p w14:paraId="5B00F648">
      <w:pPr>
        <w:adjustRightInd w:val="0"/>
        <w:snapToGrid w:val="0"/>
        <w:spacing w:line="360" w:lineRule="auto"/>
        <w:ind w:firstLine="480" w:firstLineChars="200"/>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（26）建立并保存基金份额持有人名册；</w:t>
      </w:r>
    </w:p>
    <w:p w14:paraId="08D1EF0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cs="Arial"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（27）法律法规及中国证监会规定的和《基金合同》约定的其他义务。</w:t>
      </w:r>
    </w:p>
    <w:bookmarkEnd w:id="499"/>
    <w:p w14:paraId="0B88F3CD">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（三）</w:t>
      </w:r>
      <w:r>
        <w:rPr>
          <w:rFonts w:hint="eastAsia" w:asciiTheme="minorEastAsia" w:hAnsiTheme="minorEastAsia" w:eastAsiaTheme="minorEastAsia"/>
          <w:sz w:val="24"/>
          <w:szCs w:val="24"/>
        </w:rPr>
        <w:tab/>
      </w:r>
      <w:r>
        <w:rPr>
          <w:rFonts w:hint="eastAsia" w:asciiTheme="minorEastAsia" w:hAnsiTheme="minorEastAsia" w:eastAsiaTheme="minorEastAsia"/>
          <w:sz w:val="24"/>
          <w:szCs w:val="24"/>
        </w:rPr>
        <w:t>基金托管人的权利与义务</w:t>
      </w:r>
    </w:p>
    <w:p w14:paraId="53CAC8D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500" w:name="OLE_LINK3"/>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1、根据《基金法》、《运作办法》及其他有关规定，基金托管人的权利包括但不限于：</w:t>
      </w:r>
    </w:p>
    <w:p w14:paraId="59900D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（1）自《基金合同》生效之日起，依法律法规和《基金合同》的规定安全保管基金财产；</w:t>
      </w:r>
    </w:p>
    <w:p w14:paraId="4B371C4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（2）依《基金合同》约定及时、足额获得基金托管费以及法律法规规定或监管部门批准的其他费用；</w:t>
      </w:r>
    </w:p>
    <w:p w14:paraId="2EF3C4A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监督基金管理人对本基金的投资运作，如发现基金管理人有违反《基金合同》及国家法律法规行为，对基金财产、其他当事人的利益造成重大损失的情形，有权呈报中国证监会，并有权采取必要措施保护基金投资者的利益；</w:t>
      </w:r>
    </w:p>
    <w:p w14:paraId="4CAFCC3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（4）根据相关市场规则，协助基金管理人为基金开设资金账户、证券账户等投资所需账户，根据基金管理人的投资指令，及时办理清算、交割事宜；</w:t>
      </w:r>
    </w:p>
    <w:p w14:paraId="3B6535B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（5）提议召开或召集基金份额持有人大会；</w:t>
      </w:r>
    </w:p>
    <w:p w14:paraId="71B5DF9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（6）在基金管理人更换时，提名新的基金管理人；</w:t>
      </w:r>
    </w:p>
    <w:p w14:paraId="5DBD607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（7）法律法规及中国证监会规定的和《基金合同》约定的其他权利。</w:t>
      </w:r>
    </w:p>
    <w:p w14:paraId="512B8F7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2、根据《基金法》、《运作办法》及其他有关规定，基金托管人的义务包括但不限于：</w:t>
      </w:r>
    </w:p>
    <w:p w14:paraId="5B9EA9A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（1）以诚实信用、勤勉尽责的原则持有并安全保管基金财产，但对于已根据基金管理人指令划转出托管账户的财产，以及处于基金托管人实际控制之外的财产不承担保管责任；</w:t>
      </w:r>
    </w:p>
    <w:p w14:paraId="786AB9E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（2）设立专门的基金托管部门，具有符合要求的营业场所，配备足够的、合格的熟悉基金托管业务的专职人员，负责基金财产托管事宜；</w:t>
      </w:r>
    </w:p>
    <w:p w14:paraId="36A12C9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3D2B0C2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（4）除依据《基金法》、《基金合同》及其他有关规定外，不得利用基金财产为自己及任何第三人谋取非法利益，不得委托第三人托管基金财产；</w:t>
      </w:r>
    </w:p>
    <w:p w14:paraId="74D35EA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（5）保管由基金管理人代表基金签订的与基金有关的重大合同及有关凭证；</w:t>
      </w:r>
    </w:p>
    <w:p w14:paraId="762798C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（6）按规定协助基金管理人开设基金财产的资金账户、证券账户等投资所需账户，按照《基金合同》的约定，根据基金管理人的投资指令，及时办理清算、交割事宜；</w:t>
      </w:r>
    </w:p>
    <w:p w14:paraId="5E81138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保守基金商业秘密，除《基金法》、《基金合同》及其他有关规定另有规定外，在基金信息公开披露前予以保密，不得向他人泄露，但根据法律法规规定、因监管机构、司法机关等有权机关或任一方上市的证券交易所要求，或因审计、法律等外部专业顾问提供服务需要提供的情况除外；</w:t>
      </w:r>
    </w:p>
    <w:p w14:paraId="2035DDD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（8）复核、审查基金管理人计算的基金资产净值、基金份额净值、基金份额申购、赎回对价；</w:t>
      </w:r>
    </w:p>
    <w:p w14:paraId="2F08BB9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（9）办理与基金托管业务活动有关的信息披露事项；</w:t>
      </w:r>
    </w:p>
    <w:p w14:paraId="3524AA4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5477DB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（11）保存基金托管业务活动的记录、账册、报表和其他相关资料，保存期限不低于法定最低期限；</w:t>
      </w:r>
    </w:p>
    <w:p w14:paraId="06C9039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（12）从基金管理人或其委托的登记机构处接收并保存基金份额持有人名册；</w:t>
      </w:r>
    </w:p>
    <w:p w14:paraId="074F45B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（13）按规定制作相关账册并与基金管理人核对；</w:t>
      </w:r>
    </w:p>
    <w:p w14:paraId="4B60B88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（14）依据基金管理人的指令或有关规定向基金份额持有人支付基金收益和赎回对价的现金部分；</w:t>
      </w:r>
    </w:p>
    <w:p w14:paraId="49915E6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（15）依据《基金法》、《基金合同》及其他有关规定，召集基金份额持有人大会或配合基金管理人、基金份额持有人依法召集基金份额持有人大会；</w:t>
      </w:r>
    </w:p>
    <w:p w14:paraId="07E09D5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（16）有权按照《基金合同》、《托管协议》的约定监督基金管理人的投资运作，基金托管人不因提供监督服务而对基金管理人的违法违规投资等承担责任；</w:t>
      </w:r>
    </w:p>
    <w:p w14:paraId="306D2A9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（17）参加基金财产清算小组，参与基金财产的保管、清理、估价、变现和分配；</w:t>
      </w:r>
    </w:p>
    <w:p w14:paraId="3F87B32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（18）面临解散、依法被撤销或者被依法宣告破产时，及时报告中国证监会，并通知基金管理人；</w:t>
      </w:r>
    </w:p>
    <w:p w14:paraId="08E3085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（19）因基金托管人过错违反《基金合同》导致基金财产损失时，应对基金财产的直接经济损失承担赔偿责任，其赔偿责任不因其退任而免除；</w:t>
      </w:r>
    </w:p>
    <w:p w14:paraId="7193578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（20）有权按《基金合同》、《托管协议》的约定监督基金管理人的投资运作，基金管理人因违反《基金合同》、《托管协议》造成基金财产损失时，有权为基金份额持有人利益向基金管理人追偿；</w:t>
      </w:r>
    </w:p>
    <w:p w14:paraId="0F31D3A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（21）执行生效的基金份额持有人大会的决议；</w:t>
      </w:r>
    </w:p>
    <w:p w14:paraId="60BAF21C">
      <w:pPr>
        <w:spacing w:line="360" w:lineRule="auto"/>
        <w:ind w:firstLine="480" w:firstLineChars="200"/>
        <w:rPr>
          <w:rFonts w:hint="eastAsia" w:asciiTheme="minorEastAsia" w:hAnsiTheme="minorEastAsia"/>
          <w:b/>
          <w:sz w:val="24"/>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（22）法律法规及中国证监会规定的和《基金合同》、《托管协议》约定的其他义务。</w:t>
      </w:r>
      <w:bookmarkEnd w:id="500"/>
    </w:p>
    <w:p w14:paraId="6981E735">
      <w:pPr>
        <w:spacing w:line="360" w:lineRule="auto"/>
        <w:ind w:firstLine="482" w:firstLineChars="200"/>
        <w:rPr>
          <w:rFonts w:hint="eastAsia" w:asciiTheme="minorEastAsia" w:hAnsiTheme="minorEastAsia"/>
          <w:b/>
          <w:sz w:val="24"/>
        </w:rPr>
      </w:pPr>
      <w:r>
        <w:rPr>
          <w:rFonts w:hint="eastAsia" w:asciiTheme="minorEastAsia" w:hAnsiTheme="minorEastAsia"/>
          <w:b/>
          <w:sz w:val="24"/>
        </w:rPr>
        <w:t>二、基金份额持有人大会召集、议事及表决的程序和规则</w:t>
      </w:r>
    </w:p>
    <w:p w14:paraId="63C2C2E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501" w:name="OLE_LINK7"/>
      <w:bookmarkStart w:id="502" w:name="OLE_LINK6"/>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基金份额持有人大会由基金份额持有人组成，基金份额持有人的合法授权代表有权代表基金份额持有人出席会议并表决。基金份额持有人持有的每一基金份额拥有平等的投票权。</w:t>
      </w:r>
    </w:p>
    <w:p w14:paraId="36CD806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6DBA836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6DE09AF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34FA2B0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法律法规或监管机构对基金份额持有人大会另有规定的，从其规定。</w:t>
      </w:r>
    </w:p>
    <w:p w14:paraId="5C349F5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本基金份额持有人大会不设日常机构。</w:t>
      </w:r>
    </w:p>
    <w:p w14:paraId="7524E0E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（一）召开事由</w:t>
      </w:r>
    </w:p>
    <w:p w14:paraId="04C01D1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、除法律法规、中国证监会和基金合同另有规定外，当出现或需要决定下列事由之一的，应当召开基金份额持有人大会：</w:t>
      </w:r>
    </w:p>
    <w:p w14:paraId="4938457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）终止《基金合同》；</w:t>
      </w:r>
    </w:p>
    <w:p w14:paraId="37C48C5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）更换基金管理人；</w:t>
      </w:r>
    </w:p>
    <w:p w14:paraId="094C9A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）更换基金托管人；</w:t>
      </w:r>
    </w:p>
    <w:p w14:paraId="63176C9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）转换基金运作方式；</w:t>
      </w:r>
    </w:p>
    <w:p w14:paraId="198BEE1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）调整基金管理人、基金托管人的报酬标准；</w:t>
      </w:r>
    </w:p>
    <w:p w14:paraId="202BEC2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）变更基金类别；</w:t>
      </w:r>
    </w:p>
    <w:p w14:paraId="05FFAD8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）本基金与其他基金的合并；</w:t>
      </w:r>
    </w:p>
    <w:p w14:paraId="60B1A06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）变更基金投资目标、范围或策略；</w:t>
      </w:r>
    </w:p>
    <w:p w14:paraId="3979172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）变更基金份额持有人大会程序；</w:t>
      </w:r>
    </w:p>
    <w:p w14:paraId="25CCA45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）基金管理人或基金托管人要求召开基金份额持有人大会；</w:t>
      </w:r>
    </w:p>
    <w:p w14:paraId="32FCCF5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）单独或合计持有本基金总份额</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以上（含</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）基金份额的基金份额持有人（以基金管理人收到提议当日的基金份额计算，下同）就同一事项书面要求召开基金份额持有人大会；</w:t>
      </w:r>
    </w:p>
    <w:p w14:paraId="3123681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）对基金合同当事人权利和义务产生重大影响的其他事项；</w:t>
      </w:r>
    </w:p>
    <w:p w14:paraId="7D38E10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（13）终止基金上市，但因基金不再具备上市条件而被深圳证券交易所终止上市的情形除外；</w:t>
      </w:r>
    </w:p>
    <w:p w14:paraId="07741C5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（14）法律法规、《基金合同》或中国证监会规定的其他应当召开基金份额持有人大会的事项。</w:t>
      </w:r>
    </w:p>
    <w:p w14:paraId="1B8B5B6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、在法律法规规定和《基金合同》约定的范围内且对基金份额持有人利益无实质性不利影响的前提下，以下情况可由基金管理人和基金托管人协商后修改，不需召开基金份额持有人大会：</w:t>
      </w:r>
    </w:p>
    <w:p w14:paraId="7507176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（1）法律法规要求增加的基金费用的收取；</w:t>
      </w:r>
    </w:p>
    <w:p w14:paraId="365D939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（2）调整本基金的申购费率、变更收费方式或调整基金份额类别设置、对基金份额分类办法及规则进行调整；</w:t>
      </w:r>
    </w:p>
    <w:p w14:paraId="62DA449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（3）因相应的法律法规、深圳证券交易所或者登记机构的相关业务规则发生变动而应当对《基金合同》进行修改；</w:t>
      </w:r>
    </w:p>
    <w:p w14:paraId="4A955A9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（4）对《基金合同》的修改对基金份额持有人利益无实质性不利影响或修改不涉及《基金合同》当事人权利义务关系发生重大变化；</w:t>
      </w:r>
    </w:p>
    <w:p w14:paraId="2D3F76B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（5）基金管理人、相关证券交易所和登记机构等调整有关基金申购、赎回、交易、转托管、非交易过户等业务的规则（包括申购赎回清单的调整、开放时间的调整等）；</w:t>
      </w:r>
    </w:p>
    <w:p w14:paraId="75051DD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（6）经履行相关程序后，基金推出新业务或服务；</w:t>
      </w:r>
    </w:p>
    <w:p w14:paraId="7B46B02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（7）调整基金的申购赎回方式及申购对价、赎回对价组成；调整申购赎回清单的内容，调整申购赎回清单计算和公告时间或频率；</w:t>
      </w:r>
    </w:p>
    <w:p w14:paraId="0CC806A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（8）按照法律法规和《基金合同》规定不需召开基金份额持有人大会的其他情形。</w:t>
      </w:r>
    </w:p>
    <w:p w14:paraId="782BC81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（二）会议召集人及召集方式</w:t>
      </w:r>
    </w:p>
    <w:p w14:paraId="51061B9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、除法律法规规定或《基金合同》另有约定外，基金份额持有人大会由基金管理人召集。</w:t>
      </w:r>
    </w:p>
    <w:p w14:paraId="6051845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、基金管理人未按规定召集或不能召集时，由基金托管人召集。</w:t>
      </w:r>
    </w:p>
    <w:p w14:paraId="079C60E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、基金托管人认为有必要召开基金份额持有人大会的，应当向基金管理人提出书面提议。基金管理人应当自收到书面提议之日起</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 </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3D48F3F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日内召开并告知基金管理人，基金管理人应当配合。</w:t>
      </w:r>
    </w:p>
    <w:p w14:paraId="40C7780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代表基金份额10%以上（含10%）的基金份额持有人就同一事项要求召开基金份额持有人大会，而基金管理人、基金托管人都不召集的，单独或合计代表基金份额10%以上（含10%）的基金份额持有人有权自行召集，并至少提前</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30</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日报中国证监会备案。基金份额持有人依法自行召集基金份额持有人大会的，基金管理人、基金托管人应当配合，不得阻碍、干扰。</w:t>
      </w:r>
    </w:p>
    <w:p w14:paraId="6338D6B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、基金份额持有人会议的召集人负责选择确定开会时间、地点、方式和权益登记日。</w:t>
      </w:r>
    </w:p>
    <w:p w14:paraId="694BECF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（三）召开基金份额持有人大会的通知时间、通知内容、通知方式</w:t>
      </w:r>
    </w:p>
    <w:p w14:paraId="70918BF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、召开基金份额持有人大会，召集人应于会议召开前30日，在规定媒介公告。基金份额持有人大会通知应至少载明以下内容：</w:t>
      </w:r>
    </w:p>
    <w:p w14:paraId="0824A8B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）会议召开的时间、地点和会议形式；</w:t>
      </w:r>
    </w:p>
    <w:p w14:paraId="08D1ED4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）会议拟审议的事项、议事程序和表决方式；</w:t>
      </w:r>
    </w:p>
    <w:p w14:paraId="093B07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）有权出席基金份额持有人大会的基金份额持有人的权益登记日；</w:t>
      </w:r>
    </w:p>
    <w:p w14:paraId="3B2B309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）授权委托证明的内容要求（包括但不限于代理人身份，代理权限和代理有效期限等）、送达时间和地点；</w:t>
      </w:r>
    </w:p>
    <w:p w14:paraId="07E1C26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）会务常设联系人姓名及联系电话；</w:t>
      </w:r>
    </w:p>
    <w:p w14:paraId="0573429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）出席会议者必须准备的文件和必须履行的手续；</w:t>
      </w:r>
    </w:p>
    <w:p w14:paraId="08A65B8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）召集人需要通知的其他事项。</w:t>
      </w:r>
    </w:p>
    <w:p w14:paraId="56835F8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1E0F66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30BBD8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（四）基金份额持有人出席会议的方式</w:t>
      </w:r>
    </w:p>
    <w:p w14:paraId="3724CB8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基金份额持有人大会可通过现场开会方式、通讯开会方式或法律法规、监管机构允许的其他方式召开，会议的召开方式由会议召集人确定。</w:t>
      </w:r>
    </w:p>
    <w:p w14:paraId="741321A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310F43C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4AEA86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B97C6A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2277E53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在同时符合以下条件时，通讯开会的方式视为有效：</w:t>
      </w:r>
    </w:p>
    <w:p w14:paraId="5851FC6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）会议召集人按《基金合同》约定公布会议通知后，在2个工作日内连续公布相关提示性公告；</w:t>
      </w:r>
    </w:p>
    <w:p w14:paraId="6CFFEE0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F0A0CF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）本人直接出具表决意见或授权他人代表出具表决意见的，基金份额持有人所持有的基金份额不小于在权益登记日基金总份额的二分之一（含二分之一）；</w:t>
      </w:r>
    </w:p>
    <w:p w14:paraId="51136BA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DF4C27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）上述第（</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5CAF666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在不违反法律法规或监管机构规定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0507E24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（五）议事内容与程序</w:t>
      </w:r>
    </w:p>
    <w:p w14:paraId="62D3F0A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、议事内容及提案权</w:t>
      </w:r>
    </w:p>
    <w:p w14:paraId="5F34A98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2567332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基金份额持有人大会的召集人发出召集会议的通知后，对原有提案的修改应当在基金份额持有人大会召开前及时公告。</w:t>
      </w:r>
    </w:p>
    <w:p w14:paraId="62B65AB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基金份额持有人大会不得对未事先公告的议事内容进行表决。</w:t>
      </w:r>
    </w:p>
    <w:p w14:paraId="57423ED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、议事程序</w:t>
      </w:r>
    </w:p>
    <w:p w14:paraId="4F5DB12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）现场开会</w:t>
      </w:r>
    </w:p>
    <w:p w14:paraId="68E4629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242B070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会议召集人应当制作出席会议人员的签名册。签名册载明参加会议人员姓名（或单位名称）、身份证明文件号码、持有或代表有表决权的基金份额、委托人姓名（或单位名称）和联系方式等事项。</w:t>
      </w:r>
    </w:p>
    <w:p w14:paraId="7B24514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）通讯开会</w:t>
      </w:r>
    </w:p>
    <w:p w14:paraId="1566912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在通讯开会的情况下，首先由召集人提前30日公布提案，在所通知的表决截止日期后2个工作日内在公证机关监督下由召集人统计全部有效表决，在公证机关监督下形成决议。</w:t>
      </w:r>
    </w:p>
    <w:p w14:paraId="62ACCD7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（六）表决</w:t>
      </w:r>
    </w:p>
    <w:p w14:paraId="1139EBC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基金份额持有人所持每份基金份额有一票表决权。</w:t>
      </w:r>
    </w:p>
    <w:p w14:paraId="5A07978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基金份额持有人大会决议分为一般决议和特别决议：</w:t>
      </w:r>
    </w:p>
    <w:p w14:paraId="212ED88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、一般决议，一般决议须经参加大会的基金份额持有人或其代理人所持表决权的二分之一以上（含二分之一）通过方为有效；除下列第</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项所规定的须以特别决议通过事项以外的其他事项均以一般决议的方式通过。</w:t>
      </w:r>
    </w:p>
    <w:p w14:paraId="4380B61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044788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基金份额持有人大会采取记名方式进行投票表决。</w:t>
      </w:r>
    </w:p>
    <w:p w14:paraId="025155F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573E964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基金份额持有人大会的各项提案或同一项提案内并列的各项议题应当分开审议、逐项表决。</w:t>
      </w:r>
    </w:p>
    <w:p w14:paraId="270E87F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在上述规则的前提下，具体规则以召集人发布的基金份额持有人大会通知为准。</w:t>
      </w:r>
    </w:p>
    <w:p w14:paraId="411AF04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（七）计票</w:t>
      </w:r>
    </w:p>
    <w:p w14:paraId="17C4C46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、现场开会</w:t>
      </w:r>
    </w:p>
    <w:p w14:paraId="6EE9ECE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09D090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）监票人应当在基金份额持有人表决后立即进行清点并由大会主持人当场公布计票结果。</w:t>
      </w:r>
    </w:p>
    <w:p w14:paraId="6A54FA2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48D8FF6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）计票过程应由公证机关予以公证，基金管理人或基金托管人拒不出席大会的，不影响计票的效力。</w:t>
      </w:r>
    </w:p>
    <w:p w14:paraId="55A4260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、通讯开会</w:t>
      </w:r>
    </w:p>
    <w:p w14:paraId="5E321D3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7D6864B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（八）生效与公告</w:t>
      </w:r>
    </w:p>
    <w:p w14:paraId="5A6A89E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基金份额持有人大会的决议，召集人应当自通过之日起5日内报中国证监会备案。</w:t>
      </w:r>
    </w:p>
    <w:p w14:paraId="0D52EC9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基金份额持有人大会的决议自表决通过之日起生效。</w:t>
      </w:r>
    </w:p>
    <w:p w14:paraId="1BD015D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基金份额持有人大会决议自生效之日起按规定在规定媒介上公告。如果采用通讯方式进行表决，在公告基金份额持有人大会决议时，必须将公证书全文、公证机构、公证员姓名等一同公告。</w:t>
      </w:r>
    </w:p>
    <w:p w14:paraId="0937F87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基金管理人、基金托管人和基金份额持有人应当执行生效的基金份额持有人大会的决议。生效的基金份额持有人大会决议对全体基金份额持有人、基金管理人、基金托管人均有约束力。</w:t>
      </w:r>
    </w:p>
    <w:p w14:paraId="24254AC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提前公告后，可直接对本部分内容进行修改和调整，无需召开基金份额持有人大会审议。</w:t>
      </w:r>
    </w:p>
    <w:bookmarkEnd w:id="501"/>
    <w:bookmarkEnd w:id="502"/>
    <w:p w14:paraId="7E693B6D">
      <w:pPr>
        <w:spacing w:line="360" w:lineRule="auto"/>
        <w:rPr>
          <w:rFonts w:hint="eastAsia" w:asciiTheme="minorEastAsia" w:hAnsiTheme="minorEastAsia"/>
          <w:b/>
          <w:sz w:val="24"/>
        </w:rPr>
      </w:pPr>
      <w:r>
        <w:rPr>
          <w:rFonts w:hint="eastAsia" w:asciiTheme="minorEastAsia" w:hAnsiTheme="minorEastAsia"/>
          <w:b/>
          <w:sz w:val="24"/>
        </w:rPr>
        <w:t>三、基金收益分配原则、执行方式</w:t>
      </w:r>
    </w:p>
    <w:p w14:paraId="5D42049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（一）基金收益分配原则</w:t>
      </w:r>
    </w:p>
    <w:p w14:paraId="20A27E22">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1、本基金基金份额的收益分配方式采用现金分红；</w:t>
      </w:r>
    </w:p>
    <w:p w14:paraId="5DBCE251">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2、当收益评价日核定的基金份额净值增长率超过标的指数同期增长率达到0.01%以上时，可进行收益分配；</w:t>
      </w:r>
    </w:p>
    <w:p w14:paraId="294ABFAD">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3、本基金以使收益分配后基金份额净值增长率尽可能贴近标的指数同期增长率为原则进行收益分配。基于本基金的性质和特点，本基金收益分配不须以弥补亏损为前提，收益分配后有可能使除息后的基金份额净值低于面值；</w:t>
      </w:r>
    </w:p>
    <w:p w14:paraId="3206FD75">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4、若《基金合同》生效不满3个月可不进行收益分配；</w:t>
      </w:r>
    </w:p>
    <w:p w14:paraId="73B2B3C0">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5、每一基金份额享有同等分配权；</w:t>
      </w:r>
    </w:p>
    <w:p w14:paraId="0627D2BC">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6、法律法规或监管机关、证券交易所、登记机构另有规定的，从其规定。</w:t>
      </w:r>
    </w:p>
    <w:p w14:paraId="56D7B438">
      <w:pPr>
        <w:adjustRightInd w:val="0"/>
        <w:snapToGrid w:val="0"/>
        <w:spacing w:line="360" w:lineRule="auto"/>
        <w:ind w:firstLine="480" w:firstLineChars="200"/>
        <w:rPr>
          <w:rFonts w:hint="eastAsia" w:ascii="宋体" w:hAnsi="宋体"/>
          <w:color w:val="000000"/>
          <w:sz w:val="24"/>
          <w:szCs w:val="24"/>
          <w14:textFill>
            <w14:solidFill>
              <w14:srgbClr w14:val="000000">
                <w14:lumMod w14:val="95000"/>
                <w14:lumOff w14:val="5000"/>
              </w14:srgbClr>
            </w14:solidFill>
          </w14:textFill>
        </w:rPr>
      </w:pPr>
      <w:r>
        <w:rPr>
          <w:rFonts w:hint="eastAsia" w:ascii="宋体" w:hAnsi="宋体"/>
          <w:color w:val="000000"/>
          <w:sz w:val="24"/>
          <w:szCs w:val="24"/>
          <w14:textFill>
            <w14:solidFill>
              <w14:srgbClr w14:val="000000">
                <w14:lumMod w14:val="95000"/>
                <w14:lumOff w14:val="5000"/>
              </w14:srgbClr>
            </w14:solidFill>
          </w14:textFill>
        </w:rPr>
        <w:t>在不违反法律法规且对基金份额持有人利益无实质性不利影响的前提下，基金管理人经与基金托管人协商一致后可对基金收益分配原则进行调整，并及时公告。</w:t>
      </w:r>
    </w:p>
    <w:p w14:paraId="409646D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（二）基金收益分配比例及金额的确定原则</w:t>
      </w:r>
    </w:p>
    <w:p w14:paraId="6C752F6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1、在收益评价日，基金管理人计算基金份额净值增长率、标的指数同期增长率。</w:t>
      </w:r>
    </w:p>
    <w:p w14:paraId="4B994A7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基金收益评价日本基金相对标的指数的超额收益率＝基金份额净值增长率－标的指数同期增长率。</w:t>
      </w:r>
    </w:p>
    <w:p w14:paraId="01A0772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3367DF4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期间如发生基金份额折算、拆分或合并，则以基金份额折算、经拆分或合并调整后的基金份额折算日为初始日重新计算上述指标。</w:t>
      </w:r>
    </w:p>
    <w:p w14:paraId="0D4119E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收益评价日日期以本基金日后相关公告为准。</w:t>
      </w:r>
    </w:p>
    <w:p w14:paraId="50D23BD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2、根据前述收益分配原则计算截至基金收益评价日本基金的份额可分配收益，并确定收益分配比例。</w:t>
      </w:r>
    </w:p>
    <w:p w14:paraId="0FAD1E9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3、根据前述可分配利润及收益分配比例计算收益分配金额。</w:t>
      </w:r>
    </w:p>
    <w:p w14:paraId="6EBA00E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（三）收益分配方案</w:t>
      </w:r>
    </w:p>
    <w:p w14:paraId="39F814A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基金收益分配方案中应载明基金收益分配对象、分配时间、分配数额及比例、分配方式等内容。</w:t>
      </w:r>
    </w:p>
    <w:p w14:paraId="4EF9DEE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（四）收益分配方案的确定、公告与实施</w:t>
      </w:r>
    </w:p>
    <w:p w14:paraId="3F9855D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本基金收益分配方案由基金管理人拟定，并由基金托管人复核，依照《信息披露办法》的有关规定在规定媒介公告。</w:t>
      </w:r>
    </w:p>
    <w:p w14:paraId="5EEA90C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（五）基金收益分配中发生的费用</w:t>
      </w:r>
    </w:p>
    <w:p w14:paraId="7E87BC7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基金收益分配时所发生的银行转账或其他手续费用由投资者自行承担。</w:t>
      </w:r>
    </w:p>
    <w:p w14:paraId="7A2F4BEC">
      <w:pPr>
        <w:spacing w:line="360" w:lineRule="auto"/>
        <w:rPr>
          <w:rFonts w:hint="eastAsia" w:asciiTheme="minorEastAsia" w:hAnsiTheme="minorEastAsia"/>
          <w:b/>
          <w:sz w:val="24"/>
        </w:rPr>
      </w:pPr>
      <w:r>
        <w:rPr>
          <w:rFonts w:hint="eastAsia" w:asciiTheme="minorEastAsia" w:hAnsiTheme="minorEastAsia"/>
          <w:b/>
          <w:sz w:val="24"/>
        </w:rPr>
        <w:t>四、与基金财产管理、运作有关费用的提取、支付方式与比例</w:t>
      </w:r>
    </w:p>
    <w:p w14:paraId="297E8EB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（一）基金费用的种类</w:t>
      </w:r>
    </w:p>
    <w:p w14:paraId="5AF6328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、基金管理人的管理费；</w:t>
      </w:r>
    </w:p>
    <w:p w14:paraId="0EAC238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、基金托管人的托管费；</w:t>
      </w:r>
    </w:p>
    <w:p w14:paraId="3920EB9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3、基金的证券、期货、期权交易费用；</w:t>
      </w:r>
    </w:p>
    <w:p w14:paraId="7F875DD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4、《基金合同》生效后与基金相关的信息披露费用，但法律法规、中国证监会另有规定的除外；</w:t>
      </w:r>
    </w:p>
    <w:p w14:paraId="47DE327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5、《基金合同》生效后与基金相关的公证费、会计师费、审计费、律师费、仲裁费和诉讼费；</w:t>
      </w:r>
    </w:p>
    <w:p w14:paraId="42A776C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6、基金份额持有人大会费用；</w:t>
      </w:r>
    </w:p>
    <w:p w14:paraId="616287E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7、基金银行汇划费用、账户开户及维护费用、场内注册登记费用、IOPV计算与发布费用、收益分配中发生的费用（银行转账或其他手续费用除外）；</w:t>
      </w:r>
    </w:p>
    <w:p w14:paraId="1F828AA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8、基金上市初费及年费；</w:t>
      </w:r>
    </w:p>
    <w:p w14:paraId="06542BD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9、按照国家有关规定和《基金合同》约定，可以在基金财产中列支的其他费用。</w:t>
      </w:r>
    </w:p>
    <w:p w14:paraId="2AFCA42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（二）基金费用计提方法、计提标准和支付方式</w:t>
      </w:r>
    </w:p>
    <w:p w14:paraId="1BC04C2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1、基金管理人的管理费</w:t>
      </w:r>
    </w:p>
    <w:p w14:paraId="5555F96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本基金的管理费按前一日基金资产净值的0.50%年费率计提。管理费的计算方法如下：</w:t>
      </w:r>
    </w:p>
    <w:p w14:paraId="10086A8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H＝E×0.50%÷当年天数</w:t>
      </w:r>
    </w:p>
    <w:p w14:paraId="25C52E1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H为每日应计提的基金管理费</w:t>
      </w:r>
    </w:p>
    <w:p w14:paraId="7E843B7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E为前一日的基金资产净值</w:t>
      </w:r>
    </w:p>
    <w:p w14:paraId="20E1785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费每日计提，按月支付。基金管理人与基金托管人双方核对无误后，基金托管人按照与基金管理人协商一致的方式于次月首日起5个工作日内从基金财产中一次性支付给基金管理人。若遇法定节假日、公休假或不可抗力等致使无法按时支付的，支付日期顺延至最近一个工作日 。</w:t>
      </w:r>
    </w:p>
    <w:p w14:paraId="48CF31F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2、基金托管人的托管费</w:t>
      </w:r>
    </w:p>
    <w:p w14:paraId="37562F7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本基金的托管费按前一日基金资产净值的0.10%年费率计提。托管费的计算方法如下：</w:t>
      </w:r>
    </w:p>
    <w:p w14:paraId="3849D4D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H＝E×0.10%÷当年天数</w:t>
      </w:r>
    </w:p>
    <w:p w14:paraId="3C2E2E4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H为每日应计提的基金托管费</w:t>
      </w:r>
    </w:p>
    <w:p w14:paraId="54C3C3C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E为前一日的基金资产净值</w:t>
      </w:r>
    </w:p>
    <w:p w14:paraId="326CE27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费每日计提，按月支付。基金管理人与基金托管人双方核对无误后，基金托管人按照与基金管理人协商一致的方式于次月首日起5个工作日内从基金财产中一次性支取。若遇法定节假日、公休假或不可抗力等致使无法按时支付的，支付日期顺延至最近一个工作日 。</w:t>
      </w:r>
    </w:p>
    <w:p w14:paraId="08B3A0B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上述“（一）基金费用的种类”中第3－9项费用，根据有关法规及相应协议规定，按费用实际支出金额列入当期费用，由基金托管人从基金财产中支付。</w:t>
      </w:r>
    </w:p>
    <w:p w14:paraId="0434DA4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（三）不列入基金费用的项目</w:t>
      </w:r>
    </w:p>
    <w:p w14:paraId="77C815E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1、基金管理人和基金托管人因未履行或未完全履行义务导致的费用支出或基金财产的损失；</w:t>
      </w:r>
    </w:p>
    <w:p w14:paraId="18ED457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2、基金管理人和基金托管人处理与基金运作无关的事项发生的费用；</w:t>
      </w:r>
    </w:p>
    <w:p w14:paraId="66BB537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3、《基金合同》生效前的相关费用；</w:t>
      </w:r>
    </w:p>
    <w:p w14:paraId="776234D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4、指数许可使用费；</w:t>
      </w:r>
    </w:p>
    <w:p w14:paraId="5DFB02CF">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5、其他根据相关法律法规及中国证监会的有关规定不得列入基金费用的项目。</w:t>
      </w:r>
    </w:p>
    <w:p w14:paraId="4C1CBB7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（四）基金税收</w:t>
      </w:r>
    </w:p>
    <w:p w14:paraId="4E7A4759">
      <w:pPr>
        <w:spacing w:line="360" w:lineRule="auto"/>
        <w:ind w:firstLine="480" w:firstLineChars="200"/>
        <w:rPr>
          <w:rFonts w:hint="eastAsia" w:asciiTheme="minorEastAsia" w:hAnsiTheme="minorEastAsia"/>
          <w:b/>
          <w:sz w:val="24"/>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4B006EE1">
      <w:pPr>
        <w:spacing w:line="360" w:lineRule="auto"/>
        <w:rPr>
          <w:rFonts w:hint="eastAsia" w:asciiTheme="minorEastAsia" w:hAnsiTheme="minorEastAsia"/>
          <w:b/>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b/>
          <w:color w:val="0D0D0D" w:themeColor="text1" w:themeTint="F2"/>
          <w:sz w:val="24"/>
          <w14:textFill>
            <w14:solidFill>
              <w14:schemeClr w14:val="tx1">
                <w14:lumMod w14:val="95000"/>
                <w14:lumOff w14:val="5000"/>
              </w14:schemeClr>
            </w14:solidFill>
          </w14:textFill>
        </w:rPr>
        <w:t>五、基金资产的投资范围和投资限制</w:t>
      </w:r>
    </w:p>
    <w:p w14:paraId="0A1C39FC">
      <w:pPr>
        <w:spacing w:line="360" w:lineRule="auto"/>
        <w:ind w:firstLine="480" w:firstLineChars="200"/>
        <w:rPr>
          <w:rFonts w:hint="eastAsia"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（一）投资</w:t>
      </w:r>
      <w:r>
        <w:rPr>
          <w:rFonts w:asciiTheme="minorEastAsia" w:hAnsiTheme="minorEastAsia"/>
          <w:color w:val="0D0D0D" w:themeColor="text1" w:themeTint="F2"/>
          <w:sz w:val="24"/>
          <w14:textFill>
            <w14:solidFill>
              <w14:schemeClr w14:val="tx1">
                <w14:lumMod w14:val="95000"/>
                <w14:lumOff w14:val="5000"/>
              </w14:schemeClr>
            </w14:solidFill>
          </w14:textFill>
        </w:rPr>
        <w:t>范围</w:t>
      </w:r>
    </w:p>
    <w:p w14:paraId="15A3AC9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bookmarkStart w:id="503" w:name="OLE_LINK8"/>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本基金主要投资于标的指数成份股和备选成份股(含存托凭证)。</w:t>
      </w:r>
    </w:p>
    <w:p w14:paraId="3A83F97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更好地实现基金的投资目标，本基金可能会少量投资于依法发行上市的非成份股（包括创业板及其他经中国证监会核准或注册上市的股票和存托凭证）、债券（包括国债、金融债、地方政府债、政府支持机构债券、政府支持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37BB6EB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本基金可根据法律法规的规定参与融资和转融通证券出借业务。未来在法律法规允许的前提下，本基金可根据相关法律法规规定参与融券业务。</w:t>
      </w:r>
    </w:p>
    <w:p w14:paraId="4EDB19A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p w14:paraId="57975B2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5FBBCAF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若法律法规的相关规定发生变更或监管机构允许，本基金管理人在履行适当程序并与基金托管人协商一致后，可对上述资产配置比例进行调整。</w:t>
      </w:r>
    </w:p>
    <w:bookmarkEnd w:id="503"/>
    <w:p w14:paraId="3F8137B7">
      <w:pPr>
        <w:spacing w:line="360" w:lineRule="auto"/>
        <w:ind w:firstLine="480" w:firstLineChars="200"/>
        <w:rPr>
          <w:rFonts w:hint="eastAsia" w:asciiTheme="minorEastAsia" w:hAnsiTheme="minorEastAsia"/>
          <w:color w:val="0D0D0D" w:themeColor="text1" w:themeTint="F2"/>
          <w:sz w:val="24"/>
          <w14:textFill>
            <w14:solidFill>
              <w14:schemeClr w14:val="tx1">
                <w14:lumMod w14:val="95000"/>
                <w14:lumOff w14:val="5000"/>
              </w14:schemeClr>
            </w14:solidFill>
          </w14:textFill>
        </w:rPr>
      </w:pPr>
      <w:r>
        <w:rPr>
          <w:rFonts w:hint="eastAsia" w:asciiTheme="minorEastAsia" w:hAnsiTheme="minorEastAsia"/>
          <w:color w:val="0D0D0D" w:themeColor="text1" w:themeTint="F2"/>
          <w:sz w:val="24"/>
          <w14:textFill>
            <w14:solidFill>
              <w14:schemeClr w14:val="tx1">
                <w14:lumMod w14:val="95000"/>
                <w14:lumOff w14:val="5000"/>
              </w14:schemeClr>
            </w14:solidFill>
          </w14:textFill>
        </w:rPr>
        <w:t>（二）投资组合限制</w:t>
      </w:r>
    </w:p>
    <w:p w14:paraId="5D76753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1、组合限制 </w:t>
      </w:r>
    </w:p>
    <w:p w14:paraId="466C521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基金的投资组合应遵循以下限制： </w:t>
      </w:r>
    </w:p>
    <w:p w14:paraId="48AE95A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（1）本基金投资于标的指数成份股和备选成份股（含存托凭证）的资产比例不低于基金资产净值的90%，且不低于非现金基金资产的80%； </w:t>
      </w:r>
    </w:p>
    <w:p w14:paraId="70D0B36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（2）每个交易日日终在扣除股指期货、股票期权和国债期货合约需缴纳的交易保证金后，本基金应当保持不低于交易保证金一倍的现金，其中现金不包括结算备付金、存出保证金和应收申购款等； </w:t>
      </w:r>
    </w:p>
    <w:p w14:paraId="5D92A94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（3）本基金参与股指期货和国债期货交易，需遵守下列投资比例限制： </w:t>
      </w:r>
    </w:p>
    <w:p w14:paraId="5E17C3F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1）本基金在任何交易日日终，持有的买入股指期货合约价值，不得超过基金资产净值的10%；在任何交易日日终，持有的买入国债期货合约价值，不得超过基金资产净值的15%； </w:t>
      </w:r>
    </w:p>
    <w:p w14:paraId="1C003D5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本基金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496AA9A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3）本基金在任何交易日日终，持有的卖出股指期货合约价值不得超过基金持有的股票总市值的20%；在任何交易日日终，持有的卖出国债期货合约价值不得超过基金持有的债券总市值的30%； </w:t>
      </w:r>
    </w:p>
    <w:p w14:paraId="396675D8">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061EC9B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 </w:t>
      </w:r>
    </w:p>
    <w:p w14:paraId="0851C3B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（4）本基金投资于同一原始权益人的各类资产支持证券的比例，不得超过基金资产净值的10％； </w:t>
      </w:r>
    </w:p>
    <w:p w14:paraId="24E07AE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（5）本基金持有的全部资产支持证券，其市值不得超过基金资产净值的20％； </w:t>
      </w:r>
    </w:p>
    <w:p w14:paraId="2F5056A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（6）本基金持有的同一(指同一信用级别)资产支持证券的比例，不得超过该资产支持证券规模的10％； </w:t>
      </w:r>
    </w:p>
    <w:p w14:paraId="79E2221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（7）本基金管理人管理的全部基金投资于同一原始权益人的各类资产支持证券，不得超过其各类资产支持证券合计规模的10％； </w:t>
      </w:r>
    </w:p>
    <w:p w14:paraId="6DE239E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（8）本基金应投资于信用级别评级为BBB以上(含BBB)的资产支持证券。基金持有资产支持证券期间，如果其信用等级下降、不再符合投资标准，应在评级报告发布之日起3个月内予以全部卖出； </w:t>
      </w:r>
    </w:p>
    <w:p w14:paraId="2E630EE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（9）基金财产参与股票发行申购，本基金所申报的金额不超过本基金的总资产，本基金所申报的股票数量不超过拟发行股票公司本次发行股票的总量； </w:t>
      </w:r>
    </w:p>
    <w:p w14:paraId="2815420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（10）本基金参与融资的，在任何交易日日终，本基金持有的融资买入股票与其他有价证券市值之和，不得超过基金资产净值的95%； </w:t>
      </w:r>
    </w:p>
    <w:p w14:paraId="4CAB669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（11）本基金参与转融通证券出借业务，需遵守下列投资限制： </w:t>
      </w:r>
    </w:p>
    <w:p w14:paraId="0085E9A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1）出借证券资产不得超过基金资产净值的30%，出借期限在10个交易日以上的出借证券应纳入《流动性风险管理规定》所述流动性受限证券的范围； </w:t>
      </w:r>
    </w:p>
    <w:p w14:paraId="399C2AA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2）参与出借业务的单只证券不得超过本基金持有该证券总量的30%； </w:t>
      </w:r>
    </w:p>
    <w:p w14:paraId="356ED63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3）最近6个月内日均基金资产净值不得低于2亿元； </w:t>
      </w:r>
    </w:p>
    <w:p w14:paraId="2155D5E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4）证券出借的平均剩余期限不得超过30天，平均剩余期限按照市值加权平均计算； </w:t>
      </w:r>
    </w:p>
    <w:p w14:paraId="15D3AB5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因证券、期货市场波动、证券发行人合并、基金规模变动等基金管理人之外的因素致使基金投资不符合上述规定的，基金管理人不得新增出借业务； </w:t>
      </w:r>
    </w:p>
    <w:p w14:paraId="0F07504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（12）本基金投资股票期权应当符合以下要求： </w:t>
      </w:r>
    </w:p>
    <w:p w14:paraId="22343F0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  </w:t>
      </w:r>
    </w:p>
    <w:p w14:paraId="3980D3E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62D0676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（14）基金管理人承诺本基金与私募类证券资管产品及中国证监会认定的其他主体为交易对手开展逆回购交易的，可接受质押品的资质要求应当与本基金合同约定的投资范围保持一致； </w:t>
      </w:r>
    </w:p>
    <w:p w14:paraId="4575A50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（15）本基金资产总值不得超过基金资产净值的140%； </w:t>
      </w:r>
    </w:p>
    <w:p w14:paraId="2098744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（16）本基金投资存托凭证的比例限制依照境内上市交易的股票执行； </w:t>
      </w:r>
    </w:p>
    <w:p w14:paraId="49EBCAD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（17）法律法规及中国证监会规定的和《基金合同》约定的其他投资限制。 </w:t>
      </w:r>
    </w:p>
    <w:p w14:paraId="5C5A1F0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除上述（2）、（8）、（11）、（13）、（14）情形之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78E94AF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基金托管人不因提供监督而对基金管理人的违法违规、违反基金合同约定投资等承担责任。  </w:t>
      </w:r>
    </w:p>
    <w:p w14:paraId="3354AAD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 xml:space="preserve">法律法规或监管部门取消或调整上述限制，如适用于本基金，基金管理人在与基金托管人协商一致并履行适当程序后，则本基金投资不再受相关限制或按照调整后的规定执行。 </w:t>
      </w:r>
    </w:p>
    <w:p w14:paraId="1F0BA57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、禁止行为</w:t>
      </w:r>
    </w:p>
    <w:p w14:paraId="21742F63">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为维护基金份额持有人的合法权益，基金财产不得用于下列投资或者活动：</w:t>
      </w:r>
    </w:p>
    <w:p w14:paraId="213944A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）承销证券；</w:t>
      </w:r>
    </w:p>
    <w:p w14:paraId="60C428E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违反规定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向他人贷款或者提供担保；</w:t>
      </w:r>
    </w:p>
    <w:p w14:paraId="79F99C8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（3）从事承担无限责任的投资；</w:t>
      </w:r>
    </w:p>
    <w:p w14:paraId="5039BAA0">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（4）买卖其他基金份额，但是</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中国证监会</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另有规定的除外；</w:t>
      </w:r>
    </w:p>
    <w:p w14:paraId="072B2957">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（5）向</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其基金管理人、基金托管人</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出资</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6D9267C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6）从事内幕交易、操纵证券交易价格及其他不正当的证券交易活动；</w:t>
      </w:r>
    </w:p>
    <w:p w14:paraId="62EC41D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法律、行政法规和中国证监会规定禁止的其他活动。</w:t>
      </w:r>
    </w:p>
    <w:p w14:paraId="0C1EFB2A">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基金托管人不对基金管理人的违法违规投资等上述事项和由此造成的损失承担责任。</w:t>
      </w:r>
    </w:p>
    <w:p w14:paraId="0641DA2C">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法律</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、行政</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法规或监管部门取消</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或调整</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上述限制，如适用于本基金，</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基金管理人在履行适当程序并与基金托管人协商一致后，</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则本基金投资不再受相关限制</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或按照调整后的规定执行</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580E328C">
      <w:pPr>
        <w:snapToGrid w:val="0"/>
        <w:spacing w:line="360" w:lineRule="auto"/>
        <w:ind w:firstLine="482" w:firstLineChars="200"/>
        <w:rPr>
          <w:rFonts w:hint="eastAsia" w:asciiTheme="minorEastAsia" w:hAnsiTheme="minorEastAsia"/>
          <w:b/>
          <w:sz w:val="24"/>
        </w:rPr>
      </w:pPr>
      <w:r>
        <w:rPr>
          <w:rFonts w:hint="eastAsia" w:asciiTheme="minorEastAsia" w:hAnsiTheme="minorEastAsia"/>
          <w:b/>
          <w:sz w:val="24"/>
        </w:rPr>
        <w:t>六、基金资产净值的计算方法和公告方式</w:t>
      </w:r>
    </w:p>
    <w:p w14:paraId="1B7FD77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（一）基金资产净值的计算方式</w:t>
      </w:r>
    </w:p>
    <w:p w14:paraId="2386822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交易所上市或挂牌转让的有价证券（包括股票等，本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74F2F0E1">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2、对于已上市或已挂牌转让的不含权固定收益品种，选取估值日第三方估值基准服务机构提供的相应品种当日的估值全价进行估值。</w:t>
      </w:r>
    </w:p>
    <w:p w14:paraId="471E6C5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3、对于已上市或已挂牌转让的含权固定收益品种，选取估值日第三方估值基准服务机构提供的相应品种当日的唯一估值全价或推荐估值全价进行估值。</w:t>
      </w:r>
    </w:p>
    <w:p w14:paraId="7456AD1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25F3A5A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12650922">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5、对于未上市或未挂牌转让且不存在活跃市场的固定收益品种，应采用在当前情况下适用并且有足够可利用数据和其他信息支持的估值技术确定其公允价值。</w:t>
      </w:r>
    </w:p>
    <w:p w14:paraId="2A09569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6、处于未上市期间的有价证券应区分如下情况处理：</w:t>
      </w:r>
    </w:p>
    <w:p w14:paraId="0B6AE42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357B0514">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（2）首次公开发行未上市的股票，采用估值技术确定公允价值；</w:t>
      </w:r>
    </w:p>
    <w:p w14:paraId="71A4A7FB">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37242AFE">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7、本基金投资存托凭证的估值核算，依照境内上市交易的股票执行。</w:t>
      </w:r>
    </w:p>
    <w:p w14:paraId="203FA295">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8、同一证券同时在两个或两个以上市场交易的，按证券所处的市场分别估值。</w:t>
      </w:r>
    </w:p>
    <w:p w14:paraId="13A605AD">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63B926D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10、本基金投资股票期权，根据相关法律法规以及监管部门的规定估值。</w:t>
      </w:r>
    </w:p>
    <w:p w14:paraId="68BAEB6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11、本基金参与融资及转融通证券出借业务的，应参照法律法规及行业协会的相关规定进行估值。</w:t>
      </w:r>
    </w:p>
    <w:p w14:paraId="6BC73DE9">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2</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、银行存款、回购等固定收益工具按照约定利率在持有期内逐日确认利息收入，在利息到账日以实收利息入账。</w:t>
      </w:r>
    </w:p>
    <w:p w14:paraId="658F44E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3</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、如有确凿证据表明按上述方法进行估值不能客观反映其公允价值的，基金管理人可根据具体情况与基金托管人商定后，按最能反映公允价值的方法估值。</w:t>
      </w:r>
    </w:p>
    <w:p w14:paraId="76DF8926">
      <w:pPr>
        <w:adjustRightInd w:val="0"/>
        <w:snapToGrid w:val="0"/>
        <w:spacing w:line="360" w:lineRule="auto"/>
        <w:ind w:firstLine="480" w:firstLineChars="200"/>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1</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4</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相关法律法规以及监管部门有强制规定的，从其规定。如有新增事项，按国家最新规定估值。如基金管理人或基金托管人发现基金估值违反基金合同订明的估值方法、程序及相关法律法规的规定或者未能充分维护基金份额持有人利益时，应立即通知对方，共同查明原因，双方协商解决。</w:t>
      </w:r>
    </w:p>
    <w:p w14:paraId="1DCD110E">
      <w:pPr>
        <w:widowControl/>
        <w:adjustRightInd w:val="0"/>
        <w:snapToGrid w:val="0"/>
        <w:spacing w:line="360" w:lineRule="auto"/>
        <w:ind w:firstLine="480" w:firstLineChars="200"/>
        <w:jc w:val="left"/>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pP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r>
        <w:rPr>
          <w:rFonts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，基金托管人不承担由此引致的任何责任和损失</w:t>
      </w:r>
      <w:r>
        <w:rPr>
          <w:rFonts w:hint="eastAsia" w:asciiTheme="minorEastAsia" w:hAnsiTheme="minorEastAsia" w:eastAsiaTheme="minorEastAsia"/>
          <w:color w:val="0D0D0D" w:themeColor="text1" w:themeTint="F2"/>
          <w:sz w:val="24"/>
          <w:szCs w:val="24"/>
          <w14:textFill>
            <w14:solidFill>
              <w14:schemeClr w14:val="tx1">
                <w14:lumMod w14:val="95000"/>
                <w14:lumOff w14:val="5000"/>
              </w14:schemeClr>
            </w14:solidFill>
          </w14:textFill>
        </w:rPr>
        <w:t>。</w:t>
      </w:r>
    </w:p>
    <w:p w14:paraId="7F608C3E">
      <w:pPr>
        <w:widowControl/>
        <w:adjustRightInd w:val="0"/>
        <w:snapToGrid w:val="0"/>
        <w:spacing w:line="360" w:lineRule="auto"/>
        <w:ind w:firstLine="480" w:firstLineChars="200"/>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（二）基金净值信息</w:t>
      </w:r>
    </w:p>
    <w:p w14:paraId="00D5F14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《基金合同》生效后，在基金份额上市交易或者开始办理基金份额申购或者赎回前，基金管理人应当至少每周在规定网站披露一次基金份额净值和基金份额累计净值。</w:t>
      </w:r>
    </w:p>
    <w:p w14:paraId="223F54D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在基金份额上市交易或者开始办理基金份额申购或者赎回后，基金管理人应当在不晚于每个开放日的次日，通过规定网站、基金销售机构网站或者营业网点披露开放日的基金份额净值和基金份额累计净值。</w:t>
      </w:r>
    </w:p>
    <w:p w14:paraId="4874E8A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基金管理人应当在不晚于半年度和年度最后一日的次日，在规定网站披露半年度和年度最后一日的基金份额净值和基金份额累计净值。</w:t>
      </w:r>
    </w:p>
    <w:p w14:paraId="6687751B">
      <w:pPr>
        <w:snapToGrid w:val="0"/>
        <w:spacing w:line="360" w:lineRule="auto"/>
        <w:ind w:firstLine="482" w:firstLineChars="200"/>
        <w:rPr>
          <w:rFonts w:hint="eastAsia" w:asciiTheme="minorEastAsia" w:hAnsiTheme="minorEastAsia"/>
          <w:b/>
          <w:sz w:val="24"/>
        </w:rPr>
      </w:pPr>
      <w:r>
        <w:rPr>
          <w:rFonts w:hint="eastAsia" w:asciiTheme="minorEastAsia" w:hAnsiTheme="minorEastAsia"/>
          <w:b/>
          <w:sz w:val="24"/>
        </w:rPr>
        <w:t>七、</w:t>
      </w:r>
      <w:r>
        <w:rPr>
          <w:rFonts w:asciiTheme="minorEastAsia" w:hAnsiTheme="minorEastAsia"/>
          <w:b/>
          <w:sz w:val="24"/>
        </w:rPr>
        <w:t>基金合同的变更、终止与基金财产的清算</w:t>
      </w:r>
    </w:p>
    <w:p w14:paraId="29A361D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（一）《基金合同》的变更</w:t>
      </w:r>
    </w:p>
    <w:p w14:paraId="0094F2A4">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0AE3116A">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、关于《基金合同》变更的基金份额持有人大会决议自生效后方可执行，自决议生效后按规定在规定媒介公告。</w:t>
      </w:r>
    </w:p>
    <w:p w14:paraId="0B78133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（二）《基金合同》的终止事由</w:t>
      </w:r>
    </w:p>
    <w:p w14:paraId="798D2499">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有下列情形之一的，经履行相关程序后，《基金合同》应当终止：</w:t>
      </w:r>
    </w:p>
    <w:p w14:paraId="77F552C6">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、基金份额持有人大会决定终止的；</w:t>
      </w:r>
    </w:p>
    <w:p w14:paraId="3D850AB9">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、基金管理人、基金托管人职责终止，在</w:t>
      </w:r>
      <w:r>
        <w:rPr>
          <w:rFonts w:asciiTheme="minorEastAsia" w:hAnsiTheme="minorEastAsia" w:eastAsiaTheme="minorEastAsia"/>
          <w:sz w:val="24"/>
          <w:szCs w:val="24"/>
        </w:rPr>
        <w:t>6</w:t>
      </w:r>
      <w:r>
        <w:rPr>
          <w:rFonts w:hint="eastAsia" w:asciiTheme="minorEastAsia" w:hAnsiTheme="minorEastAsia" w:eastAsiaTheme="minorEastAsia"/>
          <w:sz w:val="24"/>
          <w:szCs w:val="24"/>
        </w:rPr>
        <w:t>个月内没有新基金管理人、新基金托管人承接的；</w:t>
      </w:r>
    </w:p>
    <w:p w14:paraId="02ABB02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rPr>
        <w:t>3、</w:t>
      </w:r>
      <w:r>
        <w:rPr>
          <w:rFonts w:hint="eastAsia" w:asciiTheme="minorEastAsia" w:hAnsiTheme="minorEastAsia" w:eastAsiaTheme="minorEastAsia"/>
          <w:sz w:val="24"/>
          <w:szCs w:val="24"/>
        </w:rPr>
        <w:t>《基金合同》约定的其他情形；</w:t>
      </w:r>
    </w:p>
    <w:p w14:paraId="38BF83F4">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、相关法律法规和中国证监会规定的其他情况。</w:t>
      </w:r>
    </w:p>
    <w:p w14:paraId="2819B6F6">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（三）基金财产的清算</w:t>
      </w:r>
    </w:p>
    <w:p w14:paraId="7311225B">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、基金财产清算小组：自出现《基金合同》终止事由之日起</w:t>
      </w:r>
      <w:r>
        <w:rPr>
          <w:rFonts w:asciiTheme="minorEastAsia" w:hAnsiTheme="minorEastAsia" w:eastAsiaTheme="minorEastAsia"/>
          <w:sz w:val="24"/>
          <w:szCs w:val="24"/>
        </w:rPr>
        <w:t>30</w:t>
      </w:r>
      <w:r>
        <w:rPr>
          <w:rFonts w:hint="eastAsia" w:asciiTheme="minorEastAsia" w:hAnsiTheme="minorEastAsia" w:eastAsiaTheme="minorEastAsia"/>
          <w:sz w:val="24"/>
          <w:szCs w:val="24"/>
        </w:rPr>
        <w:t>个工作日内成立基金财产清算小组，基金管理人组织基金财产清算小组并在中国证监会的监督下进行基金清算。</w:t>
      </w:r>
    </w:p>
    <w:p w14:paraId="0328793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2、在基金财产清算小组接管基金财产之前，基金管理人和基金托管人应按照《基金合同》和托管协议的规定继续履行保护基金财产安全的职责。</w:t>
      </w:r>
    </w:p>
    <w:p w14:paraId="0835E331">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3</w:t>
      </w:r>
      <w:r>
        <w:rPr>
          <w:rFonts w:hint="eastAsia" w:asciiTheme="minorEastAsia" w:hAnsiTheme="minorEastAsia" w:eastAsiaTheme="minorEastAsia"/>
          <w:sz w:val="24"/>
          <w:szCs w:val="24"/>
        </w:rPr>
        <w:t>、基金财产清算小组组成：基金财产清算小组成员由基金管理人、基金托管人、符合《中华人民共和国证券法》规定的注册会计师、律师以及中国证监会指定的人员组成。基金财产清算小组可以聘用必要的工作人员。</w:t>
      </w:r>
    </w:p>
    <w:p w14:paraId="5E382E05">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4</w:t>
      </w:r>
      <w:r>
        <w:rPr>
          <w:rFonts w:hint="eastAsia" w:asciiTheme="minorEastAsia" w:hAnsiTheme="minorEastAsia" w:eastAsiaTheme="minorEastAsia"/>
          <w:sz w:val="24"/>
          <w:szCs w:val="24"/>
        </w:rPr>
        <w:t>、基金财产清算小组职责：基金财产清算小组负责基金财产的保管、清理、估价、变现和分配。基金财产清算小组可以依法进行必要的民事活动。</w:t>
      </w:r>
    </w:p>
    <w:p w14:paraId="4E317236">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5</w:t>
      </w:r>
      <w:r>
        <w:rPr>
          <w:rFonts w:hint="eastAsia" w:asciiTheme="minorEastAsia" w:hAnsiTheme="minorEastAsia" w:eastAsiaTheme="minorEastAsia"/>
          <w:sz w:val="24"/>
          <w:szCs w:val="24"/>
        </w:rPr>
        <w:t>、基金财产清算程序：</w:t>
      </w:r>
    </w:p>
    <w:p w14:paraId="27EA3084">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）《基金合同》终止情形出现时，由基金财产清算小组统一接管基金；</w:t>
      </w:r>
    </w:p>
    <w:p w14:paraId="25F2A8E1">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）对基金财产和债权债务进行清理和确认；</w:t>
      </w:r>
    </w:p>
    <w:p w14:paraId="3C1BADD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3</w:t>
      </w:r>
      <w:r>
        <w:rPr>
          <w:rFonts w:hint="eastAsia" w:asciiTheme="minorEastAsia" w:hAnsiTheme="minorEastAsia" w:eastAsiaTheme="minorEastAsia"/>
          <w:sz w:val="24"/>
          <w:szCs w:val="24"/>
        </w:rPr>
        <w:t>）对基金财产进行估值和变现；</w:t>
      </w:r>
    </w:p>
    <w:p w14:paraId="0AB41B7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）制作清算报告；</w:t>
      </w:r>
    </w:p>
    <w:p w14:paraId="3151B394">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）聘请会计师事务所对清算报告进行外部审计，聘请律师事务所对清算报告出具法律意见书；</w:t>
      </w:r>
    </w:p>
    <w:p w14:paraId="43028CF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6</w:t>
      </w:r>
      <w:r>
        <w:rPr>
          <w:rFonts w:hint="eastAsia" w:asciiTheme="minorEastAsia" w:hAnsiTheme="minorEastAsia" w:eastAsiaTheme="minorEastAsia"/>
          <w:sz w:val="24"/>
          <w:szCs w:val="24"/>
        </w:rPr>
        <w:t>）将清算报告报中国证监会备案并公告；</w:t>
      </w:r>
    </w:p>
    <w:p w14:paraId="2F8C02C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7</w:t>
      </w:r>
      <w:r>
        <w:rPr>
          <w:rFonts w:hint="eastAsia" w:asciiTheme="minorEastAsia" w:hAnsiTheme="minorEastAsia" w:eastAsiaTheme="minorEastAsia"/>
          <w:sz w:val="24"/>
          <w:szCs w:val="24"/>
        </w:rPr>
        <w:t>）对基金剩余财产进行分配。</w:t>
      </w:r>
    </w:p>
    <w:p w14:paraId="7E6EF7DD">
      <w:pPr>
        <w:snapToGrid w:val="0"/>
        <w:spacing w:line="360" w:lineRule="auto"/>
        <w:ind w:firstLine="480" w:firstLineChars="200"/>
        <w:rPr>
          <w:rFonts w:hint="eastAsia" w:asciiTheme="minorEastAsia" w:hAnsiTheme="minorEastAsia" w:eastAsiaTheme="minorEastAsia"/>
          <w:sz w:val="24"/>
          <w:szCs w:val="24"/>
        </w:rPr>
      </w:pPr>
      <w:r>
        <w:rPr>
          <w:rFonts w:asciiTheme="minorEastAsia" w:hAnsiTheme="minorEastAsia" w:eastAsiaTheme="minorEastAsia"/>
          <w:sz w:val="24"/>
          <w:szCs w:val="24"/>
        </w:rPr>
        <w:t>6</w:t>
      </w:r>
      <w:r>
        <w:rPr>
          <w:rFonts w:hint="eastAsia" w:asciiTheme="minorEastAsia" w:hAnsiTheme="minorEastAsia" w:eastAsiaTheme="minorEastAsia"/>
          <w:sz w:val="24"/>
          <w:szCs w:val="24"/>
        </w:rPr>
        <w:t>、基金财产清算的期限为6个月，但因本基金所持证券的流动性受到限制而不能及时变现的，清算期限相应顺延。</w:t>
      </w:r>
    </w:p>
    <w:p w14:paraId="62B84C4E">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（四）清算费用</w:t>
      </w:r>
    </w:p>
    <w:p w14:paraId="1AE6E70F">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清算费用是指基金财产清算小组在进行基金财产清算过程中发生的所有合理费用，清算费用由基金财产清算小组优先从基金剩余财产中支付。</w:t>
      </w:r>
    </w:p>
    <w:p w14:paraId="5595DE0B">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（五）基金财产清算剩余资产的分配</w:t>
      </w:r>
    </w:p>
    <w:p w14:paraId="430682E3">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依据基金财产清算的分配方案，将基金财产清算后的全部剩余资产扣除基金财产清算费用、交纳所欠税款并清偿基金债务后，按基金份额持有人持有的基金份额比例进行分配。</w:t>
      </w:r>
    </w:p>
    <w:p w14:paraId="03EDA3A4">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（六）基金财产清算的公告</w:t>
      </w:r>
    </w:p>
    <w:p w14:paraId="1ED95E7C">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94E3205">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（七）基金财产清算账册及文件的保存</w:t>
      </w:r>
    </w:p>
    <w:p w14:paraId="43820BEA">
      <w:pPr>
        <w:snapToGrid w:val="0"/>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基金财产清算账册及有关文件由基金托管人保存，保存期限不低于法定最低期限。</w:t>
      </w:r>
    </w:p>
    <w:p w14:paraId="40E6266B">
      <w:pPr>
        <w:snapToGrid w:val="0"/>
        <w:spacing w:line="360" w:lineRule="auto"/>
        <w:ind w:firstLine="482" w:firstLineChars="200"/>
        <w:rPr>
          <w:rFonts w:hint="eastAsia" w:asciiTheme="minorEastAsia" w:hAnsiTheme="minorEastAsia"/>
          <w:b/>
          <w:sz w:val="24"/>
        </w:rPr>
      </w:pPr>
      <w:r>
        <w:rPr>
          <w:rFonts w:hint="eastAsia" w:asciiTheme="minorEastAsia" w:hAnsiTheme="minorEastAsia"/>
          <w:b/>
          <w:sz w:val="24"/>
        </w:rPr>
        <w:t>八、争议的处理</w:t>
      </w:r>
    </w:p>
    <w:p w14:paraId="79FED2B7">
      <w:pPr>
        <w:adjustRightInd w:val="0"/>
        <w:snapToGrid w:val="0"/>
        <w:spacing w:line="360" w:lineRule="auto"/>
        <w:ind w:firstLine="420"/>
        <w:rPr>
          <w:rFonts w:hint="eastAsia" w:asciiTheme="minorEastAsia" w:hAnsiTheme="minorEastAsia" w:eastAsiaTheme="minorEastAsia"/>
          <w:b/>
          <w:i/>
          <w:sz w:val="24"/>
          <w:szCs w:val="24"/>
        </w:rPr>
      </w:pPr>
      <w:r>
        <w:rPr>
          <w:rFonts w:hint="eastAsia" w:asciiTheme="minorEastAsia" w:hAnsiTheme="minorEastAsia" w:eastAsiaTheme="minorEastAsia"/>
          <w:b/>
          <w:i/>
          <w:sz w:val="24"/>
          <w:szCs w:val="24"/>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用由败诉方承担。</w:t>
      </w:r>
    </w:p>
    <w:p w14:paraId="162C4F3F">
      <w:pPr>
        <w:adjustRightInd w:val="0"/>
        <w:snapToGrid w:val="0"/>
        <w:spacing w:line="360" w:lineRule="auto"/>
        <w:ind w:firstLine="420"/>
        <w:rPr>
          <w:rFonts w:hint="eastAsia" w:asciiTheme="minorEastAsia" w:hAnsiTheme="minorEastAsia" w:eastAsiaTheme="minorEastAsia"/>
          <w:b/>
          <w:i/>
          <w:sz w:val="24"/>
          <w:szCs w:val="24"/>
        </w:rPr>
      </w:pPr>
      <w:r>
        <w:rPr>
          <w:rFonts w:hint="eastAsia" w:asciiTheme="minorEastAsia" w:hAnsiTheme="minorEastAsia" w:eastAsiaTheme="minorEastAsia"/>
          <w:b/>
          <w:i/>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70D4D4EC">
      <w:pPr>
        <w:adjustRightInd w:val="0"/>
        <w:snapToGrid w:val="0"/>
        <w:spacing w:line="360" w:lineRule="auto"/>
        <w:ind w:firstLine="420"/>
        <w:rPr>
          <w:rFonts w:hint="eastAsia" w:asciiTheme="minorEastAsia" w:hAnsiTheme="minorEastAsia" w:eastAsiaTheme="minorEastAsia"/>
          <w:b/>
          <w:i/>
          <w:sz w:val="24"/>
          <w:szCs w:val="24"/>
        </w:rPr>
      </w:pPr>
      <w:r>
        <w:rPr>
          <w:rFonts w:hint="eastAsia" w:asciiTheme="minorEastAsia" w:hAnsiTheme="minorEastAsia" w:eastAsiaTheme="minorEastAsia"/>
          <w:b/>
          <w:i/>
          <w:sz w:val="24"/>
          <w:szCs w:val="24"/>
        </w:rPr>
        <w:t>《基金合同》受中国法律（为本基金合同之目的，在此不包括香港特别行政区、澳门特别行政区法律和台湾地区的有关规定）管辖并从其解释。</w:t>
      </w:r>
    </w:p>
    <w:p w14:paraId="5E3433AC">
      <w:pPr>
        <w:snapToGrid w:val="0"/>
        <w:spacing w:line="360" w:lineRule="auto"/>
        <w:ind w:firstLine="482" w:firstLineChars="200"/>
        <w:rPr>
          <w:rFonts w:hint="eastAsia" w:asciiTheme="minorEastAsia" w:hAnsiTheme="minorEastAsia"/>
          <w:b/>
          <w:sz w:val="24"/>
        </w:rPr>
      </w:pPr>
      <w:r>
        <w:rPr>
          <w:rFonts w:hint="eastAsia" w:asciiTheme="minorEastAsia" w:hAnsiTheme="minorEastAsia"/>
          <w:b/>
          <w:sz w:val="24"/>
        </w:rPr>
        <w:t>九、基金合同存放地和投资者取得合同的方式</w:t>
      </w:r>
    </w:p>
    <w:p w14:paraId="71A3D758">
      <w:pPr>
        <w:spacing w:line="360" w:lineRule="auto"/>
        <w:ind w:firstLine="480" w:firstLineChars="200"/>
        <w:rPr>
          <w:rFonts w:hint="eastAsia" w:asciiTheme="minorEastAsia" w:hAnsiTheme="minorEastAsia"/>
          <w:sz w:val="24"/>
        </w:rPr>
      </w:pPr>
      <w:r>
        <w:rPr>
          <w:rFonts w:asciiTheme="minorEastAsia" w:hAnsiTheme="minorEastAsia" w:eastAsiaTheme="minorEastAsia"/>
          <w:sz w:val="24"/>
          <w:szCs w:val="24"/>
        </w:rPr>
        <w:t>本基金合同</w:t>
      </w:r>
      <w:r>
        <w:rPr>
          <w:rFonts w:hint="eastAsia" w:asciiTheme="minorEastAsia" w:hAnsiTheme="minorEastAsia" w:eastAsiaTheme="minorEastAsia"/>
          <w:sz w:val="24"/>
          <w:szCs w:val="24"/>
        </w:rPr>
        <w:t>可印制成册，供</w:t>
      </w:r>
      <w:r>
        <w:rPr>
          <w:rFonts w:asciiTheme="minorEastAsia" w:hAnsiTheme="minorEastAsia" w:eastAsiaTheme="minorEastAsia"/>
          <w:sz w:val="24"/>
          <w:szCs w:val="24"/>
        </w:rPr>
        <w:t>投资人</w:t>
      </w:r>
      <w:r>
        <w:rPr>
          <w:rFonts w:hint="eastAsia" w:asciiTheme="minorEastAsia" w:hAnsiTheme="minorEastAsia" w:eastAsiaTheme="minorEastAsia"/>
          <w:sz w:val="24"/>
          <w:szCs w:val="24"/>
        </w:rPr>
        <w:t>在基金管理人、基金托管人、</w:t>
      </w:r>
      <w:r>
        <w:rPr>
          <w:rFonts w:asciiTheme="minorEastAsia" w:hAnsiTheme="minorEastAsia" w:eastAsiaTheme="minorEastAsia"/>
          <w:sz w:val="24"/>
          <w:szCs w:val="24"/>
        </w:rPr>
        <w:t>代销</w:t>
      </w:r>
      <w:r>
        <w:rPr>
          <w:rFonts w:hint="eastAsia" w:asciiTheme="minorEastAsia" w:hAnsiTheme="minorEastAsia" w:eastAsiaTheme="minorEastAsia"/>
          <w:sz w:val="24"/>
          <w:szCs w:val="24"/>
        </w:rPr>
        <w:t>机构的办公场所查阅。</w:t>
      </w:r>
      <w:bookmarkStart w:id="504" w:name="_GoBack"/>
      <w:bookmarkEnd w:id="504"/>
    </w:p>
    <w:bookmarkEnd w:id="76"/>
    <w:bookmarkEnd w:id="77"/>
    <w:bookmarkEnd w:id="494"/>
    <w:p w14:paraId="1B508424">
      <w:pPr>
        <w:spacing w:line="360" w:lineRule="auto"/>
        <w:ind w:firstLine="480" w:firstLineChars="200"/>
        <w:rPr>
          <w:rFonts w:hint="eastAsia" w:ascii="宋体" w:hAnsi="宋体" w:cs="宋体"/>
          <w:sz w:val="24"/>
        </w:rPr>
      </w:pPr>
    </w:p>
    <w:sectPr>
      <w:footerReference r:id="rId34" w:type="default"/>
      <w:pgSz w:w="12240" w:h="15840"/>
      <w:pgMar w:top="1440" w:right="1800" w:bottom="1440" w:left="1800" w:header="720" w:footer="680"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DF2C5">
    <w:pPr>
      <w:pStyle w:val="17"/>
      <w:framePr w:wrap="around" w:vAnchor="text" w:hAnchor="margin" w:xAlign="center" w:yAlign="top"/>
    </w:pPr>
    <w:r>
      <w:rPr>
        <w:rFonts w:hint="eastAsia"/>
      </w:rPr>
      <w:fldChar w:fldCharType="begin"/>
    </w:r>
    <w:r>
      <w:rPr>
        <w:rStyle w:val="28"/>
        <w:rFonts w:hint="eastAsia"/>
      </w:rPr>
      <w:instrText xml:space="preserve"> PAGE  </w:instrText>
    </w:r>
    <w:r>
      <w:rPr>
        <w:rFonts w:hint="eastAsia"/>
      </w:rPr>
      <w:fldChar w:fldCharType="separate"/>
    </w:r>
    <w:r>
      <w:rPr>
        <w:rStyle w:val="28"/>
      </w:rPr>
      <w:t>2</w:t>
    </w:r>
    <w:r>
      <w:rPr>
        <w:rFonts w:hint="eastAsia"/>
      </w:rPr>
      <w:fldChar w:fldCharType="end"/>
    </w:r>
  </w:p>
  <w:p w14:paraId="014E1436">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B8BBF">
    <w:pPr>
      <w:pStyle w:val="17"/>
    </w:pPr>
  </w:p>
  <w:p w14:paraId="2F7FA5F0">
    <w:pPr>
      <w:pStyle w:val="17"/>
    </w:pPr>
  </w:p>
  <w:p w14:paraId="064B6807">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6595F">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A3751">
    <w:pPr>
      <w:pStyle w:val="17"/>
      <w:jc w:val="center"/>
      <w:rPr>
        <w:rFonts w:ascii="Arial" w:hAnsi="Arial" w:cs="Arial"/>
        <w:sz w:val="21"/>
        <w:szCs w:val="21"/>
      </w:rPr>
    </w:pPr>
    <w:r>
      <w:rPr>
        <w:rFonts w:hint="eastAsia" w:ascii="Arial" w:hAnsi="Arial" w:cs="Arial"/>
        <w:sz w:val="21"/>
        <w:szCs w:val="21"/>
      </w:rPr>
      <w:t>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CB1D5">
    <w:pPr>
      <w:pStyle w:val="17"/>
      <w:jc w:val="center"/>
      <w:rPr>
        <w:rFonts w:ascii="Arial" w:hAnsi="Arial" w:cs="Arial"/>
        <w:sz w:val="21"/>
        <w:szCs w:val="21"/>
      </w:rPr>
    </w:pPr>
    <w:r>
      <w:rPr>
        <w:rFonts w:hint="eastAsia" w:ascii="Arial" w:hAnsi="Arial" w:cs="Arial"/>
        <w:sz w:val="21"/>
        <w:szCs w:val="21"/>
      </w:rPr>
      <w:t>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6</w:t>
    </w:r>
    <w:r>
      <w:rPr>
        <w:rFonts w:ascii="Arial" w:hAnsi="Arial" w:cs="Arial"/>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DB112">
    <w:pPr>
      <w:pStyle w:val="17"/>
      <w:jc w:val="center"/>
      <w:rPr>
        <w:rFonts w:ascii="Arial" w:hAnsi="Arial" w:cs="Arial"/>
        <w:sz w:val="21"/>
        <w:szCs w:val="21"/>
      </w:rPr>
    </w:pPr>
    <w:r>
      <w:rPr>
        <w:rFonts w:hint="eastAsia" w:ascii="Arial" w:hAnsi="Arial" w:cs="Arial"/>
        <w:sz w:val="21"/>
        <w:szCs w:val="21"/>
      </w:rPr>
      <w:t>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623A7">
    <w:pPr>
      <w:pStyle w:val="17"/>
      <w:jc w:val="center"/>
      <w:rPr>
        <w:rFonts w:ascii="Arial" w:hAnsi="Arial" w:cs="Arial"/>
        <w:sz w:val="21"/>
        <w:szCs w:val="21"/>
      </w:rPr>
    </w:pPr>
    <w:r>
      <w:rPr>
        <w:rFonts w:hint="eastAsia" w:ascii="Arial" w:hAnsi="Arial" w:cs="Arial"/>
        <w:sz w:val="21"/>
        <w:szCs w:val="21"/>
      </w:rPr>
      <w:t>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F70D">
    <w:pPr>
      <w:pStyle w:val="17"/>
      <w:jc w:val="center"/>
      <w:rPr>
        <w:rFonts w:ascii="Arial" w:hAnsi="Arial" w:cs="Arial"/>
        <w:sz w:val="21"/>
        <w:szCs w:val="21"/>
      </w:rPr>
    </w:pPr>
    <w:r>
      <w:rPr>
        <w:rFonts w:hint="eastAsia" w:ascii="Arial" w:hAnsi="Arial" w:cs="Arial"/>
        <w:sz w:val="21"/>
        <w:szCs w:val="21"/>
      </w:rPr>
      <w:t>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E031AB">
    <w:pPr>
      <w:pStyle w:val="17"/>
      <w:jc w:val="center"/>
      <w:rPr>
        <w:rFonts w:ascii="Arial" w:hAnsi="Arial" w:cs="Arial"/>
        <w:sz w:val="21"/>
        <w:szCs w:val="21"/>
      </w:rPr>
    </w:pPr>
    <w:r>
      <w:rPr>
        <w:rFonts w:hint="eastAsia" w:ascii="Arial" w:hAnsi="Arial" w:cs="Arial"/>
        <w:sz w:val="21"/>
        <w:szCs w:val="21"/>
      </w:rPr>
      <w:t>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6DD09">
    <w:pPr>
      <w:pStyle w:val="17"/>
      <w:jc w:val="center"/>
      <w:rPr>
        <w:rFonts w:ascii="Arial" w:hAnsi="Arial" w:cs="Arial"/>
        <w:sz w:val="21"/>
        <w:szCs w:val="21"/>
      </w:rPr>
    </w:pPr>
    <w:r>
      <w:rPr>
        <w:rFonts w:hint="eastAsia" w:ascii="Arial" w:hAnsi="Arial" w:cs="Arial"/>
        <w:sz w:val="21"/>
        <w:szCs w:val="21"/>
      </w:rPr>
      <w:t>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C55A9">
    <w:pPr>
      <w:pStyle w:val="17"/>
      <w:jc w:val="center"/>
      <w:rPr>
        <w:rFonts w:ascii="Arial" w:hAnsi="Arial" w:cs="Arial"/>
        <w:sz w:val="21"/>
        <w:szCs w:val="21"/>
      </w:rPr>
    </w:pPr>
    <w:r>
      <w:rPr>
        <w:rFonts w:hint="eastAsia" w:ascii="Arial" w:hAnsi="Arial" w:cs="Arial"/>
        <w:sz w:val="21"/>
        <w:szCs w:val="21"/>
      </w:rPr>
      <w:t>8-</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8</w:t>
    </w:r>
    <w:r>
      <w:rPr>
        <w:rFonts w:ascii="Arial" w:hAnsi="Arial" w:cs="Arial"/>
        <w:sz w:val="21"/>
        <w:szCs w:val="21"/>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BA2FE">
    <w:pPr>
      <w:pStyle w:val="17"/>
      <w:jc w:val="center"/>
      <w:rPr>
        <w:rFonts w:ascii="Arial" w:hAnsi="Arial" w:cs="Arial"/>
        <w:sz w:val="21"/>
        <w:szCs w:val="21"/>
      </w:rPr>
    </w:pPr>
    <w:r>
      <w:rPr>
        <w:rFonts w:hint="eastAsia" w:ascii="Arial" w:hAnsi="Arial" w:cs="Arial"/>
        <w:sz w:val="21"/>
        <w:szCs w:val="21"/>
      </w:rPr>
      <w:t>9-</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8</w:t>
    </w:r>
    <w:r>
      <w:rPr>
        <w:rFonts w:ascii="Arial" w:hAnsi="Arial" w:cs="Arial"/>
        <w:sz w:val="21"/>
        <w:szCs w:val="21"/>
      </w:rPr>
      <w:fldChar w:fldCharType="end"/>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A5F15">
    <w:pPr>
      <w:pStyle w:val="17"/>
      <w:jc w:val="center"/>
      <w:rPr>
        <w:rFonts w:ascii="Arial" w:hAnsi="Arial" w:cs="Arial"/>
        <w:sz w:val="21"/>
        <w:szCs w:val="21"/>
      </w:rPr>
    </w:pPr>
    <w:r>
      <w:rPr>
        <w:rFonts w:hint="eastAsia" w:ascii="Arial" w:hAnsi="Arial" w:cs="Arial"/>
        <w:sz w:val="21"/>
        <w:szCs w:val="21"/>
      </w:rPr>
      <w:t>10-</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6</w:t>
    </w:r>
    <w:r>
      <w:rPr>
        <w:rFonts w:ascii="Arial" w:hAnsi="Arial" w:cs="Arial"/>
        <w:sz w:val="21"/>
        <w:szCs w:val="21"/>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5118E">
    <w:pPr>
      <w:pStyle w:val="17"/>
      <w:jc w:val="center"/>
      <w:rPr>
        <w:rFonts w:ascii="Arial" w:hAnsi="Arial" w:cs="Arial"/>
        <w:sz w:val="21"/>
        <w:szCs w:val="21"/>
      </w:rPr>
    </w:pPr>
    <w:r>
      <w:rPr>
        <w:rFonts w:hint="eastAsia" w:ascii="Arial" w:hAnsi="Arial" w:cs="Arial"/>
        <w:sz w:val="21"/>
        <w:szCs w:val="21"/>
      </w:rPr>
      <w:t>11-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3</w:t>
    </w:r>
    <w:r>
      <w:rPr>
        <w:rFonts w:ascii="Arial" w:hAnsi="Arial" w:cs="Arial"/>
        <w:sz w:val="21"/>
        <w:szCs w:val="21"/>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4EEB0">
    <w:pPr>
      <w:pStyle w:val="17"/>
      <w:jc w:val="center"/>
      <w:rPr>
        <w:rFonts w:ascii="Arial" w:hAnsi="Arial" w:cs="Arial"/>
        <w:sz w:val="21"/>
        <w:szCs w:val="21"/>
      </w:rPr>
    </w:pPr>
    <w:r>
      <w:rPr>
        <w:rFonts w:hint="eastAsia" w:ascii="Arial" w:hAnsi="Arial" w:cs="Arial"/>
        <w:sz w:val="21"/>
        <w:szCs w:val="21"/>
      </w:rPr>
      <w:t>12-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8C029">
    <w:pPr>
      <w:pStyle w:val="17"/>
      <w:jc w:val="center"/>
      <w:rPr>
        <w:rFonts w:ascii="Arial" w:hAnsi="Arial" w:cs="Arial"/>
        <w:sz w:val="21"/>
        <w:szCs w:val="21"/>
      </w:rPr>
    </w:pPr>
    <w:r>
      <w:rPr>
        <w:rFonts w:hint="eastAsia" w:ascii="Arial" w:hAnsi="Arial" w:cs="Arial"/>
        <w:sz w:val="21"/>
        <w:szCs w:val="21"/>
      </w:rPr>
      <w:t>13-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F1C34">
    <w:pPr>
      <w:pStyle w:val="17"/>
      <w:jc w:val="center"/>
      <w:rPr>
        <w:rFonts w:ascii="Arial" w:hAnsi="Arial" w:cs="Arial"/>
        <w:sz w:val="21"/>
        <w:szCs w:val="21"/>
      </w:rPr>
    </w:pPr>
    <w:r>
      <w:rPr>
        <w:rFonts w:hint="eastAsia" w:ascii="Arial" w:hAnsi="Arial" w:cs="Arial"/>
        <w:sz w:val="21"/>
        <w:szCs w:val="21"/>
      </w:rPr>
      <w:t>14-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9</w:t>
    </w:r>
    <w:r>
      <w:rPr>
        <w:rFonts w:ascii="Arial" w:hAnsi="Arial" w:cs="Arial"/>
        <w:sz w:val="21"/>
        <w:szCs w:val="21"/>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111027">
    <w:pPr>
      <w:pStyle w:val="17"/>
      <w:jc w:val="center"/>
      <w:rPr>
        <w:rFonts w:ascii="Arial" w:hAnsi="Arial" w:cs="Arial"/>
        <w:sz w:val="21"/>
        <w:szCs w:val="21"/>
      </w:rPr>
    </w:pPr>
    <w:r>
      <w:rPr>
        <w:rFonts w:hint="eastAsia" w:ascii="Arial" w:hAnsi="Arial" w:cs="Arial"/>
        <w:sz w:val="21"/>
        <w:szCs w:val="21"/>
      </w:rPr>
      <w:t>15-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609F99">
    <w:pPr>
      <w:pStyle w:val="17"/>
      <w:jc w:val="center"/>
      <w:rPr>
        <w:rFonts w:ascii="Arial" w:hAnsi="Arial"/>
        <w:sz w:val="21"/>
      </w:rPr>
    </w:pPr>
    <w:r>
      <w:rPr>
        <w:rFonts w:hint="eastAsia" w:ascii="Arial" w:hAnsi="Arial" w:cs="Arial"/>
        <w:sz w:val="21"/>
        <w:szCs w:val="21"/>
      </w:rPr>
      <w:t>16-</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7</w:t>
    </w:r>
    <w:r>
      <w:rPr>
        <w:rFonts w:ascii="Arial" w:hAnsi="Arial" w:cs="Arial"/>
        <w:sz w:val="21"/>
        <w:szCs w:val="21"/>
      </w:rPr>
      <w:fldChar w:fldCharType="end"/>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2C6C0">
    <w:pPr>
      <w:pStyle w:val="17"/>
      <w:jc w:val="center"/>
      <w:rPr>
        <w:rFonts w:ascii="Arial" w:hAnsi="Arial" w:cs="Arial"/>
        <w:sz w:val="21"/>
        <w:szCs w:val="21"/>
      </w:rPr>
    </w:pPr>
    <w:r>
      <w:rPr>
        <w:rFonts w:hint="eastAsia" w:ascii="Arial" w:hAnsi="Arial" w:cs="Arial"/>
        <w:sz w:val="21"/>
        <w:szCs w:val="21"/>
      </w:rPr>
      <w:t>1</w:t>
    </w:r>
    <w:r>
      <w:rPr>
        <w:rFonts w:hint="eastAsia" w:ascii="Arial" w:hAnsi="Arial" w:cs="Arial"/>
        <w:sz w:val="21"/>
        <w:szCs w:val="21"/>
        <w:lang w:val="en-US" w:eastAsia="zh-CN"/>
      </w:rPr>
      <w:t>7</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F80F96">
    <w:pPr>
      <w:pStyle w:val="17"/>
      <w:jc w:val="center"/>
      <w:rPr>
        <w:rFonts w:ascii="Arial" w:hAnsi="Arial" w:cs="Arial"/>
        <w:sz w:val="21"/>
        <w:szCs w:val="21"/>
      </w:rPr>
    </w:pPr>
    <w:r>
      <w:rPr>
        <w:rFonts w:hint="eastAsia" w:ascii="Arial" w:hAnsi="Arial" w:cs="Arial"/>
        <w:sz w:val="21"/>
        <w:szCs w:val="21"/>
      </w:rPr>
      <w:t>1</w:t>
    </w:r>
    <w:r>
      <w:rPr>
        <w:rFonts w:hint="eastAsia" w:ascii="Arial" w:hAnsi="Arial" w:cs="Arial"/>
        <w:sz w:val="21"/>
        <w:szCs w:val="21"/>
        <w:lang w:val="en-US" w:eastAsia="zh-CN"/>
      </w:rPr>
      <w:t>8</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6EDEF">
    <w:pPr>
      <w:pStyle w:val="17"/>
      <w:jc w:val="center"/>
      <w:rPr>
        <w:rFonts w:ascii="Arial" w:hAnsi="Arial" w:cs="Arial"/>
        <w:sz w:val="21"/>
        <w:szCs w:val="21"/>
      </w:rPr>
    </w:pPr>
    <w:r>
      <w:rPr>
        <w:rFonts w:hint="eastAsia" w:ascii="Arial" w:hAnsi="Arial" w:cs="Arial"/>
        <w:sz w:val="21"/>
        <w:szCs w:val="21"/>
      </w:rPr>
      <w:t>19-1</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B6A8F">
    <w:pPr>
      <w:pStyle w:val="17"/>
      <w:jc w:val="center"/>
      <w:rPr>
        <w:rFonts w:ascii="Arial" w:hAnsi="Arial" w:cs="Arial"/>
        <w:sz w:val="21"/>
        <w:szCs w:val="21"/>
      </w:rPr>
    </w:pPr>
    <w:r>
      <w:rPr>
        <w:rFonts w:hint="eastAsia" w:ascii="Arial" w:hAnsi="Arial" w:cs="Arial"/>
        <w:sz w:val="21"/>
        <w:szCs w:val="21"/>
      </w:rPr>
      <w:t>20-</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8</w:t>
    </w:r>
    <w:r>
      <w:rPr>
        <w:rFonts w:ascii="Arial" w:hAnsi="Arial" w:cs="Arial"/>
        <w:sz w:val="21"/>
        <w:szCs w:val="21"/>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3A19D">
    <w:pPr>
      <w:pStyle w:val="17"/>
      <w:jc w:val="center"/>
      <w:rPr>
        <w:rFonts w:ascii="Arial" w:hAnsi="Arial" w:cs="Arial"/>
        <w:sz w:val="21"/>
        <w:szCs w:val="21"/>
      </w:rPr>
    </w:pPr>
    <w:r>
      <w:rPr>
        <w:rFonts w:hint="eastAsia" w:ascii="Arial" w:hAnsi="Arial" w:cs="Arial"/>
        <w:sz w:val="21"/>
        <w:szCs w:val="21"/>
      </w:rPr>
      <w:t>21-</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2</w:t>
    </w:r>
    <w:r>
      <w:rPr>
        <w:rFonts w:ascii="Arial" w:hAnsi="Arial" w:cs="Arial"/>
        <w:sz w:val="21"/>
        <w:szCs w:val="21"/>
      </w:rPr>
      <w:fldChar w:fldCharType="end"/>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5651E">
    <w:pPr>
      <w:pStyle w:val="17"/>
      <w:jc w:val="center"/>
      <w:rPr>
        <w:rFonts w:ascii="Arial" w:hAnsi="Arial" w:cs="Arial"/>
        <w:sz w:val="21"/>
        <w:szCs w:val="21"/>
      </w:rPr>
    </w:pPr>
    <w:r>
      <w:rPr>
        <w:rFonts w:hint="eastAsia" w:ascii="Arial" w:hAnsi="Arial" w:cs="Arial"/>
        <w:sz w:val="21"/>
        <w:szCs w:val="21"/>
      </w:rPr>
      <w:t>22-</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AEC2D">
    <w:pPr>
      <w:pStyle w:val="17"/>
      <w:jc w:val="center"/>
      <w:rPr>
        <w:rFonts w:ascii="Arial" w:hAnsi="Arial" w:cs="Arial"/>
        <w:sz w:val="21"/>
        <w:szCs w:val="21"/>
      </w:rPr>
    </w:pPr>
    <w:r>
      <w:rPr>
        <w:rFonts w:hint="eastAsia" w:ascii="Arial" w:hAnsi="Arial" w:cs="Arial"/>
        <w:sz w:val="21"/>
        <w:szCs w:val="21"/>
      </w:rPr>
      <w:t>23-</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B869C">
    <w:pPr>
      <w:pStyle w:val="17"/>
      <w:jc w:val="center"/>
      <w:rPr>
        <w:rFonts w:ascii="Arial" w:hAnsi="Arial" w:cs="Arial"/>
        <w:sz w:val="21"/>
        <w:szCs w:val="21"/>
      </w:rPr>
    </w:pPr>
    <w:r>
      <w:rPr>
        <w:rFonts w:hint="eastAsia" w:ascii="Arial" w:hAnsi="Arial" w:cs="Arial"/>
        <w:sz w:val="21"/>
        <w:szCs w:val="21"/>
      </w:rPr>
      <w:t>24-</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99690">
    <w:pPr>
      <w:pStyle w:val="17"/>
      <w:jc w:val="center"/>
      <w:rPr>
        <w:rFonts w:ascii="Arial" w:hAnsi="Arial" w:cs="Arial"/>
        <w:sz w:val="21"/>
        <w:szCs w:val="21"/>
      </w:rPr>
    </w:pPr>
    <w:r>
      <w:rPr>
        <w:rFonts w:hint="eastAsia" w:ascii="Arial" w:hAnsi="Arial" w:cs="Arial"/>
        <w:sz w:val="21"/>
        <w:szCs w:val="21"/>
      </w:rPr>
      <w:t>2</w:t>
    </w:r>
    <w:r>
      <w:rPr>
        <w:rFonts w:hint="eastAsia" w:ascii="Arial" w:hAnsi="Arial" w:cs="Arial"/>
        <w:sz w:val="21"/>
        <w:szCs w:val="21"/>
        <w:lang w:val="en-US" w:eastAsia="zh-CN"/>
      </w:rPr>
      <w:t>5</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54C79">
    <w:pPr>
      <w:pStyle w:val="17"/>
      <w:jc w:val="center"/>
      <w:rPr>
        <w:rFonts w:ascii="Arial" w:hAnsi="Arial" w:cs="Arial"/>
        <w:sz w:val="21"/>
        <w:szCs w:val="21"/>
      </w:rPr>
    </w:pPr>
    <w:r>
      <w:rPr>
        <w:rFonts w:hint="eastAsia" w:ascii="Arial" w:hAnsi="Arial" w:cs="Arial"/>
        <w:sz w:val="21"/>
        <w:szCs w:val="21"/>
      </w:rPr>
      <w:t>2</w:t>
    </w:r>
    <w:r>
      <w:rPr>
        <w:rFonts w:hint="eastAsia" w:ascii="Arial" w:hAnsi="Arial" w:cs="Arial"/>
        <w:sz w:val="21"/>
        <w:szCs w:val="21"/>
        <w:lang w:val="en-US" w:eastAsia="zh-CN"/>
      </w:rPr>
      <w:t>6</w:t>
    </w:r>
    <w:r>
      <w:rPr>
        <w:rFonts w:hint="eastAsia" w:ascii="Arial" w:hAnsi="Arial" w:cs="Arial"/>
        <w:sz w:val="21"/>
        <w:szCs w:val="21"/>
      </w:rPr>
      <w:t>-</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lang w:val="zh-CN"/>
      </w:rPr>
      <w:t>1</w:t>
    </w:r>
    <w:r>
      <w:rPr>
        <w:rFonts w:ascii="Arial" w:hAnsi="Arial" w:cs="Arial"/>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D5312">
    <w:pPr>
      <w:pStyle w:val="16"/>
      <w:pBdr>
        <w:bottom w:val="thickThinLargeGap" w:color="auto" w:sz="24" w:space="10"/>
      </w:pBdr>
      <w:tabs>
        <w:tab w:val="right" w:pos="8280"/>
      </w:tabs>
      <w:wordWrap w:val="0"/>
      <w:adjustRightInd w:val="0"/>
    </w:pPr>
    <w:r>
      <w:rPr>
        <w:rFonts w:hint="eastAsia"/>
        <w:color w:val="000000"/>
      </w:rPr>
      <w:t>博时沪深300交易型开放式指数</w:t>
    </w:r>
    <w:r>
      <w:rPr>
        <w:rFonts w:hint="eastAsia"/>
      </w:rPr>
      <w:t>证券投资基金                        转型申请材料－基金合同（草案）</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C827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BF57E">
    <w:pPr>
      <w:pStyle w:val="18"/>
      <w:pBdr>
        <w:bottom w:val="thickThinLargeGap" w:color="auto" w:sz="24" w:space="10"/>
      </w:pBdr>
      <w:tabs>
        <w:tab w:val="right" w:pos="8280"/>
      </w:tabs>
      <w:adjustRightInd w:val="0"/>
      <w:jc w:val="right"/>
    </w:pPr>
    <w:r>
      <w:rPr>
        <w:rFonts w:hint="eastAsia"/>
      </w:rPr>
      <w:t>博时中证细分化工产业主题交易型开放式指数证券投资基金基金合同</w:t>
    </w:r>
  </w:p>
  <w:p w14:paraId="6B9F8C9B">
    <w:pPr>
      <w:jc w:val="center"/>
      <w:rPr>
        <w:sz w:val="18"/>
        <w:szCs w:val="18"/>
        <w:u w:val="doub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E87617"/>
    <w:multiLevelType w:val="multilevel"/>
    <w:tmpl w:val="4DE87617"/>
    <w:lvl w:ilvl="0" w:tentative="0">
      <w:start w:val="1"/>
      <w:numFmt w:val="decimal"/>
      <w:lvlText w:val="%1."/>
      <w:lvlJc w:val="right"/>
      <w:pPr>
        <w:ind w:left="42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C185EF5"/>
    <w:multiLevelType w:val="multilevel"/>
    <w:tmpl w:val="5C185EF5"/>
    <w:lvl w:ilvl="0" w:tentative="0">
      <w:start w:val="1"/>
      <w:numFmt w:val="none"/>
      <w:pStyle w:val="2"/>
      <w:suff w:val="nothing"/>
      <w:lvlText w:val=""/>
      <w:lvlJc w:val="left"/>
      <w:pPr>
        <w:ind w:left="0" w:firstLine="0"/>
      </w:pPr>
      <w:rPr>
        <w:rFonts w:hint="eastAsia"/>
      </w:rPr>
    </w:lvl>
    <w:lvl w:ilvl="1" w:tentative="0">
      <w:start w:val="1"/>
      <w:numFmt w:val="chineseCountingThousand"/>
      <w:pStyle w:val="3"/>
      <w:suff w:val="nothing"/>
      <w:lvlText w:val="%2、"/>
      <w:lvlJc w:val="left"/>
      <w:pPr>
        <w:ind w:left="0" w:firstLine="0"/>
      </w:pPr>
      <w:rPr>
        <w:rFonts w:hint="eastAsia"/>
      </w:rPr>
    </w:lvl>
    <w:lvl w:ilvl="2" w:tentative="0">
      <w:start w:val="1"/>
      <w:numFmt w:val="chineseCountingThousand"/>
      <w:pStyle w:val="4"/>
      <w:suff w:val="nothing"/>
      <w:lvlText w:val="（%3）"/>
      <w:lvlJc w:val="left"/>
      <w:pPr>
        <w:ind w:left="0" w:firstLine="0"/>
      </w:pPr>
      <w:rPr>
        <w:rFonts w:hint="eastAsia"/>
      </w:rPr>
    </w:lvl>
    <w:lvl w:ilvl="3" w:tentative="0">
      <w:start w:val="1"/>
      <w:numFmt w:val="decimal"/>
      <w:pStyle w:val="5"/>
      <w:suff w:val="nothing"/>
      <w:lvlText w:val="%4、"/>
      <w:lvlJc w:val="left"/>
      <w:pPr>
        <w:ind w:left="0" w:firstLine="0"/>
      </w:pPr>
      <w:rPr>
        <w:rFonts w:hint="eastAsia"/>
      </w:rPr>
    </w:lvl>
    <w:lvl w:ilvl="4" w:tentative="0">
      <w:start w:val="1"/>
      <w:numFmt w:val="decimal"/>
      <w:pStyle w:val="6"/>
      <w:suff w:val="nothing"/>
      <w:lvlText w:val="（%5）"/>
      <w:lvlJc w:val="left"/>
      <w:pPr>
        <w:ind w:left="0" w:firstLine="0"/>
      </w:pPr>
      <w:rPr>
        <w:rFonts w:hint="eastAsia"/>
      </w:rPr>
    </w:lvl>
    <w:lvl w:ilvl="5" w:tentative="0">
      <w:start w:val="1"/>
      <w:numFmt w:val="none"/>
      <w:pStyle w:val="7"/>
      <w:suff w:val="nothing"/>
      <w:lvlText w:val=""/>
      <w:lvlJc w:val="left"/>
      <w:pPr>
        <w:ind w:left="0" w:firstLine="0"/>
      </w:pPr>
      <w:rPr>
        <w:rFonts w:hint="eastAsia"/>
      </w:rPr>
    </w:lvl>
    <w:lvl w:ilvl="6" w:tentative="0">
      <w:start w:val="1"/>
      <w:numFmt w:val="none"/>
      <w:pStyle w:val="8"/>
      <w:suff w:val="nothing"/>
      <w:lvlText w:val=""/>
      <w:lvlJc w:val="left"/>
      <w:pPr>
        <w:ind w:left="0" w:firstLine="0"/>
      </w:pPr>
      <w:rPr>
        <w:rFonts w:hint="eastAsia"/>
      </w:rPr>
    </w:lvl>
    <w:lvl w:ilvl="7" w:tentative="0">
      <w:start w:val="1"/>
      <w:numFmt w:val="none"/>
      <w:pStyle w:val="9"/>
      <w:suff w:val="nothing"/>
      <w:lvlText w:val=""/>
      <w:lvlJc w:val="left"/>
      <w:pPr>
        <w:ind w:left="0" w:firstLine="0"/>
      </w:pPr>
      <w:rPr>
        <w:rFonts w:hint="eastAsia"/>
      </w:rPr>
    </w:lvl>
    <w:lvl w:ilvl="8" w:tentative="0">
      <w:start w:val="1"/>
      <w:numFmt w:val="none"/>
      <w:pStyle w:val="10"/>
      <w:suff w:val="nothing"/>
      <w:lvlText w:val=""/>
      <w:lvlJc w:val="left"/>
      <w:pPr>
        <w:ind w:left="0"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displayBackgroundShape w:val="1"/>
  <w:bordersDoNotSurroundHeader w:val="1"/>
  <w:bordersDoNotSurroundFooter w:val="1"/>
  <w:doNotTrackFormatting/>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zNGMzZjdmYTI3YjU0Y2FjMTg0OWYzNTQ2YzdhOTUifQ=="/>
  </w:docVars>
  <w:rsids>
    <w:rsidRoot w:val="009A7499"/>
    <w:rsid w:val="0005190B"/>
    <w:rsid w:val="000A7543"/>
    <w:rsid w:val="000D7FD3"/>
    <w:rsid w:val="00101E57"/>
    <w:rsid w:val="00110CA4"/>
    <w:rsid w:val="00143000"/>
    <w:rsid w:val="00147665"/>
    <w:rsid w:val="001A0AF5"/>
    <w:rsid w:val="002404B4"/>
    <w:rsid w:val="0026549C"/>
    <w:rsid w:val="002B2880"/>
    <w:rsid w:val="002C4BFF"/>
    <w:rsid w:val="002D40EB"/>
    <w:rsid w:val="002E6B91"/>
    <w:rsid w:val="002F556E"/>
    <w:rsid w:val="003377D4"/>
    <w:rsid w:val="003435B7"/>
    <w:rsid w:val="00343A9E"/>
    <w:rsid w:val="003E117B"/>
    <w:rsid w:val="00485575"/>
    <w:rsid w:val="00493B37"/>
    <w:rsid w:val="004D0AFC"/>
    <w:rsid w:val="004D704D"/>
    <w:rsid w:val="004F1443"/>
    <w:rsid w:val="004F595C"/>
    <w:rsid w:val="005223D7"/>
    <w:rsid w:val="00561EDD"/>
    <w:rsid w:val="00570BB6"/>
    <w:rsid w:val="00596DDF"/>
    <w:rsid w:val="005B4531"/>
    <w:rsid w:val="0060030A"/>
    <w:rsid w:val="006B47AC"/>
    <w:rsid w:val="006F3A7D"/>
    <w:rsid w:val="00701D48"/>
    <w:rsid w:val="007068C2"/>
    <w:rsid w:val="00726E6D"/>
    <w:rsid w:val="00771F32"/>
    <w:rsid w:val="00775C0D"/>
    <w:rsid w:val="007A71B0"/>
    <w:rsid w:val="007E1AE0"/>
    <w:rsid w:val="007E78E6"/>
    <w:rsid w:val="007E7C54"/>
    <w:rsid w:val="00814DC8"/>
    <w:rsid w:val="0085567A"/>
    <w:rsid w:val="00857183"/>
    <w:rsid w:val="008602F5"/>
    <w:rsid w:val="0088457D"/>
    <w:rsid w:val="00926C5D"/>
    <w:rsid w:val="009336C5"/>
    <w:rsid w:val="009856D7"/>
    <w:rsid w:val="00995E5E"/>
    <w:rsid w:val="009A7499"/>
    <w:rsid w:val="009D61EE"/>
    <w:rsid w:val="00A01856"/>
    <w:rsid w:val="00A050A7"/>
    <w:rsid w:val="00A21941"/>
    <w:rsid w:val="00A2258B"/>
    <w:rsid w:val="00A900B8"/>
    <w:rsid w:val="00AB01E8"/>
    <w:rsid w:val="00B13BD8"/>
    <w:rsid w:val="00B14F78"/>
    <w:rsid w:val="00B3553B"/>
    <w:rsid w:val="00B54781"/>
    <w:rsid w:val="00B7294C"/>
    <w:rsid w:val="00BC7485"/>
    <w:rsid w:val="00BF12F7"/>
    <w:rsid w:val="00BF58BF"/>
    <w:rsid w:val="00C149D2"/>
    <w:rsid w:val="00C67F4C"/>
    <w:rsid w:val="00C77C00"/>
    <w:rsid w:val="00C87841"/>
    <w:rsid w:val="00CB285C"/>
    <w:rsid w:val="00D163BA"/>
    <w:rsid w:val="00D22A6E"/>
    <w:rsid w:val="00D57A7E"/>
    <w:rsid w:val="00D64C63"/>
    <w:rsid w:val="00D73ECD"/>
    <w:rsid w:val="00DB18B4"/>
    <w:rsid w:val="00DC5048"/>
    <w:rsid w:val="00DC5FD0"/>
    <w:rsid w:val="00E0317F"/>
    <w:rsid w:val="00E4028C"/>
    <w:rsid w:val="00E56AAE"/>
    <w:rsid w:val="00E62810"/>
    <w:rsid w:val="00E73B64"/>
    <w:rsid w:val="00EC788C"/>
    <w:rsid w:val="00EE1403"/>
    <w:rsid w:val="00F36BA4"/>
    <w:rsid w:val="00F43D63"/>
    <w:rsid w:val="00F50C4A"/>
    <w:rsid w:val="00F8463A"/>
    <w:rsid w:val="00FC5FA3"/>
    <w:rsid w:val="032714DD"/>
    <w:rsid w:val="03857786"/>
    <w:rsid w:val="03871227"/>
    <w:rsid w:val="03C13D1C"/>
    <w:rsid w:val="0480713E"/>
    <w:rsid w:val="097130BF"/>
    <w:rsid w:val="0A544CC8"/>
    <w:rsid w:val="0A66415B"/>
    <w:rsid w:val="0AC84860"/>
    <w:rsid w:val="0B2C2630"/>
    <w:rsid w:val="0B654238"/>
    <w:rsid w:val="0BC538E4"/>
    <w:rsid w:val="0BCD52C3"/>
    <w:rsid w:val="0C332F2D"/>
    <w:rsid w:val="0D2A3D8A"/>
    <w:rsid w:val="0E0252E8"/>
    <w:rsid w:val="0EB46A28"/>
    <w:rsid w:val="0FE62C8A"/>
    <w:rsid w:val="11CA7C29"/>
    <w:rsid w:val="12034F6A"/>
    <w:rsid w:val="12781EDB"/>
    <w:rsid w:val="15E96D2F"/>
    <w:rsid w:val="160D1F77"/>
    <w:rsid w:val="167D2A1D"/>
    <w:rsid w:val="16A21257"/>
    <w:rsid w:val="17EEB7AF"/>
    <w:rsid w:val="1B1B0493"/>
    <w:rsid w:val="1B5D3FF8"/>
    <w:rsid w:val="1B8F980F"/>
    <w:rsid w:val="1EAA16EF"/>
    <w:rsid w:val="1FA32A3C"/>
    <w:rsid w:val="20C274CD"/>
    <w:rsid w:val="233465AD"/>
    <w:rsid w:val="23F22B88"/>
    <w:rsid w:val="240A6367"/>
    <w:rsid w:val="241E5BFB"/>
    <w:rsid w:val="26B836DE"/>
    <w:rsid w:val="28475E08"/>
    <w:rsid w:val="2BAD05F7"/>
    <w:rsid w:val="2CC83D6A"/>
    <w:rsid w:val="2ED32D3A"/>
    <w:rsid w:val="30700603"/>
    <w:rsid w:val="3468736E"/>
    <w:rsid w:val="3516517D"/>
    <w:rsid w:val="3551676D"/>
    <w:rsid w:val="37DB5D5F"/>
    <w:rsid w:val="3A70627B"/>
    <w:rsid w:val="3B0712BF"/>
    <w:rsid w:val="3B3F7C9F"/>
    <w:rsid w:val="3B596A8D"/>
    <w:rsid w:val="3B6D5CCE"/>
    <w:rsid w:val="3BCF7068"/>
    <w:rsid w:val="3BFC03BC"/>
    <w:rsid w:val="3CFE1D92"/>
    <w:rsid w:val="3D185937"/>
    <w:rsid w:val="3D1D0DC6"/>
    <w:rsid w:val="3D3025A1"/>
    <w:rsid w:val="3E6B4A16"/>
    <w:rsid w:val="3F0C6E93"/>
    <w:rsid w:val="3F7F5A7E"/>
    <w:rsid w:val="3FD367FC"/>
    <w:rsid w:val="3FEE37A8"/>
    <w:rsid w:val="3FEF2ACD"/>
    <w:rsid w:val="42381D87"/>
    <w:rsid w:val="4360262C"/>
    <w:rsid w:val="43752D91"/>
    <w:rsid w:val="44106217"/>
    <w:rsid w:val="46F7B6AC"/>
    <w:rsid w:val="47437058"/>
    <w:rsid w:val="48493576"/>
    <w:rsid w:val="498E3A7A"/>
    <w:rsid w:val="49AA375B"/>
    <w:rsid w:val="4A1277D9"/>
    <w:rsid w:val="4CF50FA8"/>
    <w:rsid w:val="4FB1680E"/>
    <w:rsid w:val="50391C72"/>
    <w:rsid w:val="50FEAA74"/>
    <w:rsid w:val="52DF0BEC"/>
    <w:rsid w:val="53DA008C"/>
    <w:rsid w:val="54017589"/>
    <w:rsid w:val="55A25775"/>
    <w:rsid w:val="564209B7"/>
    <w:rsid w:val="591572A8"/>
    <w:rsid w:val="5AD71099"/>
    <w:rsid w:val="5BFF106B"/>
    <w:rsid w:val="5CDF112A"/>
    <w:rsid w:val="5D7D93F3"/>
    <w:rsid w:val="5D804D2D"/>
    <w:rsid w:val="5DC92C1D"/>
    <w:rsid w:val="5E092379"/>
    <w:rsid w:val="5F6DA1BF"/>
    <w:rsid w:val="5F7C2A5F"/>
    <w:rsid w:val="60533C68"/>
    <w:rsid w:val="60746717"/>
    <w:rsid w:val="62C04B92"/>
    <w:rsid w:val="62FB021B"/>
    <w:rsid w:val="658F6916"/>
    <w:rsid w:val="65B42F5B"/>
    <w:rsid w:val="66086748"/>
    <w:rsid w:val="672A170F"/>
    <w:rsid w:val="67DF9514"/>
    <w:rsid w:val="67FFB21F"/>
    <w:rsid w:val="690D0E6A"/>
    <w:rsid w:val="6B4573A0"/>
    <w:rsid w:val="6D3FB89A"/>
    <w:rsid w:val="6DAE0E09"/>
    <w:rsid w:val="6E235996"/>
    <w:rsid w:val="6EFE80ED"/>
    <w:rsid w:val="6FB7FAF5"/>
    <w:rsid w:val="73E7007C"/>
    <w:rsid w:val="73ED77F1"/>
    <w:rsid w:val="74DE29EA"/>
    <w:rsid w:val="75AA4761"/>
    <w:rsid w:val="766B6E64"/>
    <w:rsid w:val="76E44C9C"/>
    <w:rsid w:val="773B1B8B"/>
    <w:rsid w:val="777608B2"/>
    <w:rsid w:val="77AF14A0"/>
    <w:rsid w:val="77AF40F0"/>
    <w:rsid w:val="77F5490A"/>
    <w:rsid w:val="77FEB4D6"/>
    <w:rsid w:val="786D349E"/>
    <w:rsid w:val="7A8649B2"/>
    <w:rsid w:val="7B3C31F5"/>
    <w:rsid w:val="7C1D1A59"/>
    <w:rsid w:val="7D96F4C9"/>
    <w:rsid w:val="7E760D15"/>
    <w:rsid w:val="7E856724"/>
    <w:rsid w:val="7ECE1EEB"/>
    <w:rsid w:val="7EFDE4BB"/>
    <w:rsid w:val="7EFFD655"/>
    <w:rsid w:val="7F7F4192"/>
    <w:rsid w:val="7FABECB0"/>
    <w:rsid w:val="7FBAE1C5"/>
    <w:rsid w:val="7FC7D423"/>
    <w:rsid w:val="7FC9ECFB"/>
    <w:rsid w:val="7FDF5AC8"/>
    <w:rsid w:val="7FFB882C"/>
    <w:rsid w:val="7FFFEF91"/>
    <w:rsid w:val="9BE6C8C3"/>
    <w:rsid w:val="9BF55BDE"/>
    <w:rsid w:val="9F6A4B8F"/>
    <w:rsid w:val="B1DF7192"/>
    <w:rsid w:val="B4FF7046"/>
    <w:rsid w:val="BEFF10A9"/>
    <w:rsid w:val="BFCE970D"/>
    <w:rsid w:val="BFFA75B3"/>
    <w:rsid w:val="BFFF6BDE"/>
    <w:rsid w:val="D2EE3AE1"/>
    <w:rsid w:val="D4E7F50B"/>
    <w:rsid w:val="D7137334"/>
    <w:rsid w:val="D7FF6343"/>
    <w:rsid w:val="D9BF42D1"/>
    <w:rsid w:val="DFFF5A8D"/>
    <w:rsid w:val="E6DEC93C"/>
    <w:rsid w:val="E97D1165"/>
    <w:rsid w:val="EF1BF196"/>
    <w:rsid w:val="EFAB5891"/>
    <w:rsid w:val="EFAD9E38"/>
    <w:rsid w:val="EFE9FBA7"/>
    <w:rsid w:val="F157BE03"/>
    <w:rsid w:val="F2DE4629"/>
    <w:rsid w:val="F5DE24BD"/>
    <w:rsid w:val="F7BEED07"/>
    <w:rsid w:val="F8DFE024"/>
    <w:rsid w:val="FAD7237C"/>
    <w:rsid w:val="FBFA9554"/>
    <w:rsid w:val="FBFF4DE5"/>
    <w:rsid w:val="FEDB2A66"/>
    <w:rsid w:val="FEFB1C02"/>
    <w:rsid w:val="FF7FD97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nhideWhenUsed="0" w:uiPriority="99" w:semiHidden="0" w:name="Note Heading"/>
    <w:lsdException w:qFormat="1" w:unhideWhenUsed="0" w:uiPriority="0" w:semiHidden="0" w:name="Body Text 2"/>
    <w:lsdException w:uiPriority="99" w:name="Body Text 3"/>
    <w:lsdException w:uiPriority="0" w:name="Body Text Indent 2"/>
    <w:lsdException w:uiPriority="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3"/>
    <w:qFormat/>
    <w:uiPriority w:val="0"/>
    <w:pPr>
      <w:keepNext/>
      <w:keepLines/>
      <w:numPr>
        <w:ilvl w:val="0"/>
        <w:numId w:val="1"/>
      </w:numPr>
      <w:adjustRightInd w:val="0"/>
      <w:snapToGrid w:val="0"/>
      <w:spacing w:line="360" w:lineRule="auto"/>
      <w:jc w:val="center"/>
      <w:outlineLvl w:val="0"/>
    </w:pPr>
    <w:rPr>
      <w:rFonts w:ascii="宋体" w:hAnsi="宋体"/>
      <w:b/>
      <w:kern w:val="44"/>
      <w:sz w:val="24"/>
      <w:szCs w:val="21"/>
    </w:rPr>
  </w:style>
  <w:style w:type="paragraph" w:styleId="3">
    <w:name w:val="heading 2"/>
    <w:basedOn w:val="1"/>
    <w:next w:val="1"/>
    <w:link w:val="34"/>
    <w:qFormat/>
    <w:uiPriority w:val="0"/>
    <w:pPr>
      <w:keepNext/>
      <w:keepLines/>
      <w:numPr>
        <w:ilvl w:val="1"/>
        <w:numId w:val="1"/>
      </w:numPr>
      <w:spacing w:before="200" w:after="200" w:line="360" w:lineRule="auto"/>
      <w:outlineLvl w:val="1"/>
    </w:pPr>
    <w:rPr>
      <w:rFonts w:ascii="Arial" w:hAnsi="Arial"/>
      <w:b/>
      <w:sz w:val="24"/>
      <w:szCs w:val="20"/>
    </w:rPr>
  </w:style>
  <w:style w:type="paragraph" w:styleId="4">
    <w:name w:val="heading 3"/>
    <w:basedOn w:val="1"/>
    <w:next w:val="1"/>
    <w:link w:val="35"/>
    <w:qFormat/>
    <w:uiPriority w:val="0"/>
    <w:pPr>
      <w:numPr>
        <w:ilvl w:val="2"/>
        <w:numId w:val="1"/>
      </w:numPr>
      <w:spacing w:before="120" w:after="120" w:line="360" w:lineRule="auto"/>
      <w:outlineLvl w:val="2"/>
    </w:pPr>
    <w:rPr>
      <w:rFonts w:ascii="宋体" w:hAnsi="Times New Roman"/>
      <w:b/>
      <w:szCs w:val="20"/>
    </w:rPr>
  </w:style>
  <w:style w:type="paragraph" w:styleId="5">
    <w:name w:val="heading 4"/>
    <w:basedOn w:val="1"/>
    <w:next w:val="1"/>
    <w:link w:val="36"/>
    <w:qFormat/>
    <w:uiPriority w:val="0"/>
    <w:pPr>
      <w:keepNext/>
      <w:keepLines/>
      <w:numPr>
        <w:ilvl w:val="3"/>
        <w:numId w:val="1"/>
      </w:numPr>
      <w:spacing w:line="360" w:lineRule="auto"/>
      <w:outlineLvl w:val="3"/>
    </w:pPr>
    <w:rPr>
      <w:rFonts w:ascii="Arial" w:hAnsi="Arial"/>
      <w:szCs w:val="20"/>
    </w:rPr>
  </w:style>
  <w:style w:type="paragraph" w:styleId="6">
    <w:name w:val="heading 5"/>
    <w:basedOn w:val="1"/>
    <w:next w:val="1"/>
    <w:link w:val="37"/>
    <w:qFormat/>
    <w:uiPriority w:val="0"/>
    <w:pPr>
      <w:keepNext/>
      <w:keepLines/>
      <w:numPr>
        <w:ilvl w:val="4"/>
        <w:numId w:val="1"/>
      </w:numPr>
      <w:adjustRightInd w:val="0"/>
      <w:snapToGrid w:val="0"/>
      <w:spacing w:line="360" w:lineRule="auto"/>
      <w:outlineLvl w:val="4"/>
    </w:pPr>
    <w:rPr>
      <w:rFonts w:ascii="Times New Roman" w:hAnsi="Times New Roman"/>
      <w:szCs w:val="20"/>
    </w:rPr>
  </w:style>
  <w:style w:type="paragraph" w:styleId="7">
    <w:name w:val="heading 6"/>
    <w:basedOn w:val="1"/>
    <w:next w:val="1"/>
    <w:link w:val="38"/>
    <w:qFormat/>
    <w:uiPriority w:val="0"/>
    <w:pPr>
      <w:keepNext/>
      <w:keepLines/>
      <w:numPr>
        <w:ilvl w:val="5"/>
        <w:numId w:val="1"/>
      </w:numPr>
      <w:spacing w:before="240" w:after="64" w:line="320" w:lineRule="auto"/>
      <w:outlineLvl w:val="5"/>
    </w:pPr>
    <w:rPr>
      <w:rFonts w:ascii="Arial" w:hAnsi="Arial" w:eastAsia="黑体"/>
      <w:b/>
      <w:sz w:val="24"/>
      <w:szCs w:val="20"/>
    </w:rPr>
  </w:style>
  <w:style w:type="paragraph" w:styleId="8">
    <w:name w:val="heading 7"/>
    <w:basedOn w:val="1"/>
    <w:next w:val="1"/>
    <w:link w:val="39"/>
    <w:qFormat/>
    <w:uiPriority w:val="0"/>
    <w:pPr>
      <w:keepNext/>
      <w:keepLines/>
      <w:numPr>
        <w:ilvl w:val="6"/>
        <w:numId w:val="1"/>
      </w:numPr>
      <w:spacing w:before="240" w:after="64" w:line="320" w:lineRule="auto"/>
      <w:outlineLvl w:val="6"/>
    </w:pPr>
    <w:rPr>
      <w:rFonts w:ascii="Times New Roman" w:hAnsi="Times New Roman"/>
      <w:b/>
      <w:sz w:val="24"/>
      <w:szCs w:val="20"/>
    </w:rPr>
  </w:style>
  <w:style w:type="paragraph" w:styleId="9">
    <w:name w:val="heading 8"/>
    <w:basedOn w:val="1"/>
    <w:next w:val="1"/>
    <w:link w:val="40"/>
    <w:qFormat/>
    <w:uiPriority w:val="0"/>
    <w:pPr>
      <w:keepNext/>
      <w:keepLines/>
      <w:numPr>
        <w:ilvl w:val="7"/>
        <w:numId w:val="1"/>
      </w:numPr>
      <w:spacing w:before="240" w:after="64" w:line="320" w:lineRule="auto"/>
      <w:outlineLvl w:val="7"/>
    </w:pPr>
    <w:rPr>
      <w:rFonts w:ascii="Arial" w:hAnsi="Arial" w:eastAsia="黑体"/>
      <w:sz w:val="24"/>
      <w:szCs w:val="20"/>
    </w:rPr>
  </w:style>
  <w:style w:type="paragraph" w:styleId="10">
    <w:name w:val="heading 9"/>
    <w:basedOn w:val="1"/>
    <w:next w:val="1"/>
    <w:link w:val="41"/>
    <w:qFormat/>
    <w:uiPriority w:val="0"/>
    <w:pPr>
      <w:keepNext/>
      <w:keepLines/>
      <w:numPr>
        <w:ilvl w:val="8"/>
        <w:numId w:val="1"/>
      </w:numPr>
      <w:spacing w:before="240" w:after="64" w:line="320" w:lineRule="auto"/>
      <w:outlineLvl w:val="8"/>
    </w:pPr>
    <w:rPr>
      <w:rFonts w:ascii="Arial" w:hAnsi="Arial" w:eastAsia="黑体"/>
      <w:szCs w:val="20"/>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rPr>
      <w:rFonts w:ascii="Times New Roman" w:hAnsi="Times New Roman"/>
      <w:szCs w:val="20"/>
    </w:rPr>
  </w:style>
  <w:style w:type="paragraph" w:styleId="12">
    <w:name w:val="annotation text"/>
    <w:basedOn w:val="1"/>
    <w:link w:val="46"/>
    <w:unhideWhenUsed/>
    <w:qFormat/>
    <w:uiPriority w:val="0"/>
    <w:pPr>
      <w:jc w:val="left"/>
    </w:pPr>
  </w:style>
  <w:style w:type="paragraph" w:styleId="13">
    <w:name w:val="Body Text"/>
    <w:basedOn w:val="1"/>
    <w:link w:val="84"/>
    <w:unhideWhenUsed/>
    <w:qFormat/>
    <w:uiPriority w:val="0"/>
    <w:pPr>
      <w:spacing w:after="120"/>
    </w:pPr>
  </w:style>
  <w:style w:type="paragraph" w:styleId="14">
    <w:name w:val="toc 3"/>
    <w:basedOn w:val="1"/>
    <w:next w:val="1"/>
    <w:qFormat/>
    <w:uiPriority w:val="0"/>
    <w:pPr>
      <w:ind w:left="840" w:leftChars="400"/>
    </w:pPr>
    <w:rPr>
      <w:rFonts w:ascii="Times New Roman" w:hAnsi="Times New Roman"/>
      <w:szCs w:val="20"/>
    </w:rPr>
  </w:style>
  <w:style w:type="paragraph" w:styleId="15">
    <w:name w:val="Plain Text"/>
    <w:basedOn w:val="1"/>
    <w:link w:val="67"/>
    <w:qFormat/>
    <w:uiPriority w:val="0"/>
    <w:pPr>
      <w:adjustRightInd w:val="0"/>
      <w:spacing w:line="312" w:lineRule="atLeast"/>
      <w:textAlignment w:val="baseline"/>
    </w:pPr>
    <w:rPr>
      <w:rFonts w:ascii="宋体" w:hAnsi="Courier New"/>
      <w:kern w:val="0"/>
      <w:szCs w:val="20"/>
    </w:rPr>
  </w:style>
  <w:style w:type="paragraph" w:styleId="16">
    <w:name w:val="Balloon Text"/>
    <w:basedOn w:val="1"/>
    <w:link w:val="47"/>
    <w:unhideWhenUsed/>
    <w:qFormat/>
    <w:uiPriority w:val="99"/>
    <w:rPr>
      <w:sz w:val="18"/>
      <w:szCs w:val="18"/>
    </w:rPr>
  </w:style>
  <w:style w:type="paragraph" w:styleId="17">
    <w:name w:val="footer"/>
    <w:basedOn w:val="1"/>
    <w:link w:val="44"/>
    <w:unhideWhenUsed/>
    <w:qFormat/>
    <w:uiPriority w:val="99"/>
    <w:pPr>
      <w:tabs>
        <w:tab w:val="center" w:pos="4153"/>
        <w:tab w:val="right" w:pos="8306"/>
      </w:tabs>
      <w:snapToGrid w:val="0"/>
      <w:jc w:val="left"/>
    </w:pPr>
    <w:rPr>
      <w:sz w:val="18"/>
      <w:szCs w:val="18"/>
    </w:rPr>
  </w:style>
  <w:style w:type="paragraph" w:styleId="18">
    <w:name w:val="header"/>
    <w:basedOn w:val="1"/>
    <w:link w:val="81"/>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style>
  <w:style w:type="paragraph" w:styleId="20">
    <w:name w:val="footnote text"/>
    <w:basedOn w:val="1"/>
    <w:link w:val="63"/>
    <w:qFormat/>
    <w:uiPriority w:val="0"/>
    <w:pPr>
      <w:snapToGrid w:val="0"/>
      <w:jc w:val="left"/>
    </w:pPr>
    <w:rPr>
      <w:rFonts w:ascii="Times New Roman" w:hAnsi="Times New Roman"/>
      <w:sz w:val="18"/>
      <w:szCs w:val="20"/>
    </w:rPr>
  </w:style>
  <w:style w:type="paragraph" w:styleId="21">
    <w:name w:val="Body Text 2"/>
    <w:basedOn w:val="1"/>
    <w:link w:val="50"/>
    <w:qFormat/>
    <w:uiPriority w:val="0"/>
    <w:pPr>
      <w:spacing w:line="360" w:lineRule="auto"/>
    </w:pPr>
    <w:rPr>
      <w:rFonts w:ascii="仿宋_GB2312" w:hAnsi="Times New Roman" w:eastAsia="仿宋_GB2312"/>
      <w:color w:val="000000"/>
      <w:szCs w:val="24"/>
    </w:rPr>
  </w:style>
  <w:style w:type="paragraph" w:styleId="22">
    <w:name w:val="Normal (Web)"/>
    <w:basedOn w:val="1"/>
    <w:unhideWhenUsed/>
    <w:qFormat/>
    <w:uiPriority w:val="99"/>
    <w:pPr>
      <w:widowControl/>
      <w:spacing w:before="100" w:beforeAutospacing="1" w:after="100" w:afterAutospacing="1"/>
      <w:jc w:val="left"/>
    </w:pPr>
    <w:rPr>
      <w:rFonts w:ascii="宋体" w:hAnsi="宋体" w:cs="宋体"/>
      <w:color w:val="000000"/>
      <w:kern w:val="0"/>
      <w:sz w:val="24"/>
      <w:szCs w:val="24"/>
    </w:rPr>
  </w:style>
  <w:style w:type="paragraph" w:styleId="23">
    <w:name w:val="Title"/>
    <w:basedOn w:val="1"/>
    <w:next w:val="1"/>
    <w:link w:val="59"/>
    <w:qFormat/>
    <w:uiPriority w:val="0"/>
    <w:pPr>
      <w:spacing w:before="240" w:after="60"/>
      <w:jc w:val="center"/>
      <w:outlineLvl w:val="0"/>
    </w:pPr>
    <w:rPr>
      <w:rFonts w:ascii="Cambria" w:hAnsi="Cambria"/>
      <w:b/>
      <w:sz w:val="32"/>
      <w:szCs w:val="20"/>
    </w:rPr>
  </w:style>
  <w:style w:type="paragraph" w:styleId="24">
    <w:name w:val="annotation subject"/>
    <w:basedOn w:val="12"/>
    <w:next w:val="12"/>
    <w:link w:val="82"/>
    <w:unhideWhenUsed/>
    <w:qFormat/>
    <w:uiPriority w:val="0"/>
    <w:rPr>
      <w:b/>
      <w:bCs/>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basedOn w:val="27"/>
    <w:qFormat/>
    <w:uiPriority w:val="0"/>
  </w:style>
  <w:style w:type="character" w:styleId="29">
    <w:name w:val="FollowedHyperlink"/>
    <w:basedOn w:val="27"/>
    <w:semiHidden/>
    <w:unhideWhenUsed/>
    <w:qFormat/>
    <w:uiPriority w:val="99"/>
    <w:rPr>
      <w:color w:val="800080" w:themeColor="followedHyperlink"/>
      <w:u w:val="single"/>
      <w14:textFill>
        <w14:solidFill>
          <w14:schemeClr w14:val="folHlink"/>
        </w14:solidFill>
      </w14:textFill>
    </w:rPr>
  </w:style>
  <w:style w:type="character" w:styleId="30">
    <w:name w:val="Hyperlink"/>
    <w:unhideWhenUsed/>
    <w:qFormat/>
    <w:uiPriority w:val="99"/>
    <w:rPr>
      <w:color w:val="0000FF"/>
      <w:u w:val="single"/>
    </w:rPr>
  </w:style>
  <w:style w:type="character" w:styleId="31">
    <w:name w:val="annotation reference"/>
    <w:unhideWhenUsed/>
    <w:qFormat/>
    <w:uiPriority w:val="0"/>
    <w:rPr>
      <w:sz w:val="21"/>
      <w:szCs w:val="21"/>
    </w:rPr>
  </w:style>
  <w:style w:type="character" w:styleId="32">
    <w:name w:val="footnote reference"/>
    <w:basedOn w:val="27"/>
    <w:qFormat/>
    <w:uiPriority w:val="0"/>
    <w:rPr>
      <w:vertAlign w:val="superscript"/>
    </w:rPr>
  </w:style>
  <w:style w:type="character" w:customStyle="1" w:styleId="33">
    <w:name w:val="标题 1 字符"/>
    <w:link w:val="2"/>
    <w:qFormat/>
    <w:uiPriority w:val="0"/>
    <w:rPr>
      <w:rFonts w:ascii="宋体" w:hAnsi="宋体"/>
      <w:b/>
      <w:kern w:val="44"/>
      <w:sz w:val="24"/>
      <w:szCs w:val="21"/>
    </w:rPr>
  </w:style>
  <w:style w:type="character" w:customStyle="1" w:styleId="34">
    <w:name w:val="标题 2 字符"/>
    <w:link w:val="3"/>
    <w:qFormat/>
    <w:uiPriority w:val="0"/>
    <w:rPr>
      <w:rFonts w:ascii="Arial" w:hAnsi="Arial"/>
      <w:b/>
      <w:kern w:val="2"/>
      <w:sz w:val="24"/>
    </w:rPr>
  </w:style>
  <w:style w:type="character" w:customStyle="1" w:styleId="35">
    <w:name w:val="标题 3 字符"/>
    <w:link w:val="4"/>
    <w:qFormat/>
    <w:uiPriority w:val="0"/>
    <w:rPr>
      <w:rFonts w:ascii="宋体" w:hAnsi="Times New Roman"/>
      <w:b/>
      <w:kern w:val="2"/>
      <w:sz w:val="21"/>
    </w:rPr>
  </w:style>
  <w:style w:type="character" w:customStyle="1" w:styleId="36">
    <w:name w:val="标题 4 字符"/>
    <w:link w:val="5"/>
    <w:qFormat/>
    <w:uiPriority w:val="0"/>
    <w:rPr>
      <w:rFonts w:ascii="Arial" w:hAnsi="Arial" w:eastAsia="宋体" w:cs="Times New Roman"/>
      <w:szCs w:val="20"/>
    </w:rPr>
  </w:style>
  <w:style w:type="character" w:customStyle="1" w:styleId="37">
    <w:name w:val="标题 5 字符"/>
    <w:link w:val="6"/>
    <w:qFormat/>
    <w:uiPriority w:val="0"/>
    <w:rPr>
      <w:rFonts w:ascii="Times New Roman" w:hAnsi="Times New Roman" w:eastAsia="宋体" w:cs="Times New Roman"/>
      <w:szCs w:val="20"/>
    </w:rPr>
  </w:style>
  <w:style w:type="character" w:customStyle="1" w:styleId="38">
    <w:name w:val="标题 6 字符"/>
    <w:link w:val="7"/>
    <w:qFormat/>
    <w:uiPriority w:val="0"/>
    <w:rPr>
      <w:rFonts w:ascii="Arial" w:hAnsi="Arial" w:eastAsia="黑体" w:cs="Times New Roman"/>
      <w:b/>
      <w:sz w:val="24"/>
      <w:szCs w:val="20"/>
    </w:rPr>
  </w:style>
  <w:style w:type="character" w:customStyle="1" w:styleId="39">
    <w:name w:val="标题 7 字符"/>
    <w:link w:val="8"/>
    <w:qFormat/>
    <w:uiPriority w:val="0"/>
    <w:rPr>
      <w:rFonts w:ascii="Times New Roman" w:hAnsi="Times New Roman" w:eastAsia="宋体" w:cs="Times New Roman"/>
      <w:b/>
      <w:sz w:val="24"/>
      <w:szCs w:val="20"/>
    </w:rPr>
  </w:style>
  <w:style w:type="character" w:customStyle="1" w:styleId="40">
    <w:name w:val="标题 8 字符"/>
    <w:link w:val="9"/>
    <w:qFormat/>
    <w:uiPriority w:val="0"/>
    <w:rPr>
      <w:rFonts w:ascii="Arial" w:hAnsi="Arial" w:eastAsia="黑体" w:cs="Times New Roman"/>
      <w:sz w:val="24"/>
      <w:szCs w:val="20"/>
    </w:rPr>
  </w:style>
  <w:style w:type="character" w:customStyle="1" w:styleId="41">
    <w:name w:val="标题 9 字符"/>
    <w:link w:val="10"/>
    <w:qFormat/>
    <w:uiPriority w:val="0"/>
    <w:rPr>
      <w:rFonts w:ascii="Arial" w:hAnsi="Arial" w:eastAsia="黑体" w:cs="Times New Roman"/>
      <w:szCs w:val="20"/>
    </w:rPr>
  </w:style>
  <w:style w:type="paragraph" w:customStyle="1" w:styleId="42">
    <w:name w:val="Char Char Char"/>
    <w:basedOn w:val="1"/>
    <w:qFormat/>
    <w:uiPriority w:val="0"/>
    <w:rPr>
      <w:rFonts w:ascii="Times New Roman" w:hAnsi="Times New Roman"/>
      <w:szCs w:val="24"/>
    </w:rPr>
  </w:style>
  <w:style w:type="character" w:customStyle="1" w:styleId="43">
    <w:name w:val="页眉 Char"/>
    <w:qFormat/>
    <w:uiPriority w:val="0"/>
    <w:rPr>
      <w:kern w:val="2"/>
      <w:sz w:val="18"/>
      <w:szCs w:val="18"/>
    </w:rPr>
  </w:style>
  <w:style w:type="character" w:customStyle="1" w:styleId="44">
    <w:name w:val="页脚 字符"/>
    <w:link w:val="17"/>
    <w:qFormat/>
    <w:uiPriority w:val="99"/>
    <w:rPr>
      <w:kern w:val="2"/>
      <w:sz w:val="18"/>
      <w:szCs w:val="18"/>
    </w:rPr>
  </w:style>
  <w:style w:type="paragraph" w:customStyle="1" w:styleId="45">
    <w:name w:val="列出段落1"/>
    <w:basedOn w:val="1"/>
    <w:qFormat/>
    <w:uiPriority w:val="34"/>
    <w:pPr>
      <w:ind w:firstLine="420" w:firstLineChars="200"/>
    </w:pPr>
  </w:style>
  <w:style w:type="character" w:customStyle="1" w:styleId="46">
    <w:name w:val="批注文字 字符1"/>
    <w:link w:val="12"/>
    <w:qFormat/>
    <w:uiPriority w:val="0"/>
    <w:rPr>
      <w:kern w:val="2"/>
      <w:sz w:val="21"/>
      <w:szCs w:val="22"/>
    </w:rPr>
  </w:style>
  <w:style w:type="character" w:customStyle="1" w:styleId="47">
    <w:name w:val="批注框文本 字符"/>
    <w:basedOn w:val="27"/>
    <w:link w:val="16"/>
    <w:semiHidden/>
    <w:qFormat/>
    <w:uiPriority w:val="0"/>
    <w:rPr>
      <w:kern w:val="2"/>
      <w:sz w:val="18"/>
      <w:szCs w:val="18"/>
    </w:rPr>
  </w:style>
  <w:style w:type="character" w:customStyle="1" w:styleId="48">
    <w:name w:val="批注主题 Char"/>
    <w:qFormat/>
    <w:uiPriority w:val="0"/>
    <w:rPr>
      <w:b/>
      <w:bCs/>
      <w:kern w:val="2"/>
      <w:sz w:val="21"/>
      <w:szCs w:val="22"/>
    </w:rPr>
  </w:style>
  <w:style w:type="character" w:customStyle="1" w:styleId="49">
    <w:name w:val="批注框文本 Char"/>
    <w:qFormat/>
    <w:uiPriority w:val="99"/>
    <w:rPr>
      <w:kern w:val="2"/>
      <w:sz w:val="18"/>
      <w:szCs w:val="18"/>
    </w:rPr>
  </w:style>
  <w:style w:type="character" w:customStyle="1" w:styleId="50">
    <w:name w:val="正文文本 2 字符"/>
    <w:link w:val="21"/>
    <w:qFormat/>
    <w:uiPriority w:val="0"/>
    <w:rPr>
      <w:rFonts w:ascii="仿宋_GB2312" w:hAnsi="Times New Roman" w:eastAsia="仿宋_GB2312" w:cs="Times New Roman"/>
      <w:color w:val="000000"/>
      <w:szCs w:val="24"/>
    </w:rPr>
  </w:style>
  <w:style w:type="character" w:customStyle="1" w:styleId="51">
    <w:name w:val="正文文本缩进 2 Char"/>
    <w:qFormat/>
    <w:uiPriority w:val="0"/>
    <w:rPr>
      <w:kern w:val="2"/>
      <w:sz w:val="21"/>
      <w:szCs w:val="22"/>
    </w:rPr>
  </w:style>
  <w:style w:type="character" w:customStyle="1" w:styleId="52">
    <w:name w:val="正文文本缩进 3 Char"/>
    <w:qFormat/>
    <w:uiPriority w:val="0"/>
    <w:rPr>
      <w:kern w:val="2"/>
      <w:sz w:val="16"/>
      <w:szCs w:val="16"/>
    </w:rPr>
  </w:style>
  <w:style w:type="character" w:customStyle="1" w:styleId="53">
    <w:name w:val="read"/>
    <w:basedOn w:val="27"/>
    <w:qFormat/>
    <w:uiPriority w:val="0"/>
  </w:style>
  <w:style w:type="character" w:customStyle="1" w:styleId="54">
    <w:name w:val="正文文本 Char"/>
    <w:qFormat/>
    <w:uiPriority w:val="0"/>
    <w:rPr>
      <w:kern w:val="2"/>
      <w:sz w:val="21"/>
      <w:szCs w:val="22"/>
    </w:rPr>
  </w:style>
  <w:style w:type="character" w:customStyle="1" w:styleId="55">
    <w:name w:val="unnamed11"/>
    <w:qFormat/>
    <w:uiPriority w:val="0"/>
    <w:rPr>
      <w:rFonts w:hint="eastAsia" w:ascii="宋体" w:hAnsi="宋体" w:eastAsia="宋体"/>
      <w:sz w:val="18"/>
      <w:szCs w:val="18"/>
    </w:rPr>
  </w:style>
  <w:style w:type="paragraph" w:customStyle="1" w:styleId="56">
    <w:name w:val="TOC 标题1"/>
    <w:basedOn w:val="2"/>
    <w:next w:val="1"/>
    <w:qFormat/>
    <w:uiPriority w:val="39"/>
    <w:pPr>
      <w:widowControl/>
      <w:numPr>
        <w:numId w:val="0"/>
      </w:numPr>
      <w:spacing w:before="480" w:line="276" w:lineRule="auto"/>
      <w:jc w:val="left"/>
      <w:outlineLvl w:val="9"/>
    </w:pPr>
    <w:rPr>
      <w:rFonts w:ascii="Cambria" w:hAnsi="Cambria"/>
      <w:bCs/>
      <w:color w:val="365F91"/>
      <w:kern w:val="0"/>
      <w:szCs w:val="28"/>
    </w:rPr>
  </w:style>
  <w:style w:type="character" w:customStyle="1" w:styleId="57">
    <w:name w:val="文档结构图 Char"/>
    <w:qFormat/>
    <w:uiPriority w:val="0"/>
    <w:rPr>
      <w:rFonts w:ascii="宋体"/>
      <w:kern w:val="2"/>
      <w:sz w:val="18"/>
      <w:szCs w:val="18"/>
    </w:rPr>
  </w:style>
  <w:style w:type="paragraph" w:customStyle="1" w:styleId="58">
    <w:name w:val="Char Char Char2"/>
    <w:basedOn w:val="1"/>
    <w:qFormat/>
    <w:uiPriority w:val="0"/>
    <w:rPr>
      <w:rFonts w:ascii="Times New Roman" w:hAnsi="Times New Roman"/>
      <w:szCs w:val="24"/>
    </w:rPr>
  </w:style>
  <w:style w:type="character" w:customStyle="1" w:styleId="59">
    <w:name w:val="标题 字符"/>
    <w:basedOn w:val="27"/>
    <w:link w:val="23"/>
    <w:qFormat/>
    <w:uiPriority w:val="0"/>
    <w:rPr>
      <w:rFonts w:ascii="Cambria" w:hAnsi="Cambria"/>
      <w:b/>
      <w:kern w:val="2"/>
      <w:sz w:val="32"/>
    </w:rPr>
  </w:style>
  <w:style w:type="character" w:customStyle="1" w:styleId="60">
    <w:name w:val="标题 Char1"/>
    <w:basedOn w:val="27"/>
    <w:qFormat/>
    <w:uiPriority w:val="10"/>
    <w:rPr>
      <w:rFonts w:asciiTheme="majorHAnsi" w:hAnsiTheme="majorHAnsi" w:cstheme="majorBidi"/>
      <w:b/>
      <w:bCs/>
      <w:kern w:val="2"/>
      <w:sz w:val="32"/>
      <w:szCs w:val="32"/>
    </w:rPr>
  </w:style>
  <w:style w:type="paragraph" w:customStyle="1" w:styleId="61">
    <w:name w:val="Char"/>
    <w:basedOn w:val="1"/>
    <w:qFormat/>
    <w:uiPriority w:val="0"/>
    <w:rPr>
      <w:rFonts w:ascii="Times New Roman" w:hAnsi="Times New Roman"/>
      <w:szCs w:val="20"/>
    </w:rPr>
  </w:style>
  <w:style w:type="paragraph" w:customStyle="1" w:styleId="62">
    <w:name w:val="Char Char Char Char"/>
    <w:basedOn w:val="1"/>
    <w:qFormat/>
    <w:uiPriority w:val="0"/>
    <w:pPr>
      <w:tabs>
        <w:tab w:val="left" w:pos="360"/>
      </w:tabs>
    </w:pPr>
    <w:rPr>
      <w:rFonts w:ascii="Times New Roman" w:hAnsi="Times New Roman"/>
      <w:szCs w:val="20"/>
    </w:rPr>
  </w:style>
  <w:style w:type="character" w:customStyle="1" w:styleId="63">
    <w:name w:val="脚注文本 字符"/>
    <w:basedOn w:val="27"/>
    <w:link w:val="20"/>
    <w:qFormat/>
    <w:uiPriority w:val="0"/>
    <w:rPr>
      <w:rFonts w:ascii="Times New Roman" w:hAnsi="Times New Roman"/>
      <w:kern w:val="2"/>
      <w:sz w:val="18"/>
    </w:rPr>
  </w:style>
  <w:style w:type="paragraph" w:customStyle="1" w:styleId="64">
    <w:name w:val="Char2"/>
    <w:basedOn w:val="1"/>
    <w:qFormat/>
    <w:uiPriority w:val="0"/>
    <w:rPr>
      <w:rFonts w:ascii="Times New Roman" w:hAnsi="Times New Roman"/>
      <w:szCs w:val="20"/>
    </w:rPr>
  </w:style>
  <w:style w:type="paragraph" w:customStyle="1" w:styleId="65">
    <w:name w:val="msonorm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66">
    <w:name w:val="Char Char"/>
    <w:basedOn w:val="1"/>
    <w:qFormat/>
    <w:uiPriority w:val="0"/>
    <w:rPr>
      <w:rFonts w:ascii="Times New Roman" w:hAnsi="Times New Roman"/>
      <w:szCs w:val="20"/>
    </w:rPr>
  </w:style>
  <w:style w:type="character" w:customStyle="1" w:styleId="67">
    <w:name w:val="纯文本 字符"/>
    <w:basedOn w:val="27"/>
    <w:link w:val="15"/>
    <w:qFormat/>
    <w:uiPriority w:val="0"/>
    <w:rPr>
      <w:rFonts w:ascii="宋体" w:hAnsi="Courier New"/>
      <w:sz w:val="21"/>
    </w:rPr>
  </w:style>
  <w:style w:type="paragraph" w:customStyle="1" w:styleId="68">
    <w:name w:val="Char Char1"/>
    <w:basedOn w:val="1"/>
    <w:qFormat/>
    <w:uiPriority w:val="0"/>
    <w:rPr>
      <w:rFonts w:ascii="Times New Roman" w:hAnsi="Times New Roman"/>
      <w:szCs w:val="20"/>
    </w:rPr>
  </w:style>
  <w:style w:type="paragraph" w:customStyle="1" w:styleId="69">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0">
    <w:name w:val="InfoBlue"/>
    <w:basedOn w:val="1"/>
    <w:qFormat/>
    <w:uiPriority w:val="0"/>
    <w:pPr>
      <w:tabs>
        <w:tab w:val="left" w:pos="420"/>
      </w:tabs>
      <w:spacing w:after="120" w:line="240" w:lineRule="atLeast"/>
      <w:ind w:left="420" w:hanging="420"/>
      <w:jc w:val="left"/>
    </w:pPr>
    <w:rPr>
      <w:rFonts w:ascii="宋体" w:hAnsi="宋体"/>
      <w:szCs w:val="20"/>
    </w:rPr>
  </w:style>
  <w:style w:type="paragraph" w:customStyle="1" w:styleId="71">
    <w:name w:val="unnamed1"/>
    <w:basedOn w:val="1"/>
    <w:qFormat/>
    <w:uiPriority w:val="0"/>
    <w:pPr>
      <w:spacing w:before="60" w:after="60"/>
      <w:ind w:left="15" w:right="15"/>
    </w:pPr>
    <w:rPr>
      <w:rFonts w:hint="eastAsia" w:ascii="宋体" w:hAnsi="宋体"/>
      <w:color w:val="000000"/>
      <w:sz w:val="18"/>
      <w:szCs w:val="18"/>
    </w:rPr>
  </w:style>
  <w:style w:type="paragraph" w:customStyle="1" w:styleId="72">
    <w:name w:val="Char Char4"/>
    <w:basedOn w:val="1"/>
    <w:qFormat/>
    <w:uiPriority w:val="0"/>
    <w:rPr>
      <w:rFonts w:ascii="Times New Roman" w:hAnsi="Times New Roman"/>
      <w:szCs w:val="20"/>
    </w:rPr>
  </w:style>
  <w:style w:type="paragraph" w:customStyle="1" w:styleId="73">
    <w:name w:val="Char Char3"/>
    <w:basedOn w:val="1"/>
    <w:qFormat/>
    <w:uiPriority w:val="0"/>
    <w:rPr>
      <w:rFonts w:ascii="Times New Roman" w:hAnsi="Times New Roman"/>
      <w:szCs w:val="20"/>
    </w:rPr>
  </w:style>
  <w:style w:type="paragraph" w:customStyle="1" w:styleId="74">
    <w:name w:val="HD正文"/>
    <w:basedOn w:val="1"/>
    <w:qFormat/>
    <w:uiPriority w:val="0"/>
    <w:pPr>
      <w:snapToGrid w:val="0"/>
      <w:spacing w:line="360" w:lineRule="auto"/>
      <w:ind w:firstLine="420" w:firstLineChars="200"/>
    </w:pPr>
    <w:rPr>
      <w:rFonts w:ascii="Times New Roman" w:hAnsi="Times New Roman"/>
      <w:szCs w:val="21"/>
    </w:rPr>
  </w:style>
  <w:style w:type="paragraph" w:customStyle="1" w:styleId="75">
    <w:name w:val="Char Char2"/>
    <w:basedOn w:val="1"/>
    <w:qFormat/>
    <w:uiPriority w:val="0"/>
    <w:rPr>
      <w:rFonts w:ascii="Times New Roman" w:hAnsi="Times New Roman"/>
      <w:szCs w:val="20"/>
    </w:rPr>
  </w:style>
  <w:style w:type="paragraph" w:customStyle="1" w:styleId="76">
    <w:name w:val="Char1"/>
    <w:basedOn w:val="1"/>
    <w:qFormat/>
    <w:uiPriority w:val="0"/>
    <w:rPr>
      <w:rFonts w:ascii="Times New Roman" w:hAnsi="Times New Roman"/>
      <w:szCs w:val="20"/>
    </w:rPr>
  </w:style>
  <w:style w:type="paragraph" w:customStyle="1" w:styleId="77">
    <w:name w:val="Char Char Char1"/>
    <w:basedOn w:val="1"/>
    <w:qFormat/>
    <w:uiPriority w:val="0"/>
    <w:rPr>
      <w:rFonts w:ascii="Times New Roman" w:hAnsi="Times New Roman"/>
      <w:szCs w:val="20"/>
    </w:rPr>
  </w:style>
  <w:style w:type="paragraph" w:customStyle="1" w:styleId="78">
    <w:name w:val="Char Char Char Char1"/>
    <w:basedOn w:val="1"/>
    <w:qFormat/>
    <w:uiPriority w:val="0"/>
    <w:pPr>
      <w:tabs>
        <w:tab w:val="left" w:pos="360"/>
      </w:tabs>
    </w:pPr>
    <w:rPr>
      <w:rFonts w:ascii="Times New Roman" w:hAnsi="Times New Roman"/>
      <w:szCs w:val="20"/>
    </w:rPr>
  </w:style>
  <w:style w:type="paragraph" w:customStyle="1" w:styleId="79">
    <w:name w:val="Char Char11"/>
    <w:basedOn w:val="1"/>
    <w:qFormat/>
    <w:uiPriority w:val="0"/>
    <w:rPr>
      <w:rFonts w:ascii="Times New Roman" w:hAnsi="Times New Roman"/>
      <w:szCs w:val="20"/>
    </w:rPr>
  </w:style>
  <w:style w:type="character" w:customStyle="1" w:styleId="80">
    <w:name w:val="grame"/>
    <w:basedOn w:val="27"/>
    <w:qFormat/>
    <w:uiPriority w:val="0"/>
  </w:style>
  <w:style w:type="character" w:customStyle="1" w:styleId="81">
    <w:name w:val="页眉 字符"/>
    <w:basedOn w:val="27"/>
    <w:link w:val="18"/>
    <w:qFormat/>
    <w:uiPriority w:val="0"/>
    <w:rPr>
      <w:kern w:val="2"/>
      <w:sz w:val="18"/>
      <w:szCs w:val="18"/>
    </w:rPr>
  </w:style>
  <w:style w:type="character" w:customStyle="1" w:styleId="82">
    <w:name w:val="批注主题 字符"/>
    <w:basedOn w:val="46"/>
    <w:link w:val="24"/>
    <w:semiHidden/>
    <w:qFormat/>
    <w:uiPriority w:val="0"/>
    <w:rPr>
      <w:b/>
      <w:bCs/>
      <w:kern w:val="2"/>
      <w:sz w:val="21"/>
      <w:szCs w:val="22"/>
    </w:rPr>
  </w:style>
  <w:style w:type="paragraph" w:customStyle="1" w:styleId="83">
    <w:name w:val="修订1"/>
    <w:hidden/>
    <w:semiHidden/>
    <w:qFormat/>
    <w:uiPriority w:val="99"/>
    <w:rPr>
      <w:rFonts w:ascii="Calibri" w:hAnsi="Calibri" w:eastAsia="宋体" w:cs="Times New Roman"/>
      <w:kern w:val="2"/>
      <w:sz w:val="21"/>
      <w:szCs w:val="22"/>
      <w:lang w:val="en-US" w:eastAsia="zh-CN" w:bidi="ar-SA"/>
    </w:rPr>
  </w:style>
  <w:style w:type="character" w:customStyle="1" w:styleId="84">
    <w:name w:val="正文文本 字符"/>
    <w:basedOn w:val="27"/>
    <w:link w:val="13"/>
    <w:semiHidden/>
    <w:qFormat/>
    <w:uiPriority w:val="0"/>
    <w:rPr>
      <w:kern w:val="2"/>
      <w:sz w:val="21"/>
      <w:szCs w:val="22"/>
    </w:rPr>
  </w:style>
  <w:style w:type="character" w:customStyle="1" w:styleId="85">
    <w:name w:val="批注文字 Char"/>
    <w:qFormat/>
    <w:uiPriority w:val="0"/>
    <w:rPr>
      <w:kern w:val="2"/>
      <w:sz w:val="21"/>
    </w:rPr>
  </w:style>
  <w:style w:type="paragraph" w:customStyle="1" w:styleId="86">
    <w:name w:val="修订2"/>
    <w:hidden/>
    <w:semiHidden/>
    <w:qFormat/>
    <w:uiPriority w:val="99"/>
    <w:rPr>
      <w:rFonts w:ascii="Calibri" w:hAnsi="Calibri" w:eastAsia="宋体" w:cs="Times New Roman"/>
      <w:kern w:val="2"/>
      <w:sz w:val="21"/>
      <w:szCs w:val="22"/>
      <w:lang w:val="en-US" w:eastAsia="zh-CN" w:bidi="ar-SA"/>
    </w:rPr>
  </w:style>
  <w:style w:type="character" w:customStyle="1" w:styleId="87">
    <w:name w:val="批注文字 字符"/>
    <w:qFormat/>
    <w:uiPriority w:val="0"/>
    <w:rPr>
      <w:kern w:val="2"/>
      <w:sz w:val="21"/>
    </w:rPr>
  </w:style>
  <w:style w:type="paragraph" w:styleId="88">
    <w:name w:val="List Paragraph"/>
    <w:basedOn w:val="1"/>
    <w:qFormat/>
    <w:uiPriority w:val="99"/>
    <w:pPr>
      <w:ind w:firstLine="420" w:firstLineChars="200"/>
    </w:pPr>
  </w:style>
  <w:style w:type="paragraph" w:customStyle="1" w:styleId="89">
    <w:name w:val="修订3"/>
    <w:hidden/>
    <w:semiHidden/>
    <w:qFormat/>
    <w:uiPriority w:val="99"/>
    <w:rPr>
      <w:rFonts w:ascii="Calibri" w:hAnsi="Calibri" w:eastAsia="宋体" w:cs="Times New Roman"/>
      <w:kern w:val="2"/>
      <w:sz w:val="21"/>
      <w:szCs w:val="22"/>
      <w:lang w:val="en-US" w:eastAsia="zh-CN" w:bidi="ar-SA"/>
    </w:rPr>
  </w:style>
  <w:style w:type="paragraph" w:customStyle="1" w:styleId="90">
    <w:name w:val="修订4"/>
    <w:hidden/>
    <w:semiHidden/>
    <w:qFormat/>
    <w:uiPriority w:val="99"/>
    <w:rPr>
      <w:rFonts w:ascii="Calibri" w:hAnsi="Calibri" w:eastAsia="宋体" w:cs="Times New Roman"/>
      <w:kern w:val="2"/>
      <w:sz w:val="21"/>
      <w:szCs w:val="22"/>
      <w:lang w:val="en-US" w:eastAsia="zh-CN" w:bidi="ar-SA"/>
    </w:rPr>
  </w:style>
  <w:style w:type="paragraph" w:customStyle="1" w:styleId="91">
    <w:name w:val="修订5"/>
    <w:hidden/>
    <w:semiHidden/>
    <w:qFormat/>
    <w:uiPriority w:val="99"/>
    <w:rPr>
      <w:rFonts w:ascii="Calibri" w:hAnsi="Calibri" w:eastAsia="宋体" w:cs="Times New Roman"/>
      <w:kern w:val="2"/>
      <w:sz w:val="21"/>
      <w:szCs w:val="22"/>
      <w:lang w:val="en-US" w:eastAsia="zh-CN" w:bidi="ar-SA"/>
    </w:rPr>
  </w:style>
  <w:style w:type="paragraph" w:customStyle="1" w:styleId="92">
    <w:name w:val="修订6"/>
    <w:hidden/>
    <w:semiHidden/>
    <w:qFormat/>
    <w:uiPriority w:val="99"/>
    <w:rPr>
      <w:rFonts w:ascii="Calibri" w:hAnsi="Calibri" w:eastAsia="宋体" w:cs="Times New Roman"/>
      <w:kern w:val="2"/>
      <w:sz w:val="21"/>
      <w:szCs w:val="22"/>
      <w:lang w:val="en-US" w:eastAsia="zh-CN" w:bidi="ar-SA"/>
    </w:rPr>
  </w:style>
  <w:style w:type="paragraph" w:customStyle="1" w:styleId="93">
    <w:name w:val="修订7"/>
    <w:hidden/>
    <w:semiHidden/>
    <w:qFormat/>
    <w:uiPriority w:val="99"/>
    <w:rPr>
      <w:rFonts w:ascii="Calibri" w:hAnsi="Calibri" w:eastAsia="宋体" w:cs="Times New Roman"/>
      <w:kern w:val="2"/>
      <w:sz w:val="21"/>
      <w:szCs w:val="22"/>
      <w:lang w:val="en-US" w:eastAsia="zh-CN" w:bidi="ar-SA"/>
    </w:rPr>
  </w:style>
  <w:style w:type="paragraph" w:customStyle="1" w:styleId="94">
    <w:name w:val="修订8"/>
    <w:hidden/>
    <w:unhideWhenUsed/>
    <w:qFormat/>
    <w:uiPriority w:val="99"/>
    <w:rPr>
      <w:rFonts w:ascii="Calibri" w:hAnsi="Calibri" w:eastAsia="宋体" w:cs="Times New Roman"/>
      <w:kern w:val="2"/>
      <w:sz w:val="21"/>
      <w:szCs w:val="22"/>
      <w:lang w:val="en-US" w:eastAsia="zh-CN" w:bidi="ar-SA"/>
    </w:rPr>
  </w:style>
  <w:style w:type="paragraph" w:customStyle="1" w:styleId="95">
    <w:name w:val="修订9"/>
    <w:hidden/>
    <w:unhideWhenUsed/>
    <w:qFormat/>
    <w:uiPriority w:val="99"/>
    <w:rPr>
      <w:rFonts w:ascii="Calibri" w:hAnsi="Calibri" w:eastAsia="宋体" w:cs="Times New Roman"/>
      <w:kern w:val="2"/>
      <w:sz w:val="21"/>
      <w:szCs w:val="22"/>
      <w:lang w:val="en-US" w:eastAsia="zh-CN" w:bidi="ar-SA"/>
    </w:rPr>
  </w:style>
  <w:style w:type="character" w:customStyle="1" w:styleId="96">
    <w:name w:val="未处理的提及1"/>
    <w:basedOn w:val="27"/>
    <w:semiHidden/>
    <w:unhideWhenUsed/>
    <w:qFormat/>
    <w:uiPriority w:val="99"/>
    <w:rPr>
      <w:color w:val="605E5C"/>
      <w:shd w:val="clear" w:color="auto" w:fill="E1DFDD"/>
    </w:rPr>
  </w:style>
  <w:style w:type="paragraph" w:customStyle="1" w:styleId="97">
    <w:name w:val="修订10"/>
    <w:hidden/>
    <w:semiHidden/>
    <w:qFormat/>
    <w:uiPriority w:val="99"/>
    <w:rPr>
      <w:rFonts w:ascii="Calibri" w:hAnsi="Calibri" w:eastAsia="宋体" w:cs="Times New Roman"/>
      <w:kern w:val="2"/>
      <w:sz w:val="21"/>
      <w:szCs w:val="22"/>
      <w:lang w:val="en-US" w:eastAsia="zh-CN" w:bidi="ar-SA"/>
    </w:rPr>
  </w:style>
  <w:style w:type="paragraph" w:customStyle="1" w:styleId="98">
    <w:name w:val="修订11"/>
    <w:hidden/>
    <w:semiHidden/>
    <w:qFormat/>
    <w:uiPriority w:val="99"/>
    <w:rPr>
      <w:rFonts w:ascii="Calibri" w:hAnsi="Calibri" w:eastAsia="宋体" w:cs="Times New Roman"/>
      <w:kern w:val="2"/>
      <w:sz w:val="21"/>
      <w:szCs w:val="22"/>
      <w:lang w:val="en-US" w:eastAsia="zh-CN" w:bidi="ar-SA"/>
    </w:rPr>
  </w:style>
  <w:style w:type="paragraph" w:customStyle="1" w:styleId="99">
    <w:name w:val="修订12"/>
    <w:hidden/>
    <w:unhideWhenUsed/>
    <w:qFormat/>
    <w:uiPriority w:val="99"/>
    <w:rPr>
      <w:rFonts w:ascii="Calibri" w:hAnsi="Calibri" w:eastAsia="宋体" w:cs="Times New Roman"/>
      <w:kern w:val="2"/>
      <w:sz w:val="21"/>
      <w:szCs w:val="22"/>
      <w:lang w:val="en-US" w:eastAsia="zh-CN" w:bidi="ar-SA"/>
    </w:rPr>
  </w:style>
  <w:style w:type="paragraph" w:customStyle="1" w:styleId="100">
    <w:name w:val="修订13"/>
    <w:hidden/>
    <w:unhideWhenUsed/>
    <w:qFormat/>
    <w:uiPriority w:val="99"/>
    <w:rPr>
      <w:rFonts w:ascii="Calibri" w:hAnsi="Calibri" w:eastAsia="宋体" w:cs="Times New Roman"/>
      <w:kern w:val="2"/>
      <w:sz w:val="21"/>
      <w:szCs w:val="22"/>
      <w:lang w:val="en-US" w:eastAsia="zh-CN" w:bidi="ar-SA"/>
    </w:rPr>
  </w:style>
  <w:style w:type="character" w:customStyle="1" w:styleId="101">
    <w:name w:val="未处理的提及2"/>
    <w:basedOn w:val="27"/>
    <w:semiHidden/>
    <w:unhideWhenUsed/>
    <w:qFormat/>
    <w:uiPriority w:val="99"/>
    <w:rPr>
      <w:color w:val="605E5C"/>
      <w:shd w:val="clear" w:color="auto" w:fill="E1DFDD"/>
    </w:rPr>
  </w:style>
  <w:style w:type="paragraph" w:customStyle="1" w:styleId="102">
    <w:name w:val="修订14"/>
    <w:hidden/>
    <w:unhideWhenUsed/>
    <w:qFormat/>
    <w:uiPriority w:val="99"/>
    <w:rPr>
      <w:rFonts w:ascii="Calibri" w:hAnsi="Calibri" w:eastAsia="宋体" w:cs="Times New Roman"/>
      <w:kern w:val="2"/>
      <w:sz w:val="21"/>
      <w:szCs w:val="22"/>
      <w:lang w:val="en-US" w:eastAsia="zh-CN" w:bidi="ar-SA"/>
    </w:rPr>
  </w:style>
  <w:style w:type="paragraph" w:customStyle="1" w:styleId="103">
    <w:name w:val="修订15"/>
    <w:hidden/>
    <w:semiHidden/>
    <w:qFormat/>
    <w:uiPriority w:val="99"/>
    <w:rPr>
      <w:rFonts w:ascii="Calibri" w:hAnsi="Calibri" w:eastAsia="宋体" w:cs="Times New Roman"/>
      <w:kern w:val="2"/>
      <w:sz w:val="21"/>
      <w:szCs w:val="22"/>
      <w:lang w:val="en-US" w:eastAsia="zh-CN" w:bidi="ar-SA"/>
    </w:rPr>
  </w:style>
  <w:style w:type="paragraph" w:customStyle="1" w:styleId="104">
    <w:name w:val="修订16"/>
    <w:hidden/>
    <w:unhideWhenUsed/>
    <w:qFormat/>
    <w:uiPriority w:val="99"/>
    <w:rPr>
      <w:rFonts w:ascii="Calibri" w:hAnsi="Calibri" w:eastAsia="宋体" w:cs="Times New Roman"/>
      <w:kern w:val="2"/>
      <w:sz w:val="21"/>
      <w:szCs w:val="22"/>
      <w:lang w:val="en-US" w:eastAsia="zh-CN" w:bidi="ar-SA"/>
    </w:rPr>
  </w:style>
  <w:style w:type="paragraph" w:customStyle="1" w:styleId="105">
    <w:name w:val="Revision"/>
    <w:hidden/>
    <w:unhideWhenUsed/>
    <w:qFormat/>
    <w:uiPriority w:val="99"/>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8" Type="http://schemas.openxmlformats.org/officeDocument/2006/relationships/fontTable" Target="fontTable.xml"/><Relationship Id="rId37" Type="http://schemas.openxmlformats.org/officeDocument/2006/relationships/customXml" Target="../customXml/item1.xml"/><Relationship Id="rId36" Type="http://schemas.openxmlformats.org/officeDocument/2006/relationships/numbering" Target="numbering.xml"/><Relationship Id="rId35" Type="http://schemas.openxmlformats.org/officeDocument/2006/relationships/theme" Target="theme/theme1.xml"/><Relationship Id="rId34" Type="http://schemas.openxmlformats.org/officeDocument/2006/relationships/footer" Target="footer29.xml"/><Relationship Id="rId33" Type="http://schemas.openxmlformats.org/officeDocument/2006/relationships/footer" Target="footer28.xml"/><Relationship Id="rId32" Type="http://schemas.openxmlformats.org/officeDocument/2006/relationships/footer" Target="footer27.xml"/><Relationship Id="rId31" Type="http://schemas.openxmlformats.org/officeDocument/2006/relationships/footer" Target="footer26.xml"/><Relationship Id="rId30" Type="http://schemas.openxmlformats.org/officeDocument/2006/relationships/footer" Target="footer25.xml"/><Relationship Id="rId3" Type="http://schemas.openxmlformats.org/officeDocument/2006/relationships/header" Target="header1.xml"/><Relationship Id="rId29" Type="http://schemas.openxmlformats.org/officeDocument/2006/relationships/footer" Target="footer24.xml"/><Relationship Id="rId28" Type="http://schemas.openxmlformats.org/officeDocument/2006/relationships/footer" Target="footer23.xml"/><Relationship Id="rId27" Type="http://schemas.openxmlformats.org/officeDocument/2006/relationships/footer" Target="footer22.xml"/><Relationship Id="rId26" Type="http://schemas.openxmlformats.org/officeDocument/2006/relationships/footer" Target="footer21.xml"/><Relationship Id="rId25" Type="http://schemas.openxmlformats.org/officeDocument/2006/relationships/footer" Target="footer20.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footer" Target="footer17.xml"/><Relationship Id="rId21" Type="http://schemas.openxmlformats.org/officeDocument/2006/relationships/footer" Target="footer16.xml"/><Relationship Id="rId20" Type="http://schemas.openxmlformats.org/officeDocument/2006/relationships/footer" Target="footer15.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CF1CE7C1-21EA-4E5F-B586-E2F31429EF9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112</Pages>
  <Words>37833</Words>
  <Characters>37834</Characters>
  <Lines>1401</Lines>
  <Paragraphs>1182</Paragraphs>
  <TotalTime>0</TotalTime>
  <ScaleCrop>false</ScaleCrop>
  <LinksUpToDate>false</LinksUpToDate>
  <CharactersWithSpaces>74485</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2026-04-29T02:27:00Z</dcterms:created>
  <dc:creator>liush</dc:creator>
  <cp:lastModifiedBy>xiaolw</cp:lastModifiedBy>
  <cp:lastPrinted>2021-12-17T16:11:00Z</cp:lastPrinted>
  <dcterms:modified xsi:type="dcterms:W3CDTF">2026-07-09T05:54:28Z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ractId">
    <vt:lpwstr>8ad66bbe17e94d1c9f15e64eec6d06ab</vt:lpwstr>
  </property>
  <property fmtid="{D5CDD505-2E9C-101B-9397-08002B2CF9AE}" pid="3" name="KSOProductBuildVer">
    <vt:lpwstr>2052-12.8.2.19795</vt:lpwstr>
  </property>
  <property fmtid="{D5CDD505-2E9C-101B-9397-08002B2CF9AE}" pid="4" name="verificationId">
    <vt:lpwstr>a093d8d956223fbc</vt:lpwstr>
  </property>
  <property fmtid="{D5CDD505-2E9C-101B-9397-08002B2CF9AE}" pid="5" name="ICV">
    <vt:lpwstr>C812A6766FC2447481691DB8BD31582A_13</vt:lpwstr>
  </property>
  <property fmtid="{D5CDD505-2E9C-101B-9397-08002B2CF9AE}" pid="6" name="KSOTemplateDocerSaveRecord">
    <vt:lpwstr>eyJoZGlkIjoiMGUxNDJkOGFlNmZmMDgzNGYxODFlNDdiYWYyYTNhMDkiLCJ1c2VySWQiOiIxMjU2MzI2MTQ5In0=</vt:lpwstr>
  </property>
</Properties>
</file>