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6D6F8"/>
    <w:p w14:paraId="3D8519B9">
      <w:pPr>
        <w:jc w:val="center"/>
        <w:rPr>
          <w:rFonts w:hint="eastAsia" w:ascii="宋体" w:hAnsi="宋体" w:eastAsia="宋体"/>
          <w:b/>
          <w:sz w:val="30"/>
        </w:rPr>
      </w:pPr>
      <w:r>
        <w:rPr>
          <w:rFonts w:hint="eastAsia" w:ascii="宋体" w:hAnsi="宋体" w:eastAsia="宋体"/>
          <w:b/>
          <w:sz w:val="30"/>
        </w:rPr>
        <w:t>博时富鸿金融债3个月定期开放债券型证券投资基金开放申购、赎回业务公告</w:t>
      </w:r>
    </w:p>
    <w:p w14:paraId="005BE4B5">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2026年6月27日</w:t>
      </w:r>
    </w:p>
    <w:p w14:paraId="6FB966AA">
      <w:pPr>
        <w:jc w:val="center"/>
        <w:rPr>
          <w:rFonts w:ascii="宋体" w:hAnsi="宋体" w:eastAsia="宋体"/>
          <w:b/>
          <w:sz w:val="24"/>
        </w:rPr>
      </w:pPr>
    </w:p>
    <w:p w14:paraId="66AAF634">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3319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69836BF">
            <w:pPr>
              <w:rPr>
                <w:rFonts w:ascii="宋体" w:hAnsi="宋体" w:eastAsia="宋体"/>
                <w:sz w:val="24"/>
              </w:rPr>
            </w:pPr>
            <w:r>
              <w:rPr>
                <w:rFonts w:hint="eastAsia" w:ascii="宋体" w:hAnsi="宋体" w:eastAsia="宋体"/>
                <w:sz w:val="24"/>
              </w:rPr>
              <w:t>基金名称</w:t>
            </w:r>
          </w:p>
        </w:tc>
        <w:tc>
          <w:tcPr>
            <w:tcW w:w="5682" w:type="dxa"/>
            <w:gridSpan w:val="2"/>
            <w:vAlign w:val="center"/>
          </w:tcPr>
          <w:p w14:paraId="74C33A49">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3个月定期开放债券型证券投资基金</w:t>
            </w:r>
          </w:p>
        </w:tc>
      </w:tr>
      <w:tr w14:paraId="3CFE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1412772">
            <w:pPr>
              <w:rPr>
                <w:rFonts w:ascii="宋体" w:hAnsi="宋体" w:eastAsia="宋体"/>
                <w:sz w:val="24"/>
              </w:rPr>
            </w:pPr>
            <w:r>
              <w:rPr>
                <w:rFonts w:hint="eastAsia" w:ascii="宋体" w:hAnsi="宋体" w:eastAsia="宋体"/>
                <w:sz w:val="24"/>
              </w:rPr>
              <w:t>基金简称</w:t>
            </w:r>
          </w:p>
        </w:tc>
        <w:tc>
          <w:tcPr>
            <w:tcW w:w="5682" w:type="dxa"/>
            <w:gridSpan w:val="2"/>
            <w:vAlign w:val="center"/>
          </w:tcPr>
          <w:p w14:paraId="6F0A84FA">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3个月定开债</w:t>
            </w:r>
          </w:p>
        </w:tc>
      </w:tr>
      <w:tr w14:paraId="1482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113D4E4">
            <w:pPr>
              <w:rPr>
                <w:rFonts w:ascii="宋体" w:hAnsi="宋体" w:eastAsia="宋体"/>
                <w:sz w:val="24"/>
              </w:rPr>
            </w:pPr>
            <w:r>
              <w:rPr>
                <w:rFonts w:hint="eastAsia" w:ascii="宋体" w:hAnsi="宋体" w:eastAsia="宋体"/>
                <w:sz w:val="24"/>
              </w:rPr>
              <w:t>基金主代码</w:t>
            </w:r>
          </w:p>
        </w:tc>
        <w:tc>
          <w:tcPr>
            <w:tcW w:w="5682" w:type="dxa"/>
            <w:gridSpan w:val="2"/>
            <w:vAlign w:val="center"/>
          </w:tcPr>
          <w:p w14:paraId="00EAC9D6">
            <w:pPr>
              <w:rPr>
                <w:rFonts w:ascii="宋体" w:hAnsi="宋体" w:eastAsia="宋体"/>
                <w:sz w:val="24"/>
              </w:rPr>
            </w:pPr>
            <w:r>
              <w:rPr>
                <w:rFonts w:ascii="宋体" w:hAnsi="宋体" w:eastAsia="宋体"/>
                <w:sz w:val="24"/>
              </w:rPr>
              <w:t>015397</w:t>
            </w:r>
          </w:p>
        </w:tc>
      </w:tr>
      <w:tr w14:paraId="1BE3F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10BFDBE">
            <w:pPr>
              <w:rPr>
                <w:rFonts w:ascii="宋体" w:hAnsi="宋体" w:eastAsia="宋体"/>
                <w:sz w:val="24"/>
              </w:rPr>
            </w:pPr>
            <w:r>
              <w:rPr>
                <w:rFonts w:hint="eastAsia" w:ascii="宋体" w:hAnsi="宋体" w:eastAsia="宋体"/>
                <w:sz w:val="24"/>
              </w:rPr>
              <w:t>基金运作方式</w:t>
            </w:r>
          </w:p>
        </w:tc>
        <w:tc>
          <w:tcPr>
            <w:tcW w:w="5682" w:type="dxa"/>
            <w:gridSpan w:val="2"/>
            <w:vAlign w:val="center"/>
          </w:tcPr>
          <w:p w14:paraId="7E89948B">
            <w:pPr>
              <w:rPr>
                <w:rFonts w:ascii="宋体" w:hAnsi="宋体" w:eastAsia="宋体"/>
                <w:sz w:val="24"/>
              </w:rPr>
            </w:pPr>
            <w:r>
              <w:rPr>
                <w:rFonts w:hint="eastAsia" w:ascii="宋体" w:hAnsi="宋体" w:eastAsia="宋体"/>
                <w:sz w:val="24"/>
              </w:rPr>
              <w:t>契约型基金。本基金以定期开放的方式运作。</w:t>
            </w:r>
          </w:p>
        </w:tc>
      </w:tr>
      <w:tr w14:paraId="7535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871033B">
            <w:pPr>
              <w:rPr>
                <w:rFonts w:ascii="宋体" w:hAnsi="宋体" w:eastAsia="宋体"/>
                <w:sz w:val="24"/>
              </w:rPr>
            </w:pPr>
            <w:r>
              <w:rPr>
                <w:rFonts w:hint="eastAsia" w:ascii="宋体" w:hAnsi="宋体" w:eastAsia="宋体"/>
                <w:sz w:val="24"/>
              </w:rPr>
              <w:t>基金合同生效日</w:t>
            </w:r>
          </w:p>
        </w:tc>
        <w:tc>
          <w:tcPr>
            <w:tcW w:w="5682" w:type="dxa"/>
            <w:gridSpan w:val="2"/>
            <w:vAlign w:val="center"/>
          </w:tcPr>
          <w:p w14:paraId="15083AA9">
            <w:pPr>
              <w:rPr>
                <w:rFonts w:ascii="宋体" w:hAnsi="宋体" w:eastAsia="宋体"/>
                <w:sz w:val="24"/>
              </w:rPr>
            </w:pPr>
            <w:r>
              <w:rPr>
                <w:rFonts w:ascii="宋体" w:hAnsi="宋体" w:eastAsia="宋体"/>
                <w:sz w:val="24"/>
              </w:rPr>
              <w:t>2022年5月26日</w:t>
            </w:r>
          </w:p>
        </w:tc>
      </w:tr>
      <w:tr w14:paraId="0685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E061248">
            <w:pPr>
              <w:rPr>
                <w:rFonts w:ascii="宋体" w:hAnsi="宋体" w:eastAsia="宋体"/>
                <w:sz w:val="24"/>
              </w:rPr>
            </w:pPr>
            <w:r>
              <w:rPr>
                <w:rFonts w:hint="eastAsia" w:ascii="宋体" w:hAnsi="宋体" w:eastAsia="宋体"/>
                <w:sz w:val="24"/>
              </w:rPr>
              <w:t>基金管理人名称</w:t>
            </w:r>
          </w:p>
        </w:tc>
        <w:tc>
          <w:tcPr>
            <w:tcW w:w="5682" w:type="dxa"/>
            <w:gridSpan w:val="2"/>
            <w:vAlign w:val="center"/>
          </w:tcPr>
          <w:p w14:paraId="1C522B42">
            <w:pPr>
              <w:rPr>
                <w:rFonts w:ascii="宋体" w:hAnsi="宋体" w:eastAsia="宋体"/>
                <w:sz w:val="24"/>
              </w:rPr>
            </w:pPr>
            <w:r>
              <w:rPr>
                <w:rFonts w:hint="eastAsia" w:ascii="宋体" w:hAnsi="宋体" w:eastAsia="宋体"/>
                <w:sz w:val="24"/>
              </w:rPr>
              <w:t>博时基金管理有限公司</w:t>
            </w:r>
          </w:p>
        </w:tc>
      </w:tr>
      <w:tr w14:paraId="1336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FA78394">
            <w:pPr>
              <w:rPr>
                <w:rFonts w:ascii="宋体" w:hAnsi="宋体" w:eastAsia="宋体"/>
                <w:sz w:val="24"/>
              </w:rPr>
            </w:pPr>
            <w:r>
              <w:rPr>
                <w:rFonts w:hint="eastAsia" w:ascii="宋体" w:hAnsi="宋体" w:eastAsia="宋体"/>
                <w:sz w:val="24"/>
              </w:rPr>
              <w:t>基金托管人名称</w:t>
            </w:r>
          </w:p>
        </w:tc>
        <w:tc>
          <w:tcPr>
            <w:tcW w:w="5682" w:type="dxa"/>
            <w:gridSpan w:val="2"/>
            <w:vAlign w:val="center"/>
          </w:tcPr>
          <w:p w14:paraId="0C413EC7">
            <w:pPr>
              <w:rPr>
                <w:rFonts w:ascii="宋体" w:hAnsi="宋体" w:eastAsia="宋体"/>
                <w:sz w:val="24"/>
              </w:rPr>
            </w:pPr>
            <w:r>
              <w:rPr>
                <w:rFonts w:hint="eastAsia" w:ascii="宋体" w:hAnsi="宋体" w:eastAsia="宋体"/>
                <w:sz w:val="24"/>
              </w:rPr>
              <w:t>招商银行股份有限公司</w:t>
            </w:r>
          </w:p>
        </w:tc>
      </w:tr>
      <w:tr w14:paraId="405A3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F2A11FF">
            <w:pPr>
              <w:rPr>
                <w:rFonts w:ascii="宋体" w:hAnsi="宋体" w:eastAsia="宋体"/>
                <w:sz w:val="24"/>
              </w:rPr>
            </w:pPr>
            <w:r>
              <w:rPr>
                <w:rFonts w:hint="eastAsia" w:ascii="宋体" w:hAnsi="宋体" w:eastAsia="宋体"/>
                <w:sz w:val="24"/>
              </w:rPr>
              <w:t>基金注册登记机构名称</w:t>
            </w:r>
          </w:p>
        </w:tc>
        <w:tc>
          <w:tcPr>
            <w:tcW w:w="5682" w:type="dxa"/>
            <w:gridSpan w:val="2"/>
            <w:vAlign w:val="center"/>
          </w:tcPr>
          <w:p w14:paraId="1348E277">
            <w:pPr>
              <w:rPr>
                <w:rFonts w:ascii="宋体" w:hAnsi="宋体" w:eastAsia="宋体"/>
                <w:sz w:val="24"/>
              </w:rPr>
            </w:pPr>
            <w:r>
              <w:rPr>
                <w:rFonts w:hint="eastAsia" w:ascii="宋体" w:hAnsi="宋体" w:eastAsia="宋体"/>
                <w:sz w:val="24"/>
              </w:rPr>
              <w:t>博时基金管理有限公司</w:t>
            </w:r>
          </w:p>
        </w:tc>
      </w:tr>
      <w:tr w14:paraId="237D2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2BE7284">
            <w:pPr>
              <w:rPr>
                <w:rFonts w:ascii="宋体" w:hAnsi="宋体" w:eastAsia="宋体"/>
                <w:sz w:val="24"/>
              </w:rPr>
            </w:pPr>
            <w:r>
              <w:rPr>
                <w:rFonts w:hint="eastAsia" w:ascii="宋体" w:hAnsi="宋体" w:eastAsia="宋体"/>
                <w:sz w:val="24"/>
              </w:rPr>
              <w:t>公告依据</w:t>
            </w:r>
          </w:p>
        </w:tc>
        <w:tc>
          <w:tcPr>
            <w:tcW w:w="5682" w:type="dxa"/>
            <w:gridSpan w:val="2"/>
            <w:vAlign w:val="center"/>
          </w:tcPr>
          <w:p w14:paraId="121BF5F9">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《中华人民共和国证券投资基金法》、《公开募集证券投资基金运作管理办法》等法律法规以及《博时富鸿金融债</w:t>
            </w:r>
            <w:r>
              <w:rPr>
                <w:rFonts w:ascii="宋体" w:hAnsi="宋体" w:eastAsia="宋体"/>
                <w:sz w:val="24"/>
              </w:rPr>
              <w:t>3个月定期开放债券型证券投资基金基金合同》（以下简称“《基金合同》”）及《博时富鸿金融债3个月定期开放债券型证券投资基金招募说明书》（以下简称“《招募说明书》”）</w:t>
            </w:r>
          </w:p>
        </w:tc>
      </w:tr>
      <w:tr w14:paraId="52BE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8E8F370">
            <w:pPr>
              <w:rPr>
                <w:rFonts w:ascii="宋体" w:hAnsi="宋体" w:eastAsia="宋体"/>
                <w:sz w:val="24"/>
              </w:rPr>
            </w:pPr>
            <w:r>
              <w:rPr>
                <w:rFonts w:hint="eastAsia" w:ascii="宋体" w:hAnsi="宋体" w:eastAsia="宋体"/>
                <w:sz w:val="24"/>
              </w:rPr>
              <w:t>申购起始日</w:t>
            </w:r>
          </w:p>
        </w:tc>
        <w:tc>
          <w:tcPr>
            <w:tcW w:w="5682" w:type="dxa"/>
            <w:gridSpan w:val="2"/>
            <w:vAlign w:val="center"/>
          </w:tcPr>
          <w:p w14:paraId="34577F41">
            <w:pPr>
              <w:rPr>
                <w:rFonts w:ascii="宋体" w:hAnsi="宋体" w:eastAsia="宋体"/>
                <w:sz w:val="24"/>
              </w:rPr>
            </w:pPr>
            <w:r>
              <w:rPr>
                <w:rFonts w:ascii="宋体" w:hAnsi="宋体" w:eastAsia="宋体"/>
                <w:sz w:val="24"/>
              </w:rPr>
              <w:t>2026年7月2日</w:t>
            </w:r>
          </w:p>
        </w:tc>
      </w:tr>
      <w:tr w14:paraId="3914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0D19983">
            <w:pPr>
              <w:rPr>
                <w:rFonts w:ascii="宋体" w:hAnsi="宋体" w:eastAsia="宋体"/>
                <w:sz w:val="24"/>
              </w:rPr>
            </w:pPr>
            <w:r>
              <w:rPr>
                <w:rFonts w:hint="eastAsia" w:ascii="宋体" w:hAnsi="宋体" w:eastAsia="宋体"/>
                <w:sz w:val="24"/>
              </w:rPr>
              <w:t>赎回起始日</w:t>
            </w:r>
          </w:p>
        </w:tc>
        <w:tc>
          <w:tcPr>
            <w:tcW w:w="5682" w:type="dxa"/>
            <w:gridSpan w:val="2"/>
            <w:vAlign w:val="center"/>
          </w:tcPr>
          <w:p w14:paraId="17A1B933">
            <w:pPr>
              <w:rPr>
                <w:rFonts w:ascii="宋体" w:hAnsi="宋体" w:eastAsia="宋体"/>
                <w:sz w:val="24"/>
              </w:rPr>
            </w:pPr>
            <w:r>
              <w:rPr>
                <w:rFonts w:ascii="宋体" w:hAnsi="宋体" w:eastAsia="宋体"/>
                <w:sz w:val="24"/>
              </w:rPr>
              <w:t>2026年7月2日</w:t>
            </w:r>
          </w:p>
        </w:tc>
      </w:tr>
      <w:tr w14:paraId="33F5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78E0887">
            <w:pPr>
              <w:rPr>
                <w:rFonts w:ascii="宋体" w:hAnsi="宋体" w:eastAsia="宋体"/>
                <w:sz w:val="24"/>
              </w:rPr>
            </w:pPr>
            <w:r>
              <w:rPr>
                <w:rFonts w:hint="eastAsia" w:ascii="宋体" w:hAnsi="宋体" w:eastAsia="宋体"/>
                <w:sz w:val="24"/>
              </w:rPr>
              <w:t>下属分级基金的基金简称</w:t>
            </w:r>
          </w:p>
        </w:tc>
        <w:tc>
          <w:tcPr>
            <w:tcW w:w="2841" w:type="dxa"/>
            <w:vAlign w:val="center"/>
          </w:tcPr>
          <w:p w14:paraId="39031E1D">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3个月定开债A</w:t>
            </w:r>
          </w:p>
        </w:tc>
        <w:tc>
          <w:tcPr>
            <w:tcW w:w="2841" w:type="dxa"/>
            <w:vAlign w:val="center"/>
          </w:tcPr>
          <w:p w14:paraId="53755D92">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3个月定开债C</w:t>
            </w:r>
          </w:p>
        </w:tc>
      </w:tr>
      <w:tr w14:paraId="030D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EB2EBE8">
            <w:pPr>
              <w:rPr>
                <w:rFonts w:ascii="宋体" w:hAnsi="宋体" w:eastAsia="宋体"/>
                <w:sz w:val="24"/>
              </w:rPr>
            </w:pPr>
            <w:r>
              <w:rPr>
                <w:rFonts w:hint="eastAsia" w:ascii="宋体" w:hAnsi="宋体" w:eastAsia="宋体"/>
                <w:sz w:val="24"/>
              </w:rPr>
              <w:t>下属分级基金的交易代码</w:t>
            </w:r>
          </w:p>
        </w:tc>
        <w:tc>
          <w:tcPr>
            <w:tcW w:w="2841" w:type="dxa"/>
            <w:vAlign w:val="center"/>
          </w:tcPr>
          <w:p w14:paraId="3BD533D8">
            <w:pPr>
              <w:rPr>
                <w:rFonts w:ascii="宋体" w:hAnsi="宋体" w:eastAsia="宋体"/>
                <w:sz w:val="24"/>
              </w:rPr>
            </w:pPr>
            <w:r>
              <w:rPr>
                <w:rFonts w:ascii="宋体" w:hAnsi="宋体" w:eastAsia="宋体"/>
                <w:sz w:val="24"/>
              </w:rPr>
              <w:t>015397</w:t>
            </w:r>
          </w:p>
        </w:tc>
        <w:tc>
          <w:tcPr>
            <w:tcW w:w="2841" w:type="dxa"/>
            <w:vAlign w:val="center"/>
          </w:tcPr>
          <w:p w14:paraId="6E865170">
            <w:pPr>
              <w:rPr>
                <w:rFonts w:ascii="宋体" w:hAnsi="宋体" w:eastAsia="宋体"/>
                <w:sz w:val="24"/>
              </w:rPr>
            </w:pPr>
            <w:r>
              <w:rPr>
                <w:rFonts w:ascii="宋体" w:hAnsi="宋体" w:eastAsia="宋体"/>
                <w:sz w:val="24"/>
              </w:rPr>
              <w:t>020680</w:t>
            </w:r>
          </w:p>
        </w:tc>
      </w:tr>
      <w:tr w14:paraId="28CC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DA06F9B">
            <w:pPr>
              <w:rPr>
                <w:rFonts w:ascii="宋体" w:hAnsi="宋体" w:eastAsia="宋体"/>
                <w:sz w:val="24"/>
              </w:rPr>
            </w:pPr>
            <w:r>
              <w:rPr>
                <w:rFonts w:hint="eastAsia" w:ascii="宋体" w:hAnsi="宋体" w:eastAsia="宋体"/>
                <w:sz w:val="24"/>
              </w:rPr>
              <w:t>该基金份额是否开放申购、赎回</w:t>
            </w:r>
          </w:p>
        </w:tc>
        <w:tc>
          <w:tcPr>
            <w:tcW w:w="2841" w:type="dxa"/>
            <w:vAlign w:val="center"/>
          </w:tcPr>
          <w:p w14:paraId="63709CB0">
            <w:pPr>
              <w:rPr>
                <w:rFonts w:ascii="宋体" w:hAnsi="宋体" w:eastAsia="宋体"/>
                <w:sz w:val="24"/>
              </w:rPr>
            </w:pPr>
            <w:r>
              <w:rPr>
                <w:rFonts w:hint="eastAsia" w:ascii="宋体" w:hAnsi="宋体" w:eastAsia="宋体"/>
                <w:sz w:val="24"/>
              </w:rPr>
              <w:t>是</w:t>
            </w:r>
          </w:p>
        </w:tc>
        <w:tc>
          <w:tcPr>
            <w:tcW w:w="2841" w:type="dxa"/>
            <w:vAlign w:val="center"/>
          </w:tcPr>
          <w:p w14:paraId="61E4829E">
            <w:pPr>
              <w:rPr>
                <w:rFonts w:ascii="宋体" w:hAnsi="宋体" w:eastAsia="宋体"/>
                <w:sz w:val="24"/>
              </w:rPr>
            </w:pPr>
            <w:r>
              <w:rPr>
                <w:rFonts w:hint="eastAsia" w:ascii="宋体" w:hAnsi="宋体" w:eastAsia="宋体"/>
                <w:sz w:val="24"/>
              </w:rPr>
              <w:t>是</w:t>
            </w:r>
          </w:p>
        </w:tc>
      </w:tr>
    </w:tbl>
    <w:p w14:paraId="49CE4358"/>
    <w:p w14:paraId="1FBA7FB4">
      <w:pPr>
        <w:pStyle w:val="2"/>
        <w:rPr>
          <w:rFonts w:hint="eastAsia" w:ascii="宋体" w:hAnsi="宋体" w:eastAsia="宋体"/>
          <w:sz w:val="24"/>
        </w:rPr>
      </w:pPr>
      <w:r>
        <w:rPr>
          <w:rFonts w:hint="eastAsia" w:ascii="宋体" w:hAnsi="宋体" w:eastAsia="宋体"/>
          <w:sz w:val="24"/>
        </w:rPr>
        <w:t>2、日常</w:t>
      </w:r>
      <w:bookmarkStart w:id="0" w:name="_GoBack"/>
      <w:bookmarkEnd w:id="0"/>
      <w:r>
        <w:rPr>
          <w:rFonts w:hint="eastAsia" w:ascii="宋体" w:hAnsi="宋体" w:eastAsia="宋体"/>
          <w:sz w:val="24"/>
        </w:rPr>
        <w:t>申购、赎回业务的办理时间</w:t>
      </w:r>
    </w:p>
    <w:p w14:paraId="296F29BD">
      <w:pPr>
        <w:pStyle w:val="5"/>
        <w:spacing w:before="0" w:beforeAutospacing="0" w:after="0" w:afterAutospacing="0" w:line="360" w:lineRule="auto"/>
        <w:ind w:firstLine="420"/>
      </w:pPr>
      <w:r>
        <w:rPr>
          <w:rFonts w:hint="eastAsia"/>
        </w:rPr>
        <w:t xml:space="preserve">（1）开放日及开放时间 </w:t>
      </w:r>
    </w:p>
    <w:p w14:paraId="07C12A8C">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具体办理时间为上海证券交易所、深圳证券交易所的正常交易日的交易时间，但基金管理人根据法律法规、中国证监会的要求或本基金合同的规定公告暂停申购、赎回时除外。在封闭期内，本基金不办理申购、赎回业务。 </w:t>
      </w:r>
    </w:p>
    <w:p w14:paraId="06812CD4">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3A92BD76">
      <w:pPr>
        <w:pStyle w:val="5"/>
        <w:spacing w:before="0" w:beforeAutospacing="0" w:after="0" w:afterAutospacing="0" w:line="360" w:lineRule="auto"/>
        <w:ind w:firstLine="420"/>
        <w:rPr>
          <w:rFonts w:hint="eastAsia"/>
        </w:rPr>
      </w:pPr>
      <w:r>
        <w:rPr>
          <w:rFonts w:hint="eastAsia"/>
        </w:rPr>
        <w:t xml:space="preserve">（2）开放期及业务办理时间 </w:t>
      </w:r>
    </w:p>
    <w:p w14:paraId="2630E1C0">
      <w:pPr>
        <w:pStyle w:val="5"/>
        <w:spacing w:before="0" w:beforeAutospacing="0" w:after="0" w:afterAutospacing="0" w:line="360" w:lineRule="auto"/>
        <w:ind w:firstLine="420"/>
        <w:rPr>
          <w:rFonts w:hint="eastAsia"/>
        </w:rPr>
      </w:pPr>
      <w:r>
        <w:rPr>
          <w:rFonts w:hint="eastAsia"/>
        </w:rPr>
        <w:t xml:space="preserve">除法律法规或基金合同另有约定外，本基金自封闭期结束之日后第一个工作日起（含该日）1至20个工作日，具体期间由基金管理人在封闭期结束前公告说明，但在开放期内，基金管理人有权延长开放期时间并公告，但开放期最长不可超过20个工作日。 </w:t>
      </w:r>
    </w:p>
    <w:p w14:paraId="0538D6DB">
      <w:pPr>
        <w:pStyle w:val="5"/>
        <w:spacing w:before="0" w:beforeAutospacing="0" w:after="0" w:afterAutospacing="0" w:line="360" w:lineRule="auto"/>
        <w:ind w:firstLine="420"/>
        <w:rPr>
          <w:rFonts w:hint="eastAsia"/>
        </w:rPr>
      </w:pPr>
      <w:r>
        <w:rPr>
          <w:rFonts w:hint="eastAsia"/>
        </w:rPr>
        <w:t xml:space="preserve">本基金当前封闭期为自2026年4月2日至2026年7月1日止。本基金本次办理申购、赎回业务的开放期为2026年7月2日至2026年7月8日，共5个工作日。2026年7月9日（含该日）起3个月期间，本基金将进入下一个封闭期，封闭期内本基金不办理申购、赎回业务。 </w:t>
      </w:r>
    </w:p>
    <w:p w14:paraId="58334F7F">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728E7C42">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77A47466">
      <w:pPr>
        <w:pStyle w:val="2"/>
        <w:rPr>
          <w:rFonts w:ascii="宋体" w:hAnsi="宋体" w:eastAsia="宋体"/>
          <w:sz w:val="24"/>
        </w:rPr>
      </w:pPr>
      <w:r>
        <w:rPr>
          <w:rFonts w:ascii="宋体" w:hAnsi="宋体" w:eastAsia="宋体"/>
          <w:sz w:val="24"/>
        </w:rPr>
        <w:t>3、日常申购业务</w:t>
      </w:r>
    </w:p>
    <w:p w14:paraId="1507D9F4">
      <w:pPr>
        <w:pStyle w:val="3"/>
        <w:rPr>
          <w:rFonts w:hint="eastAsia" w:ascii="宋体" w:hAnsi="宋体" w:eastAsia="宋体"/>
          <w:sz w:val="24"/>
        </w:rPr>
      </w:pPr>
      <w:r>
        <w:rPr>
          <w:rFonts w:hint="eastAsia" w:ascii="宋体" w:hAnsi="宋体" w:eastAsia="宋体"/>
          <w:sz w:val="24"/>
        </w:rPr>
        <w:t>3.1申购金额限制</w:t>
      </w:r>
    </w:p>
    <w:p w14:paraId="09C5422D">
      <w:pPr>
        <w:pStyle w:val="5"/>
        <w:spacing w:before="0" w:beforeAutospacing="0" w:after="0" w:afterAutospacing="0" w:line="360" w:lineRule="auto"/>
        <w:ind w:firstLine="420"/>
        <w:rPr>
          <w:rFonts w:hint="eastAsia"/>
        </w:rPr>
      </w:pPr>
      <w:r>
        <w:rPr>
          <w:rFonts w:hint="eastAsia"/>
        </w:rPr>
        <w:t xml:space="preserve">首次申购本基金A类基金份额或C类基金份额的单笔最低金额为1.00元（含申购费），追加申购单笔最低金额为1.00元（含申购费）；具体规定请参见相关公告。 </w:t>
      </w:r>
    </w:p>
    <w:p w14:paraId="5B7D9094">
      <w:pPr>
        <w:pStyle w:val="3"/>
        <w:rPr>
          <w:rFonts w:ascii="宋体" w:hAnsi="宋体" w:eastAsia="宋体"/>
          <w:sz w:val="24"/>
        </w:rPr>
      </w:pPr>
      <w:r>
        <w:rPr>
          <w:rFonts w:ascii="宋体" w:hAnsi="宋体" w:eastAsia="宋体"/>
          <w:sz w:val="24"/>
        </w:rPr>
        <w:t>3.2申购费率</w:t>
      </w:r>
    </w:p>
    <w:p w14:paraId="39F61C70">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1462E633">
      <w:pPr>
        <w:pStyle w:val="5"/>
        <w:spacing w:before="0" w:beforeAutospacing="0" w:after="0" w:afterAutospacing="0" w:line="360" w:lineRule="auto"/>
        <w:ind w:firstLine="420"/>
        <w:rPr>
          <w:rFonts w:hint="eastAsia"/>
        </w:rPr>
      </w:pPr>
      <w:r>
        <w:rPr>
          <w:rFonts w:hint="eastAsia"/>
        </w:rPr>
        <w:t xml:space="preserve">投资者的申购费用如下：   </w:t>
      </w:r>
    </w:p>
    <w:tbl>
      <w:tblPr>
        <w:tblStyle w:val="7"/>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6"/>
        <w:gridCol w:w="3034"/>
        <w:gridCol w:w="3168"/>
      </w:tblGrid>
      <w:tr w14:paraId="55B6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6" w:type="dxa"/>
            <w:shd w:val="clear" w:color="auto" w:fill="auto"/>
          </w:tcPr>
          <w:p w14:paraId="76A97F82">
            <w:pPr>
              <w:pStyle w:val="5"/>
              <w:spacing w:before="0" w:beforeAutospacing="0" w:after="0" w:afterAutospacing="0" w:line="360" w:lineRule="auto"/>
              <w:ind w:firstLine="420"/>
              <w:rPr>
                <w:rFonts w:hint="eastAsia"/>
              </w:rPr>
            </w:pPr>
            <w:r>
              <w:rPr>
                <w:rFonts w:hint="eastAsia"/>
              </w:rPr>
              <w:t xml:space="preserve">金额（M）    </w:t>
            </w:r>
          </w:p>
        </w:tc>
        <w:tc>
          <w:tcPr>
            <w:tcW w:w="3034" w:type="dxa"/>
            <w:shd w:val="clear" w:color="auto" w:fill="auto"/>
          </w:tcPr>
          <w:p w14:paraId="5D401C50">
            <w:pPr>
              <w:pStyle w:val="5"/>
              <w:spacing w:before="0" w:beforeAutospacing="0" w:after="0" w:afterAutospacing="0" w:line="360" w:lineRule="auto"/>
              <w:ind w:firstLine="420"/>
              <w:rPr>
                <w:rFonts w:hint="eastAsia"/>
              </w:rPr>
            </w:pPr>
            <w:r>
              <w:rPr>
                <w:rFonts w:hint="eastAsia"/>
              </w:rPr>
              <w:t>A类基金份额申购费率</w:t>
            </w:r>
          </w:p>
        </w:tc>
        <w:tc>
          <w:tcPr>
            <w:tcW w:w="3168" w:type="dxa"/>
            <w:shd w:val="clear" w:color="auto" w:fill="auto"/>
          </w:tcPr>
          <w:p w14:paraId="34D899F2">
            <w:pPr>
              <w:pStyle w:val="5"/>
              <w:spacing w:before="0" w:beforeAutospacing="0" w:after="0" w:afterAutospacing="0" w:line="360" w:lineRule="auto"/>
              <w:ind w:firstLine="420"/>
              <w:rPr>
                <w:rFonts w:hint="eastAsia"/>
              </w:rPr>
            </w:pPr>
            <w:r>
              <w:rPr>
                <w:rFonts w:hint="eastAsia"/>
              </w:rPr>
              <w:t>C类基金份额申购费率</w:t>
            </w:r>
          </w:p>
        </w:tc>
      </w:tr>
      <w:tr w14:paraId="7893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6" w:type="dxa"/>
            <w:shd w:val="clear" w:color="auto" w:fill="auto"/>
          </w:tcPr>
          <w:p w14:paraId="4353353C">
            <w:pPr>
              <w:pStyle w:val="5"/>
              <w:spacing w:before="0" w:beforeAutospacing="0" w:after="0" w:afterAutospacing="0" w:line="360" w:lineRule="auto"/>
              <w:ind w:firstLine="420"/>
              <w:rPr>
                <w:rFonts w:hint="eastAsia"/>
              </w:rPr>
            </w:pPr>
            <w:r>
              <w:rPr>
                <w:rFonts w:hint="eastAsia"/>
              </w:rPr>
              <w:t xml:space="preserve">M＜100万元    </w:t>
            </w:r>
          </w:p>
        </w:tc>
        <w:tc>
          <w:tcPr>
            <w:tcW w:w="3034" w:type="dxa"/>
            <w:shd w:val="clear" w:color="auto" w:fill="auto"/>
          </w:tcPr>
          <w:p w14:paraId="10C0CDA0">
            <w:pPr>
              <w:pStyle w:val="5"/>
              <w:spacing w:before="0" w:beforeAutospacing="0" w:after="0" w:afterAutospacing="0" w:line="360" w:lineRule="auto"/>
              <w:ind w:firstLine="420"/>
              <w:rPr>
                <w:rFonts w:hint="eastAsia"/>
              </w:rPr>
            </w:pPr>
            <w:r>
              <w:rPr>
                <w:rFonts w:hint="eastAsia"/>
              </w:rPr>
              <w:t xml:space="preserve">0.80%    </w:t>
            </w:r>
          </w:p>
        </w:tc>
        <w:tc>
          <w:tcPr>
            <w:tcW w:w="3168" w:type="dxa"/>
            <w:vMerge w:val="restart"/>
            <w:shd w:val="clear" w:color="auto" w:fill="auto"/>
          </w:tcPr>
          <w:p w14:paraId="7D5D3695">
            <w:pPr>
              <w:pStyle w:val="5"/>
              <w:spacing w:before="0" w:beforeAutospacing="0" w:after="0" w:afterAutospacing="0" w:line="360" w:lineRule="auto"/>
              <w:ind w:firstLine="420"/>
              <w:rPr>
                <w:rFonts w:hint="eastAsia"/>
              </w:rPr>
            </w:pPr>
            <w:r>
              <w:rPr>
                <w:rFonts w:hint="eastAsia"/>
              </w:rPr>
              <w:t xml:space="preserve">0  </w:t>
            </w:r>
          </w:p>
        </w:tc>
      </w:tr>
      <w:tr w14:paraId="29755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6" w:type="dxa"/>
            <w:shd w:val="clear" w:color="auto" w:fill="auto"/>
          </w:tcPr>
          <w:p w14:paraId="2F068F19">
            <w:pPr>
              <w:pStyle w:val="5"/>
              <w:spacing w:before="0" w:beforeAutospacing="0" w:after="0" w:afterAutospacing="0" w:line="360" w:lineRule="auto"/>
              <w:ind w:firstLine="420"/>
              <w:rPr>
                <w:rFonts w:hint="eastAsia"/>
              </w:rPr>
            </w:pPr>
            <w:r>
              <w:rPr>
                <w:rFonts w:hint="eastAsia"/>
              </w:rPr>
              <w:t>100万元≤M＜300万元</w:t>
            </w:r>
          </w:p>
        </w:tc>
        <w:tc>
          <w:tcPr>
            <w:tcW w:w="3034" w:type="dxa"/>
            <w:shd w:val="clear" w:color="auto" w:fill="auto"/>
          </w:tcPr>
          <w:p w14:paraId="613247B3">
            <w:pPr>
              <w:pStyle w:val="5"/>
              <w:spacing w:before="0" w:beforeAutospacing="0" w:after="0" w:afterAutospacing="0" w:line="360" w:lineRule="auto"/>
              <w:ind w:firstLine="420"/>
              <w:rPr>
                <w:rFonts w:hint="eastAsia"/>
              </w:rPr>
            </w:pPr>
            <w:r>
              <w:rPr>
                <w:rFonts w:hint="eastAsia"/>
              </w:rPr>
              <w:t xml:space="preserve">0.50%    </w:t>
            </w:r>
          </w:p>
        </w:tc>
        <w:tc>
          <w:tcPr>
            <w:tcW w:w="3168" w:type="dxa"/>
            <w:vMerge w:val="continue"/>
            <w:shd w:val="clear" w:color="auto" w:fill="auto"/>
          </w:tcPr>
          <w:p w14:paraId="22DEC9E5">
            <w:pPr>
              <w:pStyle w:val="5"/>
              <w:spacing w:before="0" w:beforeAutospacing="0" w:after="0" w:afterAutospacing="0" w:line="360" w:lineRule="auto"/>
              <w:ind w:firstLine="420"/>
              <w:rPr>
                <w:rFonts w:hint="eastAsia"/>
              </w:rPr>
            </w:pPr>
          </w:p>
        </w:tc>
      </w:tr>
      <w:tr w14:paraId="5598B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6" w:type="dxa"/>
            <w:shd w:val="clear" w:color="auto" w:fill="auto"/>
          </w:tcPr>
          <w:p w14:paraId="46776D42">
            <w:pPr>
              <w:pStyle w:val="5"/>
              <w:spacing w:before="0" w:beforeAutospacing="0" w:after="0" w:afterAutospacing="0" w:line="360" w:lineRule="auto"/>
              <w:ind w:firstLine="420"/>
              <w:rPr>
                <w:rFonts w:hint="eastAsia"/>
              </w:rPr>
            </w:pPr>
            <w:r>
              <w:rPr>
                <w:rFonts w:hint="eastAsia"/>
              </w:rPr>
              <w:t>300万元≤M＜500万元</w:t>
            </w:r>
          </w:p>
        </w:tc>
        <w:tc>
          <w:tcPr>
            <w:tcW w:w="3034" w:type="dxa"/>
            <w:shd w:val="clear" w:color="auto" w:fill="auto"/>
          </w:tcPr>
          <w:p w14:paraId="0630511B">
            <w:pPr>
              <w:pStyle w:val="5"/>
              <w:spacing w:before="0" w:beforeAutospacing="0" w:after="0" w:afterAutospacing="0" w:line="360" w:lineRule="auto"/>
              <w:ind w:firstLine="420"/>
              <w:rPr>
                <w:rFonts w:hint="eastAsia"/>
              </w:rPr>
            </w:pPr>
            <w:r>
              <w:rPr>
                <w:rFonts w:hint="eastAsia"/>
              </w:rPr>
              <w:t xml:space="preserve">0.30%    </w:t>
            </w:r>
          </w:p>
        </w:tc>
        <w:tc>
          <w:tcPr>
            <w:tcW w:w="3168" w:type="dxa"/>
            <w:vMerge w:val="continue"/>
            <w:shd w:val="clear" w:color="auto" w:fill="auto"/>
          </w:tcPr>
          <w:p w14:paraId="15B714A9">
            <w:pPr>
              <w:pStyle w:val="5"/>
              <w:spacing w:before="0" w:beforeAutospacing="0" w:after="0" w:afterAutospacing="0" w:line="360" w:lineRule="auto"/>
              <w:ind w:firstLine="420"/>
              <w:rPr>
                <w:rFonts w:hint="eastAsia"/>
              </w:rPr>
            </w:pPr>
          </w:p>
        </w:tc>
      </w:tr>
      <w:tr w14:paraId="289CD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6" w:type="dxa"/>
            <w:shd w:val="clear" w:color="auto" w:fill="auto"/>
          </w:tcPr>
          <w:p w14:paraId="4B544627">
            <w:pPr>
              <w:pStyle w:val="5"/>
              <w:spacing w:before="0" w:beforeAutospacing="0" w:after="0" w:afterAutospacing="0" w:line="360" w:lineRule="auto"/>
              <w:ind w:firstLine="420"/>
              <w:rPr>
                <w:rFonts w:hint="eastAsia"/>
              </w:rPr>
            </w:pPr>
            <w:r>
              <w:rPr>
                <w:rFonts w:hint="eastAsia"/>
              </w:rPr>
              <w:t xml:space="preserve">M≥500万元    </w:t>
            </w:r>
          </w:p>
        </w:tc>
        <w:tc>
          <w:tcPr>
            <w:tcW w:w="3034" w:type="dxa"/>
            <w:shd w:val="clear" w:color="auto" w:fill="auto"/>
          </w:tcPr>
          <w:p w14:paraId="74602553">
            <w:pPr>
              <w:pStyle w:val="5"/>
              <w:spacing w:before="0" w:beforeAutospacing="0" w:after="0" w:afterAutospacing="0" w:line="360" w:lineRule="auto"/>
              <w:ind w:firstLine="420"/>
              <w:rPr>
                <w:rFonts w:hint="eastAsia"/>
              </w:rPr>
            </w:pPr>
            <w:r>
              <w:rPr>
                <w:rFonts w:hint="eastAsia"/>
              </w:rPr>
              <w:t xml:space="preserve">1,000元/笔    </w:t>
            </w:r>
          </w:p>
        </w:tc>
        <w:tc>
          <w:tcPr>
            <w:tcW w:w="3168" w:type="dxa"/>
            <w:vMerge w:val="continue"/>
            <w:shd w:val="clear" w:color="auto" w:fill="auto"/>
          </w:tcPr>
          <w:p w14:paraId="440901C2">
            <w:pPr>
              <w:pStyle w:val="5"/>
              <w:spacing w:before="0" w:beforeAutospacing="0" w:after="0" w:afterAutospacing="0" w:line="360" w:lineRule="auto"/>
              <w:ind w:firstLine="420"/>
              <w:rPr>
                <w:rFonts w:hint="eastAsia"/>
              </w:rPr>
            </w:pPr>
          </w:p>
        </w:tc>
      </w:tr>
    </w:tbl>
    <w:p w14:paraId="6C1F5C2A">
      <w:pPr>
        <w:pStyle w:val="5"/>
        <w:spacing w:before="0" w:beforeAutospacing="0" w:after="0" w:afterAutospacing="0" w:line="360" w:lineRule="auto"/>
        <w:ind w:firstLine="420"/>
        <w:rPr>
          <w:rFonts w:hint="eastAsia"/>
        </w:rPr>
      </w:pPr>
      <w:r>
        <w:rPr>
          <w:rFonts w:hint="eastAsia"/>
        </w:rPr>
        <w:t xml:space="preserve">本基金A类基金份额的申购费用由申购本基金A类基金份额的投资人承担，主要用于本基金的市场推广、销售、登记等各项费用，不列入基金财产。C类基金份额不收取申购费用。  </w:t>
      </w:r>
    </w:p>
    <w:p w14:paraId="7515DC05">
      <w:pPr>
        <w:pStyle w:val="5"/>
        <w:spacing w:before="0" w:beforeAutospacing="0" w:after="0" w:afterAutospacing="0" w:line="360" w:lineRule="auto"/>
        <w:ind w:firstLine="420"/>
        <w:rPr>
          <w:rFonts w:hint="eastAsia"/>
        </w:rPr>
      </w:pPr>
      <w:r>
        <w:rPr>
          <w:rFonts w:hint="eastAsia"/>
        </w:rPr>
        <w:t xml:space="preserve">基金管理人可以针对特定投资人（如养老金客户等）开展费率优惠活动，具体见基金管理人相关公告。  </w:t>
      </w:r>
    </w:p>
    <w:p w14:paraId="1EEE5EAA">
      <w:pPr>
        <w:pStyle w:val="3"/>
        <w:rPr>
          <w:rFonts w:hint="eastAsia" w:ascii="宋体" w:hAnsi="宋体" w:eastAsia="宋体"/>
          <w:sz w:val="24"/>
        </w:rPr>
      </w:pPr>
      <w:r>
        <w:rPr>
          <w:rFonts w:hint="eastAsia" w:ascii="宋体" w:hAnsi="宋体" w:eastAsia="宋体"/>
          <w:sz w:val="24"/>
        </w:rPr>
        <w:t>3.3其他与申购相关的事项</w:t>
      </w:r>
    </w:p>
    <w:p w14:paraId="0EB162BF">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5D5233B7">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4A0A1BCD">
      <w:pPr>
        <w:pStyle w:val="2"/>
        <w:rPr>
          <w:rFonts w:ascii="宋体" w:hAnsi="宋体" w:eastAsia="宋体"/>
          <w:sz w:val="24"/>
        </w:rPr>
      </w:pPr>
      <w:r>
        <w:rPr>
          <w:rFonts w:ascii="宋体" w:hAnsi="宋体" w:eastAsia="宋体"/>
          <w:sz w:val="24"/>
        </w:rPr>
        <w:t>4、日常赎回业务</w:t>
      </w:r>
    </w:p>
    <w:p w14:paraId="318FC704">
      <w:pPr>
        <w:pStyle w:val="3"/>
        <w:rPr>
          <w:rFonts w:hint="eastAsia" w:ascii="宋体" w:hAnsi="宋体" w:eastAsia="宋体"/>
          <w:sz w:val="24"/>
        </w:rPr>
      </w:pPr>
      <w:r>
        <w:rPr>
          <w:rFonts w:hint="eastAsia" w:ascii="宋体" w:hAnsi="宋体" w:eastAsia="宋体"/>
          <w:sz w:val="24"/>
        </w:rPr>
        <w:t>4.1赎回份额限制</w:t>
      </w:r>
    </w:p>
    <w:p w14:paraId="6EED3642">
      <w:pPr>
        <w:pStyle w:val="5"/>
        <w:spacing w:before="0" w:beforeAutospacing="0" w:after="0" w:afterAutospacing="0" w:line="360" w:lineRule="auto"/>
        <w:ind w:firstLine="420"/>
        <w:rPr>
          <w:rFonts w:hint="eastAsia"/>
        </w:rPr>
      </w:pPr>
      <w:r>
        <w:rPr>
          <w:rFonts w:hint="eastAsia"/>
        </w:rPr>
        <w:t xml:space="preserve">每个交易账户最低持有基金份额余额为1份，若某笔赎回导致单个交易账户的某一类别基金份额余额少于1份时，该基金份额余额部分基金份额必须一同赎回。 </w:t>
      </w:r>
    </w:p>
    <w:p w14:paraId="24F8A265">
      <w:pPr>
        <w:pStyle w:val="3"/>
        <w:rPr>
          <w:rFonts w:ascii="宋体" w:hAnsi="宋体" w:eastAsia="宋体"/>
          <w:sz w:val="24"/>
        </w:rPr>
      </w:pPr>
      <w:r>
        <w:rPr>
          <w:rFonts w:ascii="宋体" w:hAnsi="宋体" w:eastAsia="宋体"/>
          <w:sz w:val="24"/>
        </w:rPr>
        <w:t>4.2赎回费率</w:t>
      </w:r>
    </w:p>
    <w:p w14:paraId="1F22E2CA">
      <w:pPr>
        <w:pStyle w:val="5"/>
        <w:spacing w:before="0" w:beforeAutospacing="0" w:after="0" w:afterAutospacing="0" w:line="360" w:lineRule="auto"/>
        <w:ind w:firstLine="420"/>
        <w:rPr>
          <w:rFonts w:hint="eastAsia"/>
        </w:rPr>
      </w:pPr>
      <w:r>
        <w:rPr>
          <w:rFonts w:hint="eastAsia"/>
        </w:rPr>
        <w:t xml:space="preserve">本基金赎回费率按基金份额持有期限递减，费率如下：     </w:t>
      </w:r>
    </w:p>
    <w:tbl>
      <w:tblPr>
        <w:tblStyle w:val="7"/>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7"/>
        <w:gridCol w:w="3233"/>
        <w:gridCol w:w="3084"/>
      </w:tblGrid>
      <w:tr w14:paraId="3077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7" w:type="dxa"/>
            <w:shd w:val="clear" w:color="auto" w:fill="auto"/>
          </w:tcPr>
          <w:p w14:paraId="2A7AAE1F">
            <w:pPr>
              <w:pStyle w:val="5"/>
              <w:spacing w:before="0" w:beforeAutospacing="0" w:after="0" w:afterAutospacing="0" w:line="360" w:lineRule="auto"/>
              <w:ind w:firstLine="420"/>
              <w:rPr>
                <w:rFonts w:hint="eastAsia"/>
              </w:rPr>
            </w:pPr>
            <w:r>
              <w:rPr>
                <w:rFonts w:hint="eastAsia"/>
              </w:rPr>
              <w:t>持有时间</w:t>
            </w:r>
          </w:p>
        </w:tc>
        <w:tc>
          <w:tcPr>
            <w:tcW w:w="3233" w:type="dxa"/>
            <w:shd w:val="clear" w:color="auto" w:fill="auto"/>
          </w:tcPr>
          <w:p w14:paraId="1F70DDD5">
            <w:pPr>
              <w:pStyle w:val="5"/>
              <w:spacing w:before="0" w:beforeAutospacing="0" w:after="0" w:afterAutospacing="0" w:line="360" w:lineRule="auto"/>
              <w:ind w:firstLine="420"/>
              <w:rPr>
                <w:rFonts w:hint="eastAsia"/>
              </w:rPr>
            </w:pPr>
            <w:r>
              <w:rPr>
                <w:rFonts w:hint="eastAsia"/>
              </w:rPr>
              <w:t>A类基金份额赎回费率</w:t>
            </w:r>
          </w:p>
        </w:tc>
        <w:tc>
          <w:tcPr>
            <w:tcW w:w="3084" w:type="dxa"/>
            <w:shd w:val="clear" w:color="auto" w:fill="auto"/>
          </w:tcPr>
          <w:p w14:paraId="6926272E">
            <w:pPr>
              <w:pStyle w:val="5"/>
              <w:spacing w:before="0" w:beforeAutospacing="0" w:after="0" w:afterAutospacing="0" w:line="360" w:lineRule="auto"/>
              <w:ind w:firstLine="420"/>
              <w:rPr>
                <w:rFonts w:hint="eastAsia"/>
              </w:rPr>
            </w:pPr>
            <w:r>
              <w:rPr>
                <w:rFonts w:hint="eastAsia"/>
              </w:rPr>
              <w:t>C类基金份额赎回费率</w:t>
            </w:r>
          </w:p>
        </w:tc>
      </w:tr>
      <w:tr w14:paraId="30157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7" w:type="dxa"/>
            <w:shd w:val="clear" w:color="auto" w:fill="auto"/>
          </w:tcPr>
          <w:p w14:paraId="66E380A0">
            <w:pPr>
              <w:pStyle w:val="5"/>
              <w:spacing w:before="0" w:beforeAutospacing="0" w:after="0" w:afterAutospacing="0" w:line="360" w:lineRule="auto"/>
              <w:ind w:firstLine="420"/>
              <w:rPr>
                <w:rFonts w:hint="eastAsia"/>
              </w:rPr>
            </w:pPr>
            <w:r>
              <w:rPr>
                <w:rFonts w:hint="eastAsia"/>
              </w:rPr>
              <w:t xml:space="preserve">Y&lt; 7日    </w:t>
            </w:r>
          </w:p>
        </w:tc>
        <w:tc>
          <w:tcPr>
            <w:tcW w:w="3233" w:type="dxa"/>
            <w:shd w:val="clear" w:color="auto" w:fill="auto"/>
          </w:tcPr>
          <w:p w14:paraId="55E919A0">
            <w:pPr>
              <w:pStyle w:val="5"/>
              <w:spacing w:before="0" w:beforeAutospacing="0" w:after="0" w:afterAutospacing="0" w:line="360" w:lineRule="auto"/>
              <w:ind w:firstLine="420"/>
              <w:rPr>
                <w:rFonts w:hint="eastAsia"/>
              </w:rPr>
            </w:pPr>
            <w:r>
              <w:rPr>
                <w:rFonts w:hint="eastAsia"/>
              </w:rPr>
              <w:t xml:space="preserve">1.50%    </w:t>
            </w:r>
          </w:p>
        </w:tc>
        <w:tc>
          <w:tcPr>
            <w:tcW w:w="3084" w:type="dxa"/>
            <w:shd w:val="clear" w:color="auto" w:fill="auto"/>
          </w:tcPr>
          <w:p w14:paraId="2BCA6970">
            <w:pPr>
              <w:pStyle w:val="5"/>
              <w:spacing w:before="0" w:beforeAutospacing="0" w:after="0" w:afterAutospacing="0" w:line="360" w:lineRule="auto"/>
              <w:ind w:firstLine="420"/>
              <w:rPr>
                <w:rFonts w:hint="eastAsia"/>
              </w:rPr>
            </w:pPr>
            <w:r>
              <w:rPr>
                <w:rFonts w:hint="eastAsia"/>
              </w:rPr>
              <w:t xml:space="preserve">1.50%  </w:t>
            </w:r>
          </w:p>
        </w:tc>
      </w:tr>
      <w:tr w14:paraId="0E502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7" w:type="dxa"/>
            <w:shd w:val="clear" w:color="auto" w:fill="auto"/>
          </w:tcPr>
          <w:p w14:paraId="1AD4B047">
            <w:pPr>
              <w:pStyle w:val="5"/>
              <w:spacing w:before="0" w:beforeAutospacing="0" w:after="0" w:afterAutospacing="0" w:line="360" w:lineRule="auto"/>
              <w:ind w:firstLine="420"/>
              <w:rPr>
                <w:rFonts w:hint="eastAsia"/>
              </w:rPr>
            </w:pPr>
            <w:r>
              <w:rPr>
                <w:rFonts w:hint="eastAsia"/>
              </w:rPr>
              <w:t>7日≤Y&lt;3个月</w:t>
            </w:r>
          </w:p>
        </w:tc>
        <w:tc>
          <w:tcPr>
            <w:tcW w:w="3233" w:type="dxa"/>
            <w:shd w:val="clear" w:color="auto" w:fill="auto"/>
          </w:tcPr>
          <w:p w14:paraId="0A338764">
            <w:pPr>
              <w:pStyle w:val="5"/>
              <w:spacing w:before="0" w:beforeAutospacing="0" w:after="0" w:afterAutospacing="0" w:line="360" w:lineRule="auto"/>
              <w:ind w:firstLine="420"/>
              <w:rPr>
                <w:rFonts w:hint="eastAsia"/>
              </w:rPr>
            </w:pPr>
            <w:r>
              <w:rPr>
                <w:rFonts w:hint="eastAsia"/>
              </w:rPr>
              <w:t xml:space="preserve">0.05%    </w:t>
            </w:r>
          </w:p>
        </w:tc>
        <w:tc>
          <w:tcPr>
            <w:tcW w:w="3084" w:type="dxa"/>
            <w:vMerge w:val="restart"/>
            <w:shd w:val="clear" w:color="auto" w:fill="auto"/>
          </w:tcPr>
          <w:p w14:paraId="148186E6">
            <w:pPr>
              <w:pStyle w:val="5"/>
              <w:spacing w:before="0" w:beforeAutospacing="0" w:after="0" w:afterAutospacing="0" w:line="360" w:lineRule="auto"/>
              <w:ind w:firstLine="420"/>
              <w:rPr>
                <w:rFonts w:hint="eastAsia"/>
              </w:rPr>
            </w:pPr>
            <w:r>
              <w:rPr>
                <w:rFonts w:hint="eastAsia"/>
              </w:rPr>
              <w:t xml:space="preserve">0  </w:t>
            </w:r>
          </w:p>
        </w:tc>
      </w:tr>
      <w:tr w14:paraId="2A46D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67" w:type="dxa"/>
            <w:shd w:val="clear" w:color="auto" w:fill="auto"/>
          </w:tcPr>
          <w:p w14:paraId="501C5063">
            <w:pPr>
              <w:pStyle w:val="5"/>
              <w:spacing w:before="0" w:beforeAutospacing="0" w:after="0" w:afterAutospacing="0" w:line="360" w:lineRule="auto"/>
              <w:ind w:firstLine="420"/>
              <w:rPr>
                <w:rFonts w:hint="eastAsia"/>
              </w:rPr>
            </w:pPr>
            <w:r>
              <w:rPr>
                <w:rFonts w:hint="eastAsia"/>
              </w:rPr>
              <w:t xml:space="preserve">Y≥3个月  </w:t>
            </w:r>
          </w:p>
        </w:tc>
        <w:tc>
          <w:tcPr>
            <w:tcW w:w="3233" w:type="dxa"/>
            <w:shd w:val="clear" w:color="auto" w:fill="auto"/>
          </w:tcPr>
          <w:p w14:paraId="25C8C37E">
            <w:pPr>
              <w:pStyle w:val="5"/>
              <w:spacing w:before="0" w:beforeAutospacing="0" w:after="0" w:afterAutospacing="0" w:line="360" w:lineRule="auto"/>
              <w:ind w:firstLine="420"/>
              <w:rPr>
                <w:rFonts w:hint="eastAsia"/>
              </w:rPr>
            </w:pPr>
            <w:r>
              <w:rPr>
                <w:rFonts w:hint="eastAsia"/>
              </w:rPr>
              <w:t xml:space="preserve">0.00%    </w:t>
            </w:r>
          </w:p>
        </w:tc>
        <w:tc>
          <w:tcPr>
            <w:tcW w:w="3084" w:type="dxa"/>
            <w:vMerge w:val="continue"/>
            <w:shd w:val="clear" w:color="auto" w:fill="auto"/>
          </w:tcPr>
          <w:p w14:paraId="21C4EF32">
            <w:pPr>
              <w:pStyle w:val="5"/>
              <w:spacing w:before="0" w:beforeAutospacing="0" w:after="0" w:afterAutospacing="0" w:line="360" w:lineRule="auto"/>
              <w:ind w:firstLine="420"/>
              <w:rPr>
                <w:rFonts w:hint="eastAsia"/>
              </w:rPr>
            </w:pPr>
          </w:p>
        </w:tc>
      </w:tr>
    </w:tbl>
    <w:p w14:paraId="603BA949">
      <w:pPr>
        <w:pStyle w:val="5"/>
        <w:spacing w:before="0" w:beforeAutospacing="0" w:after="0" w:afterAutospacing="0" w:line="360" w:lineRule="auto"/>
        <w:ind w:firstLine="420"/>
        <w:rPr>
          <w:rFonts w:hint="eastAsia"/>
        </w:rPr>
      </w:pPr>
      <w:r>
        <w:rPr>
          <w:rFonts w:hint="eastAsia"/>
        </w:rPr>
        <w:t xml:space="preserve">  注：1个月=30日 </w:t>
      </w:r>
    </w:p>
    <w:p w14:paraId="1D0D9504">
      <w:pPr>
        <w:pStyle w:val="5"/>
        <w:spacing w:before="0" w:beforeAutospacing="0" w:after="0" w:afterAutospacing="0" w:line="360" w:lineRule="auto"/>
        <w:ind w:firstLine="420"/>
        <w:rPr>
          <w:rFonts w:hint="eastAsia"/>
        </w:rPr>
      </w:pPr>
      <w:r>
        <w:rPr>
          <w:rFonts w:hint="eastAsia"/>
        </w:rPr>
        <w:t xml:space="preserve">本基金的赎回费用由赎回基金份额的基金份额持有人承担，在基金份额持有人赎回基金份额时收取。对于A类基金份额，本基金对持续持有期少于7日的投资者收取的赎回费，全额计入基金财产；对持续持有期大于等于7日但少于3个月的投资者收取的赎回费中，不低于赎回费总额的25%计入基金财产。对于C类基金份额，对持续持有期少于7日的投资人收取的赎回费，全额计入基金财产。  </w:t>
      </w:r>
    </w:p>
    <w:p w14:paraId="3ECED660">
      <w:pPr>
        <w:pStyle w:val="5"/>
        <w:spacing w:before="0" w:beforeAutospacing="0" w:after="0" w:afterAutospacing="0" w:line="360" w:lineRule="auto"/>
        <w:ind w:firstLine="420"/>
        <w:rPr>
          <w:rFonts w:hint="eastAsia"/>
        </w:rPr>
      </w:pPr>
      <w:r>
        <w:rPr>
          <w:rFonts w:hint="eastAsia"/>
        </w:rPr>
        <w:t>对于每份申购份额，持有期指自该基金份额申购确认日至赎回确认日（不含该日）。</w:t>
      </w:r>
    </w:p>
    <w:p w14:paraId="76B00E91">
      <w:pPr>
        <w:pStyle w:val="5"/>
        <w:spacing w:before="0" w:beforeAutospacing="0" w:after="0" w:afterAutospacing="0" w:line="360" w:lineRule="auto"/>
        <w:ind w:firstLine="420"/>
        <w:rPr>
          <w:rFonts w:hint="eastAsia"/>
        </w:rPr>
      </w:pPr>
      <w:r>
        <w:rPr>
          <w:rFonts w:hint="eastAsia"/>
        </w:rPr>
        <w:t xml:space="preserve">基金管理人可以针对特定投资人（如养老金客户等）开展费率优惠活动，具体见基金管理人相关公告。  </w:t>
      </w:r>
    </w:p>
    <w:p w14:paraId="523810E4">
      <w:pPr>
        <w:pStyle w:val="3"/>
        <w:rPr>
          <w:rFonts w:hint="eastAsia" w:ascii="宋体" w:hAnsi="宋体" w:eastAsia="宋体"/>
          <w:sz w:val="24"/>
        </w:rPr>
      </w:pPr>
      <w:r>
        <w:rPr>
          <w:rFonts w:hint="eastAsia" w:ascii="宋体" w:hAnsi="宋体" w:eastAsia="宋体"/>
          <w:sz w:val="24"/>
        </w:rPr>
        <w:t>4.3其他与赎回相关的事项</w:t>
      </w:r>
    </w:p>
    <w:p w14:paraId="728C8BEA">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451A4780">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07C0D425">
      <w:pPr>
        <w:pStyle w:val="2"/>
        <w:rPr>
          <w:rFonts w:ascii="宋体" w:hAnsi="宋体" w:eastAsia="宋体"/>
          <w:sz w:val="24"/>
        </w:rPr>
      </w:pPr>
      <w:r>
        <w:rPr>
          <w:rFonts w:ascii="宋体" w:hAnsi="宋体" w:eastAsia="宋体"/>
          <w:sz w:val="24"/>
        </w:rPr>
        <w:t>5、基金销售机构</w:t>
      </w:r>
    </w:p>
    <w:p w14:paraId="66C0A55B">
      <w:pPr>
        <w:pStyle w:val="3"/>
        <w:rPr>
          <w:rFonts w:hint="eastAsia" w:ascii="宋体" w:hAnsi="宋体" w:eastAsia="宋体"/>
          <w:sz w:val="24"/>
        </w:rPr>
      </w:pPr>
      <w:r>
        <w:rPr>
          <w:rFonts w:hint="eastAsia" w:ascii="宋体" w:hAnsi="宋体" w:eastAsia="宋体"/>
          <w:sz w:val="24"/>
        </w:rPr>
        <w:t>5.1场外销售机构</w:t>
      </w:r>
    </w:p>
    <w:p w14:paraId="0F3B545A">
      <w:pPr>
        <w:pStyle w:val="4"/>
        <w:rPr>
          <w:rFonts w:hint="eastAsia" w:ascii="宋体" w:hAnsi="宋体" w:eastAsia="宋体"/>
          <w:sz w:val="24"/>
        </w:rPr>
      </w:pPr>
      <w:r>
        <w:rPr>
          <w:rFonts w:hint="eastAsia" w:ascii="宋体" w:hAnsi="宋体" w:eastAsia="宋体"/>
          <w:sz w:val="24"/>
        </w:rPr>
        <w:t>5.1.1直销机构</w:t>
      </w:r>
    </w:p>
    <w:p w14:paraId="51D1F98E">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2E54C76E">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2F5B0B09">
      <w:pPr>
        <w:pStyle w:val="4"/>
        <w:rPr>
          <w:rFonts w:ascii="宋体" w:hAnsi="宋体" w:eastAsia="宋体"/>
          <w:sz w:val="24"/>
        </w:rPr>
      </w:pPr>
      <w:r>
        <w:rPr>
          <w:rFonts w:ascii="宋体" w:hAnsi="宋体" w:eastAsia="宋体"/>
          <w:sz w:val="24"/>
        </w:rPr>
        <w:t>5.1.2场外非直销机构</w:t>
      </w:r>
    </w:p>
    <w:p w14:paraId="26496B24">
      <w:pPr>
        <w:pStyle w:val="5"/>
        <w:spacing w:before="0" w:beforeAutospacing="0" w:after="0" w:afterAutospacing="0" w:line="360" w:lineRule="auto"/>
        <w:ind w:firstLine="420"/>
      </w:pPr>
      <w:r>
        <w:rPr>
          <w:rFonts w:hint="eastAsia"/>
        </w:rPr>
        <w:t xml:space="preserve">兴业银行股份有限公司、中国邮政储蓄银行股份有限公司、广发银行股份有限公司、平安银行股份有限公司、江苏银行股份有限公司、长沙银行股份有限公司、贵州省贵文文化基金销售有限公司、腾安基金销售（深圳）有限公司、博时财富基金销售有限公司、上海天天基金销售有限公司、蚂蚁（杭州）基金销售有限公司、浙江同花顺基金销售有限公司、上海利得基金销售有限公司、上海万得基金销售有限公司、上海基煜基金销售有限公司、上海陆金所基金销售有限公司、珠海盈米基金销售有限公司、京东肯特瑞基金销售有限公司、上海中欧财富基金销售有限公司、上海华夏财富投资管理有限公司、中信期货有限公司、国泰海通证券股份有限公司、国信证券股份有限公司、招商证券股份有限公司、中信证券股份有限公司、西南证券股份有限公司、国元证券股份有限公司、华泰证券股份有限公司、中信证券（山东）有限责任公司、东方证券股份有限公司、中信证券华南股份有限公司、华西证券股份有限公司、华福证券股份有限公司、华宝证券股份有限公司、华创证券有限责任公司、万和证券股份有限公司 </w:t>
      </w:r>
    </w:p>
    <w:p w14:paraId="719AC4A2">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5C757A40">
      <w:pPr>
        <w:pStyle w:val="2"/>
        <w:rPr>
          <w:rFonts w:ascii="宋体" w:hAnsi="宋体" w:eastAsia="宋体"/>
          <w:sz w:val="24"/>
        </w:rPr>
      </w:pPr>
      <w:r>
        <w:rPr>
          <w:rFonts w:ascii="宋体" w:hAnsi="宋体" w:eastAsia="宋体"/>
          <w:sz w:val="24"/>
        </w:rPr>
        <w:t xml:space="preserve">6、基金份额净值公告/基金收益公告的披露安排 </w:t>
      </w:r>
    </w:p>
    <w:p w14:paraId="20CEFDA1">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0DF8D372">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5E6A7E91">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11AEE262">
      <w:pPr>
        <w:pStyle w:val="2"/>
        <w:rPr>
          <w:rFonts w:ascii="宋体" w:hAnsi="宋体" w:eastAsia="宋体"/>
          <w:sz w:val="24"/>
        </w:rPr>
      </w:pPr>
      <w:r>
        <w:rPr>
          <w:rFonts w:ascii="宋体" w:hAnsi="宋体" w:eastAsia="宋体"/>
          <w:sz w:val="24"/>
        </w:rPr>
        <w:t>7、其他需要提示的事项</w:t>
      </w:r>
    </w:p>
    <w:p w14:paraId="211AAE1A">
      <w:pPr>
        <w:pStyle w:val="5"/>
        <w:spacing w:before="0" w:beforeAutospacing="0" w:after="0" w:afterAutospacing="0" w:line="360" w:lineRule="auto"/>
        <w:ind w:firstLine="420"/>
      </w:pPr>
      <w:r>
        <w:rPr>
          <w:rFonts w:hint="eastAsia"/>
        </w:rPr>
        <w:t xml:space="preserve">（1）本公告仅对博时富鸿金融债3个月定期开放债券型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4B0350BA">
      <w:pPr>
        <w:pStyle w:val="5"/>
        <w:spacing w:before="0" w:beforeAutospacing="0" w:after="0" w:afterAutospacing="0" w:line="360" w:lineRule="auto"/>
        <w:ind w:firstLine="420"/>
        <w:rPr>
          <w:rFonts w:hint="eastAsia"/>
        </w:rPr>
      </w:pPr>
      <w:r>
        <w:rPr>
          <w:rFonts w:hint="eastAsia"/>
        </w:rPr>
        <w:t xml:space="preserve">（2）2026年7月2日至2026年7月8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7A3044D1">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517BA50E">
      <w:pPr>
        <w:pStyle w:val="5"/>
        <w:spacing w:before="0" w:beforeAutospacing="0" w:after="0" w:afterAutospacing="0" w:line="360" w:lineRule="auto"/>
        <w:ind w:firstLine="420"/>
        <w:rPr>
          <w:rFonts w:hint="eastAsia"/>
        </w:rPr>
      </w:pPr>
      <w:r>
        <w:rPr>
          <w:rFonts w:hint="eastAsia"/>
        </w:rPr>
        <w:t xml:space="preserve">特此公告。 </w:t>
      </w:r>
    </w:p>
    <w:p w14:paraId="63CF3D63">
      <w:pPr>
        <w:pStyle w:val="5"/>
        <w:spacing w:before="0" w:beforeAutospacing="0" w:after="0" w:afterAutospacing="0" w:line="360" w:lineRule="auto"/>
        <w:ind w:firstLine="420"/>
      </w:pPr>
    </w:p>
    <w:p w14:paraId="56C92D99">
      <w:pPr>
        <w:pStyle w:val="5"/>
        <w:spacing w:before="0" w:beforeAutospacing="0" w:after="0" w:afterAutospacing="0" w:line="360" w:lineRule="auto"/>
        <w:ind w:firstLine="420"/>
      </w:pPr>
    </w:p>
    <w:p w14:paraId="5B530349">
      <w:pPr>
        <w:pStyle w:val="5"/>
        <w:spacing w:before="0" w:beforeAutospacing="0" w:after="0" w:afterAutospacing="0" w:line="360" w:lineRule="auto"/>
        <w:ind w:firstLine="420"/>
      </w:pPr>
    </w:p>
    <w:p w14:paraId="58415DE0">
      <w:pPr>
        <w:pStyle w:val="5"/>
        <w:spacing w:before="0" w:beforeAutospacing="0" w:after="0" w:afterAutospacing="0" w:line="360" w:lineRule="auto"/>
        <w:ind w:firstLine="420"/>
        <w:jc w:val="right"/>
        <w:rPr>
          <w:rFonts w:hint="eastAsia"/>
        </w:rPr>
      </w:pPr>
      <w:r>
        <w:rPr>
          <w:rFonts w:hint="eastAsia"/>
        </w:rPr>
        <w:t>博时基金管理有限公司</w:t>
      </w:r>
    </w:p>
    <w:p w14:paraId="661EBC47">
      <w:pPr>
        <w:pStyle w:val="5"/>
        <w:spacing w:before="0" w:beforeAutospacing="0" w:after="0" w:afterAutospacing="0" w:line="360" w:lineRule="auto"/>
        <w:ind w:firstLine="420"/>
        <w:jc w:val="right"/>
      </w:pPr>
      <w:r>
        <w:t>2026年6月27日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7BC"/>
    <w:rsid w:val="002E153F"/>
    <w:rsid w:val="00D347BC"/>
    <w:rsid w:val="2E930678"/>
    <w:rsid w:val="5F92128A"/>
    <w:rsid w:val="63E11F6B"/>
    <w:rsid w:val="724305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6</Pages>
  <Words>510</Words>
  <Characters>2913</Characters>
  <Lines>24</Lines>
  <Paragraphs>6</Paragraphs>
  <TotalTime>2</TotalTime>
  <ScaleCrop>false</ScaleCrop>
  <LinksUpToDate>false</LinksUpToDate>
  <CharactersWithSpaces>3417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2026-06-26T06:54:00Z</dcterms:created>
  <dc:creator>BSKMadminDev</dc:creator>
  <cp:lastModifiedBy>panan</cp:lastModifiedBy>
  <dcterms:modified xsi:type="dcterms:W3CDTF">2026-06-26T06:59:42Z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AA9C9A9D0CC6477B930D7E8979E406DD_13</vt:lpwstr>
  </property>
</Properties>
</file>