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C6A2AF">
      <w:bookmarkStart w:id="0" w:name="_GoBack"/>
      <w:bookmarkEnd w:id="0"/>
    </w:p>
    <w:p w14:paraId="07EB43BC">
      <w:pPr>
        <w:jc w:val="center"/>
        <w:rPr>
          <w:rFonts w:hint="eastAsia" w:ascii="宋体" w:hAnsi="宋体" w:eastAsia="宋体"/>
          <w:b/>
          <w:sz w:val="30"/>
        </w:rPr>
      </w:pPr>
      <w:r>
        <w:rPr>
          <w:rFonts w:hint="eastAsia" w:ascii="宋体" w:hAnsi="宋体" w:eastAsia="宋体"/>
          <w:b/>
          <w:sz w:val="30"/>
        </w:rPr>
        <w:t>博时富嘉纯债债券型证券投资基金恢复大额申购、转换转入、定期定额投资业务公告</w:t>
      </w:r>
    </w:p>
    <w:p w14:paraId="1A930481">
      <w:pPr>
        <w:jc w:val="center"/>
        <w:rPr>
          <w:rFonts w:ascii="宋体" w:hAnsi="宋体" w:eastAsia="宋体"/>
          <w:b/>
          <w:sz w:val="24"/>
        </w:rPr>
      </w:pPr>
      <w:r>
        <w:rPr>
          <w:rFonts w:hint="eastAsia" w:ascii="宋体" w:hAnsi="宋体" w:eastAsia="宋体"/>
          <w:b/>
          <w:sz w:val="24"/>
        </w:rPr>
        <w:t>公告送出日期：</w:t>
      </w:r>
      <w:r>
        <w:rPr>
          <w:rFonts w:ascii="宋体" w:hAnsi="宋体" w:eastAsia="宋体"/>
          <w:b/>
          <w:sz w:val="24"/>
        </w:rPr>
        <w:t>2026年11月7日</w:t>
      </w:r>
    </w:p>
    <w:p w14:paraId="7D0893FE">
      <w:pPr>
        <w:jc w:val="center"/>
        <w:rPr>
          <w:rFonts w:ascii="宋体" w:hAnsi="宋体" w:eastAsia="宋体"/>
          <w:b/>
          <w:sz w:val="24"/>
        </w:rPr>
      </w:pPr>
    </w:p>
    <w:p w14:paraId="07C479FF">
      <w:pPr>
        <w:pStyle w:val="2"/>
        <w:rPr>
          <w:rFonts w:ascii="宋体" w:hAnsi="宋体" w:eastAsia="宋体"/>
          <w:sz w:val="24"/>
        </w:rPr>
      </w:pPr>
      <w:r>
        <w:rPr>
          <w:rFonts w:ascii="宋体" w:hAnsi="宋体" w:eastAsia="宋体"/>
          <w:sz w:val="24"/>
        </w:rPr>
        <w:t>1、公告基本信息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0"/>
        <w:gridCol w:w="2000"/>
        <w:gridCol w:w="4920"/>
      </w:tblGrid>
      <w:tr w14:paraId="5EDE63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38958F99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基金名称</w:t>
            </w:r>
          </w:p>
        </w:tc>
        <w:tc>
          <w:tcPr>
            <w:tcW w:w="4920" w:type="dxa"/>
            <w:vAlign w:val="center"/>
          </w:tcPr>
          <w:p w14:paraId="07BA95CC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博时富嘉纯债债券型证券投资基金</w:t>
            </w:r>
          </w:p>
        </w:tc>
      </w:tr>
      <w:tr w14:paraId="7BB18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6B6EEA2F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基金简称</w:t>
            </w:r>
          </w:p>
        </w:tc>
        <w:tc>
          <w:tcPr>
            <w:tcW w:w="4920" w:type="dxa"/>
            <w:vAlign w:val="center"/>
          </w:tcPr>
          <w:p w14:paraId="5577A33F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博时富嘉纯债债券</w:t>
            </w:r>
          </w:p>
        </w:tc>
      </w:tr>
      <w:tr w14:paraId="00C04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00998516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基金主代码</w:t>
            </w:r>
          </w:p>
        </w:tc>
        <w:tc>
          <w:tcPr>
            <w:tcW w:w="4920" w:type="dxa"/>
            <w:vAlign w:val="center"/>
          </w:tcPr>
          <w:p w14:paraId="75C56CC0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004168</w:t>
            </w:r>
          </w:p>
        </w:tc>
      </w:tr>
      <w:tr w14:paraId="0032BA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3292DA1A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基金管理人名称</w:t>
            </w:r>
          </w:p>
        </w:tc>
        <w:tc>
          <w:tcPr>
            <w:tcW w:w="4920" w:type="dxa"/>
            <w:vAlign w:val="center"/>
          </w:tcPr>
          <w:p w14:paraId="2D0E47DB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博时基金管理有限公司</w:t>
            </w:r>
          </w:p>
        </w:tc>
      </w:tr>
      <w:tr w14:paraId="563248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2F33CC32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公告依据</w:t>
            </w:r>
          </w:p>
        </w:tc>
        <w:tc>
          <w:tcPr>
            <w:tcW w:w="4920" w:type="dxa"/>
            <w:vAlign w:val="center"/>
          </w:tcPr>
          <w:p w14:paraId="4A4C514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根据有关法律法规及《博时富嘉纯债债券型证券投资基金基金合同》、《博时富嘉纯债债券型证券投资基金招募说明书》等的规定</w:t>
            </w:r>
          </w:p>
        </w:tc>
      </w:tr>
      <w:tr w14:paraId="35D16E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restart"/>
            <w:vAlign w:val="center"/>
          </w:tcPr>
          <w:p w14:paraId="1063E91C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恢复相关业务的日期及原因说明</w:t>
            </w:r>
          </w:p>
        </w:tc>
        <w:tc>
          <w:tcPr>
            <w:tcW w:w="2000" w:type="dxa"/>
            <w:vAlign w:val="center"/>
          </w:tcPr>
          <w:p w14:paraId="7F445FB9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恢复大额申购起始日</w:t>
            </w:r>
          </w:p>
        </w:tc>
        <w:tc>
          <w:tcPr>
            <w:tcW w:w="4920" w:type="dxa"/>
            <w:vAlign w:val="center"/>
          </w:tcPr>
          <w:p w14:paraId="62D2D8A2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2026年11月9日</w:t>
            </w:r>
          </w:p>
        </w:tc>
      </w:tr>
      <w:tr w14:paraId="043E2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continue"/>
            <w:vAlign w:val="center"/>
          </w:tcPr>
          <w:p w14:paraId="24678A3B"/>
        </w:tc>
        <w:tc>
          <w:tcPr>
            <w:tcW w:w="2000" w:type="dxa"/>
            <w:vAlign w:val="center"/>
          </w:tcPr>
          <w:p w14:paraId="7CACAF77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恢复大额转换转入起始日</w:t>
            </w:r>
          </w:p>
        </w:tc>
        <w:tc>
          <w:tcPr>
            <w:tcW w:w="4920" w:type="dxa"/>
            <w:vAlign w:val="center"/>
          </w:tcPr>
          <w:p w14:paraId="743565F8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2026年11月9日</w:t>
            </w:r>
          </w:p>
        </w:tc>
      </w:tr>
      <w:tr w14:paraId="0A4C2E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continue"/>
            <w:vAlign w:val="center"/>
          </w:tcPr>
          <w:p w14:paraId="3B335411"/>
        </w:tc>
        <w:tc>
          <w:tcPr>
            <w:tcW w:w="2000" w:type="dxa"/>
            <w:vAlign w:val="center"/>
          </w:tcPr>
          <w:p w14:paraId="260F5DC0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恢复大额定期定额投资起始日</w:t>
            </w:r>
          </w:p>
        </w:tc>
        <w:tc>
          <w:tcPr>
            <w:tcW w:w="4920" w:type="dxa"/>
            <w:vAlign w:val="center"/>
          </w:tcPr>
          <w:p w14:paraId="78F807A5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2026年11月9日</w:t>
            </w:r>
          </w:p>
        </w:tc>
      </w:tr>
      <w:tr w14:paraId="27D637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continue"/>
            <w:vAlign w:val="center"/>
          </w:tcPr>
          <w:p w14:paraId="73BBE2DD"/>
        </w:tc>
        <w:tc>
          <w:tcPr>
            <w:tcW w:w="2000" w:type="dxa"/>
            <w:vAlign w:val="center"/>
          </w:tcPr>
          <w:p w14:paraId="6B6C7319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恢复大额申购、转换转入、定期定额投资的原因说明</w:t>
            </w:r>
          </w:p>
        </w:tc>
        <w:tc>
          <w:tcPr>
            <w:tcW w:w="4920" w:type="dxa"/>
            <w:vAlign w:val="center"/>
          </w:tcPr>
          <w:p w14:paraId="1717D4AC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为满足广大投资者的投资需求</w:t>
            </w:r>
          </w:p>
        </w:tc>
      </w:tr>
    </w:tbl>
    <w:p w14:paraId="08A961BF"/>
    <w:p w14:paraId="2AA89954">
      <w:pPr>
        <w:pStyle w:val="2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2、其他需要提示的事项</w:t>
      </w:r>
    </w:p>
    <w:p w14:paraId="4F7F63C2">
      <w:pPr>
        <w:pStyle w:val="3"/>
        <w:spacing w:before="0" w:beforeAutospacing="0" w:after="0" w:afterAutospacing="0" w:line="360" w:lineRule="auto"/>
        <w:ind w:firstLine="420"/>
      </w:pPr>
      <w:r>
        <w:rPr>
          <w:rFonts w:hint="eastAsia"/>
        </w:rPr>
        <w:t xml:space="preserve">（1）自2026年11月9日起，本基金恢复办理大额申购、转换转入、定期定额投资业务。 </w:t>
      </w:r>
    </w:p>
    <w:p w14:paraId="45352299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（2）如有疑问，请拨打博时一线通：95105568（免长途话费）或登录本公司网站https://www.bosera.com获取相关信息。 </w:t>
      </w:r>
    </w:p>
    <w:p w14:paraId="56041087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3）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 </w:t>
      </w:r>
    </w:p>
    <w:p w14:paraId="4AE794EC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特此公告。 </w:t>
      </w:r>
    </w:p>
    <w:p w14:paraId="34A318B8">
      <w:pPr>
        <w:pStyle w:val="3"/>
        <w:spacing w:before="0" w:beforeAutospacing="0" w:after="0" w:afterAutospacing="0" w:line="360" w:lineRule="auto"/>
        <w:ind w:firstLine="420"/>
      </w:pPr>
    </w:p>
    <w:p w14:paraId="33C943C3">
      <w:pPr>
        <w:pStyle w:val="3"/>
        <w:spacing w:before="0" w:beforeAutospacing="0" w:after="0" w:afterAutospacing="0" w:line="360" w:lineRule="auto"/>
        <w:ind w:firstLine="420"/>
      </w:pPr>
    </w:p>
    <w:p w14:paraId="2BD34A6E">
      <w:pPr>
        <w:pStyle w:val="3"/>
        <w:spacing w:before="0" w:beforeAutospacing="0" w:after="0" w:afterAutospacing="0" w:line="360" w:lineRule="auto"/>
        <w:ind w:firstLine="420"/>
      </w:pPr>
    </w:p>
    <w:p w14:paraId="2D8A892F">
      <w:pPr>
        <w:pStyle w:val="3"/>
        <w:spacing w:before="0" w:beforeAutospacing="0" w:after="0" w:afterAutospacing="0" w:line="360" w:lineRule="auto"/>
        <w:ind w:firstLine="420"/>
        <w:jc w:val="right"/>
        <w:rPr>
          <w:rFonts w:hint="eastAsia"/>
        </w:rPr>
      </w:pPr>
      <w:r>
        <w:rPr>
          <w:rFonts w:hint="eastAsia"/>
        </w:rPr>
        <w:t>博时基金管理有限公司</w:t>
      </w:r>
    </w:p>
    <w:p w14:paraId="0C709F7E">
      <w:pPr>
        <w:pStyle w:val="3"/>
        <w:spacing w:before="0" w:beforeAutospacing="0" w:after="0" w:afterAutospacing="0" w:line="360" w:lineRule="auto"/>
        <w:ind w:firstLine="420"/>
        <w:jc w:val="right"/>
      </w:pPr>
      <w:r>
        <w:t>2026年11月7日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6E9"/>
    <w:rsid w:val="000F46E9"/>
    <w:rsid w:val="00E62228"/>
    <w:rsid w:val="71AD3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7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标题 3 Char"/>
    <w:basedOn w:val="6"/>
    <w:link w:val="2"/>
    <w:uiPriority w:val="9"/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mycompany</Company>
  <Pages>2</Pages>
  <Words>90</Words>
  <Characters>519</Characters>
  <Lines>4</Lines>
  <Paragraphs>1</Paragraphs>
  <TotalTime>0</TotalTime>
  <ScaleCrop>false</ScaleCrop>
  <LinksUpToDate>false</LinksUpToDate>
  <CharactersWithSpaces>608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2026-11-06T01:23:00Z</dcterms:created>
  <dc:creator>BSKMadminDev</dc:creator>
  <cp:lastModifiedBy>panan</cp:lastModifiedBy>
  <dcterms:modified xsi:type="dcterms:W3CDTF">2026-11-06T01:24:24Z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35B51525388949A1BCA721F8B7CE5797_13</vt:lpwstr>
  </property>
</Properties>
</file>