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2DA05"/>
    <w:p w14:paraId="01E12182">
      <w:pPr>
        <w:jc w:val="center"/>
        <w:rPr>
          <w:rFonts w:hint="eastAsia" w:ascii="宋体" w:hAnsi="宋体" w:eastAsia="宋体"/>
          <w:b/>
          <w:sz w:val="30"/>
        </w:rPr>
      </w:pPr>
      <w:r>
        <w:rPr>
          <w:rFonts w:hint="eastAsia" w:ascii="宋体" w:hAnsi="宋体" w:eastAsia="宋体"/>
          <w:b/>
          <w:sz w:val="30"/>
        </w:rPr>
        <w:t>博时基金管理有限公司关于博时荣泰灵活配置混合型证券投资基金可能触发基金合同终止情形的提示性公告</w:t>
      </w:r>
    </w:p>
    <w:p w14:paraId="0ECB2FE8">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2026年7月25日</w:t>
      </w:r>
    </w:p>
    <w:p w14:paraId="410BD8BA">
      <w:pPr>
        <w:jc w:val="center"/>
        <w:rPr>
          <w:rFonts w:ascii="宋体" w:hAnsi="宋体" w:eastAsia="宋体"/>
          <w:b/>
          <w:sz w:val="24"/>
        </w:rPr>
      </w:pPr>
    </w:p>
    <w:p w14:paraId="6AEF8AC8">
      <w:pPr>
        <w:pStyle w:val="3"/>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根据《中华人民共和国证券投资基金法》、《公开募集证券投资基金运作管理办法》、《博时荣泰灵活配置混合型证券投资基金</w:t>
      </w:r>
      <w:r>
        <w:rPr>
          <w:rFonts w:hint="eastAsia"/>
          <w:sz w:val="21"/>
          <w:szCs w:val="21"/>
        </w:rPr>
        <w:t>基金合同》（以下简称“《基金合同》”）的有关规定，博时荣泰灵活配置混合型证券投资基金</w:t>
      </w:r>
      <w:r>
        <w:rPr>
          <w:rFonts w:hint="eastAsia"/>
          <w:sz w:val="21"/>
          <w:szCs w:val="21"/>
        </w:rPr>
        <w:t xml:space="preserve">（以下简称“本基金”）可能触发基金合同终止情形，现将相关事项提示公告如下： </w:t>
      </w:r>
    </w:p>
    <w:p w14:paraId="203A718D">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59B8F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59C8BAB">
            <w:pPr>
              <w:rPr>
                <w:rFonts w:ascii="宋体" w:hAnsi="宋体" w:eastAsia="宋体"/>
              </w:rPr>
            </w:pPr>
            <w:r>
              <w:rPr>
                <w:rFonts w:hint="eastAsia" w:ascii="宋体" w:hAnsi="宋体" w:eastAsia="宋体"/>
              </w:rPr>
              <w:t>基金名称</w:t>
            </w:r>
          </w:p>
        </w:tc>
        <w:tc>
          <w:tcPr>
            <w:tcW w:w="4261" w:type="dxa"/>
            <w:vAlign w:val="center"/>
          </w:tcPr>
          <w:p w14:paraId="117F407C">
            <w:pPr>
              <w:rPr>
                <w:rFonts w:ascii="宋体" w:hAnsi="宋体" w:eastAsia="宋体"/>
              </w:rPr>
            </w:pPr>
            <w:r>
              <w:rPr>
                <w:rFonts w:hint="eastAsia" w:ascii="宋体" w:hAnsi="宋体" w:eastAsia="宋体"/>
              </w:rPr>
              <w:t>博时荣泰灵活配置混合型证券投资基金</w:t>
            </w:r>
          </w:p>
        </w:tc>
      </w:tr>
      <w:tr w14:paraId="7055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BBF1C35">
            <w:pPr>
              <w:rPr>
                <w:rFonts w:ascii="宋体" w:hAnsi="宋体" w:eastAsia="宋体"/>
              </w:rPr>
            </w:pPr>
            <w:r>
              <w:rPr>
                <w:rFonts w:hint="eastAsia" w:ascii="宋体" w:hAnsi="宋体" w:eastAsia="宋体"/>
              </w:rPr>
              <w:t>基金简称</w:t>
            </w:r>
          </w:p>
        </w:tc>
        <w:tc>
          <w:tcPr>
            <w:tcW w:w="4261" w:type="dxa"/>
            <w:vAlign w:val="center"/>
          </w:tcPr>
          <w:p w14:paraId="1BD9397A">
            <w:pPr>
              <w:rPr>
                <w:rFonts w:ascii="宋体" w:hAnsi="宋体" w:eastAsia="宋体"/>
              </w:rPr>
            </w:pPr>
            <w:r>
              <w:rPr>
                <w:rFonts w:hint="eastAsia" w:ascii="宋体" w:hAnsi="宋体" w:eastAsia="宋体"/>
              </w:rPr>
              <w:t>博时荣泰混合</w:t>
            </w:r>
          </w:p>
        </w:tc>
      </w:tr>
      <w:tr w14:paraId="5492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4C2B253">
            <w:pPr>
              <w:rPr>
                <w:rFonts w:ascii="宋体" w:hAnsi="宋体" w:eastAsia="宋体"/>
              </w:rPr>
            </w:pPr>
            <w:r>
              <w:rPr>
                <w:rFonts w:hint="eastAsia" w:ascii="宋体" w:hAnsi="宋体" w:eastAsia="宋体"/>
              </w:rPr>
              <w:t>基金主代码</w:t>
            </w:r>
          </w:p>
        </w:tc>
        <w:tc>
          <w:tcPr>
            <w:tcW w:w="4261" w:type="dxa"/>
            <w:vAlign w:val="center"/>
          </w:tcPr>
          <w:p w14:paraId="2E7DA824">
            <w:pPr>
              <w:rPr>
                <w:rFonts w:ascii="宋体" w:hAnsi="宋体" w:eastAsia="宋体"/>
              </w:rPr>
            </w:pPr>
            <w:r>
              <w:rPr>
                <w:rFonts w:ascii="宋体" w:hAnsi="宋体" w:eastAsia="宋体"/>
              </w:rPr>
              <w:t>009967</w:t>
            </w:r>
          </w:p>
        </w:tc>
      </w:tr>
      <w:tr w14:paraId="0ABB7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531BE294">
            <w:pPr>
              <w:rPr>
                <w:rFonts w:ascii="宋体" w:hAnsi="宋体" w:eastAsia="宋体"/>
              </w:rPr>
            </w:pPr>
            <w:r>
              <w:rPr>
                <w:rFonts w:hint="eastAsia" w:ascii="宋体" w:hAnsi="宋体" w:eastAsia="宋体"/>
              </w:rPr>
              <w:t>基金运作方式</w:t>
            </w:r>
          </w:p>
        </w:tc>
        <w:tc>
          <w:tcPr>
            <w:tcW w:w="4261" w:type="dxa"/>
            <w:vAlign w:val="center"/>
          </w:tcPr>
          <w:p w14:paraId="7F4D9219">
            <w:pPr>
              <w:rPr>
                <w:rFonts w:ascii="宋体" w:hAnsi="宋体" w:eastAsia="宋体"/>
              </w:rPr>
            </w:pPr>
            <w:r>
              <w:rPr>
                <w:rFonts w:hint="eastAsia" w:ascii="宋体" w:hAnsi="宋体" w:eastAsia="宋体"/>
              </w:rPr>
              <w:t>契约型开放式</w:t>
            </w:r>
          </w:p>
        </w:tc>
      </w:tr>
      <w:tr w14:paraId="113E8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B1E99D6">
            <w:pPr>
              <w:rPr>
                <w:rFonts w:ascii="宋体" w:hAnsi="宋体" w:eastAsia="宋体"/>
              </w:rPr>
            </w:pPr>
            <w:r>
              <w:rPr>
                <w:rFonts w:hint="eastAsia" w:ascii="宋体" w:hAnsi="宋体" w:eastAsia="宋体"/>
              </w:rPr>
              <w:t>基金合同生效日</w:t>
            </w:r>
          </w:p>
        </w:tc>
        <w:tc>
          <w:tcPr>
            <w:tcW w:w="4261" w:type="dxa"/>
            <w:vAlign w:val="center"/>
          </w:tcPr>
          <w:p w14:paraId="1A26D570">
            <w:pPr>
              <w:rPr>
                <w:rFonts w:ascii="宋体" w:hAnsi="宋体" w:eastAsia="宋体"/>
              </w:rPr>
            </w:pPr>
            <w:r>
              <w:rPr>
                <w:rFonts w:ascii="宋体" w:hAnsi="宋体" w:eastAsia="宋体"/>
              </w:rPr>
              <w:t>2020年8月26日</w:t>
            </w:r>
          </w:p>
        </w:tc>
      </w:tr>
      <w:tr w14:paraId="6466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5018CB5">
            <w:pPr>
              <w:rPr>
                <w:rFonts w:ascii="宋体" w:hAnsi="宋体" w:eastAsia="宋体"/>
              </w:rPr>
            </w:pPr>
            <w:r>
              <w:rPr>
                <w:rFonts w:hint="eastAsia" w:ascii="宋体" w:hAnsi="宋体" w:eastAsia="宋体"/>
              </w:rPr>
              <w:t>基金管理人名称</w:t>
            </w:r>
          </w:p>
        </w:tc>
        <w:tc>
          <w:tcPr>
            <w:tcW w:w="4261" w:type="dxa"/>
            <w:vAlign w:val="center"/>
          </w:tcPr>
          <w:p w14:paraId="46F16656">
            <w:pPr>
              <w:rPr>
                <w:rFonts w:ascii="宋体" w:hAnsi="宋体" w:eastAsia="宋体"/>
              </w:rPr>
            </w:pPr>
            <w:r>
              <w:rPr>
                <w:rFonts w:hint="eastAsia" w:ascii="宋体" w:hAnsi="宋体" w:eastAsia="宋体"/>
              </w:rPr>
              <w:t>博时基金管理有限公司</w:t>
            </w:r>
          </w:p>
        </w:tc>
      </w:tr>
      <w:tr w14:paraId="3CE7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C7611A1">
            <w:pPr>
              <w:rPr>
                <w:rFonts w:ascii="宋体" w:hAnsi="宋体" w:eastAsia="宋体"/>
              </w:rPr>
            </w:pPr>
            <w:r>
              <w:rPr>
                <w:rFonts w:hint="eastAsia" w:ascii="宋体" w:hAnsi="宋体" w:eastAsia="宋体"/>
              </w:rPr>
              <w:t>基金托管人名称</w:t>
            </w:r>
          </w:p>
        </w:tc>
        <w:tc>
          <w:tcPr>
            <w:tcW w:w="4261" w:type="dxa"/>
            <w:vAlign w:val="center"/>
          </w:tcPr>
          <w:p w14:paraId="3FC3F93C">
            <w:pPr>
              <w:rPr>
                <w:rFonts w:ascii="宋体" w:hAnsi="宋体" w:eastAsia="宋体"/>
              </w:rPr>
            </w:pPr>
            <w:r>
              <w:rPr>
                <w:rFonts w:hint="eastAsia" w:ascii="宋体" w:hAnsi="宋体" w:eastAsia="宋体"/>
              </w:rPr>
              <w:t>浙商银行股份有限公司</w:t>
            </w:r>
          </w:p>
        </w:tc>
      </w:tr>
      <w:tr w14:paraId="233F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17E890A2">
            <w:pPr>
              <w:rPr>
                <w:rFonts w:ascii="宋体" w:hAnsi="宋体" w:eastAsia="宋体"/>
              </w:rPr>
            </w:pPr>
            <w:r>
              <w:rPr>
                <w:rFonts w:hint="eastAsia" w:ascii="宋体" w:hAnsi="宋体" w:eastAsia="宋体"/>
              </w:rPr>
              <w:t>基金注册登记机构名称</w:t>
            </w:r>
          </w:p>
        </w:tc>
        <w:tc>
          <w:tcPr>
            <w:tcW w:w="4261" w:type="dxa"/>
            <w:vAlign w:val="center"/>
          </w:tcPr>
          <w:p w14:paraId="0FE30B47">
            <w:pPr>
              <w:rPr>
                <w:rFonts w:ascii="宋体" w:hAnsi="宋体" w:eastAsia="宋体"/>
              </w:rPr>
            </w:pPr>
            <w:r>
              <w:rPr>
                <w:rFonts w:hint="eastAsia" w:ascii="宋体" w:hAnsi="宋体" w:eastAsia="宋体"/>
              </w:rPr>
              <w:t>博时基金管理有限公司</w:t>
            </w:r>
          </w:p>
        </w:tc>
      </w:tr>
      <w:tr w14:paraId="4ADB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329566C">
            <w:pPr>
              <w:rPr>
                <w:rFonts w:ascii="宋体" w:hAnsi="宋体" w:eastAsia="宋体"/>
              </w:rPr>
            </w:pPr>
            <w:r>
              <w:rPr>
                <w:rFonts w:hint="eastAsia" w:ascii="宋体" w:hAnsi="宋体" w:eastAsia="宋体"/>
              </w:rPr>
              <w:t>公告依据</w:t>
            </w:r>
          </w:p>
        </w:tc>
        <w:tc>
          <w:tcPr>
            <w:tcW w:w="4261" w:type="dxa"/>
            <w:vAlign w:val="center"/>
          </w:tcPr>
          <w:p w14:paraId="169A8BAA">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荣泰灵活配置混合型证券投资基金基金合同》、《博时荣泰灵活配置混合型证券投资基金招募说明书》（以下简称“《招募说明书》”）等</w:t>
            </w:r>
          </w:p>
        </w:tc>
      </w:tr>
    </w:tbl>
    <w:p w14:paraId="6A022747"/>
    <w:p w14:paraId="619A6E22">
      <w:pPr>
        <w:pStyle w:val="2"/>
        <w:rPr>
          <w:rFonts w:hint="eastAsia" w:ascii="宋体" w:hAnsi="宋体" w:eastAsia="宋体"/>
          <w:sz w:val="21"/>
        </w:rPr>
      </w:pPr>
      <w:r>
        <w:rPr>
          <w:rFonts w:hint="eastAsia" w:ascii="宋体" w:hAnsi="宋体" w:eastAsia="宋体"/>
          <w:sz w:val="21"/>
        </w:rPr>
        <w:t>二、可能触发基金合同终止的情形说明</w:t>
      </w:r>
    </w:p>
    <w:p w14:paraId="2ECAF8E0">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1792FB90">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且无需召开基金份额持有人大会，同时基金管理人应履行相关的监管报告和信息披露程序。 </w:t>
      </w:r>
    </w:p>
    <w:p w14:paraId="2B62411D">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07D4F2D1">
      <w:pPr>
        <w:pStyle w:val="3"/>
        <w:spacing w:before="0" w:beforeAutospacing="0" w:after="0" w:afterAutospacing="0" w:line="360" w:lineRule="auto"/>
        <w:ind w:firstLine="420"/>
        <w:rPr>
          <w:rFonts w:hint="eastAsia"/>
          <w:sz w:val="21"/>
          <w:szCs w:val="21"/>
        </w:rPr>
      </w:pPr>
      <w:r>
        <w:rPr>
          <w:rFonts w:hint="eastAsia"/>
          <w:sz w:val="21"/>
          <w:szCs w:val="21"/>
        </w:rPr>
        <w:t>若截至2026年8月7日</w:t>
      </w:r>
      <w:r>
        <w:rPr>
          <w:rFonts w:hint="eastAsia"/>
          <w:sz w:val="21"/>
          <w:szCs w:val="21"/>
        </w:rPr>
        <w:t>，本基金出现连续五十</w:t>
      </w:r>
      <w:r>
        <w:rPr>
          <w:rFonts w:hint="eastAsia"/>
          <w:sz w:val="21"/>
          <w:szCs w:val="21"/>
        </w:rPr>
        <w:t>个工作日基金资产净值低于五千万元</w:t>
      </w:r>
      <w:r>
        <w:rPr>
          <w:rFonts w:hint="eastAsia"/>
          <w:sz w:val="21"/>
          <w:szCs w:val="21"/>
        </w:rPr>
        <w:t xml:space="preserve">的情形，本基金将根据《基金合同》约定进入清算程序，无需召开基金份额持有人大会进行表决。 </w:t>
      </w:r>
    </w:p>
    <w:p w14:paraId="488B5728">
      <w:pPr>
        <w:pStyle w:val="2"/>
        <w:rPr>
          <w:rFonts w:hint="eastAsia" w:ascii="宋体" w:hAnsi="宋体" w:eastAsia="宋体"/>
          <w:sz w:val="21"/>
        </w:rPr>
      </w:pPr>
      <w:r>
        <w:rPr>
          <w:rFonts w:hint="eastAsia" w:ascii="宋体" w:hAnsi="宋体" w:eastAsia="宋体"/>
          <w:sz w:val="21"/>
        </w:rPr>
        <w:t>三、其他需要提示的事项</w:t>
      </w:r>
    </w:p>
    <w:p w14:paraId="719CDD8F">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w:t>
      </w:r>
      <w:bookmarkStart w:id="0" w:name="_GoBack"/>
      <w:bookmarkEnd w:id="0"/>
      <w:r>
        <w:rPr>
          <w:rFonts w:hint="eastAsia"/>
          <w:sz w:val="21"/>
          <w:szCs w:val="21"/>
        </w:rPr>
        <w:t>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3BB13388">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4878A3E8">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37B3400E">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08B7B1F9">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64006275">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3520AF94">
      <w:pPr>
        <w:pStyle w:val="3"/>
        <w:spacing w:before="0" w:beforeAutospacing="0" w:after="0" w:afterAutospacing="0" w:line="360" w:lineRule="auto"/>
        <w:ind w:firstLine="420"/>
        <w:rPr>
          <w:rFonts w:hint="eastAsia"/>
          <w:sz w:val="21"/>
          <w:szCs w:val="21"/>
        </w:rPr>
      </w:pPr>
    </w:p>
    <w:p w14:paraId="03F67E73">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7546A9EA">
      <w:pPr>
        <w:pStyle w:val="3"/>
        <w:spacing w:before="0" w:beforeAutospacing="0" w:after="0" w:afterAutospacing="0" w:line="360" w:lineRule="auto"/>
        <w:ind w:firstLine="420"/>
        <w:rPr>
          <w:sz w:val="21"/>
          <w:szCs w:val="21"/>
        </w:rPr>
      </w:pPr>
    </w:p>
    <w:p w14:paraId="74E7A300">
      <w:pPr>
        <w:pStyle w:val="3"/>
        <w:spacing w:before="0" w:beforeAutospacing="0" w:after="0" w:afterAutospacing="0" w:line="360" w:lineRule="auto"/>
        <w:ind w:firstLine="420"/>
        <w:rPr>
          <w:sz w:val="21"/>
          <w:szCs w:val="21"/>
        </w:rPr>
      </w:pPr>
    </w:p>
    <w:p w14:paraId="6EDF1E50">
      <w:pPr>
        <w:pStyle w:val="3"/>
        <w:spacing w:before="0" w:beforeAutospacing="0" w:after="0" w:afterAutospacing="0" w:line="360" w:lineRule="auto"/>
        <w:ind w:firstLine="420"/>
        <w:rPr>
          <w:sz w:val="21"/>
          <w:szCs w:val="21"/>
        </w:rPr>
      </w:pPr>
    </w:p>
    <w:p w14:paraId="65EE31CA">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62C25112">
      <w:pPr>
        <w:pStyle w:val="3"/>
        <w:spacing w:before="0" w:beforeAutospacing="0" w:after="0" w:afterAutospacing="0" w:line="360" w:lineRule="auto"/>
        <w:ind w:firstLine="420"/>
        <w:jc w:val="right"/>
        <w:rPr>
          <w:sz w:val="21"/>
          <w:szCs w:val="21"/>
        </w:rPr>
      </w:pPr>
      <w:r>
        <w:rPr>
          <w:sz w:val="21"/>
          <w:szCs w:val="21"/>
        </w:rPr>
        <w:t>2026年7月25日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3F0"/>
    <w:rsid w:val="003C23F0"/>
    <w:rsid w:val="00BD1189"/>
    <w:rsid w:val="FFD94D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195</Words>
  <Characters>1115</Characters>
  <Lines>9</Lines>
  <Paragraphs>2</Paragraphs>
  <TotalTime>0</TotalTime>
  <ScaleCrop>false</ScaleCrop>
  <LinksUpToDate>false</LinksUpToDate>
  <CharactersWithSpaces>1308</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2026-07-24T14:03:00Z</dcterms:created>
  <dc:creator>BSKMadminDev</dc:creator>
  <cp:lastModifiedBy>yangxz285</cp:lastModifiedBy>
  <dcterms:modified xsi:type="dcterms:W3CDTF">2026-07-24T14:04:46Z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58D1F06AA45D75837E00636A846A402C_43</vt:lpwstr>
  </property>
</Properties>
</file>